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1E3F88">
            <w:pPr>
              <w:pStyle w:val="DocumentCodeAR"/>
              <w:bidi/>
              <w:rPr>
                <w:rtl/>
              </w:rPr>
            </w:pPr>
            <w:r>
              <w:t>PCT</w:t>
            </w:r>
            <w:r w:rsidR="00772E46">
              <w:t>/</w:t>
            </w:r>
            <w:r w:rsidR="00C742C5">
              <w:t>WG</w:t>
            </w:r>
            <w:r w:rsidR="00100F97">
              <w:t>/</w:t>
            </w:r>
            <w:r w:rsidR="001E3F88">
              <w:t>9</w:t>
            </w:r>
            <w:r w:rsidR="00B75198">
              <w:t>/12</w:t>
            </w:r>
          </w:p>
        </w:tc>
      </w:tr>
      <w:tr w:rsidR="001667B6" w:rsidTr="00BF164F">
        <w:tc>
          <w:tcPr>
            <w:tcW w:w="9571" w:type="dxa"/>
            <w:gridSpan w:val="3"/>
          </w:tcPr>
          <w:p w:rsidR="001667B6" w:rsidRPr="00B6101C" w:rsidRDefault="00B6101C" w:rsidP="00B75198">
            <w:pPr>
              <w:pStyle w:val="DocumentLanguageAR"/>
              <w:bidi/>
              <w:rPr>
                <w:rtl/>
              </w:rPr>
            </w:pPr>
            <w:r w:rsidRPr="00B6101C">
              <w:rPr>
                <w:rFonts w:hint="cs"/>
                <w:rtl/>
              </w:rPr>
              <w:t xml:space="preserve">الأصل: </w:t>
            </w:r>
            <w:r w:rsidR="00B75198">
              <w:rPr>
                <w:rFonts w:hint="cs"/>
                <w:rtl/>
              </w:rPr>
              <w:t>بالإنكليزية</w:t>
            </w:r>
          </w:p>
        </w:tc>
      </w:tr>
      <w:tr w:rsidR="001667B6" w:rsidTr="00BF164F">
        <w:tc>
          <w:tcPr>
            <w:tcW w:w="9571" w:type="dxa"/>
            <w:gridSpan w:val="3"/>
          </w:tcPr>
          <w:p w:rsidR="001667B6" w:rsidRPr="00B6101C" w:rsidRDefault="00B6101C" w:rsidP="00DF4C77">
            <w:pPr>
              <w:pStyle w:val="DocumentDateAR"/>
              <w:bidi/>
              <w:rPr>
                <w:rtl/>
              </w:rPr>
            </w:pPr>
            <w:r w:rsidRPr="00B6101C">
              <w:rPr>
                <w:rFonts w:hint="cs"/>
                <w:rtl/>
              </w:rPr>
              <w:t xml:space="preserve">التاريخ: </w:t>
            </w:r>
            <w:r w:rsidR="00DF4C77">
              <w:rPr>
                <w:rFonts w:hint="cs"/>
                <w:rtl/>
              </w:rPr>
              <w:t>23 مارس</w:t>
            </w:r>
            <w:r w:rsidRPr="00B6101C">
              <w:rPr>
                <w:rFonts w:hint="cs"/>
                <w:rtl/>
              </w:rPr>
              <w:t xml:space="preserve"> </w:t>
            </w:r>
            <w:r w:rsidR="005C64F7">
              <w:rPr>
                <w:rFonts w:hint="cs"/>
                <w:rtl/>
              </w:rPr>
              <w:t>201</w:t>
            </w:r>
            <w:r w:rsidR="001E3F88">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Pr>
      </w:pPr>
    </w:p>
    <w:p w:rsidR="001667B6" w:rsidRDefault="00AB54AE" w:rsidP="00983389">
      <w:pPr>
        <w:pStyle w:val="MeetingTitleAR"/>
        <w:bidi/>
        <w:ind w:right="550"/>
        <w:rPr>
          <w:rtl/>
        </w:rPr>
      </w:pPr>
      <w:r>
        <w:rPr>
          <w:rFonts w:hint="cs"/>
          <w:rtl/>
        </w:rPr>
        <w:t>معاهدة التعاون بشأن الب</w:t>
      </w:r>
      <w:bookmarkStart w:id="2" w:name="_GoBack"/>
      <w:bookmarkEnd w:id="2"/>
      <w:r>
        <w:rPr>
          <w:rFonts w:hint="cs"/>
          <w:rtl/>
        </w:rPr>
        <w:t>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1E3F88">
      <w:pPr>
        <w:pStyle w:val="MeetingSessionAR"/>
        <w:bidi/>
        <w:rPr>
          <w:rFonts w:ascii="Cambria Math" w:hAnsi="Cambria Math"/>
          <w:rtl/>
        </w:rPr>
      </w:pPr>
      <w:r w:rsidRPr="00783D11">
        <w:rPr>
          <w:rFonts w:ascii="Cambria Math" w:hAnsi="Cambria Math"/>
          <w:rtl/>
        </w:rPr>
        <w:t xml:space="preserve">الدورة </w:t>
      </w:r>
      <w:r w:rsidR="001E3F88">
        <w:rPr>
          <w:rFonts w:ascii="Cambria Math" w:hAnsi="Cambria Math" w:hint="cs"/>
          <w:rtl/>
        </w:rPr>
        <w:t>التاسعة</w:t>
      </w:r>
    </w:p>
    <w:p w:rsidR="00D61541" w:rsidRPr="00D61541" w:rsidRDefault="00D61541" w:rsidP="00D07291">
      <w:pPr>
        <w:pStyle w:val="MeetingDatesAR"/>
        <w:bidi/>
        <w:rPr>
          <w:rtl/>
        </w:rPr>
      </w:pPr>
      <w:r w:rsidRPr="00D61541">
        <w:rPr>
          <w:rFonts w:hint="cs"/>
          <w:rtl/>
        </w:rPr>
        <w:t xml:space="preserve">جنيف، من </w:t>
      </w:r>
      <w:r w:rsidR="00D07291">
        <w:rPr>
          <w:rFonts w:hint="cs"/>
          <w:rtl/>
        </w:rPr>
        <w:t>17</w:t>
      </w:r>
      <w:r w:rsidR="00C742C5">
        <w:rPr>
          <w:rFonts w:hint="cs"/>
          <w:rtl/>
        </w:rPr>
        <w:t xml:space="preserve"> إلى </w:t>
      </w:r>
      <w:r w:rsidR="00D07291">
        <w:rPr>
          <w:rFonts w:hint="cs"/>
          <w:rtl/>
        </w:rPr>
        <w:t>20 مايو</w:t>
      </w:r>
      <w:r w:rsidR="00C742C5">
        <w:rPr>
          <w:rFonts w:hint="cs"/>
          <w:rtl/>
        </w:rPr>
        <w:t xml:space="preserve"> </w:t>
      </w:r>
      <w:r w:rsidR="005C64F7">
        <w:rPr>
          <w:rFonts w:hint="cs"/>
          <w:rtl/>
        </w:rPr>
        <w:t>201</w:t>
      </w:r>
      <w:r w:rsidR="00D07291">
        <w:rPr>
          <w:rFonts w:hint="cs"/>
          <w:rtl/>
        </w:rPr>
        <w:t>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317518" w:rsidP="00B75198">
      <w:pPr>
        <w:pStyle w:val="DocumentTitleAR"/>
        <w:bidi/>
        <w:rPr>
          <w:rtl/>
        </w:rPr>
      </w:pPr>
      <w:r>
        <w:rPr>
          <w:rFonts w:hint="cs"/>
          <w:rtl/>
        </w:rPr>
        <w:t xml:space="preserve">حذف </w:t>
      </w:r>
      <w:r w:rsidR="00222E13">
        <w:rPr>
          <w:rFonts w:hint="cs"/>
          <w:rtl/>
          <w:lang w:bidi="ar-EG"/>
        </w:rPr>
        <w:t>"</w:t>
      </w:r>
      <w:r>
        <w:rPr>
          <w:rFonts w:hint="cs"/>
          <w:rtl/>
        </w:rPr>
        <w:t>أحكام عدم التوافق</w:t>
      </w:r>
      <w:r w:rsidR="00222E13">
        <w:rPr>
          <w:rFonts w:hint="cs"/>
          <w:rtl/>
        </w:rPr>
        <w:t>"</w:t>
      </w:r>
      <w:r>
        <w:rPr>
          <w:rFonts w:hint="cs"/>
          <w:rtl/>
        </w:rPr>
        <w:t xml:space="preserve"> من </w:t>
      </w:r>
      <w:r w:rsidR="00B75198" w:rsidRPr="00B75198">
        <w:rPr>
          <w:rtl/>
        </w:rPr>
        <w:t>اللائحة التنفيذية لمعاهدة التعاون بشأن البراءات</w:t>
      </w:r>
    </w:p>
    <w:p w:rsidR="00D61541" w:rsidRPr="00D61541" w:rsidRDefault="00B75198" w:rsidP="00931859">
      <w:pPr>
        <w:pStyle w:val="PreparedbyAR"/>
        <w:bidi/>
        <w:rPr>
          <w:rtl/>
        </w:rPr>
      </w:pPr>
      <w:r w:rsidRPr="00B75198">
        <w:rPr>
          <w:rtl/>
        </w:rPr>
        <w:t>وثيقة من إعداد المكتب الدولي</w:t>
      </w:r>
    </w:p>
    <w:p w:rsidR="00BE7F85" w:rsidRPr="00BE7F85" w:rsidRDefault="00BE7F85" w:rsidP="008F3DD2">
      <w:pPr>
        <w:pStyle w:val="Heading1AR"/>
        <w:rPr>
          <w:rtl/>
        </w:rPr>
      </w:pPr>
      <w:r w:rsidRPr="00BE7F85">
        <w:rPr>
          <w:rFonts w:hint="cs"/>
          <w:rtl/>
        </w:rPr>
        <w:t>ملخص</w:t>
      </w:r>
    </w:p>
    <w:p w:rsidR="00B75198" w:rsidRDefault="00B75198" w:rsidP="008F3DD2">
      <w:pPr>
        <w:pStyle w:val="NumberedParaAR"/>
        <w:rPr>
          <w:rtl/>
        </w:rPr>
      </w:pPr>
      <w:r w:rsidRPr="00B75198">
        <w:rPr>
          <w:rtl/>
        </w:rPr>
        <w:t>تقترح هذه الوثيقة</w:t>
      </w:r>
      <w:r w:rsidR="00A11643">
        <w:rPr>
          <w:rFonts w:hint="cs"/>
          <w:rtl/>
        </w:rPr>
        <w:t xml:space="preserve"> حذف حكمين من "</w:t>
      </w:r>
      <w:r w:rsidR="00A11643" w:rsidRPr="00A11643">
        <w:rPr>
          <w:rtl/>
        </w:rPr>
        <w:t>أحكام عدم التوافق</w:t>
      </w:r>
      <w:r w:rsidR="00BE7F85">
        <w:rPr>
          <w:rFonts w:hint="cs"/>
          <w:rtl/>
        </w:rPr>
        <w:t>" وهما القاعد</w:t>
      </w:r>
      <w:r w:rsidR="00BE7F85" w:rsidRPr="00330AB1">
        <w:rPr>
          <w:rFonts w:hint="cs"/>
          <w:rtl/>
        </w:rPr>
        <w:t>ت</w:t>
      </w:r>
      <w:r w:rsidR="001E0B35">
        <w:rPr>
          <w:rFonts w:hint="cs"/>
          <w:rtl/>
        </w:rPr>
        <w:t>ا</w:t>
      </w:r>
      <w:r w:rsidR="00BE7F85" w:rsidRPr="00330AB1">
        <w:rPr>
          <w:rFonts w:hint="cs"/>
          <w:rtl/>
        </w:rPr>
        <w:t>ن</w:t>
      </w:r>
      <w:r w:rsidR="00BE7F85" w:rsidRPr="00330AB1">
        <w:rPr>
          <w:rFonts w:hint="eastAsia"/>
          <w:rtl/>
        </w:rPr>
        <w:t> </w:t>
      </w:r>
      <w:r w:rsidR="00A11643" w:rsidRPr="00330AB1">
        <w:rPr>
          <w:rFonts w:hint="cs"/>
          <w:rtl/>
        </w:rPr>
        <w:t>10.4</w:t>
      </w:r>
      <w:r w:rsidR="00330AB1" w:rsidRPr="00330AB1">
        <w:rPr>
          <w:rFonts w:hint="cs"/>
          <w:rtl/>
        </w:rPr>
        <w:t>(د)</w:t>
      </w:r>
      <w:r w:rsidR="00A11643" w:rsidRPr="00330AB1">
        <w:rPr>
          <w:rFonts w:hint="cs"/>
          <w:rtl/>
        </w:rPr>
        <w:t xml:space="preserve"> و51</w:t>
      </w:r>
      <w:r w:rsidR="006407C9" w:rsidRPr="00330AB1">
        <w:rPr>
          <w:rFonts w:hint="cs"/>
          <w:rtl/>
        </w:rPr>
        <w:t>(ثانيا)</w:t>
      </w:r>
      <w:r w:rsidR="00A11643" w:rsidRPr="00330AB1">
        <w:rPr>
          <w:rFonts w:hint="cs"/>
          <w:rtl/>
        </w:rPr>
        <w:t>1</w:t>
      </w:r>
      <w:r w:rsidR="00330AB1" w:rsidRPr="00330AB1">
        <w:rPr>
          <w:rFonts w:hint="cs"/>
          <w:rtl/>
        </w:rPr>
        <w:t>(</w:t>
      </w:r>
      <w:r w:rsidR="00BE1567" w:rsidRPr="00330AB1">
        <w:rPr>
          <w:rFonts w:hint="cs"/>
          <w:rtl/>
        </w:rPr>
        <w:t>و</w:t>
      </w:r>
      <w:r w:rsidR="00330AB1" w:rsidRPr="00330AB1">
        <w:rPr>
          <w:rFonts w:hint="cs"/>
          <w:rtl/>
        </w:rPr>
        <w:t>)</w:t>
      </w:r>
      <w:r w:rsidR="00A11643" w:rsidRPr="00330AB1">
        <w:rPr>
          <w:rFonts w:hint="cs"/>
          <w:rtl/>
        </w:rPr>
        <w:t>، بع</w:t>
      </w:r>
      <w:r w:rsidR="00A11643">
        <w:rPr>
          <w:rFonts w:hint="cs"/>
          <w:rtl/>
        </w:rPr>
        <w:t>د</w:t>
      </w:r>
      <w:r w:rsidR="008F3DD2">
        <w:rPr>
          <w:rFonts w:hint="cs"/>
          <w:rtl/>
          <w:lang w:bidi="ar-EG"/>
        </w:rPr>
        <w:t>ما</w:t>
      </w:r>
      <w:r w:rsidR="00A11643">
        <w:rPr>
          <w:rFonts w:hint="cs"/>
          <w:rtl/>
        </w:rPr>
        <w:t xml:space="preserve"> سحب</w:t>
      </w:r>
      <w:r w:rsidR="008F3DD2">
        <w:rPr>
          <w:rFonts w:hint="cs"/>
          <w:rtl/>
        </w:rPr>
        <w:t>ت</w:t>
      </w:r>
      <w:r w:rsidR="00A11643">
        <w:rPr>
          <w:rFonts w:hint="cs"/>
          <w:rtl/>
        </w:rPr>
        <w:t xml:space="preserve"> المكاتب المعينة آخر </w:t>
      </w:r>
      <w:proofErr w:type="spellStart"/>
      <w:r w:rsidR="008F3DD2">
        <w:rPr>
          <w:rFonts w:hint="cs"/>
          <w:rtl/>
        </w:rPr>
        <w:t>ال</w:t>
      </w:r>
      <w:r w:rsidR="00A11643">
        <w:rPr>
          <w:rFonts w:hint="cs"/>
          <w:rtl/>
        </w:rPr>
        <w:t>إخطارات</w:t>
      </w:r>
      <w:proofErr w:type="spellEnd"/>
      <w:r w:rsidR="00A11643">
        <w:rPr>
          <w:rFonts w:hint="cs"/>
          <w:rtl/>
        </w:rPr>
        <w:t xml:space="preserve"> </w:t>
      </w:r>
      <w:r w:rsidR="008F3DD2">
        <w:rPr>
          <w:rFonts w:hint="cs"/>
          <w:rtl/>
        </w:rPr>
        <w:t>ال</w:t>
      </w:r>
      <w:r w:rsidR="009E41E4">
        <w:rPr>
          <w:rFonts w:hint="cs"/>
          <w:rtl/>
        </w:rPr>
        <w:t xml:space="preserve">معلقة </w:t>
      </w:r>
      <w:r w:rsidR="00D00261">
        <w:rPr>
          <w:rFonts w:hint="cs"/>
          <w:rtl/>
        </w:rPr>
        <w:t>ب</w:t>
      </w:r>
      <w:r w:rsidR="008F3DD2">
        <w:rPr>
          <w:rFonts w:hint="cs"/>
          <w:rtl/>
        </w:rPr>
        <w:t xml:space="preserve">شأن </w:t>
      </w:r>
      <w:r w:rsidR="00D00261">
        <w:rPr>
          <w:rFonts w:hint="cs"/>
          <w:rtl/>
        </w:rPr>
        <w:t>ع</w:t>
      </w:r>
      <w:r w:rsidR="00A11643">
        <w:rPr>
          <w:rFonts w:hint="cs"/>
          <w:rtl/>
        </w:rPr>
        <w:t xml:space="preserve">دم </w:t>
      </w:r>
      <w:r w:rsidR="00D00261">
        <w:rPr>
          <w:rFonts w:hint="cs"/>
          <w:rtl/>
        </w:rPr>
        <w:t>ال</w:t>
      </w:r>
      <w:r w:rsidR="00A11643">
        <w:rPr>
          <w:rFonts w:hint="cs"/>
          <w:rtl/>
        </w:rPr>
        <w:t xml:space="preserve">توافق </w:t>
      </w:r>
      <w:r w:rsidR="007C3042">
        <w:rPr>
          <w:rFonts w:hint="cs"/>
          <w:rtl/>
        </w:rPr>
        <w:t>بناء على</w:t>
      </w:r>
      <w:r w:rsidR="00A11643">
        <w:rPr>
          <w:rFonts w:hint="cs"/>
          <w:rtl/>
        </w:rPr>
        <w:t xml:space="preserve"> </w:t>
      </w:r>
      <w:r w:rsidR="008F3DD2">
        <w:rPr>
          <w:rFonts w:hint="cs"/>
          <w:rtl/>
        </w:rPr>
        <w:t>القاعدتين المذكورتين</w:t>
      </w:r>
      <w:r w:rsidR="00A11643">
        <w:rPr>
          <w:rFonts w:hint="cs"/>
          <w:rtl/>
        </w:rPr>
        <w:t>.</w:t>
      </w:r>
    </w:p>
    <w:p w:rsidR="00BE7F85" w:rsidRPr="00BE7F85" w:rsidRDefault="00BE7F85" w:rsidP="008F3DD2">
      <w:pPr>
        <w:pStyle w:val="Heading1AR"/>
        <w:rPr>
          <w:rtl/>
        </w:rPr>
      </w:pPr>
      <w:r w:rsidRPr="00BE7F85">
        <w:rPr>
          <w:rFonts w:hint="cs"/>
          <w:rtl/>
        </w:rPr>
        <w:t>المطالبة بالأولوية بناء على معاهدة التعاون بشأن البراءات</w:t>
      </w:r>
    </w:p>
    <w:p w:rsidR="00BE7F85" w:rsidRDefault="00894C3D" w:rsidP="00B7081A">
      <w:pPr>
        <w:pStyle w:val="NumberedParaAR"/>
      </w:pPr>
      <w:r>
        <w:rPr>
          <w:rFonts w:hint="cs"/>
          <w:rtl/>
        </w:rPr>
        <w:t xml:space="preserve">اعتمدت </w:t>
      </w:r>
      <w:r w:rsidRPr="00894C3D">
        <w:rPr>
          <w:rtl/>
        </w:rPr>
        <w:t>جمعية معاهدة التعاون بشأن البراءات</w:t>
      </w:r>
      <w:r>
        <w:rPr>
          <w:rFonts w:hint="cs"/>
          <w:rtl/>
        </w:rPr>
        <w:t xml:space="preserve"> (المعاهدة) في دورتها السابعة والعشرين المنعقدة في سبتمر</w:t>
      </w:r>
      <w:r>
        <w:rPr>
          <w:rFonts w:hint="eastAsia"/>
          <w:rtl/>
        </w:rPr>
        <w:t> </w:t>
      </w:r>
      <w:r>
        <w:rPr>
          <w:rFonts w:hint="cs"/>
          <w:rtl/>
        </w:rPr>
        <w:t xml:space="preserve">1999 تعديلات </w:t>
      </w:r>
      <w:r w:rsidR="00222E13">
        <w:rPr>
          <w:rFonts w:hint="cs"/>
          <w:rtl/>
        </w:rPr>
        <w:t xml:space="preserve">أُدخلت </w:t>
      </w:r>
      <w:r>
        <w:rPr>
          <w:rFonts w:hint="cs"/>
          <w:rtl/>
        </w:rPr>
        <w:t>على القاعدة 10.4 تسمح للمودعين بإدراج مطالبات بالأولوية في الطلبات الدولية المودعة يوم 1</w:t>
      </w:r>
      <w:r>
        <w:rPr>
          <w:rFonts w:hint="eastAsia"/>
          <w:rtl/>
        </w:rPr>
        <w:t> </w:t>
      </w:r>
      <w:r>
        <w:rPr>
          <w:rFonts w:hint="cs"/>
          <w:rtl/>
        </w:rPr>
        <w:t xml:space="preserve">يناير 2000 أو بعد هذا التاريخ </w:t>
      </w:r>
      <w:r w:rsidR="000D5B95">
        <w:rPr>
          <w:rFonts w:hint="cs"/>
          <w:rtl/>
        </w:rPr>
        <w:t xml:space="preserve">على أساس مطالبة أودعت سابقا في عضو من </w:t>
      </w:r>
      <w:r w:rsidR="000D5B95" w:rsidRPr="000D5B95">
        <w:rPr>
          <w:rtl/>
        </w:rPr>
        <w:t xml:space="preserve">أعضاء منظمة التجارة العالمية غير </w:t>
      </w:r>
      <w:r w:rsidR="000D5B95">
        <w:rPr>
          <w:rFonts w:hint="cs"/>
          <w:rtl/>
        </w:rPr>
        <w:t xml:space="preserve">طرف </w:t>
      </w:r>
      <w:r w:rsidR="000D5B95" w:rsidRPr="000D5B95">
        <w:rPr>
          <w:rtl/>
        </w:rPr>
        <w:t>في اتفاقية باريس</w:t>
      </w:r>
      <w:r w:rsidR="000D5B95">
        <w:rPr>
          <w:rFonts w:hint="cs"/>
          <w:rtl/>
        </w:rPr>
        <w:t xml:space="preserve"> (انظر الوثيقة</w:t>
      </w:r>
      <w:r w:rsidR="000D5B95">
        <w:rPr>
          <w:rFonts w:hint="eastAsia"/>
          <w:rtl/>
        </w:rPr>
        <w:t> </w:t>
      </w:r>
      <w:r w:rsidR="000D5B95" w:rsidRPr="000D5B95">
        <w:t>PCT/A/27/3</w:t>
      </w:r>
      <w:r w:rsidR="000D5B95">
        <w:rPr>
          <w:rFonts w:hint="cs"/>
          <w:rtl/>
        </w:rPr>
        <w:t xml:space="preserve"> والفقرات من 12 إلى 17 من الوثيقة </w:t>
      </w:r>
      <w:r w:rsidR="000D5B95" w:rsidRPr="000D5B95">
        <w:t>PCT/A/27/4</w:t>
      </w:r>
      <w:r w:rsidR="000D5B95">
        <w:rPr>
          <w:rFonts w:hint="cs"/>
          <w:rtl/>
        </w:rPr>
        <w:t>). وش</w:t>
      </w:r>
      <w:r w:rsidR="00B7081A">
        <w:rPr>
          <w:rFonts w:hint="cs"/>
          <w:rtl/>
        </w:rPr>
        <w:t>ملت تلك التعديلات حكما انتقاليا</w:t>
      </w:r>
      <w:r w:rsidR="00B7081A">
        <w:t xml:space="preserve"> </w:t>
      </w:r>
      <w:r w:rsidR="00B7081A">
        <w:rPr>
          <w:rFonts w:hint="cs"/>
          <w:rtl/>
          <w:lang w:bidi="ar-EG"/>
        </w:rPr>
        <w:t>يمكّن</w:t>
      </w:r>
      <w:r w:rsidR="00156FDE">
        <w:rPr>
          <w:rFonts w:hint="cs"/>
          <w:rtl/>
        </w:rPr>
        <w:t xml:space="preserve"> </w:t>
      </w:r>
      <w:r w:rsidR="00B7081A">
        <w:rPr>
          <w:rFonts w:hint="cs"/>
          <w:rtl/>
        </w:rPr>
        <w:t>ا</w:t>
      </w:r>
      <w:r w:rsidR="00E5268B">
        <w:rPr>
          <w:rFonts w:hint="cs"/>
          <w:rtl/>
        </w:rPr>
        <w:t>ل</w:t>
      </w:r>
      <w:r w:rsidR="00156FDE">
        <w:rPr>
          <w:rFonts w:hint="cs"/>
          <w:rtl/>
        </w:rPr>
        <w:t>مك</w:t>
      </w:r>
      <w:r w:rsidR="00E5268B">
        <w:rPr>
          <w:rFonts w:hint="cs"/>
          <w:rtl/>
        </w:rPr>
        <w:t>ا</w:t>
      </w:r>
      <w:r w:rsidR="00156FDE">
        <w:rPr>
          <w:rFonts w:hint="cs"/>
          <w:rtl/>
        </w:rPr>
        <w:t>تب المعين</w:t>
      </w:r>
      <w:r w:rsidR="00E5268B">
        <w:rPr>
          <w:rFonts w:hint="cs"/>
          <w:rtl/>
        </w:rPr>
        <w:t>ة</w:t>
      </w:r>
      <w:r w:rsidR="00156FDE">
        <w:rPr>
          <w:rFonts w:hint="cs"/>
          <w:rtl/>
        </w:rPr>
        <w:t xml:space="preserve"> </w:t>
      </w:r>
      <w:r w:rsidR="00B7081A">
        <w:rPr>
          <w:rFonts w:hint="cs"/>
          <w:rtl/>
        </w:rPr>
        <w:t xml:space="preserve">من </w:t>
      </w:r>
      <w:r w:rsidR="00156FDE">
        <w:rPr>
          <w:rFonts w:hint="cs"/>
          <w:rtl/>
        </w:rPr>
        <w:t xml:space="preserve">إخطار المكتب الدولي عن </w:t>
      </w:r>
      <w:r w:rsidR="00E5268B">
        <w:rPr>
          <w:rFonts w:hint="cs"/>
          <w:rtl/>
        </w:rPr>
        <w:t>عدم توافق الأ</w:t>
      </w:r>
      <w:r w:rsidR="00E628A5">
        <w:rPr>
          <w:rFonts w:hint="cs"/>
          <w:rtl/>
        </w:rPr>
        <w:t xml:space="preserve">حكام المعدلة مع القانون الوطني </w:t>
      </w:r>
      <w:r w:rsidR="00AE65A0">
        <w:rPr>
          <w:rFonts w:hint="cs"/>
          <w:rtl/>
        </w:rPr>
        <w:t>الذي يطبقه المكتب</w:t>
      </w:r>
      <w:r w:rsidR="00E628A5">
        <w:rPr>
          <w:rFonts w:hint="cs"/>
          <w:rtl/>
        </w:rPr>
        <w:t xml:space="preserve"> (انظر القاعدة 10.4</w:t>
      </w:r>
      <w:r w:rsidR="00E5268B">
        <w:rPr>
          <w:rFonts w:hint="cs"/>
          <w:rtl/>
        </w:rPr>
        <w:t>(د)</w:t>
      </w:r>
      <w:r w:rsidR="00855DB7">
        <w:rPr>
          <w:rFonts w:hint="cs"/>
          <w:rtl/>
        </w:rPr>
        <w:t>)</w:t>
      </w:r>
      <w:r w:rsidR="00E628A5">
        <w:rPr>
          <w:rFonts w:hint="cs"/>
          <w:rtl/>
        </w:rPr>
        <w:t>.</w:t>
      </w:r>
    </w:p>
    <w:p w:rsidR="00390219" w:rsidRDefault="00D2789F" w:rsidP="00092EFA">
      <w:pPr>
        <w:pStyle w:val="NumberedParaAR"/>
      </w:pPr>
      <w:r>
        <w:rPr>
          <w:rFonts w:hint="cs"/>
          <w:rtl/>
          <w:lang w:bidi="ar-EG"/>
        </w:rPr>
        <w:t>و</w:t>
      </w:r>
      <w:r w:rsidR="00D27EA0" w:rsidRPr="00D27EA0">
        <w:rPr>
          <w:rFonts w:hint="cs"/>
          <w:rtl/>
          <w:lang w:bidi="ar-EG"/>
        </w:rPr>
        <w:t>كان</w:t>
      </w:r>
      <w:r w:rsidR="00390219" w:rsidRPr="00D27EA0">
        <w:rPr>
          <w:rFonts w:hint="cs"/>
          <w:rtl/>
        </w:rPr>
        <w:t xml:space="preserve"> مكتبان معينان </w:t>
      </w:r>
      <w:r w:rsidR="00D27EA0" w:rsidRPr="00D27EA0">
        <w:rPr>
          <w:rFonts w:hint="cs"/>
          <w:rtl/>
        </w:rPr>
        <w:t xml:space="preserve">قد أخطرا </w:t>
      </w:r>
      <w:r w:rsidR="00390219" w:rsidRPr="00D27EA0">
        <w:rPr>
          <w:rFonts w:hint="cs"/>
          <w:rtl/>
        </w:rPr>
        <w:t>المكتب</w:t>
      </w:r>
      <w:r w:rsidR="00390219">
        <w:rPr>
          <w:rFonts w:hint="cs"/>
          <w:rtl/>
        </w:rPr>
        <w:t xml:space="preserve"> الدولي </w:t>
      </w:r>
      <w:r w:rsidR="00092EFA">
        <w:rPr>
          <w:rFonts w:hint="cs"/>
          <w:rtl/>
        </w:rPr>
        <w:t>ب</w:t>
      </w:r>
      <w:r w:rsidR="008739BF">
        <w:rPr>
          <w:rFonts w:hint="cs"/>
          <w:rtl/>
        </w:rPr>
        <w:t xml:space="preserve">هذا النوع من </w:t>
      </w:r>
      <w:r w:rsidR="00390219">
        <w:rPr>
          <w:rFonts w:hint="cs"/>
          <w:rtl/>
        </w:rPr>
        <w:t xml:space="preserve">عدم </w:t>
      </w:r>
      <w:r w:rsidR="00222E13">
        <w:rPr>
          <w:rFonts w:hint="cs"/>
          <w:rtl/>
        </w:rPr>
        <w:t>ال</w:t>
      </w:r>
      <w:r w:rsidR="00390219">
        <w:rPr>
          <w:rFonts w:hint="cs"/>
          <w:rtl/>
        </w:rPr>
        <w:t xml:space="preserve">توافق </w:t>
      </w:r>
      <w:r w:rsidR="002849F8">
        <w:rPr>
          <w:rFonts w:hint="cs"/>
          <w:rtl/>
        </w:rPr>
        <w:t>بحلول</w:t>
      </w:r>
      <w:r w:rsidR="00390219">
        <w:rPr>
          <w:rFonts w:hint="cs"/>
          <w:rtl/>
        </w:rPr>
        <w:t xml:space="preserve"> </w:t>
      </w:r>
      <w:r w:rsidR="002849F8">
        <w:rPr>
          <w:rFonts w:hint="cs"/>
          <w:rtl/>
        </w:rPr>
        <w:t>ال</w:t>
      </w:r>
      <w:r w:rsidR="00390219">
        <w:rPr>
          <w:rFonts w:hint="cs"/>
          <w:rtl/>
        </w:rPr>
        <w:t xml:space="preserve">موعد </w:t>
      </w:r>
      <w:r w:rsidR="002849F8">
        <w:rPr>
          <w:rFonts w:hint="cs"/>
          <w:rtl/>
        </w:rPr>
        <w:t>ال</w:t>
      </w:r>
      <w:r w:rsidR="00390219">
        <w:rPr>
          <w:rFonts w:hint="cs"/>
          <w:rtl/>
        </w:rPr>
        <w:t xml:space="preserve">نهائي في 31 أكتوبر 1999 </w:t>
      </w:r>
      <w:r w:rsidR="00222E13">
        <w:rPr>
          <w:rFonts w:hint="cs"/>
          <w:rtl/>
        </w:rPr>
        <w:t>الوارد في</w:t>
      </w:r>
      <w:r w:rsidR="00390219">
        <w:rPr>
          <w:rFonts w:hint="cs"/>
          <w:rtl/>
        </w:rPr>
        <w:t xml:space="preserve"> القاعدة 10.4</w:t>
      </w:r>
      <w:r w:rsidR="00855DB7">
        <w:rPr>
          <w:rFonts w:hint="cs"/>
          <w:rtl/>
        </w:rPr>
        <w:t>(د)</w:t>
      </w:r>
      <w:r w:rsidR="00390219">
        <w:rPr>
          <w:rFonts w:hint="cs"/>
          <w:rtl/>
        </w:rPr>
        <w:t xml:space="preserve"> (</w:t>
      </w:r>
      <w:r w:rsidR="00390219">
        <w:rPr>
          <w:rFonts w:hint="cs"/>
          <w:i/>
          <w:iCs/>
          <w:rtl/>
        </w:rPr>
        <w:t xml:space="preserve">انظر </w:t>
      </w:r>
      <w:r w:rsidR="00390219" w:rsidRPr="00390219">
        <w:rPr>
          <w:i/>
          <w:iCs/>
          <w:rtl/>
        </w:rPr>
        <w:t>الإخطارات الرسمية (مجلة المعاهدة)</w:t>
      </w:r>
      <w:r w:rsidR="00390219">
        <w:rPr>
          <w:rFonts w:hint="cs"/>
          <w:i/>
          <w:iCs/>
          <w:rtl/>
        </w:rPr>
        <w:t xml:space="preserve"> -  2 ديسمبر 1999). </w:t>
      </w:r>
      <w:r w:rsidR="00390219" w:rsidRPr="00390219">
        <w:rPr>
          <w:rFonts w:hint="cs"/>
          <w:rtl/>
        </w:rPr>
        <w:t xml:space="preserve">وبعد سحب </w:t>
      </w:r>
      <w:r w:rsidR="00390219" w:rsidRPr="00390219">
        <w:rPr>
          <w:rtl/>
        </w:rPr>
        <w:t xml:space="preserve">المكتب الأوروبي للبراءات </w:t>
      </w:r>
      <w:r w:rsidR="00855DB7">
        <w:rPr>
          <w:rFonts w:hint="cs"/>
          <w:rtl/>
        </w:rPr>
        <w:t>ل</w:t>
      </w:r>
      <w:r w:rsidR="00390219">
        <w:rPr>
          <w:rFonts w:hint="cs"/>
          <w:rtl/>
        </w:rPr>
        <w:t xml:space="preserve">إخطار عدم التوافق </w:t>
      </w:r>
      <w:r w:rsidR="00C37E98">
        <w:rPr>
          <w:rFonts w:hint="cs"/>
          <w:rtl/>
        </w:rPr>
        <w:t>بناء على</w:t>
      </w:r>
      <w:r w:rsidR="00390219">
        <w:rPr>
          <w:rFonts w:hint="cs"/>
          <w:rtl/>
        </w:rPr>
        <w:t xml:space="preserve"> القاعدة 10.4 </w:t>
      </w:r>
      <w:r w:rsidR="00855DB7">
        <w:rPr>
          <w:rFonts w:hint="cs"/>
          <w:rtl/>
        </w:rPr>
        <w:t>(د)</w:t>
      </w:r>
      <w:r w:rsidR="00390219">
        <w:rPr>
          <w:rFonts w:hint="cs"/>
          <w:rtl/>
        </w:rPr>
        <w:t xml:space="preserve"> بصفته مكتبا معينا، </w:t>
      </w:r>
      <w:r w:rsidR="008F3DD2">
        <w:rPr>
          <w:rFonts w:hint="cs"/>
          <w:rtl/>
        </w:rPr>
        <w:t>و</w:t>
      </w:r>
      <w:r w:rsidR="00A26EC4">
        <w:rPr>
          <w:rFonts w:hint="cs"/>
          <w:rtl/>
        </w:rPr>
        <w:t>النافذ</w:t>
      </w:r>
      <w:r w:rsidR="00390219">
        <w:rPr>
          <w:rFonts w:hint="cs"/>
          <w:rtl/>
        </w:rPr>
        <w:t xml:space="preserve"> اعتبارا من</w:t>
      </w:r>
      <w:r>
        <w:rPr>
          <w:rFonts w:hint="cs"/>
          <w:rtl/>
        </w:rPr>
        <w:t xml:space="preserve"> </w:t>
      </w:r>
      <w:r w:rsidR="00390219">
        <w:rPr>
          <w:rFonts w:hint="cs"/>
          <w:rtl/>
        </w:rPr>
        <w:t>13 ديسمبر 2007 (</w:t>
      </w:r>
      <w:r w:rsidR="00390219">
        <w:rPr>
          <w:rFonts w:hint="cs"/>
          <w:i/>
          <w:iCs/>
          <w:rtl/>
        </w:rPr>
        <w:t xml:space="preserve">انظر </w:t>
      </w:r>
      <w:r w:rsidR="00390219" w:rsidRPr="00390219">
        <w:rPr>
          <w:i/>
          <w:iCs/>
          <w:rtl/>
        </w:rPr>
        <w:t>الإخط</w:t>
      </w:r>
      <w:r w:rsidR="00390219">
        <w:rPr>
          <w:i/>
          <w:iCs/>
          <w:rtl/>
        </w:rPr>
        <w:t xml:space="preserve">ارات الرسمية (مجلة المعاهدة) - </w:t>
      </w:r>
      <w:r w:rsidR="00390219">
        <w:rPr>
          <w:rFonts w:hint="cs"/>
          <w:i/>
          <w:iCs/>
          <w:rtl/>
        </w:rPr>
        <w:t xml:space="preserve">22 نوفمبر 2007)، </w:t>
      </w:r>
      <w:r w:rsidR="00390219">
        <w:rPr>
          <w:rFonts w:hint="cs"/>
          <w:rtl/>
        </w:rPr>
        <w:t xml:space="preserve">لم تعد أي إخطارات </w:t>
      </w:r>
      <w:r w:rsidR="008739BF">
        <w:rPr>
          <w:rFonts w:hint="cs"/>
          <w:rtl/>
        </w:rPr>
        <w:t xml:space="preserve">عن </w:t>
      </w:r>
      <w:r w:rsidR="00390219">
        <w:rPr>
          <w:rFonts w:hint="cs"/>
          <w:rtl/>
        </w:rPr>
        <w:t xml:space="preserve">عدم التوافق </w:t>
      </w:r>
      <w:r w:rsidR="00C37E98">
        <w:rPr>
          <w:rFonts w:hint="cs"/>
          <w:rtl/>
        </w:rPr>
        <w:t>بناء على</w:t>
      </w:r>
      <w:r w:rsidR="00390219">
        <w:rPr>
          <w:rFonts w:hint="cs"/>
          <w:rtl/>
        </w:rPr>
        <w:t xml:space="preserve"> القاعدة 10.4</w:t>
      </w:r>
      <w:r w:rsidR="00390219">
        <w:rPr>
          <w:rFonts w:hint="eastAsia"/>
          <w:rtl/>
        </w:rPr>
        <w:t> </w:t>
      </w:r>
      <w:r w:rsidR="00855DB7">
        <w:rPr>
          <w:rFonts w:hint="cs"/>
          <w:rtl/>
        </w:rPr>
        <w:t>(د)</w:t>
      </w:r>
      <w:r w:rsidR="00390219">
        <w:rPr>
          <w:rFonts w:hint="eastAsia"/>
          <w:rtl/>
        </w:rPr>
        <w:t xml:space="preserve"> سارية. </w:t>
      </w:r>
      <w:r w:rsidR="00390219">
        <w:rPr>
          <w:rFonts w:hint="cs"/>
          <w:rtl/>
        </w:rPr>
        <w:t>لذا يقترح حذف القاعدة 4</w:t>
      </w:r>
      <w:r w:rsidR="00855DB7">
        <w:rPr>
          <w:rFonts w:hint="cs"/>
          <w:rtl/>
        </w:rPr>
        <w:t>.10(د)</w:t>
      </w:r>
      <w:r w:rsidR="00390219">
        <w:rPr>
          <w:rFonts w:hint="cs"/>
          <w:rtl/>
        </w:rPr>
        <w:t xml:space="preserve"> كما </w:t>
      </w:r>
      <w:r w:rsidR="00855DB7">
        <w:rPr>
          <w:rFonts w:hint="cs"/>
          <w:rtl/>
        </w:rPr>
        <w:t>هو وارد</w:t>
      </w:r>
      <w:r w:rsidR="00390219">
        <w:rPr>
          <w:rFonts w:hint="cs"/>
          <w:rtl/>
        </w:rPr>
        <w:t xml:space="preserve"> في مرفق هذه الوثيقة.</w:t>
      </w:r>
    </w:p>
    <w:p w:rsidR="00390219" w:rsidRPr="00521CC4" w:rsidRDefault="00521CC4" w:rsidP="008F3DD2">
      <w:pPr>
        <w:pStyle w:val="Heading1AR"/>
        <w:rPr>
          <w:rtl/>
        </w:rPr>
      </w:pPr>
      <w:r w:rsidRPr="00521CC4">
        <w:rPr>
          <w:rFonts w:hint="cs"/>
          <w:rtl/>
        </w:rPr>
        <w:lastRenderedPageBreak/>
        <w:t>ترجمات وثائق الأولوية</w:t>
      </w:r>
    </w:p>
    <w:p w:rsidR="00BA4829" w:rsidRDefault="00B11E59" w:rsidP="0013047A">
      <w:pPr>
        <w:pStyle w:val="NumberedParaAR"/>
      </w:pPr>
      <w:r>
        <w:rPr>
          <w:rFonts w:hint="cs"/>
          <w:rtl/>
        </w:rPr>
        <w:t>ا</w:t>
      </w:r>
      <w:r w:rsidR="00BA4829" w:rsidRPr="00BA4829">
        <w:rPr>
          <w:rtl/>
        </w:rPr>
        <w:t xml:space="preserve">عتمدت جمعية معاهدة التعاون بشأن البراءات (المعاهدة) في دورتها </w:t>
      </w:r>
      <w:r>
        <w:rPr>
          <w:rFonts w:hint="cs"/>
          <w:rtl/>
        </w:rPr>
        <w:t>الثامنة</w:t>
      </w:r>
      <w:r w:rsidR="00BA4829" w:rsidRPr="00BA4829">
        <w:rPr>
          <w:rtl/>
        </w:rPr>
        <w:t xml:space="preserve"> والعشرين المنعقدة في </w:t>
      </w:r>
      <w:r>
        <w:rPr>
          <w:rFonts w:hint="cs"/>
          <w:rtl/>
        </w:rPr>
        <w:t>مارس</w:t>
      </w:r>
      <w:r>
        <w:rPr>
          <w:rFonts w:hint="eastAsia"/>
          <w:rtl/>
        </w:rPr>
        <w:t> </w:t>
      </w:r>
      <w:r>
        <w:rPr>
          <w:rFonts w:hint="cs"/>
          <w:rtl/>
        </w:rPr>
        <w:t>2000</w:t>
      </w:r>
      <w:r w:rsidR="00BA4829" w:rsidRPr="00BA4829">
        <w:rPr>
          <w:rtl/>
        </w:rPr>
        <w:t xml:space="preserve"> </w:t>
      </w:r>
      <w:r>
        <w:rPr>
          <w:rFonts w:hint="cs"/>
          <w:rtl/>
        </w:rPr>
        <w:t>قاعدة جديدة رقم</w:t>
      </w:r>
      <w:r w:rsidR="00BA4829" w:rsidRPr="00BA4829">
        <w:rPr>
          <w:rtl/>
        </w:rPr>
        <w:t xml:space="preserve"> </w:t>
      </w:r>
      <w:r w:rsidR="008F3DD2">
        <w:rPr>
          <w:rFonts w:hint="cs"/>
          <w:rtl/>
        </w:rPr>
        <w:t>51(ثانيا)1(ه</w:t>
      </w:r>
      <w:r>
        <w:rPr>
          <w:rFonts w:hint="cs"/>
          <w:rtl/>
        </w:rPr>
        <w:t xml:space="preserve">) تحد من قدرة </w:t>
      </w:r>
      <w:r w:rsidR="008F3DD2">
        <w:rPr>
          <w:rFonts w:hint="cs"/>
          <w:rtl/>
        </w:rPr>
        <w:t>ال</w:t>
      </w:r>
      <w:r>
        <w:rPr>
          <w:rFonts w:hint="cs"/>
          <w:rtl/>
        </w:rPr>
        <w:t xml:space="preserve">مكاتب </w:t>
      </w:r>
      <w:r w:rsidR="008F3DD2">
        <w:rPr>
          <w:rFonts w:hint="cs"/>
          <w:rtl/>
        </w:rPr>
        <w:t xml:space="preserve">المعيَّنة </w:t>
      </w:r>
      <w:r>
        <w:rPr>
          <w:rFonts w:hint="cs"/>
          <w:rtl/>
        </w:rPr>
        <w:t>على مطالبة المودع</w:t>
      </w:r>
      <w:r w:rsidR="001860E2">
        <w:rPr>
          <w:rFonts w:hint="cs"/>
          <w:rtl/>
        </w:rPr>
        <w:t xml:space="preserve"> بتقديم ترجمة لوثيقة الأولوية في الحالات التي </w:t>
      </w:r>
      <w:r w:rsidR="00A702C4" w:rsidRPr="008739BF">
        <w:rPr>
          <w:rtl/>
          <w:lang w:val="fr-CH"/>
        </w:rPr>
        <w:t xml:space="preserve">يتأثر البت في أهلية الاختراع المعني </w:t>
      </w:r>
      <w:r w:rsidR="00A702C4" w:rsidRPr="008739BF">
        <w:rPr>
          <w:rFonts w:hint="cs"/>
          <w:rtl/>
          <w:lang w:val="fr-CH"/>
        </w:rPr>
        <w:t>با</w:t>
      </w:r>
      <w:r w:rsidR="00A702C4" w:rsidRPr="008739BF">
        <w:rPr>
          <w:rtl/>
          <w:lang w:val="fr-CH"/>
        </w:rPr>
        <w:t>لبراءة بسريان المطالبة بالأولوية</w:t>
      </w:r>
      <w:r w:rsidR="001860E2" w:rsidRPr="008739BF">
        <w:rPr>
          <w:rFonts w:hint="cs"/>
          <w:rtl/>
        </w:rPr>
        <w:t xml:space="preserve">، </w:t>
      </w:r>
      <w:r w:rsidR="008739BF">
        <w:rPr>
          <w:rFonts w:hint="cs"/>
          <w:rtl/>
        </w:rPr>
        <w:t>تماشيا</w:t>
      </w:r>
      <w:r w:rsidR="001860E2">
        <w:rPr>
          <w:rFonts w:hint="cs"/>
          <w:rtl/>
        </w:rPr>
        <w:t xml:space="preserve"> مع المقاربة </w:t>
      </w:r>
      <w:r w:rsidR="008F3DD2">
        <w:rPr>
          <w:rFonts w:hint="cs"/>
          <w:rtl/>
        </w:rPr>
        <w:t xml:space="preserve">المتّبعة </w:t>
      </w:r>
      <w:r w:rsidR="0013047A">
        <w:rPr>
          <w:rFonts w:hint="cs"/>
          <w:rtl/>
        </w:rPr>
        <w:t xml:space="preserve">آنذاك </w:t>
      </w:r>
      <w:r w:rsidR="008F3DD2">
        <w:rPr>
          <w:rFonts w:hint="cs"/>
          <w:rtl/>
        </w:rPr>
        <w:t xml:space="preserve">في مشروع </w:t>
      </w:r>
      <w:r w:rsidR="001860E2" w:rsidRPr="001860E2">
        <w:rPr>
          <w:rtl/>
        </w:rPr>
        <w:t>معاهدة قانون البراءات</w:t>
      </w:r>
      <w:r w:rsidR="008F3DD2">
        <w:rPr>
          <w:rFonts w:hint="cs"/>
          <w:rtl/>
        </w:rPr>
        <w:t xml:space="preserve"> </w:t>
      </w:r>
      <w:r w:rsidR="0013047A">
        <w:rPr>
          <w:rFonts w:hint="cs"/>
          <w:rtl/>
        </w:rPr>
        <w:t>قبل اعتمادها</w:t>
      </w:r>
      <w:r w:rsidR="001860E2">
        <w:rPr>
          <w:rFonts w:hint="cs"/>
          <w:rtl/>
        </w:rPr>
        <w:t xml:space="preserve">. كما اعتمدت الجمعية </w:t>
      </w:r>
      <w:r w:rsidR="008739BF">
        <w:rPr>
          <w:rFonts w:hint="cs"/>
          <w:rtl/>
        </w:rPr>
        <w:t xml:space="preserve">في الدورة </w:t>
      </w:r>
      <w:r w:rsidR="0013047A">
        <w:rPr>
          <w:rFonts w:hint="cs"/>
          <w:rtl/>
        </w:rPr>
        <w:t xml:space="preserve">نفسها </w:t>
      </w:r>
      <w:r w:rsidR="001860E2">
        <w:rPr>
          <w:rFonts w:hint="cs"/>
          <w:rtl/>
        </w:rPr>
        <w:t>قاعدة جديدة رقم 51(ثانيا)1(</w:t>
      </w:r>
      <w:r w:rsidR="0013047A">
        <w:rPr>
          <w:rFonts w:hint="cs"/>
          <w:rtl/>
        </w:rPr>
        <w:t>و</w:t>
      </w:r>
      <w:r w:rsidR="001860E2">
        <w:rPr>
          <w:rFonts w:hint="cs"/>
          <w:rtl/>
        </w:rPr>
        <w:t xml:space="preserve">) تسمح للمكاتب المعينة بإخطار المكتب الدولي بعدم توافق هذا </w:t>
      </w:r>
      <w:r w:rsidR="008739BF">
        <w:rPr>
          <w:rFonts w:hint="cs"/>
          <w:rtl/>
        </w:rPr>
        <w:t>التقييد</w:t>
      </w:r>
      <w:r w:rsidR="00087AA8">
        <w:rPr>
          <w:rFonts w:hint="cs"/>
          <w:rtl/>
        </w:rPr>
        <w:t xml:space="preserve"> </w:t>
      </w:r>
      <w:r w:rsidR="008739BF">
        <w:rPr>
          <w:rFonts w:hint="cs"/>
          <w:rtl/>
        </w:rPr>
        <w:t>بناء على</w:t>
      </w:r>
      <w:r w:rsidR="00087AA8">
        <w:rPr>
          <w:rFonts w:hint="cs"/>
          <w:rtl/>
        </w:rPr>
        <w:t xml:space="preserve"> </w:t>
      </w:r>
      <w:r w:rsidR="008739BF">
        <w:rPr>
          <w:rFonts w:hint="cs"/>
          <w:rtl/>
        </w:rPr>
        <w:t>ا</w:t>
      </w:r>
      <w:r w:rsidR="00087AA8">
        <w:rPr>
          <w:rFonts w:hint="cs"/>
          <w:rtl/>
        </w:rPr>
        <w:t>لقاعدة الجديدة رقم 51(ثانيا)1(</w:t>
      </w:r>
      <w:r w:rsidR="0013047A">
        <w:rPr>
          <w:rFonts w:hint="cs"/>
          <w:rtl/>
        </w:rPr>
        <w:t>ه</w:t>
      </w:r>
      <w:r w:rsidR="00087AA8">
        <w:rPr>
          <w:rFonts w:hint="cs"/>
          <w:rtl/>
        </w:rPr>
        <w:t xml:space="preserve">) مع القانون الوطني </w:t>
      </w:r>
      <w:r w:rsidR="007A409A">
        <w:rPr>
          <w:rFonts w:hint="cs"/>
          <w:rtl/>
        </w:rPr>
        <w:t>الذي ي</w:t>
      </w:r>
      <w:r w:rsidR="00087AA8">
        <w:rPr>
          <w:rFonts w:hint="cs"/>
          <w:rtl/>
        </w:rPr>
        <w:t>طبق</w:t>
      </w:r>
      <w:r w:rsidR="007A409A">
        <w:rPr>
          <w:rFonts w:hint="cs"/>
          <w:rtl/>
        </w:rPr>
        <w:t>ه المكتب</w:t>
      </w:r>
      <w:r w:rsidR="00087AA8">
        <w:rPr>
          <w:rFonts w:hint="cs"/>
          <w:rtl/>
        </w:rPr>
        <w:t xml:space="preserve"> (انظر الفقرات 35 إل 39 من الوثيقة </w:t>
      </w:r>
      <w:r w:rsidR="00087AA8" w:rsidRPr="00087AA8">
        <w:t>PCT/A/28/2</w:t>
      </w:r>
      <w:r w:rsidR="00087AA8">
        <w:rPr>
          <w:rFonts w:hint="cs"/>
          <w:rtl/>
        </w:rPr>
        <w:t xml:space="preserve"> والوثيقة </w:t>
      </w:r>
      <w:r w:rsidR="00087AA8" w:rsidRPr="00087AA8">
        <w:t>PCT/A/28/2 Add. 1</w:t>
      </w:r>
      <w:r w:rsidR="00087AA8">
        <w:rPr>
          <w:rFonts w:hint="cs"/>
          <w:rtl/>
        </w:rPr>
        <w:t xml:space="preserve"> والفقرات من 10 إلى 13 والمرفق</w:t>
      </w:r>
      <w:r w:rsidR="00087AA8">
        <w:rPr>
          <w:rFonts w:hint="eastAsia"/>
          <w:rtl/>
        </w:rPr>
        <w:t> </w:t>
      </w:r>
      <w:r w:rsidR="00087AA8">
        <w:rPr>
          <w:rFonts w:hint="cs"/>
          <w:rtl/>
        </w:rPr>
        <w:t xml:space="preserve">الثاني من الوثيقة </w:t>
      </w:r>
      <w:r w:rsidR="00087AA8" w:rsidRPr="00087AA8">
        <w:t>PCT/A/28/5</w:t>
      </w:r>
      <w:r w:rsidR="00087AA8">
        <w:rPr>
          <w:rFonts w:hint="cs"/>
          <w:rtl/>
        </w:rPr>
        <w:t>).</w:t>
      </w:r>
    </w:p>
    <w:p w:rsidR="004926E3" w:rsidRPr="004926E3" w:rsidRDefault="00D2789F" w:rsidP="0013047A">
      <w:pPr>
        <w:pStyle w:val="NumberedParaAR"/>
        <w:rPr>
          <w:lang w:val="fr-CH"/>
        </w:rPr>
      </w:pPr>
      <w:r>
        <w:rPr>
          <w:rFonts w:hint="cs"/>
          <w:rtl/>
          <w:lang w:val="fr-CH"/>
        </w:rPr>
        <w:t>و</w:t>
      </w:r>
      <w:r w:rsidR="0013047A">
        <w:rPr>
          <w:rFonts w:hint="cs"/>
          <w:rtl/>
          <w:lang w:val="fr-CH"/>
        </w:rPr>
        <w:t xml:space="preserve">في البداية، </w:t>
      </w:r>
      <w:r w:rsidR="002849F8">
        <w:rPr>
          <w:rFonts w:hint="cs"/>
          <w:rtl/>
          <w:lang w:val="fr-CH"/>
        </w:rPr>
        <w:t>كان</w:t>
      </w:r>
      <w:r w:rsidR="008739BF">
        <w:rPr>
          <w:rFonts w:hint="cs"/>
          <w:rtl/>
          <w:lang w:val="fr-CH"/>
        </w:rPr>
        <w:t>ت</w:t>
      </w:r>
      <w:r w:rsidR="002849F8">
        <w:rPr>
          <w:rFonts w:hint="cs"/>
          <w:rtl/>
          <w:lang w:val="fr-CH"/>
        </w:rPr>
        <w:t xml:space="preserve"> </w:t>
      </w:r>
      <w:r w:rsidR="004926E3">
        <w:rPr>
          <w:rFonts w:hint="cs"/>
          <w:rtl/>
          <w:lang w:val="fr-CH"/>
        </w:rPr>
        <w:t>سبع</w:t>
      </w:r>
      <w:r w:rsidR="0013047A">
        <w:rPr>
          <w:rFonts w:hint="cs"/>
          <w:rtl/>
          <w:lang w:val="fr-CH"/>
        </w:rPr>
        <w:t>ة</w:t>
      </w:r>
      <w:r w:rsidR="004926E3">
        <w:rPr>
          <w:rFonts w:hint="cs"/>
          <w:rtl/>
          <w:lang w:val="fr-CH"/>
        </w:rPr>
        <w:t xml:space="preserve"> مكاتب</w:t>
      </w:r>
      <w:r w:rsidR="004926E3" w:rsidRPr="004926E3">
        <w:rPr>
          <w:rtl/>
          <w:lang w:val="fr-CH"/>
        </w:rPr>
        <w:t xml:space="preserve"> </w:t>
      </w:r>
      <w:r w:rsidR="004926E3">
        <w:rPr>
          <w:rFonts w:hint="cs"/>
          <w:rtl/>
          <w:lang w:val="fr-CH"/>
        </w:rPr>
        <w:t>معينة</w:t>
      </w:r>
      <w:r w:rsidR="004926E3" w:rsidRPr="004926E3">
        <w:rPr>
          <w:rtl/>
          <w:lang w:val="fr-CH"/>
        </w:rPr>
        <w:t xml:space="preserve"> </w:t>
      </w:r>
      <w:r w:rsidR="002849F8">
        <w:rPr>
          <w:rFonts w:hint="cs"/>
          <w:rtl/>
          <w:lang w:val="fr-CH"/>
        </w:rPr>
        <w:t>قد</w:t>
      </w:r>
      <w:r w:rsidR="002849F8" w:rsidRPr="004926E3">
        <w:rPr>
          <w:rtl/>
          <w:lang w:val="fr-CH"/>
        </w:rPr>
        <w:t xml:space="preserve"> أخطر</w:t>
      </w:r>
      <w:r w:rsidR="002849F8">
        <w:rPr>
          <w:rFonts w:hint="cs"/>
          <w:rtl/>
          <w:lang w:val="fr-CH"/>
        </w:rPr>
        <w:t>ت</w:t>
      </w:r>
      <w:r w:rsidR="002849F8" w:rsidRPr="004926E3">
        <w:rPr>
          <w:rtl/>
          <w:lang w:val="fr-CH"/>
        </w:rPr>
        <w:t xml:space="preserve"> </w:t>
      </w:r>
      <w:r w:rsidR="004926E3" w:rsidRPr="004926E3">
        <w:rPr>
          <w:rtl/>
          <w:lang w:val="fr-CH"/>
        </w:rPr>
        <w:t xml:space="preserve">المكتب </w:t>
      </w:r>
      <w:r w:rsidR="004926E3" w:rsidRPr="008739BF">
        <w:rPr>
          <w:rtl/>
          <w:lang w:val="fr-CH"/>
        </w:rPr>
        <w:t xml:space="preserve">الدولي </w:t>
      </w:r>
      <w:r w:rsidR="00092EFA">
        <w:rPr>
          <w:rFonts w:hint="cs"/>
          <w:rtl/>
          <w:lang w:val="fr-CH"/>
        </w:rPr>
        <w:t>ب</w:t>
      </w:r>
      <w:r w:rsidR="008739BF" w:rsidRPr="008739BF">
        <w:rPr>
          <w:rFonts w:hint="cs"/>
          <w:rtl/>
          <w:lang w:val="fr-CH"/>
        </w:rPr>
        <w:t xml:space="preserve">هذا النوع من </w:t>
      </w:r>
      <w:r w:rsidR="004926E3" w:rsidRPr="008739BF">
        <w:rPr>
          <w:rtl/>
          <w:lang w:val="fr-CH"/>
        </w:rPr>
        <w:t xml:space="preserve">عدم </w:t>
      </w:r>
      <w:r w:rsidR="008739BF" w:rsidRPr="008739BF">
        <w:rPr>
          <w:rFonts w:hint="cs"/>
          <w:rtl/>
          <w:lang w:val="fr-CH"/>
        </w:rPr>
        <w:t>ال</w:t>
      </w:r>
      <w:r w:rsidR="004926E3" w:rsidRPr="008739BF">
        <w:rPr>
          <w:rtl/>
          <w:lang w:val="fr-CH"/>
        </w:rPr>
        <w:t>توافق بحلول</w:t>
      </w:r>
      <w:r w:rsidR="004926E3" w:rsidRPr="004926E3">
        <w:rPr>
          <w:rtl/>
          <w:lang w:val="fr-CH"/>
        </w:rPr>
        <w:t xml:space="preserve"> </w:t>
      </w:r>
      <w:r w:rsidR="004926E3">
        <w:rPr>
          <w:rFonts w:hint="cs"/>
          <w:rtl/>
          <w:lang w:val="fr-CH"/>
        </w:rPr>
        <w:t>ال</w:t>
      </w:r>
      <w:r w:rsidR="004926E3" w:rsidRPr="004926E3">
        <w:rPr>
          <w:rtl/>
          <w:lang w:val="fr-CH"/>
        </w:rPr>
        <w:t xml:space="preserve">موعد </w:t>
      </w:r>
      <w:r w:rsidR="004926E3">
        <w:rPr>
          <w:rFonts w:hint="cs"/>
          <w:rtl/>
          <w:lang w:val="fr-CH"/>
        </w:rPr>
        <w:t>ال</w:t>
      </w:r>
      <w:r w:rsidR="004926E3" w:rsidRPr="004926E3">
        <w:rPr>
          <w:rtl/>
          <w:lang w:val="fr-CH"/>
        </w:rPr>
        <w:t xml:space="preserve">نهائي في </w:t>
      </w:r>
      <w:r w:rsidR="004926E3">
        <w:rPr>
          <w:rFonts w:hint="cs"/>
          <w:rtl/>
          <w:lang w:val="fr-CH"/>
        </w:rPr>
        <w:t xml:space="preserve">30 نوفمبر 2000 </w:t>
      </w:r>
      <w:r w:rsidR="00C37E98">
        <w:rPr>
          <w:rFonts w:hint="cs"/>
          <w:rtl/>
          <w:lang w:val="fr-CH"/>
        </w:rPr>
        <w:t>بناء على</w:t>
      </w:r>
      <w:r w:rsidR="004926E3">
        <w:rPr>
          <w:rtl/>
          <w:lang w:val="fr-CH"/>
        </w:rPr>
        <w:t xml:space="preserve"> القاعدة</w:t>
      </w:r>
      <w:r w:rsidR="004926E3">
        <w:rPr>
          <w:rFonts w:hint="cs"/>
          <w:rtl/>
          <w:lang w:val="fr-CH"/>
        </w:rPr>
        <w:t> </w:t>
      </w:r>
      <w:r w:rsidR="004926E3">
        <w:rPr>
          <w:rFonts w:hint="cs"/>
          <w:rtl/>
        </w:rPr>
        <w:t>51(ثانيا)1(و)</w:t>
      </w:r>
      <w:r w:rsidR="004926E3" w:rsidRPr="004926E3">
        <w:rPr>
          <w:rtl/>
          <w:lang w:val="fr-CH"/>
        </w:rPr>
        <w:t xml:space="preserve"> (انظر </w:t>
      </w:r>
      <w:r w:rsidR="004926E3" w:rsidRPr="004926E3">
        <w:rPr>
          <w:i/>
          <w:iCs/>
          <w:rtl/>
          <w:lang w:val="fr-CH"/>
        </w:rPr>
        <w:t>الإخطارات الرسمية (مجلة المعاهدة)</w:t>
      </w:r>
      <w:r w:rsidR="004926E3" w:rsidRPr="004926E3">
        <w:rPr>
          <w:rtl/>
          <w:lang w:val="fr-CH"/>
        </w:rPr>
        <w:t xml:space="preserve"> - </w:t>
      </w:r>
      <w:r w:rsidR="008739BF">
        <w:rPr>
          <w:rFonts w:hint="cs"/>
          <w:rtl/>
          <w:lang w:val="fr-CH"/>
        </w:rPr>
        <w:t>1</w:t>
      </w:r>
      <w:r w:rsidR="00A26EC4">
        <w:rPr>
          <w:rFonts w:hint="eastAsia"/>
          <w:rtl/>
          <w:lang w:val="fr-CH"/>
        </w:rPr>
        <w:t> </w:t>
      </w:r>
      <w:r w:rsidR="004926E3">
        <w:rPr>
          <w:rFonts w:hint="eastAsia"/>
          <w:rtl/>
          <w:lang w:val="fr-CH"/>
        </w:rPr>
        <w:t>فبراير</w:t>
      </w:r>
      <w:r w:rsidR="004926E3">
        <w:rPr>
          <w:rFonts w:hint="cs"/>
          <w:rtl/>
          <w:lang w:val="fr-CH"/>
        </w:rPr>
        <w:t> 2001</w:t>
      </w:r>
      <w:r w:rsidR="004926E3" w:rsidRPr="004926E3">
        <w:rPr>
          <w:rtl/>
          <w:lang w:val="fr-CH"/>
        </w:rPr>
        <w:t>). وبعد</w:t>
      </w:r>
      <w:r w:rsidR="0013047A">
        <w:rPr>
          <w:rFonts w:hint="cs"/>
          <w:rtl/>
          <w:lang w:val="fr-CH"/>
        </w:rPr>
        <w:t>ما</w:t>
      </w:r>
      <w:r w:rsidR="004926E3" w:rsidRPr="004926E3">
        <w:rPr>
          <w:rtl/>
          <w:lang w:val="fr-CH"/>
        </w:rPr>
        <w:t xml:space="preserve"> سحب </w:t>
      </w:r>
      <w:r w:rsidR="004926E3">
        <w:rPr>
          <w:rFonts w:hint="cs"/>
          <w:rtl/>
          <w:lang w:val="fr-CH"/>
        </w:rPr>
        <w:t>ا</w:t>
      </w:r>
      <w:r w:rsidR="004926E3" w:rsidRPr="004926E3">
        <w:rPr>
          <w:rtl/>
          <w:lang w:val="fr-CH"/>
        </w:rPr>
        <w:t>لمكتب الإسباني للبراءات والعلامات التجارية</w:t>
      </w:r>
      <w:r w:rsidR="004926E3">
        <w:rPr>
          <w:rFonts w:hint="cs"/>
          <w:rtl/>
          <w:lang w:val="fr-CH"/>
        </w:rPr>
        <w:t xml:space="preserve"> </w:t>
      </w:r>
      <w:r w:rsidR="0013047A">
        <w:rPr>
          <w:rFonts w:hint="cs"/>
          <w:rtl/>
          <w:lang w:val="fr-CH"/>
        </w:rPr>
        <w:t>إ</w:t>
      </w:r>
      <w:r w:rsidR="004926E3" w:rsidRPr="004926E3">
        <w:rPr>
          <w:rtl/>
          <w:lang w:val="fr-CH"/>
        </w:rPr>
        <w:t xml:space="preserve">خطار عدم التوافق </w:t>
      </w:r>
      <w:r w:rsidR="00C37E98">
        <w:rPr>
          <w:rFonts w:hint="cs"/>
          <w:rtl/>
          <w:lang w:val="fr-CH"/>
        </w:rPr>
        <w:t>بناء على</w:t>
      </w:r>
      <w:r w:rsidR="004926E3" w:rsidRPr="004926E3">
        <w:rPr>
          <w:rtl/>
          <w:lang w:val="fr-CH"/>
        </w:rPr>
        <w:t xml:space="preserve"> </w:t>
      </w:r>
      <w:r w:rsidR="004926E3">
        <w:rPr>
          <w:rtl/>
          <w:lang w:val="fr-CH"/>
        </w:rPr>
        <w:t>القاعدة</w:t>
      </w:r>
      <w:r w:rsidR="004926E3">
        <w:rPr>
          <w:rFonts w:hint="cs"/>
          <w:rtl/>
          <w:lang w:val="fr-CH"/>
        </w:rPr>
        <w:t> </w:t>
      </w:r>
      <w:r w:rsidR="004926E3">
        <w:rPr>
          <w:rFonts w:hint="cs"/>
          <w:rtl/>
        </w:rPr>
        <w:t>51(ثانيا)1(و)</w:t>
      </w:r>
      <w:r w:rsidR="004926E3" w:rsidRPr="004926E3">
        <w:rPr>
          <w:rtl/>
          <w:lang w:val="fr-CH"/>
        </w:rPr>
        <w:t xml:space="preserve"> بص</w:t>
      </w:r>
      <w:r w:rsidR="004926E3">
        <w:rPr>
          <w:rtl/>
          <w:lang w:val="fr-CH"/>
        </w:rPr>
        <w:t xml:space="preserve">فته مكتبا معينا، </w:t>
      </w:r>
      <w:r w:rsidR="0013047A">
        <w:rPr>
          <w:rFonts w:hint="cs"/>
          <w:rtl/>
          <w:lang w:val="fr-CH"/>
        </w:rPr>
        <w:t>و</w:t>
      </w:r>
      <w:r w:rsidR="008739BF">
        <w:rPr>
          <w:rFonts w:hint="cs"/>
          <w:rtl/>
          <w:lang w:val="fr-CH"/>
        </w:rPr>
        <w:t>النافذ</w:t>
      </w:r>
      <w:r w:rsidR="004926E3">
        <w:rPr>
          <w:rtl/>
          <w:lang w:val="fr-CH"/>
        </w:rPr>
        <w:t xml:space="preserve"> </w:t>
      </w:r>
      <w:r w:rsidR="004926E3" w:rsidRPr="004926E3">
        <w:rPr>
          <w:rtl/>
          <w:lang w:val="fr-CH"/>
        </w:rPr>
        <w:t>اعتبارا من</w:t>
      </w:r>
      <w:r>
        <w:rPr>
          <w:rFonts w:hint="cs"/>
          <w:rtl/>
          <w:lang w:val="fr-CH"/>
        </w:rPr>
        <w:t xml:space="preserve"> </w:t>
      </w:r>
      <w:r w:rsidR="004926E3">
        <w:rPr>
          <w:rFonts w:hint="cs"/>
          <w:rtl/>
          <w:lang w:val="fr-CH"/>
        </w:rPr>
        <w:t>6 نوفمبر 2013</w:t>
      </w:r>
      <w:r w:rsidR="004926E3" w:rsidRPr="004926E3">
        <w:rPr>
          <w:rtl/>
          <w:lang w:val="fr-CH"/>
        </w:rPr>
        <w:t xml:space="preserve"> (انظر </w:t>
      </w:r>
      <w:r w:rsidR="004926E3" w:rsidRPr="004926E3">
        <w:rPr>
          <w:i/>
          <w:iCs/>
          <w:rtl/>
          <w:lang w:val="fr-CH"/>
        </w:rPr>
        <w:t>الإخطارات الرسمية (مجلة المعاهدة)</w:t>
      </w:r>
      <w:r w:rsidR="004926E3" w:rsidRPr="004926E3">
        <w:rPr>
          <w:rtl/>
          <w:lang w:val="fr-CH"/>
        </w:rPr>
        <w:t xml:space="preserve"> -</w:t>
      </w:r>
      <w:r w:rsidR="004926E3">
        <w:rPr>
          <w:rFonts w:hint="cs"/>
          <w:rtl/>
          <w:lang w:val="fr-CH"/>
        </w:rPr>
        <w:t>31 أكتوبر 2013</w:t>
      </w:r>
      <w:r w:rsidR="004926E3" w:rsidRPr="004926E3">
        <w:rPr>
          <w:rtl/>
          <w:lang w:val="fr-CH"/>
        </w:rPr>
        <w:t xml:space="preserve">)، لم تعد أي إخطارات عدم التوافق </w:t>
      </w:r>
      <w:r w:rsidR="00C37E98">
        <w:rPr>
          <w:rFonts w:hint="cs"/>
          <w:rtl/>
          <w:lang w:val="fr-CH"/>
        </w:rPr>
        <w:t>بناء على</w:t>
      </w:r>
      <w:r w:rsidR="004926E3" w:rsidRPr="004926E3">
        <w:rPr>
          <w:rtl/>
          <w:lang w:val="fr-CH"/>
        </w:rPr>
        <w:t xml:space="preserve"> </w:t>
      </w:r>
      <w:r w:rsidR="004926E3">
        <w:rPr>
          <w:rtl/>
          <w:lang w:val="fr-CH"/>
        </w:rPr>
        <w:t>القاعدة</w:t>
      </w:r>
      <w:r w:rsidR="004926E3">
        <w:rPr>
          <w:rFonts w:hint="cs"/>
          <w:rtl/>
          <w:lang w:val="fr-CH"/>
        </w:rPr>
        <w:t> </w:t>
      </w:r>
      <w:r w:rsidR="004926E3">
        <w:rPr>
          <w:rFonts w:hint="cs"/>
          <w:rtl/>
        </w:rPr>
        <w:t>51(ثانيا)1(و)</w:t>
      </w:r>
      <w:r w:rsidR="004926E3" w:rsidRPr="004926E3">
        <w:rPr>
          <w:rtl/>
          <w:lang w:val="fr-CH"/>
        </w:rPr>
        <w:t xml:space="preserve"> سارية. لذا يقترح حذف </w:t>
      </w:r>
      <w:r w:rsidR="004926E3">
        <w:rPr>
          <w:rtl/>
          <w:lang w:val="fr-CH"/>
        </w:rPr>
        <w:t>القاعدة</w:t>
      </w:r>
      <w:r w:rsidR="004926E3">
        <w:rPr>
          <w:rFonts w:hint="cs"/>
          <w:rtl/>
          <w:lang w:val="fr-CH"/>
        </w:rPr>
        <w:t> </w:t>
      </w:r>
      <w:r w:rsidR="004926E3">
        <w:rPr>
          <w:rFonts w:hint="cs"/>
          <w:rtl/>
        </w:rPr>
        <w:t>51(ثانيا)1(و)</w:t>
      </w:r>
      <w:r w:rsidR="004926E3" w:rsidRPr="004926E3">
        <w:rPr>
          <w:rtl/>
          <w:lang w:val="fr-CH"/>
        </w:rPr>
        <w:t xml:space="preserve"> كما هو وارد في مرفق هذه الوثيقة</w:t>
      </w:r>
      <w:r w:rsidR="004926E3" w:rsidRPr="004926E3">
        <w:rPr>
          <w:lang w:val="fr-CH"/>
        </w:rPr>
        <w:t>.</w:t>
      </w:r>
    </w:p>
    <w:p w:rsidR="004926E3" w:rsidRDefault="004926E3" w:rsidP="004926E3">
      <w:pPr>
        <w:pStyle w:val="DecisionParaAR"/>
        <w:rPr>
          <w:lang w:val="fr-CH"/>
        </w:rPr>
      </w:pPr>
      <w:r w:rsidRPr="004926E3">
        <w:rPr>
          <w:rtl/>
          <w:lang w:val="fr-CH"/>
        </w:rPr>
        <w:t>إن الفريق العامل مدعو إلى النظر في التعديلات المقترح إدخالها على اللائحة التنفيذية والواردة في مرفق هذه الوثيقة.</w:t>
      </w:r>
    </w:p>
    <w:p w:rsidR="004926E3" w:rsidRDefault="004926E3" w:rsidP="004926E3">
      <w:pPr>
        <w:pStyle w:val="DecisionParaAR"/>
        <w:numPr>
          <w:ilvl w:val="0"/>
          <w:numId w:val="0"/>
        </w:numPr>
        <w:ind w:left="5534"/>
        <w:rPr>
          <w:i w:val="0"/>
          <w:iCs w:val="0"/>
          <w:rtl/>
          <w:lang w:val="fr-CH"/>
        </w:rPr>
      </w:pPr>
      <w:r w:rsidRPr="004926E3">
        <w:rPr>
          <w:i w:val="0"/>
          <w:iCs w:val="0"/>
          <w:rtl/>
          <w:lang w:val="fr-CH"/>
        </w:rPr>
        <w:t>[يلي ذلك المرفق]</w:t>
      </w:r>
    </w:p>
    <w:p w:rsidR="0013047A" w:rsidRDefault="0013047A" w:rsidP="004926E3">
      <w:pPr>
        <w:pStyle w:val="DecisionParaAR"/>
        <w:numPr>
          <w:ilvl w:val="0"/>
          <w:numId w:val="0"/>
        </w:numPr>
        <w:ind w:left="5534"/>
        <w:rPr>
          <w:i w:val="0"/>
          <w:iCs w:val="0"/>
          <w:rtl/>
          <w:lang w:val="fr-CH"/>
        </w:rPr>
      </w:pPr>
    </w:p>
    <w:p w:rsidR="0013047A" w:rsidRDefault="0013047A" w:rsidP="004926E3">
      <w:pPr>
        <w:pStyle w:val="DecisionParaAR"/>
        <w:numPr>
          <w:ilvl w:val="0"/>
          <w:numId w:val="0"/>
        </w:numPr>
        <w:ind w:left="5534"/>
        <w:rPr>
          <w:i w:val="0"/>
          <w:iCs w:val="0"/>
          <w:rtl/>
          <w:lang w:val="fr-CH"/>
        </w:rPr>
        <w:sectPr w:rsidR="0013047A" w:rsidSect="00EB7752">
          <w:headerReference w:type="default" r:id="rId10"/>
          <w:pgSz w:w="11907" w:h="16840" w:code="9"/>
          <w:pgMar w:top="567" w:right="1418" w:bottom="1418" w:left="1134" w:header="510" w:footer="1021" w:gutter="0"/>
          <w:cols w:space="720"/>
          <w:titlePg/>
          <w:docGrid w:linePitch="299"/>
        </w:sectPr>
      </w:pPr>
    </w:p>
    <w:p w:rsidR="00087AA8" w:rsidRDefault="0013047A" w:rsidP="00872DFA">
      <w:pPr>
        <w:pStyle w:val="NormalParaAR"/>
        <w:jc w:val="center"/>
        <w:rPr>
          <w:rtl/>
          <w:lang w:val="fr-CH" w:bidi="ar-EG"/>
        </w:rPr>
      </w:pPr>
      <w:r>
        <w:rPr>
          <w:rFonts w:hint="cs"/>
          <w:rtl/>
          <w:lang w:val="fr-CH" w:bidi="ar-EG"/>
        </w:rPr>
        <w:lastRenderedPageBreak/>
        <w:t>ال</w:t>
      </w:r>
      <w:r w:rsidR="004926E3">
        <w:rPr>
          <w:rFonts w:hint="cs"/>
          <w:rtl/>
          <w:lang w:val="fr-CH" w:bidi="ar-EG"/>
        </w:rPr>
        <w:t xml:space="preserve">تعديلات </w:t>
      </w:r>
      <w:r>
        <w:rPr>
          <w:rFonts w:hint="cs"/>
          <w:rtl/>
          <w:lang w:val="fr-CH" w:bidi="ar-EG"/>
        </w:rPr>
        <w:t xml:space="preserve">المقترح إدخالها </w:t>
      </w:r>
      <w:r w:rsidR="004926E3">
        <w:rPr>
          <w:rFonts w:hint="cs"/>
          <w:rtl/>
          <w:lang w:val="fr-CH" w:bidi="ar-EG"/>
        </w:rPr>
        <w:t>على</w:t>
      </w:r>
      <w:r w:rsidR="00872DFA" w:rsidRPr="00872DFA">
        <w:rPr>
          <w:rtl/>
        </w:rPr>
        <w:t xml:space="preserve"> </w:t>
      </w:r>
      <w:r w:rsidR="00872DFA" w:rsidRPr="00872DFA">
        <w:rPr>
          <w:rtl/>
          <w:lang w:val="fr-CH" w:bidi="ar-EG"/>
        </w:rPr>
        <w:t>اللائحة التنفيذية</w:t>
      </w:r>
      <w:r w:rsidR="00872DFA">
        <w:rPr>
          <w:rFonts w:hint="cs"/>
          <w:rtl/>
          <w:lang w:val="fr-CH" w:bidi="ar-EG"/>
        </w:rPr>
        <w:t xml:space="preserve"> </w:t>
      </w:r>
      <w:r w:rsidR="00872DFA" w:rsidRPr="00872DFA">
        <w:rPr>
          <w:rtl/>
          <w:lang w:val="fr-CH" w:bidi="ar-EG"/>
        </w:rPr>
        <w:t>لمعاهدة التعاون بشأن البراءات</w:t>
      </w:r>
      <w:r w:rsidR="0035599C">
        <w:rPr>
          <w:rStyle w:val="FootnoteReference"/>
          <w:rtl/>
          <w:lang w:val="fr-CH" w:bidi="ar-EG"/>
        </w:rPr>
        <w:footnoteReference w:id="1"/>
      </w:r>
    </w:p>
    <w:p w:rsidR="00872DFA" w:rsidRPr="004926E3" w:rsidRDefault="00872DFA" w:rsidP="00872DFA">
      <w:pPr>
        <w:pStyle w:val="NormalParaAR"/>
        <w:jc w:val="center"/>
        <w:rPr>
          <w:rtl/>
          <w:lang w:val="fr-CH" w:bidi="ar-EG"/>
        </w:rPr>
      </w:pPr>
      <w:r>
        <w:rPr>
          <w:rFonts w:hint="cs"/>
          <w:rtl/>
          <w:lang w:val="fr-CH" w:bidi="ar-EG"/>
        </w:rPr>
        <w:t>المحتويات</w:t>
      </w:r>
    </w:p>
    <w:p w:rsidR="00D67F85" w:rsidRPr="00D67F85" w:rsidRDefault="009D5DC9" w:rsidP="00D67F85">
      <w:pPr>
        <w:pStyle w:val="TOC1"/>
        <w:tabs>
          <w:tab w:val="right" w:leader="dot" w:pos="9345"/>
        </w:tabs>
        <w:bidi/>
        <w:rPr>
          <w:rFonts w:ascii="Arabic Typesetting" w:eastAsiaTheme="minorEastAsia" w:hAnsi="Arabic Typesetting" w:cs="Arabic Typesetting"/>
          <w:noProof/>
          <w:sz w:val="36"/>
          <w:szCs w:val="36"/>
        </w:rPr>
      </w:pPr>
      <w:r>
        <w:rPr>
          <w:rtl/>
          <w:lang w:val="fr-CH"/>
        </w:rPr>
        <w:fldChar w:fldCharType="begin"/>
      </w:r>
      <w:r>
        <w:rPr>
          <w:rtl/>
          <w:lang w:val="fr-CH"/>
        </w:rPr>
        <w:instrText xml:space="preserve"> </w:instrText>
      </w:r>
      <w:r>
        <w:rPr>
          <w:lang w:val="fr-CH"/>
        </w:rPr>
        <w:instrText>TOC</w:instrText>
      </w:r>
      <w:r>
        <w:rPr>
          <w:rtl/>
          <w:lang w:val="fr-CH"/>
        </w:rPr>
        <w:instrText xml:space="preserve"> \</w:instrText>
      </w:r>
      <w:r>
        <w:rPr>
          <w:lang w:val="fr-CH"/>
        </w:rPr>
        <w:instrText>o "1-2" \f \h \z \u</w:instrText>
      </w:r>
      <w:r>
        <w:rPr>
          <w:rtl/>
          <w:lang w:val="fr-CH"/>
        </w:rPr>
        <w:instrText xml:space="preserve"> </w:instrText>
      </w:r>
      <w:r>
        <w:rPr>
          <w:rtl/>
          <w:lang w:val="fr-CH"/>
        </w:rPr>
        <w:fldChar w:fldCharType="separate"/>
      </w:r>
      <w:hyperlink w:anchor="_Toc447026922" w:history="1">
        <w:r w:rsidR="00D67F85" w:rsidRPr="00D67F85">
          <w:rPr>
            <w:rStyle w:val="Hyperlink"/>
            <w:rFonts w:ascii="Arabic Typesetting" w:hAnsi="Arabic Typesetting" w:cs="Arabic Typesetting"/>
            <w:noProof/>
            <w:sz w:val="36"/>
            <w:szCs w:val="36"/>
            <w:rtl/>
          </w:rPr>
          <w:t>القاعدة 4 العريضة (محتوياتها)</w:t>
        </w:r>
        <w:r w:rsidR="00D67F85" w:rsidRPr="00D67F85">
          <w:rPr>
            <w:rFonts w:ascii="Arabic Typesetting" w:hAnsi="Arabic Typesetting" w:cs="Arabic Typesetting"/>
            <w:noProof/>
            <w:webHidden/>
            <w:sz w:val="36"/>
            <w:szCs w:val="36"/>
          </w:rPr>
          <w:tab/>
        </w:r>
        <w:r w:rsidR="00D67F85" w:rsidRPr="00D67F85">
          <w:rPr>
            <w:rFonts w:ascii="Arabic Typesetting" w:hAnsi="Arabic Typesetting" w:cs="Arabic Typesetting"/>
            <w:noProof/>
            <w:webHidden/>
            <w:sz w:val="36"/>
            <w:szCs w:val="36"/>
          </w:rPr>
          <w:fldChar w:fldCharType="begin"/>
        </w:r>
        <w:r w:rsidR="00D67F85" w:rsidRPr="00D67F85">
          <w:rPr>
            <w:rFonts w:ascii="Arabic Typesetting" w:hAnsi="Arabic Typesetting" w:cs="Arabic Typesetting"/>
            <w:noProof/>
            <w:webHidden/>
            <w:sz w:val="36"/>
            <w:szCs w:val="36"/>
          </w:rPr>
          <w:instrText xml:space="preserve"> PAGEREF _Toc447026922 \h </w:instrText>
        </w:r>
        <w:r w:rsidR="00D67F85" w:rsidRPr="00D67F85">
          <w:rPr>
            <w:rFonts w:ascii="Arabic Typesetting" w:hAnsi="Arabic Typesetting" w:cs="Arabic Typesetting"/>
            <w:noProof/>
            <w:webHidden/>
            <w:sz w:val="36"/>
            <w:szCs w:val="36"/>
          </w:rPr>
        </w:r>
        <w:r w:rsidR="00D67F85" w:rsidRPr="00D67F85">
          <w:rPr>
            <w:rFonts w:ascii="Arabic Typesetting" w:hAnsi="Arabic Typesetting" w:cs="Arabic Typesetting"/>
            <w:noProof/>
            <w:webHidden/>
            <w:sz w:val="36"/>
            <w:szCs w:val="36"/>
          </w:rPr>
          <w:fldChar w:fldCharType="separate"/>
        </w:r>
        <w:r w:rsidR="00823CC0">
          <w:rPr>
            <w:rFonts w:ascii="Arabic Typesetting" w:hAnsi="Arabic Typesetting" w:cs="Arabic Typesetting"/>
            <w:noProof/>
            <w:webHidden/>
            <w:sz w:val="36"/>
            <w:szCs w:val="36"/>
            <w:rtl/>
          </w:rPr>
          <w:t>2</w:t>
        </w:r>
        <w:r w:rsidR="00D67F85" w:rsidRPr="00D67F85">
          <w:rPr>
            <w:rFonts w:ascii="Arabic Typesetting" w:hAnsi="Arabic Typesetting" w:cs="Arabic Typesetting"/>
            <w:noProof/>
            <w:webHidden/>
            <w:sz w:val="36"/>
            <w:szCs w:val="36"/>
          </w:rPr>
          <w:fldChar w:fldCharType="end"/>
        </w:r>
      </w:hyperlink>
    </w:p>
    <w:p w:rsidR="00D67F85" w:rsidRPr="00D67F85" w:rsidRDefault="00823CC0" w:rsidP="00D67F85">
      <w:pPr>
        <w:pStyle w:val="TOC2"/>
        <w:tabs>
          <w:tab w:val="right" w:leader="dot" w:pos="9345"/>
        </w:tabs>
        <w:bidi/>
        <w:rPr>
          <w:rFonts w:ascii="Arabic Typesetting" w:hAnsi="Arabic Typesetting" w:cs="Arabic Typesetting"/>
          <w:noProof/>
          <w:sz w:val="36"/>
          <w:szCs w:val="36"/>
          <w:lang w:eastAsia="en-US"/>
        </w:rPr>
      </w:pPr>
      <w:hyperlink w:anchor="_Toc447026923" w:history="1">
        <w:r w:rsidR="00D67F85" w:rsidRPr="00D67F85">
          <w:rPr>
            <w:rStyle w:val="Hyperlink"/>
            <w:rFonts w:ascii="Arabic Typesetting" w:hAnsi="Arabic Typesetting" w:cs="Arabic Typesetting"/>
            <w:noProof/>
            <w:sz w:val="36"/>
            <w:szCs w:val="36"/>
            <w:rtl/>
            <w:lang w:val="fr-CH"/>
          </w:rPr>
          <w:t>1.4 إلى 9.4   [دون تغيير]</w:t>
        </w:r>
        <w:r w:rsidR="00D67F85" w:rsidRPr="00D67F85">
          <w:rPr>
            <w:rFonts w:ascii="Arabic Typesetting" w:hAnsi="Arabic Typesetting" w:cs="Arabic Typesetting"/>
            <w:noProof/>
            <w:webHidden/>
            <w:sz w:val="36"/>
            <w:szCs w:val="36"/>
          </w:rPr>
          <w:tab/>
        </w:r>
        <w:r w:rsidR="00D67F85" w:rsidRPr="00D67F85">
          <w:rPr>
            <w:rFonts w:ascii="Arabic Typesetting" w:hAnsi="Arabic Typesetting" w:cs="Arabic Typesetting"/>
            <w:noProof/>
            <w:webHidden/>
            <w:sz w:val="36"/>
            <w:szCs w:val="36"/>
          </w:rPr>
          <w:fldChar w:fldCharType="begin"/>
        </w:r>
        <w:r w:rsidR="00D67F85" w:rsidRPr="00D67F85">
          <w:rPr>
            <w:rFonts w:ascii="Arabic Typesetting" w:hAnsi="Arabic Typesetting" w:cs="Arabic Typesetting"/>
            <w:noProof/>
            <w:webHidden/>
            <w:sz w:val="36"/>
            <w:szCs w:val="36"/>
          </w:rPr>
          <w:instrText xml:space="preserve"> PAGEREF _Toc447026923 \h </w:instrText>
        </w:r>
        <w:r w:rsidR="00D67F85" w:rsidRPr="00D67F85">
          <w:rPr>
            <w:rFonts w:ascii="Arabic Typesetting" w:hAnsi="Arabic Typesetting" w:cs="Arabic Typesetting"/>
            <w:noProof/>
            <w:webHidden/>
            <w:sz w:val="36"/>
            <w:szCs w:val="36"/>
          </w:rPr>
        </w:r>
        <w:r w:rsidR="00D67F85" w:rsidRPr="00D67F85">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2</w:t>
        </w:r>
        <w:r w:rsidR="00D67F85" w:rsidRPr="00D67F85">
          <w:rPr>
            <w:rFonts w:ascii="Arabic Typesetting" w:hAnsi="Arabic Typesetting" w:cs="Arabic Typesetting"/>
            <w:noProof/>
            <w:webHidden/>
            <w:sz w:val="36"/>
            <w:szCs w:val="36"/>
          </w:rPr>
          <w:fldChar w:fldCharType="end"/>
        </w:r>
      </w:hyperlink>
    </w:p>
    <w:p w:rsidR="00D67F85" w:rsidRPr="00D67F85" w:rsidRDefault="00823CC0" w:rsidP="00D67F85">
      <w:pPr>
        <w:pStyle w:val="TOC2"/>
        <w:tabs>
          <w:tab w:val="right" w:leader="dot" w:pos="9345"/>
        </w:tabs>
        <w:bidi/>
        <w:rPr>
          <w:rFonts w:ascii="Arabic Typesetting" w:hAnsi="Arabic Typesetting" w:cs="Arabic Typesetting"/>
          <w:noProof/>
          <w:sz w:val="36"/>
          <w:szCs w:val="36"/>
          <w:lang w:eastAsia="en-US"/>
        </w:rPr>
      </w:pPr>
      <w:hyperlink w:anchor="_Toc447026924" w:history="1">
        <w:r w:rsidR="00D67F85" w:rsidRPr="00D67F85">
          <w:rPr>
            <w:rStyle w:val="Hyperlink"/>
            <w:rFonts w:ascii="Arabic Typesetting" w:hAnsi="Arabic Typesetting" w:cs="Arabic Typesetting"/>
            <w:noProof/>
            <w:sz w:val="36"/>
            <w:szCs w:val="36"/>
            <w:rtl/>
            <w:lang w:val="fr-CH"/>
          </w:rPr>
          <w:t>10.4   المطالبة بالأولوية</w:t>
        </w:r>
        <w:r w:rsidR="00D67F85" w:rsidRPr="00D67F85">
          <w:rPr>
            <w:rFonts w:ascii="Arabic Typesetting" w:hAnsi="Arabic Typesetting" w:cs="Arabic Typesetting"/>
            <w:noProof/>
            <w:webHidden/>
            <w:sz w:val="36"/>
            <w:szCs w:val="36"/>
          </w:rPr>
          <w:tab/>
        </w:r>
        <w:r w:rsidR="00D67F85" w:rsidRPr="00D67F85">
          <w:rPr>
            <w:rFonts w:ascii="Arabic Typesetting" w:hAnsi="Arabic Typesetting" w:cs="Arabic Typesetting"/>
            <w:noProof/>
            <w:webHidden/>
            <w:sz w:val="36"/>
            <w:szCs w:val="36"/>
          </w:rPr>
          <w:fldChar w:fldCharType="begin"/>
        </w:r>
        <w:r w:rsidR="00D67F85" w:rsidRPr="00D67F85">
          <w:rPr>
            <w:rFonts w:ascii="Arabic Typesetting" w:hAnsi="Arabic Typesetting" w:cs="Arabic Typesetting"/>
            <w:noProof/>
            <w:webHidden/>
            <w:sz w:val="36"/>
            <w:szCs w:val="36"/>
          </w:rPr>
          <w:instrText xml:space="preserve"> PAGEREF _Toc447026924 \h </w:instrText>
        </w:r>
        <w:r w:rsidR="00D67F85" w:rsidRPr="00D67F85">
          <w:rPr>
            <w:rFonts w:ascii="Arabic Typesetting" w:hAnsi="Arabic Typesetting" w:cs="Arabic Typesetting"/>
            <w:noProof/>
            <w:webHidden/>
            <w:sz w:val="36"/>
            <w:szCs w:val="36"/>
          </w:rPr>
        </w:r>
        <w:r w:rsidR="00D67F85" w:rsidRPr="00D67F85">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2</w:t>
        </w:r>
        <w:r w:rsidR="00D67F85" w:rsidRPr="00D67F85">
          <w:rPr>
            <w:rFonts w:ascii="Arabic Typesetting" w:hAnsi="Arabic Typesetting" w:cs="Arabic Typesetting"/>
            <w:noProof/>
            <w:webHidden/>
            <w:sz w:val="36"/>
            <w:szCs w:val="36"/>
          </w:rPr>
          <w:fldChar w:fldCharType="end"/>
        </w:r>
      </w:hyperlink>
    </w:p>
    <w:p w:rsidR="00D67F85" w:rsidRPr="00D67F85" w:rsidRDefault="00823CC0" w:rsidP="00D67F85">
      <w:pPr>
        <w:pStyle w:val="TOC2"/>
        <w:tabs>
          <w:tab w:val="right" w:leader="dot" w:pos="9345"/>
        </w:tabs>
        <w:bidi/>
        <w:rPr>
          <w:rFonts w:ascii="Arabic Typesetting" w:hAnsi="Arabic Typesetting" w:cs="Arabic Typesetting"/>
          <w:noProof/>
          <w:sz w:val="36"/>
          <w:szCs w:val="36"/>
          <w:lang w:eastAsia="en-US"/>
        </w:rPr>
      </w:pPr>
      <w:hyperlink w:anchor="_Toc447026925" w:history="1">
        <w:r w:rsidR="00D67F85" w:rsidRPr="00D67F85">
          <w:rPr>
            <w:rStyle w:val="Hyperlink"/>
            <w:rFonts w:ascii="Arabic Typesetting" w:hAnsi="Arabic Typesetting" w:cs="Arabic Typesetting"/>
            <w:noProof/>
            <w:sz w:val="36"/>
            <w:szCs w:val="36"/>
            <w:rtl/>
            <w:lang w:val="fr-CH"/>
          </w:rPr>
          <w:t>11.4 إلى 19.4   [دون تغيير]</w:t>
        </w:r>
        <w:r w:rsidR="00D67F85" w:rsidRPr="00D67F85">
          <w:rPr>
            <w:rFonts w:ascii="Arabic Typesetting" w:hAnsi="Arabic Typesetting" w:cs="Arabic Typesetting"/>
            <w:noProof/>
            <w:webHidden/>
            <w:sz w:val="36"/>
            <w:szCs w:val="36"/>
          </w:rPr>
          <w:tab/>
        </w:r>
        <w:r w:rsidR="00D67F85" w:rsidRPr="00D67F85">
          <w:rPr>
            <w:rFonts w:ascii="Arabic Typesetting" w:hAnsi="Arabic Typesetting" w:cs="Arabic Typesetting"/>
            <w:noProof/>
            <w:webHidden/>
            <w:sz w:val="36"/>
            <w:szCs w:val="36"/>
          </w:rPr>
          <w:fldChar w:fldCharType="begin"/>
        </w:r>
        <w:r w:rsidR="00D67F85" w:rsidRPr="00D67F85">
          <w:rPr>
            <w:rFonts w:ascii="Arabic Typesetting" w:hAnsi="Arabic Typesetting" w:cs="Arabic Typesetting"/>
            <w:noProof/>
            <w:webHidden/>
            <w:sz w:val="36"/>
            <w:szCs w:val="36"/>
          </w:rPr>
          <w:instrText xml:space="preserve"> PAGEREF _Toc447026925 \h </w:instrText>
        </w:r>
        <w:r w:rsidR="00D67F85" w:rsidRPr="00D67F85">
          <w:rPr>
            <w:rFonts w:ascii="Arabic Typesetting" w:hAnsi="Arabic Typesetting" w:cs="Arabic Typesetting"/>
            <w:noProof/>
            <w:webHidden/>
            <w:sz w:val="36"/>
            <w:szCs w:val="36"/>
          </w:rPr>
        </w:r>
        <w:r w:rsidR="00D67F85" w:rsidRPr="00D67F85">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2</w:t>
        </w:r>
        <w:r w:rsidR="00D67F85" w:rsidRPr="00D67F85">
          <w:rPr>
            <w:rFonts w:ascii="Arabic Typesetting" w:hAnsi="Arabic Typesetting" w:cs="Arabic Typesetting"/>
            <w:noProof/>
            <w:webHidden/>
            <w:sz w:val="36"/>
            <w:szCs w:val="36"/>
          </w:rPr>
          <w:fldChar w:fldCharType="end"/>
        </w:r>
      </w:hyperlink>
    </w:p>
    <w:p w:rsidR="00D67F85" w:rsidRPr="00D67F85" w:rsidRDefault="00823CC0" w:rsidP="00D67F85">
      <w:pPr>
        <w:pStyle w:val="TOC1"/>
        <w:tabs>
          <w:tab w:val="right" w:leader="dot" w:pos="9345"/>
        </w:tabs>
        <w:bidi/>
        <w:rPr>
          <w:rFonts w:ascii="Arabic Typesetting" w:eastAsiaTheme="minorEastAsia" w:hAnsi="Arabic Typesetting" w:cs="Arabic Typesetting"/>
          <w:noProof/>
          <w:sz w:val="36"/>
          <w:szCs w:val="36"/>
        </w:rPr>
      </w:pPr>
      <w:hyperlink w:anchor="_Toc447026926" w:history="1">
        <w:r w:rsidR="00D67F85" w:rsidRPr="00D67F85">
          <w:rPr>
            <w:rStyle w:val="Hyperlink"/>
            <w:rFonts w:ascii="Arabic Typesetting" w:hAnsi="Arabic Typesetting" w:cs="Arabic Typesetting"/>
            <w:noProof/>
            <w:sz w:val="36"/>
            <w:szCs w:val="36"/>
            <w:rtl/>
            <w:lang w:val="fr-CH"/>
          </w:rPr>
          <w:t xml:space="preserve">القاعدة 51(ثانيا) </w:t>
        </w:r>
        <w:r w:rsidR="00D67F85" w:rsidRPr="00F74BBF">
          <w:rPr>
            <w:rStyle w:val="Hyperlink"/>
            <w:rFonts w:ascii="Arabic Typesetting" w:hAnsi="Arabic Typesetting" w:cs="Arabic Typesetting"/>
            <w:i/>
            <w:iCs/>
            <w:noProof/>
            <w:sz w:val="36"/>
            <w:szCs w:val="36"/>
            <w:rtl/>
            <w:lang w:val="fr-CH"/>
          </w:rPr>
          <w:t>بعض المتطلبات الوطنية المقبولة بناء على المادة 27</w:t>
        </w:r>
        <w:r w:rsidR="00D67F85" w:rsidRPr="00D67F85">
          <w:rPr>
            <w:rFonts w:ascii="Arabic Typesetting" w:hAnsi="Arabic Typesetting" w:cs="Arabic Typesetting"/>
            <w:noProof/>
            <w:webHidden/>
            <w:sz w:val="36"/>
            <w:szCs w:val="36"/>
          </w:rPr>
          <w:tab/>
        </w:r>
        <w:r w:rsidR="00D67F85" w:rsidRPr="00D67F85">
          <w:rPr>
            <w:rFonts w:ascii="Arabic Typesetting" w:hAnsi="Arabic Typesetting" w:cs="Arabic Typesetting"/>
            <w:noProof/>
            <w:webHidden/>
            <w:sz w:val="36"/>
            <w:szCs w:val="36"/>
          </w:rPr>
          <w:fldChar w:fldCharType="begin"/>
        </w:r>
        <w:r w:rsidR="00D67F85" w:rsidRPr="00D67F85">
          <w:rPr>
            <w:rFonts w:ascii="Arabic Typesetting" w:hAnsi="Arabic Typesetting" w:cs="Arabic Typesetting"/>
            <w:noProof/>
            <w:webHidden/>
            <w:sz w:val="36"/>
            <w:szCs w:val="36"/>
          </w:rPr>
          <w:instrText xml:space="preserve"> PAGEREF _Toc447026926 \h </w:instrText>
        </w:r>
        <w:r w:rsidR="00D67F85" w:rsidRPr="00D67F85">
          <w:rPr>
            <w:rFonts w:ascii="Arabic Typesetting" w:hAnsi="Arabic Typesetting" w:cs="Arabic Typesetting"/>
            <w:noProof/>
            <w:webHidden/>
            <w:sz w:val="36"/>
            <w:szCs w:val="36"/>
          </w:rPr>
        </w:r>
        <w:r w:rsidR="00D67F85" w:rsidRPr="00D67F85">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3</w:t>
        </w:r>
        <w:r w:rsidR="00D67F85" w:rsidRPr="00D67F85">
          <w:rPr>
            <w:rFonts w:ascii="Arabic Typesetting" w:hAnsi="Arabic Typesetting" w:cs="Arabic Typesetting"/>
            <w:noProof/>
            <w:webHidden/>
            <w:sz w:val="36"/>
            <w:szCs w:val="36"/>
          </w:rPr>
          <w:fldChar w:fldCharType="end"/>
        </w:r>
      </w:hyperlink>
    </w:p>
    <w:p w:rsidR="00D67F85" w:rsidRPr="00D67F85" w:rsidRDefault="00823CC0" w:rsidP="00D67F85">
      <w:pPr>
        <w:pStyle w:val="TOC2"/>
        <w:tabs>
          <w:tab w:val="right" w:leader="dot" w:pos="9345"/>
        </w:tabs>
        <w:bidi/>
        <w:rPr>
          <w:rFonts w:ascii="Arabic Typesetting" w:hAnsi="Arabic Typesetting" w:cs="Arabic Typesetting"/>
          <w:noProof/>
          <w:sz w:val="36"/>
          <w:szCs w:val="36"/>
          <w:lang w:eastAsia="en-US"/>
        </w:rPr>
      </w:pPr>
      <w:hyperlink w:anchor="_Toc447026927" w:history="1">
        <w:r w:rsidR="00D67F85" w:rsidRPr="00D67F85">
          <w:rPr>
            <w:rStyle w:val="Hyperlink"/>
            <w:rFonts w:ascii="Arabic Typesetting" w:hAnsi="Arabic Typesetting" w:cs="Arabic Typesetting"/>
            <w:noProof/>
            <w:sz w:val="36"/>
            <w:szCs w:val="36"/>
            <w:rtl/>
            <w:lang w:val="fr-CH"/>
          </w:rPr>
          <w:t>51(ثانيا)1   بعض المتطلبات الوطنية المقبولة</w:t>
        </w:r>
        <w:r w:rsidR="00D67F85" w:rsidRPr="00D67F85">
          <w:rPr>
            <w:rFonts w:ascii="Arabic Typesetting" w:hAnsi="Arabic Typesetting" w:cs="Arabic Typesetting"/>
            <w:noProof/>
            <w:webHidden/>
            <w:sz w:val="36"/>
            <w:szCs w:val="36"/>
          </w:rPr>
          <w:tab/>
        </w:r>
        <w:r w:rsidR="00D67F85" w:rsidRPr="00D67F85">
          <w:rPr>
            <w:rFonts w:ascii="Arabic Typesetting" w:hAnsi="Arabic Typesetting" w:cs="Arabic Typesetting"/>
            <w:noProof/>
            <w:webHidden/>
            <w:sz w:val="36"/>
            <w:szCs w:val="36"/>
          </w:rPr>
          <w:fldChar w:fldCharType="begin"/>
        </w:r>
        <w:r w:rsidR="00D67F85" w:rsidRPr="00D67F85">
          <w:rPr>
            <w:rFonts w:ascii="Arabic Typesetting" w:hAnsi="Arabic Typesetting" w:cs="Arabic Typesetting"/>
            <w:noProof/>
            <w:webHidden/>
            <w:sz w:val="36"/>
            <w:szCs w:val="36"/>
          </w:rPr>
          <w:instrText xml:space="preserve"> PAGEREF _Toc447026927 \h </w:instrText>
        </w:r>
        <w:r w:rsidR="00D67F85" w:rsidRPr="00D67F85">
          <w:rPr>
            <w:rFonts w:ascii="Arabic Typesetting" w:hAnsi="Arabic Typesetting" w:cs="Arabic Typesetting"/>
            <w:noProof/>
            <w:webHidden/>
            <w:sz w:val="36"/>
            <w:szCs w:val="36"/>
          </w:rPr>
        </w:r>
        <w:r w:rsidR="00D67F85" w:rsidRPr="00D67F85">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3</w:t>
        </w:r>
        <w:r w:rsidR="00D67F85" w:rsidRPr="00D67F85">
          <w:rPr>
            <w:rFonts w:ascii="Arabic Typesetting" w:hAnsi="Arabic Typesetting" w:cs="Arabic Typesetting"/>
            <w:noProof/>
            <w:webHidden/>
            <w:sz w:val="36"/>
            <w:szCs w:val="36"/>
          </w:rPr>
          <w:fldChar w:fldCharType="end"/>
        </w:r>
      </w:hyperlink>
    </w:p>
    <w:p w:rsidR="00D67F85" w:rsidRDefault="00823CC0" w:rsidP="00D67F85">
      <w:pPr>
        <w:pStyle w:val="TOC2"/>
        <w:tabs>
          <w:tab w:val="right" w:leader="dot" w:pos="9345"/>
        </w:tabs>
        <w:bidi/>
        <w:rPr>
          <w:noProof/>
          <w:lang w:eastAsia="en-US"/>
        </w:rPr>
      </w:pPr>
      <w:hyperlink w:anchor="_Toc447026928" w:history="1">
        <w:r w:rsidR="00D67F85" w:rsidRPr="00D67F85">
          <w:rPr>
            <w:rStyle w:val="Hyperlink"/>
            <w:rFonts w:ascii="Arabic Typesetting" w:hAnsi="Arabic Typesetting" w:cs="Arabic Typesetting"/>
            <w:noProof/>
            <w:sz w:val="36"/>
            <w:szCs w:val="36"/>
            <w:rtl/>
          </w:rPr>
          <w:t>51 (ثانيا)2 و51(ثانيا)3   [دون تغيير]</w:t>
        </w:r>
        <w:r w:rsidR="00D67F85" w:rsidRPr="00D67F85">
          <w:rPr>
            <w:rFonts w:ascii="Arabic Typesetting" w:hAnsi="Arabic Typesetting" w:cs="Arabic Typesetting"/>
            <w:noProof/>
            <w:webHidden/>
            <w:sz w:val="36"/>
            <w:szCs w:val="36"/>
          </w:rPr>
          <w:tab/>
        </w:r>
        <w:r w:rsidR="00D67F85" w:rsidRPr="00D67F85">
          <w:rPr>
            <w:rFonts w:ascii="Arabic Typesetting" w:hAnsi="Arabic Typesetting" w:cs="Arabic Typesetting"/>
            <w:noProof/>
            <w:webHidden/>
            <w:sz w:val="36"/>
            <w:szCs w:val="36"/>
          </w:rPr>
          <w:fldChar w:fldCharType="begin"/>
        </w:r>
        <w:r w:rsidR="00D67F85" w:rsidRPr="00D67F85">
          <w:rPr>
            <w:rFonts w:ascii="Arabic Typesetting" w:hAnsi="Arabic Typesetting" w:cs="Arabic Typesetting"/>
            <w:noProof/>
            <w:webHidden/>
            <w:sz w:val="36"/>
            <w:szCs w:val="36"/>
          </w:rPr>
          <w:instrText xml:space="preserve"> PAGEREF _Toc447026928 \h </w:instrText>
        </w:r>
        <w:r w:rsidR="00D67F85" w:rsidRPr="00D67F85">
          <w:rPr>
            <w:rFonts w:ascii="Arabic Typesetting" w:hAnsi="Arabic Typesetting" w:cs="Arabic Typesetting"/>
            <w:noProof/>
            <w:webHidden/>
            <w:sz w:val="36"/>
            <w:szCs w:val="36"/>
          </w:rPr>
        </w:r>
        <w:r w:rsidR="00D67F85" w:rsidRPr="00D67F85">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3</w:t>
        </w:r>
        <w:r w:rsidR="00D67F85" w:rsidRPr="00D67F85">
          <w:rPr>
            <w:rFonts w:ascii="Arabic Typesetting" w:hAnsi="Arabic Typesetting" w:cs="Arabic Typesetting"/>
            <w:noProof/>
            <w:webHidden/>
            <w:sz w:val="36"/>
            <w:szCs w:val="36"/>
          </w:rPr>
          <w:fldChar w:fldCharType="end"/>
        </w:r>
      </w:hyperlink>
    </w:p>
    <w:p w:rsidR="0035599C" w:rsidRDefault="009D5DC9" w:rsidP="00D67F85">
      <w:pPr>
        <w:pStyle w:val="NormalParaAR"/>
        <w:outlineLvl w:val="0"/>
        <w:rPr>
          <w:rtl/>
          <w:lang w:val="fr-CH"/>
        </w:rPr>
        <w:sectPr w:rsidR="0035599C" w:rsidSect="00300F7C">
          <w:headerReference w:type="first" r:id="rId11"/>
          <w:pgSz w:w="11907" w:h="16840" w:code="9"/>
          <w:pgMar w:top="567" w:right="1418" w:bottom="1418" w:left="1134" w:header="510" w:footer="1021" w:gutter="0"/>
          <w:pgNumType w:start="1"/>
          <w:cols w:space="720"/>
          <w:titlePg/>
          <w:docGrid w:linePitch="299"/>
        </w:sectPr>
      </w:pPr>
      <w:r>
        <w:rPr>
          <w:rtl/>
          <w:lang w:val="fr-CH"/>
        </w:rPr>
        <w:fldChar w:fldCharType="end"/>
      </w:r>
    </w:p>
    <w:p w:rsidR="0035599C" w:rsidRPr="001C6678" w:rsidRDefault="0035599C" w:rsidP="009D5DC9">
      <w:pPr>
        <w:pStyle w:val="Heading1AR"/>
        <w:keepNext w:val="0"/>
        <w:jc w:val="center"/>
        <w:outlineLvl w:val="0"/>
        <w:rPr>
          <w:sz w:val="36"/>
          <w:szCs w:val="36"/>
        </w:rPr>
      </w:pPr>
      <w:bookmarkStart w:id="3" w:name="_Toc447016160"/>
      <w:bookmarkStart w:id="4" w:name="_Toc447024752"/>
      <w:bookmarkStart w:id="5" w:name="_Toc447026922"/>
      <w:r w:rsidRPr="001C6678">
        <w:rPr>
          <w:rFonts w:hint="cs"/>
          <w:sz w:val="36"/>
          <w:szCs w:val="36"/>
          <w:rtl/>
        </w:rPr>
        <w:lastRenderedPageBreak/>
        <w:t>القاعدة 4</w:t>
      </w:r>
      <w:bookmarkEnd w:id="3"/>
      <w:r w:rsidR="009D5DC9">
        <w:rPr>
          <w:rFonts w:hint="cs"/>
          <w:sz w:val="36"/>
          <w:szCs w:val="36"/>
          <w:rtl/>
        </w:rPr>
        <w:br/>
      </w:r>
      <w:r w:rsidR="00F413E0" w:rsidRPr="001C6678">
        <w:rPr>
          <w:rFonts w:hint="cs"/>
          <w:sz w:val="36"/>
          <w:szCs w:val="36"/>
          <w:rtl/>
        </w:rPr>
        <w:t>العريضة</w:t>
      </w:r>
      <w:r w:rsidR="00CF4FAE" w:rsidRPr="001C6678">
        <w:rPr>
          <w:rFonts w:hint="cs"/>
          <w:sz w:val="36"/>
          <w:szCs w:val="36"/>
          <w:rtl/>
        </w:rPr>
        <w:t xml:space="preserve"> (محتويات</w:t>
      </w:r>
      <w:r w:rsidR="00F413E0" w:rsidRPr="001C6678">
        <w:rPr>
          <w:rFonts w:hint="cs"/>
          <w:sz w:val="36"/>
          <w:szCs w:val="36"/>
          <w:rtl/>
        </w:rPr>
        <w:t>ها</w:t>
      </w:r>
      <w:r w:rsidR="00CF4FAE" w:rsidRPr="001C6678">
        <w:rPr>
          <w:rFonts w:hint="cs"/>
          <w:sz w:val="36"/>
          <w:szCs w:val="36"/>
          <w:rtl/>
        </w:rPr>
        <w:t>)</w:t>
      </w:r>
      <w:bookmarkEnd w:id="4"/>
      <w:bookmarkEnd w:id="5"/>
    </w:p>
    <w:p w:rsidR="00CF4FAE" w:rsidRPr="00E45D09" w:rsidRDefault="0089321F" w:rsidP="009D5DC9">
      <w:pPr>
        <w:pStyle w:val="Heading2AR"/>
        <w:keepNext w:val="0"/>
        <w:spacing w:before="0" w:after="240" w:line="360" w:lineRule="exact"/>
        <w:outlineLvl w:val="1"/>
        <w:rPr>
          <w:sz w:val="36"/>
          <w:szCs w:val="36"/>
          <w:rtl/>
          <w:lang w:val="fr-CH"/>
        </w:rPr>
      </w:pPr>
      <w:bookmarkStart w:id="6" w:name="_Toc447024753"/>
      <w:bookmarkStart w:id="7" w:name="_Toc447026923"/>
      <w:r>
        <w:rPr>
          <w:rFonts w:hint="cs"/>
          <w:rtl/>
          <w:lang w:val="fr-CH"/>
        </w:rPr>
        <w:t>1.</w:t>
      </w:r>
      <w:r w:rsidRPr="00E45D09">
        <w:rPr>
          <w:rFonts w:hint="cs"/>
          <w:sz w:val="36"/>
          <w:szCs w:val="36"/>
          <w:rtl/>
          <w:lang w:val="fr-CH"/>
        </w:rPr>
        <w:t xml:space="preserve">4 إلى </w:t>
      </w:r>
      <w:r w:rsidR="00F413E0" w:rsidRPr="00E45D09">
        <w:rPr>
          <w:rFonts w:hint="cs"/>
          <w:sz w:val="36"/>
          <w:szCs w:val="36"/>
          <w:rtl/>
          <w:lang w:val="fr-CH"/>
        </w:rPr>
        <w:t>9.4</w:t>
      </w:r>
      <w:r w:rsidRPr="00E45D09">
        <w:rPr>
          <w:rFonts w:hint="eastAsia"/>
          <w:sz w:val="36"/>
          <w:szCs w:val="36"/>
          <w:rtl/>
          <w:lang w:val="fr-CH"/>
        </w:rPr>
        <w:t>   </w:t>
      </w:r>
      <w:r w:rsidRPr="00E45D09">
        <w:rPr>
          <w:sz w:val="36"/>
          <w:szCs w:val="36"/>
          <w:rtl/>
          <w:lang w:val="fr-CH"/>
        </w:rPr>
        <w:t>[</w:t>
      </w:r>
      <w:r w:rsidR="00D67F85">
        <w:rPr>
          <w:sz w:val="36"/>
          <w:szCs w:val="36"/>
          <w:rtl/>
          <w:lang w:val="fr-CH"/>
        </w:rPr>
        <w:t>دون تغيير</w:t>
      </w:r>
      <w:r w:rsidRPr="00E45D09">
        <w:rPr>
          <w:sz w:val="36"/>
          <w:szCs w:val="36"/>
          <w:rtl/>
          <w:lang w:val="fr-CH"/>
        </w:rPr>
        <w:t>]</w:t>
      </w:r>
      <w:bookmarkEnd w:id="6"/>
      <w:bookmarkEnd w:id="7"/>
    </w:p>
    <w:p w:rsidR="0089321F" w:rsidRPr="00E45D09" w:rsidRDefault="0089321F" w:rsidP="009D5DC9">
      <w:pPr>
        <w:pStyle w:val="Heading2AR"/>
        <w:keepNext w:val="0"/>
        <w:spacing w:before="0" w:after="240" w:line="360" w:lineRule="exact"/>
        <w:outlineLvl w:val="1"/>
        <w:rPr>
          <w:sz w:val="36"/>
          <w:szCs w:val="36"/>
          <w:rtl/>
          <w:lang w:val="fr-CH"/>
        </w:rPr>
      </w:pPr>
      <w:bookmarkStart w:id="8" w:name="_Toc447024754"/>
      <w:bookmarkStart w:id="9" w:name="_Toc447026924"/>
      <w:r w:rsidRPr="00E45D09">
        <w:rPr>
          <w:rFonts w:hint="cs"/>
          <w:sz w:val="36"/>
          <w:szCs w:val="36"/>
          <w:rtl/>
          <w:lang w:val="fr-CH"/>
        </w:rPr>
        <w:t>10.4</w:t>
      </w:r>
      <w:r w:rsidRPr="00E45D09">
        <w:rPr>
          <w:rFonts w:hint="eastAsia"/>
          <w:sz w:val="36"/>
          <w:szCs w:val="36"/>
          <w:rtl/>
          <w:lang w:val="fr-CH"/>
        </w:rPr>
        <w:t>   </w:t>
      </w:r>
      <w:r w:rsidRPr="00092F02">
        <w:rPr>
          <w:rFonts w:hint="cs"/>
          <w:i/>
          <w:iCs/>
          <w:sz w:val="36"/>
          <w:szCs w:val="36"/>
          <w:rtl/>
          <w:lang w:val="fr-CH"/>
        </w:rPr>
        <w:t>المطالبة بالأولوية</w:t>
      </w:r>
      <w:bookmarkEnd w:id="8"/>
      <w:bookmarkEnd w:id="9"/>
    </w:p>
    <w:p w:rsidR="0049042D" w:rsidRDefault="0089321F" w:rsidP="00E45D09">
      <w:pPr>
        <w:pStyle w:val="NormalParaAR"/>
        <w:rPr>
          <w:rtl/>
          <w:lang w:val="fr-CH"/>
        </w:rPr>
      </w:pPr>
      <w:r w:rsidRPr="00E45D09">
        <w:rPr>
          <w:rFonts w:hint="cs"/>
          <w:i/>
          <w:iCs/>
          <w:rtl/>
          <w:lang w:val="fr-CH"/>
        </w:rPr>
        <w:tab/>
      </w:r>
      <w:r w:rsidRPr="00E45D09">
        <w:rPr>
          <w:rFonts w:hint="cs"/>
          <w:rtl/>
          <w:lang w:val="fr-CH"/>
        </w:rPr>
        <w:t>(أ) إلى (ج)</w:t>
      </w:r>
      <w:r w:rsidRPr="00E45D09">
        <w:rPr>
          <w:rFonts w:hint="eastAsia"/>
          <w:rtl/>
          <w:lang w:val="fr-CH"/>
        </w:rPr>
        <w:t>   </w:t>
      </w:r>
      <w:r w:rsidR="0049042D" w:rsidRPr="00E45D09">
        <w:rPr>
          <w:rtl/>
          <w:lang w:val="fr-CH"/>
        </w:rPr>
        <w:t>[</w:t>
      </w:r>
      <w:r w:rsidR="00D67F85">
        <w:rPr>
          <w:rtl/>
          <w:lang w:val="fr-CH"/>
        </w:rPr>
        <w:t>دون تغيير</w:t>
      </w:r>
      <w:r w:rsidR="0049042D">
        <w:rPr>
          <w:rtl/>
          <w:lang w:val="fr-CH"/>
        </w:rPr>
        <w:t>]</w:t>
      </w:r>
    </w:p>
    <w:p w:rsidR="00B75198" w:rsidRDefault="0049042D" w:rsidP="00021406">
      <w:pPr>
        <w:pStyle w:val="NormalParaAR"/>
        <w:rPr>
          <w:strike/>
          <w:color w:val="FF0000"/>
          <w:rtl/>
          <w:lang w:val="fr-CH"/>
        </w:rPr>
      </w:pPr>
      <w:r>
        <w:rPr>
          <w:rFonts w:hint="cs"/>
          <w:rtl/>
          <w:lang w:val="fr-CH"/>
        </w:rPr>
        <w:tab/>
      </w:r>
      <w:r w:rsidRPr="0049042D">
        <w:rPr>
          <w:rFonts w:hint="cs"/>
          <w:strike/>
          <w:color w:val="FF0000"/>
          <w:rtl/>
          <w:lang w:val="fr-CH"/>
        </w:rPr>
        <w:t xml:space="preserve">(د) </w:t>
      </w:r>
      <w:r w:rsidR="00B75198" w:rsidRPr="0049042D">
        <w:rPr>
          <w:strike/>
          <w:color w:val="FF0000"/>
          <w:rtl/>
          <w:lang w:val="fr-CH"/>
        </w:rPr>
        <w:t>إذا لم تكن الفقرتان (أ) و(ب) في صيغتهما المعدلة والنافذة اعتباراً من الأول من يناير 2000 متمشيتين مع القانون الوطني الذي يطبقه المكتب المعيَّن، في 29 سبتمبر 1999، فإن الفقرتين تظلان ساريتين ف</w:t>
      </w:r>
      <w:r w:rsidR="00021406">
        <w:rPr>
          <w:strike/>
          <w:color w:val="FF0000"/>
          <w:rtl/>
          <w:lang w:val="fr-CH"/>
        </w:rPr>
        <w:t>ي صيغتهما النافذة حتى 31 ديسمبر</w:t>
      </w:r>
      <w:r w:rsidR="00B75198" w:rsidRPr="0049042D">
        <w:rPr>
          <w:strike/>
          <w:color w:val="FF0000"/>
          <w:rtl/>
          <w:lang w:val="fr-CH"/>
        </w:rPr>
        <w:t xml:space="preserve"> 1999 بعد ذلك التاريخ على المكتب المعيَّن المذكور ما دامت الفقرتان في صيغتهما المعدلة لا تتمشيان مع ذلك القانون وشرط أن يُعلِم المكتبُ المذكور المكتب الدولي بذلك في موعد أقص</w:t>
      </w:r>
      <w:r w:rsidR="00021406">
        <w:rPr>
          <w:strike/>
          <w:color w:val="FF0000"/>
          <w:rtl/>
          <w:lang w:val="fr-CH"/>
        </w:rPr>
        <w:t>اه 31 أكتوبر</w:t>
      </w:r>
      <w:r w:rsidR="00CF4FAE" w:rsidRPr="0049042D">
        <w:rPr>
          <w:strike/>
          <w:color w:val="FF0000"/>
          <w:rtl/>
          <w:lang w:val="fr-CH"/>
        </w:rPr>
        <w:t xml:space="preserve"> 1999. </w:t>
      </w:r>
      <w:r w:rsidR="00B75198" w:rsidRPr="0049042D">
        <w:rPr>
          <w:strike/>
          <w:color w:val="FF0000"/>
          <w:rtl/>
          <w:lang w:val="fr-CH"/>
        </w:rPr>
        <w:t>ويتولى المكتب الدولي نشر تلك المعلومة في الجريدة في أقرب فرص</w:t>
      </w:r>
      <w:r w:rsidRPr="0049042D">
        <w:rPr>
          <w:strike/>
          <w:color w:val="FF0000"/>
          <w:rtl/>
          <w:lang w:val="fr-CH"/>
        </w:rPr>
        <w:t>ة.</w:t>
      </w:r>
    </w:p>
    <w:p w:rsidR="0049042D" w:rsidRPr="001C6678" w:rsidRDefault="0049042D" w:rsidP="00D67F85">
      <w:pPr>
        <w:pStyle w:val="Heading2AR"/>
        <w:keepNext w:val="0"/>
        <w:outlineLvl w:val="1"/>
        <w:rPr>
          <w:sz w:val="36"/>
          <w:szCs w:val="36"/>
          <w:rtl/>
          <w:lang w:val="fr-CH"/>
        </w:rPr>
      </w:pPr>
      <w:bookmarkStart w:id="10" w:name="_Toc447026925"/>
      <w:r w:rsidRPr="001C6678">
        <w:rPr>
          <w:rFonts w:hint="cs"/>
          <w:sz w:val="36"/>
          <w:szCs w:val="36"/>
          <w:rtl/>
          <w:lang w:val="fr-CH"/>
        </w:rPr>
        <w:t>11.4 إلى 19.4   </w:t>
      </w:r>
      <w:r w:rsidRPr="001C6678">
        <w:rPr>
          <w:sz w:val="36"/>
          <w:szCs w:val="36"/>
          <w:rtl/>
          <w:lang w:val="fr-CH"/>
        </w:rPr>
        <w:t>[</w:t>
      </w:r>
      <w:r w:rsidR="00D67F85">
        <w:rPr>
          <w:sz w:val="36"/>
          <w:szCs w:val="36"/>
          <w:rtl/>
          <w:lang w:val="fr-CH"/>
        </w:rPr>
        <w:t>دون تغيير</w:t>
      </w:r>
      <w:r w:rsidRPr="001C6678">
        <w:rPr>
          <w:sz w:val="36"/>
          <w:szCs w:val="36"/>
          <w:rtl/>
          <w:lang w:val="fr-CH"/>
        </w:rPr>
        <w:t>]</w:t>
      </w:r>
      <w:bookmarkEnd w:id="10"/>
    </w:p>
    <w:p w:rsidR="002849F8" w:rsidRDefault="002849F8" w:rsidP="0049042D">
      <w:pPr>
        <w:pStyle w:val="NormalParaAR"/>
        <w:keepNext/>
        <w:rPr>
          <w:rtl/>
          <w:lang w:val="fr-CH"/>
        </w:rPr>
        <w:sectPr w:rsidR="002849F8" w:rsidSect="005D049A">
          <w:headerReference w:type="first" r:id="rId12"/>
          <w:pgSz w:w="11907" w:h="16840" w:code="9"/>
          <w:pgMar w:top="567" w:right="1418" w:bottom="1418" w:left="1134" w:header="510" w:footer="1021" w:gutter="0"/>
          <w:cols w:space="720"/>
          <w:titlePg/>
          <w:docGrid w:linePitch="299"/>
        </w:sectPr>
      </w:pPr>
    </w:p>
    <w:p w:rsidR="001309E4" w:rsidRPr="001C6678" w:rsidRDefault="007C3042" w:rsidP="00D67F85">
      <w:pPr>
        <w:pStyle w:val="Heading1AR"/>
        <w:keepNext w:val="0"/>
        <w:spacing w:before="0" w:after="240" w:line="360" w:lineRule="exact"/>
        <w:jc w:val="center"/>
        <w:outlineLvl w:val="0"/>
        <w:rPr>
          <w:sz w:val="36"/>
          <w:szCs w:val="36"/>
          <w:rtl/>
          <w:lang w:val="fr-CH"/>
        </w:rPr>
      </w:pPr>
      <w:bookmarkStart w:id="11" w:name="_Toc447024755"/>
      <w:bookmarkStart w:id="12" w:name="_Toc447026926"/>
      <w:r w:rsidRPr="001C6678">
        <w:rPr>
          <w:sz w:val="36"/>
          <w:szCs w:val="36"/>
          <w:rtl/>
          <w:lang w:val="fr-CH"/>
        </w:rPr>
        <w:lastRenderedPageBreak/>
        <w:t xml:space="preserve">القاعدة </w:t>
      </w:r>
      <w:r w:rsidRPr="001C6678">
        <w:rPr>
          <w:rFonts w:hint="cs"/>
          <w:sz w:val="36"/>
          <w:szCs w:val="36"/>
          <w:rtl/>
          <w:lang w:val="fr-CH"/>
        </w:rPr>
        <w:t>5</w:t>
      </w:r>
      <w:r w:rsidR="00E81174" w:rsidRPr="001C6678">
        <w:rPr>
          <w:rFonts w:hint="cs"/>
          <w:sz w:val="36"/>
          <w:szCs w:val="36"/>
          <w:rtl/>
          <w:lang w:val="fr-CH"/>
        </w:rPr>
        <w:t>1</w:t>
      </w:r>
      <w:r w:rsidRPr="001C6678">
        <w:rPr>
          <w:rFonts w:hint="cs"/>
          <w:sz w:val="36"/>
          <w:szCs w:val="36"/>
          <w:rtl/>
          <w:lang w:val="fr-CH"/>
        </w:rPr>
        <w:t>(ثانيا)</w:t>
      </w:r>
      <w:bookmarkEnd w:id="11"/>
      <w:r w:rsidR="00D67F85">
        <w:rPr>
          <w:sz w:val="36"/>
          <w:szCs w:val="36"/>
          <w:rtl/>
          <w:lang w:val="fr-CH"/>
        </w:rPr>
        <w:br/>
      </w:r>
      <w:bookmarkStart w:id="13" w:name="_Toc447024756"/>
      <w:r w:rsidRPr="001C6678">
        <w:rPr>
          <w:rFonts w:hint="cs"/>
          <w:sz w:val="36"/>
          <w:szCs w:val="36"/>
          <w:rtl/>
          <w:lang w:val="fr-CH"/>
        </w:rPr>
        <w:t>بعض المتطلبات الوطنية المقبولة بناء على المادة 27</w:t>
      </w:r>
      <w:bookmarkEnd w:id="13"/>
      <w:bookmarkEnd w:id="12"/>
    </w:p>
    <w:p w:rsidR="001309E4" w:rsidRPr="001C6678" w:rsidRDefault="001309E4" w:rsidP="00D67F85">
      <w:pPr>
        <w:pStyle w:val="Heading2AR"/>
        <w:keepNext w:val="0"/>
        <w:spacing w:before="0" w:after="240" w:line="360" w:lineRule="exact"/>
        <w:outlineLvl w:val="1"/>
        <w:rPr>
          <w:sz w:val="36"/>
          <w:szCs w:val="36"/>
          <w:rtl/>
          <w:lang w:val="fr-CH"/>
        </w:rPr>
      </w:pPr>
      <w:bookmarkStart w:id="14" w:name="_Toc447026927"/>
      <w:r w:rsidRPr="001C6678">
        <w:rPr>
          <w:rFonts w:hint="cs"/>
          <w:sz w:val="36"/>
          <w:szCs w:val="36"/>
          <w:rtl/>
          <w:lang w:val="fr-CH"/>
        </w:rPr>
        <w:t>51(ثانيا)1   </w:t>
      </w:r>
      <w:r w:rsidRPr="00D67F85">
        <w:rPr>
          <w:rFonts w:hint="cs"/>
          <w:i/>
          <w:iCs/>
          <w:sz w:val="36"/>
          <w:szCs w:val="36"/>
          <w:rtl/>
          <w:lang w:val="fr-CH"/>
        </w:rPr>
        <w:t>بعض المتطلبات الوطنية المقبولة</w:t>
      </w:r>
      <w:bookmarkEnd w:id="14"/>
    </w:p>
    <w:p w:rsidR="001309E4" w:rsidRPr="001C6678" w:rsidRDefault="001309E4" w:rsidP="00E45D09">
      <w:pPr>
        <w:pStyle w:val="NormalParaAR"/>
        <w:rPr>
          <w:rtl/>
          <w:lang w:val="fr-CH"/>
        </w:rPr>
      </w:pPr>
      <w:r w:rsidRPr="001C6678">
        <w:rPr>
          <w:rFonts w:hint="cs"/>
          <w:rtl/>
          <w:lang w:val="fr-CH"/>
        </w:rPr>
        <w:tab/>
        <w:t>(أ) إلى (د)   </w:t>
      </w:r>
      <w:r w:rsidRPr="001C6678">
        <w:rPr>
          <w:rtl/>
          <w:lang w:val="fr-CH"/>
        </w:rPr>
        <w:t>[</w:t>
      </w:r>
      <w:r w:rsidR="00D67F85">
        <w:rPr>
          <w:rtl/>
          <w:lang w:val="fr-CH"/>
        </w:rPr>
        <w:t>دون تغيير</w:t>
      </w:r>
      <w:r w:rsidRPr="001C6678">
        <w:rPr>
          <w:rtl/>
          <w:lang w:val="fr-CH"/>
        </w:rPr>
        <w:t>]</w:t>
      </w:r>
    </w:p>
    <w:p w:rsidR="00B75198" w:rsidRPr="001C6678" w:rsidRDefault="001309E4" w:rsidP="00E45D09">
      <w:pPr>
        <w:pStyle w:val="NormalParaAR"/>
        <w:rPr>
          <w:rtl/>
          <w:lang w:val="fr-CH"/>
        </w:rPr>
      </w:pPr>
      <w:r w:rsidRPr="001C6678">
        <w:rPr>
          <w:rFonts w:hint="cs"/>
          <w:rtl/>
          <w:lang w:val="fr-CH"/>
        </w:rPr>
        <w:tab/>
        <w:t>(هـ)   </w:t>
      </w:r>
      <w:r w:rsidRPr="001C6678">
        <w:rPr>
          <w:i/>
          <w:iCs/>
          <w:rtl/>
          <w:lang w:val="fr-CH"/>
        </w:rPr>
        <w:t>[</w:t>
      </w:r>
      <w:r w:rsidR="00D67F85">
        <w:rPr>
          <w:i/>
          <w:iCs/>
          <w:rtl/>
          <w:lang w:val="fr-CH"/>
        </w:rPr>
        <w:t>دون تغيير</w:t>
      </w:r>
      <w:r w:rsidRPr="001C6678">
        <w:rPr>
          <w:i/>
          <w:iCs/>
          <w:rtl/>
          <w:lang w:val="fr-CH"/>
        </w:rPr>
        <w:t>]</w:t>
      </w:r>
      <w:r w:rsidRPr="001C6678">
        <w:rPr>
          <w:rFonts w:hint="cs"/>
          <w:i/>
          <w:iCs/>
          <w:rtl/>
          <w:lang w:val="fr-CH"/>
        </w:rPr>
        <w:t xml:space="preserve"> </w:t>
      </w:r>
      <w:r w:rsidR="00B75198" w:rsidRPr="001C6678">
        <w:rPr>
          <w:rtl/>
          <w:lang w:val="fr-CH"/>
        </w:rPr>
        <w:t>يجوز أن يقضي القانون الوطني الذي يُطبقه المكتب المعين، وفقا للمادة 27، بأن يقدم المودع ترجمة لوثيقة الأولوية، علما بأن تلك الترجمة لا يجوز المطالبة بها إلا في الحالتين التاليتين:</w:t>
      </w:r>
    </w:p>
    <w:p w:rsidR="00B75198" w:rsidRPr="001C6678" w:rsidRDefault="00364905" w:rsidP="007F38D1">
      <w:pPr>
        <w:pStyle w:val="NormalParaAR"/>
        <w:rPr>
          <w:rtl/>
          <w:lang w:val="fr-CH"/>
        </w:rPr>
      </w:pPr>
      <w:r w:rsidRPr="001C6678">
        <w:rPr>
          <w:rFonts w:hint="cs"/>
          <w:rtl/>
          <w:lang w:val="fr-CH"/>
        </w:rPr>
        <w:tab/>
        <w:t>"1"</w:t>
      </w:r>
      <w:r w:rsidRPr="001C6678">
        <w:rPr>
          <w:rFonts w:hint="cs"/>
          <w:rtl/>
          <w:lang w:val="fr-CH"/>
        </w:rPr>
        <w:tab/>
      </w:r>
      <w:r w:rsidR="00B75198" w:rsidRPr="001C6678">
        <w:rPr>
          <w:rtl/>
          <w:lang w:val="fr-CH"/>
        </w:rPr>
        <w:t>إذا كانت صحة المطالبة بالأولوية تؤثر في البت في أهلية الاختراع للبراءة من عدم أهليته؛</w:t>
      </w:r>
    </w:p>
    <w:p w:rsidR="00B75198" w:rsidRPr="001C6678" w:rsidRDefault="00364905" w:rsidP="00E81174">
      <w:pPr>
        <w:pStyle w:val="NormalParaAR"/>
        <w:rPr>
          <w:rtl/>
          <w:lang w:val="fr-CH"/>
        </w:rPr>
      </w:pPr>
      <w:r w:rsidRPr="001C6678">
        <w:rPr>
          <w:rFonts w:hint="cs"/>
          <w:rtl/>
          <w:lang w:val="fr-CH"/>
        </w:rPr>
        <w:tab/>
        <w:t>"2"</w:t>
      </w:r>
      <w:r w:rsidRPr="001C6678">
        <w:rPr>
          <w:rFonts w:hint="cs"/>
          <w:rtl/>
          <w:lang w:val="fr-CH"/>
        </w:rPr>
        <w:tab/>
      </w:r>
      <w:r w:rsidR="00B75198" w:rsidRPr="001C6678">
        <w:rPr>
          <w:rtl/>
          <w:lang w:val="fr-CH"/>
        </w:rPr>
        <w:t>أو إذا كان مكتب تسلم الطلبات قد اعتمد تاريخ الإي</w:t>
      </w:r>
      <w:r w:rsidR="00E81174" w:rsidRPr="001C6678">
        <w:rPr>
          <w:rtl/>
          <w:lang w:val="fr-CH"/>
        </w:rPr>
        <w:t>داع الدولي بناء على القاعدة </w:t>
      </w:r>
      <w:r w:rsidR="00E81174" w:rsidRPr="001C6678">
        <w:rPr>
          <w:rFonts w:hint="cs"/>
          <w:rtl/>
          <w:lang w:val="fr-CH"/>
        </w:rPr>
        <w:t xml:space="preserve">3.20(ب)"2" </w:t>
      </w:r>
      <w:r w:rsidR="00B75198" w:rsidRPr="001C6678">
        <w:rPr>
          <w:rtl/>
          <w:lang w:val="fr-CH"/>
        </w:rPr>
        <w:t>و</w:t>
      </w:r>
      <w:r w:rsidR="00E81174" w:rsidRPr="001C6678">
        <w:rPr>
          <w:rFonts w:hint="cs"/>
          <w:rtl/>
          <w:lang w:val="fr-CH"/>
        </w:rPr>
        <w:t xml:space="preserve"> 5.20(د) </w:t>
      </w:r>
      <w:r w:rsidR="00B75198" w:rsidRPr="001C6678">
        <w:rPr>
          <w:rtl/>
          <w:lang w:val="fr-CH"/>
        </w:rPr>
        <w:t xml:space="preserve">على أساس تضمين عنصر أو جزء بالإحالة بناء على القاعدتين </w:t>
      </w:r>
      <w:r w:rsidR="00E81174" w:rsidRPr="001C6678">
        <w:rPr>
          <w:rFonts w:hint="cs"/>
          <w:rtl/>
          <w:lang w:val="fr-CH"/>
        </w:rPr>
        <w:t>18.4</w:t>
      </w:r>
      <w:r w:rsidR="00B75198" w:rsidRPr="001C6678">
        <w:rPr>
          <w:rtl/>
          <w:lang w:val="fr-CH"/>
        </w:rPr>
        <w:t xml:space="preserve"> و</w:t>
      </w:r>
      <w:r w:rsidR="00E81174" w:rsidRPr="001C6678">
        <w:rPr>
          <w:rFonts w:hint="cs"/>
          <w:rtl/>
          <w:lang w:val="fr-CH"/>
        </w:rPr>
        <w:t xml:space="preserve">6.20 </w:t>
      </w:r>
      <w:r w:rsidR="00B75198" w:rsidRPr="001C6678">
        <w:rPr>
          <w:rtl/>
          <w:lang w:val="fr-CH"/>
        </w:rPr>
        <w:t>لأغراض البت، بناء على القاعدة 82(ثالثا)1(ب)، في أن ذلك العنصر أو الجزء وارد بالكامل في و</w:t>
      </w:r>
      <w:r w:rsidR="00475E24" w:rsidRPr="001C6678">
        <w:rPr>
          <w:rtl/>
          <w:lang w:val="fr-CH"/>
        </w:rPr>
        <w:t xml:space="preserve">ثيقة الأولوية المعنية من عدمه. </w:t>
      </w:r>
      <w:r w:rsidR="00B75198" w:rsidRPr="001C6678">
        <w:rPr>
          <w:rtl/>
          <w:lang w:val="fr-CH"/>
        </w:rPr>
        <w:t>وفي هذه الحالة، جاز أن يقتضي أيضا القانون الوطني الذي يطبقه المكتب المعيَّن من المودع أن يقدِّم، إن تعلّق الأمر بجزء من الوصف أو المطالب أو الرسوم، بياناً بالمكان الذي يرد فيه ذلك الجزء في ترجمة وثيقة الأولوية.</w:t>
      </w:r>
    </w:p>
    <w:p w:rsidR="00300F7C" w:rsidRPr="001C6678" w:rsidRDefault="00364905" w:rsidP="00364905">
      <w:pPr>
        <w:pStyle w:val="NormalParaAR"/>
        <w:rPr>
          <w:strike/>
          <w:color w:val="FF0000"/>
          <w:rtl/>
        </w:rPr>
      </w:pPr>
      <w:r w:rsidRPr="001C6678">
        <w:rPr>
          <w:rFonts w:hint="cs"/>
          <w:rtl/>
        </w:rPr>
        <w:tab/>
      </w:r>
      <w:r w:rsidRPr="001C6678">
        <w:rPr>
          <w:rFonts w:hint="cs"/>
          <w:strike/>
          <w:color w:val="FF0000"/>
          <w:rtl/>
        </w:rPr>
        <w:t>(و)   </w:t>
      </w:r>
      <w:r w:rsidR="00B75198" w:rsidRPr="001C6678">
        <w:rPr>
          <w:strike/>
          <w:color w:val="FF0000"/>
          <w:rtl/>
        </w:rPr>
        <w:t>إذا كان الحكم الوارد في الفقرة (</w:t>
      </w:r>
      <w:r w:rsidR="00B75198" w:rsidRPr="001C6678">
        <w:rPr>
          <w:rFonts w:hint="cs"/>
          <w:strike/>
          <w:color w:val="FF0000"/>
          <w:rtl/>
        </w:rPr>
        <w:t>ﻫ</w:t>
      </w:r>
      <w:r w:rsidR="00B75198" w:rsidRPr="001C6678">
        <w:rPr>
          <w:strike/>
          <w:color w:val="FF0000"/>
          <w:rtl/>
        </w:rPr>
        <w:t>) لا يتمشى، في 17 مارس 2000، مع القانون الوطني الذي يطبقه المكتب المعيّن، فإنه لا يُطبق على ذلك المكتب ما دام لا يتمشى مع ذلك القانون، شريطة أن يخطر المكتب المذكور المكتب الدولي بذلك في موعد أقصاه 30 نوفمبر 2000.  ويتعين عل</w:t>
      </w:r>
      <w:r w:rsidR="00B75198" w:rsidRPr="001C6678">
        <w:rPr>
          <w:rFonts w:hint="eastAsia"/>
          <w:strike/>
          <w:color w:val="FF0000"/>
          <w:rtl/>
        </w:rPr>
        <w:t>ى</w:t>
      </w:r>
      <w:r w:rsidR="00B75198" w:rsidRPr="001C6678">
        <w:rPr>
          <w:strike/>
          <w:color w:val="FF0000"/>
          <w:rtl/>
        </w:rPr>
        <w:t xml:space="preserve"> المكتب الدولي أن ينشر الخبر الوارد إليه في الجريدة في أقرب فرصة.</w:t>
      </w:r>
    </w:p>
    <w:p w:rsidR="00364905" w:rsidRPr="001C6678" w:rsidRDefault="00364905" w:rsidP="00D67F85">
      <w:pPr>
        <w:pStyle w:val="Heading2AR"/>
        <w:keepNext w:val="0"/>
        <w:outlineLvl w:val="1"/>
        <w:rPr>
          <w:sz w:val="36"/>
          <w:szCs w:val="36"/>
          <w:rtl/>
        </w:rPr>
      </w:pPr>
      <w:bookmarkStart w:id="15" w:name="_Toc447026928"/>
      <w:r w:rsidRPr="001C6678">
        <w:rPr>
          <w:rFonts w:hint="cs"/>
          <w:sz w:val="36"/>
          <w:szCs w:val="36"/>
          <w:rtl/>
        </w:rPr>
        <w:t>51 (ثانيا)2 و51(ثانيا)3   </w:t>
      </w:r>
      <w:r w:rsidRPr="001C6678">
        <w:rPr>
          <w:sz w:val="36"/>
          <w:szCs w:val="36"/>
          <w:rtl/>
        </w:rPr>
        <w:t>[</w:t>
      </w:r>
      <w:r w:rsidR="00D67F85">
        <w:rPr>
          <w:sz w:val="36"/>
          <w:szCs w:val="36"/>
          <w:rtl/>
        </w:rPr>
        <w:t>دون تغيير</w:t>
      </w:r>
      <w:r w:rsidRPr="001C6678">
        <w:rPr>
          <w:sz w:val="36"/>
          <w:szCs w:val="36"/>
          <w:rtl/>
        </w:rPr>
        <w:t>]</w:t>
      </w:r>
      <w:bookmarkEnd w:id="15"/>
    </w:p>
    <w:p w:rsidR="00364905" w:rsidRPr="00FF06AD" w:rsidRDefault="00FF06AD" w:rsidP="00833DC5">
      <w:pPr>
        <w:pStyle w:val="DecisionParaAR"/>
        <w:numPr>
          <w:ilvl w:val="0"/>
          <w:numId w:val="0"/>
        </w:numPr>
        <w:ind w:left="5534"/>
        <w:rPr>
          <w:i w:val="0"/>
          <w:iCs w:val="0"/>
          <w:rtl/>
        </w:rPr>
      </w:pPr>
      <w:r w:rsidRPr="001C6678">
        <w:rPr>
          <w:i w:val="0"/>
          <w:iCs w:val="0"/>
          <w:rtl/>
        </w:rPr>
        <w:t>[</w:t>
      </w:r>
      <w:r w:rsidRPr="001C6678">
        <w:rPr>
          <w:rFonts w:hint="cs"/>
          <w:i w:val="0"/>
          <w:iCs w:val="0"/>
          <w:rtl/>
        </w:rPr>
        <w:t>نهاية المرفق والوثيقة</w:t>
      </w:r>
      <w:r w:rsidRPr="001C6678">
        <w:rPr>
          <w:i w:val="0"/>
          <w:iCs w:val="0"/>
          <w:rtl/>
        </w:rPr>
        <w:t>]</w:t>
      </w:r>
    </w:p>
    <w:sectPr w:rsidR="00364905" w:rsidRPr="00FF06AD" w:rsidSect="005D049A">
      <w:headerReference w:type="first" r:id="rId13"/>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C77" w:rsidRDefault="00DF4C77">
      <w:r>
        <w:separator/>
      </w:r>
    </w:p>
  </w:endnote>
  <w:endnote w:type="continuationSeparator" w:id="0">
    <w:p w:rsidR="00DF4C77" w:rsidRDefault="00DF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C77" w:rsidRDefault="00DF4C77" w:rsidP="009622BF">
      <w:pPr>
        <w:bidi/>
      </w:pPr>
      <w:bookmarkStart w:id="0" w:name="OLE_LINK1"/>
      <w:bookmarkStart w:id="1" w:name="OLE_LINK2"/>
      <w:r>
        <w:separator/>
      </w:r>
      <w:bookmarkEnd w:id="0"/>
      <w:bookmarkEnd w:id="1"/>
    </w:p>
  </w:footnote>
  <w:footnote w:type="continuationSeparator" w:id="0">
    <w:p w:rsidR="00DF4C77" w:rsidRDefault="00DF4C77" w:rsidP="009622BF">
      <w:pPr>
        <w:bidi/>
      </w:pPr>
      <w:r>
        <w:separator/>
      </w:r>
    </w:p>
  </w:footnote>
  <w:footnote w:id="1">
    <w:p w:rsidR="0035599C" w:rsidRDefault="0035599C" w:rsidP="00CF34C4">
      <w:pPr>
        <w:pStyle w:val="FootnoteText"/>
        <w:rPr>
          <w:lang w:bidi="ar-EG"/>
        </w:rPr>
      </w:pPr>
      <w:r>
        <w:rPr>
          <w:rStyle w:val="FootnoteReference"/>
        </w:rPr>
        <w:footnoteRef/>
      </w:r>
      <w:r>
        <w:rPr>
          <w:rtl/>
        </w:rPr>
        <w:t xml:space="preserve"> </w:t>
      </w:r>
      <w:r>
        <w:rPr>
          <w:rFonts w:hint="cs"/>
          <w:rtl/>
        </w:rPr>
        <w:tab/>
      </w:r>
      <w:r w:rsidR="00CF34C4">
        <w:rPr>
          <w:rFonts w:hint="cs"/>
          <w:rtl/>
        </w:rPr>
        <w:t>تبيّن اقتراحات الإضافة والحذف بوضع سطر تحت النص المقترح إضافته وشطب النص المقترح حذفه.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AB54AE" w:rsidP="001E3F88">
    <w:r>
      <w:t>PCT</w:t>
    </w:r>
    <w:r w:rsidR="00772E46">
      <w:t>/</w:t>
    </w:r>
    <w:r w:rsidR="00C742C5">
      <w:t>WG</w:t>
    </w:r>
    <w:r w:rsidR="002F77FC">
      <w:t>/</w:t>
    </w:r>
    <w:r w:rsidR="001E3F88">
      <w:t>9</w:t>
    </w:r>
    <w:r w:rsidR="005D049A">
      <w:t>/</w:t>
    </w:r>
    <w:r w:rsidR="005D049A">
      <w:rPr>
        <w:rFonts w:hint="cs"/>
        <w:rtl/>
      </w:rPr>
      <w:t>12</w:t>
    </w:r>
  </w:p>
  <w:p w:rsidR="002F77FC" w:rsidRDefault="002F77FC" w:rsidP="005D049A">
    <w:pPr>
      <w:rPr>
        <w:lang w:val="fr-CH" w:bidi="ar-EG"/>
      </w:rPr>
    </w:pPr>
    <w:r>
      <w:fldChar w:fldCharType="begin"/>
    </w:r>
    <w:r>
      <w:instrText xml:space="preserve"> PAGE  \* MERGEFORMAT </w:instrText>
    </w:r>
    <w:r>
      <w:fldChar w:fldCharType="separate"/>
    </w:r>
    <w:r w:rsidR="00823CC0">
      <w:rPr>
        <w:noProof/>
      </w:rPr>
      <w:t>2</w:t>
    </w:r>
    <w:r>
      <w:fldChar w:fldCharType="end"/>
    </w:r>
  </w:p>
  <w:p w:rsidR="008F3DD2" w:rsidRPr="008F3DD2" w:rsidRDefault="008F3DD2" w:rsidP="005D049A">
    <w:pPr>
      <w:rPr>
        <w:lang w:val="fr-CH"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F7C" w:rsidRDefault="00300F7C" w:rsidP="00300F7C">
    <w:pPr>
      <w:pStyle w:val="Header"/>
    </w:pPr>
    <w:r>
      <w:t>PCT/WG/9/12</w:t>
    </w:r>
  </w:p>
  <w:p w:rsidR="00300F7C" w:rsidRDefault="00300F7C" w:rsidP="00300F7C">
    <w:pPr>
      <w:pStyle w:val="Header"/>
      <w:rPr>
        <w:rtl/>
      </w:rPr>
    </w:pPr>
    <w:r>
      <w:t>ANNEX</w:t>
    </w:r>
  </w:p>
  <w:p w:rsidR="00300F7C" w:rsidRPr="004926E3" w:rsidRDefault="00300F7C" w:rsidP="00300F7C">
    <w:pPr>
      <w:pStyle w:val="Header"/>
      <w:bidi/>
      <w:jc w:val="right"/>
      <w:rPr>
        <w:rFonts w:ascii="Arabic Typesetting" w:hAnsi="Arabic Typesetting" w:cs="Arabic Typesetting"/>
        <w:sz w:val="36"/>
        <w:szCs w:val="36"/>
      </w:rPr>
    </w:pPr>
    <w:r w:rsidRPr="004926E3">
      <w:rPr>
        <w:rFonts w:ascii="Arabic Typesetting" w:hAnsi="Arabic Typesetting" w:cs="Arabic Typesetting"/>
        <w:sz w:val="36"/>
        <w:szCs w:val="36"/>
        <w:rtl/>
      </w:rPr>
      <w:t>المرفق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9A" w:rsidRDefault="005D049A" w:rsidP="005D049A">
    <w:pPr>
      <w:pStyle w:val="Header"/>
      <w:rPr>
        <w:rtl/>
        <w:lang w:bidi="ar-EG"/>
      </w:rPr>
    </w:pPr>
    <w:r>
      <w:t>PCT/WG/9/12</w:t>
    </w:r>
  </w:p>
  <w:p w:rsidR="005D049A" w:rsidRDefault="005D049A" w:rsidP="005D049A">
    <w:pPr>
      <w:pStyle w:val="Header"/>
    </w:pPr>
    <w:r>
      <w:t>Annex</w:t>
    </w:r>
  </w:p>
  <w:p w:rsidR="005D049A" w:rsidRPr="005D049A" w:rsidRDefault="00823CC0" w:rsidP="005D049A">
    <w:pPr>
      <w:pStyle w:val="Header"/>
    </w:pPr>
    <w:sdt>
      <w:sdtPr>
        <w:id w:val="1639918557"/>
        <w:docPartObj>
          <w:docPartGallery w:val="Page Numbers (Top of Page)"/>
          <w:docPartUnique/>
        </w:docPartObj>
      </w:sdtPr>
      <w:sdtEndPr>
        <w:rPr>
          <w:noProof/>
        </w:rPr>
      </w:sdtEndPr>
      <w:sdtContent>
        <w:r w:rsidR="005D049A">
          <w:fldChar w:fldCharType="begin"/>
        </w:r>
        <w:r w:rsidR="005D049A">
          <w:instrText xml:space="preserve"> PAGE   \* MERGEFORMAT </w:instrText>
        </w:r>
        <w:r w:rsidR="005D049A">
          <w:fldChar w:fldCharType="separate"/>
        </w:r>
        <w:r>
          <w:rPr>
            <w:noProof/>
          </w:rPr>
          <w:t>2</w:t>
        </w:r>
        <w:r w:rsidR="005D049A">
          <w:rPr>
            <w:noProof/>
          </w:rPr>
          <w:fldChar w:fldCharType="end"/>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9A" w:rsidRDefault="005D049A" w:rsidP="005D049A">
    <w:pPr>
      <w:pStyle w:val="Header"/>
    </w:pPr>
    <w:r>
      <w:t>PCT/WG/9/12</w:t>
    </w:r>
  </w:p>
  <w:p w:rsidR="005D049A" w:rsidRDefault="005D049A" w:rsidP="005D049A">
    <w:pPr>
      <w:pStyle w:val="Header"/>
      <w:rPr>
        <w:rtl/>
      </w:rPr>
    </w:pPr>
    <w:r>
      <w:t>Annex</w:t>
    </w:r>
  </w:p>
  <w:p w:rsidR="00300F7C" w:rsidRPr="0035599C" w:rsidRDefault="00823CC0" w:rsidP="005D049A">
    <w:pPr>
      <w:pStyle w:val="Header"/>
      <w:rPr>
        <w:rtl/>
        <w:lang w:bidi="ar-EG"/>
      </w:rPr>
    </w:pPr>
    <w:sdt>
      <w:sdtPr>
        <w:id w:val="208929585"/>
        <w:docPartObj>
          <w:docPartGallery w:val="Page Numbers (Top of Page)"/>
          <w:docPartUnique/>
        </w:docPartObj>
      </w:sdtPr>
      <w:sdtEndPr>
        <w:rPr>
          <w:noProof/>
        </w:rPr>
      </w:sdtEndPr>
      <w:sdtContent>
        <w:r w:rsidR="005D049A">
          <w:fldChar w:fldCharType="begin"/>
        </w:r>
        <w:r w:rsidR="005D049A">
          <w:instrText xml:space="preserve"> PAGE   \* MERGEFORMAT </w:instrText>
        </w:r>
        <w:r w:rsidR="005D049A">
          <w:fldChar w:fldCharType="separate"/>
        </w:r>
        <w:r>
          <w:rPr>
            <w:noProof/>
          </w:rPr>
          <w:t>3</w:t>
        </w:r>
        <w:r w:rsidR="005D049A">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77"/>
    <w:rsid w:val="00002CBE"/>
    <w:rsid w:val="00003232"/>
    <w:rsid w:val="000033DA"/>
    <w:rsid w:val="00004405"/>
    <w:rsid w:val="0000579F"/>
    <w:rsid w:val="000074D1"/>
    <w:rsid w:val="000076BD"/>
    <w:rsid w:val="00010481"/>
    <w:rsid w:val="00010671"/>
    <w:rsid w:val="000114E2"/>
    <w:rsid w:val="00013347"/>
    <w:rsid w:val="00013D73"/>
    <w:rsid w:val="000142E1"/>
    <w:rsid w:val="000146BD"/>
    <w:rsid w:val="00014B68"/>
    <w:rsid w:val="0001645D"/>
    <w:rsid w:val="00017A43"/>
    <w:rsid w:val="00021406"/>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AA8"/>
    <w:rsid w:val="00087DB6"/>
    <w:rsid w:val="00090139"/>
    <w:rsid w:val="0009024C"/>
    <w:rsid w:val="00090ADD"/>
    <w:rsid w:val="000913C0"/>
    <w:rsid w:val="00091F52"/>
    <w:rsid w:val="00092302"/>
    <w:rsid w:val="00092982"/>
    <w:rsid w:val="00092DD6"/>
    <w:rsid w:val="00092EFA"/>
    <w:rsid w:val="00092F02"/>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B95"/>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47A"/>
    <w:rsid w:val="001309E4"/>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6FDE"/>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0E2"/>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678"/>
    <w:rsid w:val="001C6A73"/>
    <w:rsid w:val="001C73C2"/>
    <w:rsid w:val="001D0474"/>
    <w:rsid w:val="001D141D"/>
    <w:rsid w:val="001D1EBD"/>
    <w:rsid w:val="001D2184"/>
    <w:rsid w:val="001D24F3"/>
    <w:rsid w:val="001D2678"/>
    <w:rsid w:val="001D2DC4"/>
    <w:rsid w:val="001D6A48"/>
    <w:rsid w:val="001E0B35"/>
    <w:rsid w:val="001E1043"/>
    <w:rsid w:val="001E10E1"/>
    <w:rsid w:val="001E175F"/>
    <w:rsid w:val="001E19F7"/>
    <w:rsid w:val="001E2669"/>
    <w:rsid w:val="001E3F88"/>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2E13"/>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F8"/>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0F7C"/>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518"/>
    <w:rsid w:val="00317CE4"/>
    <w:rsid w:val="00320DF4"/>
    <w:rsid w:val="003219A9"/>
    <w:rsid w:val="00321B00"/>
    <w:rsid w:val="00321C54"/>
    <w:rsid w:val="00321DCD"/>
    <w:rsid w:val="0032261F"/>
    <w:rsid w:val="003237A2"/>
    <w:rsid w:val="00324729"/>
    <w:rsid w:val="00325C8B"/>
    <w:rsid w:val="00327011"/>
    <w:rsid w:val="00330AB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599C"/>
    <w:rsid w:val="003600A2"/>
    <w:rsid w:val="003612D8"/>
    <w:rsid w:val="003637B6"/>
    <w:rsid w:val="00363F89"/>
    <w:rsid w:val="00363FB0"/>
    <w:rsid w:val="003646D6"/>
    <w:rsid w:val="00364905"/>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219"/>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043"/>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5E24"/>
    <w:rsid w:val="00476407"/>
    <w:rsid w:val="004773F7"/>
    <w:rsid w:val="00481F5F"/>
    <w:rsid w:val="004821D0"/>
    <w:rsid w:val="00482CB2"/>
    <w:rsid w:val="00483D06"/>
    <w:rsid w:val="00485A4A"/>
    <w:rsid w:val="00485CF7"/>
    <w:rsid w:val="004862C2"/>
    <w:rsid w:val="004863F7"/>
    <w:rsid w:val="00486FFC"/>
    <w:rsid w:val="0049042D"/>
    <w:rsid w:val="00490ED4"/>
    <w:rsid w:val="00491B91"/>
    <w:rsid w:val="00491C21"/>
    <w:rsid w:val="00491C66"/>
    <w:rsid w:val="004926E3"/>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1CC4"/>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49A"/>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27B"/>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92E"/>
    <w:rsid w:val="00636A63"/>
    <w:rsid w:val="00636C79"/>
    <w:rsid w:val="00636DCB"/>
    <w:rsid w:val="00636DE3"/>
    <w:rsid w:val="00636F89"/>
    <w:rsid w:val="0063700D"/>
    <w:rsid w:val="00637470"/>
    <w:rsid w:val="00637E13"/>
    <w:rsid w:val="006407C9"/>
    <w:rsid w:val="00640D89"/>
    <w:rsid w:val="00640F58"/>
    <w:rsid w:val="00641203"/>
    <w:rsid w:val="00641776"/>
    <w:rsid w:val="00642EE2"/>
    <w:rsid w:val="0064656E"/>
    <w:rsid w:val="0064665A"/>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00B0"/>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09A"/>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042"/>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12D"/>
    <w:rsid w:val="007F56BB"/>
    <w:rsid w:val="007F63CE"/>
    <w:rsid w:val="007F6EA4"/>
    <w:rsid w:val="008002A5"/>
    <w:rsid w:val="0080050E"/>
    <w:rsid w:val="00801329"/>
    <w:rsid w:val="00801424"/>
    <w:rsid w:val="00801AA4"/>
    <w:rsid w:val="00801B7E"/>
    <w:rsid w:val="008021B9"/>
    <w:rsid w:val="00803A27"/>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3CC0"/>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3DC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55DB7"/>
    <w:rsid w:val="00860323"/>
    <w:rsid w:val="00860F4F"/>
    <w:rsid w:val="008610B9"/>
    <w:rsid w:val="00862656"/>
    <w:rsid w:val="00863013"/>
    <w:rsid w:val="00863F67"/>
    <w:rsid w:val="0086483A"/>
    <w:rsid w:val="0087049C"/>
    <w:rsid w:val="00870AAD"/>
    <w:rsid w:val="00870EDE"/>
    <w:rsid w:val="00871DA0"/>
    <w:rsid w:val="00872030"/>
    <w:rsid w:val="00872DFA"/>
    <w:rsid w:val="00873973"/>
    <w:rsid w:val="008739BF"/>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321F"/>
    <w:rsid w:val="00894C3D"/>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3DD2"/>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3CB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DC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1E4"/>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31"/>
    <w:rsid w:val="00A07545"/>
    <w:rsid w:val="00A11643"/>
    <w:rsid w:val="00A13947"/>
    <w:rsid w:val="00A13E2B"/>
    <w:rsid w:val="00A1562A"/>
    <w:rsid w:val="00A15901"/>
    <w:rsid w:val="00A1618E"/>
    <w:rsid w:val="00A161A1"/>
    <w:rsid w:val="00A20562"/>
    <w:rsid w:val="00A20F75"/>
    <w:rsid w:val="00A212B1"/>
    <w:rsid w:val="00A26EC4"/>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02C4"/>
    <w:rsid w:val="00A71670"/>
    <w:rsid w:val="00A72874"/>
    <w:rsid w:val="00A72E48"/>
    <w:rsid w:val="00A7359C"/>
    <w:rsid w:val="00A73616"/>
    <w:rsid w:val="00A76648"/>
    <w:rsid w:val="00A76DF7"/>
    <w:rsid w:val="00A77523"/>
    <w:rsid w:val="00A83454"/>
    <w:rsid w:val="00A843FC"/>
    <w:rsid w:val="00A84DA5"/>
    <w:rsid w:val="00A85302"/>
    <w:rsid w:val="00A85995"/>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5A0"/>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E59"/>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37707"/>
    <w:rsid w:val="00B40633"/>
    <w:rsid w:val="00B44049"/>
    <w:rsid w:val="00B44318"/>
    <w:rsid w:val="00B44C4B"/>
    <w:rsid w:val="00B477CB"/>
    <w:rsid w:val="00B478CE"/>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1A"/>
    <w:rsid w:val="00B70849"/>
    <w:rsid w:val="00B72C1C"/>
    <w:rsid w:val="00B73BB7"/>
    <w:rsid w:val="00B75198"/>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4829"/>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1567"/>
    <w:rsid w:val="00BE350E"/>
    <w:rsid w:val="00BE3801"/>
    <w:rsid w:val="00BE38CF"/>
    <w:rsid w:val="00BE394B"/>
    <w:rsid w:val="00BE48A8"/>
    <w:rsid w:val="00BE528F"/>
    <w:rsid w:val="00BE5850"/>
    <w:rsid w:val="00BE58D6"/>
    <w:rsid w:val="00BE5CA6"/>
    <w:rsid w:val="00BE707F"/>
    <w:rsid w:val="00BE7F5D"/>
    <w:rsid w:val="00BE7F85"/>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37E98"/>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5401"/>
    <w:rsid w:val="00C668DE"/>
    <w:rsid w:val="00C7044F"/>
    <w:rsid w:val="00C720F8"/>
    <w:rsid w:val="00C7294B"/>
    <w:rsid w:val="00C742C5"/>
    <w:rsid w:val="00C75139"/>
    <w:rsid w:val="00C7525C"/>
    <w:rsid w:val="00C76CF7"/>
    <w:rsid w:val="00C807D9"/>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4C4"/>
    <w:rsid w:val="00CF3739"/>
    <w:rsid w:val="00CF4FAE"/>
    <w:rsid w:val="00CF5597"/>
    <w:rsid w:val="00CF57B4"/>
    <w:rsid w:val="00CF5CA5"/>
    <w:rsid w:val="00CF658A"/>
    <w:rsid w:val="00CF66B6"/>
    <w:rsid w:val="00D00261"/>
    <w:rsid w:val="00D007D6"/>
    <w:rsid w:val="00D01A9F"/>
    <w:rsid w:val="00D01CED"/>
    <w:rsid w:val="00D01E38"/>
    <w:rsid w:val="00D022B5"/>
    <w:rsid w:val="00D039B5"/>
    <w:rsid w:val="00D04AA9"/>
    <w:rsid w:val="00D04F76"/>
    <w:rsid w:val="00D053D2"/>
    <w:rsid w:val="00D07291"/>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89F"/>
    <w:rsid w:val="00D27E5A"/>
    <w:rsid w:val="00D27EA0"/>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0BA0"/>
    <w:rsid w:val="00D52B95"/>
    <w:rsid w:val="00D52E71"/>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67F85"/>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1415"/>
    <w:rsid w:val="00DF265D"/>
    <w:rsid w:val="00DF2EB0"/>
    <w:rsid w:val="00DF31C1"/>
    <w:rsid w:val="00DF427A"/>
    <w:rsid w:val="00DF45C5"/>
    <w:rsid w:val="00DF4C77"/>
    <w:rsid w:val="00DF5A8C"/>
    <w:rsid w:val="00DF71D8"/>
    <w:rsid w:val="00E00CCA"/>
    <w:rsid w:val="00E01623"/>
    <w:rsid w:val="00E03FE3"/>
    <w:rsid w:val="00E06951"/>
    <w:rsid w:val="00E10C94"/>
    <w:rsid w:val="00E10EC4"/>
    <w:rsid w:val="00E118D7"/>
    <w:rsid w:val="00E136CE"/>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5D09"/>
    <w:rsid w:val="00E46B7D"/>
    <w:rsid w:val="00E5091C"/>
    <w:rsid w:val="00E50E42"/>
    <w:rsid w:val="00E51009"/>
    <w:rsid w:val="00E511AB"/>
    <w:rsid w:val="00E51350"/>
    <w:rsid w:val="00E51C5E"/>
    <w:rsid w:val="00E523FB"/>
    <w:rsid w:val="00E5268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8A5"/>
    <w:rsid w:val="00E62E59"/>
    <w:rsid w:val="00E63E99"/>
    <w:rsid w:val="00E6454D"/>
    <w:rsid w:val="00E65301"/>
    <w:rsid w:val="00E6598A"/>
    <w:rsid w:val="00E667A7"/>
    <w:rsid w:val="00E679B3"/>
    <w:rsid w:val="00E7190A"/>
    <w:rsid w:val="00E71CAD"/>
    <w:rsid w:val="00E71E5C"/>
    <w:rsid w:val="00E7245E"/>
    <w:rsid w:val="00E73831"/>
    <w:rsid w:val="00E738F7"/>
    <w:rsid w:val="00E73B66"/>
    <w:rsid w:val="00E7498E"/>
    <w:rsid w:val="00E74BB9"/>
    <w:rsid w:val="00E74FF5"/>
    <w:rsid w:val="00E7584A"/>
    <w:rsid w:val="00E760D0"/>
    <w:rsid w:val="00E76D85"/>
    <w:rsid w:val="00E77C2E"/>
    <w:rsid w:val="00E80A1A"/>
    <w:rsid w:val="00E81174"/>
    <w:rsid w:val="00E8292A"/>
    <w:rsid w:val="00E82DE7"/>
    <w:rsid w:val="00E84116"/>
    <w:rsid w:val="00E84C5C"/>
    <w:rsid w:val="00E85533"/>
    <w:rsid w:val="00E86343"/>
    <w:rsid w:val="00E866CD"/>
    <w:rsid w:val="00E877ED"/>
    <w:rsid w:val="00E901FD"/>
    <w:rsid w:val="00E91964"/>
    <w:rsid w:val="00E91FB1"/>
    <w:rsid w:val="00E94468"/>
    <w:rsid w:val="00E94A0E"/>
    <w:rsid w:val="00E95E22"/>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50"/>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35B"/>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3E0"/>
    <w:rsid w:val="00F415A3"/>
    <w:rsid w:val="00F41778"/>
    <w:rsid w:val="00F41B3E"/>
    <w:rsid w:val="00F421D1"/>
    <w:rsid w:val="00F4323B"/>
    <w:rsid w:val="00F43B8E"/>
    <w:rsid w:val="00F45196"/>
    <w:rsid w:val="00F45D51"/>
    <w:rsid w:val="00F46842"/>
    <w:rsid w:val="00F4765F"/>
    <w:rsid w:val="00F479B5"/>
    <w:rsid w:val="00F47A1B"/>
    <w:rsid w:val="00F47C4B"/>
    <w:rsid w:val="00F52B54"/>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4BBF"/>
    <w:rsid w:val="00F75896"/>
    <w:rsid w:val="00F762FB"/>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58B0"/>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06AD"/>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300F7C"/>
    <w:rPr>
      <w:rFonts w:ascii="Arial" w:hAnsi="Arial" w:cs="Arial"/>
      <w:sz w:val="22"/>
    </w:rPr>
  </w:style>
  <w:style w:type="paragraph" w:styleId="TOCHeading">
    <w:name w:val="TOC Heading"/>
    <w:basedOn w:val="Heading1"/>
    <w:next w:val="Normal"/>
    <w:uiPriority w:val="39"/>
    <w:unhideWhenUsed/>
    <w:qFormat/>
    <w:rsid w:val="006E00B0"/>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qFormat/>
    <w:rsid w:val="006E00B0"/>
    <w:pPr>
      <w:spacing w:after="100"/>
    </w:pPr>
  </w:style>
  <w:style w:type="character" w:styleId="Hyperlink">
    <w:name w:val="Hyperlink"/>
    <w:basedOn w:val="DefaultParagraphFont"/>
    <w:uiPriority w:val="99"/>
    <w:unhideWhenUsed/>
    <w:rsid w:val="006E00B0"/>
    <w:rPr>
      <w:color w:val="0000FF" w:themeColor="hyperlink"/>
      <w:u w:val="single"/>
    </w:rPr>
  </w:style>
  <w:style w:type="paragraph" w:styleId="TOC2">
    <w:name w:val="toc 2"/>
    <w:basedOn w:val="Normal"/>
    <w:next w:val="Normal"/>
    <w:autoRedefine/>
    <w:uiPriority w:val="39"/>
    <w:unhideWhenUsed/>
    <w:qFormat/>
    <w:rsid w:val="00D27EA0"/>
    <w:pPr>
      <w:spacing w:after="100" w:line="276" w:lineRule="auto"/>
      <w:ind w:left="220"/>
    </w:pPr>
    <w:rPr>
      <w:rFonts w:asciiTheme="minorHAnsi" w:eastAsiaTheme="minorEastAsia" w:hAnsiTheme="minorHAnsi" w:cstheme="minorBidi"/>
      <w:szCs w:val="22"/>
      <w:lang w:eastAsia="ja-JP"/>
    </w:rPr>
  </w:style>
  <w:style w:type="paragraph" w:styleId="TOC3">
    <w:name w:val="toc 3"/>
    <w:basedOn w:val="Normal"/>
    <w:next w:val="Normal"/>
    <w:autoRedefine/>
    <w:uiPriority w:val="39"/>
    <w:unhideWhenUsed/>
    <w:qFormat/>
    <w:rsid w:val="00D27EA0"/>
    <w:pPr>
      <w:spacing w:after="100" w:line="276" w:lineRule="auto"/>
      <w:ind w:left="440"/>
    </w:pPr>
    <w:rPr>
      <w:rFonts w:asciiTheme="minorHAnsi" w:eastAsiaTheme="minorEastAsia" w:hAnsiTheme="minorHAnsi" w:cstheme="minorBidi"/>
      <w:szCs w:val="22"/>
      <w:lang w:eastAsia="ja-JP"/>
    </w:rPr>
  </w:style>
  <w:style w:type="character" w:styleId="EndnoteReference">
    <w:name w:val="endnote reference"/>
    <w:basedOn w:val="DefaultParagraphFont"/>
    <w:rsid w:val="00D67F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300F7C"/>
    <w:rPr>
      <w:rFonts w:ascii="Arial" w:hAnsi="Arial" w:cs="Arial"/>
      <w:sz w:val="22"/>
    </w:rPr>
  </w:style>
  <w:style w:type="paragraph" w:styleId="TOCHeading">
    <w:name w:val="TOC Heading"/>
    <w:basedOn w:val="Heading1"/>
    <w:next w:val="Normal"/>
    <w:uiPriority w:val="39"/>
    <w:unhideWhenUsed/>
    <w:qFormat/>
    <w:rsid w:val="006E00B0"/>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qFormat/>
    <w:rsid w:val="006E00B0"/>
    <w:pPr>
      <w:spacing w:after="100"/>
    </w:pPr>
  </w:style>
  <w:style w:type="character" w:styleId="Hyperlink">
    <w:name w:val="Hyperlink"/>
    <w:basedOn w:val="DefaultParagraphFont"/>
    <w:uiPriority w:val="99"/>
    <w:unhideWhenUsed/>
    <w:rsid w:val="006E00B0"/>
    <w:rPr>
      <w:color w:val="0000FF" w:themeColor="hyperlink"/>
      <w:u w:val="single"/>
    </w:rPr>
  </w:style>
  <w:style w:type="paragraph" w:styleId="TOC2">
    <w:name w:val="toc 2"/>
    <w:basedOn w:val="Normal"/>
    <w:next w:val="Normal"/>
    <w:autoRedefine/>
    <w:uiPriority w:val="39"/>
    <w:unhideWhenUsed/>
    <w:qFormat/>
    <w:rsid w:val="00D27EA0"/>
    <w:pPr>
      <w:spacing w:after="100" w:line="276" w:lineRule="auto"/>
      <w:ind w:left="220"/>
    </w:pPr>
    <w:rPr>
      <w:rFonts w:asciiTheme="minorHAnsi" w:eastAsiaTheme="minorEastAsia" w:hAnsiTheme="minorHAnsi" w:cstheme="minorBidi"/>
      <w:szCs w:val="22"/>
      <w:lang w:eastAsia="ja-JP"/>
    </w:rPr>
  </w:style>
  <w:style w:type="paragraph" w:styleId="TOC3">
    <w:name w:val="toc 3"/>
    <w:basedOn w:val="Normal"/>
    <w:next w:val="Normal"/>
    <w:autoRedefine/>
    <w:uiPriority w:val="39"/>
    <w:unhideWhenUsed/>
    <w:qFormat/>
    <w:rsid w:val="00D27EA0"/>
    <w:pPr>
      <w:spacing w:after="100" w:line="276" w:lineRule="auto"/>
      <w:ind w:left="440"/>
    </w:pPr>
    <w:rPr>
      <w:rFonts w:asciiTheme="minorHAnsi" w:eastAsiaTheme="minorEastAsia" w:hAnsiTheme="minorHAnsi" w:cstheme="minorBidi"/>
      <w:szCs w:val="22"/>
      <w:lang w:eastAsia="ja-JP"/>
    </w:rPr>
  </w:style>
  <w:style w:type="character" w:styleId="EndnoteReference">
    <w:name w:val="endnote reference"/>
    <w:basedOn w:val="DefaultParagraphFont"/>
    <w:rsid w:val="00D67F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B3245-BE2D-4F7C-88B0-A13F180B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PCT_WG_9_AR.dotx</Template>
  <TotalTime>270</TotalTime>
  <Pages>5</Pages>
  <Words>870</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PCT/WG/9/-- (Arabic)</vt:lpstr>
    </vt:vector>
  </TitlesOfParts>
  <Company>World Intellectual Property Organization</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 (Arabic)</dc:title>
  <dc:creator>Hebatallah Zohni</dc:creator>
  <cp:lastModifiedBy>AHMIDOUCH Noureddine</cp:lastModifiedBy>
  <cp:revision>74</cp:revision>
  <cp:lastPrinted>2016-04-01T09:38:00Z</cp:lastPrinted>
  <dcterms:created xsi:type="dcterms:W3CDTF">2016-03-29T07:25:00Z</dcterms:created>
  <dcterms:modified xsi:type="dcterms:W3CDTF">2016-04-01T09:40:00Z</dcterms:modified>
</cp:coreProperties>
</file>