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573551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573551">
              <w:t>8</w:t>
            </w:r>
            <w:r w:rsidR="00A97DBA">
              <w:t>/1</w:t>
            </w:r>
            <w:r w:rsidR="00CF1453">
              <w:t xml:space="preserve"> REV.</w:t>
            </w:r>
            <w:r w:rsidR="00207344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97DB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97DB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E0FF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E0FF8">
              <w:rPr>
                <w:rFonts w:hint="cs"/>
                <w:rtl/>
              </w:rPr>
              <w:t>13</w:t>
            </w:r>
            <w:r w:rsidRPr="00B6101C">
              <w:rPr>
                <w:rFonts w:hint="cs"/>
                <w:rtl/>
              </w:rPr>
              <w:t xml:space="preserve"> </w:t>
            </w:r>
            <w:r w:rsidR="002E0FF8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573551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7355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73551">
        <w:rPr>
          <w:rFonts w:ascii="Cambria Math" w:hAnsi="Cambria Math" w:hint="cs"/>
          <w:rtl/>
        </w:rPr>
        <w:t>الثامنة</w:t>
      </w:r>
    </w:p>
    <w:p w:rsidR="00D61541" w:rsidRPr="00D61541" w:rsidRDefault="00D61541" w:rsidP="0057355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573551">
        <w:rPr>
          <w:rFonts w:hint="cs"/>
          <w:rtl/>
        </w:rPr>
        <w:t>26</w:t>
      </w:r>
      <w:r w:rsidR="00C742C5">
        <w:rPr>
          <w:rFonts w:hint="cs"/>
          <w:rtl/>
        </w:rPr>
        <w:t xml:space="preserve"> إلى </w:t>
      </w:r>
      <w:r w:rsidR="00573551">
        <w:rPr>
          <w:rFonts w:hint="cs"/>
          <w:rtl/>
        </w:rPr>
        <w:t>29</w:t>
      </w:r>
      <w:r w:rsidR="00C742C5">
        <w:rPr>
          <w:rFonts w:hint="cs"/>
          <w:rtl/>
        </w:rPr>
        <w:t xml:space="preserve"> </w:t>
      </w:r>
      <w:r w:rsidR="00573551">
        <w:rPr>
          <w:rFonts w:hint="cs"/>
          <w:rtl/>
        </w:rPr>
        <w:t>مايو</w:t>
      </w:r>
      <w:r w:rsidR="00C742C5">
        <w:rPr>
          <w:rFonts w:hint="cs"/>
          <w:rtl/>
        </w:rPr>
        <w:t xml:space="preserve"> </w:t>
      </w:r>
      <w:r w:rsidR="00573551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97DBA" w:rsidP="00FB7EC9">
      <w:pPr>
        <w:pStyle w:val="DocumentTitleAR"/>
        <w:bidi/>
        <w:rPr>
          <w:rtl/>
          <w:lang w:bidi="ar-EG"/>
        </w:rPr>
      </w:pPr>
      <w:r>
        <w:rPr>
          <w:rFonts w:hint="cs"/>
          <w:rtl/>
        </w:rPr>
        <w:t>مشروع جدول الأعمال</w:t>
      </w:r>
      <w:r w:rsidR="00CF1453">
        <w:t xml:space="preserve"> </w:t>
      </w:r>
      <w:r w:rsidR="00CF1453">
        <w:rPr>
          <w:rFonts w:hint="cs"/>
          <w:rtl/>
          <w:lang w:bidi="ar-EG"/>
        </w:rPr>
        <w:t>المعدل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97DBA">
        <w:rPr>
          <w:rFonts w:hint="cs"/>
          <w:rtl/>
        </w:rPr>
        <w:t xml:space="preserve"> الأمانة</w:t>
      </w:r>
    </w:p>
    <w:p w:rsidR="00A97DBA" w:rsidRDefault="00A97DBA" w:rsidP="00F57B57">
      <w:pPr>
        <w:pStyle w:val="NumberedParaAR"/>
        <w:rPr>
          <w:rtl/>
        </w:rPr>
      </w:pPr>
      <w:r>
        <w:rPr>
          <w:rtl/>
        </w:rPr>
        <w:t>افتتاح الدورة</w:t>
      </w:r>
    </w:p>
    <w:p w:rsidR="00A97DBA" w:rsidRDefault="00A97DBA" w:rsidP="00F57B57">
      <w:pPr>
        <w:pStyle w:val="NumberedParaAR"/>
        <w:rPr>
          <w:rtl/>
        </w:rPr>
      </w:pPr>
      <w:r>
        <w:rPr>
          <w:rtl/>
        </w:rPr>
        <w:t>انتخاب الرئيس ونائبي الرئيس</w:t>
      </w:r>
    </w:p>
    <w:p w:rsidR="00A97DBA" w:rsidRDefault="00A97DBA" w:rsidP="00F57B57">
      <w:pPr>
        <w:pStyle w:val="NumberedParaAR"/>
        <w:spacing w:after="0"/>
      </w:pPr>
      <w:r>
        <w:rPr>
          <w:rtl/>
        </w:rPr>
        <w:t>اعتماد جدول الأعمال</w:t>
      </w:r>
    </w:p>
    <w:p w:rsidR="00D2165E" w:rsidRDefault="00D2165E" w:rsidP="00CA1D84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>(الوثيقة</w:t>
      </w:r>
      <w:r>
        <w:t>PCT/WG/8/1/Rev.</w:t>
      </w:r>
      <w:r w:rsidR="002E0FF8">
        <w:t>2</w:t>
      </w:r>
      <w:r>
        <w:t> </w:t>
      </w:r>
      <w:r>
        <w:rPr>
          <w:rFonts w:hint="cs"/>
          <w:rtl/>
        </w:rPr>
        <w:t>)</w:t>
      </w:r>
    </w:p>
    <w:p w:rsidR="002E0FF8" w:rsidRDefault="002E0FF8" w:rsidP="002E0FF8">
      <w:pPr>
        <w:pStyle w:val="NumberedParaAR"/>
        <w:spacing w:after="0"/>
      </w:pPr>
      <w:r w:rsidRPr="00567452">
        <w:rPr>
          <w:rFonts w:hint="eastAsia"/>
          <w:rtl/>
        </w:rPr>
        <w:t>اجتماع</w:t>
      </w:r>
      <w:r w:rsidRPr="00567452">
        <w:rPr>
          <w:rtl/>
        </w:rPr>
        <w:t xml:space="preserve"> الإدارات الدولية العاملة في ظل معاهدة التعاون بشأن البراءات: تقرير عن الدورة الثانية والعشرين</w:t>
      </w:r>
    </w:p>
    <w:p w:rsidR="002E0FF8" w:rsidRDefault="002E0FF8" w:rsidP="002E0FF8">
      <w:pPr>
        <w:pStyle w:val="NumberedParaAR"/>
        <w:numPr>
          <w:ilvl w:val="0"/>
          <w:numId w:val="0"/>
        </w:numPr>
        <w:ind w:firstLine="567"/>
        <w:rPr>
          <w:rFonts w:hint="cs"/>
          <w:rtl/>
        </w:rPr>
      </w:pPr>
      <w:r>
        <w:rPr>
          <w:rFonts w:hint="cs"/>
          <w:rtl/>
        </w:rPr>
        <w:t xml:space="preserve">(الوثيقة </w:t>
      </w:r>
      <w:r>
        <w:t>PCT/WG/8/2</w:t>
      </w:r>
      <w:r>
        <w:rPr>
          <w:rFonts w:hint="cs"/>
          <w:rtl/>
        </w:rPr>
        <w:t>)</w:t>
      </w:r>
    </w:p>
    <w:p w:rsidR="00A97DBA" w:rsidRPr="005A76C0" w:rsidRDefault="00CA1D84" w:rsidP="00F57B57">
      <w:pPr>
        <w:pStyle w:val="NumberedParaAR"/>
        <w:rPr>
          <w:rtl/>
        </w:rPr>
      </w:pPr>
      <w:r>
        <w:rPr>
          <w:rFonts w:hint="cs"/>
          <w:rtl/>
        </w:rPr>
        <w:t>إحصاءات قطاع معاهدة التعاون بشأن البراءات</w:t>
      </w:r>
    </w:p>
    <w:p w:rsidR="003647AA" w:rsidRDefault="00CA1D84" w:rsidP="00CA1D84">
      <w:pPr>
        <w:pStyle w:val="NumberedParaAR"/>
        <w:spacing w:after="0"/>
      </w:pPr>
      <w:r>
        <w:rPr>
          <w:rFonts w:hint="cs"/>
          <w:rtl/>
        </w:rPr>
        <w:t>الخدمات الإلكترونية في قطاع معاهدة التعاون بشأن البراءات</w:t>
      </w:r>
    </w:p>
    <w:p w:rsidR="00D2165E" w:rsidRDefault="003647AA" w:rsidP="003647AA">
      <w:pPr>
        <w:pStyle w:val="NumberedParaAR"/>
        <w:numPr>
          <w:ilvl w:val="0"/>
          <w:numId w:val="0"/>
        </w:numPr>
        <w:ind w:firstLine="567"/>
        <w:rPr>
          <w:rtl/>
        </w:rPr>
      </w:pPr>
      <w:r>
        <w:rPr>
          <w:rFonts w:hint="cs"/>
          <w:rtl/>
        </w:rPr>
        <w:t xml:space="preserve">(الوثيقة </w:t>
      </w:r>
      <w:r>
        <w:t>PCT/WG/8/20</w:t>
      </w:r>
      <w:r>
        <w:rPr>
          <w:rFonts w:hint="cs"/>
          <w:rtl/>
        </w:rPr>
        <w:t>)</w:t>
      </w:r>
    </w:p>
    <w:p w:rsidR="00B9584F" w:rsidRPr="00D61541" w:rsidRDefault="00B9584F" w:rsidP="00F57B57">
      <w:pPr>
        <w:pStyle w:val="NumberedParaAR"/>
        <w:spacing w:after="0"/>
        <w:rPr>
          <w:rtl/>
        </w:rPr>
      </w:pPr>
      <w:r>
        <w:rPr>
          <w:rFonts w:hint="cs"/>
          <w:rtl/>
        </w:rPr>
        <w:t>تكملة للدراسة بشأن "</w:t>
      </w:r>
      <w:r w:rsidRPr="006A495A">
        <w:rPr>
          <w:rtl/>
        </w:rPr>
        <w:t xml:space="preserve"> تقدير المرونة في رسوم معاهدة التعاون بشأن البراءات</w:t>
      </w:r>
      <w:r>
        <w:rPr>
          <w:rFonts w:hint="cs"/>
          <w:rtl/>
        </w:rPr>
        <w:t>"</w:t>
      </w:r>
    </w:p>
    <w:p w:rsidR="00D2165E" w:rsidRDefault="00D2165E" w:rsidP="003647AA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</w:t>
      </w:r>
      <w:r w:rsidR="003647AA">
        <w:t>11</w:t>
      </w:r>
      <w:r>
        <w:rPr>
          <w:rFonts w:hint="cs"/>
          <w:rtl/>
        </w:rPr>
        <w:t>)</w:t>
      </w:r>
    </w:p>
    <w:p w:rsidR="00B9584F" w:rsidRDefault="00CA1D84" w:rsidP="00CA1D84">
      <w:pPr>
        <w:pStyle w:val="NumberedParaAR"/>
        <w:keepNext/>
        <w:spacing w:after="0"/>
        <w:ind w:left="566" w:hanging="566"/>
      </w:pPr>
      <w:r>
        <w:rPr>
          <w:rFonts w:hint="cs"/>
          <w:rtl/>
        </w:rPr>
        <w:lastRenderedPageBreak/>
        <w:t>الإيرادات المتأتية من رسوم معاهدة التعاون بشأن البراءات: تدابير ممكنة من أجل الحد من التعرّض للتغيرات في معدلات أسعار الصرف</w:t>
      </w:r>
    </w:p>
    <w:p w:rsidR="00E51322" w:rsidRDefault="00E51322" w:rsidP="003647AA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 w:rsidR="003647AA">
        <w:t>PCT/WG/8/15</w:t>
      </w:r>
      <w:r>
        <w:rPr>
          <w:rFonts w:hint="cs"/>
          <w:rtl/>
        </w:rPr>
        <w:t>)</w:t>
      </w:r>
    </w:p>
    <w:p w:rsidR="00E51322" w:rsidRDefault="00CB441A" w:rsidP="00E51322">
      <w:pPr>
        <w:pStyle w:val="NumberedParaAR"/>
        <w:spacing w:after="0"/>
      </w:pPr>
      <w:r>
        <w:rPr>
          <w:rFonts w:hint="cs"/>
          <w:rtl/>
        </w:rPr>
        <w:t xml:space="preserve">تنسيق المساعدة التقنية </w:t>
      </w:r>
      <w:r w:rsidRPr="00567452">
        <w:rPr>
          <w:rtl/>
        </w:rPr>
        <w:t>في ظل معاهدة التعاون بشأن البراءات</w:t>
      </w:r>
    </w:p>
    <w:p w:rsidR="00F57B57" w:rsidRDefault="00E51322" w:rsidP="003647AA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 w:rsidR="003647AA">
        <w:t>PCT/WG/8/16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>
        <w:rPr>
          <w:rFonts w:hint="cs"/>
          <w:rtl/>
        </w:rPr>
        <w:t>تدريب الفاحصين</w:t>
      </w:r>
    </w:p>
    <w:p w:rsidR="00D2165E" w:rsidRDefault="00D2165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</w:t>
      </w:r>
      <w:r w:rsidR="004C2467">
        <w:t>7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>
        <w:rPr>
          <w:rFonts w:hint="cs"/>
          <w:rtl/>
        </w:rPr>
        <w:t>تعيين الإدارات الدولية</w:t>
      </w:r>
    </w:p>
    <w:p w:rsidR="00D2165E" w:rsidRPr="00D61541" w:rsidRDefault="00D2165E" w:rsidP="00F57B57">
      <w:pPr>
        <w:pStyle w:val="NumberedParaAR"/>
        <w:numPr>
          <w:ilvl w:val="0"/>
          <w:numId w:val="0"/>
        </w:numPr>
        <w:ind w:firstLine="567"/>
        <w:rPr>
          <w:rtl/>
        </w:rPr>
      </w:pPr>
      <w:r>
        <w:rPr>
          <w:rFonts w:hint="cs"/>
          <w:rtl/>
        </w:rPr>
        <w:t xml:space="preserve">(الوثيقة </w:t>
      </w:r>
      <w:r>
        <w:t>PCT/WG/8/</w:t>
      </w:r>
      <w:r w:rsidR="00142E1E">
        <w:t>3</w:t>
      </w:r>
      <w:r>
        <w:rPr>
          <w:rFonts w:hint="cs"/>
          <w:rtl/>
        </w:rPr>
        <w:t>)</w:t>
      </w:r>
    </w:p>
    <w:p w:rsidR="003647AA" w:rsidRDefault="00CB441A" w:rsidP="003647AA">
      <w:pPr>
        <w:pStyle w:val="NumberedParaAR"/>
        <w:spacing w:after="0"/>
      </w:pPr>
      <w:r>
        <w:rPr>
          <w:rFonts w:hint="cs"/>
          <w:rtl/>
        </w:rPr>
        <w:t xml:space="preserve">نظام </w:t>
      </w:r>
      <w:r>
        <w:t>PCT Direct</w:t>
      </w:r>
      <w:r>
        <w:rPr>
          <w:rFonts w:hint="cs"/>
          <w:rtl/>
          <w:lang w:bidi="ar-EG"/>
        </w:rPr>
        <w:t xml:space="preserve"> - خدمة جديدة من أجل تعزيز استخدام نظام </w:t>
      </w:r>
      <w:r w:rsidRPr="00567452">
        <w:rPr>
          <w:rtl/>
        </w:rPr>
        <w:t>معاهدة التعاون بشأن البراءات</w:t>
      </w:r>
    </w:p>
    <w:p w:rsidR="00B9584F" w:rsidRDefault="003647AA" w:rsidP="003647AA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PCT/WG/8/17</w:t>
      </w:r>
      <w:r>
        <w:rPr>
          <w:rFonts w:hint="cs"/>
          <w:rtl/>
        </w:rPr>
        <w:t>)</w:t>
      </w:r>
    </w:p>
    <w:p w:rsidR="003647AA" w:rsidRDefault="00CB441A" w:rsidP="003647AA">
      <w:pPr>
        <w:pStyle w:val="NumberedParaAR"/>
        <w:spacing w:after="0"/>
      </w:pPr>
      <w:r>
        <w:rPr>
          <w:rFonts w:hint="cs"/>
          <w:rtl/>
        </w:rPr>
        <w:t>إرسال نتائج البحث المبكر و/أو التصنيف من مكاتب تسلّم الطلبات إلى إدارات البحث الدولي</w:t>
      </w:r>
    </w:p>
    <w:p w:rsidR="00B9584F" w:rsidRDefault="003647AA" w:rsidP="003647AA">
      <w:pPr>
        <w:pStyle w:val="NumberedParaAR"/>
        <w:numPr>
          <w:ilvl w:val="0"/>
          <w:numId w:val="0"/>
        </w:numPr>
        <w:ind w:firstLine="567"/>
        <w:rPr>
          <w:rFonts w:hint="cs"/>
          <w:rtl/>
        </w:rPr>
      </w:pPr>
      <w:r>
        <w:rPr>
          <w:rFonts w:hint="cs"/>
          <w:rtl/>
        </w:rPr>
        <w:t xml:space="preserve">(الوثيقة </w:t>
      </w:r>
      <w:r>
        <w:t>PCT/WG/8/18</w:t>
      </w:r>
      <w:r>
        <w:rPr>
          <w:rFonts w:hint="cs"/>
          <w:rtl/>
        </w:rPr>
        <w:t>)</w:t>
      </w:r>
    </w:p>
    <w:p w:rsidR="002E0FF8" w:rsidRDefault="002E0FF8" w:rsidP="008039D9">
      <w:pPr>
        <w:pStyle w:val="NumberedParaAR"/>
        <w:spacing w:after="0"/>
      </w:pPr>
      <w:r>
        <w:rPr>
          <w:rtl/>
        </w:rPr>
        <w:t>الرد الإلزامي على</w:t>
      </w:r>
      <w:r>
        <w:rPr>
          <w:rFonts w:hint="cs"/>
          <w:rtl/>
        </w:rPr>
        <w:t xml:space="preserve"> تعليقات </w:t>
      </w:r>
      <w:r w:rsidRPr="002E0FF8">
        <w:rPr>
          <w:rtl/>
        </w:rPr>
        <w:t>سلبي</w:t>
      </w:r>
      <w:r>
        <w:rPr>
          <w:rFonts w:hint="cs"/>
          <w:rtl/>
        </w:rPr>
        <w:t xml:space="preserve">ة في التقارير الدولية </w:t>
      </w:r>
      <w:r w:rsidR="008039D9">
        <w:rPr>
          <w:rFonts w:hint="cs"/>
          <w:rtl/>
        </w:rPr>
        <w:t>بشأن</w:t>
      </w:r>
      <w:r>
        <w:rPr>
          <w:rFonts w:hint="cs"/>
          <w:rtl/>
        </w:rPr>
        <w:t xml:space="preserve"> الدخول في المرحلة الوطنية</w:t>
      </w:r>
    </w:p>
    <w:p w:rsidR="002E0FF8" w:rsidRDefault="002E0FF8" w:rsidP="002E0FF8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</w:t>
      </w:r>
      <w:r>
        <w:t>24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B9584F">
        <w:rPr>
          <w:rFonts w:hint="cs"/>
          <w:rtl/>
        </w:rPr>
        <w:t>معلومات بشأن دخول المرحلة الوطنية والنصوص المترجمة</w:t>
      </w:r>
    </w:p>
    <w:p w:rsidR="004C2467" w:rsidRDefault="004C2467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PCT/WG/8/8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>
        <w:rPr>
          <w:rFonts w:hint="cs"/>
          <w:rtl/>
        </w:rPr>
        <w:t>م</w:t>
      </w:r>
      <w:r w:rsidRPr="00941208">
        <w:rPr>
          <w:rtl/>
        </w:rPr>
        <w:t>راجعة نظام البحث الدولي التكميلي</w:t>
      </w:r>
    </w:p>
    <w:p w:rsidR="004C2467" w:rsidRDefault="004C2467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PCT/WG/8/6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445A80">
        <w:rPr>
          <w:rtl/>
        </w:rPr>
        <w:t>دخول المرحلة الوطنية باستخدام النظام الإلكتروني لمعاهدة التعاون بشأن البراءات (</w:t>
      </w:r>
      <w:r w:rsidRPr="00445A80">
        <w:t>ePCT</w:t>
      </w:r>
      <w:r w:rsidRPr="00445A80">
        <w:rPr>
          <w:rtl/>
        </w:rPr>
        <w:t>)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PCT/WG/8/19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D6137E">
        <w:rPr>
          <w:rtl/>
        </w:rPr>
        <w:t>الحد الأدنى للوثائق المنصوص عليها في معاهدة التعاون بشأن البراءات</w:t>
      </w:r>
      <w:r>
        <w:rPr>
          <w:rFonts w:hint="cs"/>
          <w:rtl/>
        </w:rPr>
        <w:t>:</w:t>
      </w:r>
      <w:r>
        <w:t xml:space="preserve"> </w:t>
      </w:r>
      <w:r>
        <w:rPr>
          <w:rFonts w:hint="cs"/>
          <w:rtl/>
        </w:rPr>
        <w:t>ت</w:t>
      </w:r>
      <w:r w:rsidRPr="00D6137E">
        <w:rPr>
          <w:rtl/>
        </w:rPr>
        <w:t>عريف مستندات البراءات ونطاقها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PCT/WG/8/9</w:t>
      </w:r>
      <w:r>
        <w:rPr>
          <w:rFonts w:hint="cs"/>
          <w:rtl/>
        </w:rPr>
        <w:t>)</w:t>
      </w:r>
    </w:p>
    <w:p w:rsidR="00142E1E" w:rsidRDefault="00B9584F" w:rsidP="00F57B57">
      <w:pPr>
        <w:pStyle w:val="NumberedParaAR"/>
        <w:spacing w:after="0"/>
      </w:pPr>
      <w:r>
        <w:rPr>
          <w:rFonts w:hint="cs"/>
          <w:rtl/>
        </w:rPr>
        <w:t>معيار عرض قوائم التسلسل بناء على معاهدة التعاون بشأن البراءات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PCT/WG/8/13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640FF9">
        <w:rPr>
          <w:rtl/>
        </w:rPr>
        <w:t xml:space="preserve">مراجعة معيار الويبو </w:t>
      </w:r>
      <w:r w:rsidRPr="00640FF9">
        <w:t>ST.14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PCT/WG/8/10</w:t>
      </w:r>
      <w:r>
        <w:rPr>
          <w:rFonts w:hint="cs"/>
          <w:rtl/>
        </w:rPr>
        <w:t>)</w:t>
      </w:r>
    </w:p>
    <w:p w:rsidR="003647AA" w:rsidRDefault="003C4633" w:rsidP="003647AA">
      <w:pPr>
        <w:pStyle w:val="NumberedParaAR"/>
        <w:spacing w:after="0"/>
      </w:pPr>
      <w:r>
        <w:rPr>
          <w:rFonts w:hint="cs"/>
          <w:rtl/>
        </w:rPr>
        <w:t>الرسوم الملوّنة</w:t>
      </w:r>
    </w:p>
    <w:p w:rsidR="00B9584F" w:rsidRDefault="003647AA" w:rsidP="003647AA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PCT/WG/8/21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B9584F">
        <w:rPr>
          <w:rtl/>
        </w:rPr>
        <w:t>توضيح الإجراء المتعلق بتضمين الأجزاء غير الموجودة بالإحالة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PCT/WG/8/4</w:t>
      </w:r>
      <w:r>
        <w:rPr>
          <w:rFonts w:hint="cs"/>
          <w:rtl/>
        </w:rPr>
        <w:t>)</w:t>
      </w:r>
    </w:p>
    <w:p w:rsidR="00B9584F" w:rsidRDefault="00B9584F" w:rsidP="00F57B57">
      <w:pPr>
        <w:pStyle w:val="NumberedParaAR"/>
        <w:spacing w:after="0"/>
      </w:pPr>
      <w:r w:rsidRPr="00296DCA">
        <w:rPr>
          <w:rtl/>
        </w:rPr>
        <w:lastRenderedPageBreak/>
        <w:t>المطالبات بالأولوية في نفس اليوم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PCT/WG/8/5</w:t>
      </w:r>
      <w:r>
        <w:rPr>
          <w:rFonts w:hint="cs"/>
          <w:rtl/>
        </w:rPr>
        <w:t>)</w:t>
      </w:r>
    </w:p>
    <w:p w:rsidR="00B9584F" w:rsidRDefault="00B9584F" w:rsidP="007E220B">
      <w:pPr>
        <w:pStyle w:val="NumberedParaAR"/>
        <w:keepNext/>
        <w:spacing w:after="0"/>
      </w:pPr>
      <w:r>
        <w:rPr>
          <w:rFonts w:hint="cs"/>
          <w:rtl/>
        </w:rPr>
        <w:t>عدم إتاحة بعض المعلومات للجمهور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PCT/WG/8/12</w:t>
      </w:r>
      <w:r>
        <w:rPr>
          <w:rFonts w:hint="cs"/>
          <w:rtl/>
        </w:rPr>
        <w:t>)</w:t>
      </w:r>
    </w:p>
    <w:p w:rsidR="00B9584F" w:rsidRDefault="00B9584F" w:rsidP="00381967">
      <w:pPr>
        <w:pStyle w:val="NumberedParaAR"/>
        <w:spacing w:after="0"/>
      </w:pPr>
      <w:r w:rsidRPr="00482812">
        <w:rPr>
          <w:rFonts w:hint="cs"/>
          <w:rtl/>
        </w:rPr>
        <w:t>تزويد</w:t>
      </w:r>
      <w:r w:rsidRPr="00482812">
        <w:rPr>
          <w:rtl/>
        </w:rPr>
        <w:t xml:space="preserve"> المكتب الدولي </w:t>
      </w:r>
      <w:r w:rsidRPr="00482812">
        <w:rPr>
          <w:rFonts w:hint="cs"/>
          <w:rtl/>
        </w:rPr>
        <w:t>ب</w:t>
      </w:r>
      <w:r w:rsidRPr="00482812">
        <w:rPr>
          <w:rtl/>
        </w:rPr>
        <w:t xml:space="preserve">نسخ </w:t>
      </w:r>
      <w:r w:rsidRPr="00482812">
        <w:rPr>
          <w:rFonts w:hint="cs"/>
          <w:rtl/>
        </w:rPr>
        <w:t>الوثائق المستلمة</w:t>
      </w:r>
      <w:r w:rsidRPr="00482812">
        <w:rPr>
          <w:rtl/>
        </w:rPr>
        <w:t xml:space="preserve"> في سياق التماس </w:t>
      </w:r>
      <w:r w:rsidRPr="00482812">
        <w:rPr>
          <w:rFonts w:hint="cs"/>
          <w:rtl/>
        </w:rPr>
        <w:t>ل</w:t>
      </w:r>
      <w:r w:rsidRPr="00482812">
        <w:rPr>
          <w:rtl/>
        </w:rPr>
        <w:t>ردّ حق الأولوية</w:t>
      </w:r>
    </w:p>
    <w:p w:rsidR="00142E1E" w:rsidRDefault="00142E1E" w:rsidP="00F57B57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PCT/WG/8/14</w:t>
      </w:r>
      <w:r>
        <w:rPr>
          <w:rFonts w:hint="cs"/>
          <w:rtl/>
        </w:rPr>
        <w:t>)</w:t>
      </w:r>
    </w:p>
    <w:p w:rsidR="002E0FF8" w:rsidRDefault="002E0FF8" w:rsidP="002E0FF8">
      <w:pPr>
        <w:pStyle w:val="NumberedParaAR"/>
        <w:spacing w:after="0"/>
      </w:pPr>
      <w:r w:rsidRPr="002E0FF8">
        <w:rPr>
          <w:rtl/>
        </w:rPr>
        <w:t>حالات التأخر والقوة القاهرة فيما يخص التواصل الإلكتروني</w:t>
      </w:r>
    </w:p>
    <w:p w:rsidR="002E0FF8" w:rsidRDefault="002E0FF8" w:rsidP="002E0FF8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</w:t>
      </w:r>
      <w:r>
        <w:t>22</w:t>
      </w:r>
      <w:r>
        <w:rPr>
          <w:rFonts w:hint="cs"/>
          <w:rtl/>
        </w:rPr>
        <w:t>)</w:t>
      </w:r>
    </w:p>
    <w:p w:rsidR="002E0FF8" w:rsidRDefault="002E0FF8" w:rsidP="002E0FF8">
      <w:pPr>
        <w:pStyle w:val="NumberedParaAR"/>
        <w:spacing w:after="0"/>
      </w:pPr>
      <w:r w:rsidRPr="002E0FF8">
        <w:rPr>
          <w:rtl/>
        </w:rPr>
        <w:t>لغات التواصل مع المكتب الدولي</w:t>
      </w:r>
    </w:p>
    <w:p w:rsidR="002E0FF8" w:rsidRDefault="002E0FF8" w:rsidP="002E0FF8">
      <w:pPr>
        <w:pStyle w:val="NumberedParaAR"/>
        <w:numPr>
          <w:ilvl w:val="0"/>
          <w:numId w:val="0"/>
        </w:numPr>
        <w:ind w:firstLine="567"/>
      </w:pPr>
      <w:r>
        <w:rPr>
          <w:rFonts w:hint="cs"/>
          <w:rtl/>
        </w:rPr>
        <w:t xml:space="preserve">(الوثيقة </w:t>
      </w:r>
      <w:r>
        <w:t>PCT/WG/8/</w:t>
      </w:r>
      <w:r>
        <w:t>23</w:t>
      </w:r>
      <w:r>
        <w:rPr>
          <w:rFonts w:hint="cs"/>
          <w:rtl/>
        </w:rPr>
        <w:t>)</w:t>
      </w:r>
    </w:p>
    <w:p w:rsidR="00624681" w:rsidRDefault="00624681" w:rsidP="00F57B57">
      <w:pPr>
        <w:pStyle w:val="NumberedParaAR"/>
        <w:rPr>
          <w:rtl/>
        </w:rPr>
      </w:pPr>
      <w:r>
        <w:rPr>
          <w:rtl/>
        </w:rPr>
        <w:t>مسائل أخرى</w:t>
      </w:r>
    </w:p>
    <w:p w:rsidR="00624681" w:rsidRDefault="00624681" w:rsidP="00F57B57">
      <w:pPr>
        <w:pStyle w:val="NumberedParaAR"/>
        <w:rPr>
          <w:rtl/>
        </w:rPr>
      </w:pPr>
      <w:r>
        <w:rPr>
          <w:rtl/>
        </w:rPr>
        <w:t>ملخص الرئيس</w:t>
      </w:r>
    </w:p>
    <w:p w:rsidR="00B9584F" w:rsidRDefault="00624681" w:rsidP="00F57B57">
      <w:pPr>
        <w:pStyle w:val="NumberedParaAR"/>
      </w:pPr>
      <w:r>
        <w:rPr>
          <w:rtl/>
        </w:rPr>
        <w:t>اختتام الدورة</w:t>
      </w:r>
    </w:p>
    <w:p w:rsidR="00D61541" w:rsidRDefault="00A97DBA" w:rsidP="00A97DBA">
      <w:pPr>
        <w:pStyle w:val="EndofDocumentAR"/>
      </w:pPr>
      <w:bookmarkStart w:id="2" w:name="_GoBack"/>
      <w:bookmarkEnd w:id="2"/>
      <w:r>
        <w:rPr>
          <w:rtl/>
        </w:rPr>
        <w:t>[نهاية الوثيقة]</w:t>
      </w:r>
    </w:p>
    <w:sectPr w:rsidR="00D6154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1A" w:rsidRDefault="002D0D1A">
      <w:r>
        <w:separator/>
      </w:r>
    </w:p>
  </w:endnote>
  <w:endnote w:type="continuationSeparator" w:id="0">
    <w:p w:rsidR="002D0D1A" w:rsidRDefault="002D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1A" w:rsidRDefault="002D0D1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D0D1A" w:rsidRDefault="002D0D1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4E397B">
    <w:r>
      <w:t>PCT</w:t>
    </w:r>
    <w:r w:rsidR="00772E46">
      <w:t>/</w:t>
    </w:r>
    <w:r w:rsidR="00C742C5">
      <w:t>WG</w:t>
    </w:r>
    <w:r w:rsidR="002F77FC">
      <w:t>/</w:t>
    </w:r>
    <w:r w:rsidR="004E397B">
      <w:t>8</w:t>
    </w:r>
    <w:r w:rsidR="002F77FC">
      <w:t>/</w:t>
    </w:r>
    <w:r w:rsidR="004E397B">
      <w:t>1</w:t>
    </w:r>
    <w:r w:rsidR="00CF1453">
      <w:t xml:space="preserve"> Rev.</w:t>
    </w:r>
    <w:r w:rsidR="008039D9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C660D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2909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E1E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09E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344"/>
    <w:rsid w:val="00207616"/>
    <w:rsid w:val="00207F10"/>
    <w:rsid w:val="002112E6"/>
    <w:rsid w:val="00212C42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D1A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FF8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7AA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196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AC0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633"/>
    <w:rsid w:val="003C4877"/>
    <w:rsid w:val="003C4B42"/>
    <w:rsid w:val="003C4E91"/>
    <w:rsid w:val="003C5E3E"/>
    <w:rsid w:val="003C6D76"/>
    <w:rsid w:val="003C72F6"/>
    <w:rsid w:val="003D073C"/>
    <w:rsid w:val="003D0791"/>
    <w:rsid w:val="003D1130"/>
    <w:rsid w:val="003D37D4"/>
    <w:rsid w:val="003D47A7"/>
    <w:rsid w:val="003D4C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10B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6FCB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46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97B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551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6C0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5D7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681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20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9D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18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DBA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0802"/>
    <w:rsid w:val="00B92958"/>
    <w:rsid w:val="00B93957"/>
    <w:rsid w:val="00B9404A"/>
    <w:rsid w:val="00B94877"/>
    <w:rsid w:val="00B9491F"/>
    <w:rsid w:val="00B9584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660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D84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41A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453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76D"/>
    <w:rsid w:val="00D2165E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3AF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22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B57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09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78D4-B929-4D24-92A8-10FDB849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PCT/WG/7/1 (Arabic)</vt:lpstr>
    </vt:vector>
  </TitlesOfParts>
  <Company>World Intellectual Property Organization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PCT/WG/7/1 (Arabic)</dc:title>
  <dc:subject>مشروع جدول الأعمال</dc:subject>
  <dc:creator>من إعداد الأمانة</dc:creator>
  <cp:lastModifiedBy>ABOULHOUCINE Driss</cp:lastModifiedBy>
  <cp:revision>9</cp:revision>
  <cp:lastPrinted>2015-05-14T07:44:00Z</cp:lastPrinted>
  <dcterms:created xsi:type="dcterms:W3CDTF">2015-05-14T07:34:00Z</dcterms:created>
  <dcterms:modified xsi:type="dcterms:W3CDTF">2015-05-14T07:44:00Z</dcterms:modified>
</cp:coreProperties>
</file>