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F64286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5C64F7">
              <w:t>8</w:t>
            </w:r>
            <w:r w:rsidR="00B6101C" w:rsidRPr="00B6101C">
              <w:t>/</w:t>
            </w:r>
            <w:r w:rsidR="00F64286">
              <w:t>10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64286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F64286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64286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F64286">
              <w:rPr>
                <w:rFonts w:hint="cs"/>
                <w:rtl/>
              </w:rPr>
              <w:t>26</w:t>
            </w:r>
            <w:r w:rsidRPr="00B6101C">
              <w:rPr>
                <w:rFonts w:hint="cs"/>
                <w:rtl/>
              </w:rPr>
              <w:t xml:space="preserve"> </w:t>
            </w:r>
            <w:r w:rsidR="00F64286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5C64F7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5C64F7">
        <w:rPr>
          <w:rFonts w:ascii="Cambria Math" w:hAnsi="Cambria Math" w:hint="cs"/>
          <w:rtl/>
        </w:rPr>
        <w:t>الثامنة</w:t>
      </w:r>
    </w:p>
    <w:p w:rsidR="00D61541" w:rsidRPr="00D61541" w:rsidRDefault="00D61541" w:rsidP="005C64F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5C64F7">
        <w:rPr>
          <w:rFonts w:hint="cs"/>
          <w:rtl/>
        </w:rPr>
        <w:t>26</w:t>
      </w:r>
      <w:r w:rsidR="00C742C5">
        <w:rPr>
          <w:rFonts w:hint="cs"/>
          <w:rtl/>
        </w:rPr>
        <w:t xml:space="preserve"> إلى </w:t>
      </w:r>
      <w:r w:rsidR="005C64F7">
        <w:rPr>
          <w:rFonts w:hint="cs"/>
          <w:rtl/>
        </w:rPr>
        <w:t>29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مايو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640FF9" w:rsidP="00FB7EC9">
      <w:pPr>
        <w:pStyle w:val="DocumentTitleAR"/>
        <w:bidi/>
        <w:rPr>
          <w:rtl/>
        </w:rPr>
      </w:pPr>
      <w:r w:rsidRPr="00640FF9">
        <w:rPr>
          <w:rtl/>
        </w:rPr>
        <w:t xml:space="preserve">مراجعة معيار الويبو </w:t>
      </w:r>
      <w:r w:rsidRPr="00640FF9">
        <w:t>ST.14</w:t>
      </w:r>
    </w:p>
    <w:p w:rsidR="00D61541" w:rsidRDefault="00640FF9" w:rsidP="00931859">
      <w:pPr>
        <w:pStyle w:val="PreparedbyAR"/>
        <w:bidi/>
      </w:pPr>
      <w:r w:rsidRPr="00640FF9">
        <w:rPr>
          <w:rtl/>
        </w:rPr>
        <w:t>وثيقة من إعداد المكتب الدولي</w:t>
      </w:r>
    </w:p>
    <w:p w:rsidR="00640FF9" w:rsidRDefault="00640FF9" w:rsidP="003A7DF2">
      <w:pPr>
        <w:pStyle w:val="NumberedParaAR"/>
        <w:rPr>
          <w:rtl/>
        </w:rPr>
      </w:pPr>
      <w:r>
        <w:rPr>
          <w:rtl/>
        </w:rPr>
        <w:t xml:space="preserve">اتفقت اللجنة المعنية بمعايير الويبو </w:t>
      </w:r>
      <w:r w:rsidR="00A95532">
        <w:rPr>
          <w:rFonts w:hint="cs"/>
          <w:rtl/>
        </w:rPr>
        <w:t xml:space="preserve">(لجنة المعايير) </w:t>
      </w:r>
      <w:r>
        <w:rPr>
          <w:rtl/>
        </w:rPr>
        <w:t xml:space="preserve">في دورتها الثانية التي عقدت في أبريل- مايو 2012 على إنشاء </w:t>
      </w:r>
      <w:r w:rsidR="003A7DF2">
        <w:rPr>
          <w:rFonts w:hint="cs"/>
          <w:rtl/>
        </w:rPr>
        <w:t xml:space="preserve">فرقة عمل للنظر في مراجعة معيار الويبو </w:t>
      </w:r>
      <w:r w:rsidR="003A7DF2" w:rsidRPr="003A7DF2">
        <w:t>ST.14</w:t>
      </w:r>
      <w:r w:rsidR="003A7DF2">
        <w:rPr>
          <w:rFonts w:hint="cs"/>
          <w:rtl/>
        </w:rPr>
        <w:t xml:space="preserve"> </w:t>
      </w:r>
      <w:r>
        <w:rPr>
          <w:rtl/>
        </w:rPr>
        <w:t>(انظر الفقر</w:t>
      </w:r>
      <w:r w:rsidR="003A7DF2">
        <w:rPr>
          <w:rFonts w:hint="cs"/>
          <w:rtl/>
        </w:rPr>
        <w:t>تين 30</w:t>
      </w:r>
      <w:r>
        <w:rPr>
          <w:rtl/>
        </w:rPr>
        <w:t xml:space="preserve"> </w:t>
      </w:r>
      <w:r w:rsidR="003A7DF2">
        <w:rPr>
          <w:rFonts w:hint="cs"/>
          <w:rtl/>
        </w:rPr>
        <w:t>و</w:t>
      </w:r>
      <w:r>
        <w:rPr>
          <w:rtl/>
        </w:rPr>
        <w:t xml:space="preserve">31 من الوثيقة </w:t>
      </w:r>
      <w:r>
        <w:t>CWS/2/14</w:t>
      </w:r>
      <w:r>
        <w:rPr>
          <w:rtl/>
        </w:rPr>
        <w:t>).</w:t>
      </w:r>
      <w:r w:rsidR="003A7DF2">
        <w:rPr>
          <w:rFonts w:hint="cs"/>
          <w:rtl/>
        </w:rPr>
        <w:t xml:space="preserve"> </w:t>
      </w:r>
      <w:r>
        <w:rPr>
          <w:rtl/>
        </w:rPr>
        <w:t>وتتألف المهمة من شقين:</w:t>
      </w:r>
    </w:p>
    <w:p w:rsidR="00640FF9" w:rsidRDefault="003A7DF2" w:rsidP="003A7DF2">
      <w:pPr>
        <w:pStyle w:val="NormalParaAR"/>
        <w:ind w:left="566"/>
        <w:rPr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r w:rsidR="00640FF9">
        <w:rPr>
          <w:rtl/>
        </w:rPr>
        <w:t xml:space="preserve">إعداد اقتراح بشأن مراجعة رموز الفئات المنصوص عليها في الفقرة 14 من معيار الويبو </w:t>
      </w:r>
      <w:r w:rsidR="00640FF9">
        <w:t>ST.14</w:t>
      </w:r>
      <w:r w:rsidR="00640FF9">
        <w:rPr>
          <w:rtl/>
        </w:rPr>
        <w:t xml:space="preserve"> مع مراعاة التعليقات ومشروع الاقتراحات الواردة في الفقرة 7 والفقرات من 10 إلى 14 من الوثيقة </w:t>
      </w:r>
      <w:r w:rsidR="00640FF9">
        <w:t>CWS/2/6</w:t>
      </w:r>
      <w:r w:rsidR="00640FF9">
        <w:rPr>
          <w:rtl/>
        </w:rPr>
        <w:t>.</w:t>
      </w:r>
    </w:p>
    <w:p w:rsidR="005C64F7" w:rsidRDefault="003A7DF2" w:rsidP="00252BDB">
      <w:pPr>
        <w:pStyle w:val="NormalParaAR"/>
        <w:ind w:left="566"/>
        <w:rPr>
          <w:rtl/>
        </w:rPr>
      </w:pPr>
      <w:r>
        <w:rPr>
          <w:rFonts w:hint="cs"/>
          <w:rtl/>
        </w:rPr>
        <w:t>"2"</w:t>
      </w:r>
      <w:r>
        <w:rPr>
          <w:rFonts w:hint="cs"/>
          <w:rtl/>
        </w:rPr>
        <w:tab/>
      </w:r>
      <w:r w:rsidR="00640FF9">
        <w:rPr>
          <w:rtl/>
        </w:rPr>
        <w:t xml:space="preserve">ودراسة ما إذا كان من المناسب مراجعة توصيات تحديد </w:t>
      </w:r>
      <w:r w:rsidR="00252BDB">
        <w:rPr>
          <w:rFonts w:hint="cs"/>
          <w:rtl/>
        </w:rPr>
        <w:t>الوثائق</w:t>
      </w:r>
      <w:r w:rsidR="00640FF9">
        <w:rPr>
          <w:rtl/>
        </w:rPr>
        <w:t xml:space="preserve"> </w:t>
      </w:r>
      <w:r w:rsidR="00252BDB">
        <w:rPr>
          <w:rFonts w:hint="cs"/>
          <w:rtl/>
        </w:rPr>
        <w:t>خلاف</w:t>
      </w:r>
      <w:r w:rsidR="00640FF9">
        <w:rPr>
          <w:rtl/>
        </w:rPr>
        <w:t xml:space="preserve"> البراءات المستشهد بها من أجل مواءمة معيار الويبو </w:t>
      </w:r>
      <w:r w:rsidR="00640FF9">
        <w:t>ST.14</w:t>
      </w:r>
      <w:r w:rsidR="00640FF9">
        <w:rPr>
          <w:rtl/>
        </w:rPr>
        <w:t xml:space="preserve"> مع المعيار الدولي </w:t>
      </w:r>
      <w:r w:rsidR="00640FF9">
        <w:t>ISO 690:2010</w:t>
      </w:r>
      <w:r w:rsidR="00640FF9">
        <w:rPr>
          <w:rtl/>
        </w:rPr>
        <w:t xml:space="preserve"> (المعلومات والوثائق- مبادئ توجيهية بشأن المراجع الببليوغرافية والاستشهادات من مصادر المعلومات) وإعداد اقتراح بذلك الشأن إذا تبيّن أن تلك المراجعة ملائمة.</w:t>
      </w:r>
    </w:p>
    <w:p w:rsidR="00A95532" w:rsidRDefault="00A95532" w:rsidP="005617CA">
      <w:pPr>
        <w:pStyle w:val="NumberedParaAR"/>
      </w:pPr>
      <w:r>
        <w:rPr>
          <w:rFonts w:hint="cs"/>
          <w:rtl/>
        </w:rPr>
        <w:t>ووس</w:t>
      </w:r>
      <w:r w:rsidR="00EB3FBC">
        <w:rPr>
          <w:rFonts w:hint="cs"/>
          <w:rtl/>
        </w:rPr>
        <w:t>ّ</w:t>
      </w:r>
      <w:r>
        <w:rPr>
          <w:rFonts w:hint="cs"/>
          <w:rtl/>
        </w:rPr>
        <w:t>عت لجنة المعايير نطاق الشق الثاني في</w:t>
      </w:r>
      <w:r w:rsidR="00EB3FBC">
        <w:rPr>
          <w:rFonts w:hint="cs"/>
          <w:rtl/>
        </w:rPr>
        <w:t xml:space="preserve"> </w:t>
      </w:r>
      <w:r>
        <w:rPr>
          <w:rFonts w:hint="cs"/>
          <w:rtl/>
        </w:rPr>
        <w:t xml:space="preserve">دورتها الثالثة المنعقدة في أبريل 2013 لدراسة </w:t>
      </w:r>
      <w:r w:rsidR="004A1FA9" w:rsidRPr="004A1FA9">
        <w:rPr>
          <w:rtl/>
        </w:rPr>
        <w:t xml:space="preserve">إدراج التوصيات </w:t>
      </w:r>
      <w:r w:rsidR="00EB3FBC">
        <w:rPr>
          <w:rFonts w:hint="cs"/>
          <w:rtl/>
        </w:rPr>
        <w:t>بشأن</w:t>
      </w:r>
      <w:r w:rsidR="004A1FA9" w:rsidRPr="004A1FA9">
        <w:rPr>
          <w:rtl/>
        </w:rPr>
        <w:t xml:space="preserve"> الاستشهاد بالوثائق بلغات غير لغة الوثيقة المستشهد بها فيها</w:t>
      </w:r>
      <w:r w:rsidR="00EB3FBC">
        <w:rPr>
          <w:rFonts w:hint="cs"/>
          <w:rtl/>
        </w:rPr>
        <w:t xml:space="preserve"> (انظر الفقرتين 21 و22 من الوثيقة </w:t>
      </w:r>
      <w:r w:rsidR="00EB3FBC" w:rsidRPr="00EB3FBC">
        <w:t>CWS/3/4</w:t>
      </w:r>
      <w:r w:rsidR="00EB3FBC">
        <w:rPr>
          <w:rFonts w:hint="cs"/>
          <w:rtl/>
        </w:rPr>
        <w:t xml:space="preserve"> والفقرتين</w:t>
      </w:r>
      <w:r w:rsidR="005617CA">
        <w:rPr>
          <w:rFonts w:hint="eastAsia"/>
          <w:rtl/>
        </w:rPr>
        <w:t> </w:t>
      </w:r>
      <w:r w:rsidR="00EB3FBC">
        <w:rPr>
          <w:rFonts w:hint="cs"/>
          <w:rtl/>
        </w:rPr>
        <w:t>40</w:t>
      </w:r>
      <w:r w:rsidR="005617CA">
        <w:rPr>
          <w:rFonts w:hint="eastAsia"/>
          <w:rtl/>
        </w:rPr>
        <w:t> </w:t>
      </w:r>
      <w:r w:rsidR="00EB3FBC">
        <w:rPr>
          <w:rFonts w:hint="cs"/>
          <w:rtl/>
        </w:rPr>
        <w:t>و41 من تقرير الدورة، الوثيقة </w:t>
      </w:r>
      <w:r w:rsidR="00EB3FBC" w:rsidRPr="00EB3FBC">
        <w:t>CWS/3/14</w:t>
      </w:r>
      <w:r w:rsidR="00EB3FBC">
        <w:rPr>
          <w:rFonts w:hint="cs"/>
          <w:rtl/>
        </w:rPr>
        <w:t>).</w:t>
      </w:r>
    </w:p>
    <w:p w:rsidR="00EB3FBC" w:rsidRDefault="005617CA" w:rsidP="00252BDB">
      <w:pPr>
        <w:pStyle w:val="NumberedParaAR"/>
      </w:pPr>
      <w:r>
        <w:rPr>
          <w:rFonts w:hint="cs"/>
          <w:rtl/>
        </w:rPr>
        <w:t>وأعد المكتب الدولي تقريرا مرحليا عن عمل فرقة العمل للجنة المعايير في دورتها الرابعة المنعقدة في مايو 2014 (الوثيقة </w:t>
      </w:r>
      <w:r w:rsidRPr="005617CA">
        <w:t>CWS/4/5</w:t>
      </w:r>
      <w:r>
        <w:rPr>
          <w:rFonts w:hint="cs"/>
          <w:rtl/>
        </w:rPr>
        <w:t>). ونوقش هذا البند من جدول أعمال الدورة (الوثيقة</w:t>
      </w:r>
      <w:r w:rsidR="00252BDB">
        <w:rPr>
          <w:rFonts w:hint="eastAsia"/>
          <w:rtl/>
        </w:rPr>
        <w:t> </w:t>
      </w:r>
      <w:r w:rsidR="00252BDB">
        <w:rPr>
          <w:rFonts w:hint="cs"/>
          <w:rtl/>
        </w:rPr>
        <w:t>.</w:t>
      </w:r>
      <w:r w:rsidR="00252BDB" w:rsidRPr="00252BDB">
        <w:t>CWS/4/1 Prov</w:t>
      </w:r>
      <w:r>
        <w:rPr>
          <w:rFonts w:hint="cs"/>
          <w:rtl/>
        </w:rPr>
        <w:t>) أثناء مشاورات غير رسمية. وترد نتائج تلك المشاورات، التي ينبغي اعتبارها غير رسمية إلى حين تأكيدها رسميا عندما تعقد الجلسة العامة، في الفقرة 32 من المرفق الأول للوثيقة</w:t>
      </w:r>
      <w:r>
        <w:rPr>
          <w:rFonts w:hint="eastAsia"/>
          <w:rtl/>
        </w:rPr>
        <w:t> </w:t>
      </w:r>
      <w:r>
        <w:rPr>
          <w:rFonts w:hint="cs"/>
          <w:rtl/>
        </w:rPr>
        <w:t>.</w:t>
      </w:r>
      <w:r w:rsidRPr="005617CA">
        <w:t>WO/GA/46/7 Rev</w:t>
      </w:r>
      <w:r>
        <w:rPr>
          <w:rFonts w:hint="cs"/>
          <w:rtl/>
        </w:rPr>
        <w:t xml:space="preserve"> التي تتضمن تقرير لجنة المعايير إلى الدورة ال</w:t>
      </w:r>
      <w:r w:rsidR="00252BDB">
        <w:rPr>
          <w:rFonts w:hint="cs"/>
          <w:rtl/>
        </w:rPr>
        <w:t>سادسة والأربعين للجمعية العامة للويبو المنعقدة في سبتمبر 2014.</w:t>
      </w:r>
    </w:p>
    <w:p w:rsidR="00640FF9" w:rsidRDefault="00252BDB" w:rsidP="00252BDB">
      <w:pPr>
        <w:pStyle w:val="NormalParaAR"/>
        <w:ind w:left="566"/>
        <w:rPr>
          <w:rtl/>
        </w:rPr>
      </w:pPr>
      <w:r>
        <w:rPr>
          <w:rFonts w:hint="cs"/>
          <w:rtl/>
        </w:rPr>
        <w:lastRenderedPageBreak/>
        <w:t>"32.</w:t>
      </w:r>
      <w:r>
        <w:rPr>
          <w:rFonts w:hint="cs"/>
          <w:rtl/>
        </w:rPr>
        <w:tab/>
      </w:r>
      <w:r w:rsidR="00640FF9" w:rsidRPr="00640FF9">
        <w:rPr>
          <w:rtl/>
        </w:rPr>
        <w:t xml:space="preserve">وأحيط علماً بالتقرير المرحلي عن عمل فرقة العمل المعنية بالمعيار </w:t>
      </w:r>
      <w:r w:rsidR="00640FF9" w:rsidRPr="00640FF9">
        <w:t>ST.14</w:t>
      </w:r>
      <w:r w:rsidR="00640FF9" w:rsidRPr="00640FF9">
        <w:rPr>
          <w:rtl/>
        </w:rPr>
        <w:t xml:space="preserve">. والتُمس من فرقة العمل التركيز على التوصيات المتعلقة </w:t>
      </w:r>
      <w:r>
        <w:rPr>
          <w:rFonts w:hint="cs"/>
          <w:rtl/>
        </w:rPr>
        <w:t>ب</w:t>
      </w:r>
      <w:r w:rsidRPr="00252BDB">
        <w:rPr>
          <w:rtl/>
        </w:rPr>
        <w:t>الوثائق خلاف البراءات</w:t>
      </w:r>
      <w:r w:rsidR="00640FF9" w:rsidRPr="00640FF9">
        <w:rPr>
          <w:rtl/>
        </w:rPr>
        <w:t>.</w:t>
      </w:r>
      <w:r>
        <w:rPr>
          <w:rFonts w:hint="cs"/>
          <w:rtl/>
        </w:rPr>
        <w:t>"</w:t>
      </w:r>
    </w:p>
    <w:p w:rsidR="00252BDB" w:rsidRPr="00EF7DD9" w:rsidRDefault="00252BDB" w:rsidP="00EF7DD9">
      <w:pPr>
        <w:pStyle w:val="NumberedParaAR"/>
      </w:pPr>
      <w:r>
        <w:rPr>
          <w:rFonts w:hint="cs"/>
          <w:rtl/>
        </w:rPr>
        <w:t>وع</w:t>
      </w:r>
      <w:r w:rsidR="00327B4E">
        <w:rPr>
          <w:rFonts w:hint="cs"/>
          <w:rtl/>
        </w:rPr>
        <w:t>ُ</w:t>
      </w:r>
      <w:r>
        <w:rPr>
          <w:rFonts w:hint="cs"/>
          <w:rtl/>
        </w:rPr>
        <w:t>رض</w:t>
      </w:r>
      <w:r w:rsidR="00EF7DD9">
        <w:rPr>
          <w:rFonts w:hint="cs"/>
          <w:rtl/>
        </w:rPr>
        <w:t xml:space="preserve"> أيضا</w:t>
      </w:r>
      <w:r>
        <w:rPr>
          <w:rFonts w:hint="cs"/>
          <w:rtl/>
        </w:rPr>
        <w:t xml:space="preserve"> التقرير المرحلي </w:t>
      </w:r>
      <w:r w:rsidR="00EF7DD9">
        <w:rPr>
          <w:rFonts w:hint="cs"/>
          <w:rtl/>
          <w:lang w:val="fr-CH"/>
        </w:rPr>
        <w:t>المقدم إلى الدورة الرابعة للجنة المعايير على الدورة السابعة للفريق العامل المعني بمعاهدة التعاون بشأن البراءات المنعقدة في يونيو 2014 (الوثيقة </w:t>
      </w:r>
      <w:r w:rsidR="00EF7DD9" w:rsidRPr="00EF7DD9">
        <w:rPr>
          <w:lang w:val="fr-CH"/>
        </w:rPr>
        <w:t>PCT/WG/7/5</w:t>
      </w:r>
      <w:r w:rsidR="00EF7DD9">
        <w:rPr>
          <w:rFonts w:hint="cs"/>
          <w:rtl/>
          <w:lang w:val="fr-CH"/>
        </w:rPr>
        <w:t>). وترد تفاصيل مناقشة تلك الوثيقة في الفقرات من 335 إلى 338 من تقرير تلك الدورة (</w:t>
      </w:r>
      <w:r w:rsidR="00EF7DD9" w:rsidRPr="00EF7DD9">
        <w:rPr>
          <w:lang w:val="fr-CH"/>
        </w:rPr>
        <w:t>PCT/WG/7/30</w:t>
      </w:r>
      <w:r w:rsidR="00EF7DD9">
        <w:rPr>
          <w:rFonts w:hint="cs"/>
          <w:rtl/>
          <w:lang w:val="fr-CH"/>
        </w:rPr>
        <w:t>).</w:t>
      </w:r>
    </w:p>
    <w:p w:rsidR="00EF7DD9" w:rsidRDefault="00EF7DD9" w:rsidP="00EF7DD9">
      <w:pPr>
        <w:pStyle w:val="Heading1AR"/>
        <w:rPr>
          <w:rtl/>
        </w:rPr>
      </w:pPr>
      <w:r w:rsidRPr="00EF7DD9">
        <w:rPr>
          <w:rtl/>
        </w:rPr>
        <w:t>توصيات تحديد الوثائق خلاف البراءات</w:t>
      </w:r>
    </w:p>
    <w:p w:rsidR="00EF7DD9" w:rsidRDefault="00EF7DD9" w:rsidP="00EF7DD9">
      <w:pPr>
        <w:pStyle w:val="NumberedParaAR"/>
      </w:pPr>
      <w:r>
        <w:rPr>
          <w:rFonts w:hint="cs"/>
          <w:rtl/>
        </w:rPr>
        <w:t>تماشيا مع نتائج المشاورات غير الرسمية التي أجريت أثناء الدورة الرابعة للجنة المعايير، ركزت فرقة العمل على التوصيات بشأن الوثائق خلاف البراءات.</w:t>
      </w:r>
    </w:p>
    <w:p w:rsidR="00EF7DD9" w:rsidRDefault="00020C86" w:rsidP="00F4198A">
      <w:pPr>
        <w:pStyle w:val="NumberedParaAR"/>
      </w:pPr>
      <w:r>
        <w:rPr>
          <w:rFonts w:hint="cs"/>
          <w:rtl/>
        </w:rPr>
        <w:t xml:space="preserve">وفيما يخص </w:t>
      </w:r>
      <w:r w:rsidRPr="00020C86">
        <w:rPr>
          <w:rtl/>
        </w:rPr>
        <w:t xml:space="preserve">مراجعة توصيات تحديد الوثائق خلاف البراءات المستشهد بها من أجل مواءمة معيار الويبو </w:t>
      </w:r>
      <w:r w:rsidRPr="00020C86">
        <w:t>ST.14</w:t>
      </w:r>
      <w:r w:rsidRPr="00020C86">
        <w:rPr>
          <w:rtl/>
        </w:rPr>
        <w:t xml:space="preserve"> مع المعيار الدولي </w:t>
      </w:r>
      <w:r w:rsidRPr="00020C86">
        <w:t>ISO 690:2010</w:t>
      </w:r>
      <w:r>
        <w:rPr>
          <w:rFonts w:hint="cs"/>
          <w:rtl/>
        </w:rPr>
        <w:t>، حلّلت فرقة العمل المعيارين ونظرت في تعديل بعض أحكام المعيار </w:t>
      </w:r>
      <w:r w:rsidRPr="00020C86">
        <w:t>ST.14</w:t>
      </w:r>
      <w:r>
        <w:rPr>
          <w:rFonts w:hint="cs"/>
          <w:rtl/>
        </w:rPr>
        <w:t xml:space="preserve"> ليكون أكثر مواءمة مع </w:t>
      </w:r>
      <w:r w:rsidRPr="00020C86">
        <w:rPr>
          <w:rtl/>
        </w:rPr>
        <w:t xml:space="preserve">المعيار </w:t>
      </w:r>
      <w:r w:rsidRPr="00020C86">
        <w:t>ISO 690:2010</w:t>
      </w:r>
      <w:r>
        <w:rPr>
          <w:rFonts w:hint="cs"/>
          <w:rtl/>
        </w:rPr>
        <w:t>. بيد أن فرقة العمل لم تبد اهتماما</w:t>
      </w:r>
      <w:r w:rsidR="00F4198A">
        <w:rPr>
          <w:rFonts w:hint="cs"/>
          <w:rtl/>
        </w:rPr>
        <w:t xml:space="preserve"> كبيرا</w:t>
      </w:r>
      <w:r>
        <w:rPr>
          <w:rFonts w:hint="cs"/>
          <w:rtl/>
        </w:rPr>
        <w:t xml:space="preserve"> بعمل</w:t>
      </w:r>
      <w:r w:rsidR="00F35B68">
        <w:rPr>
          <w:rFonts w:hint="cs"/>
          <w:rtl/>
        </w:rPr>
        <w:t>ي</w:t>
      </w:r>
      <w:r>
        <w:rPr>
          <w:rFonts w:hint="cs"/>
          <w:rtl/>
        </w:rPr>
        <w:t>ة إعادة هيكلة ومراجعة توصيات المعيار </w:t>
      </w:r>
      <w:r w:rsidRPr="00020C86">
        <w:t>ST.14</w:t>
      </w:r>
      <w:r>
        <w:rPr>
          <w:rFonts w:hint="cs"/>
          <w:rtl/>
        </w:rPr>
        <w:t xml:space="preserve">، التي </w:t>
      </w:r>
      <w:r w:rsidR="00F4198A">
        <w:rPr>
          <w:rFonts w:hint="cs"/>
          <w:rtl/>
        </w:rPr>
        <w:t xml:space="preserve">ستكون ضرورية </w:t>
      </w:r>
      <w:r>
        <w:rPr>
          <w:rFonts w:hint="cs"/>
          <w:rtl/>
        </w:rPr>
        <w:t xml:space="preserve">من أجل مواءمة كاملة مع </w:t>
      </w:r>
      <w:r w:rsidRPr="00020C86">
        <w:rPr>
          <w:rtl/>
        </w:rPr>
        <w:t xml:space="preserve">المعيار </w:t>
      </w:r>
      <w:r w:rsidRPr="00020C86">
        <w:t>ISO 690:2010</w:t>
      </w:r>
      <w:r>
        <w:rPr>
          <w:rFonts w:hint="cs"/>
          <w:rtl/>
        </w:rPr>
        <w:t>. وترتبط التعديلات التي نظرت فيها فرقة العمل إلى غاية الآن المسائل التالية:</w:t>
      </w:r>
    </w:p>
    <w:p w:rsidR="00020C86" w:rsidRDefault="00020C86" w:rsidP="00DC681F">
      <w:pPr>
        <w:pStyle w:val="NumberedParaAR"/>
        <w:numPr>
          <w:ilvl w:val="0"/>
          <w:numId w:val="0"/>
        </w:numPr>
        <w:spacing w:after="120"/>
        <w:ind w:left="567"/>
        <w:rPr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r w:rsidR="00EF5DE1">
        <w:rPr>
          <w:rFonts w:hint="cs"/>
          <w:rtl/>
        </w:rPr>
        <w:t xml:space="preserve">استخدام </w:t>
      </w:r>
      <w:r w:rsidR="00F4198A">
        <w:rPr>
          <w:rFonts w:hint="cs"/>
          <w:rtl/>
        </w:rPr>
        <w:t>ال</w:t>
      </w:r>
      <w:r w:rsidR="00EF5DE1">
        <w:rPr>
          <w:rFonts w:hint="cs"/>
          <w:rtl/>
        </w:rPr>
        <w:t xml:space="preserve">أرقام </w:t>
      </w:r>
      <w:r w:rsidR="00F4198A">
        <w:rPr>
          <w:rFonts w:hint="cs"/>
          <w:rtl/>
        </w:rPr>
        <w:t>القياسية</w:t>
      </w:r>
      <w:r w:rsidR="00EF5DE1">
        <w:rPr>
          <w:rFonts w:hint="cs"/>
          <w:rtl/>
        </w:rPr>
        <w:t xml:space="preserve"> الدولية (مثل</w:t>
      </w:r>
      <w:r w:rsidR="00C21813">
        <w:rPr>
          <w:rFonts w:hint="cs"/>
          <w:rtl/>
        </w:rPr>
        <w:t xml:space="preserve"> </w:t>
      </w:r>
      <w:r w:rsidR="00EF5DE1" w:rsidRPr="00EF5DE1">
        <w:rPr>
          <w:rtl/>
        </w:rPr>
        <w:t>الرقم</w:t>
      </w:r>
      <w:r w:rsidR="00C21813">
        <w:rPr>
          <w:rFonts w:hint="cs"/>
          <w:rtl/>
        </w:rPr>
        <w:t xml:space="preserve"> القياسي </w:t>
      </w:r>
      <w:r w:rsidR="00EF5DE1" w:rsidRPr="00EF5DE1">
        <w:rPr>
          <w:rtl/>
        </w:rPr>
        <w:t xml:space="preserve">الدولي </w:t>
      </w:r>
      <w:r w:rsidR="00C21813">
        <w:rPr>
          <w:rFonts w:hint="cs"/>
          <w:rtl/>
        </w:rPr>
        <w:t>لترقيم الكتب</w:t>
      </w:r>
      <w:r w:rsidR="00EF5DE1">
        <w:rPr>
          <w:rFonts w:hint="cs"/>
          <w:rtl/>
        </w:rPr>
        <w:t xml:space="preserve"> (</w:t>
      </w:r>
      <w:r w:rsidR="00EF5DE1" w:rsidRPr="00EF5DE1">
        <w:t>ISBN</w:t>
      </w:r>
      <w:r w:rsidR="00EF5DE1">
        <w:rPr>
          <w:rFonts w:hint="cs"/>
          <w:rtl/>
        </w:rPr>
        <w:t xml:space="preserve">) </w:t>
      </w:r>
      <w:r w:rsidR="00C21813">
        <w:rPr>
          <w:rFonts w:hint="cs"/>
          <w:rtl/>
        </w:rPr>
        <w:t>و</w:t>
      </w:r>
      <w:r w:rsidR="00C21813" w:rsidRPr="00C21813">
        <w:rPr>
          <w:rtl/>
        </w:rPr>
        <w:t>الرقم التسلسلي القياسي الدو</w:t>
      </w:r>
      <w:r w:rsidR="00F4198A">
        <w:rPr>
          <w:rFonts w:hint="cs"/>
          <w:rtl/>
        </w:rPr>
        <w:t>ل</w:t>
      </w:r>
      <w:r w:rsidR="00C21813" w:rsidRPr="00C21813">
        <w:rPr>
          <w:rtl/>
        </w:rPr>
        <w:t>ي</w:t>
      </w:r>
      <w:r w:rsidR="00EF5DE1">
        <w:rPr>
          <w:rFonts w:hint="cs"/>
          <w:rtl/>
        </w:rPr>
        <w:t> (</w:t>
      </w:r>
      <w:r w:rsidR="00EF5DE1" w:rsidRPr="00EF5DE1">
        <w:t>ISSN</w:t>
      </w:r>
      <w:r w:rsidR="00EF5DE1">
        <w:rPr>
          <w:rFonts w:hint="cs"/>
          <w:rtl/>
        </w:rPr>
        <w:t>)) أو محدد دولي آخر (مثل</w:t>
      </w:r>
      <w:r w:rsidR="00C21813">
        <w:rPr>
          <w:rFonts w:hint="cs"/>
          <w:rtl/>
        </w:rPr>
        <w:t xml:space="preserve"> معرّف</w:t>
      </w:r>
      <w:r w:rsidR="00EF5DE1">
        <w:rPr>
          <w:rFonts w:hint="cs"/>
          <w:rtl/>
        </w:rPr>
        <w:t xml:space="preserve"> </w:t>
      </w:r>
      <w:r w:rsidR="00C21813">
        <w:rPr>
          <w:rFonts w:hint="cs"/>
          <w:rtl/>
        </w:rPr>
        <w:t>الكائن الرقمي (</w:t>
      </w:r>
      <w:r w:rsidR="00C21813" w:rsidRPr="00C21813">
        <w:t>DOI</w:t>
      </w:r>
      <w:r w:rsidR="00C21813">
        <w:rPr>
          <w:rFonts w:hint="cs"/>
          <w:rtl/>
        </w:rPr>
        <w:t>)</w:t>
      </w:r>
      <w:r w:rsidR="00EF5DE1">
        <w:rPr>
          <w:rFonts w:hint="cs"/>
          <w:rtl/>
        </w:rPr>
        <w:t>)</w:t>
      </w:r>
      <w:r w:rsidR="00C21813">
        <w:rPr>
          <w:rFonts w:hint="cs"/>
          <w:rtl/>
        </w:rPr>
        <w:t xml:space="preserve"> من أجل تحسين استرجاع الوثائق خلاف البراءات؛</w:t>
      </w:r>
    </w:p>
    <w:p w:rsidR="00C21813" w:rsidRDefault="00C21813" w:rsidP="00DC681F">
      <w:pPr>
        <w:pStyle w:val="NumberedParaAR"/>
        <w:numPr>
          <w:ilvl w:val="0"/>
          <w:numId w:val="0"/>
        </w:numPr>
        <w:spacing w:after="120"/>
        <w:ind w:left="567"/>
        <w:rPr>
          <w:rtl/>
        </w:rPr>
      </w:pPr>
      <w:r>
        <w:rPr>
          <w:rFonts w:hint="cs"/>
          <w:rtl/>
        </w:rPr>
        <w:t>"2"</w:t>
      </w:r>
      <w:r>
        <w:rPr>
          <w:rFonts w:hint="cs"/>
          <w:rtl/>
        </w:rPr>
        <w:tab/>
      </w:r>
      <w:r w:rsidR="00566168">
        <w:rPr>
          <w:rFonts w:hint="cs"/>
          <w:rtl/>
        </w:rPr>
        <w:t>و</w:t>
      </w:r>
      <w:r>
        <w:rPr>
          <w:rFonts w:hint="cs"/>
          <w:rtl/>
        </w:rPr>
        <w:t xml:space="preserve">نسق </w:t>
      </w:r>
      <w:r w:rsidR="00F35B68">
        <w:rPr>
          <w:rFonts w:hint="cs"/>
          <w:rtl/>
        </w:rPr>
        <w:t>الاستشهاد بأكثر من مؤل</w:t>
      </w:r>
      <w:r w:rsidR="00F4198A">
        <w:rPr>
          <w:rFonts w:hint="cs"/>
          <w:rtl/>
        </w:rPr>
        <w:t>ِّ</w:t>
      </w:r>
      <w:r w:rsidR="00F35B68">
        <w:rPr>
          <w:rFonts w:hint="cs"/>
          <w:rtl/>
        </w:rPr>
        <w:t>ف؛</w:t>
      </w:r>
    </w:p>
    <w:p w:rsidR="00F4198A" w:rsidRDefault="00F35B68" w:rsidP="00DC681F">
      <w:pPr>
        <w:pStyle w:val="NumberedParaAR"/>
        <w:numPr>
          <w:ilvl w:val="0"/>
          <w:numId w:val="0"/>
        </w:numPr>
        <w:spacing w:after="120"/>
        <w:ind w:left="567"/>
        <w:rPr>
          <w:rFonts w:hint="cs"/>
          <w:rtl/>
        </w:rPr>
      </w:pPr>
      <w:r>
        <w:rPr>
          <w:rFonts w:hint="cs"/>
          <w:rtl/>
        </w:rPr>
        <w:t>"3"</w:t>
      </w:r>
      <w:r>
        <w:rPr>
          <w:rFonts w:hint="cs"/>
          <w:rtl/>
        </w:rPr>
        <w:tab/>
      </w:r>
      <w:r w:rsidR="00566168">
        <w:rPr>
          <w:rFonts w:hint="cs"/>
          <w:rtl/>
        </w:rPr>
        <w:t>و</w:t>
      </w:r>
      <w:r>
        <w:rPr>
          <w:rFonts w:hint="cs"/>
          <w:rtl/>
        </w:rPr>
        <w:t>ال</w:t>
      </w:r>
      <w:r w:rsidR="00F4198A">
        <w:rPr>
          <w:rFonts w:hint="cs"/>
          <w:rtl/>
        </w:rPr>
        <w:t>إشارة إلى نسق محتوى المنشور بحسب نوع الوسيلة بالنسبة لوثيقة إلكترونية؛</w:t>
      </w:r>
    </w:p>
    <w:p w:rsidR="00F4198A" w:rsidRDefault="00F4198A" w:rsidP="00F35B68">
      <w:pPr>
        <w:pStyle w:val="NumberedParaAR"/>
        <w:numPr>
          <w:ilvl w:val="0"/>
          <w:numId w:val="0"/>
        </w:numPr>
        <w:ind w:left="566"/>
        <w:rPr>
          <w:rFonts w:hint="cs"/>
          <w:rtl/>
        </w:rPr>
      </w:pPr>
      <w:r>
        <w:rPr>
          <w:rFonts w:hint="cs"/>
          <w:rtl/>
        </w:rPr>
        <w:t>"4"</w:t>
      </w:r>
      <w:r>
        <w:rPr>
          <w:rFonts w:hint="cs"/>
          <w:rtl/>
        </w:rPr>
        <w:tab/>
      </w:r>
      <w:r w:rsidR="00566168">
        <w:rPr>
          <w:rFonts w:hint="cs"/>
          <w:rtl/>
        </w:rPr>
        <w:t>و</w:t>
      </w:r>
      <w:r>
        <w:rPr>
          <w:rFonts w:hint="cs"/>
          <w:rtl/>
        </w:rPr>
        <w:t>الاستشهاد بوثائق من انتاج منظمة تضع المعايير.</w:t>
      </w:r>
    </w:p>
    <w:p w:rsidR="00041FA7" w:rsidRDefault="00F4198A" w:rsidP="00E96BCC">
      <w:pPr>
        <w:pStyle w:val="NumberedParaAR"/>
        <w:rPr>
          <w:rFonts w:hint="cs"/>
        </w:rPr>
      </w:pPr>
      <w:r>
        <w:rPr>
          <w:rFonts w:hint="cs"/>
          <w:rtl/>
        </w:rPr>
        <w:t xml:space="preserve">وأعدت فرقة العمل أيضا مشروع نص يغطي الاستشهاد بوثائق خلاف البراءات بلغة خلاف اللغة الإنكليزية أو لغة تقرير البحث. ويوصي ذلك النص </w:t>
      </w:r>
      <w:r w:rsidR="00041FA7">
        <w:rPr>
          <w:rFonts w:hint="cs"/>
          <w:rtl/>
        </w:rPr>
        <w:t>بعرض عناصر الاستشهاد، قدر الإمكان، بلغة محايدة مثل عرض التاريخ وفقا لتوصيات معيار الويبو </w:t>
      </w:r>
      <w:r w:rsidR="00041FA7" w:rsidRPr="00041FA7">
        <w:t>ST.2</w:t>
      </w:r>
      <w:r w:rsidR="00041FA7">
        <w:rPr>
          <w:rFonts w:hint="cs"/>
          <w:rtl/>
        </w:rPr>
        <w:t xml:space="preserve">. وبالنسبة للاستشهادات بلغة خلاف الإنكليزية، يوصي مشروع النص بتقديم ترجمة رسمية، إن كانت موجودة ومتاحة، بعد الإشارة باللغة الأصلية. </w:t>
      </w:r>
      <w:r w:rsidR="00E96BCC">
        <w:rPr>
          <w:rFonts w:hint="cs"/>
          <w:rtl/>
        </w:rPr>
        <w:t>وإن لم تكن</w:t>
      </w:r>
      <w:r w:rsidR="00041FA7">
        <w:rPr>
          <w:rFonts w:hint="cs"/>
          <w:rtl/>
        </w:rPr>
        <w:t xml:space="preserve"> الترجمة الرسمية</w:t>
      </w:r>
      <w:r w:rsidR="00E96BCC">
        <w:rPr>
          <w:rFonts w:hint="cs"/>
          <w:rtl/>
        </w:rPr>
        <w:t xml:space="preserve"> إلى الإنكليزية</w:t>
      </w:r>
      <w:r w:rsidR="00041FA7">
        <w:rPr>
          <w:rFonts w:hint="cs"/>
          <w:rtl/>
        </w:rPr>
        <w:t xml:space="preserve"> </w:t>
      </w:r>
      <w:r w:rsidR="00E96BCC">
        <w:rPr>
          <w:rFonts w:hint="cs"/>
          <w:rtl/>
        </w:rPr>
        <w:t xml:space="preserve">متاحة فيما يخص </w:t>
      </w:r>
      <w:r w:rsidR="00041FA7">
        <w:rPr>
          <w:rFonts w:hint="cs"/>
          <w:rtl/>
        </w:rPr>
        <w:t xml:space="preserve">بعض العناصر، يمكن إدراج ترجمة غير رسمية </w:t>
      </w:r>
      <w:r w:rsidR="00E96BCC">
        <w:rPr>
          <w:rFonts w:hint="cs"/>
          <w:rtl/>
        </w:rPr>
        <w:t>لها</w:t>
      </w:r>
      <w:r w:rsidR="00041FA7">
        <w:rPr>
          <w:rFonts w:hint="cs"/>
          <w:rtl/>
        </w:rPr>
        <w:t xml:space="preserve">، ولكن ينبغي تمييزها بشكل واضح عن الترجمة الرسمية. </w:t>
      </w:r>
      <w:r w:rsidR="00DC681F">
        <w:rPr>
          <w:rFonts w:hint="cs"/>
          <w:rtl/>
        </w:rPr>
        <w:t xml:space="preserve">وفي حال الاستشهاد </w:t>
      </w:r>
      <w:r w:rsidR="00041FA7">
        <w:rPr>
          <w:rFonts w:hint="cs"/>
          <w:rtl/>
        </w:rPr>
        <w:t>بوثيقة خلاف البراءات بلغة خلاف لغة تقرير البحث ولا تكون أ</w:t>
      </w:r>
      <w:r w:rsidR="00DC681F">
        <w:rPr>
          <w:rFonts w:hint="cs"/>
          <w:rtl/>
        </w:rPr>
        <w:t xml:space="preserve">ي من الوثيقتين بالإنكليزية، فإن مشروع النص يقترح خيار إدراج ترجمة المرجع إلى لغة تقرير البحث بعد الترجمة إلى الإنكليزية. ورأت فرقة العمل كذلك أنه لا ينبغي الإشارة إلى العناصر المنقولة </w:t>
      </w:r>
      <w:r w:rsidR="00DC681F" w:rsidRPr="00DC681F">
        <w:rPr>
          <w:rtl/>
        </w:rPr>
        <w:t>حرفي</w:t>
      </w:r>
      <w:r w:rsidR="00DC681F">
        <w:rPr>
          <w:rFonts w:hint="cs"/>
          <w:rtl/>
        </w:rPr>
        <w:t xml:space="preserve">ا في المعيار </w:t>
      </w:r>
      <w:r w:rsidR="00DC681F" w:rsidRPr="00DC681F">
        <w:t>ST.14</w:t>
      </w:r>
      <w:r w:rsidR="00DC681F">
        <w:rPr>
          <w:rFonts w:hint="cs"/>
          <w:rtl/>
        </w:rPr>
        <w:t xml:space="preserve"> لأنه ي</w:t>
      </w:r>
      <w:r w:rsidR="00E96BCC">
        <w:rPr>
          <w:rFonts w:hint="cs"/>
          <w:rtl/>
        </w:rPr>
        <w:t>ُ</w:t>
      </w:r>
      <w:r w:rsidR="00DC681F">
        <w:rPr>
          <w:rFonts w:hint="cs"/>
          <w:rtl/>
        </w:rPr>
        <w:t>عتقد أنها غير مفيدة.</w:t>
      </w:r>
    </w:p>
    <w:p w:rsidR="00E96BCC" w:rsidRDefault="00E96BCC" w:rsidP="00E96BCC">
      <w:pPr>
        <w:pStyle w:val="DecisionParaAR"/>
        <w:rPr>
          <w:rFonts w:hint="cs"/>
          <w:rtl/>
        </w:rPr>
      </w:pPr>
      <w:r>
        <w:rPr>
          <w:rFonts w:hint="cs"/>
          <w:rtl/>
        </w:rPr>
        <w:t>إن الاجتماع مدعو إلى الاحاطة علما بمضمون هذه الوثيقة.</w:t>
      </w:r>
      <w:bookmarkStart w:id="2" w:name="_GoBack"/>
      <w:bookmarkEnd w:id="2"/>
    </w:p>
    <w:sectPr w:rsidR="00E96BCC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FF9" w:rsidRDefault="00640FF9">
      <w:r>
        <w:separator/>
      </w:r>
    </w:p>
  </w:endnote>
  <w:endnote w:type="continuationSeparator" w:id="0">
    <w:p w:rsidR="00640FF9" w:rsidRDefault="0064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FF9" w:rsidRDefault="00640FF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40FF9" w:rsidRDefault="00640FF9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B54AE" w:rsidP="00EF7DD9">
    <w:r>
      <w:t>PCT</w:t>
    </w:r>
    <w:r w:rsidR="00772E46">
      <w:t>/</w:t>
    </w:r>
    <w:r w:rsidR="00C742C5">
      <w:t>WG</w:t>
    </w:r>
    <w:r w:rsidR="002F77FC">
      <w:t>/</w:t>
    </w:r>
    <w:r w:rsidR="005C64F7">
      <w:t>8</w:t>
    </w:r>
    <w:r w:rsidR="002F77FC">
      <w:t>/</w:t>
    </w:r>
    <w:r w:rsidR="00EF7DD9">
      <w:t>10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9D679A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F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0C86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1FA7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72A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BDB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27B4E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DF2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4E3C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1FA9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17CA"/>
    <w:rsid w:val="0056248F"/>
    <w:rsid w:val="00564985"/>
    <w:rsid w:val="00565379"/>
    <w:rsid w:val="00566168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0FF9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50CF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79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5532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1813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681F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045B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BCC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3FBC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5DE1"/>
    <w:rsid w:val="00EF657C"/>
    <w:rsid w:val="00EF7DD9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68"/>
    <w:rsid w:val="00F35B93"/>
    <w:rsid w:val="00F37CFD"/>
    <w:rsid w:val="00F37D33"/>
    <w:rsid w:val="00F40178"/>
    <w:rsid w:val="00F40DB9"/>
    <w:rsid w:val="00F40ED1"/>
    <w:rsid w:val="00F415A3"/>
    <w:rsid w:val="00F41778"/>
    <w:rsid w:val="00F4198A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286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WG_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15AD-9016-4D9B-9CA3-4425450B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PCT_WG_8_AR.dotx</Template>
  <TotalTime>2</TotalTime>
  <Pages>2</Pages>
  <Words>646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PCT/WG/7/-- (Arabic)</vt:lpstr>
    </vt:vector>
  </TitlesOfParts>
  <Company>World Intellectual Property Organization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PCT/WG/7/-- (Arabic)</dc:title>
  <dc:creator>ABOULHOUCINE Driss</dc:creator>
  <cp:lastModifiedBy>ABOULHOUCINE Driss</cp:lastModifiedBy>
  <cp:revision>9</cp:revision>
  <cp:lastPrinted>2015-03-30T13:24:00Z</cp:lastPrinted>
  <dcterms:created xsi:type="dcterms:W3CDTF">2015-03-30T13:22:00Z</dcterms:created>
  <dcterms:modified xsi:type="dcterms:W3CDTF">2015-03-30T13:24:00Z</dcterms:modified>
</cp:coreProperties>
</file>