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Pr>
            </w:pPr>
            <w:bookmarkStart w:id="2" w:name="_GoBack"/>
            <w:bookmarkEnd w:id="2"/>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14:anchorId="36D96AC8" wp14:editId="4DE23EEA">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AB54AE" w:rsidP="006D1405">
            <w:pPr>
              <w:pStyle w:val="DocumentCodeAR"/>
              <w:bidi/>
            </w:pPr>
            <w:r>
              <w:t>PCT</w:t>
            </w:r>
            <w:r w:rsidR="00772E46">
              <w:t>/</w:t>
            </w:r>
            <w:r w:rsidR="00C742C5">
              <w:t>WG</w:t>
            </w:r>
            <w:r w:rsidR="00100F97">
              <w:t>/</w:t>
            </w:r>
            <w:r w:rsidR="00C742C5">
              <w:t>7</w:t>
            </w:r>
            <w:r w:rsidR="00B6101C" w:rsidRPr="00B6101C">
              <w:t>/</w:t>
            </w:r>
            <w:r w:rsidR="006D1405">
              <w:t>27</w:t>
            </w:r>
          </w:p>
        </w:tc>
      </w:tr>
      <w:tr w:rsidR="001667B6" w:rsidTr="00BF164F">
        <w:tc>
          <w:tcPr>
            <w:tcW w:w="9571" w:type="dxa"/>
            <w:gridSpan w:val="3"/>
          </w:tcPr>
          <w:p w:rsidR="001667B6" w:rsidRPr="00B6101C" w:rsidRDefault="00B6101C" w:rsidP="006D1405">
            <w:pPr>
              <w:pStyle w:val="DocumentLanguageAR"/>
              <w:bidi/>
              <w:rPr>
                <w:rtl/>
              </w:rPr>
            </w:pPr>
            <w:r w:rsidRPr="00B6101C">
              <w:rPr>
                <w:rFonts w:hint="cs"/>
                <w:rtl/>
              </w:rPr>
              <w:t xml:space="preserve">الأصل: </w:t>
            </w:r>
            <w:r w:rsidR="006D1405">
              <w:rPr>
                <w:rFonts w:hint="cs"/>
                <w:rtl/>
              </w:rPr>
              <w:t>بالإنكليزية</w:t>
            </w:r>
          </w:p>
        </w:tc>
      </w:tr>
      <w:tr w:rsidR="001667B6" w:rsidTr="00BF164F">
        <w:tc>
          <w:tcPr>
            <w:tcW w:w="9571" w:type="dxa"/>
            <w:gridSpan w:val="3"/>
          </w:tcPr>
          <w:p w:rsidR="001667B6" w:rsidRPr="00B6101C" w:rsidRDefault="00B6101C" w:rsidP="006D1405">
            <w:pPr>
              <w:pStyle w:val="DocumentDateAR"/>
              <w:bidi/>
              <w:rPr>
                <w:rtl/>
              </w:rPr>
            </w:pPr>
            <w:r w:rsidRPr="00B6101C">
              <w:rPr>
                <w:rFonts w:hint="cs"/>
                <w:rtl/>
              </w:rPr>
              <w:t xml:space="preserve">التاريخ: </w:t>
            </w:r>
            <w:r w:rsidR="006D1405">
              <w:rPr>
                <w:rFonts w:hint="cs"/>
                <w:rtl/>
              </w:rPr>
              <w:t>28</w:t>
            </w:r>
            <w:r w:rsidRPr="00B6101C">
              <w:rPr>
                <w:rFonts w:hint="cs"/>
                <w:rtl/>
              </w:rPr>
              <w:t xml:space="preserve"> </w:t>
            </w:r>
            <w:r w:rsidR="006D1405">
              <w:rPr>
                <w:rFonts w:hint="cs"/>
                <w:rtl/>
              </w:rPr>
              <w:t>مايو</w:t>
            </w:r>
            <w:r w:rsidRPr="00B6101C">
              <w:rPr>
                <w:rFonts w:hint="cs"/>
                <w:rtl/>
              </w:rPr>
              <w:t xml:space="preserve"> </w:t>
            </w:r>
            <w:r w:rsidR="00190B6D">
              <w:rPr>
                <w:rFonts w:hint="cs"/>
                <w:rtl/>
              </w:rPr>
              <w:t>201</w:t>
            </w:r>
            <w:r w:rsidR="00C742C5">
              <w:rPr>
                <w:rFonts w:hint="cs"/>
                <w:rtl/>
              </w:rPr>
              <w:t>4</w:t>
            </w:r>
          </w:p>
        </w:tc>
      </w:tr>
    </w:tbl>
    <w:p w:rsidR="006C4556" w:rsidRDefault="006C4556" w:rsidP="006C4556">
      <w:pPr>
        <w:bidi/>
        <w:spacing w:line="360" w:lineRule="exact"/>
        <w:rPr>
          <w:rFonts w:ascii="Arabic Typesetting" w:hAnsi="Arabic Typesetting" w:cs="Arabic Typesetting"/>
          <w:sz w:val="36"/>
          <w:szCs w:val="36"/>
          <w:rtl/>
        </w:rPr>
      </w:pPr>
    </w:p>
    <w:p w:rsidR="006C4556" w:rsidRDefault="006C4556" w:rsidP="006C4556">
      <w:pPr>
        <w:bidi/>
        <w:spacing w:line="360" w:lineRule="exact"/>
        <w:rPr>
          <w:rFonts w:ascii="Arabic Typesetting" w:hAnsi="Arabic Typesetting" w:cs="Arabic Typesetting"/>
          <w:sz w:val="36"/>
          <w:szCs w:val="36"/>
          <w:rtl/>
        </w:rPr>
      </w:pPr>
    </w:p>
    <w:p w:rsidR="006C4556" w:rsidRDefault="006C4556" w:rsidP="006C4556">
      <w:pPr>
        <w:bidi/>
        <w:spacing w:line="360" w:lineRule="exact"/>
        <w:rPr>
          <w:rFonts w:ascii="Arabic Typesetting" w:hAnsi="Arabic Typesetting" w:cs="Arabic Typesetting"/>
          <w:sz w:val="36"/>
          <w:szCs w:val="36"/>
          <w:rtl/>
        </w:rPr>
      </w:pPr>
    </w:p>
    <w:p w:rsidR="006C4556" w:rsidRDefault="006C4556" w:rsidP="006C4556">
      <w:pPr>
        <w:pStyle w:val="MeetingTitleAR"/>
        <w:bidi/>
        <w:ind w:right="550"/>
        <w:rPr>
          <w:rtl/>
        </w:rPr>
      </w:pPr>
      <w:r>
        <w:rPr>
          <w:rFonts w:hint="cs"/>
          <w:rtl/>
        </w:rPr>
        <w:t>معاهدة التعاون بشأن البراءات</w:t>
      </w:r>
    </w:p>
    <w:p w:rsidR="006C4556" w:rsidRPr="00AB54AE" w:rsidRDefault="006C4556" w:rsidP="006C4556">
      <w:pPr>
        <w:pStyle w:val="MeetingTitleAR"/>
        <w:bidi/>
        <w:ind w:right="550"/>
        <w:rPr>
          <w:rtl/>
        </w:rPr>
      </w:pPr>
      <w:r>
        <w:rPr>
          <w:rFonts w:hint="cs"/>
          <w:rtl/>
        </w:rPr>
        <w:t>الفريق العامل</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C742C5">
      <w:pPr>
        <w:pStyle w:val="MeetingSessionAR"/>
        <w:bidi/>
        <w:rPr>
          <w:rFonts w:ascii="Cambria Math" w:hAnsi="Cambria Math"/>
          <w:rtl/>
        </w:rPr>
      </w:pPr>
      <w:r w:rsidRPr="00783D11">
        <w:rPr>
          <w:rFonts w:ascii="Cambria Math" w:hAnsi="Cambria Math"/>
          <w:rtl/>
        </w:rPr>
        <w:t xml:space="preserve">الدورة </w:t>
      </w:r>
      <w:r w:rsidR="00C742C5">
        <w:rPr>
          <w:rFonts w:ascii="Cambria Math" w:hAnsi="Cambria Math" w:hint="cs"/>
          <w:rtl/>
        </w:rPr>
        <w:t>السابعة</w:t>
      </w:r>
    </w:p>
    <w:p w:rsidR="00D61541" w:rsidRPr="00D61541" w:rsidRDefault="00D61541" w:rsidP="00C742C5">
      <w:pPr>
        <w:pStyle w:val="MeetingDatesAR"/>
        <w:bidi/>
        <w:rPr>
          <w:rtl/>
        </w:rPr>
      </w:pPr>
      <w:r w:rsidRPr="00D61541">
        <w:rPr>
          <w:rFonts w:hint="cs"/>
          <w:rtl/>
        </w:rPr>
        <w:t xml:space="preserve">جنيف، من </w:t>
      </w:r>
      <w:r w:rsidR="00C742C5">
        <w:rPr>
          <w:rFonts w:hint="cs"/>
          <w:rtl/>
        </w:rPr>
        <w:t>10 إلى 13 يونيو 2014</w:t>
      </w: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1F6E23" w:rsidP="000E301D">
      <w:pPr>
        <w:pStyle w:val="DocumentTitleAR"/>
        <w:bidi/>
        <w:rPr>
          <w:rtl/>
          <w:lang w:bidi="ar-AE"/>
        </w:rPr>
      </w:pPr>
      <w:r>
        <w:rPr>
          <w:rFonts w:hint="cs"/>
          <w:rtl/>
          <w:lang w:bidi="ar-AE"/>
        </w:rPr>
        <w:t>إرسال</w:t>
      </w:r>
      <w:r w:rsidR="00F76F27">
        <w:rPr>
          <w:rFonts w:hint="cs"/>
          <w:rtl/>
          <w:lang w:bidi="ar-AE"/>
        </w:rPr>
        <w:t xml:space="preserve"> مكتب تسلم الطلبات ل</w:t>
      </w:r>
      <w:r w:rsidR="006E088A">
        <w:rPr>
          <w:rFonts w:hint="cs"/>
          <w:rtl/>
          <w:lang w:bidi="ar-AE"/>
        </w:rPr>
        <w:t>نتائج ا</w:t>
      </w:r>
      <w:r w:rsidR="00752D9C">
        <w:rPr>
          <w:rFonts w:hint="cs"/>
          <w:rtl/>
          <w:lang w:bidi="ar-AE"/>
        </w:rPr>
        <w:t>لبحث</w:t>
      </w:r>
      <w:r w:rsidR="00752D9C">
        <w:rPr>
          <w:rFonts w:hint="cs"/>
          <w:rtl/>
          <w:lang w:val="fr-CH"/>
        </w:rPr>
        <w:t xml:space="preserve"> </w:t>
      </w:r>
      <w:r>
        <w:rPr>
          <w:rFonts w:hint="cs"/>
          <w:rtl/>
          <w:lang w:bidi="ar-AE"/>
        </w:rPr>
        <w:t xml:space="preserve">و/أو التصنيف </w:t>
      </w:r>
      <w:r w:rsidR="000E301D">
        <w:rPr>
          <w:rFonts w:hint="cs"/>
          <w:rtl/>
          <w:lang w:bidi="ar-AE"/>
        </w:rPr>
        <w:t xml:space="preserve">السابق </w:t>
      </w:r>
      <w:r>
        <w:rPr>
          <w:rFonts w:hint="cs"/>
          <w:rtl/>
          <w:lang w:bidi="ar-AE"/>
        </w:rPr>
        <w:t xml:space="preserve">إلى </w:t>
      </w:r>
      <w:r w:rsidR="00F76F27">
        <w:rPr>
          <w:rFonts w:hint="cs"/>
          <w:rtl/>
          <w:lang w:bidi="ar-AE"/>
        </w:rPr>
        <w:t>إدارة البحث الدولي</w:t>
      </w:r>
    </w:p>
    <w:p w:rsidR="00D61541" w:rsidRDefault="00F76F27" w:rsidP="00F76F27">
      <w:pPr>
        <w:pStyle w:val="PreparedbyAR"/>
        <w:bidi/>
        <w:rPr>
          <w:rtl/>
        </w:rPr>
      </w:pPr>
      <w:r>
        <w:rPr>
          <w:rFonts w:hint="cs"/>
          <w:rtl/>
        </w:rPr>
        <w:t xml:space="preserve">وثيقة مقدمة من </w:t>
      </w:r>
      <w:r w:rsidRPr="00F76F27">
        <w:rPr>
          <w:rtl/>
        </w:rPr>
        <w:t xml:space="preserve">جمهورية </w:t>
      </w:r>
      <w:r w:rsidR="006E088A">
        <w:rPr>
          <w:rtl/>
        </w:rPr>
        <w:t>كوريا والمكتب الأوروبي للبراءات</w:t>
      </w:r>
    </w:p>
    <w:p w:rsidR="00A043B9" w:rsidRDefault="00A043B9" w:rsidP="00A043B9">
      <w:pPr>
        <w:pStyle w:val="Heading2AR"/>
        <w:rPr>
          <w:rtl/>
        </w:rPr>
      </w:pPr>
      <w:r>
        <w:rPr>
          <w:rFonts w:hint="cs"/>
          <w:rtl/>
        </w:rPr>
        <w:t>ملخص</w:t>
      </w:r>
    </w:p>
    <w:p w:rsidR="00A043B9" w:rsidRDefault="00545806" w:rsidP="004A29F9">
      <w:pPr>
        <w:pStyle w:val="NumberedParaAR"/>
      </w:pPr>
      <w:r>
        <w:rPr>
          <w:rFonts w:hint="cs"/>
          <w:rtl/>
        </w:rPr>
        <w:t xml:space="preserve">يُقترح، </w:t>
      </w:r>
      <w:r w:rsidR="005D2864">
        <w:rPr>
          <w:rFonts w:hint="cs"/>
          <w:rtl/>
        </w:rPr>
        <w:t>حيثما يُتاح وينطبق</w:t>
      </w:r>
      <w:r w:rsidR="004A29F9">
        <w:rPr>
          <w:rFonts w:hint="cs"/>
          <w:rtl/>
        </w:rPr>
        <w:t xml:space="preserve"> بموجب القانون الوطني</w:t>
      </w:r>
      <w:r w:rsidR="005D2864">
        <w:rPr>
          <w:rFonts w:hint="cs"/>
          <w:rtl/>
        </w:rPr>
        <w:t xml:space="preserve">، </w:t>
      </w:r>
      <w:r w:rsidR="004A29F9">
        <w:rPr>
          <w:rFonts w:hint="cs"/>
          <w:rtl/>
        </w:rPr>
        <w:t>أن يزو</w:t>
      </w:r>
      <w:r w:rsidR="00EB2FF9">
        <w:rPr>
          <w:rFonts w:hint="cs"/>
          <w:rtl/>
          <w:lang w:bidi="ar-AE"/>
        </w:rPr>
        <w:t>ِّ</w:t>
      </w:r>
      <w:r w:rsidR="004A29F9">
        <w:rPr>
          <w:rFonts w:hint="cs"/>
          <w:rtl/>
        </w:rPr>
        <w:t>د مكتب تسلم الطلبات إدارة البحث الدولي بنتائج البحث و/أو التصنيف الذي قامت به</w:t>
      </w:r>
      <w:r w:rsidR="00350FC7">
        <w:rPr>
          <w:rFonts w:hint="cs"/>
          <w:rtl/>
        </w:rPr>
        <w:t>ما</w:t>
      </w:r>
      <w:r w:rsidR="004A29F9">
        <w:rPr>
          <w:rFonts w:hint="cs"/>
          <w:rtl/>
        </w:rPr>
        <w:t xml:space="preserve">، بوصفها مكتبًا وطنيًا، بشأن </w:t>
      </w:r>
      <w:r w:rsidR="00350FC7">
        <w:rPr>
          <w:rFonts w:hint="cs"/>
          <w:rtl/>
        </w:rPr>
        <w:t xml:space="preserve">الطلب السابق أو </w:t>
      </w:r>
      <w:r w:rsidR="004A29F9">
        <w:rPr>
          <w:rFonts w:hint="cs"/>
          <w:rtl/>
        </w:rPr>
        <w:t xml:space="preserve">الطلبات السابقة التي يُستند إليها في </w:t>
      </w:r>
      <w:r w:rsidR="00350FC7">
        <w:rPr>
          <w:rFonts w:hint="cs"/>
          <w:rtl/>
        </w:rPr>
        <w:t>ال</w:t>
      </w:r>
      <w:r w:rsidR="004A29F9">
        <w:rPr>
          <w:rFonts w:hint="cs"/>
          <w:rtl/>
        </w:rPr>
        <w:t xml:space="preserve">مطالبة (أو </w:t>
      </w:r>
      <w:r w:rsidR="00350FC7">
        <w:rPr>
          <w:rFonts w:hint="cs"/>
          <w:rtl/>
        </w:rPr>
        <w:t>ال</w:t>
      </w:r>
      <w:r w:rsidR="004A29F9">
        <w:rPr>
          <w:rFonts w:hint="cs"/>
          <w:rtl/>
        </w:rPr>
        <w:t xml:space="preserve">مطالبات) </w:t>
      </w:r>
      <w:r w:rsidR="00350FC7">
        <w:rPr>
          <w:rFonts w:hint="cs"/>
          <w:rtl/>
        </w:rPr>
        <w:t>ب</w:t>
      </w:r>
      <w:r w:rsidR="004A29F9">
        <w:rPr>
          <w:rFonts w:hint="cs"/>
          <w:rtl/>
        </w:rPr>
        <w:t>الأولوية في إطار الطلب الدولي.</w:t>
      </w:r>
    </w:p>
    <w:p w:rsidR="004A29F9" w:rsidRDefault="004A29F9" w:rsidP="004A29F9">
      <w:pPr>
        <w:pStyle w:val="Heading2AR"/>
      </w:pPr>
      <w:r>
        <w:rPr>
          <w:rFonts w:hint="cs"/>
          <w:rtl/>
        </w:rPr>
        <w:t>الخلفية</w:t>
      </w:r>
    </w:p>
    <w:p w:rsidR="00743A92" w:rsidRDefault="000560CC" w:rsidP="000560CC">
      <w:pPr>
        <w:pStyle w:val="NumberedParaAR"/>
      </w:pPr>
      <w:r>
        <w:rPr>
          <w:rFonts w:hint="cs"/>
          <w:rtl/>
        </w:rPr>
        <w:t>يسعى ال</w:t>
      </w:r>
      <w:r w:rsidR="00EB2FF9">
        <w:rPr>
          <w:rFonts w:hint="cs"/>
          <w:rtl/>
        </w:rPr>
        <w:t xml:space="preserve">عديد من </w:t>
      </w:r>
      <w:r w:rsidR="004A29F9">
        <w:rPr>
          <w:rFonts w:hint="cs"/>
          <w:rtl/>
        </w:rPr>
        <w:t>المكاتب الوطنية إلى تقليص مه</w:t>
      </w:r>
      <w:r w:rsidR="004A2596">
        <w:rPr>
          <w:rFonts w:hint="cs"/>
          <w:rtl/>
        </w:rPr>
        <w:t xml:space="preserve">لة الفحص، </w:t>
      </w:r>
      <w:r>
        <w:rPr>
          <w:rFonts w:hint="cs"/>
          <w:rtl/>
        </w:rPr>
        <w:t xml:space="preserve">ولذلك </w:t>
      </w:r>
      <w:r w:rsidR="004A2596">
        <w:rPr>
          <w:rFonts w:hint="cs"/>
          <w:rtl/>
        </w:rPr>
        <w:t>فمن المتوقع أن تقل هذه ال</w:t>
      </w:r>
      <w:r w:rsidR="00EB2FF9">
        <w:rPr>
          <w:rFonts w:hint="cs"/>
          <w:rtl/>
        </w:rPr>
        <w:t>ف</w:t>
      </w:r>
      <w:r w:rsidR="004A2596">
        <w:rPr>
          <w:rFonts w:hint="cs"/>
          <w:rtl/>
        </w:rPr>
        <w:t xml:space="preserve">ترة في عدة مكاتب </w:t>
      </w:r>
      <w:r w:rsidR="00EB2FF9">
        <w:rPr>
          <w:rFonts w:hint="cs"/>
          <w:rtl/>
        </w:rPr>
        <w:t>عن</w:t>
      </w:r>
      <w:r w:rsidR="004A2596">
        <w:rPr>
          <w:rFonts w:hint="cs"/>
          <w:rtl/>
        </w:rPr>
        <w:t xml:space="preserve"> 10 أو 11 شهرًا في المستقبل القريب. وب</w:t>
      </w:r>
      <w:r w:rsidR="00EB2FF9">
        <w:rPr>
          <w:rFonts w:hint="cs"/>
          <w:rtl/>
        </w:rPr>
        <w:t xml:space="preserve">ما أن البحث الدولي النمطي </w:t>
      </w:r>
      <w:r w:rsidR="004A2596">
        <w:rPr>
          <w:rFonts w:hint="cs"/>
          <w:rtl/>
        </w:rPr>
        <w:t>بموجب معاهدة التعاون بشأن البراءات</w:t>
      </w:r>
      <w:r>
        <w:rPr>
          <w:rFonts w:hint="cs"/>
          <w:rtl/>
          <w:lang w:val="fr-CH"/>
        </w:rPr>
        <w:t xml:space="preserve"> ينبغي أن يُستكمل في غضون 16 </w:t>
      </w:r>
      <w:r w:rsidR="004A2596">
        <w:rPr>
          <w:rFonts w:hint="cs"/>
          <w:rtl/>
        </w:rPr>
        <w:t xml:space="preserve">شهرًا منذ تاريخ الأولوية، </w:t>
      </w:r>
      <w:r w:rsidR="006F4732">
        <w:rPr>
          <w:rFonts w:hint="cs"/>
          <w:rtl/>
        </w:rPr>
        <w:t>سيُتاح</w:t>
      </w:r>
      <w:r w:rsidR="00743A92">
        <w:rPr>
          <w:rFonts w:hint="cs"/>
          <w:rtl/>
        </w:rPr>
        <w:t xml:space="preserve"> في المستقبل</w:t>
      </w:r>
      <w:r>
        <w:rPr>
          <w:rFonts w:hint="cs"/>
          <w:rtl/>
        </w:rPr>
        <w:t xml:space="preserve"> </w:t>
      </w:r>
      <w:r w:rsidR="004A2596">
        <w:rPr>
          <w:rFonts w:hint="cs"/>
          <w:rtl/>
        </w:rPr>
        <w:t xml:space="preserve">عدد متزايد من الطلبات الدولية </w:t>
      </w:r>
      <w:r w:rsidR="006F4732">
        <w:rPr>
          <w:rFonts w:hint="cs"/>
          <w:rtl/>
        </w:rPr>
        <w:t xml:space="preserve">التي تتضمن نتائج البحث </w:t>
      </w:r>
      <w:r w:rsidR="005C346B">
        <w:rPr>
          <w:rFonts w:hint="cs"/>
          <w:rtl/>
        </w:rPr>
        <w:t xml:space="preserve">السابق </w:t>
      </w:r>
      <w:r w:rsidR="004E3389">
        <w:rPr>
          <w:rFonts w:hint="cs"/>
          <w:rtl/>
        </w:rPr>
        <w:t>الخاصة</w:t>
      </w:r>
      <w:r w:rsidR="005C346B">
        <w:rPr>
          <w:rFonts w:hint="cs"/>
          <w:rtl/>
        </w:rPr>
        <w:t xml:space="preserve"> </w:t>
      </w:r>
      <w:r>
        <w:rPr>
          <w:rFonts w:hint="cs"/>
          <w:rtl/>
        </w:rPr>
        <w:t>بطلب أو طلبات من أسرها، في موعد</w:t>
      </w:r>
      <w:r w:rsidRPr="009D2A05">
        <w:rPr>
          <w:rtl/>
        </w:rPr>
        <w:t xml:space="preserve"> </w:t>
      </w:r>
      <w:r w:rsidRPr="00743A92">
        <w:rPr>
          <w:rtl/>
        </w:rPr>
        <w:t>البحث الدولي بناء على معاهدة التعاون بشأن البراءات</w:t>
      </w:r>
      <w:r w:rsidR="00743A92">
        <w:rPr>
          <w:rFonts w:hint="cs"/>
          <w:rtl/>
        </w:rPr>
        <w:t xml:space="preserve">. وأحيانًا، </w:t>
      </w:r>
      <w:r>
        <w:rPr>
          <w:rFonts w:hint="cs"/>
          <w:rtl/>
        </w:rPr>
        <w:t xml:space="preserve">تكون </w:t>
      </w:r>
      <w:r w:rsidR="00743A92">
        <w:rPr>
          <w:rFonts w:hint="cs"/>
          <w:rtl/>
        </w:rPr>
        <w:t xml:space="preserve">تقارير البحث الوطني </w:t>
      </w:r>
      <w:r>
        <w:rPr>
          <w:rFonts w:hint="cs"/>
          <w:rtl/>
        </w:rPr>
        <w:t xml:space="preserve">مصحوبة </w:t>
      </w:r>
      <w:r w:rsidR="00743A92">
        <w:rPr>
          <w:rFonts w:hint="cs"/>
          <w:rtl/>
        </w:rPr>
        <w:t xml:space="preserve">بآراء مكتوبة من شأنها أن تفيد إدارة البحث الدولي كذلك. </w:t>
      </w:r>
    </w:p>
    <w:p w:rsidR="00527429" w:rsidRPr="001C5F58" w:rsidRDefault="00527429" w:rsidP="00527429">
      <w:pPr>
        <w:pStyle w:val="NumberedParaAR"/>
        <w:rPr>
          <w:color w:val="000000" w:themeColor="text1"/>
        </w:rPr>
      </w:pPr>
      <w:r>
        <w:rPr>
          <w:rFonts w:hint="cs"/>
          <w:rtl/>
        </w:rPr>
        <w:t xml:space="preserve">وأخيرًا، يُشار أيضًا إلى </w:t>
      </w:r>
      <w:r w:rsidRPr="001C5F58">
        <w:rPr>
          <w:rFonts w:hint="cs"/>
          <w:color w:val="000000" w:themeColor="text1"/>
          <w:rtl/>
        </w:rPr>
        <w:t xml:space="preserve">أن الطلبات الدولية التي خصص المكتب الوطني لأسرها رموز التصنيف قبل إجراء البحث الدولي أصبحت متداولة أيضًا. </w:t>
      </w:r>
    </w:p>
    <w:p w:rsidR="009968DF" w:rsidRDefault="009968DF">
      <w:pPr>
        <w:rPr>
          <w:rFonts w:ascii="Arabic Typesetting" w:hAnsi="Arabic Typesetting" w:cs="Arabic Typesetting"/>
          <w:sz w:val="36"/>
          <w:szCs w:val="36"/>
          <w:rtl/>
        </w:rPr>
      </w:pPr>
      <w:r>
        <w:rPr>
          <w:rtl/>
        </w:rPr>
        <w:br w:type="page"/>
      </w:r>
    </w:p>
    <w:p w:rsidR="00E0478C" w:rsidRDefault="00D81847" w:rsidP="00BD6843">
      <w:pPr>
        <w:pStyle w:val="NumberedParaAR"/>
      </w:pPr>
      <w:r>
        <w:rPr>
          <w:rFonts w:hint="cs"/>
          <w:rtl/>
        </w:rPr>
        <w:lastRenderedPageBreak/>
        <w:t xml:space="preserve">ولكن لا يوجد، في إطار الإجراءات الحالية بموجب </w:t>
      </w:r>
      <w:r w:rsidRPr="00D81847">
        <w:rPr>
          <w:rtl/>
        </w:rPr>
        <w:t>معاهدة التعاون بشأن البراءات</w:t>
      </w:r>
      <w:r>
        <w:rPr>
          <w:rFonts w:hint="cs"/>
          <w:rtl/>
        </w:rPr>
        <w:t xml:space="preserve">، أي تدبير رسمي يقضي </w:t>
      </w:r>
      <w:r w:rsidR="00223173">
        <w:rPr>
          <w:rFonts w:hint="cs"/>
          <w:rtl/>
        </w:rPr>
        <w:t>بإرسال</w:t>
      </w:r>
      <w:r>
        <w:rPr>
          <w:rFonts w:hint="cs"/>
          <w:rtl/>
        </w:rPr>
        <w:t xml:space="preserve"> نتائج البحث أو التصنيف هذه إلى إدارة البحث الدولي. وفي حالات عدة، يُرجَّح أن يكون مكتب الإيداع الأول</w:t>
      </w:r>
      <w:r w:rsidR="007F7B8C">
        <w:rPr>
          <w:rFonts w:hint="cs"/>
          <w:rtl/>
        </w:rPr>
        <w:t>،</w:t>
      </w:r>
      <w:r>
        <w:rPr>
          <w:rFonts w:hint="cs"/>
          <w:rtl/>
        </w:rPr>
        <w:t xml:space="preserve"> </w:t>
      </w:r>
      <w:r w:rsidR="007F7B8C">
        <w:rPr>
          <w:rFonts w:hint="cs"/>
          <w:rtl/>
        </w:rPr>
        <w:t xml:space="preserve">أي المكتب الوطني الذي يجري البحث و/أو التصنيف قبل </w:t>
      </w:r>
      <w:r w:rsidR="00EB2FF9">
        <w:rPr>
          <w:rFonts w:hint="cs"/>
          <w:rtl/>
        </w:rPr>
        <w:t xml:space="preserve">إجراء البحث الدولي، هو نفسه </w:t>
      </w:r>
      <w:r w:rsidR="007F7B8C">
        <w:rPr>
          <w:rFonts w:hint="cs"/>
          <w:rtl/>
        </w:rPr>
        <w:t xml:space="preserve">مكتب تسلم الطلبات. أما في حالات قليلة، </w:t>
      </w:r>
      <w:r w:rsidR="0066241B">
        <w:rPr>
          <w:rFonts w:hint="cs"/>
          <w:rtl/>
        </w:rPr>
        <w:t xml:space="preserve">فقد </w:t>
      </w:r>
      <w:r w:rsidR="003E5E3E">
        <w:rPr>
          <w:rFonts w:hint="cs"/>
          <w:rtl/>
        </w:rPr>
        <w:t xml:space="preserve">يكون </w:t>
      </w:r>
      <w:r w:rsidR="007F7B8C">
        <w:rPr>
          <w:rFonts w:hint="cs"/>
          <w:rtl/>
        </w:rPr>
        <w:t xml:space="preserve">المكتب الذي </w:t>
      </w:r>
      <w:r w:rsidR="003E5E3E">
        <w:rPr>
          <w:rFonts w:hint="cs"/>
          <w:rtl/>
        </w:rPr>
        <w:t>أ</w:t>
      </w:r>
      <w:r w:rsidR="0066241B">
        <w:rPr>
          <w:rFonts w:hint="cs"/>
          <w:rtl/>
        </w:rPr>
        <w:t>صدر نتائج</w:t>
      </w:r>
      <w:r w:rsidR="007F7B8C">
        <w:rPr>
          <w:rFonts w:hint="cs"/>
          <w:rtl/>
        </w:rPr>
        <w:t xml:space="preserve"> البحث و/أو التصني</w:t>
      </w:r>
      <w:r w:rsidR="0066241B">
        <w:rPr>
          <w:rFonts w:hint="cs"/>
          <w:rtl/>
        </w:rPr>
        <w:t xml:space="preserve">ف </w:t>
      </w:r>
      <w:r w:rsidR="003E5E3E">
        <w:rPr>
          <w:rFonts w:hint="cs"/>
          <w:rtl/>
        </w:rPr>
        <w:t>و</w:t>
      </w:r>
      <w:r w:rsidR="0066241B">
        <w:rPr>
          <w:rFonts w:hint="cs"/>
          <w:rtl/>
        </w:rPr>
        <w:t>مكتب تسلم الطلبات</w:t>
      </w:r>
      <w:r w:rsidR="003E5E3E">
        <w:rPr>
          <w:rFonts w:hint="cs"/>
          <w:rtl/>
        </w:rPr>
        <w:t xml:space="preserve"> جهتين مختلفتين</w:t>
      </w:r>
      <w:r w:rsidR="0066241B">
        <w:rPr>
          <w:rFonts w:hint="cs"/>
          <w:rtl/>
        </w:rPr>
        <w:t xml:space="preserve">؛ </w:t>
      </w:r>
      <w:r w:rsidR="00EB2FF9">
        <w:rPr>
          <w:rFonts w:hint="cs"/>
          <w:rtl/>
        </w:rPr>
        <w:t>و</w:t>
      </w:r>
      <w:r w:rsidR="00482B5A">
        <w:rPr>
          <w:rFonts w:hint="cs"/>
          <w:rtl/>
        </w:rPr>
        <w:t xml:space="preserve">قد تكون </w:t>
      </w:r>
      <w:r w:rsidR="0066241B">
        <w:rPr>
          <w:rFonts w:hint="cs"/>
          <w:rtl/>
        </w:rPr>
        <w:t xml:space="preserve">هذه النتائج </w:t>
      </w:r>
      <w:r w:rsidR="00EB2FF9">
        <w:rPr>
          <w:rFonts w:hint="cs"/>
          <w:rtl/>
        </w:rPr>
        <w:t>مفيدة بالنسبة</w:t>
      </w:r>
      <w:r w:rsidR="0066241B">
        <w:rPr>
          <w:rFonts w:hint="cs"/>
          <w:rtl/>
        </w:rPr>
        <w:t xml:space="preserve"> </w:t>
      </w:r>
      <w:r w:rsidR="00EB2FF9">
        <w:rPr>
          <w:rFonts w:hint="cs"/>
          <w:rtl/>
        </w:rPr>
        <w:t>ل</w:t>
      </w:r>
      <w:r w:rsidR="0066241B">
        <w:rPr>
          <w:rFonts w:hint="cs"/>
          <w:rtl/>
        </w:rPr>
        <w:t xml:space="preserve">إدارة البحث الدولي. ويمكن </w:t>
      </w:r>
      <w:r w:rsidR="00223173">
        <w:rPr>
          <w:rFonts w:hint="cs"/>
          <w:rtl/>
        </w:rPr>
        <w:t>إرسال</w:t>
      </w:r>
      <w:r w:rsidR="0066241B">
        <w:rPr>
          <w:rFonts w:hint="cs"/>
          <w:rtl/>
        </w:rPr>
        <w:t xml:space="preserve"> هذه النتائج إلى إدارة البحث الدولي إذا انطبق ذلك </w:t>
      </w:r>
      <w:r w:rsidR="003E5E3E">
        <w:rPr>
          <w:rFonts w:hint="cs"/>
          <w:rtl/>
        </w:rPr>
        <w:t xml:space="preserve">مع </w:t>
      </w:r>
      <w:r w:rsidR="0066241B">
        <w:rPr>
          <w:rFonts w:hint="cs"/>
          <w:rtl/>
        </w:rPr>
        <w:t>القانون الوطني</w:t>
      </w:r>
      <w:r w:rsidR="00BD6843">
        <w:rPr>
          <w:rFonts w:hint="cs"/>
          <w:rtl/>
        </w:rPr>
        <w:t xml:space="preserve">، أي إذا </w:t>
      </w:r>
      <w:r w:rsidR="00EB2FF9">
        <w:rPr>
          <w:rFonts w:hint="cs"/>
          <w:rtl/>
        </w:rPr>
        <w:t>س</w:t>
      </w:r>
      <w:r w:rsidR="00BD6843">
        <w:rPr>
          <w:rFonts w:hint="cs"/>
          <w:rtl/>
        </w:rPr>
        <w:t>ُ</w:t>
      </w:r>
      <w:r w:rsidR="00EB2FF9">
        <w:rPr>
          <w:rFonts w:hint="cs"/>
          <w:rtl/>
        </w:rPr>
        <w:t>مح لم</w:t>
      </w:r>
      <w:r w:rsidR="00E0478C">
        <w:rPr>
          <w:rFonts w:hint="cs"/>
          <w:rtl/>
        </w:rPr>
        <w:t xml:space="preserve">كتب تسلم الطلبات </w:t>
      </w:r>
      <w:r w:rsidR="00BD6843">
        <w:rPr>
          <w:rFonts w:hint="cs"/>
          <w:rtl/>
        </w:rPr>
        <w:t>ب</w:t>
      </w:r>
      <w:r w:rsidR="00223173">
        <w:rPr>
          <w:rFonts w:hint="cs"/>
          <w:rtl/>
        </w:rPr>
        <w:t>إرسال</w:t>
      </w:r>
      <w:r w:rsidR="005C64D2">
        <w:rPr>
          <w:rFonts w:hint="cs"/>
          <w:rtl/>
        </w:rPr>
        <w:t xml:space="preserve"> نتائج ا</w:t>
      </w:r>
      <w:r w:rsidR="000C1A54">
        <w:rPr>
          <w:rFonts w:hint="cs"/>
          <w:rtl/>
        </w:rPr>
        <w:t>لبحث والتصنيف هذه إلى مكتب آخر.</w:t>
      </w:r>
    </w:p>
    <w:p w:rsidR="00E0478C" w:rsidRDefault="00E0478C" w:rsidP="00E0478C">
      <w:pPr>
        <w:pStyle w:val="Heading2AR"/>
      </w:pPr>
      <w:r>
        <w:rPr>
          <w:rFonts w:hint="cs"/>
          <w:rtl/>
        </w:rPr>
        <w:t>الاقتراح</w:t>
      </w:r>
    </w:p>
    <w:p w:rsidR="00E0478C" w:rsidRDefault="00E0478C" w:rsidP="00FF6F9A">
      <w:pPr>
        <w:pStyle w:val="NumberedParaAR"/>
      </w:pPr>
      <w:r>
        <w:rPr>
          <w:rFonts w:hint="cs"/>
          <w:rtl/>
        </w:rPr>
        <w:t>ي</w:t>
      </w:r>
      <w:r w:rsidR="00EB2FF9">
        <w:rPr>
          <w:rFonts w:hint="cs"/>
          <w:rtl/>
        </w:rPr>
        <w:t>ُ</w:t>
      </w:r>
      <w:r>
        <w:rPr>
          <w:rFonts w:hint="cs"/>
          <w:rtl/>
        </w:rPr>
        <w:t xml:space="preserve">قترح إدراج قاعدة </w:t>
      </w:r>
      <w:r w:rsidR="00FF6F9A">
        <w:rPr>
          <w:rFonts w:hint="cs"/>
          <w:rtl/>
        </w:rPr>
        <w:t>جديدة رقمها 23</w:t>
      </w:r>
      <w:r w:rsidR="001C5F58" w:rsidRPr="00FF6F9A">
        <w:rPr>
          <w:rFonts w:hint="cs"/>
          <w:rtl/>
        </w:rPr>
        <w:t>(ثانيا)</w:t>
      </w:r>
      <w:r w:rsidRPr="001C5F58">
        <w:rPr>
          <w:rFonts w:hint="cs"/>
          <w:rtl/>
        </w:rPr>
        <w:t>،</w:t>
      </w:r>
      <w:r>
        <w:rPr>
          <w:rFonts w:hint="cs"/>
          <w:rtl/>
        </w:rPr>
        <w:t xml:space="preserve"> على النحو المبين في المرفق بهذه الوثيقة، بغية وضع نظام يقضي بتقديم مكتب تسلم الطلبات نتائج البحث و/أو التصنيف الخاصة بطلبات أسرة البراءات إلى مكتب البحث الدولي </w:t>
      </w:r>
      <w:r w:rsidR="006A0D42">
        <w:rPr>
          <w:rFonts w:hint="cs"/>
          <w:rtl/>
        </w:rPr>
        <w:t xml:space="preserve">حالما أُتيحت، وذلك عند </w:t>
      </w:r>
      <w:r w:rsidR="00223173">
        <w:rPr>
          <w:rFonts w:hint="cs"/>
          <w:rtl/>
        </w:rPr>
        <w:t>إرسال</w:t>
      </w:r>
      <w:r w:rsidR="006A0D42">
        <w:rPr>
          <w:rFonts w:hint="cs"/>
          <w:rtl/>
        </w:rPr>
        <w:t xml:space="preserve"> نسخة البحث إلى إ</w:t>
      </w:r>
      <w:r w:rsidR="00223173">
        <w:rPr>
          <w:rFonts w:hint="cs"/>
          <w:rtl/>
        </w:rPr>
        <w:t>دارة البحث الدولي، شريطة أن لا يتعارض هذ</w:t>
      </w:r>
      <w:r w:rsidR="006A0D42">
        <w:rPr>
          <w:rFonts w:hint="cs"/>
          <w:rtl/>
        </w:rPr>
        <w:t xml:space="preserve"> </w:t>
      </w:r>
      <w:r w:rsidR="00223173">
        <w:rPr>
          <w:rFonts w:hint="cs"/>
          <w:rtl/>
        </w:rPr>
        <w:t>الإرسال</w:t>
      </w:r>
      <w:r w:rsidR="006A0D42">
        <w:rPr>
          <w:rFonts w:hint="cs"/>
          <w:rtl/>
        </w:rPr>
        <w:t xml:space="preserve"> مع القانون الوطني الساري </w:t>
      </w:r>
      <w:r w:rsidR="00527429">
        <w:rPr>
          <w:rFonts w:hint="cs"/>
          <w:rtl/>
        </w:rPr>
        <w:t>في مكتب تسلم الطلبات الوطني (لا سيما أحكام السرية).</w:t>
      </w:r>
    </w:p>
    <w:p w:rsidR="00527429" w:rsidRDefault="00527429" w:rsidP="00737D23">
      <w:pPr>
        <w:pStyle w:val="NumberedParaAR"/>
      </w:pPr>
      <w:r>
        <w:rPr>
          <w:rFonts w:hint="cs"/>
          <w:rtl/>
        </w:rPr>
        <w:t xml:space="preserve">ونظرًا للتفاوت بين القوانين الوطنية بشأن سرية المعلومات المتعلقة بالطلبات قبل النشر، يُقترح إتاحة المرونة فيما يتعلق بالمعلومات التي تُدرَج في نتائج البحث </w:t>
      </w:r>
      <w:r w:rsidR="00193E7F">
        <w:rPr>
          <w:rFonts w:hint="cs"/>
          <w:rtl/>
        </w:rPr>
        <w:t>المرسلة</w:t>
      </w:r>
      <w:r>
        <w:rPr>
          <w:rFonts w:hint="cs"/>
          <w:rtl/>
        </w:rPr>
        <w:t>. ول</w:t>
      </w:r>
      <w:r w:rsidR="00FF6F9A">
        <w:rPr>
          <w:rFonts w:hint="cs"/>
          <w:rtl/>
        </w:rPr>
        <w:t xml:space="preserve">كي يؤدي </w:t>
      </w:r>
      <w:r>
        <w:rPr>
          <w:rFonts w:hint="cs"/>
          <w:rtl/>
        </w:rPr>
        <w:t>النظام الم</w:t>
      </w:r>
      <w:r w:rsidR="00193E7F">
        <w:rPr>
          <w:rFonts w:hint="cs"/>
          <w:rtl/>
        </w:rPr>
        <w:t>ُ</w:t>
      </w:r>
      <w:r>
        <w:rPr>
          <w:rFonts w:hint="cs"/>
          <w:rtl/>
        </w:rPr>
        <w:t>قتر</w:t>
      </w:r>
      <w:r w:rsidR="00193E7F">
        <w:rPr>
          <w:rFonts w:hint="cs"/>
          <w:rtl/>
        </w:rPr>
        <w:t>َ</w:t>
      </w:r>
      <w:r>
        <w:rPr>
          <w:rFonts w:hint="cs"/>
          <w:rtl/>
        </w:rPr>
        <w:t xml:space="preserve">ح دوره، ينبغي </w:t>
      </w:r>
      <w:r w:rsidR="00264418">
        <w:rPr>
          <w:rFonts w:hint="cs"/>
          <w:rtl/>
        </w:rPr>
        <w:t xml:space="preserve">لمكتب تسلم الطلبات أن </w:t>
      </w:r>
      <w:r w:rsidR="00193E7F">
        <w:rPr>
          <w:rFonts w:hint="cs"/>
          <w:rtl/>
        </w:rPr>
        <w:t>يرسل</w:t>
      </w:r>
      <w:r>
        <w:rPr>
          <w:rFonts w:hint="cs"/>
          <w:rtl/>
        </w:rPr>
        <w:t xml:space="preserve"> قائمة الحالة التقنية السابقة</w:t>
      </w:r>
      <w:r w:rsidR="00264418">
        <w:rPr>
          <w:rFonts w:hint="cs"/>
          <w:rtl/>
        </w:rPr>
        <w:t>، إذا كانت متاحة لديه</w:t>
      </w:r>
      <w:r>
        <w:rPr>
          <w:rFonts w:hint="cs"/>
          <w:rtl/>
        </w:rPr>
        <w:t xml:space="preserve">، </w:t>
      </w:r>
      <w:r w:rsidR="00264418">
        <w:rPr>
          <w:rFonts w:hint="cs"/>
          <w:rtl/>
        </w:rPr>
        <w:t>و</w:t>
      </w:r>
      <w:r>
        <w:rPr>
          <w:rFonts w:hint="cs"/>
          <w:rtl/>
        </w:rPr>
        <w:t>سواء تضمنت</w:t>
      </w:r>
      <w:r w:rsidR="00264418">
        <w:rPr>
          <w:rFonts w:hint="cs"/>
          <w:rtl/>
        </w:rPr>
        <w:t xml:space="preserve"> أم لم تتضمن</w:t>
      </w:r>
      <w:r>
        <w:rPr>
          <w:rFonts w:hint="cs"/>
          <w:rtl/>
        </w:rPr>
        <w:t xml:space="preserve"> الرموز المخصصة وفقًا لمعيار الويبو</w:t>
      </w:r>
      <w:r w:rsidR="00737D23">
        <w:rPr>
          <w:rFonts w:hint="eastAsia"/>
          <w:rtl/>
        </w:rPr>
        <w:t> </w:t>
      </w:r>
      <w:r w:rsidR="00737D23">
        <w:t>ST.14</w:t>
      </w:r>
      <w:r>
        <w:rPr>
          <w:rFonts w:hint="cs"/>
          <w:rtl/>
        </w:rPr>
        <w:t xml:space="preserve">، </w:t>
      </w:r>
      <w:r w:rsidR="00264418">
        <w:rPr>
          <w:rFonts w:hint="cs"/>
          <w:rtl/>
        </w:rPr>
        <w:t xml:space="preserve">إلى إدارة البحث الدولي المختصة. </w:t>
      </w:r>
    </w:p>
    <w:p w:rsidR="00264418" w:rsidRDefault="00264418" w:rsidP="00737D23">
      <w:pPr>
        <w:pStyle w:val="NumberedParaAR"/>
      </w:pPr>
      <w:r>
        <w:rPr>
          <w:rFonts w:hint="cs"/>
          <w:rtl/>
        </w:rPr>
        <w:t xml:space="preserve">ومن شأن نتائج البحث و/أو التصنيف هذه أن تساهم في خفض حجم العمل في إدارات البحث الدولي من خلال تحسين أكثر </w:t>
      </w:r>
      <w:r w:rsidR="00F936A3">
        <w:rPr>
          <w:rFonts w:hint="cs"/>
          <w:rtl/>
        </w:rPr>
        <w:t>للاتساق بين تقرير البحث الدولي ونتائج الفحص خلال المرحلة الوطنية و</w:t>
      </w:r>
      <w:r w:rsidR="00737D23">
        <w:rPr>
          <w:rFonts w:hint="cs"/>
          <w:rtl/>
        </w:rPr>
        <w:t xml:space="preserve">ربّما أيضا </w:t>
      </w:r>
      <w:r w:rsidR="00F936A3">
        <w:rPr>
          <w:rFonts w:hint="cs"/>
          <w:rtl/>
        </w:rPr>
        <w:t xml:space="preserve">جودة تقارير البحث الدولي. ضف إلى ذلك أنه من خلال زيادة فعالية عملية البحث، تدعم هذه الخاصية جهود إدارات البحث الدولي الرامية إلى استيفاء الآجال الزمنية لمعاهدة التعاون بشأن البراءات بموجب القاعدة 42 من </w:t>
      </w:r>
      <w:r w:rsidR="00737D23">
        <w:rPr>
          <w:rFonts w:hint="cs"/>
          <w:rtl/>
        </w:rPr>
        <w:t>اللائحة التنفيذية ل</w:t>
      </w:r>
      <w:r w:rsidR="00F936A3">
        <w:rPr>
          <w:rFonts w:hint="cs"/>
          <w:rtl/>
        </w:rPr>
        <w:t xml:space="preserve">لمعاهدة والهدف العام </w:t>
      </w:r>
      <w:r w:rsidR="009073CD">
        <w:rPr>
          <w:rFonts w:hint="cs"/>
          <w:rtl/>
        </w:rPr>
        <w:t>المتمثل في ضمان منشورات</w:t>
      </w:r>
      <w:r w:rsidR="00737D23">
        <w:rPr>
          <w:rFonts w:hint="eastAsia"/>
          <w:rtl/>
        </w:rPr>
        <w:t> </w:t>
      </w:r>
      <w:r w:rsidR="00737D23">
        <w:t>A1</w:t>
      </w:r>
      <w:r w:rsidR="009073CD">
        <w:rPr>
          <w:rFonts w:hint="cs"/>
          <w:rtl/>
        </w:rPr>
        <w:t xml:space="preserve">. وهكذا </w:t>
      </w:r>
      <w:r w:rsidR="00193E7F">
        <w:rPr>
          <w:rFonts w:hint="cs"/>
          <w:rtl/>
        </w:rPr>
        <w:t>تعم فائدة هذا التدبير على</w:t>
      </w:r>
      <w:r w:rsidR="009073CD">
        <w:rPr>
          <w:rFonts w:hint="cs"/>
          <w:rtl/>
        </w:rPr>
        <w:t xml:space="preserve"> كل من المكتب ومستخدمي النظام. </w:t>
      </w:r>
    </w:p>
    <w:p w:rsidR="009073CD" w:rsidRDefault="009073CD" w:rsidP="009073CD">
      <w:pPr>
        <w:pStyle w:val="Heading2AR"/>
      </w:pPr>
      <w:r>
        <w:rPr>
          <w:rFonts w:hint="cs"/>
          <w:rtl/>
        </w:rPr>
        <w:t>اعتبارات إضافية</w:t>
      </w:r>
    </w:p>
    <w:p w:rsidR="009073CD" w:rsidRDefault="0001463C" w:rsidP="00847FFB">
      <w:pPr>
        <w:pStyle w:val="NumberedParaAR"/>
      </w:pPr>
      <w:r>
        <w:rPr>
          <w:rFonts w:hint="cs"/>
          <w:rtl/>
        </w:rPr>
        <w:t xml:space="preserve">في حال كان </w:t>
      </w:r>
      <w:r w:rsidR="009073CD">
        <w:rPr>
          <w:rFonts w:hint="cs"/>
          <w:rtl/>
        </w:rPr>
        <w:t xml:space="preserve">قانون مكتب تسلم الطلبات الوطني </w:t>
      </w:r>
      <w:r>
        <w:rPr>
          <w:rFonts w:hint="cs"/>
          <w:rtl/>
        </w:rPr>
        <w:t xml:space="preserve">لا يسمح </w:t>
      </w:r>
      <w:r w:rsidR="009073CD">
        <w:rPr>
          <w:rFonts w:hint="cs"/>
          <w:rtl/>
        </w:rPr>
        <w:t>بإتاحة هذه المعلومة لإدارة البحث الدولي قبل النشر إلّا في الحالات التي</w:t>
      </w:r>
      <w:r w:rsidR="00193E7F">
        <w:rPr>
          <w:rFonts w:hint="cs"/>
          <w:rtl/>
        </w:rPr>
        <w:t xml:space="preserve"> يوافق فيها المودع </w:t>
      </w:r>
      <w:r>
        <w:rPr>
          <w:rFonts w:hint="cs"/>
          <w:rtl/>
        </w:rPr>
        <w:t>وتُقدَّم فيها موافقتُه</w:t>
      </w:r>
      <w:r w:rsidR="009073CD">
        <w:rPr>
          <w:rFonts w:hint="cs"/>
          <w:rtl/>
        </w:rPr>
        <w:t xml:space="preserve">، </w:t>
      </w:r>
      <w:r w:rsidR="00847FFB">
        <w:rPr>
          <w:rFonts w:hint="cs"/>
          <w:rtl/>
        </w:rPr>
        <w:t xml:space="preserve">لا يعدّ ذلك مستبعدا </w:t>
      </w:r>
      <w:r w:rsidR="00FE37EC">
        <w:rPr>
          <w:rFonts w:hint="cs"/>
          <w:rtl/>
        </w:rPr>
        <w:t>بموجب القانون الوطني وبالتالي يصبح مكتب تسلم الطلبات م</w:t>
      </w:r>
      <w:r w:rsidR="00193E7F">
        <w:rPr>
          <w:rFonts w:hint="cs"/>
          <w:rtl/>
        </w:rPr>
        <w:t>ُ</w:t>
      </w:r>
      <w:r w:rsidR="00FE37EC">
        <w:rPr>
          <w:rFonts w:hint="cs"/>
          <w:rtl/>
        </w:rPr>
        <w:t>لزمًا بالشرو</w:t>
      </w:r>
      <w:r w:rsidR="00D12414">
        <w:rPr>
          <w:rFonts w:hint="cs"/>
          <w:rtl/>
        </w:rPr>
        <w:t>ط المنصوص عليها في القاعدة 23</w:t>
      </w:r>
      <w:r w:rsidRPr="0001463C">
        <w:rPr>
          <w:rFonts w:hint="cs"/>
          <w:rtl/>
        </w:rPr>
        <w:t>(ثانيا)</w:t>
      </w:r>
      <w:r w:rsidR="00D12414" w:rsidRPr="001C5F58">
        <w:rPr>
          <w:rFonts w:hint="cs"/>
          <w:rtl/>
        </w:rPr>
        <w:t>1</w:t>
      </w:r>
      <w:r w:rsidR="00D12414">
        <w:rPr>
          <w:rFonts w:hint="cs"/>
          <w:rtl/>
        </w:rPr>
        <w:t xml:space="preserve">(أ) و(ب). وفي غياب الموافقة </w:t>
      </w:r>
      <w:r>
        <w:rPr>
          <w:rFonts w:hint="cs"/>
          <w:rtl/>
        </w:rPr>
        <w:t xml:space="preserve">التي </w:t>
      </w:r>
      <w:proofErr w:type="spellStart"/>
      <w:r>
        <w:rPr>
          <w:rFonts w:hint="cs"/>
          <w:rtl/>
        </w:rPr>
        <w:t>يقتضيها</w:t>
      </w:r>
      <w:proofErr w:type="spellEnd"/>
      <w:r>
        <w:rPr>
          <w:rFonts w:hint="cs"/>
          <w:rtl/>
        </w:rPr>
        <w:t xml:space="preserve"> </w:t>
      </w:r>
      <w:r w:rsidR="00D12414">
        <w:rPr>
          <w:rFonts w:hint="cs"/>
          <w:rtl/>
        </w:rPr>
        <w:t xml:space="preserve">مكتب تسلم الطلبات، لا </w:t>
      </w:r>
      <w:r>
        <w:rPr>
          <w:rFonts w:hint="cs"/>
          <w:rtl/>
        </w:rPr>
        <w:t xml:space="preserve">يكون </w:t>
      </w:r>
      <w:r w:rsidR="00D12414">
        <w:rPr>
          <w:rFonts w:hint="cs"/>
          <w:rtl/>
        </w:rPr>
        <w:t xml:space="preserve">المكتب </w:t>
      </w:r>
      <w:r>
        <w:rPr>
          <w:rFonts w:hint="cs"/>
          <w:rtl/>
        </w:rPr>
        <w:t xml:space="preserve">ملزَما </w:t>
      </w:r>
      <w:r w:rsidR="00D12414">
        <w:rPr>
          <w:rFonts w:hint="cs"/>
          <w:rtl/>
        </w:rPr>
        <w:t>بالقاعدة 23</w:t>
      </w:r>
      <w:r>
        <w:rPr>
          <w:rFonts w:hint="cs"/>
          <w:rtl/>
        </w:rPr>
        <w:t>(ثانيا)</w:t>
      </w:r>
      <w:r w:rsidR="00193E7F" w:rsidRPr="001C5F58">
        <w:rPr>
          <w:rFonts w:hint="cs"/>
          <w:rtl/>
        </w:rPr>
        <w:t>1</w:t>
      </w:r>
      <w:r w:rsidR="00193E7F">
        <w:rPr>
          <w:rFonts w:hint="cs"/>
          <w:rtl/>
        </w:rPr>
        <w:t>(أ)</w:t>
      </w:r>
      <w:r w:rsidR="00D12414">
        <w:rPr>
          <w:rFonts w:hint="cs"/>
          <w:rtl/>
        </w:rPr>
        <w:t xml:space="preserve"> و(ب)</w:t>
      </w:r>
      <w:r w:rsidR="00FE37EC">
        <w:rPr>
          <w:rFonts w:hint="cs"/>
          <w:rtl/>
        </w:rPr>
        <w:t xml:space="preserve"> </w:t>
      </w:r>
      <w:r>
        <w:rPr>
          <w:rFonts w:hint="cs"/>
          <w:rtl/>
        </w:rPr>
        <w:t>ولا</w:t>
      </w:r>
      <w:r w:rsidR="00223173">
        <w:rPr>
          <w:rFonts w:hint="cs"/>
          <w:rtl/>
        </w:rPr>
        <w:t xml:space="preserve"> يح</w:t>
      </w:r>
      <w:r w:rsidR="00D12414">
        <w:rPr>
          <w:rFonts w:hint="cs"/>
          <w:rtl/>
        </w:rPr>
        <w:t xml:space="preserve">صل أي </w:t>
      </w:r>
      <w:r w:rsidR="00223173">
        <w:rPr>
          <w:rFonts w:hint="cs"/>
          <w:rtl/>
        </w:rPr>
        <w:t>إرسال</w:t>
      </w:r>
      <w:r w:rsidR="00D12414">
        <w:rPr>
          <w:rFonts w:hint="cs"/>
          <w:rtl/>
        </w:rPr>
        <w:t xml:space="preserve">. ويمكن أن تكون الموافقة ضمنية </w:t>
      </w:r>
      <w:r w:rsidR="00847FFB">
        <w:rPr>
          <w:rFonts w:hint="cs"/>
          <w:rtl/>
        </w:rPr>
        <w:t xml:space="preserve">في حال قدّم </w:t>
      </w:r>
      <w:r w:rsidR="00193E7F">
        <w:rPr>
          <w:rFonts w:hint="cs"/>
          <w:rtl/>
        </w:rPr>
        <w:t>المودع</w:t>
      </w:r>
      <w:r w:rsidR="00D12414">
        <w:rPr>
          <w:rFonts w:hint="cs"/>
          <w:rtl/>
        </w:rPr>
        <w:t xml:space="preserve"> </w:t>
      </w:r>
      <w:r w:rsidR="00847FFB">
        <w:rPr>
          <w:rFonts w:hint="cs"/>
          <w:rtl/>
        </w:rPr>
        <w:t xml:space="preserve">التماسا بناء على </w:t>
      </w:r>
      <w:r w:rsidR="00D12414">
        <w:rPr>
          <w:rFonts w:hint="cs"/>
          <w:rtl/>
        </w:rPr>
        <w:t xml:space="preserve">القاعدة </w:t>
      </w:r>
      <w:r w:rsidR="00847FFB">
        <w:rPr>
          <w:rFonts w:hint="cs"/>
          <w:rtl/>
        </w:rPr>
        <w:t>12.4</w:t>
      </w:r>
      <w:r w:rsidR="00D12414">
        <w:rPr>
          <w:rFonts w:hint="cs"/>
          <w:rtl/>
        </w:rPr>
        <w:t xml:space="preserve">. </w:t>
      </w:r>
      <w:r w:rsidR="00FE37EC">
        <w:rPr>
          <w:rFonts w:hint="cs"/>
          <w:rtl/>
        </w:rPr>
        <w:t xml:space="preserve">ويمكن تعديل </w:t>
      </w:r>
      <w:r w:rsidR="00FE37EC" w:rsidRPr="00FE37EC">
        <w:rPr>
          <w:rtl/>
        </w:rPr>
        <w:t>المبادئ التوجيهية لمكاتب التسلم</w:t>
      </w:r>
      <w:r w:rsidR="00FE37EC">
        <w:rPr>
          <w:rFonts w:hint="cs"/>
          <w:rtl/>
        </w:rPr>
        <w:t xml:space="preserve"> لتوضيح ذلك. </w:t>
      </w:r>
      <w:r w:rsidR="00193E7F">
        <w:rPr>
          <w:rFonts w:hint="cs"/>
          <w:rtl/>
        </w:rPr>
        <w:t>و</w:t>
      </w:r>
      <w:r w:rsidR="00FE37EC">
        <w:rPr>
          <w:rFonts w:hint="cs"/>
          <w:rtl/>
        </w:rPr>
        <w:t xml:space="preserve">يمكن </w:t>
      </w:r>
      <w:r w:rsidR="00847FFB">
        <w:rPr>
          <w:rFonts w:hint="cs"/>
          <w:rtl/>
        </w:rPr>
        <w:t xml:space="preserve">أيضا </w:t>
      </w:r>
      <w:r w:rsidR="00FE37EC">
        <w:rPr>
          <w:rFonts w:hint="cs"/>
          <w:rtl/>
        </w:rPr>
        <w:t>تعديل استما</w:t>
      </w:r>
      <w:r w:rsidR="002C7C9E">
        <w:rPr>
          <w:rFonts w:hint="cs"/>
          <w:rtl/>
        </w:rPr>
        <w:t xml:space="preserve">رة الطلب بغية تمكين </w:t>
      </w:r>
      <w:r w:rsidR="00193E7F">
        <w:rPr>
          <w:rFonts w:hint="cs"/>
          <w:rtl/>
        </w:rPr>
        <w:t>المودع</w:t>
      </w:r>
      <w:r w:rsidR="002C7C9E">
        <w:rPr>
          <w:rFonts w:hint="cs"/>
          <w:rtl/>
        </w:rPr>
        <w:t xml:space="preserve"> من </w:t>
      </w:r>
      <w:r w:rsidR="00FE37EC">
        <w:rPr>
          <w:rFonts w:hint="cs"/>
          <w:rtl/>
        </w:rPr>
        <w:t xml:space="preserve">إدراج موافقته إذا </w:t>
      </w:r>
      <w:r w:rsidR="002C7C9E">
        <w:rPr>
          <w:rFonts w:hint="cs"/>
          <w:rtl/>
        </w:rPr>
        <w:t xml:space="preserve">اقتضى الأمر (في القسم السابع). </w:t>
      </w:r>
    </w:p>
    <w:p w:rsidR="002C7C9E" w:rsidRDefault="001074D8" w:rsidP="000E301D">
      <w:pPr>
        <w:pStyle w:val="NumberedParaAR"/>
      </w:pPr>
      <w:r>
        <w:rPr>
          <w:rFonts w:hint="cs"/>
          <w:rtl/>
        </w:rPr>
        <w:t xml:space="preserve">ولا تستخدم إدارة البحث الدولي نتائج البحث ونتائج التصنيف </w:t>
      </w:r>
      <w:r w:rsidR="000E301D">
        <w:rPr>
          <w:rFonts w:hint="cs"/>
          <w:rtl/>
        </w:rPr>
        <w:t xml:space="preserve">السابق </w:t>
      </w:r>
      <w:r>
        <w:rPr>
          <w:rFonts w:hint="cs"/>
          <w:rtl/>
        </w:rPr>
        <w:t xml:space="preserve">إلا إذا أُتيحت قبل بدء الإدارة بإجراء البحث. وبالتالي، إذا لم يتضمن الطلب أي مطالبة بالأولوية </w:t>
      </w:r>
      <w:r w:rsidR="002B1839">
        <w:rPr>
          <w:rFonts w:hint="cs"/>
          <w:rtl/>
        </w:rPr>
        <w:t xml:space="preserve">أو لم يتمكن مكتب تسلم الطلبات من تحديد مطالبة </w:t>
      </w:r>
      <w:r w:rsidR="009272BC">
        <w:rPr>
          <w:rFonts w:hint="cs"/>
          <w:rtl/>
        </w:rPr>
        <w:t xml:space="preserve">غير صحيحة </w:t>
      </w:r>
      <w:r w:rsidR="002B1839">
        <w:rPr>
          <w:rFonts w:hint="cs"/>
          <w:rtl/>
        </w:rPr>
        <w:t xml:space="preserve">بالأولوية </w:t>
      </w:r>
      <w:r w:rsidR="009272BC">
        <w:rPr>
          <w:rFonts w:hint="cs"/>
          <w:rtl/>
        </w:rPr>
        <w:t>وتصحيحها تلقائيا، وفقا ل</w:t>
      </w:r>
      <w:r w:rsidR="002B1839">
        <w:rPr>
          <w:rFonts w:hint="cs"/>
          <w:rtl/>
        </w:rPr>
        <w:t xml:space="preserve">لفقرة 168 من </w:t>
      </w:r>
      <w:r w:rsidR="002B1839" w:rsidRPr="002B1839">
        <w:rPr>
          <w:rtl/>
        </w:rPr>
        <w:t>المبادئ التوجيهية لمكاتب التسلم</w:t>
      </w:r>
      <w:r w:rsidR="002B1839">
        <w:rPr>
          <w:rFonts w:hint="cs"/>
          <w:rtl/>
        </w:rPr>
        <w:t xml:space="preserve">، </w:t>
      </w:r>
      <w:r w:rsidR="00193E7F">
        <w:rPr>
          <w:rFonts w:hint="cs"/>
          <w:rtl/>
        </w:rPr>
        <w:t>سقط في هذه الحالة</w:t>
      </w:r>
      <w:r w:rsidR="002B1839">
        <w:rPr>
          <w:rFonts w:hint="cs"/>
          <w:rtl/>
        </w:rPr>
        <w:t xml:space="preserve"> الالتزام بتقديم نتائج البحث و/أو نتائج التصنيف </w:t>
      </w:r>
      <w:r w:rsidR="009272BC">
        <w:rPr>
          <w:rFonts w:hint="cs"/>
          <w:rtl/>
        </w:rPr>
        <w:t xml:space="preserve">المتعلقة </w:t>
      </w:r>
      <w:r w:rsidR="00D12414">
        <w:rPr>
          <w:rFonts w:hint="cs"/>
          <w:rtl/>
        </w:rPr>
        <w:t xml:space="preserve">بالمطالبة بالأولوية </w:t>
      </w:r>
      <w:r w:rsidR="009272BC">
        <w:rPr>
          <w:rFonts w:hint="cs"/>
          <w:rtl/>
        </w:rPr>
        <w:t xml:space="preserve">المعنية، </w:t>
      </w:r>
      <w:r w:rsidR="00D12414">
        <w:rPr>
          <w:rFonts w:hint="cs"/>
          <w:rtl/>
        </w:rPr>
        <w:t xml:space="preserve">ابتداء من تاريخ </w:t>
      </w:r>
      <w:r w:rsidR="00223173">
        <w:rPr>
          <w:rFonts w:hint="cs"/>
          <w:rtl/>
        </w:rPr>
        <w:t>إرسال</w:t>
      </w:r>
      <w:r w:rsidR="00D12414">
        <w:rPr>
          <w:rFonts w:hint="cs"/>
          <w:rtl/>
        </w:rPr>
        <w:t xml:space="preserve"> نسخة البحث إلى إدارة البحث الدولي المختصة بموجب القاعدة </w:t>
      </w:r>
      <w:r w:rsidR="009272BC">
        <w:rPr>
          <w:rFonts w:hint="cs"/>
          <w:rtl/>
        </w:rPr>
        <w:t>1.23</w:t>
      </w:r>
      <w:r w:rsidR="00D12414">
        <w:rPr>
          <w:rFonts w:hint="cs"/>
          <w:rtl/>
        </w:rPr>
        <w:t xml:space="preserve">، لأن المطالبة بالأولوية غير معروفة أو لا يمكن تحديدها، وبالتالي لا تتاح نتائج البحث ونتائج التصنيف لمكتب تسلم الطلبات </w:t>
      </w:r>
      <w:r w:rsidR="008206DB">
        <w:rPr>
          <w:rFonts w:hint="cs"/>
          <w:rtl/>
        </w:rPr>
        <w:t xml:space="preserve">كما </w:t>
      </w:r>
      <w:proofErr w:type="spellStart"/>
      <w:r w:rsidR="008206DB">
        <w:rPr>
          <w:rFonts w:hint="cs"/>
          <w:rtl/>
        </w:rPr>
        <w:t>تقتضيه</w:t>
      </w:r>
      <w:proofErr w:type="spellEnd"/>
      <w:r w:rsidR="008206DB">
        <w:rPr>
          <w:rFonts w:hint="cs"/>
          <w:rtl/>
        </w:rPr>
        <w:t xml:space="preserve"> </w:t>
      </w:r>
      <w:r w:rsidR="00D12414">
        <w:rPr>
          <w:rFonts w:hint="cs"/>
          <w:rtl/>
        </w:rPr>
        <w:t>القاعدة 23</w:t>
      </w:r>
      <w:r w:rsidR="008206DB">
        <w:rPr>
          <w:rFonts w:hint="cs"/>
          <w:rtl/>
        </w:rPr>
        <w:t>(ثانيا)</w:t>
      </w:r>
      <w:r w:rsidR="00D12414">
        <w:rPr>
          <w:rFonts w:hint="cs"/>
          <w:rtl/>
        </w:rPr>
        <w:t xml:space="preserve">1(أ) و(ب). ويمكن توضيح هذا الوضع في </w:t>
      </w:r>
      <w:r w:rsidR="00D12414" w:rsidRPr="002B1839">
        <w:rPr>
          <w:rtl/>
        </w:rPr>
        <w:t>المبادئ التوجيهية لمكاتب التسلم</w:t>
      </w:r>
      <w:r w:rsidR="00D12414">
        <w:rPr>
          <w:rFonts w:hint="cs"/>
          <w:rtl/>
        </w:rPr>
        <w:t xml:space="preserve">. </w:t>
      </w:r>
    </w:p>
    <w:p w:rsidR="00D12414" w:rsidRDefault="008206DB" w:rsidP="00A373D1">
      <w:pPr>
        <w:pStyle w:val="NumberedParaAR"/>
      </w:pPr>
      <w:r>
        <w:rPr>
          <w:rFonts w:hint="cs"/>
          <w:rtl/>
        </w:rPr>
        <w:lastRenderedPageBreak/>
        <w:t xml:space="preserve">وتستفيد </w:t>
      </w:r>
      <w:r w:rsidR="00D12414">
        <w:rPr>
          <w:rFonts w:hint="cs"/>
          <w:rtl/>
        </w:rPr>
        <w:t xml:space="preserve">إدارة البحث الدولي </w:t>
      </w:r>
      <w:r>
        <w:rPr>
          <w:rFonts w:hint="cs"/>
          <w:rtl/>
        </w:rPr>
        <w:t xml:space="preserve">من </w:t>
      </w:r>
      <w:r w:rsidR="00D12414">
        <w:rPr>
          <w:rFonts w:hint="cs"/>
          <w:rtl/>
        </w:rPr>
        <w:t xml:space="preserve">نتائج البحث والتصنيف </w:t>
      </w:r>
      <w:r w:rsidR="000E301D">
        <w:rPr>
          <w:rFonts w:hint="cs"/>
          <w:rtl/>
        </w:rPr>
        <w:t xml:space="preserve">السابق </w:t>
      </w:r>
      <w:r w:rsidR="00D12414">
        <w:rPr>
          <w:rFonts w:hint="cs"/>
          <w:rtl/>
        </w:rPr>
        <w:t xml:space="preserve">حتى عندما تُسحب المطالبة بالأولوية المعنية </w:t>
      </w:r>
      <w:r>
        <w:rPr>
          <w:rFonts w:hint="cs"/>
          <w:rtl/>
        </w:rPr>
        <w:t xml:space="preserve">بناء على </w:t>
      </w:r>
      <w:r w:rsidR="00D12414">
        <w:rPr>
          <w:rFonts w:hint="cs"/>
          <w:rtl/>
        </w:rPr>
        <w:t>القاعدة 90</w:t>
      </w:r>
      <w:r w:rsidR="009968DF">
        <w:rPr>
          <w:rFonts w:hint="cs"/>
          <w:rtl/>
        </w:rPr>
        <w:t>(ثانيا)</w:t>
      </w:r>
      <w:r w:rsidR="00D12414" w:rsidRPr="001C5F58">
        <w:rPr>
          <w:rFonts w:hint="cs"/>
          <w:rtl/>
        </w:rPr>
        <w:t>3</w:t>
      </w:r>
      <w:r w:rsidR="00D12414">
        <w:rPr>
          <w:rFonts w:hint="cs"/>
          <w:rtl/>
        </w:rPr>
        <w:t xml:space="preserve">. بالإضافة إلى ذلك، بما أنه يمكن إيداع السحب لدى المكتب الدولي، </w:t>
      </w:r>
      <w:r w:rsidR="009968DF">
        <w:rPr>
          <w:rFonts w:hint="cs"/>
          <w:rtl/>
        </w:rPr>
        <w:t xml:space="preserve">فإن </w:t>
      </w:r>
      <w:r w:rsidR="00D12414">
        <w:rPr>
          <w:rFonts w:hint="cs"/>
          <w:rtl/>
        </w:rPr>
        <w:t xml:space="preserve">الإجراء الأبسط والأكثر فعالية </w:t>
      </w:r>
      <w:r w:rsidR="009968DF">
        <w:rPr>
          <w:rFonts w:hint="cs"/>
          <w:rtl/>
        </w:rPr>
        <w:t xml:space="preserve">هو </w:t>
      </w:r>
      <w:r w:rsidR="00D12414">
        <w:rPr>
          <w:rFonts w:hint="cs"/>
          <w:rtl/>
        </w:rPr>
        <w:t xml:space="preserve">مطالبة مكتب تسلم الطلبات </w:t>
      </w:r>
      <w:r w:rsidR="00223173">
        <w:rPr>
          <w:rFonts w:hint="cs"/>
          <w:rtl/>
        </w:rPr>
        <w:t>بإرسال</w:t>
      </w:r>
      <w:r w:rsidR="00D12414">
        <w:rPr>
          <w:rFonts w:hint="cs"/>
          <w:rtl/>
        </w:rPr>
        <w:t xml:space="preserve"> نتائج البحث ونتائج التصنيف بموجب القاعدة </w:t>
      </w:r>
      <w:r w:rsidR="009968DF">
        <w:rPr>
          <w:rFonts w:hint="cs"/>
          <w:rtl/>
        </w:rPr>
        <w:t xml:space="preserve">23(ثانيا) المقترحة </w:t>
      </w:r>
      <w:r w:rsidR="00344390" w:rsidRPr="001C5F58">
        <w:rPr>
          <w:rFonts w:hint="cs"/>
          <w:rtl/>
        </w:rPr>
        <w:t>فيما</w:t>
      </w:r>
      <w:r w:rsidR="00344390">
        <w:rPr>
          <w:rFonts w:hint="cs"/>
          <w:rtl/>
        </w:rPr>
        <w:t xml:space="preserve"> يخص المطالبة بالأولوية</w:t>
      </w:r>
      <w:r w:rsidR="009968DF">
        <w:rPr>
          <w:rFonts w:hint="cs"/>
          <w:rtl/>
        </w:rPr>
        <w:t xml:space="preserve"> المسحوبة</w:t>
      </w:r>
      <w:r w:rsidR="00344390">
        <w:rPr>
          <w:rFonts w:hint="cs"/>
          <w:rtl/>
        </w:rPr>
        <w:t xml:space="preserve">. وينبغي توضيح هذا الوضع في </w:t>
      </w:r>
      <w:r w:rsidR="00344390" w:rsidRPr="002B1839">
        <w:rPr>
          <w:rtl/>
        </w:rPr>
        <w:t>المبادئ التوجيهية لمكاتب التسلم</w:t>
      </w:r>
      <w:r w:rsidR="00344390">
        <w:rPr>
          <w:rFonts w:hint="cs"/>
          <w:rtl/>
        </w:rPr>
        <w:t xml:space="preserve">. </w:t>
      </w:r>
    </w:p>
    <w:p w:rsidR="00344390" w:rsidRPr="00080BAB" w:rsidRDefault="00344390" w:rsidP="009968DF">
      <w:pPr>
        <w:pStyle w:val="DecisionParaAR"/>
        <w:rPr>
          <w:rtl/>
        </w:rPr>
      </w:pPr>
      <w:r w:rsidRPr="00080BAB">
        <w:rPr>
          <w:rFonts w:hint="cs"/>
          <w:rtl/>
        </w:rPr>
        <w:t>إن الفريق العامل مدعو إلى النظر في الاقتراح الوارد في مرفق هذه الوثيقة.</w:t>
      </w:r>
    </w:p>
    <w:p w:rsidR="00BA6C6A" w:rsidRDefault="00344390" w:rsidP="00BA6C6A">
      <w:pPr>
        <w:pStyle w:val="EndofDocumentAR"/>
        <w:rPr>
          <w:rtl/>
        </w:rPr>
      </w:pPr>
      <w:r w:rsidRPr="00344390">
        <w:rPr>
          <w:rtl/>
        </w:rPr>
        <w:t>[يلي ذلك المرفق]</w:t>
      </w:r>
    </w:p>
    <w:p w:rsidR="009968DF" w:rsidRPr="009968DF" w:rsidRDefault="009968DF" w:rsidP="009968DF">
      <w:pPr>
        <w:pStyle w:val="NormalParaAR"/>
        <w:rPr>
          <w:rtl/>
        </w:rPr>
      </w:pPr>
    </w:p>
    <w:p w:rsidR="009968DF" w:rsidRPr="009968DF" w:rsidRDefault="009968DF" w:rsidP="009968DF">
      <w:pPr>
        <w:pStyle w:val="NormalParaAR"/>
        <w:rPr>
          <w:rtl/>
        </w:rPr>
        <w:sectPr w:rsidR="009968DF" w:rsidRPr="009968DF" w:rsidSect="00BA6C6A">
          <w:headerReference w:type="default" r:id="rId10"/>
          <w:pgSz w:w="11907" w:h="16840" w:code="9"/>
          <w:pgMar w:top="567" w:right="1418" w:bottom="993" w:left="1134" w:header="510" w:footer="1021" w:gutter="0"/>
          <w:cols w:space="720"/>
          <w:titlePg/>
          <w:docGrid w:linePitch="299"/>
        </w:sectPr>
      </w:pPr>
    </w:p>
    <w:p w:rsidR="00CB79E4" w:rsidRDefault="009968DF" w:rsidP="009968DF">
      <w:pPr>
        <w:pStyle w:val="Heading1AR"/>
        <w:jc w:val="center"/>
        <w:rPr>
          <w:rtl/>
        </w:rPr>
      </w:pPr>
      <w:r>
        <w:rPr>
          <w:rtl/>
        </w:rPr>
        <w:lastRenderedPageBreak/>
        <w:t>التعديلات المقترح</w:t>
      </w:r>
      <w:r>
        <w:rPr>
          <w:rFonts w:hint="cs"/>
          <w:rtl/>
        </w:rPr>
        <w:t xml:space="preserve"> إدخالها على</w:t>
      </w:r>
      <w:r w:rsidR="00BB0DEE" w:rsidRPr="00BB0DEE">
        <w:rPr>
          <w:rtl/>
        </w:rPr>
        <w:t xml:space="preserve"> </w:t>
      </w:r>
      <w:r>
        <w:rPr>
          <w:rFonts w:hint="cs"/>
          <w:rtl/>
        </w:rPr>
        <w:t>ال</w:t>
      </w:r>
      <w:r w:rsidR="00BB0DEE" w:rsidRPr="00BB0DEE">
        <w:rPr>
          <w:rtl/>
        </w:rPr>
        <w:t>لائحة التنفيذية لمعاهدة التعاون بشأن البراءات</w:t>
      </w:r>
    </w:p>
    <w:p w:rsidR="00BB0DEE" w:rsidRDefault="00BB0DEE" w:rsidP="00BB0DEE">
      <w:pPr>
        <w:pStyle w:val="Heading2AR"/>
        <w:jc w:val="center"/>
        <w:rPr>
          <w:rtl/>
        </w:rPr>
      </w:pPr>
      <w:r>
        <w:rPr>
          <w:rFonts w:hint="cs"/>
          <w:rtl/>
        </w:rPr>
        <w:t>قائمة المحتويات</w:t>
      </w:r>
    </w:p>
    <w:p w:rsidR="00223173" w:rsidRDefault="001C5F58" w:rsidP="00480A01">
      <w:pPr>
        <w:pStyle w:val="NormalParaAR"/>
        <w:tabs>
          <w:tab w:val="left" w:pos="1417"/>
          <w:tab w:val="right" w:leader="dot" w:pos="9355"/>
        </w:tabs>
        <w:spacing w:after="0"/>
        <w:rPr>
          <w:rtl/>
        </w:rPr>
      </w:pPr>
      <w:r>
        <w:rPr>
          <w:rFonts w:hint="cs"/>
          <w:rtl/>
        </w:rPr>
        <w:t>القاعدة 23</w:t>
      </w:r>
      <w:r w:rsidRPr="001C5F58">
        <w:rPr>
          <w:rFonts w:hint="cs"/>
          <w:vertAlign w:val="superscript"/>
          <w:rtl/>
        </w:rPr>
        <w:t>(ثانيا)</w:t>
      </w:r>
      <w:r w:rsidR="0022658C">
        <w:rPr>
          <w:rFonts w:hint="cs"/>
          <w:rtl/>
        </w:rPr>
        <w:tab/>
      </w:r>
      <w:r w:rsidR="00223173" w:rsidRPr="001C5F58">
        <w:rPr>
          <w:rFonts w:hint="cs"/>
          <w:rtl/>
        </w:rPr>
        <w:t>إرسال</w:t>
      </w:r>
      <w:r w:rsidR="00223173">
        <w:rPr>
          <w:rFonts w:hint="cs"/>
          <w:rtl/>
        </w:rPr>
        <w:t xml:space="preserve"> نتائج البحث والتصنيف</w:t>
      </w:r>
      <w:r w:rsidR="00A373D1">
        <w:rPr>
          <w:rFonts w:hint="cs"/>
          <w:rtl/>
        </w:rPr>
        <w:t xml:space="preserve"> السابق</w:t>
      </w:r>
      <w:r w:rsidR="00480A01">
        <w:rPr>
          <w:rFonts w:hint="cs"/>
          <w:rtl/>
        </w:rPr>
        <w:tab/>
        <w:t>2</w:t>
      </w:r>
    </w:p>
    <w:p w:rsidR="00223173" w:rsidRDefault="001C5F58" w:rsidP="00480A01">
      <w:pPr>
        <w:pStyle w:val="NormalParaAR"/>
        <w:tabs>
          <w:tab w:val="left" w:pos="1417"/>
          <w:tab w:val="right" w:leader="dot" w:pos="9355"/>
        </w:tabs>
        <w:spacing w:after="0"/>
        <w:ind w:left="566"/>
        <w:rPr>
          <w:rtl/>
        </w:rPr>
      </w:pPr>
      <w:r>
        <w:rPr>
          <w:rFonts w:hint="cs"/>
          <w:rtl/>
        </w:rPr>
        <w:t>23</w:t>
      </w:r>
      <w:r w:rsidRPr="001C5F58">
        <w:rPr>
          <w:rFonts w:hint="cs"/>
          <w:vertAlign w:val="superscript"/>
          <w:rtl/>
        </w:rPr>
        <w:t>(ثانيا)</w:t>
      </w:r>
      <w:r w:rsidR="009968DF">
        <w:rPr>
          <w:rFonts w:hint="cs"/>
          <w:rtl/>
        </w:rPr>
        <w:t>1</w:t>
      </w:r>
      <w:r w:rsidR="009968DF">
        <w:rPr>
          <w:rFonts w:hint="cs"/>
          <w:rtl/>
        </w:rPr>
        <w:tab/>
        <w:t>الإجراء</w:t>
      </w:r>
      <w:r w:rsidR="00480A01">
        <w:rPr>
          <w:rFonts w:hint="cs"/>
          <w:rtl/>
        </w:rPr>
        <w:tab/>
        <w:t>2</w:t>
      </w:r>
    </w:p>
    <w:p w:rsidR="00185423" w:rsidRDefault="001C5F58" w:rsidP="00480A01">
      <w:pPr>
        <w:pStyle w:val="NormalParaAR"/>
        <w:tabs>
          <w:tab w:val="left" w:pos="1417"/>
          <w:tab w:val="right" w:leader="dot" w:pos="9355"/>
        </w:tabs>
        <w:ind w:left="566"/>
        <w:rPr>
          <w:rtl/>
        </w:rPr>
      </w:pPr>
      <w:r>
        <w:rPr>
          <w:rFonts w:hint="cs"/>
          <w:rtl/>
        </w:rPr>
        <w:t>23</w:t>
      </w:r>
      <w:r w:rsidRPr="001C5F58">
        <w:rPr>
          <w:rFonts w:hint="cs"/>
          <w:vertAlign w:val="superscript"/>
          <w:rtl/>
        </w:rPr>
        <w:t>(ثانيا)</w:t>
      </w:r>
      <w:r w:rsidR="009968DF">
        <w:rPr>
          <w:rFonts w:hint="cs"/>
          <w:rtl/>
        </w:rPr>
        <w:t>2</w:t>
      </w:r>
      <w:r w:rsidR="009968DF">
        <w:rPr>
          <w:rFonts w:hint="cs"/>
          <w:rtl/>
        </w:rPr>
        <w:tab/>
      </w:r>
      <w:r w:rsidR="00223173">
        <w:rPr>
          <w:rFonts w:hint="cs"/>
          <w:rtl/>
        </w:rPr>
        <w:t>مضمون نتائج البحث المرسلة</w:t>
      </w:r>
      <w:r w:rsidR="00480A01">
        <w:rPr>
          <w:rFonts w:hint="cs"/>
          <w:rtl/>
        </w:rPr>
        <w:tab/>
        <w:t>2</w:t>
      </w:r>
    </w:p>
    <w:p w:rsidR="00185423" w:rsidRDefault="00185423" w:rsidP="009A6B33">
      <w:pPr>
        <w:pStyle w:val="NormalParaAR"/>
        <w:ind w:left="566"/>
        <w:rPr>
          <w:rtl/>
        </w:rPr>
      </w:pPr>
    </w:p>
    <w:p w:rsidR="00223173" w:rsidRDefault="00C01EBB" w:rsidP="009A6B33">
      <w:pPr>
        <w:pStyle w:val="NormalParaAR"/>
        <w:ind w:left="566"/>
        <w:rPr>
          <w:rtl/>
        </w:rPr>
      </w:pPr>
      <w:r>
        <w:rPr>
          <w:rtl/>
        </w:rPr>
        <w:br w:type="page"/>
      </w:r>
    </w:p>
    <w:p w:rsidR="001C5F58" w:rsidRPr="00185423" w:rsidRDefault="008E7D4C" w:rsidP="0022658C">
      <w:pPr>
        <w:pStyle w:val="Heading1AR"/>
        <w:spacing w:line="360" w:lineRule="auto"/>
        <w:jc w:val="center"/>
        <w:rPr>
          <w:color w:val="0070C0"/>
          <w:u w:val="single"/>
          <w:vertAlign w:val="superscript"/>
          <w:rtl/>
        </w:rPr>
      </w:pPr>
      <w:r w:rsidRPr="00185423">
        <w:rPr>
          <w:rFonts w:hint="cs"/>
          <w:color w:val="0070C0"/>
          <w:u w:val="single"/>
          <w:rtl/>
        </w:rPr>
        <w:lastRenderedPageBreak/>
        <w:t>القاعدة 23</w:t>
      </w:r>
      <w:r w:rsidR="001C5F58" w:rsidRPr="00185423">
        <w:rPr>
          <w:rFonts w:hint="cs"/>
          <w:color w:val="0070C0"/>
          <w:u w:val="single"/>
          <w:vertAlign w:val="superscript"/>
          <w:rtl/>
        </w:rPr>
        <w:t>(ثانيا)</w:t>
      </w:r>
    </w:p>
    <w:p w:rsidR="00DA5226" w:rsidRPr="00185423" w:rsidRDefault="008E7D4C" w:rsidP="00A373D1">
      <w:pPr>
        <w:pStyle w:val="Heading1AR"/>
        <w:spacing w:line="360" w:lineRule="auto"/>
        <w:jc w:val="center"/>
        <w:rPr>
          <w:color w:val="0070C0"/>
          <w:u w:val="single"/>
          <w:rtl/>
        </w:rPr>
      </w:pPr>
      <w:r w:rsidRPr="00185423">
        <w:rPr>
          <w:rFonts w:hint="cs"/>
          <w:color w:val="0070C0"/>
          <w:u w:val="single"/>
          <w:rtl/>
        </w:rPr>
        <w:t>إرسال نتائج البحث والتصنيف</w:t>
      </w:r>
      <w:r w:rsidR="00A373D1">
        <w:rPr>
          <w:rFonts w:hint="cs"/>
          <w:color w:val="0070C0"/>
          <w:u w:val="single"/>
          <w:rtl/>
        </w:rPr>
        <w:t xml:space="preserve"> </w:t>
      </w:r>
      <w:r w:rsidR="00A373D1" w:rsidRPr="00185423">
        <w:rPr>
          <w:rFonts w:hint="cs"/>
          <w:color w:val="0070C0"/>
          <w:u w:val="single"/>
          <w:rtl/>
        </w:rPr>
        <w:t>السابق</w:t>
      </w:r>
    </w:p>
    <w:p w:rsidR="00DA5226" w:rsidRPr="00DC7D74" w:rsidRDefault="008E7D4C" w:rsidP="0022658C">
      <w:pPr>
        <w:pStyle w:val="NormalParaAR"/>
        <w:spacing w:line="360" w:lineRule="auto"/>
        <w:rPr>
          <w:i/>
          <w:iCs/>
          <w:color w:val="0070C0"/>
          <w:u w:val="single"/>
          <w:rtl/>
        </w:rPr>
      </w:pPr>
      <w:r w:rsidRPr="00DC7D74">
        <w:rPr>
          <w:rFonts w:hint="cs"/>
          <w:i/>
          <w:iCs/>
          <w:color w:val="0070C0"/>
          <w:u w:val="single"/>
          <w:rtl/>
        </w:rPr>
        <w:t>23</w:t>
      </w:r>
      <w:r w:rsidR="001C5F58" w:rsidRPr="00DC7D74">
        <w:rPr>
          <w:rFonts w:hint="cs"/>
          <w:i/>
          <w:iCs/>
          <w:color w:val="0070C0"/>
          <w:u w:val="single"/>
          <w:vertAlign w:val="superscript"/>
          <w:rtl/>
        </w:rPr>
        <w:t>(ثانيا)</w:t>
      </w:r>
      <w:r w:rsidR="00E8267D" w:rsidRPr="00DC7D74">
        <w:rPr>
          <w:i/>
          <w:iCs/>
          <w:color w:val="0070C0"/>
          <w:u w:val="single"/>
        </w:rPr>
        <w:t>1</w:t>
      </w:r>
      <w:r w:rsidRPr="00DC7D74">
        <w:rPr>
          <w:rFonts w:hint="cs"/>
          <w:i/>
          <w:iCs/>
          <w:color w:val="0070C0"/>
          <w:u w:val="single"/>
          <w:rtl/>
        </w:rPr>
        <w:t xml:space="preserve">   الإجراء</w:t>
      </w:r>
    </w:p>
    <w:p w:rsidR="00DA5226" w:rsidRPr="00185423" w:rsidRDefault="00F80926" w:rsidP="003B5A5C">
      <w:pPr>
        <w:pStyle w:val="NormalParaAR"/>
        <w:spacing w:line="360" w:lineRule="auto"/>
        <w:ind w:left="-1" w:firstLine="567"/>
        <w:rPr>
          <w:color w:val="0070C0"/>
        </w:rPr>
      </w:pPr>
      <w:r w:rsidRPr="00185423">
        <w:rPr>
          <w:rFonts w:hint="cs"/>
          <w:color w:val="0070C0"/>
          <w:rtl/>
        </w:rPr>
        <w:t>(أ)</w:t>
      </w:r>
      <w:r w:rsidRPr="00185423">
        <w:rPr>
          <w:rFonts w:hint="cs"/>
          <w:color w:val="0070C0"/>
          <w:rtl/>
        </w:rPr>
        <w:tab/>
      </w:r>
      <w:r w:rsidR="00DA5226" w:rsidRPr="00185423">
        <w:rPr>
          <w:rFonts w:hint="cs"/>
          <w:color w:val="0070C0"/>
          <w:rtl/>
        </w:rPr>
        <w:t xml:space="preserve">مع مراعاة الفقرة (ج) </w:t>
      </w:r>
      <w:r w:rsidR="00B20AC1">
        <w:rPr>
          <w:rFonts w:hint="cs"/>
          <w:color w:val="0070C0"/>
          <w:rtl/>
        </w:rPr>
        <w:t xml:space="preserve">وفي حال عدم الاستبعاد بموجب </w:t>
      </w:r>
      <w:r w:rsidR="00DA5226" w:rsidRPr="00185423">
        <w:rPr>
          <w:rFonts w:hint="cs"/>
          <w:color w:val="0070C0"/>
          <w:rtl/>
        </w:rPr>
        <w:t xml:space="preserve">القانون الوطني </w:t>
      </w:r>
      <w:r w:rsidR="00B20AC1">
        <w:rPr>
          <w:rFonts w:hint="cs"/>
          <w:color w:val="0070C0"/>
          <w:rtl/>
        </w:rPr>
        <w:t xml:space="preserve">وفي حال </w:t>
      </w:r>
      <w:r w:rsidR="003B5A5C">
        <w:rPr>
          <w:rFonts w:hint="cs"/>
          <w:color w:val="0070C0"/>
          <w:rtl/>
        </w:rPr>
        <w:t xml:space="preserve">التوافر </w:t>
      </w:r>
      <w:r w:rsidR="00B20AC1">
        <w:rPr>
          <w:rFonts w:hint="cs"/>
          <w:color w:val="0070C0"/>
          <w:rtl/>
        </w:rPr>
        <w:t xml:space="preserve">في موعد </w:t>
      </w:r>
      <w:r w:rsidR="00705FFE" w:rsidRPr="00185423">
        <w:rPr>
          <w:rFonts w:hint="cs"/>
          <w:color w:val="0070C0"/>
          <w:rtl/>
        </w:rPr>
        <w:t xml:space="preserve">إرسال نسخة البحث </w:t>
      </w:r>
      <w:r w:rsidR="00B20AC1">
        <w:rPr>
          <w:rFonts w:hint="cs"/>
          <w:color w:val="0070C0"/>
          <w:rtl/>
        </w:rPr>
        <w:t xml:space="preserve">وفقا </w:t>
      </w:r>
      <w:r w:rsidR="00B67F09">
        <w:rPr>
          <w:rFonts w:hint="cs"/>
          <w:color w:val="0070C0"/>
          <w:rtl/>
        </w:rPr>
        <w:t>ل</w:t>
      </w:r>
      <w:r w:rsidR="00B20AC1">
        <w:rPr>
          <w:rFonts w:hint="cs"/>
          <w:color w:val="0070C0"/>
          <w:rtl/>
        </w:rPr>
        <w:t>ل</w:t>
      </w:r>
      <w:r w:rsidR="00705FFE" w:rsidRPr="00185423">
        <w:rPr>
          <w:rFonts w:hint="cs"/>
          <w:color w:val="0070C0"/>
          <w:rtl/>
        </w:rPr>
        <w:t xml:space="preserve">قاعدة </w:t>
      </w:r>
      <w:r w:rsidR="00B20AC1">
        <w:rPr>
          <w:rFonts w:hint="cs"/>
          <w:color w:val="0070C0"/>
          <w:rtl/>
        </w:rPr>
        <w:t>1.23</w:t>
      </w:r>
      <w:r w:rsidR="00705FFE" w:rsidRPr="00185423">
        <w:rPr>
          <w:rFonts w:hint="cs"/>
          <w:color w:val="0070C0"/>
          <w:rtl/>
        </w:rPr>
        <w:t xml:space="preserve">(أ) </w:t>
      </w:r>
      <w:r w:rsidR="00B20AC1">
        <w:rPr>
          <w:rFonts w:hint="cs"/>
          <w:color w:val="0070C0"/>
          <w:rtl/>
        </w:rPr>
        <w:t>أ</w:t>
      </w:r>
      <w:r w:rsidR="00705FFE" w:rsidRPr="00185423">
        <w:rPr>
          <w:rFonts w:hint="cs"/>
          <w:color w:val="0070C0"/>
          <w:rtl/>
        </w:rPr>
        <w:t>و</w:t>
      </w:r>
      <w:r w:rsidR="00B20AC1">
        <w:rPr>
          <w:rFonts w:hint="cs"/>
          <w:color w:val="0070C0"/>
          <w:rtl/>
        </w:rPr>
        <w:t xml:space="preserve"> </w:t>
      </w:r>
      <w:r w:rsidR="00705FFE" w:rsidRPr="00185423">
        <w:rPr>
          <w:rFonts w:hint="cs"/>
          <w:color w:val="0070C0"/>
          <w:rtl/>
        </w:rPr>
        <w:t xml:space="preserve">(ب)، يرسل مكتب تسلم الطلبات إلى إدارة البحث الدولي نسخة البحث ونتائجه و/أو نتائج التصنيف التي </w:t>
      </w:r>
      <w:r w:rsidR="003B5A5C">
        <w:rPr>
          <w:rFonts w:hint="cs"/>
          <w:color w:val="0070C0"/>
          <w:rtl/>
        </w:rPr>
        <w:t xml:space="preserve">أعدّها </w:t>
      </w:r>
      <w:r w:rsidR="00705FFE" w:rsidRPr="00185423">
        <w:rPr>
          <w:rFonts w:hint="cs"/>
          <w:color w:val="0070C0"/>
          <w:rtl/>
        </w:rPr>
        <w:t>مسبقا بشأن واحد أو أكثر من الطلبات</w:t>
      </w:r>
      <w:r w:rsidR="00567326" w:rsidRPr="00185423">
        <w:rPr>
          <w:rFonts w:hint="cs"/>
          <w:color w:val="0070C0"/>
          <w:rtl/>
        </w:rPr>
        <w:t xml:space="preserve"> السابقة التي تقوم</w:t>
      </w:r>
      <w:r w:rsidR="003B5A5C">
        <w:rPr>
          <w:rFonts w:hint="cs"/>
          <w:color w:val="0070C0"/>
          <w:rtl/>
        </w:rPr>
        <w:t xml:space="preserve"> عليها</w:t>
      </w:r>
      <w:r w:rsidR="00567326" w:rsidRPr="00185423">
        <w:rPr>
          <w:rFonts w:hint="cs"/>
          <w:color w:val="0070C0"/>
          <w:rtl/>
        </w:rPr>
        <w:t xml:space="preserve"> </w:t>
      </w:r>
      <w:r w:rsidR="003B5A5C">
        <w:rPr>
          <w:rFonts w:hint="cs"/>
          <w:color w:val="0070C0"/>
          <w:rtl/>
        </w:rPr>
        <w:t>ال</w:t>
      </w:r>
      <w:r w:rsidR="00567326" w:rsidRPr="00185423">
        <w:rPr>
          <w:rFonts w:hint="cs"/>
          <w:color w:val="0070C0"/>
          <w:rtl/>
        </w:rPr>
        <w:t>مطالبة بأولية الطلب</w:t>
      </w:r>
      <w:r w:rsidR="003B5A5C">
        <w:rPr>
          <w:rFonts w:hint="eastAsia"/>
          <w:color w:val="0070C0"/>
          <w:rtl/>
        </w:rPr>
        <w:t> </w:t>
      </w:r>
      <w:r w:rsidR="00567326" w:rsidRPr="00185423">
        <w:rPr>
          <w:rFonts w:hint="cs"/>
          <w:color w:val="0070C0"/>
          <w:rtl/>
        </w:rPr>
        <w:t xml:space="preserve">الدولي. </w:t>
      </w:r>
    </w:p>
    <w:p w:rsidR="00567326" w:rsidRPr="00185423" w:rsidRDefault="00F80926" w:rsidP="003B5A5C">
      <w:pPr>
        <w:pStyle w:val="NormalParaAR"/>
        <w:spacing w:line="360" w:lineRule="auto"/>
        <w:ind w:left="-1" w:firstLine="567"/>
        <w:rPr>
          <w:color w:val="0070C0"/>
        </w:rPr>
      </w:pPr>
      <w:r w:rsidRPr="00185423">
        <w:rPr>
          <w:rFonts w:hint="cs"/>
          <w:color w:val="0070C0"/>
          <w:rtl/>
        </w:rPr>
        <w:t>(ب)</w:t>
      </w:r>
      <w:r w:rsidRPr="00185423">
        <w:rPr>
          <w:rFonts w:hint="cs"/>
          <w:color w:val="0070C0"/>
          <w:rtl/>
        </w:rPr>
        <w:tab/>
      </w:r>
      <w:r w:rsidR="00567326" w:rsidRPr="00185423">
        <w:rPr>
          <w:rFonts w:hint="cs"/>
          <w:color w:val="0070C0"/>
          <w:rtl/>
        </w:rPr>
        <w:t>مع مراعاة الفقرة (ج)</w:t>
      </w:r>
      <w:r w:rsidR="003B5A5C">
        <w:rPr>
          <w:rFonts w:hint="cs"/>
          <w:color w:val="0070C0"/>
          <w:rtl/>
        </w:rPr>
        <w:t xml:space="preserve"> وفي حال عدم الاستبعاد بموجب </w:t>
      </w:r>
      <w:r w:rsidR="00567326" w:rsidRPr="00185423">
        <w:rPr>
          <w:rFonts w:hint="cs"/>
          <w:color w:val="0070C0"/>
          <w:rtl/>
        </w:rPr>
        <w:t xml:space="preserve">القانون الوطني، تنطبق الفقرة (أ) على مكاتب تسلم الطلبات فيما يتعلق بنتائج البحث و/أو نتائج التصنيف التي لم </w:t>
      </w:r>
      <w:r w:rsidR="003B5A5C">
        <w:rPr>
          <w:rFonts w:hint="cs"/>
          <w:color w:val="0070C0"/>
          <w:rtl/>
        </w:rPr>
        <w:t xml:space="preserve">يعدّها </w:t>
      </w:r>
      <w:r w:rsidR="00567326" w:rsidRPr="00185423">
        <w:rPr>
          <w:rFonts w:hint="cs"/>
          <w:color w:val="0070C0"/>
          <w:rtl/>
        </w:rPr>
        <w:t xml:space="preserve">مكتب تسلم الطلبات ولكنها في حوزته. </w:t>
      </w:r>
    </w:p>
    <w:p w:rsidR="00120C46" w:rsidRPr="00185423" w:rsidRDefault="00F80926" w:rsidP="000E301D">
      <w:pPr>
        <w:pStyle w:val="NormalParaAR"/>
        <w:spacing w:line="360" w:lineRule="auto"/>
        <w:ind w:left="-1" w:firstLine="567"/>
        <w:rPr>
          <w:color w:val="0070C0"/>
          <w:rtl/>
          <w:lang w:bidi="ar-AE"/>
        </w:rPr>
      </w:pPr>
      <w:r w:rsidRPr="00185423">
        <w:rPr>
          <w:rFonts w:hint="cs"/>
          <w:color w:val="0070C0"/>
          <w:rtl/>
        </w:rPr>
        <w:t>(ج)</w:t>
      </w:r>
      <w:r w:rsidRPr="00185423">
        <w:rPr>
          <w:rFonts w:hint="cs"/>
          <w:color w:val="0070C0"/>
          <w:rtl/>
        </w:rPr>
        <w:tab/>
      </w:r>
      <w:r w:rsidR="00567326" w:rsidRPr="00185423">
        <w:rPr>
          <w:rFonts w:hint="cs"/>
          <w:color w:val="0070C0"/>
          <w:rtl/>
        </w:rPr>
        <w:t xml:space="preserve">لا تنطبق الفقرتان (أ) و(ب) </w:t>
      </w:r>
      <w:r w:rsidR="003B5A5C">
        <w:rPr>
          <w:rFonts w:hint="cs"/>
          <w:color w:val="0070C0"/>
          <w:rtl/>
        </w:rPr>
        <w:t xml:space="preserve">في حال أعدّ </w:t>
      </w:r>
      <w:r w:rsidR="00567326" w:rsidRPr="00185423">
        <w:rPr>
          <w:rFonts w:hint="cs"/>
          <w:color w:val="0070C0"/>
          <w:rtl/>
        </w:rPr>
        <w:t xml:space="preserve">المكتب الذي </w:t>
      </w:r>
      <w:r w:rsidR="003B5A5C">
        <w:rPr>
          <w:rFonts w:hint="cs"/>
          <w:color w:val="0070C0"/>
          <w:rtl/>
        </w:rPr>
        <w:t xml:space="preserve">يعمل بصفته </w:t>
      </w:r>
      <w:r w:rsidR="00120C46" w:rsidRPr="00185423">
        <w:rPr>
          <w:rFonts w:hint="cs"/>
          <w:color w:val="0070C0"/>
          <w:rtl/>
        </w:rPr>
        <w:t xml:space="preserve">إدارة البحث الدولي نتائج البحث و/أو نتائج التصنيف </w:t>
      </w:r>
      <w:r w:rsidR="003B5A5C">
        <w:rPr>
          <w:rFonts w:hint="cs"/>
          <w:color w:val="0070C0"/>
          <w:rtl/>
        </w:rPr>
        <w:t xml:space="preserve">بالنسبة إلى </w:t>
      </w:r>
      <w:r w:rsidR="00120C46" w:rsidRPr="00185423">
        <w:rPr>
          <w:rFonts w:hint="cs"/>
          <w:color w:val="0070C0"/>
          <w:rtl/>
        </w:rPr>
        <w:t xml:space="preserve">الطلب الذي </w:t>
      </w:r>
      <w:r w:rsidR="003B5A5C">
        <w:rPr>
          <w:rFonts w:hint="cs"/>
          <w:color w:val="0070C0"/>
          <w:rtl/>
        </w:rPr>
        <w:t xml:space="preserve">يطالَب </w:t>
      </w:r>
      <w:r w:rsidR="00120C46" w:rsidRPr="00185423">
        <w:rPr>
          <w:rFonts w:hint="cs"/>
          <w:color w:val="0070C0"/>
          <w:rtl/>
        </w:rPr>
        <w:t>بأولوي</w:t>
      </w:r>
      <w:r w:rsidR="000E301D">
        <w:rPr>
          <w:rFonts w:hint="cs"/>
          <w:color w:val="0070C0"/>
          <w:rtl/>
        </w:rPr>
        <w:t>ت</w:t>
      </w:r>
      <w:r w:rsidR="003B5A5C">
        <w:rPr>
          <w:rFonts w:hint="cs"/>
          <w:color w:val="0070C0"/>
          <w:rtl/>
        </w:rPr>
        <w:t>ه.</w:t>
      </w:r>
    </w:p>
    <w:p w:rsidR="00120C46" w:rsidRPr="00DC7D74" w:rsidRDefault="001C5F58" w:rsidP="00DC7D74">
      <w:pPr>
        <w:pStyle w:val="Heading2AR"/>
        <w:spacing w:line="360" w:lineRule="auto"/>
        <w:rPr>
          <w:i/>
          <w:iCs/>
          <w:color w:val="0070C0"/>
          <w:u w:val="single"/>
          <w:rtl/>
        </w:rPr>
      </w:pPr>
      <w:r w:rsidRPr="00DC7D74">
        <w:rPr>
          <w:rFonts w:hint="cs"/>
          <w:i/>
          <w:iCs/>
          <w:color w:val="0070C0"/>
          <w:u w:val="single"/>
          <w:rtl/>
        </w:rPr>
        <w:t>23</w:t>
      </w:r>
      <w:r w:rsidRPr="00DC7D74">
        <w:rPr>
          <w:rFonts w:hint="cs"/>
          <w:i/>
          <w:iCs/>
          <w:color w:val="0070C0"/>
          <w:u w:val="single"/>
          <w:vertAlign w:val="superscript"/>
          <w:rtl/>
        </w:rPr>
        <w:t>(ثانيا)</w:t>
      </w:r>
      <w:r w:rsidR="006D1405" w:rsidRPr="00DC7D74">
        <w:rPr>
          <w:rFonts w:hint="cs"/>
          <w:i/>
          <w:iCs/>
          <w:color w:val="0070C0"/>
          <w:u w:val="single"/>
          <w:rtl/>
        </w:rPr>
        <w:t>2</w:t>
      </w:r>
      <w:r w:rsidR="00DC7D74">
        <w:rPr>
          <w:rFonts w:hint="cs"/>
          <w:i/>
          <w:iCs/>
          <w:color w:val="0070C0"/>
          <w:u w:val="single"/>
          <w:rtl/>
        </w:rPr>
        <w:t xml:space="preserve">   </w:t>
      </w:r>
      <w:r w:rsidR="00120C46" w:rsidRPr="00DC7D74">
        <w:rPr>
          <w:rFonts w:hint="cs"/>
          <w:i/>
          <w:iCs/>
          <w:color w:val="0070C0"/>
          <w:u w:val="single"/>
          <w:rtl/>
        </w:rPr>
        <w:t>محتويات نتائج البحث المرسلة</w:t>
      </w:r>
    </w:p>
    <w:p w:rsidR="00B93C69" w:rsidRPr="00185423" w:rsidRDefault="00DC7D74" w:rsidP="00031A8B">
      <w:pPr>
        <w:pStyle w:val="NormalParaAR"/>
        <w:spacing w:line="360" w:lineRule="auto"/>
        <w:rPr>
          <w:color w:val="0070C0"/>
          <w:rtl/>
        </w:rPr>
      </w:pPr>
      <w:r>
        <w:rPr>
          <w:rFonts w:hint="cs"/>
          <w:color w:val="0070C0"/>
          <w:rtl/>
        </w:rPr>
        <w:tab/>
      </w:r>
      <w:r w:rsidR="00120C46" w:rsidRPr="00185423">
        <w:rPr>
          <w:rFonts w:hint="cs"/>
          <w:color w:val="0070C0"/>
          <w:rtl/>
        </w:rPr>
        <w:t>يجوز لم</w:t>
      </w:r>
      <w:r w:rsidR="00B93C69" w:rsidRPr="00185423">
        <w:rPr>
          <w:rFonts w:hint="cs"/>
          <w:color w:val="0070C0"/>
          <w:rtl/>
        </w:rPr>
        <w:t xml:space="preserve">كتب تسلم الطلبات أن يقرر بشأن المعلومات </w:t>
      </w:r>
      <w:r w:rsidR="00C17AFA">
        <w:rPr>
          <w:rFonts w:hint="cs"/>
          <w:color w:val="0070C0"/>
          <w:rtl/>
        </w:rPr>
        <w:t xml:space="preserve">الأخرى التي تضاف إلى قائمة </w:t>
      </w:r>
      <w:r w:rsidR="00B93C69" w:rsidRPr="00185423">
        <w:rPr>
          <w:rFonts w:hint="cs"/>
          <w:color w:val="0070C0"/>
          <w:rtl/>
        </w:rPr>
        <w:t xml:space="preserve">وثائق الحالة الصناعية السابقة </w:t>
      </w:r>
      <w:r w:rsidR="00C17AFA">
        <w:rPr>
          <w:rFonts w:hint="cs"/>
          <w:color w:val="0070C0"/>
          <w:rtl/>
        </w:rPr>
        <w:t xml:space="preserve">التي توجد </w:t>
      </w:r>
      <w:r w:rsidR="00031A8B">
        <w:rPr>
          <w:rFonts w:hint="cs"/>
          <w:color w:val="0070C0"/>
          <w:rtl/>
        </w:rPr>
        <w:t xml:space="preserve">من خلال </w:t>
      </w:r>
      <w:r w:rsidR="00B93C69" w:rsidRPr="00185423">
        <w:rPr>
          <w:rFonts w:hint="cs"/>
          <w:color w:val="0070C0"/>
          <w:rtl/>
        </w:rPr>
        <w:t xml:space="preserve">البحث السابق </w:t>
      </w:r>
      <w:r w:rsidR="00C17AFA">
        <w:rPr>
          <w:rFonts w:hint="cs"/>
          <w:color w:val="0070C0"/>
          <w:rtl/>
        </w:rPr>
        <w:t>و</w:t>
      </w:r>
      <w:r w:rsidR="00B93C69" w:rsidRPr="00185423">
        <w:rPr>
          <w:rFonts w:hint="cs"/>
          <w:color w:val="0070C0"/>
          <w:rtl/>
        </w:rPr>
        <w:t xml:space="preserve">التي ينبغي أن تُقدَّم في نتائج البحث المرسلة </w:t>
      </w:r>
      <w:r w:rsidR="00C17AFA">
        <w:rPr>
          <w:rFonts w:hint="cs"/>
          <w:color w:val="0070C0"/>
          <w:rtl/>
        </w:rPr>
        <w:t>بناء على القاعدة 23</w:t>
      </w:r>
      <w:r w:rsidR="00C17AFA" w:rsidRPr="00C17AFA">
        <w:rPr>
          <w:rFonts w:hint="cs"/>
          <w:color w:val="0070C0"/>
          <w:vertAlign w:val="superscript"/>
          <w:rtl/>
        </w:rPr>
        <w:t>(</w:t>
      </w:r>
      <w:r w:rsidR="006D1405" w:rsidRPr="00185423">
        <w:rPr>
          <w:rFonts w:hint="cs"/>
          <w:color w:val="0070C0"/>
          <w:vertAlign w:val="superscript"/>
          <w:rtl/>
        </w:rPr>
        <w:t>ثانيا)</w:t>
      </w:r>
      <w:r w:rsidR="006D1405" w:rsidRPr="00185423">
        <w:rPr>
          <w:rFonts w:hint="cs"/>
          <w:color w:val="0070C0"/>
          <w:rtl/>
        </w:rPr>
        <w:t>2</w:t>
      </w:r>
      <w:r w:rsidR="00C17AFA">
        <w:rPr>
          <w:rFonts w:hint="cs"/>
          <w:color w:val="0070C0"/>
          <w:rtl/>
        </w:rPr>
        <w:t>(أ).</w:t>
      </w:r>
    </w:p>
    <w:p w:rsidR="002F77FC" w:rsidRDefault="00B93C69" w:rsidP="008F33DE">
      <w:pPr>
        <w:pStyle w:val="EndofDocumentAR"/>
        <w:rPr>
          <w:rtl/>
        </w:rPr>
      </w:pPr>
      <w:r w:rsidRPr="00B93C69">
        <w:rPr>
          <w:rtl/>
        </w:rPr>
        <w:t>[نهاية المرفق والوثيقة]</w:t>
      </w:r>
    </w:p>
    <w:sectPr w:rsidR="002F77FC" w:rsidSect="00BA6C6A">
      <w:headerReference w:type="default" r:id="rId11"/>
      <w:headerReference w:type="first" r:id="rId12"/>
      <w:pgSz w:w="11907" w:h="16840" w:code="9"/>
      <w:pgMar w:top="567" w:right="1418" w:bottom="993"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5921" w:rsidRDefault="00485921">
      <w:r>
        <w:separator/>
      </w:r>
    </w:p>
  </w:endnote>
  <w:endnote w:type="continuationSeparator" w:id="0">
    <w:p w:rsidR="00485921" w:rsidRDefault="00485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5921" w:rsidRDefault="00485921" w:rsidP="009622BF">
      <w:pPr>
        <w:bidi/>
      </w:pPr>
      <w:bookmarkStart w:id="0" w:name="OLE_LINK1"/>
      <w:bookmarkStart w:id="1" w:name="OLE_LINK2"/>
      <w:r>
        <w:separator/>
      </w:r>
      <w:bookmarkEnd w:id="0"/>
      <w:bookmarkEnd w:id="1"/>
    </w:p>
  </w:footnote>
  <w:footnote w:type="continuationSeparator" w:id="0">
    <w:p w:rsidR="00485921" w:rsidRDefault="00485921"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EBB" w:rsidRDefault="00AB54AE" w:rsidP="00C01EBB">
    <w:r>
      <w:t>PCT</w:t>
    </w:r>
    <w:r w:rsidR="00772E46">
      <w:t>/</w:t>
    </w:r>
    <w:r w:rsidR="00C742C5">
      <w:t>WG</w:t>
    </w:r>
    <w:r w:rsidR="002F77FC">
      <w:t>/</w:t>
    </w:r>
    <w:r w:rsidR="00C742C5">
      <w:t>7</w:t>
    </w:r>
    <w:r w:rsidR="002F77FC">
      <w:t>/</w:t>
    </w:r>
    <w:r w:rsidR="00C01EBB">
      <w:t>27</w:t>
    </w:r>
  </w:p>
  <w:p w:rsidR="00BA6C6A" w:rsidRDefault="00BA6C6A" w:rsidP="00D61541">
    <w:pPr>
      <w:rPr>
        <w:noProof/>
      </w:rPr>
    </w:pPr>
    <w:r>
      <w:fldChar w:fldCharType="begin"/>
    </w:r>
    <w:r>
      <w:instrText xml:space="preserve"> PAGE   \* MERGEFORMAT </w:instrText>
    </w:r>
    <w:r>
      <w:fldChar w:fldCharType="separate"/>
    </w:r>
    <w:r w:rsidR="003E4853">
      <w:rPr>
        <w:noProof/>
      </w:rPr>
      <w:t>3</w:t>
    </w:r>
    <w:r>
      <w:rPr>
        <w:noProof/>
      </w:rPr>
      <w:fldChar w:fldCharType="end"/>
    </w:r>
  </w:p>
  <w:p w:rsidR="00BA6C6A" w:rsidRDefault="00BA6C6A"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B33" w:rsidRDefault="009A6B33" w:rsidP="00C01EBB">
    <w:r>
      <w:t>PCT/WG/7/27</w:t>
    </w:r>
  </w:p>
  <w:p w:rsidR="009A6B33" w:rsidRDefault="009A6B33" w:rsidP="00D61541">
    <w:r>
      <w:t>Annex</w:t>
    </w:r>
  </w:p>
  <w:p w:rsidR="009A6B33" w:rsidRDefault="009A6B33" w:rsidP="00D61541">
    <w:pPr>
      <w:rPr>
        <w:noProof/>
      </w:rPr>
    </w:pPr>
    <w:r>
      <w:fldChar w:fldCharType="begin"/>
    </w:r>
    <w:r>
      <w:instrText xml:space="preserve"> PAGE   \* MERGEFORMAT </w:instrText>
    </w:r>
    <w:r>
      <w:fldChar w:fldCharType="separate"/>
    </w:r>
    <w:r w:rsidR="003E4853">
      <w:rPr>
        <w:noProof/>
      </w:rPr>
      <w:t>2</w:t>
    </w:r>
    <w:r>
      <w:rPr>
        <w:noProof/>
      </w:rPr>
      <w:fldChar w:fldCharType="end"/>
    </w:r>
  </w:p>
  <w:p w:rsidR="009A6B33" w:rsidRDefault="009A6B33"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C6A" w:rsidRDefault="00BA6C6A" w:rsidP="00BA6C6A">
    <w:r>
      <w:t>PCT/WG/7/27</w:t>
    </w:r>
  </w:p>
  <w:p w:rsidR="00BA6C6A" w:rsidRDefault="00BA6C6A">
    <w:pPr>
      <w:pStyle w:val="Header"/>
    </w:pPr>
    <w:r>
      <w:t>ANNEX</w:t>
    </w:r>
  </w:p>
  <w:p w:rsidR="00BA6C6A" w:rsidRPr="00BA6C6A" w:rsidRDefault="00BA6C6A">
    <w:pPr>
      <w:pStyle w:val="Header"/>
      <w:rPr>
        <w:rFonts w:ascii="Arabic Typesetting" w:hAnsi="Arabic Typesetting" w:cs="Arabic Typesetting"/>
        <w:sz w:val="36"/>
        <w:szCs w:val="36"/>
        <w:rtl/>
      </w:rPr>
    </w:pPr>
    <w:r w:rsidRPr="00BA6C6A">
      <w:rPr>
        <w:rFonts w:ascii="Arabic Typesetting" w:hAnsi="Arabic Typesetting" w:cs="Arabic Typesetting"/>
        <w:sz w:val="36"/>
        <w:szCs w:val="36"/>
        <w:rtl/>
      </w:rPr>
      <w:t>المرفق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1F6172E8"/>
    <w:multiLevelType w:val="hybridMultilevel"/>
    <w:tmpl w:val="6BC2602A"/>
    <w:lvl w:ilvl="0" w:tplc="753024F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5"/>
  </w:num>
  <w:num w:numId="3">
    <w:abstractNumId w:val="10"/>
  </w:num>
  <w:num w:numId="4">
    <w:abstractNumId w:val="18"/>
  </w:num>
  <w:num w:numId="5">
    <w:abstractNumId w:val="8"/>
  </w:num>
  <w:num w:numId="6">
    <w:abstractNumId w:val="19"/>
  </w:num>
  <w:num w:numId="7">
    <w:abstractNumId w:val="14"/>
  </w:num>
  <w:num w:numId="8">
    <w:abstractNumId w:val="17"/>
  </w:num>
  <w:num w:numId="9">
    <w:abstractNumId w:val="16"/>
  </w:num>
  <w:num w:numId="10">
    <w:abstractNumId w:val="20"/>
  </w:num>
  <w:num w:numId="11">
    <w:abstractNumId w:val="13"/>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921"/>
    <w:rsid w:val="00002CBE"/>
    <w:rsid w:val="00003232"/>
    <w:rsid w:val="000033DA"/>
    <w:rsid w:val="0000579F"/>
    <w:rsid w:val="000074D1"/>
    <w:rsid w:val="000076BD"/>
    <w:rsid w:val="00010481"/>
    <w:rsid w:val="00010671"/>
    <w:rsid w:val="000114E2"/>
    <w:rsid w:val="00013347"/>
    <w:rsid w:val="00013D73"/>
    <w:rsid w:val="000142E1"/>
    <w:rsid w:val="0001463C"/>
    <w:rsid w:val="000146BD"/>
    <w:rsid w:val="00014B68"/>
    <w:rsid w:val="0001645D"/>
    <w:rsid w:val="000167F3"/>
    <w:rsid w:val="00017A43"/>
    <w:rsid w:val="0002157B"/>
    <w:rsid w:val="00023101"/>
    <w:rsid w:val="0002407C"/>
    <w:rsid w:val="0002476F"/>
    <w:rsid w:val="00024E17"/>
    <w:rsid w:val="000258DB"/>
    <w:rsid w:val="000259E5"/>
    <w:rsid w:val="00031A8B"/>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60CC"/>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0BAB"/>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A54"/>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301D"/>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074D8"/>
    <w:rsid w:val="00110107"/>
    <w:rsid w:val="00110531"/>
    <w:rsid w:val="00110794"/>
    <w:rsid w:val="00112524"/>
    <w:rsid w:val="00113769"/>
    <w:rsid w:val="00114141"/>
    <w:rsid w:val="00114827"/>
    <w:rsid w:val="00115266"/>
    <w:rsid w:val="001154FB"/>
    <w:rsid w:val="00115B51"/>
    <w:rsid w:val="001171EF"/>
    <w:rsid w:val="001173C5"/>
    <w:rsid w:val="00120C46"/>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06F"/>
    <w:rsid w:val="00185423"/>
    <w:rsid w:val="00185718"/>
    <w:rsid w:val="001857AF"/>
    <w:rsid w:val="00185BBE"/>
    <w:rsid w:val="00186606"/>
    <w:rsid w:val="00190B6D"/>
    <w:rsid w:val="00191E75"/>
    <w:rsid w:val="00192022"/>
    <w:rsid w:val="0019301D"/>
    <w:rsid w:val="00193E7F"/>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604"/>
    <w:rsid w:val="001B4B2F"/>
    <w:rsid w:val="001B7C00"/>
    <w:rsid w:val="001C09D2"/>
    <w:rsid w:val="001C1620"/>
    <w:rsid w:val="001C18B2"/>
    <w:rsid w:val="001C1994"/>
    <w:rsid w:val="001C2933"/>
    <w:rsid w:val="001C5EEE"/>
    <w:rsid w:val="001C5F58"/>
    <w:rsid w:val="001C6A73"/>
    <w:rsid w:val="001C73C2"/>
    <w:rsid w:val="001D0474"/>
    <w:rsid w:val="001D141D"/>
    <w:rsid w:val="001D1EBD"/>
    <w:rsid w:val="001D2184"/>
    <w:rsid w:val="001D24F3"/>
    <w:rsid w:val="001D2678"/>
    <w:rsid w:val="001D2DC4"/>
    <w:rsid w:val="001D6A48"/>
    <w:rsid w:val="001E0F5D"/>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23"/>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173"/>
    <w:rsid w:val="0022360A"/>
    <w:rsid w:val="0022658C"/>
    <w:rsid w:val="00226B82"/>
    <w:rsid w:val="00227103"/>
    <w:rsid w:val="00230249"/>
    <w:rsid w:val="00230D5F"/>
    <w:rsid w:val="00231BE3"/>
    <w:rsid w:val="00232C51"/>
    <w:rsid w:val="00233414"/>
    <w:rsid w:val="00233D69"/>
    <w:rsid w:val="00234E82"/>
    <w:rsid w:val="00235C9D"/>
    <w:rsid w:val="002412D4"/>
    <w:rsid w:val="00241953"/>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4418"/>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839"/>
    <w:rsid w:val="002B1F0F"/>
    <w:rsid w:val="002B53D3"/>
    <w:rsid w:val="002B6202"/>
    <w:rsid w:val="002C014C"/>
    <w:rsid w:val="002C060C"/>
    <w:rsid w:val="002C0BA6"/>
    <w:rsid w:val="002C12A7"/>
    <w:rsid w:val="002C2B6F"/>
    <w:rsid w:val="002C314F"/>
    <w:rsid w:val="002C4AD1"/>
    <w:rsid w:val="002C7C9E"/>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4390"/>
    <w:rsid w:val="0034582C"/>
    <w:rsid w:val="00345916"/>
    <w:rsid w:val="00345CAC"/>
    <w:rsid w:val="0034789E"/>
    <w:rsid w:val="003501DA"/>
    <w:rsid w:val="003503E2"/>
    <w:rsid w:val="00350FC7"/>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A5C"/>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4853"/>
    <w:rsid w:val="003E5733"/>
    <w:rsid w:val="003E5E27"/>
    <w:rsid w:val="003E5E3E"/>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4201"/>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0A01"/>
    <w:rsid w:val="00481F5F"/>
    <w:rsid w:val="004821D0"/>
    <w:rsid w:val="00482B5A"/>
    <w:rsid w:val="00482CB2"/>
    <w:rsid w:val="00483D06"/>
    <w:rsid w:val="00485921"/>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2596"/>
    <w:rsid w:val="004A29F9"/>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389"/>
    <w:rsid w:val="004E3DD4"/>
    <w:rsid w:val="004E5C1A"/>
    <w:rsid w:val="004E6C8C"/>
    <w:rsid w:val="004E6CC7"/>
    <w:rsid w:val="004E776F"/>
    <w:rsid w:val="004F111D"/>
    <w:rsid w:val="004F1843"/>
    <w:rsid w:val="004F1EEC"/>
    <w:rsid w:val="004F24C8"/>
    <w:rsid w:val="004F30D6"/>
    <w:rsid w:val="004F34A5"/>
    <w:rsid w:val="004F40D6"/>
    <w:rsid w:val="004F43FC"/>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429"/>
    <w:rsid w:val="0052772D"/>
    <w:rsid w:val="00530442"/>
    <w:rsid w:val="00534AF0"/>
    <w:rsid w:val="00535060"/>
    <w:rsid w:val="00535738"/>
    <w:rsid w:val="005409EB"/>
    <w:rsid w:val="00540F30"/>
    <w:rsid w:val="00541DD2"/>
    <w:rsid w:val="00543A63"/>
    <w:rsid w:val="00543AB5"/>
    <w:rsid w:val="005457CF"/>
    <w:rsid w:val="00545806"/>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6202"/>
    <w:rsid w:val="00567326"/>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46B"/>
    <w:rsid w:val="005C3C9B"/>
    <w:rsid w:val="005C42AB"/>
    <w:rsid w:val="005C45C0"/>
    <w:rsid w:val="005C5335"/>
    <w:rsid w:val="005C5D7B"/>
    <w:rsid w:val="005C5E29"/>
    <w:rsid w:val="005C6474"/>
    <w:rsid w:val="005C64D2"/>
    <w:rsid w:val="005C6A68"/>
    <w:rsid w:val="005D0AE3"/>
    <w:rsid w:val="005D1103"/>
    <w:rsid w:val="005D1C99"/>
    <w:rsid w:val="005D276D"/>
    <w:rsid w:val="005D2864"/>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41B"/>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0D42"/>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556"/>
    <w:rsid w:val="006C480B"/>
    <w:rsid w:val="006C570B"/>
    <w:rsid w:val="006C572E"/>
    <w:rsid w:val="006C5997"/>
    <w:rsid w:val="006C5CD2"/>
    <w:rsid w:val="006C746B"/>
    <w:rsid w:val="006D0636"/>
    <w:rsid w:val="006D06DC"/>
    <w:rsid w:val="006D1405"/>
    <w:rsid w:val="006D6E46"/>
    <w:rsid w:val="006D7FA8"/>
    <w:rsid w:val="006E088A"/>
    <w:rsid w:val="006E4601"/>
    <w:rsid w:val="006E5B86"/>
    <w:rsid w:val="006E63FF"/>
    <w:rsid w:val="006E652D"/>
    <w:rsid w:val="006E7572"/>
    <w:rsid w:val="006F2F22"/>
    <w:rsid w:val="006F434A"/>
    <w:rsid w:val="006F4732"/>
    <w:rsid w:val="006F7974"/>
    <w:rsid w:val="00700A60"/>
    <w:rsid w:val="00705027"/>
    <w:rsid w:val="00705FFE"/>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37D23"/>
    <w:rsid w:val="0074130E"/>
    <w:rsid w:val="00743937"/>
    <w:rsid w:val="00743A92"/>
    <w:rsid w:val="00744889"/>
    <w:rsid w:val="00744910"/>
    <w:rsid w:val="00745BA4"/>
    <w:rsid w:val="00745E8A"/>
    <w:rsid w:val="007462E8"/>
    <w:rsid w:val="00746F2D"/>
    <w:rsid w:val="0074734F"/>
    <w:rsid w:val="00750177"/>
    <w:rsid w:val="0075057F"/>
    <w:rsid w:val="0075066D"/>
    <w:rsid w:val="00752AEC"/>
    <w:rsid w:val="00752D9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7F7B8C"/>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6DB"/>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47FFB"/>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D4C"/>
    <w:rsid w:val="008F03CE"/>
    <w:rsid w:val="008F075B"/>
    <w:rsid w:val="008F0E9E"/>
    <w:rsid w:val="008F2913"/>
    <w:rsid w:val="008F2A4E"/>
    <w:rsid w:val="008F2AE9"/>
    <w:rsid w:val="008F332B"/>
    <w:rsid w:val="008F33DE"/>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073CD"/>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2BC"/>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68DF"/>
    <w:rsid w:val="009975CA"/>
    <w:rsid w:val="009A0C15"/>
    <w:rsid w:val="009A1088"/>
    <w:rsid w:val="009A14CB"/>
    <w:rsid w:val="009A27C7"/>
    <w:rsid w:val="009A2961"/>
    <w:rsid w:val="009A344A"/>
    <w:rsid w:val="009A41C7"/>
    <w:rsid w:val="009A4F5A"/>
    <w:rsid w:val="009A5C82"/>
    <w:rsid w:val="009A6B33"/>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A05"/>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912"/>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43B9"/>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3D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4AE"/>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0AC1"/>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67F0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3C69"/>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6A"/>
    <w:rsid w:val="00BA6CE5"/>
    <w:rsid w:val="00BA6F38"/>
    <w:rsid w:val="00BB0DEE"/>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843"/>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1EBB"/>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17AFA"/>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42C5"/>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414"/>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1847"/>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226"/>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C7D74"/>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478C"/>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37839"/>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3AA8"/>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67D"/>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2FF9"/>
    <w:rsid w:val="00EB30B7"/>
    <w:rsid w:val="00EB3E90"/>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E8E"/>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6F27"/>
    <w:rsid w:val="00F776B7"/>
    <w:rsid w:val="00F77758"/>
    <w:rsid w:val="00F77BDB"/>
    <w:rsid w:val="00F8031F"/>
    <w:rsid w:val="00F80926"/>
    <w:rsid w:val="00F80C5C"/>
    <w:rsid w:val="00F818A5"/>
    <w:rsid w:val="00F8197C"/>
    <w:rsid w:val="00F8465D"/>
    <w:rsid w:val="00F848B3"/>
    <w:rsid w:val="00F85755"/>
    <w:rsid w:val="00F86A0B"/>
    <w:rsid w:val="00F87431"/>
    <w:rsid w:val="00F8765C"/>
    <w:rsid w:val="00F87A53"/>
    <w:rsid w:val="00F9031B"/>
    <w:rsid w:val="00F91DA4"/>
    <w:rsid w:val="00F92728"/>
    <w:rsid w:val="00F936A3"/>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C7AD7"/>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7EC"/>
    <w:rsid w:val="00FE3B37"/>
    <w:rsid w:val="00FE4B40"/>
    <w:rsid w:val="00FE5DC4"/>
    <w:rsid w:val="00FE6E94"/>
    <w:rsid w:val="00FE76CB"/>
    <w:rsid w:val="00FE7BD8"/>
    <w:rsid w:val="00FF12EF"/>
    <w:rsid w:val="00FF1D76"/>
    <w:rsid w:val="00FF309E"/>
    <w:rsid w:val="00FF3EE6"/>
    <w:rsid w:val="00FF434C"/>
    <w:rsid w:val="00FF4D2C"/>
    <w:rsid w:val="00FF55F5"/>
    <w:rsid w:val="00FF682B"/>
    <w:rsid w:val="00FF6F9A"/>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689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PCT_WG_7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7A6549-9999-4CF5-BD8B-665CA5F5C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PCT_WG_7_AR.dotx</Template>
  <TotalTime>760</TotalTime>
  <Pages>5</Pages>
  <Words>1027</Words>
  <Characters>5227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PCT/WG/7/-- (Arabic)</vt:lpstr>
    </vt:vector>
  </TitlesOfParts>
  <Company>World Intellectual Property Organization</Company>
  <LinksUpToDate>false</LinksUpToDate>
  <CharactersWithSpaces>6242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PCT/WG/7/-- (Arabic)</dc:title>
  <dc:creator>\</dc:creator>
  <cp:lastModifiedBy>AHMIDOUCH Noureddine</cp:lastModifiedBy>
  <cp:revision>25</cp:revision>
  <cp:lastPrinted>2014-06-03T15:29:00Z</cp:lastPrinted>
  <dcterms:created xsi:type="dcterms:W3CDTF">2014-05-30T13:50:00Z</dcterms:created>
  <dcterms:modified xsi:type="dcterms:W3CDTF">2014-06-03T15:31:00Z</dcterms:modified>
</cp:coreProperties>
</file>