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742C5">
            <w:pPr>
              <w:pStyle w:val="DocumentCodeAR"/>
              <w:bidi/>
              <w:rPr>
                <w:rtl/>
              </w:rPr>
            </w:pPr>
            <w:r>
              <w:t>PCT</w:t>
            </w:r>
            <w:r w:rsidR="00772E46">
              <w:t>/</w:t>
            </w:r>
            <w:r w:rsidR="00C742C5">
              <w:t>WG</w:t>
            </w:r>
            <w:r w:rsidR="00100F97">
              <w:t>/</w:t>
            </w:r>
            <w:r w:rsidR="00C742C5">
              <w:t>7</w:t>
            </w:r>
            <w:r w:rsidR="00B60B16">
              <w:t>/18</w:t>
            </w:r>
          </w:p>
        </w:tc>
      </w:tr>
      <w:tr w:rsidR="001667B6" w:rsidTr="00BF164F">
        <w:tc>
          <w:tcPr>
            <w:tcW w:w="9571" w:type="dxa"/>
            <w:gridSpan w:val="3"/>
          </w:tcPr>
          <w:p w:rsidR="001667B6" w:rsidRPr="00B6101C" w:rsidRDefault="00B6101C" w:rsidP="00B60B16">
            <w:pPr>
              <w:pStyle w:val="DocumentLanguageAR"/>
              <w:bidi/>
              <w:rPr>
                <w:rtl/>
              </w:rPr>
            </w:pPr>
            <w:r w:rsidRPr="00B6101C">
              <w:rPr>
                <w:rFonts w:hint="cs"/>
                <w:rtl/>
              </w:rPr>
              <w:t xml:space="preserve">الأصل: </w:t>
            </w:r>
            <w:r w:rsidR="00B60B16">
              <w:rPr>
                <w:rFonts w:hint="cs"/>
                <w:rtl/>
              </w:rPr>
              <w:t>بالإنكليزية</w:t>
            </w:r>
          </w:p>
        </w:tc>
      </w:tr>
      <w:tr w:rsidR="001667B6" w:rsidTr="00BF164F">
        <w:tc>
          <w:tcPr>
            <w:tcW w:w="9571" w:type="dxa"/>
            <w:gridSpan w:val="3"/>
          </w:tcPr>
          <w:p w:rsidR="001667B6" w:rsidRPr="00B6101C" w:rsidRDefault="00B6101C" w:rsidP="00B60B16">
            <w:pPr>
              <w:pStyle w:val="DocumentDateAR"/>
              <w:bidi/>
              <w:rPr>
                <w:rtl/>
              </w:rPr>
            </w:pPr>
            <w:r w:rsidRPr="00B6101C">
              <w:rPr>
                <w:rFonts w:hint="cs"/>
                <w:rtl/>
              </w:rPr>
              <w:t xml:space="preserve">التاريخ: </w:t>
            </w:r>
            <w:r w:rsidR="00B60B16">
              <w:rPr>
                <w:rFonts w:hint="cs"/>
                <w:rtl/>
              </w:rPr>
              <w:t>1</w:t>
            </w:r>
            <w:r w:rsidRPr="00B6101C">
              <w:rPr>
                <w:rFonts w:hint="cs"/>
                <w:rtl/>
              </w:rPr>
              <w:t xml:space="preserve"> </w:t>
            </w:r>
            <w:r w:rsidR="00B60B16">
              <w:rPr>
                <w:rFonts w:hint="cs"/>
                <w:rtl/>
              </w:rPr>
              <w:t>مايو</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823F8" w:rsidP="00FB7EC9">
      <w:pPr>
        <w:pStyle w:val="DocumentTitleAR"/>
        <w:bidi/>
        <w:rPr>
          <w:rtl/>
        </w:rPr>
      </w:pPr>
      <w:r>
        <w:rPr>
          <w:rFonts w:hint="cs"/>
          <w:rtl/>
        </w:rPr>
        <w:t>عدم إتاحة بعض المعلومات للجمهور</w:t>
      </w:r>
    </w:p>
    <w:p w:rsidR="00D61541" w:rsidRDefault="00F823F8" w:rsidP="0048167D">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w:t>
      </w:r>
      <w:r w:rsidR="0048167D">
        <w:rPr>
          <w:rFonts w:hint="cs"/>
          <w:rtl/>
        </w:rPr>
        <w:t>المكتب الدولي</w:t>
      </w:r>
    </w:p>
    <w:p w:rsidR="002F77FC" w:rsidRPr="000D52FB" w:rsidRDefault="00F823F8" w:rsidP="00F823F8">
      <w:pPr>
        <w:pStyle w:val="NormalParaAR"/>
        <w:keepNext/>
        <w:spacing w:after="0"/>
        <w:rPr>
          <w:b/>
          <w:bCs/>
          <w:sz w:val="40"/>
          <w:szCs w:val="40"/>
          <w:rtl/>
        </w:rPr>
      </w:pPr>
      <w:r w:rsidRPr="000D52FB">
        <w:rPr>
          <w:rFonts w:hint="cs"/>
          <w:b/>
          <w:bCs/>
          <w:sz w:val="40"/>
          <w:szCs w:val="40"/>
          <w:rtl/>
        </w:rPr>
        <w:t>ملخص</w:t>
      </w:r>
    </w:p>
    <w:p w:rsidR="00F823F8" w:rsidRDefault="00BC30CE" w:rsidP="002A6CB2">
      <w:pPr>
        <w:pStyle w:val="NumberedParaAR"/>
      </w:pPr>
      <w:r>
        <w:rPr>
          <w:rFonts w:hint="cs"/>
          <w:rtl/>
        </w:rPr>
        <w:t xml:space="preserve">يُقترح تعديل اللائحة التنفيذية لمنح المكتب الدولي إمكانية </w:t>
      </w:r>
      <w:r w:rsidR="00981366">
        <w:rPr>
          <w:rFonts w:hint="cs"/>
          <w:rtl/>
        </w:rPr>
        <w:t>حذف</w:t>
      </w:r>
      <w:r>
        <w:rPr>
          <w:rFonts w:hint="cs"/>
          <w:rtl/>
        </w:rPr>
        <w:t xml:space="preserve"> بعض المعلومات الش</w:t>
      </w:r>
      <w:r w:rsidR="00950832">
        <w:rPr>
          <w:rFonts w:hint="cs"/>
          <w:rtl/>
        </w:rPr>
        <w:t>خصية أو الحساسة الواردة في ملف</w:t>
      </w:r>
      <w:r>
        <w:rPr>
          <w:rFonts w:hint="cs"/>
          <w:rtl/>
        </w:rPr>
        <w:t xml:space="preserve">ه أو تقييد </w:t>
      </w:r>
      <w:r w:rsidR="00950832">
        <w:rPr>
          <w:rFonts w:hint="cs"/>
          <w:rtl/>
        </w:rPr>
        <w:t>اطلاع</w:t>
      </w:r>
      <w:r>
        <w:rPr>
          <w:rFonts w:hint="cs"/>
          <w:rtl/>
        </w:rPr>
        <w:t xml:space="preserve"> الجمهور </w:t>
      </w:r>
      <w:r w:rsidR="00950832">
        <w:rPr>
          <w:rFonts w:hint="cs"/>
          <w:rtl/>
        </w:rPr>
        <w:t>عليها</w:t>
      </w:r>
      <w:r>
        <w:rPr>
          <w:rFonts w:hint="cs"/>
          <w:rtl/>
        </w:rPr>
        <w:t xml:space="preserve"> وذلك في الظروف التي تؤدي إتاحتها للجمهور إلى </w:t>
      </w:r>
      <w:r w:rsidR="002A6CB2">
        <w:rPr>
          <w:rFonts w:hint="cs"/>
          <w:rtl/>
        </w:rPr>
        <w:t>الإخلال</w:t>
      </w:r>
      <w:r>
        <w:rPr>
          <w:rFonts w:hint="cs"/>
          <w:rtl/>
        </w:rPr>
        <w:t xml:space="preserve"> بالمصالح الشخصية أو الاقتصادية للأشخاص الطبيعيين أو الكيانات القانونية. وبالإضافة إلى ذلك ولضمان عدم إتاحة تلك المعلومات ال</w:t>
      </w:r>
      <w:r w:rsidR="002F329E">
        <w:rPr>
          <w:rFonts w:hint="cs"/>
          <w:rtl/>
        </w:rPr>
        <w:t>ش</w:t>
      </w:r>
      <w:r>
        <w:rPr>
          <w:rFonts w:hint="cs"/>
          <w:rtl/>
        </w:rPr>
        <w:t>خصية أو الحساسة للجمهور من قبل مكتب تسلم الطلبات أو إدارة البحث الدولي أو الإدارة المحدّد</w:t>
      </w:r>
      <w:r w:rsidR="004A1216">
        <w:rPr>
          <w:rFonts w:hint="cs"/>
          <w:rtl/>
        </w:rPr>
        <w:t>ة لأغراض</w:t>
      </w:r>
      <w:r>
        <w:rPr>
          <w:rFonts w:hint="cs"/>
          <w:rtl/>
        </w:rPr>
        <w:t xml:space="preserve"> البحث </w:t>
      </w:r>
      <w:r w:rsidR="004A1216">
        <w:rPr>
          <w:rFonts w:hint="cs"/>
          <w:rtl/>
        </w:rPr>
        <w:t>الإضافي</w:t>
      </w:r>
      <w:r>
        <w:rPr>
          <w:rFonts w:hint="cs"/>
          <w:rtl/>
        </w:rPr>
        <w:t xml:space="preserve">، يُقترح </w:t>
      </w:r>
      <w:r w:rsidR="00950832">
        <w:rPr>
          <w:rFonts w:hint="cs"/>
          <w:rtl/>
        </w:rPr>
        <w:t xml:space="preserve">أيضا </w:t>
      </w:r>
      <w:r>
        <w:rPr>
          <w:rFonts w:hint="cs"/>
          <w:rtl/>
        </w:rPr>
        <w:t xml:space="preserve">تقييد </w:t>
      </w:r>
      <w:r w:rsidR="00950832">
        <w:rPr>
          <w:rFonts w:hint="cs"/>
          <w:rtl/>
        </w:rPr>
        <w:t>الاطلاع ع</w:t>
      </w:r>
      <w:r>
        <w:rPr>
          <w:rFonts w:hint="cs"/>
          <w:rtl/>
        </w:rPr>
        <w:t xml:space="preserve">لى المعلومات </w:t>
      </w:r>
      <w:r w:rsidR="002A6CB2">
        <w:rPr>
          <w:rFonts w:hint="cs"/>
          <w:rtl/>
        </w:rPr>
        <w:t>الواردة في الملفات التي ت</w:t>
      </w:r>
      <w:r>
        <w:rPr>
          <w:rFonts w:hint="cs"/>
          <w:rtl/>
        </w:rPr>
        <w:t xml:space="preserve">حتفظ بها </w:t>
      </w:r>
      <w:r w:rsidR="0088312A">
        <w:rPr>
          <w:rFonts w:hint="cs"/>
          <w:rtl/>
        </w:rPr>
        <w:t>تلك الهيئات</w:t>
      </w:r>
      <w:r>
        <w:rPr>
          <w:rFonts w:hint="cs"/>
          <w:rtl/>
        </w:rPr>
        <w:t>.</w:t>
      </w:r>
    </w:p>
    <w:p w:rsidR="00BC30CE" w:rsidRDefault="00BC30CE" w:rsidP="002A6CB2">
      <w:pPr>
        <w:pStyle w:val="NumberedParaAR"/>
      </w:pPr>
      <w:r>
        <w:rPr>
          <w:rFonts w:hint="cs"/>
          <w:rtl/>
        </w:rPr>
        <w:t>كما يُقتر</w:t>
      </w:r>
      <w:r w:rsidR="00856361">
        <w:rPr>
          <w:rFonts w:hint="cs"/>
          <w:rtl/>
        </w:rPr>
        <w:t xml:space="preserve">ح تعديل اللائحة التنفيذية من أجل </w:t>
      </w:r>
      <w:r>
        <w:rPr>
          <w:rFonts w:hint="cs"/>
          <w:rtl/>
        </w:rPr>
        <w:t xml:space="preserve">منح المكتب الدولي إمكانية تقييد </w:t>
      </w:r>
      <w:r w:rsidR="00950832">
        <w:rPr>
          <w:rFonts w:hint="cs"/>
          <w:rtl/>
        </w:rPr>
        <w:t>الاطلاع ع</w:t>
      </w:r>
      <w:r w:rsidR="00B648C8">
        <w:rPr>
          <w:rFonts w:hint="cs"/>
          <w:rtl/>
        </w:rPr>
        <w:t>لى ملف</w:t>
      </w:r>
      <w:r>
        <w:rPr>
          <w:rFonts w:hint="cs"/>
          <w:rtl/>
        </w:rPr>
        <w:t xml:space="preserve">ه فيما يخص </w:t>
      </w:r>
      <w:r w:rsidR="00B648C8">
        <w:rPr>
          <w:rFonts w:hint="cs"/>
          <w:rtl/>
        </w:rPr>
        <w:t>المستندات</w:t>
      </w:r>
      <w:r w:rsidR="002A6CB2">
        <w:rPr>
          <w:rFonts w:hint="cs"/>
          <w:rtl/>
        </w:rPr>
        <w:t xml:space="preserve"> المُعدة لمجرّد</w:t>
      </w:r>
      <w:r>
        <w:rPr>
          <w:rFonts w:hint="cs"/>
          <w:rtl/>
        </w:rPr>
        <w:t xml:space="preserve"> الاستخدام الداخلي من قبل المكتب الدولي.</w:t>
      </w:r>
    </w:p>
    <w:p w:rsidR="007D3422" w:rsidRDefault="00856361" w:rsidP="007D3422">
      <w:pPr>
        <w:pStyle w:val="NumberedParaAR"/>
        <w:rPr>
          <w:rtl/>
        </w:rPr>
      </w:pPr>
      <w:r>
        <w:rPr>
          <w:rFonts w:hint="cs"/>
          <w:rtl/>
        </w:rPr>
        <w:t>وأخيرا يُقترح تعديل اللائحة التنفيذية من أجل منح المكتب الدولي إ</w:t>
      </w:r>
      <w:r w:rsidR="002A6CB2">
        <w:rPr>
          <w:rFonts w:hint="cs"/>
          <w:rtl/>
        </w:rPr>
        <w:t xml:space="preserve">مكانية الاقتراح على مودع الطلب </w:t>
      </w:r>
      <w:r w:rsidR="00C330F3">
        <w:rPr>
          <w:rFonts w:hint="cs"/>
          <w:rtl/>
        </w:rPr>
        <w:t>ب</w:t>
      </w:r>
      <w:r>
        <w:rPr>
          <w:rFonts w:hint="cs"/>
          <w:rtl/>
        </w:rPr>
        <w:t xml:space="preserve">تصحيح الطلب الدولي من تلقاء نفسه في الحالات التي يلاحظ فيها المكتب الدولي أن الطلب الدولي نفسه يحتوي على عبارات أو رسوم مخالفة للآداب </w:t>
      </w:r>
      <w:r w:rsidR="00981366">
        <w:rPr>
          <w:rFonts w:hint="cs"/>
          <w:rtl/>
        </w:rPr>
        <w:t>أو ل</w:t>
      </w:r>
      <w:r>
        <w:rPr>
          <w:rFonts w:hint="cs"/>
          <w:rtl/>
        </w:rPr>
        <w:t xml:space="preserve">لنظام العام، أو إعلانات تحط من شأن الغير، </w:t>
      </w:r>
      <w:r w:rsidR="007D3422" w:rsidRPr="007D3422">
        <w:rPr>
          <w:rtl/>
        </w:rPr>
        <w:t>أو غير ذلك من البيانات التي لا تكون مناسبة أو ضرورية في ظروف الحال</w:t>
      </w:r>
      <w:r w:rsidR="007D3422">
        <w:rPr>
          <w:rFonts w:hint="cs"/>
          <w:rtl/>
        </w:rPr>
        <w:t>.</w:t>
      </w:r>
    </w:p>
    <w:p w:rsidR="007D3422" w:rsidRDefault="007D3422">
      <w:pPr>
        <w:rPr>
          <w:rFonts w:ascii="Arabic Typesetting" w:hAnsi="Arabic Typesetting" w:cs="Arabic Typesetting"/>
          <w:sz w:val="36"/>
          <w:szCs w:val="36"/>
          <w:rtl/>
        </w:rPr>
      </w:pPr>
      <w:r>
        <w:rPr>
          <w:rtl/>
        </w:rPr>
        <w:br w:type="page"/>
      </w:r>
    </w:p>
    <w:p w:rsidR="00856361" w:rsidRPr="000D52FB" w:rsidRDefault="00ED5227" w:rsidP="00ED5227">
      <w:pPr>
        <w:pStyle w:val="NormalParaAR"/>
        <w:keepNext/>
        <w:spacing w:after="0"/>
        <w:rPr>
          <w:b/>
          <w:bCs/>
          <w:sz w:val="40"/>
          <w:szCs w:val="40"/>
          <w:rtl/>
        </w:rPr>
      </w:pPr>
      <w:r w:rsidRPr="000D52FB">
        <w:rPr>
          <w:rFonts w:hint="cs"/>
          <w:b/>
          <w:bCs/>
          <w:sz w:val="40"/>
          <w:szCs w:val="40"/>
          <w:rtl/>
        </w:rPr>
        <w:lastRenderedPageBreak/>
        <w:t>معلومات أساسية</w:t>
      </w:r>
    </w:p>
    <w:p w:rsidR="00ED5227" w:rsidRDefault="00607E50" w:rsidP="00B648C8">
      <w:pPr>
        <w:pStyle w:val="NumberedParaAR"/>
      </w:pPr>
      <w:r>
        <w:rPr>
          <w:rFonts w:hint="cs"/>
          <w:rtl/>
        </w:rPr>
        <w:t xml:space="preserve">واجه المكتب الدولي، في الماضي، عددا من الحالات التي </w:t>
      </w:r>
      <w:r w:rsidR="002A6CB2">
        <w:rPr>
          <w:rFonts w:hint="cs"/>
          <w:rtl/>
        </w:rPr>
        <w:t xml:space="preserve">التمس منه فيها مودعو الطلبات أن </w:t>
      </w:r>
      <w:r>
        <w:rPr>
          <w:rFonts w:hint="cs"/>
          <w:rtl/>
        </w:rPr>
        <w:t xml:space="preserve">لا يتيح للجمهور بعض المعلومات الشخصية أو الحساسة التي أُدرجت (عرضاً) في الطلب الدولي أو </w:t>
      </w:r>
      <w:r w:rsidR="00B648C8">
        <w:rPr>
          <w:rFonts w:hint="cs"/>
          <w:rtl/>
        </w:rPr>
        <w:t>المستندات</w:t>
      </w:r>
      <w:r>
        <w:rPr>
          <w:rFonts w:hint="cs"/>
          <w:rtl/>
        </w:rPr>
        <w:t xml:space="preserve"> ذات الصلة. وفي حالات أخرى لاحظ المكتب الدولي نفسه تلك المعلومات الشخصية أو الحساسة ال</w:t>
      </w:r>
      <w:r w:rsidR="00B648C8">
        <w:rPr>
          <w:rFonts w:hint="cs"/>
          <w:rtl/>
        </w:rPr>
        <w:t>واردة في الطلب الدولي أو المستندات</w:t>
      </w:r>
      <w:r>
        <w:rPr>
          <w:rFonts w:hint="cs"/>
          <w:rtl/>
        </w:rPr>
        <w:t xml:space="preserve"> ذات الصلة، أو استرعي مكتب تسلم الطلبات أو إدارة البحث الدولي انتباهه إلى وجود معلومات من هذا القبيل.</w:t>
      </w:r>
    </w:p>
    <w:p w:rsidR="00607E50" w:rsidRDefault="00607E50" w:rsidP="00CD3CD8">
      <w:pPr>
        <w:pStyle w:val="NumberedParaAR"/>
      </w:pPr>
      <w:r>
        <w:rPr>
          <w:rFonts w:hint="cs"/>
          <w:rtl/>
        </w:rPr>
        <w:t xml:space="preserve">فلنفترض، على سبيل المثال، أن مودعي الطلبات قدموا معلومات حساسة لدعم طلب رد حق الأولوية بناء على </w:t>
      </w:r>
      <w:r w:rsidR="00496DF2">
        <w:rPr>
          <w:rFonts w:hint="cs"/>
          <w:rtl/>
        </w:rPr>
        <w:t>القاعدة</w:t>
      </w:r>
      <w:r w:rsidR="00496DF2">
        <w:rPr>
          <w:rFonts w:hint="eastAsia"/>
          <w:rtl/>
        </w:rPr>
        <w:t> </w:t>
      </w:r>
      <w:r>
        <w:rPr>
          <w:rFonts w:hint="cs"/>
          <w:rtl/>
        </w:rPr>
        <w:t xml:space="preserve">26(ثانيا)3 من أجل إثبات أن </w:t>
      </w:r>
      <w:r w:rsidR="004B408F">
        <w:rPr>
          <w:rFonts w:hint="cs"/>
          <w:rtl/>
        </w:rPr>
        <w:t xml:space="preserve">التخلف عن إيداع الطلب الدولي في غضون فترة الأولوية قد وقع بالرغم من "إيلاء العناية الواجبة" أو كان "غير مقصود"، بما في ذلك تقديم شهادات طبية ومقتطفات من جداول القضايا المحتوية على معلومات سرية تتعلق بإيداع </w:t>
      </w:r>
      <w:r w:rsidR="00496DF2">
        <w:rPr>
          <w:rFonts w:hint="cs"/>
          <w:rtl/>
        </w:rPr>
        <w:t>طلبات أخرى بناء على معاهدة التعاون بشأن البراءات أو طلبات أخرى للحصول على براءات وط</w:t>
      </w:r>
      <w:r w:rsidR="002A6CB2">
        <w:rPr>
          <w:rFonts w:hint="cs"/>
          <w:rtl/>
        </w:rPr>
        <w:t>نية أو علامات تجارية أو تصاميم.</w:t>
      </w:r>
      <w:r w:rsidR="00496DF2">
        <w:rPr>
          <w:rFonts w:hint="cs"/>
          <w:rtl/>
        </w:rPr>
        <w:t xml:space="preserve"> وفضلا عن ذلك، تلقى المكتب الدولي </w:t>
      </w:r>
      <w:proofErr w:type="spellStart"/>
      <w:r w:rsidR="00496DF2">
        <w:rPr>
          <w:rFonts w:hint="cs"/>
          <w:rtl/>
        </w:rPr>
        <w:t>التماسات</w:t>
      </w:r>
      <w:proofErr w:type="spellEnd"/>
      <w:r w:rsidR="00496DF2">
        <w:rPr>
          <w:rFonts w:hint="cs"/>
          <w:rtl/>
        </w:rPr>
        <w:t xml:space="preserve"> لتدوين تغيير في اسم المودع بناء على القاعدة</w:t>
      </w:r>
      <w:r w:rsidR="00496DF2">
        <w:rPr>
          <w:rFonts w:hint="eastAsia"/>
          <w:rtl/>
        </w:rPr>
        <w:t> </w:t>
      </w:r>
      <w:r w:rsidR="00496DF2">
        <w:rPr>
          <w:rFonts w:hint="cs"/>
          <w:rtl/>
        </w:rPr>
        <w:t xml:space="preserve">92(ثانيا)، </w:t>
      </w:r>
      <w:r w:rsidR="00917F8F">
        <w:rPr>
          <w:rFonts w:hint="cs"/>
          <w:rtl/>
        </w:rPr>
        <w:t xml:space="preserve">قدم المودع الجديد لدعمها </w:t>
      </w:r>
      <w:r w:rsidR="00CD3CD8">
        <w:rPr>
          <w:rFonts w:hint="cs"/>
          <w:rtl/>
        </w:rPr>
        <w:t>مستند</w:t>
      </w:r>
      <w:r w:rsidR="00496DF2">
        <w:rPr>
          <w:rFonts w:hint="cs"/>
          <w:rtl/>
        </w:rPr>
        <w:t xml:space="preserve"> </w:t>
      </w:r>
      <w:r w:rsidR="00917F8F">
        <w:rPr>
          <w:rFonts w:hint="cs"/>
          <w:rtl/>
        </w:rPr>
        <w:t>ت</w:t>
      </w:r>
      <w:r w:rsidR="00CD3CD8">
        <w:rPr>
          <w:rFonts w:hint="cs"/>
          <w:rtl/>
        </w:rPr>
        <w:t>نازل عن الملكية نسي أن يشطب فيه</w:t>
      </w:r>
      <w:r w:rsidR="00917F8F">
        <w:rPr>
          <w:rFonts w:hint="cs"/>
          <w:rtl/>
        </w:rPr>
        <w:t xml:space="preserve"> القيمة للاقتصادية لنقل الملكية. ومن الأمثلة الأخرى حالات تلقى المكتب الدولي فيها </w:t>
      </w:r>
      <w:r w:rsidR="00B648C8">
        <w:rPr>
          <w:rFonts w:hint="cs"/>
          <w:rtl/>
        </w:rPr>
        <w:t>مستندات</w:t>
      </w:r>
      <w:r w:rsidR="00917F8F">
        <w:rPr>
          <w:rFonts w:hint="cs"/>
          <w:rtl/>
        </w:rPr>
        <w:t xml:space="preserve"> أدرج المودع فيها، دون قصد، تفاصيل لبطاقة ائتمانية أو رقم ضمان اجتماعي، أو أدرج فيها، بطريقة عرضية، أسرارا تجارية أو تفاصيل تحويلات في وصف الطلب الدولي.</w:t>
      </w:r>
    </w:p>
    <w:p w:rsidR="00917F8F" w:rsidRDefault="00917F8F" w:rsidP="00B648C8">
      <w:pPr>
        <w:pStyle w:val="NumberedParaAR"/>
      </w:pPr>
      <w:r>
        <w:rPr>
          <w:rFonts w:hint="cs"/>
          <w:rtl/>
        </w:rPr>
        <w:t>ولا يوجد</w:t>
      </w:r>
      <w:r w:rsidR="004C35A4">
        <w:rPr>
          <w:rFonts w:hint="cs"/>
          <w:rtl/>
        </w:rPr>
        <w:t xml:space="preserve"> أمام المكتب الدولي، حاليا، أي أ</w:t>
      </w:r>
      <w:r>
        <w:rPr>
          <w:rFonts w:hint="cs"/>
          <w:rtl/>
        </w:rPr>
        <w:t xml:space="preserve">ساس قانوني واضح </w:t>
      </w:r>
      <w:r w:rsidR="00981366">
        <w:rPr>
          <w:rFonts w:hint="cs"/>
          <w:rtl/>
        </w:rPr>
        <w:t xml:space="preserve">لمنع إتاحة تلك المعلومات للجمهور، إمّا عن طريق النشر الدولي أو من خلال </w:t>
      </w:r>
      <w:r w:rsidR="00950832">
        <w:rPr>
          <w:rFonts w:hint="cs"/>
          <w:rtl/>
        </w:rPr>
        <w:t>الاطلاع ع</w:t>
      </w:r>
      <w:r w:rsidR="00981366">
        <w:rPr>
          <w:rFonts w:hint="cs"/>
          <w:rtl/>
        </w:rPr>
        <w:t xml:space="preserve">لى الملفات </w:t>
      </w:r>
      <w:r w:rsidR="004C35A4">
        <w:rPr>
          <w:rFonts w:hint="cs"/>
          <w:rtl/>
        </w:rPr>
        <w:t>المحفوظة لديه</w:t>
      </w:r>
      <w:r w:rsidR="00981366">
        <w:rPr>
          <w:rFonts w:hint="cs"/>
          <w:rtl/>
        </w:rPr>
        <w:t xml:space="preserve">. ولا تسمح اللائحة التنفيذية الراهنة سوى باستثناءات محدودة للغاية فيما يخص إتاحة بعض </w:t>
      </w:r>
      <w:r w:rsidR="00B648C8">
        <w:rPr>
          <w:rFonts w:hint="cs"/>
          <w:rtl/>
        </w:rPr>
        <w:t>المستندات</w:t>
      </w:r>
      <w:r w:rsidR="00981366">
        <w:rPr>
          <w:rFonts w:hint="cs"/>
          <w:rtl/>
        </w:rPr>
        <w:t xml:space="preserve"> والبيانات للجمهور. وتمنح </w:t>
      </w:r>
      <w:r w:rsidR="00132379">
        <w:rPr>
          <w:rFonts w:hint="cs"/>
          <w:rtl/>
        </w:rPr>
        <w:t>المادة</w:t>
      </w:r>
      <w:r w:rsidR="00132379">
        <w:rPr>
          <w:rFonts w:hint="eastAsia"/>
          <w:rtl/>
        </w:rPr>
        <w:t> </w:t>
      </w:r>
      <w:r w:rsidR="00981366">
        <w:rPr>
          <w:rFonts w:hint="cs"/>
          <w:rtl/>
        </w:rPr>
        <w:t xml:space="preserve">21(6) للمكتب الدولي إمكانية </w:t>
      </w:r>
      <w:r w:rsidR="00132379">
        <w:rPr>
          <w:rFonts w:hint="cs"/>
          <w:rtl/>
        </w:rPr>
        <w:t>أن يحذف من منشوراته</w:t>
      </w:r>
      <w:r w:rsidR="00981366">
        <w:rPr>
          <w:rFonts w:hint="cs"/>
          <w:rtl/>
        </w:rPr>
        <w:t xml:space="preserve"> عبارات أو رس</w:t>
      </w:r>
      <w:r w:rsidR="0086036B">
        <w:rPr>
          <w:rFonts w:hint="cs"/>
          <w:rtl/>
        </w:rPr>
        <w:t xml:space="preserve">وم يرى </w:t>
      </w:r>
      <w:r w:rsidR="00CD3CD8">
        <w:rPr>
          <w:rFonts w:hint="cs"/>
          <w:rtl/>
        </w:rPr>
        <w:t xml:space="preserve">المكتب الدولي </w:t>
      </w:r>
      <w:r w:rsidR="0086036B">
        <w:rPr>
          <w:rFonts w:hint="cs"/>
          <w:rtl/>
        </w:rPr>
        <w:t>أنها مخالفة للآداب</w:t>
      </w:r>
      <w:r w:rsidR="00981366">
        <w:rPr>
          <w:rFonts w:hint="cs"/>
          <w:rtl/>
        </w:rPr>
        <w:t xml:space="preserve"> أو للنظام العام، أو إذا تضمن الطلب الدولي </w:t>
      </w:r>
      <w:r w:rsidR="00194609">
        <w:rPr>
          <w:rFonts w:hint="cs"/>
          <w:rtl/>
        </w:rPr>
        <w:t>إعلانات</w:t>
      </w:r>
      <w:r w:rsidR="00981366">
        <w:rPr>
          <w:rFonts w:hint="cs"/>
          <w:rtl/>
        </w:rPr>
        <w:t xml:space="preserve"> تحط من شأن الغير</w:t>
      </w:r>
      <w:r w:rsidR="00194609">
        <w:rPr>
          <w:rFonts w:hint="cs"/>
          <w:rtl/>
        </w:rPr>
        <w:t>. وتمكّن القاعدة</w:t>
      </w:r>
      <w:r w:rsidR="00132379">
        <w:rPr>
          <w:rFonts w:hint="eastAsia"/>
          <w:rtl/>
        </w:rPr>
        <w:t> </w:t>
      </w:r>
      <w:r w:rsidR="00194609">
        <w:rPr>
          <w:rFonts w:hint="cs"/>
          <w:rtl/>
        </w:rPr>
        <w:t>2.9 مكاتب تسلم الطلبات وإدارات البحث الد</w:t>
      </w:r>
      <w:r w:rsidR="00CD3CD8">
        <w:rPr>
          <w:rFonts w:hint="cs"/>
          <w:rtl/>
        </w:rPr>
        <w:t xml:space="preserve">ولي من الاقتراح على مودع الطلب </w:t>
      </w:r>
      <w:r w:rsidR="00C330F3">
        <w:rPr>
          <w:rFonts w:hint="cs"/>
          <w:rtl/>
        </w:rPr>
        <w:t>ب</w:t>
      </w:r>
      <w:r w:rsidR="00194609">
        <w:rPr>
          <w:rFonts w:hint="cs"/>
          <w:rtl/>
        </w:rPr>
        <w:t xml:space="preserve">تصحيح الطلب الدولي </w:t>
      </w:r>
      <w:r w:rsidR="00CD3CD8">
        <w:rPr>
          <w:rFonts w:hint="cs"/>
          <w:rtl/>
        </w:rPr>
        <w:t>م</w:t>
      </w:r>
      <w:r w:rsidR="00194609">
        <w:rPr>
          <w:rFonts w:hint="cs"/>
          <w:rtl/>
        </w:rPr>
        <w:t>ن تلقاء نفسه إذا كان الطلب يحتوي على أي من البيانات الواردة في القاعدة</w:t>
      </w:r>
      <w:r w:rsidR="00132379">
        <w:rPr>
          <w:rFonts w:hint="eastAsia"/>
          <w:rtl/>
        </w:rPr>
        <w:t> </w:t>
      </w:r>
      <w:r w:rsidR="00194609">
        <w:rPr>
          <w:rFonts w:hint="cs"/>
          <w:rtl/>
        </w:rPr>
        <w:t>1.9 (عبار</w:t>
      </w:r>
      <w:r w:rsidR="0086036B">
        <w:rPr>
          <w:rFonts w:hint="cs"/>
          <w:rtl/>
        </w:rPr>
        <w:t xml:space="preserve">ات أو رسوم مخالفة للآداب </w:t>
      </w:r>
      <w:r w:rsidR="00194609">
        <w:rPr>
          <w:rFonts w:hint="cs"/>
          <w:rtl/>
        </w:rPr>
        <w:t xml:space="preserve">أو للنظام العام؛ أو إعلانات تحط من شأن الغير؛ </w:t>
      </w:r>
      <w:r w:rsidR="00194609" w:rsidRPr="007D3422">
        <w:rPr>
          <w:rtl/>
        </w:rPr>
        <w:t xml:space="preserve">أو غير ذلك من البيانات </w:t>
      </w:r>
      <w:r w:rsidR="00194609">
        <w:rPr>
          <w:rFonts w:hint="cs"/>
          <w:rtl/>
        </w:rPr>
        <w:t xml:space="preserve">أو الإعلانات </w:t>
      </w:r>
      <w:r w:rsidR="00194609" w:rsidRPr="007D3422">
        <w:rPr>
          <w:rtl/>
        </w:rPr>
        <w:t>التي لا تكون مناسبة أو ضرورية</w:t>
      </w:r>
      <w:r w:rsidR="00194609">
        <w:rPr>
          <w:rFonts w:hint="cs"/>
          <w:rtl/>
        </w:rPr>
        <w:t>)؛ ولكن تلك القاعدة لا تشير إلى المكتب الدولي.</w:t>
      </w:r>
    </w:p>
    <w:p w:rsidR="00B70216" w:rsidRDefault="00B53C6A" w:rsidP="00B70216">
      <w:pPr>
        <w:pStyle w:val="NumberedParaAR"/>
      </w:pPr>
      <w:r>
        <w:rPr>
          <w:rFonts w:hint="cs"/>
          <w:rtl/>
        </w:rPr>
        <w:t xml:space="preserve">وفي حين </w:t>
      </w:r>
      <w:r w:rsidR="00132379">
        <w:rPr>
          <w:rFonts w:hint="cs"/>
          <w:rtl/>
        </w:rPr>
        <w:t xml:space="preserve">سبق، في حالات قليلة جدا، تطبيق </w:t>
      </w:r>
      <w:r w:rsidR="006A77A6">
        <w:rPr>
          <w:rFonts w:hint="cs"/>
          <w:rtl/>
        </w:rPr>
        <w:t xml:space="preserve">أحكام </w:t>
      </w:r>
      <w:r w:rsidR="00132379">
        <w:rPr>
          <w:rFonts w:hint="cs"/>
          <w:rtl/>
        </w:rPr>
        <w:t>المادة</w:t>
      </w:r>
      <w:r w:rsidR="00132379">
        <w:rPr>
          <w:rFonts w:hint="eastAsia"/>
          <w:rtl/>
        </w:rPr>
        <w:t> </w:t>
      </w:r>
      <w:r w:rsidR="00132379">
        <w:rPr>
          <w:rFonts w:hint="cs"/>
          <w:rtl/>
        </w:rPr>
        <w:t>21(6) والقاعدة</w:t>
      </w:r>
      <w:r w:rsidR="00132379">
        <w:rPr>
          <w:rFonts w:hint="eastAsia"/>
          <w:rtl/>
        </w:rPr>
        <w:t> </w:t>
      </w:r>
      <w:r w:rsidR="00132379">
        <w:rPr>
          <w:rFonts w:hint="cs"/>
          <w:rtl/>
        </w:rPr>
        <w:t>2.9، ممّا أسفر عن حذف بعض العبارات أو الرسوم الواردة في الطلبات الدولية من المنشورات، فإن تلك الأحكام محدودة للغاية. كما أن إجراءات التصحيح لا تتعلق سوى ب</w:t>
      </w:r>
      <w:r w:rsidR="00B648C8">
        <w:rPr>
          <w:rFonts w:hint="cs"/>
          <w:rtl/>
        </w:rPr>
        <w:t>مضمون الطلب الدولي وليس بالمستندات</w:t>
      </w:r>
      <w:r w:rsidR="00132379">
        <w:rPr>
          <w:rFonts w:hint="cs"/>
          <w:rtl/>
        </w:rPr>
        <w:t xml:space="preserve"> أو البيانات الأخرى التي يقدمها مودع الطلب دعما لطلبه. </w:t>
      </w:r>
      <w:r w:rsidR="006A77A6">
        <w:rPr>
          <w:rFonts w:hint="cs"/>
          <w:rtl/>
        </w:rPr>
        <w:t>ومن جهة أخرى لا تتناول تلك الأحكام سوى الحالة التي يدرج فيها مودع الطلب بعض البيانات التي لا ينبغي، في نظر مكتب أو إدارة ما، أن تكون موجودة في الطلب الدولي، دون أن تتناول الحالة التي يدرج فيها مودع الطلب (دون قصد) بعض المعلومات الشخصية أو الحساسة التي لا علاقة لها بال</w:t>
      </w:r>
      <w:r w:rsidR="00B648C8">
        <w:rPr>
          <w:rFonts w:hint="cs"/>
          <w:rtl/>
        </w:rPr>
        <w:t>موضوع في الطلب الدولي أو المستندات</w:t>
      </w:r>
      <w:r w:rsidR="006A77A6">
        <w:rPr>
          <w:rFonts w:hint="cs"/>
          <w:rtl/>
        </w:rPr>
        <w:t xml:space="preserve"> ذات الصلة ويرغب، لاحقا، في منع إتاحة تلك المعلومات للجمهور.</w:t>
      </w:r>
    </w:p>
    <w:p w:rsidR="00B70216" w:rsidRDefault="00B70216">
      <w:pPr>
        <w:rPr>
          <w:rFonts w:ascii="Arabic Typesetting" w:hAnsi="Arabic Typesetting" w:cs="Arabic Typesetting"/>
          <w:sz w:val="36"/>
          <w:szCs w:val="36"/>
        </w:rPr>
      </w:pPr>
      <w:r>
        <w:br w:type="page"/>
      </w:r>
    </w:p>
    <w:p w:rsidR="006A77A6" w:rsidRPr="000D52FB" w:rsidRDefault="00B70216" w:rsidP="00B70216">
      <w:pPr>
        <w:pStyle w:val="NormalParaAR"/>
        <w:keepNext/>
        <w:spacing w:after="0"/>
        <w:rPr>
          <w:b/>
          <w:bCs/>
          <w:sz w:val="40"/>
          <w:szCs w:val="40"/>
          <w:rtl/>
        </w:rPr>
      </w:pPr>
      <w:r w:rsidRPr="000D52FB">
        <w:rPr>
          <w:rFonts w:hint="cs"/>
          <w:b/>
          <w:bCs/>
          <w:sz w:val="40"/>
          <w:szCs w:val="40"/>
          <w:rtl/>
        </w:rPr>
        <w:lastRenderedPageBreak/>
        <w:t>الممارسة المُتبعة في المكاتب الوطنية أو الإقليمية</w:t>
      </w:r>
    </w:p>
    <w:p w:rsidR="00B70216" w:rsidRDefault="00D75726" w:rsidP="00A74651">
      <w:pPr>
        <w:pStyle w:val="NumberedParaAR"/>
      </w:pPr>
      <w:r>
        <w:rPr>
          <w:rFonts w:hint="cs"/>
          <w:rtl/>
        </w:rPr>
        <w:t xml:space="preserve">ينص الكثير من القوانين الوطنية على إمكانية حذف بعض المعلومات الحساسة من </w:t>
      </w:r>
      <w:r w:rsidR="00807CBD">
        <w:rPr>
          <w:rFonts w:hint="cs"/>
          <w:rtl/>
        </w:rPr>
        <w:t>الملفات المتاحة للجمهور</w:t>
      </w:r>
      <w:r w:rsidR="00D82EF7">
        <w:rPr>
          <w:rFonts w:hint="cs"/>
          <w:rtl/>
        </w:rPr>
        <w:t xml:space="preserve"> لأغراض المعاينة</w:t>
      </w:r>
      <w:r w:rsidR="00807CBD">
        <w:rPr>
          <w:rStyle w:val="FootnoteReference"/>
          <w:rtl/>
        </w:rPr>
        <w:footnoteReference w:id="1"/>
      </w:r>
      <w:r w:rsidR="00807CBD">
        <w:rPr>
          <w:rFonts w:hint="cs"/>
          <w:rtl/>
        </w:rPr>
        <w:t xml:space="preserve"> و/أو على إمكانية حذف بعض المعلومات الواردة في طلب البراءة نفسه من المنشورات.</w:t>
      </w:r>
      <w:r w:rsidR="00807CBD">
        <w:rPr>
          <w:rStyle w:val="FootnoteReference"/>
          <w:rtl/>
        </w:rPr>
        <w:footnoteReference w:id="2"/>
      </w:r>
      <w:r w:rsidR="00D82EF7">
        <w:rPr>
          <w:rFonts w:hint="cs"/>
          <w:rtl/>
        </w:rPr>
        <w:t xml:space="preserve"> وفي بعض الحالات، تسمح القوانين الوطنية أيضا بتعديل طلب البراءة الوطني قبل النشر، ممّا يتيح لمودعي الطلبات فرصة حذف أية معلومات حساسة قبل النشر. ولا يوجد أي من تلك الخيارات ضمن اللائحة التنفيذية الراهنة لمعاهدة التعاون بشأن البراءات.</w:t>
      </w:r>
    </w:p>
    <w:p w:rsidR="00D82EF7" w:rsidRDefault="00690F7F" w:rsidP="00CD3CD8">
      <w:pPr>
        <w:pStyle w:val="NumberedParaAR"/>
      </w:pPr>
      <w:r>
        <w:rPr>
          <w:rFonts w:hint="cs"/>
          <w:rtl/>
        </w:rPr>
        <w:t xml:space="preserve">وفي حين </w:t>
      </w:r>
      <w:r w:rsidR="00C511E0">
        <w:rPr>
          <w:rFonts w:hint="cs"/>
          <w:rtl/>
        </w:rPr>
        <w:t>يشترط بعض القوانين الوطنية التماسا من مودع الطلب</w:t>
      </w:r>
      <w:r w:rsidR="00C511E0">
        <w:rPr>
          <w:rStyle w:val="FootnoteReference"/>
          <w:rtl/>
        </w:rPr>
        <w:footnoteReference w:id="3"/>
      </w:r>
      <w:r w:rsidR="00C511E0">
        <w:rPr>
          <w:rFonts w:hint="cs"/>
          <w:rtl/>
        </w:rPr>
        <w:t>، فإن هناك قوانين أخرى تسمح للمكتب بحذف بعض المعلومات من تلقاء نفسه</w:t>
      </w:r>
      <w:r w:rsidR="00C511E0">
        <w:rPr>
          <w:rStyle w:val="FootnoteReference"/>
          <w:rtl/>
        </w:rPr>
        <w:footnoteReference w:id="4"/>
      </w:r>
      <w:r w:rsidR="00C511E0">
        <w:rPr>
          <w:rFonts w:hint="cs"/>
          <w:rtl/>
        </w:rPr>
        <w:t xml:space="preserve"> أو بناء على طلب الغير</w:t>
      </w:r>
      <w:r w:rsidR="00AC2465">
        <w:rPr>
          <w:rStyle w:val="FootnoteReference"/>
          <w:rtl/>
        </w:rPr>
        <w:footnoteReference w:id="5"/>
      </w:r>
      <w:r w:rsidR="00C511E0">
        <w:rPr>
          <w:rFonts w:hint="cs"/>
          <w:rtl/>
        </w:rPr>
        <w:t>.</w:t>
      </w:r>
    </w:p>
    <w:p w:rsidR="00C511E0" w:rsidRDefault="00C511E0" w:rsidP="00CD3CD8">
      <w:pPr>
        <w:pStyle w:val="NumberedParaAR"/>
      </w:pPr>
      <w:r>
        <w:rPr>
          <w:rFonts w:hint="cs"/>
          <w:rtl/>
        </w:rPr>
        <w:t>وتتيح بعض</w:t>
      </w:r>
      <w:r w:rsidR="00CB29F2">
        <w:rPr>
          <w:rFonts w:hint="cs"/>
          <w:rtl/>
        </w:rPr>
        <w:t xml:space="preserve"> القوانين الوطنية قائمة بالمستندات</w:t>
      </w:r>
      <w:r>
        <w:rPr>
          <w:rFonts w:hint="cs"/>
          <w:rtl/>
        </w:rPr>
        <w:t xml:space="preserve"> التي تُعد، في</w:t>
      </w:r>
      <w:r w:rsidR="00CD3CD8">
        <w:rPr>
          <w:rFonts w:hint="cs"/>
          <w:rtl/>
        </w:rPr>
        <w:t xml:space="preserve"> حذ ذاتها، مُستبعدة من النشر أو </w:t>
      </w:r>
      <w:r>
        <w:rPr>
          <w:rFonts w:hint="cs"/>
          <w:rtl/>
        </w:rPr>
        <w:t xml:space="preserve">معاينة الجمهور، و/أو تشترط، فيما يخص </w:t>
      </w:r>
      <w:r w:rsidR="00CB29F2">
        <w:rPr>
          <w:rFonts w:hint="cs"/>
          <w:rtl/>
        </w:rPr>
        <w:t>المستندات</w:t>
      </w:r>
      <w:r>
        <w:rPr>
          <w:rFonts w:hint="cs"/>
          <w:rtl/>
        </w:rPr>
        <w:t xml:space="preserve"> الأخرى، استيفاء بعض المعايير </w:t>
      </w:r>
      <w:r w:rsidR="00AC2465">
        <w:rPr>
          <w:rFonts w:hint="cs"/>
          <w:rtl/>
        </w:rPr>
        <w:t>كي يتم استبعادها.</w:t>
      </w:r>
      <w:r w:rsidR="00AC2465">
        <w:rPr>
          <w:rStyle w:val="FootnoteReference"/>
          <w:rtl/>
        </w:rPr>
        <w:footnoteReference w:id="6"/>
      </w:r>
      <w:r w:rsidR="00AC2465">
        <w:rPr>
          <w:rFonts w:hint="cs"/>
          <w:rtl/>
        </w:rPr>
        <w:t xml:space="preserve"> وهناك، على الأقل، مكتب واحد يبدو أنه يتبع </w:t>
      </w:r>
      <w:r w:rsidR="00CB29F2">
        <w:rPr>
          <w:rFonts w:hint="cs"/>
          <w:rtl/>
        </w:rPr>
        <w:t>نهجا مخالفا ويتيح قائمة بالمستندات</w:t>
      </w:r>
      <w:r w:rsidR="00AC2465">
        <w:rPr>
          <w:rFonts w:hint="cs"/>
          <w:rtl/>
        </w:rPr>
        <w:t xml:space="preserve"> التي يجوز للغير معاينتها (</w:t>
      </w:r>
      <w:r w:rsidR="00CB29F2">
        <w:rPr>
          <w:rFonts w:hint="cs"/>
          <w:rtl/>
        </w:rPr>
        <w:t>مستندات الطلبات، ومستندات</w:t>
      </w:r>
      <w:r w:rsidR="00AC2465">
        <w:rPr>
          <w:rFonts w:hint="cs"/>
          <w:rtl/>
        </w:rPr>
        <w:t xml:space="preserve"> الإجراءات الشكلية ذات الصلة، </w:t>
      </w:r>
      <w:proofErr w:type="spellStart"/>
      <w:r w:rsidR="00AC2465">
        <w:rPr>
          <w:rFonts w:hint="cs"/>
          <w:rtl/>
        </w:rPr>
        <w:t>والإخطارات</w:t>
      </w:r>
      <w:proofErr w:type="spellEnd"/>
      <w:r w:rsidR="00AC2465">
        <w:rPr>
          <w:rFonts w:hint="cs"/>
          <w:rtl/>
        </w:rPr>
        <w:t>، والقرارات، وغير ذلك.).</w:t>
      </w:r>
      <w:r w:rsidR="00AC2465">
        <w:rPr>
          <w:rStyle w:val="FootnoteReference"/>
          <w:rtl/>
        </w:rPr>
        <w:footnoteReference w:id="7"/>
      </w:r>
    </w:p>
    <w:p w:rsidR="00485EDF" w:rsidRDefault="00E0370E" w:rsidP="00CD3CD8">
      <w:pPr>
        <w:pStyle w:val="NumberedParaAR"/>
      </w:pPr>
      <w:r>
        <w:rPr>
          <w:rFonts w:hint="cs"/>
          <w:rtl/>
        </w:rPr>
        <w:t>وعادة ما تقتصر قوائم المستندات</w:t>
      </w:r>
      <w:r w:rsidR="00485EDF">
        <w:rPr>
          <w:rFonts w:hint="cs"/>
          <w:rtl/>
        </w:rPr>
        <w:t xml:space="preserve"> التي تُعد، في حد ذاتها، مُستبعدة من معاينة الجمهور </w:t>
      </w:r>
      <w:r>
        <w:rPr>
          <w:rFonts w:hint="cs"/>
          <w:rtl/>
        </w:rPr>
        <w:t>في المكاتب على المستندات</w:t>
      </w:r>
      <w:r w:rsidR="00CD3CD8">
        <w:rPr>
          <w:rFonts w:hint="cs"/>
          <w:rtl/>
        </w:rPr>
        <w:t xml:space="preserve"> الداخلية. </w:t>
      </w:r>
      <w:r w:rsidR="00485EDF">
        <w:rPr>
          <w:rFonts w:hint="cs"/>
          <w:rtl/>
        </w:rPr>
        <w:t>وبالإضافة إلى ذلك غالبا ما تكون الشهادات الطبية وال</w:t>
      </w:r>
      <w:r w:rsidR="002600E1">
        <w:rPr>
          <w:rFonts w:hint="cs"/>
          <w:rtl/>
        </w:rPr>
        <w:t>بلاغات المتعلقة بمعاينة الملفات، بما في ذلك التماس الاستبعاد من معاينة الجمهور</w:t>
      </w:r>
      <w:r>
        <w:rPr>
          <w:rFonts w:hint="cs"/>
          <w:rtl/>
        </w:rPr>
        <w:t>، أو المستندات</w:t>
      </w:r>
      <w:r w:rsidR="002600E1">
        <w:rPr>
          <w:rFonts w:hint="cs"/>
          <w:rtl/>
        </w:rPr>
        <w:t xml:space="preserve"> الخاضعة لأمر قضائي يمنع الكشف عنها أو عن المعلومات الواردة فيها مُستبعدة، في حد ذاتها، من </w:t>
      </w:r>
      <w:r w:rsidR="00CF0FA2">
        <w:rPr>
          <w:rFonts w:hint="cs"/>
          <w:rtl/>
        </w:rPr>
        <w:t>معاينة الجمهور.</w:t>
      </w:r>
      <w:r w:rsidR="00CF0FA2">
        <w:rPr>
          <w:rStyle w:val="FootnoteReference"/>
          <w:rtl/>
        </w:rPr>
        <w:footnoteReference w:id="8"/>
      </w:r>
      <w:r w:rsidR="00CF0FA2">
        <w:rPr>
          <w:rFonts w:hint="cs"/>
          <w:rtl/>
        </w:rPr>
        <w:t xml:space="preserve"> وينص عدد من القوانين الوطنية على إمكانية استبعاد الأسرار التجارية المكشوف عنها دون قصد أو اسم المخترع الذي يرغب أن يظلّ مجهولا من الملفات المتاحة للجمهور.</w:t>
      </w:r>
      <w:r w:rsidR="00CF0FA2">
        <w:rPr>
          <w:rStyle w:val="FootnoteReference"/>
          <w:rtl/>
        </w:rPr>
        <w:footnoteReference w:id="9"/>
      </w:r>
    </w:p>
    <w:p w:rsidR="00CF0FA2" w:rsidRDefault="00CF0FA2" w:rsidP="00CD3CD8">
      <w:pPr>
        <w:pStyle w:val="NumberedParaAR"/>
      </w:pPr>
      <w:r>
        <w:rPr>
          <w:rFonts w:hint="cs"/>
          <w:rtl/>
        </w:rPr>
        <w:t xml:space="preserve">وفيما يخص الاستبعاد من النشر، تشترط بعض القوانين الوطنية من مودع الطلب إثبات أن المعلومات المرغوب في استبعادها من النشر قد قُدمت دون قصد وأن </w:t>
      </w:r>
      <w:r w:rsidR="00950832">
        <w:rPr>
          <w:rFonts w:hint="cs"/>
          <w:rtl/>
        </w:rPr>
        <w:t>الاطلاع ع</w:t>
      </w:r>
      <w:r>
        <w:rPr>
          <w:rFonts w:hint="cs"/>
          <w:rtl/>
        </w:rPr>
        <w:t>ليها سيتسبّب في ضرر لا يمكن إصلاحه</w:t>
      </w:r>
      <w:r>
        <w:rPr>
          <w:rStyle w:val="FootnoteReference"/>
          <w:rtl/>
        </w:rPr>
        <w:footnoteReference w:id="10"/>
      </w:r>
      <w:r>
        <w:rPr>
          <w:rFonts w:hint="cs"/>
          <w:rtl/>
        </w:rPr>
        <w:t xml:space="preserve">، </w:t>
      </w:r>
      <w:r w:rsidR="008266F5">
        <w:rPr>
          <w:rFonts w:hint="cs"/>
          <w:rtl/>
        </w:rPr>
        <w:t xml:space="preserve">في حين تستبعد قوانين أخرى </w:t>
      </w:r>
      <w:r w:rsidR="00E0370E">
        <w:rPr>
          <w:rFonts w:hint="cs"/>
          <w:rtl/>
        </w:rPr>
        <w:t>مستندات</w:t>
      </w:r>
      <w:r w:rsidR="008266F5">
        <w:rPr>
          <w:rFonts w:hint="cs"/>
          <w:rtl/>
        </w:rPr>
        <w:t xml:space="preserve"> من النشر في الحالات التي يُحتمل الإخلال فيها بالنظام العام أو الآ</w:t>
      </w:r>
      <w:r w:rsidR="00E0370E">
        <w:rPr>
          <w:rFonts w:hint="cs"/>
          <w:rtl/>
        </w:rPr>
        <w:t xml:space="preserve">داب </w:t>
      </w:r>
      <w:r w:rsidR="00CD3CD8">
        <w:rPr>
          <w:rFonts w:hint="cs"/>
          <w:rtl/>
        </w:rPr>
        <w:t>نتيجة نشرها</w:t>
      </w:r>
      <w:r w:rsidR="008266F5">
        <w:rPr>
          <w:rFonts w:hint="cs"/>
          <w:rtl/>
        </w:rPr>
        <w:t>.</w:t>
      </w:r>
      <w:r w:rsidR="008266F5">
        <w:rPr>
          <w:rStyle w:val="FootnoteReference"/>
          <w:rtl/>
        </w:rPr>
        <w:footnoteReference w:id="11"/>
      </w:r>
    </w:p>
    <w:p w:rsidR="0056494F" w:rsidRDefault="0056494F" w:rsidP="00C330F3">
      <w:pPr>
        <w:pStyle w:val="NumberedParaAR"/>
      </w:pPr>
      <w:r>
        <w:rPr>
          <w:rFonts w:hint="cs"/>
          <w:rtl/>
        </w:rPr>
        <w:t>وفيما يتعلق بتقييد ع</w:t>
      </w:r>
      <w:r w:rsidR="00E0370E">
        <w:rPr>
          <w:rFonts w:hint="cs"/>
          <w:rtl/>
        </w:rPr>
        <w:t>م</w:t>
      </w:r>
      <w:r>
        <w:rPr>
          <w:rFonts w:hint="cs"/>
          <w:rtl/>
        </w:rPr>
        <w:t xml:space="preserve">لية معاينة الجمهور للملفات، تنص بعض القوانين الوطنية على إمكانية أن تُستبعد من تلك العملية </w:t>
      </w:r>
      <w:r w:rsidR="00E0370E">
        <w:rPr>
          <w:rFonts w:hint="cs"/>
          <w:rtl/>
        </w:rPr>
        <w:t>المستندات</w:t>
      </w:r>
      <w:r>
        <w:rPr>
          <w:rFonts w:hint="cs"/>
          <w:rtl/>
        </w:rPr>
        <w:t xml:space="preserve"> التي تحتوي على بيانات تحط من شأن أي شخص بطريقة يمكن أن تلحق به ضررا، أو التي يُتوقّع أن تسفر معاينتها عن تشجيع السلوكيات العدوانية أو </w:t>
      </w:r>
      <w:r w:rsidR="00561491">
        <w:rPr>
          <w:rFonts w:hint="cs"/>
          <w:rtl/>
        </w:rPr>
        <w:t>غير الأخلاقية أو المعادية للمجتمع</w:t>
      </w:r>
      <w:r w:rsidR="00561491">
        <w:rPr>
          <w:rStyle w:val="FootnoteReference"/>
          <w:rtl/>
        </w:rPr>
        <w:footnoteReference w:id="12"/>
      </w:r>
      <w:r w:rsidR="00561491">
        <w:rPr>
          <w:rFonts w:hint="cs"/>
          <w:rtl/>
        </w:rPr>
        <w:t xml:space="preserve">. وهناك، على الأقل، قانون وطني واحد يسمح بأن يلتمس مودع الطلب أو طرف ثالث من المكتب استبعاد </w:t>
      </w:r>
      <w:r w:rsidR="00F641E5">
        <w:rPr>
          <w:rFonts w:hint="cs"/>
          <w:rtl/>
        </w:rPr>
        <w:t>مستند</w:t>
      </w:r>
      <w:r w:rsidR="00561491">
        <w:rPr>
          <w:rFonts w:hint="cs"/>
          <w:rtl/>
        </w:rPr>
        <w:t xml:space="preserve"> أو ملف بأكمله يحتوي على معلومات شخصية أو حساسة، وذلك من قواعد البيانات الشبكية على الأقل</w:t>
      </w:r>
      <w:r w:rsidR="00561491">
        <w:rPr>
          <w:rStyle w:val="FootnoteReference"/>
          <w:rtl/>
        </w:rPr>
        <w:footnoteReference w:id="13"/>
      </w:r>
      <w:r w:rsidR="00561491">
        <w:rPr>
          <w:rFonts w:hint="cs"/>
          <w:rtl/>
        </w:rPr>
        <w:t>.</w:t>
      </w:r>
    </w:p>
    <w:p w:rsidR="000371CD" w:rsidRDefault="00137202" w:rsidP="00C330F3">
      <w:pPr>
        <w:pStyle w:val="NumberedParaAR"/>
      </w:pPr>
      <w:r>
        <w:rPr>
          <w:rFonts w:hint="cs"/>
          <w:rtl/>
        </w:rPr>
        <w:t xml:space="preserve">وتنص بعض </w:t>
      </w:r>
      <w:r w:rsidR="00431A26">
        <w:rPr>
          <w:rFonts w:hint="cs"/>
          <w:rtl/>
        </w:rPr>
        <w:t xml:space="preserve">القوانين الوطنية على </w:t>
      </w:r>
      <w:r w:rsidR="00E0370E">
        <w:rPr>
          <w:rFonts w:hint="cs"/>
          <w:rtl/>
        </w:rPr>
        <w:t>استبعاد بعض المستندات</w:t>
      </w:r>
      <w:r w:rsidR="00BC0879">
        <w:rPr>
          <w:rFonts w:hint="cs"/>
          <w:rtl/>
        </w:rPr>
        <w:t xml:space="preserve"> من معاينة الجمهور بسبب المصالح العليا، مثل كرامة الإنسان أو الحقوق الشخصية أو </w:t>
      </w:r>
      <w:r w:rsidR="00C544F8">
        <w:rPr>
          <w:rFonts w:hint="cs"/>
          <w:rtl/>
        </w:rPr>
        <w:t xml:space="preserve">خصوصية المرء. </w:t>
      </w:r>
      <w:r w:rsidR="00C544F8">
        <w:rPr>
          <w:rStyle w:val="FootnoteReference"/>
          <w:rtl/>
        </w:rPr>
        <w:footnoteReference w:id="14"/>
      </w:r>
      <w:r w:rsidR="00C544F8">
        <w:rPr>
          <w:rFonts w:hint="cs"/>
          <w:rtl/>
        </w:rPr>
        <w:t xml:space="preserve"> وتستبعد قوانين أخرى </w:t>
      </w:r>
      <w:r w:rsidR="00E0370E">
        <w:rPr>
          <w:rFonts w:hint="cs"/>
          <w:rtl/>
        </w:rPr>
        <w:t>مستندات</w:t>
      </w:r>
      <w:r w:rsidR="00C330F3">
        <w:rPr>
          <w:rFonts w:hint="cs"/>
          <w:rtl/>
        </w:rPr>
        <w:t xml:space="preserve"> إذا ما وُجدت أسباب</w:t>
      </w:r>
      <w:r w:rsidR="00C544F8">
        <w:rPr>
          <w:rFonts w:hint="cs"/>
          <w:rtl/>
        </w:rPr>
        <w:t xml:space="preserve"> معقولة لاعتبار أنه لا ينبغي إتاحتها لمعاينة الجمهور.</w:t>
      </w:r>
      <w:r w:rsidR="00C544F8">
        <w:rPr>
          <w:rStyle w:val="FootnoteReference"/>
          <w:rtl/>
        </w:rPr>
        <w:footnoteReference w:id="15"/>
      </w:r>
      <w:r w:rsidR="00C544F8">
        <w:rPr>
          <w:rFonts w:hint="cs"/>
          <w:rtl/>
        </w:rPr>
        <w:t xml:space="preserve"> ولكن هناك قوانين أخرى تقيّد معاينة الجمهور للملفات طالما وُجد احتمال بتسبّب تلك المعاينة في إلحاق ضرر بالمصالح المشروعة للطرف المعني</w:t>
      </w:r>
      <w:r w:rsidR="00C544F8">
        <w:rPr>
          <w:rStyle w:val="FootnoteReference"/>
          <w:rtl/>
        </w:rPr>
        <w:footnoteReference w:id="16"/>
      </w:r>
      <w:r w:rsidR="00C544F8">
        <w:rPr>
          <w:rFonts w:hint="cs"/>
          <w:rtl/>
        </w:rPr>
        <w:t xml:space="preserve">. ويمكن، بموجب قانون وطني واحد على الأقل، استبعاد </w:t>
      </w:r>
      <w:r w:rsidR="00E0370E">
        <w:rPr>
          <w:rFonts w:hint="cs"/>
          <w:rtl/>
        </w:rPr>
        <w:t>مستندات</w:t>
      </w:r>
      <w:r w:rsidR="00C544F8">
        <w:rPr>
          <w:rFonts w:hint="cs"/>
          <w:rtl/>
        </w:rPr>
        <w:t xml:space="preserve"> من معاينة الجمهور بناء على التماس من طرف ما إذا ما كانت تلك المعاينة تؤدي </w:t>
      </w:r>
      <w:r w:rsidR="00C330F3">
        <w:rPr>
          <w:rFonts w:hint="cs"/>
          <w:rtl/>
        </w:rPr>
        <w:t>إلى الإخلال</w:t>
      </w:r>
      <w:r w:rsidR="003260B5">
        <w:rPr>
          <w:rFonts w:hint="cs"/>
          <w:rtl/>
        </w:rPr>
        <w:t xml:space="preserve"> بالمصالح الشخصية أو الاقتصادية المشروعة لشخص طبيعي أو معنوي، أو بمبادرة من المكتب إذا ما بدا له أن </w:t>
      </w:r>
      <w:r w:rsidR="00C330F3">
        <w:rPr>
          <w:rFonts w:hint="cs"/>
          <w:rtl/>
        </w:rPr>
        <w:t>هناك إخلالا ب</w:t>
      </w:r>
      <w:r w:rsidR="003260B5">
        <w:rPr>
          <w:rFonts w:hint="cs"/>
          <w:rtl/>
        </w:rPr>
        <w:t>مصالح الغير</w:t>
      </w:r>
      <w:r w:rsidR="003260B5">
        <w:rPr>
          <w:rStyle w:val="FootnoteReference"/>
          <w:rtl/>
        </w:rPr>
        <w:footnoteReference w:id="17"/>
      </w:r>
      <w:r w:rsidR="0030451D">
        <w:rPr>
          <w:rFonts w:hint="cs"/>
          <w:rtl/>
        </w:rPr>
        <w:t>. وفيما يخص هذه النقطة الأخيرة، تقتصر مع</w:t>
      </w:r>
      <w:r w:rsidR="00E0370E">
        <w:rPr>
          <w:rFonts w:hint="cs"/>
          <w:rtl/>
        </w:rPr>
        <w:t>اينة الجمهور للملفات على المستندات</w:t>
      </w:r>
      <w:r w:rsidR="0030451D">
        <w:rPr>
          <w:rFonts w:hint="cs"/>
          <w:rtl/>
        </w:rPr>
        <w:t xml:space="preserve"> التي لا يُقصد بها تقديم معلومات عن البراءة (الطلب) للجمهور.</w:t>
      </w:r>
    </w:p>
    <w:p w:rsidR="0030451D" w:rsidRPr="000D52FB" w:rsidRDefault="0030451D" w:rsidP="0030451D">
      <w:pPr>
        <w:pStyle w:val="NumberedParaAR"/>
        <w:keepNext/>
        <w:numPr>
          <w:ilvl w:val="0"/>
          <w:numId w:val="0"/>
        </w:numPr>
        <w:rPr>
          <w:b/>
          <w:bCs/>
          <w:sz w:val="40"/>
          <w:szCs w:val="40"/>
          <w:rtl/>
        </w:rPr>
      </w:pPr>
      <w:r w:rsidRPr="000D52FB">
        <w:rPr>
          <w:rFonts w:hint="cs"/>
          <w:b/>
          <w:bCs/>
          <w:sz w:val="40"/>
          <w:szCs w:val="40"/>
          <w:rtl/>
        </w:rPr>
        <w:t>الاقتراحات</w:t>
      </w:r>
    </w:p>
    <w:p w:rsidR="0030451D" w:rsidRPr="000D52FB" w:rsidRDefault="0030451D" w:rsidP="000D52FB">
      <w:pPr>
        <w:pStyle w:val="NumberedParaAR"/>
        <w:keepNext/>
        <w:numPr>
          <w:ilvl w:val="0"/>
          <w:numId w:val="0"/>
        </w:numPr>
        <w:spacing w:after="0"/>
        <w:rPr>
          <w:sz w:val="40"/>
          <w:szCs w:val="40"/>
          <w:rtl/>
        </w:rPr>
      </w:pPr>
      <w:r w:rsidRPr="000D52FB">
        <w:rPr>
          <w:rFonts w:hint="cs"/>
          <w:sz w:val="40"/>
          <w:szCs w:val="40"/>
          <w:rtl/>
        </w:rPr>
        <w:t>التعديل المقترح إدخاله على القاعدة</w:t>
      </w:r>
      <w:r w:rsidR="000D52FB" w:rsidRPr="000D52FB">
        <w:rPr>
          <w:rFonts w:hint="eastAsia"/>
          <w:sz w:val="40"/>
          <w:szCs w:val="40"/>
          <w:rtl/>
        </w:rPr>
        <w:t> </w:t>
      </w:r>
      <w:r w:rsidRPr="000D52FB">
        <w:rPr>
          <w:rFonts w:hint="cs"/>
          <w:sz w:val="40"/>
          <w:szCs w:val="40"/>
          <w:rtl/>
        </w:rPr>
        <w:t>2.9</w:t>
      </w:r>
    </w:p>
    <w:p w:rsidR="00C7459F" w:rsidRDefault="00C7459F" w:rsidP="004A1216">
      <w:pPr>
        <w:pStyle w:val="NumberedParaAR"/>
      </w:pPr>
      <w:r>
        <w:rPr>
          <w:rFonts w:hint="cs"/>
          <w:rtl/>
        </w:rPr>
        <w:t>يُقترح تعديل القاعدة</w:t>
      </w:r>
      <w:r w:rsidR="000D52FB">
        <w:rPr>
          <w:rFonts w:hint="eastAsia"/>
          <w:rtl/>
        </w:rPr>
        <w:t> </w:t>
      </w:r>
      <w:r>
        <w:rPr>
          <w:rFonts w:hint="cs"/>
          <w:rtl/>
        </w:rPr>
        <w:t xml:space="preserve">2.9 من أجل منح المكتب </w:t>
      </w:r>
      <w:r w:rsidR="004A1216">
        <w:rPr>
          <w:rFonts w:hint="cs"/>
          <w:rtl/>
        </w:rPr>
        <w:t>الدولي والإدارة المُحدّدة لأغراض</w:t>
      </w:r>
      <w:r>
        <w:rPr>
          <w:rFonts w:hint="cs"/>
          <w:rtl/>
        </w:rPr>
        <w:t xml:space="preserve"> البحث </w:t>
      </w:r>
      <w:r w:rsidR="004A1216">
        <w:rPr>
          <w:rFonts w:hint="cs"/>
          <w:rtl/>
        </w:rPr>
        <w:t>الإضافي</w:t>
      </w:r>
      <w:r>
        <w:rPr>
          <w:rFonts w:hint="cs"/>
          <w:rtl/>
        </w:rPr>
        <w:t xml:space="preserve">، فضلا عن مكتب تسلم الطلبات وإدارة البحث الدولي، </w:t>
      </w:r>
      <w:r w:rsidR="000D52FB">
        <w:rPr>
          <w:rFonts w:hint="cs"/>
          <w:rtl/>
        </w:rPr>
        <w:t>إمكانية الاقتراح على مودع الطلب بتصحيح الطلب الدولي من تلقاء نفسه في جميع الظروف المشار إليها في المادة</w:t>
      </w:r>
      <w:r w:rsidR="000D52FB">
        <w:rPr>
          <w:rFonts w:hint="eastAsia"/>
          <w:rtl/>
        </w:rPr>
        <w:t> </w:t>
      </w:r>
      <w:r w:rsidR="000D52FB">
        <w:rPr>
          <w:rFonts w:hint="cs"/>
          <w:rtl/>
        </w:rPr>
        <w:t>21(6) والقاعدة</w:t>
      </w:r>
      <w:r w:rsidR="000D52FB">
        <w:rPr>
          <w:rFonts w:hint="eastAsia"/>
          <w:rtl/>
        </w:rPr>
        <w:t> </w:t>
      </w:r>
      <w:r w:rsidR="000D52FB">
        <w:rPr>
          <w:rFonts w:hint="cs"/>
          <w:rtl/>
        </w:rPr>
        <w:t>1.9، بما في ذلك الحالة التي يُد</w:t>
      </w:r>
      <w:r w:rsidR="00C330F3">
        <w:rPr>
          <w:rFonts w:hint="cs"/>
          <w:rtl/>
        </w:rPr>
        <w:t>رج فيها المودع عن خطأ في الطلب أ</w:t>
      </w:r>
      <w:r w:rsidR="000D52FB">
        <w:rPr>
          <w:rFonts w:hint="cs"/>
          <w:rtl/>
        </w:rPr>
        <w:t>ية معلومات شخصية أو حساسة لا علاقة لها بالموضوع.</w:t>
      </w:r>
    </w:p>
    <w:p w:rsidR="000D52FB" w:rsidRPr="000D52FB" w:rsidRDefault="000D52FB" w:rsidP="000D52FB">
      <w:pPr>
        <w:pStyle w:val="NumberedParaAR"/>
        <w:keepNext/>
        <w:numPr>
          <w:ilvl w:val="0"/>
          <w:numId w:val="0"/>
        </w:numPr>
        <w:spacing w:after="0"/>
        <w:rPr>
          <w:sz w:val="40"/>
          <w:szCs w:val="40"/>
          <w:rtl/>
        </w:rPr>
      </w:pPr>
      <w:r w:rsidRPr="000D52FB">
        <w:rPr>
          <w:rFonts w:hint="cs"/>
          <w:sz w:val="40"/>
          <w:szCs w:val="40"/>
          <w:rtl/>
        </w:rPr>
        <w:t>التعديل المقترح إدخاله على القاعدة</w:t>
      </w:r>
      <w:r w:rsidRPr="000D52FB">
        <w:rPr>
          <w:rFonts w:hint="eastAsia"/>
          <w:sz w:val="40"/>
          <w:szCs w:val="40"/>
          <w:rtl/>
        </w:rPr>
        <w:t> </w:t>
      </w:r>
      <w:r w:rsidRPr="000D52FB">
        <w:rPr>
          <w:rFonts w:hint="cs"/>
          <w:sz w:val="40"/>
          <w:szCs w:val="40"/>
          <w:rtl/>
        </w:rPr>
        <w:t>2.</w:t>
      </w:r>
      <w:r>
        <w:rPr>
          <w:rFonts w:hint="cs"/>
          <w:sz w:val="40"/>
          <w:szCs w:val="40"/>
          <w:rtl/>
        </w:rPr>
        <w:t>48</w:t>
      </w:r>
    </w:p>
    <w:p w:rsidR="000D52FB" w:rsidRDefault="000D52FB" w:rsidP="00E0370E">
      <w:pPr>
        <w:pStyle w:val="NumberedParaAR"/>
      </w:pPr>
      <w:r>
        <w:rPr>
          <w:rFonts w:hint="cs"/>
          <w:rtl/>
        </w:rPr>
        <w:t>يُقترح أيضا تعديل القاعدة</w:t>
      </w:r>
      <w:r>
        <w:rPr>
          <w:rFonts w:hint="eastAsia"/>
          <w:rtl/>
        </w:rPr>
        <w:t> </w:t>
      </w:r>
      <w:r>
        <w:rPr>
          <w:rFonts w:hint="cs"/>
          <w:rtl/>
        </w:rPr>
        <w:t xml:space="preserve">2.48 بإضافة فقرة جديدة (ل) لتمكين المكتب الدولي، بناء على التماس من المودع أو أي شخص </w:t>
      </w:r>
      <w:r w:rsidR="002D4CD1">
        <w:rPr>
          <w:rFonts w:hint="cs"/>
          <w:rtl/>
        </w:rPr>
        <w:t xml:space="preserve">حصل على تصريح منه، أن يحذف من المنشورات أية معلومات شخصية أو حساسة مدرجة في الطلب الدولي أو </w:t>
      </w:r>
      <w:r w:rsidR="00E0370E">
        <w:rPr>
          <w:rFonts w:hint="cs"/>
          <w:rtl/>
        </w:rPr>
        <w:t>المستندات</w:t>
      </w:r>
      <w:r w:rsidR="002D4CD1">
        <w:rPr>
          <w:rFonts w:hint="cs"/>
          <w:rtl/>
        </w:rPr>
        <w:t xml:space="preserve"> ذات الصلة التي يُعتزم نشرها بناء على القاعدة</w:t>
      </w:r>
      <w:r w:rsidR="002D4CD1">
        <w:rPr>
          <w:rFonts w:hint="eastAsia"/>
          <w:rtl/>
        </w:rPr>
        <w:t> </w:t>
      </w:r>
      <w:r w:rsidR="002D4CD1">
        <w:rPr>
          <w:rFonts w:hint="cs"/>
          <w:rtl/>
        </w:rPr>
        <w:t>2.48.</w:t>
      </w:r>
    </w:p>
    <w:p w:rsidR="002D4CD1" w:rsidRDefault="002D4CD1" w:rsidP="00B541E6">
      <w:pPr>
        <w:pStyle w:val="NumberedParaAR"/>
      </w:pPr>
      <w:r>
        <w:rPr>
          <w:rFonts w:hint="cs"/>
          <w:rtl/>
        </w:rPr>
        <w:t>ويقتصر الحذف من المنشورات على المعلومات الشخصية أو الحساسة، بما في ذلك الشهادات الطبية المقدمة كإثبات فيما يخص التماس رد حق الأولوية بناء على القاعدة</w:t>
      </w:r>
      <w:r>
        <w:rPr>
          <w:rFonts w:hint="eastAsia"/>
          <w:rtl/>
        </w:rPr>
        <w:t> </w:t>
      </w:r>
      <w:r>
        <w:rPr>
          <w:rFonts w:hint="cs"/>
          <w:rtl/>
        </w:rPr>
        <w:t xml:space="preserve">26(ثانيا)3، ويعتمد على </w:t>
      </w:r>
      <w:r w:rsidR="00B541E6">
        <w:rPr>
          <w:rFonts w:hint="cs"/>
          <w:rtl/>
        </w:rPr>
        <w:t>خلوص</w:t>
      </w:r>
      <w:r>
        <w:rPr>
          <w:rFonts w:hint="cs"/>
          <w:rtl/>
        </w:rPr>
        <w:t xml:space="preserve"> المكتب الدولي </w:t>
      </w:r>
      <w:r w:rsidR="00B541E6">
        <w:rPr>
          <w:rFonts w:hint="cs"/>
          <w:rtl/>
        </w:rPr>
        <w:t>إلى أن نشر تلك المعلومات سيخلّ "بالمصالح الشخصية أو الاقتصادية المشروعة لشخص طبيعي أو كيان قانوني"، وهو معيار يبدو متسقا مع معظم القوانين الوطنية.</w:t>
      </w:r>
    </w:p>
    <w:p w:rsidR="00B541E6" w:rsidRDefault="00B541E6" w:rsidP="00C87990">
      <w:pPr>
        <w:pStyle w:val="NumberedParaAR"/>
      </w:pPr>
      <w:r>
        <w:rPr>
          <w:rFonts w:hint="cs"/>
          <w:rtl/>
        </w:rPr>
        <w:t>ويجب أن يصل أي التماس من هذا النوع إلى المكتب الدولي قبل استكمال التحضيرات ا</w:t>
      </w:r>
      <w:r w:rsidR="00C330F3">
        <w:rPr>
          <w:rFonts w:hint="cs"/>
          <w:rtl/>
        </w:rPr>
        <w:t>لتقنية للنشر الدولي، و</w:t>
      </w:r>
      <w:r w:rsidR="00127F98">
        <w:rPr>
          <w:rFonts w:hint="cs"/>
          <w:rtl/>
        </w:rPr>
        <w:t xml:space="preserve">يُشترط من مودع الطلب تقديم </w:t>
      </w:r>
      <w:r w:rsidR="00C87990">
        <w:rPr>
          <w:rFonts w:hint="cs"/>
          <w:rtl/>
        </w:rPr>
        <w:t>أوراق بديلة وكتاب ي</w:t>
      </w:r>
      <w:r w:rsidR="00127F98">
        <w:rPr>
          <w:rFonts w:hint="cs"/>
          <w:rtl/>
        </w:rPr>
        <w:t xml:space="preserve">شرح </w:t>
      </w:r>
      <w:r w:rsidR="00C87990">
        <w:rPr>
          <w:rFonts w:hint="cs"/>
          <w:rtl/>
        </w:rPr>
        <w:t>الفروق</w:t>
      </w:r>
      <w:r w:rsidR="00127F98">
        <w:rPr>
          <w:rFonts w:hint="cs"/>
          <w:rtl/>
        </w:rPr>
        <w:t xml:space="preserve"> </w:t>
      </w:r>
      <w:r w:rsidR="00C87990">
        <w:rPr>
          <w:rFonts w:hint="cs"/>
          <w:rtl/>
        </w:rPr>
        <w:t>بين الأوراق</w:t>
      </w:r>
      <w:r w:rsidR="00127F98">
        <w:rPr>
          <w:rFonts w:hint="cs"/>
          <w:rtl/>
        </w:rPr>
        <w:t xml:space="preserve"> </w:t>
      </w:r>
      <w:r w:rsidR="00C87990">
        <w:rPr>
          <w:rFonts w:hint="cs"/>
          <w:rtl/>
        </w:rPr>
        <w:t>المُبدَلة والأوراق</w:t>
      </w:r>
      <w:r w:rsidR="00127F98">
        <w:rPr>
          <w:rFonts w:hint="cs"/>
          <w:rtl/>
        </w:rPr>
        <w:t xml:space="preserve"> البديلة.</w:t>
      </w:r>
    </w:p>
    <w:p w:rsidR="00127F98" w:rsidRDefault="00F46862" w:rsidP="004C35A4">
      <w:pPr>
        <w:pStyle w:val="NumberedParaAR"/>
      </w:pPr>
      <w:r>
        <w:rPr>
          <w:rFonts w:hint="cs"/>
          <w:rtl/>
        </w:rPr>
        <w:t xml:space="preserve">وفي </w:t>
      </w:r>
      <w:r w:rsidR="00C87990">
        <w:rPr>
          <w:rFonts w:hint="cs"/>
          <w:rtl/>
        </w:rPr>
        <w:t>حال صرّح المكتب الدولي بحذف تلك المعلومات من المنشورات، تصبح الورقة البديلة جزءا من الوثيقة التي ستُنشر بناء على القاعدة</w:t>
      </w:r>
      <w:r w:rsidR="00C87990">
        <w:rPr>
          <w:rFonts w:hint="eastAsia"/>
          <w:rtl/>
        </w:rPr>
        <w:t> </w:t>
      </w:r>
      <w:r w:rsidR="00C87990">
        <w:rPr>
          <w:rFonts w:hint="cs"/>
          <w:rtl/>
        </w:rPr>
        <w:t xml:space="preserve">2.48. </w:t>
      </w:r>
      <w:r w:rsidR="00035A66">
        <w:rPr>
          <w:rFonts w:hint="cs"/>
          <w:rtl/>
        </w:rPr>
        <w:t xml:space="preserve">كما </w:t>
      </w:r>
      <w:r w:rsidR="00C87990">
        <w:rPr>
          <w:rFonts w:hint="cs"/>
          <w:rtl/>
        </w:rPr>
        <w:t xml:space="preserve">يصبح التماس حذف بعض المعلومات من المنشورات وأي كتاب يشرح الفروق وأية أوراق مُبدَلة جزءا من ملف </w:t>
      </w:r>
      <w:r w:rsidR="00035A66">
        <w:rPr>
          <w:rFonts w:hint="cs"/>
          <w:rtl/>
        </w:rPr>
        <w:t>المكتب</w:t>
      </w:r>
      <w:r w:rsidR="00C87990">
        <w:rPr>
          <w:rFonts w:hint="cs"/>
          <w:rtl/>
        </w:rPr>
        <w:t xml:space="preserve"> الدولي</w:t>
      </w:r>
      <w:r w:rsidR="00035A66">
        <w:rPr>
          <w:rFonts w:hint="cs"/>
          <w:rtl/>
        </w:rPr>
        <w:t xml:space="preserve"> ولكن يمكن عدم إتاحة </w:t>
      </w:r>
      <w:r w:rsidR="004C35A4">
        <w:rPr>
          <w:rFonts w:hint="cs"/>
          <w:rtl/>
        </w:rPr>
        <w:t>ذلك الملف</w:t>
      </w:r>
      <w:r w:rsidR="00035A66">
        <w:rPr>
          <w:rFonts w:hint="cs"/>
          <w:rtl/>
        </w:rPr>
        <w:t xml:space="preserve"> للجمهور (انظر التعديل </w:t>
      </w:r>
      <w:r w:rsidR="00C330F3">
        <w:rPr>
          <w:rFonts w:hint="cs"/>
          <w:rtl/>
        </w:rPr>
        <w:t>المقترح إدخاله على القاعدة 1.94</w:t>
      </w:r>
      <w:r w:rsidR="00035A66">
        <w:rPr>
          <w:rFonts w:hint="cs"/>
          <w:rtl/>
        </w:rPr>
        <w:t xml:space="preserve"> أدناه).</w:t>
      </w:r>
    </w:p>
    <w:p w:rsidR="00FF7C82" w:rsidRPr="00FF7C82" w:rsidRDefault="00FF7C82" w:rsidP="00FF7C82">
      <w:pPr>
        <w:pStyle w:val="NumberedParaAR"/>
        <w:keepNext/>
        <w:numPr>
          <w:ilvl w:val="0"/>
          <w:numId w:val="0"/>
        </w:numPr>
        <w:spacing w:after="0"/>
        <w:rPr>
          <w:sz w:val="40"/>
          <w:szCs w:val="40"/>
          <w:rtl/>
        </w:rPr>
      </w:pPr>
      <w:r w:rsidRPr="000D52FB">
        <w:rPr>
          <w:rFonts w:hint="cs"/>
          <w:sz w:val="40"/>
          <w:szCs w:val="40"/>
          <w:rtl/>
        </w:rPr>
        <w:t>التعديل المقترح إدخاله على القاعدة</w:t>
      </w:r>
      <w:r w:rsidRPr="000D52FB">
        <w:rPr>
          <w:rFonts w:hint="eastAsia"/>
          <w:sz w:val="40"/>
          <w:szCs w:val="40"/>
          <w:rtl/>
        </w:rPr>
        <w:t> </w:t>
      </w:r>
      <w:r>
        <w:rPr>
          <w:rFonts w:hint="cs"/>
          <w:sz w:val="40"/>
          <w:szCs w:val="40"/>
          <w:rtl/>
        </w:rPr>
        <w:t>1.94</w:t>
      </w:r>
    </w:p>
    <w:p w:rsidR="00FF7C82" w:rsidRDefault="008B3C05" w:rsidP="00950832">
      <w:pPr>
        <w:pStyle w:val="NumberedParaAR"/>
      </w:pPr>
      <w:r>
        <w:rPr>
          <w:rFonts w:hint="cs"/>
          <w:rtl/>
        </w:rPr>
        <w:t>أولا، يُقترح تعديل القاعدة</w:t>
      </w:r>
      <w:r>
        <w:rPr>
          <w:rFonts w:hint="eastAsia"/>
          <w:rtl/>
        </w:rPr>
        <w:t> </w:t>
      </w:r>
      <w:r>
        <w:rPr>
          <w:rFonts w:hint="cs"/>
          <w:rtl/>
        </w:rPr>
        <w:t xml:space="preserve">1.94 بإضافة فقرة جديدة (د) من أجل تمكين المكتب الدولي من منع </w:t>
      </w:r>
      <w:r w:rsidR="00950832">
        <w:rPr>
          <w:rFonts w:hint="cs"/>
          <w:rtl/>
        </w:rPr>
        <w:t>الاطلاع ع</w:t>
      </w:r>
      <w:r>
        <w:rPr>
          <w:rFonts w:hint="cs"/>
          <w:rtl/>
        </w:rPr>
        <w:t xml:space="preserve">لى أية معلومات </w:t>
      </w:r>
      <w:r w:rsidR="004C35A4">
        <w:rPr>
          <w:rFonts w:hint="cs"/>
          <w:rtl/>
        </w:rPr>
        <w:t>يتضمنها ملف</w:t>
      </w:r>
      <w:r>
        <w:rPr>
          <w:rFonts w:hint="cs"/>
          <w:rtl/>
        </w:rPr>
        <w:t>ه وحُذفت من المنشورات بناء على الفقرة (المقترحة الجديدة) (ل) من القاعدة 2.48 (انظر الفقرات من 16 إلى 19 أعلاه).</w:t>
      </w:r>
    </w:p>
    <w:p w:rsidR="008B3C05" w:rsidRDefault="008B3C05" w:rsidP="00950832">
      <w:pPr>
        <w:pStyle w:val="NumberedParaAR"/>
      </w:pPr>
      <w:r>
        <w:rPr>
          <w:rFonts w:hint="cs"/>
          <w:rtl/>
        </w:rPr>
        <w:t>ثانيا، يُقترح تعديل القاعدة</w:t>
      </w:r>
      <w:r>
        <w:rPr>
          <w:rFonts w:hint="eastAsia"/>
          <w:rtl/>
        </w:rPr>
        <w:t> </w:t>
      </w:r>
      <w:r>
        <w:rPr>
          <w:rFonts w:hint="cs"/>
          <w:rtl/>
        </w:rPr>
        <w:t xml:space="preserve">1.94 بإضافة فقرة جديدة (ه) من أجل تمكين المكتب الدولي، بناء على التماس من مودع الطلب أو أي شخص حصل على تصريح منه، من منع </w:t>
      </w:r>
      <w:r w:rsidR="00950832">
        <w:rPr>
          <w:rFonts w:hint="cs"/>
          <w:rtl/>
        </w:rPr>
        <w:t>الاطلاع ع</w:t>
      </w:r>
      <w:r>
        <w:rPr>
          <w:rFonts w:hint="cs"/>
          <w:rtl/>
        </w:rPr>
        <w:t>لى أية معلومات من شأنها أن تخلّ، في رأي المكتب الدولي، "بالمصالح الشخصية أو الاقتصادية المشروعة لشخص طبيعي أو كيان قانوني".</w:t>
      </w:r>
    </w:p>
    <w:p w:rsidR="008B3C05" w:rsidRDefault="00B2756B" w:rsidP="00C330F3">
      <w:pPr>
        <w:pStyle w:val="NumberedParaAR"/>
      </w:pPr>
      <w:r>
        <w:rPr>
          <w:rFonts w:hint="cs"/>
          <w:rtl/>
        </w:rPr>
        <w:t>وثالثا، يُقترح تعديل القاعدة</w:t>
      </w:r>
      <w:r>
        <w:rPr>
          <w:rFonts w:hint="eastAsia"/>
          <w:rtl/>
        </w:rPr>
        <w:t> </w:t>
      </w:r>
      <w:r>
        <w:rPr>
          <w:rFonts w:hint="cs"/>
          <w:rtl/>
        </w:rPr>
        <w:t xml:space="preserve">1.94 بإضافة فقرة جديدة (و) من أجل تمكين المكتب الدولي من استبعاد </w:t>
      </w:r>
      <w:r w:rsidR="00E0370E">
        <w:rPr>
          <w:rFonts w:hint="cs"/>
          <w:rtl/>
        </w:rPr>
        <w:t>المستندات</w:t>
      </w:r>
      <w:r>
        <w:rPr>
          <w:rFonts w:hint="cs"/>
          <w:rtl/>
        </w:rPr>
        <w:t xml:space="preserve"> المُعدة لأغراض الاستخدام الداخلي المحض ( مثل البلاغات المتعلقة بالملفات والمتبادلة داخل المكتب الدولي أو بين المكتب الدولي والمكاتب أو الإدارات) مما هو متاح للجمهور. وفي هذا السياق تجدر الإشارة إلى أن كثيرا من القوانين الوطنية للدول الأعضاء في اتحاد معاهدة التعاون بشأن البراءات </w:t>
      </w:r>
      <w:r w:rsidR="00067091">
        <w:rPr>
          <w:rFonts w:hint="cs"/>
          <w:rtl/>
        </w:rPr>
        <w:t xml:space="preserve">تشتمل على أحكام مماثلة تقيّد </w:t>
      </w:r>
      <w:r w:rsidR="007A7D39">
        <w:rPr>
          <w:rFonts w:hint="cs"/>
          <w:rtl/>
        </w:rPr>
        <w:t>الاطلاع ع</w:t>
      </w:r>
      <w:r w:rsidR="00067091">
        <w:rPr>
          <w:rFonts w:hint="cs"/>
          <w:rtl/>
        </w:rPr>
        <w:t xml:space="preserve">لى </w:t>
      </w:r>
      <w:r w:rsidR="00E0370E">
        <w:rPr>
          <w:rFonts w:hint="cs"/>
          <w:rtl/>
        </w:rPr>
        <w:t>المستندات</w:t>
      </w:r>
      <w:r w:rsidR="00067091">
        <w:rPr>
          <w:rFonts w:hint="cs"/>
          <w:rtl/>
        </w:rPr>
        <w:t xml:space="preserve"> الداخلية للمكاتب، وأن هذا التعديل لن يؤدي سوى إلى تنظيم الممارسة الراهنة للمكتب الدولي، لأن </w:t>
      </w:r>
      <w:r w:rsidR="00E0370E">
        <w:rPr>
          <w:rFonts w:hint="cs"/>
          <w:rtl/>
        </w:rPr>
        <w:t>المستندات</w:t>
      </w:r>
      <w:r w:rsidR="00067091">
        <w:rPr>
          <w:rFonts w:hint="cs"/>
          <w:rtl/>
        </w:rPr>
        <w:t xml:space="preserve"> الداخلية من هذا النوع ليست متاحة للجمهور في الوقت الحالي.</w:t>
      </w:r>
    </w:p>
    <w:p w:rsidR="00067091" w:rsidRDefault="00067091" w:rsidP="00067091">
      <w:pPr>
        <w:pStyle w:val="NumberedParaAR"/>
        <w:keepNext/>
        <w:numPr>
          <w:ilvl w:val="0"/>
          <w:numId w:val="0"/>
        </w:numPr>
        <w:spacing w:after="0"/>
        <w:rPr>
          <w:sz w:val="40"/>
          <w:szCs w:val="40"/>
          <w:rtl/>
        </w:rPr>
      </w:pPr>
      <w:r>
        <w:rPr>
          <w:rFonts w:hint="cs"/>
          <w:sz w:val="40"/>
          <w:szCs w:val="40"/>
          <w:rtl/>
        </w:rPr>
        <w:t>اقتراح إضافة قاعدتين جديدتين 1.94(ثانيا) و1.94(ثالثا)</w:t>
      </w:r>
    </w:p>
    <w:p w:rsidR="00067091" w:rsidRDefault="009C6CDC" w:rsidP="007A7D39">
      <w:pPr>
        <w:pStyle w:val="NumberedParaAR"/>
      </w:pPr>
      <w:r>
        <w:rPr>
          <w:rFonts w:hint="cs"/>
          <w:rtl/>
        </w:rPr>
        <w:t>تنص المادة</w:t>
      </w:r>
      <w:r w:rsidR="00F55267">
        <w:rPr>
          <w:rFonts w:hint="eastAsia"/>
          <w:rtl/>
        </w:rPr>
        <w:t> </w:t>
      </w:r>
      <w:r>
        <w:rPr>
          <w:rFonts w:hint="cs"/>
          <w:rtl/>
        </w:rPr>
        <w:t>30(3)، بالتوافق مع المادة</w:t>
      </w:r>
      <w:r w:rsidR="00F55267">
        <w:rPr>
          <w:rFonts w:hint="eastAsia"/>
          <w:rtl/>
        </w:rPr>
        <w:t> </w:t>
      </w:r>
      <w:r>
        <w:rPr>
          <w:rFonts w:hint="cs"/>
          <w:rtl/>
        </w:rPr>
        <w:t xml:space="preserve">30(2)، على ضرورة ألا يتيح أي من مكاتب تسلم الطلبات إمكانية </w:t>
      </w:r>
      <w:r w:rsidR="007A7D39">
        <w:rPr>
          <w:rFonts w:hint="cs"/>
          <w:rtl/>
        </w:rPr>
        <w:t>اطلاع</w:t>
      </w:r>
      <w:r>
        <w:rPr>
          <w:rFonts w:hint="cs"/>
          <w:rtl/>
        </w:rPr>
        <w:t xml:space="preserve"> الغير </w:t>
      </w:r>
      <w:r w:rsidR="007A7D39">
        <w:rPr>
          <w:rFonts w:hint="cs"/>
          <w:rtl/>
        </w:rPr>
        <w:t>ع</w:t>
      </w:r>
      <w:r w:rsidR="004520AC">
        <w:rPr>
          <w:rFonts w:hint="cs"/>
          <w:rtl/>
        </w:rPr>
        <w:t>لى ملف الطلب الدولي الذي يحتفظ به قبل تاريخ النشر الدولي للطلب المعني، إلا إذا التمس مودع الطلب ذلك أو صرّح به. غير أنه بالنظر إلى عدم وجود حكم مقابل للقاعدة</w:t>
      </w:r>
      <w:r w:rsidR="00F55267">
        <w:rPr>
          <w:rFonts w:hint="eastAsia"/>
          <w:rtl/>
        </w:rPr>
        <w:t> </w:t>
      </w:r>
      <w:r w:rsidR="004520AC">
        <w:rPr>
          <w:rFonts w:hint="cs"/>
          <w:rtl/>
        </w:rPr>
        <w:t xml:space="preserve">1.94 يشترط من مكتب تسلم الطلبات إتاحة إمكانية </w:t>
      </w:r>
      <w:r w:rsidR="007A7D39">
        <w:rPr>
          <w:rFonts w:hint="cs"/>
          <w:rtl/>
        </w:rPr>
        <w:t>الاطلاع ع</w:t>
      </w:r>
      <w:r w:rsidR="004520AC">
        <w:rPr>
          <w:rFonts w:hint="cs"/>
          <w:rtl/>
        </w:rPr>
        <w:t>لى ملف الطلب الدولي الذي يحتفظ به بعد تاريخ نشر الطلب المعني، فإنه يُترك للقانون الوطني الذي يطبقه مكتب تسلم الطلبات البتّ في إتاحة تلك الإمكانية أم لا.</w:t>
      </w:r>
    </w:p>
    <w:p w:rsidR="004520AC" w:rsidRDefault="004520AC" w:rsidP="007A7D39">
      <w:pPr>
        <w:pStyle w:val="NumberedParaAR"/>
      </w:pPr>
      <w:r>
        <w:rPr>
          <w:rFonts w:hint="cs"/>
          <w:rtl/>
        </w:rPr>
        <w:t>ولتوضيح هذا الوضع الراهن، يُقترح إضافة قاعدة جديدة</w:t>
      </w:r>
      <w:r w:rsidR="00F55267">
        <w:rPr>
          <w:rFonts w:hint="eastAsia"/>
          <w:rtl/>
        </w:rPr>
        <w:t> </w:t>
      </w:r>
      <w:r>
        <w:rPr>
          <w:rFonts w:hint="cs"/>
          <w:rtl/>
        </w:rPr>
        <w:t xml:space="preserve">1.94(ثانيا) تنص على أنه </w:t>
      </w:r>
      <w:r w:rsidRPr="004520AC">
        <w:rPr>
          <w:rFonts w:hint="cs"/>
          <w:i/>
          <w:iCs/>
          <w:rtl/>
        </w:rPr>
        <w:t>يجوز</w:t>
      </w:r>
      <w:r>
        <w:rPr>
          <w:rFonts w:hint="cs"/>
          <w:rtl/>
        </w:rPr>
        <w:t xml:space="preserve"> لمكاتب تسلم الطلبات إتاحة إمكانية ذلك </w:t>
      </w:r>
      <w:r w:rsidR="007A7D39">
        <w:rPr>
          <w:rFonts w:hint="cs"/>
          <w:rtl/>
        </w:rPr>
        <w:t>الاطلاع</w:t>
      </w:r>
      <w:r>
        <w:rPr>
          <w:rFonts w:hint="cs"/>
          <w:rtl/>
        </w:rPr>
        <w:t xml:space="preserve">. وبالإضافة إلى ذلك، يُقترح تقييد </w:t>
      </w:r>
      <w:r w:rsidR="007A7D39">
        <w:rPr>
          <w:rFonts w:hint="cs"/>
          <w:rtl/>
        </w:rPr>
        <w:t>الاطلاع ع</w:t>
      </w:r>
      <w:r>
        <w:rPr>
          <w:rFonts w:hint="cs"/>
          <w:rtl/>
        </w:rPr>
        <w:t>لى ال</w:t>
      </w:r>
      <w:r w:rsidR="004C35A4">
        <w:rPr>
          <w:rFonts w:hint="cs"/>
          <w:rtl/>
        </w:rPr>
        <w:t>ملف الذي يحتفظ به</w:t>
      </w:r>
      <w:r>
        <w:rPr>
          <w:rFonts w:hint="cs"/>
          <w:rtl/>
        </w:rPr>
        <w:t xml:space="preserve"> مكتب تسلم الطلبات في حال احتواء </w:t>
      </w:r>
      <w:r w:rsidR="004C35A4">
        <w:rPr>
          <w:rFonts w:hint="cs"/>
          <w:rtl/>
        </w:rPr>
        <w:t>ذلك الملف</w:t>
      </w:r>
      <w:r>
        <w:rPr>
          <w:rFonts w:hint="cs"/>
          <w:rtl/>
        </w:rPr>
        <w:t xml:space="preserve"> على معلومات استُبعدت من النشر الدولي</w:t>
      </w:r>
      <w:r w:rsidR="00F55267">
        <w:rPr>
          <w:rFonts w:hint="cs"/>
          <w:rtl/>
        </w:rPr>
        <w:t xml:space="preserve"> بناء على القاعدة المقترحة الجديدة</w:t>
      </w:r>
      <w:r w:rsidR="00F55267">
        <w:rPr>
          <w:rFonts w:hint="eastAsia"/>
          <w:rtl/>
        </w:rPr>
        <w:t> </w:t>
      </w:r>
      <w:r w:rsidR="00F55267">
        <w:rPr>
          <w:rFonts w:hint="cs"/>
          <w:rtl/>
        </w:rPr>
        <w:t>2.48(ل) أو معلومات من</w:t>
      </w:r>
      <w:r w:rsidR="004C35A4">
        <w:rPr>
          <w:rFonts w:hint="cs"/>
          <w:rtl/>
        </w:rPr>
        <w:t>َ</w:t>
      </w:r>
      <w:r w:rsidR="00F55267">
        <w:rPr>
          <w:rFonts w:hint="cs"/>
          <w:rtl/>
        </w:rPr>
        <w:t xml:space="preserve">ع المكتب الدولي </w:t>
      </w:r>
      <w:r w:rsidR="007A7D39">
        <w:rPr>
          <w:rFonts w:hint="cs"/>
          <w:rtl/>
        </w:rPr>
        <w:t>الاطلاع ع</w:t>
      </w:r>
      <w:r w:rsidR="00F55267">
        <w:rPr>
          <w:rFonts w:hint="cs"/>
          <w:rtl/>
        </w:rPr>
        <w:t>ليها بناء على القاعدة المقترحة الجديدة</w:t>
      </w:r>
      <w:r w:rsidR="00F55267">
        <w:rPr>
          <w:rFonts w:hint="eastAsia"/>
          <w:rtl/>
        </w:rPr>
        <w:t> </w:t>
      </w:r>
      <w:r w:rsidR="00F55267">
        <w:rPr>
          <w:rFonts w:hint="cs"/>
          <w:rtl/>
        </w:rPr>
        <w:t xml:space="preserve">1.94(ه). </w:t>
      </w:r>
      <w:r w:rsidR="003C726D">
        <w:rPr>
          <w:rFonts w:hint="cs"/>
          <w:rtl/>
        </w:rPr>
        <w:t>وستواصل، بالطبع، تطبيق أية تقييدا</w:t>
      </w:r>
      <w:r w:rsidR="007A7D39">
        <w:rPr>
          <w:rFonts w:hint="cs"/>
          <w:rtl/>
        </w:rPr>
        <w:t>ت أخرى تتعلق بالاطلاع ع</w:t>
      </w:r>
      <w:r w:rsidR="004C35A4">
        <w:rPr>
          <w:rFonts w:hint="cs"/>
          <w:rtl/>
        </w:rPr>
        <w:t>لى الملف الذي</w:t>
      </w:r>
      <w:r w:rsidR="003C726D">
        <w:rPr>
          <w:rFonts w:hint="cs"/>
          <w:rtl/>
        </w:rPr>
        <w:t xml:space="preserve"> يحتفظ بها مكتب تسلم الطلبات بناء على القانون الوطني المنطبق.</w:t>
      </w:r>
    </w:p>
    <w:p w:rsidR="003C726D" w:rsidRDefault="003C726D" w:rsidP="007A7D39">
      <w:pPr>
        <w:pStyle w:val="NumberedParaAR"/>
      </w:pPr>
      <w:r>
        <w:rPr>
          <w:rFonts w:hint="cs"/>
          <w:rtl/>
        </w:rPr>
        <w:t xml:space="preserve">وبالمثل، يُقترح إضافة قاعدة جديدة 1.94(ثالثا) لتوفير التوضيح نفسه فيما يخص </w:t>
      </w:r>
      <w:r w:rsidR="007A7D39">
        <w:rPr>
          <w:rFonts w:hint="cs"/>
          <w:rtl/>
        </w:rPr>
        <w:t>الاطلاع ع</w:t>
      </w:r>
      <w:r>
        <w:rPr>
          <w:rFonts w:hint="cs"/>
          <w:rtl/>
        </w:rPr>
        <w:t>لى الملفات التي تحتفظ بها إدارة البحث الدولي والإدارة المُحدّدة</w:t>
      </w:r>
      <w:r w:rsidR="004A1216">
        <w:rPr>
          <w:rFonts w:hint="cs"/>
          <w:rtl/>
        </w:rPr>
        <w:t xml:space="preserve"> لأغراض </w:t>
      </w:r>
      <w:r>
        <w:rPr>
          <w:rFonts w:hint="cs"/>
          <w:rtl/>
        </w:rPr>
        <w:t xml:space="preserve">البحث </w:t>
      </w:r>
      <w:r w:rsidR="004A1216">
        <w:rPr>
          <w:rFonts w:hint="cs"/>
          <w:rtl/>
        </w:rPr>
        <w:t>الإضافي</w:t>
      </w:r>
      <w:r>
        <w:rPr>
          <w:rFonts w:hint="cs"/>
          <w:rtl/>
        </w:rPr>
        <w:t>.</w:t>
      </w:r>
    </w:p>
    <w:p w:rsidR="00662001" w:rsidRDefault="00F70A06" w:rsidP="00662001">
      <w:pPr>
        <w:pStyle w:val="DecisionParaAR"/>
      </w:pPr>
      <w:r>
        <w:rPr>
          <w:rFonts w:hint="cs"/>
          <w:rtl/>
        </w:rPr>
        <w:t>إن الفريق العامل مدعو إلى النظر في الاقتراحات الواردة في مرفق هذه الوثيقة.</w:t>
      </w:r>
    </w:p>
    <w:p w:rsidR="00557D31" w:rsidRDefault="00F70A06" w:rsidP="00F70A06">
      <w:pPr>
        <w:pStyle w:val="EndofDocumentAR"/>
        <w:rPr>
          <w:rtl/>
        </w:rPr>
        <w:sectPr w:rsidR="00557D31"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557D31" w:rsidRDefault="00557D31" w:rsidP="00557D31">
      <w:pPr>
        <w:pStyle w:val="NormalParaAR"/>
        <w:spacing w:after="360"/>
        <w:jc w:val="center"/>
        <w:rPr>
          <w:rtl/>
        </w:rPr>
      </w:pPr>
      <w:r w:rsidRPr="009E5750">
        <w:rPr>
          <w:rFonts w:hint="cs"/>
          <w:sz w:val="40"/>
          <w:szCs w:val="40"/>
          <w:rtl/>
        </w:rPr>
        <w:t>التعديلات المقترح إدخالها على اللائحة التنفيذية</w:t>
      </w:r>
      <w:r>
        <w:rPr>
          <w:rStyle w:val="FootnoteReference"/>
          <w:rtl/>
        </w:rPr>
        <w:footnoteReference w:id="18"/>
      </w:r>
    </w:p>
    <w:p w:rsidR="00F70A06" w:rsidRDefault="00557D31" w:rsidP="00557D31">
      <w:pPr>
        <w:pStyle w:val="NormalParaAR"/>
        <w:jc w:val="center"/>
        <w:rPr>
          <w:sz w:val="40"/>
          <w:szCs w:val="40"/>
          <w:rtl/>
        </w:rPr>
      </w:pPr>
      <w:r w:rsidRPr="009E5750">
        <w:rPr>
          <w:rFonts w:hint="cs"/>
          <w:sz w:val="40"/>
          <w:szCs w:val="40"/>
          <w:rtl/>
        </w:rPr>
        <w:t>المحتويات</w:t>
      </w:r>
    </w:p>
    <w:p w:rsidR="00435D66" w:rsidRPr="00435D66" w:rsidRDefault="00490CED" w:rsidP="00435D66">
      <w:pPr>
        <w:pStyle w:val="TOC1"/>
        <w:rPr>
          <w:rFonts w:ascii="Arabic Typesetting" w:hAnsi="Arabic Typesetting" w:cs="Arabic Typesetting"/>
          <w:noProof/>
          <w:sz w:val="36"/>
          <w:szCs w:val="36"/>
        </w:rPr>
      </w:pPr>
      <w:r w:rsidRPr="00435D66">
        <w:rPr>
          <w:rFonts w:ascii="Arabic Typesetting" w:hAnsi="Arabic Typesetting" w:cs="Arabic Typesetting"/>
          <w:sz w:val="36"/>
          <w:szCs w:val="36"/>
          <w:rtl/>
        </w:rPr>
        <w:fldChar w:fldCharType="begin"/>
      </w:r>
      <w:r w:rsidRPr="00435D66">
        <w:rPr>
          <w:rFonts w:ascii="Arabic Typesetting" w:hAnsi="Arabic Typesetting" w:cs="Arabic Typesetting"/>
          <w:sz w:val="36"/>
          <w:szCs w:val="36"/>
          <w:rtl/>
        </w:rPr>
        <w:instrText xml:space="preserve"> </w:instrText>
      </w:r>
      <w:r w:rsidRPr="00435D66">
        <w:rPr>
          <w:rFonts w:ascii="Arabic Typesetting" w:hAnsi="Arabic Typesetting" w:cs="Arabic Typesetting"/>
          <w:sz w:val="36"/>
          <w:szCs w:val="36"/>
        </w:rPr>
        <w:instrText>TOC</w:instrText>
      </w:r>
      <w:r w:rsidRPr="00435D66">
        <w:rPr>
          <w:rFonts w:ascii="Arabic Typesetting" w:hAnsi="Arabic Typesetting" w:cs="Arabic Typesetting"/>
          <w:sz w:val="36"/>
          <w:szCs w:val="36"/>
          <w:rtl/>
        </w:rPr>
        <w:instrText xml:space="preserve"> \</w:instrText>
      </w:r>
      <w:r w:rsidRPr="00435D66">
        <w:rPr>
          <w:rFonts w:ascii="Arabic Typesetting" w:hAnsi="Arabic Typesetting" w:cs="Arabic Typesetting"/>
          <w:sz w:val="36"/>
          <w:szCs w:val="36"/>
        </w:rPr>
        <w:instrText>o "1-2" \h \z \u</w:instrText>
      </w:r>
      <w:r w:rsidRPr="00435D66">
        <w:rPr>
          <w:rFonts w:ascii="Arabic Typesetting" w:hAnsi="Arabic Typesetting" w:cs="Arabic Typesetting"/>
          <w:sz w:val="36"/>
          <w:szCs w:val="36"/>
          <w:rtl/>
        </w:rPr>
        <w:instrText xml:space="preserve"> </w:instrText>
      </w:r>
      <w:r w:rsidRPr="00435D66">
        <w:rPr>
          <w:rFonts w:ascii="Arabic Typesetting" w:hAnsi="Arabic Typesetting" w:cs="Arabic Typesetting"/>
          <w:sz w:val="36"/>
          <w:szCs w:val="36"/>
          <w:rtl/>
        </w:rPr>
        <w:fldChar w:fldCharType="separate"/>
      </w:r>
      <w:hyperlink w:anchor="_Toc387161605" w:history="1">
        <w:r w:rsidR="00435D66" w:rsidRPr="00435D66">
          <w:rPr>
            <w:rStyle w:val="Hyperlink"/>
            <w:rFonts w:ascii="Arabic Typesetting" w:hAnsi="Arabic Typesetting" w:cs="Arabic Typesetting"/>
            <w:noProof/>
            <w:sz w:val="36"/>
            <w:szCs w:val="36"/>
            <w:rtl/>
          </w:rPr>
          <w:t>القاعدة 9   العبارات، إلخ. الواجب عدم استعمالها</w:t>
        </w:r>
        <w:r w:rsidR="00435D66" w:rsidRPr="00435D66">
          <w:rPr>
            <w:rFonts w:ascii="Arabic Typesetting" w:hAnsi="Arabic Typesetting" w:cs="Arabic Typesetting"/>
            <w:noProof/>
            <w:webHidden/>
            <w:sz w:val="36"/>
            <w:szCs w:val="36"/>
          </w:rPr>
          <w:tab/>
        </w:r>
        <w:r w:rsidR="00435D66" w:rsidRPr="00435D66">
          <w:rPr>
            <w:rFonts w:ascii="Arabic Typesetting" w:hAnsi="Arabic Typesetting" w:cs="Arabic Typesetting"/>
            <w:noProof/>
            <w:webHidden/>
            <w:sz w:val="36"/>
            <w:szCs w:val="36"/>
          </w:rPr>
          <w:fldChar w:fldCharType="begin"/>
        </w:r>
        <w:r w:rsidR="00435D66" w:rsidRPr="00435D66">
          <w:rPr>
            <w:rFonts w:ascii="Arabic Typesetting" w:hAnsi="Arabic Typesetting" w:cs="Arabic Typesetting"/>
            <w:noProof/>
            <w:webHidden/>
            <w:sz w:val="36"/>
            <w:szCs w:val="36"/>
          </w:rPr>
          <w:instrText xml:space="preserve"> PAGEREF _Toc387161605 \h </w:instrText>
        </w:r>
        <w:r w:rsidR="00435D66" w:rsidRPr="00435D66">
          <w:rPr>
            <w:rFonts w:ascii="Arabic Typesetting" w:hAnsi="Arabic Typesetting" w:cs="Arabic Typesetting"/>
            <w:noProof/>
            <w:webHidden/>
            <w:sz w:val="36"/>
            <w:szCs w:val="36"/>
          </w:rPr>
        </w:r>
        <w:r w:rsidR="00435D66"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2</w:t>
        </w:r>
        <w:r w:rsidR="00435D66"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06" w:history="1">
        <w:r w:rsidRPr="00435D66">
          <w:rPr>
            <w:rStyle w:val="Hyperlink"/>
            <w:rFonts w:ascii="Arabic Typesetting" w:hAnsi="Arabic Typesetting" w:cs="Arabic Typesetting"/>
            <w:noProof/>
            <w:sz w:val="36"/>
            <w:szCs w:val="36"/>
            <w:rtl/>
          </w:rPr>
          <w:t xml:space="preserve">1.9   </w:t>
        </w:r>
        <w:r w:rsidRPr="00435D66">
          <w:rPr>
            <w:rStyle w:val="Hyperlink"/>
            <w:rFonts w:ascii="Arabic Typesetting" w:hAnsi="Arabic Typesetting" w:cs="Arabic Typesetting"/>
            <w:i/>
            <w:iCs/>
            <w:noProof/>
            <w:sz w:val="36"/>
            <w:szCs w:val="36"/>
            <w:rtl/>
          </w:rPr>
          <w:t>[دون تغيير]  تعريف</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_Toc387161606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2</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07" w:history="1">
        <w:r w:rsidRPr="00435D66">
          <w:rPr>
            <w:rStyle w:val="Hyperlink"/>
            <w:rFonts w:ascii="Arabic Typesetting" w:hAnsi="Arabic Typesetting" w:cs="Arabic Typesetting"/>
            <w:noProof/>
            <w:sz w:val="36"/>
            <w:szCs w:val="36"/>
            <w:rtl/>
          </w:rPr>
          <w:t xml:space="preserve">2.9   </w:t>
        </w:r>
        <w:r w:rsidRPr="00435D66">
          <w:rPr>
            <w:rStyle w:val="Hyperlink"/>
            <w:rFonts w:ascii="Arabic Typesetting" w:hAnsi="Arabic Typesetting" w:cs="Arabic Typesetting"/>
            <w:i/>
            <w:iCs/>
            <w:noProof/>
            <w:sz w:val="36"/>
            <w:szCs w:val="36"/>
            <w:rtl/>
          </w:rPr>
          <w:t>التنبيه إلى المخالفات</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_Toc387161607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2</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08" w:history="1">
        <w:r w:rsidRPr="00435D66">
          <w:rPr>
            <w:rStyle w:val="Hyperlink"/>
            <w:rFonts w:ascii="Arabic Typesetting" w:hAnsi="Arabic Typesetting" w:cs="Arabic Typesetting"/>
            <w:noProof/>
            <w:sz w:val="36"/>
            <w:szCs w:val="36"/>
            <w:rtl/>
          </w:rPr>
          <w:t xml:space="preserve">3.9   </w:t>
        </w:r>
        <w:r w:rsidRPr="00435D66">
          <w:rPr>
            <w:rStyle w:val="Hyperlink"/>
            <w:rFonts w:ascii="Arabic Typesetting" w:hAnsi="Arabic Typesetting" w:cs="Arabic Typesetting"/>
            <w:i/>
            <w:iCs/>
            <w:noProof/>
            <w:sz w:val="36"/>
            <w:szCs w:val="36"/>
            <w:rtl/>
          </w:rPr>
          <w:t>[دون تغيير]  الإشارة إلى المادة 21(6)</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_Toc387161608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2</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1"/>
        <w:rPr>
          <w:rFonts w:ascii="Arabic Typesetting" w:hAnsi="Arabic Typesetting" w:cs="Arabic Typesetting"/>
          <w:noProof/>
          <w:sz w:val="36"/>
          <w:szCs w:val="36"/>
        </w:rPr>
      </w:pPr>
      <w:hyperlink w:anchor="_Toc387161609" w:history="1">
        <w:r w:rsidRPr="00435D66">
          <w:rPr>
            <w:rStyle w:val="Hyperlink"/>
            <w:rFonts w:ascii="Arabic Typesetting" w:hAnsi="Arabic Typesetting" w:cs="Arabic Typesetting"/>
            <w:noProof/>
            <w:sz w:val="36"/>
            <w:szCs w:val="36"/>
            <w:rtl/>
          </w:rPr>
          <w:t>القاعدة 48   النشر الدولي</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_Toc387161609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3</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0" w:history="1">
        <w:r w:rsidRPr="00435D66">
          <w:rPr>
            <w:rStyle w:val="Hyperlink"/>
            <w:rFonts w:ascii="Arabic Typesetting" w:hAnsi="Arabic Typesetting" w:cs="Arabic Typesetting"/>
            <w:noProof/>
            <w:sz w:val="36"/>
            <w:szCs w:val="36"/>
            <w:rtl/>
          </w:rPr>
          <w:t xml:space="preserve">1.48   </w:t>
        </w:r>
        <w:r w:rsidRPr="00435D66">
          <w:rPr>
            <w:rStyle w:val="Hyperlink"/>
            <w:rFonts w:ascii="Arabic Typesetting" w:hAnsi="Arabic Typesetting" w:cs="Arabic Typesetting"/>
            <w:i/>
            <w:iCs/>
            <w:noProof/>
            <w:sz w:val="36"/>
            <w:szCs w:val="36"/>
            <w:rtl/>
          </w:rPr>
          <w:t>[دون تغيير]</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_Toc387161610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3</w:t>
        </w:r>
        <w:r w:rsidRPr="00435D66">
          <w:rPr>
            <w:rFonts w:ascii="Arabic Typesetting" w:hAnsi="Arabic Typesetting" w:cs="Arabic Typesetting"/>
            <w:noProof/>
            <w:webHidden/>
            <w:sz w:val="36"/>
            <w:szCs w:val="36"/>
          </w:rPr>
          <w:fldChar w:fldCharType="end"/>
        </w:r>
      </w:hyperlink>
    </w:p>
    <w:p w:rsidR="00435D66" w:rsidRPr="00435D66" w:rsidRDefault="00435D66" w:rsidP="000B5E5A">
      <w:pPr>
        <w:pStyle w:val="TOC2"/>
        <w:rPr>
          <w:rFonts w:ascii="Arabic Typesetting" w:hAnsi="Arabic Typesetting" w:cs="Arabic Typesetting"/>
          <w:noProof/>
          <w:sz w:val="36"/>
          <w:szCs w:val="36"/>
        </w:rPr>
      </w:pPr>
      <w:hyperlink w:anchor="_Toc387161611" w:history="1">
        <w:r w:rsidRPr="00435D66">
          <w:rPr>
            <w:rStyle w:val="Hyperlink"/>
            <w:rFonts w:ascii="Arabic Typesetting" w:hAnsi="Arabic Typesetting" w:cs="Arabic Typesetting"/>
            <w:noProof/>
            <w:sz w:val="36"/>
            <w:szCs w:val="36"/>
            <w:rtl/>
          </w:rPr>
          <w:t xml:space="preserve">2.48   </w:t>
        </w:r>
        <w:r w:rsidR="000B5E5A">
          <w:rPr>
            <w:rStyle w:val="Hyperlink"/>
            <w:rFonts w:ascii="Arabic Typesetting" w:hAnsi="Arabic Typesetting" w:cs="Arabic Typesetting" w:hint="cs"/>
            <w:i/>
            <w:iCs/>
            <w:noProof/>
            <w:sz w:val="36"/>
            <w:szCs w:val="36"/>
            <w:rtl/>
          </w:rPr>
          <w:t>المحتويات</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_Toc387161611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3</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2" w:history="1">
        <w:r w:rsidRPr="00435D66">
          <w:rPr>
            <w:rStyle w:val="Hyperlink"/>
            <w:rFonts w:ascii="Arabic Typesetting" w:hAnsi="Arabic Typesetting" w:cs="Arabic Typesetting"/>
            <w:noProof/>
            <w:sz w:val="36"/>
            <w:szCs w:val="36"/>
            <w:rtl/>
          </w:rPr>
          <w:t xml:space="preserve">من 3.48 إلى 6.48   </w:t>
        </w:r>
        <w:r w:rsidRPr="00435D66">
          <w:rPr>
            <w:rStyle w:val="Hyperlink"/>
            <w:rFonts w:ascii="Arabic Typesetting" w:hAnsi="Arabic Typesetting" w:cs="Arabic Typesetting"/>
            <w:i/>
            <w:iCs/>
            <w:noProof/>
            <w:sz w:val="36"/>
            <w:szCs w:val="36"/>
            <w:rtl/>
          </w:rPr>
          <w:t>[دون تغيير]</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_Toc387161612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3</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1"/>
        <w:rPr>
          <w:rFonts w:ascii="Arabic Typesetting" w:hAnsi="Arabic Typesetting" w:cs="Arabic Typesetting"/>
          <w:noProof/>
          <w:sz w:val="36"/>
          <w:szCs w:val="36"/>
        </w:rPr>
      </w:pPr>
      <w:hyperlink w:anchor="_Toc387161613" w:history="1">
        <w:r w:rsidRPr="00435D66">
          <w:rPr>
            <w:rStyle w:val="Hyperlink"/>
            <w:rFonts w:ascii="Arabic Typesetting" w:hAnsi="Arabic Typesetting" w:cs="Arabic Typesetting"/>
            <w:noProof/>
            <w:sz w:val="36"/>
            <w:szCs w:val="36"/>
            <w:rtl/>
          </w:rPr>
          <w:t>القاعدة 94   إمكانية الاطلاع على الملفات</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_Toc387161613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4</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4" w:history="1">
        <w:r w:rsidRPr="00435D66">
          <w:rPr>
            <w:rStyle w:val="Hyperlink"/>
            <w:rFonts w:ascii="Arabic Typesetting" w:hAnsi="Arabic Typesetting" w:cs="Arabic Typesetting"/>
            <w:noProof/>
            <w:sz w:val="36"/>
            <w:szCs w:val="36"/>
            <w:rtl/>
          </w:rPr>
          <w:t xml:space="preserve">1.94   </w:t>
        </w:r>
        <w:r w:rsidRPr="00435D66">
          <w:rPr>
            <w:rStyle w:val="Hyperlink"/>
            <w:rFonts w:ascii="Arabic Typesetting" w:hAnsi="Arabic Typesetting" w:cs="Arabic Typesetting"/>
            <w:i/>
            <w:iCs/>
            <w:noProof/>
            <w:sz w:val="36"/>
            <w:szCs w:val="36"/>
            <w:rtl/>
          </w:rPr>
          <w:t>إمكانية الاطلاع على الملف المحفوظ لدى المكتب الدولي</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_Toc387161614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4</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5" w:history="1">
        <w:r w:rsidRPr="00435D66">
          <w:rPr>
            <w:rStyle w:val="Hyperlink"/>
            <w:rFonts w:ascii="Arabic Typesetting" w:hAnsi="Arabic Typesetting" w:cs="Arabic Typesetting"/>
            <w:noProof/>
            <w:sz w:val="36"/>
            <w:szCs w:val="36"/>
            <w:rtl/>
          </w:rPr>
          <w:t xml:space="preserve">1.94(ثانيا)  </w:t>
        </w:r>
        <w:r w:rsidRPr="00435D66">
          <w:rPr>
            <w:rStyle w:val="Hyperlink"/>
            <w:rFonts w:ascii="Arabic Typesetting" w:hAnsi="Arabic Typesetting" w:cs="Arabic Typesetting"/>
            <w:i/>
            <w:iCs/>
            <w:noProof/>
            <w:sz w:val="36"/>
            <w:szCs w:val="36"/>
            <w:rtl/>
          </w:rPr>
          <w:t>إمكانية الاطلاع على الملف المحفوظ لدى مكتب تسلم الطلبات</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_Toc387161615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4</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6" w:history="1">
        <w:r w:rsidRPr="00435D66">
          <w:rPr>
            <w:rStyle w:val="Hyperlink"/>
            <w:rFonts w:ascii="Arabic Typesetting" w:hAnsi="Arabic Typesetting" w:cs="Arabic Typesetting"/>
            <w:noProof/>
            <w:sz w:val="36"/>
            <w:szCs w:val="36"/>
            <w:rtl/>
          </w:rPr>
          <w:t xml:space="preserve">1.94(ثالثا)   </w:t>
        </w:r>
        <w:r w:rsidRPr="00435D66">
          <w:rPr>
            <w:rStyle w:val="Hyperlink"/>
            <w:rFonts w:ascii="Arabic Typesetting" w:hAnsi="Arabic Typesetting" w:cs="Arabic Typesetting"/>
            <w:i/>
            <w:iCs/>
            <w:noProof/>
            <w:sz w:val="36"/>
            <w:szCs w:val="36"/>
            <w:rtl/>
          </w:rPr>
          <w:t>إمكانية الاطلاع على الملف المحفوظ لدى إدارة البحث الدولي</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_Toc387161616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5</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7" w:history="1">
        <w:r w:rsidRPr="00435D66">
          <w:rPr>
            <w:rStyle w:val="Hyperlink"/>
            <w:rFonts w:ascii="Arabic Typesetting" w:hAnsi="Arabic Typesetting" w:cs="Arabic Typesetting"/>
            <w:noProof/>
            <w:sz w:val="36"/>
            <w:szCs w:val="36"/>
            <w:rtl/>
          </w:rPr>
          <w:t xml:space="preserve">2.94   </w:t>
        </w:r>
        <w:r w:rsidRPr="00435D66">
          <w:rPr>
            <w:rStyle w:val="Hyperlink"/>
            <w:rFonts w:ascii="Arabic Typesetting" w:hAnsi="Arabic Typesetting" w:cs="Arabic Typesetting"/>
            <w:i/>
            <w:iCs/>
            <w:noProof/>
            <w:sz w:val="36"/>
            <w:szCs w:val="36"/>
            <w:rtl/>
          </w:rPr>
          <w:t>[دون تغيير]  إمكانية الاطلاع على الملف المحفوظ لدى إدارة الفحص التمهيدي الدولي</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_Toc387161617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5</w:t>
        </w:r>
        <w:r w:rsidRPr="00435D66">
          <w:rPr>
            <w:rFonts w:ascii="Arabic Typesetting" w:hAnsi="Arabic Typesetting" w:cs="Arabic Typesetting"/>
            <w:noProof/>
            <w:webHidden/>
            <w:sz w:val="36"/>
            <w:szCs w:val="36"/>
          </w:rPr>
          <w:fldChar w:fldCharType="end"/>
        </w:r>
      </w:hyperlink>
    </w:p>
    <w:p w:rsidR="00435D66" w:rsidRPr="00435D66" w:rsidRDefault="00435D66" w:rsidP="00435D66">
      <w:pPr>
        <w:pStyle w:val="TOC2"/>
        <w:rPr>
          <w:rFonts w:ascii="Arabic Typesetting" w:hAnsi="Arabic Typesetting" w:cs="Arabic Typesetting"/>
          <w:noProof/>
          <w:sz w:val="36"/>
          <w:szCs w:val="36"/>
        </w:rPr>
      </w:pPr>
      <w:hyperlink w:anchor="_Toc387161618" w:history="1">
        <w:r w:rsidRPr="00435D66">
          <w:rPr>
            <w:rStyle w:val="Hyperlink"/>
            <w:rFonts w:ascii="Arabic Typesetting" w:hAnsi="Arabic Typesetting" w:cs="Arabic Typesetting"/>
            <w:noProof/>
            <w:sz w:val="36"/>
            <w:szCs w:val="36"/>
            <w:rtl/>
          </w:rPr>
          <w:t xml:space="preserve">3.94   </w:t>
        </w:r>
        <w:r w:rsidRPr="00435D66">
          <w:rPr>
            <w:rStyle w:val="Hyperlink"/>
            <w:rFonts w:ascii="Arabic Typesetting" w:hAnsi="Arabic Typesetting" w:cs="Arabic Typesetting"/>
            <w:i/>
            <w:iCs/>
            <w:noProof/>
            <w:sz w:val="36"/>
            <w:szCs w:val="36"/>
            <w:rtl/>
          </w:rPr>
          <w:t>[دون تغيير]  إمكانية الاطلاع على الملف المحفوظ لدى المكتب المختار</w:t>
        </w:r>
        <w:r w:rsidRPr="00435D66">
          <w:rPr>
            <w:rFonts w:ascii="Arabic Typesetting" w:hAnsi="Arabic Typesetting" w:cs="Arabic Typesetting"/>
            <w:noProof/>
            <w:webHidden/>
            <w:sz w:val="36"/>
            <w:szCs w:val="36"/>
          </w:rPr>
          <w:tab/>
        </w:r>
        <w:r w:rsidRPr="00435D66">
          <w:rPr>
            <w:rFonts w:ascii="Arabic Typesetting" w:hAnsi="Arabic Typesetting" w:cs="Arabic Typesetting"/>
            <w:noProof/>
            <w:webHidden/>
            <w:sz w:val="36"/>
            <w:szCs w:val="36"/>
          </w:rPr>
          <w:fldChar w:fldCharType="begin"/>
        </w:r>
        <w:r w:rsidRPr="00435D66">
          <w:rPr>
            <w:rFonts w:ascii="Arabic Typesetting" w:hAnsi="Arabic Typesetting" w:cs="Arabic Typesetting"/>
            <w:noProof/>
            <w:webHidden/>
            <w:sz w:val="36"/>
            <w:szCs w:val="36"/>
          </w:rPr>
          <w:instrText xml:space="preserve"> PAGEREF _Toc387161618 \h </w:instrText>
        </w:r>
        <w:r w:rsidRPr="00435D66">
          <w:rPr>
            <w:rFonts w:ascii="Arabic Typesetting" w:hAnsi="Arabic Typesetting" w:cs="Arabic Typesetting"/>
            <w:noProof/>
            <w:webHidden/>
            <w:sz w:val="36"/>
            <w:szCs w:val="36"/>
          </w:rPr>
        </w:r>
        <w:r w:rsidRPr="00435D66">
          <w:rPr>
            <w:rFonts w:ascii="Arabic Typesetting" w:hAnsi="Arabic Typesetting" w:cs="Arabic Typesetting"/>
            <w:noProof/>
            <w:webHidden/>
            <w:sz w:val="36"/>
            <w:szCs w:val="36"/>
          </w:rPr>
          <w:fldChar w:fldCharType="separate"/>
        </w:r>
        <w:r w:rsidR="00F57607">
          <w:rPr>
            <w:rFonts w:ascii="Arabic Typesetting" w:hAnsi="Arabic Typesetting" w:cs="Arabic Typesetting"/>
            <w:noProof/>
            <w:webHidden/>
            <w:sz w:val="36"/>
            <w:szCs w:val="36"/>
            <w:rtl/>
          </w:rPr>
          <w:t>5</w:t>
        </w:r>
        <w:r w:rsidRPr="00435D66">
          <w:rPr>
            <w:rFonts w:ascii="Arabic Typesetting" w:hAnsi="Arabic Typesetting" w:cs="Arabic Typesetting"/>
            <w:noProof/>
            <w:webHidden/>
            <w:sz w:val="36"/>
            <w:szCs w:val="36"/>
          </w:rPr>
          <w:fldChar w:fldCharType="end"/>
        </w:r>
      </w:hyperlink>
    </w:p>
    <w:p w:rsidR="00557D31" w:rsidRDefault="00490CED" w:rsidP="00173D7F">
      <w:pPr>
        <w:pStyle w:val="NormalParaAR"/>
        <w:jc w:val="center"/>
        <w:rPr>
          <w:rtl/>
        </w:rPr>
      </w:pPr>
      <w:r w:rsidRPr="00435D66">
        <w:rPr>
          <w:rtl/>
        </w:rPr>
        <w:fldChar w:fldCharType="end"/>
      </w:r>
      <w:r w:rsidR="00557D31">
        <w:rPr>
          <w:rtl/>
        </w:rPr>
        <w:br w:type="page"/>
      </w:r>
    </w:p>
    <w:p w:rsidR="00557D31" w:rsidRPr="0086036B" w:rsidRDefault="0086036B" w:rsidP="00490CED">
      <w:pPr>
        <w:pStyle w:val="NormalParaAR"/>
        <w:keepNext/>
        <w:jc w:val="center"/>
        <w:outlineLvl w:val="0"/>
        <w:rPr>
          <w:rFonts w:hint="cs"/>
          <w:b/>
          <w:bCs/>
          <w:rtl/>
        </w:rPr>
      </w:pPr>
      <w:bookmarkStart w:id="2" w:name="_Toc387161605"/>
      <w:r w:rsidRPr="0086036B">
        <w:rPr>
          <w:b/>
          <w:bCs/>
          <w:rtl/>
        </w:rPr>
        <w:t>القاعدة</w:t>
      </w:r>
      <w:r w:rsidR="00E47DF7">
        <w:rPr>
          <w:rFonts w:hint="cs"/>
          <w:b/>
          <w:bCs/>
          <w:rtl/>
        </w:rPr>
        <w:t> </w:t>
      </w:r>
      <w:r w:rsidRPr="0086036B">
        <w:rPr>
          <w:b/>
          <w:bCs/>
          <w:rtl/>
        </w:rPr>
        <w:t>9</w:t>
      </w:r>
      <w:r>
        <w:rPr>
          <w:rFonts w:hint="cs"/>
          <w:b/>
          <w:bCs/>
          <w:rtl/>
        </w:rPr>
        <w:t xml:space="preserve">  </w:t>
      </w:r>
      <w:r w:rsidRPr="0086036B">
        <w:rPr>
          <w:rFonts w:hint="cs"/>
          <w:b/>
          <w:bCs/>
          <w:rtl/>
        </w:rPr>
        <w:br/>
      </w:r>
      <w:r w:rsidRPr="0086036B">
        <w:rPr>
          <w:b/>
          <w:bCs/>
          <w:rtl/>
        </w:rPr>
        <w:t>العبارات، إلخ. الواجب عدم استعمالها</w:t>
      </w:r>
      <w:bookmarkEnd w:id="2"/>
    </w:p>
    <w:p w:rsidR="0086036B" w:rsidRDefault="0086036B" w:rsidP="00490CED">
      <w:pPr>
        <w:pStyle w:val="NormalParaAR"/>
        <w:keepNext/>
        <w:outlineLvl w:val="1"/>
        <w:rPr>
          <w:rFonts w:hint="cs"/>
          <w:rtl/>
        </w:rPr>
      </w:pPr>
      <w:bookmarkStart w:id="3" w:name="_Toc387161606"/>
      <w:r>
        <w:rPr>
          <w:rFonts w:hint="cs"/>
          <w:rtl/>
        </w:rPr>
        <w:t xml:space="preserve">1.9   </w:t>
      </w:r>
      <w:r w:rsidRPr="0086036B">
        <w:rPr>
          <w:rFonts w:hint="cs"/>
          <w:i/>
          <w:iCs/>
          <w:rtl/>
        </w:rPr>
        <w:t>[دون تغيير]  تعريف</w:t>
      </w:r>
      <w:bookmarkEnd w:id="3"/>
    </w:p>
    <w:p w:rsidR="0086036B" w:rsidRDefault="00EF2C38" w:rsidP="00EF2C38">
      <w:pPr>
        <w:pStyle w:val="NormalParaAR"/>
        <w:rPr>
          <w:rtl/>
        </w:rPr>
      </w:pPr>
      <w:r>
        <w:rPr>
          <w:rtl/>
        </w:rPr>
        <w:tab/>
      </w:r>
      <w:r>
        <w:rPr>
          <w:rFonts w:hint="cs"/>
          <w:rtl/>
        </w:rPr>
        <w:t>ي</w:t>
      </w:r>
      <w:r w:rsidR="0086036B">
        <w:rPr>
          <w:rtl/>
        </w:rPr>
        <w:t>جب ألا يشتمل الطلب الدولي على ما يأتي:</w:t>
      </w:r>
    </w:p>
    <w:p w:rsidR="0086036B" w:rsidRDefault="0086036B" w:rsidP="0086036B">
      <w:pPr>
        <w:pStyle w:val="NormalParaAR"/>
        <w:ind w:left="1133"/>
        <w:rPr>
          <w:rtl/>
        </w:rPr>
      </w:pPr>
      <w:r>
        <w:rPr>
          <w:rtl/>
        </w:rPr>
        <w:t>"1"</w:t>
      </w:r>
      <w:r>
        <w:rPr>
          <w:rtl/>
        </w:rPr>
        <w:tab/>
        <w:t>عبارات أو رسوم مخالفة للآداب؛</w:t>
      </w:r>
    </w:p>
    <w:p w:rsidR="0086036B" w:rsidRDefault="0086036B" w:rsidP="0086036B">
      <w:pPr>
        <w:pStyle w:val="NormalParaAR"/>
        <w:ind w:left="1133"/>
        <w:rPr>
          <w:rtl/>
        </w:rPr>
      </w:pPr>
      <w:r>
        <w:rPr>
          <w:rtl/>
        </w:rPr>
        <w:t>"2"</w:t>
      </w:r>
      <w:r>
        <w:rPr>
          <w:rtl/>
        </w:rPr>
        <w:tab/>
        <w:t>عبارات أو رسوم مخالفة للنظام العام؛</w:t>
      </w:r>
    </w:p>
    <w:p w:rsidR="0086036B" w:rsidRDefault="0086036B" w:rsidP="0086036B">
      <w:pPr>
        <w:pStyle w:val="NormalParaAR"/>
        <w:ind w:left="1133"/>
        <w:rPr>
          <w:rtl/>
        </w:rPr>
      </w:pPr>
      <w:r>
        <w:rPr>
          <w:rtl/>
        </w:rPr>
        <w:t>"3"</w:t>
      </w:r>
      <w:r>
        <w:rPr>
          <w:rtl/>
        </w:rPr>
        <w:tab/>
        <w:t>إعلانات تحط من شأن منتجات الغير أو طرائق صنعه، أو تحط من قيمة طلبات الغير أو براءاته أو من صحتها (علما بأن مجرد المقارنة بحالة التقنية الصناعية السابقة لا يعد محِطّاً في حد ذاته)؛</w:t>
      </w:r>
    </w:p>
    <w:p w:rsidR="0086036B" w:rsidRDefault="0086036B" w:rsidP="0086036B">
      <w:pPr>
        <w:pStyle w:val="NormalParaAR"/>
        <w:ind w:left="1133"/>
        <w:rPr>
          <w:rFonts w:hint="cs"/>
          <w:rtl/>
        </w:rPr>
      </w:pPr>
      <w:r>
        <w:rPr>
          <w:rtl/>
        </w:rPr>
        <w:t>"4"</w:t>
      </w:r>
      <w:r>
        <w:rPr>
          <w:rtl/>
        </w:rPr>
        <w:tab/>
        <w:t>إعلانات أو غير ذلك من البيانات التي لا تكون مناسبة أو ضرورية في ظروف الحال.</w:t>
      </w:r>
    </w:p>
    <w:p w:rsidR="00EF2C38" w:rsidRDefault="00EF2C38" w:rsidP="00490CED">
      <w:pPr>
        <w:pStyle w:val="NormalParaAR"/>
        <w:keepNext/>
        <w:outlineLvl w:val="1"/>
        <w:rPr>
          <w:rtl/>
        </w:rPr>
      </w:pPr>
      <w:bookmarkStart w:id="4" w:name="_Toc387161607"/>
      <w:r>
        <w:rPr>
          <w:rFonts w:hint="cs"/>
          <w:rtl/>
        </w:rPr>
        <w:t xml:space="preserve">2.9   </w:t>
      </w:r>
      <w:r w:rsidRPr="00EF2C38">
        <w:rPr>
          <w:i/>
          <w:iCs/>
          <w:rtl/>
        </w:rPr>
        <w:t>التنبيه إلى المخالفات</w:t>
      </w:r>
      <w:bookmarkEnd w:id="4"/>
    </w:p>
    <w:p w:rsidR="0086036B" w:rsidRDefault="00EF2C38" w:rsidP="00E47DF7">
      <w:pPr>
        <w:pStyle w:val="NormalParaAR"/>
        <w:rPr>
          <w:rFonts w:hint="cs"/>
          <w:strike/>
          <w:color w:val="FF0000"/>
          <w:rtl/>
        </w:rPr>
      </w:pPr>
      <w:r>
        <w:rPr>
          <w:rtl/>
        </w:rPr>
        <w:tab/>
        <w:t xml:space="preserve">يجوز لكل من مكتب تسلم الطلبات وإدارة البحث الدولي </w:t>
      </w:r>
      <w:r w:rsidRPr="00EF2C38">
        <w:rPr>
          <w:rFonts w:hint="cs"/>
          <w:color w:val="0070C0"/>
          <w:u w:val="single"/>
          <w:rtl/>
        </w:rPr>
        <w:t>والإدارة المُحدّدة لأغراض البحث الإضافي</w:t>
      </w:r>
      <w:r w:rsidRPr="00EF2C38">
        <w:rPr>
          <w:color w:val="0070C0"/>
          <w:u w:val="single"/>
          <w:rtl/>
        </w:rPr>
        <w:t xml:space="preserve"> </w:t>
      </w:r>
      <w:r w:rsidRPr="00EF2C38">
        <w:rPr>
          <w:rFonts w:hint="cs"/>
          <w:color w:val="0070C0"/>
          <w:u w:val="single"/>
          <w:rtl/>
        </w:rPr>
        <w:t>والمكتب الدولي</w:t>
      </w:r>
      <w:r>
        <w:rPr>
          <w:rFonts w:hint="cs"/>
          <w:rtl/>
        </w:rPr>
        <w:t xml:space="preserve"> </w:t>
      </w:r>
      <w:r>
        <w:rPr>
          <w:rtl/>
        </w:rPr>
        <w:t>التنبيه إلى عدم استيفاء أي طلب دولي لأحكام القاعدة</w:t>
      </w:r>
      <w:r w:rsidR="00E47DF7">
        <w:rPr>
          <w:rFonts w:hint="cs"/>
          <w:rtl/>
        </w:rPr>
        <w:t> </w:t>
      </w:r>
      <w:r>
        <w:rPr>
          <w:rFonts w:hint="cs"/>
          <w:rtl/>
        </w:rPr>
        <w:t>1.9</w:t>
      </w:r>
      <w:r>
        <w:rPr>
          <w:rtl/>
        </w:rPr>
        <w:t>، والاقتراح على مودع الطلب بإجراء التصحيح اللازم من تلقاء نفسه</w:t>
      </w:r>
      <w:r>
        <w:rPr>
          <w:rFonts w:hint="cs"/>
          <w:rtl/>
        </w:rPr>
        <w:t xml:space="preserve">، </w:t>
      </w:r>
      <w:r w:rsidRPr="00A6398E">
        <w:rPr>
          <w:rFonts w:hint="cs"/>
          <w:color w:val="0070C0"/>
          <w:u w:val="single"/>
          <w:rtl/>
        </w:rPr>
        <w:t>وفي تلك الحالة</w:t>
      </w:r>
      <w:r w:rsidR="00A6398E" w:rsidRPr="00A6398E">
        <w:rPr>
          <w:rFonts w:hint="cs"/>
          <w:color w:val="0070C0"/>
          <w:u w:val="single"/>
          <w:rtl/>
        </w:rPr>
        <w:t xml:space="preserve"> </w:t>
      </w:r>
      <w:r w:rsidRPr="00A6398E">
        <w:rPr>
          <w:rFonts w:hint="cs"/>
          <w:color w:val="0070C0"/>
          <w:u w:val="single"/>
          <w:rtl/>
        </w:rPr>
        <w:t>يُبلّ</w:t>
      </w:r>
      <w:r w:rsidR="00A6398E">
        <w:rPr>
          <w:rFonts w:hint="cs"/>
          <w:color w:val="0070C0"/>
          <w:u w:val="single"/>
          <w:rtl/>
        </w:rPr>
        <w:t>َ</w:t>
      </w:r>
      <w:r w:rsidRPr="00A6398E">
        <w:rPr>
          <w:rFonts w:hint="cs"/>
          <w:color w:val="0070C0"/>
          <w:u w:val="single"/>
          <w:rtl/>
        </w:rPr>
        <w:t xml:space="preserve">غ مكتب تسلم الطلبات </w:t>
      </w:r>
      <w:r w:rsidR="00A6398E" w:rsidRPr="00A6398E">
        <w:rPr>
          <w:rFonts w:hint="cs"/>
          <w:color w:val="0070C0"/>
          <w:u w:val="single"/>
          <w:rtl/>
        </w:rPr>
        <w:t>وإدارة البحث الدولي المختصة والإدارة المختصة المُحدّدة لأغراض البحث الإضافي والمكتب الدولي، حسب الحال، بالاقتراح</w:t>
      </w:r>
      <w:r>
        <w:rPr>
          <w:rtl/>
        </w:rPr>
        <w:t>.</w:t>
      </w:r>
      <w:r w:rsidRPr="00A6398E">
        <w:rPr>
          <w:strike/>
          <w:color w:val="FF0000"/>
          <w:rtl/>
        </w:rPr>
        <w:t xml:space="preserve"> وإذا لاحظ مكتب تسلم الطلبات المخالفة، وجب عليه إبلاغ ذلك لإدارة البحث الدولي المختصة وللمكتب الدولي. أما إذا لاحظت إدارة البحث الدولي المخالفة، فإنه يجب عليها إبلاغ ذلك لمكتب تسلم الطلبات وللمكتب الدولي.</w:t>
      </w:r>
    </w:p>
    <w:p w:rsidR="00A6398E" w:rsidRDefault="00A6398E" w:rsidP="00490CED">
      <w:pPr>
        <w:pStyle w:val="NormalParaAR"/>
        <w:keepNext/>
        <w:outlineLvl w:val="1"/>
        <w:rPr>
          <w:rtl/>
        </w:rPr>
      </w:pPr>
      <w:bookmarkStart w:id="5" w:name="_Toc387161608"/>
      <w:r>
        <w:rPr>
          <w:rFonts w:hint="cs"/>
          <w:rtl/>
        </w:rPr>
        <w:t xml:space="preserve">3.9   </w:t>
      </w:r>
      <w:r w:rsidRPr="00E47DF7">
        <w:rPr>
          <w:rFonts w:hint="cs"/>
          <w:i/>
          <w:iCs/>
          <w:rtl/>
        </w:rPr>
        <w:t xml:space="preserve">[دون تغيير]  </w:t>
      </w:r>
      <w:r w:rsidRPr="00E47DF7">
        <w:rPr>
          <w:i/>
          <w:iCs/>
          <w:rtl/>
        </w:rPr>
        <w:t>الإشارة إلى المادة</w:t>
      </w:r>
      <w:r w:rsidR="00E47DF7" w:rsidRPr="00E47DF7">
        <w:rPr>
          <w:rFonts w:hint="cs"/>
          <w:i/>
          <w:iCs/>
          <w:rtl/>
        </w:rPr>
        <w:t> </w:t>
      </w:r>
      <w:r w:rsidRPr="00E47DF7">
        <w:rPr>
          <w:i/>
          <w:iCs/>
          <w:rtl/>
        </w:rPr>
        <w:t>21(6)</w:t>
      </w:r>
      <w:bookmarkEnd w:id="5"/>
    </w:p>
    <w:p w:rsidR="00E47DF7" w:rsidRDefault="00A6398E" w:rsidP="00E47DF7">
      <w:pPr>
        <w:pStyle w:val="NormalParaAR"/>
        <w:rPr>
          <w:rtl/>
        </w:rPr>
      </w:pPr>
      <w:r>
        <w:rPr>
          <w:rFonts w:hint="cs"/>
          <w:rtl/>
        </w:rPr>
        <w:tab/>
      </w:r>
      <w:r>
        <w:rPr>
          <w:rtl/>
        </w:rPr>
        <w:t>يقصد بعبارة "الإعلانات التي تحط من شأن الغير" المشار إليها في المادة</w:t>
      </w:r>
      <w:r w:rsidR="00E47DF7">
        <w:rPr>
          <w:rFonts w:hint="cs"/>
          <w:rtl/>
        </w:rPr>
        <w:t> </w:t>
      </w:r>
      <w:r>
        <w:rPr>
          <w:rtl/>
        </w:rPr>
        <w:t>21(6) ما ورد تحديده في القاعدة</w:t>
      </w:r>
      <w:r w:rsidR="00E47DF7">
        <w:rPr>
          <w:rFonts w:hint="cs"/>
          <w:rtl/>
        </w:rPr>
        <w:t> </w:t>
      </w:r>
      <w:r>
        <w:rPr>
          <w:rFonts w:hint="cs"/>
          <w:rtl/>
        </w:rPr>
        <w:t>1.9</w:t>
      </w:r>
      <w:r>
        <w:rPr>
          <w:rtl/>
        </w:rPr>
        <w:t>"3".</w:t>
      </w:r>
    </w:p>
    <w:p w:rsidR="00E47DF7" w:rsidRDefault="00E47DF7">
      <w:pPr>
        <w:rPr>
          <w:rFonts w:ascii="Arabic Typesetting" w:hAnsi="Arabic Typesetting" w:cs="Arabic Typesetting"/>
          <w:sz w:val="36"/>
          <w:szCs w:val="36"/>
          <w:rtl/>
        </w:rPr>
      </w:pPr>
      <w:r>
        <w:rPr>
          <w:rtl/>
        </w:rPr>
        <w:br w:type="page"/>
      </w:r>
    </w:p>
    <w:p w:rsidR="00A6398E" w:rsidRPr="00E47DF7" w:rsidRDefault="00E47DF7" w:rsidP="00490CED">
      <w:pPr>
        <w:pStyle w:val="NormalParaAR"/>
        <w:keepNext/>
        <w:jc w:val="center"/>
        <w:outlineLvl w:val="0"/>
        <w:rPr>
          <w:rFonts w:hint="cs"/>
          <w:b/>
          <w:bCs/>
          <w:rtl/>
        </w:rPr>
      </w:pPr>
      <w:bookmarkStart w:id="6" w:name="_Toc387161609"/>
      <w:r w:rsidRPr="00E47DF7">
        <w:rPr>
          <w:b/>
          <w:bCs/>
          <w:rtl/>
        </w:rPr>
        <w:t>القاعدة</w:t>
      </w:r>
      <w:r w:rsidR="004E0F57">
        <w:rPr>
          <w:rFonts w:hint="cs"/>
          <w:b/>
          <w:bCs/>
          <w:rtl/>
        </w:rPr>
        <w:t> </w:t>
      </w:r>
      <w:r w:rsidRPr="00E47DF7">
        <w:rPr>
          <w:b/>
          <w:bCs/>
          <w:rtl/>
        </w:rPr>
        <w:t>48</w:t>
      </w:r>
      <w:r>
        <w:rPr>
          <w:rFonts w:hint="cs"/>
          <w:b/>
          <w:bCs/>
          <w:rtl/>
        </w:rPr>
        <w:t xml:space="preserve">  </w:t>
      </w:r>
      <w:r w:rsidRPr="00E47DF7">
        <w:rPr>
          <w:b/>
          <w:bCs/>
          <w:rtl/>
        </w:rPr>
        <w:br/>
        <w:t>النشر الدولي</w:t>
      </w:r>
      <w:bookmarkEnd w:id="6"/>
    </w:p>
    <w:p w:rsidR="00E47DF7" w:rsidRDefault="00922443" w:rsidP="00490CED">
      <w:pPr>
        <w:pStyle w:val="NormalParaAR"/>
        <w:keepNext/>
        <w:outlineLvl w:val="1"/>
        <w:rPr>
          <w:rFonts w:hint="cs"/>
          <w:rtl/>
        </w:rPr>
      </w:pPr>
      <w:bookmarkStart w:id="7" w:name="_Toc387161610"/>
      <w:r>
        <w:rPr>
          <w:rFonts w:hint="cs"/>
          <w:rtl/>
        </w:rPr>
        <w:t xml:space="preserve">1.48   </w:t>
      </w:r>
      <w:r w:rsidRPr="00922443">
        <w:rPr>
          <w:rFonts w:hint="cs"/>
          <w:i/>
          <w:iCs/>
          <w:rtl/>
        </w:rPr>
        <w:t>[دون تغيير]</w:t>
      </w:r>
      <w:bookmarkEnd w:id="7"/>
    </w:p>
    <w:p w:rsidR="00922443" w:rsidRDefault="00922443" w:rsidP="000B5E5A">
      <w:pPr>
        <w:pStyle w:val="NormalParaAR"/>
        <w:keepNext/>
        <w:outlineLvl w:val="1"/>
        <w:rPr>
          <w:rFonts w:hint="cs"/>
          <w:rtl/>
        </w:rPr>
      </w:pPr>
      <w:bookmarkStart w:id="8" w:name="_Toc387161611"/>
      <w:r>
        <w:rPr>
          <w:rFonts w:hint="cs"/>
          <w:rtl/>
        </w:rPr>
        <w:t xml:space="preserve">2.48   </w:t>
      </w:r>
      <w:bookmarkEnd w:id="8"/>
      <w:r w:rsidR="00470BFE">
        <w:rPr>
          <w:rFonts w:hint="cs"/>
          <w:i/>
          <w:iCs/>
          <w:rtl/>
        </w:rPr>
        <w:t>المحتويات</w:t>
      </w:r>
    </w:p>
    <w:p w:rsidR="00922443" w:rsidRDefault="00922443" w:rsidP="00E47DF7">
      <w:pPr>
        <w:pStyle w:val="NormalParaAR"/>
        <w:rPr>
          <w:rFonts w:hint="cs"/>
          <w:rtl/>
        </w:rPr>
      </w:pPr>
      <w:r>
        <w:rPr>
          <w:rtl/>
        </w:rPr>
        <w:tab/>
      </w:r>
      <w:r>
        <w:rPr>
          <w:rFonts w:hint="cs"/>
          <w:rtl/>
        </w:rPr>
        <w:t>من (أ) إلى (ك)  [دون تغيير]</w:t>
      </w:r>
    </w:p>
    <w:p w:rsidR="00922443" w:rsidRDefault="00922443" w:rsidP="00173D7F">
      <w:pPr>
        <w:pStyle w:val="NormalParaAR"/>
        <w:rPr>
          <w:rFonts w:hint="cs"/>
          <w:color w:val="0070C0"/>
          <w:u w:val="single"/>
          <w:rtl/>
        </w:rPr>
      </w:pPr>
      <w:r>
        <w:rPr>
          <w:rtl/>
        </w:rPr>
        <w:tab/>
      </w:r>
      <w:r w:rsidRPr="00E40341">
        <w:rPr>
          <w:rFonts w:hint="cs"/>
          <w:color w:val="0070C0"/>
          <w:u w:val="single"/>
          <w:rtl/>
        </w:rPr>
        <w:t xml:space="preserve">(ل)  بناء على التماس يقدمه </w:t>
      </w:r>
      <w:r w:rsidR="004E0F57" w:rsidRPr="00E40341">
        <w:rPr>
          <w:rFonts w:hint="cs"/>
          <w:color w:val="0070C0"/>
          <w:u w:val="single"/>
          <w:rtl/>
        </w:rPr>
        <w:t>المودع</w:t>
      </w:r>
      <w:r w:rsidRPr="00E40341">
        <w:rPr>
          <w:rFonts w:hint="cs"/>
          <w:color w:val="0070C0"/>
          <w:u w:val="single"/>
          <w:rtl/>
        </w:rPr>
        <w:t>، ويتسلمه المكتب الدولي قبل استكمال التحضيرات التقنية للنشر الدولي، يحذف المكتب الدولي من المنشورات أية معلومات إذا</w:t>
      </w:r>
      <w:r w:rsidR="004E0F57" w:rsidRPr="00E40341">
        <w:rPr>
          <w:rFonts w:hint="cs"/>
          <w:color w:val="0070C0"/>
          <w:u w:val="single"/>
          <w:rtl/>
        </w:rPr>
        <w:t xml:space="preserve"> كان نشر تلك المعلومات </w:t>
      </w:r>
      <w:r w:rsidR="00E40341">
        <w:rPr>
          <w:rFonts w:hint="cs"/>
          <w:color w:val="0070C0"/>
          <w:u w:val="single"/>
          <w:rtl/>
        </w:rPr>
        <w:t>سيؤدي، في رأ</w:t>
      </w:r>
      <w:r w:rsidR="004E0F57" w:rsidRPr="00E40341">
        <w:rPr>
          <w:rFonts w:hint="cs"/>
          <w:color w:val="0070C0"/>
          <w:u w:val="single"/>
          <w:rtl/>
        </w:rPr>
        <w:t>ي المكتب الدولي، إلى الإخلال بالمصالح الشخصية أو الاقتصادية ل</w:t>
      </w:r>
      <w:r w:rsidR="00077238">
        <w:rPr>
          <w:rFonts w:hint="cs"/>
          <w:color w:val="0070C0"/>
          <w:u w:val="single"/>
          <w:rtl/>
        </w:rPr>
        <w:t xml:space="preserve">أي </w:t>
      </w:r>
      <w:r w:rsidR="004E0F57" w:rsidRPr="00E40341">
        <w:rPr>
          <w:rFonts w:hint="cs"/>
          <w:color w:val="0070C0"/>
          <w:u w:val="single"/>
          <w:rtl/>
        </w:rPr>
        <w:t xml:space="preserve">شخص طبيعي أو كيان قانوني. وتُطبق القاعدة 4.26 مع ما يلزم من تبديل فيما يخص الطريقة التي يقدم بها المودع المعلومات موضوع الالتماس. </w:t>
      </w:r>
      <w:r w:rsidR="008F2883" w:rsidRPr="00E40341">
        <w:rPr>
          <w:rFonts w:hint="cs"/>
          <w:color w:val="0070C0"/>
          <w:u w:val="single"/>
          <w:rtl/>
        </w:rPr>
        <w:t xml:space="preserve">وفي حال لاحظ مكتب تسلم الطلبات أو إدارة البحث الدولي أو الإدارة المُحدّدة لأغراض البحث الإضافي أو المكتب الدولي أيا من تلك المعلومات، </w:t>
      </w:r>
      <w:r w:rsidR="002F329E" w:rsidRPr="00E40341">
        <w:rPr>
          <w:rFonts w:hint="cs"/>
          <w:color w:val="0070C0"/>
          <w:u w:val="single"/>
          <w:rtl/>
        </w:rPr>
        <w:t xml:space="preserve">جاز </w:t>
      </w:r>
      <w:r w:rsidR="00173D7F">
        <w:rPr>
          <w:rFonts w:hint="cs"/>
          <w:color w:val="0070C0"/>
          <w:u w:val="single"/>
          <w:rtl/>
        </w:rPr>
        <w:t>لذلك ال</w:t>
      </w:r>
      <w:r w:rsidR="002F329E" w:rsidRPr="00E40341">
        <w:rPr>
          <w:rFonts w:hint="cs"/>
          <w:color w:val="0070C0"/>
          <w:u w:val="single"/>
          <w:rtl/>
        </w:rPr>
        <w:t xml:space="preserve">مكتب أو </w:t>
      </w:r>
      <w:r w:rsidR="00173D7F">
        <w:rPr>
          <w:rFonts w:hint="cs"/>
          <w:color w:val="0070C0"/>
          <w:u w:val="single"/>
          <w:rtl/>
        </w:rPr>
        <w:t xml:space="preserve">تلك </w:t>
      </w:r>
      <w:r w:rsidR="002F329E" w:rsidRPr="00E40341">
        <w:rPr>
          <w:rFonts w:hint="cs"/>
          <w:color w:val="0070C0"/>
          <w:u w:val="single"/>
          <w:rtl/>
        </w:rPr>
        <w:t xml:space="preserve">الإدارة </w:t>
      </w:r>
      <w:r w:rsidR="008F2883" w:rsidRPr="00E40341">
        <w:rPr>
          <w:rFonts w:hint="cs"/>
          <w:color w:val="0070C0"/>
          <w:u w:val="single"/>
          <w:rtl/>
        </w:rPr>
        <w:t xml:space="preserve">الاقتراح على المودع التماس حذفها من المنشورات. وفي حال </w:t>
      </w:r>
      <w:r w:rsidR="007A7D39">
        <w:rPr>
          <w:rFonts w:hint="cs"/>
          <w:color w:val="0070C0"/>
          <w:u w:val="single"/>
          <w:rtl/>
        </w:rPr>
        <w:t>حذف تلك</w:t>
      </w:r>
      <w:r w:rsidR="008F2883" w:rsidRPr="00E40341">
        <w:rPr>
          <w:rFonts w:hint="cs"/>
          <w:color w:val="0070C0"/>
          <w:u w:val="single"/>
          <w:rtl/>
        </w:rPr>
        <w:t xml:space="preserve"> المعلومات </w:t>
      </w:r>
      <w:r w:rsidR="007A7D39">
        <w:rPr>
          <w:rFonts w:hint="cs"/>
          <w:color w:val="0070C0"/>
          <w:u w:val="single"/>
          <w:rtl/>
        </w:rPr>
        <w:t xml:space="preserve">من </w:t>
      </w:r>
      <w:r w:rsidR="008F2883" w:rsidRPr="00E40341">
        <w:rPr>
          <w:rFonts w:hint="cs"/>
          <w:color w:val="0070C0"/>
          <w:u w:val="single"/>
          <w:rtl/>
        </w:rPr>
        <w:t xml:space="preserve">المنشورات </w:t>
      </w:r>
      <w:r w:rsidR="007A7D39">
        <w:rPr>
          <w:rFonts w:hint="cs"/>
          <w:color w:val="0070C0"/>
          <w:u w:val="single"/>
          <w:rtl/>
        </w:rPr>
        <w:t>وكانت تلك المعلومات</w:t>
      </w:r>
      <w:r w:rsidR="007A7D39" w:rsidRPr="00E40341">
        <w:rPr>
          <w:rFonts w:hint="cs"/>
          <w:color w:val="0070C0"/>
          <w:u w:val="single"/>
          <w:rtl/>
        </w:rPr>
        <w:t xml:space="preserve"> </w:t>
      </w:r>
      <w:r w:rsidR="008F2883" w:rsidRPr="00E40341">
        <w:rPr>
          <w:rFonts w:hint="cs"/>
          <w:color w:val="0070C0"/>
          <w:u w:val="single"/>
          <w:rtl/>
        </w:rPr>
        <w:t xml:space="preserve">واردة أصلا في </w:t>
      </w:r>
      <w:r w:rsidR="007F0988">
        <w:rPr>
          <w:rFonts w:hint="cs"/>
          <w:color w:val="0070C0"/>
          <w:u w:val="single"/>
          <w:rtl/>
        </w:rPr>
        <w:t>مستند قُدم</w:t>
      </w:r>
      <w:r w:rsidR="008F2883" w:rsidRPr="00E40341">
        <w:rPr>
          <w:rFonts w:hint="cs"/>
          <w:color w:val="0070C0"/>
          <w:u w:val="single"/>
          <w:rtl/>
        </w:rPr>
        <w:t xml:space="preserve"> إلى مكتب تسلم الطلبات أو إدارة البحث الدولي أو الإدارة المُحدّدة لأغراض البحث الإضافي، أو كانت </w:t>
      </w:r>
      <w:r w:rsidR="007F0988">
        <w:rPr>
          <w:rFonts w:hint="cs"/>
          <w:color w:val="0070C0"/>
          <w:u w:val="single"/>
          <w:rtl/>
        </w:rPr>
        <w:t>صورة</w:t>
      </w:r>
      <w:r w:rsidR="0054732B">
        <w:rPr>
          <w:rFonts w:hint="cs"/>
          <w:color w:val="0070C0"/>
          <w:u w:val="single"/>
          <w:rtl/>
        </w:rPr>
        <w:t xml:space="preserve"> ع</w:t>
      </w:r>
      <w:r w:rsidR="008F2883" w:rsidRPr="00E40341">
        <w:rPr>
          <w:rFonts w:hint="cs"/>
          <w:color w:val="0070C0"/>
          <w:u w:val="single"/>
          <w:rtl/>
        </w:rPr>
        <w:t xml:space="preserve">ن </w:t>
      </w:r>
      <w:r w:rsidR="007F0988">
        <w:rPr>
          <w:rFonts w:hint="cs"/>
          <w:color w:val="0070C0"/>
          <w:u w:val="single"/>
          <w:rtl/>
        </w:rPr>
        <w:t>ذلك</w:t>
      </w:r>
      <w:r w:rsidR="008F2883" w:rsidRPr="00E40341">
        <w:rPr>
          <w:rFonts w:hint="cs"/>
          <w:color w:val="0070C0"/>
          <w:u w:val="single"/>
          <w:rtl/>
        </w:rPr>
        <w:t xml:space="preserve"> </w:t>
      </w:r>
      <w:r w:rsidR="007F0988">
        <w:rPr>
          <w:rFonts w:hint="cs"/>
          <w:color w:val="0070C0"/>
          <w:u w:val="single"/>
          <w:rtl/>
        </w:rPr>
        <w:t>المستند</w:t>
      </w:r>
      <w:r w:rsidR="008F2883" w:rsidRPr="00E40341">
        <w:rPr>
          <w:rFonts w:hint="cs"/>
          <w:color w:val="0070C0"/>
          <w:u w:val="single"/>
          <w:rtl/>
        </w:rPr>
        <w:t xml:space="preserve"> واردة </w:t>
      </w:r>
      <w:r w:rsidR="002F329E" w:rsidRPr="00E40341">
        <w:rPr>
          <w:rFonts w:hint="cs"/>
          <w:color w:val="0070C0"/>
          <w:u w:val="single"/>
          <w:rtl/>
        </w:rPr>
        <w:t xml:space="preserve">خلاف ذلك </w:t>
      </w:r>
      <w:r w:rsidR="008F2883" w:rsidRPr="00E40341">
        <w:rPr>
          <w:rFonts w:hint="cs"/>
          <w:color w:val="0070C0"/>
          <w:u w:val="single"/>
          <w:rtl/>
        </w:rPr>
        <w:t xml:space="preserve">في </w:t>
      </w:r>
      <w:r w:rsidR="002F329E" w:rsidRPr="00E40341">
        <w:rPr>
          <w:rFonts w:hint="cs"/>
          <w:color w:val="0070C0"/>
          <w:u w:val="single"/>
          <w:rtl/>
        </w:rPr>
        <w:t xml:space="preserve">ملف الطلب الدولي </w:t>
      </w:r>
      <w:r w:rsidR="00173D7F">
        <w:rPr>
          <w:rFonts w:hint="cs"/>
          <w:color w:val="0070C0"/>
          <w:u w:val="single"/>
          <w:rtl/>
        </w:rPr>
        <w:t>المحفوظ لدى</w:t>
      </w:r>
      <w:r w:rsidR="00EF5F96" w:rsidRPr="00E40341">
        <w:rPr>
          <w:rFonts w:hint="cs"/>
          <w:color w:val="0070C0"/>
          <w:u w:val="single"/>
          <w:rtl/>
        </w:rPr>
        <w:t xml:space="preserve"> </w:t>
      </w:r>
      <w:r w:rsidR="00173D7F">
        <w:rPr>
          <w:rFonts w:hint="cs"/>
          <w:color w:val="0070C0"/>
          <w:u w:val="single"/>
          <w:rtl/>
        </w:rPr>
        <w:t xml:space="preserve">ذلك </w:t>
      </w:r>
      <w:r w:rsidR="002F329E" w:rsidRPr="00E40341">
        <w:rPr>
          <w:rFonts w:hint="cs"/>
          <w:color w:val="0070C0"/>
          <w:u w:val="single"/>
          <w:rtl/>
        </w:rPr>
        <w:t xml:space="preserve">المكتب أو </w:t>
      </w:r>
      <w:r w:rsidR="00EF5F96" w:rsidRPr="00E40341">
        <w:rPr>
          <w:rFonts w:hint="cs"/>
          <w:color w:val="0070C0"/>
          <w:u w:val="single"/>
          <w:rtl/>
        </w:rPr>
        <w:t>إحدى الإدارتين المذكورتين</w:t>
      </w:r>
      <w:r w:rsidR="002F329E" w:rsidRPr="00E40341">
        <w:rPr>
          <w:rFonts w:hint="cs"/>
          <w:color w:val="0070C0"/>
          <w:u w:val="single"/>
          <w:rtl/>
        </w:rPr>
        <w:t xml:space="preserve">، </w:t>
      </w:r>
      <w:r w:rsidR="007F0988">
        <w:rPr>
          <w:rFonts w:hint="cs"/>
          <w:color w:val="0070C0"/>
          <w:u w:val="single"/>
          <w:rtl/>
        </w:rPr>
        <w:t>يقوم</w:t>
      </w:r>
      <w:r w:rsidR="002F329E" w:rsidRPr="00E40341">
        <w:rPr>
          <w:rFonts w:hint="cs"/>
          <w:color w:val="0070C0"/>
          <w:u w:val="single"/>
          <w:rtl/>
        </w:rPr>
        <w:t xml:space="preserve"> المكتب الدولي </w:t>
      </w:r>
      <w:r w:rsidR="007F0988">
        <w:rPr>
          <w:rFonts w:hint="cs"/>
          <w:color w:val="0070C0"/>
          <w:u w:val="single"/>
          <w:rtl/>
        </w:rPr>
        <w:t>ب</w:t>
      </w:r>
      <w:r w:rsidR="002F329E" w:rsidRPr="00E40341">
        <w:rPr>
          <w:rFonts w:hint="cs"/>
          <w:color w:val="0070C0"/>
          <w:u w:val="single"/>
          <w:rtl/>
        </w:rPr>
        <w:t>إخطار المكتب المعني أو الإدارة المعنية بذلك على الفور.</w:t>
      </w:r>
    </w:p>
    <w:p w:rsidR="00E40341" w:rsidRDefault="00490CED" w:rsidP="00490CED">
      <w:pPr>
        <w:pStyle w:val="NormalParaAR"/>
        <w:keepNext/>
        <w:outlineLvl w:val="1"/>
        <w:rPr>
          <w:i/>
          <w:iCs/>
          <w:rtl/>
        </w:rPr>
      </w:pPr>
      <w:bookmarkStart w:id="9" w:name="_Toc387161612"/>
      <w:r>
        <w:rPr>
          <w:rFonts w:hint="cs"/>
          <w:rtl/>
        </w:rPr>
        <w:t xml:space="preserve">من </w:t>
      </w:r>
      <w:r w:rsidR="00E40341">
        <w:rPr>
          <w:rFonts w:hint="cs"/>
          <w:rtl/>
        </w:rPr>
        <w:t xml:space="preserve">3.48 إلى 6.48   </w:t>
      </w:r>
      <w:r w:rsidR="00E40341" w:rsidRPr="00E40341">
        <w:rPr>
          <w:rFonts w:hint="cs"/>
          <w:i/>
          <w:iCs/>
          <w:rtl/>
        </w:rPr>
        <w:t>[دون تغيير]</w:t>
      </w:r>
      <w:bookmarkEnd w:id="9"/>
    </w:p>
    <w:p w:rsidR="00E40341" w:rsidRDefault="00E40341">
      <w:pPr>
        <w:rPr>
          <w:rFonts w:ascii="Arabic Typesetting" w:hAnsi="Arabic Typesetting" w:cs="Arabic Typesetting"/>
          <w:i/>
          <w:iCs/>
          <w:sz w:val="36"/>
          <w:szCs w:val="36"/>
          <w:rtl/>
        </w:rPr>
      </w:pPr>
      <w:r>
        <w:rPr>
          <w:i/>
          <w:iCs/>
          <w:rtl/>
        </w:rPr>
        <w:br w:type="page"/>
      </w:r>
    </w:p>
    <w:p w:rsidR="00E40341" w:rsidRPr="00E40341" w:rsidRDefault="00E40341" w:rsidP="00490CED">
      <w:pPr>
        <w:pStyle w:val="NormalParaAR"/>
        <w:jc w:val="center"/>
        <w:outlineLvl w:val="0"/>
        <w:rPr>
          <w:rFonts w:hint="cs"/>
          <w:b/>
          <w:bCs/>
          <w:rtl/>
        </w:rPr>
      </w:pPr>
      <w:bookmarkStart w:id="10" w:name="_Toc387161613"/>
      <w:r w:rsidRPr="00E40341">
        <w:rPr>
          <w:rFonts w:hint="cs"/>
          <w:b/>
          <w:bCs/>
          <w:rtl/>
        </w:rPr>
        <w:t>القاعدة</w:t>
      </w:r>
      <w:r w:rsidR="000F18A0">
        <w:rPr>
          <w:rFonts w:hint="eastAsia"/>
          <w:b/>
          <w:bCs/>
          <w:rtl/>
        </w:rPr>
        <w:t> </w:t>
      </w:r>
      <w:r w:rsidRPr="00E40341">
        <w:rPr>
          <w:rFonts w:hint="cs"/>
          <w:b/>
          <w:bCs/>
          <w:rtl/>
        </w:rPr>
        <w:t xml:space="preserve">94  </w:t>
      </w:r>
      <w:r w:rsidRPr="00E40341">
        <w:rPr>
          <w:rFonts w:hint="cs"/>
          <w:b/>
          <w:bCs/>
          <w:rtl/>
        </w:rPr>
        <w:br/>
        <w:t>إمكانية الاطلاع على الملفات</w:t>
      </w:r>
      <w:bookmarkEnd w:id="10"/>
    </w:p>
    <w:p w:rsidR="00E40341" w:rsidRDefault="007F0988" w:rsidP="00490CED">
      <w:pPr>
        <w:pStyle w:val="NormalParaAR"/>
        <w:outlineLvl w:val="1"/>
        <w:rPr>
          <w:rFonts w:hint="cs"/>
          <w:rtl/>
        </w:rPr>
      </w:pPr>
      <w:bookmarkStart w:id="11" w:name="_Toc387161614"/>
      <w:r>
        <w:rPr>
          <w:rFonts w:hint="cs"/>
          <w:rtl/>
        </w:rPr>
        <w:t xml:space="preserve">1.94   </w:t>
      </w:r>
      <w:r w:rsidRPr="007F0988">
        <w:rPr>
          <w:i/>
          <w:iCs/>
          <w:rtl/>
        </w:rPr>
        <w:t>إمكانية الاطلاع على الملف المحفوظ لدى المكتب الدولي</w:t>
      </w:r>
      <w:bookmarkEnd w:id="11"/>
    </w:p>
    <w:p w:rsidR="007F0988" w:rsidRDefault="007F0988" w:rsidP="00E40341">
      <w:pPr>
        <w:pStyle w:val="NormalParaAR"/>
        <w:rPr>
          <w:rFonts w:hint="cs"/>
          <w:rtl/>
        </w:rPr>
      </w:pPr>
      <w:r>
        <w:rPr>
          <w:rFonts w:hint="cs"/>
          <w:rtl/>
        </w:rPr>
        <w:tab/>
        <w:t xml:space="preserve">(أ)  [دون تغيير]  </w:t>
      </w:r>
      <w:r w:rsidRPr="007F0988">
        <w:rPr>
          <w:rtl/>
        </w:rPr>
        <w:t>بناء على التماس من المودع أو أي شخص حصل على تصريح منه، يقدم المكتب الدولي صورا عن أي مستند يتضمنه ملفه، مقابل تسديد تكلفة الخدمة.</w:t>
      </w:r>
    </w:p>
    <w:p w:rsidR="00605F8B" w:rsidRDefault="000F18A0" w:rsidP="00D859CB">
      <w:pPr>
        <w:pStyle w:val="NormalParaAR"/>
        <w:rPr>
          <w:rFonts w:hint="cs"/>
          <w:rtl/>
        </w:rPr>
      </w:pPr>
      <w:r>
        <w:rPr>
          <w:rtl/>
        </w:rPr>
        <w:tab/>
      </w:r>
      <w:r>
        <w:rPr>
          <w:rFonts w:hint="cs"/>
          <w:rtl/>
        </w:rPr>
        <w:t xml:space="preserve">(ب)  </w:t>
      </w:r>
      <w:r w:rsidRPr="000F18A0">
        <w:rPr>
          <w:rtl/>
        </w:rPr>
        <w:t>يقدم المكتب الدولي صورا عن أي مستند يتضمنه ملفه، بناء على التماس من أي شخص ولكن ليس قبل النشر الدولي للطلب الدولي وبشرط مراعاة المادة</w:t>
      </w:r>
      <w:r w:rsidR="00D859CB">
        <w:rPr>
          <w:rFonts w:hint="cs"/>
          <w:rtl/>
        </w:rPr>
        <w:t> </w:t>
      </w:r>
      <w:r w:rsidRPr="000F18A0">
        <w:rPr>
          <w:rtl/>
        </w:rPr>
        <w:t xml:space="preserve">38 </w:t>
      </w:r>
      <w:r w:rsidRPr="000F18A0">
        <w:rPr>
          <w:rFonts w:hint="cs"/>
          <w:color w:val="0070C0"/>
          <w:u w:val="single"/>
          <w:rtl/>
        </w:rPr>
        <w:t>والفقرات من (د) إلى (و)</w:t>
      </w:r>
      <w:r>
        <w:rPr>
          <w:rFonts w:hint="cs"/>
          <w:rtl/>
        </w:rPr>
        <w:t xml:space="preserve"> </w:t>
      </w:r>
      <w:r w:rsidRPr="000F18A0">
        <w:rPr>
          <w:rtl/>
        </w:rPr>
        <w:t>ومقابل تسديد تكلفة الخدمة.</w:t>
      </w:r>
    </w:p>
    <w:p w:rsidR="000F18A0" w:rsidRDefault="000F18A0" w:rsidP="000F18A0">
      <w:pPr>
        <w:pStyle w:val="NormalParaAR"/>
        <w:rPr>
          <w:rFonts w:hint="cs"/>
          <w:rtl/>
        </w:rPr>
      </w:pPr>
      <w:r>
        <w:rPr>
          <w:rtl/>
        </w:rPr>
        <w:tab/>
      </w:r>
      <w:r>
        <w:rPr>
          <w:rFonts w:hint="cs"/>
          <w:rtl/>
        </w:rPr>
        <w:t xml:space="preserve">(ج)  [دون تغيير]  </w:t>
      </w:r>
      <w:r w:rsidRPr="000F18A0">
        <w:rPr>
          <w:rtl/>
        </w:rPr>
        <w:t>يقدِّم المكتب الدولي صورا عن تقرير الفحص التمهيدي الدولي بناء على الفقرة</w:t>
      </w:r>
      <w:r>
        <w:rPr>
          <w:rFonts w:hint="cs"/>
          <w:rtl/>
        </w:rPr>
        <w:t> </w:t>
      </w:r>
      <w:r w:rsidRPr="000F18A0">
        <w:rPr>
          <w:rtl/>
        </w:rPr>
        <w:t>(ب) نيابة عن المكتب المختار الذي يلتمس ذلك. وينشر المكتب الدولي تفاصيل أي التماس من ذلك القبيل في الجريدة في أقرب فرصة.</w:t>
      </w:r>
    </w:p>
    <w:p w:rsidR="004C35A4" w:rsidRPr="00C93768" w:rsidRDefault="004C35A4" w:rsidP="007A7D39">
      <w:pPr>
        <w:pStyle w:val="NormalParaAR"/>
        <w:rPr>
          <w:rFonts w:hint="cs"/>
          <w:u w:val="single"/>
          <w:rtl/>
        </w:rPr>
      </w:pPr>
      <w:r>
        <w:rPr>
          <w:rtl/>
        </w:rPr>
        <w:tab/>
      </w:r>
      <w:r w:rsidRPr="00C93768">
        <w:rPr>
          <w:rFonts w:hint="cs"/>
          <w:color w:val="0070C0"/>
          <w:u w:val="single"/>
          <w:rtl/>
        </w:rPr>
        <w:t>(د)  يمنع المكت</w:t>
      </w:r>
      <w:r w:rsidR="00CA0795" w:rsidRPr="00C93768">
        <w:rPr>
          <w:rFonts w:hint="cs"/>
          <w:color w:val="0070C0"/>
          <w:u w:val="single"/>
          <w:rtl/>
        </w:rPr>
        <w:t xml:space="preserve">ب الدولي </w:t>
      </w:r>
      <w:r w:rsidR="007A7D39">
        <w:rPr>
          <w:rFonts w:hint="cs"/>
          <w:color w:val="0070C0"/>
          <w:u w:val="single"/>
          <w:rtl/>
        </w:rPr>
        <w:t>الاطلاع ع</w:t>
      </w:r>
      <w:r w:rsidR="00CA0795" w:rsidRPr="00C93768">
        <w:rPr>
          <w:rFonts w:hint="cs"/>
          <w:color w:val="0070C0"/>
          <w:u w:val="single"/>
          <w:rtl/>
        </w:rPr>
        <w:t>لى أية معلومات يتضمنها ملفه وحُذفت من المنشورات بناء على القاعدة</w:t>
      </w:r>
      <w:r w:rsidR="00CA0795" w:rsidRPr="00C93768">
        <w:rPr>
          <w:rFonts w:hint="eastAsia"/>
          <w:color w:val="0070C0"/>
          <w:u w:val="single"/>
          <w:rtl/>
        </w:rPr>
        <w:t> </w:t>
      </w:r>
      <w:r w:rsidR="00CA0795" w:rsidRPr="00C93768">
        <w:rPr>
          <w:rFonts w:hint="cs"/>
          <w:color w:val="0070C0"/>
          <w:u w:val="single"/>
          <w:rtl/>
        </w:rPr>
        <w:t>2.48(ل)</w:t>
      </w:r>
      <w:r w:rsidR="007A7D39">
        <w:rPr>
          <w:rFonts w:hint="cs"/>
          <w:color w:val="0070C0"/>
          <w:u w:val="single"/>
          <w:rtl/>
        </w:rPr>
        <w:t xml:space="preserve"> وع</w:t>
      </w:r>
      <w:r w:rsidR="00CA0795" w:rsidRPr="00C93768">
        <w:rPr>
          <w:rFonts w:hint="cs"/>
          <w:color w:val="0070C0"/>
          <w:u w:val="single"/>
          <w:rtl/>
        </w:rPr>
        <w:t>لى أي مستند يتضمنه ملفه ويتعلق بالتماس بناء على تلك القاعدة</w:t>
      </w:r>
      <w:r w:rsidR="00C93768" w:rsidRPr="00C93768">
        <w:rPr>
          <w:rFonts w:hint="cs"/>
          <w:color w:val="0070C0"/>
          <w:u w:val="single"/>
          <w:rtl/>
        </w:rPr>
        <w:t>.</w:t>
      </w:r>
    </w:p>
    <w:p w:rsidR="00C93768" w:rsidRPr="008269F9" w:rsidRDefault="00C93768" w:rsidP="00D859CB">
      <w:pPr>
        <w:pStyle w:val="NormalParaAR"/>
        <w:rPr>
          <w:rFonts w:hint="cs"/>
          <w:color w:val="0070C0"/>
          <w:u w:val="single"/>
          <w:rtl/>
        </w:rPr>
      </w:pPr>
      <w:r>
        <w:rPr>
          <w:rFonts w:hint="cs"/>
          <w:rtl/>
        </w:rPr>
        <w:tab/>
      </w:r>
      <w:r w:rsidRPr="008269F9">
        <w:rPr>
          <w:rFonts w:hint="cs"/>
          <w:color w:val="0070C0"/>
          <w:u w:val="single"/>
          <w:rtl/>
        </w:rPr>
        <w:t xml:space="preserve">(ه)  </w:t>
      </w:r>
      <w:r w:rsidR="00077238" w:rsidRPr="008269F9">
        <w:rPr>
          <w:rFonts w:hint="cs"/>
          <w:color w:val="0070C0"/>
          <w:u w:val="single"/>
          <w:rtl/>
        </w:rPr>
        <w:t xml:space="preserve">بناء على التماس من المودع أو أي شخص حصل على تصريح منه، يمنع المكتب الدولي </w:t>
      </w:r>
      <w:r w:rsidR="007A7D39" w:rsidRPr="008269F9">
        <w:rPr>
          <w:rFonts w:hint="cs"/>
          <w:color w:val="0070C0"/>
          <w:u w:val="single"/>
          <w:rtl/>
        </w:rPr>
        <w:t>الاطلاع ع</w:t>
      </w:r>
      <w:r w:rsidR="00077238" w:rsidRPr="008269F9">
        <w:rPr>
          <w:rFonts w:hint="cs"/>
          <w:color w:val="0070C0"/>
          <w:u w:val="single"/>
          <w:rtl/>
        </w:rPr>
        <w:t>لى أ</w:t>
      </w:r>
      <w:r w:rsidR="007A7D39" w:rsidRPr="008269F9">
        <w:rPr>
          <w:rFonts w:hint="cs"/>
          <w:color w:val="0070C0"/>
          <w:u w:val="single"/>
          <w:rtl/>
        </w:rPr>
        <w:t>ية معلومات يتضمنها ملفه وع</w:t>
      </w:r>
      <w:r w:rsidR="00077238" w:rsidRPr="008269F9">
        <w:rPr>
          <w:rFonts w:hint="cs"/>
          <w:color w:val="0070C0"/>
          <w:u w:val="single"/>
          <w:rtl/>
        </w:rPr>
        <w:t xml:space="preserve">لى أي مستند يتضمنه ملفه ويتعلق بالتماس من هذا القبيل إذا كان </w:t>
      </w:r>
      <w:r w:rsidR="007A7D39" w:rsidRPr="008269F9">
        <w:rPr>
          <w:rFonts w:hint="cs"/>
          <w:color w:val="0070C0"/>
          <w:u w:val="single"/>
          <w:rtl/>
        </w:rPr>
        <w:t>الاطلاع ع</w:t>
      </w:r>
      <w:r w:rsidR="00077238" w:rsidRPr="008269F9">
        <w:rPr>
          <w:rFonts w:hint="cs"/>
          <w:color w:val="0070C0"/>
          <w:u w:val="single"/>
          <w:rtl/>
        </w:rPr>
        <w:t xml:space="preserve">لى تلك المعلومات سيؤدي، في رأي المكتب الدولي، إلى الإخلال بالمصالح الشخصية أو الاقتصادية لأي شخص طبيعي أو كيان قانوني. </w:t>
      </w:r>
      <w:r w:rsidR="00950832" w:rsidRPr="008269F9">
        <w:rPr>
          <w:color w:val="0070C0"/>
          <w:u w:val="single"/>
          <w:rtl/>
        </w:rPr>
        <w:t>وتُطبق القاعدة</w:t>
      </w:r>
      <w:r w:rsidR="00950832" w:rsidRPr="008269F9">
        <w:rPr>
          <w:rFonts w:hint="cs"/>
          <w:color w:val="0070C0"/>
          <w:u w:val="single"/>
          <w:rtl/>
        </w:rPr>
        <w:t> </w:t>
      </w:r>
      <w:r w:rsidR="00950832" w:rsidRPr="008269F9">
        <w:rPr>
          <w:color w:val="0070C0"/>
          <w:u w:val="single"/>
          <w:rtl/>
        </w:rPr>
        <w:t>4.26 مع ما يلزم من تبديل فيما يخص الطريقة التي يقدم بها المودع المعلومات موضوع الالتماس.</w:t>
      </w:r>
      <w:r w:rsidR="007A7D39" w:rsidRPr="008269F9">
        <w:rPr>
          <w:rFonts w:hint="cs"/>
          <w:color w:val="0070C0"/>
          <w:u w:val="single"/>
          <w:rtl/>
        </w:rPr>
        <w:t xml:space="preserve"> وفي حال مُنع الاطلاع على تلك المعلومات وكانت تلك المعلومات واردة أصلا </w:t>
      </w:r>
      <w:r w:rsidR="007A7D39" w:rsidRPr="008269F9">
        <w:rPr>
          <w:color w:val="0070C0"/>
          <w:u w:val="single"/>
          <w:rtl/>
        </w:rPr>
        <w:t xml:space="preserve">في مستند قُدم إلى مكتب تسلم الطلبات أو إدارة البحث الدولي أو الإدارة المُحدّدة لأغراض البحث الإضافي، أو كانت صورة عن ذلك المستند واردة خلاف ذلك في </w:t>
      </w:r>
      <w:r w:rsidR="00D859CB">
        <w:rPr>
          <w:rFonts w:hint="cs"/>
          <w:color w:val="0070C0"/>
          <w:u w:val="single"/>
          <w:rtl/>
        </w:rPr>
        <w:t>ال</w:t>
      </w:r>
      <w:r w:rsidR="007A7D39" w:rsidRPr="008269F9">
        <w:rPr>
          <w:color w:val="0070C0"/>
          <w:u w:val="single"/>
          <w:rtl/>
        </w:rPr>
        <w:t xml:space="preserve">ملف </w:t>
      </w:r>
      <w:r w:rsidR="00D859CB">
        <w:rPr>
          <w:rFonts w:hint="cs"/>
          <w:color w:val="0070C0"/>
          <w:u w:val="single"/>
          <w:rtl/>
        </w:rPr>
        <w:t>المحفوظ لدى</w:t>
      </w:r>
      <w:r w:rsidR="007A7D39" w:rsidRPr="008269F9">
        <w:rPr>
          <w:color w:val="0070C0"/>
          <w:u w:val="single"/>
          <w:rtl/>
        </w:rPr>
        <w:t xml:space="preserve"> ذلك المكتب أو إحدى الإدارتين المذكورتين، يقوم المكتب الدولي بإخطار المكتب المعني أو الإدارة المعنية بذلك على الفور</w:t>
      </w:r>
      <w:r w:rsidR="007A7D39" w:rsidRPr="008269F9">
        <w:rPr>
          <w:rFonts w:hint="cs"/>
          <w:color w:val="0070C0"/>
          <w:u w:val="single"/>
          <w:rtl/>
        </w:rPr>
        <w:t xml:space="preserve"> وإرسال صورة عن أية </w:t>
      </w:r>
      <w:r w:rsidR="00B648C8" w:rsidRPr="008269F9">
        <w:rPr>
          <w:rFonts w:hint="cs"/>
          <w:color w:val="0070C0"/>
          <w:u w:val="single"/>
          <w:rtl/>
        </w:rPr>
        <w:t>ورقة بديلة مقدمة من المودع إلى المكتب المعني أو الإدارة المعنية.</w:t>
      </w:r>
    </w:p>
    <w:p w:rsidR="00B648C8" w:rsidRPr="008269F9" w:rsidRDefault="00B648C8" w:rsidP="00F641E5">
      <w:pPr>
        <w:pStyle w:val="NormalParaAR"/>
        <w:rPr>
          <w:rFonts w:hint="cs"/>
          <w:color w:val="0070C0"/>
          <w:u w:val="single"/>
          <w:rtl/>
        </w:rPr>
      </w:pPr>
      <w:r w:rsidRPr="008269F9">
        <w:rPr>
          <w:color w:val="0070C0"/>
          <w:u w:val="single"/>
          <w:rtl/>
        </w:rPr>
        <w:tab/>
      </w:r>
      <w:r w:rsidRPr="008269F9">
        <w:rPr>
          <w:rFonts w:hint="cs"/>
          <w:color w:val="0070C0"/>
          <w:u w:val="single"/>
          <w:rtl/>
        </w:rPr>
        <w:t>(و)  يمنع المكتب الدولي الاطلاع على أي مستند يتضمنه ملفه و</w:t>
      </w:r>
      <w:r w:rsidR="00F641E5" w:rsidRPr="008269F9">
        <w:rPr>
          <w:rFonts w:hint="cs"/>
          <w:color w:val="0070C0"/>
          <w:u w:val="single"/>
          <w:rtl/>
        </w:rPr>
        <w:t>أعِد لمجرّد الاستخدام الداخلي من قبل المكتب الدولي.</w:t>
      </w:r>
    </w:p>
    <w:p w:rsidR="00F641E5" w:rsidRPr="008269F9" w:rsidRDefault="00F641E5" w:rsidP="00490CED">
      <w:pPr>
        <w:pStyle w:val="NormalParaAR"/>
        <w:keepNext/>
        <w:outlineLvl w:val="1"/>
        <w:rPr>
          <w:rFonts w:hint="cs"/>
          <w:color w:val="0070C0"/>
          <w:u w:val="single"/>
          <w:rtl/>
        </w:rPr>
      </w:pPr>
      <w:bookmarkStart w:id="12" w:name="_Toc387161615"/>
      <w:r w:rsidRPr="008269F9">
        <w:rPr>
          <w:rFonts w:hint="cs"/>
          <w:color w:val="0070C0"/>
          <w:u w:val="single"/>
          <w:rtl/>
        </w:rPr>
        <w:t xml:space="preserve">1.94(ثانيا)  </w:t>
      </w:r>
      <w:r w:rsidR="008269F9" w:rsidRPr="008269F9">
        <w:rPr>
          <w:rFonts w:hint="cs"/>
          <w:i/>
          <w:iCs/>
          <w:color w:val="0070C0"/>
          <w:u w:val="single"/>
          <w:rtl/>
        </w:rPr>
        <w:t xml:space="preserve">إمكانية </w:t>
      </w:r>
      <w:r w:rsidRPr="008269F9">
        <w:rPr>
          <w:rFonts w:hint="cs"/>
          <w:i/>
          <w:iCs/>
          <w:color w:val="0070C0"/>
          <w:u w:val="single"/>
          <w:rtl/>
        </w:rPr>
        <w:t>الاطلاع على الملف المحفوظ لدى مكتب تسلم الطلبات</w:t>
      </w:r>
      <w:bookmarkEnd w:id="12"/>
    </w:p>
    <w:p w:rsidR="00F641E5" w:rsidRPr="008269F9" w:rsidRDefault="00F641E5" w:rsidP="00A92597">
      <w:pPr>
        <w:pStyle w:val="NormalParaAR"/>
        <w:rPr>
          <w:rFonts w:hint="cs"/>
          <w:color w:val="0070C0"/>
          <w:u w:val="single"/>
          <w:rtl/>
        </w:rPr>
      </w:pPr>
      <w:r w:rsidRPr="008269F9">
        <w:rPr>
          <w:rFonts w:hint="cs"/>
          <w:color w:val="0070C0"/>
          <w:u w:val="single"/>
          <w:rtl/>
        </w:rPr>
        <w:tab/>
        <w:t xml:space="preserve">(أ)  </w:t>
      </w:r>
      <w:r w:rsidRPr="008269F9">
        <w:rPr>
          <w:color w:val="0070C0"/>
          <w:u w:val="single"/>
          <w:rtl/>
        </w:rPr>
        <w:t xml:space="preserve">بناء على التماس من المودع أو أي شخص حصل على تصريح منه، </w:t>
      </w:r>
      <w:r w:rsidRPr="008269F9">
        <w:rPr>
          <w:rFonts w:hint="cs"/>
          <w:color w:val="0070C0"/>
          <w:u w:val="single"/>
          <w:rtl/>
        </w:rPr>
        <w:t>يجوز</w:t>
      </w:r>
      <w:r w:rsidRPr="008269F9">
        <w:rPr>
          <w:color w:val="0070C0"/>
          <w:u w:val="single"/>
          <w:rtl/>
        </w:rPr>
        <w:t xml:space="preserve"> </w:t>
      </w:r>
      <w:r w:rsidRPr="008269F9">
        <w:rPr>
          <w:rFonts w:hint="cs"/>
          <w:color w:val="0070C0"/>
          <w:u w:val="single"/>
          <w:rtl/>
        </w:rPr>
        <w:t>لمكتب تسلم الطلبات</w:t>
      </w:r>
      <w:r w:rsidRPr="008269F9">
        <w:rPr>
          <w:color w:val="0070C0"/>
          <w:u w:val="single"/>
          <w:rtl/>
        </w:rPr>
        <w:t xml:space="preserve"> </w:t>
      </w:r>
      <w:r w:rsidRPr="008269F9">
        <w:rPr>
          <w:rFonts w:hint="cs"/>
          <w:color w:val="0070C0"/>
          <w:u w:val="single"/>
          <w:rtl/>
        </w:rPr>
        <w:t xml:space="preserve">إتاحة إمكانية الاطلاع على أي مستند يتضمنه ملفه. </w:t>
      </w:r>
      <w:r w:rsidR="00A92597" w:rsidRPr="008269F9">
        <w:rPr>
          <w:color w:val="0070C0"/>
          <w:u w:val="single"/>
          <w:rtl/>
        </w:rPr>
        <w:t>ويجوز اشتراط تسديد تكلفة الخدمة مقابل تقديم صور المستندات</w:t>
      </w:r>
      <w:r w:rsidR="00A92597" w:rsidRPr="008269F9">
        <w:rPr>
          <w:rFonts w:hint="cs"/>
          <w:color w:val="0070C0"/>
          <w:u w:val="single"/>
          <w:rtl/>
        </w:rPr>
        <w:t>.</w:t>
      </w:r>
    </w:p>
    <w:p w:rsidR="00A92597" w:rsidRPr="008269F9" w:rsidRDefault="00A92597" w:rsidP="00A92597">
      <w:pPr>
        <w:pStyle w:val="NormalParaAR"/>
        <w:rPr>
          <w:rFonts w:hint="cs"/>
          <w:color w:val="0070C0"/>
          <w:u w:val="single"/>
          <w:rtl/>
        </w:rPr>
      </w:pPr>
      <w:r w:rsidRPr="008269F9">
        <w:rPr>
          <w:rFonts w:hint="cs"/>
          <w:color w:val="0070C0"/>
          <w:u w:val="single"/>
          <w:rtl/>
        </w:rPr>
        <w:tab/>
        <w:t xml:space="preserve">(ب)  يجوز لمكتب تسلم الطلبات، </w:t>
      </w:r>
      <w:r w:rsidRPr="008269F9">
        <w:rPr>
          <w:color w:val="0070C0"/>
          <w:u w:val="single"/>
          <w:rtl/>
        </w:rPr>
        <w:t>بناء على التماس من أي شخص ولكن ليس قبل النشر الدولي للطلب الدولي وبشرط مراعاة</w:t>
      </w:r>
      <w:r w:rsidRPr="008269F9">
        <w:rPr>
          <w:rFonts w:hint="cs"/>
          <w:color w:val="0070C0"/>
          <w:u w:val="single"/>
          <w:rtl/>
        </w:rPr>
        <w:t xml:space="preserve"> الفقرة (ج)، إتاحة إمكانية الاطلاع على أي مستند يتضمنه ملفه. </w:t>
      </w:r>
      <w:r w:rsidRPr="008269F9">
        <w:rPr>
          <w:color w:val="0070C0"/>
          <w:u w:val="single"/>
          <w:rtl/>
        </w:rPr>
        <w:t>ويجوز اشتراط تسديد تكلفة الخدمة مقابل تقديم صور المستندات</w:t>
      </w:r>
      <w:r w:rsidRPr="008269F9">
        <w:rPr>
          <w:rFonts w:hint="cs"/>
          <w:color w:val="0070C0"/>
          <w:u w:val="single"/>
          <w:rtl/>
        </w:rPr>
        <w:t>.</w:t>
      </w:r>
    </w:p>
    <w:p w:rsidR="00A92597" w:rsidRDefault="00A92597" w:rsidP="00D859CB">
      <w:pPr>
        <w:pStyle w:val="NormalParaAR"/>
        <w:rPr>
          <w:rFonts w:hint="cs"/>
          <w:color w:val="0070C0"/>
          <w:u w:val="single"/>
          <w:rtl/>
        </w:rPr>
      </w:pPr>
      <w:r w:rsidRPr="008269F9">
        <w:rPr>
          <w:color w:val="0070C0"/>
          <w:u w:val="single"/>
          <w:rtl/>
        </w:rPr>
        <w:tab/>
      </w:r>
      <w:r w:rsidRPr="008269F9">
        <w:rPr>
          <w:rFonts w:hint="cs"/>
          <w:color w:val="0070C0"/>
          <w:u w:val="single"/>
          <w:rtl/>
        </w:rPr>
        <w:t xml:space="preserve">(ج)  يمنع مكتب تسلم الطلبات الاطلاع بموجب الفقرة (ب) على </w:t>
      </w:r>
      <w:r w:rsidR="008269F9" w:rsidRPr="008269F9">
        <w:rPr>
          <w:rFonts w:hint="cs"/>
          <w:color w:val="0070C0"/>
          <w:u w:val="single"/>
          <w:rtl/>
        </w:rPr>
        <w:t xml:space="preserve">أية معلومات </w:t>
      </w:r>
      <w:proofErr w:type="spellStart"/>
      <w:r w:rsidR="008269F9" w:rsidRPr="008269F9">
        <w:rPr>
          <w:rFonts w:hint="cs"/>
          <w:color w:val="0070C0"/>
          <w:u w:val="single"/>
          <w:rtl/>
        </w:rPr>
        <w:t>أخطره</w:t>
      </w:r>
      <w:proofErr w:type="spellEnd"/>
      <w:r w:rsidR="008269F9" w:rsidRPr="008269F9">
        <w:rPr>
          <w:rFonts w:hint="cs"/>
          <w:color w:val="0070C0"/>
          <w:u w:val="single"/>
          <w:rtl/>
        </w:rPr>
        <w:t xml:space="preserve"> </w:t>
      </w:r>
      <w:r w:rsidRPr="008269F9">
        <w:rPr>
          <w:rFonts w:hint="cs"/>
          <w:color w:val="0070C0"/>
          <w:u w:val="single"/>
          <w:rtl/>
        </w:rPr>
        <w:t xml:space="preserve">المكتب الدولي </w:t>
      </w:r>
      <w:r w:rsidR="008269F9" w:rsidRPr="008269F9">
        <w:rPr>
          <w:rFonts w:hint="cs"/>
          <w:color w:val="0070C0"/>
          <w:u w:val="single"/>
          <w:rtl/>
        </w:rPr>
        <w:t>بأنها حُذفت من المنشورات طبقا للقاعدة</w:t>
      </w:r>
      <w:r w:rsidR="00D859CB">
        <w:rPr>
          <w:rFonts w:hint="eastAsia"/>
          <w:color w:val="0070C0"/>
          <w:u w:val="single"/>
          <w:rtl/>
        </w:rPr>
        <w:t> </w:t>
      </w:r>
      <w:r w:rsidR="008269F9" w:rsidRPr="008269F9">
        <w:rPr>
          <w:rFonts w:hint="cs"/>
          <w:color w:val="0070C0"/>
          <w:u w:val="single"/>
          <w:rtl/>
        </w:rPr>
        <w:t>2.48(ل) أو أن الاطلاع على المعلومات التي يتضمنها ملف المكتب الدولي قد مُنع طبقا للقاعدة</w:t>
      </w:r>
      <w:r w:rsidR="00D859CB">
        <w:rPr>
          <w:rFonts w:hint="eastAsia"/>
          <w:color w:val="0070C0"/>
          <w:u w:val="single"/>
          <w:rtl/>
        </w:rPr>
        <w:t> </w:t>
      </w:r>
      <w:r w:rsidR="008269F9" w:rsidRPr="008269F9">
        <w:rPr>
          <w:rFonts w:hint="cs"/>
          <w:color w:val="0070C0"/>
          <w:u w:val="single"/>
          <w:rtl/>
        </w:rPr>
        <w:t>1.94(ه).</w:t>
      </w:r>
    </w:p>
    <w:p w:rsidR="008269F9" w:rsidRDefault="008269F9" w:rsidP="00490CED">
      <w:pPr>
        <w:pStyle w:val="NormalParaAR"/>
        <w:keepNext/>
        <w:outlineLvl w:val="1"/>
        <w:rPr>
          <w:rFonts w:hint="cs"/>
          <w:color w:val="0070C0"/>
          <w:u w:val="single"/>
          <w:rtl/>
        </w:rPr>
      </w:pPr>
      <w:bookmarkStart w:id="13" w:name="_Toc387161616"/>
      <w:r>
        <w:rPr>
          <w:rFonts w:hint="cs"/>
          <w:color w:val="0070C0"/>
          <w:u w:val="single"/>
          <w:rtl/>
        </w:rPr>
        <w:t xml:space="preserve">1.94(ثالثا)   </w:t>
      </w:r>
      <w:r w:rsidRPr="00854925">
        <w:rPr>
          <w:rFonts w:hint="cs"/>
          <w:i/>
          <w:iCs/>
          <w:color w:val="0070C0"/>
          <w:u w:val="single"/>
          <w:rtl/>
        </w:rPr>
        <w:t>إمكانية الاطلاع على الملف المحفوظ لدى إدارة البحث الدولي</w:t>
      </w:r>
      <w:bookmarkEnd w:id="13"/>
    </w:p>
    <w:p w:rsidR="008269F9" w:rsidRDefault="00854925" w:rsidP="00A92597">
      <w:pPr>
        <w:pStyle w:val="NormalParaAR"/>
        <w:rPr>
          <w:rFonts w:hint="cs"/>
          <w:color w:val="0070C0"/>
          <w:u w:val="single"/>
          <w:rtl/>
        </w:rPr>
      </w:pPr>
      <w:r>
        <w:rPr>
          <w:rFonts w:hint="cs"/>
          <w:color w:val="0070C0"/>
          <w:rtl/>
        </w:rPr>
        <w:tab/>
        <w:t xml:space="preserve">(أ)  </w:t>
      </w:r>
      <w:r w:rsidR="00574F7D" w:rsidRPr="008269F9">
        <w:rPr>
          <w:color w:val="0070C0"/>
          <w:u w:val="single"/>
          <w:rtl/>
        </w:rPr>
        <w:t xml:space="preserve">بناء على التماس من المودع أو أي شخص حصل على تصريح منه، </w:t>
      </w:r>
      <w:r w:rsidR="00574F7D" w:rsidRPr="008269F9">
        <w:rPr>
          <w:rFonts w:hint="cs"/>
          <w:color w:val="0070C0"/>
          <w:u w:val="single"/>
          <w:rtl/>
        </w:rPr>
        <w:t>يجوز</w:t>
      </w:r>
      <w:r w:rsidR="00574F7D" w:rsidRPr="008269F9">
        <w:rPr>
          <w:color w:val="0070C0"/>
          <w:u w:val="single"/>
          <w:rtl/>
        </w:rPr>
        <w:t xml:space="preserve"> </w:t>
      </w:r>
      <w:r w:rsidR="00574F7D" w:rsidRPr="008269F9">
        <w:rPr>
          <w:rFonts w:hint="cs"/>
          <w:color w:val="0070C0"/>
          <w:u w:val="single"/>
          <w:rtl/>
        </w:rPr>
        <w:t>ل</w:t>
      </w:r>
      <w:r w:rsidR="00574F7D">
        <w:rPr>
          <w:rFonts w:hint="cs"/>
          <w:color w:val="0070C0"/>
          <w:u w:val="single"/>
          <w:rtl/>
        </w:rPr>
        <w:t>إدارة البحث الدولي</w:t>
      </w:r>
      <w:r w:rsidR="00574F7D" w:rsidRPr="008269F9">
        <w:rPr>
          <w:color w:val="0070C0"/>
          <w:u w:val="single"/>
          <w:rtl/>
        </w:rPr>
        <w:t xml:space="preserve"> </w:t>
      </w:r>
      <w:r w:rsidR="00574F7D" w:rsidRPr="008269F9">
        <w:rPr>
          <w:rFonts w:hint="cs"/>
          <w:color w:val="0070C0"/>
          <w:u w:val="single"/>
          <w:rtl/>
        </w:rPr>
        <w:t>إتاحة إمكانية الاطلاع على أي مستند يتضمنه ملفه</w:t>
      </w:r>
      <w:r w:rsidR="00574F7D">
        <w:rPr>
          <w:rFonts w:hint="cs"/>
          <w:color w:val="0070C0"/>
          <w:u w:val="single"/>
          <w:rtl/>
        </w:rPr>
        <w:t>ا</w:t>
      </w:r>
      <w:r w:rsidR="00574F7D" w:rsidRPr="008269F9">
        <w:rPr>
          <w:rFonts w:hint="cs"/>
          <w:color w:val="0070C0"/>
          <w:u w:val="single"/>
          <w:rtl/>
        </w:rPr>
        <w:t xml:space="preserve">. </w:t>
      </w:r>
      <w:r w:rsidR="00574F7D" w:rsidRPr="008269F9">
        <w:rPr>
          <w:color w:val="0070C0"/>
          <w:u w:val="single"/>
          <w:rtl/>
        </w:rPr>
        <w:t>ويجوز اشتراط تسديد تكلفة الخدمة مقابل تقديم صور المستندات</w:t>
      </w:r>
      <w:r w:rsidR="00574F7D" w:rsidRPr="008269F9">
        <w:rPr>
          <w:rFonts w:hint="cs"/>
          <w:color w:val="0070C0"/>
          <w:u w:val="single"/>
          <w:rtl/>
        </w:rPr>
        <w:t>.</w:t>
      </w:r>
    </w:p>
    <w:p w:rsidR="00574F7D" w:rsidRDefault="00574F7D" w:rsidP="0082749A">
      <w:pPr>
        <w:pStyle w:val="NormalParaAR"/>
        <w:rPr>
          <w:rFonts w:hint="cs"/>
          <w:color w:val="0070C0"/>
          <w:u w:val="single"/>
          <w:rtl/>
        </w:rPr>
      </w:pPr>
      <w:r>
        <w:rPr>
          <w:rFonts w:hint="cs"/>
          <w:color w:val="0070C0"/>
          <w:rtl/>
        </w:rPr>
        <w:tab/>
        <w:t xml:space="preserve">(ب)  </w:t>
      </w:r>
      <w:r>
        <w:rPr>
          <w:rFonts w:hint="cs"/>
          <w:color w:val="0070C0"/>
          <w:u w:val="single"/>
          <w:rtl/>
        </w:rPr>
        <w:t>يجوز لإدارة البحث الدولي</w:t>
      </w:r>
      <w:r w:rsidRPr="008269F9">
        <w:rPr>
          <w:rFonts w:hint="cs"/>
          <w:color w:val="0070C0"/>
          <w:u w:val="single"/>
          <w:rtl/>
        </w:rPr>
        <w:t xml:space="preserve">، </w:t>
      </w:r>
      <w:r w:rsidRPr="008269F9">
        <w:rPr>
          <w:color w:val="0070C0"/>
          <w:u w:val="single"/>
          <w:rtl/>
        </w:rPr>
        <w:t>بناء على التماس من أي شخص ولكن ليس قبل النشر الدولي للطلب الدولي وبشرط مراعاة</w:t>
      </w:r>
      <w:r w:rsidRPr="008269F9">
        <w:rPr>
          <w:rFonts w:hint="cs"/>
          <w:color w:val="0070C0"/>
          <w:u w:val="single"/>
          <w:rtl/>
        </w:rPr>
        <w:t xml:space="preserve"> الفقرة</w:t>
      </w:r>
      <w:r w:rsidR="0082749A">
        <w:rPr>
          <w:rFonts w:hint="eastAsia"/>
          <w:color w:val="0070C0"/>
          <w:u w:val="single"/>
          <w:rtl/>
        </w:rPr>
        <w:t> </w:t>
      </w:r>
      <w:r w:rsidRPr="008269F9">
        <w:rPr>
          <w:rFonts w:hint="cs"/>
          <w:color w:val="0070C0"/>
          <w:u w:val="single"/>
          <w:rtl/>
        </w:rPr>
        <w:t>(ج)، إتاحة إمكانية الاطلاع على أي مستند يتضمنه ملفه</w:t>
      </w:r>
      <w:r>
        <w:rPr>
          <w:rFonts w:hint="cs"/>
          <w:color w:val="0070C0"/>
          <w:u w:val="single"/>
          <w:rtl/>
        </w:rPr>
        <w:t>ا</w:t>
      </w:r>
      <w:r w:rsidRPr="008269F9">
        <w:rPr>
          <w:rFonts w:hint="cs"/>
          <w:color w:val="0070C0"/>
          <w:u w:val="single"/>
          <w:rtl/>
        </w:rPr>
        <w:t xml:space="preserve">. </w:t>
      </w:r>
      <w:r w:rsidRPr="008269F9">
        <w:rPr>
          <w:color w:val="0070C0"/>
          <w:u w:val="single"/>
          <w:rtl/>
        </w:rPr>
        <w:t>ويجوز اشتراط تسديد تكلفة الخدمة مقابل تقديم صور المستندات</w:t>
      </w:r>
      <w:r w:rsidRPr="008269F9">
        <w:rPr>
          <w:rFonts w:hint="cs"/>
          <w:color w:val="0070C0"/>
          <w:u w:val="single"/>
          <w:rtl/>
        </w:rPr>
        <w:t>.</w:t>
      </w:r>
    </w:p>
    <w:p w:rsidR="00574F7D" w:rsidRDefault="00574F7D" w:rsidP="0082749A">
      <w:pPr>
        <w:pStyle w:val="NormalParaAR"/>
        <w:rPr>
          <w:rFonts w:hint="cs"/>
          <w:color w:val="0070C0"/>
          <w:u w:val="single"/>
          <w:rtl/>
        </w:rPr>
      </w:pPr>
      <w:r>
        <w:rPr>
          <w:rFonts w:hint="cs"/>
          <w:color w:val="0070C0"/>
          <w:rtl/>
        </w:rPr>
        <w:tab/>
        <w:t xml:space="preserve">(ج)  </w:t>
      </w:r>
      <w:r>
        <w:rPr>
          <w:rFonts w:hint="cs"/>
          <w:color w:val="0070C0"/>
          <w:u w:val="single"/>
          <w:rtl/>
        </w:rPr>
        <w:t>تم</w:t>
      </w:r>
      <w:r w:rsidRPr="008269F9">
        <w:rPr>
          <w:rFonts w:hint="cs"/>
          <w:color w:val="0070C0"/>
          <w:u w:val="single"/>
          <w:rtl/>
        </w:rPr>
        <w:t xml:space="preserve">نع </w:t>
      </w:r>
      <w:r>
        <w:rPr>
          <w:rFonts w:hint="cs"/>
          <w:color w:val="0070C0"/>
          <w:u w:val="single"/>
          <w:rtl/>
        </w:rPr>
        <w:t>إدارة البحث الدولي</w:t>
      </w:r>
      <w:r w:rsidRPr="008269F9">
        <w:rPr>
          <w:rFonts w:hint="cs"/>
          <w:color w:val="0070C0"/>
          <w:u w:val="single"/>
          <w:rtl/>
        </w:rPr>
        <w:t xml:space="preserve"> الاطلاع بموجب الفقرة (ب) على أية معلومات </w:t>
      </w:r>
      <w:proofErr w:type="spellStart"/>
      <w:r w:rsidRPr="008269F9">
        <w:rPr>
          <w:rFonts w:hint="cs"/>
          <w:color w:val="0070C0"/>
          <w:u w:val="single"/>
          <w:rtl/>
        </w:rPr>
        <w:t>أخطره</w:t>
      </w:r>
      <w:r>
        <w:rPr>
          <w:rFonts w:hint="cs"/>
          <w:color w:val="0070C0"/>
          <w:u w:val="single"/>
          <w:rtl/>
        </w:rPr>
        <w:t>ا</w:t>
      </w:r>
      <w:proofErr w:type="spellEnd"/>
      <w:r w:rsidRPr="008269F9">
        <w:rPr>
          <w:rFonts w:hint="cs"/>
          <w:color w:val="0070C0"/>
          <w:u w:val="single"/>
          <w:rtl/>
        </w:rPr>
        <w:t xml:space="preserve"> المكتب الدولي بأنها حُذفت من المنشورات طبقا للقاعدة</w:t>
      </w:r>
      <w:r w:rsidR="0082749A">
        <w:rPr>
          <w:rFonts w:hint="eastAsia"/>
          <w:color w:val="0070C0"/>
          <w:u w:val="single"/>
          <w:rtl/>
        </w:rPr>
        <w:t> </w:t>
      </w:r>
      <w:r w:rsidRPr="008269F9">
        <w:rPr>
          <w:rFonts w:hint="cs"/>
          <w:color w:val="0070C0"/>
          <w:u w:val="single"/>
          <w:rtl/>
        </w:rPr>
        <w:t>2.48(ل) أو أن الاطلاع على المعلومات التي يتضمنها ملف المكتب الدولي قد مُنع طبقا للقاعدة</w:t>
      </w:r>
      <w:r w:rsidR="0082749A">
        <w:rPr>
          <w:rFonts w:hint="eastAsia"/>
          <w:color w:val="0070C0"/>
          <w:u w:val="single"/>
          <w:rtl/>
        </w:rPr>
        <w:t> </w:t>
      </w:r>
      <w:r w:rsidRPr="008269F9">
        <w:rPr>
          <w:rFonts w:hint="cs"/>
          <w:color w:val="0070C0"/>
          <w:u w:val="single"/>
          <w:rtl/>
        </w:rPr>
        <w:t>1.94(ه).</w:t>
      </w:r>
    </w:p>
    <w:p w:rsidR="00574F7D" w:rsidRPr="00E74C24" w:rsidRDefault="00574F7D" w:rsidP="00574F7D">
      <w:pPr>
        <w:pStyle w:val="NormalParaAR"/>
        <w:rPr>
          <w:rFonts w:hint="cs"/>
          <w:color w:val="0070C0"/>
          <w:u w:val="single"/>
          <w:rtl/>
        </w:rPr>
      </w:pPr>
      <w:r>
        <w:rPr>
          <w:rFonts w:hint="cs"/>
          <w:color w:val="0070C0"/>
          <w:rtl/>
        </w:rPr>
        <w:tab/>
      </w:r>
      <w:r w:rsidRPr="00E74C24">
        <w:rPr>
          <w:rFonts w:hint="cs"/>
          <w:color w:val="0070C0"/>
          <w:u w:val="single"/>
          <w:rtl/>
        </w:rPr>
        <w:t>(د)  تُطبق الفقرات من (أ) إلى (ج)، مع ما يلزم من تبديل، على الإدارة المُحدّدة لأغراض</w:t>
      </w:r>
      <w:bookmarkStart w:id="14" w:name="_GoBack"/>
      <w:bookmarkEnd w:id="14"/>
      <w:r w:rsidRPr="00E74C24">
        <w:rPr>
          <w:rFonts w:hint="cs"/>
          <w:color w:val="0070C0"/>
          <w:u w:val="single"/>
          <w:rtl/>
        </w:rPr>
        <w:t xml:space="preserve"> البحث الإضافي.</w:t>
      </w:r>
    </w:p>
    <w:p w:rsidR="00574F7D" w:rsidRDefault="000F2F0D" w:rsidP="00435D66">
      <w:pPr>
        <w:pStyle w:val="NormalParaAR"/>
        <w:keepNext/>
        <w:outlineLvl w:val="1"/>
        <w:rPr>
          <w:rFonts w:hint="cs"/>
          <w:rtl/>
        </w:rPr>
      </w:pPr>
      <w:bookmarkStart w:id="15" w:name="_Toc387161617"/>
      <w:r w:rsidRPr="000F2F0D">
        <w:rPr>
          <w:rFonts w:hint="cs"/>
          <w:rtl/>
        </w:rPr>
        <w:t xml:space="preserve">2.94  </w:t>
      </w:r>
      <w:r>
        <w:rPr>
          <w:rFonts w:hint="cs"/>
          <w:rtl/>
        </w:rPr>
        <w:t xml:space="preserve"> </w:t>
      </w:r>
      <w:r w:rsidRPr="000F2F0D">
        <w:rPr>
          <w:rFonts w:hint="cs"/>
          <w:i/>
          <w:iCs/>
          <w:rtl/>
        </w:rPr>
        <w:t xml:space="preserve">[دون تغيير]  </w:t>
      </w:r>
      <w:r w:rsidRPr="000F2F0D">
        <w:rPr>
          <w:i/>
          <w:iCs/>
          <w:rtl/>
        </w:rPr>
        <w:t>إمكانية الاطلاع على الملف المحفوظ لدى إدارة الفحص التمهيدي الدولي</w:t>
      </w:r>
      <w:bookmarkEnd w:id="15"/>
    </w:p>
    <w:p w:rsidR="000F2F0D" w:rsidRDefault="00D14048" w:rsidP="00435D66">
      <w:pPr>
        <w:pStyle w:val="NormalParaAR"/>
        <w:keepNext/>
        <w:spacing w:after="480"/>
        <w:outlineLvl w:val="1"/>
        <w:rPr>
          <w:rFonts w:hint="cs"/>
          <w:rtl/>
        </w:rPr>
      </w:pPr>
      <w:bookmarkStart w:id="16" w:name="_Toc387161618"/>
      <w:r>
        <w:rPr>
          <w:rFonts w:hint="cs"/>
          <w:rtl/>
        </w:rPr>
        <w:t xml:space="preserve">3.94   </w:t>
      </w:r>
      <w:r w:rsidRPr="00D14048">
        <w:rPr>
          <w:rFonts w:hint="cs"/>
          <w:i/>
          <w:iCs/>
          <w:rtl/>
        </w:rPr>
        <w:t xml:space="preserve">[دون تغيير]  </w:t>
      </w:r>
      <w:r w:rsidRPr="00D14048">
        <w:rPr>
          <w:i/>
          <w:iCs/>
          <w:rtl/>
        </w:rPr>
        <w:t>إمكانية الاطلاع على الملف المحفوظ لدى المكتب المختار</w:t>
      </w:r>
      <w:bookmarkEnd w:id="16"/>
    </w:p>
    <w:p w:rsidR="00D14048" w:rsidRPr="000F2F0D" w:rsidRDefault="00490CED" w:rsidP="00D14048">
      <w:pPr>
        <w:pStyle w:val="EndofDocumentAR"/>
        <w:rPr>
          <w:rtl/>
        </w:rPr>
      </w:pPr>
      <w:r>
        <w:rPr>
          <w:rFonts w:hint="cs"/>
          <w:rtl/>
        </w:rPr>
        <w:t>[نهاية المرفق والو</w:t>
      </w:r>
      <w:r w:rsidR="00D14048">
        <w:rPr>
          <w:rFonts w:hint="cs"/>
          <w:rtl/>
        </w:rPr>
        <w:t>ثيقة]</w:t>
      </w:r>
    </w:p>
    <w:sectPr w:rsidR="00D14048" w:rsidRPr="000F2F0D" w:rsidSect="00557D31">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B2" w:rsidRDefault="002A6CB2">
      <w:r>
        <w:separator/>
      </w:r>
    </w:p>
  </w:endnote>
  <w:endnote w:type="continuationSeparator" w:id="0">
    <w:p w:rsidR="002A6CB2" w:rsidRDefault="002A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B2" w:rsidRDefault="002A6CB2" w:rsidP="009622BF">
      <w:pPr>
        <w:bidi/>
      </w:pPr>
      <w:bookmarkStart w:id="0" w:name="OLE_LINK1"/>
      <w:bookmarkStart w:id="1" w:name="OLE_LINK2"/>
      <w:r>
        <w:separator/>
      </w:r>
      <w:bookmarkEnd w:id="0"/>
      <w:bookmarkEnd w:id="1"/>
    </w:p>
  </w:footnote>
  <w:footnote w:type="continuationSeparator" w:id="0">
    <w:p w:rsidR="002A6CB2" w:rsidRDefault="002A6CB2" w:rsidP="009622BF">
      <w:pPr>
        <w:bidi/>
      </w:pPr>
      <w:r>
        <w:separator/>
      </w:r>
    </w:p>
  </w:footnote>
  <w:footnote w:id="1">
    <w:p w:rsidR="002A6CB2" w:rsidRDefault="002A6CB2">
      <w:pPr>
        <w:pStyle w:val="FootnoteText"/>
      </w:pPr>
      <w:r>
        <w:rPr>
          <w:rStyle w:val="FootnoteReference"/>
        </w:rPr>
        <w:footnoteRef/>
      </w:r>
      <w:r>
        <w:rPr>
          <w:rtl/>
        </w:rPr>
        <w:t xml:space="preserve"> </w:t>
      </w:r>
      <w:r>
        <w:rPr>
          <w:rFonts w:hint="cs"/>
          <w:rtl/>
        </w:rPr>
        <w:t>انظر، مثلا، القوانين الوطنية لأستراليا والنمسا والصين وألمانيا وسنغافورة وسويسرا والمملكة المتحدة، والاتفاقية الأوروبية للبراءات.</w:t>
      </w:r>
    </w:p>
  </w:footnote>
  <w:footnote w:id="2">
    <w:p w:rsidR="002A6CB2" w:rsidRDefault="002A6CB2" w:rsidP="00CD3CD8">
      <w:pPr>
        <w:pStyle w:val="FootnoteText"/>
      </w:pPr>
      <w:r>
        <w:rPr>
          <w:rStyle w:val="FootnoteReference"/>
        </w:rPr>
        <w:footnoteRef/>
      </w:r>
      <w:r>
        <w:rPr>
          <w:rtl/>
        </w:rPr>
        <w:t xml:space="preserve"> </w:t>
      </w:r>
      <w:r>
        <w:rPr>
          <w:rFonts w:hint="cs"/>
          <w:rtl/>
        </w:rPr>
        <w:t>انظر، مثلا، القوانين الوطنية لليابان والولايات المتحدة الأمريكية. وتنص الاتفاقية الأوروبية للبراءات على إجراء تصحيحي مماثل لتصحيح الأخطاء السافرة بناء على القاعدة 91، باستثناء أنه يمكن، على ما يبدو، نزع أوراق كاملة من الطلب وا</w:t>
      </w:r>
      <w:r w:rsidR="00CD3CD8">
        <w:rPr>
          <w:rFonts w:hint="cs"/>
          <w:rtl/>
        </w:rPr>
        <w:t>ستبعادها من النشر و</w:t>
      </w:r>
      <w:r>
        <w:rPr>
          <w:rFonts w:hint="cs"/>
          <w:rtl/>
        </w:rPr>
        <w:t>معاينة الجمهور.</w:t>
      </w:r>
    </w:p>
  </w:footnote>
  <w:footnote w:id="3">
    <w:p w:rsidR="002A6CB2" w:rsidRDefault="002A6CB2">
      <w:pPr>
        <w:pStyle w:val="FootnoteText"/>
      </w:pPr>
      <w:r>
        <w:rPr>
          <w:rStyle w:val="FootnoteReference"/>
        </w:rPr>
        <w:footnoteRef/>
      </w:r>
      <w:r>
        <w:rPr>
          <w:rtl/>
        </w:rPr>
        <w:t xml:space="preserve"> </w:t>
      </w:r>
      <w:r>
        <w:rPr>
          <w:rFonts w:hint="cs"/>
          <w:rtl/>
        </w:rPr>
        <w:t>انظر، مثلا، القانون الوطني للولايات المتحدة الأمريكية.</w:t>
      </w:r>
    </w:p>
  </w:footnote>
  <w:footnote w:id="4">
    <w:p w:rsidR="002A6CB2" w:rsidRDefault="002A6CB2">
      <w:pPr>
        <w:pStyle w:val="FootnoteText"/>
      </w:pPr>
      <w:r>
        <w:rPr>
          <w:rStyle w:val="FootnoteReference"/>
        </w:rPr>
        <w:footnoteRef/>
      </w:r>
      <w:r>
        <w:rPr>
          <w:rtl/>
        </w:rPr>
        <w:t xml:space="preserve"> </w:t>
      </w:r>
      <w:r>
        <w:rPr>
          <w:rFonts w:hint="cs"/>
          <w:rtl/>
        </w:rPr>
        <w:t>انظر، مثلا، القانون الوطني لأستراليا وسنغافورة.</w:t>
      </w:r>
    </w:p>
  </w:footnote>
  <w:footnote w:id="5">
    <w:p w:rsidR="002A6CB2" w:rsidRDefault="002A6CB2">
      <w:pPr>
        <w:pStyle w:val="FootnoteText"/>
      </w:pPr>
      <w:r>
        <w:rPr>
          <w:rStyle w:val="FootnoteReference"/>
        </w:rPr>
        <w:footnoteRef/>
      </w:r>
      <w:r>
        <w:rPr>
          <w:rtl/>
        </w:rPr>
        <w:t xml:space="preserve"> </w:t>
      </w:r>
      <w:r>
        <w:rPr>
          <w:rFonts w:hint="cs"/>
          <w:rtl/>
        </w:rPr>
        <w:t>انظر، مثلا، القانون الوطني للمملكة المتحدة.</w:t>
      </w:r>
    </w:p>
  </w:footnote>
  <w:footnote w:id="6">
    <w:p w:rsidR="002A6CB2" w:rsidRDefault="002A6CB2">
      <w:pPr>
        <w:pStyle w:val="FootnoteText"/>
      </w:pPr>
      <w:r>
        <w:rPr>
          <w:rStyle w:val="FootnoteReference"/>
        </w:rPr>
        <w:footnoteRef/>
      </w:r>
      <w:r>
        <w:rPr>
          <w:rtl/>
        </w:rPr>
        <w:t xml:space="preserve"> </w:t>
      </w:r>
      <w:r>
        <w:rPr>
          <w:rFonts w:hint="cs"/>
          <w:rtl/>
        </w:rPr>
        <w:t>انظر، مثلا، الاتفاقية الأوروبية للبراءات.</w:t>
      </w:r>
    </w:p>
  </w:footnote>
  <w:footnote w:id="7">
    <w:p w:rsidR="002A6CB2" w:rsidRDefault="002A6CB2">
      <w:pPr>
        <w:pStyle w:val="FootnoteText"/>
      </w:pPr>
      <w:r>
        <w:rPr>
          <w:rStyle w:val="FootnoteReference"/>
        </w:rPr>
        <w:footnoteRef/>
      </w:r>
      <w:r>
        <w:rPr>
          <w:rtl/>
        </w:rPr>
        <w:t xml:space="preserve"> </w:t>
      </w:r>
      <w:r>
        <w:rPr>
          <w:rFonts w:hint="cs"/>
          <w:rtl/>
        </w:rPr>
        <w:t>انظر، مثلا، القانون الوطني للصين.</w:t>
      </w:r>
    </w:p>
  </w:footnote>
  <w:footnote w:id="8">
    <w:p w:rsidR="002A6CB2" w:rsidRDefault="002A6CB2">
      <w:pPr>
        <w:pStyle w:val="FootnoteText"/>
      </w:pPr>
      <w:r>
        <w:rPr>
          <w:rStyle w:val="FootnoteReference"/>
        </w:rPr>
        <w:footnoteRef/>
      </w:r>
      <w:r>
        <w:rPr>
          <w:rtl/>
        </w:rPr>
        <w:t xml:space="preserve"> </w:t>
      </w:r>
      <w:r>
        <w:rPr>
          <w:rFonts w:hint="cs"/>
          <w:rtl/>
        </w:rPr>
        <w:t>انظر، مثلا، القانون الوطني لأستراليا والاتفاقية الأوروبية للبراءات.</w:t>
      </w:r>
    </w:p>
  </w:footnote>
  <w:footnote w:id="9">
    <w:p w:rsidR="002A6CB2" w:rsidRDefault="002A6CB2">
      <w:pPr>
        <w:pStyle w:val="FootnoteText"/>
      </w:pPr>
      <w:r>
        <w:rPr>
          <w:rStyle w:val="FootnoteReference"/>
        </w:rPr>
        <w:footnoteRef/>
      </w:r>
      <w:r>
        <w:rPr>
          <w:rtl/>
        </w:rPr>
        <w:t xml:space="preserve"> </w:t>
      </w:r>
      <w:r>
        <w:rPr>
          <w:rFonts w:hint="cs"/>
          <w:rtl/>
        </w:rPr>
        <w:t>انظر، مثلا، القوانين الوطنية للنمسا والصين وألمانيا وسويسرا والولايات المتحدة الأمريكية والاتفاقية الأوروبية للبراءات.</w:t>
      </w:r>
    </w:p>
  </w:footnote>
  <w:footnote w:id="10">
    <w:p w:rsidR="002A6CB2" w:rsidRDefault="002A6CB2">
      <w:pPr>
        <w:pStyle w:val="FootnoteText"/>
      </w:pPr>
      <w:r>
        <w:rPr>
          <w:rStyle w:val="FootnoteReference"/>
        </w:rPr>
        <w:footnoteRef/>
      </w:r>
      <w:r>
        <w:rPr>
          <w:rtl/>
        </w:rPr>
        <w:t xml:space="preserve"> </w:t>
      </w:r>
      <w:r>
        <w:rPr>
          <w:rFonts w:hint="cs"/>
          <w:rtl/>
        </w:rPr>
        <w:t>انظر، مثلا، القانون الوطني للولايات المتحدة الأمريكية.</w:t>
      </w:r>
    </w:p>
  </w:footnote>
  <w:footnote w:id="11">
    <w:p w:rsidR="002A6CB2" w:rsidRDefault="002A6CB2">
      <w:pPr>
        <w:pStyle w:val="FootnoteText"/>
      </w:pPr>
      <w:r>
        <w:rPr>
          <w:rStyle w:val="FootnoteReference"/>
        </w:rPr>
        <w:footnoteRef/>
      </w:r>
      <w:r>
        <w:rPr>
          <w:rtl/>
        </w:rPr>
        <w:t xml:space="preserve"> </w:t>
      </w:r>
      <w:r>
        <w:rPr>
          <w:rFonts w:hint="cs"/>
          <w:rtl/>
        </w:rPr>
        <w:t>انظر، مثلا، القانون الوطني لليابان وجمهورية كوريا.</w:t>
      </w:r>
    </w:p>
  </w:footnote>
  <w:footnote w:id="12">
    <w:p w:rsidR="002A6CB2" w:rsidRDefault="002A6CB2">
      <w:pPr>
        <w:pStyle w:val="FootnoteText"/>
      </w:pPr>
      <w:r>
        <w:rPr>
          <w:rStyle w:val="FootnoteReference"/>
        </w:rPr>
        <w:footnoteRef/>
      </w:r>
      <w:r>
        <w:rPr>
          <w:rtl/>
        </w:rPr>
        <w:t xml:space="preserve"> </w:t>
      </w:r>
      <w:r>
        <w:rPr>
          <w:rFonts w:hint="cs"/>
          <w:rtl/>
        </w:rPr>
        <w:t>انظر، مثلا، القانون الوطني لسنغافورة والمملكة المتحدة.</w:t>
      </w:r>
    </w:p>
  </w:footnote>
  <w:footnote w:id="13">
    <w:p w:rsidR="002A6CB2" w:rsidRDefault="002A6CB2">
      <w:pPr>
        <w:pStyle w:val="FootnoteText"/>
      </w:pPr>
      <w:r>
        <w:rPr>
          <w:rStyle w:val="FootnoteReference"/>
        </w:rPr>
        <w:footnoteRef/>
      </w:r>
      <w:r>
        <w:rPr>
          <w:rtl/>
        </w:rPr>
        <w:t xml:space="preserve"> </w:t>
      </w:r>
      <w:r>
        <w:rPr>
          <w:rFonts w:hint="cs"/>
          <w:rtl/>
        </w:rPr>
        <w:t>انظر، مثلا، القانون الوطني للمملكة المتحدة.</w:t>
      </w:r>
    </w:p>
  </w:footnote>
  <w:footnote w:id="14">
    <w:p w:rsidR="002A6CB2" w:rsidRDefault="002A6CB2">
      <w:pPr>
        <w:pStyle w:val="FootnoteText"/>
      </w:pPr>
      <w:r>
        <w:rPr>
          <w:rStyle w:val="FootnoteReference"/>
        </w:rPr>
        <w:footnoteRef/>
      </w:r>
      <w:r>
        <w:rPr>
          <w:rtl/>
        </w:rPr>
        <w:t xml:space="preserve"> </w:t>
      </w:r>
      <w:r>
        <w:rPr>
          <w:rFonts w:hint="cs"/>
          <w:rtl/>
        </w:rPr>
        <w:t>انظر، مثلا، القانون الوطني لألمانيا وسويسرا.</w:t>
      </w:r>
    </w:p>
  </w:footnote>
  <w:footnote w:id="15">
    <w:p w:rsidR="002A6CB2" w:rsidRDefault="002A6CB2">
      <w:pPr>
        <w:pStyle w:val="FootnoteText"/>
      </w:pPr>
      <w:r>
        <w:rPr>
          <w:rStyle w:val="FootnoteReference"/>
        </w:rPr>
        <w:footnoteRef/>
      </w:r>
      <w:r>
        <w:rPr>
          <w:rtl/>
        </w:rPr>
        <w:t xml:space="preserve"> </w:t>
      </w:r>
      <w:r>
        <w:rPr>
          <w:rFonts w:hint="cs"/>
          <w:rtl/>
        </w:rPr>
        <w:t>انظر، مثلا، القانون الوطني لأستراليا والنمسا.</w:t>
      </w:r>
    </w:p>
  </w:footnote>
  <w:footnote w:id="16">
    <w:p w:rsidR="002A6CB2" w:rsidRDefault="002A6CB2">
      <w:pPr>
        <w:pStyle w:val="FootnoteText"/>
      </w:pPr>
      <w:r>
        <w:rPr>
          <w:rStyle w:val="FootnoteReference"/>
        </w:rPr>
        <w:footnoteRef/>
      </w:r>
      <w:r>
        <w:rPr>
          <w:rtl/>
        </w:rPr>
        <w:t xml:space="preserve"> </w:t>
      </w:r>
      <w:r>
        <w:rPr>
          <w:rFonts w:hint="cs"/>
          <w:rtl/>
        </w:rPr>
        <w:t>انظر، مثلا، القانون الوطني للصين والاتفاقية الأوروبية للبراءات.</w:t>
      </w:r>
    </w:p>
  </w:footnote>
  <w:footnote w:id="17">
    <w:p w:rsidR="002A6CB2" w:rsidRDefault="002A6CB2">
      <w:pPr>
        <w:pStyle w:val="FootnoteText"/>
      </w:pPr>
      <w:r>
        <w:rPr>
          <w:rStyle w:val="FootnoteReference"/>
        </w:rPr>
        <w:footnoteRef/>
      </w:r>
      <w:r>
        <w:rPr>
          <w:rtl/>
        </w:rPr>
        <w:t xml:space="preserve"> </w:t>
      </w:r>
      <w:r>
        <w:rPr>
          <w:rFonts w:hint="cs"/>
          <w:rtl/>
        </w:rPr>
        <w:t>انظر، مثلا، الاتفاقية الأوروبية للبراءات.</w:t>
      </w:r>
    </w:p>
  </w:footnote>
  <w:footnote w:id="18">
    <w:p w:rsidR="002A6CB2" w:rsidRDefault="002A6CB2" w:rsidP="00557D31">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B2" w:rsidRDefault="002A6CB2" w:rsidP="00C742C5">
    <w:r>
      <w:t>PCT/WG/7/18</w:t>
    </w:r>
  </w:p>
  <w:p w:rsidR="002A6CB2" w:rsidRDefault="002A6CB2" w:rsidP="00D61541">
    <w:r>
      <w:fldChar w:fldCharType="begin"/>
    </w:r>
    <w:r>
      <w:instrText xml:space="preserve"> PAGE  \* MERGEFORMAT </w:instrText>
    </w:r>
    <w:r>
      <w:fldChar w:fldCharType="separate"/>
    </w:r>
    <w:r w:rsidR="00F57607">
      <w:rPr>
        <w:noProof/>
      </w:rPr>
      <w:t>5</w:t>
    </w:r>
    <w:r>
      <w:fldChar w:fldCharType="end"/>
    </w:r>
  </w:p>
  <w:p w:rsidR="002A6CB2" w:rsidRDefault="002A6CB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B2" w:rsidRPr="00557D31" w:rsidRDefault="002A6CB2" w:rsidP="00557D31">
    <w:r w:rsidRPr="00557D31">
      <w:t>PCT/WG/7/18</w:t>
    </w:r>
  </w:p>
  <w:p w:rsidR="002A6CB2" w:rsidRDefault="002A6CB2" w:rsidP="00557D31">
    <w:r>
      <w:t>Annex</w:t>
    </w:r>
  </w:p>
  <w:p w:rsidR="002A6CB2" w:rsidRDefault="002A6CB2" w:rsidP="00557D31">
    <w:r>
      <w:fldChar w:fldCharType="begin"/>
    </w:r>
    <w:r>
      <w:instrText xml:space="preserve"> PAGE   \* MERGEFORMAT </w:instrText>
    </w:r>
    <w:r>
      <w:fldChar w:fldCharType="separate"/>
    </w:r>
    <w:r w:rsidR="00F57607">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B2" w:rsidRPr="00557D31" w:rsidRDefault="002A6CB2" w:rsidP="00557D31">
    <w:pPr>
      <w:pStyle w:val="Header"/>
    </w:pPr>
    <w:r w:rsidRPr="00557D31">
      <w:t>PCT/WG/7/18</w:t>
    </w:r>
  </w:p>
  <w:p w:rsidR="002A6CB2" w:rsidRDefault="002A6CB2" w:rsidP="00557D31">
    <w:pPr>
      <w:pStyle w:val="Header"/>
    </w:pPr>
    <w:r w:rsidRPr="00557D31">
      <w:t>ANNEX</w:t>
    </w:r>
  </w:p>
  <w:p w:rsidR="002A6CB2" w:rsidRPr="00557D31" w:rsidRDefault="002A6CB2" w:rsidP="00557D31">
    <w:pPr>
      <w:pStyle w:val="Header"/>
      <w:bidi/>
      <w:jc w:val="right"/>
      <w:rPr>
        <w:rFonts w:ascii="Arabic Typesetting" w:hAnsi="Arabic Typesetting" w:cs="Arabic Typesetting"/>
        <w:sz w:val="36"/>
        <w:szCs w:val="36"/>
      </w:rPr>
    </w:pPr>
    <w:r w:rsidRPr="00557D3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1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A66"/>
    <w:rsid w:val="00035CE8"/>
    <w:rsid w:val="00036041"/>
    <w:rsid w:val="000371CD"/>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091"/>
    <w:rsid w:val="0006794A"/>
    <w:rsid w:val="00067F31"/>
    <w:rsid w:val="00071138"/>
    <w:rsid w:val="000717BF"/>
    <w:rsid w:val="00073402"/>
    <w:rsid w:val="00075745"/>
    <w:rsid w:val="00075A04"/>
    <w:rsid w:val="00075D39"/>
    <w:rsid w:val="000760C3"/>
    <w:rsid w:val="000763A4"/>
    <w:rsid w:val="00076901"/>
    <w:rsid w:val="00077238"/>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E5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2FB"/>
    <w:rsid w:val="000D5FB7"/>
    <w:rsid w:val="000E06A5"/>
    <w:rsid w:val="000E16EB"/>
    <w:rsid w:val="000E591F"/>
    <w:rsid w:val="000E5A23"/>
    <w:rsid w:val="000E6045"/>
    <w:rsid w:val="000E7872"/>
    <w:rsid w:val="000F0772"/>
    <w:rsid w:val="000F0BE5"/>
    <w:rsid w:val="000F0F0D"/>
    <w:rsid w:val="000F18A0"/>
    <w:rsid w:val="000F1B52"/>
    <w:rsid w:val="000F1C70"/>
    <w:rsid w:val="000F1EAA"/>
    <w:rsid w:val="000F2F0D"/>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F98"/>
    <w:rsid w:val="00130FC9"/>
    <w:rsid w:val="001310EE"/>
    <w:rsid w:val="0013191A"/>
    <w:rsid w:val="00131E8F"/>
    <w:rsid w:val="00132379"/>
    <w:rsid w:val="00135C24"/>
    <w:rsid w:val="00136389"/>
    <w:rsid w:val="00136A1A"/>
    <w:rsid w:val="00136A96"/>
    <w:rsid w:val="00137202"/>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D7F"/>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609"/>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0E1"/>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6CB2"/>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CD1"/>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29E"/>
    <w:rsid w:val="002F4CE2"/>
    <w:rsid w:val="002F5F6A"/>
    <w:rsid w:val="002F60A4"/>
    <w:rsid w:val="002F6B0C"/>
    <w:rsid w:val="002F77FC"/>
    <w:rsid w:val="003004A6"/>
    <w:rsid w:val="0030129C"/>
    <w:rsid w:val="003013E2"/>
    <w:rsid w:val="00301FE4"/>
    <w:rsid w:val="00303E3A"/>
    <w:rsid w:val="0030451D"/>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0B5"/>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6D"/>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A26"/>
    <w:rsid w:val="00433C0A"/>
    <w:rsid w:val="004349FA"/>
    <w:rsid w:val="00435D66"/>
    <w:rsid w:val="004406BD"/>
    <w:rsid w:val="00442FBE"/>
    <w:rsid w:val="004433B1"/>
    <w:rsid w:val="00443571"/>
    <w:rsid w:val="004444E3"/>
    <w:rsid w:val="004447FD"/>
    <w:rsid w:val="00445032"/>
    <w:rsid w:val="004450CB"/>
    <w:rsid w:val="00446967"/>
    <w:rsid w:val="00446AB6"/>
    <w:rsid w:val="00450EEE"/>
    <w:rsid w:val="004512B2"/>
    <w:rsid w:val="004520AC"/>
    <w:rsid w:val="004528EE"/>
    <w:rsid w:val="00453360"/>
    <w:rsid w:val="00456409"/>
    <w:rsid w:val="004569C6"/>
    <w:rsid w:val="00456ADC"/>
    <w:rsid w:val="0045768F"/>
    <w:rsid w:val="00457769"/>
    <w:rsid w:val="004627AE"/>
    <w:rsid w:val="0046298E"/>
    <w:rsid w:val="004647BB"/>
    <w:rsid w:val="0046482B"/>
    <w:rsid w:val="004648E0"/>
    <w:rsid w:val="00470BFE"/>
    <w:rsid w:val="00472043"/>
    <w:rsid w:val="00472F56"/>
    <w:rsid w:val="0047335E"/>
    <w:rsid w:val="00473CA1"/>
    <w:rsid w:val="0047572C"/>
    <w:rsid w:val="00476407"/>
    <w:rsid w:val="004773F7"/>
    <w:rsid w:val="0048167D"/>
    <w:rsid w:val="00481F5F"/>
    <w:rsid w:val="004821D0"/>
    <w:rsid w:val="00482CB2"/>
    <w:rsid w:val="00483D06"/>
    <w:rsid w:val="0048400A"/>
    <w:rsid w:val="00485A4A"/>
    <w:rsid w:val="00485CF7"/>
    <w:rsid w:val="00485EDF"/>
    <w:rsid w:val="004862C2"/>
    <w:rsid w:val="004863F7"/>
    <w:rsid w:val="00486FFC"/>
    <w:rsid w:val="00490CED"/>
    <w:rsid w:val="00490ED4"/>
    <w:rsid w:val="00491B91"/>
    <w:rsid w:val="00491C21"/>
    <w:rsid w:val="00491C66"/>
    <w:rsid w:val="004935D6"/>
    <w:rsid w:val="00494195"/>
    <w:rsid w:val="004945FB"/>
    <w:rsid w:val="00496DF2"/>
    <w:rsid w:val="00497356"/>
    <w:rsid w:val="004A076F"/>
    <w:rsid w:val="004A1216"/>
    <w:rsid w:val="004A1DC1"/>
    <w:rsid w:val="004A31A2"/>
    <w:rsid w:val="004A48A7"/>
    <w:rsid w:val="004A655D"/>
    <w:rsid w:val="004B01B1"/>
    <w:rsid w:val="004B08D1"/>
    <w:rsid w:val="004B10E6"/>
    <w:rsid w:val="004B198F"/>
    <w:rsid w:val="004B357D"/>
    <w:rsid w:val="004B408F"/>
    <w:rsid w:val="004B46D0"/>
    <w:rsid w:val="004B57B0"/>
    <w:rsid w:val="004B60CE"/>
    <w:rsid w:val="004B61C9"/>
    <w:rsid w:val="004C0B26"/>
    <w:rsid w:val="004C12FE"/>
    <w:rsid w:val="004C1D57"/>
    <w:rsid w:val="004C2F7C"/>
    <w:rsid w:val="004C34F8"/>
    <w:rsid w:val="004C35A4"/>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F57"/>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233"/>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AE4"/>
    <w:rsid w:val="005409EB"/>
    <w:rsid w:val="00540F30"/>
    <w:rsid w:val="00541DD2"/>
    <w:rsid w:val="00543A63"/>
    <w:rsid w:val="00543AB5"/>
    <w:rsid w:val="005457CF"/>
    <w:rsid w:val="00545976"/>
    <w:rsid w:val="0054660F"/>
    <w:rsid w:val="0054732B"/>
    <w:rsid w:val="00547628"/>
    <w:rsid w:val="005533C3"/>
    <w:rsid w:val="005536E6"/>
    <w:rsid w:val="00553AC3"/>
    <w:rsid w:val="00553DBA"/>
    <w:rsid w:val="00554335"/>
    <w:rsid w:val="00555631"/>
    <w:rsid w:val="0055621D"/>
    <w:rsid w:val="0055764D"/>
    <w:rsid w:val="00557D31"/>
    <w:rsid w:val="00560C6A"/>
    <w:rsid w:val="00560F85"/>
    <w:rsid w:val="005610A0"/>
    <w:rsid w:val="00561491"/>
    <w:rsid w:val="0056248F"/>
    <w:rsid w:val="0056494F"/>
    <w:rsid w:val="00564985"/>
    <w:rsid w:val="00565379"/>
    <w:rsid w:val="005674C3"/>
    <w:rsid w:val="00567990"/>
    <w:rsid w:val="00567C4C"/>
    <w:rsid w:val="00570B8B"/>
    <w:rsid w:val="005728C8"/>
    <w:rsid w:val="005733AD"/>
    <w:rsid w:val="0057381A"/>
    <w:rsid w:val="00573ABD"/>
    <w:rsid w:val="00574B91"/>
    <w:rsid w:val="00574E5C"/>
    <w:rsid w:val="00574F7D"/>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5F8B"/>
    <w:rsid w:val="006065BF"/>
    <w:rsid w:val="00607C00"/>
    <w:rsid w:val="00607E5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001"/>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A9E"/>
    <w:rsid w:val="00681B4A"/>
    <w:rsid w:val="00681D07"/>
    <w:rsid w:val="00681EDA"/>
    <w:rsid w:val="00682017"/>
    <w:rsid w:val="00682AAD"/>
    <w:rsid w:val="006868CA"/>
    <w:rsid w:val="00686E32"/>
    <w:rsid w:val="0069087A"/>
    <w:rsid w:val="00690B4B"/>
    <w:rsid w:val="00690BE4"/>
    <w:rsid w:val="00690F7F"/>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7A6"/>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A7D39"/>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422"/>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0988"/>
    <w:rsid w:val="007F342F"/>
    <w:rsid w:val="007F38D1"/>
    <w:rsid w:val="007F56BB"/>
    <w:rsid w:val="007F63CE"/>
    <w:rsid w:val="007F6EA4"/>
    <w:rsid w:val="008002A5"/>
    <w:rsid w:val="0080050E"/>
    <w:rsid w:val="00801329"/>
    <w:rsid w:val="00801424"/>
    <w:rsid w:val="00801AA4"/>
    <w:rsid w:val="00801B7E"/>
    <w:rsid w:val="008021B9"/>
    <w:rsid w:val="00806634"/>
    <w:rsid w:val="00806E68"/>
    <w:rsid w:val="00807CBD"/>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6F5"/>
    <w:rsid w:val="008269F9"/>
    <w:rsid w:val="00826CBB"/>
    <w:rsid w:val="00827180"/>
    <w:rsid w:val="0082749A"/>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925"/>
    <w:rsid w:val="00855CA6"/>
    <w:rsid w:val="00856361"/>
    <w:rsid w:val="00860323"/>
    <w:rsid w:val="0086036B"/>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12A"/>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C05"/>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883"/>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17F8F"/>
    <w:rsid w:val="00920167"/>
    <w:rsid w:val="00921BB8"/>
    <w:rsid w:val="00921D28"/>
    <w:rsid w:val="00922034"/>
    <w:rsid w:val="00922443"/>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32"/>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36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CDC"/>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3FE"/>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98E"/>
    <w:rsid w:val="00A65845"/>
    <w:rsid w:val="00A65A41"/>
    <w:rsid w:val="00A666AA"/>
    <w:rsid w:val="00A671FC"/>
    <w:rsid w:val="00A71670"/>
    <w:rsid w:val="00A72874"/>
    <w:rsid w:val="00A72E48"/>
    <w:rsid w:val="00A7359C"/>
    <w:rsid w:val="00A73616"/>
    <w:rsid w:val="00A74651"/>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597"/>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465"/>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1FF"/>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CD2"/>
    <w:rsid w:val="00B24EA8"/>
    <w:rsid w:val="00B26625"/>
    <w:rsid w:val="00B26A5A"/>
    <w:rsid w:val="00B2713B"/>
    <w:rsid w:val="00B2756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C6A"/>
    <w:rsid w:val="00B541E6"/>
    <w:rsid w:val="00B545AF"/>
    <w:rsid w:val="00B55B09"/>
    <w:rsid w:val="00B56711"/>
    <w:rsid w:val="00B57EF2"/>
    <w:rsid w:val="00B604F3"/>
    <w:rsid w:val="00B60B16"/>
    <w:rsid w:val="00B6101C"/>
    <w:rsid w:val="00B615ED"/>
    <w:rsid w:val="00B63A9D"/>
    <w:rsid w:val="00B64888"/>
    <w:rsid w:val="00B648C8"/>
    <w:rsid w:val="00B672E3"/>
    <w:rsid w:val="00B675F9"/>
    <w:rsid w:val="00B70216"/>
    <w:rsid w:val="00B70849"/>
    <w:rsid w:val="00B72C1C"/>
    <w:rsid w:val="00B73BB7"/>
    <w:rsid w:val="00B751C3"/>
    <w:rsid w:val="00B76C0D"/>
    <w:rsid w:val="00B77D0D"/>
    <w:rsid w:val="00B80817"/>
    <w:rsid w:val="00B827E6"/>
    <w:rsid w:val="00B82A28"/>
    <w:rsid w:val="00B82B8D"/>
    <w:rsid w:val="00B82C97"/>
    <w:rsid w:val="00B851D5"/>
    <w:rsid w:val="00B858D8"/>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879"/>
    <w:rsid w:val="00BC16AC"/>
    <w:rsid w:val="00BC2B7B"/>
    <w:rsid w:val="00BC30CE"/>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0F3"/>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1E0"/>
    <w:rsid w:val="00C5128B"/>
    <w:rsid w:val="00C51423"/>
    <w:rsid w:val="00C5294D"/>
    <w:rsid w:val="00C52F83"/>
    <w:rsid w:val="00C544F8"/>
    <w:rsid w:val="00C54C1B"/>
    <w:rsid w:val="00C54DBA"/>
    <w:rsid w:val="00C57ED3"/>
    <w:rsid w:val="00C61640"/>
    <w:rsid w:val="00C61AA7"/>
    <w:rsid w:val="00C61B8E"/>
    <w:rsid w:val="00C668DE"/>
    <w:rsid w:val="00C7044F"/>
    <w:rsid w:val="00C720F8"/>
    <w:rsid w:val="00C7294B"/>
    <w:rsid w:val="00C742C5"/>
    <w:rsid w:val="00C7459F"/>
    <w:rsid w:val="00C75139"/>
    <w:rsid w:val="00C7525C"/>
    <w:rsid w:val="00C76CF7"/>
    <w:rsid w:val="00C83A4C"/>
    <w:rsid w:val="00C8533B"/>
    <w:rsid w:val="00C858BA"/>
    <w:rsid w:val="00C86977"/>
    <w:rsid w:val="00C87990"/>
    <w:rsid w:val="00C916C8"/>
    <w:rsid w:val="00C93768"/>
    <w:rsid w:val="00C9398D"/>
    <w:rsid w:val="00C939EE"/>
    <w:rsid w:val="00C93C6E"/>
    <w:rsid w:val="00C93F93"/>
    <w:rsid w:val="00C94D44"/>
    <w:rsid w:val="00C95EEE"/>
    <w:rsid w:val="00C974CB"/>
    <w:rsid w:val="00C97929"/>
    <w:rsid w:val="00CA0049"/>
    <w:rsid w:val="00CA0795"/>
    <w:rsid w:val="00CA0980"/>
    <w:rsid w:val="00CA2A98"/>
    <w:rsid w:val="00CA2BAE"/>
    <w:rsid w:val="00CA34BA"/>
    <w:rsid w:val="00CA4503"/>
    <w:rsid w:val="00CA5A66"/>
    <w:rsid w:val="00CA651B"/>
    <w:rsid w:val="00CA796A"/>
    <w:rsid w:val="00CB2575"/>
    <w:rsid w:val="00CB29F2"/>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CD8"/>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0FA2"/>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048"/>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726"/>
    <w:rsid w:val="00D75EEB"/>
    <w:rsid w:val="00D75F1E"/>
    <w:rsid w:val="00D80F87"/>
    <w:rsid w:val="00D812A5"/>
    <w:rsid w:val="00D82A5C"/>
    <w:rsid w:val="00D82D11"/>
    <w:rsid w:val="00D82EF7"/>
    <w:rsid w:val="00D83CD3"/>
    <w:rsid w:val="00D83E51"/>
    <w:rsid w:val="00D84719"/>
    <w:rsid w:val="00D856EA"/>
    <w:rsid w:val="00D859CB"/>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70E"/>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341"/>
    <w:rsid w:val="00E41403"/>
    <w:rsid w:val="00E418C7"/>
    <w:rsid w:val="00E41BD7"/>
    <w:rsid w:val="00E428D6"/>
    <w:rsid w:val="00E43284"/>
    <w:rsid w:val="00E445C9"/>
    <w:rsid w:val="00E447C5"/>
    <w:rsid w:val="00E450C1"/>
    <w:rsid w:val="00E4547F"/>
    <w:rsid w:val="00E4574F"/>
    <w:rsid w:val="00E46B7D"/>
    <w:rsid w:val="00E47DF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C24"/>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BBB"/>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227"/>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C38"/>
    <w:rsid w:val="00EF2EB9"/>
    <w:rsid w:val="00EF40E7"/>
    <w:rsid w:val="00EF4529"/>
    <w:rsid w:val="00EF5B34"/>
    <w:rsid w:val="00EF5F96"/>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62"/>
    <w:rsid w:val="00F4765F"/>
    <w:rsid w:val="00F479B5"/>
    <w:rsid w:val="00F47A1B"/>
    <w:rsid w:val="00F47C4B"/>
    <w:rsid w:val="00F53775"/>
    <w:rsid w:val="00F539A6"/>
    <w:rsid w:val="00F55267"/>
    <w:rsid w:val="00F55E0E"/>
    <w:rsid w:val="00F5611D"/>
    <w:rsid w:val="00F56E3E"/>
    <w:rsid w:val="00F57607"/>
    <w:rsid w:val="00F578A8"/>
    <w:rsid w:val="00F57EEB"/>
    <w:rsid w:val="00F57F67"/>
    <w:rsid w:val="00F60996"/>
    <w:rsid w:val="00F60B5D"/>
    <w:rsid w:val="00F611E4"/>
    <w:rsid w:val="00F613D4"/>
    <w:rsid w:val="00F61FE7"/>
    <w:rsid w:val="00F62AFE"/>
    <w:rsid w:val="00F633E5"/>
    <w:rsid w:val="00F641E5"/>
    <w:rsid w:val="00F64A3A"/>
    <w:rsid w:val="00F64F35"/>
    <w:rsid w:val="00F64FC4"/>
    <w:rsid w:val="00F65DE3"/>
    <w:rsid w:val="00F67E6A"/>
    <w:rsid w:val="00F70472"/>
    <w:rsid w:val="00F70A06"/>
    <w:rsid w:val="00F71430"/>
    <w:rsid w:val="00F71A8A"/>
    <w:rsid w:val="00F75896"/>
    <w:rsid w:val="00F76666"/>
    <w:rsid w:val="00F76ECB"/>
    <w:rsid w:val="00F76EF7"/>
    <w:rsid w:val="00F776B7"/>
    <w:rsid w:val="00F77758"/>
    <w:rsid w:val="00F77BDB"/>
    <w:rsid w:val="00F8031F"/>
    <w:rsid w:val="00F80C5C"/>
    <w:rsid w:val="00F818A5"/>
    <w:rsid w:val="00F8197C"/>
    <w:rsid w:val="00F823F8"/>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35A"/>
    <w:rsid w:val="00FF12EF"/>
    <w:rsid w:val="00FF1B10"/>
    <w:rsid w:val="00FF1D76"/>
    <w:rsid w:val="00FF309E"/>
    <w:rsid w:val="00FF3EE6"/>
    <w:rsid w:val="00FF434C"/>
    <w:rsid w:val="00FF55F5"/>
    <w:rsid w:val="00FF682B"/>
    <w:rsid w:val="00FF7668"/>
    <w:rsid w:val="00FF7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57D31"/>
    <w:rPr>
      <w:rFonts w:ascii="Arial" w:hAnsi="Arial" w:cs="Arial"/>
      <w:sz w:val="22"/>
    </w:rPr>
  </w:style>
  <w:style w:type="paragraph" w:styleId="TOC1">
    <w:name w:val="toc 1"/>
    <w:basedOn w:val="Normal"/>
    <w:next w:val="Normal"/>
    <w:autoRedefine/>
    <w:uiPriority w:val="39"/>
    <w:rsid w:val="00435D66"/>
    <w:pPr>
      <w:tabs>
        <w:tab w:val="right" w:leader="dot" w:pos="9345"/>
      </w:tabs>
      <w:bidi/>
      <w:spacing w:after="100"/>
    </w:pPr>
  </w:style>
  <w:style w:type="paragraph" w:styleId="TOC2">
    <w:name w:val="toc 2"/>
    <w:basedOn w:val="Normal"/>
    <w:next w:val="Normal"/>
    <w:autoRedefine/>
    <w:uiPriority w:val="39"/>
    <w:rsid w:val="00435D66"/>
    <w:pPr>
      <w:tabs>
        <w:tab w:val="right" w:leader="dot" w:pos="9345"/>
      </w:tabs>
      <w:bidi/>
      <w:spacing w:after="100"/>
      <w:ind w:left="220"/>
    </w:pPr>
  </w:style>
  <w:style w:type="character" w:styleId="Hyperlink">
    <w:name w:val="Hyperlink"/>
    <w:basedOn w:val="DefaultParagraphFont"/>
    <w:uiPriority w:val="99"/>
    <w:unhideWhenUsed/>
    <w:rsid w:val="00435D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57D31"/>
    <w:rPr>
      <w:rFonts w:ascii="Arial" w:hAnsi="Arial" w:cs="Arial"/>
      <w:sz w:val="22"/>
    </w:rPr>
  </w:style>
  <w:style w:type="paragraph" w:styleId="TOC1">
    <w:name w:val="toc 1"/>
    <w:basedOn w:val="Normal"/>
    <w:next w:val="Normal"/>
    <w:autoRedefine/>
    <w:uiPriority w:val="39"/>
    <w:rsid w:val="00435D66"/>
    <w:pPr>
      <w:tabs>
        <w:tab w:val="right" w:leader="dot" w:pos="9345"/>
      </w:tabs>
      <w:bidi/>
      <w:spacing w:after="100"/>
    </w:pPr>
  </w:style>
  <w:style w:type="paragraph" w:styleId="TOC2">
    <w:name w:val="toc 2"/>
    <w:basedOn w:val="Normal"/>
    <w:next w:val="Normal"/>
    <w:autoRedefine/>
    <w:uiPriority w:val="39"/>
    <w:rsid w:val="00435D66"/>
    <w:pPr>
      <w:tabs>
        <w:tab w:val="right" w:leader="dot" w:pos="9345"/>
      </w:tabs>
      <w:bidi/>
      <w:spacing w:after="100"/>
      <w:ind w:left="220"/>
    </w:pPr>
  </w:style>
  <w:style w:type="character" w:styleId="Hyperlink">
    <w:name w:val="Hyperlink"/>
    <w:basedOn w:val="DefaultParagraphFont"/>
    <w:uiPriority w:val="99"/>
    <w:unhideWhenUsed/>
    <w:rsid w:val="00435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E874D-0720-49B4-8546-E97273AA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969</TotalTime>
  <Pages>10</Pages>
  <Words>3004</Words>
  <Characters>15618</Characters>
  <Application>Microsoft Office Word</Application>
  <DocSecurity>0</DocSecurity>
  <Lines>130</Lines>
  <Paragraphs>37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PCT/WG/7/18 (Arabic)</vt:lpstr>
      <vt:lpstr>القاعدة 9   العبارات، إلخ. الواجب عدم استعمالها</vt:lpstr>
      <vt:lpstr>    1.9   [دون تغيير]  تعريف</vt:lpstr>
      <vt:lpstr>    2.9   التنبيه إلى المخالفات</vt:lpstr>
      <vt:lpstr>    3.9   [دون تغيير]  الإشارة إلى المادة 21(6)</vt:lpstr>
      <vt:lpstr>القاعدة 48   النشر الدولي</vt:lpstr>
      <vt:lpstr>    1.48   [دون تغيير]</vt:lpstr>
      <vt:lpstr>    2.48   المحتويات</vt:lpstr>
      <vt:lpstr>    من 3.48 إلى 6.48   [دون تغيير]</vt:lpstr>
      <vt:lpstr>القاعدة 94   إمكانية الاطلاع على الملفات</vt:lpstr>
      <vt:lpstr>    1.94   إمكانية الاطلاع على الملف المحفوظ لدى المكتب الدولي</vt:lpstr>
      <vt:lpstr>    1.94(ثانيا)  إمكانية الاطلاع على الملف المحفوظ لدى مكتب تسلم الطلبات</vt:lpstr>
      <vt:lpstr>    1.94(ثالثا)   إمكانية الاطلاع على الملف المحفوظ لدى إدارة البحث الدولي</vt:lpstr>
      <vt:lpstr>    2.94   [دون تغيير]  إمكانية الاطلاع على الملف المحفوظ لدى إدارة الفحص التمهيدي ا</vt:lpstr>
      <vt:lpstr>    3.94   [دون تغيير]  إمكانية الاطلاع على الملف المحفوظ لدى المكتب المختار</vt:lpstr>
    </vt:vector>
  </TitlesOfParts>
  <Company>World Intellectual Property Organization</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PCT/WG/7/18 (Arabic)</dc:title>
  <dc:creator>وثيقة من إعداد المكتب الدولي</dc:creator>
  <cp:lastModifiedBy>MERZOUK Fawzi</cp:lastModifiedBy>
  <cp:revision>77</cp:revision>
  <cp:lastPrinted>2014-05-06T16:33:00Z</cp:lastPrinted>
  <dcterms:created xsi:type="dcterms:W3CDTF">2014-05-02T14:00:00Z</dcterms:created>
  <dcterms:modified xsi:type="dcterms:W3CDTF">2014-05-06T16:34:00Z</dcterms:modified>
</cp:coreProperties>
</file>