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FBC6" w14:textId="77777777" w:rsidR="00367241" w:rsidRPr="00367241" w:rsidRDefault="00367241" w:rsidP="00367241">
      <w:pPr>
        <w:pBdr>
          <w:bottom w:val="single" w:sz="4" w:space="10" w:color="auto"/>
        </w:pBdr>
        <w:spacing w:after="120"/>
        <w:rPr>
          <w:b/>
          <w:sz w:val="32"/>
          <w:szCs w:val="40"/>
          <w:lang w:bidi="ar-SA"/>
        </w:rPr>
      </w:pPr>
      <w:r w:rsidRPr="00367241">
        <w:rPr>
          <w:b/>
          <w:noProof/>
          <w:sz w:val="32"/>
          <w:szCs w:val="40"/>
          <w:lang w:eastAsia="en-US" w:bidi="ar-SA"/>
        </w:rPr>
        <mc:AlternateContent>
          <mc:Choice Requires="wpg">
            <w:drawing>
              <wp:inline distT="0" distB="0" distL="0" distR="0" wp14:anchorId="2FB578DF" wp14:editId="5FEACADE">
                <wp:extent cx="2777259" cy="1333500"/>
                <wp:effectExtent l="0" t="0" r="4445" b="0"/>
                <wp:docPr id="93756539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74520042" name="Picture 57452004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858090514" name="Picture 185809051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E3072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ODVsr+gCAAAW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52004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">
                  <v:imagedata r:id="rId10" o:title="شعار المنظمة العالمية للملكية الفكرية (الويبو)"/>
                </v:shape>
                <v:shape id="Picture 185809051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">
                  <v:imagedata r:id="rId11" o:title="عربية"/>
                </v:shape>
                <w10:anchorlock/>
              </v:group>
            </w:pict>
          </mc:Fallback>
        </mc:AlternateContent>
      </w:r>
    </w:p>
    <w:p w14:paraId="23189DB1" w14:textId="3C61024E" w:rsidR="00367241" w:rsidRPr="00367241" w:rsidRDefault="00367241" w:rsidP="00367241">
      <w:pPr>
        <w:rPr>
          <w:rFonts w:ascii="Arial Black" w:hAnsi="Arial Black"/>
          <w:caps/>
          <w:sz w:val="15"/>
          <w:szCs w:val="15"/>
          <w:lang w:bidi="ar-SA"/>
        </w:rPr>
      </w:pPr>
      <w:r w:rsidRPr="00367241">
        <w:rPr>
          <w:rFonts w:ascii="Arial Black" w:hAnsi="Arial Black"/>
          <w:caps/>
          <w:sz w:val="15"/>
          <w:szCs w:val="15"/>
          <w:lang w:bidi="ar-SA"/>
        </w:rPr>
        <w:t>PCT/WG/</w:t>
      </w:r>
      <w:r w:rsidR="00B938EB">
        <w:rPr>
          <w:rFonts w:ascii="Arial Black" w:hAnsi="Arial Black"/>
          <w:caps/>
          <w:sz w:val="15"/>
          <w:szCs w:val="15"/>
          <w:lang w:bidi="ar-SA"/>
        </w:rPr>
        <w:t>19</w:t>
      </w:r>
      <w:r w:rsidRPr="00367241">
        <w:rPr>
          <w:rFonts w:ascii="Arial Black" w:hAnsi="Arial Black"/>
          <w:caps/>
          <w:sz w:val="15"/>
          <w:szCs w:val="15"/>
          <w:lang w:bidi="ar-SA"/>
        </w:rPr>
        <w:t>/</w:t>
      </w:r>
      <w:r w:rsidR="00B938EB">
        <w:rPr>
          <w:rFonts w:ascii="Arial Black" w:hAnsi="Arial Black"/>
          <w:caps/>
          <w:sz w:val="15"/>
          <w:szCs w:val="15"/>
          <w:lang w:bidi="ar-SA"/>
        </w:rPr>
        <w:t>5</w:t>
      </w:r>
    </w:p>
    <w:p w14:paraId="02666313" w14:textId="77777777" w:rsidR="00367241" w:rsidRPr="00367241" w:rsidRDefault="00367241" w:rsidP="00367241">
      <w:pPr>
        <w:bidi/>
        <w:jc w:val="right"/>
        <w:rPr>
          <w:rFonts w:ascii="Calibri" w:hAnsi="Calibri"/>
          <w:b/>
          <w:bCs/>
          <w:caps/>
          <w:sz w:val="15"/>
          <w:szCs w:val="15"/>
        </w:rPr>
      </w:pPr>
      <w:r w:rsidRPr="00367241">
        <w:rPr>
          <w:rFonts w:ascii="Calibri" w:hAnsi="Calibri" w:hint="cs"/>
          <w:b/>
          <w:bCs/>
          <w:caps/>
          <w:sz w:val="15"/>
          <w:szCs w:val="15"/>
          <w:rtl/>
          <w:lang w:bidi="ar-SA"/>
        </w:rPr>
        <w:t xml:space="preserve">الأصل: </w:t>
      </w:r>
      <w:r>
        <w:rPr>
          <w:rFonts w:ascii="Calibri" w:hAnsi="Calibri" w:hint="cs"/>
          <w:b/>
          <w:bCs/>
          <w:caps/>
          <w:sz w:val="15"/>
          <w:szCs w:val="15"/>
          <w:rtl/>
        </w:rPr>
        <w:t>بالإنكليزية</w:t>
      </w:r>
    </w:p>
    <w:p w14:paraId="2CF3863A" w14:textId="7E33E6E1" w:rsidR="00367241" w:rsidRPr="00367241" w:rsidRDefault="00367241" w:rsidP="00367241">
      <w:pPr>
        <w:bidi/>
        <w:spacing w:after="1200"/>
        <w:jc w:val="right"/>
        <w:rPr>
          <w:rFonts w:ascii="Calibri" w:hAnsi="Calibri"/>
          <w:b/>
          <w:bCs/>
          <w:caps/>
          <w:sz w:val="15"/>
          <w:szCs w:val="15"/>
          <w:lang w:bidi="ar-SA"/>
        </w:rPr>
      </w:pPr>
      <w:r w:rsidRPr="00367241">
        <w:rPr>
          <w:rFonts w:ascii="Calibri" w:hAnsi="Calibri" w:hint="cs"/>
          <w:b/>
          <w:bCs/>
          <w:caps/>
          <w:sz w:val="15"/>
          <w:szCs w:val="15"/>
          <w:rtl/>
          <w:lang w:bidi="ar-SA"/>
        </w:rPr>
        <w:t xml:space="preserve">التاريخ: </w:t>
      </w:r>
      <w:r w:rsidR="00B938EB">
        <w:rPr>
          <w:rFonts w:ascii="Calibri" w:hAnsi="Calibri"/>
          <w:b/>
          <w:bCs/>
          <w:caps/>
          <w:sz w:val="15"/>
          <w:szCs w:val="15"/>
          <w:lang w:bidi="ar-SA"/>
        </w:rPr>
        <w:t>15</w:t>
      </w:r>
      <w:r>
        <w:rPr>
          <w:rFonts w:ascii="Calibri" w:hAnsi="Calibri" w:hint="cs"/>
          <w:b/>
          <w:bCs/>
          <w:caps/>
          <w:sz w:val="15"/>
          <w:szCs w:val="15"/>
          <w:rtl/>
          <w:lang w:bidi="ar-SA"/>
        </w:rPr>
        <w:t xml:space="preserve"> </w:t>
      </w:r>
      <w:r w:rsidR="00B938EB">
        <w:rPr>
          <w:rFonts w:ascii="Calibri" w:hAnsi="Calibri" w:hint="cs"/>
          <w:b/>
          <w:bCs/>
          <w:caps/>
          <w:sz w:val="15"/>
          <w:szCs w:val="15"/>
          <w:rtl/>
          <w:lang w:bidi="ar-SA"/>
        </w:rPr>
        <w:t>ديسمبر</w:t>
      </w:r>
      <w:r>
        <w:rPr>
          <w:rFonts w:ascii="Calibri" w:hAnsi="Calibri" w:hint="cs"/>
          <w:b/>
          <w:bCs/>
          <w:caps/>
          <w:sz w:val="15"/>
          <w:szCs w:val="15"/>
          <w:rtl/>
          <w:lang w:bidi="ar-SA"/>
        </w:rPr>
        <w:t xml:space="preserve"> </w:t>
      </w:r>
      <w:r w:rsidR="000A7D39">
        <w:rPr>
          <w:rFonts w:ascii="Calibri" w:hAnsi="Calibri" w:hint="cs"/>
          <w:b/>
          <w:bCs/>
          <w:caps/>
          <w:sz w:val="15"/>
          <w:szCs w:val="15"/>
          <w:rtl/>
          <w:lang w:bidi="ar-SA"/>
        </w:rPr>
        <w:t>2025</w:t>
      </w:r>
    </w:p>
    <w:p w14:paraId="15712D00" w14:textId="5FBF18F2" w:rsidR="00367241" w:rsidRPr="00367241" w:rsidRDefault="00367241" w:rsidP="00367241">
      <w:pPr>
        <w:keepNext/>
        <w:bidi/>
        <w:spacing w:after="480"/>
        <w:outlineLvl w:val="0"/>
        <w:rPr>
          <w:b/>
          <w:bCs/>
          <w:caps/>
          <w:kern w:val="32"/>
          <w:sz w:val="32"/>
          <w:szCs w:val="32"/>
          <w:rtl/>
          <w:lang w:bidi="ar-SA"/>
        </w:rPr>
      </w:pPr>
      <w:r w:rsidRPr="00367241">
        <w:rPr>
          <w:rFonts w:hint="cs"/>
          <w:b/>
          <w:bCs/>
          <w:caps/>
          <w:kern w:val="32"/>
          <w:sz w:val="32"/>
          <w:szCs w:val="32"/>
          <w:rtl/>
          <w:lang w:bidi="ar-SA"/>
        </w:rPr>
        <w:t xml:space="preserve">الفريق العامل </w:t>
      </w:r>
      <w:r w:rsidR="00AB63D2">
        <w:rPr>
          <w:rFonts w:hint="cs"/>
          <w:b/>
          <w:bCs/>
          <w:caps/>
          <w:kern w:val="32"/>
          <w:sz w:val="32"/>
          <w:szCs w:val="32"/>
          <w:rtl/>
          <w:lang w:bidi="ar-SA"/>
        </w:rPr>
        <w:t>المعني ب</w:t>
      </w:r>
      <w:r w:rsidRPr="00367241">
        <w:rPr>
          <w:rFonts w:hint="cs"/>
          <w:b/>
          <w:bCs/>
          <w:caps/>
          <w:kern w:val="32"/>
          <w:sz w:val="32"/>
          <w:szCs w:val="32"/>
          <w:rtl/>
          <w:lang w:bidi="ar-SA"/>
        </w:rPr>
        <w:t>معاهدة التعاون بشأن البراءات</w:t>
      </w:r>
    </w:p>
    <w:p w14:paraId="31D81FE2" w14:textId="07D24D0A" w:rsidR="00367241" w:rsidRPr="00367241" w:rsidRDefault="00367241" w:rsidP="00367241">
      <w:pPr>
        <w:bidi/>
        <w:outlineLvl w:val="1"/>
        <w:rPr>
          <w:rFonts w:ascii="Calibri" w:hAnsi="Calibri"/>
          <w:bCs/>
          <w:sz w:val="24"/>
          <w:szCs w:val="24"/>
          <w:lang w:bidi="ar-SA"/>
        </w:rPr>
      </w:pPr>
      <w:r w:rsidRPr="00367241">
        <w:rPr>
          <w:rFonts w:ascii="Calibri" w:hAnsi="Calibri" w:hint="cs"/>
          <w:bCs/>
          <w:sz w:val="24"/>
          <w:szCs w:val="24"/>
          <w:rtl/>
          <w:lang w:bidi="ar-SA"/>
        </w:rPr>
        <w:t xml:space="preserve">الدورة </w:t>
      </w:r>
      <w:r w:rsidR="00A04D37">
        <w:rPr>
          <w:rFonts w:ascii="Calibri" w:hAnsi="Calibri" w:hint="cs"/>
          <w:bCs/>
          <w:sz w:val="24"/>
          <w:szCs w:val="24"/>
          <w:rtl/>
          <w:lang w:bidi="ar-SA"/>
        </w:rPr>
        <w:t>التاسعة</w:t>
      </w:r>
      <w:r w:rsidRPr="00367241">
        <w:rPr>
          <w:rFonts w:ascii="Calibri" w:hAnsi="Calibri" w:hint="cs"/>
          <w:bCs/>
          <w:sz w:val="24"/>
          <w:szCs w:val="24"/>
          <w:rtl/>
          <w:lang w:bidi="ar-SA"/>
        </w:rPr>
        <w:t xml:space="preserve"> عشرة</w:t>
      </w:r>
    </w:p>
    <w:p w14:paraId="4B4BF47F" w14:textId="60C37A73" w:rsidR="00367241" w:rsidRPr="00367241" w:rsidRDefault="00367241" w:rsidP="00367241">
      <w:pPr>
        <w:bidi/>
        <w:spacing w:after="720"/>
        <w:outlineLvl w:val="1"/>
        <w:rPr>
          <w:rFonts w:ascii="Calibri" w:hAnsi="Calibri"/>
          <w:bCs/>
          <w:sz w:val="24"/>
          <w:szCs w:val="24"/>
          <w:lang w:bidi="ar-SA"/>
        </w:rPr>
      </w:pPr>
      <w:r w:rsidRPr="00367241">
        <w:rPr>
          <w:rFonts w:ascii="Calibri" w:hAnsi="Calibri" w:hint="cs"/>
          <w:bCs/>
          <w:sz w:val="24"/>
          <w:szCs w:val="24"/>
          <w:rtl/>
          <w:lang w:bidi="ar-SA"/>
        </w:rPr>
        <w:t xml:space="preserve">جنيف، من </w:t>
      </w:r>
      <w:r w:rsidR="00445028">
        <w:rPr>
          <w:rFonts w:ascii="Calibri" w:hAnsi="Calibri" w:hint="cs"/>
          <w:bCs/>
          <w:sz w:val="24"/>
          <w:szCs w:val="24"/>
          <w:rtl/>
          <w:lang w:bidi="ar-SA"/>
        </w:rPr>
        <w:t>2</w:t>
      </w:r>
      <w:r w:rsidRPr="00367241">
        <w:rPr>
          <w:rFonts w:ascii="Calibri" w:hAnsi="Calibri" w:hint="cs"/>
          <w:bCs/>
          <w:sz w:val="24"/>
          <w:szCs w:val="24"/>
          <w:rtl/>
          <w:lang w:bidi="ar-SA"/>
        </w:rPr>
        <w:t xml:space="preserve"> إلى </w:t>
      </w:r>
      <w:r w:rsidR="00445028">
        <w:rPr>
          <w:rFonts w:ascii="Calibri" w:hAnsi="Calibri" w:hint="cs"/>
          <w:bCs/>
          <w:sz w:val="24"/>
          <w:szCs w:val="24"/>
          <w:rtl/>
          <w:lang w:bidi="ar-SA"/>
        </w:rPr>
        <w:t>6</w:t>
      </w:r>
      <w:r w:rsidRPr="00367241">
        <w:rPr>
          <w:rFonts w:ascii="Calibri" w:hAnsi="Calibri" w:hint="cs"/>
          <w:bCs/>
          <w:sz w:val="24"/>
          <w:szCs w:val="24"/>
          <w:rtl/>
          <w:lang w:bidi="ar-SA"/>
        </w:rPr>
        <w:t xml:space="preserve"> فبراير </w:t>
      </w:r>
      <w:r w:rsidR="00445028">
        <w:rPr>
          <w:rFonts w:ascii="Calibri" w:hAnsi="Calibri" w:hint="cs"/>
          <w:bCs/>
          <w:sz w:val="24"/>
          <w:szCs w:val="24"/>
          <w:rtl/>
          <w:lang w:bidi="ar-SA"/>
        </w:rPr>
        <w:t>2026</w:t>
      </w:r>
    </w:p>
    <w:p w14:paraId="3BEF8C58" w14:textId="77777777" w:rsidR="00367241" w:rsidRPr="00367241" w:rsidRDefault="00367241" w:rsidP="00367241">
      <w:pPr>
        <w:bidi/>
        <w:spacing w:after="360"/>
        <w:outlineLvl w:val="0"/>
        <w:rPr>
          <w:rFonts w:ascii="Calibri" w:hAnsi="Calibri"/>
          <w:caps/>
          <w:sz w:val="24"/>
          <w:szCs w:val="22"/>
          <w:lang w:bidi="ar-SA"/>
        </w:rPr>
      </w:pPr>
      <w:r w:rsidRPr="00367241">
        <w:rPr>
          <w:rFonts w:ascii="Calibri" w:hAnsi="Calibri"/>
          <w:caps/>
          <w:sz w:val="28"/>
          <w:szCs w:val="24"/>
          <w:rtl/>
          <w:lang w:bidi="ar-SA"/>
        </w:rPr>
        <w:t>وسيلة للإيداع لدخول المرحلة الوطنية أمام المكاتب المعيّنة</w:t>
      </w:r>
    </w:p>
    <w:p w14:paraId="4F739D2A" w14:textId="77777777" w:rsidR="00C75625" w:rsidRDefault="00367241" w:rsidP="00C75625">
      <w:pPr>
        <w:bidi/>
        <w:spacing w:after="1040"/>
        <w:rPr>
          <w:rtl/>
        </w:rPr>
      </w:pPr>
      <w:r w:rsidRPr="00367241">
        <w:rPr>
          <w:rFonts w:ascii="Calibri" w:hAnsi="Calibri"/>
          <w:iCs/>
          <w:szCs w:val="22"/>
          <w:rtl/>
          <w:lang w:bidi="ar-SA"/>
        </w:rPr>
        <w:t>وثيقة من إعداد المكتب الدولي</w:t>
      </w:r>
    </w:p>
    <w:p w14:paraId="43A64C1A" w14:textId="10DA285E" w:rsidR="000763CC" w:rsidRPr="00C75625" w:rsidRDefault="000763CC" w:rsidP="009D06FF">
      <w:pPr>
        <w:bidi/>
        <w:spacing w:after="220"/>
        <w:rPr>
          <w:rFonts w:ascii="Calibri" w:hAnsi="Calibri"/>
          <w:b/>
          <w:bCs/>
          <w:iCs/>
          <w:szCs w:val="22"/>
          <w:rtl/>
          <w:lang w:bidi="ar-SA"/>
        </w:rPr>
      </w:pPr>
      <w:r w:rsidRPr="00C75625">
        <w:rPr>
          <w:rFonts w:hint="cs"/>
          <w:b/>
          <w:bCs/>
          <w:szCs w:val="22"/>
          <w:rtl/>
        </w:rPr>
        <w:t>ملخص</w:t>
      </w:r>
    </w:p>
    <w:p w14:paraId="78193F05" w14:textId="69699D07" w:rsidR="009D06FF" w:rsidRPr="009D06FF" w:rsidRDefault="000763CC" w:rsidP="009D06FF">
      <w:pPr>
        <w:pStyle w:val="ONUME"/>
        <w:bidi/>
        <w:rPr>
          <w:szCs w:val="22"/>
          <w:rtl/>
        </w:rPr>
      </w:pPr>
      <w:r w:rsidRPr="00367241">
        <w:rPr>
          <w:rFonts w:hint="cs"/>
          <w:szCs w:val="22"/>
          <w:rtl/>
        </w:rPr>
        <w:t xml:space="preserve">تتناول هذه </w:t>
      </w:r>
      <w:r w:rsidR="009D06FF" w:rsidRPr="009D06FF">
        <w:rPr>
          <w:szCs w:val="22"/>
          <w:rtl/>
        </w:rPr>
        <w:t xml:space="preserve">الوثيقة </w:t>
      </w:r>
      <w:r w:rsidR="00597F47">
        <w:rPr>
          <w:rFonts w:hint="cs"/>
          <w:szCs w:val="22"/>
          <w:rtl/>
        </w:rPr>
        <w:t>اقتراحات</w:t>
      </w:r>
      <w:r w:rsidR="009D06FF" w:rsidRPr="009D06FF">
        <w:rPr>
          <w:szCs w:val="22"/>
          <w:rtl/>
        </w:rPr>
        <w:t xml:space="preserve"> لتعديل اللائحة </w:t>
      </w:r>
      <w:r w:rsidR="009A0562">
        <w:rPr>
          <w:rFonts w:hint="cs"/>
          <w:szCs w:val="22"/>
          <w:rtl/>
          <w:lang w:bidi="ar-SA"/>
        </w:rPr>
        <w:t xml:space="preserve">التنفيذية </w:t>
      </w:r>
      <w:r w:rsidR="009D06FF" w:rsidRPr="009D06FF">
        <w:rPr>
          <w:szCs w:val="22"/>
          <w:rtl/>
        </w:rPr>
        <w:t xml:space="preserve">بغرض توضيح الظروف التي يجوز فيها للمكتب المعين أن يشترط استخدام الأنظمة الإلكترونية لكي يقوم المودِع </w:t>
      </w:r>
      <w:r w:rsidR="00544AD3">
        <w:rPr>
          <w:rFonts w:hint="cs"/>
          <w:szCs w:val="22"/>
          <w:rtl/>
        </w:rPr>
        <w:t>بالأفعال</w:t>
      </w:r>
      <w:r w:rsidR="009D06FF" w:rsidRPr="009D06FF">
        <w:rPr>
          <w:szCs w:val="22"/>
          <w:rtl/>
        </w:rPr>
        <w:t xml:space="preserve"> المشار إليها في المادة 22 بغية دخول الطلب في المرحلة الوطنية</w:t>
      </w:r>
      <w:r w:rsidR="009D06FF" w:rsidRPr="009D06FF">
        <w:rPr>
          <w:szCs w:val="22"/>
        </w:rPr>
        <w:t>.</w:t>
      </w:r>
    </w:p>
    <w:p w14:paraId="7B93A9FC" w14:textId="77777777" w:rsidR="009D06FF" w:rsidRPr="009D06FF" w:rsidRDefault="009D06FF" w:rsidP="009D06FF">
      <w:pPr>
        <w:pStyle w:val="ONUME"/>
        <w:bidi/>
        <w:rPr>
          <w:szCs w:val="22"/>
          <w:rtl/>
        </w:rPr>
      </w:pPr>
      <w:r w:rsidRPr="009D06FF">
        <w:rPr>
          <w:szCs w:val="22"/>
          <w:rtl/>
        </w:rPr>
        <w:t>وبشكل محدد، ينبغي السماح بجعل استخدام الأنظمة الإلكترونية إلزاميًا لغرض الدخول في المرحلة الوطنية، ولكن</w:t>
      </w:r>
      <w:r w:rsidRPr="009D06FF">
        <w:rPr>
          <w:szCs w:val="22"/>
        </w:rPr>
        <w:t>:</w:t>
      </w:r>
    </w:p>
    <w:p w14:paraId="6AED1C75" w14:textId="2C1E437A" w:rsidR="009D06FF" w:rsidRPr="009D06FF" w:rsidRDefault="00C1398B" w:rsidP="00C1398B">
      <w:pPr>
        <w:pStyle w:val="ONUME"/>
        <w:numPr>
          <w:ilvl w:val="0"/>
          <w:numId w:val="0"/>
        </w:numPr>
        <w:bidi/>
        <w:ind w:left="566"/>
        <w:rPr>
          <w:szCs w:val="22"/>
          <w:rtl/>
        </w:rPr>
      </w:pPr>
      <w:r>
        <w:rPr>
          <w:rFonts w:hint="cs"/>
          <w:szCs w:val="22"/>
          <w:rtl/>
        </w:rPr>
        <w:t>(</w:t>
      </w:r>
      <w:r w:rsidR="009D06FF" w:rsidRPr="009D06FF">
        <w:rPr>
          <w:szCs w:val="22"/>
          <w:rtl/>
        </w:rPr>
        <w:t xml:space="preserve">أ) </w:t>
      </w:r>
      <w:r w:rsidR="00E843C2">
        <w:rPr>
          <w:rFonts w:hint="cs"/>
          <w:szCs w:val="22"/>
          <w:rtl/>
        </w:rPr>
        <w:t>ينبغي</w:t>
      </w:r>
      <w:r w:rsidR="009D06FF" w:rsidRPr="009D06FF">
        <w:rPr>
          <w:szCs w:val="22"/>
          <w:rtl/>
        </w:rPr>
        <w:t xml:space="preserve"> أن تكون هناك دائمًا إمكانية متاحة للمودِعين غير المقيمين دون الحاجة إلى وكيل محلي؛</w:t>
      </w:r>
    </w:p>
    <w:p w14:paraId="2569B4B5" w14:textId="6C85AB74" w:rsidR="009D06FF" w:rsidRPr="009D06FF" w:rsidRDefault="00C1398B" w:rsidP="00C1398B">
      <w:pPr>
        <w:pStyle w:val="ONUME"/>
        <w:numPr>
          <w:ilvl w:val="0"/>
          <w:numId w:val="0"/>
        </w:numPr>
        <w:bidi/>
        <w:ind w:left="566"/>
        <w:rPr>
          <w:szCs w:val="22"/>
          <w:rtl/>
        </w:rPr>
      </w:pPr>
      <w:r>
        <w:rPr>
          <w:rFonts w:hint="cs"/>
          <w:szCs w:val="22"/>
          <w:rtl/>
        </w:rPr>
        <w:t>(</w:t>
      </w:r>
      <w:r w:rsidR="009D06FF" w:rsidRPr="009D06FF">
        <w:rPr>
          <w:szCs w:val="22"/>
          <w:rtl/>
        </w:rPr>
        <w:t xml:space="preserve">ب) </w:t>
      </w:r>
      <w:r w:rsidR="00E843C2">
        <w:rPr>
          <w:rFonts w:hint="cs"/>
          <w:szCs w:val="22"/>
          <w:rtl/>
        </w:rPr>
        <w:t>ينبغي</w:t>
      </w:r>
      <w:r w:rsidR="009D06FF" w:rsidRPr="009D06FF">
        <w:rPr>
          <w:szCs w:val="22"/>
          <w:rtl/>
        </w:rPr>
        <w:t xml:space="preserve"> ألا يكون إلزاميًا تقديم مستندات وبيانات تتجاوز ما هو محدد في المادة 22؛</w:t>
      </w:r>
    </w:p>
    <w:p w14:paraId="67393CFD" w14:textId="69F944D8" w:rsidR="009D06FF" w:rsidRDefault="009D06FF" w:rsidP="00C1398B">
      <w:pPr>
        <w:pStyle w:val="ONUME"/>
        <w:numPr>
          <w:ilvl w:val="0"/>
          <w:numId w:val="0"/>
        </w:numPr>
        <w:bidi/>
        <w:ind w:left="566"/>
        <w:rPr>
          <w:szCs w:val="22"/>
        </w:rPr>
      </w:pPr>
      <w:r w:rsidRPr="009D06FF">
        <w:rPr>
          <w:szCs w:val="22"/>
          <w:rtl/>
        </w:rPr>
        <w:t xml:space="preserve">(ج) </w:t>
      </w:r>
      <w:r w:rsidR="00E843C2">
        <w:rPr>
          <w:rFonts w:hint="cs"/>
          <w:szCs w:val="22"/>
          <w:rtl/>
        </w:rPr>
        <w:t>ينبغي</w:t>
      </w:r>
      <w:r w:rsidRPr="009D06FF">
        <w:rPr>
          <w:szCs w:val="22"/>
          <w:rtl/>
        </w:rPr>
        <w:t xml:space="preserve"> أن يتوافر حد أدنى من الضمان في حال عدم توفر خدمة الدخول في المرحلة الوطنية (وينبغي من حيث المبدأ أن ينطبق ذلك على أي خدمة، وليس فقط الخدمة الإلكترونية الوحيدة).</w:t>
      </w:r>
    </w:p>
    <w:p w14:paraId="44245A0D" w14:textId="77777777" w:rsidR="000441F6" w:rsidRPr="00367241" w:rsidRDefault="000763CC" w:rsidP="00C75625">
      <w:pPr>
        <w:pStyle w:val="Heading1"/>
        <w:bidi/>
        <w:spacing w:after="220"/>
        <w:rPr>
          <w:kern w:val="0"/>
          <w:szCs w:val="22"/>
          <w:rtl/>
        </w:rPr>
      </w:pPr>
      <w:r w:rsidRPr="00367241">
        <w:rPr>
          <w:rFonts w:hint="cs"/>
          <w:kern w:val="0"/>
          <w:szCs w:val="22"/>
          <w:rtl/>
        </w:rPr>
        <w:t>معلومات أساسية</w:t>
      </w:r>
    </w:p>
    <w:p w14:paraId="49A7B1C8" w14:textId="5EEF9594" w:rsidR="007A7D64" w:rsidRPr="007A7D64" w:rsidRDefault="007A7D64" w:rsidP="007A7D64">
      <w:pPr>
        <w:pStyle w:val="ONUME"/>
        <w:bidi/>
        <w:rPr>
          <w:szCs w:val="22"/>
          <w:rtl/>
        </w:rPr>
      </w:pPr>
      <w:r w:rsidRPr="007A7D64">
        <w:rPr>
          <w:szCs w:val="22"/>
          <w:rtl/>
        </w:rPr>
        <w:t>تنص الفقرة (1) من المادة 22 على الأفعال اللازمة لدخول المرحلة الوطنية كما يلي (</w:t>
      </w:r>
      <w:r w:rsidR="009A0562">
        <w:rPr>
          <w:rFonts w:hint="cs"/>
          <w:szCs w:val="22"/>
          <w:rtl/>
        </w:rPr>
        <w:t>"</w:t>
      </w:r>
      <w:r w:rsidRPr="007A7D64">
        <w:rPr>
          <w:szCs w:val="22"/>
          <w:rtl/>
        </w:rPr>
        <w:t>أفعال المادة 22</w:t>
      </w:r>
      <w:r w:rsidR="009A0562">
        <w:rPr>
          <w:rFonts w:hint="cs"/>
          <w:szCs w:val="22"/>
          <w:rtl/>
        </w:rPr>
        <w:t>"</w:t>
      </w:r>
      <w:r>
        <w:rPr>
          <w:rFonts w:hint="cs"/>
          <w:szCs w:val="22"/>
          <w:rtl/>
        </w:rPr>
        <w:t>)</w:t>
      </w:r>
      <w:r w:rsidRPr="007A7D64">
        <w:rPr>
          <w:szCs w:val="22"/>
        </w:rPr>
        <w:t>:</w:t>
      </w:r>
    </w:p>
    <w:p w14:paraId="05BB421D" w14:textId="46549766" w:rsidR="007A7D64" w:rsidRPr="007A7D64" w:rsidRDefault="007A7D64" w:rsidP="00AB63D2">
      <w:pPr>
        <w:pStyle w:val="ONUME"/>
        <w:numPr>
          <w:ilvl w:val="0"/>
          <w:numId w:val="0"/>
        </w:numPr>
        <w:bidi/>
        <w:ind w:left="566"/>
        <w:rPr>
          <w:szCs w:val="22"/>
          <w:rtl/>
        </w:rPr>
      </w:pPr>
      <w:r>
        <w:rPr>
          <w:rFonts w:hint="cs"/>
          <w:szCs w:val="22"/>
          <w:rtl/>
        </w:rPr>
        <w:t xml:space="preserve">"(1) </w:t>
      </w:r>
      <w:r w:rsidR="00497A62" w:rsidRPr="00367241">
        <w:rPr>
          <w:rFonts w:hint="cs"/>
          <w:szCs w:val="22"/>
          <w:rtl/>
        </w:rPr>
        <w:t>على مودع الطلب أن يقدم لكل مكتب معيَّن صورة عن الطلب الدولي (ما لم يكن الإبلاغ المنصوص عليه في المادة 20 قد تم) وترجمة للطلب (على الوجه المنصوص عليه) وأن يسدد (عند الاقتضاء) الرسوم الوطنية في مهلة لا تتجاوز 30</w:t>
      </w:r>
      <w:r w:rsidR="00497A62" w:rsidRPr="00367241">
        <w:rPr>
          <w:rStyle w:val="FootnoteReference"/>
          <w:szCs w:val="22"/>
        </w:rPr>
        <w:footnoteReference w:id="2"/>
      </w:r>
      <w:r w:rsidR="00497A62" w:rsidRPr="00367241">
        <w:rPr>
          <w:rFonts w:hint="cs"/>
          <w:szCs w:val="22"/>
          <w:rtl/>
        </w:rPr>
        <w:t xml:space="preserve"> شهراً اعتباراً من تاريخ الأولوية. وإذا تطلّب التشريع الوطني للدولة المعيَّنة تحديد اسم المخترع والمعلومات المقررة الأخرى والخاصة بالمخترع مع السماح رغم ذلك بتقديمها في تاريخ لاحق لإيداع الطلب الوطني، فعلى مودع الطلب أن يقدم هذه </w:t>
      </w:r>
      <w:r w:rsidR="00497A62" w:rsidRPr="00367241">
        <w:rPr>
          <w:rFonts w:hint="cs"/>
          <w:szCs w:val="22"/>
          <w:rtl/>
        </w:rPr>
        <w:lastRenderedPageBreak/>
        <w:t>البيانات، ما لم تكن قد وردت في العريضة، للمكتب الوطني لهذه الدولة أو للمكتب الذي يعمل باسمها في مهلة لا تتجاوز 30 شهراً من تاريخ الأولوية</w:t>
      </w:r>
      <w:r w:rsidRPr="007A7D64">
        <w:rPr>
          <w:szCs w:val="22"/>
        </w:rPr>
        <w:t>.</w:t>
      </w:r>
      <w:r>
        <w:rPr>
          <w:rFonts w:hint="cs"/>
          <w:szCs w:val="22"/>
          <w:rtl/>
        </w:rPr>
        <w:t>"</w:t>
      </w:r>
    </w:p>
    <w:p w14:paraId="7BE41511" w14:textId="22721BBB" w:rsidR="007A7D64" w:rsidRPr="007A7D64" w:rsidRDefault="00A17924" w:rsidP="007A7D64">
      <w:pPr>
        <w:pStyle w:val="ONUME"/>
        <w:bidi/>
        <w:rPr>
          <w:szCs w:val="22"/>
          <w:rtl/>
        </w:rPr>
      </w:pPr>
      <w:r>
        <w:rPr>
          <w:rFonts w:hint="cs"/>
          <w:szCs w:val="22"/>
          <w:rtl/>
        </w:rPr>
        <w:t>و</w:t>
      </w:r>
      <w:r w:rsidR="007A7D64" w:rsidRPr="007A7D64">
        <w:rPr>
          <w:szCs w:val="22"/>
          <w:rtl/>
        </w:rPr>
        <w:t>توضح الفقرتان (2) و(3) من المادة 22 الحالة التي تصدر فيها هيئة البحث الدولي إعلانًا يفيد بعدم إعداد تقرير البحث الدولي، وتبيّن أن القوانين الوطنية قد تحدد آجالًا تنتهي في وقت لاحق</w:t>
      </w:r>
      <w:r w:rsidR="007A7D64" w:rsidRPr="007A7D64">
        <w:rPr>
          <w:szCs w:val="22"/>
        </w:rPr>
        <w:t>.</w:t>
      </w:r>
    </w:p>
    <w:p w14:paraId="1DD806F4" w14:textId="0E9EA795" w:rsidR="007A7D64" w:rsidRDefault="00A17924" w:rsidP="007A7D64">
      <w:pPr>
        <w:pStyle w:val="ONUME"/>
        <w:bidi/>
        <w:rPr>
          <w:szCs w:val="22"/>
        </w:rPr>
      </w:pPr>
      <w:r>
        <w:rPr>
          <w:rFonts w:hint="cs"/>
          <w:szCs w:val="22"/>
          <w:rtl/>
        </w:rPr>
        <w:t>و</w:t>
      </w:r>
      <w:r w:rsidR="007A7D64" w:rsidRPr="007A7D64">
        <w:rPr>
          <w:szCs w:val="22"/>
          <w:rtl/>
        </w:rPr>
        <w:t>تشمل أفعال المادة 22 تقديم مستندات في حالات معينة ودفع رسم وطني في معظم الحالات. وهذه عادةً إجراءات منفصلة، يجب تنفيذ كل منها (أو جميعها، عند الحاجة إلى مستندات متعددة) ضمن نفس المهلة الزمنية، وإن كانت الأنظمة اليدوية والإلكترونية قد تتيح إنجازها في وقت واحد.</w:t>
      </w:r>
    </w:p>
    <w:p w14:paraId="1EC4DFB2" w14:textId="4A8CE92D" w:rsidR="00544AD3" w:rsidRDefault="00A17924" w:rsidP="007A7D64">
      <w:pPr>
        <w:pStyle w:val="ONUME"/>
        <w:bidi/>
        <w:rPr>
          <w:szCs w:val="22"/>
        </w:rPr>
      </w:pPr>
      <w:r>
        <w:rPr>
          <w:rFonts w:hint="cs"/>
          <w:szCs w:val="22"/>
          <w:rtl/>
        </w:rPr>
        <w:t>و</w:t>
      </w:r>
      <w:r w:rsidR="000763CC" w:rsidRPr="00367241">
        <w:rPr>
          <w:rFonts w:hint="cs"/>
          <w:szCs w:val="22"/>
          <w:rtl/>
        </w:rPr>
        <w:t>قدَّمت البرازيل، إبّان الدورة الخامسة عشرة للفريق العامل المعقودة في أكتوبر 2022، اقتراحاً بتعديل القاعدة 89</w:t>
      </w:r>
      <w:r w:rsidR="000763CC" w:rsidRPr="00367241">
        <w:rPr>
          <w:rFonts w:hint="cs"/>
          <w:szCs w:val="22"/>
          <w:vertAlign w:val="superscript"/>
          <w:rtl/>
        </w:rPr>
        <w:t>(</w:t>
      </w:r>
      <w:r>
        <w:rPr>
          <w:rFonts w:hint="cs"/>
          <w:szCs w:val="22"/>
          <w:vertAlign w:val="superscript"/>
          <w:rtl/>
        </w:rPr>
        <w:t>مكرر</w:t>
      </w:r>
      <w:r w:rsidR="000763CC" w:rsidRPr="00367241">
        <w:rPr>
          <w:rFonts w:hint="cs"/>
          <w:szCs w:val="22"/>
          <w:vertAlign w:val="superscript"/>
          <w:rtl/>
        </w:rPr>
        <w:t>)</w:t>
      </w:r>
      <w:r w:rsidR="000763CC" w:rsidRPr="00367241">
        <w:rPr>
          <w:rFonts w:hint="cs"/>
          <w:szCs w:val="22"/>
          <w:rtl/>
        </w:rPr>
        <w:t>1 والقاعدة 89</w:t>
      </w:r>
      <w:r w:rsidR="000763CC" w:rsidRPr="00367241">
        <w:rPr>
          <w:rFonts w:hint="cs"/>
          <w:szCs w:val="22"/>
          <w:vertAlign w:val="superscript"/>
          <w:rtl/>
        </w:rPr>
        <w:t>(</w:t>
      </w:r>
      <w:r>
        <w:rPr>
          <w:rFonts w:hint="cs"/>
          <w:szCs w:val="22"/>
          <w:vertAlign w:val="superscript"/>
          <w:rtl/>
        </w:rPr>
        <w:t>مكرر</w:t>
      </w:r>
      <w:r w:rsidR="000763CC" w:rsidRPr="00367241">
        <w:rPr>
          <w:rFonts w:hint="cs"/>
          <w:szCs w:val="22"/>
          <w:vertAlign w:val="superscript"/>
          <w:rtl/>
        </w:rPr>
        <w:t>)</w:t>
      </w:r>
      <w:r w:rsidR="000763CC" w:rsidRPr="00367241">
        <w:rPr>
          <w:rFonts w:hint="cs"/>
          <w:szCs w:val="22"/>
          <w:rtl/>
        </w:rPr>
        <w:t>2</w:t>
      </w:r>
      <w:r>
        <w:rPr>
          <w:rFonts w:hint="cs"/>
          <w:szCs w:val="22"/>
          <w:rtl/>
        </w:rPr>
        <w:t>-</w:t>
      </w:r>
      <w:r w:rsidR="000763CC" w:rsidRPr="00367241">
        <w:rPr>
          <w:rFonts w:hint="cs"/>
          <w:szCs w:val="22"/>
          <w:rtl/>
        </w:rPr>
        <w:t xml:space="preserve"> للسماح لمكاتب تسلّم الطلبات باشتراط إيداع الطلبات الدولية وتقديم الوثائق المودعة لاحقاً ودخول المرحلة الوطنية إلكترونياً فقط وليس ورقياً (انظر(ي) الوثيقة </w:t>
      </w:r>
      <w:r w:rsidR="000763CC" w:rsidRPr="00367241">
        <w:rPr>
          <w:szCs w:val="22"/>
        </w:rPr>
        <w:t>PCT/WG/15/13</w:t>
      </w:r>
      <w:r w:rsidR="000763CC" w:rsidRPr="00367241">
        <w:rPr>
          <w:rFonts w:hint="cs"/>
          <w:szCs w:val="22"/>
          <w:rtl/>
        </w:rPr>
        <w:t>). ونوقشت التعديلات المنقحة المقترح إدخالها على القاعدة 89</w:t>
      </w:r>
      <w:r w:rsidR="000763CC" w:rsidRPr="00367241">
        <w:rPr>
          <w:rFonts w:hint="cs"/>
          <w:szCs w:val="22"/>
          <w:vertAlign w:val="superscript"/>
          <w:rtl/>
        </w:rPr>
        <w:t>(</w:t>
      </w:r>
      <w:r>
        <w:rPr>
          <w:rFonts w:hint="cs"/>
          <w:szCs w:val="22"/>
          <w:vertAlign w:val="superscript"/>
          <w:rtl/>
        </w:rPr>
        <w:t>مكرر</w:t>
      </w:r>
      <w:r w:rsidR="000763CC" w:rsidRPr="00367241">
        <w:rPr>
          <w:rFonts w:hint="cs"/>
          <w:szCs w:val="22"/>
          <w:vertAlign w:val="superscript"/>
          <w:rtl/>
        </w:rPr>
        <w:t>)</w:t>
      </w:r>
      <w:r w:rsidR="000763CC" w:rsidRPr="00367241">
        <w:rPr>
          <w:rFonts w:hint="cs"/>
          <w:szCs w:val="22"/>
          <w:rtl/>
        </w:rPr>
        <w:t xml:space="preserve"> والمتعلقة بإيداع الطلبات الدولية وتقديم الوثائق المودعة لاحقاً إبّان الدورة السابعة عشرة للفريق العامل المعقودة في فبراير 2024 (انظر(ي) الوثيقة </w:t>
      </w:r>
      <w:r w:rsidR="000763CC" w:rsidRPr="00367241">
        <w:rPr>
          <w:szCs w:val="22"/>
        </w:rPr>
        <w:t>PCT/WG/17/15</w:t>
      </w:r>
      <w:r w:rsidR="000763CC" w:rsidRPr="00367241">
        <w:rPr>
          <w:rFonts w:hint="cs"/>
          <w:szCs w:val="22"/>
          <w:rtl/>
        </w:rPr>
        <w:t xml:space="preserve">) واعتمدتها جمعية معاهدة البراءات في يوليو 2024 (انظر(ي) الوثيقة </w:t>
      </w:r>
      <w:r w:rsidR="000763CC" w:rsidRPr="00367241">
        <w:rPr>
          <w:szCs w:val="22"/>
        </w:rPr>
        <w:t>PCT/A/56/3</w:t>
      </w:r>
      <w:r w:rsidR="000763CC" w:rsidRPr="00367241">
        <w:rPr>
          <w:rFonts w:hint="cs"/>
          <w:szCs w:val="22"/>
          <w:rtl/>
        </w:rPr>
        <w:t xml:space="preserve">). </w:t>
      </w:r>
    </w:p>
    <w:p w14:paraId="57764327" w14:textId="12ECBABF" w:rsidR="005E7C7E" w:rsidRDefault="000763CC" w:rsidP="00544AD3">
      <w:pPr>
        <w:pStyle w:val="ONUME"/>
        <w:bidi/>
        <w:rPr>
          <w:szCs w:val="22"/>
        </w:rPr>
      </w:pPr>
      <w:r w:rsidRPr="00367241">
        <w:rPr>
          <w:rFonts w:hint="cs"/>
          <w:szCs w:val="22"/>
          <w:rtl/>
        </w:rPr>
        <w:t xml:space="preserve">ودعا الفريق العامل المكتب الدولي إلى دراسة المشكلات المرتبطة بدخول المرحلة الوطنية إلكترونياً فقط (انظر(ي) الفقرة 39"2" من ملخص الرئيس الوارد في الوثيقة </w:t>
      </w:r>
      <w:r w:rsidRPr="00367241">
        <w:rPr>
          <w:szCs w:val="22"/>
        </w:rPr>
        <w:t>PCT/WG/15/19</w:t>
      </w:r>
      <w:r w:rsidRPr="00367241">
        <w:rPr>
          <w:rFonts w:hint="cs"/>
          <w:szCs w:val="22"/>
          <w:rtl/>
        </w:rPr>
        <w:t>).</w:t>
      </w:r>
    </w:p>
    <w:p w14:paraId="186FE322" w14:textId="6FD127CE" w:rsidR="00544AD3" w:rsidRPr="00544AD3" w:rsidRDefault="00A17924" w:rsidP="00544AD3">
      <w:pPr>
        <w:pStyle w:val="ONUME"/>
        <w:bidi/>
        <w:rPr>
          <w:szCs w:val="22"/>
          <w:rtl/>
        </w:rPr>
      </w:pPr>
      <w:r>
        <w:rPr>
          <w:rFonts w:hint="cs"/>
          <w:szCs w:val="22"/>
          <w:rtl/>
        </w:rPr>
        <w:t>و</w:t>
      </w:r>
      <w:r w:rsidR="00544AD3" w:rsidRPr="00544AD3">
        <w:rPr>
          <w:szCs w:val="22"/>
          <w:rtl/>
        </w:rPr>
        <w:t xml:space="preserve">في الدورة الثامنة عشرة للفريق العامل </w:t>
      </w:r>
      <w:r>
        <w:rPr>
          <w:rFonts w:hint="cs"/>
          <w:szCs w:val="22"/>
          <w:rtl/>
        </w:rPr>
        <w:t xml:space="preserve">التي عقدت </w:t>
      </w:r>
      <w:r w:rsidR="00544AD3" w:rsidRPr="00544AD3">
        <w:rPr>
          <w:szCs w:val="22"/>
          <w:rtl/>
        </w:rPr>
        <w:t>في فبراير 2025، قدّم المكتب الدولي وثيقة</w:t>
      </w:r>
      <w:r w:rsidR="00544AD3" w:rsidRPr="00544AD3">
        <w:rPr>
          <w:szCs w:val="22"/>
        </w:rPr>
        <w:t xml:space="preserve"> (PCT/WG/18/4 Rev.) </w:t>
      </w:r>
      <w:r w:rsidR="00544AD3" w:rsidRPr="00544AD3">
        <w:rPr>
          <w:szCs w:val="22"/>
          <w:rtl/>
        </w:rPr>
        <w:t>تناولت دراسة المسائل المتعلقة بالدخول في المرحلة الوطنية باستخدام الوسائل الإلكترونية فقط. وتعرض الفقرة 22 من هذه الوثيقة خلاصة هذه الدراسة كما يلي</w:t>
      </w:r>
      <w:r w:rsidR="00544AD3" w:rsidRPr="00544AD3">
        <w:rPr>
          <w:szCs w:val="22"/>
        </w:rPr>
        <w:t>:</w:t>
      </w:r>
    </w:p>
    <w:p w14:paraId="1769539D" w14:textId="1EB473D9" w:rsidR="00544AD3" w:rsidRPr="00544AD3" w:rsidRDefault="00544AD3" w:rsidP="009915AB">
      <w:pPr>
        <w:pStyle w:val="ONUME"/>
        <w:numPr>
          <w:ilvl w:val="0"/>
          <w:numId w:val="0"/>
        </w:numPr>
        <w:bidi/>
        <w:ind w:left="566"/>
        <w:rPr>
          <w:szCs w:val="22"/>
          <w:rtl/>
        </w:rPr>
      </w:pPr>
      <w:r>
        <w:rPr>
          <w:rFonts w:hint="cs"/>
          <w:szCs w:val="22"/>
          <w:rtl/>
        </w:rPr>
        <w:t>"</w:t>
      </w:r>
      <w:r w:rsidRPr="00544AD3">
        <w:rPr>
          <w:szCs w:val="22"/>
        </w:rPr>
        <w:t>22</w:t>
      </w:r>
      <w:r>
        <w:rPr>
          <w:rFonts w:hint="cs"/>
          <w:szCs w:val="22"/>
          <w:rtl/>
        </w:rPr>
        <w:t xml:space="preserve">- </w:t>
      </w:r>
      <w:r w:rsidRPr="00544AD3">
        <w:rPr>
          <w:szCs w:val="22"/>
        </w:rPr>
        <w:t xml:space="preserve"> </w:t>
      </w:r>
      <w:r w:rsidRPr="00544AD3">
        <w:rPr>
          <w:szCs w:val="22"/>
          <w:rtl/>
        </w:rPr>
        <w:t xml:space="preserve">يرى المكتب الدولي أنه يجوز </w:t>
      </w:r>
      <w:r w:rsidR="00C166C9">
        <w:rPr>
          <w:rFonts w:hint="cs"/>
          <w:szCs w:val="22"/>
          <w:rtl/>
        </w:rPr>
        <w:t>للمكاتب</w:t>
      </w:r>
      <w:r w:rsidRPr="00544AD3">
        <w:rPr>
          <w:szCs w:val="22"/>
          <w:rtl/>
        </w:rPr>
        <w:t xml:space="preserve"> المعيّن</w:t>
      </w:r>
      <w:r w:rsidR="00C166C9">
        <w:rPr>
          <w:rFonts w:hint="cs"/>
          <w:szCs w:val="22"/>
          <w:rtl/>
        </w:rPr>
        <w:t>ة</w:t>
      </w:r>
      <w:r w:rsidRPr="00544AD3">
        <w:rPr>
          <w:szCs w:val="22"/>
          <w:rtl/>
        </w:rPr>
        <w:t xml:space="preserve"> أن </w:t>
      </w:r>
      <w:r w:rsidR="00C166C9">
        <w:rPr>
          <w:rFonts w:hint="cs"/>
          <w:szCs w:val="22"/>
          <w:rtl/>
        </w:rPr>
        <w:t>تقتضي</w:t>
      </w:r>
      <w:r w:rsidRPr="00544AD3">
        <w:rPr>
          <w:szCs w:val="22"/>
          <w:rtl/>
        </w:rPr>
        <w:t xml:space="preserve"> </w:t>
      </w:r>
      <w:r w:rsidR="00C166C9">
        <w:rPr>
          <w:rFonts w:hint="cs"/>
          <w:szCs w:val="22"/>
          <w:rtl/>
        </w:rPr>
        <w:t>من المودعين</w:t>
      </w:r>
      <w:r w:rsidRPr="00544AD3">
        <w:rPr>
          <w:szCs w:val="22"/>
          <w:rtl/>
        </w:rPr>
        <w:t xml:space="preserve"> استخدام نظام إلكتروني كوسيلة وحيدة لدخول المرحلة الوطنية، شريطة أن</w:t>
      </w:r>
      <w:r w:rsidRPr="00544AD3">
        <w:rPr>
          <w:szCs w:val="22"/>
        </w:rPr>
        <w:t>:</w:t>
      </w:r>
    </w:p>
    <w:p w14:paraId="3EB973B8" w14:textId="3D423C59" w:rsidR="00544AD3" w:rsidRPr="00544AD3" w:rsidRDefault="00544AD3" w:rsidP="00AF2376">
      <w:pPr>
        <w:pStyle w:val="ONUME"/>
        <w:numPr>
          <w:ilvl w:val="0"/>
          <w:numId w:val="0"/>
        </w:numPr>
        <w:bidi/>
        <w:ind w:left="566"/>
        <w:rPr>
          <w:szCs w:val="22"/>
          <w:rtl/>
        </w:rPr>
      </w:pPr>
      <w:r w:rsidRPr="00544AD3">
        <w:rPr>
          <w:szCs w:val="22"/>
          <w:rtl/>
        </w:rPr>
        <w:t xml:space="preserve">أ) لا يقتضي النظام الإلكتروني من </w:t>
      </w:r>
      <w:r w:rsidR="00C166C9">
        <w:rPr>
          <w:rFonts w:hint="cs"/>
          <w:szCs w:val="22"/>
          <w:rtl/>
        </w:rPr>
        <w:t>مودع الطلب</w:t>
      </w:r>
      <w:r w:rsidRPr="00544AD3">
        <w:rPr>
          <w:szCs w:val="22"/>
          <w:rtl/>
        </w:rPr>
        <w:t xml:space="preserve"> تقديم معلومات إضافية أو القيام بأفعال أكثر مما هو مشار إليه في الفقرة (1) من المادة 22؛</w:t>
      </w:r>
    </w:p>
    <w:p w14:paraId="6B9930D5" w14:textId="16DDA423" w:rsidR="00544AD3" w:rsidRPr="00544AD3" w:rsidRDefault="00544AD3" w:rsidP="00AF2376">
      <w:pPr>
        <w:pStyle w:val="ONUME"/>
        <w:numPr>
          <w:ilvl w:val="0"/>
          <w:numId w:val="0"/>
        </w:numPr>
        <w:bidi/>
        <w:ind w:left="566"/>
        <w:rPr>
          <w:szCs w:val="22"/>
          <w:rtl/>
        </w:rPr>
      </w:pPr>
      <w:r w:rsidRPr="00544AD3">
        <w:rPr>
          <w:szCs w:val="22"/>
          <w:rtl/>
        </w:rPr>
        <w:t xml:space="preserve">ب) يكون النظام سهل الاستخدام لكلٍّ من </w:t>
      </w:r>
      <w:r w:rsidR="00C166C9">
        <w:rPr>
          <w:rFonts w:hint="cs"/>
          <w:szCs w:val="22"/>
          <w:rtl/>
        </w:rPr>
        <w:t xml:space="preserve">المودعين </w:t>
      </w:r>
      <w:r w:rsidRPr="00544AD3">
        <w:rPr>
          <w:szCs w:val="22"/>
          <w:rtl/>
        </w:rPr>
        <w:t>المقيمين وغير المقيمين دون الحاجة إلى الاستعانة بوكيل محلي؛</w:t>
      </w:r>
    </w:p>
    <w:p w14:paraId="70750E63" w14:textId="5A8AE2FA" w:rsidR="00544AD3" w:rsidRPr="00544AD3" w:rsidRDefault="00544AD3" w:rsidP="00AF2376">
      <w:pPr>
        <w:pStyle w:val="ONUME"/>
        <w:numPr>
          <w:ilvl w:val="0"/>
          <w:numId w:val="0"/>
        </w:numPr>
        <w:bidi/>
        <w:ind w:left="566"/>
        <w:rPr>
          <w:szCs w:val="22"/>
          <w:rtl/>
        </w:rPr>
      </w:pPr>
      <w:r w:rsidRPr="00544AD3">
        <w:rPr>
          <w:szCs w:val="22"/>
          <w:rtl/>
        </w:rPr>
        <w:t xml:space="preserve">ج) تكون هناك ضمانات قائمة تغطي على الأقل الحالة التي يكون فيها عدم الوفاء بالمهلة المحددة للدخول في المرحلة الوطنية راجعًا إلى عدم القدرة على استخدام الخدمة الإلكترونية، بما يعادل </w:t>
      </w:r>
      <w:r w:rsidR="00C166C9">
        <w:rPr>
          <w:rFonts w:hint="cs"/>
          <w:szCs w:val="22"/>
          <w:rtl/>
        </w:rPr>
        <w:t>حالة "</w:t>
      </w:r>
      <w:r w:rsidRPr="00544AD3">
        <w:rPr>
          <w:szCs w:val="22"/>
          <w:rtl/>
        </w:rPr>
        <w:t>انقطاع خدمة البريد</w:t>
      </w:r>
      <w:r w:rsidR="00AF2376">
        <w:rPr>
          <w:rFonts w:hint="cs"/>
          <w:szCs w:val="22"/>
          <w:rtl/>
        </w:rPr>
        <w:t>."</w:t>
      </w:r>
    </w:p>
    <w:p w14:paraId="3B2FCD9D" w14:textId="72EDF275" w:rsidR="00544AD3" w:rsidRPr="00AF2376" w:rsidRDefault="002F0C35" w:rsidP="00AF2376">
      <w:pPr>
        <w:pStyle w:val="ONUME"/>
        <w:bidi/>
        <w:rPr>
          <w:szCs w:val="22"/>
          <w:rtl/>
        </w:rPr>
      </w:pPr>
      <w:r>
        <w:rPr>
          <w:rFonts w:hint="cs"/>
          <w:szCs w:val="22"/>
          <w:rtl/>
        </w:rPr>
        <w:t>و</w:t>
      </w:r>
      <w:r w:rsidR="00544AD3" w:rsidRPr="00544AD3">
        <w:rPr>
          <w:szCs w:val="22"/>
          <w:rtl/>
        </w:rPr>
        <w:t>استنادًا إلى هذه الخلاصة، اقترحت الوثيقة</w:t>
      </w:r>
      <w:r w:rsidR="00544AD3" w:rsidRPr="00544AD3">
        <w:rPr>
          <w:szCs w:val="22"/>
        </w:rPr>
        <w:t xml:space="preserve"> PCT/WG/18/4 Rev. </w:t>
      </w:r>
      <w:r w:rsidR="00544AD3" w:rsidRPr="00544AD3">
        <w:rPr>
          <w:szCs w:val="22"/>
          <w:rtl/>
        </w:rPr>
        <w:t xml:space="preserve">إدخال تعديلات على اللائحة التنفيذية لمعاهدة التعاون بهدف وضع مجموعة واضحة من المعايير الدنيا للمتطلبات والضمانات اللازمة لضمان أن </w:t>
      </w:r>
      <w:r w:rsidR="00782DB4" w:rsidRPr="00544AD3">
        <w:rPr>
          <w:szCs w:val="22"/>
          <w:rtl/>
        </w:rPr>
        <w:t xml:space="preserve">يستوفي </w:t>
      </w:r>
      <w:r w:rsidR="00544AD3" w:rsidRPr="00544AD3">
        <w:rPr>
          <w:szCs w:val="22"/>
          <w:rtl/>
        </w:rPr>
        <w:t xml:space="preserve">نظام الدخول الإلكتروني في المرحلة الوطنية متطلبات المعاهدة ويوفر خدمة يمكن </w:t>
      </w:r>
      <w:r w:rsidR="00782DB4">
        <w:rPr>
          <w:rFonts w:hint="cs"/>
          <w:szCs w:val="22"/>
          <w:rtl/>
        </w:rPr>
        <w:t>للمودعين</w:t>
      </w:r>
      <w:r w:rsidR="00544AD3" w:rsidRPr="00544AD3">
        <w:rPr>
          <w:szCs w:val="22"/>
          <w:rtl/>
        </w:rPr>
        <w:t xml:space="preserve"> الاعتماد عليها</w:t>
      </w:r>
      <w:r w:rsidR="00544AD3" w:rsidRPr="00544AD3">
        <w:rPr>
          <w:szCs w:val="22"/>
        </w:rPr>
        <w:t>.</w:t>
      </w:r>
      <w:r w:rsidR="00782DB4">
        <w:rPr>
          <w:rFonts w:hint="cs"/>
          <w:szCs w:val="22"/>
          <w:rtl/>
        </w:rPr>
        <w:t xml:space="preserve"> </w:t>
      </w:r>
    </w:p>
    <w:p w14:paraId="344BDCF0" w14:textId="74DBF13E" w:rsidR="00544AD3" w:rsidRPr="00367241" w:rsidRDefault="00647DC0" w:rsidP="00544AD3">
      <w:pPr>
        <w:pStyle w:val="ONUME"/>
        <w:bidi/>
        <w:rPr>
          <w:szCs w:val="22"/>
          <w:rtl/>
        </w:rPr>
      </w:pPr>
      <w:r>
        <w:rPr>
          <w:rFonts w:hint="cs"/>
          <w:szCs w:val="22"/>
          <w:rtl/>
        </w:rPr>
        <w:t>و</w:t>
      </w:r>
      <w:r w:rsidR="00544AD3" w:rsidRPr="00544AD3">
        <w:rPr>
          <w:szCs w:val="22"/>
          <w:rtl/>
        </w:rPr>
        <w:t>اتفق الفريق العامل بوجه عام مع الحجج ومع أهمية إدخال تعديلات على اللائحة لتوضيح المتطلبات الدنيا لنظام الدخول الإلكتروني في المرحلة الوطنية. ومع ذلك، أُثيرت عدة شواغل بشأن التفاصيل. ولوحظ أيضًا أن بعض المسائل التي نوقشت ستنطبق بنفس القدر على تنفيذ الأفعال المشار إليها في المادة 22 بوسائل غير إلكترونية.</w:t>
      </w:r>
    </w:p>
    <w:p w14:paraId="57826138" w14:textId="77777777" w:rsidR="009915AB" w:rsidRPr="009915AB" w:rsidRDefault="009915AB" w:rsidP="009915AB">
      <w:pPr>
        <w:pStyle w:val="ONUME"/>
        <w:numPr>
          <w:ilvl w:val="0"/>
          <w:numId w:val="0"/>
        </w:numPr>
        <w:bidi/>
        <w:rPr>
          <w:b/>
          <w:bCs/>
          <w:szCs w:val="22"/>
          <w:rtl/>
        </w:rPr>
      </w:pPr>
      <w:bookmarkStart w:id="0" w:name="_Ref185325322"/>
      <w:r w:rsidRPr="009915AB">
        <w:rPr>
          <w:b/>
          <w:bCs/>
          <w:szCs w:val="22"/>
          <w:rtl/>
        </w:rPr>
        <w:t>شرط وجود وكيل محلي</w:t>
      </w:r>
    </w:p>
    <w:p w14:paraId="3FD88D9E" w14:textId="15A31480" w:rsidR="009915AB" w:rsidRPr="009915AB" w:rsidRDefault="009915AB" w:rsidP="009915AB">
      <w:pPr>
        <w:pStyle w:val="ONUME"/>
        <w:bidi/>
        <w:rPr>
          <w:szCs w:val="22"/>
          <w:rtl/>
        </w:rPr>
      </w:pPr>
      <w:r w:rsidRPr="009915AB">
        <w:rPr>
          <w:szCs w:val="22"/>
          <w:rtl/>
        </w:rPr>
        <w:t xml:space="preserve">في الدورة الثامنة عشرة، طلب عدد من الوفود توضيح البيان الذي يفيد بأن المكاتب المعيّنة لا يجوز لها أن تشترط استخدام وكيل محلي لتنفيذ الأفعال المشار إليها في المادة 22 نيابةً عن </w:t>
      </w:r>
      <w:r w:rsidR="006B1C99">
        <w:rPr>
          <w:szCs w:val="22"/>
          <w:rtl/>
        </w:rPr>
        <w:t xml:space="preserve">المودع </w:t>
      </w:r>
      <w:r w:rsidRPr="009915AB">
        <w:rPr>
          <w:szCs w:val="22"/>
          <w:rtl/>
        </w:rPr>
        <w:t>غير المقيم</w:t>
      </w:r>
      <w:r w:rsidRPr="009915AB">
        <w:rPr>
          <w:szCs w:val="22"/>
        </w:rPr>
        <w:t>.</w:t>
      </w:r>
    </w:p>
    <w:p w14:paraId="1479B8E2" w14:textId="464B728E" w:rsidR="009915AB" w:rsidRPr="009915AB" w:rsidRDefault="003F09CB" w:rsidP="009915AB">
      <w:pPr>
        <w:pStyle w:val="ONUME"/>
        <w:bidi/>
        <w:rPr>
          <w:szCs w:val="22"/>
          <w:rtl/>
        </w:rPr>
      </w:pPr>
      <w:r>
        <w:rPr>
          <w:rFonts w:hint="cs"/>
          <w:szCs w:val="22"/>
          <w:rtl/>
        </w:rPr>
        <w:t>و</w:t>
      </w:r>
      <w:r w:rsidR="009915AB" w:rsidRPr="009915AB">
        <w:rPr>
          <w:szCs w:val="22"/>
          <w:rtl/>
        </w:rPr>
        <w:t xml:space="preserve">يرى المكتب الدولي أن الفقرة (1) من المادة 22 تتضمن قائمة شاملة بالمتطلبات التي يجوز للمكاتب المعيّنة أن تطلب من </w:t>
      </w:r>
      <w:r w:rsidR="00392372">
        <w:rPr>
          <w:szCs w:val="22"/>
          <w:rtl/>
        </w:rPr>
        <w:t>المودعين</w:t>
      </w:r>
      <w:r w:rsidR="009915AB" w:rsidRPr="009915AB">
        <w:rPr>
          <w:szCs w:val="22"/>
          <w:rtl/>
        </w:rPr>
        <w:t xml:space="preserve"> الامتثال لها من أجل الدخول في المرحلة الوطنية. ولا تشمل هذه القائمة إمكانية اشتراط أن تُنفَّذ الأفعال بواسطة وكيل محلي. وتجيز المادة 27(7) والقاعدة 53</w:t>
      </w:r>
      <w:r w:rsidR="00F27310">
        <w:rPr>
          <w:rFonts w:hint="cs"/>
          <w:szCs w:val="22"/>
          <w:rtl/>
        </w:rPr>
        <w:t xml:space="preserve"> </w:t>
      </w:r>
      <w:r w:rsidR="00F27310" w:rsidRPr="00F27310">
        <w:rPr>
          <w:rFonts w:hint="cs"/>
          <w:szCs w:val="22"/>
          <w:vertAlign w:val="superscript"/>
          <w:rtl/>
        </w:rPr>
        <w:t>مكرر</w:t>
      </w:r>
      <w:r w:rsidR="00F27310">
        <w:rPr>
          <w:rFonts w:hint="cs"/>
          <w:szCs w:val="22"/>
          <w:rtl/>
        </w:rPr>
        <w:t xml:space="preserve"> </w:t>
      </w:r>
      <w:r w:rsidR="009915AB" w:rsidRPr="009915AB">
        <w:rPr>
          <w:szCs w:val="22"/>
        </w:rPr>
        <w:t>1</w:t>
      </w:r>
      <w:r w:rsidR="00F27310">
        <w:rPr>
          <w:rFonts w:hint="cs"/>
          <w:szCs w:val="22"/>
          <w:rtl/>
        </w:rPr>
        <w:t>(ب)</w:t>
      </w:r>
      <w:r w:rsidR="009915AB" w:rsidRPr="009915AB">
        <w:rPr>
          <w:szCs w:val="22"/>
        </w:rPr>
        <w:t xml:space="preserve"> </w:t>
      </w:r>
      <w:r w:rsidR="009915AB" w:rsidRPr="009915AB">
        <w:rPr>
          <w:szCs w:val="22"/>
          <w:rtl/>
        </w:rPr>
        <w:t xml:space="preserve">للمكتب الوطني أن يشترط تمثيل </w:t>
      </w:r>
      <w:r w:rsidR="006B1C99">
        <w:rPr>
          <w:szCs w:val="22"/>
          <w:rtl/>
        </w:rPr>
        <w:t xml:space="preserve">المودع </w:t>
      </w:r>
      <w:r w:rsidR="009915AB" w:rsidRPr="009915AB">
        <w:rPr>
          <w:szCs w:val="22"/>
          <w:rtl/>
        </w:rPr>
        <w:t xml:space="preserve">بواسطة وكيل </w:t>
      </w:r>
      <w:r w:rsidR="00F555C3">
        <w:rPr>
          <w:rFonts w:hint="cs"/>
          <w:szCs w:val="22"/>
          <w:rtl/>
        </w:rPr>
        <w:t>"</w:t>
      </w:r>
      <w:r w:rsidR="009915AB" w:rsidRPr="009915AB">
        <w:rPr>
          <w:szCs w:val="22"/>
          <w:rtl/>
        </w:rPr>
        <w:t>بمجرد بدء معالجة الطلب الدولي في المكتب المعيّن</w:t>
      </w:r>
      <w:r w:rsidR="00F555C3">
        <w:rPr>
          <w:rFonts w:hint="cs"/>
          <w:szCs w:val="22"/>
          <w:rtl/>
        </w:rPr>
        <w:t>"</w:t>
      </w:r>
      <w:r w:rsidR="009915AB" w:rsidRPr="009915AB">
        <w:rPr>
          <w:szCs w:val="22"/>
          <w:rtl/>
        </w:rPr>
        <w:t>. ومع ذلك، لا ينطبق هذا الشرط على تنفيذ الأفعال المشار إليها في المادة 22 نفسها. وتنص القاعدة 51</w:t>
      </w:r>
      <w:r w:rsidR="009915AB" w:rsidRPr="00F27310">
        <w:rPr>
          <w:rFonts w:hint="cs"/>
          <w:szCs w:val="22"/>
          <w:vertAlign w:val="superscript"/>
          <w:rtl/>
        </w:rPr>
        <w:t>مكرر</w:t>
      </w:r>
      <w:r w:rsidR="009915AB">
        <w:rPr>
          <w:rFonts w:hint="cs"/>
          <w:szCs w:val="22"/>
          <w:rtl/>
        </w:rPr>
        <w:t xml:space="preserve"> </w:t>
      </w:r>
      <w:r w:rsidR="009915AB" w:rsidRPr="009915AB">
        <w:rPr>
          <w:szCs w:val="22"/>
        </w:rPr>
        <w:t>3</w:t>
      </w:r>
      <w:r w:rsidR="009915AB">
        <w:rPr>
          <w:rFonts w:hint="cs"/>
          <w:szCs w:val="22"/>
          <w:rtl/>
        </w:rPr>
        <w:t>(ب</w:t>
      </w:r>
      <w:r w:rsidR="009915AB" w:rsidRPr="009915AB">
        <w:rPr>
          <w:szCs w:val="22"/>
        </w:rPr>
        <w:t>) (</w:t>
      </w:r>
      <w:r w:rsidR="009915AB" w:rsidRPr="009915AB">
        <w:rPr>
          <w:szCs w:val="22"/>
          <w:rtl/>
        </w:rPr>
        <w:t>مع التشديد) على ما يلي</w:t>
      </w:r>
      <w:r w:rsidR="009915AB" w:rsidRPr="009915AB">
        <w:rPr>
          <w:szCs w:val="22"/>
        </w:rPr>
        <w:t>:</w:t>
      </w:r>
    </w:p>
    <w:p w14:paraId="1D929DB7" w14:textId="34F2BE0C" w:rsidR="009915AB" w:rsidRPr="009915AB" w:rsidRDefault="009915AB" w:rsidP="00D818A5">
      <w:pPr>
        <w:pStyle w:val="ONUME"/>
        <w:numPr>
          <w:ilvl w:val="0"/>
          <w:numId w:val="0"/>
        </w:numPr>
        <w:bidi/>
        <w:ind w:left="566"/>
        <w:rPr>
          <w:szCs w:val="22"/>
          <w:rtl/>
        </w:rPr>
      </w:pPr>
      <w:r>
        <w:rPr>
          <w:rFonts w:hint="cs"/>
          <w:szCs w:val="22"/>
          <w:rtl/>
        </w:rPr>
        <w:lastRenderedPageBreak/>
        <w:t>"</w:t>
      </w:r>
      <w:r w:rsidRPr="009915AB">
        <w:rPr>
          <w:szCs w:val="22"/>
          <w:rtl/>
        </w:rPr>
        <w:t xml:space="preserve">إذا لم يُستوفَ أي </w:t>
      </w:r>
      <w:r w:rsidR="00D3500F">
        <w:rPr>
          <w:rFonts w:hint="cs"/>
          <w:szCs w:val="22"/>
          <w:rtl/>
        </w:rPr>
        <w:t>من مقتضيات</w:t>
      </w:r>
      <w:r w:rsidRPr="009915AB">
        <w:rPr>
          <w:szCs w:val="22"/>
          <w:rtl/>
        </w:rPr>
        <w:t xml:space="preserve"> القانون الوطني </w:t>
      </w:r>
      <w:r w:rsidR="00D3500F">
        <w:rPr>
          <w:rFonts w:hint="cs"/>
          <w:szCs w:val="22"/>
          <w:rtl/>
        </w:rPr>
        <w:t>الذي يطبقه</w:t>
      </w:r>
      <w:r w:rsidRPr="009915AB">
        <w:rPr>
          <w:szCs w:val="22"/>
          <w:rtl/>
        </w:rPr>
        <w:t xml:space="preserve"> المكتب المعيّن، </w:t>
      </w:r>
      <w:r w:rsidR="00D3500F">
        <w:rPr>
          <w:rFonts w:hint="cs"/>
          <w:szCs w:val="22"/>
          <w:rtl/>
        </w:rPr>
        <w:t>مما يجوز أن يطبقه</w:t>
      </w:r>
      <w:r w:rsidRPr="009915AB">
        <w:rPr>
          <w:szCs w:val="22"/>
          <w:rtl/>
        </w:rPr>
        <w:t xml:space="preserve"> وفقًا للمادة 27(6) أو (7)، خلال الفترة </w:t>
      </w:r>
      <w:r w:rsidR="00D3500F">
        <w:rPr>
          <w:rFonts w:hint="cs"/>
          <w:szCs w:val="22"/>
          <w:rtl/>
        </w:rPr>
        <w:t xml:space="preserve">ذاتها </w:t>
      </w:r>
      <w:r w:rsidRPr="009915AB">
        <w:rPr>
          <w:szCs w:val="22"/>
          <w:rtl/>
        </w:rPr>
        <w:t xml:space="preserve">التي يجب فيها الامتثال </w:t>
      </w:r>
      <w:r w:rsidR="00D3500F">
        <w:rPr>
          <w:rFonts w:hint="cs"/>
          <w:szCs w:val="22"/>
          <w:rtl/>
        </w:rPr>
        <w:t>لمقتضيات</w:t>
      </w:r>
      <w:r w:rsidRPr="009915AB">
        <w:rPr>
          <w:szCs w:val="22"/>
          <w:rtl/>
        </w:rPr>
        <w:t xml:space="preserve"> المادة 22، </w:t>
      </w:r>
      <w:r w:rsidR="00D3500F">
        <w:rPr>
          <w:rFonts w:hint="cs"/>
          <w:szCs w:val="22"/>
          <w:rtl/>
        </w:rPr>
        <w:t>تعين أن تتاح للمودع</w:t>
      </w:r>
      <w:r w:rsidRPr="009915AB">
        <w:rPr>
          <w:szCs w:val="22"/>
          <w:rtl/>
        </w:rPr>
        <w:t xml:space="preserve"> فرصة </w:t>
      </w:r>
      <w:r w:rsidR="00D3500F">
        <w:rPr>
          <w:rFonts w:hint="cs"/>
          <w:szCs w:val="22"/>
          <w:rtl/>
        </w:rPr>
        <w:t>ل</w:t>
      </w:r>
      <w:r w:rsidRPr="009915AB">
        <w:rPr>
          <w:szCs w:val="22"/>
          <w:rtl/>
        </w:rPr>
        <w:t xml:space="preserve">لامتثال </w:t>
      </w:r>
      <w:r w:rsidR="00D3500F">
        <w:rPr>
          <w:rFonts w:hint="cs"/>
          <w:szCs w:val="22"/>
          <w:rtl/>
        </w:rPr>
        <w:t>لتلك المقتضيات</w:t>
      </w:r>
      <w:r w:rsidRPr="009915AB">
        <w:rPr>
          <w:szCs w:val="22"/>
          <w:rtl/>
        </w:rPr>
        <w:t xml:space="preserve"> بعد انقضاء تلك الفترة</w:t>
      </w:r>
      <w:r w:rsidRPr="009915AB">
        <w:rPr>
          <w:szCs w:val="22"/>
        </w:rPr>
        <w:t>.</w:t>
      </w:r>
      <w:r>
        <w:rPr>
          <w:rFonts w:hint="cs"/>
          <w:szCs w:val="22"/>
          <w:rtl/>
        </w:rPr>
        <w:t>"</w:t>
      </w:r>
    </w:p>
    <w:p w14:paraId="1CB93865" w14:textId="21833509" w:rsidR="009915AB" w:rsidRPr="009915AB" w:rsidRDefault="00F618F2" w:rsidP="009915AB">
      <w:pPr>
        <w:pStyle w:val="ONUME"/>
        <w:bidi/>
        <w:rPr>
          <w:szCs w:val="22"/>
          <w:rtl/>
        </w:rPr>
      </w:pPr>
      <w:r>
        <w:rPr>
          <w:rFonts w:hint="cs"/>
          <w:szCs w:val="22"/>
          <w:rtl/>
        </w:rPr>
        <w:t>و</w:t>
      </w:r>
      <w:r w:rsidR="009915AB" w:rsidRPr="009915AB">
        <w:rPr>
          <w:szCs w:val="22"/>
          <w:rtl/>
        </w:rPr>
        <w:t xml:space="preserve">يتفق المكتب الدولي على أن </w:t>
      </w:r>
      <w:r w:rsidR="006B1C99">
        <w:rPr>
          <w:szCs w:val="22"/>
          <w:rtl/>
        </w:rPr>
        <w:t xml:space="preserve">المودع </w:t>
      </w:r>
      <w:r w:rsidR="009915AB" w:rsidRPr="009915AB">
        <w:rPr>
          <w:szCs w:val="22"/>
          <w:rtl/>
        </w:rPr>
        <w:t xml:space="preserve">غير المقيم سيكون من الحكمة أن يستعين بوكيل محلي مؤهل لإعداد الطلب الدولي للدخول في المرحلة الوطنية ولتنفيذ الأفعال المشار إليها في المادة 22، لتجنب ارتكاب أخطاء قد يصعب تصحيحها. ومع ذلك، يجب أن يكون من الممكن </w:t>
      </w:r>
      <w:r w:rsidR="00392372">
        <w:rPr>
          <w:szCs w:val="22"/>
          <w:rtl/>
        </w:rPr>
        <w:t>للمودعين</w:t>
      </w:r>
      <w:r w:rsidR="009915AB" w:rsidRPr="009915AB">
        <w:rPr>
          <w:szCs w:val="22"/>
          <w:rtl/>
        </w:rPr>
        <w:t xml:space="preserve"> غير المقيمين تقديم أي مستندات مطلوبة ودفع أي رسم وطني مطلوب لبدء معالجة المرحلة الوطنية</w:t>
      </w:r>
      <w:r w:rsidR="009915AB" w:rsidRPr="009915AB">
        <w:rPr>
          <w:szCs w:val="22"/>
        </w:rPr>
        <w:t>.</w:t>
      </w:r>
    </w:p>
    <w:p w14:paraId="04151932" w14:textId="4196516B" w:rsidR="009915AB" w:rsidRDefault="00F618F2" w:rsidP="009915AB">
      <w:pPr>
        <w:pStyle w:val="ONUME"/>
        <w:bidi/>
        <w:rPr>
          <w:szCs w:val="22"/>
        </w:rPr>
      </w:pPr>
      <w:r>
        <w:rPr>
          <w:rFonts w:hint="cs"/>
          <w:szCs w:val="22"/>
          <w:rtl/>
        </w:rPr>
        <w:t>و</w:t>
      </w:r>
      <w:r w:rsidR="009915AB" w:rsidRPr="009915AB">
        <w:rPr>
          <w:szCs w:val="22"/>
          <w:rtl/>
        </w:rPr>
        <w:t>لا يعني ذلك أن جميع الأنظمة الإلكترونية التي تتيحها المكاتب المعيّنة للدخول في المرحلة الوطنية يجب أن تكون قابلة للاستخدام من قبل غير المقيمين ومن ليسوا محامين مؤهلين محليًا. ومع ذلك، إذا لم تكن كذلك، فيجب أن يظل هناك بديل عملي متاح للنظام.</w:t>
      </w:r>
    </w:p>
    <w:p w14:paraId="531AEB3E" w14:textId="2A9AD2E9" w:rsidR="00B5671F" w:rsidRPr="00B5671F" w:rsidRDefault="00B5671F" w:rsidP="00B5671F">
      <w:pPr>
        <w:pStyle w:val="ONUME"/>
        <w:numPr>
          <w:ilvl w:val="0"/>
          <w:numId w:val="0"/>
        </w:numPr>
        <w:bidi/>
        <w:rPr>
          <w:b/>
          <w:bCs/>
          <w:szCs w:val="22"/>
          <w:rtl/>
        </w:rPr>
      </w:pPr>
      <w:r w:rsidRPr="00B5671F">
        <w:rPr>
          <w:rFonts w:hint="cs"/>
          <w:b/>
          <w:bCs/>
          <w:szCs w:val="22"/>
          <w:rtl/>
        </w:rPr>
        <w:t>ا</w:t>
      </w:r>
      <w:r w:rsidRPr="00B5671F">
        <w:rPr>
          <w:b/>
          <w:bCs/>
          <w:szCs w:val="22"/>
          <w:rtl/>
        </w:rPr>
        <w:t>لضمانات</w:t>
      </w:r>
    </w:p>
    <w:p w14:paraId="4ABF901A" w14:textId="0333F044" w:rsidR="00B5671F" w:rsidRPr="00B5671F" w:rsidRDefault="00B5671F" w:rsidP="00B5671F">
      <w:pPr>
        <w:pStyle w:val="ONUME"/>
        <w:bidi/>
        <w:rPr>
          <w:szCs w:val="22"/>
          <w:rtl/>
        </w:rPr>
      </w:pPr>
      <w:r w:rsidRPr="00B5671F">
        <w:rPr>
          <w:szCs w:val="22"/>
          <w:rtl/>
        </w:rPr>
        <w:t xml:space="preserve">في الدورة الثامنة عشرة، </w:t>
      </w:r>
      <w:r w:rsidR="00F618F2">
        <w:rPr>
          <w:rFonts w:hint="cs"/>
          <w:szCs w:val="22"/>
          <w:rtl/>
        </w:rPr>
        <w:t>ساد</w:t>
      </w:r>
      <w:r w:rsidRPr="00B5671F">
        <w:rPr>
          <w:szCs w:val="22"/>
          <w:rtl/>
        </w:rPr>
        <w:t xml:space="preserve"> اتفاق عام على أن المكاتب المعيّنة يجب أن توفر ضمانات تكفل ألا يفقد </w:t>
      </w:r>
      <w:r w:rsidR="00392372">
        <w:rPr>
          <w:szCs w:val="22"/>
          <w:rtl/>
        </w:rPr>
        <w:t>المودعون</w:t>
      </w:r>
      <w:r w:rsidRPr="00B5671F">
        <w:rPr>
          <w:szCs w:val="22"/>
          <w:rtl/>
        </w:rPr>
        <w:t xml:space="preserve"> حقوقهم نتيجة عدم توفر الأنظمة الإلكترونية. ومع ذلك، اعتُبرت بعض </w:t>
      </w:r>
      <w:r w:rsidR="00AF35AB">
        <w:rPr>
          <w:rFonts w:hint="cs"/>
          <w:szCs w:val="22"/>
          <w:rtl/>
        </w:rPr>
        <w:t>الاقتراحات</w:t>
      </w:r>
      <w:r w:rsidRPr="00B5671F">
        <w:rPr>
          <w:szCs w:val="22"/>
          <w:rtl/>
        </w:rPr>
        <w:t xml:space="preserve"> المحددة في بعض الحالات غير واضحة، وفي حالات أخرى مفرطة في التحديد دون أن تحقق الأثر المناسب بالضرورة</w:t>
      </w:r>
      <w:r w:rsidRPr="00B5671F">
        <w:rPr>
          <w:szCs w:val="22"/>
        </w:rPr>
        <w:t>.</w:t>
      </w:r>
    </w:p>
    <w:p w14:paraId="32080279" w14:textId="458C2B0E" w:rsidR="00B5671F" w:rsidRPr="00B5671F" w:rsidRDefault="00201BF5" w:rsidP="00B5671F">
      <w:pPr>
        <w:pStyle w:val="ONUME"/>
        <w:bidi/>
        <w:rPr>
          <w:szCs w:val="22"/>
          <w:rtl/>
        </w:rPr>
      </w:pPr>
      <w:r>
        <w:rPr>
          <w:rFonts w:hint="cs"/>
          <w:szCs w:val="22"/>
          <w:rtl/>
        </w:rPr>
        <w:t>و</w:t>
      </w:r>
      <w:r w:rsidR="00B5671F" w:rsidRPr="00B5671F">
        <w:rPr>
          <w:szCs w:val="22"/>
          <w:rtl/>
        </w:rPr>
        <w:t xml:space="preserve">بعد مزيد من النظر، يرى المكتب الدولي أن المتطلبات المحددة لنص الضمانات ستعتمد على عوامل خاصة بكل مكتب على حدة، مثل ما إذا كانت هناك وسائل بديلة للدخول في المرحلة الوطنية متاحة ومدى سهولة استخدامها في وقت قصير إذا تعذر المسار الإلكتروني الأساسي. وعلاوة على ذلك، لا يبدو عمليًا تحديد مدة زمنية محددة يجب أن يكون النظام خلالها غير متاح قبل أن يصبح من اللازم تقديم وسائل تدارك. </w:t>
      </w:r>
      <w:r>
        <w:rPr>
          <w:rFonts w:hint="cs"/>
          <w:szCs w:val="22"/>
          <w:rtl/>
        </w:rPr>
        <w:t>و</w:t>
      </w:r>
      <w:r w:rsidR="00B5671F" w:rsidRPr="00B5671F">
        <w:rPr>
          <w:szCs w:val="22"/>
          <w:rtl/>
        </w:rPr>
        <w:t xml:space="preserve">إن طول فترة الانقطاع </w:t>
      </w:r>
      <w:r>
        <w:rPr>
          <w:rFonts w:hint="cs"/>
          <w:szCs w:val="22"/>
          <w:rtl/>
        </w:rPr>
        <w:t>"</w:t>
      </w:r>
      <w:r w:rsidR="00B5671F" w:rsidRPr="00B5671F">
        <w:rPr>
          <w:szCs w:val="22"/>
          <w:rtl/>
        </w:rPr>
        <w:t>المعقولة</w:t>
      </w:r>
      <w:r>
        <w:rPr>
          <w:rFonts w:hint="cs"/>
          <w:szCs w:val="22"/>
          <w:rtl/>
        </w:rPr>
        <w:t>"</w:t>
      </w:r>
      <w:r w:rsidR="00B5671F" w:rsidRPr="00B5671F">
        <w:rPr>
          <w:szCs w:val="22"/>
          <w:rtl/>
        </w:rPr>
        <w:t xml:space="preserve"> التي تستدعي تداركًا سيعتمد على عوامل مثل توقيت الانقطاع، والمدة المعتادة لاستخدام النظام، وبالنسبة </w:t>
      </w:r>
      <w:r w:rsidR="00392372">
        <w:rPr>
          <w:szCs w:val="22"/>
          <w:rtl/>
        </w:rPr>
        <w:t>للمودعين</w:t>
      </w:r>
      <w:r w:rsidR="00B5671F" w:rsidRPr="00B5671F">
        <w:rPr>
          <w:szCs w:val="22"/>
          <w:rtl/>
        </w:rPr>
        <w:t xml:space="preserve"> الذين يسعون لاستخدام النظام من بلد آخر، توقيت اليوم في ذلك البلد</w:t>
      </w:r>
      <w:r w:rsidR="00B5671F" w:rsidRPr="00B5671F">
        <w:rPr>
          <w:szCs w:val="22"/>
        </w:rPr>
        <w:t>.</w:t>
      </w:r>
    </w:p>
    <w:p w14:paraId="7853AB4E" w14:textId="76344919" w:rsidR="00B5671F" w:rsidRPr="00B5671F" w:rsidRDefault="00B5671F" w:rsidP="00B5671F">
      <w:pPr>
        <w:pStyle w:val="ONUME"/>
        <w:bidi/>
        <w:rPr>
          <w:szCs w:val="22"/>
          <w:rtl/>
        </w:rPr>
      </w:pPr>
      <w:r w:rsidRPr="00B5671F">
        <w:rPr>
          <w:szCs w:val="22"/>
          <w:rtl/>
        </w:rPr>
        <w:t>وبناءً عليه، يُقترح إدراج شرط يبرز الحاجة إلى وجود ضمانات ويحدد بعض المعايير، مع ترك التفاصيل لتُقرَّر بناءً على ما يراه المكتب المعيّن مناسبًا. وينبغي أن تمنح هذه الضمانات المكتب المعيّن قدرًا من المرونة لقبول الدخول المتأخر في المرحلة الوطنية استنادًا إلى ظروف الحالة، بحيث تُعالج عادةً إداريًا دون الحاجة إلى تقديم حجج وأدلة</w:t>
      </w:r>
      <w:r w:rsidRPr="00B5671F">
        <w:rPr>
          <w:szCs w:val="22"/>
        </w:rPr>
        <w:t>.</w:t>
      </w:r>
    </w:p>
    <w:p w14:paraId="26EEB658" w14:textId="08EE8CA6" w:rsidR="00A46076" w:rsidRDefault="00B5671F" w:rsidP="00B5671F">
      <w:pPr>
        <w:pStyle w:val="ONUME"/>
        <w:bidi/>
        <w:rPr>
          <w:szCs w:val="22"/>
        </w:rPr>
      </w:pPr>
      <w:r w:rsidRPr="00B5671F">
        <w:rPr>
          <w:szCs w:val="22"/>
          <w:rtl/>
        </w:rPr>
        <w:t>ولا ينبغي أن يُترك هذا الأمر عمومًا لإعادة الحقوق بموجب القاعدة 49</w:t>
      </w:r>
      <w:r w:rsidR="00A936DB">
        <w:rPr>
          <w:rFonts w:hint="cs"/>
          <w:szCs w:val="22"/>
          <w:rtl/>
        </w:rPr>
        <w:t>-</w:t>
      </w:r>
      <w:r w:rsidRPr="00B5671F">
        <w:rPr>
          <w:szCs w:val="22"/>
          <w:rtl/>
        </w:rPr>
        <w:t>6، إذ يمكن أن تكون هذه عملية مرهقة للتعامل مع حالة يكون المكتب عادةً على علم بالمشكلة التي تسببت في التأخير. وعلاوة على ذلك، أبلغت عشرة مكاتب معيّنة أن هذا الحكم يتعارض مع قوانينها الوطنية.</w:t>
      </w:r>
    </w:p>
    <w:p w14:paraId="4B112F0D" w14:textId="77777777" w:rsidR="00B5671F" w:rsidRPr="00B5671F" w:rsidRDefault="00B5671F" w:rsidP="00B5671F">
      <w:pPr>
        <w:pStyle w:val="ONUME"/>
        <w:numPr>
          <w:ilvl w:val="0"/>
          <w:numId w:val="0"/>
        </w:numPr>
        <w:bidi/>
        <w:rPr>
          <w:b/>
          <w:bCs/>
          <w:szCs w:val="22"/>
          <w:rtl/>
        </w:rPr>
      </w:pPr>
      <w:r w:rsidRPr="00B5671F">
        <w:rPr>
          <w:b/>
          <w:bCs/>
          <w:szCs w:val="22"/>
          <w:rtl/>
        </w:rPr>
        <w:t>الاتساق مع معاهدة قانون البراءات</w:t>
      </w:r>
    </w:p>
    <w:p w14:paraId="16845A2E" w14:textId="476B4DA0" w:rsidR="00B5671F" w:rsidRDefault="00B5671F" w:rsidP="00B5671F">
      <w:pPr>
        <w:pStyle w:val="ONUME"/>
        <w:bidi/>
        <w:rPr>
          <w:szCs w:val="22"/>
        </w:rPr>
      </w:pPr>
      <w:r w:rsidRPr="00B5671F">
        <w:rPr>
          <w:szCs w:val="22"/>
          <w:rtl/>
        </w:rPr>
        <w:t xml:space="preserve">كما نوقش في الوثيقة </w:t>
      </w:r>
      <w:r w:rsidRPr="00B5671F">
        <w:rPr>
          <w:szCs w:val="22"/>
        </w:rPr>
        <w:t>PCT/WG/17/15</w:t>
      </w:r>
      <w:r w:rsidRPr="00B5671F">
        <w:rPr>
          <w:szCs w:val="22"/>
          <w:rtl/>
        </w:rPr>
        <w:t>، فإن الأفعال المطلوبة للامتثال للمهلة الزمنية للدخول في المرحلة الوطنية بموجب المادة 22 لا تخضع لأحكام معاهدة قانون البراءات (</w:t>
      </w:r>
      <w:r w:rsidRPr="00B5671F">
        <w:rPr>
          <w:szCs w:val="22"/>
        </w:rPr>
        <w:t>PLT</w:t>
      </w:r>
      <w:r w:rsidRPr="00B5671F">
        <w:rPr>
          <w:szCs w:val="22"/>
          <w:rtl/>
        </w:rPr>
        <w:t>). ومع ذلك، ومن باب الاتساق، يُرجَّح أن تسمح الدول المتعاقدة في إطار معاهدة قانون البراءات بتقديم المستندات المطلوبة للدخول في المرحلة الوطنية على الورق. وقد يكون هناك، مع ذلك، اشتراط لإعادة تقديم المستندات نفسها إلكترونيًا لاحقًا. وفيما يتعلق بإيداع الطلب الدولي، فقد تم النص صراحةً على هذا الخيار في القاعدة</w:t>
      </w:r>
      <w:r w:rsidR="00CB6148" w:rsidRPr="00B5671F">
        <w:rPr>
          <w:szCs w:val="22"/>
          <w:rtl/>
        </w:rPr>
        <w:t xml:space="preserve"> </w:t>
      </w:r>
      <w:r w:rsidRPr="00B5671F">
        <w:rPr>
          <w:szCs w:val="22"/>
          <w:rtl/>
        </w:rPr>
        <w:t>89</w:t>
      </w:r>
      <w:r w:rsidR="00CB6148">
        <w:rPr>
          <w:rFonts w:hint="cs"/>
          <w:szCs w:val="22"/>
          <w:rtl/>
        </w:rPr>
        <w:t xml:space="preserve"> </w:t>
      </w:r>
      <w:r w:rsidR="00CB6148" w:rsidRPr="00CB6148">
        <w:rPr>
          <w:rFonts w:hint="cs"/>
          <w:szCs w:val="22"/>
          <w:vertAlign w:val="superscript"/>
          <w:rtl/>
        </w:rPr>
        <w:t>مكرر ثالثا</w:t>
      </w:r>
      <w:r w:rsidR="00CB6148" w:rsidRPr="00CB6148">
        <w:rPr>
          <w:szCs w:val="22"/>
          <w:vertAlign w:val="superscript"/>
          <w:rtl/>
        </w:rPr>
        <w:t xml:space="preserve"> </w:t>
      </w:r>
      <w:r w:rsidR="00CB6148">
        <w:rPr>
          <w:rFonts w:hint="cs"/>
          <w:szCs w:val="22"/>
          <w:rtl/>
        </w:rPr>
        <w:t>-</w:t>
      </w:r>
      <w:r w:rsidRPr="00B5671F">
        <w:rPr>
          <w:szCs w:val="22"/>
        </w:rPr>
        <w:t>1</w:t>
      </w:r>
      <w:r w:rsidR="00CB6148">
        <w:rPr>
          <w:rFonts w:hint="cs"/>
          <w:szCs w:val="22"/>
          <w:rtl/>
        </w:rPr>
        <w:t>(د</w:t>
      </w:r>
      <w:r w:rsidRPr="00B5671F">
        <w:rPr>
          <w:szCs w:val="22"/>
          <w:rtl/>
        </w:rPr>
        <w:t>) اعتبارًا من 1 يوليو 2025. وبوجه عام، لا تسعى اللائحة التنفيذية إلى توحيد الإجراءات الخاصة بالمكاتب المعيّنة بنفس القدر الذي تسعى إليه بالنسبة للمكاتب المتلقية، ولا يبدو من الضروري النص على حكم محدد بهذا الخصوص هنا.</w:t>
      </w:r>
    </w:p>
    <w:p w14:paraId="60C9EC36" w14:textId="77777777" w:rsidR="00A80548" w:rsidRPr="00A80548" w:rsidRDefault="00A80548" w:rsidP="00A80548">
      <w:pPr>
        <w:pStyle w:val="ONUME"/>
        <w:numPr>
          <w:ilvl w:val="0"/>
          <w:numId w:val="0"/>
        </w:numPr>
        <w:bidi/>
        <w:rPr>
          <w:b/>
          <w:bCs/>
          <w:szCs w:val="22"/>
          <w:rtl/>
        </w:rPr>
      </w:pPr>
      <w:r w:rsidRPr="00A80548">
        <w:rPr>
          <w:b/>
          <w:bCs/>
          <w:szCs w:val="22"/>
          <w:rtl/>
        </w:rPr>
        <w:t>الخدمات المركزية للدخول الإلكتروني في المرحلة الوطنية</w:t>
      </w:r>
    </w:p>
    <w:p w14:paraId="69697D70" w14:textId="2543233F" w:rsidR="00A80548" w:rsidRDefault="00A80548" w:rsidP="00A80548">
      <w:pPr>
        <w:pStyle w:val="ONUME"/>
        <w:bidi/>
        <w:rPr>
          <w:szCs w:val="22"/>
        </w:rPr>
      </w:pPr>
      <w:r w:rsidRPr="00A80548">
        <w:rPr>
          <w:szCs w:val="22"/>
          <w:rtl/>
        </w:rPr>
        <w:t>في الدورة التاسعة للفريق العامل، عرض المكتب الدولي نموذجًا أوليًا (</w:t>
      </w:r>
      <w:r w:rsidR="00DF02B8">
        <w:rPr>
          <w:rFonts w:hint="cs"/>
          <w:szCs w:val="22"/>
          <w:rtl/>
        </w:rPr>
        <w:t>"</w:t>
      </w:r>
      <w:r w:rsidRPr="00A80548">
        <w:rPr>
          <w:szCs w:val="22"/>
          <w:rtl/>
        </w:rPr>
        <w:t>إثبات المفهوم</w:t>
      </w:r>
      <w:r w:rsidR="00DF02B8">
        <w:rPr>
          <w:rFonts w:hint="cs"/>
          <w:szCs w:val="22"/>
          <w:rtl/>
        </w:rPr>
        <w:t>"</w:t>
      </w:r>
      <w:r w:rsidRPr="00A80548">
        <w:rPr>
          <w:szCs w:val="22"/>
          <w:rtl/>
        </w:rPr>
        <w:t xml:space="preserve">) لمنصة تهدف إلى تمكين </w:t>
      </w:r>
      <w:r w:rsidR="00392372">
        <w:rPr>
          <w:szCs w:val="22"/>
          <w:rtl/>
        </w:rPr>
        <w:t>المودعين</w:t>
      </w:r>
      <w:r w:rsidRPr="00A80548">
        <w:rPr>
          <w:szCs w:val="22"/>
          <w:rtl/>
        </w:rPr>
        <w:t xml:space="preserve"> من استخدام نظام </w:t>
      </w:r>
      <w:r w:rsidRPr="00A80548">
        <w:rPr>
          <w:szCs w:val="22"/>
        </w:rPr>
        <w:t>ePCT</w:t>
      </w:r>
      <w:r w:rsidRPr="00A80548">
        <w:rPr>
          <w:szCs w:val="22"/>
          <w:rtl/>
        </w:rPr>
        <w:t xml:space="preserve"> للمساعدة في الدخول في المرحلة الوطنية أمام المكاتب المعيّنة المشاركة (انظر الوثيقة </w:t>
      </w:r>
      <w:r w:rsidRPr="00A80548">
        <w:rPr>
          <w:szCs w:val="22"/>
        </w:rPr>
        <w:t>PCT/WG/9/24</w:t>
      </w:r>
      <w:r w:rsidRPr="00A80548">
        <w:rPr>
          <w:szCs w:val="22"/>
          <w:rtl/>
        </w:rPr>
        <w:t xml:space="preserve">). ولم يُستكمل تطوير هذه الخدمة في ذلك الوقت، ولكن يمكن البناء عليها لتوفير إما نظام رئيسي للدخول الإلكتروني في المرحلة الوطنية للمكاتب، أو بديل لضمان بقاء الخيارات متاحة. ومع ذلك، ينبغي الإشارة إلى أن خدمة </w:t>
      </w:r>
      <w:r w:rsidRPr="00A80548">
        <w:rPr>
          <w:szCs w:val="22"/>
        </w:rPr>
        <w:t>ePCT</w:t>
      </w:r>
      <w:r w:rsidRPr="00A80548">
        <w:rPr>
          <w:szCs w:val="22"/>
          <w:rtl/>
        </w:rPr>
        <w:t xml:space="preserve"> لا توفر حتى الآن خيار الدفع المركزي للرسوم الخاصة بالمكاتب الوطنية، بل تقتصر على معالجة دفع الرسوم المتوقع تحصيلها من قبل المكتب الدولي.</w:t>
      </w:r>
    </w:p>
    <w:p w14:paraId="7AE603D1" w14:textId="707C8F9B" w:rsidR="00A80548" w:rsidRPr="00A80548" w:rsidRDefault="00A80548" w:rsidP="00A80548">
      <w:pPr>
        <w:pStyle w:val="ONUME"/>
        <w:numPr>
          <w:ilvl w:val="0"/>
          <w:numId w:val="0"/>
        </w:numPr>
        <w:bidi/>
        <w:rPr>
          <w:b/>
          <w:bCs/>
          <w:szCs w:val="22"/>
          <w:rtl/>
        </w:rPr>
      </w:pPr>
      <w:r w:rsidRPr="00A80548">
        <w:rPr>
          <w:rFonts w:hint="cs"/>
          <w:b/>
          <w:bCs/>
          <w:szCs w:val="22"/>
          <w:rtl/>
        </w:rPr>
        <w:t>ا</w:t>
      </w:r>
      <w:r w:rsidRPr="00A80548">
        <w:rPr>
          <w:b/>
          <w:bCs/>
          <w:szCs w:val="22"/>
          <w:rtl/>
        </w:rPr>
        <w:t>لتعديلات المقترحة على القواعد</w:t>
      </w:r>
    </w:p>
    <w:p w14:paraId="652D63BB" w14:textId="48CEF6A1" w:rsidR="00A80548" w:rsidRPr="00A80548" w:rsidRDefault="00A80548" w:rsidP="00AD7EDB">
      <w:pPr>
        <w:pStyle w:val="ONUME"/>
        <w:bidi/>
        <w:rPr>
          <w:szCs w:val="22"/>
          <w:rtl/>
        </w:rPr>
      </w:pPr>
      <w:r w:rsidRPr="00A80548">
        <w:rPr>
          <w:szCs w:val="22"/>
          <w:rtl/>
        </w:rPr>
        <w:t xml:space="preserve">يتضمن </w:t>
      </w:r>
      <w:r w:rsidR="00D65A71">
        <w:rPr>
          <w:rFonts w:hint="cs"/>
          <w:szCs w:val="22"/>
          <w:rtl/>
        </w:rPr>
        <w:t>المرفق</w:t>
      </w:r>
      <w:r w:rsidRPr="00A80548">
        <w:rPr>
          <w:szCs w:val="22"/>
          <w:rtl/>
        </w:rPr>
        <w:t xml:space="preserve"> </w:t>
      </w:r>
      <w:r w:rsidR="00D65A71">
        <w:rPr>
          <w:rFonts w:hint="cs"/>
          <w:szCs w:val="22"/>
          <w:rtl/>
        </w:rPr>
        <w:t>اقتراحات</w:t>
      </w:r>
      <w:r w:rsidRPr="00A80548">
        <w:rPr>
          <w:szCs w:val="22"/>
          <w:rtl/>
        </w:rPr>
        <w:t xml:space="preserve"> لتعديل القاعدة 49</w:t>
      </w:r>
      <w:r w:rsidR="00D65A71">
        <w:rPr>
          <w:rFonts w:hint="cs"/>
          <w:szCs w:val="22"/>
          <w:rtl/>
        </w:rPr>
        <w:t>-</w:t>
      </w:r>
      <w:r w:rsidRPr="00A80548">
        <w:rPr>
          <w:szCs w:val="22"/>
          <w:rtl/>
        </w:rPr>
        <w:t>4 بغرض توضيح التزامات المكاتب المعيّنة التي ترغب في اشتراط استخدام الأنظمة الإلكترونية للدخول في المرحلة الوطنية. كما يقدم ضمانات ينبغي تطبيقها في جميع الحالات. ومن حيث المبدأ، تمتد متطلبات الضمانات المقترحة لتشمل تنفيذ الأفعال المشار إليها في المادة 22 شخصيًا أو عن طريق البريد. ومع ذلك، فإن الامتثال للقاعدة 80</w:t>
      </w:r>
      <w:r w:rsidR="00460147">
        <w:rPr>
          <w:rFonts w:hint="cs"/>
          <w:szCs w:val="22"/>
          <w:rtl/>
        </w:rPr>
        <w:t>-</w:t>
      </w:r>
      <w:r w:rsidRPr="00A80548">
        <w:rPr>
          <w:szCs w:val="22"/>
          <w:rtl/>
        </w:rPr>
        <w:t>5 (</w:t>
      </w:r>
      <w:r w:rsidR="00D07779">
        <w:rPr>
          <w:rFonts w:hint="cs"/>
          <w:szCs w:val="22"/>
          <w:rtl/>
        </w:rPr>
        <w:t>انقضاء</w:t>
      </w:r>
      <w:r w:rsidRPr="00A80548">
        <w:rPr>
          <w:szCs w:val="22"/>
          <w:rtl/>
        </w:rPr>
        <w:t xml:space="preserve"> المهلة في غير </w:t>
      </w:r>
      <w:r w:rsidR="00D07779">
        <w:rPr>
          <w:rFonts w:hint="cs"/>
          <w:szCs w:val="22"/>
          <w:rtl/>
        </w:rPr>
        <w:t>أيام ال</w:t>
      </w:r>
      <w:r w:rsidRPr="00A80548">
        <w:rPr>
          <w:szCs w:val="22"/>
          <w:rtl/>
        </w:rPr>
        <w:t xml:space="preserve">عمل </w:t>
      </w:r>
      <w:r w:rsidR="00D07779">
        <w:rPr>
          <w:rFonts w:hint="cs"/>
          <w:szCs w:val="22"/>
          <w:rtl/>
        </w:rPr>
        <w:t>أو في يوم عطلة</w:t>
      </w:r>
      <w:r w:rsidRPr="00A80548">
        <w:rPr>
          <w:szCs w:val="22"/>
          <w:rtl/>
        </w:rPr>
        <w:t>) أو القاعدة 82 (</w:t>
      </w:r>
      <w:r w:rsidR="00A15AF9">
        <w:rPr>
          <w:rFonts w:hint="cs"/>
          <w:szCs w:val="22"/>
          <w:rtl/>
        </w:rPr>
        <w:t>عدم انتظام خدمات</w:t>
      </w:r>
      <w:r w:rsidRPr="00A80548">
        <w:rPr>
          <w:szCs w:val="22"/>
          <w:rtl/>
        </w:rPr>
        <w:t xml:space="preserve"> البريد) يجب أن يكون كافيًا بوجه عام لتغطية مثل هذه الحالات</w:t>
      </w:r>
      <w:r w:rsidRPr="00A80548">
        <w:rPr>
          <w:szCs w:val="22"/>
        </w:rPr>
        <w:t>.</w:t>
      </w:r>
    </w:p>
    <w:p w14:paraId="1957F20D" w14:textId="17BBD910" w:rsidR="00A80548" w:rsidRPr="00A80548" w:rsidRDefault="00A15AF9" w:rsidP="00AD7EDB">
      <w:pPr>
        <w:pStyle w:val="ONUME"/>
        <w:bidi/>
        <w:rPr>
          <w:szCs w:val="22"/>
          <w:rtl/>
        </w:rPr>
      </w:pPr>
      <w:r>
        <w:rPr>
          <w:rFonts w:hint="cs"/>
          <w:szCs w:val="22"/>
          <w:rtl/>
        </w:rPr>
        <w:t>وت</w:t>
      </w:r>
      <w:r w:rsidR="00A80548" w:rsidRPr="00A80548">
        <w:rPr>
          <w:szCs w:val="22"/>
          <w:rtl/>
        </w:rPr>
        <w:t>نص الفقرة المقترحة (أ) على أخذ النص القائم للقاعدة 49</w:t>
      </w:r>
      <w:r>
        <w:rPr>
          <w:rFonts w:hint="cs"/>
          <w:szCs w:val="22"/>
          <w:rtl/>
        </w:rPr>
        <w:t>-</w:t>
      </w:r>
      <w:r w:rsidR="00A80548" w:rsidRPr="00A80548">
        <w:rPr>
          <w:szCs w:val="22"/>
          <w:rtl/>
        </w:rPr>
        <w:t>4 والسماح باستثناء للإشارة التي تفيد بأنه لا يمكن إلزام استخدام نموذج وطني، إذ يمكن اعتبار أي نظام إلكتروني يتيح للطالب إدخال البيانات أو تأكيدها بمثابة نموذج</w:t>
      </w:r>
      <w:r w:rsidR="00A80548" w:rsidRPr="00A80548">
        <w:rPr>
          <w:szCs w:val="22"/>
        </w:rPr>
        <w:t>.</w:t>
      </w:r>
    </w:p>
    <w:p w14:paraId="16F7D2B2" w14:textId="32803ECC" w:rsidR="00A80548" w:rsidRDefault="00A80548" w:rsidP="00AD7EDB">
      <w:pPr>
        <w:pStyle w:val="ONUME"/>
        <w:bidi/>
        <w:rPr>
          <w:szCs w:val="22"/>
        </w:rPr>
      </w:pPr>
      <w:r w:rsidRPr="00A80548">
        <w:rPr>
          <w:szCs w:val="22"/>
          <w:rtl/>
        </w:rPr>
        <w:t xml:space="preserve">وتوضح الفقرة (ب) أن المكاتب يجوز لها تحديد أي وسيلة ترغب فيها لتنفيذ الأفعال المشار إليها في المادة 22، ولكن يجب أن توفر على الأقل وسيلة واحدة تكون متاحة للاستخدام من قبل </w:t>
      </w:r>
      <w:r w:rsidR="00392372">
        <w:rPr>
          <w:szCs w:val="22"/>
          <w:rtl/>
        </w:rPr>
        <w:t>المودعين</w:t>
      </w:r>
      <w:r w:rsidRPr="00A80548">
        <w:rPr>
          <w:szCs w:val="22"/>
          <w:rtl/>
        </w:rPr>
        <w:t xml:space="preserve"> غير المقيمين دون وكيل محلي ودون الحاجة إلى ملء نموذج محدد يتجاوز تقديم المعلومات اللازمة لتحديد الطلب وتمكين التواصل مع </w:t>
      </w:r>
      <w:r w:rsidR="006B1C99">
        <w:rPr>
          <w:szCs w:val="22"/>
          <w:rtl/>
        </w:rPr>
        <w:t xml:space="preserve">المودع </w:t>
      </w:r>
      <w:r w:rsidRPr="00A80548">
        <w:rPr>
          <w:szCs w:val="22"/>
          <w:rtl/>
        </w:rPr>
        <w:t>أو الوكيل.</w:t>
      </w:r>
    </w:p>
    <w:p w14:paraId="28FB67E6" w14:textId="1C82F9FB" w:rsidR="007C1C39" w:rsidRPr="007C1C39" w:rsidRDefault="00A15AF9" w:rsidP="00AD7EDB">
      <w:pPr>
        <w:pStyle w:val="ONUME"/>
        <w:bidi/>
        <w:rPr>
          <w:szCs w:val="22"/>
          <w:rtl/>
        </w:rPr>
      </w:pPr>
      <w:r>
        <w:rPr>
          <w:rFonts w:hint="cs"/>
          <w:szCs w:val="22"/>
          <w:rtl/>
        </w:rPr>
        <w:t>و</w:t>
      </w:r>
      <w:r w:rsidR="007C1C39" w:rsidRPr="007C1C39">
        <w:rPr>
          <w:szCs w:val="22"/>
          <w:rtl/>
        </w:rPr>
        <w:t>تدير بعض المكاتب خدمات تسترجع البيانات في الوقت الفعلي (عادةً باستخدام خدمات الويب الخاصة بـ</w:t>
      </w:r>
      <w:r w:rsidR="007C1C39" w:rsidRPr="007C1C39">
        <w:rPr>
          <w:szCs w:val="22"/>
        </w:rPr>
        <w:t xml:space="preserve"> PATENTSCOPE) </w:t>
      </w:r>
      <w:r w:rsidR="007C1C39" w:rsidRPr="007C1C39">
        <w:rPr>
          <w:szCs w:val="22"/>
          <w:rtl/>
        </w:rPr>
        <w:t xml:space="preserve">لملء «نموذج» كبير على الشاشة، يقوم </w:t>
      </w:r>
      <w:r w:rsidR="006B1C99">
        <w:rPr>
          <w:szCs w:val="22"/>
          <w:rtl/>
        </w:rPr>
        <w:t xml:space="preserve">المودع </w:t>
      </w:r>
      <w:r w:rsidR="007C1C39" w:rsidRPr="007C1C39">
        <w:rPr>
          <w:szCs w:val="22"/>
          <w:rtl/>
        </w:rPr>
        <w:t xml:space="preserve">بعد ذلك بمراجعته وقبوله. وتُقصد عبارة «دون الحاجة إلى تقديم أي بيانات تتجاوز…» تأكيد أن مثل هذه الترتيبات ينبغي اعتبارها مقبولة حتى في إطار خدمة إلزامية، ولكن يجب ألا يُطلب من </w:t>
      </w:r>
      <w:r w:rsidR="006B1C99">
        <w:rPr>
          <w:szCs w:val="22"/>
          <w:rtl/>
        </w:rPr>
        <w:t xml:space="preserve">المودع </w:t>
      </w:r>
      <w:r w:rsidR="007C1C39" w:rsidRPr="007C1C39">
        <w:rPr>
          <w:szCs w:val="22"/>
          <w:rtl/>
        </w:rPr>
        <w:t>إدخال جميع التفاصيل ضمن المهلة المحددة في المادة 22 في حال فشل استرجاع البيانات</w:t>
      </w:r>
      <w:r w:rsidR="007C1C39" w:rsidRPr="007C1C39">
        <w:rPr>
          <w:szCs w:val="22"/>
        </w:rPr>
        <w:t>.</w:t>
      </w:r>
    </w:p>
    <w:p w14:paraId="4FCDAC82" w14:textId="482DACEB" w:rsidR="007C1C39" w:rsidRPr="007C1C39" w:rsidRDefault="00A15AF9" w:rsidP="00AD7EDB">
      <w:pPr>
        <w:pStyle w:val="ONUME"/>
        <w:bidi/>
        <w:rPr>
          <w:szCs w:val="22"/>
          <w:rtl/>
        </w:rPr>
      </w:pPr>
      <w:r>
        <w:rPr>
          <w:rFonts w:hint="cs"/>
          <w:szCs w:val="22"/>
          <w:rtl/>
        </w:rPr>
        <w:t>و</w:t>
      </w:r>
      <w:r w:rsidR="007C1C39" w:rsidRPr="007C1C39">
        <w:rPr>
          <w:szCs w:val="22"/>
          <w:rtl/>
        </w:rPr>
        <w:t xml:space="preserve">بوجه عام، يُفهم أن الإشارات الواردة في القواعد إلى التواصل مع </w:t>
      </w:r>
      <w:r w:rsidR="006B1C99">
        <w:rPr>
          <w:szCs w:val="22"/>
          <w:rtl/>
        </w:rPr>
        <w:t xml:space="preserve">المودع </w:t>
      </w:r>
      <w:r w:rsidR="007C1C39" w:rsidRPr="007C1C39">
        <w:rPr>
          <w:szCs w:val="22"/>
          <w:rtl/>
        </w:rPr>
        <w:t>تعني التواصل مع الوكيل، إذا تم تعيينه. واستنادًا إلى التعليقات الواردة في الدورة الثامنة عشرة للفريق العامل، تشير الفقرة (ب)</w:t>
      </w:r>
      <w:r>
        <w:rPr>
          <w:rFonts w:hint="cs"/>
          <w:szCs w:val="22"/>
          <w:rtl/>
        </w:rPr>
        <w:t>"</w:t>
      </w:r>
      <w:r w:rsidR="007C1C39" w:rsidRPr="007C1C39">
        <w:rPr>
          <w:szCs w:val="22"/>
          <w:rtl/>
        </w:rPr>
        <w:t>3</w:t>
      </w:r>
      <w:r>
        <w:rPr>
          <w:rFonts w:hint="cs"/>
          <w:szCs w:val="22"/>
          <w:rtl/>
        </w:rPr>
        <w:t>"</w:t>
      </w:r>
      <w:r w:rsidR="007C1C39" w:rsidRPr="007C1C39">
        <w:rPr>
          <w:szCs w:val="22"/>
          <w:rtl/>
        </w:rPr>
        <w:t xml:space="preserve"> صراحةً إلى كلٍّ من </w:t>
      </w:r>
      <w:r w:rsidR="006B1C99">
        <w:rPr>
          <w:szCs w:val="22"/>
          <w:rtl/>
        </w:rPr>
        <w:t xml:space="preserve">المودع </w:t>
      </w:r>
      <w:r w:rsidR="007C1C39" w:rsidRPr="007C1C39">
        <w:rPr>
          <w:szCs w:val="22"/>
          <w:rtl/>
        </w:rPr>
        <w:t>وأي وكيل، نظرًا لأن الفرق قد يكون مهمًا في هذه الحالة</w:t>
      </w:r>
      <w:r w:rsidR="007C1C39" w:rsidRPr="007C1C39">
        <w:rPr>
          <w:szCs w:val="22"/>
        </w:rPr>
        <w:t>.</w:t>
      </w:r>
    </w:p>
    <w:p w14:paraId="5BB32A76" w14:textId="2218295C" w:rsidR="007C1C39" w:rsidRDefault="00CF1C98" w:rsidP="00AD7EDB">
      <w:pPr>
        <w:pStyle w:val="ONUME"/>
        <w:bidi/>
        <w:rPr>
          <w:szCs w:val="22"/>
        </w:rPr>
      </w:pPr>
      <w:r>
        <w:rPr>
          <w:rFonts w:hint="cs"/>
          <w:szCs w:val="22"/>
          <w:rtl/>
        </w:rPr>
        <w:t>و</w:t>
      </w:r>
      <w:r w:rsidR="007C1C39" w:rsidRPr="007C1C39">
        <w:rPr>
          <w:szCs w:val="22"/>
          <w:rtl/>
        </w:rPr>
        <w:t>تُدخل الفقرة (ج) التزامًا على المكتب المعيّن لضمان وجود ضمانة تكفل إعفاء التأخيرات في تنفيذ الأفعال المشار إليها في المادة 22 إذا كانت ناجمة عن عدم توفر وسيلة محددة لتنفيذ تلك الأفعال.</w:t>
      </w:r>
    </w:p>
    <w:p w14:paraId="439974DB" w14:textId="7617F692" w:rsidR="0080495E" w:rsidRDefault="00CF1C98" w:rsidP="0083511C">
      <w:pPr>
        <w:pStyle w:val="ONUME"/>
        <w:bidi/>
        <w:rPr>
          <w:szCs w:val="22"/>
        </w:rPr>
      </w:pPr>
      <w:r>
        <w:rPr>
          <w:rFonts w:hint="cs"/>
          <w:szCs w:val="22"/>
          <w:rtl/>
        </w:rPr>
        <w:t>و</w:t>
      </w:r>
      <w:r w:rsidR="00AD7EDB" w:rsidRPr="0080495E">
        <w:rPr>
          <w:szCs w:val="22"/>
          <w:rtl/>
        </w:rPr>
        <w:t>على خلاف مشروع القاعدة 82</w:t>
      </w:r>
      <w:r>
        <w:rPr>
          <w:rFonts w:hint="cs"/>
          <w:szCs w:val="22"/>
          <w:rtl/>
        </w:rPr>
        <w:t>-</w:t>
      </w:r>
      <w:r w:rsidR="00AD7EDB" w:rsidRPr="0080495E">
        <w:rPr>
          <w:szCs w:val="22"/>
          <w:rtl/>
        </w:rPr>
        <w:t>2 المقترح في الوثيقة</w:t>
      </w:r>
      <w:r w:rsidR="00AD7EDB" w:rsidRPr="0080495E">
        <w:rPr>
          <w:szCs w:val="22"/>
        </w:rPr>
        <w:t xml:space="preserve"> PCT/WG/18/4 Rev.</w:t>
      </w:r>
      <w:r w:rsidR="00AD7EDB" w:rsidRPr="0080495E">
        <w:rPr>
          <w:szCs w:val="22"/>
          <w:rtl/>
        </w:rPr>
        <w:t>، لا تسعى القاعدة المقترحة الآن إلى الإشارة إلى «فترة زمنية كبيرة» من عدم التوفر، سواء بصفة عامة أو كمدة محددة. وبدلًا من ذلك، تُترك صيغة هذه الضمانة لتكون مسألة تخضع للقانون الوطني، ولكن ينبغي أن تراعي ثلاثة عوامل (أو توفر بدائل أكثر تساهلًا تجعلها غير ذات صلة</w:t>
      </w:r>
      <w:r w:rsidR="00AD7EDB" w:rsidRPr="0080495E">
        <w:rPr>
          <w:szCs w:val="22"/>
        </w:rPr>
        <w:t>:</w:t>
      </w:r>
    </w:p>
    <w:p w14:paraId="042EF1AA" w14:textId="7D50C5A3" w:rsidR="0080495E" w:rsidRPr="0080495E" w:rsidRDefault="0080495E" w:rsidP="0080495E">
      <w:pPr>
        <w:pStyle w:val="ONUME"/>
        <w:numPr>
          <w:ilvl w:val="0"/>
          <w:numId w:val="0"/>
        </w:numPr>
        <w:bidi/>
        <w:ind w:left="566"/>
        <w:rPr>
          <w:rFonts w:asciiTheme="minorHAnsi" w:hAnsiTheme="minorHAnsi" w:cstheme="minorHAnsi"/>
          <w:szCs w:val="22"/>
          <w:rtl/>
        </w:rPr>
      </w:pPr>
      <w:r w:rsidRPr="0080495E">
        <w:rPr>
          <w:rFonts w:asciiTheme="minorHAnsi" w:hAnsiTheme="minorHAnsi" w:cstheme="minorHAnsi"/>
          <w:szCs w:val="22"/>
          <w:rtl/>
        </w:rPr>
        <w:t xml:space="preserve">أ) </w:t>
      </w:r>
      <w:r w:rsidR="006E59C0">
        <w:rPr>
          <w:rFonts w:asciiTheme="minorHAnsi" w:hAnsiTheme="minorHAnsi" w:cstheme="minorHAnsi" w:hint="cs"/>
          <w:szCs w:val="22"/>
          <w:rtl/>
        </w:rPr>
        <w:t>"</w:t>
      </w:r>
      <w:r w:rsidRPr="0080495E">
        <w:rPr>
          <w:rFonts w:asciiTheme="minorHAnsi" w:hAnsiTheme="minorHAnsi" w:cstheme="minorHAnsi"/>
          <w:szCs w:val="22"/>
          <w:rtl/>
        </w:rPr>
        <w:t>الناتجة عن عدم التوفر</w:t>
      </w:r>
      <w:r w:rsidR="006E59C0">
        <w:rPr>
          <w:rFonts w:asciiTheme="minorHAnsi" w:hAnsiTheme="minorHAnsi" w:cstheme="minorHAnsi" w:hint="cs"/>
          <w:szCs w:val="22"/>
          <w:rtl/>
        </w:rPr>
        <w:t>"</w:t>
      </w:r>
      <w:r w:rsidRPr="0080495E">
        <w:rPr>
          <w:rFonts w:asciiTheme="minorHAnsi" w:hAnsiTheme="minorHAnsi" w:cstheme="minorHAnsi"/>
          <w:szCs w:val="22"/>
          <w:rtl/>
        </w:rPr>
        <w:t>: يجب أن يكون هناك افتراض معقول بأن عدم توفر النظام كان عاملًا مهمًا في أي تأخير — فعدم توفر الأنظمة لفترة قصيرة جدًا لا ينبغي بالضرورة أن يعفي التأخير في تنفيذ الأفعال</w:t>
      </w:r>
      <w:r w:rsidRPr="0080495E">
        <w:rPr>
          <w:rFonts w:asciiTheme="minorHAnsi" w:hAnsiTheme="minorHAnsi" w:cstheme="minorHAnsi"/>
          <w:szCs w:val="22"/>
        </w:rPr>
        <w:t>.</w:t>
      </w:r>
    </w:p>
    <w:p w14:paraId="17F9B4C4" w14:textId="1A1B313D" w:rsidR="0080495E" w:rsidRPr="0080495E" w:rsidRDefault="0080495E" w:rsidP="0080495E">
      <w:pPr>
        <w:pStyle w:val="ONUME"/>
        <w:numPr>
          <w:ilvl w:val="0"/>
          <w:numId w:val="0"/>
        </w:numPr>
        <w:bidi/>
        <w:ind w:left="566"/>
        <w:rPr>
          <w:rFonts w:asciiTheme="minorHAnsi" w:hAnsiTheme="minorHAnsi" w:cstheme="minorHAnsi"/>
          <w:szCs w:val="22"/>
          <w:rtl/>
        </w:rPr>
      </w:pPr>
      <w:r w:rsidRPr="0080495E">
        <w:rPr>
          <w:rFonts w:asciiTheme="minorHAnsi" w:hAnsiTheme="minorHAnsi" w:cstheme="minorHAnsi"/>
          <w:szCs w:val="22"/>
          <w:rtl/>
        </w:rPr>
        <w:t xml:space="preserve">ب) </w:t>
      </w:r>
      <w:r w:rsidR="00E84E8B">
        <w:rPr>
          <w:rFonts w:asciiTheme="minorHAnsi" w:hAnsiTheme="minorHAnsi" w:cstheme="minorHAnsi" w:hint="cs"/>
          <w:szCs w:val="22"/>
          <w:rtl/>
        </w:rPr>
        <w:t>"</w:t>
      </w:r>
      <w:r w:rsidRPr="0080495E">
        <w:rPr>
          <w:rFonts w:asciiTheme="minorHAnsi" w:hAnsiTheme="minorHAnsi" w:cstheme="minorHAnsi"/>
          <w:szCs w:val="22"/>
          <w:rtl/>
        </w:rPr>
        <w:t xml:space="preserve">ما لم تكن هناك وسيلة بديلة لتنفيذ الأفعال متاحة عمليًا </w:t>
      </w:r>
      <w:r w:rsidR="00E84E8B">
        <w:rPr>
          <w:rFonts w:asciiTheme="minorHAnsi" w:hAnsiTheme="minorHAnsi" w:cstheme="minorHAnsi" w:hint="cs"/>
          <w:szCs w:val="22"/>
          <w:rtl/>
        </w:rPr>
        <w:t>للمودع"</w:t>
      </w:r>
      <w:r w:rsidRPr="0080495E">
        <w:rPr>
          <w:rFonts w:asciiTheme="minorHAnsi" w:hAnsiTheme="minorHAnsi" w:cstheme="minorHAnsi"/>
          <w:szCs w:val="22"/>
          <w:rtl/>
        </w:rPr>
        <w:t xml:space="preserve">: يمكن توقع أن يحاول </w:t>
      </w:r>
      <w:r w:rsidR="00392372">
        <w:rPr>
          <w:rFonts w:asciiTheme="minorHAnsi" w:hAnsiTheme="minorHAnsi" w:cstheme="minorHAnsi"/>
          <w:szCs w:val="22"/>
          <w:rtl/>
        </w:rPr>
        <w:t>المودعون</w:t>
      </w:r>
      <w:r w:rsidRPr="0080495E">
        <w:rPr>
          <w:rFonts w:asciiTheme="minorHAnsi" w:hAnsiTheme="minorHAnsi" w:cstheme="minorHAnsi"/>
          <w:szCs w:val="22"/>
          <w:rtl/>
        </w:rPr>
        <w:t xml:space="preserve"> استخدام خدمة بديلة كانت متاحة لهم بسهولة. ولا يُعد خيار تقديم المستندات ورقيًا خيارًا عمليًا إذا كان النظام الإلكتروني غير متاح في اليوم الأخير من المهلة المحددة بموجب المادة 22، ولا يُعد كذلك استخدام خدمة بديلة تتطلب عملية تسجيل مع مراجعة يدوية قبل إمكانية استخدامها، أو خدمة لم يُشر إليها في دليل </w:t>
      </w:r>
      <w:r w:rsidR="006B1C99">
        <w:rPr>
          <w:rFonts w:asciiTheme="minorHAnsi" w:hAnsiTheme="minorHAnsi" w:cstheme="minorHAnsi"/>
          <w:szCs w:val="22"/>
          <w:rtl/>
        </w:rPr>
        <w:t xml:space="preserve">المودع </w:t>
      </w:r>
      <w:r w:rsidRPr="0080495E">
        <w:rPr>
          <w:rFonts w:asciiTheme="minorHAnsi" w:hAnsiTheme="minorHAnsi" w:cstheme="minorHAnsi"/>
          <w:szCs w:val="22"/>
          <w:rtl/>
        </w:rPr>
        <w:t xml:space="preserve">لمعاهدة التعاون بشأن البراءات وبالتالي قد لا يكون </w:t>
      </w:r>
      <w:r w:rsidR="006B1C99">
        <w:rPr>
          <w:rFonts w:asciiTheme="minorHAnsi" w:hAnsiTheme="minorHAnsi" w:cstheme="minorHAnsi"/>
          <w:szCs w:val="22"/>
          <w:rtl/>
        </w:rPr>
        <w:t xml:space="preserve">المودع </w:t>
      </w:r>
      <w:r w:rsidRPr="0080495E">
        <w:rPr>
          <w:rFonts w:asciiTheme="minorHAnsi" w:hAnsiTheme="minorHAnsi" w:cstheme="minorHAnsi"/>
          <w:szCs w:val="22"/>
          <w:rtl/>
        </w:rPr>
        <w:t>على علم بها</w:t>
      </w:r>
      <w:r w:rsidRPr="0080495E">
        <w:rPr>
          <w:rFonts w:asciiTheme="minorHAnsi" w:hAnsiTheme="minorHAnsi" w:cstheme="minorHAnsi"/>
          <w:szCs w:val="22"/>
        </w:rPr>
        <w:t>.</w:t>
      </w:r>
    </w:p>
    <w:p w14:paraId="33D310C8" w14:textId="4FE96FD6" w:rsidR="0080495E" w:rsidRPr="0080495E" w:rsidRDefault="0080495E" w:rsidP="0080495E">
      <w:pPr>
        <w:pStyle w:val="ONUME"/>
        <w:numPr>
          <w:ilvl w:val="0"/>
          <w:numId w:val="0"/>
        </w:numPr>
        <w:bidi/>
        <w:ind w:left="566"/>
        <w:rPr>
          <w:rFonts w:asciiTheme="minorHAnsi" w:hAnsiTheme="minorHAnsi" w:cstheme="minorHAnsi"/>
          <w:szCs w:val="22"/>
        </w:rPr>
      </w:pPr>
      <w:r w:rsidRPr="0080495E">
        <w:rPr>
          <w:rFonts w:asciiTheme="minorHAnsi" w:hAnsiTheme="minorHAnsi" w:cstheme="minorHAnsi"/>
          <w:szCs w:val="22"/>
          <w:rtl/>
        </w:rPr>
        <w:t xml:space="preserve">ج) </w:t>
      </w:r>
      <w:r w:rsidR="00E84E8B">
        <w:rPr>
          <w:rFonts w:asciiTheme="minorHAnsi" w:hAnsiTheme="minorHAnsi" w:cstheme="minorHAnsi" w:hint="cs"/>
          <w:szCs w:val="22"/>
          <w:rtl/>
        </w:rPr>
        <w:t>"</w:t>
      </w:r>
      <w:r w:rsidRPr="0080495E">
        <w:rPr>
          <w:rFonts w:asciiTheme="minorHAnsi" w:hAnsiTheme="minorHAnsi" w:cstheme="minorHAnsi"/>
          <w:szCs w:val="22"/>
          <w:rtl/>
        </w:rPr>
        <w:t xml:space="preserve">لا يجوز أن يُطلب من </w:t>
      </w:r>
      <w:r w:rsidR="006B1C99">
        <w:rPr>
          <w:rFonts w:asciiTheme="minorHAnsi" w:hAnsiTheme="minorHAnsi" w:cstheme="minorHAnsi"/>
          <w:szCs w:val="22"/>
          <w:rtl/>
        </w:rPr>
        <w:t xml:space="preserve">المودع </w:t>
      </w:r>
      <w:r w:rsidRPr="0080495E">
        <w:rPr>
          <w:rFonts w:asciiTheme="minorHAnsi" w:hAnsiTheme="minorHAnsi" w:cstheme="minorHAnsi"/>
          <w:szCs w:val="22"/>
          <w:rtl/>
        </w:rPr>
        <w:t>تقديم دليل على أي عدم توفر كان معروفًا لدى المكتب المعيّن</w:t>
      </w:r>
      <w:r w:rsidR="00E84E8B">
        <w:rPr>
          <w:rFonts w:asciiTheme="minorHAnsi" w:hAnsiTheme="minorHAnsi" w:cstheme="minorHAnsi" w:hint="cs"/>
          <w:szCs w:val="22"/>
          <w:rtl/>
        </w:rPr>
        <w:t>"</w:t>
      </w:r>
      <w:r w:rsidRPr="0080495E">
        <w:rPr>
          <w:rFonts w:asciiTheme="minorHAnsi" w:hAnsiTheme="minorHAnsi" w:cstheme="minorHAnsi"/>
          <w:szCs w:val="22"/>
          <w:rtl/>
        </w:rPr>
        <w:t xml:space="preserve">: سيكون المكتب عادةً على علم بانقطاعات خدماته. وعندما يكون الانقطاع معروفًا ويتم اتخاذ الإجراءات بسرعة بعد ذلك (في يوم العمل التالي لانتهاء الانقطاع)، ينبغي أن يُطبَّق إعفاء التأخيرات عادةً إداريًا دون أي إجراء خاص من الطالب، بافتراض أن الانقطاع كان سبب التأخير. وفي جميع الأحوال، لا ينبغي أن يُطلب من </w:t>
      </w:r>
      <w:r w:rsidR="006B1C99">
        <w:rPr>
          <w:rFonts w:asciiTheme="minorHAnsi" w:hAnsiTheme="minorHAnsi" w:cstheme="minorHAnsi"/>
          <w:szCs w:val="22"/>
          <w:rtl/>
        </w:rPr>
        <w:t xml:space="preserve">المودع </w:t>
      </w:r>
      <w:r w:rsidRPr="0080495E">
        <w:rPr>
          <w:rFonts w:asciiTheme="minorHAnsi" w:hAnsiTheme="minorHAnsi" w:cstheme="minorHAnsi"/>
          <w:szCs w:val="22"/>
          <w:rtl/>
        </w:rPr>
        <w:t xml:space="preserve">تقديم دليل على أن التأخير كان </w:t>
      </w:r>
      <w:r w:rsidR="00165B5E">
        <w:rPr>
          <w:rFonts w:asciiTheme="minorHAnsi" w:hAnsiTheme="minorHAnsi" w:cstheme="minorHAnsi" w:hint="cs"/>
          <w:szCs w:val="22"/>
          <w:rtl/>
        </w:rPr>
        <w:t>"</w:t>
      </w:r>
      <w:r w:rsidRPr="0080495E">
        <w:rPr>
          <w:rFonts w:asciiTheme="minorHAnsi" w:hAnsiTheme="minorHAnsi" w:cstheme="minorHAnsi"/>
          <w:szCs w:val="22"/>
          <w:rtl/>
        </w:rPr>
        <w:t>غير مقصود</w:t>
      </w:r>
      <w:r w:rsidR="00165B5E">
        <w:rPr>
          <w:rFonts w:asciiTheme="minorHAnsi" w:hAnsiTheme="minorHAnsi" w:cstheme="minorHAnsi" w:hint="cs"/>
          <w:szCs w:val="22"/>
          <w:rtl/>
        </w:rPr>
        <w:t>"</w:t>
      </w:r>
      <w:r w:rsidRPr="0080495E">
        <w:rPr>
          <w:rFonts w:asciiTheme="minorHAnsi" w:hAnsiTheme="minorHAnsi" w:cstheme="minorHAnsi"/>
          <w:szCs w:val="22"/>
          <w:rtl/>
        </w:rPr>
        <w:t xml:space="preserve"> أو </w:t>
      </w:r>
      <w:r w:rsidR="00165B5E">
        <w:rPr>
          <w:rFonts w:asciiTheme="minorHAnsi" w:hAnsiTheme="minorHAnsi" w:cstheme="minorHAnsi" w:hint="cs"/>
          <w:szCs w:val="22"/>
          <w:rtl/>
        </w:rPr>
        <w:t>"</w:t>
      </w:r>
      <w:r w:rsidRPr="0080495E">
        <w:rPr>
          <w:rFonts w:asciiTheme="minorHAnsi" w:hAnsiTheme="minorHAnsi" w:cstheme="minorHAnsi"/>
          <w:szCs w:val="22"/>
          <w:rtl/>
        </w:rPr>
        <w:t>رغم بذل العناية الواجبة</w:t>
      </w:r>
      <w:r w:rsidR="00165B5E">
        <w:rPr>
          <w:rFonts w:asciiTheme="minorHAnsi" w:hAnsiTheme="minorHAnsi" w:cstheme="minorHAnsi" w:hint="cs"/>
          <w:szCs w:val="22"/>
          <w:rtl/>
        </w:rPr>
        <w:t>"</w:t>
      </w:r>
      <w:r w:rsidRPr="0080495E">
        <w:rPr>
          <w:rFonts w:asciiTheme="minorHAnsi" w:hAnsiTheme="minorHAnsi" w:cstheme="minorHAnsi"/>
          <w:szCs w:val="22"/>
          <w:rtl/>
        </w:rPr>
        <w:t xml:space="preserve"> كما هو الحال في استعادة الحقوق بموجب القاعدة 49</w:t>
      </w:r>
      <w:r w:rsidR="00B2040C">
        <w:rPr>
          <w:rFonts w:asciiTheme="minorHAnsi" w:hAnsiTheme="minorHAnsi" w:cstheme="minorHAnsi" w:hint="cs"/>
          <w:szCs w:val="22"/>
          <w:rtl/>
        </w:rPr>
        <w:t>-</w:t>
      </w:r>
      <w:r w:rsidRPr="0080495E">
        <w:rPr>
          <w:rFonts w:asciiTheme="minorHAnsi" w:hAnsiTheme="minorHAnsi" w:cstheme="minorHAnsi"/>
          <w:szCs w:val="22"/>
          <w:rtl/>
        </w:rPr>
        <w:t>6.</w:t>
      </w:r>
    </w:p>
    <w:p w14:paraId="7E97CE87" w14:textId="22BE2B4C" w:rsidR="0080495E" w:rsidRPr="0080495E" w:rsidRDefault="0080495E" w:rsidP="0080495E">
      <w:pPr>
        <w:pStyle w:val="ONUME"/>
        <w:bidi/>
        <w:rPr>
          <w:szCs w:val="22"/>
          <w:rtl/>
        </w:rPr>
      </w:pPr>
      <w:r w:rsidRPr="0080495E">
        <w:rPr>
          <w:szCs w:val="22"/>
          <w:rtl/>
        </w:rPr>
        <w:t xml:space="preserve">تشترط الفقرة (د) أن تقوم المكاتب المعيّنة بإخطار المكتب الدولي بالخيارات الجديدة لنشرها في </w:t>
      </w:r>
      <w:r w:rsidR="00EA7555">
        <w:rPr>
          <w:rFonts w:hint="cs"/>
          <w:szCs w:val="22"/>
          <w:rtl/>
        </w:rPr>
        <w:t>النشرة الدولية</w:t>
      </w:r>
      <w:r w:rsidRPr="0080495E">
        <w:rPr>
          <w:szCs w:val="22"/>
          <w:rtl/>
        </w:rPr>
        <w:t xml:space="preserve"> </w:t>
      </w:r>
      <w:r w:rsidR="00EA7555">
        <w:rPr>
          <w:rFonts w:hint="cs"/>
          <w:szCs w:val="22"/>
          <w:rtl/>
        </w:rPr>
        <w:t>ل</w:t>
      </w:r>
      <w:r w:rsidRPr="0080495E">
        <w:rPr>
          <w:szCs w:val="22"/>
          <w:rtl/>
        </w:rPr>
        <w:t>معاهدة التعاون بشأن البراءات</w:t>
      </w:r>
      <w:r w:rsidRPr="0080495E">
        <w:rPr>
          <w:szCs w:val="22"/>
        </w:rPr>
        <w:t xml:space="preserve"> (PCT Gazette). </w:t>
      </w:r>
      <w:r w:rsidRPr="0080495E">
        <w:rPr>
          <w:szCs w:val="22"/>
          <w:rtl/>
        </w:rPr>
        <w:t xml:space="preserve">وستُدرج هذه المعلومات أيضًا في دليل </w:t>
      </w:r>
      <w:r w:rsidR="006B1C99">
        <w:rPr>
          <w:szCs w:val="22"/>
          <w:rtl/>
        </w:rPr>
        <w:t xml:space="preserve">المودع </w:t>
      </w:r>
      <w:r w:rsidRPr="0080495E">
        <w:rPr>
          <w:szCs w:val="22"/>
          <w:rtl/>
        </w:rPr>
        <w:t xml:space="preserve">لمعاهدة التعاون بشأن البراءات. وعندما يتم إدخال خدمة جديدة لتحل محل خدمة قديمة، مثل جعل نظام الإيداع الإلكتروني إلزاميًا وإلغاء خيار الإيداع الورقي، يجب أن تظل الخدمة القديمة متاحة لمدة لا تقل عن شهرين بعد نشر الإخطار ذي الصلة في </w:t>
      </w:r>
      <w:r w:rsidR="00EA7555">
        <w:rPr>
          <w:rFonts w:hint="cs"/>
          <w:szCs w:val="22"/>
          <w:rtl/>
        </w:rPr>
        <w:t>النشرة الدولية</w:t>
      </w:r>
      <w:r w:rsidRPr="0080495E">
        <w:rPr>
          <w:szCs w:val="22"/>
          <w:rtl/>
        </w:rPr>
        <w:t xml:space="preserve">. ولتجنب الحاجة إلى قيام جميع المكاتب المعيّنة بتقديم إخطارات بشأن المتطلبات التقليدية القائمة، سيوضح ترتيب انتقالي أن القاعدة تنطبق فقط على الحالات التي يتم فيها تغيير المتطلبات بعد دخول القاعدة حيز النفاذ. ومع ذلك، يُشجَّع المكاتب المعيّنة بشدة على التحقق من المعلومات القائمة في الفصل الوطني ذي الصلة في دليل </w:t>
      </w:r>
      <w:r w:rsidR="006B1C99">
        <w:rPr>
          <w:szCs w:val="22"/>
          <w:rtl/>
        </w:rPr>
        <w:t xml:space="preserve">المودع </w:t>
      </w:r>
      <w:r w:rsidRPr="0080495E">
        <w:rPr>
          <w:szCs w:val="22"/>
          <w:rtl/>
        </w:rPr>
        <w:t>وإبلاغ المكتب الدولي بأي أخطاء أو سهو ينبغي تصحيحه</w:t>
      </w:r>
      <w:r w:rsidRPr="0080495E">
        <w:rPr>
          <w:szCs w:val="22"/>
        </w:rPr>
        <w:t>.</w:t>
      </w:r>
    </w:p>
    <w:p w14:paraId="0D7103D0" w14:textId="719D92FD" w:rsidR="0080495E" w:rsidRPr="0080495E" w:rsidRDefault="00627B4E" w:rsidP="0080495E">
      <w:pPr>
        <w:pStyle w:val="ONUME"/>
        <w:bidi/>
        <w:rPr>
          <w:szCs w:val="22"/>
          <w:rtl/>
        </w:rPr>
      </w:pPr>
      <w:r>
        <w:rPr>
          <w:rFonts w:hint="cs"/>
          <w:szCs w:val="22"/>
          <w:rtl/>
        </w:rPr>
        <w:t>و</w:t>
      </w:r>
      <w:r w:rsidR="0080495E" w:rsidRPr="0080495E">
        <w:rPr>
          <w:szCs w:val="22"/>
          <w:rtl/>
        </w:rPr>
        <w:t>تُصاغ القاعدة 49</w:t>
      </w:r>
      <w:r>
        <w:rPr>
          <w:rFonts w:hint="cs"/>
          <w:szCs w:val="22"/>
          <w:rtl/>
        </w:rPr>
        <w:t>-</w:t>
      </w:r>
      <w:r w:rsidR="0080495E" w:rsidRPr="0080495E">
        <w:rPr>
          <w:szCs w:val="22"/>
          <w:rtl/>
        </w:rPr>
        <w:t>4 من حيث الأفعال التي تُنفَّذ في المكتب المعيّن. وستعمل القاعدة القائمة 76</w:t>
      </w:r>
      <w:r>
        <w:rPr>
          <w:rFonts w:hint="cs"/>
          <w:szCs w:val="22"/>
          <w:rtl/>
        </w:rPr>
        <w:t>-</w:t>
      </w:r>
      <w:r w:rsidR="0080495E" w:rsidRPr="0080495E">
        <w:rPr>
          <w:szCs w:val="22"/>
          <w:rtl/>
        </w:rPr>
        <w:t>5 على تطبيق الأحكام المكافئة أيضًا على المكاتب المنتخبة دون الحاجة إلى إدخال تعديلات تبعية</w:t>
      </w:r>
      <w:r w:rsidR="0080495E" w:rsidRPr="0080495E">
        <w:rPr>
          <w:szCs w:val="22"/>
        </w:rPr>
        <w:t>.</w:t>
      </w:r>
    </w:p>
    <w:p w14:paraId="0687F351" w14:textId="6FC66B28" w:rsidR="0080495E" w:rsidRPr="0080495E" w:rsidRDefault="0080495E" w:rsidP="0080495E">
      <w:pPr>
        <w:pStyle w:val="ONUME"/>
        <w:bidi/>
        <w:ind w:left="5102"/>
        <w:rPr>
          <w:szCs w:val="22"/>
        </w:rPr>
      </w:pPr>
      <w:r>
        <w:rPr>
          <w:rFonts w:hint="cs"/>
          <w:szCs w:val="22"/>
          <w:rtl/>
        </w:rPr>
        <w:t>إن</w:t>
      </w:r>
      <w:r w:rsidRPr="0080495E">
        <w:rPr>
          <w:szCs w:val="22"/>
          <w:rtl/>
        </w:rPr>
        <w:t xml:space="preserve"> الفريق العامل</w:t>
      </w:r>
      <w:r>
        <w:rPr>
          <w:rFonts w:hint="cs"/>
          <w:szCs w:val="22"/>
          <w:rtl/>
        </w:rPr>
        <w:t xml:space="preserve"> مدعو </w:t>
      </w:r>
      <w:r w:rsidRPr="0080495E">
        <w:rPr>
          <w:szCs w:val="22"/>
          <w:rtl/>
        </w:rPr>
        <w:t xml:space="preserve"> إلى التعليق على التعديلات المقترحة على اللائحة التنفيذية الواردة في المرفق بالوثيقة </w:t>
      </w:r>
      <w:r w:rsidRPr="0080495E">
        <w:rPr>
          <w:szCs w:val="22"/>
        </w:rPr>
        <w:t>PCT/WG/19/5</w:t>
      </w:r>
      <w:r w:rsidRPr="0080495E">
        <w:rPr>
          <w:szCs w:val="22"/>
          <w:rtl/>
        </w:rPr>
        <w:t>.</w:t>
      </w:r>
    </w:p>
    <w:bookmarkEnd w:id="0"/>
    <w:p w14:paraId="0F19B285" w14:textId="77777777" w:rsidR="00317A53" w:rsidRPr="00367241" w:rsidRDefault="004508F6" w:rsidP="00D0457A">
      <w:pPr>
        <w:pStyle w:val="Endofdocument-Annex"/>
        <w:bidi/>
        <w:spacing w:before="440"/>
        <w:rPr>
          <w:szCs w:val="22"/>
          <w:rtl/>
        </w:rPr>
        <w:sectPr w:rsidR="00317A53" w:rsidRPr="00367241" w:rsidSect="00367241">
          <w:headerReference w:type="default" r:id="rId12"/>
          <w:footnotePr>
            <w:numRestart w:val="eachSect"/>
          </w:footnotePr>
          <w:endnotePr>
            <w:numFmt w:val="decimal"/>
          </w:endnotePr>
          <w:pgSz w:w="11907" w:h="16840" w:code="9"/>
          <w:pgMar w:top="567" w:right="1418" w:bottom="1418" w:left="1134" w:header="510" w:footer="1021" w:gutter="0"/>
          <w:cols w:space="720"/>
          <w:titlePg/>
          <w:bidi/>
          <w:rtlGutter/>
          <w:docGrid w:linePitch="299"/>
        </w:sectPr>
      </w:pPr>
      <w:r w:rsidRPr="00367241">
        <w:rPr>
          <w:rFonts w:hint="cs"/>
          <w:szCs w:val="22"/>
          <w:rtl/>
        </w:rPr>
        <w:t>[يلي ذلك المرفق]</w:t>
      </w:r>
    </w:p>
    <w:p w14:paraId="6B4C442B" w14:textId="77777777" w:rsidR="004508F6" w:rsidRPr="00F72121" w:rsidRDefault="004508F6" w:rsidP="00AE52E0">
      <w:pPr>
        <w:pStyle w:val="Endofdocument-Annex"/>
        <w:bidi/>
        <w:ind w:left="0"/>
        <w:jc w:val="center"/>
        <w:rPr>
          <w:szCs w:val="22"/>
        </w:rPr>
      </w:pPr>
    </w:p>
    <w:p w14:paraId="4B6506C1" w14:textId="77777777" w:rsidR="006F39AF" w:rsidRPr="00F72121" w:rsidRDefault="006F39AF" w:rsidP="00F72121">
      <w:pPr>
        <w:pStyle w:val="Endofdocument-Annex"/>
        <w:bidi/>
        <w:ind w:left="0"/>
        <w:jc w:val="center"/>
        <w:rPr>
          <w:caps/>
          <w:szCs w:val="22"/>
        </w:rPr>
      </w:pPr>
    </w:p>
    <w:p w14:paraId="27430161" w14:textId="1055ECAB" w:rsidR="00317A53" w:rsidRPr="00F72121" w:rsidRDefault="00317A53" w:rsidP="00F72121">
      <w:pPr>
        <w:pStyle w:val="Endofdocument-Annex"/>
        <w:bidi/>
        <w:ind w:left="0"/>
        <w:jc w:val="center"/>
        <w:rPr>
          <w:caps/>
          <w:szCs w:val="22"/>
          <w:rtl/>
        </w:rPr>
      </w:pPr>
      <w:r w:rsidRPr="00F72121">
        <w:rPr>
          <w:rFonts w:hint="cs"/>
          <w:caps/>
          <w:szCs w:val="22"/>
          <w:rtl/>
        </w:rPr>
        <w:t>التعديلات المقترح إدخالها على اللائحة التنفيذية لمعاهدة التعاون بشأن البراءات</w:t>
      </w:r>
      <w:r w:rsidR="001A4DB6" w:rsidRPr="00F72121">
        <w:rPr>
          <w:rStyle w:val="FootnoteReference"/>
          <w:caps/>
          <w:szCs w:val="22"/>
        </w:rPr>
        <w:footnoteReference w:id="3"/>
      </w:r>
    </w:p>
    <w:p w14:paraId="7063F1E7" w14:textId="77777777" w:rsidR="006F39AF" w:rsidRPr="00F72121" w:rsidRDefault="006F39AF" w:rsidP="00F72121">
      <w:pPr>
        <w:pStyle w:val="Endofdocument-Annex"/>
        <w:bidi/>
        <w:ind w:left="0"/>
        <w:jc w:val="center"/>
        <w:rPr>
          <w:caps/>
          <w:szCs w:val="22"/>
        </w:rPr>
      </w:pPr>
    </w:p>
    <w:p w14:paraId="58A9081C" w14:textId="51AFFE4D" w:rsidR="000763CC" w:rsidRPr="00F72121" w:rsidRDefault="000763CC" w:rsidP="00F72121">
      <w:pPr>
        <w:pStyle w:val="ONUME"/>
        <w:numPr>
          <w:ilvl w:val="0"/>
          <w:numId w:val="0"/>
        </w:numPr>
        <w:bidi/>
        <w:rPr>
          <w:szCs w:val="22"/>
        </w:rPr>
      </w:pPr>
    </w:p>
    <w:bookmarkStart w:id="1" w:name="_Toc183609106"/>
    <w:p w14:paraId="368892BC" w14:textId="1B8C1D94" w:rsidR="00AE52E0" w:rsidRPr="00AE52E0" w:rsidRDefault="001A4DB6">
      <w:pPr>
        <w:pStyle w:val="TOC1"/>
        <w:tabs>
          <w:tab w:val="right" w:leader="dot" w:pos="9345"/>
        </w:tabs>
        <w:bidi/>
        <w:rPr>
          <w:rFonts w:asciiTheme="minorHAnsi" w:eastAsiaTheme="minorEastAsia" w:hAnsiTheme="minorHAnsi" w:cstheme="minorBidi"/>
          <w:noProof/>
          <w:kern w:val="2"/>
          <w:sz w:val="24"/>
          <w:szCs w:val="24"/>
          <w:rtl/>
          <w:lang w:eastAsia="en-US" w:bidi="ar-SA"/>
          <w14:ligatures w14:val="standardContextual"/>
        </w:rPr>
      </w:pPr>
      <w:r w:rsidRPr="00F72121">
        <w:rPr>
          <w:szCs w:val="22"/>
        </w:rPr>
        <w:fldChar w:fldCharType="begin"/>
      </w:r>
      <w:r w:rsidRPr="00F72121">
        <w:rPr>
          <w:szCs w:val="22"/>
          <w:rtl/>
        </w:rPr>
        <w:instrText xml:space="preserve"> </w:instrText>
      </w:r>
      <w:r w:rsidRPr="00F72121">
        <w:rPr>
          <w:rFonts w:hint="cs"/>
          <w:szCs w:val="22"/>
        </w:rPr>
        <w:instrText xml:space="preserve">TOC \h \z \t "Leg # Title,1,Leg SubRule #,2" </w:instrText>
      </w:r>
      <w:r w:rsidRPr="00F72121">
        <w:rPr>
          <w:szCs w:val="22"/>
        </w:rPr>
        <w:fldChar w:fldCharType="separate"/>
      </w:r>
      <w:hyperlink w:anchor="_Toc189230945" w:history="1">
        <w:r w:rsidR="00AE52E0" w:rsidRPr="00AE52E0">
          <w:rPr>
            <w:rStyle w:val="Hyperlink"/>
            <w:rFonts w:hint="eastAsia"/>
            <w:noProof/>
            <w:rtl/>
          </w:rPr>
          <w:t>القاعدة</w:t>
        </w:r>
        <w:r w:rsidR="00AE52E0" w:rsidRPr="00AE52E0">
          <w:rPr>
            <w:rStyle w:val="Hyperlink"/>
            <w:noProof/>
            <w:rtl/>
          </w:rPr>
          <w:t xml:space="preserve"> 49  </w:t>
        </w:r>
        <w:r w:rsidR="00AE52E0" w:rsidRPr="00AE52E0">
          <w:rPr>
            <w:rStyle w:val="Hyperlink"/>
            <w:rFonts w:hint="eastAsia"/>
            <w:noProof/>
            <w:rtl/>
          </w:rPr>
          <w:t>الصور</w:t>
        </w:r>
        <w:r w:rsidR="00AE52E0" w:rsidRPr="00AE52E0">
          <w:rPr>
            <w:rStyle w:val="Hyperlink"/>
            <w:noProof/>
            <w:rtl/>
          </w:rPr>
          <w:t xml:space="preserve"> </w:t>
        </w:r>
        <w:r w:rsidR="00AE52E0" w:rsidRPr="00AE52E0">
          <w:rPr>
            <w:rStyle w:val="Hyperlink"/>
            <w:rFonts w:hint="eastAsia"/>
            <w:noProof/>
            <w:rtl/>
          </w:rPr>
          <w:t>والتراجم</w:t>
        </w:r>
        <w:r w:rsidR="00AE52E0" w:rsidRPr="00AE52E0">
          <w:rPr>
            <w:rStyle w:val="Hyperlink"/>
            <w:noProof/>
            <w:rtl/>
          </w:rPr>
          <w:t xml:space="preserve"> </w:t>
        </w:r>
        <w:r w:rsidR="00AE52E0" w:rsidRPr="00AE52E0">
          <w:rPr>
            <w:rStyle w:val="Hyperlink"/>
            <w:rFonts w:hint="eastAsia"/>
            <w:noProof/>
            <w:rtl/>
          </w:rPr>
          <w:t>والرسوم</w:t>
        </w:r>
        <w:r w:rsidR="00AE52E0" w:rsidRPr="00AE52E0">
          <w:rPr>
            <w:rStyle w:val="Hyperlink"/>
            <w:noProof/>
            <w:rtl/>
          </w:rPr>
          <w:t xml:space="preserve"> </w:t>
        </w:r>
        <w:r w:rsidR="00AE52E0" w:rsidRPr="00AE52E0">
          <w:rPr>
            <w:rStyle w:val="Hyperlink"/>
            <w:rFonts w:hint="eastAsia"/>
            <w:noProof/>
            <w:rtl/>
          </w:rPr>
          <w:t>بناء</w:t>
        </w:r>
        <w:r w:rsidR="00AE52E0" w:rsidRPr="00AE52E0">
          <w:rPr>
            <w:rStyle w:val="Hyperlink"/>
            <w:noProof/>
            <w:rtl/>
          </w:rPr>
          <w:t xml:space="preserve"> </w:t>
        </w:r>
        <w:r w:rsidR="00AE52E0" w:rsidRPr="00AE52E0">
          <w:rPr>
            <w:rStyle w:val="Hyperlink"/>
            <w:rFonts w:hint="eastAsia"/>
            <w:noProof/>
            <w:rtl/>
          </w:rPr>
          <w:t>على</w:t>
        </w:r>
        <w:r w:rsidR="00AE52E0" w:rsidRPr="00AE52E0">
          <w:rPr>
            <w:rStyle w:val="Hyperlink"/>
            <w:noProof/>
            <w:rtl/>
          </w:rPr>
          <w:t xml:space="preserve"> </w:t>
        </w:r>
        <w:r w:rsidR="00AE52E0" w:rsidRPr="00AE52E0">
          <w:rPr>
            <w:rStyle w:val="Hyperlink"/>
            <w:rFonts w:hint="eastAsia"/>
            <w:noProof/>
            <w:rtl/>
          </w:rPr>
          <w:t>المادة</w:t>
        </w:r>
        <w:r w:rsidR="00AE52E0" w:rsidRPr="00AE52E0">
          <w:rPr>
            <w:rStyle w:val="Hyperlink"/>
            <w:noProof/>
            <w:rtl/>
          </w:rPr>
          <w:t xml:space="preserve"> 22</w:t>
        </w:r>
        <w:r w:rsidR="00AE52E0" w:rsidRPr="00AE52E0">
          <w:rPr>
            <w:noProof/>
            <w:webHidden/>
            <w:rtl/>
          </w:rPr>
          <w:tab/>
        </w:r>
        <w:r w:rsidR="00AE52E0" w:rsidRPr="00AE52E0">
          <w:rPr>
            <w:noProof/>
            <w:webHidden/>
            <w:rtl/>
          </w:rPr>
          <w:fldChar w:fldCharType="begin"/>
        </w:r>
        <w:r w:rsidR="00AE52E0" w:rsidRPr="00AE52E0">
          <w:rPr>
            <w:noProof/>
            <w:webHidden/>
            <w:rtl/>
          </w:rPr>
          <w:instrText xml:space="preserve"> </w:instrText>
        </w:r>
        <w:r w:rsidR="00AE52E0" w:rsidRPr="00AE52E0">
          <w:rPr>
            <w:noProof/>
            <w:webHidden/>
          </w:rPr>
          <w:instrText>PAGEREF</w:instrText>
        </w:r>
        <w:r w:rsidR="00AE52E0" w:rsidRPr="00AE52E0">
          <w:rPr>
            <w:noProof/>
            <w:webHidden/>
            <w:rtl/>
          </w:rPr>
          <w:instrText xml:space="preserve"> _</w:instrText>
        </w:r>
        <w:r w:rsidR="00AE52E0" w:rsidRPr="00AE52E0">
          <w:rPr>
            <w:noProof/>
            <w:webHidden/>
          </w:rPr>
          <w:instrText>Toc189230945 \h</w:instrText>
        </w:r>
        <w:r w:rsidR="00AE52E0" w:rsidRPr="00AE52E0">
          <w:rPr>
            <w:noProof/>
            <w:webHidden/>
            <w:rtl/>
          </w:rPr>
          <w:instrText xml:space="preserve"> </w:instrText>
        </w:r>
        <w:r w:rsidR="00AE52E0" w:rsidRPr="00AE52E0">
          <w:rPr>
            <w:noProof/>
            <w:webHidden/>
            <w:rtl/>
          </w:rPr>
        </w:r>
        <w:r w:rsidR="00AE52E0" w:rsidRPr="00AE52E0">
          <w:rPr>
            <w:noProof/>
            <w:webHidden/>
            <w:rtl/>
          </w:rPr>
          <w:fldChar w:fldCharType="separate"/>
        </w:r>
        <w:r w:rsidR="00322DB8">
          <w:rPr>
            <w:noProof/>
            <w:webHidden/>
            <w:rtl/>
          </w:rPr>
          <w:t>2</w:t>
        </w:r>
        <w:r w:rsidR="00AE52E0" w:rsidRPr="00AE52E0">
          <w:rPr>
            <w:noProof/>
            <w:webHidden/>
            <w:rtl/>
          </w:rPr>
          <w:fldChar w:fldCharType="end"/>
        </w:r>
      </w:hyperlink>
    </w:p>
    <w:p w14:paraId="3071F803" w14:textId="031E6B71" w:rsidR="00AE52E0" w:rsidRPr="00AE52E0" w:rsidRDefault="00AE52E0">
      <w:pPr>
        <w:pStyle w:val="TOC2"/>
        <w:tabs>
          <w:tab w:val="right" w:leader="dot" w:pos="9345"/>
        </w:tabs>
        <w:bidi/>
        <w:rPr>
          <w:rFonts w:asciiTheme="minorHAnsi" w:eastAsiaTheme="minorEastAsia" w:hAnsiTheme="minorHAnsi" w:cstheme="minorBidi"/>
          <w:noProof/>
          <w:kern w:val="2"/>
          <w:sz w:val="24"/>
          <w:szCs w:val="24"/>
          <w:rtl/>
          <w:lang w:eastAsia="en-US" w:bidi="ar-SA"/>
          <w14:ligatures w14:val="standardContextual"/>
        </w:rPr>
      </w:pPr>
      <w:hyperlink w:anchor="_Toc189230946" w:history="1">
        <w:r w:rsidRPr="00AE52E0">
          <w:rPr>
            <w:rStyle w:val="Hyperlink"/>
            <w:noProof/>
            <w:rtl/>
          </w:rPr>
          <w:t xml:space="preserve">1.49 </w:t>
        </w:r>
        <w:r w:rsidRPr="00AE52E0">
          <w:rPr>
            <w:rStyle w:val="Hyperlink"/>
            <w:rFonts w:hint="eastAsia"/>
            <w:noProof/>
            <w:rtl/>
          </w:rPr>
          <w:t>إلى</w:t>
        </w:r>
        <w:r w:rsidRPr="00AE52E0">
          <w:rPr>
            <w:rStyle w:val="Hyperlink"/>
            <w:noProof/>
            <w:rtl/>
          </w:rPr>
          <w:t xml:space="preserve"> 3.49  </w:t>
        </w:r>
        <w:r w:rsidRPr="00AE52E0">
          <w:rPr>
            <w:rStyle w:val="Hyperlink"/>
            <w:i/>
            <w:iCs/>
            <w:noProof/>
            <w:rtl/>
          </w:rPr>
          <w:t>[</w:t>
        </w:r>
        <w:r w:rsidRPr="00AE52E0">
          <w:rPr>
            <w:rStyle w:val="Hyperlink"/>
            <w:rFonts w:hint="eastAsia"/>
            <w:i/>
            <w:iCs/>
            <w:noProof/>
            <w:rtl/>
          </w:rPr>
          <w:t>دون</w:t>
        </w:r>
        <w:r w:rsidRPr="00AE52E0">
          <w:rPr>
            <w:rStyle w:val="Hyperlink"/>
            <w:i/>
            <w:iCs/>
            <w:noProof/>
            <w:rtl/>
          </w:rPr>
          <w:t xml:space="preserve"> </w:t>
        </w:r>
        <w:r w:rsidRPr="00AE52E0">
          <w:rPr>
            <w:rStyle w:val="Hyperlink"/>
            <w:rFonts w:hint="eastAsia"/>
            <w:i/>
            <w:iCs/>
            <w:noProof/>
            <w:rtl/>
          </w:rPr>
          <w:t>تغيير</w:t>
        </w:r>
        <w:r w:rsidRPr="00AE52E0">
          <w:rPr>
            <w:rStyle w:val="Hyperlink"/>
            <w:i/>
            <w:iCs/>
            <w:noProof/>
            <w:rtl/>
          </w:rPr>
          <w:t>]</w:t>
        </w:r>
        <w:r w:rsidRPr="00AE52E0">
          <w:rPr>
            <w:noProof/>
            <w:webHidden/>
            <w:rtl/>
          </w:rPr>
          <w:tab/>
        </w:r>
        <w:r w:rsidRPr="00AE52E0">
          <w:rPr>
            <w:noProof/>
            <w:webHidden/>
            <w:rtl/>
          </w:rPr>
          <w:fldChar w:fldCharType="begin"/>
        </w:r>
        <w:r w:rsidRPr="00AE52E0">
          <w:rPr>
            <w:noProof/>
            <w:webHidden/>
            <w:rtl/>
          </w:rPr>
          <w:instrText xml:space="preserve"> </w:instrText>
        </w:r>
        <w:r w:rsidRPr="00AE52E0">
          <w:rPr>
            <w:noProof/>
            <w:webHidden/>
          </w:rPr>
          <w:instrText>PAGEREF</w:instrText>
        </w:r>
        <w:r w:rsidRPr="00AE52E0">
          <w:rPr>
            <w:noProof/>
            <w:webHidden/>
            <w:rtl/>
          </w:rPr>
          <w:instrText xml:space="preserve"> _</w:instrText>
        </w:r>
        <w:r w:rsidRPr="00AE52E0">
          <w:rPr>
            <w:noProof/>
            <w:webHidden/>
          </w:rPr>
          <w:instrText>Toc189230946 \h</w:instrText>
        </w:r>
        <w:r w:rsidRPr="00AE52E0">
          <w:rPr>
            <w:noProof/>
            <w:webHidden/>
            <w:rtl/>
          </w:rPr>
          <w:instrText xml:space="preserve"> </w:instrText>
        </w:r>
        <w:r w:rsidRPr="00AE52E0">
          <w:rPr>
            <w:noProof/>
            <w:webHidden/>
            <w:rtl/>
          </w:rPr>
        </w:r>
        <w:r w:rsidRPr="00AE52E0">
          <w:rPr>
            <w:noProof/>
            <w:webHidden/>
            <w:rtl/>
          </w:rPr>
          <w:fldChar w:fldCharType="separate"/>
        </w:r>
        <w:r w:rsidR="00322DB8">
          <w:rPr>
            <w:noProof/>
            <w:webHidden/>
            <w:rtl/>
          </w:rPr>
          <w:t>2</w:t>
        </w:r>
        <w:r w:rsidRPr="00AE52E0">
          <w:rPr>
            <w:noProof/>
            <w:webHidden/>
            <w:rtl/>
          </w:rPr>
          <w:fldChar w:fldCharType="end"/>
        </w:r>
      </w:hyperlink>
    </w:p>
    <w:p w14:paraId="1F444A08" w14:textId="33A676CC" w:rsidR="00AE52E0" w:rsidRPr="00AE52E0" w:rsidRDefault="00AE52E0">
      <w:pPr>
        <w:pStyle w:val="TOC2"/>
        <w:tabs>
          <w:tab w:val="right" w:leader="dot" w:pos="9345"/>
        </w:tabs>
        <w:bidi/>
        <w:rPr>
          <w:rFonts w:asciiTheme="minorHAnsi" w:eastAsiaTheme="minorEastAsia" w:hAnsiTheme="minorHAnsi" w:cstheme="minorBidi"/>
          <w:noProof/>
          <w:kern w:val="2"/>
          <w:sz w:val="24"/>
          <w:szCs w:val="24"/>
          <w:rtl/>
          <w:lang w:eastAsia="en-US" w:bidi="ar-SA"/>
          <w14:ligatures w14:val="standardContextual"/>
        </w:rPr>
      </w:pPr>
      <w:hyperlink w:anchor="_Toc189230947" w:history="1">
        <w:r w:rsidRPr="00AE52E0">
          <w:rPr>
            <w:rStyle w:val="Hyperlink"/>
            <w:noProof/>
            <w:rtl/>
          </w:rPr>
          <w:t>4.49  </w:t>
        </w:r>
        <w:r w:rsidRPr="00AE52E0">
          <w:rPr>
            <w:rStyle w:val="Hyperlink"/>
            <w:rFonts w:hint="eastAsia"/>
            <w:i/>
            <w:iCs/>
            <w:noProof/>
            <w:rtl/>
          </w:rPr>
          <w:t>وسائل</w:t>
        </w:r>
        <w:r w:rsidRPr="00AE52E0">
          <w:rPr>
            <w:rStyle w:val="Hyperlink"/>
            <w:i/>
            <w:iCs/>
            <w:noProof/>
            <w:rtl/>
          </w:rPr>
          <w:t xml:space="preserve"> </w:t>
        </w:r>
        <w:r w:rsidRPr="00AE52E0">
          <w:rPr>
            <w:rStyle w:val="Hyperlink"/>
            <w:rFonts w:hint="eastAsia"/>
            <w:i/>
            <w:iCs/>
            <w:noProof/>
            <w:rtl/>
          </w:rPr>
          <w:t>الإرسال</w:t>
        </w:r>
        <w:r w:rsidRPr="00AE52E0">
          <w:rPr>
            <w:rStyle w:val="Hyperlink"/>
            <w:i/>
            <w:iCs/>
            <w:noProof/>
            <w:rtl/>
          </w:rPr>
          <w:t xml:space="preserve"> </w:t>
        </w:r>
        <w:r w:rsidRPr="00AE52E0">
          <w:rPr>
            <w:rStyle w:val="Hyperlink"/>
            <w:rFonts w:hint="eastAsia"/>
            <w:i/>
            <w:iCs/>
            <w:noProof/>
            <w:rtl/>
          </w:rPr>
          <w:t>لإجراء</w:t>
        </w:r>
        <w:r w:rsidRPr="00AE52E0">
          <w:rPr>
            <w:rStyle w:val="Hyperlink"/>
            <w:i/>
            <w:iCs/>
            <w:noProof/>
            <w:rtl/>
          </w:rPr>
          <w:t xml:space="preserve"> </w:t>
        </w:r>
        <w:r w:rsidRPr="00AE52E0">
          <w:rPr>
            <w:rStyle w:val="Hyperlink"/>
            <w:rFonts w:hint="eastAsia"/>
            <w:i/>
            <w:iCs/>
            <w:noProof/>
            <w:rtl/>
          </w:rPr>
          <w:t>الأعمال</w:t>
        </w:r>
        <w:r w:rsidRPr="00AE52E0">
          <w:rPr>
            <w:rStyle w:val="Hyperlink"/>
            <w:i/>
            <w:iCs/>
            <w:noProof/>
            <w:rtl/>
          </w:rPr>
          <w:t xml:space="preserve"> </w:t>
        </w:r>
        <w:r w:rsidRPr="00AE52E0">
          <w:rPr>
            <w:rStyle w:val="Hyperlink"/>
            <w:rFonts w:hint="eastAsia"/>
            <w:i/>
            <w:iCs/>
            <w:noProof/>
            <w:rtl/>
          </w:rPr>
          <w:t>المشار</w:t>
        </w:r>
        <w:r w:rsidRPr="00AE52E0">
          <w:rPr>
            <w:rStyle w:val="Hyperlink"/>
            <w:i/>
            <w:iCs/>
            <w:noProof/>
            <w:rtl/>
          </w:rPr>
          <w:t xml:space="preserve"> </w:t>
        </w:r>
        <w:r w:rsidRPr="00AE52E0">
          <w:rPr>
            <w:rStyle w:val="Hyperlink"/>
            <w:rFonts w:hint="eastAsia"/>
            <w:i/>
            <w:iCs/>
            <w:noProof/>
            <w:rtl/>
          </w:rPr>
          <w:t>إليها</w:t>
        </w:r>
        <w:r w:rsidRPr="00AE52E0">
          <w:rPr>
            <w:rStyle w:val="Hyperlink"/>
            <w:i/>
            <w:iCs/>
            <w:noProof/>
            <w:rtl/>
          </w:rPr>
          <w:t xml:space="preserve"> </w:t>
        </w:r>
        <w:r w:rsidRPr="00AE52E0">
          <w:rPr>
            <w:rStyle w:val="Hyperlink"/>
            <w:rFonts w:hint="eastAsia"/>
            <w:i/>
            <w:iCs/>
            <w:noProof/>
            <w:rtl/>
          </w:rPr>
          <w:t>في</w:t>
        </w:r>
        <w:r w:rsidRPr="00AE52E0">
          <w:rPr>
            <w:rStyle w:val="Hyperlink"/>
            <w:i/>
            <w:iCs/>
            <w:noProof/>
            <w:rtl/>
          </w:rPr>
          <w:t xml:space="preserve"> </w:t>
        </w:r>
        <w:r w:rsidRPr="00AE52E0">
          <w:rPr>
            <w:rStyle w:val="Hyperlink"/>
            <w:rFonts w:hint="eastAsia"/>
            <w:i/>
            <w:iCs/>
            <w:noProof/>
            <w:rtl/>
          </w:rPr>
          <w:t>المادة</w:t>
        </w:r>
        <w:r w:rsidRPr="00AE52E0">
          <w:rPr>
            <w:rStyle w:val="Hyperlink"/>
            <w:i/>
            <w:iCs/>
            <w:noProof/>
            <w:rtl/>
          </w:rPr>
          <w:t xml:space="preserve"> 22 </w:t>
        </w:r>
        <w:r w:rsidRPr="00AE52E0">
          <w:rPr>
            <w:rStyle w:val="Hyperlink"/>
            <w:rFonts w:hint="eastAsia"/>
            <w:i/>
            <w:iCs/>
            <w:strike/>
            <w:noProof/>
            <w:rtl/>
          </w:rPr>
          <w:t>استعمال</w:t>
        </w:r>
        <w:r w:rsidRPr="00AE52E0">
          <w:rPr>
            <w:rStyle w:val="Hyperlink"/>
            <w:i/>
            <w:iCs/>
            <w:strike/>
            <w:noProof/>
            <w:rtl/>
          </w:rPr>
          <w:t xml:space="preserve"> </w:t>
        </w:r>
        <w:r w:rsidRPr="00AE52E0">
          <w:rPr>
            <w:rStyle w:val="Hyperlink"/>
            <w:rFonts w:hint="eastAsia"/>
            <w:i/>
            <w:iCs/>
            <w:strike/>
            <w:noProof/>
            <w:rtl/>
          </w:rPr>
          <w:t>استمارة</w:t>
        </w:r>
        <w:r w:rsidRPr="00AE52E0">
          <w:rPr>
            <w:rStyle w:val="Hyperlink"/>
            <w:i/>
            <w:iCs/>
            <w:strike/>
            <w:noProof/>
            <w:rtl/>
          </w:rPr>
          <w:t xml:space="preserve"> </w:t>
        </w:r>
        <w:r w:rsidRPr="00AE52E0">
          <w:rPr>
            <w:rStyle w:val="Hyperlink"/>
            <w:rFonts w:hint="eastAsia"/>
            <w:i/>
            <w:iCs/>
            <w:strike/>
            <w:noProof/>
            <w:rtl/>
          </w:rPr>
          <w:t>وطنية</w:t>
        </w:r>
        <w:r w:rsidRPr="00AE52E0">
          <w:rPr>
            <w:noProof/>
            <w:webHidden/>
            <w:rtl/>
          </w:rPr>
          <w:tab/>
        </w:r>
        <w:r w:rsidRPr="00AE52E0">
          <w:rPr>
            <w:noProof/>
            <w:webHidden/>
            <w:rtl/>
          </w:rPr>
          <w:fldChar w:fldCharType="begin"/>
        </w:r>
        <w:r w:rsidRPr="00AE52E0">
          <w:rPr>
            <w:noProof/>
            <w:webHidden/>
            <w:rtl/>
          </w:rPr>
          <w:instrText xml:space="preserve"> </w:instrText>
        </w:r>
        <w:r w:rsidRPr="00AE52E0">
          <w:rPr>
            <w:noProof/>
            <w:webHidden/>
          </w:rPr>
          <w:instrText>PAGEREF</w:instrText>
        </w:r>
        <w:r w:rsidRPr="00AE52E0">
          <w:rPr>
            <w:noProof/>
            <w:webHidden/>
            <w:rtl/>
          </w:rPr>
          <w:instrText xml:space="preserve"> _</w:instrText>
        </w:r>
        <w:r w:rsidRPr="00AE52E0">
          <w:rPr>
            <w:noProof/>
            <w:webHidden/>
          </w:rPr>
          <w:instrText>Toc189230947 \h</w:instrText>
        </w:r>
        <w:r w:rsidRPr="00AE52E0">
          <w:rPr>
            <w:noProof/>
            <w:webHidden/>
            <w:rtl/>
          </w:rPr>
          <w:instrText xml:space="preserve"> </w:instrText>
        </w:r>
        <w:r w:rsidRPr="00AE52E0">
          <w:rPr>
            <w:noProof/>
            <w:webHidden/>
            <w:rtl/>
          </w:rPr>
        </w:r>
        <w:r w:rsidRPr="00AE52E0">
          <w:rPr>
            <w:noProof/>
            <w:webHidden/>
            <w:rtl/>
          </w:rPr>
          <w:fldChar w:fldCharType="separate"/>
        </w:r>
        <w:r w:rsidR="00322DB8">
          <w:rPr>
            <w:noProof/>
            <w:webHidden/>
            <w:rtl/>
          </w:rPr>
          <w:t>2</w:t>
        </w:r>
        <w:r w:rsidRPr="00AE52E0">
          <w:rPr>
            <w:noProof/>
            <w:webHidden/>
            <w:rtl/>
          </w:rPr>
          <w:fldChar w:fldCharType="end"/>
        </w:r>
      </w:hyperlink>
    </w:p>
    <w:p w14:paraId="19D8DE90" w14:textId="1BE2DE74" w:rsidR="00AE52E0" w:rsidRPr="00AE52E0" w:rsidRDefault="00AE52E0">
      <w:pPr>
        <w:pStyle w:val="TOC2"/>
        <w:tabs>
          <w:tab w:val="right" w:leader="dot" w:pos="9345"/>
        </w:tabs>
        <w:bidi/>
        <w:rPr>
          <w:rFonts w:asciiTheme="minorHAnsi" w:eastAsiaTheme="minorEastAsia" w:hAnsiTheme="minorHAnsi" w:cstheme="minorBidi"/>
          <w:noProof/>
          <w:kern w:val="2"/>
          <w:sz w:val="24"/>
          <w:szCs w:val="24"/>
          <w:rtl/>
          <w:lang w:eastAsia="en-US" w:bidi="ar-SA"/>
          <w14:ligatures w14:val="standardContextual"/>
        </w:rPr>
      </w:pPr>
      <w:hyperlink w:anchor="_Toc189230948" w:history="1">
        <w:r w:rsidRPr="00AE52E0">
          <w:rPr>
            <w:rStyle w:val="Hyperlink"/>
            <w:noProof/>
            <w:rtl/>
          </w:rPr>
          <w:t xml:space="preserve">5.49 </w:t>
        </w:r>
        <w:r w:rsidRPr="00AE52E0">
          <w:rPr>
            <w:rStyle w:val="Hyperlink"/>
            <w:rFonts w:hint="eastAsia"/>
            <w:noProof/>
            <w:rtl/>
          </w:rPr>
          <w:t>و</w:t>
        </w:r>
        <w:r w:rsidRPr="00AE52E0">
          <w:rPr>
            <w:rStyle w:val="Hyperlink"/>
            <w:noProof/>
            <w:rtl/>
          </w:rPr>
          <w:t>6.49  </w:t>
        </w:r>
        <w:r w:rsidRPr="00AE52E0">
          <w:rPr>
            <w:rStyle w:val="Hyperlink"/>
            <w:i/>
            <w:iCs/>
            <w:noProof/>
            <w:rtl/>
          </w:rPr>
          <w:t>[</w:t>
        </w:r>
        <w:r w:rsidRPr="00AE52E0">
          <w:rPr>
            <w:rStyle w:val="Hyperlink"/>
            <w:rFonts w:hint="eastAsia"/>
            <w:i/>
            <w:iCs/>
            <w:noProof/>
            <w:rtl/>
          </w:rPr>
          <w:t>دون</w:t>
        </w:r>
        <w:r w:rsidRPr="00AE52E0">
          <w:rPr>
            <w:rStyle w:val="Hyperlink"/>
            <w:i/>
            <w:iCs/>
            <w:noProof/>
            <w:rtl/>
          </w:rPr>
          <w:t xml:space="preserve"> </w:t>
        </w:r>
        <w:r w:rsidRPr="00AE52E0">
          <w:rPr>
            <w:rStyle w:val="Hyperlink"/>
            <w:rFonts w:hint="eastAsia"/>
            <w:i/>
            <w:iCs/>
            <w:noProof/>
            <w:rtl/>
          </w:rPr>
          <w:t>تغيير</w:t>
        </w:r>
        <w:r w:rsidRPr="00AE52E0">
          <w:rPr>
            <w:rStyle w:val="Hyperlink"/>
            <w:i/>
            <w:iCs/>
            <w:noProof/>
            <w:rtl/>
          </w:rPr>
          <w:t>]</w:t>
        </w:r>
        <w:r w:rsidRPr="00AE52E0">
          <w:rPr>
            <w:noProof/>
            <w:webHidden/>
            <w:rtl/>
          </w:rPr>
          <w:tab/>
        </w:r>
        <w:r w:rsidRPr="00AE52E0">
          <w:rPr>
            <w:noProof/>
            <w:webHidden/>
            <w:rtl/>
          </w:rPr>
          <w:fldChar w:fldCharType="begin"/>
        </w:r>
        <w:r w:rsidRPr="00AE52E0">
          <w:rPr>
            <w:noProof/>
            <w:webHidden/>
            <w:rtl/>
          </w:rPr>
          <w:instrText xml:space="preserve"> </w:instrText>
        </w:r>
        <w:r w:rsidRPr="00AE52E0">
          <w:rPr>
            <w:noProof/>
            <w:webHidden/>
          </w:rPr>
          <w:instrText>PAGEREF</w:instrText>
        </w:r>
        <w:r w:rsidRPr="00AE52E0">
          <w:rPr>
            <w:noProof/>
            <w:webHidden/>
            <w:rtl/>
          </w:rPr>
          <w:instrText xml:space="preserve"> _</w:instrText>
        </w:r>
        <w:r w:rsidRPr="00AE52E0">
          <w:rPr>
            <w:noProof/>
            <w:webHidden/>
          </w:rPr>
          <w:instrText>Toc189230948 \h</w:instrText>
        </w:r>
        <w:r w:rsidRPr="00AE52E0">
          <w:rPr>
            <w:noProof/>
            <w:webHidden/>
            <w:rtl/>
          </w:rPr>
          <w:instrText xml:space="preserve"> </w:instrText>
        </w:r>
        <w:r w:rsidRPr="00AE52E0">
          <w:rPr>
            <w:noProof/>
            <w:webHidden/>
            <w:rtl/>
          </w:rPr>
        </w:r>
        <w:r w:rsidRPr="00AE52E0">
          <w:rPr>
            <w:noProof/>
            <w:webHidden/>
            <w:rtl/>
          </w:rPr>
          <w:fldChar w:fldCharType="separate"/>
        </w:r>
        <w:r w:rsidR="00322DB8">
          <w:rPr>
            <w:noProof/>
            <w:webHidden/>
            <w:rtl/>
          </w:rPr>
          <w:t>2</w:t>
        </w:r>
        <w:r w:rsidRPr="00AE52E0">
          <w:rPr>
            <w:noProof/>
            <w:webHidden/>
            <w:rtl/>
          </w:rPr>
          <w:fldChar w:fldCharType="end"/>
        </w:r>
      </w:hyperlink>
    </w:p>
    <w:p w14:paraId="6518BC6C" w14:textId="0A2859EF" w:rsidR="001A4DB6" w:rsidRPr="00AE52E0" w:rsidRDefault="001A4DB6" w:rsidP="00AE52E0">
      <w:pPr>
        <w:pStyle w:val="LegTitle"/>
        <w:bidi/>
        <w:rPr>
          <w:rFonts w:cs="Calibri"/>
          <w:bCs/>
          <w:szCs w:val="22"/>
          <w:rtl/>
        </w:rPr>
      </w:pPr>
      <w:r w:rsidRPr="00F72121">
        <w:rPr>
          <w:rFonts w:cs="Calibri"/>
          <w:b w:val="0"/>
          <w:szCs w:val="22"/>
        </w:rPr>
        <w:fldChar w:fldCharType="end"/>
      </w:r>
    </w:p>
    <w:p w14:paraId="2BB6653D" w14:textId="77777777" w:rsidR="001A4DB6" w:rsidRPr="00AE52E0" w:rsidRDefault="001A4DB6" w:rsidP="00AE52E0">
      <w:pPr>
        <w:pStyle w:val="LegTitle"/>
        <w:bidi/>
        <w:rPr>
          <w:rFonts w:cs="Calibri"/>
          <w:bCs/>
          <w:szCs w:val="22"/>
        </w:rPr>
      </w:pPr>
    </w:p>
    <w:p w14:paraId="09EF2269" w14:textId="77777777" w:rsidR="001A4DB6" w:rsidRPr="00AE52E0" w:rsidRDefault="001A4DB6" w:rsidP="00AE52E0">
      <w:pPr>
        <w:pStyle w:val="LegTitle"/>
        <w:bidi/>
        <w:rPr>
          <w:rFonts w:cs="Calibri"/>
          <w:bCs/>
          <w:szCs w:val="22"/>
        </w:rPr>
      </w:pPr>
    </w:p>
    <w:p w14:paraId="03EFA7AC" w14:textId="77777777" w:rsidR="001A4DB6" w:rsidRPr="00F72121" w:rsidRDefault="001A4DB6" w:rsidP="00F72121">
      <w:pPr>
        <w:bidi/>
        <w:rPr>
          <w:rFonts w:eastAsia="Times New Roman"/>
          <w:b/>
          <w:bCs/>
          <w:noProof/>
          <w:snapToGrid w:val="0"/>
          <w:szCs w:val="22"/>
          <w:rtl/>
        </w:rPr>
      </w:pPr>
      <w:r w:rsidRPr="00F72121">
        <w:rPr>
          <w:rFonts w:hint="cs"/>
          <w:szCs w:val="22"/>
          <w:rtl/>
        </w:rPr>
        <w:br w:type="page"/>
      </w:r>
    </w:p>
    <w:p w14:paraId="0B925938" w14:textId="6331BA84" w:rsidR="00317A53" w:rsidRPr="00F72121" w:rsidRDefault="00317A53" w:rsidP="00F72121">
      <w:pPr>
        <w:pStyle w:val="LegTitle"/>
        <w:bidi/>
        <w:rPr>
          <w:rFonts w:cs="Calibri"/>
          <w:bCs/>
          <w:szCs w:val="22"/>
          <w:rtl/>
        </w:rPr>
      </w:pPr>
      <w:bookmarkStart w:id="2" w:name="_Toc189230945"/>
      <w:r w:rsidRPr="00F72121">
        <w:rPr>
          <w:rFonts w:cs="Calibri" w:hint="cs"/>
          <w:bCs/>
          <w:szCs w:val="22"/>
          <w:rtl/>
        </w:rPr>
        <w:t>القاعدة 49</w:t>
      </w:r>
      <w:r w:rsidR="00F72121" w:rsidRPr="00F72121">
        <w:rPr>
          <w:rFonts w:cs="Calibri" w:hint="eastAsia"/>
          <w:bCs/>
          <w:szCs w:val="22"/>
          <w:rtl/>
        </w:rPr>
        <w:t> </w:t>
      </w:r>
      <w:r w:rsidRPr="00F72121">
        <w:rPr>
          <w:rFonts w:cs="Calibri" w:hint="cs"/>
          <w:bCs/>
          <w:szCs w:val="22"/>
          <w:rtl/>
        </w:rPr>
        <w:br/>
        <w:t>الصور والتراجم والرسوم بناء على المادة 22</w:t>
      </w:r>
      <w:bookmarkEnd w:id="1"/>
      <w:bookmarkEnd w:id="2"/>
      <w:r w:rsidRPr="00F72121">
        <w:rPr>
          <w:rFonts w:cs="Calibri" w:hint="cs"/>
          <w:bCs/>
          <w:szCs w:val="22"/>
          <w:rtl/>
        </w:rPr>
        <w:t xml:space="preserve"> </w:t>
      </w:r>
    </w:p>
    <w:p w14:paraId="773E1E99" w14:textId="4F218581" w:rsidR="006F39AF" w:rsidRPr="00F72121" w:rsidRDefault="006F39AF" w:rsidP="00F72121">
      <w:pPr>
        <w:pStyle w:val="LegSubRule"/>
        <w:bidi/>
        <w:outlineLvl w:val="0"/>
        <w:rPr>
          <w:rFonts w:cs="Calibri"/>
          <w:i/>
          <w:iCs/>
          <w:szCs w:val="22"/>
          <w:rtl/>
        </w:rPr>
      </w:pPr>
      <w:bookmarkStart w:id="3" w:name="_Toc189230946"/>
      <w:bookmarkStart w:id="4" w:name="_Toc183609107"/>
      <w:r w:rsidRPr="00F72121">
        <w:rPr>
          <w:rFonts w:cs="Calibri" w:hint="cs"/>
          <w:szCs w:val="22"/>
          <w:rtl/>
        </w:rPr>
        <w:t>1.49 إلى 3.49  </w:t>
      </w:r>
      <w:r w:rsidRPr="00F72121">
        <w:rPr>
          <w:rFonts w:cs="Calibri" w:hint="cs"/>
          <w:i/>
          <w:iCs/>
          <w:szCs w:val="22"/>
          <w:rtl/>
        </w:rPr>
        <w:t>[دون تغيير]</w:t>
      </w:r>
      <w:bookmarkEnd w:id="3"/>
    </w:p>
    <w:p w14:paraId="08755E70" w14:textId="0DD43F0F" w:rsidR="00317A53" w:rsidRPr="00F72121" w:rsidRDefault="00317A53" w:rsidP="00F72121">
      <w:pPr>
        <w:pStyle w:val="LegSubRule"/>
        <w:bidi/>
        <w:outlineLvl w:val="0"/>
        <w:rPr>
          <w:rFonts w:cs="Calibri"/>
          <w:i/>
          <w:iCs/>
          <w:szCs w:val="22"/>
          <w:rtl/>
        </w:rPr>
      </w:pPr>
      <w:bookmarkStart w:id="5" w:name="_Toc189230947"/>
      <w:r w:rsidRPr="00F72121">
        <w:rPr>
          <w:rFonts w:cs="Calibri" w:hint="cs"/>
          <w:szCs w:val="22"/>
          <w:rtl/>
        </w:rPr>
        <w:t>4.49  </w:t>
      </w:r>
      <w:r w:rsidR="00426332" w:rsidRPr="00426332">
        <w:rPr>
          <w:rFonts w:cs="Calibri"/>
          <w:i/>
          <w:iCs/>
          <w:color w:val="0000FF"/>
          <w:szCs w:val="22"/>
          <w:u w:val="single"/>
          <w:rtl/>
        </w:rPr>
        <w:t>وسائل الإرسال ل</w:t>
      </w:r>
      <w:r w:rsidR="00426332">
        <w:rPr>
          <w:rFonts w:cs="Calibri" w:hint="cs"/>
          <w:i/>
          <w:iCs/>
          <w:color w:val="0000FF"/>
          <w:szCs w:val="22"/>
          <w:u w:val="single"/>
          <w:rtl/>
        </w:rPr>
        <w:t>إجراء الأعمال</w:t>
      </w:r>
      <w:r w:rsidR="00426332" w:rsidRPr="00426332">
        <w:rPr>
          <w:rFonts w:cs="Calibri"/>
          <w:i/>
          <w:iCs/>
          <w:color w:val="0000FF"/>
          <w:szCs w:val="22"/>
          <w:u w:val="single"/>
          <w:rtl/>
        </w:rPr>
        <w:t xml:space="preserve"> المشار إليها في المادة 22</w:t>
      </w:r>
      <w:r w:rsidR="00426332" w:rsidRPr="00426332">
        <w:rPr>
          <w:rFonts w:cs="Calibri" w:hint="cs"/>
          <w:i/>
          <w:iCs/>
          <w:color w:val="0000FF"/>
          <w:szCs w:val="22"/>
          <w:u w:val="single"/>
          <w:rtl/>
        </w:rPr>
        <w:t xml:space="preserve"> </w:t>
      </w:r>
      <w:r w:rsidRPr="00426332">
        <w:rPr>
          <w:rFonts w:cs="Calibri" w:hint="cs"/>
          <w:i/>
          <w:iCs/>
          <w:strike/>
          <w:color w:val="FF0000"/>
          <w:szCs w:val="22"/>
          <w:rtl/>
        </w:rPr>
        <w:t>استعمال استمارة وطنية</w:t>
      </w:r>
      <w:bookmarkEnd w:id="4"/>
      <w:bookmarkEnd w:id="5"/>
    </w:p>
    <w:p w14:paraId="4CEBB9F4" w14:textId="048BA613" w:rsidR="00317A53" w:rsidRPr="00F72121" w:rsidRDefault="001A4DB6" w:rsidP="00F72121">
      <w:pPr>
        <w:pStyle w:val="Lega"/>
        <w:bidi/>
        <w:rPr>
          <w:rFonts w:cs="Calibri"/>
          <w:szCs w:val="22"/>
          <w:rtl/>
        </w:rPr>
      </w:pPr>
      <w:r w:rsidRPr="00F72121">
        <w:rPr>
          <w:rFonts w:cs="Calibri" w:hint="cs"/>
          <w:color w:val="0000FF"/>
          <w:szCs w:val="22"/>
          <w:rtl/>
        </w:rPr>
        <w:tab/>
      </w:r>
      <w:r w:rsidRPr="00F72121">
        <w:rPr>
          <w:rFonts w:cs="Calibri" w:hint="cs"/>
          <w:color w:val="0000FF"/>
          <w:szCs w:val="22"/>
          <w:u w:val="single"/>
          <w:rtl/>
        </w:rPr>
        <w:t>(أ)  </w:t>
      </w:r>
      <w:r w:rsidR="00426332">
        <w:rPr>
          <w:rFonts w:cs="Calibri" w:hint="cs"/>
          <w:color w:val="0000FF"/>
          <w:szCs w:val="22"/>
          <w:u w:val="single"/>
          <w:rtl/>
        </w:rPr>
        <w:t xml:space="preserve">مع مراعاة الفقرة (ب)، </w:t>
      </w:r>
      <w:r w:rsidRPr="00F72121">
        <w:rPr>
          <w:rFonts w:cs="Calibri" w:hint="cs"/>
          <w:szCs w:val="22"/>
          <w:rtl/>
        </w:rPr>
        <w:t>لا يُلزم مودع الطلب باستعمال استمارة وطنية عند إجراء الأعمال المشار إليها في المادة 22.</w:t>
      </w:r>
    </w:p>
    <w:p w14:paraId="5B7515CB" w14:textId="61DDEFC2" w:rsidR="006046EA" w:rsidRDefault="001A4DB6" w:rsidP="00F72121">
      <w:pPr>
        <w:pStyle w:val="Lega"/>
        <w:bidi/>
        <w:rPr>
          <w:rFonts w:cs="Calibri"/>
          <w:color w:val="0000FF"/>
          <w:szCs w:val="22"/>
          <w:u w:val="single"/>
          <w:rtl/>
        </w:rPr>
      </w:pPr>
      <w:r w:rsidRPr="00F72121">
        <w:rPr>
          <w:rFonts w:cs="Calibri" w:hint="cs"/>
          <w:color w:val="0000FF"/>
          <w:szCs w:val="22"/>
          <w:rtl/>
        </w:rPr>
        <w:tab/>
      </w:r>
      <w:r w:rsidRPr="00F72121">
        <w:rPr>
          <w:rFonts w:cs="Calibri" w:hint="cs"/>
          <w:color w:val="0000FF"/>
          <w:szCs w:val="22"/>
          <w:u w:val="single"/>
          <w:rtl/>
        </w:rPr>
        <w:t>(ب)  </w:t>
      </w:r>
      <w:r w:rsidR="00625796" w:rsidRPr="00625796">
        <w:rPr>
          <w:rFonts w:cs="Calibri"/>
          <w:color w:val="0000FF"/>
          <w:szCs w:val="22"/>
          <w:u w:val="single"/>
          <w:rtl/>
        </w:rPr>
        <w:t xml:space="preserve">يجوز لأي مكتب معيّن أن يحدد متطلبات للوسائل المستخدمة في تنفيذ الأفعال المشار إليها في المادة 22، شريطة أن تكون هناك وسيلة واحدة على الأقل لا تشترط على </w:t>
      </w:r>
      <w:r w:rsidR="006B1C99">
        <w:rPr>
          <w:rFonts w:cs="Calibri"/>
          <w:color w:val="0000FF"/>
          <w:szCs w:val="22"/>
          <w:u w:val="single"/>
          <w:rtl/>
        </w:rPr>
        <w:t xml:space="preserve">المودع </w:t>
      </w:r>
      <w:r w:rsidR="00625796" w:rsidRPr="00625796">
        <w:rPr>
          <w:rFonts w:cs="Calibri"/>
          <w:color w:val="0000FF"/>
          <w:szCs w:val="22"/>
          <w:u w:val="single"/>
          <w:rtl/>
        </w:rPr>
        <w:t>ما يلي</w:t>
      </w:r>
      <w:r w:rsidR="006046EA">
        <w:rPr>
          <w:rFonts w:cs="Calibri" w:hint="cs"/>
          <w:color w:val="0000FF"/>
          <w:szCs w:val="22"/>
          <w:u w:val="single"/>
          <w:rtl/>
        </w:rPr>
        <w:t>:</w:t>
      </w:r>
    </w:p>
    <w:p w14:paraId="7F605977" w14:textId="2C941C0D" w:rsidR="006046EA" w:rsidRDefault="006046EA" w:rsidP="00097675">
      <w:pPr>
        <w:pStyle w:val="Lega"/>
        <w:bidi/>
        <w:ind w:firstLine="850"/>
        <w:rPr>
          <w:rFonts w:cs="Calibri"/>
          <w:color w:val="0000FF"/>
          <w:szCs w:val="22"/>
          <w:u w:val="single"/>
          <w:rtl/>
        </w:rPr>
      </w:pPr>
      <w:r>
        <w:rPr>
          <w:rFonts w:cs="Calibri" w:hint="cs"/>
          <w:color w:val="0000FF"/>
          <w:szCs w:val="22"/>
          <w:u w:val="single"/>
          <w:rtl/>
        </w:rPr>
        <w:t xml:space="preserve">"1" أن </w:t>
      </w:r>
      <w:r w:rsidR="001A4DB6" w:rsidRPr="00F72121">
        <w:rPr>
          <w:rFonts w:cs="Calibri" w:hint="cs"/>
          <w:color w:val="0000FF"/>
          <w:szCs w:val="22"/>
          <w:u w:val="single"/>
          <w:rtl/>
        </w:rPr>
        <w:t>يكون له محل إقامة أو عنوان في دولة المكتب المعيّن</w:t>
      </w:r>
      <w:r>
        <w:rPr>
          <w:rFonts w:cs="Calibri" w:hint="cs"/>
          <w:color w:val="0000FF"/>
          <w:szCs w:val="22"/>
          <w:u w:val="single"/>
          <w:rtl/>
        </w:rPr>
        <w:t>؛</w:t>
      </w:r>
    </w:p>
    <w:p w14:paraId="5765B71D" w14:textId="2182764A" w:rsidR="006F39AF" w:rsidRDefault="006046EA" w:rsidP="00097675">
      <w:pPr>
        <w:pStyle w:val="Lega"/>
        <w:bidi/>
        <w:ind w:firstLine="850"/>
        <w:rPr>
          <w:rFonts w:cs="Calibri"/>
          <w:color w:val="0000FF"/>
          <w:szCs w:val="22"/>
          <w:u w:val="single"/>
          <w:rtl/>
        </w:rPr>
      </w:pPr>
      <w:r>
        <w:rPr>
          <w:rFonts w:cs="Calibri" w:hint="cs"/>
          <w:color w:val="0000FF"/>
          <w:szCs w:val="22"/>
          <w:u w:val="single"/>
          <w:rtl/>
        </w:rPr>
        <w:t xml:space="preserve">"2" تعيين وكيل </w:t>
      </w:r>
      <w:r w:rsidR="001A4DB6" w:rsidRPr="00F72121">
        <w:rPr>
          <w:rFonts w:cs="Calibri" w:hint="cs"/>
          <w:color w:val="0000FF"/>
          <w:szCs w:val="22"/>
          <w:u w:val="single"/>
          <w:rtl/>
        </w:rPr>
        <w:t>له الحق في التصرف أمام ذلك المكتب</w:t>
      </w:r>
      <w:r>
        <w:rPr>
          <w:rFonts w:cs="Calibri" w:hint="cs"/>
          <w:color w:val="0000FF"/>
          <w:szCs w:val="22"/>
          <w:u w:val="single"/>
          <w:rtl/>
        </w:rPr>
        <w:t>؛</w:t>
      </w:r>
    </w:p>
    <w:p w14:paraId="27E90C9D" w14:textId="2500AD88" w:rsidR="006046EA" w:rsidRDefault="006046EA" w:rsidP="00097675">
      <w:pPr>
        <w:pStyle w:val="Lega"/>
        <w:bidi/>
        <w:ind w:firstLine="850"/>
        <w:rPr>
          <w:rFonts w:cs="Calibri"/>
          <w:color w:val="0000FF"/>
          <w:szCs w:val="22"/>
          <w:u w:val="single"/>
          <w:rtl/>
        </w:rPr>
      </w:pPr>
      <w:r>
        <w:rPr>
          <w:rFonts w:cs="Calibri" w:hint="cs"/>
          <w:color w:val="0000FF"/>
          <w:szCs w:val="22"/>
          <w:u w:val="single"/>
          <w:rtl/>
        </w:rPr>
        <w:t xml:space="preserve">"3" توفير </w:t>
      </w:r>
      <w:r w:rsidR="00097675">
        <w:rPr>
          <w:rFonts w:cs="Calibri" w:hint="cs"/>
          <w:color w:val="0000FF"/>
          <w:szCs w:val="22"/>
          <w:u w:val="single"/>
          <w:rtl/>
        </w:rPr>
        <w:t>أي بيانات أكثر من الحد الأدنى المطلوب لتحديد الطلب الدولي والتواصل مع المودع</w:t>
      </w:r>
      <w:r w:rsidR="0038544F" w:rsidRPr="0038544F">
        <w:rPr>
          <w:rFonts w:cs="Calibri"/>
          <w:color w:val="0000FF"/>
          <w:szCs w:val="22"/>
          <w:u w:val="single"/>
          <w:rtl/>
        </w:rPr>
        <w:t xml:space="preserve"> أو، عند الاقتضاء، مع الوكيل.</w:t>
      </w:r>
    </w:p>
    <w:p w14:paraId="6865C20F" w14:textId="64513ACC" w:rsidR="00DF2AAA" w:rsidRDefault="00097675" w:rsidP="00097675">
      <w:pPr>
        <w:pStyle w:val="Lega"/>
        <w:bidi/>
        <w:ind w:firstLine="424"/>
        <w:rPr>
          <w:rFonts w:cs="Calibri"/>
          <w:color w:val="0000FF"/>
          <w:szCs w:val="22"/>
          <w:u w:val="single"/>
        </w:rPr>
      </w:pPr>
      <w:r w:rsidRPr="00F72121">
        <w:rPr>
          <w:rFonts w:cs="Calibri" w:hint="cs"/>
          <w:color w:val="0000FF"/>
          <w:szCs w:val="22"/>
          <w:u w:val="single"/>
          <w:rtl/>
        </w:rPr>
        <w:t>(</w:t>
      </w:r>
      <w:r>
        <w:rPr>
          <w:rFonts w:cs="Calibri" w:hint="cs"/>
          <w:color w:val="0000FF"/>
          <w:szCs w:val="22"/>
          <w:u w:val="single"/>
          <w:rtl/>
        </w:rPr>
        <w:t>ج</w:t>
      </w:r>
      <w:r w:rsidRPr="00F72121">
        <w:rPr>
          <w:rFonts w:cs="Calibri" w:hint="cs"/>
          <w:color w:val="0000FF"/>
          <w:szCs w:val="22"/>
          <w:u w:val="single"/>
          <w:rtl/>
        </w:rPr>
        <w:t>)  </w:t>
      </w:r>
      <w:r w:rsidR="00DF2AAA" w:rsidRPr="00DF2AAA">
        <w:rPr>
          <w:rFonts w:cs="Calibri"/>
          <w:color w:val="0000FF"/>
          <w:szCs w:val="22"/>
          <w:u w:val="single"/>
          <w:rtl/>
        </w:rPr>
        <w:t xml:space="preserve"> عندما تكون إحدى الوسائل المشار إليها في الفقرة (ب) غير متاحة </w:t>
      </w:r>
      <w:r w:rsidR="005E6E13">
        <w:rPr>
          <w:rFonts w:cs="Calibri" w:hint="cs"/>
          <w:color w:val="0000FF"/>
          <w:szCs w:val="22"/>
          <w:u w:val="single"/>
          <w:rtl/>
        </w:rPr>
        <w:t>ل</w:t>
      </w:r>
      <w:r w:rsidR="00392372">
        <w:rPr>
          <w:rFonts w:cs="Calibri"/>
          <w:color w:val="0000FF"/>
          <w:szCs w:val="22"/>
          <w:u w:val="single"/>
          <w:rtl/>
        </w:rPr>
        <w:t>لمودعين</w:t>
      </w:r>
      <w:r w:rsidR="00DF2AAA" w:rsidRPr="00DF2AAA">
        <w:rPr>
          <w:rFonts w:cs="Calibri"/>
          <w:color w:val="0000FF"/>
          <w:szCs w:val="22"/>
          <w:u w:val="single"/>
          <w:rtl/>
        </w:rPr>
        <w:t xml:space="preserve"> لتنفيذ الأفعال المشار إليها في المادة 22، يجب على المكاتب المعيّنة </w:t>
      </w:r>
      <w:r w:rsidR="00990208">
        <w:rPr>
          <w:rFonts w:cs="Calibri" w:hint="cs"/>
          <w:color w:val="0000FF"/>
          <w:szCs w:val="22"/>
          <w:u w:val="single"/>
          <w:rtl/>
        </w:rPr>
        <w:t>عدم ترتيب</w:t>
      </w:r>
      <w:r w:rsidR="00DF2AAA" w:rsidRPr="00DF2AAA">
        <w:rPr>
          <w:rFonts w:cs="Calibri"/>
          <w:color w:val="0000FF"/>
          <w:szCs w:val="22"/>
          <w:u w:val="single"/>
          <w:rtl/>
        </w:rPr>
        <w:t xml:space="preserve"> أي </w:t>
      </w:r>
      <w:r w:rsidR="00990208">
        <w:rPr>
          <w:rFonts w:cs="Calibri" w:hint="cs"/>
          <w:color w:val="0000FF"/>
          <w:szCs w:val="22"/>
          <w:u w:val="single"/>
          <w:rtl/>
        </w:rPr>
        <w:t xml:space="preserve">آثار على </w:t>
      </w:r>
      <w:r w:rsidR="00DF2AAA" w:rsidRPr="00DF2AAA">
        <w:rPr>
          <w:rFonts w:cs="Calibri"/>
          <w:color w:val="0000FF"/>
          <w:szCs w:val="22"/>
          <w:u w:val="single"/>
          <w:rtl/>
        </w:rPr>
        <w:t xml:space="preserve">تأخيرات ناجمة عن </w:t>
      </w:r>
      <w:r w:rsidR="005E6E13">
        <w:rPr>
          <w:rFonts w:cs="Calibri" w:hint="cs"/>
          <w:color w:val="0000FF"/>
          <w:szCs w:val="22"/>
          <w:u w:val="single"/>
          <w:rtl/>
        </w:rPr>
        <w:t>التعذر</w:t>
      </w:r>
      <w:r w:rsidR="00DF2AAA" w:rsidRPr="00DF2AAA">
        <w:rPr>
          <w:rFonts w:cs="Calibri"/>
          <w:color w:val="0000FF"/>
          <w:szCs w:val="22"/>
          <w:u w:val="single"/>
          <w:rtl/>
        </w:rPr>
        <w:t xml:space="preserve">، ما لم تكن هناك وسيلة بديلة </w:t>
      </w:r>
      <w:r w:rsidR="005E6E13">
        <w:rPr>
          <w:rFonts w:cs="Calibri" w:hint="cs"/>
          <w:color w:val="0000FF"/>
          <w:szCs w:val="22"/>
          <w:u w:val="single"/>
          <w:rtl/>
        </w:rPr>
        <w:t xml:space="preserve">متاحة </w:t>
      </w:r>
      <w:r w:rsidR="005E6E13" w:rsidRPr="00DF2AAA">
        <w:rPr>
          <w:rFonts w:cs="Calibri"/>
          <w:color w:val="0000FF"/>
          <w:szCs w:val="22"/>
          <w:u w:val="single"/>
          <w:rtl/>
        </w:rPr>
        <w:t xml:space="preserve">عمليًا </w:t>
      </w:r>
      <w:r w:rsidR="005E6E13">
        <w:rPr>
          <w:rFonts w:cs="Calibri" w:hint="cs"/>
          <w:color w:val="0000FF"/>
          <w:szCs w:val="22"/>
          <w:u w:val="single"/>
          <w:rtl/>
        </w:rPr>
        <w:t xml:space="preserve">للمودع </w:t>
      </w:r>
      <w:r w:rsidR="00DF2AAA" w:rsidRPr="00DF2AAA">
        <w:rPr>
          <w:rFonts w:cs="Calibri"/>
          <w:color w:val="0000FF"/>
          <w:szCs w:val="22"/>
          <w:u w:val="single"/>
          <w:rtl/>
        </w:rPr>
        <w:t xml:space="preserve">لتنفيذ الأفعال </w:t>
      </w:r>
      <w:r w:rsidR="005E6E13">
        <w:rPr>
          <w:rFonts w:cs="Calibri" w:hint="cs"/>
          <w:color w:val="0000FF"/>
          <w:szCs w:val="22"/>
          <w:u w:val="single"/>
          <w:rtl/>
        </w:rPr>
        <w:t>تلك</w:t>
      </w:r>
      <w:r w:rsidR="00DF2AAA" w:rsidRPr="00DF2AAA">
        <w:rPr>
          <w:rFonts w:cs="Calibri"/>
          <w:color w:val="0000FF"/>
          <w:szCs w:val="22"/>
          <w:u w:val="single"/>
          <w:rtl/>
        </w:rPr>
        <w:t xml:space="preserve">. ولا يجوز أن يُطلب من </w:t>
      </w:r>
      <w:r w:rsidR="006B1C99">
        <w:rPr>
          <w:rFonts w:cs="Calibri"/>
          <w:color w:val="0000FF"/>
          <w:szCs w:val="22"/>
          <w:u w:val="single"/>
          <w:rtl/>
        </w:rPr>
        <w:t xml:space="preserve">المودع </w:t>
      </w:r>
      <w:r w:rsidR="00DF2AAA" w:rsidRPr="00DF2AAA">
        <w:rPr>
          <w:rFonts w:cs="Calibri"/>
          <w:color w:val="0000FF"/>
          <w:szCs w:val="22"/>
          <w:u w:val="single"/>
          <w:rtl/>
        </w:rPr>
        <w:t xml:space="preserve">تقديم دليل على أي </w:t>
      </w:r>
      <w:r w:rsidR="00990208">
        <w:rPr>
          <w:rFonts w:cs="Calibri" w:hint="cs"/>
          <w:color w:val="0000FF"/>
          <w:szCs w:val="22"/>
          <w:u w:val="single"/>
          <w:rtl/>
        </w:rPr>
        <w:t>تعذر</w:t>
      </w:r>
      <w:r w:rsidR="00DF2AAA" w:rsidRPr="00DF2AAA">
        <w:rPr>
          <w:rFonts w:cs="Calibri"/>
          <w:color w:val="0000FF"/>
          <w:szCs w:val="22"/>
          <w:u w:val="single"/>
          <w:rtl/>
        </w:rPr>
        <w:t xml:space="preserve"> كان </w:t>
      </w:r>
      <w:r w:rsidR="00990208">
        <w:rPr>
          <w:rFonts w:cs="Calibri" w:hint="cs"/>
          <w:color w:val="0000FF"/>
          <w:szCs w:val="22"/>
          <w:u w:val="single"/>
          <w:rtl/>
        </w:rPr>
        <w:t>معلوما</w:t>
      </w:r>
      <w:r w:rsidR="00DF2AAA" w:rsidRPr="00DF2AAA">
        <w:rPr>
          <w:rFonts w:cs="Calibri"/>
          <w:color w:val="0000FF"/>
          <w:szCs w:val="22"/>
          <w:u w:val="single"/>
          <w:rtl/>
        </w:rPr>
        <w:t xml:space="preserve"> لدى المكتب المعيّن.</w:t>
      </w:r>
    </w:p>
    <w:p w14:paraId="255D9E46" w14:textId="62806245" w:rsidR="00DF2AAA" w:rsidRPr="00F72121" w:rsidRDefault="00DF2AAA" w:rsidP="00C7454E">
      <w:pPr>
        <w:pStyle w:val="Lega"/>
        <w:bidi/>
        <w:ind w:firstLine="424"/>
        <w:rPr>
          <w:rFonts w:cs="Calibri"/>
          <w:color w:val="0000FF"/>
          <w:szCs w:val="22"/>
          <w:u w:val="single"/>
        </w:rPr>
      </w:pPr>
      <w:r>
        <w:rPr>
          <w:rFonts w:cs="Calibri" w:hint="cs"/>
          <w:color w:val="0000FF"/>
          <w:szCs w:val="22"/>
          <w:u w:val="single"/>
          <w:rtl/>
          <w:lang w:bidi="ar-SA"/>
        </w:rPr>
        <w:t xml:space="preserve">(د) </w:t>
      </w:r>
      <w:r w:rsidR="00097675" w:rsidRPr="00097675">
        <w:rPr>
          <w:rFonts w:cs="Calibri"/>
          <w:color w:val="0000FF"/>
          <w:szCs w:val="22"/>
          <w:u w:val="single"/>
          <w:rtl/>
        </w:rPr>
        <w:t xml:space="preserve">يقوم كل مكتب معيّن بإخطار المكتب الدولي بأي متطلبات مقررة مشار إليها في الفقرة (ب). وينشر المكتب الدولي أي إخطار في </w:t>
      </w:r>
      <w:r w:rsidR="00EA7555">
        <w:rPr>
          <w:rFonts w:cs="Calibri"/>
          <w:color w:val="0000FF"/>
          <w:szCs w:val="22"/>
          <w:u w:val="single"/>
          <w:rtl/>
        </w:rPr>
        <w:t>النشرة الدولية</w:t>
      </w:r>
      <w:r w:rsidR="00097675" w:rsidRPr="00097675">
        <w:rPr>
          <w:rFonts w:cs="Calibri"/>
          <w:color w:val="0000FF"/>
          <w:szCs w:val="22"/>
          <w:u w:val="single"/>
          <w:rtl/>
        </w:rPr>
        <w:t xml:space="preserve">. </w:t>
      </w:r>
      <w:r w:rsidRPr="00DF2AAA">
        <w:rPr>
          <w:rFonts w:cs="Calibri"/>
          <w:color w:val="0000FF"/>
          <w:szCs w:val="22"/>
          <w:u w:val="single"/>
          <w:rtl/>
        </w:rPr>
        <w:t>ولا يجوز</w:t>
      </w:r>
      <w:r>
        <w:rPr>
          <w:rFonts w:cs="Calibri" w:hint="cs"/>
          <w:color w:val="0000FF"/>
          <w:szCs w:val="22"/>
          <w:u w:val="single"/>
          <w:rtl/>
        </w:rPr>
        <w:t xml:space="preserve"> أن </w:t>
      </w:r>
      <w:r w:rsidR="00497537">
        <w:rPr>
          <w:rFonts w:cs="Calibri" w:hint="cs"/>
          <w:color w:val="0000FF"/>
          <w:szCs w:val="22"/>
          <w:u w:val="single"/>
          <w:rtl/>
        </w:rPr>
        <w:t>تدخل</w:t>
      </w:r>
      <w:r w:rsidR="00097675" w:rsidRPr="00097675">
        <w:rPr>
          <w:rFonts w:cs="Calibri"/>
          <w:color w:val="0000FF"/>
          <w:szCs w:val="22"/>
          <w:u w:val="single"/>
          <w:rtl/>
        </w:rPr>
        <w:t xml:space="preserve"> </w:t>
      </w:r>
      <w:r w:rsidR="00497537">
        <w:rPr>
          <w:rFonts w:cs="Calibri" w:hint="cs"/>
          <w:color w:val="0000FF"/>
          <w:szCs w:val="22"/>
          <w:u w:val="single"/>
          <w:rtl/>
        </w:rPr>
        <w:t xml:space="preserve">أي </w:t>
      </w:r>
      <w:r w:rsidR="00097675" w:rsidRPr="00097675">
        <w:rPr>
          <w:rFonts w:cs="Calibri"/>
          <w:color w:val="0000FF"/>
          <w:szCs w:val="22"/>
          <w:u w:val="single"/>
          <w:rtl/>
        </w:rPr>
        <w:t xml:space="preserve">متطلبات </w:t>
      </w:r>
      <w:r w:rsidRPr="00DF2AAA">
        <w:rPr>
          <w:rFonts w:cs="Calibri"/>
          <w:color w:val="0000FF"/>
          <w:szCs w:val="22"/>
          <w:u w:val="single"/>
          <w:rtl/>
        </w:rPr>
        <w:t>تقيد الخيارات القائمة لتنفيذ الأفعال المشار إليها في المادة 22</w:t>
      </w:r>
      <w:r>
        <w:rPr>
          <w:rFonts w:cs="Calibri" w:hint="cs"/>
          <w:color w:val="0000FF"/>
          <w:szCs w:val="22"/>
          <w:u w:val="single"/>
          <w:rtl/>
        </w:rPr>
        <w:t xml:space="preserve"> </w:t>
      </w:r>
      <w:r w:rsidR="00497537">
        <w:rPr>
          <w:rFonts w:cs="Calibri" w:hint="cs"/>
          <w:color w:val="0000FF"/>
          <w:szCs w:val="22"/>
          <w:u w:val="single"/>
          <w:rtl/>
        </w:rPr>
        <w:t xml:space="preserve">حيز النفاذ </w:t>
      </w:r>
      <w:r>
        <w:rPr>
          <w:rFonts w:cs="Calibri" w:hint="cs"/>
          <w:color w:val="0000FF"/>
          <w:szCs w:val="22"/>
          <w:u w:val="single"/>
          <w:rtl/>
        </w:rPr>
        <w:t>قبل</w:t>
      </w:r>
      <w:r w:rsidR="00097675" w:rsidRPr="00097675">
        <w:rPr>
          <w:rFonts w:cs="Calibri"/>
          <w:color w:val="0000FF"/>
          <w:szCs w:val="22"/>
          <w:u w:val="single"/>
          <w:rtl/>
        </w:rPr>
        <w:t xml:space="preserve"> </w:t>
      </w:r>
      <w:r>
        <w:rPr>
          <w:rFonts w:cs="Calibri" w:hint="cs"/>
          <w:color w:val="0000FF"/>
          <w:szCs w:val="22"/>
          <w:u w:val="single"/>
          <w:rtl/>
        </w:rPr>
        <w:t>مرور</w:t>
      </w:r>
      <w:r w:rsidR="00097675" w:rsidRPr="00097675">
        <w:rPr>
          <w:rFonts w:cs="Calibri"/>
          <w:color w:val="0000FF"/>
          <w:szCs w:val="22"/>
          <w:u w:val="single"/>
          <w:rtl/>
        </w:rPr>
        <w:t xml:space="preserve"> شهرين </w:t>
      </w:r>
      <w:r>
        <w:rPr>
          <w:rFonts w:cs="Calibri" w:hint="cs"/>
          <w:color w:val="0000FF"/>
          <w:szCs w:val="22"/>
          <w:u w:val="single"/>
          <w:rtl/>
        </w:rPr>
        <w:t>عل</w:t>
      </w:r>
      <w:r w:rsidR="00497537">
        <w:rPr>
          <w:rFonts w:cs="Calibri" w:hint="cs"/>
          <w:color w:val="0000FF"/>
          <w:szCs w:val="22"/>
          <w:u w:val="single"/>
          <w:rtl/>
        </w:rPr>
        <w:t>ى</w:t>
      </w:r>
      <w:r>
        <w:rPr>
          <w:rFonts w:cs="Calibri" w:hint="cs"/>
          <w:color w:val="0000FF"/>
          <w:szCs w:val="22"/>
          <w:u w:val="single"/>
          <w:rtl/>
        </w:rPr>
        <w:t xml:space="preserve"> الأقل </w:t>
      </w:r>
      <w:r w:rsidR="00097675" w:rsidRPr="00097675">
        <w:rPr>
          <w:rFonts w:cs="Calibri"/>
          <w:color w:val="0000FF"/>
          <w:szCs w:val="22"/>
          <w:u w:val="single"/>
          <w:rtl/>
        </w:rPr>
        <w:t xml:space="preserve">من تاريخ نشرها في </w:t>
      </w:r>
      <w:r w:rsidR="00EA7555">
        <w:rPr>
          <w:rFonts w:cs="Calibri"/>
          <w:color w:val="0000FF"/>
          <w:szCs w:val="22"/>
          <w:u w:val="single"/>
          <w:rtl/>
        </w:rPr>
        <w:t>النشرة الدولية</w:t>
      </w:r>
      <w:r w:rsidR="00097675" w:rsidRPr="00097675">
        <w:rPr>
          <w:rFonts w:cs="Calibri"/>
          <w:color w:val="0000FF"/>
          <w:szCs w:val="22"/>
          <w:u w:val="single"/>
          <w:rtl/>
        </w:rPr>
        <w:t>.</w:t>
      </w:r>
    </w:p>
    <w:p w14:paraId="0A52E316" w14:textId="6646362C" w:rsidR="00FB3E54" w:rsidRPr="00814BA6" w:rsidRDefault="006F39AF" w:rsidP="00814BA6">
      <w:pPr>
        <w:pStyle w:val="LegSubRule"/>
        <w:bidi/>
        <w:outlineLvl w:val="0"/>
        <w:rPr>
          <w:rFonts w:cs="Calibri"/>
          <w:i/>
          <w:iCs/>
          <w:szCs w:val="22"/>
          <w:rtl/>
        </w:rPr>
      </w:pPr>
      <w:bookmarkStart w:id="6" w:name="_Toc189230948"/>
      <w:r w:rsidRPr="00F72121">
        <w:rPr>
          <w:rFonts w:cs="Calibri" w:hint="cs"/>
          <w:szCs w:val="22"/>
          <w:rtl/>
        </w:rPr>
        <w:t>5.49 و6.49  </w:t>
      </w:r>
      <w:r w:rsidRPr="00F72121">
        <w:rPr>
          <w:rFonts w:cs="Calibri" w:hint="cs"/>
          <w:i/>
          <w:iCs/>
          <w:szCs w:val="22"/>
          <w:rtl/>
        </w:rPr>
        <w:t>[دون تغيير]</w:t>
      </w:r>
      <w:bookmarkEnd w:id="6"/>
    </w:p>
    <w:p w14:paraId="4D449C0D" w14:textId="15174693" w:rsidR="00317A53" w:rsidRPr="00F72121" w:rsidRDefault="001A4DB6" w:rsidP="00D0457A">
      <w:pPr>
        <w:pStyle w:val="Endofdocument-Annex"/>
        <w:bidi/>
        <w:spacing w:before="440"/>
        <w:rPr>
          <w:szCs w:val="22"/>
          <w:rtl/>
        </w:rPr>
      </w:pPr>
      <w:r w:rsidRPr="00F72121">
        <w:rPr>
          <w:rFonts w:hint="cs"/>
          <w:szCs w:val="22"/>
          <w:rtl/>
        </w:rPr>
        <w:t>[نهاية المرفق والوثيقة]</w:t>
      </w:r>
    </w:p>
    <w:sectPr w:rsidR="00317A53" w:rsidRPr="00F72121" w:rsidSect="00367241">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AC51" w14:textId="77777777" w:rsidR="00087385" w:rsidRDefault="00087385">
      <w:r>
        <w:separator/>
      </w:r>
    </w:p>
  </w:endnote>
  <w:endnote w:type="continuationSeparator" w:id="0">
    <w:p w14:paraId="49C2BE4D" w14:textId="77777777" w:rsidR="00087385" w:rsidRDefault="00087385" w:rsidP="003B38C1">
      <w:r>
        <w:separator/>
      </w:r>
    </w:p>
    <w:p w14:paraId="4F0B7640" w14:textId="77777777" w:rsidR="00087385" w:rsidRPr="003B38C1" w:rsidRDefault="00087385" w:rsidP="003B38C1">
      <w:pPr>
        <w:spacing w:after="60"/>
        <w:rPr>
          <w:sz w:val="17"/>
        </w:rPr>
      </w:pPr>
      <w:r>
        <w:rPr>
          <w:sz w:val="17"/>
        </w:rPr>
        <w:t>[Endnote continued from previous page]</w:t>
      </w:r>
    </w:p>
  </w:endnote>
  <w:endnote w:type="continuationNotice" w:id="1">
    <w:p w14:paraId="56C1DB09" w14:textId="77777777" w:rsidR="00087385" w:rsidRPr="003B38C1" w:rsidRDefault="0008738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9468" w14:textId="77777777" w:rsidR="00087385" w:rsidRDefault="00087385" w:rsidP="00367241">
      <w:pPr>
        <w:bidi/>
      </w:pPr>
      <w:r>
        <w:separator/>
      </w:r>
    </w:p>
  </w:footnote>
  <w:footnote w:type="continuationSeparator" w:id="0">
    <w:p w14:paraId="4500665F" w14:textId="77777777" w:rsidR="00087385" w:rsidRDefault="00087385" w:rsidP="008B60B2">
      <w:r>
        <w:separator/>
      </w:r>
    </w:p>
    <w:p w14:paraId="3B6428D9" w14:textId="77777777" w:rsidR="00087385" w:rsidRPr="00ED77FB" w:rsidRDefault="00087385" w:rsidP="008B60B2">
      <w:pPr>
        <w:spacing w:after="60"/>
        <w:rPr>
          <w:sz w:val="17"/>
          <w:szCs w:val="17"/>
        </w:rPr>
      </w:pPr>
      <w:r w:rsidRPr="00ED77FB">
        <w:rPr>
          <w:sz w:val="17"/>
          <w:szCs w:val="17"/>
        </w:rPr>
        <w:t>[Footnote continued from previous page]</w:t>
      </w:r>
    </w:p>
  </w:footnote>
  <w:footnote w:type="continuationNotice" w:id="1">
    <w:p w14:paraId="1FF25AFB" w14:textId="77777777" w:rsidR="00087385" w:rsidRPr="00ED77FB" w:rsidRDefault="0008738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6410B28" w14:textId="77777777" w:rsidR="00497A62" w:rsidRPr="00367241" w:rsidRDefault="00497A62" w:rsidP="00497A62">
      <w:pPr>
        <w:pStyle w:val="FootnoteText"/>
        <w:bidi/>
        <w:rPr>
          <w:szCs w:val="18"/>
          <w:rtl/>
        </w:rPr>
      </w:pPr>
      <w:r w:rsidRPr="00367241">
        <w:rPr>
          <w:rStyle w:val="FootnoteReference"/>
          <w:szCs w:val="18"/>
        </w:rPr>
        <w:footnoteRef/>
      </w:r>
      <w:r w:rsidRPr="00367241">
        <w:rPr>
          <w:rFonts w:hint="cs"/>
          <w:szCs w:val="18"/>
          <w:rtl/>
        </w:rPr>
        <w:t xml:space="preserve"> تسري فترة مدتها 20 شهراً بموجب المادة 22(1) على لكسمبرغ وجمهورية تنزانيا المتحدة. </w:t>
      </w:r>
    </w:p>
  </w:footnote>
  <w:footnote w:id="3">
    <w:p w14:paraId="162E137B" w14:textId="64A5C0E8" w:rsidR="001A4DB6" w:rsidRPr="00367241" w:rsidRDefault="001A4DB6">
      <w:pPr>
        <w:pStyle w:val="FootnoteText"/>
        <w:bidi/>
        <w:rPr>
          <w:szCs w:val="18"/>
          <w:rtl/>
        </w:rPr>
      </w:pPr>
      <w:r w:rsidRPr="00367241">
        <w:rPr>
          <w:rStyle w:val="FootnoteReference"/>
          <w:szCs w:val="18"/>
        </w:rPr>
        <w:footnoteRef/>
      </w:r>
      <w:r w:rsidRPr="00367241">
        <w:rPr>
          <w:rFonts w:hint="cs"/>
          <w:szCs w:val="18"/>
          <w:rtl/>
        </w:rPr>
        <w:tab/>
        <w:t>يُشار إلى التعديلات المقترحة كما يلي: ترد الكلمات المضافة تحتها خط وتظهر الكلمات المحذوفة مشطوبة.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878" w14:textId="52F0C785" w:rsidR="00367241" w:rsidRPr="00367241" w:rsidRDefault="00367241" w:rsidP="0080495E">
    <w:pPr>
      <w:rPr>
        <w:caps/>
        <w:szCs w:val="22"/>
        <w:lang w:bidi="ar-SA"/>
      </w:rPr>
    </w:pPr>
    <w:r w:rsidRPr="00367241">
      <w:rPr>
        <w:caps/>
        <w:szCs w:val="22"/>
        <w:lang w:bidi="ar-SA"/>
      </w:rPr>
      <w:t>PCT/WG/</w:t>
    </w:r>
    <w:r w:rsidR="0080495E">
      <w:rPr>
        <w:caps/>
        <w:szCs w:val="22"/>
        <w:lang w:bidi="ar-SA"/>
      </w:rPr>
      <w:t>19</w:t>
    </w:r>
    <w:r w:rsidRPr="00367241">
      <w:rPr>
        <w:caps/>
        <w:szCs w:val="22"/>
        <w:lang w:bidi="ar-SA"/>
      </w:rPr>
      <w:t>/</w:t>
    </w:r>
    <w:r w:rsidR="0080495E">
      <w:rPr>
        <w:caps/>
        <w:szCs w:val="22"/>
        <w:lang w:bidi="ar-SA"/>
      </w:rPr>
      <w:t>5</w:t>
    </w:r>
    <w:r w:rsidR="006851C4">
      <w:rPr>
        <w:caps/>
        <w:szCs w:val="22"/>
        <w:lang w:bidi="ar-SA"/>
      </w:rPr>
      <w:t xml:space="preserve"> </w:t>
    </w:r>
  </w:p>
  <w:p w14:paraId="4525E334" w14:textId="77777777" w:rsidR="00367241" w:rsidRPr="00367241" w:rsidRDefault="00367241" w:rsidP="00367241">
    <w:pPr>
      <w:rPr>
        <w:szCs w:val="22"/>
        <w:lang w:bidi="ar-SA"/>
      </w:rPr>
    </w:pPr>
    <w:r w:rsidRPr="00367241">
      <w:rPr>
        <w:szCs w:val="22"/>
        <w:lang w:bidi="ar-SA"/>
      </w:rPr>
      <w:fldChar w:fldCharType="begin"/>
    </w:r>
    <w:r w:rsidRPr="00367241">
      <w:rPr>
        <w:szCs w:val="22"/>
        <w:lang w:bidi="ar-SA"/>
      </w:rPr>
      <w:instrText xml:space="preserve"> PAGE  \* MERGEFORMAT </w:instrText>
    </w:r>
    <w:r w:rsidRPr="00367241">
      <w:rPr>
        <w:szCs w:val="22"/>
        <w:lang w:bidi="ar-SA"/>
      </w:rPr>
      <w:fldChar w:fldCharType="separate"/>
    </w:r>
    <w:r w:rsidRPr="00367241">
      <w:rPr>
        <w:szCs w:val="22"/>
        <w:lang w:bidi="ar-SA"/>
      </w:rPr>
      <w:t>2</w:t>
    </w:r>
    <w:r w:rsidRPr="00367241">
      <w:rPr>
        <w:szCs w:val="22"/>
        <w:lang w:bidi="ar-SA"/>
      </w:rPr>
      <w:fldChar w:fldCharType="end"/>
    </w:r>
  </w:p>
  <w:p w14:paraId="598A1309" w14:textId="77777777" w:rsidR="00367241" w:rsidRPr="00367241" w:rsidRDefault="00367241" w:rsidP="00367241">
    <w:pPr>
      <w:rPr>
        <w:szCs w:val="22"/>
        <w:lang w:bidi="ar-SA"/>
      </w:rPr>
    </w:pPr>
  </w:p>
  <w:p w14:paraId="2109359C" w14:textId="77777777" w:rsidR="00367241" w:rsidRPr="00367241" w:rsidRDefault="00367241" w:rsidP="00367241">
    <w:pPr>
      <w:rPr>
        <w:szCs w:val="22"/>
        <w:lang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EB0D" w14:textId="23714F6C" w:rsidR="00367241" w:rsidRPr="00367241" w:rsidRDefault="00367241" w:rsidP="00367241">
    <w:pPr>
      <w:rPr>
        <w:caps/>
        <w:szCs w:val="22"/>
        <w:lang w:bidi="ar-SA"/>
      </w:rPr>
    </w:pPr>
    <w:r w:rsidRPr="00367241">
      <w:rPr>
        <w:caps/>
        <w:szCs w:val="22"/>
        <w:lang w:bidi="ar-SA"/>
      </w:rPr>
      <w:t>PCT/WG/</w:t>
    </w:r>
    <w:r w:rsidR="00F40C42">
      <w:rPr>
        <w:caps/>
        <w:szCs w:val="22"/>
        <w:lang w:bidi="ar-SA"/>
      </w:rPr>
      <w:t>19</w:t>
    </w:r>
    <w:r w:rsidRPr="00367241">
      <w:rPr>
        <w:caps/>
        <w:szCs w:val="22"/>
        <w:lang w:bidi="ar-SA"/>
      </w:rPr>
      <w:t>/</w:t>
    </w:r>
    <w:r w:rsidR="00F40C42">
      <w:rPr>
        <w:caps/>
        <w:szCs w:val="22"/>
        <w:lang w:bidi="ar-SA"/>
      </w:rPr>
      <w:t>5</w:t>
    </w:r>
    <w:r w:rsidR="003851F6">
      <w:rPr>
        <w:caps/>
        <w:szCs w:val="22"/>
        <w:lang w:bidi="ar-SA"/>
      </w:rPr>
      <w:t>.</w:t>
    </w:r>
  </w:p>
  <w:p w14:paraId="2462CB77" w14:textId="7863EA34" w:rsidR="00367241" w:rsidRDefault="00367241" w:rsidP="00367241">
    <w:pPr>
      <w:rPr>
        <w:szCs w:val="22"/>
        <w:lang w:bidi="ar-SA"/>
      </w:rPr>
    </w:pPr>
    <w:r>
      <w:rPr>
        <w:szCs w:val="22"/>
        <w:lang w:bidi="ar-SA"/>
      </w:rPr>
      <w:t>Annex</w:t>
    </w:r>
  </w:p>
  <w:p w14:paraId="72A43C1E" w14:textId="57C7BB21" w:rsidR="00367241" w:rsidRPr="00367241" w:rsidRDefault="00367241" w:rsidP="00367241">
    <w:pPr>
      <w:rPr>
        <w:szCs w:val="22"/>
        <w:lang w:bidi="ar-SA"/>
      </w:rPr>
    </w:pPr>
    <w:r w:rsidRPr="00367241">
      <w:rPr>
        <w:szCs w:val="22"/>
        <w:lang w:bidi="ar-SA"/>
      </w:rPr>
      <w:fldChar w:fldCharType="begin"/>
    </w:r>
    <w:r w:rsidRPr="00367241">
      <w:rPr>
        <w:szCs w:val="22"/>
        <w:lang w:bidi="ar-SA"/>
      </w:rPr>
      <w:instrText xml:space="preserve"> PAGE  \* MERGEFORMAT </w:instrText>
    </w:r>
    <w:r w:rsidRPr="00367241">
      <w:rPr>
        <w:szCs w:val="22"/>
        <w:lang w:bidi="ar-SA"/>
      </w:rPr>
      <w:fldChar w:fldCharType="separate"/>
    </w:r>
    <w:r>
      <w:t>6</w:t>
    </w:r>
    <w:r w:rsidRPr="00367241">
      <w:rPr>
        <w:szCs w:val="22"/>
        <w:lang w:bidi="ar-SA"/>
      </w:rPr>
      <w:fldChar w:fldCharType="end"/>
    </w:r>
  </w:p>
  <w:p w14:paraId="21A34868" w14:textId="77777777" w:rsidR="00367241" w:rsidRPr="00367241" w:rsidRDefault="00367241" w:rsidP="00367241">
    <w:pPr>
      <w:rPr>
        <w:szCs w:val="22"/>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7AE8" w14:textId="4CF91301" w:rsidR="00367241" w:rsidRPr="00367241" w:rsidRDefault="00367241" w:rsidP="00367241">
    <w:pPr>
      <w:rPr>
        <w:caps/>
        <w:szCs w:val="22"/>
        <w:lang w:bidi="ar-SA"/>
      </w:rPr>
    </w:pPr>
    <w:r w:rsidRPr="00367241">
      <w:rPr>
        <w:caps/>
        <w:szCs w:val="22"/>
        <w:lang w:bidi="ar-SA"/>
      </w:rPr>
      <w:t>PCT/WG/</w:t>
    </w:r>
    <w:r w:rsidR="0080495E">
      <w:rPr>
        <w:caps/>
        <w:szCs w:val="22"/>
        <w:lang w:bidi="ar-SA"/>
      </w:rPr>
      <w:t>19</w:t>
    </w:r>
    <w:r w:rsidRPr="00367241">
      <w:rPr>
        <w:caps/>
        <w:szCs w:val="22"/>
        <w:lang w:bidi="ar-SA"/>
      </w:rPr>
      <w:t>/</w:t>
    </w:r>
    <w:r w:rsidR="0080495E">
      <w:rPr>
        <w:caps/>
        <w:szCs w:val="22"/>
        <w:lang w:bidi="ar-SA"/>
      </w:rPr>
      <w:t>5</w:t>
    </w:r>
  </w:p>
  <w:p w14:paraId="7AD003F9" w14:textId="0FBCE0B5" w:rsidR="00367241" w:rsidRPr="00367241" w:rsidRDefault="00367241" w:rsidP="00367241">
    <w:pPr>
      <w:rPr>
        <w:szCs w:val="22"/>
        <w:lang w:bidi="ar-SA"/>
      </w:rPr>
    </w:pPr>
    <w:r>
      <w:rPr>
        <w:szCs w:val="22"/>
        <w:lang w:bidi="ar-SA"/>
      </w:rPr>
      <w:t>ANNEX</w:t>
    </w:r>
  </w:p>
  <w:p w14:paraId="193564AA" w14:textId="53D4CA14" w:rsidR="00367241" w:rsidRPr="00367241" w:rsidRDefault="00367241" w:rsidP="00367241">
    <w:pPr>
      <w:rPr>
        <w:szCs w:val="22"/>
        <w:rtl/>
      </w:rPr>
    </w:pPr>
    <w:r>
      <w:rPr>
        <w:rFonts w:hint="cs"/>
        <w:szCs w:val="22"/>
        <w:rtl/>
      </w:rPr>
      <w:t>المرفق</w:t>
    </w:r>
  </w:p>
  <w:p w14:paraId="741580BD" w14:textId="77777777" w:rsidR="001A4DB6" w:rsidRPr="00367241" w:rsidRDefault="001A4DB6" w:rsidP="00367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024987C"/>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6C10C3"/>
    <w:multiLevelType w:val="hybridMultilevel"/>
    <w:tmpl w:val="D7A20880"/>
    <w:lvl w:ilvl="0" w:tplc="984E5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05136045">
    <w:abstractNumId w:val="3"/>
  </w:num>
  <w:num w:numId="8" w16cid:durableId="940407251">
    <w:abstractNumId w:val="1"/>
  </w:num>
  <w:num w:numId="9" w16cid:durableId="397675586">
    <w:abstractNumId w:val="1"/>
  </w:num>
  <w:num w:numId="10" w16cid:durableId="41625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D"/>
    <w:rsid w:val="0001647B"/>
    <w:rsid w:val="00043CAA"/>
    <w:rsid w:val="000441F6"/>
    <w:rsid w:val="00075432"/>
    <w:rsid w:val="000763CC"/>
    <w:rsid w:val="00080356"/>
    <w:rsid w:val="00087385"/>
    <w:rsid w:val="000968ED"/>
    <w:rsid w:val="00097675"/>
    <w:rsid w:val="000A69C7"/>
    <w:rsid w:val="000A7D39"/>
    <w:rsid w:val="000F5C2E"/>
    <w:rsid w:val="000F5E56"/>
    <w:rsid w:val="0010168A"/>
    <w:rsid w:val="001024FE"/>
    <w:rsid w:val="001362EE"/>
    <w:rsid w:val="00142868"/>
    <w:rsid w:val="00165B5E"/>
    <w:rsid w:val="001832A6"/>
    <w:rsid w:val="001A1804"/>
    <w:rsid w:val="001A2260"/>
    <w:rsid w:val="001A4DB6"/>
    <w:rsid w:val="001C6808"/>
    <w:rsid w:val="00201BF5"/>
    <w:rsid w:val="002121FA"/>
    <w:rsid w:val="00235CE6"/>
    <w:rsid w:val="00251FF8"/>
    <w:rsid w:val="002634C4"/>
    <w:rsid w:val="002928D3"/>
    <w:rsid w:val="0029703C"/>
    <w:rsid w:val="002F0C35"/>
    <w:rsid w:val="002F1FE6"/>
    <w:rsid w:val="002F4E68"/>
    <w:rsid w:val="00302B8D"/>
    <w:rsid w:val="00312F7F"/>
    <w:rsid w:val="0031542A"/>
    <w:rsid w:val="00317A53"/>
    <w:rsid w:val="003228B7"/>
    <w:rsid w:val="00322DB8"/>
    <w:rsid w:val="003246ED"/>
    <w:rsid w:val="003508A3"/>
    <w:rsid w:val="00367241"/>
    <w:rsid w:val="003673CF"/>
    <w:rsid w:val="003845C1"/>
    <w:rsid w:val="003851F6"/>
    <w:rsid w:val="0038544F"/>
    <w:rsid w:val="00387DC7"/>
    <w:rsid w:val="00392372"/>
    <w:rsid w:val="003A6F01"/>
    <w:rsid w:val="003A6F89"/>
    <w:rsid w:val="003A7F2C"/>
    <w:rsid w:val="003B38C1"/>
    <w:rsid w:val="003D352A"/>
    <w:rsid w:val="003F09CB"/>
    <w:rsid w:val="003F4C9E"/>
    <w:rsid w:val="00423E3E"/>
    <w:rsid w:val="00426332"/>
    <w:rsid w:val="00427AF4"/>
    <w:rsid w:val="004356CF"/>
    <w:rsid w:val="004400E2"/>
    <w:rsid w:val="00445028"/>
    <w:rsid w:val="004508F6"/>
    <w:rsid w:val="00460147"/>
    <w:rsid w:val="00461632"/>
    <w:rsid w:val="004647DA"/>
    <w:rsid w:val="00474062"/>
    <w:rsid w:val="00477D6B"/>
    <w:rsid w:val="00497537"/>
    <w:rsid w:val="00497A62"/>
    <w:rsid w:val="00497C1B"/>
    <w:rsid w:val="004D39C4"/>
    <w:rsid w:val="005053A9"/>
    <w:rsid w:val="0053057A"/>
    <w:rsid w:val="00543927"/>
    <w:rsid w:val="00544AD3"/>
    <w:rsid w:val="00560A29"/>
    <w:rsid w:val="00594D27"/>
    <w:rsid w:val="00597F47"/>
    <w:rsid w:val="005C19E0"/>
    <w:rsid w:val="005E6E13"/>
    <w:rsid w:val="005E7C7E"/>
    <w:rsid w:val="00601760"/>
    <w:rsid w:val="006046EA"/>
    <w:rsid w:val="00605827"/>
    <w:rsid w:val="00611170"/>
    <w:rsid w:val="00625796"/>
    <w:rsid w:val="00627B4E"/>
    <w:rsid w:val="00632E7A"/>
    <w:rsid w:val="006456DA"/>
    <w:rsid w:val="00646050"/>
    <w:rsid w:val="00647DC0"/>
    <w:rsid w:val="006713CA"/>
    <w:rsid w:val="00676C5C"/>
    <w:rsid w:val="006851C4"/>
    <w:rsid w:val="00695558"/>
    <w:rsid w:val="006B1C99"/>
    <w:rsid w:val="006B1F7A"/>
    <w:rsid w:val="006D5E0F"/>
    <w:rsid w:val="006E59C0"/>
    <w:rsid w:val="006F39AF"/>
    <w:rsid w:val="007058FB"/>
    <w:rsid w:val="007059E3"/>
    <w:rsid w:val="007152C5"/>
    <w:rsid w:val="00715A87"/>
    <w:rsid w:val="00734E79"/>
    <w:rsid w:val="00744C06"/>
    <w:rsid w:val="00782DB4"/>
    <w:rsid w:val="007A7D64"/>
    <w:rsid w:val="007B6A58"/>
    <w:rsid w:val="007C1C39"/>
    <w:rsid w:val="007D1613"/>
    <w:rsid w:val="0080495E"/>
    <w:rsid w:val="00814BA6"/>
    <w:rsid w:val="00840623"/>
    <w:rsid w:val="00873EE5"/>
    <w:rsid w:val="00884484"/>
    <w:rsid w:val="008B2CC1"/>
    <w:rsid w:val="008B4B5E"/>
    <w:rsid w:val="008B60B2"/>
    <w:rsid w:val="0090731E"/>
    <w:rsid w:val="00916EE2"/>
    <w:rsid w:val="00946221"/>
    <w:rsid w:val="00966A22"/>
    <w:rsid w:val="0096722F"/>
    <w:rsid w:val="00980843"/>
    <w:rsid w:val="00990028"/>
    <w:rsid w:val="00990208"/>
    <w:rsid w:val="009915AB"/>
    <w:rsid w:val="00993A01"/>
    <w:rsid w:val="009A0562"/>
    <w:rsid w:val="009A76BD"/>
    <w:rsid w:val="009C468B"/>
    <w:rsid w:val="009D06FF"/>
    <w:rsid w:val="009E2791"/>
    <w:rsid w:val="009E3F6F"/>
    <w:rsid w:val="009F00DA"/>
    <w:rsid w:val="009F3BF9"/>
    <w:rsid w:val="009F499F"/>
    <w:rsid w:val="00A04D37"/>
    <w:rsid w:val="00A15AF9"/>
    <w:rsid w:val="00A17924"/>
    <w:rsid w:val="00A26A28"/>
    <w:rsid w:val="00A42DAF"/>
    <w:rsid w:val="00A45BD8"/>
    <w:rsid w:val="00A46076"/>
    <w:rsid w:val="00A51C03"/>
    <w:rsid w:val="00A66F4A"/>
    <w:rsid w:val="00A778BF"/>
    <w:rsid w:val="00A80548"/>
    <w:rsid w:val="00A85B8E"/>
    <w:rsid w:val="00A936DB"/>
    <w:rsid w:val="00AB63D2"/>
    <w:rsid w:val="00AC016E"/>
    <w:rsid w:val="00AC205C"/>
    <w:rsid w:val="00AD7EDB"/>
    <w:rsid w:val="00AE098D"/>
    <w:rsid w:val="00AE52E0"/>
    <w:rsid w:val="00AF2376"/>
    <w:rsid w:val="00AF35AB"/>
    <w:rsid w:val="00AF5C73"/>
    <w:rsid w:val="00B05A69"/>
    <w:rsid w:val="00B14256"/>
    <w:rsid w:val="00B2040C"/>
    <w:rsid w:val="00B2191A"/>
    <w:rsid w:val="00B40598"/>
    <w:rsid w:val="00B464C8"/>
    <w:rsid w:val="00B50B99"/>
    <w:rsid w:val="00B5671F"/>
    <w:rsid w:val="00B62CD9"/>
    <w:rsid w:val="00B938EB"/>
    <w:rsid w:val="00B958D8"/>
    <w:rsid w:val="00B9734B"/>
    <w:rsid w:val="00BA540F"/>
    <w:rsid w:val="00BD5ABB"/>
    <w:rsid w:val="00BF2415"/>
    <w:rsid w:val="00BF48DE"/>
    <w:rsid w:val="00C11BFE"/>
    <w:rsid w:val="00C1278A"/>
    <w:rsid w:val="00C1398B"/>
    <w:rsid w:val="00C166C9"/>
    <w:rsid w:val="00C261BE"/>
    <w:rsid w:val="00C40F75"/>
    <w:rsid w:val="00C7454E"/>
    <w:rsid w:val="00C75625"/>
    <w:rsid w:val="00C91AB4"/>
    <w:rsid w:val="00C94629"/>
    <w:rsid w:val="00CB6148"/>
    <w:rsid w:val="00CE65D4"/>
    <w:rsid w:val="00CF1C98"/>
    <w:rsid w:val="00CF4AC4"/>
    <w:rsid w:val="00D0457A"/>
    <w:rsid w:val="00D07779"/>
    <w:rsid w:val="00D27C4A"/>
    <w:rsid w:val="00D27CA3"/>
    <w:rsid w:val="00D3500F"/>
    <w:rsid w:val="00D45252"/>
    <w:rsid w:val="00D65A71"/>
    <w:rsid w:val="00D71B4D"/>
    <w:rsid w:val="00D818A5"/>
    <w:rsid w:val="00D93D55"/>
    <w:rsid w:val="00DD016E"/>
    <w:rsid w:val="00DF02B8"/>
    <w:rsid w:val="00DF2AAA"/>
    <w:rsid w:val="00E070BF"/>
    <w:rsid w:val="00E161A2"/>
    <w:rsid w:val="00E335FE"/>
    <w:rsid w:val="00E5021F"/>
    <w:rsid w:val="00E663AA"/>
    <w:rsid w:val="00E671A6"/>
    <w:rsid w:val="00E843C2"/>
    <w:rsid w:val="00E84E8B"/>
    <w:rsid w:val="00E90B8B"/>
    <w:rsid w:val="00EA7555"/>
    <w:rsid w:val="00EC4E49"/>
    <w:rsid w:val="00ED26A5"/>
    <w:rsid w:val="00ED4168"/>
    <w:rsid w:val="00ED77FB"/>
    <w:rsid w:val="00F021A6"/>
    <w:rsid w:val="00F11D94"/>
    <w:rsid w:val="00F27310"/>
    <w:rsid w:val="00F40C42"/>
    <w:rsid w:val="00F555C3"/>
    <w:rsid w:val="00F618F2"/>
    <w:rsid w:val="00F66152"/>
    <w:rsid w:val="00F72121"/>
    <w:rsid w:val="00F866B9"/>
    <w:rsid w:val="00F9200A"/>
    <w:rsid w:val="00FB3E54"/>
    <w:rsid w:val="00FB49D1"/>
    <w:rsid w:val="00FD42B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563CF"/>
  <w15:docId w15:val="{914453CE-DA08-4E67-91CF-040CBE00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5E7C7E"/>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5E7C7E"/>
    <w:rPr>
      <w:vertAlign w:val="superscript"/>
    </w:rPr>
  </w:style>
  <w:style w:type="character" w:customStyle="1" w:styleId="FootnoteTextChar">
    <w:name w:val="Footnote Text Char"/>
    <w:basedOn w:val="DefaultParagraphFont"/>
    <w:link w:val="FootnoteText"/>
    <w:semiHidden/>
    <w:rsid w:val="005E7C7E"/>
    <w:rPr>
      <w:rFonts w:ascii="Arial" w:eastAsia="SimSun" w:hAnsi="Arial" w:cs="Calibri"/>
      <w:sz w:val="18"/>
      <w:lang w:val="en-US" w:eastAsia="zh-CN"/>
    </w:rPr>
  </w:style>
  <w:style w:type="character" w:styleId="Hyperlink">
    <w:name w:val="Hyperlink"/>
    <w:basedOn w:val="DefaultParagraphFont"/>
    <w:uiPriority w:val="99"/>
    <w:unhideWhenUsed/>
    <w:rsid w:val="004508F6"/>
    <w:rPr>
      <w:color w:val="0000FF" w:themeColor="hyperlink"/>
      <w:u w:val="single"/>
    </w:rPr>
  </w:style>
  <w:style w:type="character" w:styleId="UnresolvedMention">
    <w:name w:val="Unresolved Mention"/>
    <w:basedOn w:val="DefaultParagraphFont"/>
    <w:uiPriority w:val="99"/>
    <w:semiHidden/>
    <w:unhideWhenUsed/>
    <w:rsid w:val="004508F6"/>
    <w:rPr>
      <w:color w:val="605E5C"/>
      <w:shd w:val="clear" w:color="auto" w:fill="E1DFDD"/>
    </w:rPr>
  </w:style>
  <w:style w:type="paragraph" w:customStyle="1" w:styleId="LegSubRule">
    <w:name w:val="Leg SubRule #"/>
    <w:basedOn w:val="Normal"/>
    <w:rsid w:val="00317A5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17A5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17A53"/>
    <w:rPr>
      <w:rFonts w:ascii="Arial" w:hAnsi="Arial" w:cs="Calibri"/>
      <w:noProof/>
      <w:snapToGrid w:val="0"/>
      <w:sz w:val="22"/>
      <w:lang w:val="en-US" w:eastAsia="en-US"/>
    </w:rPr>
  </w:style>
  <w:style w:type="paragraph" w:styleId="TOC1">
    <w:name w:val="toc 1"/>
    <w:basedOn w:val="Normal"/>
    <w:next w:val="Normal"/>
    <w:autoRedefine/>
    <w:uiPriority w:val="39"/>
    <w:unhideWhenUsed/>
    <w:rsid w:val="001A4DB6"/>
    <w:pPr>
      <w:spacing w:after="100"/>
    </w:pPr>
  </w:style>
  <w:style w:type="paragraph" w:styleId="TOC2">
    <w:name w:val="toc 2"/>
    <w:basedOn w:val="Normal"/>
    <w:next w:val="Normal"/>
    <w:autoRedefine/>
    <w:uiPriority w:val="39"/>
    <w:unhideWhenUsed/>
    <w:rsid w:val="001A4D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0821">
      <w:bodyDiv w:val="1"/>
      <w:marLeft w:val="0"/>
      <w:marRight w:val="0"/>
      <w:marTop w:val="0"/>
      <w:marBottom w:val="0"/>
      <w:divBdr>
        <w:top w:val="none" w:sz="0" w:space="0" w:color="auto"/>
        <w:left w:val="none" w:sz="0" w:space="0" w:color="auto"/>
        <w:bottom w:val="none" w:sz="0" w:space="0" w:color="auto"/>
        <w:right w:val="none" w:sz="0" w:space="0" w:color="auto"/>
      </w:divBdr>
      <w:divsChild>
        <w:div w:id="1393499933">
          <w:marLeft w:val="0"/>
          <w:marRight w:val="0"/>
          <w:marTop w:val="0"/>
          <w:marBottom w:val="0"/>
          <w:divBdr>
            <w:top w:val="none" w:sz="0" w:space="0" w:color="auto"/>
            <w:left w:val="none" w:sz="0" w:space="0" w:color="auto"/>
            <w:bottom w:val="none" w:sz="0" w:space="0" w:color="auto"/>
            <w:right w:val="none" w:sz="0" w:space="0" w:color="auto"/>
          </w:divBdr>
        </w:div>
      </w:divsChild>
    </w:div>
    <w:div w:id="1009521479">
      <w:bodyDiv w:val="1"/>
      <w:marLeft w:val="0"/>
      <w:marRight w:val="0"/>
      <w:marTop w:val="0"/>
      <w:marBottom w:val="0"/>
      <w:divBdr>
        <w:top w:val="none" w:sz="0" w:space="0" w:color="auto"/>
        <w:left w:val="none" w:sz="0" w:space="0" w:color="auto"/>
        <w:bottom w:val="none" w:sz="0" w:space="0" w:color="auto"/>
        <w:right w:val="none" w:sz="0" w:space="0" w:color="auto"/>
      </w:divBdr>
      <w:divsChild>
        <w:div w:id="1453480728">
          <w:marLeft w:val="0"/>
          <w:marRight w:val="0"/>
          <w:marTop w:val="0"/>
          <w:marBottom w:val="0"/>
          <w:divBdr>
            <w:top w:val="none" w:sz="0" w:space="0" w:color="auto"/>
            <w:left w:val="none" w:sz="0" w:space="0" w:color="auto"/>
            <w:bottom w:val="none" w:sz="0" w:space="0" w:color="auto"/>
            <w:right w:val="none" w:sz="0" w:space="0" w:color="auto"/>
          </w:divBdr>
        </w:div>
      </w:divsChild>
    </w:div>
    <w:div w:id="1276988212">
      <w:bodyDiv w:val="1"/>
      <w:marLeft w:val="0"/>
      <w:marRight w:val="0"/>
      <w:marTop w:val="0"/>
      <w:marBottom w:val="0"/>
      <w:divBdr>
        <w:top w:val="none" w:sz="0" w:space="0" w:color="auto"/>
        <w:left w:val="none" w:sz="0" w:space="0" w:color="auto"/>
        <w:bottom w:val="none" w:sz="0" w:space="0" w:color="auto"/>
        <w:right w:val="none" w:sz="0" w:space="0" w:color="auto"/>
      </w:divBdr>
      <w:divsChild>
        <w:div w:id="11209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PCT/WG/18/4 Rev.(Arabic)</vt:lpstr>
    </vt:vector>
  </TitlesOfParts>
  <Company>WIPO</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 (Arabic)</dc:title>
  <dc:subject/>
  <dc:creator>MARLOW Thomas</dc:creator>
  <cp:keywords>PUBLIC</cp:keywords>
  <cp:lastModifiedBy>MARLOW Thomas</cp:lastModifiedBy>
  <cp:revision>2</cp:revision>
  <cp:lastPrinted>2025-12-30T13:35:00Z</cp:lastPrinted>
  <dcterms:created xsi:type="dcterms:W3CDTF">2026-01-13T16:41:00Z</dcterms:created>
  <dcterms:modified xsi:type="dcterms:W3CDTF">2026-01-13T16:41:00Z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