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CF8E1"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374EEF55" wp14:editId="6A406838">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2D1FA15"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4FF771CF" w14:textId="5EB98A00" w:rsidR="005658E3" w:rsidRPr="001024FE" w:rsidRDefault="005658E3" w:rsidP="005658E3">
      <w:pPr>
        <w:bidi w:val="0"/>
        <w:rPr>
          <w:rFonts w:ascii="Arial Black" w:hAnsi="Arial Black"/>
          <w:caps/>
          <w:sz w:val="15"/>
          <w:szCs w:val="15"/>
        </w:rPr>
      </w:pPr>
      <w:bookmarkStart w:id="0" w:name="Code"/>
      <w:bookmarkStart w:id="1" w:name="Original"/>
      <w:bookmarkEnd w:id="0"/>
      <w:r>
        <w:rPr>
          <w:rFonts w:ascii="Arial Black" w:hAnsi="Arial Black"/>
          <w:caps/>
          <w:sz w:val="15"/>
          <w:szCs w:val="15"/>
        </w:rPr>
        <w:t>PCT/WG/19/</w:t>
      </w:r>
      <w:r w:rsidR="004F34F8">
        <w:rPr>
          <w:rFonts w:ascii="Arial Black" w:hAnsi="Arial Black"/>
          <w:caps/>
          <w:sz w:val="15"/>
          <w:szCs w:val="15"/>
        </w:rPr>
        <w:t>4</w:t>
      </w:r>
    </w:p>
    <w:p w14:paraId="234D148D" w14:textId="56ACD460" w:rsidR="008B2CC1" w:rsidRPr="0070778E" w:rsidRDefault="00CC3E2D" w:rsidP="005658E3">
      <w:pPr>
        <w:bidi w:val="0"/>
        <w:rPr>
          <w:rFonts w:asciiTheme="minorHAnsi" w:hAnsiTheme="minorHAnsi" w:cstheme="minorHAnsi"/>
          <w:b/>
          <w:bCs/>
          <w:caps/>
          <w:sz w:val="15"/>
          <w:szCs w:val="15"/>
          <w:rtl/>
          <w:lang w:bidi="ar-EG"/>
        </w:rPr>
      </w:pPr>
      <w:r w:rsidRPr="0070778E">
        <w:rPr>
          <w:rFonts w:asciiTheme="minorHAnsi" w:hAnsiTheme="minorHAnsi" w:cstheme="minorHAnsi" w:hint="cs"/>
          <w:b/>
          <w:bCs/>
          <w:caps/>
          <w:sz w:val="15"/>
          <w:szCs w:val="15"/>
          <w:rtl/>
        </w:rPr>
        <w:t xml:space="preserve">الأصل: </w:t>
      </w:r>
      <w:r w:rsidR="009262BC">
        <w:rPr>
          <w:rFonts w:asciiTheme="minorHAnsi" w:hAnsiTheme="minorHAnsi" w:cstheme="minorHAnsi" w:hint="cs"/>
          <w:b/>
          <w:bCs/>
          <w:caps/>
          <w:sz w:val="15"/>
          <w:szCs w:val="15"/>
          <w:rtl/>
          <w:lang w:bidi="ar-EG"/>
        </w:rPr>
        <w:t>بالإنكليزية</w:t>
      </w:r>
    </w:p>
    <w:p w14:paraId="5F1A2240" w14:textId="2926F01F" w:rsidR="008B2CC1" w:rsidRPr="0070778E" w:rsidRDefault="00CC3E2D" w:rsidP="00B26A4F">
      <w:pPr>
        <w:spacing w:after="1200"/>
        <w:jc w:val="right"/>
        <w:rPr>
          <w:rFonts w:asciiTheme="minorHAnsi" w:hAnsiTheme="minorHAnsi" w:cstheme="minorHAnsi"/>
          <w:b/>
          <w:bCs/>
          <w:caps/>
          <w:sz w:val="15"/>
          <w:szCs w:val="15"/>
        </w:rPr>
      </w:pPr>
      <w:bookmarkStart w:id="2" w:name="Date"/>
      <w:bookmarkEnd w:id="1"/>
      <w:r w:rsidRPr="0070778E">
        <w:rPr>
          <w:rFonts w:asciiTheme="minorHAnsi" w:hAnsiTheme="minorHAnsi" w:cstheme="minorHAnsi" w:hint="cs"/>
          <w:b/>
          <w:bCs/>
          <w:caps/>
          <w:sz w:val="15"/>
          <w:szCs w:val="15"/>
          <w:rtl/>
        </w:rPr>
        <w:t>التاريخ:</w:t>
      </w:r>
      <w:r w:rsidR="00B26A4F">
        <w:rPr>
          <w:rFonts w:asciiTheme="minorHAnsi" w:hAnsiTheme="minorHAnsi" w:cstheme="minorHAnsi"/>
          <w:b/>
          <w:bCs/>
          <w:caps/>
          <w:sz w:val="15"/>
          <w:szCs w:val="15"/>
        </w:rPr>
        <w:t xml:space="preserve"> </w:t>
      </w:r>
      <w:r w:rsidR="005658E3">
        <w:rPr>
          <w:rFonts w:asciiTheme="minorHAnsi" w:hAnsiTheme="minorHAnsi" w:cstheme="minorHAnsi" w:hint="cs"/>
          <w:b/>
          <w:bCs/>
          <w:caps/>
          <w:sz w:val="15"/>
          <w:szCs w:val="15"/>
          <w:rtl/>
        </w:rPr>
        <w:t>15</w:t>
      </w:r>
      <w:r w:rsidR="009262BC">
        <w:rPr>
          <w:rFonts w:asciiTheme="minorHAnsi" w:hAnsiTheme="minorHAnsi" w:cstheme="minorHAnsi" w:hint="cs"/>
          <w:b/>
          <w:bCs/>
          <w:caps/>
          <w:sz w:val="15"/>
          <w:szCs w:val="15"/>
          <w:rtl/>
        </w:rPr>
        <w:t xml:space="preserve"> </w:t>
      </w:r>
      <w:r w:rsidR="005658E3">
        <w:rPr>
          <w:rFonts w:asciiTheme="minorHAnsi" w:hAnsiTheme="minorHAnsi" w:cstheme="minorHAnsi" w:hint="cs"/>
          <w:b/>
          <w:bCs/>
          <w:caps/>
          <w:sz w:val="15"/>
          <w:szCs w:val="15"/>
          <w:rtl/>
        </w:rPr>
        <w:t>ديسمبر</w:t>
      </w:r>
      <w:r w:rsidR="009262BC">
        <w:rPr>
          <w:rFonts w:asciiTheme="minorHAnsi" w:hAnsiTheme="minorHAnsi" w:cstheme="minorHAnsi" w:hint="cs"/>
          <w:b/>
          <w:bCs/>
          <w:caps/>
          <w:sz w:val="15"/>
          <w:szCs w:val="15"/>
          <w:rtl/>
        </w:rPr>
        <w:t xml:space="preserve"> 2025</w:t>
      </w:r>
    </w:p>
    <w:bookmarkEnd w:id="2"/>
    <w:p w14:paraId="226689E8" w14:textId="7CE7D9B7" w:rsidR="005658E3" w:rsidRPr="00531155" w:rsidRDefault="005658E3" w:rsidP="005658E3">
      <w:pPr>
        <w:spacing w:after="600"/>
        <w:rPr>
          <w:rFonts w:ascii="Calibri" w:hAnsi="Calibri"/>
          <w:b/>
          <w:sz w:val="28"/>
          <w:szCs w:val="28"/>
          <w:rtl/>
        </w:rPr>
      </w:pPr>
      <w:r w:rsidRPr="00531155">
        <w:rPr>
          <w:rFonts w:ascii="Calibri" w:hAnsi="Calibri"/>
          <w:b/>
          <w:bCs/>
          <w:sz w:val="28"/>
          <w:szCs w:val="28"/>
          <w:rtl/>
        </w:rPr>
        <w:t xml:space="preserve">الفريق العامل </w:t>
      </w:r>
      <w:r w:rsidR="00116D3F">
        <w:rPr>
          <w:rFonts w:ascii="Calibri" w:hAnsi="Calibri" w:hint="cs"/>
          <w:b/>
          <w:bCs/>
          <w:sz w:val="28"/>
          <w:szCs w:val="28"/>
          <w:rtl/>
        </w:rPr>
        <w:t>المعني ب</w:t>
      </w:r>
      <w:r w:rsidRPr="00531155">
        <w:rPr>
          <w:rFonts w:ascii="Calibri" w:hAnsi="Calibri"/>
          <w:b/>
          <w:bCs/>
          <w:sz w:val="28"/>
          <w:szCs w:val="28"/>
          <w:rtl/>
        </w:rPr>
        <w:t>معاهدة التعاون بشأن البراءات</w:t>
      </w:r>
    </w:p>
    <w:p w14:paraId="1E2CD571" w14:textId="360AF167" w:rsidR="00A90F0A" w:rsidRPr="00D67EAE" w:rsidRDefault="00D67EAE" w:rsidP="0070778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5658E3">
        <w:rPr>
          <w:rFonts w:asciiTheme="minorHAnsi" w:hAnsiTheme="minorHAnsi" w:cstheme="minorHAnsi" w:hint="cs"/>
          <w:bCs/>
          <w:sz w:val="24"/>
          <w:szCs w:val="24"/>
          <w:rtl/>
        </w:rPr>
        <w:t>التاسعة</w:t>
      </w:r>
      <w:r w:rsidR="00E15F75">
        <w:rPr>
          <w:rFonts w:asciiTheme="minorHAnsi" w:hAnsiTheme="minorHAnsi" w:cstheme="minorHAnsi" w:hint="cs"/>
          <w:bCs/>
          <w:sz w:val="24"/>
          <w:szCs w:val="24"/>
          <w:rtl/>
        </w:rPr>
        <w:t xml:space="preserve"> عشرة</w:t>
      </w:r>
    </w:p>
    <w:p w14:paraId="39051104" w14:textId="6F382BD2" w:rsidR="008B2CC1" w:rsidRPr="00D67EAE" w:rsidRDefault="00D67EAE" w:rsidP="0070778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5658E3" w:rsidRPr="00531155">
        <w:rPr>
          <w:rFonts w:ascii="Calibri" w:hAnsi="Calibri"/>
          <w:b/>
          <w:bCs/>
          <w:sz w:val="24"/>
          <w:szCs w:val="24"/>
          <w:rtl/>
        </w:rPr>
        <w:t>من 2 إلى 6 فبراير 2026</w:t>
      </w:r>
    </w:p>
    <w:p w14:paraId="39DA12E5" w14:textId="0130D1AB" w:rsidR="009262BC" w:rsidRDefault="009262BC" w:rsidP="009262BC">
      <w:pPr>
        <w:spacing w:after="360" w:line="259" w:lineRule="auto"/>
        <w:rPr>
          <w:rtl/>
        </w:rPr>
      </w:pPr>
      <w:bookmarkStart w:id="3" w:name="TitleOfDoc"/>
      <w:r>
        <w:rPr>
          <w:rFonts w:hint="cs"/>
          <w:caps/>
          <w:sz w:val="24"/>
          <w:szCs w:val="24"/>
          <w:rtl/>
        </w:rPr>
        <w:t>فرقة العمل المعنية</w:t>
      </w:r>
      <w:r>
        <w:rPr>
          <w:caps/>
          <w:sz w:val="24"/>
          <w:szCs w:val="24"/>
          <w:rtl/>
        </w:rPr>
        <w:t xml:space="preserve"> </w:t>
      </w:r>
      <w:r>
        <w:rPr>
          <w:rFonts w:hint="cs"/>
          <w:caps/>
          <w:sz w:val="24"/>
          <w:szCs w:val="24"/>
          <w:rtl/>
        </w:rPr>
        <w:t>بقوائم التسلسل</w:t>
      </w:r>
      <w:r w:rsidR="00604A9A">
        <w:rPr>
          <w:rFonts w:hint="cs"/>
          <w:caps/>
          <w:sz w:val="24"/>
          <w:szCs w:val="24"/>
          <w:rtl/>
        </w:rPr>
        <w:t>: تقرير الحالة</w:t>
      </w:r>
    </w:p>
    <w:p w14:paraId="7E139D6D" w14:textId="65B844D3" w:rsidR="009262BC" w:rsidRPr="009262BC" w:rsidRDefault="009262BC" w:rsidP="009262BC">
      <w:pPr>
        <w:spacing w:after="960"/>
        <w:rPr>
          <w:i/>
          <w:iCs/>
          <w:sz w:val="24"/>
          <w:szCs w:val="24"/>
          <w:rtl/>
        </w:rPr>
      </w:pPr>
      <w:bookmarkStart w:id="4" w:name="Prepared"/>
      <w:r w:rsidRPr="009262BC">
        <w:rPr>
          <w:rFonts w:hint="cs"/>
          <w:i/>
          <w:iCs/>
          <w:sz w:val="24"/>
          <w:szCs w:val="24"/>
          <w:rtl/>
        </w:rPr>
        <w:t xml:space="preserve">وثيقة </w:t>
      </w:r>
      <w:bookmarkEnd w:id="4"/>
      <w:r w:rsidR="00604A9A">
        <w:rPr>
          <w:rFonts w:hint="cs"/>
          <w:i/>
          <w:iCs/>
          <w:sz w:val="24"/>
          <w:szCs w:val="24"/>
          <w:rtl/>
        </w:rPr>
        <w:t>مقدمة من المكتب الأوروبي للبراءات</w:t>
      </w:r>
    </w:p>
    <w:bookmarkEnd w:id="3"/>
    <w:p w14:paraId="511DBF1A" w14:textId="77777777" w:rsidR="009262BC" w:rsidRPr="00C416F8" w:rsidRDefault="009262BC" w:rsidP="009262BC">
      <w:pPr>
        <w:pStyle w:val="BodyText"/>
        <w:rPr>
          <w:rFonts w:eastAsia="Times New Roman"/>
          <w:bCs/>
          <w:i/>
          <w:rtl/>
          <w:lang w:eastAsia="en-US"/>
        </w:rPr>
      </w:pPr>
      <w:r w:rsidRPr="00C416F8">
        <w:rPr>
          <w:rFonts w:eastAsia="Times New Roman" w:hint="cs"/>
          <w:bCs/>
          <w:i/>
          <w:rtl/>
          <w:lang w:eastAsia="en-US"/>
        </w:rPr>
        <w:t>معلومات أساسية</w:t>
      </w:r>
    </w:p>
    <w:p w14:paraId="7D393683" w14:textId="7FE4E9DE" w:rsidR="009262BC" w:rsidRPr="009262BC" w:rsidRDefault="009262BC" w:rsidP="009262BC">
      <w:pPr>
        <w:pStyle w:val="BodyText"/>
        <w:numPr>
          <w:ilvl w:val="0"/>
          <w:numId w:val="5"/>
        </w:numPr>
        <w:rPr>
          <w:rFonts w:eastAsia="Times New Roman"/>
          <w:rtl/>
          <w:lang w:eastAsia="en-US"/>
        </w:rPr>
      </w:pPr>
      <w:r w:rsidRPr="009262BC">
        <w:rPr>
          <w:rFonts w:eastAsia="Times New Roman" w:hint="cs"/>
          <w:rtl/>
          <w:lang w:eastAsia="en-US"/>
        </w:rPr>
        <w:t xml:space="preserve">أُنشئت </w:t>
      </w:r>
      <w:r w:rsidR="006667A6" w:rsidRPr="009262BC">
        <w:rPr>
          <w:rFonts w:eastAsia="Times New Roman" w:hint="cs"/>
          <w:rtl/>
          <w:lang w:eastAsia="en-US"/>
        </w:rPr>
        <w:t xml:space="preserve">لجنة المعايير </w:t>
      </w:r>
      <w:r w:rsidRPr="009262BC">
        <w:rPr>
          <w:rFonts w:eastAsia="Times New Roman" w:hint="cs"/>
          <w:rtl/>
          <w:lang w:eastAsia="en-US"/>
        </w:rPr>
        <w:t xml:space="preserve">فرقة العمل المعنية بقوائم التسلسل </w:t>
      </w:r>
      <w:r w:rsidR="006667A6" w:rsidRPr="009262BC">
        <w:rPr>
          <w:rFonts w:eastAsia="Times New Roman" w:hint="cs"/>
          <w:rtl/>
          <w:lang w:eastAsia="en-US"/>
        </w:rPr>
        <w:t>في دور</w:t>
      </w:r>
      <w:r w:rsidR="006667A6">
        <w:rPr>
          <w:rFonts w:eastAsia="Times New Roman" w:hint="cs"/>
          <w:rtl/>
          <w:lang w:eastAsia="en-US"/>
        </w:rPr>
        <w:t>تها</w:t>
      </w:r>
      <w:r w:rsidR="006667A6" w:rsidRPr="009262BC">
        <w:rPr>
          <w:rFonts w:eastAsia="Times New Roman" w:hint="cs"/>
          <w:rtl/>
          <w:lang w:eastAsia="en-US"/>
        </w:rPr>
        <w:t xml:space="preserve"> الأولى </w:t>
      </w:r>
      <w:r w:rsidR="00FE27E3">
        <w:rPr>
          <w:rFonts w:eastAsia="Times New Roman" w:hint="cs"/>
          <w:rtl/>
          <w:lang w:eastAsia="en-US"/>
        </w:rPr>
        <w:t>(من 25 إلى 29 أكتوبر</w:t>
      </w:r>
      <w:r w:rsidR="006667A6" w:rsidRPr="009262BC">
        <w:rPr>
          <w:rFonts w:eastAsia="Times New Roman" w:hint="cs"/>
          <w:rtl/>
          <w:lang w:eastAsia="en-US"/>
        </w:rPr>
        <w:t xml:space="preserve"> 2010</w:t>
      </w:r>
      <w:r w:rsidR="00FE27E3">
        <w:rPr>
          <w:rFonts w:eastAsia="Times New Roman" w:hint="cs"/>
          <w:rtl/>
          <w:lang w:eastAsia="en-US"/>
        </w:rPr>
        <w:t>)</w:t>
      </w:r>
      <w:r w:rsidR="006667A6">
        <w:rPr>
          <w:rFonts w:eastAsia="Times New Roman" w:hint="cs"/>
          <w:rtl/>
          <w:lang w:eastAsia="en-US"/>
        </w:rPr>
        <w:t xml:space="preserve"> </w:t>
      </w:r>
      <w:r w:rsidRPr="009262BC">
        <w:rPr>
          <w:rFonts w:eastAsia="Times New Roman" w:hint="cs"/>
          <w:rtl/>
          <w:lang w:eastAsia="en-US"/>
        </w:rPr>
        <w:t>لإنجاز المهمة رقم</w:t>
      </w:r>
      <w:r w:rsidRPr="009262BC">
        <w:rPr>
          <w:rFonts w:eastAsia="Times New Roman"/>
          <w:lang w:eastAsia="en-US"/>
        </w:rPr>
        <w:t> </w:t>
      </w:r>
      <w:r w:rsidRPr="009262BC">
        <w:rPr>
          <w:rFonts w:eastAsia="Times New Roman" w:hint="cs"/>
          <w:rtl/>
          <w:lang w:eastAsia="en-US"/>
        </w:rPr>
        <w:t>44</w:t>
      </w:r>
      <w:r w:rsidR="00C642F2">
        <w:rPr>
          <w:rFonts w:eastAsia="Times New Roman" w:hint="cs"/>
          <w:rtl/>
          <w:lang w:eastAsia="en-US"/>
        </w:rPr>
        <w:t xml:space="preserve"> التي ركزت على </w:t>
      </w:r>
      <w:r w:rsidRPr="009262BC">
        <w:rPr>
          <w:rFonts w:eastAsia="Times New Roman" w:hint="cs"/>
          <w:rtl/>
          <w:lang w:eastAsia="en-US"/>
        </w:rPr>
        <w:t>صياغة توصية بشأن عرض قوائم تسلسل النوويدات والأحماض الأمينية باستخدام لغة الترميز الموسعة (</w:t>
      </w:r>
      <w:r w:rsidRPr="009262BC">
        <w:rPr>
          <w:rFonts w:eastAsia="Times New Roman"/>
          <w:lang w:eastAsia="en-US"/>
        </w:rPr>
        <w:t>XML</w:t>
      </w:r>
      <w:r w:rsidRPr="009262BC">
        <w:rPr>
          <w:rFonts w:eastAsia="Times New Roman" w:hint="cs"/>
          <w:rtl/>
          <w:lang w:eastAsia="en-US"/>
        </w:rPr>
        <w:t>) لاعتمادها معياراً للويبو.</w:t>
      </w:r>
      <w:r w:rsidRPr="009262BC">
        <w:rPr>
          <w:rFonts w:eastAsia="Times New Roman"/>
          <w:lang w:eastAsia="en-US"/>
        </w:rPr>
        <w:t xml:space="preserve"> </w:t>
      </w:r>
      <w:r w:rsidRPr="009262BC">
        <w:rPr>
          <w:rFonts w:eastAsia="Times New Roman" w:hint="cs"/>
          <w:rtl/>
          <w:lang w:eastAsia="en-US"/>
        </w:rPr>
        <w:t xml:space="preserve">وعُيّن المكتب الأوروبي للبراءات مشرفاً على فرقة العمل. وطُلب من فرقة العمل أيضاً التنسيق مع الهيئة المناسبة من هيئات معاهدة التعاون بشأن البراءات فيما يتعلق بالأثر المحتمل لذلك المعيار على المرفق جيم للتعليمات الإدارية الخاصة بتلك المعاهدة. (انظر(ي) الفقرة 29 من الوثيقة </w:t>
      </w:r>
      <w:r w:rsidRPr="009262BC">
        <w:rPr>
          <w:rFonts w:eastAsia="Times New Roman"/>
          <w:lang w:eastAsia="en-US"/>
        </w:rPr>
        <w:t>CWS/1/10</w:t>
      </w:r>
      <w:r w:rsidRPr="009262BC">
        <w:rPr>
          <w:rFonts w:eastAsia="Times New Roman" w:hint="cs"/>
          <w:rtl/>
          <w:lang w:eastAsia="en-US"/>
        </w:rPr>
        <w:t>).</w:t>
      </w:r>
      <w:r w:rsidR="006667A6">
        <w:rPr>
          <w:rFonts w:eastAsia="Times New Roman" w:hint="cs"/>
          <w:rtl/>
          <w:lang w:eastAsia="en-US"/>
        </w:rPr>
        <w:t xml:space="preserve"> </w:t>
      </w:r>
    </w:p>
    <w:p w14:paraId="16ED3947" w14:textId="77777777" w:rsidR="009262BC" w:rsidRPr="009262BC" w:rsidRDefault="009262BC" w:rsidP="009262BC">
      <w:pPr>
        <w:pStyle w:val="BodyText"/>
        <w:numPr>
          <w:ilvl w:val="0"/>
          <w:numId w:val="5"/>
        </w:numPr>
        <w:rPr>
          <w:rFonts w:eastAsia="Times New Roman"/>
          <w:rtl/>
          <w:lang w:eastAsia="en-US"/>
        </w:rPr>
      </w:pPr>
      <w:r w:rsidRPr="009262BC">
        <w:rPr>
          <w:rFonts w:eastAsia="Times New Roman" w:hint="cs"/>
          <w:rtl/>
          <w:lang w:eastAsia="en-US"/>
        </w:rPr>
        <w:t xml:space="preserve">واعتمدت لجنة المعايير معيار الويبو </w:t>
      </w:r>
      <w:r w:rsidRPr="009262BC">
        <w:rPr>
          <w:rFonts w:eastAsia="Times New Roman"/>
          <w:lang w:eastAsia="en-US"/>
        </w:rPr>
        <w:t>ST.26</w:t>
      </w:r>
      <w:r w:rsidRPr="009262BC">
        <w:rPr>
          <w:rFonts w:eastAsia="Times New Roman" w:hint="cs"/>
          <w:rtl/>
          <w:lang w:eastAsia="en-US"/>
        </w:rPr>
        <w:t xml:space="preserve"> في دورتها الرابعة المجتمعة مجدداً في عام 2016. وقامت في أكتوبر 2021، خلال الدورة الثالثة والخمسين لجمعية معاهدة التعاون بشأن البراءات، بإدخال تعديلات على اللائحة التنفيذية لمعاهدة البراءات من أجل تنفيذ معيار الويبو </w:t>
      </w:r>
      <w:r w:rsidRPr="009262BC">
        <w:rPr>
          <w:rFonts w:eastAsia="Times New Roman"/>
          <w:lang w:eastAsia="en-US"/>
        </w:rPr>
        <w:t>ST.26</w:t>
      </w:r>
      <w:r w:rsidRPr="009262BC">
        <w:rPr>
          <w:rFonts w:eastAsia="Times New Roman" w:hint="cs"/>
          <w:rtl/>
          <w:lang w:eastAsia="en-US"/>
        </w:rPr>
        <w:t xml:space="preserve"> في نظام تلك المعاهدة. ووافقت الجمعية العامة للويبو على تأجيل موعد دخول معيار الويبو </w:t>
      </w:r>
      <w:r w:rsidRPr="009262BC">
        <w:rPr>
          <w:rFonts w:eastAsia="Times New Roman"/>
          <w:lang w:eastAsia="en-US"/>
        </w:rPr>
        <w:t>ST.26</w:t>
      </w:r>
      <w:r w:rsidRPr="009262BC">
        <w:rPr>
          <w:rFonts w:eastAsia="Times New Roman" w:hint="cs"/>
          <w:rtl/>
          <w:lang w:eastAsia="en-US"/>
        </w:rPr>
        <w:t xml:space="preserve"> حيّز النفاذ إلى 1 يوليو 2022 على المستويات الوطنية والإقليمية والدولية (انظر(ي) الوثيقة </w:t>
      </w:r>
      <w:r w:rsidRPr="009262BC">
        <w:rPr>
          <w:rFonts w:eastAsia="Times New Roman"/>
          <w:lang w:eastAsia="en-US"/>
        </w:rPr>
        <w:t>WO/GA/54/14</w:t>
      </w:r>
      <w:r w:rsidRPr="009262BC">
        <w:rPr>
          <w:rFonts w:eastAsia="Times New Roman" w:hint="cs"/>
          <w:rtl/>
          <w:lang w:eastAsia="en-US"/>
        </w:rPr>
        <w:t xml:space="preserve">، والفقرات من 178 إلى 183 من الوثيقة </w:t>
      </w:r>
      <w:r w:rsidRPr="009262BC">
        <w:rPr>
          <w:rFonts w:eastAsia="Times New Roman"/>
          <w:lang w:eastAsia="en-US"/>
        </w:rPr>
        <w:t>WO/GA/54/15</w:t>
      </w:r>
      <w:r w:rsidRPr="009262BC">
        <w:rPr>
          <w:rFonts w:eastAsia="Times New Roman" w:hint="cs"/>
          <w:rtl/>
          <w:lang w:eastAsia="en-US"/>
        </w:rPr>
        <w:t>).</w:t>
      </w:r>
    </w:p>
    <w:p w14:paraId="25BB0BAC" w14:textId="77777777" w:rsidR="009262BC" w:rsidRPr="009262BC" w:rsidRDefault="009262BC" w:rsidP="009262BC">
      <w:pPr>
        <w:pStyle w:val="BodyText"/>
        <w:numPr>
          <w:ilvl w:val="0"/>
          <w:numId w:val="5"/>
        </w:numPr>
        <w:rPr>
          <w:rFonts w:eastAsia="Times New Roman"/>
          <w:rtl/>
          <w:lang w:eastAsia="en-US"/>
        </w:rPr>
      </w:pPr>
      <w:r w:rsidRPr="009262BC">
        <w:rPr>
          <w:rFonts w:eastAsia="Times New Roman" w:hint="cs"/>
          <w:rtl/>
          <w:lang w:eastAsia="en-US"/>
        </w:rPr>
        <w:t>وفي الدورة الحادية عشرة للجنة المعايير التي عُقدت في عام 2023، وافقت اللجنة على تنقيح وصف المهمة رقم 44، ليصبح نصها كالآتي:</w:t>
      </w:r>
    </w:p>
    <w:p w14:paraId="13BB85C7" w14:textId="77777777" w:rsidR="009262BC" w:rsidRPr="009262BC" w:rsidRDefault="009262BC" w:rsidP="004F34F8">
      <w:pPr>
        <w:pStyle w:val="BodyText"/>
        <w:ind w:left="566"/>
        <w:rPr>
          <w:rFonts w:eastAsia="Times New Roman"/>
          <w:rtl/>
          <w:lang w:eastAsia="en-US"/>
        </w:rPr>
      </w:pPr>
      <w:r w:rsidRPr="009262BC">
        <w:rPr>
          <w:rFonts w:eastAsia="Times New Roman" w:hint="cs"/>
          <w:rtl/>
          <w:lang w:eastAsia="en-US"/>
        </w:rPr>
        <w:t xml:space="preserve">"دعم المكتب الدولي عن طريق اختبار الإصدارات الجديدة، حسب الموارد المتاحة وتقديم تعليقات المستخدمين بشأن حزمة أداة الويبو للتسلسل؛ وإعداد المراجعات اللازمة لمعيار الويبو </w:t>
      </w:r>
      <w:r w:rsidRPr="009262BC">
        <w:rPr>
          <w:rFonts w:eastAsia="Times New Roman"/>
          <w:lang w:eastAsia="en-US"/>
        </w:rPr>
        <w:t>ST.26</w:t>
      </w:r>
      <w:r w:rsidRPr="009262BC">
        <w:rPr>
          <w:rFonts w:eastAsia="Times New Roman" w:hint="cs"/>
          <w:rtl/>
          <w:lang w:eastAsia="en-US"/>
        </w:rPr>
        <w:t>".</w:t>
      </w:r>
    </w:p>
    <w:p w14:paraId="1C07D0ED" w14:textId="0A6E68BA" w:rsidR="009262BC" w:rsidRPr="009262BC" w:rsidRDefault="009262BC" w:rsidP="009262BC">
      <w:pPr>
        <w:pStyle w:val="BodyText"/>
        <w:numPr>
          <w:ilvl w:val="0"/>
          <w:numId w:val="5"/>
        </w:numPr>
        <w:rPr>
          <w:rFonts w:eastAsia="Times New Roman"/>
          <w:rtl/>
          <w:lang w:eastAsia="en-US"/>
        </w:rPr>
      </w:pPr>
      <w:r w:rsidRPr="009262BC">
        <w:rPr>
          <w:rFonts w:eastAsia="Times New Roman" w:hint="cs"/>
          <w:rtl/>
          <w:lang w:eastAsia="en-US"/>
        </w:rPr>
        <w:t xml:space="preserve">ومنذ اعتماد المعيار في عام 2016، أُدخلت عليه تحديثات عديدة أسفرت عن الإصدارات 1.1 و1.2 و1.3 و1.4 و1.5 و1.6. وجرت مراجعة </w:t>
      </w:r>
      <w:r w:rsidR="004F34F8">
        <w:rPr>
          <w:rFonts w:eastAsia="Times New Roman" w:hint="cs"/>
          <w:rtl/>
          <w:lang w:eastAsia="en-US"/>
        </w:rPr>
        <w:t>ا</w:t>
      </w:r>
      <w:r w:rsidRPr="009262BC">
        <w:rPr>
          <w:rFonts w:eastAsia="Times New Roman" w:hint="cs"/>
          <w:rtl/>
          <w:lang w:eastAsia="en-US"/>
        </w:rPr>
        <w:t xml:space="preserve">لمعيار </w:t>
      </w:r>
      <w:r w:rsidR="004F34F8">
        <w:rPr>
          <w:rFonts w:eastAsia="Times New Roman" w:hint="cs"/>
          <w:rtl/>
          <w:lang w:eastAsia="en-US"/>
        </w:rPr>
        <w:t xml:space="preserve">أيضا </w:t>
      </w:r>
      <w:r w:rsidRPr="009262BC">
        <w:rPr>
          <w:rFonts w:eastAsia="Times New Roman" w:hint="cs"/>
          <w:rtl/>
          <w:lang w:eastAsia="en-US"/>
        </w:rPr>
        <w:t xml:space="preserve">خلال الدورة الحادية عشرة للجنة المعايير التي عُقدت في ديسمبر 2023، والتي اعتمدت فيها اللجنة الإصدار 1.7 </w:t>
      </w:r>
      <w:r w:rsidR="004F34F8">
        <w:rPr>
          <w:rFonts w:eastAsia="Times New Roman" w:hint="cs"/>
          <w:rtl/>
          <w:lang w:eastAsia="en-US"/>
        </w:rPr>
        <w:t xml:space="preserve">الذي يسري حاليا، </w:t>
      </w:r>
      <w:r w:rsidRPr="009262BC">
        <w:rPr>
          <w:rFonts w:eastAsia="Times New Roman" w:hint="cs"/>
          <w:rtl/>
          <w:lang w:eastAsia="en-US"/>
        </w:rPr>
        <w:t xml:space="preserve">مضيفةً أمثلة جديدة إلى المرفق السادس من معيار الويبو </w:t>
      </w:r>
      <w:r w:rsidRPr="009262BC">
        <w:rPr>
          <w:rFonts w:eastAsia="Times New Roman"/>
          <w:lang w:eastAsia="en-US"/>
        </w:rPr>
        <w:t>ST.26</w:t>
      </w:r>
      <w:r w:rsidRPr="009262BC">
        <w:rPr>
          <w:rFonts w:eastAsia="Times New Roman" w:hint="cs"/>
          <w:rtl/>
          <w:lang w:eastAsia="en-US"/>
        </w:rPr>
        <w:t xml:space="preserve"> وملحق المرفق السادس.</w:t>
      </w:r>
    </w:p>
    <w:p w14:paraId="72E6DF53" w14:textId="2C71166B" w:rsidR="009262BC" w:rsidRPr="009262BC" w:rsidRDefault="009262BC" w:rsidP="009262BC">
      <w:pPr>
        <w:pStyle w:val="BodyText"/>
        <w:numPr>
          <w:ilvl w:val="0"/>
          <w:numId w:val="5"/>
        </w:numPr>
        <w:rPr>
          <w:rFonts w:eastAsia="Times New Roman"/>
          <w:rtl/>
          <w:lang w:eastAsia="en-US"/>
        </w:rPr>
      </w:pPr>
      <w:r w:rsidRPr="009262BC">
        <w:rPr>
          <w:rFonts w:eastAsia="Times New Roman" w:hint="cs"/>
          <w:rtl/>
          <w:lang w:eastAsia="en-US"/>
        </w:rPr>
        <w:lastRenderedPageBreak/>
        <w:t xml:space="preserve">ومنذ الدورة الحادية عشرة للجنة المعايير، تركزت مناقشات فرقة العمل على </w:t>
      </w:r>
      <w:r w:rsidR="009221A1">
        <w:rPr>
          <w:rFonts w:eastAsia="Times New Roman" w:hint="cs"/>
          <w:rtl/>
          <w:lang w:eastAsia="en-US"/>
        </w:rPr>
        <w:t>الاقتراحين</w:t>
      </w:r>
      <w:r w:rsidRPr="009262BC">
        <w:rPr>
          <w:rFonts w:eastAsia="Times New Roman" w:hint="cs"/>
          <w:rtl/>
          <w:lang w:eastAsia="en-US"/>
        </w:rPr>
        <w:t xml:space="preserve"> الموضوعيين لمراجعة المعيار، بالإضافة إلى عدد من التحسينات والتصحيحات:</w:t>
      </w:r>
      <w:r w:rsidRPr="009262BC">
        <w:rPr>
          <w:rFonts w:eastAsia="Times New Roman"/>
          <w:lang w:eastAsia="en-US"/>
        </w:rPr>
        <w:t xml:space="preserve"> </w:t>
      </w:r>
    </w:p>
    <w:p w14:paraId="1E125B15" w14:textId="5D10ADF5" w:rsidR="009262BC" w:rsidRDefault="00300F5B" w:rsidP="004F34F8">
      <w:pPr>
        <w:pStyle w:val="BodyText"/>
        <w:numPr>
          <w:ilvl w:val="0"/>
          <w:numId w:val="30"/>
        </w:numPr>
        <w:ind w:left="1133" w:hanging="567"/>
        <w:rPr>
          <w:rFonts w:eastAsia="Times New Roman"/>
          <w:lang w:eastAsia="en-US"/>
        </w:rPr>
      </w:pPr>
      <w:r w:rsidRPr="00300F5B">
        <w:rPr>
          <w:rFonts w:eastAsia="Times New Roman"/>
          <w:rtl/>
          <w:lang w:eastAsia="en-US"/>
        </w:rPr>
        <w:t xml:space="preserve">اقتراح بوجوب تمثيل مجموعة فرعية من نظائر </w:t>
      </w:r>
      <w:r w:rsidR="003E2E15" w:rsidRPr="003E2E15">
        <w:rPr>
          <w:rFonts w:eastAsia="Times New Roman"/>
          <w:rtl/>
          <w:lang w:eastAsia="en-US"/>
        </w:rPr>
        <w:t xml:space="preserve">النوويدات </w:t>
      </w:r>
      <w:r w:rsidRPr="00300F5B">
        <w:rPr>
          <w:rFonts w:eastAsia="Times New Roman"/>
          <w:rtl/>
          <w:lang w:eastAsia="en-US"/>
        </w:rPr>
        <w:t>ونظائر الببتيدات برمز البقايا غير المعدلة المقابل لها</w:t>
      </w:r>
      <w:r w:rsidR="009262BC" w:rsidRPr="009262BC">
        <w:rPr>
          <w:rFonts w:eastAsia="Times New Roman" w:hint="cs"/>
          <w:rtl/>
          <w:lang w:eastAsia="en-US"/>
        </w:rPr>
        <w:t>؛</w:t>
      </w:r>
      <w:r w:rsidR="009262BC" w:rsidRPr="009262BC">
        <w:rPr>
          <w:rFonts w:eastAsia="Times New Roman"/>
          <w:lang w:eastAsia="en-US"/>
        </w:rPr>
        <w:t xml:space="preserve"> </w:t>
      </w:r>
    </w:p>
    <w:p w14:paraId="413CE5B5" w14:textId="437AC582" w:rsidR="009262BC" w:rsidRPr="004F34F8" w:rsidRDefault="00300F5B" w:rsidP="004F34F8">
      <w:pPr>
        <w:pStyle w:val="BodyText"/>
        <w:numPr>
          <w:ilvl w:val="0"/>
          <w:numId w:val="30"/>
        </w:numPr>
        <w:ind w:left="1133" w:hanging="567"/>
        <w:rPr>
          <w:rFonts w:eastAsia="Times New Roman"/>
          <w:rtl/>
          <w:lang w:eastAsia="en-US"/>
        </w:rPr>
      </w:pPr>
      <w:r w:rsidRPr="00300F5B">
        <w:rPr>
          <w:rFonts w:eastAsia="Times New Roman"/>
          <w:rtl/>
          <w:lang w:eastAsia="en-US"/>
        </w:rPr>
        <w:t xml:space="preserve">اقتراح برفع شرط الحد الأدنى لطول التسلسل والسماح بإدراج التسلسلات القصيرة، أي التسلسلات التي تقل عن عشرة </w:t>
      </w:r>
      <w:r w:rsidR="003E2E15" w:rsidRPr="003E2E15">
        <w:rPr>
          <w:rFonts w:eastAsia="Times New Roman"/>
          <w:rtl/>
          <w:lang w:eastAsia="en-US"/>
        </w:rPr>
        <w:t xml:space="preserve">نوويدات </w:t>
      </w:r>
      <w:r w:rsidRPr="00300F5B">
        <w:rPr>
          <w:rFonts w:eastAsia="Times New Roman"/>
          <w:rtl/>
          <w:lang w:eastAsia="en-US"/>
        </w:rPr>
        <w:t>محددة على وجه التعيين أو تقل عن أربعة أحماض أمينية محددة على وجه التعيين، ضمن قائمة التسلسلات</w:t>
      </w:r>
      <w:r w:rsidR="009262BC" w:rsidRPr="004F34F8">
        <w:rPr>
          <w:rFonts w:eastAsia="Times New Roman" w:hint="cs"/>
          <w:rtl/>
          <w:lang w:eastAsia="en-US"/>
        </w:rPr>
        <w:t>.</w:t>
      </w:r>
      <w:r w:rsidR="009262BC" w:rsidRPr="004F34F8">
        <w:rPr>
          <w:rFonts w:eastAsia="Times New Roman"/>
          <w:lang w:eastAsia="en-US"/>
        </w:rPr>
        <w:t xml:space="preserve"> </w:t>
      </w:r>
    </w:p>
    <w:p w14:paraId="5845299E" w14:textId="46F8B236" w:rsidR="009262BC" w:rsidRPr="009262BC" w:rsidRDefault="009262BC" w:rsidP="009262BC">
      <w:pPr>
        <w:pStyle w:val="BodyText"/>
        <w:numPr>
          <w:ilvl w:val="0"/>
          <w:numId w:val="5"/>
        </w:numPr>
        <w:rPr>
          <w:rFonts w:eastAsia="Times New Roman"/>
          <w:rtl/>
          <w:lang w:eastAsia="en-US"/>
        </w:rPr>
      </w:pPr>
      <w:r w:rsidRPr="009262BC">
        <w:rPr>
          <w:rFonts w:eastAsia="Times New Roman" w:hint="cs"/>
          <w:rtl/>
          <w:lang w:eastAsia="en-US"/>
        </w:rPr>
        <w:t>و</w:t>
      </w:r>
      <w:r w:rsidR="00BD7BFA" w:rsidRPr="00BD7BFA">
        <w:rPr>
          <w:rFonts w:eastAsia="Times New Roman"/>
          <w:rtl/>
          <w:lang w:eastAsia="en-US"/>
        </w:rPr>
        <w:t xml:space="preserve">لم يُقدَّم أي اقتراح لمراجعة المعيار </w:t>
      </w:r>
      <w:r w:rsidR="00BD7BFA" w:rsidRPr="00BD7BFA">
        <w:rPr>
          <w:rFonts w:eastAsia="Times New Roman"/>
          <w:lang w:eastAsia="en-US"/>
        </w:rPr>
        <w:t>WIPO ST.26</w:t>
      </w:r>
      <w:r w:rsidR="00BD7BFA" w:rsidRPr="00BD7BFA">
        <w:rPr>
          <w:rFonts w:eastAsia="Times New Roman"/>
          <w:rtl/>
          <w:lang w:eastAsia="en-US"/>
        </w:rPr>
        <w:t xml:space="preserve"> إلى لجنة </w:t>
      </w:r>
      <w:r w:rsidR="009221A1" w:rsidRPr="00BD7BFA">
        <w:rPr>
          <w:rFonts w:eastAsia="Times New Roman" w:hint="cs"/>
          <w:rtl/>
          <w:lang w:eastAsia="en-US"/>
        </w:rPr>
        <w:t>معايير في</w:t>
      </w:r>
      <w:r w:rsidR="00BD7BFA" w:rsidRPr="00BD7BFA">
        <w:rPr>
          <w:rFonts w:eastAsia="Times New Roman"/>
          <w:rtl/>
          <w:lang w:eastAsia="en-US"/>
        </w:rPr>
        <w:t xml:space="preserve"> دورتها الثانية عشرة في سبتمبر 2024، إذ ارتأت فرقة العمل ضرورة إجراء مزيد من المناقشات والمشاورات بشأن الاقتراحين.</w:t>
      </w:r>
    </w:p>
    <w:p w14:paraId="705A7C92" w14:textId="73B757AF" w:rsidR="009262BC" w:rsidRPr="00C416F8" w:rsidRDefault="009262BC" w:rsidP="009262BC">
      <w:pPr>
        <w:pStyle w:val="BodyText"/>
        <w:rPr>
          <w:rFonts w:eastAsia="Times New Roman"/>
          <w:bCs/>
          <w:i/>
          <w:rtl/>
          <w:lang w:eastAsia="en-US"/>
        </w:rPr>
      </w:pPr>
      <w:r w:rsidRPr="00C416F8">
        <w:rPr>
          <w:rFonts w:eastAsia="Times New Roman" w:hint="cs"/>
          <w:bCs/>
          <w:i/>
          <w:rtl/>
          <w:lang w:eastAsia="en-US"/>
        </w:rPr>
        <w:t>تقرير مرحلي</w:t>
      </w:r>
    </w:p>
    <w:p w14:paraId="5A69D5A3" w14:textId="590ED7A2" w:rsidR="009262BC" w:rsidRDefault="009262BC" w:rsidP="009262BC">
      <w:pPr>
        <w:pStyle w:val="BodyText"/>
        <w:numPr>
          <w:ilvl w:val="0"/>
          <w:numId w:val="5"/>
        </w:numPr>
        <w:rPr>
          <w:rFonts w:eastAsia="Times New Roman"/>
          <w:lang w:eastAsia="en-US"/>
        </w:rPr>
      </w:pPr>
      <w:r w:rsidRPr="009262BC">
        <w:rPr>
          <w:rFonts w:eastAsia="Times New Roman" w:hint="cs"/>
          <w:rtl/>
          <w:lang w:eastAsia="en-US"/>
        </w:rPr>
        <w:t xml:space="preserve">منذ الدورة الثانية عشرة للجنة معايير الويبو، اجتمع فريق العمل </w:t>
      </w:r>
      <w:r w:rsidR="00D26D35">
        <w:rPr>
          <w:rFonts w:eastAsia="Times New Roman" w:hint="cs"/>
          <w:rtl/>
          <w:lang w:eastAsia="en-US"/>
        </w:rPr>
        <w:t>خمس</w:t>
      </w:r>
      <w:r w:rsidRPr="009262BC">
        <w:rPr>
          <w:rFonts w:eastAsia="Times New Roman" w:hint="cs"/>
          <w:rtl/>
          <w:lang w:eastAsia="en-US"/>
        </w:rPr>
        <w:t xml:space="preserve"> مرات عبر الإنترنت لمناقشة </w:t>
      </w:r>
      <w:r w:rsidR="009221A1">
        <w:rPr>
          <w:rFonts w:eastAsia="Times New Roman" w:hint="cs"/>
          <w:rtl/>
          <w:lang w:eastAsia="en-US"/>
        </w:rPr>
        <w:t xml:space="preserve">الاقتراح </w:t>
      </w:r>
      <w:r w:rsidRPr="009262BC">
        <w:rPr>
          <w:rFonts w:eastAsia="Times New Roman" w:hint="cs"/>
          <w:rtl/>
          <w:lang w:eastAsia="en-US"/>
        </w:rPr>
        <w:t xml:space="preserve">ات المتعلقة بمراجعة معيار الويبو </w:t>
      </w:r>
      <w:r w:rsidRPr="009262BC">
        <w:rPr>
          <w:rFonts w:eastAsia="Times New Roman"/>
          <w:lang w:eastAsia="en-US"/>
        </w:rPr>
        <w:t>ST.26</w:t>
      </w:r>
      <w:r w:rsidRPr="009262BC">
        <w:rPr>
          <w:rFonts w:eastAsia="Times New Roman" w:hint="cs"/>
          <w:rtl/>
          <w:lang w:eastAsia="en-US"/>
        </w:rPr>
        <w:t xml:space="preserve"> والقضايا ذات الصلة، فضلاً عن التقدم المحرز في تطوير حزمة أداة الويبو للتسلسل</w:t>
      </w:r>
      <w:r w:rsidR="00E37EB5">
        <w:rPr>
          <w:rFonts w:eastAsia="Times New Roman" w:hint="cs"/>
          <w:rtl/>
          <w:lang w:eastAsia="en-US"/>
        </w:rPr>
        <w:t>، التي قدمت فرقة العمل الدعم لها.</w:t>
      </w:r>
    </w:p>
    <w:p w14:paraId="4BAAD73A" w14:textId="5450C6B9" w:rsidR="0047245B" w:rsidRPr="0047245B" w:rsidRDefault="0047245B" w:rsidP="0047245B">
      <w:pPr>
        <w:pStyle w:val="BodyText"/>
        <w:rPr>
          <w:rFonts w:eastAsia="Times New Roman"/>
          <w:sz w:val="24"/>
          <w:szCs w:val="24"/>
          <w:rtl/>
          <w:lang w:eastAsia="en-US"/>
        </w:rPr>
      </w:pPr>
      <w:r w:rsidRPr="0047245B">
        <w:rPr>
          <w:rFonts w:eastAsia="Times New Roman" w:hint="cs"/>
          <w:sz w:val="24"/>
          <w:szCs w:val="24"/>
          <w:rtl/>
          <w:lang w:eastAsia="en-US"/>
        </w:rPr>
        <w:t xml:space="preserve">مراجعة معيار الويبو </w:t>
      </w:r>
      <w:r w:rsidRPr="0047245B">
        <w:rPr>
          <w:rFonts w:eastAsia="Times New Roman"/>
          <w:sz w:val="24"/>
          <w:szCs w:val="24"/>
          <w:lang w:eastAsia="en-US"/>
        </w:rPr>
        <w:t>ST.26</w:t>
      </w:r>
    </w:p>
    <w:p w14:paraId="2935BDEF" w14:textId="5949CD38" w:rsidR="009262BC" w:rsidRPr="009262BC" w:rsidRDefault="009262BC" w:rsidP="009262BC">
      <w:pPr>
        <w:pStyle w:val="BodyText"/>
        <w:numPr>
          <w:ilvl w:val="0"/>
          <w:numId w:val="5"/>
        </w:numPr>
        <w:rPr>
          <w:rFonts w:eastAsia="Times New Roman"/>
          <w:rtl/>
          <w:lang w:eastAsia="en-US"/>
        </w:rPr>
      </w:pPr>
      <w:r w:rsidRPr="009262BC">
        <w:rPr>
          <w:rFonts w:eastAsia="Times New Roman" w:hint="cs"/>
          <w:rtl/>
          <w:lang w:eastAsia="en-US"/>
        </w:rPr>
        <w:t xml:space="preserve">ومن أجل الحصول على تعليقات المستخدمين بشأن </w:t>
      </w:r>
      <w:r w:rsidR="00554DF5">
        <w:rPr>
          <w:rFonts w:eastAsia="Times New Roman" w:hint="cs"/>
          <w:rtl/>
          <w:lang w:eastAsia="en-US"/>
        </w:rPr>
        <w:t xml:space="preserve">إلغاء </w:t>
      </w:r>
      <w:r w:rsidRPr="009262BC">
        <w:rPr>
          <w:rFonts w:eastAsia="Times New Roman" w:hint="cs"/>
          <w:rtl/>
          <w:lang w:eastAsia="en-US"/>
        </w:rPr>
        <w:t xml:space="preserve">شرط الحد الأدنى لطول التسلسل في المعيار </w:t>
      </w:r>
      <w:r w:rsidRPr="009262BC">
        <w:rPr>
          <w:rFonts w:eastAsia="Times New Roman"/>
          <w:lang w:eastAsia="en-US"/>
        </w:rPr>
        <w:t>ST.26</w:t>
      </w:r>
      <w:r w:rsidRPr="009262BC">
        <w:rPr>
          <w:rFonts w:eastAsia="Times New Roman" w:hint="cs"/>
          <w:rtl/>
          <w:lang w:eastAsia="en-US"/>
        </w:rPr>
        <w:t xml:space="preserve">، وما إذا كان </w:t>
      </w:r>
      <w:r w:rsidR="00554DF5">
        <w:rPr>
          <w:rFonts w:eastAsia="Times New Roman" w:hint="cs"/>
          <w:rtl/>
          <w:lang w:eastAsia="en-US"/>
        </w:rPr>
        <w:t>الاقتراح</w:t>
      </w:r>
      <w:r w:rsidRPr="009262BC">
        <w:rPr>
          <w:rFonts w:eastAsia="Times New Roman" w:hint="cs"/>
          <w:rtl/>
          <w:lang w:eastAsia="en-US"/>
        </w:rPr>
        <w:t xml:space="preserve"> الرامي إلى </w:t>
      </w:r>
      <w:r w:rsidR="00554DF5">
        <w:rPr>
          <w:rFonts w:eastAsia="Times New Roman" w:hint="cs"/>
          <w:rtl/>
          <w:lang w:eastAsia="en-US"/>
        </w:rPr>
        <w:t>إلغائه</w:t>
      </w:r>
      <w:r w:rsidRPr="009262BC">
        <w:rPr>
          <w:rFonts w:eastAsia="Times New Roman" w:hint="cs"/>
          <w:rtl/>
          <w:lang w:eastAsia="en-US"/>
        </w:rPr>
        <w:t xml:space="preserve"> سيحظى بالدعم، وافقت فرقة العمل على استبيان لاستقصاء رأي المستخدمين، يجريه المكتب الدولي. وفُتح باب المشاركة في الاستبيان الاستقصائي من 23 يناير حتى 31 مارس 2025. ومن ضمن الردود الواردة والتي بلغ عددها 1114 رداً (</w:t>
      </w:r>
      <w:r w:rsidRPr="009262BC">
        <w:rPr>
          <w:rFonts w:eastAsia="Times New Roman"/>
          <w:rtl/>
          <w:lang w:eastAsia="en-US"/>
        </w:rPr>
        <w:t>بينها ردود مكتملة وأخرى غير مكتملة</w:t>
      </w:r>
      <w:r w:rsidRPr="009262BC">
        <w:rPr>
          <w:rFonts w:eastAsia="Times New Roman" w:hint="cs"/>
          <w:rtl/>
          <w:lang w:eastAsia="en-US"/>
        </w:rPr>
        <w:t xml:space="preserve">)، أعربت نسبة 61 في المائة عن دعم المساعي الهادفة إلى </w:t>
      </w:r>
      <w:r w:rsidR="00554DF5">
        <w:rPr>
          <w:rFonts w:eastAsia="Times New Roman" w:hint="cs"/>
          <w:rtl/>
          <w:lang w:eastAsia="en-US"/>
        </w:rPr>
        <w:t>إلغاء</w:t>
      </w:r>
      <w:r w:rsidRPr="009262BC">
        <w:rPr>
          <w:rFonts w:eastAsia="Times New Roman" w:hint="cs"/>
          <w:rtl/>
          <w:lang w:eastAsia="en-US"/>
        </w:rPr>
        <w:t xml:space="preserve"> شرط الحد الأدنى لطول التسلسل.</w:t>
      </w:r>
      <w:r w:rsidRPr="009262BC">
        <w:rPr>
          <w:rFonts w:eastAsia="Times New Roman"/>
          <w:lang w:eastAsia="en-US"/>
        </w:rPr>
        <w:t xml:space="preserve"> </w:t>
      </w:r>
    </w:p>
    <w:p w14:paraId="0DC44CFF" w14:textId="4E969273" w:rsidR="009262BC" w:rsidRPr="009262BC" w:rsidRDefault="009262BC" w:rsidP="00554DF5">
      <w:pPr>
        <w:pStyle w:val="BodyText"/>
        <w:numPr>
          <w:ilvl w:val="0"/>
          <w:numId w:val="5"/>
        </w:numPr>
        <w:rPr>
          <w:rFonts w:eastAsia="Times New Roman"/>
          <w:rtl/>
          <w:lang w:eastAsia="en-US"/>
        </w:rPr>
      </w:pPr>
      <w:r w:rsidRPr="009262BC">
        <w:rPr>
          <w:rFonts w:eastAsia="Times New Roman" w:hint="cs"/>
          <w:rtl/>
          <w:lang w:eastAsia="en-US"/>
        </w:rPr>
        <w:t>وخلال الاجتماعات اللاحقة لفرقة العمل وعن طريق المناقشات التي أجريت على المنتدى الإلكتروني (المشار إليه فيما بعد باسم "الويكي")، قام أعضاء فرقة العمل بتحليل نتائج الاستبيان الاستقصائي والمزايا المتأتية من الاقتراح. وفي ظل الدعم الواسع النطاق من جانب المستخدمين، توصلت فرقة العمل إلى توافق في الآراء بشأن تقديم مقترح للجنة المعايير يتناول إزالة شرط الحد الأدنى من متطلبات الطول عبر السماح بإدراج التسلسلات القصيرة</w:t>
      </w:r>
      <w:r w:rsidR="00554DF5">
        <w:rPr>
          <w:rFonts w:eastAsia="Times New Roman" w:hint="cs"/>
          <w:rtl/>
          <w:lang w:eastAsia="en-US"/>
        </w:rPr>
        <w:t>.</w:t>
      </w:r>
      <w:r w:rsidRPr="009262BC">
        <w:rPr>
          <w:rFonts w:eastAsia="Times New Roman" w:hint="cs"/>
          <w:rtl/>
          <w:lang w:eastAsia="en-US"/>
        </w:rPr>
        <w:t xml:space="preserve"> </w:t>
      </w:r>
    </w:p>
    <w:p w14:paraId="3ECA9DF1" w14:textId="380E8980" w:rsidR="009262BC" w:rsidRPr="009262BC" w:rsidRDefault="00B8410A" w:rsidP="009221A1">
      <w:pPr>
        <w:pStyle w:val="BodyText"/>
        <w:numPr>
          <w:ilvl w:val="0"/>
          <w:numId w:val="5"/>
        </w:numPr>
        <w:rPr>
          <w:rFonts w:eastAsia="Times New Roman"/>
          <w:rtl/>
          <w:lang w:eastAsia="en-US"/>
        </w:rPr>
      </w:pPr>
      <w:r w:rsidRPr="009262BC">
        <w:rPr>
          <w:rFonts w:eastAsia="Times New Roman" w:hint="cs"/>
          <w:rtl/>
          <w:lang w:eastAsia="en-US"/>
        </w:rPr>
        <w:t xml:space="preserve">وبالإضافة إلى ذلك، ناقشت فرقة العمل، خلال اجتماعاتها على الويكي، وفي إطار مناقشات جماعية صغيرة بين أعضاء فرقة العمل الذين عبروا عن موقفهم، مقترحاً لاشتراط تمثيل مجموعة فرعية من نظائر نوويدات ونظائر الببتيد. </w:t>
      </w:r>
      <w:r w:rsidR="009262BC" w:rsidRPr="009262BC">
        <w:rPr>
          <w:rFonts w:eastAsia="Times New Roman" w:hint="cs"/>
          <w:rtl/>
          <w:lang w:eastAsia="en-US"/>
        </w:rPr>
        <w:t xml:space="preserve">وبعد مناقشات موسعة، توصلت فرقة العمل في نهاية المطاف إلى توافق في الآراء بشأن تضمين </w:t>
      </w:r>
      <w:r w:rsidR="009221A1">
        <w:rPr>
          <w:rFonts w:eastAsia="Times New Roman" w:hint="cs"/>
          <w:rtl/>
          <w:lang w:eastAsia="en-US"/>
        </w:rPr>
        <w:t xml:space="preserve">الاقتراح </w:t>
      </w:r>
      <w:r w:rsidR="009221A1" w:rsidRPr="009262BC">
        <w:rPr>
          <w:rFonts w:eastAsia="Times New Roman" w:hint="cs"/>
          <w:rtl/>
          <w:lang w:eastAsia="en-US"/>
        </w:rPr>
        <w:t>الموضوعي</w:t>
      </w:r>
      <w:r w:rsidR="009262BC" w:rsidRPr="009262BC">
        <w:rPr>
          <w:rFonts w:eastAsia="Times New Roman" w:hint="cs"/>
          <w:rtl/>
          <w:lang w:eastAsia="en-US"/>
        </w:rPr>
        <w:t xml:space="preserve"> في مسودة المعيار المنقحة</w:t>
      </w:r>
      <w:r w:rsidR="009221A1">
        <w:rPr>
          <w:rFonts w:eastAsia="Times New Roman" w:hint="cs"/>
          <w:rtl/>
          <w:lang w:eastAsia="en-US"/>
        </w:rPr>
        <w:t>.</w:t>
      </w:r>
    </w:p>
    <w:p w14:paraId="43F5CBE0" w14:textId="2300600B" w:rsidR="009262BC" w:rsidRDefault="00995410" w:rsidP="009262BC">
      <w:pPr>
        <w:pStyle w:val="BodyText"/>
        <w:numPr>
          <w:ilvl w:val="0"/>
          <w:numId w:val="5"/>
        </w:numPr>
        <w:rPr>
          <w:rFonts w:eastAsia="Times New Roman"/>
          <w:lang w:eastAsia="en-US"/>
        </w:rPr>
      </w:pPr>
      <w:r w:rsidRPr="00995410">
        <w:rPr>
          <w:rFonts w:eastAsia="Times New Roman"/>
          <w:rtl/>
          <w:lang w:eastAsia="en-US"/>
        </w:rPr>
        <w:t xml:space="preserve">وبناءً على ذلك، وافقت فرقة العمل على تقديم مقترح لمراجعة معيار الويبو </w:t>
      </w:r>
      <w:r w:rsidRPr="00995410">
        <w:rPr>
          <w:rFonts w:eastAsia="Times New Roman"/>
          <w:lang w:eastAsia="en-US"/>
        </w:rPr>
        <w:t>ST.26</w:t>
      </w:r>
      <w:r w:rsidRPr="00995410">
        <w:rPr>
          <w:rFonts w:eastAsia="Times New Roman"/>
          <w:rtl/>
          <w:lang w:eastAsia="en-US"/>
        </w:rPr>
        <w:t xml:space="preserve"> في شكل الإصدار 2.0 (انظر الفقرة 5 وملحق الوثيقة </w:t>
      </w:r>
      <w:r w:rsidRPr="00995410">
        <w:rPr>
          <w:rFonts w:eastAsia="Times New Roman"/>
          <w:lang w:eastAsia="en-US"/>
        </w:rPr>
        <w:t>CWS/13/16 Rev</w:t>
      </w:r>
      <w:r w:rsidRPr="00995410">
        <w:rPr>
          <w:rFonts w:eastAsia="Times New Roman"/>
          <w:rtl/>
          <w:lang w:eastAsia="en-US"/>
        </w:rPr>
        <w:t>.) إلى الدورة الثالثة عشرة للجنة معايير الويبو في نوفمبر 2025 للموافقة عليه، ويتضمن ما يلي</w:t>
      </w:r>
      <w:r w:rsidR="009262BC" w:rsidRPr="009262BC">
        <w:rPr>
          <w:rFonts w:eastAsia="Times New Roman" w:hint="cs"/>
          <w:rtl/>
          <w:lang w:eastAsia="en-US"/>
        </w:rPr>
        <w:t>:</w:t>
      </w:r>
    </w:p>
    <w:p w14:paraId="29F7791C" w14:textId="77777777" w:rsidR="00507A1E" w:rsidRPr="009262BC" w:rsidRDefault="00507A1E" w:rsidP="00507A1E">
      <w:pPr>
        <w:pStyle w:val="ONUME"/>
        <w:numPr>
          <w:ilvl w:val="0"/>
          <w:numId w:val="37"/>
        </w:numPr>
        <w:ind w:left="991" w:hanging="425"/>
        <w:rPr>
          <w:rtl/>
          <w:lang w:eastAsia="en-US"/>
        </w:rPr>
      </w:pPr>
      <w:r w:rsidRPr="009262BC">
        <w:rPr>
          <w:rFonts w:hint="cs"/>
          <w:rtl/>
          <w:lang w:eastAsia="en-US"/>
        </w:rPr>
        <w:t>تعديلات بشأن اشتراط تمثيل مجموعة فرعية من نظائر ال</w:t>
      </w:r>
      <w:r w:rsidRPr="009262BC">
        <w:rPr>
          <w:rtl/>
          <w:lang w:eastAsia="en-US"/>
        </w:rPr>
        <w:t>نوويدات</w:t>
      </w:r>
      <w:r w:rsidRPr="009262BC">
        <w:rPr>
          <w:rFonts w:hint="cs"/>
          <w:rtl/>
          <w:lang w:eastAsia="en-US"/>
        </w:rPr>
        <w:t xml:space="preserve"> ونظائر الببتيد بالرمز المقابل للبقايا غير المعدلة؛</w:t>
      </w:r>
      <w:r w:rsidRPr="009262BC">
        <w:rPr>
          <w:lang w:eastAsia="en-US"/>
        </w:rPr>
        <w:t xml:space="preserve"> </w:t>
      </w:r>
    </w:p>
    <w:p w14:paraId="15EDF1F4" w14:textId="14F021C1" w:rsidR="00507A1E" w:rsidRPr="009262BC" w:rsidRDefault="00507A1E" w:rsidP="00507A1E">
      <w:pPr>
        <w:pStyle w:val="ONUME"/>
        <w:numPr>
          <w:ilvl w:val="0"/>
          <w:numId w:val="37"/>
        </w:numPr>
        <w:ind w:left="991" w:hanging="425"/>
        <w:rPr>
          <w:rtl/>
          <w:lang w:eastAsia="en-US"/>
        </w:rPr>
      </w:pPr>
      <w:r w:rsidRPr="009262BC">
        <w:rPr>
          <w:rFonts w:hint="cs"/>
          <w:rtl/>
          <w:lang w:eastAsia="en-US"/>
        </w:rPr>
        <w:t>تعديلات بشأن إزالة شرط الحد الأدنى لطول التسلسل؛</w:t>
      </w:r>
    </w:p>
    <w:p w14:paraId="62F76718" w14:textId="5B4B9F6F" w:rsidR="00507A1E" w:rsidRPr="00507A1E" w:rsidRDefault="00507A1E" w:rsidP="00507A1E">
      <w:pPr>
        <w:pStyle w:val="ONUME"/>
        <w:numPr>
          <w:ilvl w:val="0"/>
          <w:numId w:val="37"/>
        </w:numPr>
        <w:ind w:left="991" w:hanging="425"/>
        <w:rPr>
          <w:lang w:eastAsia="en-US"/>
        </w:rPr>
      </w:pPr>
      <w:r w:rsidRPr="009262BC">
        <w:rPr>
          <w:rFonts w:hint="cs"/>
          <w:rtl/>
          <w:lang w:eastAsia="en-US"/>
        </w:rPr>
        <w:t>تحسينات وتصحيحات</w:t>
      </w:r>
      <w:r w:rsidRPr="00434E3B">
        <w:rPr>
          <w:rtl/>
        </w:rPr>
        <w:t xml:space="preserve"> </w:t>
      </w:r>
      <w:r w:rsidRPr="00434E3B">
        <w:rPr>
          <w:rtl/>
          <w:lang w:eastAsia="en-US"/>
        </w:rPr>
        <w:t>للنص الموجود في الإصدار 1.7.</w:t>
      </w:r>
    </w:p>
    <w:p w14:paraId="21300368" w14:textId="77777777" w:rsidR="00507A1E" w:rsidRPr="00507A1E" w:rsidRDefault="00507A1E" w:rsidP="00507A1E">
      <w:pPr>
        <w:pStyle w:val="ONUME"/>
        <w:numPr>
          <w:ilvl w:val="0"/>
          <w:numId w:val="0"/>
        </w:numPr>
        <w:rPr>
          <w:rFonts w:eastAsia="Times New Roman"/>
          <w:sz w:val="24"/>
          <w:szCs w:val="24"/>
          <w:rtl/>
          <w:lang w:eastAsia="en-US"/>
        </w:rPr>
      </w:pPr>
      <w:r w:rsidRPr="00507A1E">
        <w:rPr>
          <w:rFonts w:eastAsia="Times New Roman"/>
          <w:sz w:val="24"/>
          <w:szCs w:val="24"/>
          <w:rtl/>
          <w:lang w:eastAsia="en-US"/>
        </w:rPr>
        <w:t>خطة التنفيذ</w:t>
      </w:r>
    </w:p>
    <w:p w14:paraId="49FF72B0" w14:textId="5BA370E3" w:rsidR="00507A1E" w:rsidRPr="00507A1E" w:rsidRDefault="00507A1E" w:rsidP="00507A1E">
      <w:pPr>
        <w:pStyle w:val="ONUME"/>
        <w:rPr>
          <w:rFonts w:eastAsia="Times New Roman"/>
          <w:rtl/>
          <w:lang w:eastAsia="en-US"/>
        </w:rPr>
      </w:pPr>
      <w:r w:rsidRPr="00507A1E">
        <w:rPr>
          <w:rFonts w:eastAsia="Times New Roman"/>
          <w:rtl/>
          <w:lang w:eastAsia="en-US"/>
        </w:rPr>
        <w:t xml:space="preserve">فيما يتعلق بطريقة التنفيذ، ونظرًا لاختلاف الآثار المترتبة على الاقتراحين الجوهريين لمراجعة المعيار، أوصت فرقة العمل بما يلي (انظر الفقرة 9 من الوثيقة </w:t>
      </w:r>
      <w:r w:rsidRPr="00507A1E">
        <w:rPr>
          <w:rFonts w:eastAsia="Times New Roman"/>
          <w:lang w:eastAsia="en-US"/>
        </w:rPr>
        <w:t>CWS/13/16 Rev</w:t>
      </w:r>
      <w:r w:rsidRPr="00507A1E">
        <w:rPr>
          <w:rFonts w:eastAsia="Times New Roman"/>
          <w:rtl/>
          <w:lang w:eastAsia="en-US"/>
        </w:rPr>
        <w:t>.):</w:t>
      </w:r>
    </w:p>
    <w:p w14:paraId="67DFB5D5" w14:textId="4632CE52" w:rsidR="00507A1E" w:rsidRPr="00507A1E" w:rsidRDefault="00507A1E" w:rsidP="00507A1E">
      <w:pPr>
        <w:pStyle w:val="ONUME"/>
        <w:numPr>
          <w:ilvl w:val="0"/>
          <w:numId w:val="0"/>
        </w:numPr>
        <w:ind w:left="566"/>
        <w:rPr>
          <w:rFonts w:eastAsia="Times New Roman"/>
          <w:rtl/>
          <w:lang w:eastAsia="en-US"/>
        </w:rPr>
      </w:pPr>
      <w:r w:rsidRPr="00507A1E">
        <w:rPr>
          <w:rFonts w:eastAsia="Times New Roman"/>
          <w:rtl/>
          <w:lang w:eastAsia="en-US"/>
        </w:rPr>
        <w:t xml:space="preserve">(أ) فيما يخص </w:t>
      </w:r>
      <w:r w:rsidR="00D84449">
        <w:rPr>
          <w:rFonts w:eastAsia="Times New Roman" w:hint="cs"/>
          <w:rtl/>
          <w:lang w:eastAsia="en-US"/>
        </w:rPr>
        <w:t>إلغاء</w:t>
      </w:r>
      <w:r w:rsidRPr="00507A1E">
        <w:rPr>
          <w:rFonts w:eastAsia="Times New Roman"/>
          <w:rtl/>
          <w:lang w:eastAsia="en-US"/>
        </w:rPr>
        <w:t xml:space="preserve"> شرط الحد الأدنى للطول، وبالنظر إلى أن هذا التعديل سيتيح للمودعين خيارًا فحسب، ومع مراعاة تجنب الحاجة إلى وجود نسختين متوازيتين من مجموعة أدوات </w:t>
      </w:r>
      <w:r w:rsidR="00D84449">
        <w:rPr>
          <w:rFonts w:eastAsia="Times New Roman" w:hint="cs"/>
          <w:rtl/>
          <w:lang w:eastAsia="en-US"/>
        </w:rPr>
        <w:t>تسلسل الويبو</w:t>
      </w:r>
      <w:r w:rsidRPr="00507A1E">
        <w:rPr>
          <w:rFonts w:eastAsia="Times New Roman"/>
          <w:rtl/>
          <w:lang w:eastAsia="en-US"/>
        </w:rPr>
        <w:t xml:space="preserve"> لإنشاء قوائم التسلسلات والتحقق منها، أو حتى وجود أداتين مختلفتين في آن واحد، ينبغي أن يسري هذا التغيير اعتبارًا من تاريخ دخول النسخة الجديدة من معيار </w:t>
      </w:r>
      <w:r w:rsidR="00BE2166">
        <w:rPr>
          <w:rFonts w:eastAsia="Times New Roman" w:hint="cs"/>
          <w:rtl/>
          <w:lang w:eastAsia="en-US"/>
        </w:rPr>
        <w:t xml:space="preserve">الويبو </w:t>
      </w:r>
      <w:r w:rsidRPr="00507A1E">
        <w:rPr>
          <w:rFonts w:eastAsia="Times New Roman"/>
          <w:lang w:eastAsia="en-US"/>
        </w:rPr>
        <w:t xml:space="preserve"> ST.26</w:t>
      </w:r>
      <w:r w:rsidRPr="00507A1E">
        <w:rPr>
          <w:rFonts w:eastAsia="Times New Roman"/>
          <w:rtl/>
          <w:lang w:eastAsia="en-US"/>
        </w:rPr>
        <w:t xml:space="preserve"> حيز النفاذ، بغض النظر عن تاريخ إيداع طلب البراءة المعني.</w:t>
      </w:r>
    </w:p>
    <w:p w14:paraId="7770E918" w14:textId="123A10B3" w:rsidR="00507A1E" w:rsidRDefault="00507A1E" w:rsidP="00507A1E">
      <w:pPr>
        <w:pStyle w:val="ONUME"/>
        <w:numPr>
          <w:ilvl w:val="0"/>
          <w:numId w:val="0"/>
        </w:numPr>
        <w:ind w:left="566"/>
        <w:rPr>
          <w:rFonts w:eastAsia="Times New Roman"/>
          <w:lang w:eastAsia="en-US"/>
        </w:rPr>
      </w:pPr>
      <w:r w:rsidRPr="00507A1E">
        <w:rPr>
          <w:rFonts w:eastAsia="Times New Roman"/>
          <w:rtl/>
          <w:lang w:eastAsia="en-US"/>
        </w:rPr>
        <w:lastRenderedPageBreak/>
        <w:t xml:space="preserve">(ب) فيما يخص الإدراج الإلزامي لمجموعات فرعية من نظائر </w:t>
      </w:r>
      <w:r w:rsidR="00411ED8">
        <w:rPr>
          <w:rFonts w:eastAsia="Times New Roman" w:hint="cs"/>
          <w:rtl/>
          <w:lang w:eastAsia="en-US"/>
        </w:rPr>
        <w:t>ال</w:t>
      </w:r>
      <w:r w:rsidR="00411ED8" w:rsidRPr="009262BC">
        <w:rPr>
          <w:rFonts w:eastAsia="Times New Roman" w:hint="cs"/>
          <w:rtl/>
          <w:lang w:eastAsia="en-US"/>
        </w:rPr>
        <w:t xml:space="preserve">نوويدات </w:t>
      </w:r>
      <w:r w:rsidRPr="00507A1E">
        <w:rPr>
          <w:rFonts w:eastAsia="Times New Roman"/>
          <w:rtl/>
          <w:lang w:eastAsia="en-US"/>
        </w:rPr>
        <w:t xml:space="preserve">ونظائر الببتيدات والتوضيحات ذات الطابع الإلزامي، وبالنظر إلى أن ذلك سيتطلب من المودعين إدراج تسلسلات إضافية في قائمة التسلسلات، ينبغي أن يسري هذا التغيير على قوائم التسلسلات المودعة لطلب براءة بتاريخ إيداع – وليس بتاريخ أولوية – يوافق أو يلي تاريخ دخول النسخة الجديدة من </w:t>
      </w:r>
      <w:r w:rsidR="00961621" w:rsidRPr="00507A1E">
        <w:rPr>
          <w:rFonts w:eastAsia="Times New Roman" w:hint="cs"/>
          <w:rtl/>
          <w:lang w:eastAsia="en-US"/>
        </w:rPr>
        <w:t xml:space="preserve">معيار </w:t>
      </w:r>
      <w:r w:rsidR="00961621">
        <w:rPr>
          <w:rFonts w:eastAsia="Times New Roman" w:hint="cs"/>
          <w:rtl/>
          <w:lang w:eastAsia="en-US"/>
        </w:rPr>
        <w:t>الويبو</w:t>
      </w:r>
      <w:r w:rsidR="00411ED8">
        <w:rPr>
          <w:rFonts w:eastAsia="Times New Roman" w:hint="cs"/>
          <w:rtl/>
          <w:lang w:eastAsia="en-US"/>
        </w:rPr>
        <w:t xml:space="preserve">  </w:t>
      </w:r>
      <w:r w:rsidRPr="00507A1E">
        <w:rPr>
          <w:rFonts w:eastAsia="Times New Roman"/>
          <w:lang w:eastAsia="en-US"/>
        </w:rPr>
        <w:t xml:space="preserve"> ST.26</w:t>
      </w:r>
      <w:r w:rsidRPr="00507A1E">
        <w:rPr>
          <w:rFonts w:eastAsia="Times New Roman"/>
          <w:rtl/>
          <w:lang w:eastAsia="en-US"/>
        </w:rPr>
        <w:t xml:space="preserve"> حيز النفاذ. وسيتيح ذلك أن يستند الانتقال إلى تاريخ الإيداع فقط، مع تجاهل تواريخ الأولوية وحالة الطلب باعتباره استمرارًا أو استمرارًا جزئيًا أو تقسيميًا.</w:t>
      </w:r>
    </w:p>
    <w:p w14:paraId="673BE13D" w14:textId="45EE09C4" w:rsidR="00507A1E" w:rsidRPr="00507A1E" w:rsidRDefault="00961621" w:rsidP="00507A1E">
      <w:pPr>
        <w:pStyle w:val="ONUME"/>
        <w:rPr>
          <w:rFonts w:eastAsia="Times New Roman"/>
          <w:rtl/>
          <w:lang w:eastAsia="en-US"/>
        </w:rPr>
      </w:pPr>
      <w:r>
        <w:rPr>
          <w:rFonts w:eastAsia="Times New Roman" w:hint="cs"/>
          <w:rtl/>
          <w:lang w:eastAsia="en-US"/>
        </w:rPr>
        <w:t>و</w:t>
      </w:r>
      <w:r w:rsidR="00507A1E" w:rsidRPr="00507A1E">
        <w:rPr>
          <w:rFonts w:eastAsia="Times New Roman"/>
          <w:rtl/>
          <w:lang w:eastAsia="en-US"/>
        </w:rPr>
        <w:t xml:space="preserve">حرصًا على إتاحة الوقت الكافي للمودعين والمكاتب للتحضير، والسماح بإجراء أي تحديثات لازمة على الإطار القانوني في الوقت المناسب، وضمان تحديث أدوات البرمجيات ذات الصلة لإنشاء قوائم التسلسلات والتحقق منها (مجموعة أدوات </w:t>
      </w:r>
      <w:r w:rsidR="00DC1EEE">
        <w:rPr>
          <w:rFonts w:eastAsia="Times New Roman" w:hint="cs"/>
          <w:rtl/>
          <w:lang w:eastAsia="en-US"/>
        </w:rPr>
        <w:t>قوائم</w:t>
      </w:r>
      <w:r w:rsidR="00DC1EEE" w:rsidRPr="00507A1E">
        <w:rPr>
          <w:rFonts w:eastAsia="Times New Roman"/>
          <w:rtl/>
          <w:lang w:eastAsia="en-US"/>
        </w:rPr>
        <w:t xml:space="preserve"> </w:t>
      </w:r>
      <w:r w:rsidRPr="00961621">
        <w:rPr>
          <w:rFonts w:eastAsia="Times New Roman"/>
          <w:rtl/>
          <w:lang w:eastAsia="en-US"/>
        </w:rPr>
        <w:t>تسلسل الويبو</w:t>
      </w:r>
      <w:r w:rsidR="00507A1E" w:rsidRPr="00507A1E">
        <w:rPr>
          <w:rFonts w:eastAsia="Times New Roman"/>
          <w:rtl/>
          <w:lang w:eastAsia="en-US"/>
        </w:rPr>
        <w:t xml:space="preserve">) في حينه، أوصت فرقة العمل بأن يكون تاريخ دخول النسخة الجديدة من </w:t>
      </w:r>
      <w:r w:rsidR="00866B3C" w:rsidRPr="00507A1E">
        <w:rPr>
          <w:rFonts w:eastAsia="Times New Roman" w:hint="cs"/>
          <w:rtl/>
          <w:lang w:eastAsia="en-US"/>
        </w:rPr>
        <w:t xml:space="preserve">معيار </w:t>
      </w:r>
      <w:r w:rsidR="00866B3C">
        <w:rPr>
          <w:rFonts w:eastAsia="Times New Roman" w:hint="cs"/>
          <w:rtl/>
          <w:lang w:eastAsia="en-US"/>
        </w:rPr>
        <w:t>الويبو</w:t>
      </w:r>
      <w:r w:rsidR="000E286F">
        <w:rPr>
          <w:rFonts w:eastAsia="Times New Roman" w:hint="cs"/>
          <w:rtl/>
          <w:lang w:eastAsia="en-US"/>
        </w:rPr>
        <w:t xml:space="preserve">  </w:t>
      </w:r>
      <w:r w:rsidR="00507A1E" w:rsidRPr="00507A1E">
        <w:rPr>
          <w:rFonts w:eastAsia="Times New Roman"/>
          <w:lang w:eastAsia="en-US"/>
        </w:rPr>
        <w:t xml:space="preserve"> ST.26</w:t>
      </w:r>
      <w:r w:rsidR="00507A1E" w:rsidRPr="00507A1E">
        <w:rPr>
          <w:rFonts w:eastAsia="Times New Roman"/>
          <w:rtl/>
          <w:lang w:eastAsia="en-US"/>
        </w:rPr>
        <w:t xml:space="preserve"> حيز النفاذ هو 1 يوليو 2027.</w:t>
      </w:r>
    </w:p>
    <w:p w14:paraId="7F3CC9AE" w14:textId="77777777" w:rsidR="00507A1E" w:rsidRPr="00507A1E" w:rsidRDefault="00507A1E" w:rsidP="00507A1E">
      <w:pPr>
        <w:pStyle w:val="ONUME"/>
        <w:numPr>
          <w:ilvl w:val="0"/>
          <w:numId w:val="0"/>
        </w:numPr>
        <w:rPr>
          <w:rFonts w:eastAsia="Times New Roman"/>
          <w:sz w:val="24"/>
          <w:szCs w:val="24"/>
          <w:rtl/>
          <w:lang w:eastAsia="en-US"/>
        </w:rPr>
      </w:pPr>
      <w:r w:rsidRPr="00507A1E">
        <w:rPr>
          <w:rFonts w:eastAsia="Times New Roman"/>
          <w:sz w:val="24"/>
          <w:szCs w:val="24"/>
          <w:rtl/>
          <w:lang w:eastAsia="en-US"/>
        </w:rPr>
        <w:t>اعتماد النسخة الجديدة من المعيار والخطوات التالية</w:t>
      </w:r>
    </w:p>
    <w:p w14:paraId="5A122753" w14:textId="2A256CEC" w:rsidR="00507A1E" w:rsidRPr="00507A1E" w:rsidRDefault="00507A1E" w:rsidP="00507A1E">
      <w:pPr>
        <w:pStyle w:val="ONUME"/>
        <w:rPr>
          <w:rFonts w:eastAsia="Times New Roman"/>
          <w:rtl/>
          <w:lang w:eastAsia="en-US"/>
        </w:rPr>
      </w:pPr>
      <w:r w:rsidRPr="00507A1E">
        <w:rPr>
          <w:rFonts w:eastAsia="Times New Roman"/>
          <w:rtl/>
          <w:lang w:eastAsia="en-US"/>
        </w:rPr>
        <w:t xml:space="preserve">في دورتها الثالثة عشرة في نوفمبر 2025، وافقت لجنة </w:t>
      </w:r>
      <w:r w:rsidR="00475AF8">
        <w:rPr>
          <w:rFonts w:eastAsia="Times New Roman" w:hint="cs"/>
          <w:rtl/>
          <w:lang w:eastAsia="en-US"/>
        </w:rPr>
        <w:t>ال</w:t>
      </w:r>
      <w:r w:rsidR="00475AF8" w:rsidRPr="00507A1E">
        <w:rPr>
          <w:rFonts w:eastAsia="Times New Roman" w:hint="cs"/>
          <w:rtl/>
          <w:lang w:eastAsia="en-US"/>
        </w:rPr>
        <w:t>معايير على</w:t>
      </w:r>
      <w:r w:rsidRPr="00507A1E">
        <w:rPr>
          <w:rFonts w:eastAsia="Times New Roman"/>
          <w:rtl/>
          <w:lang w:eastAsia="en-US"/>
        </w:rPr>
        <w:t xml:space="preserve"> المراجعة المقترحة </w:t>
      </w:r>
      <w:r w:rsidR="00475AF8" w:rsidRPr="00507A1E">
        <w:rPr>
          <w:rFonts w:eastAsia="Times New Roman" w:hint="cs"/>
          <w:rtl/>
          <w:lang w:eastAsia="en-US"/>
        </w:rPr>
        <w:t xml:space="preserve">لمعيار </w:t>
      </w:r>
      <w:r w:rsidR="00475AF8">
        <w:rPr>
          <w:rFonts w:eastAsia="Times New Roman" w:hint="cs"/>
          <w:rtl/>
          <w:lang w:eastAsia="en-US"/>
        </w:rPr>
        <w:t>الويبو</w:t>
      </w:r>
      <w:r w:rsidR="00E11467">
        <w:rPr>
          <w:rFonts w:eastAsia="Times New Roman" w:hint="cs"/>
          <w:rtl/>
          <w:lang w:eastAsia="en-US"/>
        </w:rPr>
        <w:t xml:space="preserve">  </w:t>
      </w:r>
      <w:r w:rsidRPr="00507A1E">
        <w:rPr>
          <w:rFonts w:eastAsia="Times New Roman"/>
          <w:lang w:eastAsia="en-US"/>
        </w:rPr>
        <w:t xml:space="preserve"> ST.26</w:t>
      </w:r>
      <w:r w:rsidR="00E11467">
        <w:rPr>
          <w:rFonts w:eastAsia="Times New Roman" w:hint="cs"/>
          <w:rtl/>
          <w:lang w:eastAsia="en-US"/>
        </w:rPr>
        <w:t>،</w:t>
      </w:r>
      <w:r w:rsidRPr="00507A1E">
        <w:rPr>
          <w:rFonts w:eastAsia="Times New Roman"/>
          <w:rtl/>
          <w:lang w:eastAsia="en-US"/>
        </w:rPr>
        <w:t xml:space="preserve"> باعتبارها النسخة 2.0، وأقرت أن يكون تاريخ دخولها حيز النفاذ هو 1 يوليو 2027. كما وافقت اللجنة على شرط الانتقال المقترح من فرقة </w:t>
      </w:r>
      <w:r w:rsidR="00475AF8">
        <w:rPr>
          <w:rFonts w:eastAsia="Times New Roman" w:hint="cs"/>
          <w:rtl/>
          <w:lang w:eastAsia="en-US"/>
        </w:rPr>
        <w:t>ال</w:t>
      </w:r>
      <w:r w:rsidRPr="00507A1E">
        <w:rPr>
          <w:rFonts w:eastAsia="Times New Roman"/>
          <w:rtl/>
          <w:lang w:eastAsia="en-US"/>
        </w:rPr>
        <w:t xml:space="preserve">عمل </w:t>
      </w:r>
      <w:r w:rsidR="00475AF8">
        <w:rPr>
          <w:rFonts w:eastAsia="Times New Roman" w:hint="cs"/>
          <w:rtl/>
          <w:lang w:eastAsia="en-US"/>
        </w:rPr>
        <w:t>المعنية ب</w:t>
      </w:r>
      <w:r w:rsidRPr="00507A1E">
        <w:rPr>
          <w:rFonts w:eastAsia="Times New Roman"/>
          <w:rtl/>
          <w:lang w:eastAsia="en-US"/>
        </w:rPr>
        <w:t xml:space="preserve">قوائم التسلسلات (انظر الوثيقة </w:t>
      </w:r>
      <w:r w:rsidRPr="00507A1E">
        <w:rPr>
          <w:rFonts w:eastAsia="Times New Roman"/>
          <w:lang w:eastAsia="en-US"/>
        </w:rPr>
        <w:t>CWS/13/16 Rev</w:t>
      </w:r>
      <w:r w:rsidRPr="00507A1E">
        <w:rPr>
          <w:rFonts w:eastAsia="Times New Roman"/>
          <w:rtl/>
          <w:lang w:eastAsia="en-US"/>
        </w:rPr>
        <w:t xml:space="preserve">.)، على النحو المبين في الملاحظة التحريرية في الصفحة الأولى من النسخة 2.0 من </w:t>
      </w:r>
      <w:r w:rsidR="00D01089" w:rsidRPr="00507A1E">
        <w:rPr>
          <w:rFonts w:eastAsia="Times New Roman" w:hint="cs"/>
          <w:rtl/>
          <w:lang w:eastAsia="en-US"/>
        </w:rPr>
        <w:t xml:space="preserve">معيار </w:t>
      </w:r>
      <w:r w:rsidR="00D01089">
        <w:rPr>
          <w:rFonts w:eastAsia="Times New Roman" w:hint="cs"/>
          <w:rtl/>
          <w:lang w:eastAsia="en-US"/>
        </w:rPr>
        <w:t xml:space="preserve">الويبو </w:t>
      </w:r>
      <w:r w:rsidRPr="00507A1E">
        <w:rPr>
          <w:rFonts w:eastAsia="Times New Roman"/>
          <w:lang w:eastAsia="en-US"/>
        </w:rPr>
        <w:t>ST.26</w:t>
      </w:r>
      <w:r w:rsidRPr="00507A1E">
        <w:rPr>
          <w:rFonts w:eastAsia="Times New Roman"/>
          <w:rtl/>
          <w:lang w:eastAsia="en-US"/>
        </w:rPr>
        <w:t>، كما يلي:</w:t>
      </w:r>
    </w:p>
    <w:p w14:paraId="057B7299" w14:textId="2992B208" w:rsidR="00507A1E" w:rsidRPr="00507A1E" w:rsidRDefault="00507A1E" w:rsidP="00507A1E">
      <w:pPr>
        <w:pStyle w:val="ONUME"/>
        <w:numPr>
          <w:ilvl w:val="0"/>
          <w:numId w:val="0"/>
        </w:numPr>
        <w:ind w:left="566"/>
        <w:rPr>
          <w:rFonts w:eastAsia="Times New Roman"/>
          <w:rtl/>
          <w:lang w:eastAsia="en-US"/>
        </w:rPr>
      </w:pPr>
      <w:r>
        <w:rPr>
          <w:rFonts w:eastAsia="Times New Roman" w:hint="cs"/>
          <w:rtl/>
          <w:lang w:eastAsia="en-US"/>
        </w:rPr>
        <w:t>"</w:t>
      </w:r>
      <w:r w:rsidRPr="00507A1E">
        <w:rPr>
          <w:rFonts w:eastAsia="Times New Roman"/>
          <w:rtl/>
          <w:lang w:eastAsia="en-US"/>
        </w:rPr>
        <w:t xml:space="preserve">قررت الدورة الثالثة عشرة للجنة المعنية بمعايير الويبو أن تدخل النسخة 2.0 من المعيار </w:t>
      </w:r>
      <w:r w:rsidRPr="00507A1E">
        <w:rPr>
          <w:rFonts w:eastAsia="Times New Roman"/>
          <w:lang w:eastAsia="en-US"/>
        </w:rPr>
        <w:t>ST.26</w:t>
      </w:r>
      <w:r w:rsidRPr="00507A1E">
        <w:rPr>
          <w:rFonts w:eastAsia="Times New Roman"/>
          <w:rtl/>
          <w:lang w:eastAsia="en-US"/>
        </w:rPr>
        <w:t xml:space="preserve"> حيز النفاذ في 1 يوليو 2027 وتُطبق على جميع طلبات البراءات التي تحمل تاريخ إيداع يوافق أو يلي ذلك التاريخ.</w:t>
      </w:r>
    </w:p>
    <w:p w14:paraId="6BE80A15" w14:textId="3C283655" w:rsidR="00507A1E" w:rsidRPr="00507A1E" w:rsidRDefault="00507A1E" w:rsidP="00507A1E">
      <w:pPr>
        <w:pStyle w:val="ONUME"/>
        <w:numPr>
          <w:ilvl w:val="0"/>
          <w:numId w:val="0"/>
        </w:numPr>
        <w:ind w:left="566"/>
        <w:rPr>
          <w:rFonts w:eastAsia="Times New Roman"/>
          <w:rtl/>
          <w:lang w:eastAsia="en-US"/>
        </w:rPr>
      </w:pPr>
      <w:r w:rsidRPr="00507A1E">
        <w:rPr>
          <w:rFonts w:eastAsia="Times New Roman"/>
          <w:rtl/>
          <w:lang w:eastAsia="en-US"/>
        </w:rPr>
        <w:t>استثناءً من ذلك، تسري الفقرة 8 من هذا المعيار اعتبارًا من تاريخ دخول النسخة 2.0 حيز النفاذ، بغض النظر عن تاريخ إيداع طلب البراءة المعني.</w:t>
      </w:r>
      <w:r>
        <w:rPr>
          <w:rFonts w:eastAsia="Times New Roman" w:hint="cs"/>
          <w:rtl/>
          <w:lang w:eastAsia="en-US"/>
        </w:rPr>
        <w:t>"</w:t>
      </w:r>
      <w:r w:rsidR="0048528A">
        <w:rPr>
          <w:rStyle w:val="FootnoteReference"/>
          <w:rFonts w:eastAsia="Times New Roman"/>
          <w:rtl/>
          <w:lang w:eastAsia="en-US"/>
        </w:rPr>
        <w:footnoteReference w:id="2"/>
      </w:r>
    </w:p>
    <w:p w14:paraId="3FD7B1CD" w14:textId="5F27866F" w:rsidR="00507A1E" w:rsidRPr="00507A1E" w:rsidRDefault="00507A1E" w:rsidP="00507A1E">
      <w:pPr>
        <w:pStyle w:val="ONUME"/>
        <w:rPr>
          <w:rFonts w:eastAsia="Times New Roman"/>
          <w:rtl/>
          <w:lang w:eastAsia="en-US"/>
        </w:rPr>
      </w:pPr>
      <w:r w:rsidRPr="00507A1E">
        <w:rPr>
          <w:rFonts w:eastAsia="Times New Roman"/>
          <w:rtl/>
          <w:lang w:eastAsia="en-US"/>
        </w:rPr>
        <w:t xml:space="preserve">كما وافقت اللجنة على أن تُعرض النسخة 2.0 من </w:t>
      </w:r>
      <w:r w:rsidR="00736529" w:rsidRPr="00507A1E">
        <w:rPr>
          <w:rFonts w:eastAsia="Times New Roman" w:hint="cs"/>
          <w:rtl/>
          <w:lang w:eastAsia="en-US"/>
        </w:rPr>
        <w:t xml:space="preserve">معيار </w:t>
      </w:r>
      <w:r w:rsidR="00736529">
        <w:rPr>
          <w:rFonts w:eastAsia="Times New Roman" w:hint="cs"/>
          <w:rtl/>
          <w:lang w:eastAsia="en-US"/>
        </w:rPr>
        <w:t xml:space="preserve">الويبو  </w:t>
      </w:r>
      <w:r w:rsidRPr="00507A1E">
        <w:rPr>
          <w:rFonts w:eastAsia="Times New Roman"/>
          <w:lang w:eastAsia="en-US"/>
        </w:rPr>
        <w:t xml:space="preserve"> ST.26</w:t>
      </w:r>
      <w:r w:rsidRPr="00507A1E">
        <w:rPr>
          <w:rFonts w:eastAsia="Times New Roman"/>
          <w:rtl/>
          <w:lang w:eastAsia="en-US"/>
        </w:rPr>
        <w:t xml:space="preserve"> على الجمعية العامة للويبو في عام 2026.</w:t>
      </w:r>
    </w:p>
    <w:p w14:paraId="3E01FEC9" w14:textId="309FF183" w:rsidR="00507A1E" w:rsidRPr="009262BC" w:rsidRDefault="00111854" w:rsidP="00507A1E">
      <w:pPr>
        <w:pStyle w:val="ONUME"/>
        <w:rPr>
          <w:rFonts w:eastAsia="Times New Roman"/>
          <w:rtl/>
          <w:lang w:eastAsia="en-US"/>
        </w:rPr>
      </w:pPr>
      <w:r>
        <w:rPr>
          <w:rFonts w:eastAsia="Times New Roman" w:hint="cs"/>
          <w:rtl/>
          <w:lang w:eastAsia="en-US"/>
        </w:rPr>
        <w:t>و</w:t>
      </w:r>
      <w:r w:rsidR="00507A1E" w:rsidRPr="00507A1E">
        <w:rPr>
          <w:rFonts w:eastAsia="Times New Roman"/>
          <w:rtl/>
          <w:lang w:eastAsia="en-US"/>
        </w:rPr>
        <w:t xml:space="preserve">في الاجتماع الأخير لفرقة العمل في 13 نوفمبر 2025، أثناء الدورة الثالثة عشرة للجنة </w:t>
      </w:r>
      <w:r w:rsidR="006D2715">
        <w:rPr>
          <w:rFonts w:eastAsia="Times New Roman" w:hint="cs"/>
          <w:rtl/>
          <w:lang w:eastAsia="en-US"/>
        </w:rPr>
        <w:t>ال</w:t>
      </w:r>
      <w:r w:rsidR="006D2715" w:rsidRPr="00507A1E">
        <w:rPr>
          <w:rFonts w:eastAsia="Times New Roman" w:hint="cs"/>
          <w:rtl/>
          <w:lang w:eastAsia="en-US"/>
        </w:rPr>
        <w:t>معايير،</w:t>
      </w:r>
      <w:r w:rsidR="00507A1E" w:rsidRPr="00507A1E">
        <w:rPr>
          <w:rFonts w:eastAsia="Times New Roman"/>
          <w:rtl/>
          <w:lang w:eastAsia="en-US"/>
        </w:rPr>
        <w:t xml:space="preserve"> لاحظت فرقة العمل أنه، رغم استمرار مناقشة بعض البنود، لا يوجد دعم عام لتقديم اقتراح جديد لمراجعة المعيار لاعتماده من اللجنة في دورتها الرابعة عشرة في نوفمبر 2026.</w:t>
      </w:r>
    </w:p>
    <w:p w14:paraId="7B724B46" w14:textId="77777777" w:rsidR="009262BC" w:rsidRPr="0048528A" w:rsidRDefault="009262BC" w:rsidP="009262BC">
      <w:pPr>
        <w:pStyle w:val="BodyText"/>
        <w:rPr>
          <w:rFonts w:eastAsia="Times New Roman"/>
          <w:bCs/>
          <w:i/>
          <w:rtl/>
          <w:lang w:eastAsia="en-US"/>
        </w:rPr>
      </w:pPr>
      <w:r w:rsidRPr="0048528A">
        <w:rPr>
          <w:rFonts w:eastAsia="Times New Roman" w:hint="cs"/>
          <w:bCs/>
          <w:i/>
          <w:rtl/>
          <w:lang w:eastAsia="en-US"/>
        </w:rPr>
        <w:t>خطة العمل</w:t>
      </w:r>
    </w:p>
    <w:p w14:paraId="6ABEC852" w14:textId="77777777" w:rsidR="009262BC" w:rsidRPr="009262BC" w:rsidRDefault="009262BC" w:rsidP="009262BC">
      <w:pPr>
        <w:pStyle w:val="BodyText"/>
        <w:numPr>
          <w:ilvl w:val="0"/>
          <w:numId w:val="5"/>
        </w:numPr>
        <w:rPr>
          <w:rFonts w:eastAsia="Times New Roman"/>
          <w:rtl/>
          <w:lang w:eastAsia="en-US"/>
        </w:rPr>
      </w:pPr>
      <w:r w:rsidRPr="009262BC">
        <w:rPr>
          <w:rFonts w:eastAsia="Times New Roman" w:hint="cs"/>
          <w:rtl/>
          <w:lang w:eastAsia="en-US"/>
        </w:rPr>
        <w:t>تُعتبر العناصر التالية من أولويات فرقة العمل المعنية بقوائم التسلسل في العام المقبل:</w:t>
      </w:r>
    </w:p>
    <w:p w14:paraId="3417D06D" w14:textId="77777777" w:rsidR="009262BC" w:rsidRPr="009262BC" w:rsidRDefault="009262BC" w:rsidP="009E2E3D">
      <w:pPr>
        <w:pStyle w:val="BodyText"/>
        <w:numPr>
          <w:ilvl w:val="0"/>
          <w:numId w:val="35"/>
        </w:numPr>
        <w:rPr>
          <w:rFonts w:eastAsia="Times New Roman"/>
          <w:rtl/>
          <w:lang w:eastAsia="en-US"/>
        </w:rPr>
      </w:pPr>
      <w:r w:rsidRPr="009262BC">
        <w:rPr>
          <w:rFonts w:eastAsia="Times New Roman" w:hint="cs"/>
          <w:rtl/>
          <w:lang w:eastAsia="en-US"/>
        </w:rPr>
        <w:t xml:space="preserve">تسهيل الاستعدادات لدخول الإصدار 2.0 من معيار الويبو </w:t>
      </w:r>
      <w:r w:rsidRPr="009262BC">
        <w:rPr>
          <w:rFonts w:eastAsia="Times New Roman"/>
          <w:lang w:eastAsia="en-US"/>
        </w:rPr>
        <w:t>ST.26</w:t>
      </w:r>
      <w:r w:rsidRPr="009262BC">
        <w:rPr>
          <w:rFonts w:eastAsia="Times New Roman" w:hint="cs"/>
          <w:rtl/>
          <w:lang w:eastAsia="en-US"/>
        </w:rPr>
        <w:t xml:space="preserve"> حيز النفاذ وتنفيذه، إذا تم اعتماده، بسبل تشمل التواصل مع قاعدة البيانات التعاونية الدولية لتسلسل النوويدات (</w:t>
      </w:r>
      <w:r w:rsidRPr="009262BC">
        <w:rPr>
          <w:rFonts w:eastAsia="Times New Roman"/>
          <w:lang w:eastAsia="en-US"/>
        </w:rPr>
        <w:t>INSDC</w:t>
      </w:r>
      <w:r w:rsidRPr="009262BC">
        <w:rPr>
          <w:rFonts w:eastAsia="Times New Roman" w:hint="cs"/>
          <w:rtl/>
          <w:lang w:eastAsia="en-US"/>
        </w:rPr>
        <w:t>) وأعضائها؛</w:t>
      </w:r>
      <w:r w:rsidRPr="009262BC">
        <w:rPr>
          <w:rFonts w:eastAsia="Times New Roman"/>
          <w:lang w:eastAsia="en-US"/>
        </w:rPr>
        <w:t xml:space="preserve"> </w:t>
      </w:r>
    </w:p>
    <w:p w14:paraId="10A3A8E3" w14:textId="77777777" w:rsidR="009262BC" w:rsidRPr="009262BC" w:rsidRDefault="009262BC" w:rsidP="009E2E3D">
      <w:pPr>
        <w:pStyle w:val="BodyText"/>
        <w:numPr>
          <w:ilvl w:val="0"/>
          <w:numId w:val="35"/>
        </w:numPr>
        <w:rPr>
          <w:rFonts w:eastAsia="Times New Roman"/>
          <w:rtl/>
          <w:lang w:eastAsia="en-US"/>
        </w:rPr>
      </w:pPr>
      <w:r w:rsidRPr="009262BC">
        <w:rPr>
          <w:rFonts w:eastAsia="Times New Roman" w:hint="cs"/>
          <w:rtl/>
          <w:lang w:eastAsia="en-US"/>
        </w:rPr>
        <w:t xml:space="preserve">والتعاون في أي عمليات مراجعة أخرى لمعيار الويبو </w:t>
      </w:r>
      <w:r w:rsidRPr="009262BC">
        <w:rPr>
          <w:rFonts w:eastAsia="Times New Roman"/>
          <w:lang w:eastAsia="en-US"/>
        </w:rPr>
        <w:t>ST.26</w:t>
      </w:r>
      <w:r w:rsidRPr="009262BC">
        <w:rPr>
          <w:rFonts w:eastAsia="Times New Roman" w:hint="cs"/>
          <w:rtl/>
          <w:lang w:eastAsia="en-US"/>
        </w:rPr>
        <w:t>، إذا لزم الأمر، من أجل المضي قدماً في تسهيل عملية تنفيذه من جانب المكاتب ومودعي الطلبات مع الحفاظ على التوافق مع متطلبات قاعدة البيانات التعاونية الدولية لتسلسل النوويدات (</w:t>
      </w:r>
      <w:r w:rsidRPr="009262BC">
        <w:rPr>
          <w:rFonts w:eastAsia="Times New Roman"/>
          <w:lang w:eastAsia="en-US"/>
        </w:rPr>
        <w:t>INSDC</w:t>
      </w:r>
      <w:r w:rsidRPr="009262BC">
        <w:rPr>
          <w:rFonts w:eastAsia="Times New Roman" w:hint="cs"/>
          <w:rtl/>
          <w:lang w:eastAsia="en-US"/>
        </w:rPr>
        <w:t>) وقاعدة البيانات الخاصة بتسلسل البروتين (</w:t>
      </w:r>
      <w:proofErr w:type="spellStart"/>
      <w:r w:rsidRPr="009262BC">
        <w:rPr>
          <w:rFonts w:eastAsia="Times New Roman"/>
          <w:lang w:eastAsia="en-US"/>
        </w:rPr>
        <w:t>UniProt</w:t>
      </w:r>
      <w:proofErr w:type="spellEnd"/>
      <w:r w:rsidRPr="009262BC">
        <w:rPr>
          <w:rFonts w:eastAsia="Times New Roman" w:hint="cs"/>
          <w:rtl/>
          <w:lang w:eastAsia="en-US"/>
        </w:rPr>
        <w:t>)؛</w:t>
      </w:r>
      <w:r w:rsidRPr="009262BC">
        <w:rPr>
          <w:rFonts w:eastAsia="Times New Roman"/>
          <w:lang w:eastAsia="en-US"/>
        </w:rPr>
        <w:t xml:space="preserve"> </w:t>
      </w:r>
    </w:p>
    <w:p w14:paraId="7192C449" w14:textId="77777777" w:rsidR="009262BC" w:rsidRPr="009262BC" w:rsidRDefault="009262BC" w:rsidP="009E2E3D">
      <w:pPr>
        <w:pStyle w:val="BodyText"/>
        <w:numPr>
          <w:ilvl w:val="0"/>
          <w:numId w:val="35"/>
        </w:numPr>
        <w:rPr>
          <w:rFonts w:eastAsia="Times New Roman"/>
          <w:rtl/>
          <w:lang w:eastAsia="en-US"/>
        </w:rPr>
      </w:pPr>
      <w:r w:rsidRPr="009262BC">
        <w:rPr>
          <w:rFonts w:eastAsia="Times New Roman" w:hint="cs"/>
          <w:rtl/>
          <w:lang w:eastAsia="en-US"/>
        </w:rPr>
        <w:t>دعم المكتب الدولي عن طريق اختبار الإصدارات الجديدة من حزمة أداة الويبو للتسلسل، ونقل تعليقات المستخدمين بشأن استخدام أداة الويبو للتسلسل.</w:t>
      </w:r>
    </w:p>
    <w:p w14:paraId="3F852BC1" w14:textId="4A2692E3" w:rsidR="009262BC" w:rsidRPr="009E2E3D" w:rsidRDefault="009262BC" w:rsidP="009E2E3D">
      <w:pPr>
        <w:pStyle w:val="BodyText"/>
        <w:ind w:left="5102" w:hanging="787"/>
        <w:rPr>
          <w:rFonts w:eastAsia="Times New Roman"/>
          <w:iCs/>
          <w:rtl/>
          <w:lang w:eastAsia="en-US"/>
        </w:rPr>
      </w:pPr>
      <w:r w:rsidRPr="009262BC">
        <w:rPr>
          <w:rFonts w:eastAsia="Times New Roman"/>
          <w:iCs/>
          <w:lang w:eastAsia="en-US"/>
        </w:rPr>
        <w:t>18</w:t>
      </w:r>
      <w:r w:rsidRPr="009262BC">
        <w:rPr>
          <w:rFonts w:eastAsia="Times New Roman" w:hint="cs"/>
          <w:iCs/>
          <w:rtl/>
          <w:lang w:eastAsia="en-US"/>
        </w:rPr>
        <w:t>.</w:t>
      </w:r>
      <w:r w:rsidRPr="009262BC">
        <w:rPr>
          <w:rFonts w:eastAsia="Times New Roman" w:hint="cs"/>
          <w:iCs/>
          <w:rtl/>
          <w:lang w:eastAsia="en-US"/>
        </w:rPr>
        <w:tab/>
        <w:t xml:space="preserve">إن </w:t>
      </w:r>
      <w:r w:rsidR="009E2E3D">
        <w:rPr>
          <w:rFonts w:eastAsia="Times New Roman" w:hint="cs"/>
          <w:iCs/>
          <w:rtl/>
          <w:lang w:eastAsia="en-US"/>
        </w:rPr>
        <w:t>فرقة العمل</w:t>
      </w:r>
      <w:r w:rsidRPr="009262BC">
        <w:rPr>
          <w:rFonts w:eastAsia="Times New Roman" w:hint="cs"/>
          <w:iCs/>
          <w:rtl/>
          <w:lang w:eastAsia="en-US"/>
        </w:rPr>
        <w:t xml:space="preserve"> مدعوة إلى الإحاطة علماً </w:t>
      </w:r>
      <w:r w:rsidRPr="009262BC">
        <w:rPr>
          <w:rFonts w:eastAsia="Times New Roman"/>
          <w:i/>
          <w:iCs/>
          <w:rtl/>
          <w:lang w:eastAsia="en-US"/>
        </w:rPr>
        <w:t>محتويات هذه الوثيقة؛</w:t>
      </w:r>
      <w:r w:rsidRPr="009262BC">
        <w:rPr>
          <w:rFonts w:eastAsia="Times New Roman"/>
          <w:i/>
          <w:iCs/>
          <w:lang w:eastAsia="en-US"/>
        </w:rPr>
        <w:t xml:space="preserve"> </w:t>
      </w:r>
    </w:p>
    <w:p w14:paraId="6BF529BC" w14:textId="07AF2782" w:rsidR="00A410A9" w:rsidRDefault="009262BC" w:rsidP="009262BC">
      <w:pPr>
        <w:pStyle w:val="BodyText"/>
        <w:ind w:left="6655"/>
        <w:rPr>
          <w:rFonts w:eastAsia="Times New Roman"/>
          <w:lang w:eastAsia="en-US"/>
        </w:rPr>
      </w:pPr>
      <w:r w:rsidRPr="009262BC">
        <w:rPr>
          <w:rFonts w:eastAsia="Times New Roman" w:hint="cs"/>
          <w:rtl/>
          <w:lang w:eastAsia="en-US"/>
        </w:rPr>
        <w:t>[نهاية الوثيق</w:t>
      </w:r>
      <w:r>
        <w:rPr>
          <w:rFonts w:eastAsia="Times New Roman" w:hint="cs"/>
          <w:rtl/>
          <w:lang w:eastAsia="en-US"/>
        </w:rPr>
        <w:t>ة</w:t>
      </w:r>
      <w:r w:rsidRPr="009262BC">
        <w:rPr>
          <w:rFonts w:eastAsia="Times New Roman" w:hint="cs"/>
          <w:rtl/>
          <w:lang w:eastAsia="en-US"/>
        </w:rPr>
        <w:t>]</w:t>
      </w:r>
    </w:p>
    <w:p w14:paraId="768E419B" w14:textId="77777777" w:rsidR="00B8410A" w:rsidRDefault="00B8410A">
      <w:pPr>
        <w:pStyle w:val="BodyText"/>
        <w:ind w:left="6655"/>
        <w:rPr>
          <w:rFonts w:eastAsia="Times New Roman"/>
          <w:lang w:eastAsia="en-US"/>
        </w:rPr>
      </w:pPr>
    </w:p>
    <w:sectPr w:rsidR="00B8410A"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E0832" w14:textId="77777777" w:rsidR="00EB08B5" w:rsidRDefault="00EB08B5">
      <w:r>
        <w:separator/>
      </w:r>
    </w:p>
  </w:endnote>
  <w:endnote w:type="continuationSeparator" w:id="0">
    <w:p w14:paraId="0F2FCB5E" w14:textId="77777777" w:rsidR="00EB08B5" w:rsidRDefault="00EB08B5" w:rsidP="003B38C1">
      <w:r>
        <w:separator/>
      </w:r>
    </w:p>
    <w:p w14:paraId="379988B3" w14:textId="77777777" w:rsidR="00EB08B5" w:rsidRPr="003B38C1" w:rsidRDefault="00EB08B5" w:rsidP="003B38C1">
      <w:pPr>
        <w:spacing w:after="60"/>
        <w:rPr>
          <w:sz w:val="17"/>
        </w:rPr>
      </w:pPr>
      <w:r>
        <w:rPr>
          <w:sz w:val="17"/>
        </w:rPr>
        <w:t>[Endnote continued from previous page]</w:t>
      </w:r>
    </w:p>
  </w:endnote>
  <w:endnote w:type="continuationNotice" w:id="1">
    <w:p w14:paraId="54E55C63" w14:textId="77777777" w:rsidR="00EB08B5" w:rsidRPr="003B38C1" w:rsidRDefault="00EB08B5"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ypesetting">
    <w:charset w:val="B2"/>
    <w:family w:val="script"/>
    <w:pitch w:val="variable"/>
    <w:sig w:usb0="80002007"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20DD6" w14:textId="77777777" w:rsidR="00EB08B5" w:rsidRDefault="00EB08B5">
      <w:r>
        <w:separator/>
      </w:r>
    </w:p>
  </w:footnote>
  <w:footnote w:type="continuationSeparator" w:id="0">
    <w:p w14:paraId="2267D6C6" w14:textId="77777777" w:rsidR="00EB08B5" w:rsidRDefault="00EB08B5" w:rsidP="008B60B2">
      <w:r>
        <w:separator/>
      </w:r>
    </w:p>
    <w:p w14:paraId="04A71F5C" w14:textId="77777777" w:rsidR="00EB08B5" w:rsidRPr="00ED77FB" w:rsidRDefault="00EB08B5" w:rsidP="008B60B2">
      <w:pPr>
        <w:spacing w:after="60"/>
        <w:rPr>
          <w:sz w:val="17"/>
          <w:szCs w:val="17"/>
        </w:rPr>
      </w:pPr>
      <w:r w:rsidRPr="00ED77FB">
        <w:rPr>
          <w:sz w:val="17"/>
          <w:szCs w:val="17"/>
        </w:rPr>
        <w:t>[Footnote continued from previous page]</w:t>
      </w:r>
    </w:p>
  </w:footnote>
  <w:footnote w:type="continuationNotice" w:id="1">
    <w:p w14:paraId="097F2CB1" w14:textId="77777777" w:rsidR="00EB08B5" w:rsidRPr="00ED77FB" w:rsidRDefault="00EB08B5"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6DB93517" w14:textId="1BBEA344" w:rsidR="0048528A" w:rsidRDefault="0048528A">
      <w:pPr>
        <w:pStyle w:val="FootnoteText"/>
      </w:pPr>
      <w:r>
        <w:rPr>
          <w:rStyle w:val="FootnoteReference"/>
        </w:rPr>
        <w:footnoteRef/>
      </w:r>
      <w:r>
        <w:rPr>
          <w:rtl/>
        </w:rPr>
        <w:t xml:space="preserve"> </w:t>
      </w:r>
      <w:r w:rsidRPr="0048528A">
        <w:rPr>
          <w:rtl/>
        </w:rPr>
        <w:t xml:space="preserve">الفقرة 8 من الإصدار 2.0 من معيار </w:t>
      </w:r>
      <w:r w:rsidRPr="0048528A">
        <w:t>WIPO ST.26</w:t>
      </w:r>
      <w:r w:rsidRPr="0048528A">
        <w:rPr>
          <w:rtl/>
        </w:rPr>
        <w:t xml:space="preserve"> تتعلق بمتطلبات الحد الأدنى للطول.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EF23E" w14:textId="446DA47D" w:rsidR="00D07C78" w:rsidRPr="002326AB" w:rsidRDefault="00FE5D75" w:rsidP="007969D1">
    <w:pPr>
      <w:bidi w:val="0"/>
      <w:rPr>
        <w:caps/>
      </w:rPr>
    </w:pPr>
    <w:r>
      <w:rPr>
        <w:caps/>
      </w:rPr>
      <w:t>CWS</w:t>
    </w:r>
    <w:r w:rsidR="00250149">
      <w:rPr>
        <w:caps/>
      </w:rPr>
      <w:t>/</w:t>
    </w:r>
    <w:r w:rsidR="009E2E3D">
      <w:rPr>
        <w:caps/>
      </w:rPr>
      <w:t>19</w:t>
    </w:r>
    <w:r w:rsidR="00250149">
      <w:rPr>
        <w:caps/>
      </w:rPr>
      <w:t>/</w:t>
    </w:r>
    <w:r w:rsidR="009E2E3D">
      <w:rPr>
        <w:caps/>
      </w:rPr>
      <w:t>4</w:t>
    </w:r>
  </w:p>
  <w:p w14:paraId="3CEFFBC8" w14:textId="77777777" w:rsidR="00D07C78" w:rsidRDefault="00D07C78" w:rsidP="00210D5F">
    <w:pPr>
      <w:bidi w:val="0"/>
    </w:pPr>
    <w:r>
      <w:fldChar w:fldCharType="begin"/>
    </w:r>
    <w:r>
      <w:instrText xml:space="preserve"> PAGE  \* MERGEFORMAT </w:instrText>
    </w:r>
    <w:r>
      <w:fldChar w:fldCharType="separate"/>
    </w:r>
    <w:r w:rsidR="00A448AB">
      <w:rPr>
        <w:noProof/>
      </w:rPr>
      <w:t>3</w:t>
    </w:r>
    <w:r>
      <w:fldChar w:fldCharType="end"/>
    </w:r>
  </w:p>
  <w:p w14:paraId="5D9AF787" w14:textId="77777777" w:rsidR="00D07C78" w:rsidRDefault="00D07C78" w:rsidP="00210D5F">
    <w:pPr>
      <w:bidi w:val="0"/>
    </w:pPr>
  </w:p>
  <w:p w14:paraId="1D16E803" w14:textId="77777777"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FE286D"/>
    <w:multiLevelType w:val="hybridMultilevel"/>
    <w:tmpl w:val="699CEAC0"/>
    <w:lvl w:ilvl="0" w:tplc="792640D8">
      <w:start w:val="1"/>
      <w:numFmt w:val="decimal"/>
      <w:lvlText w:val="&quot;%1&quo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650FB"/>
    <w:multiLevelType w:val="hybridMultilevel"/>
    <w:tmpl w:val="DA78CB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830C02"/>
    <w:multiLevelType w:val="hybridMultilevel"/>
    <w:tmpl w:val="9A4619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9C26E26"/>
    <w:multiLevelType w:val="hybridMultilevel"/>
    <w:tmpl w:val="100E4A3A"/>
    <w:lvl w:ilvl="0" w:tplc="B6E067D4">
      <w:start w:val="1"/>
      <w:numFmt w:val="arabicAbjad"/>
      <w:lvlText w:val="%1-"/>
      <w:lvlJc w:val="left"/>
      <w:pPr>
        <w:ind w:left="1440" w:hanging="360"/>
      </w:pPr>
      <w:rPr>
        <w:rFonts w:ascii="Arabic Typesetting" w:hAnsi="Arabic Typesetting" w:cs="Arabic Typesetting" w:hint="cs"/>
        <w:sz w:val="3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A305BAE"/>
    <w:multiLevelType w:val="multilevel"/>
    <w:tmpl w:val="58CAD3F8"/>
    <w:lvl w:ilvl="0">
      <w:start w:val="1"/>
      <w:numFmt w:val="arabicAbjad"/>
      <w:lvlText w:val="%1)"/>
      <w:lvlJc w:val="left"/>
      <w:pPr>
        <w:ind w:left="360" w:hanging="36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1C8B3D68"/>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595AD9"/>
    <w:multiLevelType w:val="hybridMultilevel"/>
    <w:tmpl w:val="6E9A9A90"/>
    <w:lvl w:ilvl="0" w:tplc="5AAE2C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E077CC9"/>
    <w:multiLevelType w:val="hybridMultilevel"/>
    <w:tmpl w:val="FDA2BEE6"/>
    <w:lvl w:ilvl="0" w:tplc="B5B69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C735C3"/>
    <w:multiLevelType w:val="hybridMultilevel"/>
    <w:tmpl w:val="C220E612"/>
    <w:lvl w:ilvl="0" w:tplc="533824A8">
      <w:start w:val="1"/>
      <w:numFmt w:val="arabicAlpha"/>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F90CFF"/>
    <w:multiLevelType w:val="hybridMultilevel"/>
    <w:tmpl w:val="8390AA42"/>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5" w15:restartNumberingAfterBreak="0">
    <w:nsid w:val="387C19E4"/>
    <w:multiLevelType w:val="hybridMultilevel"/>
    <w:tmpl w:val="1580567E"/>
    <w:lvl w:ilvl="0" w:tplc="4C583CDE">
      <w:start w:val="1"/>
      <w:numFmt w:val="arabicAbjad"/>
      <w:lvlText w:val="%1)"/>
      <w:lvlJc w:val="left"/>
      <w:pPr>
        <w:ind w:left="1440" w:hanging="360"/>
      </w:pPr>
      <w:rPr>
        <w:rFonts w:hint="default"/>
        <w:sz w:val="3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3F683FE3"/>
    <w:multiLevelType w:val="hybridMultilevel"/>
    <w:tmpl w:val="4EEE9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923AB3"/>
    <w:multiLevelType w:val="hybridMultilevel"/>
    <w:tmpl w:val="E786B1F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0A73FF"/>
    <w:multiLevelType w:val="hybridMultilevel"/>
    <w:tmpl w:val="6378755A"/>
    <w:lvl w:ilvl="0" w:tplc="9E20BB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7DA3EAA"/>
    <w:multiLevelType w:val="hybridMultilevel"/>
    <w:tmpl w:val="30161D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BB94212"/>
    <w:multiLevelType w:val="hybridMultilevel"/>
    <w:tmpl w:val="BD8C314A"/>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DF5788"/>
    <w:multiLevelType w:val="hybridMultilevel"/>
    <w:tmpl w:val="3CA6FAFA"/>
    <w:lvl w:ilvl="0" w:tplc="669848F8">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D9D43B7"/>
    <w:multiLevelType w:val="hybridMultilevel"/>
    <w:tmpl w:val="70BAEDC2"/>
    <w:lvl w:ilvl="0" w:tplc="23C23C9E">
      <w:start w:val="1"/>
      <w:numFmt w:val="decimal"/>
      <w:lvlText w:val="&quot;%1&quot;"/>
      <w:lvlJc w:val="left"/>
      <w:pPr>
        <w:ind w:left="6941" w:hanging="360"/>
      </w:pPr>
      <w:rPr>
        <w:rFonts w:hint="default"/>
        <w:i w:val="0"/>
        <w:iCs/>
      </w:rPr>
    </w:lvl>
    <w:lvl w:ilvl="1" w:tplc="08090019" w:tentative="1">
      <w:start w:val="1"/>
      <w:numFmt w:val="lowerLetter"/>
      <w:lvlText w:val="%2."/>
      <w:lvlJc w:val="left"/>
      <w:pPr>
        <w:ind w:left="7661" w:hanging="360"/>
      </w:pPr>
    </w:lvl>
    <w:lvl w:ilvl="2" w:tplc="0809001B" w:tentative="1">
      <w:start w:val="1"/>
      <w:numFmt w:val="lowerRoman"/>
      <w:lvlText w:val="%3."/>
      <w:lvlJc w:val="right"/>
      <w:pPr>
        <w:ind w:left="8381" w:hanging="180"/>
      </w:pPr>
    </w:lvl>
    <w:lvl w:ilvl="3" w:tplc="0809000F" w:tentative="1">
      <w:start w:val="1"/>
      <w:numFmt w:val="decimal"/>
      <w:lvlText w:val="%4."/>
      <w:lvlJc w:val="left"/>
      <w:pPr>
        <w:ind w:left="9101" w:hanging="360"/>
      </w:pPr>
    </w:lvl>
    <w:lvl w:ilvl="4" w:tplc="08090019" w:tentative="1">
      <w:start w:val="1"/>
      <w:numFmt w:val="lowerLetter"/>
      <w:lvlText w:val="%5."/>
      <w:lvlJc w:val="left"/>
      <w:pPr>
        <w:ind w:left="9821" w:hanging="360"/>
      </w:pPr>
    </w:lvl>
    <w:lvl w:ilvl="5" w:tplc="0809001B" w:tentative="1">
      <w:start w:val="1"/>
      <w:numFmt w:val="lowerRoman"/>
      <w:lvlText w:val="%6."/>
      <w:lvlJc w:val="right"/>
      <w:pPr>
        <w:ind w:left="10541" w:hanging="180"/>
      </w:pPr>
    </w:lvl>
    <w:lvl w:ilvl="6" w:tplc="0809000F" w:tentative="1">
      <w:start w:val="1"/>
      <w:numFmt w:val="decimal"/>
      <w:lvlText w:val="%7."/>
      <w:lvlJc w:val="left"/>
      <w:pPr>
        <w:ind w:left="11261" w:hanging="360"/>
      </w:pPr>
    </w:lvl>
    <w:lvl w:ilvl="7" w:tplc="08090019" w:tentative="1">
      <w:start w:val="1"/>
      <w:numFmt w:val="lowerLetter"/>
      <w:lvlText w:val="%8."/>
      <w:lvlJc w:val="left"/>
      <w:pPr>
        <w:ind w:left="11981" w:hanging="360"/>
      </w:pPr>
    </w:lvl>
    <w:lvl w:ilvl="8" w:tplc="0809001B" w:tentative="1">
      <w:start w:val="1"/>
      <w:numFmt w:val="lowerRoman"/>
      <w:lvlText w:val="%9."/>
      <w:lvlJc w:val="right"/>
      <w:pPr>
        <w:ind w:left="12701" w:hanging="180"/>
      </w:pPr>
    </w:lvl>
  </w:abstractNum>
  <w:abstractNum w:abstractNumId="25" w15:restartNumberingAfterBreak="0">
    <w:nsid w:val="4FC50665"/>
    <w:multiLevelType w:val="hybridMultilevel"/>
    <w:tmpl w:val="FDA0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2B7CA7"/>
    <w:multiLevelType w:val="hybridMultilevel"/>
    <w:tmpl w:val="51AA377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8" w15:restartNumberingAfterBreak="0">
    <w:nsid w:val="5FD25130"/>
    <w:multiLevelType w:val="hybridMultilevel"/>
    <w:tmpl w:val="91BC472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E612F7"/>
    <w:multiLevelType w:val="hybridMultilevel"/>
    <w:tmpl w:val="8B64F7C0"/>
    <w:lvl w:ilvl="0" w:tplc="6026303C">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6B919EB"/>
    <w:multiLevelType w:val="hybridMultilevel"/>
    <w:tmpl w:val="C0EEFAC4"/>
    <w:lvl w:ilvl="0" w:tplc="C0B2169A">
      <w:start w:val="1"/>
      <w:numFmt w:val="arabicAlpha"/>
      <w:lvlText w:val="%1)"/>
      <w:lvlJc w:val="left"/>
      <w:pPr>
        <w:ind w:left="244" w:hanging="360"/>
      </w:pPr>
      <w:rPr>
        <w:rFonts w:ascii="Arial" w:eastAsia="Times New Roman" w:hAnsi="Arial" w:cs="Calibri"/>
        <w:spacing w:val="-2"/>
        <w:w w:val="99"/>
        <w:lang w:val="en-US" w:eastAsia="en-US" w:bidi="ar-SA"/>
      </w:rPr>
    </w:lvl>
    <w:lvl w:ilvl="1" w:tplc="08090019">
      <w:start w:val="1"/>
      <w:numFmt w:val="lowerLetter"/>
      <w:lvlText w:val="%2."/>
      <w:lvlJc w:val="left"/>
      <w:pPr>
        <w:ind w:left="964" w:hanging="360"/>
      </w:pPr>
    </w:lvl>
    <w:lvl w:ilvl="2" w:tplc="0809001B" w:tentative="1">
      <w:start w:val="1"/>
      <w:numFmt w:val="lowerRoman"/>
      <w:lvlText w:val="%3."/>
      <w:lvlJc w:val="right"/>
      <w:pPr>
        <w:ind w:left="1684" w:hanging="180"/>
      </w:pPr>
    </w:lvl>
    <w:lvl w:ilvl="3" w:tplc="0809000F" w:tentative="1">
      <w:start w:val="1"/>
      <w:numFmt w:val="decimal"/>
      <w:lvlText w:val="%4."/>
      <w:lvlJc w:val="left"/>
      <w:pPr>
        <w:ind w:left="2404" w:hanging="360"/>
      </w:pPr>
    </w:lvl>
    <w:lvl w:ilvl="4" w:tplc="08090019" w:tentative="1">
      <w:start w:val="1"/>
      <w:numFmt w:val="lowerLetter"/>
      <w:lvlText w:val="%5."/>
      <w:lvlJc w:val="left"/>
      <w:pPr>
        <w:ind w:left="3124" w:hanging="360"/>
      </w:pPr>
    </w:lvl>
    <w:lvl w:ilvl="5" w:tplc="0809001B" w:tentative="1">
      <w:start w:val="1"/>
      <w:numFmt w:val="lowerRoman"/>
      <w:lvlText w:val="%6."/>
      <w:lvlJc w:val="right"/>
      <w:pPr>
        <w:ind w:left="3844" w:hanging="180"/>
      </w:pPr>
    </w:lvl>
    <w:lvl w:ilvl="6" w:tplc="0809000F" w:tentative="1">
      <w:start w:val="1"/>
      <w:numFmt w:val="decimal"/>
      <w:lvlText w:val="%7."/>
      <w:lvlJc w:val="left"/>
      <w:pPr>
        <w:ind w:left="4564" w:hanging="360"/>
      </w:pPr>
    </w:lvl>
    <w:lvl w:ilvl="7" w:tplc="08090019" w:tentative="1">
      <w:start w:val="1"/>
      <w:numFmt w:val="lowerLetter"/>
      <w:lvlText w:val="%8."/>
      <w:lvlJc w:val="left"/>
      <w:pPr>
        <w:ind w:left="5284" w:hanging="360"/>
      </w:pPr>
    </w:lvl>
    <w:lvl w:ilvl="8" w:tplc="0809001B" w:tentative="1">
      <w:start w:val="1"/>
      <w:numFmt w:val="lowerRoman"/>
      <w:lvlText w:val="%9."/>
      <w:lvlJc w:val="right"/>
      <w:pPr>
        <w:ind w:left="6004" w:hanging="180"/>
      </w:pPr>
    </w:lvl>
  </w:abstractNum>
  <w:abstractNum w:abstractNumId="31" w15:restartNumberingAfterBreak="0">
    <w:nsid w:val="68957AC6"/>
    <w:multiLevelType w:val="hybridMultilevel"/>
    <w:tmpl w:val="3CE444C6"/>
    <w:lvl w:ilvl="0" w:tplc="4CF825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A92C3E"/>
    <w:multiLevelType w:val="hybridMultilevel"/>
    <w:tmpl w:val="766684B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0B10E47"/>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64C2401"/>
    <w:multiLevelType w:val="multilevel"/>
    <w:tmpl w:val="5C9ADDB2"/>
    <w:lvl w:ilvl="0">
      <w:start w:val="1"/>
      <w:numFmt w:val="bullet"/>
      <w:lvlText w:val="-"/>
      <w:lvlJc w:val="left"/>
      <w:pPr>
        <w:ind w:left="360" w:hanging="360"/>
      </w:pPr>
      <w:rPr>
        <w:rFonts w:ascii="Aptos" w:eastAsia="Aptos" w:hAnsi="Aptos" w:cs="SimSun" w:hint="default"/>
        <w:b/>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5" w15:restartNumberingAfterBreak="0">
    <w:nsid w:val="784A0617"/>
    <w:multiLevelType w:val="hybridMultilevel"/>
    <w:tmpl w:val="7FA8F634"/>
    <w:lvl w:ilvl="0" w:tplc="9E20BBF6">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A71F1D"/>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126985">
    <w:abstractNumId w:val="5"/>
  </w:num>
  <w:num w:numId="2" w16cid:durableId="609046391">
    <w:abstractNumId w:val="19"/>
  </w:num>
  <w:num w:numId="3" w16cid:durableId="610935826">
    <w:abstractNumId w:val="0"/>
  </w:num>
  <w:num w:numId="4" w16cid:durableId="831139084">
    <w:abstractNumId w:val="22"/>
  </w:num>
  <w:num w:numId="5" w16cid:durableId="1808082453">
    <w:abstractNumId w:val="1"/>
  </w:num>
  <w:num w:numId="6" w16cid:durableId="2058821704">
    <w:abstractNumId w:val="10"/>
  </w:num>
  <w:num w:numId="7" w16cid:durableId="719669768">
    <w:abstractNumId w:val="27"/>
  </w:num>
  <w:num w:numId="8" w16cid:durableId="436217556">
    <w:abstractNumId w:val="14"/>
  </w:num>
  <w:num w:numId="9" w16cid:durableId="1591036600">
    <w:abstractNumId w:val="16"/>
  </w:num>
  <w:num w:numId="10" w16cid:durableId="1183013736">
    <w:abstractNumId w:val="20"/>
  </w:num>
  <w:num w:numId="11" w16cid:durableId="1208254078">
    <w:abstractNumId w:val="26"/>
  </w:num>
  <w:num w:numId="12" w16cid:durableId="1535313221">
    <w:abstractNumId w:val="21"/>
  </w:num>
  <w:num w:numId="13" w16cid:durableId="1775402230">
    <w:abstractNumId w:val="28"/>
  </w:num>
  <w:num w:numId="14" w16cid:durableId="605386166">
    <w:abstractNumId w:val="8"/>
  </w:num>
  <w:num w:numId="15" w16cid:durableId="913050154">
    <w:abstractNumId w:val="13"/>
  </w:num>
  <w:num w:numId="16" w16cid:durableId="1867328089">
    <w:abstractNumId w:val="3"/>
  </w:num>
  <w:num w:numId="17" w16cid:durableId="1880973570">
    <w:abstractNumId w:val="17"/>
  </w:num>
  <w:num w:numId="18" w16cid:durableId="1983188684">
    <w:abstractNumId w:val="23"/>
  </w:num>
  <w:num w:numId="19" w16cid:durableId="1285038826">
    <w:abstractNumId w:val="9"/>
  </w:num>
  <w:num w:numId="20" w16cid:durableId="398984857">
    <w:abstractNumId w:val="31"/>
  </w:num>
  <w:num w:numId="21" w16cid:durableId="855265340">
    <w:abstractNumId w:val="11"/>
  </w:num>
  <w:num w:numId="22" w16cid:durableId="1793552887">
    <w:abstractNumId w:val="32"/>
  </w:num>
  <w:num w:numId="23" w16cid:durableId="1644579125">
    <w:abstractNumId w:val="18"/>
  </w:num>
  <w:num w:numId="24" w16cid:durableId="1029574285">
    <w:abstractNumId w:val="25"/>
  </w:num>
  <w:num w:numId="25" w16cid:durableId="1259025004">
    <w:abstractNumId w:val="35"/>
  </w:num>
  <w:num w:numId="26" w16cid:durableId="1763722631">
    <w:abstractNumId w:val="4"/>
  </w:num>
  <w:num w:numId="27" w16cid:durableId="506360306">
    <w:abstractNumId w:val="12"/>
  </w:num>
  <w:num w:numId="28" w16cid:durableId="499587443">
    <w:abstractNumId w:val="33"/>
  </w:num>
  <w:num w:numId="29" w16cid:durableId="1784225043">
    <w:abstractNumId w:val="36"/>
  </w:num>
  <w:num w:numId="30" w16cid:durableId="1146552428">
    <w:abstractNumId w:val="30"/>
  </w:num>
  <w:num w:numId="31" w16cid:durableId="770593132">
    <w:abstractNumId w:val="29"/>
  </w:num>
  <w:num w:numId="32" w16cid:durableId="54545726">
    <w:abstractNumId w:val="2"/>
  </w:num>
  <w:num w:numId="33" w16cid:durableId="1758793753">
    <w:abstractNumId w:val="24"/>
  </w:num>
  <w:num w:numId="34" w16cid:durableId="400520437">
    <w:abstractNumId w:val="6"/>
  </w:num>
  <w:num w:numId="35" w16cid:durableId="2024622748">
    <w:abstractNumId w:val="15"/>
  </w:num>
  <w:num w:numId="36" w16cid:durableId="1616865598">
    <w:abstractNumId w:val="7"/>
  </w:num>
  <w:num w:numId="37" w16cid:durableId="19567926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2BC"/>
    <w:rsid w:val="00041A0A"/>
    <w:rsid w:val="00043CAA"/>
    <w:rsid w:val="00056816"/>
    <w:rsid w:val="000632C7"/>
    <w:rsid w:val="00075432"/>
    <w:rsid w:val="000910E5"/>
    <w:rsid w:val="000968ED"/>
    <w:rsid w:val="000A3D97"/>
    <w:rsid w:val="000A6062"/>
    <w:rsid w:val="000B5B36"/>
    <w:rsid w:val="000D3DAB"/>
    <w:rsid w:val="000D42A9"/>
    <w:rsid w:val="000E286F"/>
    <w:rsid w:val="000F5E56"/>
    <w:rsid w:val="00107B11"/>
    <w:rsid w:val="00111854"/>
    <w:rsid w:val="00116D3F"/>
    <w:rsid w:val="001362EE"/>
    <w:rsid w:val="001377FE"/>
    <w:rsid w:val="001406E1"/>
    <w:rsid w:val="00140F22"/>
    <w:rsid w:val="00155D8A"/>
    <w:rsid w:val="001647D5"/>
    <w:rsid w:val="00167832"/>
    <w:rsid w:val="00176FD1"/>
    <w:rsid w:val="001832A6"/>
    <w:rsid w:val="00185D52"/>
    <w:rsid w:val="0019592A"/>
    <w:rsid w:val="001D4107"/>
    <w:rsid w:val="00203D24"/>
    <w:rsid w:val="00210D5F"/>
    <w:rsid w:val="0021217E"/>
    <w:rsid w:val="002326AB"/>
    <w:rsid w:val="00243430"/>
    <w:rsid w:val="00250149"/>
    <w:rsid w:val="00262607"/>
    <w:rsid w:val="002634C4"/>
    <w:rsid w:val="00265354"/>
    <w:rsid w:val="00273181"/>
    <w:rsid w:val="002879FE"/>
    <w:rsid w:val="002923F6"/>
    <w:rsid w:val="002928D3"/>
    <w:rsid w:val="00294303"/>
    <w:rsid w:val="002A7B3A"/>
    <w:rsid w:val="002F1FE6"/>
    <w:rsid w:val="002F4E68"/>
    <w:rsid w:val="00300F5B"/>
    <w:rsid w:val="00303282"/>
    <w:rsid w:val="00312F7F"/>
    <w:rsid w:val="00321316"/>
    <w:rsid w:val="00321EB3"/>
    <w:rsid w:val="00327E12"/>
    <w:rsid w:val="003368CB"/>
    <w:rsid w:val="00343C66"/>
    <w:rsid w:val="003452A8"/>
    <w:rsid w:val="00361450"/>
    <w:rsid w:val="003673CF"/>
    <w:rsid w:val="00376168"/>
    <w:rsid w:val="003845C1"/>
    <w:rsid w:val="003A6F89"/>
    <w:rsid w:val="003B355C"/>
    <w:rsid w:val="003B3581"/>
    <w:rsid w:val="003B38C1"/>
    <w:rsid w:val="003C17A1"/>
    <w:rsid w:val="003C34E9"/>
    <w:rsid w:val="003E2E15"/>
    <w:rsid w:val="003F20F4"/>
    <w:rsid w:val="00411ED8"/>
    <w:rsid w:val="00423E3E"/>
    <w:rsid w:val="00427AF4"/>
    <w:rsid w:val="00434E3B"/>
    <w:rsid w:val="004434C3"/>
    <w:rsid w:val="0045246E"/>
    <w:rsid w:val="00452F85"/>
    <w:rsid w:val="00461B51"/>
    <w:rsid w:val="004647DA"/>
    <w:rsid w:val="0047245B"/>
    <w:rsid w:val="00474062"/>
    <w:rsid w:val="00475AF8"/>
    <w:rsid w:val="00477D6B"/>
    <w:rsid w:val="0048522D"/>
    <w:rsid w:val="0048528A"/>
    <w:rsid w:val="004D1345"/>
    <w:rsid w:val="004D29A8"/>
    <w:rsid w:val="004F2DEB"/>
    <w:rsid w:val="004F34F8"/>
    <w:rsid w:val="005019FF"/>
    <w:rsid w:val="0050470A"/>
    <w:rsid w:val="00507A1E"/>
    <w:rsid w:val="00522508"/>
    <w:rsid w:val="0053057A"/>
    <w:rsid w:val="00554DF5"/>
    <w:rsid w:val="00556076"/>
    <w:rsid w:val="00560A29"/>
    <w:rsid w:val="005658E3"/>
    <w:rsid w:val="005740C5"/>
    <w:rsid w:val="0059409E"/>
    <w:rsid w:val="005B2C79"/>
    <w:rsid w:val="005B453D"/>
    <w:rsid w:val="005B468F"/>
    <w:rsid w:val="005C5B64"/>
    <w:rsid w:val="005C6649"/>
    <w:rsid w:val="005D36F8"/>
    <w:rsid w:val="005E7B89"/>
    <w:rsid w:val="005F0828"/>
    <w:rsid w:val="00600D30"/>
    <w:rsid w:val="00604A9A"/>
    <w:rsid w:val="00605827"/>
    <w:rsid w:val="00613AB1"/>
    <w:rsid w:val="00646050"/>
    <w:rsid w:val="006667A6"/>
    <w:rsid w:val="006713CA"/>
    <w:rsid w:val="00676C5C"/>
    <w:rsid w:val="006A2D14"/>
    <w:rsid w:val="006A516B"/>
    <w:rsid w:val="006B5C12"/>
    <w:rsid w:val="006D2715"/>
    <w:rsid w:val="006D27D2"/>
    <w:rsid w:val="006D7AAB"/>
    <w:rsid w:val="006D7C7A"/>
    <w:rsid w:val="006F641A"/>
    <w:rsid w:val="0070778E"/>
    <w:rsid w:val="00720EFD"/>
    <w:rsid w:val="00736529"/>
    <w:rsid w:val="00750C1A"/>
    <w:rsid w:val="007854AF"/>
    <w:rsid w:val="0079149A"/>
    <w:rsid w:val="00793A7C"/>
    <w:rsid w:val="007969D1"/>
    <w:rsid w:val="007A0E2A"/>
    <w:rsid w:val="007A398A"/>
    <w:rsid w:val="007B0D65"/>
    <w:rsid w:val="007C4902"/>
    <w:rsid w:val="007D1613"/>
    <w:rsid w:val="007E4889"/>
    <w:rsid w:val="007E4C0E"/>
    <w:rsid w:val="00820911"/>
    <w:rsid w:val="008243C0"/>
    <w:rsid w:val="00866B3C"/>
    <w:rsid w:val="008A134B"/>
    <w:rsid w:val="008A5C4D"/>
    <w:rsid w:val="008B2CC1"/>
    <w:rsid w:val="008B60B2"/>
    <w:rsid w:val="008D1B10"/>
    <w:rsid w:val="0090731E"/>
    <w:rsid w:val="00916EE2"/>
    <w:rsid w:val="009221A1"/>
    <w:rsid w:val="009262BC"/>
    <w:rsid w:val="0093527D"/>
    <w:rsid w:val="0094554E"/>
    <w:rsid w:val="00947238"/>
    <w:rsid w:val="009476FE"/>
    <w:rsid w:val="00961621"/>
    <w:rsid w:val="00966A22"/>
    <w:rsid w:val="0096722F"/>
    <w:rsid w:val="00980843"/>
    <w:rsid w:val="0099406E"/>
    <w:rsid w:val="00995410"/>
    <w:rsid w:val="00995775"/>
    <w:rsid w:val="009B0855"/>
    <w:rsid w:val="009B0C31"/>
    <w:rsid w:val="009B48A1"/>
    <w:rsid w:val="009B51CF"/>
    <w:rsid w:val="009E1721"/>
    <w:rsid w:val="009E2791"/>
    <w:rsid w:val="009E2E3D"/>
    <w:rsid w:val="009E3F6F"/>
    <w:rsid w:val="009F499F"/>
    <w:rsid w:val="00A33241"/>
    <w:rsid w:val="00A37342"/>
    <w:rsid w:val="00A410A9"/>
    <w:rsid w:val="00A42DAF"/>
    <w:rsid w:val="00A448AB"/>
    <w:rsid w:val="00A45BD8"/>
    <w:rsid w:val="00A869B7"/>
    <w:rsid w:val="00A90F0A"/>
    <w:rsid w:val="00AA589B"/>
    <w:rsid w:val="00AC205C"/>
    <w:rsid w:val="00AC20E9"/>
    <w:rsid w:val="00AD30FC"/>
    <w:rsid w:val="00AD5F3C"/>
    <w:rsid w:val="00AF0A6B"/>
    <w:rsid w:val="00B05A69"/>
    <w:rsid w:val="00B26A4F"/>
    <w:rsid w:val="00B42CA9"/>
    <w:rsid w:val="00B51FF7"/>
    <w:rsid w:val="00B75281"/>
    <w:rsid w:val="00B8410A"/>
    <w:rsid w:val="00B86A18"/>
    <w:rsid w:val="00B92F1F"/>
    <w:rsid w:val="00B953D5"/>
    <w:rsid w:val="00B9734B"/>
    <w:rsid w:val="00BA30E2"/>
    <w:rsid w:val="00BB781F"/>
    <w:rsid w:val="00BC6536"/>
    <w:rsid w:val="00BD7BFA"/>
    <w:rsid w:val="00BE2166"/>
    <w:rsid w:val="00C02D96"/>
    <w:rsid w:val="00C11BFE"/>
    <w:rsid w:val="00C3436A"/>
    <w:rsid w:val="00C40F61"/>
    <w:rsid w:val="00C416F8"/>
    <w:rsid w:val="00C5068F"/>
    <w:rsid w:val="00C60E4B"/>
    <w:rsid w:val="00C642F2"/>
    <w:rsid w:val="00C73194"/>
    <w:rsid w:val="00C80D9B"/>
    <w:rsid w:val="00C86D74"/>
    <w:rsid w:val="00C91553"/>
    <w:rsid w:val="00C925E7"/>
    <w:rsid w:val="00CA5B4C"/>
    <w:rsid w:val="00CB3DBA"/>
    <w:rsid w:val="00CC3E2D"/>
    <w:rsid w:val="00CD04F1"/>
    <w:rsid w:val="00CE19F8"/>
    <w:rsid w:val="00CF681A"/>
    <w:rsid w:val="00D01089"/>
    <w:rsid w:val="00D07C78"/>
    <w:rsid w:val="00D13455"/>
    <w:rsid w:val="00D17660"/>
    <w:rsid w:val="00D26D35"/>
    <w:rsid w:val="00D30D5E"/>
    <w:rsid w:val="00D32D75"/>
    <w:rsid w:val="00D45252"/>
    <w:rsid w:val="00D512F3"/>
    <w:rsid w:val="00D60B2C"/>
    <w:rsid w:val="00D65778"/>
    <w:rsid w:val="00D67EAE"/>
    <w:rsid w:val="00D71B4D"/>
    <w:rsid w:val="00D84449"/>
    <w:rsid w:val="00D90B96"/>
    <w:rsid w:val="00D93D55"/>
    <w:rsid w:val="00DC17E3"/>
    <w:rsid w:val="00DC1EEE"/>
    <w:rsid w:val="00DD7B7F"/>
    <w:rsid w:val="00E11467"/>
    <w:rsid w:val="00E15015"/>
    <w:rsid w:val="00E15F75"/>
    <w:rsid w:val="00E17738"/>
    <w:rsid w:val="00E23ECB"/>
    <w:rsid w:val="00E319DF"/>
    <w:rsid w:val="00E335FE"/>
    <w:rsid w:val="00E37EB5"/>
    <w:rsid w:val="00E66CC5"/>
    <w:rsid w:val="00E91C3A"/>
    <w:rsid w:val="00EA2B00"/>
    <w:rsid w:val="00EA7D6E"/>
    <w:rsid w:val="00EB08B5"/>
    <w:rsid w:val="00EB2F76"/>
    <w:rsid w:val="00EC4E49"/>
    <w:rsid w:val="00ED6EB7"/>
    <w:rsid w:val="00ED77FB"/>
    <w:rsid w:val="00EE045B"/>
    <w:rsid w:val="00EE307E"/>
    <w:rsid w:val="00EE45FA"/>
    <w:rsid w:val="00F043DE"/>
    <w:rsid w:val="00F10E7C"/>
    <w:rsid w:val="00F1217E"/>
    <w:rsid w:val="00F248CE"/>
    <w:rsid w:val="00F66152"/>
    <w:rsid w:val="00F76CB4"/>
    <w:rsid w:val="00F90C07"/>
    <w:rsid w:val="00F9165B"/>
    <w:rsid w:val="00FA17DA"/>
    <w:rsid w:val="00FA3F6C"/>
    <w:rsid w:val="00FA6CAF"/>
    <w:rsid w:val="00FC482F"/>
    <w:rsid w:val="00FD0B86"/>
    <w:rsid w:val="00FD42BF"/>
    <w:rsid w:val="00FE27E3"/>
    <w:rsid w:val="00FE5D7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26D907"/>
  <w15:docId w15:val="{08C4CEF2-975C-4FCB-8520-2438283C5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34"/>
    <w:qFormat/>
    <w:rsid w:val="0079149A"/>
    <w:pPr>
      <w:ind w:left="720"/>
      <w:contextualSpacing/>
    </w:pPr>
  </w:style>
  <w:style w:type="character" w:styleId="FootnoteReference">
    <w:name w:val="footnote reference"/>
    <w:basedOn w:val="DefaultParagraphFont"/>
    <w:semiHidden/>
    <w:unhideWhenUsed/>
    <w:rsid w:val="004852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ussef\AppData\Local\Microsoft\Windows\INetCache\Content.Outlook\U45UWUZY\CWS_1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6201F-B55F-47A9-A7F9-C92F372A7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CWS_13_AR</Template>
  <TotalTime>1</TotalTime>
  <Pages>3</Pages>
  <Words>1176</Words>
  <Characters>6706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CWS/13/ (Arabic)</vt:lpstr>
    </vt:vector>
  </TitlesOfParts>
  <Company>WIPO</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PCT/WG/19/4</dc:title>
  <dc:creator>YOUSSEF Randa</dc:creator>
  <cp:keywords>FOR OFFICIAL USE ONLY</cp:keywords>
  <cp:lastModifiedBy>MARLOW Thomas</cp:lastModifiedBy>
  <cp:revision>2</cp:revision>
  <cp:lastPrinted>2025-12-30T13:31:00Z</cp:lastPrinted>
  <dcterms:created xsi:type="dcterms:W3CDTF">2026-01-13T16:56:00Z</dcterms:created>
  <dcterms:modified xsi:type="dcterms:W3CDTF">2026-01-13T16:56:00Z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fb579b81-4821-48d9-a92c-679b3f27fe89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2025-06-12T15:25:33Z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140cc1b5-2a44-45b6-8df9-18edf8a136fe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