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FC1F" w14:textId="79BAE9A9" w:rsidR="008B2CC1" w:rsidRPr="006F5D65" w:rsidRDefault="009727A1" w:rsidP="009727A1">
      <w:pPr>
        <w:bidi w:val="0"/>
        <w:rPr>
          <w:rFonts w:ascii="Arial Black" w:hAnsi="Arial Black"/>
          <w:caps/>
          <w:sz w:val="15"/>
          <w:szCs w:val="15"/>
          <w:rtl/>
          <w:lang w:val="fr-CH" w:bidi="ar-SY"/>
        </w:rPr>
      </w:pPr>
      <w:r w:rsidRPr="009727A1">
        <w:rPr>
          <w:rFonts w:ascii="Arial Black" w:hAnsi="Arial Black"/>
          <w:caps/>
          <w:sz w:val="15"/>
          <w:szCs w:val="15"/>
        </w:rPr>
        <w:t>PCT/WG/17 Paper No. 1</w:t>
      </w:r>
    </w:p>
    <w:p w14:paraId="212B2314" w14:textId="77777777" w:rsidR="008B2CC1" w:rsidRPr="00E6700A" w:rsidRDefault="00CC3E2D" w:rsidP="00CC3E2D">
      <w:pPr>
        <w:jc w:val="right"/>
        <w:rPr>
          <w:rFonts w:asciiTheme="minorHAnsi" w:hAnsiTheme="minorHAnsi" w:cstheme="minorHAnsi"/>
          <w:b/>
          <w:bCs/>
          <w:caps/>
          <w:sz w:val="15"/>
          <w:szCs w:val="15"/>
          <w:rtl/>
          <w:lang w:val="fr-CH" w:bidi="ar-SY"/>
        </w:rPr>
      </w:pPr>
      <w:bookmarkStart w:id="0" w:name="Original"/>
      <w:r w:rsidRPr="00E6700A">
        <w:rPr>
          <w:rFonts w:asciiTheme="minorHAnsi" w:hAnsiTheme="minorHAnsi" w:cstheme="minorHAnsi" w:hint="cs"/>
          <w:b/>
          <w:bCs/>
          <w:caps/>
          <w:sz w:val="15"/>
          <w:szCs w:val="15"/>
          <w:rtl/>
        </w:rPr>
        <w:t xml:space="preserve">الأصل: </w:t>
      </w:r>
      <w:r w:rsidR="00D60E63" w:rsidRPr="00E6700A">
        <w:rPr>
          <w:rFonts w:asciiTheme="minorHAnsi" w:hAnsiTheme="minorHAnsi" w:cstheme="minorHAnsi" w:hint="cs"/>
          <w:b/>
          <w:bCs/>
          <w:caps/>
          <w:sz w:val="15"/>
          <w:szCs w:val="15"/>
          <w:rtl/>
          <w:lang w:val="fr-CH" w:bidi="ar-SY"/>
        </w:rPr>
        <w:t>بالإنكليزية</w:t>
      </w:r>
    </w:p>
    <w:p w14:paraId="0EED8CD0" w14:textId="4343F1BE" w:rsidR="008B2CC1" w:rsidRPr="00CC3E2D" w:rsidRDefault="00D60E63" w:rsidP="006F5D65">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6F5D65">
        <w:rPr>
          <w:rFonts w:asciiTheme="minorHAnsi" w:hAnsiTheme="minorHAnsi" w:cstheme="minorHAnsi" w:hint="cs"/>
          <w:b/>
          <w:bCs/>
          <w:caps/>
          <w:sz w:val="15"/>
          <w:szCs w:val="15"/>
          <w:rtl/>
        </w:rPr>
        <w:t xml:space="preserve"> </w:t>
      </w:r>
      <w:r w:rsidR="009727A1">
        <w:rPr>
          <w:rFonts w:asciiTheme="minorHAnsi" w:hAnsiTheme="minorHAnsi" w:cstheme="minorHAnsi" w:hint="cs"/>
          <w:b/>
          <w:bCs/>
          <w:caps/>
          <w:sz w:val="15"/>
          <w:szCs w:val="15"/>
          <w:rtl/>
        </w:rPr>
        <w:t>9</w:t>
      </w:r>
      <w:r w:rsidR="006F5D65">
        <w:rPr>
          <w:rFonts w:asciiTheme="minorHAnsi" w:hAnsiTheme="minorHAnsi" w:cstheme="minorHAnsi" w:hint="cs"/>
          <w:b/>
          <w:bCs/>
          <w:caps/>
          <w:sz w:val="15"/>
          <w:szCs w:val="15"/>
          <w:rtl/>
        </w:rPr>
        <w:t xml:space="preserve"> </w:t>
      </w:r>
      <w:r w:rsidR="009727A1">
        <w:rPr>
          <w:rFonts w:asciiTheme="minorHAnsi" w:hAnsiTheme="minorHAnsi" w:cstheme="minorHAnsi" w:hint="cs"/>
          <w:b/>
          <w:bCs/>
          <w:caps/>
          <w:sz w:val="15"/>
          <w:szCs w:val="15"/>
          <w:rtl/>
        </w:rPr>
        <w:t>فبراير</w:t>
      </w:r>
      <w:r w:rsidR="006F5D65">
        <w:rPr>
          <w:rFonts w:asciiTheme="minorHAnsi" w:hAnsiTheme="minorHAnsi" w:cstheme="minorHAnsi" w:hint="cs"/>
          <w:b/>
          <w:bCs/>
          <w:caps/>
          <w:sz w:val="15"/>
          <w:szCs w:val="15"/>
          <w:rtl/>
        </w:rPr>
        <w:t xml:space="preserve"> </w:t>
      </w:r>
      <w:r w:rsidR="00C32887">
        <w:rPr>
          <w:rFonts w:asciiTheme="minorHAnsi" w:hAnsiTheme="minorHAnsi" w:cstheme="minorHAnsi" w:hint="cs"/>
          <w:b/>
          <w:bCs/>
          <w:caps/>
          <w:sz w:val="15"/>
          <w:szCs w:val="15"/>
          <w:rtl/>
        </w:rPr>
        <w:t>2024</w:t>
      </w:r>
    </w:p>
    <w:bookmarkEnd w:id="1"/>
    <w:p w14:paraId="4A3FB32C" w14:textId="77777777" w:rsidR="008B2CC1" w:rsidRPr="00D67EAE" w:rsidRDefault="00D60E63" w:rsidP="00DA31B9">
      <w:pPr>
        <w:pStyle w:val="Heading1"/>
      </w:pPr>
      <w:r>
        <w:rPr>
          <w:rFonts w:hint="cs"/>
          <w:rtl/>
        </w:rPr>
        <w:t>ا</w:t>
      </w:r>
      <w:r w:rsidRPr="00D60E63">
        <w:rPr>
          <w:rtl/>
        </w:rPr>
        <w:t>لفريق العامل لمعاهدة التعاون بشأن البراءات</w:t>
      </w:r>
    </w:p>
    <w:p w14:paraId="08C96DE3" w14:textId="3B8F2EC9" w:rsidR="00A90F0A" w:rsidRPr="00D67EAE" w:rsidRDefault="00D60E63" w:rsidP="0028264B">
      <w:pPr>
        <w:outlineLvl w:val="1"/>
        <w:rPr>
          <w:rFonts w:asciiTheme="minorHAnsi" w:hAnsiTheme="minorHAnsi" w:cstheme="minorHAnsi"/>
          <w:bCs/>
          <w:sz w:val="24"/>
          <w:szCs w:val="24"/>
        </w:rPr>
      </w:pPr>
      <w:r w:rsidRPr="00D60E63">
        <w:rPr>
          <w:rFonts w:asciiTheme="minorHAnsi" w:hAnsiTheme="minorHAnsi"/>
          <w:bCs/>
          <w:sz w:val="24"/>
          <w:szCs w:val="24"/>
          <w:rtl/>
        </w:rPr>
        <w:t>الدورة ال</w:t>
      </w:r>
      <w:r w:rsidR="0028264B">
        <w:rPr>
          <w:rFonts w:asciiTheme="minorHAnsi" w:hAnsiTheme="minorHAnsi" w:hint="cs"/>
          <w:bCs/>
          <w:sz w:val="24"/>
          <w:szCs w:val="24"/>
          <w:rtl/>
        </w:rPr>
        <w:t>س</w:t>
      </w:r>
      <w:r w:rsidR="00C606D4">
        <w:rPr>
          <w:rFonts w:asciiTheme="minorHAnsi" w:hAnsiTheme="minorHAnsi" w:hint="cs"/>
          <w:bCs/>
          <w:sz w:val="24"/>
          <w:szCs w:val="24"/>
          <w:rtl/>
        </w:rPr>
        <w:t>ا</w:t>
      </w:r>
      <w:r w:rsidR="00C32887">
        <w:rPr>
          <w:rFonts w:asciiTheme="minorHAnsi" w:hAnsiTheme="minorHAnsi" w:hint="cs"/>
          <w:bCs/>
          <w:sz w:val="24"/>
          <w:szCs w:val="24"/>
          <w:rtl/>
        </w:rPr>
        <w:t>بع</w:t>
      </w:r>
      <w:r w:rsidRPr="00D60E63">
        <w:rPr>
          <w:rFonts w:asciiTheme="minorHAnsi" w:hAnsiTheme="minorHAnsi"/>
          <w:bCs/>
          <w:sz w:val="24"/>
          <w:szCs w:val="24"/>
          <w:rtl/>
        </w:rPr>
        <w:t>ة عشرة</w:t>
      </w:r>
    </w:p>
    <w:p w14:paraId="32895B35" w14:textId="47EF16FD" w:rsidR="008B2CC1" w:rsidRPr="00D67EAE" w:rsidRDefault="00D67EAE" w:rsidP="0028264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32887">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إلى </w:t>
      </w:r>
      <w:r w:rsidR="00C32887">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w:t>
      </w:r>
      <w:r w:rsidR="0028264B">
        <w:rPr>
          <w:rFonts w:asciiTheme="minorHAnsi" w:hAnsiTheme="minorHAnsi" w:cstheme="minorHAnsi" w:hint="cs"/>
          <w:bCs/>
          <w:sz w:val="24"/>
          <w:szCs w:val="24"/>
          <w:rtl/>
        </w:rPr>
        <w:t>فبراير 202</w:t>
      </w:r>
      <w:r w:rsidR="00C32887">
        <w:rPr>
          <w:rFonts w:asciiTheme="minorHAnsi" w:hAnsiTheme="minorHAnsi" w:cstheme="minorHAnsi" w:hint="cs"/>
          <w:bCs/>
          <w:sz w:val="24"/>
          <w:szCs w:val="24"/>
          <w:rtl/>
        </w:rPr>
        <w:t>4</w:t>
      </w:r>
    </w:p>
    <w:p w14:paraId="5A7CCD81" w14:textId="66020258" w:rsidR="008B2CC1" w:rsidRPr="00D67EAE" w:rsidRDefault="00D24D4C" w:rsidP="00D24D4C">
      <w:pPr>
        <w:spacing w:after="360"/>
        <w:outlineLvl w:val="0"/>
        <w:rPr>
          <w:rFonts w:asciiTheme="minorHAnsi" w:hAnsiTheme="minorHAnsi" w:cstheme="minorHAnsi"/>
          <w:caps/>
          <w:sz w:val="24"/>
        </w:rPr>
      </w:pPr>
      <w:bookmarkStart w:id="2" w:name="TitleOfDoc"/>
      <w:r w:rsidRPr="00D24D4C">
        <w:rPr>
          <w:rFonts w:asciiTheme="minorHAnsi" w:hAnsiTheme="minorHAnsi"/>
          <w:caps/>
          <w:sz w:val="28"/>
          <w:szCs w:val="24"/>
          <w:rtl/>
          <w:lang w:bidi="ar-EG"/>
        </w:rPr>
        <w:t>معايير تخفيض الرسوم</w:t>
      </w:r>
      <w:r>
        <w:rPr>
          <w:rFonts w:asciiTheme="minorHAnsi" w:hAnsiTheme="minorHAnsi" w:hint="cs"/>
          <w:caps/>
          <w:sz w:val="28"/>
          <w:szCs w:val="24"/>
          <w:rtl/>
          <w:lang w:bidi="ar-EG"/>
        </w:rPr>
        <w:t>: منهجية الحساب</w:t>
      </w:r>
    </w:p>
    <w:p w14:paraId="05A452E0" w14:textId="72B8C3B6" w:rsidR="00B37528" w:rsidRPr="00B37528" w:rsidRDefault="00B37528" w:rsidP="00B37528">
      <w:pPr>
        <w:pStyle w:val="ONUMA"/>
        <w:rPr>
          <w:rtl/>
          <w:lang w:bidi="ar-EG"/>
        </w:rPr>
      </w:pPr>
      <w:bookmarkStart w:id="3" w:name="Prepared"/>
      <w:bookmarkEnd w:id="2"/>
      <w:bookmarkEnd w:id="3"/>
      <w:r w:rsidRPr="00B37528">
        <w:rPr>
          <w:rtl/>
          <w:lang w:bidi="ar-EG"/>
        </w:rPr>
        <w:t>ينص البند 5(أ) من جدول الرسوم على تخفيضات في الرسوم على الطلبات الدولية التي يودعها شخص طبيعي من مواطني دولة من الدول المدرجة في القائمة التي تستوفي معايير معينة استناداً إلى نصيب الفرد من الناتج المحلي الإجمالي وأعداد إيداعات البراءات من قبل مواطني تلك البلدان والمقيمين فيها. وتتطلب التوجيهات تحديث القائمة كل خمس سنوات على الأقل ومراجعة المعايير (انظر</w:t>
      </w:r>
      <w:r>
        <w:rPr>
          <w:rFonts w:hint="cs"/>
          <w:rtl/>
          <w:lang w:bidi="ar-EG"/>
        </w:rPr>
        <w:t>(ي)</w:t>
      </w:r>
      <w:r w:rsidRPr="00B37528">
        <w:rPr>
          <w:rtl/>
          <w:lang w:bidi="ar-EG"/>
        </w:rPr>
        <w:t xml:space="preserve"> المرفق الثاني من الوثيقة </w:t>
      </w:r>
      <w:r w:rsidRPr="00B37528">
        <w:rPr>
          <w:lang w:bidi="ar-EG"/>
        </w:rPr>
        <w:t>PCT/A/46/6</w:t>
      </w:r>
      <w:r w:rsidRPr="00B37528">
        <w:rPr>
          <w:rtl/>
          <w:lang w:bidi="ar-EG"/>
        </w:rPr>
        <w:t>).</w:t>
      </w:r>
    </w:p>
    <w:p w14:paraId="0DECC9B2" w14:textId="286BD5A3" w:rsidR="00B37528" w:rsidRPr="00B37528" w:rsidRDefault="00B37528" w:rsidP="00B37528">
      <w:pPr>
        <w:pStyle w:val="ONUMA"/>
        <w:rPr>
          <w:rtl/>
          <w:lang w:bidi="ar-EG"/>
        </w:rPr>
      </w:pPr>
      <w:r>
        <w:rPr>
          <w:rFonts w:hint="cs"/>
          <w:rtl/>
          <w:lang w:bidi="ar-EG"/>
        </w:rPr>
        <w:t xml:space="preserve">وقد </w:t>
      </w:r>
      <w:r w:rsidRPr="00B37528">
        <w:rPr>
          <w:rtl/>
          <w:lang w:bidi="ar-EG"/>
        </w:rPr>
        <w:t>التمست الدول المتعاقدة، بشكل غير رسمي، تفاصيل عن مصدر ومنهجية الأرقام المحسوبة.</w:t>
      </w:r>
    </w:p>
    <w:p w14:paraId="1A01630C" w14:textId="143CBB17" w:rsidR="00B37528" w:rsidRPr="00B37528" w:rsidRDefault="00B37528" w:rsidP="00B37528">
      <w:pPr>
        <w:pStyle w:val="ONUMA"/>
        <w:rPr>
          <w:rtl/>
          <w:lang w:bidi="ar-EG"/>
        </w:rPr>
      </w:pPr>
      <w:r>
        <w:rPr>
          <w:rFonts w:hint="cs"/>
          <w:rtl/>
          <w:lang w:bidi="ar-EG"/>
        </w:rPr>
        <w:t>و</w:t>
      </w:r>
      <w:r w:rsidRPr="00B37528">
        <w:rPr>
          <w:rtl/>
          <w:lang w:bidi="ar-EG"/>
        </w:rPr>
        <w:t>الجزء المتعلق بالناتج المحلي الإجمالي من المعايير هو:</w:t>
      </w:r>
    </w:p>
    <w:p w14:paraId="60920416" w14:textId="32F35E27" w:rsidR="009B0855" w:rsidRDefault="00B37528" w:rsidP="00B37528">
      <w:pPr>
        <w:pStyle w:val="BodyText"/>
        <w:ind w:left="566"/>
        <w:rPr>
          <w:lang w:bidi="ar-EG"/>
        </w:rPr>
      </w:pPr>
      <w:r>
        <w:rPr>
          <w:rFonts w:hint="cs"/>
          <w:rtl/>
          <w:lang w:bidi="ar-EG"/>
        </w:rPr>
        <w:t>"</w:t>
      </w:r>
      <w:r w:rsidR="000C7BD9">
        <w:rPr>
          <w:rFonts w:hint="cs"/>
          <w:rtl/>
          <w:lang w:bidi="ar-EG"/>
        </w:rPr>
        <w:t>...</w:t>
      </w:r>
      <w:r w:rsidRPr="00B37528">
        <w:rPr>
          <w:rtl/>
          <w:lang w:bidi="ar-EG"/>
        </w:rPr>
        <w:t xml:space="preserve">دولة مدرجة ضمن الدول التي يقلّ نصيب الفرد فيها من الناتج المحلي الإجمالي عن 25,000 دولار أمريكي (وفقا لأرقام متوسط نصيب الفرد من الناتج المحلي الإجمالي في السنوات العشر الأخيرة بالقيم الثابتة للدولار الأمريكي </w:t>
      </w:r>
      <w:r w:rsidR="00970184">
        <w:rPr>
          <w:rFonts w:hint="cs"/>
          <w:rtl/>
          <w:lang w:bidi="ar-EG"/>
        </w:rPr>
        <w:t>ل</w:t>
      </w:r>
      <w:r w:rsidRPr="00B37528">
        <w:rPr>
          <w:rtl/>
          <w:lang w:bidi="ar-EG"/>
        </w:rPr>
        <w:t>سنة 2005 التي نشرتها الأمم المتحدة)</w:t>
      </w:r>
      <w:r w:rsidR="000C7BD9">
        <w:rPr>
          <w:rFonts w:hint="cs"/>
          <w:rtl/>
          <w:lang w:bidi="ar-EG"/>
        </w:rPr>
        <w:t>.</w:t>
      </w:r>
    </w:p>
    <w:p w14:paraId="5CB39C01" w14:textId="6890E648" w:rsidR="00D60E63" w:rsidRDefault="000C7BD9" w:rsidP="000C7BD9">
      <w:pPr>
        <w:pStyle w:val="ONUMA"/>
        <w:rPr>
          <w:lang w:bidi="ar-EG"/>
        </w:rPr>
      </w:pPr>
      <w:r w:rsidRPr="000C7BD9">
        <w:rPr>
          <w:rtl/>
          <w:lang w:bidi="ar-EG"/>
        </w:rPr>
        <w:t xml:space="preserve">وترد المتوسطات المحسوبة للسنوات العشر في مرفق الوثيقة </w:t>
      </w:r>
      <w:r w:rsidRPr="000C7BD9">
        <w:rPr>
          <w:lang w:bidi="ar-EG"/>
        </w:rPr>
        <w:t>PCT/WG/17/5 Rev.</w:t>
      </w:r>
      <w:r>
        <w:rPr>
          <w:rFonts w:hint="cs"/>
          <w:rtl/>
          <w:lang w:bidi="ar-EG"/>
        </w:rPr>
        <w:t>. وفيما يلي منهجية الحساب.</w:t>
      </w:r>
    </w:p>
    <w:p w14:paraId="67D0CD2F" w14:textId="388B3579" w:rsidR="0028264B" w:rsidRDefault="000C7BD9" w:rsidP="000C7BD9">
      <w:pPr>
        <w:pStyle w:val="ONUMA"/>
        <w:rPr>
          <w:lang w:bidi="ar-EG"/>
        </w:rPr>
      </w:pPr>
      <w:r w:rsidRPr="000C7BD9">
        <w:rPr>
          <w:rtl/>
          <w:lang w:bidi="ar-EG"/>
        </w:rPr>
        <w:t xml:space="preserve">ومصدر البيانات هو شعبة الإحصاءات </w:t>
      </w:r>
      <w:r>
        <w:rPr>
          <w:rFonts w:hint="cs"/>
          <w:rtl/>
          <w:lang w:bidi="ar-EG"/>
        </w:rPr>
        <w:t>التابعة</w:t>
      </w:r>
      <w:r w:rsidRPr="000C7BD9">
        <w:rPr>
          <w:rtl/>
          <w:lang w:bidi="ar-EG"/>
        </w:rPr>
        <w:t xml:space="preserve"> </w:t>
      </w:r>
      <w:r>
        <w:rPr>
          <w:rFonts w:hint="cs"/>
          <w:rtl/>
          <w:lang w:bidi="ar-EG"/>
        </w:rPr>
        <w:t>ل</w:t>
      </w:r>
      <w:r w:rsidRPr="000C7BD9">
        <w:rPr>
          <w:rtl/>
          <w:lang w:bidi="ar-EG"/>
        </w:rPr>
        <w:t>لأمم المتحدة</w:t>
      </w:r>
      <w:r w:rsidR="00AD2EB1">
        <w:rPr>
          <w:rStyle w:val="FootnoteReference"/>
          <w:rtl/>
          <w:lang w:bidi="ar-EG"/>
        </w:rPr>
        <w:footnoteReference w:id="2"/>
      </w:r>
      <w:r w:rsidRPr="000C7BD9">
        <w:rPr>
          <w:rtl/>
          <w:lang w:bidi="ar-EG"/>
        </w:rPr>
        <w:t xml:space="preserve">، باستخدام أرقام الفترة من عام 2013 إلى عام 2022، بصيغتها المحدثة في يناير 2024. ولم تعد القيم الثابتة </w:t>
      </w:r>
      <w:r w:rsidR="00E40B19">
        <w:rPr>
          <w:rFonts w:hint="cs"/>
          <w:rtl/>
          <w:lang w:bidi="ar-EG"/>
        </w:rPr>
        <w:t>ل</w:t>
      </w:r>
      <w:r w:rsidR="00E40B19" w:rsidRPr="000C7BD9">
        <w:rPr>
          <w:rtl/>
          <w:lang w:bidi="ar-EG"/>
        </w:rPr>
        <w:t xml:space="preserve">لدولار الأمريكي </w:t>
      </w:r>
      <w:r w:rsidR="00E40B19">
        <w:rPr>
          <w:rFonts w:hint="cs"/>
          <w:rtl/>
          <w:lang w:bidi="ar-EG"/>
        </w:rPr>
        <w:t xml:space="preserve">في </w:t>
      </w:r>
      <w:r w:rsidRPr="000C7BD9">
        <w:rPr>
          <w:rtl/>
          <w:lang w:bidi="ar-EG"/>
        </w:rPr>
        <w:t xml:space="preserve">عام 2005 المشار إليها في جدول الرسوم </w:t>
      </w:r>
      <w:r w:rsidR="00E40B19">
        <w:rPr>
          <w:rFonts w:hint="cs"/>
          <w:rtl/>
          <w:lang w:bidi="ar-EG"/>
        </w:rPr>
        <w:t>تُنشر</w:t>
      </w:r>
      <w:r w:rsidRPr="000C7BD9">
        <w:rPr>
          <w:rtl/>
          <w:lang w:bidi="ar-EG"/>
        </w:rPr>
        <w:t xml:space="preserve"> بشكل مباشر، وبالتالي فهي محسوبة من </w:t>
      </w:r>
      <w:r w:rsidR="00E40B19">
        <w:rPr>
          <w:rFonts w:hint="cs"/>
          <w:rtl/>
          <w:lang w:bidi="ar-EG"/>
        </w:rPr>
        <w:t>المصدرين</w:t>
      </w:r>
      <w:r w:rsidRPr="000C7BD9">
        <w:rPr>
          <w:rtl/>
          <w:lang w:bidi="ar-EG"/>
        </w:rPr>
        <w:t xml:space="preserve"> التالي</w:t>
      </w:r>
      <w:r w:rsidR="00E40B19">
        <w:rPr>
          <w:rFonts w:hint="cs"/>
          <w:rtl/>
          <w:lang w:bidi="ar-EG"/>
        </w:rPr>
        <w:t>ين</w:t>
      </w:r>
      <w:r>
        <w:rPr>
          <w:rFonts w:hint="cs"/>
          <w:rtl/>
          <w:lang w:bidi="ar-EG"/>
        </w:rPr>
        <w:t>:</w:t>
      </w:r>
    </w:p>
    <w:p w14:paraId="45F3C615" w14:textId="09B694A0" w:rsidR="00E40B19" w:rsidRDefault="00B07D4E" w:rsidP="00FB552B">
      <w:pPr>
        <w:pStyle w:val="BodyText"/>
        <w:ind w:left="566"/>
        <w:rPr>
          <w:rtl/>
          <w:lang w:bidi="ar-EG"/>
        </w:rPr>
      </w:pPr>
      <w:r>
        <w:rPr>
          <w:rFonts w:hint="cs"/>
          <w:rtl/>
          <w:lang w:bidi="ar-EG"/>
        </w:rPr>
        <w:t>(أ)</w:t>
      </w:r>
      <w:r>
        <w:rPr>
          <w:rtl/>
          <w:lang w:bidi="ar-EG"/>
        </w:rPr>
        <w:tab/>
      </w:r>
      <w:r w:rsidR="00280626" w:rsidRPr="00280626">
        <w:rPr>
          <w:rtl/>
          <w:lang w:bidi="ar-EG"/>
        </w:rPr>
        <w:t>الناتج المحلي الإجمالي، نصيب الفرد من الناتج المحلي الإجمالي بالأسعار الثابتة</w:t>
      </w:r>
      <w:r w:rsidR="00280626">
        <w:rPr>
          <w:rFonts w:hint="cs"/>
          <w:rtl/>
          <w:lang w:bidi="ar-EG"/>
        </w:rPr>
        <w:t xml:space="preserve"> </w:t>
      </w:r>
      <w:r w:rsidR="00970184">
        <w:rPr>
          <w:rFonts w:hint="cs"/>
          <w:rtl/>
          <w:lang w:bidi="ar-EG"/>
        </w:rPr>
        <w:t>ل</w:t>
      </w:r>
      <w:r w:rsidR="00280626">
        <w:rPr>
          <w:rFonts w:hint="cs"/>
          <w:rtl/>
          <w:lang w:bidi="ar-EG"/>
        </w:rPr>
        <w:t>سنة</w:t>
      </w:r>
      <w:r w:rsidR="00280626" w:rsidRPr="00280626">
        <w:rPr>
          <w:rtl/>
          <w:lang w:bidi="ar-EG"/>
        </w:rPr>
        <w:t xml:space="preserve"> </w:t>
      </w:r>
      <w:r w:rsidR="00280626" w:rsidRPr="00280626">
        <w:rPr>
          <w:lang w:bidi="ar-EG"/>
        </w:rPr>
        <w:t>YYYY</w:t>
      </w:r>
      <w:r w:rsidR="00280626" w:rsidRPr="00280626">
        <w:rPr>
          <w:rtl/>
          <w:lang w:bidi="ar-EG"/>
        </w:rPr>
        <w:t xml:space="preserve"> - </w:t>
      </w:r>
      <w:r w:rsidR="00FB552B" w:rsidRPr="00FB552B">
        <w:rPr>
          <w:rtl/>
          <w:lang w:bidi="ar-EG"/>
        </w:rPr>
        <w:t xml:space="preserve">دولار أمريكي </w:t>
      </w:r>
      <w:r w:rsidR="00280626" w:rsidRPr="00280626">
        <w:rPr>
          <w:rtl/>
          <w:lang w:bidi="ar-EG"/>
        </w:rPr>
        <w:t>(حيث</w:t>
      </w:r>
      <w:r w:rsidR="00280626">
        <w:rPr>
          <w:rFonts w:hint="cs"/>
          <w:rtl/>
          <w:lang w:bidi="ar-EG"/>
        </w:rPr>
        <w:t xml:space="preserve"> تُعد سنة</w:t>
      </w:r>
      <w:r w:rsidR="00280626" w:rsidRPr="00280626">
        <w:rPr>
          <w:rtl/>
          <w:lang w:bidi="ar-EG"/>
        </w:rPr>
        <w:t xml:space="preserve"> </w:t>
      </w:r>
      <w:r w:rsidR="00280626" w:rsidRPr="00280626">
        <w:rPr>
          <w:lang w:bidi="ar-EG"/>
        </w:rPr>
        <w:t>YYYY</w:t>
      </w:r>
      <w:r w:rsidR="00280626" w:rsidRPr="00280626">
        <w:rPr>
          <w:rtl/>
          <w:lang w:bidi="ar-EG"/>
        </w:rPr>
        <w:t xml:space="preserve"> السنة التي يتم مباشرة توفير الأسعار الثابتة </w:t>
      </w:r>
      <w:r w:rsidR="00280626">
        <w:rPr>
          <w:rFonts w:hint="cs"/>
          <w:rtl/>
          <w:lang w:bidi="ar-EG"/>
        </w:rPr>
        <w:t>بخصوصها</w:t>
      </w:r>
      <w:r w:rsidR="00280626" w:rsidRPr="00280626">
        <w:rPr>
          <w:rtl/>
          <w:lang w:bidi="ar-EG"/>
        </w:rPr>
        <w:t xml:space="preserve">، </w:t>
      </w:r>
      <w:r w:rsidR="00280626">
        <w:rPr>
          <w:rFonts w:hint="cs"/>
          <w:rtl/>
          <w:lang w:bidi="ar-EG"/>
        </w:rPr>
        <w:t xml:space="preserve">وهي حالياً </w:t>
      </w:r>
      <w:r w:rsidR="00280626" w:rsidRPr="00280626">
        <w:rPr>
          <w:rtl/>
          <w:lang w:bidi="ar-EG"/>
        </w:rPr>
        <w:t>2015)؛</w:t>
      </w:r>
    </w:p>
    <w:p w14:paraId="1864EC19" w14:textId="622C2070" w:rsidR="00280626" w:rsidRDefault="00280626" w:rsidP="00FB552B">
      <w:pPr>
        <w:pStyle w:val="BodyText"/>
        <w:ind w:left="566"/>
        <w:rPr>
          <w:rtl/>
          <w:lang w:bidi="ar-EG"/>
        </w:rPr>
      </w:pPr>
      <w:r>
        <w:rPr>
          <w:rFonts w:hint="cs"/>
          <w:rtl/>
          <w:lang w:bidi="ar-EG"/>
        </w:rPr>
        <w:t>(ب)</w:t>
      </w:r>
      <w:r>
        <w:rPr>
          <w:rtl/>
          <w:lang w:bidi="ar-EG"/>
        </w:rPr>
        <w:tab/>
      </w:r>
      <w:r w:rsidRPr="00280626">
        <w:rPr>
          <w:rtl/>
          <w:lang w:bidi="ar-EG"/>
        </w:rPr>
        <w:t xml:space="preserve">الناتج المحلي الإجمالي، معاملات انكماش الأسعار الضمنية - </w:t>
      </w:r>
      <w:r w:rsidR="00FB552B" w:rsidRPr="00FB552B">
        <w:rPr>
          <w:rtl/>
          <w:lang w:bidi="ar-EG"/>
        </w:rPr>
        <w:t>دولار أمريكي</w:t>
      </w:r>
      <w:r>
        <w:rPr>
          <w:rFonts w:hint="cs"/>
          <w:rtl/>
          <w:lang w:bidi="ar-EG"/>
        </w:rPr>
        <w:t>.</w:t>
      </w:r>
    </w:p>
    <w:p w14:paraId="7F316520" w14:textId="6B8D2694" w:rsidR="00280626" w:rsidRDefault="00F64C01" w:rsidP="00280626">
      <w:pPr>
        <w:pStyle w:val="ONUMA"/>
        <w:rPr>
          <w:lang w:bidi="ar-EG"/>
        </w:rPr>
      </w:pPr>
      <w:r w:rsidRPr="00F64C01">
        <w:rPr>
          <w:rtl/>
          <w:lang w:bidi="ar-EG"/>
        </w:rPr>
        <w:t>وتوفر معاملات انكماش الأسعار الضمنية عامل تصحيح، مما يسمح بإظهار القيم التي كانت ستظهر للأسعار الثابتة بالدولار وفقا</w:t>
      </w:r>
      <w:r>
        <w:rPr>
          <w:rFonts w:hint="cs"/>
          <w:rtl/>
          <w:lang w:bidi="ar-EG"/>
        </w:rPr>
        <w:t>ً</w:t>
      </w:r>
      <w:r w:rsidRPr="00F64C01">
        <w:rPr>
          <w:rtl/>
          <w:lang w:bidi="ar-EG"/>
        </w:rPr>
        <w:t xml:space="preserve"> لأي سنة أخرى تتوافر عنها البيانات. وعامل التصحيح هو 100% للسنة التي تتوفر فيها القيم الثابتة الحالية بالدولار (2015). وتختلف النسب المئوية لكل بلد وسنة.  فعلى سبيل المثال، القيم الخاصة بسويسرا والسنوات المختارة هي كما يلي</w:t>
      </w:r>
      <w:r>
        <w:rPr>
          <w:rStyle w:val="FootnoteReference"/>
          <w:rtl/>
          <w:lang w:bidi="ar-EG"/>
        </w:rPr>
        <w:footnoteReference w:id="3"/>
      </w:r>
      <w:r>
        <w:rPr>
          <w:rFonts w:hint="cs"/>
          <w:rtl/>
          <w:lang w:bidi="ar-EG"/>
        </w:rPr>
        <w:t>:</w:t>
      </w:r>
    </w:p>
    <w:tbl>
      <w:tblPr>
        <w:bidiVisual/>
        <w:tblW w:w="504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43"/>
        <w:gridCol w:w="982"/>
        <w:gridCol w:w="675"/>
        <w:gridCol w:w="1822"/>
        <w:gridCol w:w="2402"/>
        <w:gridCol w:w="1890"/>
      </w:tblGrid>
      <w:tr w:rsidR="00F64C01" w:rsidRPr="00F64C01" w14:paraId="4D162338" w14:textId="77777777" w:rsidTr="00F64C01">
        <w:trPr>
          <w:tblHeader/>
        </w:trPr>
        <w:tc>
          <w:tcPr>
            <w:tcW w:w="883"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A491675" w14:textId="388722BD" w:rsidR="00F64C01" w:rsidRPr="00F64C01" w:rsidRDefault="00F64C01" w:rsidP="00F64C01">
            <w:pPr>
              <w:pStyle w:val="BodyText"/>
              <w:rPr>
                <w:b/>
                <w:bCs/>
                <w:lang w:val="en-GB" w:bidi="ar-EG"/>
              </w:rPr>
            </w:pPr>
            <w:r>
              <w:rPr>
                <w:rFonts w:hint="cs"/>
                <w:b/>
                <w:bCs/>
                <w:rtl/>
                <w:lang w:val="en-GB" w:bidi="ar-EG"/>
              </w:rPr>
              <w:lastRenderedPageBreak/>
              <w:t>البلد/المنطقة</w:t>
            </w:r>
          </w:p>
        </w:tc>
        <w:tc>
          <w:tcPr>
            <w:tcW w:w="532"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0EF6883" w14:textId="1CF94A92" w:rsidR="00F64C01" w:rsidRPr="00F64C01" w:rsidRDefault="00F64C01" w:rsidP="00F64C01">
            <w:pPr>
              <w:pStyle w:val="BodyText"/>
              <w:rPr>
                <w:b/>
                <w:bCs/>
                <w:lang w:val="en-GB" w:bidi="ar-EG"/>
              </w:rPr>
            </w:pPr>
            <w:r>
              <w:rPr>
                <w:rFonts w:hint="cs"/>
                <w:b/>
                <w:bCs/>
                <w:rtl/>
                <w:lang w:val="en-GB" w:bidi="ar-EG"/>
              </w:rPr>
              <w:t>السنة</w:t>
            </w:r>
          </w:p>
        </w:tc>
        <w:tc>
          <w:tcPr>
            <w:tcW w:w="307"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B89338C" w14:textId="08C17B93" w:rsidR="00F64C01" w:rsidRPr="00F64C01" w:rsidRDefault="00F64C01" w:rsidP="00F64C01">
            <w:pPr>
              <w:pStyle w:val="BodyText"/>
              <w:rPr>
                <w:b/>
                <w:bCs/>
                <w:lang w:val="en-GB" w:bidi="ar-EG"/>
              </w:rPr>
            </w:pPr>
            <w:r>
              <w:rPr>
                <w:rFonts w:hint="cs"/>
                <w:b/>
                <w:bCs/>
                <w:rtl/>
                <w:lang w:val="en-GB" w:bidi="ar-EG"/>
              </w:rPr>
              <w:t>الوحدة</w:t>
            </w:r>
          </w:p>
        </w:tc>
        <w:tc>
          <w:tcPr>
            <w:tcW w:w="978"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798B400C" w14:textId="4F5E0333" w:rsidR="00F64C01" w:rsidRPr="00F64C01" w:rsidRDefault="00F64C01" w:rsidP="00F64C01">
            <w:pPr>
              <w:pStyle w:val="BodyText"/>
              <w:rPr>
                <w:b/>
                <w:bCs/>
                <w:lang w:val="en-GB" w:bidi="ar-EG"/>
              </w:rPr>
            </w:pPr>
            <w:r w:rsidRPr="00F64C01">
              <w:rPr>
                <w:b/>
                <w:bCs/>
                <w:rtl/>
                <w:lang w:val="en-GB" w:bidi="ar-EG"/>
              </w:rPr>
              <w:t>مؤشر الناتج المحلي الإجمالي بالأسعار الجارية</w:t>
            </w:r>
          </w:p>
        </w:tc>
        <w:tc>
          <w:tcPr>
            <w:tcW w:w="1286"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6E25036B" w14:textId="1F380A56" w:rsidR="00F64C01" w:rsidRPr="00F64C01" w:rsidRDefault="00F64C01" w:rsidP="00F64C01">
            <w:pPr>
              <w:pStyle w:val="BodyText"/>
              <w:rPr>
                <w:b/>
                <w:bCs/>
                <w:lang w:val="en-GB" w:bidi="ar-EG"/>
              </w:rPr>
            </w:pPr>
            <w:r w:rsidRPr="00F64C01">
              <w:rPr>
                <w:b/>
                <w:bCs/>
                <w:rtl/>
                <w:lang w:val="en-GB" w:bidi="ar-EG"/>
              </w:rPr>
              <w:t xml:space="preserve">مؤشر الناتج المحلي الإجمالي بالأسعار الثابتة </w:t>
            </w:r>
            <w:r w:rsidR="00970184">
              <w:rPr>
                <w:rFonts w:hint="cs"/>
                <w:b/>
                <w:bCs/>
                <w:rtl/>
                <w:lang w:val="en-GB" w:bidi="ar-EG"/>
              </w:rPr>
              <w:t>ل</w:t>
            </w:r>
            <w:r>
              <w:rPr>
                <w:rFonts w:hint="cs"/>
                <w:b/>
                <w:bCs/>
                <w:rtl/>
                <w:lang w:val="en-GB" w:bidi="ar-EG"/>
              </w:rPr>
              <w:t>سنة</w:t>
            </w:r>
            <w:r w:rsidRPr="00F64C01">
              <w:rPr>
                <w:b/>
                <w:bCs/>
                <w:rtl/>
                <w:lang w:val="en-GB" w:bidi="ar-EG"/>
              </w:rPr>
              <w:t xml:space="preserve"> 2015</w:t>
            </w:r>
          </w:p>
        </w:tc>
        <w:tc>
          <w:tcPr>
            <w:tcW w:w="1014" w:type="pct"/>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D0111D7" w14:textId="1C55C8B6" w:rsidR="00F64C01" w:rsidRPr="00F64C01" w:rsidRDefault="00F64C01" w:rsidP="00F64C01">
            <w:pPr>
              <w:pStyle w:val="BodyText"/>
              <w:rPr>
                <w:b/>
                <w:bCs/>
                <w:lang w:val="en-GB" w:bidi="ar-EG"/>
              </w:rPr>
            </w:pPr>
            <w:r w:rsidRPr="00F64C01">
              <w:rPr>
                <w:b/>
                <w:bCs/>
                <w:rtl/>
                <w:lang w:val="en-GB" w:bidi="ar-EG"/>
              </w:rPr>
              <w:t>معامل انكماش الأسعار الضمني</w:t>
            </w:r>
          </w:p>
        </w:tc>
      </w:tr>
      <w:tr w:rsidR="00F64C01" w:rsidRPr="00F64C01" w14:paraId="488817B5" w14:textId="77777777" w:rsidTr="00F64C01">
        <w:tc>
          <w:tcPr>
            <w:tcW w:w="883"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5520B6F" w14:textId="7BEA843C" w:rsidR="00F64C01" w:rsidRPr="00F64C01" w:rsidRDefault="00F64C01" w:rsidP="00F64C01">
            <w:pPr>
              <w:pStyle w:val="BodyText"/>
              <w:rPr>
                <w:lang w:val="en-GB" w:bidi="ar-EG"/>
              </w:rPr>
            </w:pPr>
            <w:r>
              <w:rPr>
                <w:rFonts w:hint="cs"/>
                <w:rtl/>
                <w:lang w:val="en-GB" w:bidi="ar-EG"/>
              </w:rPr>
              <w:t>سويسرا</w:t>
            </w:r>
          </w:p>
        </w:tc>
        <w:tc>
          <w:tcPr>
            <w:tcW w:w="532"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78D9757" w14:textId="77777777" w:rsidR="00F64C01" w:rsidRPr="00F64C01" w:rsidRDefault="00F64C01" w:rsidP="00F64C01">
            <w:pPr>
              <w:pStyle w:val="BodyText"/>
              <w:rPr>
                <w:lang w:val="en-GB" w:bidi="ar-EG"/>
              </w:rPr>
            </w:pPr>
            <w:r w:rsidRPr="00F64C01">
              <w:rPr>
                <w:lang w:val="en-GB" w:bidi="ar-EG"/>
              </w:rPr>
              <w:t>2005</w:t>
            </w:r>
          </w:p>
        </w:tc>
        <w:tc>
          <w:tcPr>
            <w:tcW w:w="307"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DF39B4E" w14:textId="5398BEEF" w:rsidR="00F64C01" w:rsidRPr="00F64C01" w:rsidRDefault="00B73D21" w:rsidP="00F64C01">
            <w:pPr>
              <w:pStyle w:val="BodyText"/>
              <w:rPr>
                <w:lang w:val="en-GB" w:bidi="ar-EG"/>
              </w:rPr>
            </w:pPr>
            <w:r>
              <w:rPr>
                <w:rFonts w:hint="cs"/>
                <w:rtl/>
                <w:lang w:val="en-GB" w:bidi="ar-EG"/>
              </w:rPr>
              <w:t>دولار أمريكي</w:t>
            </w:r>
          </w:p>
        </w:tc>
        <w:tc>
          <w:tcPr>
            <w:tcW w:w="978"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599C9BD" w14:textId="77777777" w:rsidR="00F64C01" w:rsidRPr="00F64C01" w:rsidRDefault="00F64C01" w:rsidP="00F64C01">
            <w:pPr>
              <w:pStyle w:val="BodyText"/>
              <w:rPr>
                <w:lang w:val="en-GB" w:bidi="ar-EG"/>
              </w:rPr>
            </w:pPr>
            <w:r w:rsidRPr="00F64C01">
              <w:rPr>
                <w:lang w:val="en-GB" w:bidi="ar-EG"/>
              </w:rPr>
              <w:t>60.3</w:t>
            </w:r>
          </w:p>
        </w:tc>
        <w:tc>
          <w:tcPr>
            <w:tcW w:w="1286"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7DD3FAA" w14:textId="77777777" w:rsidR="00F64C01" w:rsidRPr="00F64C01" w:rsidRDefault="00F64C01" w:rsidP="00F64C01">
            <w:pPr>
              <w:pStyle w:val="BodyText"/>
              <w:rPr>
                <w:lang w:val="en-GB" w:bidi="ar-EG"/>
              </w:rPr>
            </w:pPr>
            <w:r w:rsidRPr="00F64C01">
              <w:rPr>
                <w:lang w:val="en-GB" w:bidi="ar-EG"/>
              </w:rPr>
              <w:t>81.7</w:t>
            </w:r>
          </w:p>
        </w:tc>
        <w:tc>
          <w:tcPr>
            <w:tcW w:w="1014"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DE014BA" w14:textId="77777777" w:rsidR="00F64C01" w:rsidRPr="00F64C01" w:rsidRDefault="00F64C01" w:rsidP="00F64C01">
            <w:pPr>
              <w:pStyle w:val="BodyText"/>
              <w:rPr>
                <w:lang w:val="en-GB" w:bidi="ar-EG"/>
              </w:rPr>
            </w:pPr>
            <w:r w:rsidRPr="00F64C01">
              <w:rPr>
                <w:lang w:bidi="ar-EG"/>
              </w:rPr>
              <w:t>73.7</w:t>
            </w:r>
          </w:p>
        </w:tc>
      </w:tr>
      <w:tr w:rsidR="00F64C01" w:rsidRPr="00F64C01" w14:paraId="2DBF468B" w14:textId="77777777" w:rsidTr="00F64C01">
        <w:tc>
          <w:tcPr>
            <w:tcW w:w="883"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8026993" w14:textId="6F2C1A7E" w:rsidR="00F64C01" w:rsidRPr="00F64C01" w:rsidRDefault="00F64C01" w:rsidP="00F64C01">
            <w:pPr>
              <w:pStyle w:val="BodyText"/>
              <w:rPr>
                <w:lang w:val="en-GB" w:bidi="ar-EG"/>
              </w:rPr>
            </w:pPr>
            <w:r>
              <w:rPr>
                <w:rFonts w:hint="cs"/>
                <w:rtl/>
                <w:lang w:val="en-GB" w:bidi="ar-EG"/>
              </w:rPr>
              <w:t>سويسرا</w:t>
            </w:r>
          </w:p>
        </w:tc>
        <w:tc>
          <w:tcPr>
            <w:tcW w:w="532"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F98F8AD" w14:textId="77777777" w:rsidR="00F64C01" w:rsidRPr="00F64C01" w:rsidRDefault="00F64C01" w:rsidP="00F64C01">
            <w:pPr>
              <w:pStyle w:val="BodyText"/>
              <w:rPr>
                <w:lang w:val="en-GB" w:bidi="ar-EG"/>
              </w:rPr>
            </w:pPr>
            <w:r w:rsidRPr="00F64C01">
              <w:rPr>
                <w:lang w:val="en-GB" w:bidi="ar-EG"/>
              </w:rPr>
              <w:t>2015</w:t>
            </w:r>
          </w:p>
        </w:tc>
        <w:tc>
          <w:tcPr>
            <w:tcW w:w="307"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A89019B" w14:textId="4808A038" w:rsidR="00F64C01" w:rsidRPr="00F64C01" w:rsidRDefault="00B73D21" w:rsidP="00F64C01">
            <w:pPr>
              <w:pStyle w:val="BodyText"/>
              <w:rPr>
                <w:lang w:val="en-GB" w:bidi="ar-EG"/>
              </w:rPr>
            </w:pPr>
            <w:r>
              <w:rPr>
                <w:rFonts w:hint="cs"/>
                <w:rtl/>
                <w:lang w:val="en-GB" w:bidi="ar-EG"/>
              </w:rPr>
              <w:t>دولار أمريكي</w:t>
            </w:r>
          </w:p>
        </w:tc>
        <w:tc>
          <w:tcPr>
            <w:tcW w:w="978"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50F5B6B" w14:textId="77777777" w:rsidR="00F64C01" w:rsidRPr="00F64C01" w:rsidRDefault="00F64C01" w:rsidP="00F64C01">
            <w:pPr>
              <w:pStyle w:val="BodyText"/>
              <w:rPr>
                <w:lang w:val="en-GB" w:bidi="ar-EG"/>
              </w:rPr>
            </w:pPr>
            <w:r w:rsidRPr="00F64C01">
              <w:rPr>
                <w:lang w:val="en-GB" w:bidi="ar-EG"/>
              </w:rPr>
              <w:t>100</w:t>
            </w:r>
          </w:p>
        </w:tc>
        <w:tc>
          <w:tcPr>
            <w:tcW w:w="1286"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932F5FC" w14:textId="77777777" w:rsidR="00F64C01" w:rsidRPr="00F64C01" w:rsidRDefault="00F64C01" w:rsidP="00F64C01">
            <w:pPr>
              <w:pStyle w:val="BodyText"/>
              <w:rPr>
                <w:lang w:val="en-GB" w:bidi="ar-EG"/>
              </w:rPr>
            </w:pPr>
            <w:r w:rsidRPr="00F64C01">
              <w:rPr>
                <w:lang w:val="en-GB" w:bidi="ar-EG"/>
              </w:rPr>
              <w:t>100</w:t>
            </w:r>
          </w:p>
        </w:tc>
        <w:tc>
          <w:tcPr>
            <w:tcW w:w="1014" w:type="pct"/>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3137D6B" w14:textId="77777777" w:rsidR="00F64C01" w:rsidRPr="00F64C01" w:rsidRDefault="00F64C01" w:rsidP="00F64C01">
            <w:pPr>
              <w:pStyle w:val="BodyText"/>
              <w:rPr>
                <w:lang w:val="en-GB" w:bidi="ar-EG"/>
              </w:rPr>
            </w:pPr>
            <w:r w:rsidRPr="00F64C01">
              <w:rPr>
                <w:lang w:bidi="ar-EG"/>
              </w:rPr>
              <w:t>100</w:t>
            </w:r>
          </w:p>
        </w:tc>
      </w:tr>
      <w:tr w:rsidR="00F64C01" w:rsidRPr="00F64C01" w14:paraId="68C4F1A4" w14:textId="77777777" w:rsidTr="00F64C01">
        <w:tc>
          <w:tcPr>
            <w:tcW w:w="883"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1E01FFB7" w14:textId="7F597C94" w:rsidR="00F64C01" w:rsidRPr="00F64C01" w:rsidRDefault="00F64C01" w:rsidP="00F64C01">
            <w:pPr>
              <w:pStyle w:val="BodyText"/>
              <w:rPr>
                <w:lang w:val="en-GB" w:bidi="ar-EG"/>
              </w:rPr>
            </w:pPr>
            <w:r>
              <w:rPr>
                <w:rFonts w:hint="cs"/>
                <w:rtl/>
                <w:lang w:val="en-GB" w:bidi="ar-EG"/>
              </w:rPr>
              <w:t>سويسرا</w:t>
            </w:r>
          </w:p>
        </w:tc>
        <w:tc>
          <w:tcPr>
            <w:tcW w:w="532"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DBBD251" w14:textId="77777777" w:rsidR="00F64C01" w:rsidRPr="00F64C01" w:rsidRDefault="00F64C01" w:rsidP="00F64C01">
            <w:pPr>
              <w:pStyle w:val="BodyText"/>
              <w:rPr>
                <w:lang w:val="en-GB" w:bidi="ar-EG"/>
              </w:rPr>
            </w:pPr>
            <w:r w:rsidRPr="00F64C01">
              <w:rPr>
                <w:lang w:val="en-GB" w:bidi="ar-EG"/>
              </w:rPr>
              <w:t>2022</w:t>
            </w:r>
          </w:p>
        </w:tc>
        <w:tc>
          <w:tcPr>
            <w:tcW w:w="307"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3980482A" w14:textId="661300AD" w:rsidR="00F64C01" w:rsidRPr="00F64C01" w:rsidRDefault="00B73D21" w:rsidP="00F64C01">
            <w:pPr>
              <w:pStyle w:val="BodyText"/>
              <w:rPr>
                <w:lang w:val="en-GB" w:bidi="ar-EG"/>
              </w:rPr>
            </w:pPr>
            <w:r>
              <w:rPr>
                <w:rFonts w:hint="cs"/>
                <w:rtl/>
                <w:lang w:val="en-GB" w:bidi="ar-EG"/>
              </w:rPr>
              <w:t>دولار أمريكي</w:t>
            </w:r>
          </w:p>
        </w:tc>
        <w:tc>
          <w:tcPr>
            <w:tcW w:w="978"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095D4BD4" w14:textId="77777777" w:rsidR="00F64C01" w:rsidRPr="00F64C01" w:rsidRDefault="00F64C01" w:rsidP="00F64C01">
            <w:pPr>
              <w:pStyle w:val="BodyText"/>
              <w:rPr>
                <w:lang w:val="en-GB" w:bidi="ar-EG"/>
              </w:rPr>
            </w:pPr>
            <w:r w:rsidRPr="00F64C01">
              <w:rPr>
                <w:lang w:val="en-GB" w:bidi="ar-EG"/>
              </w:rPr>
              <w:t>117.9</w:t>
            </w:r>
          </w:p>
        </w:tc>
        <w:tc>
          <w:tcPr>
            <w:tcW w:w="1286"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5B32ABF3" w14:textId="77777777" w:rsidR="00F64C01" w:rsidRPr="00F64C01" w:rsidRDefault="00F64C01" w:rsidP="00F64C01">
            <w:pPr>
              <w:pStyle w:val="BodyText"/>
              <w:rPr>
                <w:lang w:val="en-GB" w:bidi="ar-EG"/>
              </w:rPr>
            </w:pPr>
            <w:r w:rsidRPr="00F64C01">
              <w:rPr>
                <w:lang w:val="en-GB" w:bidi="ar-EG"/>
              </w:rPr>
              <w:t>113.9</w:t>
            </w:r>
          </w:p>
        </w:tc>
        <w:tc>
          <w:tcPr>
            <w:tcW w:w="1014" w:type="pct"/>
            <w:tcBorders>
              <w:top w:val="single" w:sz="6" w:space="0" w:color="DDDDDD"/>
              <w:left w:val="single" w:sz="6" w:space="0" w:color="DDDDDD"/>
              <w:bottom w:val="single" w:sz="6" w:space="0" w:color="DDDDDD"/>
              <w:right w:val="single" w:sz="6" w:space="0" w:color="DDDDDD"/>
            </w:tcBorders>
            <w:shd w:val="clear" w:color="auto" w:fill="F5F5F5"/>
            <w:tcMar>
              <w:top w:w="75" w:type="dxa"/>
              <w:left w:w="75" w:type="dxa"/>
              <w:bottom w:w="75" w:type="dxa"/>
              <w:right w:w="75" w:type="dxa"/>
            </w:tcMar>
            <w:hideMark/>
          </w:tcPr>
          <w:p w14:paraId="41FB825D" w14:textId="77777777" w:rsidR="00F64C01" w:rsidRPr="00F64C01" w:rsidRDefault="00F64C01" w:rsidP="00F64C01">
            <w:pPr>
              <w:pStyle w:val="BodyText"/>
              <w:rPr>
                <w:lang w:val="en-GB" w:bidi="ar-EG"/>
              </w:rPr>
            </w:pPr>
            <w:r w:rsidRPr="00F64C01">
              <w:rPr>
                <w:lang w:bidi="ar-EG"/>
              </w:rPr>
              <w:t>103.5</w:t>
            </w:r>
          </w:p>
        </w:tc>
      </w:tr>
    </w:tbl>
    <w:p w14:paraId="18280B0E" w14:textId="77777777" w:rsidR="00F64C01" w:rsidRDefault="00F64C01" w:rsidP="00F64C01">
      <w:pPr>
        <w:pStyle w:val="BodyText"/>
        <w:rPr>
          <w:lang w:bidi="ar-EG"/>
        </w:rPr>
      </w:pPr>
    </w:p>
    <w:p w14:paraId="3968404F" w14:textId="43F14921" w:rsidR="007B3B59" w:rsidRDefault="007B3B59" w:rsidP="00C32887">
      <w:pPr>
        <w:pStyle w:val="ONUMA"/>
        <w:rPr>
          <w:lang w:bidi="ar-EG"/>
        </w:rPr>
      </w:pPr>
      <w:r>
        <w:rPr>
          <w:rFonts w:hint="cs"/>
          <w:rtl/>
          <w:lang w:bidi="ar-EG"/>
        </w:rPr>
        <w:t>و</w:t>
      </w:r>
      <w:r w:rsidRPr="007B3B59">
        <w:rPr>
          <w:rtl/>
          <w:lang w:bidi="ar-EG"/>
        </w:rPr>
        <w:t>يمكن تحديد القيم الثابتة بالدولار للسنتين 2005 و2022 بأخذ بيانات الناتج المحلي الإجمالي بالقيم الثابتة لسنة 2015 لأغراض السنة المعنية وضربها في معامل انكماش الأسعار الضمني للسنة التي يلزم تحديد قيم أسعارها الثابتة. ويرد بيان هذه العملية الحسابية للناتج المحلي الإجمالي للسنوات 2005 و2015 و2022 بقيم سنة 2015 (المأخوذة من قاعدة البيانات) وبأسعار 2005 و2022 المحسوبة.</w:t>
      </w:r>
    </w:p>
    <w:tbl>
      <w:tblPr>
        <w:bidiVisual/>
        <w:tblW w:w="5000"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180"/>
        <w:gridCol w:w="640"/>
        <w:gridCol w:w="787"/>
        <w:gridCol w:w="2324"/>
        <w:gridCol w:w="2204"/>
        <w:gridCol w:w="2204"/>
      </w:tblGrid>
      <w:tr w:rsidR="007B3B59" w:rsidRPr="007B3B59" w14:paraId="7445C20D" w14:textId="77777777" w:rsidTr="007B3B59">
        <w:trPr>
          <w:tblHeader/>
        </w:trPr>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71FBB040" w14:textId="7DF7B794" w:rsidR="007B3B59" w:rsidRPr="007B3B59" w:rsidRDefault="007B3B59" w:rsidP="007B3B59">
            <w:pPr>
              <w:pStyle w:val="BodyText"/>
              <w:rPr>
                <w:b/>
                <w:bCs/>
                <w:lang w:bidi="ar-EG"/>
              </w:rPr>
            </w:pPr>
            <w:r>
              <w:rPr>
                <w:rFonts w:hint="cs"/>
                <w:b/>
                <w:bCs/>
                <w:rtl/>
                <w:lang w:val="en-GB" w:bidi="ar-EG"/>
              </w:rPr>
              <w:t>البلد/المنطقة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FA58B0C" w14:textId="56521D3F" w:rsidR="007B3B59" w:rsidRPr="007B3B59" w:rsidRDefault="007B3B59" w:rsidP="007B3B59">
            <w:pPr>
              <w:pStyle w:val="BodyText"/>
              <w:rPr>
                <w:b/>
                <w:bCs/>
                <w:lang w:bidi="ar-EG"/>
              </w:rPr>
            </w:pPr>
            <w:r>
              <w:rPr>
                <w:rFonts w:hint="cs"/>
                <w:b/>
                <w:bCs/>
                <w:rtl/>
                <w:lang w:val="en-GB" w:bidi="ar-EG"/>
              </w:rPr>
              <w:t>السنة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6CD438AD" w14:textId="7D853A54" w:rsidR="007B3B59" w:rsidRPr="007B3B59" w:rsidRDefault="007B3B59" w:rsidP="007B3B59">
            <w:pPr>
              <w:pStyle w:val="BodyText"/>
              <w:rPr>
                <w:b/>
                <w:bCs/>
                <w:lang w:bidi="ar-EG"/>
              </w:rPr>
            </w:pPr>
            <w:r w:rsidRPr="007B3B59">
              <w:rPr>
                <w:rFonts w:hint="cs"/>
                <w:b/>
                <w:bCs/>
                <w:rtl/>
                <w:lang w:bidi="ar-EG"/>
              </w:rPr>
              <w:t>الوحدة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248F4594" w14:textId="6DD62CDD" w:rsidR="007B3B59" w:rsidRPr="007B3B59" w:rsidRDefault="007B3B59" w:rsidP="007B3B59">
            <w:pPr>
              <w:pStyle w:val="BodyText"/>
              <w:rPr>
                <w:b/>
                <w:bCs/>
                <w:lang w:bidi="ar-EG"/>
              </w:rPr>
            </w:pPr>
            <w:r w:rsidRPr="007B3B59">
              <w:rPr>
                <w:b/>
                <w:bCs/>
                <w:rtl/>
                <w:lang w:bidi="ar-EG"/>
              </w:rPr>
              <w:t>نصيب الفرد من الناتج المحلي الإجمالي بالأسعار الثابتة لسنة 2015</w:t>
            </w:r>
          </w:p>
        </w:tc>
        <w:tc>
          <w:tcPr>
            <w:tcW w:w="0" w:type="auto"/>
            <w:tcBorders>
              <w:top w:val="nil"/>
              <w:left w:val="single" w:sz="6" w:space="0" w:color="DDDDDD"/>
              <w:bottom w:val="nil"/>
              <w:right w:val="single" w:sz="6" w:space="0" w:color="DDDDDD"/>
            </w:tcBorders>
            <w:shd w:val="clear" w:color="auto" w:fill="D9EDF7"/>
          </w:tcPr>
          <w:p w14:paraId="276CF4A4" w14:textId="0260DB7E" w:rsidR="007B3B59" w:rsidRPr="007B3B59" w:rsidRDefault="007B3B59" w:rsidP="007B3B59">
            <w:pPr>
              <w:pStyle w:val="BodyText"/>
              <w:rPr>
                <w:b/>
                <w:bCs/>
                <w:lang w:bidi="ar-EG"/>
              </w:rPr>
            </w:pPr>
            <w:r w:rsidRPr="007B3B59">
              <w:rPr>
                <w:b/>
                <w:bCs/>
                <w:rtl/>
                <w:lang w:bidi="ar-EG"/>
              </w:rPr>
              <w:t xml:space="preserve">نصيب الفرد من الناتج المحلي الإجمالي بالأسعار الثابتة </w:t>
            </w:r>
            <w:r>
              <w:rPr>
                <w:rFonts w:hint="cs"/>
                <w:b/>
                <w:bCs/>
                <w:rtl/>
                <w:lang w:bidi="ar-EG"/>
              </w:rPr>
              <w:t>لسنة</w:t>
            </w:r>
            <w:r w:rsidRPr="007B3B59">
              <w:rPr>
                <w:b/>
                <w:bCs/>
                <w:rtl/>
                <w:lang w:bidi="ar-EG"/>
              </w:rPr>
              <w:t xml:space="preserve"> 2005</w:t>
            </w:r>
          </w:p>
        </w:tc>
        <w:tc>
          <w:tcPr>
            <w:tcW w:w="0" w:type="auto"/>
            <w:tcBorders>
              <w:top w:val="nil"/>
              <w:left w:val="single" w:sz="6" w:space="0" w:color="DDDDDD"/>
              <w:bottom w:val="nil"/>
              <w:right w:val="single" w:sz="6" w:space="0" w:color="DDDDDD"/>
            </w:tcBorders>
            <w:shd w:val="clear" w:color="auto" w:fill="D9EDF7"/>
          </w:tcPr>
          <w:p w14:paraId="19F2020F" w14:textId="7A4E6DB7" w:rsidR="007B3B59" w:rsidRPr="007B3B59" w:rsidRDefault="007B3B59" w:rsidP="007B3B59">
            <w:pPr>
              <w:pStyle w:val="BodyText"/>
              <w:rPr>
                <w:b/>
                <w:bCs/>
                <w:lang w:bidi="ar-EG"/>
              </w:rPr>
            </w:pPr>
            <w:r w:rsidRPr="007B3B59">
              <w:rPr>
                <w:b/>
                <w:bCs/>
                <w:rtl/>
                <w:lang w:bidi="ar-EG"/>
              </w:rPr>
              <w:t>نصيب الفرد من الناتج المحلي الإجمالي بالأسعار الثابتة لسنة 2022</w:t>
            </w:r>
          </w:p>
        </w:tc>
      </w:tr>
      <w:tr w:rsidR="007B3B59" w:rsidRPr="007B3B59" w14:paraId="7EC8FC29" w14:textId="77777777" w:rsidTr="007B3B5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3326D4D" w14:textId="760FF13D" w:rsidR="007B3B59" w:rsidRPr="007B3B59" w:rsidRDefault="00970184" w:rsidP="007B3B59">
            <w:pPr>
              <w:pStyle w:val="BodyText"/>
              <w:rPr>
                <w:lang w:bidi="ar-EG"/>
              </w:rPr>
            </w:pPr>
            <w:r>
              <w:rPr>
                <w:rFonts w:hint="cs"/>
                <w:rtl/>
                <w:lang w:bidi="ar-EG"/>
              </w:rPr>
              <w:t>سويسرا</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097F120" w14:textId="77777777" w:rsidR="007B3B59" w:rsidRPr="007B3B59" w:rsidRDefault="007B3B59" w:rsidP="007B3B59">
            <w:pPr>
              <w:pStyle w:val="BodyText"/>
              <w:rPr>
                <w:lang w:bidi="ar-EG"/>
              </w:rPr>
            </w:pPr>
            <w:r w:rsidRPr="007B3B59">
              <w:rPr>
                <w:lang w:bidi="ar-EG"/>
              </w:rPr>
              <w:t>2005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00A1D69" w14:textId="40424E59" w:rsidR="007B3B59" w:rsidRPr="007B3B59" w:rsidRDefault="00970184" w:rsidP="00970184">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bottom"/>
            <w:hideMark/>
          </w:tcPr>
          <w:p w14:paraId="2F17153F" w14:textId="77777777" w:rsidR="007B3B59" w:rsidRPr="007B3B59" w:rsidRDefault="007B3B59" w:rsidP="007B3B59">
            <w:pPr>
              <w:pStyle w:val="BodyText"/>
              <w:rPr>
                <w:lang w:bidi="ar-EG"/>
              </w:rPr>
            </w:pPr>
            <w:r w:rsidRPr="007B3B59">
              <w:rPr>
                <w:lang w:bidi="ar-EG"/>
              </w:rPr>
              <w:t>76,372</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2396CC08" w14:textId="77777777" w:rsidR="007B3B59" w:rsidRPr="007B3B59" w:rsidRDefault="007B3B59" w:rsidP="007B3B59">
            <w:pPr>
              <w:pStyle w:val="BodyText"/>
              <w:rPr>
                <w:lang w:bidi="ar-EG"/>
              </w:rPr>
            </w:pPr>
            <w:r w:rsidRPr="007B3B59">
              <w:rPr>
                <w:lang w:bidi="ar-EG"/>
              </w:rPr>
              <w:t>56,310</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6B1E26F2" w14:textId="77777777" w:rsidR="007B3B59" w:rsidRPr="007B3B59" w:rsidRDefault="007B3B59" w:rsidP="007B3B59">
            <w:pPr>
              <w:pStyle w:val="BodyText"/>
              <w:rPr>
                <w:lang w:bidi="ar-EG"/>
              </w:rPr>
            </w:pPr>
            <w:r w:rsidRPr="007B3B59">
              <w:rPr>
                <w:lang w:bidi="ar-EG"/>
              </w:rPr>
              <w:t>79,088</w:t>
            </w:r>
          </w:p>
        </w:tc>
      </w:tr>
      <w:tr w:rsidR="007B3B59" w:rsidRPr="007B3B59" w14:paraId="06459BFC" w14:textId="77777777" w:rsidTr="007B3B59">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F7EA09C" w14:textId="1824D0D3" w:rsidR="007B3B59" w:rsidRPr="007B3B59" w:rsidRDefault="00970184" w:rsidP="00970184">
            <w:pPr>
              <w:pStyle w:val="BodyText"/>
              <w:rPr>
                <w:lang w:bidi="ar-EG"/>
              </w:rPr>
            </w:pPr>
            <w:r w:rsidRPr="00970184">
              <w:rPr>
                <w:rFonts w:hint="cs"/>
                <w:rtl/>
                <w:lang w:bidi="ar-EG"/>
              </w:rPr>
              <w:t>سويسرا</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7E47A48" w14:textId="77777777" w:rsidR="007B3B59" w:rsidRPr="007B3B59" w:rsidRDefault="007B3B59" w:rsidP="007B3B59">
            <w:pPr>
              <w:pStyle w:val="BodyText"/>
              <w:rPr>
                <w:lang w:bidi="ar-EG"/>
              </w:rPr>
            </w:pPr>
            <w:r w:rsidRPr="007B3B59">
              <w:rPr>
                <w:lang w:bidi="ar-EG"/>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333EE80" w14:textId="2001E4AD" w:rsidR="007B3B59" w:rsidRPr="007B3B59" w:rsidRDefault="00970184" w:rsidP="00970184">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bottom"/>
            <w:hideMark/>
          </w:tcPr>
          <w:p w14:paraId="0A51963F" w14:textId="77777777" w:rsidR="007B3B59" w:rsidRPr="007B3B59" w:rsidRDefault="007B3B59" w:rsidP="007B3B59">
            <w:pPr>
              <w:pStyle w:val="BodyText"/>
              <w:rPr>
                <w:lang w:bidi="ar-EG"/>
              </w:rPr>
            </w:pPr>
            <w:r w:rsidRPr="007B3B59">
              <w:rPr>
                <w:lang w:bidi="ar-EG"/>
              </w:rPr>
              <w:t>83,813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76FD9805" w14:textId="77777777" w:rsidR="007B3B59" w:rsidRPr="007B3B59" w:rsidRDefault="007B3B59" w:rsidP="007B3B59">
            <w:pPr>
              <w:pStyle w:val="BodyText"/>
              <w:rPr>
                <w:lang w:bidi="ar-EG"/>
              </w:rPr>
            </w:pPr>
            <w:r w:rsidRPr="007B3B59">
              <w:rPr>
                <w:lang w:bidi="ar-EG"/>
              </w:rPr>
              <w:t>61,796</w:t>
            </w:r>
          </w:p>
        </w:tc>
        <w:tc>
          <w:tcPr>
            <w:tcW w:w="0" w:type="auto"/>
            <w:tcBorders>
              <w:top w:val="single" w:sz="6" w:space="0" w:color="DDDDDD"/>
              <w:left w:val="single" w:sz="6" w:space="0" w:color="DDDDDD"/>
              <w:bottom w:val="single" w:sz="6" w:space="0" w:color="DDDDDD"/>
              <w:right w:val="single" w:sz="6" w:space="0" w:color="DDDDDD"/>
            </w:tcBorders>
            <w:shd w:val="clear" w:color="auto" w:fill="F9F9F9"/>
            <w:vAlign w:val="bottom"/>
          </w:tcPr>
          <w:p w14:paraId="79BDED4D" w14:textId="77777777" w:rsidR="007B3B59" w:rsidRPr="007B3B59" w:rsidRDefault="007B3B59" w:rsidP="007B3B59">
            <w:pPr>
              <w:pStyle w:val="BodyText"/>
              <w:rPr>
                <w:lang w:bidi="ar-EG"/>
              </w:rPr>
            </w:pPr>
            <w:r w:rsidRPr="007B3B59">
              <w:rPr>
                <w:lang w:bidi="ar-EG"/>
              </w:rPr>
              <w:t>86,794</w:t>
            </w:r>
          </w:p>
        </w:tc>
      </w:tr>
      <w:tr w:rsidR="007B3B59" w:rsidRPr="007B3B59" w14:paraId="7F01AAD5" w14:textId="77777777" w:rsidTr="007B3B59">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77DD383" w14:textId="229BB54A" w:rsidR="007B3B59" w:rsidRPr="007B3B59" w:rsidRDefault="00970184" w:rsidP="00970184">
            <w:pPr>
              <w:pStyle w:val="BodyText"/>
              <w:rPr>
                <w:lang w:bidi="ar-EG"/>
              </w:rPr>
            </w:pPr>
            <w:r w:rsidRPr="00970184">
              <w:rPr>
                <w:rFonts w:hint="cs"/>
                <w:rtl/>
                <w:lang w:bidi="ar-EG"/>
              </w:rPr>
              <w:t>سويسرا</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1280E92" w14:textId="77777777" w:rsidR="007B3B59" w:rsidRPr="007B3B59" w:rsidRDefault="007B3B59" w:rsidP="007B3B59">
            <w:pPr>
              <w:pStyle w:val="BodyText"/>
              <w:rPr>
                <w:lang w:bidi="ar-EG"/>
              </w:rPr>
            </w:pPr>
            <w:r w:rsidRPr="007B3B59">
              <w:rPr>
                <w:lang w:bidi="ar-EG"/>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8C3E9E8" w14:textId="73276089" w:rsidR="007B3B59" w:rsidRPr="007B3B59" w:rsidRDefault="00970184" w:rsidP="00970184">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bottom"/>
            <w:hideMark/>
          </w:tcPr>
          <w:p w14:paraId="7EF12E49" w14:textId="77777777" w:rsidR="007B3B59" w:rsidRPr="007B3B59" w:rsidRDefault="007B3B59" w:rsidP="007B3B59">
            <w:pPr>
              <w:pStyle w:val="BodyText"/>
              <w:rPr>
                <w:lang w:bidi="ar-EG"/>
              </w:rPr>
            </w:pPr>
            <w:r w:rsidRPr="007B3B59">
              <w:rPr>
                <w:lang w:bidi="ar-EG"/>
              </w:rPr>
              <w:t>90,421</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bottom"/>
          </w:tcPr>
          <w:p w14:paraId="0589B1E4" w14:textId="77777777" w:rsidR="007B3B59" w:rsidRPr="007B3B59" w:rsidRDefault="007B3B59" w:rsidP="007B3B59">
            <w:pPr>
              <w:pStyle w:val="BodyText"/>
              <w:rPr>
                <w:lang w:bidi="ar-EG"/>
              </w:rPr>
            </w:pPr>
            <w:r w:rsidRPr="007B3B59">
              <w:rPr>
                <w:lang w:bidi="ar-EG"/>
              </w:rPr>
              <w:t>66,668</w:t>
            </w:r>
          </w:p>
        </w:tc>
        <w:tc>
          <w:tcPr>
            <w:tcW w:w="0" w:type="auto"/>
            <w:tcBorders>
              <w:top w:val="single" w:sz="6" w:space="0" w:color="DDDDDD"/>
              <w:left w:val="single" w:sz="6" w:space="0" w:color="DDDDDD"/>
              <w:bottom w:val="single" w:sz="6" w:space="0" w:color="DDDDDD"/>
              <w:right w:val="single" w:sz="6" w:space="0" w:color="DDDDDD"/>
            </w:tcBorders>
            <w:shd w:val="clear" w:color="auto" w:fill="FFFFFF"/>
            <w:vAlign w:val="bottom"/>
          </w:tcPr>
          <w:p w14:paraId="0E7A259D" w14:textId="77777777" w:rsidR="007B3B59" w:rsidRPr="007B3B59" w:rsidRDefault="007B3B59" w:rsidP="007B3B59">
            <w:pPr>
              <w:pStyle w:val="BodyText"/>
              <w:rPr>
                <w:lang w:bidi="ar-EG"/>
              </w:rPr>
            </w:pPr>
            <w:r w:rsidRPr="007B3B59">
              <w:rPr>
                <w:lang w:bidi="ar-EG"/>
              </w:rPr>
              <w:t>93,636</w:t>
            </w:r>
          </w:p>
        </w:tc>
      </w:tr>
    </w:tbl>
    <w:p w14:paraId="689B87C5" w14:textId="43FA14B1" w:rsidR="00810837" w:rsidRDefault="00810837" w:rsidP="007B3B59">
      <w:pPr>
        <w:pStyle w:val="BodyText"/>
        <w:rPr>
          <w:rFonts w:asciiTheme="minorBidi" w:hAnsiTheme="minorBidi" w:cstheme="minorBidi"/>
          <w:rtl/>
          <w:lang w:bidi="ar-EG"/>
        </w:rPr>
      </w:pPr>
    </w:p>
    <w:p w14:paraId="473403ED" w14:textId="5DD33507" w:rsidR="00FB552B" w:rsidRDefault="00FB552B" w:rsidP="00FB552B">
      <w:pPr>
        <w:pStyle w:val="ONUMA"/>
        <w:rPr>
          <w:lang w:bidi="ar-EG"/>
        </w:rPr>
      </w:pPr>
      <w:r w:rsidRPr="00FB552B">
        <w:rPr>
          <w:rtl/>
          <w:lang w:bidi="ar-EG"/>
        </w:rPr>
        <w:t>ويمكن ملاحظة أن القيمة المحسوبة لسنة 2005 بأسعار 2005 والقيمة المحسوبة لسنة 2022 بأسعار 2022 تتطابق بشكل صحيح مع القيم المبي</w:t>
      </w:r>
      <w:r>
        <w:rPr>
          <w:rFonts w:hint="cs"/>
          <w:rtl/>
          <w:lang w:bidi="ar-EG"/>
        </w:rPr>
        <w:t>ّ</w:t>
      </w:r>
      <w:r w:rsidRPr="00FB552B">
        <w:rPr>
          <w:rtl/>
          <w:lang w:bidi="ar-EG"/>
        </w:rPr>
        <w:t>نة في نصيب الفرد من الناتج المحلي الإجمالي الفعلي لهاتين السنتين، كما هي مستخرجة من مجموعة بيانات "نصيب الفرد من الناتج المحلي الإجمالي - دولار أمريكي".</w:t>
      </w:r>
    </w:p>
    <w:tbl>
      <w:tblPr>
        <w:bidiVisual/>
        <w:tblW w:w="5009"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08"/>
        <w:gridCol w:w="872"/>
        <w:gridCol w:w="1361"/>
        <w:gridCol w:w="5515"/>
      </w:tblGrid>
      <w:tr w:rsidR="00FB552B" w:rsidRPr="00FB552B" w14:paraId="00396044" w14:textId="77777777" w:rsidTr="00FB552B">
        <w:trPr>
          <w:tblHeader/>
        </w:trPr>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3DA6CC6" w14:textId="25FCFCDB" w:rsidR="00FB552B" w:rsidRPr="00FB552B" w:rsidRDefault="00FB552B" w:rsidP="00FB552B">
            <w:pPr>
              <w:pStyle w:val="BodyText"/>
              <w:rPr>
                <w:b/>
                <w:bCs/>
                <w:lang w:bidi="ar-EG"/>
              </w:rPr>
            </w:pPr>
            <w:r w:rsidRPr="00FB552B">
              <w:rPr>
                <w:b/>
                <w:bCs/>
                <w:rtl/>
                <w:lang w:bidi="ar-EG"/>
              </w:rPr>
              <w:t>البلد/المنطقة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D8BB75A" w14:textId="306953FF" w:rsidR="00FB552B" w:rsidRPr="00FB552B" w:rsidRDefault="00FB552B" w:rsidP="00FB552B">
            <w:pPr>
              <w:pStyle w:val="BodyText"/>
              <w:rPr>
                <w:b/>
                <w:bCs/>
                <w:lang w:bidi="ar-EG"/>
              </w:rPr>
            </w:pPr>
            <w:r>
              <w:rPr>
                <w:rFonts w:hint="cs"/>
                <w:b/>
                <w:bCs/>
                <w:rtl/>
                <w:lang w:bidi="ar-EG"/>
              </w:rPr>
              <w:t>السنة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5405E637" w14:textId="606E0CAC" w:rsidR="00FB552B" w:rsidRPr="00FB552B" w:rsidRDefault="00FB552B" w:rsidP="00FB552B">
            <w:pPr>
              <w:pStyle w:val="BodyText"/>
              <w:rPr>
                <w:b/>
                <w:bCs/>
                <w:lang w:bidi="ar-EG"/>
              </w:rPr>
            </w:pPr>
            <w:r>
              <w:rPr>
                <w:rFonts w:hint="cs"/>
                <w:b/>
                <w:bCs/>
                <w:rtl/>
                <w:lang w:bidi="ar-EG"/>
              </w:rPr>
              <w:t>الوحدة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015DA2C0" w14:textId="6C819615" w:rsidR="00FB552B" w:rsidRPr="00FB552B" w:rsidRDefault="00FB552B" w:rsidP="00FB552B">
            <w:pPr>
              <w:pStyle w:val="BodyText"/>
              <w:rPr>
                <w:b/>
                <w:bCs/>
                <w:lang w:bidi="ar-EG"/>
              </w:rPr>
            </w:pPr>
            <w:r w:rsidRPr="00FB552B">
              <w:rPr>
                <w:b/>
                <w:bCs/>
                <w:rtl/>
                <w:lang w:bidi="ar-EG"/>
              </w:rPr>
              <w:t>نصيب الفرد من الناتج المحلي الإجمالي - دولار أمريكي</w:t>
            </w:r>
          </w:p>
        </w:tc>
      </w:tr>
      <w:tr w:rsidR="00FB552B" w:rsidRPr="00FB552B" w14:paraId="3DE21AE7" w14:textId="77777777" w:rsidTr="00FB552B">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42ED33E" w14:textId="69D49F68" w:rsidR="00FB552B" w:rsidRPr="00FB552B" w:rsidRDefault="00FB552B" w:rsidP="00FB552B">
            <w:pPr>
              <w:pStyle w:val="BodyText"/>
              <w:rPr>
                <w:lang w:bidi="ar-EG"/>
              </w:rPr>
            </w:pPr>
            <w:r>
              <w:rPr>
                <w:rFonts w:hint="cs"/>
                <w:rtl/>
                <w:lang w:bidi="ar-EG"/>
              </w:rPr>
              <w:t>سويسرا</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36ABBE4" w14:textId="77777777" w:rsidR="00FB552B" w:rsidRPr="00FB552B" w:rsidRDefault="00FB552B" w:rsidP="00FB552B">
            <w:pPr>
              <w:pStyle w:val="BodyText"/>
              <w:rPr>
                <w:lang w:bidi="ar-EG"/>
              </w:rPr>
            </w:pPr>
            <w:r w:rsidRPr="00FB552B">
              <w:rPr>
                <w:lang w:bidi="ar-EG"/>
              </w:rPr>
              <w:t>2005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0B6D70C" w14:textId="0831E004" w:rsidR="00FB552B" w:rsidRPr="00FB552B" w:rsidRDefault="00FB552B" w:rsidP="00FB552B">
            <w:pPr>
              <w:pStyle w:val="BodyText"/>
              <w:rPr>
                <w:lang w:bidi="ar-EG"/>
              </w:rPr>
            </w:pPr>
            <w:r>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164AA31" w14:textId="77777777" w:rsidR="00FB552B" w:rsidRPr="00FB552B" w:rsidRDefault="00FB552B" w:rsidP="00FB552B">
            <w:pPr>
              <w:pStyle w:val="BodyText"/>
              <w:rPr>
                <w:lang w:bidi="ar-EG"/>
              </w:rPr>
            </w:pPr>
            <w:r w:rsidRPr="00FB552B">
              <w:rPr>
                <w:lang w:bidi="ar-EG"/>
              </w:rPr>
              <w:t>56,310</w:t>
            </w:r>
          </w:p>
        </w:tc>
      </w:tr>
      <w:tr w:rsidR="00FB552B" w:rsidRPr="00FB552B" w14:paraId="0BE39E0D" w14:textId="77777777" w:rsidTr="00FB552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62EE88F" w14:textId="0525B22D" w:rsidR="00FB552B" w:rsidRPr="00FB552B" w:rsidRDefault="00FB552B" w:rsidP="00FB552B">
            <w:pPr>
              <w:pStyle w:val="BodyText"/>
              <w:rPr>
                <w:lang w:bidi="ar-EG"/>
              </w:rPr>
            </w:pPr>
            <w:r>
              <w:rPr>
                <w:rFonts w:hint="cs"/>
                <w:rtl/>
                <w:lang w:bidi="ar-EG"/>
              </w:rPr>
              <w:t>سويسرا</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09C8B37" w14:textId="77777777" w:rsidR="00FB552B" w:rsidRPr="00FB552B" w:rsidRDefault="00FB552B" w:rsidP="00FB552B">
            <w:pPr>
              <w:pStyle w:val="BodyText"/>
              <w:rPr>
                <w:lang w:bidi="ar-EG"/>
              </w:rPr>
            </w:pPr>
            <w:r w:rsidRPr="00FB552B">
              <w:rPr>
                <w:lang w:bidi="ar-EG"/>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095B1F2" w14:textId="7B8F6484" w:rsidR="00FB552B" w:rsidRPr="00FB552B" w:rsidRDefault="00FB552B" w:rsidP="00FB552B">
            <w:pPr>
              <w:pStyle w:val="BodyText"/>
              <w:rPr>
                <w:lang w:bidi="ar-EG"/>
              </w:rPr>
            </w:pPr>
            <w:r>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9D85938" w14:textId="77777777" w:rsidR="00FB552B" w:rsidRPr="00FB552B" w:rsidRDefault="00FB552B" w:rsidP="00FB552B">
            <w:pPr>
              <w:pStyle w:val="BodyText"/>
              <w:rPr>
                <w:lang w:bidi="ar-EG"/>
              </w:rPr>
            </w:pPr>
            <w:r w:rsidRPr="00FB552B">
              <w:rPr>
                <w:lang w:bidi="ar-EG"/>
              </w:rPr>
              <w:t>83,813</w:t>
            </w:r>
          </w:p>
        </w:tc>
      </w:tr>
      <w:tr w:rsidR="00FB552B" w:rsidRPr="00FB552B" w14:paraId="79FFA0F2" w14:textId="77777777" w:rsidTr="00FB552B">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63310FF" w14:textId="00FF7F96" w:rsidR="00FB552B" w:rsidRPr="00FB552B" w:rsidRDefault="00FB552B" w:rsidP="00FB552B">
            <w:pPr>
              <w:pStyle w:val="BodyText"/>
              <w:rPr>
                <w:lang w:bidi="ar-EG"/>
              </w:rPr>
            </w:pPr>
            <w:r>
              <w:rPr>
                <w:rFonts w:hint="cs"/>
                <w:rtl/>
                <w:lang w:bidi="ar-EG"/>
              </w:rPr>
              <w:t>سويسرا</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01FC9EC" w14:textId="77777777" w:rsidR="00FB552B" w:rsidRPr="00FB552B" w:rsidRDefault="00FB552B" w:rsidP="00FB552B">
            <w:pPr>
              <w:pStyle w:val="BodyText"/>
              <w:rPr>
                <w:lang w:bidi="ar-EG"/>
              </w:rPr>
            </w:pPr>
            <w:r w:rsidRPr="00FB552B">
              <w:rPr>
                <w:lang w:bidi="ar-EG"/>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E9240EB" w14:textId="509C1646" w:rsidR="00FB552B" w:rsidRPr="00FB552B" w:rsidRDefault="00FB552B" w:rsidP="00FB552B">
            <w:pPr>
              <w:pStyle w:val="BodyText"/>
              <w:rPr>
                <w:lang w:bidi="ar-EG"/>
              </w:rPr>
            </w:pPr>
            <w:r>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BD15D94" w14:textId="77777777" w:rsidR="00FB552B" w:rsidRPr="00FB552B" w:rsidRDefault="00FB552B" w:rsidP="00FB552B">
            <w:pPr>
              <w:pStyle w:val="BodyText"/>
              <w:rPr>
                <w:lang w:bidi="ar-EG"/>
              </w:rPr>
            </w:pPr>
            <w:r w:rsidRPr="00FB552B">
              <w:rPr>
                <w:lang w:bidi="ar-EG"/>
              </w:rPr>
              <w:t>93,636</w:t>
            </w:r>
          </w:p>
        </w:tc>
      </w:tr>
    </w:tbl>
    <w:p w14:paraId="5B2FFE51" w14:textId="159352C9" w:rsidR="00FB552B" w:rsidRDefault="00FB552B" w:rsidP="00FB552B">
      <w:pPr>
        <w:pStyle w:val="ONUMA"/>
        <w:rPr>
          <w:lang w:bidi="ar-EG"/>
        </w:rPr>
      </w:pPr>
      <w:r w:rsidRPr="00FB552B">
        <w:rPr>
          <w:rtl/>
          <w:lang w:bidi="ar-EG"/>
        </w:rPr>
        <w:lastRenderedPageBreak/>
        <w:t>ولحساب الرقم المطلوب في جدول الرسوم، ي</w:t>
      </w:r>
      <w:r w:rsidR="00810837">
        <w:rPr>
          <w:rFonts w:hint="cs"/>
          <w:rtl/>
          <w:lang w:bidi="ar-EG"/>
        </w:rPr>
        <w:t>ُ</w:t>
      </w:r>
      <w:r w:rsidRPr="00FB552B">
        <w:rPr>
          <w:rtl/>
          <w:lang w:bidi="ar-EG"/>
        </w:rPr>
        <w:t xml:space="preserve">طبق معامل الانكماش </w:t>
      </w:r>
      <w:r>
        <w:rPr>
          <w:rFonts w:hint="cs"/>
          <w:rtl/>
          <w:lang w:bidi="ar-EG"/>
        </w:rPr>
        <w:t>لسنة</w:t>
      </w:r>
      <w:r w:rsidRPr="00FB552B">
        <w:rPr>
          <w:rtl/>
          <w:lang w:bidi="ar-EG"/>
        </w:rPr>
        <w:t xml:space="preserve"> 2005 على كل قيمة من القيم الثابتة </w:t>
      </w:r>
      <w:r>
        <w:rPr>
          <w:rFonts w:hint="cs"/>
          <w:rtl/>
          <w:lang w:bidi="ar-EG"/>
        </w:rPr>
        <w:t>لسنة</w:t>
      </w:r>
      <w:r w:rsidRPr="00FB552B">
        <w:rPr>
          <w:rtl/>
          <w:lang w:bidi="ar-EG"/>
        </w:rPr>
        <w:t xml:space="preserve"> 2015 لفترة السنوات العشر المعنية وي</w:t>
      </w:r>
      <w:r w:rsidR="00810837">
        <w:rPr>
          <w:rFonts w:hint="cs"/>
          <w:rtl/>
          <w:lang w:bidi="ar-EG"/>
        </w:rPr>
        <w:t>ُ</w:t>
      </w:r>
      <w:r w:rsidRPr="00FB552B">
        <w:rPr>
          <w:rtl/>
          <w:lang w:bidi="ar-EG"/>
        </w:rPr>
        <w:t xml:space="preserve">ؤخذ </w:t>
      </w:r>
      <w:r w:rsidR="00810837">
        <w:rPr>
          <w:rFonts w:hint="cs"/>
          <w:rtl/>
          <w:lang w:bidi="ar-EG"/>
        </w:rPr>
        <w:t>المتوسط</w:t>
      </w:r>
      <w:r w:rsidRPr="00FB552B">
        <w:rPr>
          <w:rtl/>
          <w:lang w:bidi="ar-EG"/>
        </w:rPr>
        <w:t>.</w:t>
      </w:r>
    </w:p>
    <w:tbl>
      <w:tblPr>
        <w:bidiVisual/>
        <w:tblW w:w="5000" w:type="pct"/>
        <w:tblInd w:w="-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1638"/>
        <w:gridCol w:w="813"/>
        <w:gridCol w:w="2653"/>
        <w:gridCol w:w="2533"/>
      </w:tblGrid>
      <w:tr w:rsidR="00810837" w:rsidRPr="00810837" w14:paraId="080E3B30" w14:textId="77777777" w:rsidTr="00810837">
        <w:trPr>
          <w:tblHeader/>
        </w:trPr>
        <w:tc>
          <w:tcPr>
            <w:tcW w:w="1702" w:type="dxa"/>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12CF693E" w14:textId="7641A5F8" w:rsidR="00810837" w:rsidRPr="00810837" w:rsidRDefault="00810837" w:rsidP="00810837">
            <w:pPr>
              <w:pStyle w:val="BodyText"/>
              <w:rPr>
                <w:b/>
                <w:bCs/>
                <w:lang w:bidi="ar-EG"/>
              </w:rPr>
            </w:pPr>
            <w:r w:rsidRPr="00FB552B">
              <w:rPr>
                <w:b/>
                <w:bCs/>
                <w:rtl/>
                <w:lang w:bidi="ar-EG"/>
              </w:rPr>
              <w:t>البلد/المنطقة</w:t>
            </w:r>
          </w:p>
        </w:tc>
        <w:tc>
          <w:tcPr>
            <w:tcW w:w="1638" w:type="dxa"/>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A0524B9" w14:textId="18616DBA" w:rsidR="00810837" w:rsidRPr="00810837" w:rsidRDefault="00810837" w:rsidP="00810837">
            <w:pPr>
              <w:pStyle w:val="BodyText"/>
              <w:rPr>
                <w:b/>
                <w:bCs/>
                <w:lang w:bidi="ar-EG"/>
              </w:rPr>
            </w:pPr>
            <w:r>
              <w:rPr>
                <w:rFonts w:hint="cs"/>
                <w:b/>
                <w:bCs/>
                <w:rtl/>
                <w:lang w:bidi="ar-EG"/>
              </w:rPr>
              <w:t>السنة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725EA5B2" w14:textId="435F5A32" w:rsidR="00810837" w:rsidRPr="00810837" w:rsidRDefault="00810837" w:rsidP="00810837">
            <w:pPr>
              <w:pStyle w:val="BodyText"/>
              <w:rPr>
                <w:b/>
                <w:bCs/>
                <w:lang w:bidi="ar-EG"/>
              </w:rPr>
            </w:pPr>
            <w:r>
              <w:rPr>
                <w:rFonts w:hint="cs"/>
                <w:b/>
                <w:bCs/>
                <w:rtl/>
                <w:lang w:bidi="ar-EG"/>
              </w:rPr>
              <w:t>الوحدة</w:t>
            </w:r>
          </w:p>
        </w:tc>
        <w:tc>
          <w:tcPr>
            <w:tcW w:w="0" w:type="auto"/>
            <w:tcBorders>
              <w:top w:val="nil"/>
              <w:left w:val="single" w:sz="6" w:space="0" w:color="DDDDDD"/>
              <w:bottom w:val="nil"/>
              <w:right w:val="single" w:sz="6" w:space="0" w:color="DDDDDD"/>
            </w:tcBorders>
            <w:shd w:val="clear" w:color="auto" w:fill="D9EDF7"/>
            <w:tcMar>
              <w:top w:w="75" w:type="dxa"/>
              <w:left w:w="75" w:type="dxa"/>
              <w:bottom w:w="75" w:type="dxa"/>
              <w:right w:w="75" w:type="dxa"/>
            </w:tcMar>
            <w:vAlign w:val="bottom"/>
            <w:hideMark/>
          </w:tcPr>
          <w:p w14:paraId="34078B5C" w14:textId="4487F326" w:rsidR="00810837" w:rsidRPr="00810837" w:rsidRDefault="00810837" w:rsidP="00810837">
            <w:pPr>
              <w:pStyle w:val="BodyText"/>
              <w:rPr>
                <w:b/>
                <w:bCs/>
                <w:lang w:bidi="ar-EG"/>
              </w:rPr>
            </w:pPr>
            <w:r w:rsidRPr="007B3B59">
              <w:rPr>
                <w:b/>
                <w:bCs/>
                <w:rtl/>
                <w:lang w:bidi="ar-EG"/>
              </w:rPr>
              <w:t>نصيب الفرد من الناتج المحلي الإجمالي بالأسعار الثابتة لسنة 2015</w:t>
            </w:r>
          </w:p>
        </w:tc>
        <w:tc>
          <w:tcPr>
            <w:tcW w:w="0" w:type="auto"/>
            <w:tcBorders>
              <w:top w:val="nil"/>
              <w:left w:val="single" w:sz="6" w:space="0" w:color="DDDDDD"/>
              <w:bottom w:val="nil"/>
              <w:right w:val="single" w:sz="6" w:space="0" w:color="DDDDDD"/>
            </w:tcBorders>
            <w:shd w:val="clear" w:color="auto" w:fill="D9EDF7"/>
          </w:tcPr>
          <w:p w14:paraId="207A1F44" w14:textId="47C2798F" w:rsidR="00810837" w:rsidRPr="00810837" w:rsidRDefault="00810837" w:rsidP="00810837">
            <w:pPr>
              <w:pStyle w:val="BodyText"/>
              <w:rPr>
                <w:b/>
                <w:bCs/>
                <w:lang w:bidi="ar-EG"/>
              </w:rPr>
            </w:pPr>
            <w:r w:rsidRPr="00810837">
              <w:rPr>
                <w:b/>
                <w:bCs/>
                <w:rtl/>
                <w:lang w:bidi="ar-EG"/>
              </w:rPr>
              <w:t xml:space="preserve">نصيب الفرد من الناتج المحلي الإجمالي بالأسعار الثابتة </w:t>
            </w:r>
            <w:r w:rsidRPr="00810837">
              <w:rPr>
                <w:rFonts w:hint="cs"/>
                <w:b/>
                <w:bCs/>
                <w:rtl/>
                <w:lang w:bidi="ar-EG"/>
              </w:rPr>
              <w:t>لسنة</w:t>
            </w:r>
            <w:r w:rsidRPr="00810837">
              <w:rPr>
                <w:b/>
                <w:bCs/>
                <w:rtl/>
                <w:lang w:bidi="ar-EG"/>
              </w:rPr>
              <w:t xml:space="preserve"> 2005</w:t>
            </w:r>
          </w:p>
        </w:tc>
      </w:tr>
      <w:tr w:rsidR="00810837" w:rsidRPr="00810837" w14:paraId="569A64B8"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5015EDB" w14:textId="58DC4545"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0A0B6CC" w14:textId="77777777" w:rsidR="00810837" w:rsidRPr="00810837" w:rsidRDefault="00810837" w:rsidP="00810837">
            <w:pPr>
              <w:pStyle w:val="BodyText"/>
              <w:rPr>
                <w:lang w:bidi="ar-EG"/>
              </w:rPr>
            </w:pPr>
            <w:r w:rsidRPr="00810837">
              <w:rPr>
                <w:lang w:bidi="ar-EG"/>
              </w:rPr>
              <w:t>2013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09195A2" w14:textId="1DD3F988"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C266CC7" w14:textId="77777777" w:rsidR="00810837" w:rsidRPr="00810837" w:rsidRDefault="00810837" w:rsidP="00810837">
            <w:pPr>
              <w:pStyle w:val="BodyText"/>
              <w:rPr>
                <w:lang w:bidi="ar-EG"/>
              </w:rPr>
            </w:pPr>
            <w:r w:rsidRPr="00810837">
              <w:rPr>
                <w:lang w:bidi="ar-EG"/>
              </w:rPr>
              <w:t>82,490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0927CAC4" w14:textId="77777777" w:rsidR="00810837" w:rsidRPr="00810837" w:rsidRDefault="00810837" w:rsidP="00810837">
            <w:pPr>
              <w:pStyle w:val="BodyText"/>
              <w:rPr>
                <w:lang w:bidi="ar-EG"/>
              </w:rPr>
            </w:pPr>
            <w:r w:rsidRPr="00810837">
              <w:rPr>
                <w:lang w:bidi="ar-EG"/>
              </w:rPr>
              <w:t>60,820</w:t>
            </w:r>
          </w:p>
        </w:tc>
      </w:tr>
      <w:tr w:rsidR="00810837" w:rsidRPr="00810837" w14:paraId="7DD7EC56"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C16C46D" w14:textId="7E010AB0"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07A84C8" w14:textId="77777777" w:rsidR="00810837" w:rsidRPr="00810837" w:rsidRDefault="00810837" w:rsidP="00810837">
            <w:pPr>
              <w:pStyle w:val="BodyText"/>
              <w:rPr>
                <w:lang w:bidi="ar-EG"/>
              </w:rPr>
            </w:pPr>
            <w:r w:rsidRPr="00810837">
              <w:rPr>
                <w:lang w:bidi="ar-EG"/>
              </w:rPr>
              <w:t>2014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744B7CF" w14:textId="12BBBA44"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24C6128" w14:textId="77777777" w:rsidR="00810837" w:rsidRPr="00810837" w:rsidRDefault="00810837" w:rsidP="00810837">
            <w:pPr>
              <w:pStyle w:val="BodyText"/>
              <w:rPr>
                <w:lang w:bidi="ar-EG"/>
              </w:rPr>
            </w:pPr>
            <w:r w:rsidRPr="00810837">
              <w:rPr>
                <w:lang w:bidi="ar-EG"/>
              </w:rPr>
              <w:t>83,403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37381705" w14:textId="77777777" w:rsidR="00810837" w:rsidRPr="00810837" w:rsidRDefault="00810837" w:rsidP="00810837">
            <w:pPr>
              <w:pStyle w:val="BodyText"/>
              <w:rPr>
                <w:lang w:bidi="ar-EG"/>
              </w:rPr>
            </w:pPr>
            <w:r w:rsidRPr="00810837">
              <w:rPr>
                <w:lang w:bidi="ar-EG"/>
              </w:rPr>
              <w:t>61,494</w:t>
            </w:r>
          </w:p>
        </w:tc>
      </w:tr>
      <w:tr w:rsidR="00810837" w:rsidRPr="00810837" w14:paraId="109BF2E1"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5F92910F" w14:textId="792F1845"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4D3C2FF" w14:textId="77777777" w:rsidR="00810837" w:rsidRPr="00810837" w:rsidRDefault="00810837" w:rsidP="00810837">
            <w:pPr>
              <w:pStyle w:val="BodyText"/>
              <w:rPr>
                <w:lang w:bidi="ar-EG"/>
              </w:rPr>
            </w:pPr>
            <w:r w:rsidRPr="00810837">
              <w:rPr>
                <w:lang w:bidi="ar-EG"/>
              </w:rPr>
              <w:t>2015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AEC5C3F" w14:textId="6BC2B694"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89BABC8" w14:textId="77777777" w:rsidR="00810837" w:rsidRPr="00810837" w:rsidRDefault="00810837" w:rsidP="00810837">
            <w:pPr>
              <w:pStyle w:val="BodyText"/>
              <w:rPr>
                <w:lang w:bidi="ar-EG"/>
              </w:rPr>
            </w:pPr>
            <w:r w:rsidRPr="00810837">
              <w:rPr>
                <w:lang w:bidi="ar-EG"/>
              </w:rPr>
              <w:t>83,813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071A2221" w14:textId="77777777" w:rsidR="00810837" w:rsidRPr="00810837" w:rsidRDefault="00810837" w:rsidP="00810837">
            <w:pPr>
              <w:pStyle w:val="BodyText"/>
              <w:rPr>
                <w:lang w:bidi="ar-EG"/>
              </w:rPr>
            </w:pPr>
            <w:r w:rsidRPr="00810837">
              <w:rPr>
                <w:lang w:bidi="ar-EG"/>
              </w:rPr>
              <w:t>61,796</w:t>
            </w:r>
          </w:p>
        </w:tc>
      </w:tr>
      <w:tr w:rsidR="00810837" w:rsidRPr="00810837" w14:paraId="51D4A7FF"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9C15FA1" w14:textId="39285EAD"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A7E7EAE" w14:textId="77777777" w:rsidR="00810837" w:rsidRPr="00810837" w:rsidRDefault="00810837" w:rsidP="00810837">
            <w:pPr>
              <w:pStyle w:val="BodyText"/>
              <w:rPr>
                <w:lang w:bidi="ar-EG"/>
              </w:rPr>
            </w:pPr>
            <w:r w:rsidRPr="00810837">
              <w:rPr>
                <w:lang w:bidi="ar-EG"/>
              </w:rPr>
              <w:t>2016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1CE8EDD" w14:textId="54D5270D"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C4B69DB" w14:textId="77777777" w:rsidR="00810837" w:rsidRPr="00810837" w:rsidRDefault="00810837" w:rsidP="00810837">
            <w:pPr>
              <w:pStyle w:val="BodyText"/>
              <w:rPr>
                <w:lang w:bidi="ar-EG"/>
              </w:rPr>
            </w:pPr>
            <w:r w:rsidRPr="00810837">
              <w:rPr>
                <w:lang w:bidi="ar-EG"/>
              </w:rPr>
              <w:t>84,616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2428F1E5" w14:textId="77777777" w:rsidR="00810837" w:rsidRPr="00810837" w:rsidRDefault="00810837" w:rsidP="00810837">
            <w:pPr>
              <w:pStyle w:val="BodyText"/>
              <w:rPr>
                <w:lang w:bidi="ar-EG"/>
              </w:rPr>
            </w:pPr>
            <w:r w:rsidRPr="00810837">
              <w:rPr>
                <w:lang w:bidi="ar-EG"/>
              </w:rPr>
              <w:t>62,388</w:t>
            </w:r>
          </w:p>
        </w:tc>
      </w:tr>
      <w:tr w:rsidR="00810837" w:rsidRPr="00810837" w14:paraId="17F1BFD9"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63DB840" w14:textId="0B25FD30"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8D26E8D" w14:textId="77777777" w:rsidR="00810837" w:rsidRPr="00810837" w:rsidRDefault="00810837" w:rsidP="00810837">
            <w:pPr>
              <w:pStyle w:val="BodyText"/>
              <w:rPr>
                <w:lang w:bidi="ar-EG"/>
              </w:rPr>
            </w:pPr>
            <w:r w:rsidRPr="00810837">
              <w:rPr>
                <w:lang w:bidi="ar-EG"/>
              </w:rPr>
              <w:t>2017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6BE8085D" w14:textId="350DB42F"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F95BC44" w14:textId="77777777" w:rsidR="00810837" w:rsidRPr="00810837" w:rsidRDefault="00810837" w:rsidP="00810837">
            <w:pPr>
              <w:pStyle w:val="BodyText"/>
              <w:rPr>
                <w:lang w:bidi="ar-EG"/>
              </w:rPr>
            </w:pPr>
            <w:r w:rsidRPr="00810837">
              <w:rPr>
                <w:lang w:bidi="ar-EG"/>
              </w:rPr>
              <w:t>84,969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6E644681" w14:textId="77777777" w:rsidR="00810837" w:rsidRPr="00810837" w:rsidRDefault="00810837" w:rsidP="00810837">
            <w:pPr>
              <w:pStyle w:val="BodyText"/>
              <w:rPr>
                <w:lang w:bidi="ar-EG"/>
              </w:rPr>
            </w:pPr>
            <w:r w:rsidRPr="00810837">
              <w:rPr>
                <w:lang w:bidi="ar-EG"/>
              </w:rPr>
              <w:t>62,648</w:t>
            </w:r>
          </w:p>
        </w:tc>
      </w:tr>
      <w:tr w:rsidR="00810837" w:rsidRPr="00810837" w14:paraId="168C0828"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0599A69" w14:textId="76DB24C9"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88578EB" w14:textId="77777777" w:rsidR="00810837" w:rsidRPr="00810837" w:rsidRDefault="00810837" w:rsidP="00810837">
            <w:pPr>
              <w:pStyle w:val="BodyText"/>
              <w:rPr>
                <w:lang w:bidi="ar-EG"/>
              </w:rPr>
            </w:pPr>
            <w:r w:rsidRPr="00810837">
              <w:rPr>
                <w:lang w:bidi="ar-EG"/>
              </w:rPr>
              <w:t>2018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37CDA37" w14:textId="7330957C"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7CC39C9" w14:textId="77777777" w:rsidR="00810837" w:rsidRPr="00810837" w:rsidRDefault="00810837" w:rsidP="00810837">
            <w:pPr>
              <w:pStyle w:val="BodyText"/>
              <w:rPr>
                <w:lang w:bidi="ar-EG"/>
              </w:rPr>
            </w:pPr>
            <w:r w:rsidRPr="00810837">
              <w:rPr>
                <w:lang w:bidi="ar-EG"/>
              </w:rPr>
              <w:t>86,756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50D1AAA3" w14:textId="77777777" w:rsidR="00810837" w:rsidRPr="00810837" w:rsidRDefault="00810837" w:rsidP="00810837">
            <w:pPr>
              <w:pStyle w:val="BodyText"/>
              <w:rPr>
                <w:lang w:bidi="ar-EG"/>
              </w:rPr>
            </w:pPr>
            <w:r w:rsidRPr="00810837">
              <w:rPr>
                <w:lang w:bidi="ar-EG"/>
              </w:rPr>
              <w:t>63,965</w:t>
            </w:r>
          </w:p>
        </w:tc>
      </w:tr>
      <w:tr w:rsidR="00810837" w:rsidRPr="00810837" w14:paraId="3E2848C2"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21B150" w14:textId="57D78535"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89C082E" w14:textId="77777777" w:rsidR="00810837" w:rsidRPr="00810837" w:rsidRDefault="00810837" w:rsidP="00810837">
            <w:pPr>
              <w:pStyle w:val="BodyText"/>
              <w:rPr>
                <w:lang w:bidi="ar-EG"/>
              </w:rPr>
            </w:pPr>
            <w:r w:rsidRPr="00810837">
              <w:rPr>
                <w:lang w:bidi="ar-EG"/>
              </w:rPr>
              <w:t>2019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4F29671" w14:textId="1D35C535"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9823CB4" w14:textId="77777777" w:rsidR="00810837" w:rsidRPr="00810837" w:rsidRDefault="00810837" w:rsidP="00810837">
            <w:pPr>
              <w:pStyle w:val="BodyText"/>
              <w:rPr>
                <w:lang w:bidi="ar-EG"/>
              </w:rPr>
            </w:pPr>
            <w:r w:rsidRPr="00810837">
              <w:rPr>
                <w:lang w:bidi="ar-EG"/>
              </w:rPr>
              <w:t>87,121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645F7C16" w14:textId="77777777" w:rsidR="00810837" w:rsidRPr="00810837" w:rsidRDefault="00810837" w:rsidP="00810837">
            <w:pPr>
              <w:pStyle w:val="BodyText"/>
              <w:rPr>
                <w:lang w:bidi="ar-EG"/>
              </w:rPr>
            </w:pPr>
            <w:r w:rsidRPr="00810837">
              <w:rPr>
                <w:lang w:bidi="ar-EG"/>
              </w:rPr>
              <w:t>64,235</w:t>
            </w:r>
          </w:p>
        </w:tc>
      </w:tr>
      <w:tr w:rsidR="00810837" w:rsidRPr="00810837" w14:paraId="014358F7"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A7C227B" w14:textId="5C7584DB"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74380A7" w14:textId="77777777" w:rsidR="00810837" w:rsidRPr="00810837" w:rsidRDefault="00810837" w:rsidP="00810837">
            <w:pPr>
              <w:pStyle w:val="BodyText"/>
              <w:rPr>
                <w:lang w:bidi="ar-EG"/>
              </w:rPr>
            </w:pPr>
            <w:r w:rsidRPr="00810837">
              <w:rPr>
                <w:lang w:bidi="ar-EG"/>
              </w:rPr>
              <w:t>2020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3AB7ACE" w14:textId="20D99F64"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4931FA8" w14:textId="77777777" w:rsidR="00810837" w:rsidRPr="00810837" w:rsidRDefault="00810837" w:rsidP="00810837">
            <w:pPr>
              <w:pStyle w:val="BodyText"/>
              <w:rPr>
                <w:lang w:bidi="ar-EG"/>
              </w:rPr>
            </w:pPr>
            <w:r w:rsidRPr="00810837">
              <w:rPr>
                <w:lang w:bidi="ar-EG"/>
              </w:rPr>
              <w:t>84,633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6B323C62" w14:textId="77777777" w:rsidR="00810837" w:rsidRPr="00810837" w:rsidRDefault="00810837" w:rsidP="00810837">
            <w:pPr>
              <w:pStyle w:val="BodyText"/>
              <w:rPr>
                <w:lang w:bidi="ar-EG"/>
              </w:rPr>
            </w:pPr>
            <w:r w:rsidRPr="00810837">
              <w:rPr>
                <w:lang w:bidi="ar-EG"/>
              </w:rPr>
              <w:t>62,400</w:t>
            </w:r>
          </w:p>
        </w:tc>
      </w:tr>
      <w:tr w:rsidR="00810837" w:rsidRPr="00810837" w14:paraId="0B884980"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FB8BBCC" w14:textId="1DAA9CBC"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D094033" w14:textId="77777777" w:rsidR="00810837" w:rsidRPr="00810837" w:rsidRDefault="00810837" w:rsidP="00810837">
            <w:pPr>
              <w:pStyle w:val="BodyText"/>
              <w:rPr>
                <w:lang w:bidi="ar-EG"/>
              </w:rPr>
            </w:pPr>
            <w:r w:rsidRPr="00810837">
              <w:rPr>
                <w:lang w:bidi="ar-EG"/>
              </w:rPr>
              <w:t>2021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6F0C79F" w14:textId="26B177CB"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7E26EDE2" w14:textId="77777777" w:rsidR="00810837" w:rsidRPr="00810837" w:rsidRDefault="00810837" w:rsidP="00810837">
            <w:pPr>
              <w:pStyle w:val="BodyText"/>
              <w:rPr>
                <w:lang w:bidi="ar-EG"/>
              </w:rPr>
            </w:pPr>
            <w:r w:rsidRPr="00810837">
              <w:rPr>
                <w:lang w:bidi="ar-EG"/>
              </w:rPr>
              <w:t>88,654</w:t>
            </w:r>
          </w:p>
        </w:tc>
        <w:tc>
          <w:tcPr>
            <w:tcW w:w="0" w:type="auto"/>
            <w:tcBorders>
              <w:top w:val="single" w:sz="6" w:space="0" w:color="DDDDDD"/>
              <w:left w:val="single" w:sz="6" w:space="0" w:color="DDDDDD"/>
              <w:bottom w:val="single" w:sz="6" w:space="0" w:color="DDDDDD"/>
              <w:right w:val="single" w:sz="6" w:space="0" w:color="DDDDDD"/>
            </w:tcBorders>
            <w:shd w:val="clear" w:color="auto" w:fill="F9F9F9"/>
          </w:tcPr>
          <w:p w14:paraId="3680F01D" w14:textId="77777777" w:rsidR="00810837" w:rsidRPr="00810837" w:rsidRDefault="00810837" w:rsidP="00810837">
            <w:pPr>
              <w:pStyle w:val="BodyText"/>
              <w:rPr>
                <w:lang w:bidi="ar-EG"/>
              </w:rPr>
            </w:pPr>
            <w:r w:rsidRPr="00810837">
              <w:rPr>
                <w:lang w:bidi="ar-EG"/>
              </w:rPr>
              <w:t>65,365</w:t>
            </w:r>
          </w:p>
        </w:tc>
      </w:tr>
      <w:tr w:rsidR="00810837" w:rsidRPr="00810837" w14:paraId="190C5037"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678797D" w14:textId="2F9CACD3" w:rsidR="00810837" w:rsidRPr="00810837" w:rsidRDefault="00810837" w:rsidP="00810837">
            <w:pPr>
              <w:pStyle w:val="BodyText"/>
              <w:rPr>
                <w:lang w:bidi="ar-EG"/>
              </w:rPr>
            </w:pPr>
            <w:r>
              <w:rPr>
                <w:rFonts w:hint="cs"/>
                <w:rtl/>
                <w:lang w:bidi="ar-EG"/>
              </w:rPr>
              <w:t>سويسرا</w:t>
            </w: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6D9568C" w14:textId="77777777" w:rsidR="00810837" w:rsidRPr="00810837" w:rsidRDefault="00810837" w:rsidP="00810837">
            <w:pPr>
              <w:pStyle w:val="BodyText"/>
              <w:rPr>
                <w:lang w:bidi="ar-EG"/>
              </w:rPr>
            </w:pPr>
            <w:r w:rsidRPr="00810837">
              <w:rPr>
                <w:lang w:bidi="ar-EG"/>
              </w:rPr>
              <w:t>2022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ADA2428" w14:textId="13C0FDE2" w:rsidR="00810837" w:rsidRPr="00810837" w:rsidRDefault="00810837" w:rsidP="00810837">
            <w:pPr>
              <w:pStyle w:val="BodyText"/>
              <w:rPr>
                <w:lang w:bidi="ar-EG"/>
              </w:rPr>
            </w:pPr>
            <w:r w:rsidRPr="00970184">
              <w:rPr>
                <w:rFonts w:hint="cs"/>
                <w:rtl/>
                <w:lang w:bidi="ar-EG"/>
              </w:rPr>
              <w:t>دولار أمريكي</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DA9F091" w14:textId="77777777" w:rsidR="00810837" w:rsidRPr="00810837" w:rsidRDefault="00810837" w:rsidP="00810837">
            <w:pPr>
              <w:pStyle w:val="BodyText"/>
              <w:rPr>
                <w:lang w:bidi="ar-EG"/>
              </w:rPr>
            </w:pPr>
            <w:r w:rsidRPr="00810837">
              <w:rPr>
                <w:lang w:bidi="ar-EG"/>
              </w:rPr>
              <w:t>90,421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0B7EC305" w14:textId="77777777" w:rsidR="00810837" w:rsidRPr="00810837" w:rsidRDefault="00810837" w:rsidP="00810837">
            <w:pPr>
              <w:pStyle w:val="BodyText"/>
              <w:rPr>
                <w:lang w:bidi="ar-EG"/>
              </w:rPr>
            </w:pPr>
            <w:r w:rsidRPr="00810837">
              <w:rPr>
                <w:lang w:bidi="ar-EG"/>
              </w:rPr>
              <w:t>66,668</w:t>
            </w:r>
          </w:p>
        </w:tc>
      </w:tr>
      <w:tr w:rsidR="00810837" w:rsidRPr="00810837" w14:paraId="74D3DDE9" w14:textId="77777777" w:rsidTr="00810837">
        <w:tc>
          <w:tcPr>
            <w:tcW w:w="170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86E06B4" w14:textId="77777777" w:rsidR="00810837" w:rsidRPr="00810837" w:rsidRDefault="00810837" w:rsidP="00810837">
            <w:pPr>
              <w:pStyle w:val="BodyText"/>
              <w:rPr>
                <w:lang w:bidi="ar-EG"/>
              </w:rPr>
            </w:pPr>
          </w:p>
        </w:tc>
        <w:tc>
          <w:tcPr>
            <w:tcW w:w="163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003EE21" w14:textId="5295DEC8" w:rsidR="00810837" w:rsidRPr="00810837" w:rsidRDefault="00810837" w:rsidP="00810837">
            <w:pPr>
              <w:pStyle w:val="BodyText"/>
              <w:rPr>
                <w:i/>
                <w:iCs/>
                <w:lang w:bidi="ar-EG"/>
              </w:rPr>
            </w:pPr>
            <w:r>
              <w:rPr>
                <w:rFonts w:hint="cs"/>
                <w:i/>
                <w:iCs/>
                <w:rtl/>
                <w:lang w:bidi="ar-EG"/>
              </w:rPr>
              <w:t>المتوسط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1D30716" w14:textId="77777777" w:rsidR="00810837" w:rsidRPr="00810837" w:rsidRDefault="00810837" w:rsidP="00810837">
            <w:pPr>
              <w:pStyle w:val="BodyText"/>
              <w:rPr>
                <w:lang w:bidi="ar-EG"/>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7C39916" w14:textId="77777777" w:rsidR="00810837" w:rsidRPr="00810837" w:rsidRDefault="00810837" w:rsidP="00810837">
            <w:pPr>
              <w:pStyle w:val="BodyText"/>
              <w:rPr>
                <w:lang w:bidi="ar-EG"/>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Pr>
          <w:p w14:paraId="75D483DE" w14:textId="77777777" w:rsidR="00810837" w:rsidRPr="00810837" w:rsidRDefault="00810837" w:rsidP="00810837">
            <w:pPr>
              <w:pStyle w:val="BodyText"/>
              <w:rPr>
                <w:lang w:bidi="ar-EG"/>
              </w:rPr>
            </w:pPr>
            <w:r w:rsidRPr="00810837">
              <w:rPr>
                <w:lang w:bidi="ar-EG"/>
              </w:rPr>
              <w:t>63,178</w:t>
            </w:r>
          </w:p>
        </w:tc>
      </w:tr>
    </w:tbl>
    <w:p w14:paraId="00C9ACA2" w14:textId="77777777" w:rsidR="00FB552B" w:rsidRDefault="00FB552B" w:rsidP="00FB552B">
      <w:pPr>
        <w:pStyle w:val="BodyText"/>
        <w:rPr>
          <w:lang w:bidi="ar-EG"/>
        </w:rPr>
      </w:pPr>
    </w:p>
    <w:p w14:paraId="0BC8CB7C" w14:textId="77777777" w:rsidR="00DA31B9" w:rsidRDefault="00D60E63" w:rsidP="005C6DFB">
      <w:pPr>
        <w:pStyle w:val="Endofdocument-Annex"/>
        <w:rPr>
          <w:lang w:bidi="ar-EG"/>
        </w:rPr>
      </w:pPr>
      <w:r w:rsidRPr="00D60E63">
        <w:rPr>
          <w:rtl/>
          <w:lang w:bidi="ar-EG"/>
        </w:rPr>
        <w:t>[نهاية الوثيقة]</w:t>
      </w:r>
    </w:p>
    <w:sectPr w:rsidR="00DA31B9" w:rsidSect="00CC3E2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C297" w14:textId="77777777" w:rsidR="000E1F8B" w:rsidRDefault="000E1F8B">
      <w:r>
        <w:separator/>
      </w:r>
    </w:p>
  </w:endnote>
  <w:endnote w:type="continuationSeparator" w:id="0">
    <w:p w14:paraId="6E601E23" w14:textId="77777777" w:rsidR="000E1F8B" w:rsidRDefault="000E1F8B" w:rsidP="003B38C1">
      <w:r>
        <w:separator/>
      </w:r>
    </w:p>
    <w:p w14:paraId="78712823" w14:textId="77777777" w:rsidR="000E1F8B" w:rsidRPr="003B38C1" w:rsidRDefault="000E1F8B" w:rsidP="003B38C1">
      <w:pPr>
        <w:spacing w:after="60"/>
        <w:rPr>
          <w:sz w:val="17"/>
        </w:rPr>
      </w:pPr>
      <w:r>
        <w:rPr>
          <w:sz w:val="17"/>
        </w:rPr>
        <w:t>[Endnote continued from previous page]</w:t>
      </w:r>
    </w:p>
  </w:endnote>
  <w:endnote w:type="continuationNotice" w:id="1">
    <w:p w14:paraId="193CB8EE" w14:textId="77777777" w:rsidR="000E1F8B" w:rsidRPr="003B38C1" w:rsidRDefault="000E1F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4661" w14:textId="77777777" w:rsidR="00520D17" w:rsidRDefault="00520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7E9B" w14:textId="77777777" w:rsidR="00520D17" w:rsidRDefault="00520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874E" w14:textId="77777777" w:rsidR="00520D17" w:rsidRDefault="00520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5AE4" w14:textId="77777777" w:rsidR="000E1F8B" w:rsidRDefault="000E1F8B">
      <w:r>
        <w:separator/>
      </w:r>
    </w:p>
  </w:footnote>
  <w:footnote w:type="continuationSeparator" w:id="0">
    <w:p w14:paraId="1E419A24" w14:textId="77777777" w:rsidR="000E1F8B" w:rsidRDefault="000E1F8B" w:rsidP="008B60B2">
      <w:r>
        <w:separator/>
      </w:r>
    </w:p>
    <w:p w14:paraId="55C320E2" w14:textId="77777777" w:rsidR="000E1F8B" w:rsidRPr="00ED77FB" w:rsidRDefault="000E1F8B" w:rsidP="008B60B2">
      <w:pPr>
        <w:spacing w:after="60"/>
        <w:rPr>
          <w:sz w:val="17"/>
          <w:szCs w:val="17"/>
        </w:rPr>
      </w:pPr>
      <w:r w:rsidRPr="00ED77FB">
        <w:rPr>
          <w:sz w:val="17"/>
          <w:szCs w:val="17"/>
        </w:rPr>
        <w:t>[Footnote continued from previous page]</w:t>
      </w:r>
    </w:p>
  </w:footnote>
  <w:footnote w:type="continuationNotice" w:id="1">
    <w:p w14:paraId="2EABEFC9" w14:textId="77777777" w:rsidR="000E1F8B" w:rsidRPr="00ED77FB" w:rsidRDefault="000E1F8B" w:rsidP="008B60B2">
      <w:pPr>
        <w:spacing w:before="60"/>
        <w:jc w:val="right"/>
        <w:rPr>
          <w:sz w:val="17"/>
          <w:szCs w:val="17"/>
        </w:rPr>
      </w:pPr>
      <w:r w:rsidRPr="00ED77FB">
        <w:rPr>
          <w:sz w:val="17"/>
          <w:szCs w:val="17"/>
        </w:rPr>
        <w:t>[Footnote continued on next page]</w:t>
      </w:r>
    </w:p>
  </w:footnote>
  <w:footnote w:id="2">
    <w:p w14:paraId="3B5F6357" w14:textId="0CD79783" w:rsidR="00AD2EB1" w:rsidRDefault="00AD2EB1" w:rsidP="00AD2EB1">
      <w:pPr>
        <w:pStyle w:val="FootnoteText"/>
      </w:pPr>
      <w:r>
        <w:rPr>
          <w:rStyle w:val="FootnoteReference"/>
        </w:rPr>
        <w:footnoteRef/>
      </w:r>
      <w:r>
        <w:rPr>
          <w:rtl/>
        </w:rPr>
        <w:tab/>
      </w:r>
      <w:hyperlink r:id="rId1" w:history="1">
        <w:r w:rsidRPr="00AD2EB1">
          <w:rPr>
            <w:rStyle w:val="Hyperlink"/>
          </w:rPr>
          <w:t>https://unstats.un.org/unsd/snaama/Basic</w:t>
        </w:r>
      </w:hyperlink>
    </w:p>
  </w:footnote>
  <w:footnote w:id="3">
    <w:p w14:paraId="2FC019D0" w14:textId="13E27215" w:rsidR="00F64C01" w:rsidRDefault="00F64C01">
      <w:pPr>
        <w:pStyle w:val="FootnoteText"/>
      </w:pPr>
      <w:r>
        <w:rPr>
          <w:rStyle w:val="FootnoteReference"/>
        </w:rPr>
        <w:footnoteRef/>
      </w:r>
      <w:r w:rsidR="00B73D21">
        <w:rPr>
          <w:rtl/>
        </w:rPr>
        <w:tab/>
      </w:r>
      <w:r w:rsidR="00B73D21" w:rsidRPr="00B73D21">
        <w:rPr>
          <w:rtl/>
        </w:rPr>
        <w:t xml:space="preserve">تم تقريب أرقام الانكماش </w:t>
      </w:r>
      <w:r w:rsidR="00B73D21">
        <w:rPr>
          <w:rFonts w:hint="cs"/>
          <w:rtl/>
        </w:rPr>
        <w:t>المبيّنة</w:t>
      </w:r>
      <w:r w:rsidR="00B73D21" w:rsidRPr="00B73D21">
        <w:rPr>
          <w:rtl/>
        </w:rPr>
        <w:t xml:space="preserve"> في الجدول أدناه كما هو موضح في عرض </w:t>
      </w:r>
      <w:r w:rsidR="00B73D21" w:rsidRPr="00B73D21">
        <w:t>HTML</w:t>
      </w:r>
      <w:r w:rsidR="00B73D21" w:rsidRPr="00B73D21">
        <w:rPr>
          <w:rtl/>
        </w:rPr>
        <w:t xml:space="preserve"> على الموقع الإلكتروني؛ وتستند الأرقام المحسوبة في الجداول التالية إلى الضرب باستخدام أرقام الانكماش الأعلى دقة المضمنة في حال استخراج أرقام قاعدة البيانات، مع مراعاة الاختلافات الظاهرة في الأرقام الأقل أهمية الموضحة من ضرب أرقام القيمة لسنة 2015 </w:t>
      </w:r>
      <w:r w:rsidR="00B73D21">
        <w:rPr>
          <w:rFonts w:hint="cs"/>
          <w:rtl/>
        </w:rPr>
        <w:t>المبيّنة</w:t>
      </w:r>
      <w:r w:rsidR="00B73D21" w:rsidRPr="00B73D21">
        <w:rPr>
          <w:rtl/>
        </w:rPr>
        <w:t xml:space="preserve"> في 0.737 أو 1.035.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F5A1" w14:textId="77777777" w:rsidR="00520D17" w:rsidRDefault="00520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79D" w14:textId="2B77C2F8" w:rsidR="00D07C78" w:rsidRPr="00E571B4" w:rsidRDefault="009727A1" w:rsidP="009727A1">
    <w:pPr>
      <w:bidi w:val="0"/>
    </w:pPr>
    <w:bookmarkStart w:id="4" w:name="Code2"/>
    <w:bookmarkEnd w:id="4"/>
    <w:r w:rsidRPr="009727A1">
      <w:t>PCT/WG/17 Paper No. 1</w:t>
    </w:r>
  </w:p>
  <w:p w14:paraId="30A8D087" w14:textId="77777777"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744638">
      <w:rPr>
        <w:noProof/>
      </w:rPr>
      <w:t>2</w:t>
    </w:r>
    <w:r w:rsidRPr="00E571B4">
      <w:fldChar w:fldCharType="end"/>
    </w:r>
  </w:p>
  <w:p w14:paraId="57549140" w14:textId="77777777" w:rsidR="00D07C78" w:rsidRPr="00E571B4" w:rsidRDefault="00D07C78" w:rsidP="00210D5F">
    <w:pPr>
      <w:bidi w:val="0"/>
    </w:pPr>
  </w:p>
  <w:p w14:paraId="625525A8" w14:textId="77777777" w:rsidR="00D07C78" w:rsidRPr="00E571B4"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4B9C" w14:textId="77777777" w:rsidR="00520D17" w:rsidRDefault="00520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750780445">
    <w:abstractNumId w:val="2"/>
  </w:num>
  <w:num w:numId="2" w16cid:durableId="1791393633">
    <w:abstractNumId w:val="5"/>
  </w:num>
  <w:num w:numId="3" w16cid:durableId="1388722045">
    <w:abstractNumId w:val="0"/>
  </w:num>
  <w:num w:numId="4" w16cid:durableId="1152407921">
    <w:abstractNumId w:val="6"/>
  </w:num>
  <w:num w:numId="5" w16cid:durableId="1609196609">
    <w:abstractNumId w:val="1"/>
  </w:num>
  <w:num w:numId="6" w16cid:durableId="1215654740">
    <w:abstractNumId w:val="3"/>
  </w:num>
  <w:num w:numId="7" w16cid:durableId="640115397">
    <w:abstractNumId w:val="7"/>
  </w:num>
  <w:num w:numId="8" w16cid:durableId="2015448591">
    <w:abstractNumId w:val="4"/>
  </w:num>
  <w:num w:numId="9" w16cid:durableId="2119639117">
    <w:abstractNumId w:val="7"/>
  </w:num>
  <w:num w:numId="10" w16cid:durableId="1189875722">
    <w:abstractNumId w:val="7"/>
  </w:num>
  <w:num w:numId="11" w16cid:durableId="1616211689">
    <w:abstractNumId w:val="7"/>
  </w:num>
  <w:num w:numId="12" w16cid:durableId="1216433265">
    <w:abstractNumId w:val="7"/>
  </w:num>
  <w:num w:numId="13" w16cid:durableId="287325102">
    <w:abstractNumId w:val="7"/>
  </w:num>
  <w:num w:numId="14" w16cid:durableId="1899391935">
    <w:abstractNumId w:val="7"/>
  </w:num>
  <w:num w:numId="15" w16cid:durableId="797725330">
    <w:abstractNumId w:val="7"/>
  </w:num>
  <w:num w:numId="16" w16cid:durableId="1847093511">
    <w:abstractNumId w:val="7"/>
  </w:num>
  <w:num w:numId="17" w16cid:durableId="1282805140">
    <w:abstractNumId w:val="7"/>
  </w:num>
  <w:num w:numId="18" w16cid:durableId="1567453524">
    <w:abstractNumId w:val="7"/>
  </w:num>
  <w:num w:numId="19" w16cid:durableId="54666862">
    <w:abstractNumId w:val="7"/>
  </w:num>
  <w:num w:numId="20" w16cid:durableId="1323508061">
    <w:abstractNumId w:val="7"/>
  </w:num>
  <w:num w:numId="21" w16cid:durableId="180097702">
    <w:abstractNumId w:val="7"/>
  </w:num>
  <w:num w:numId="22" w16cid:durableId="641040015">
    <w:abstractNumId w:val="7"/>
  </w:num>
  <w:num w:numId="23" w16cid:durableId="214121614">
    <w:abstractNumId w:val="7"/>
  </w:num>
  <w:num w:numId="24" w16cid:durableId="346950888">
    <w:abstractNumId w:val="7"/>
  </w:num>
  <w:num w:numId="25" w16cid:durableId="672104200">
    <w:abstractNumId w:val="7"/>
  </w:num>
  <w:num w:numId="26" w16cid:durableId="118650200">
    <w:abstractNumId w:val="7"/>
  </w:num>
  <w:num w:numId="27" w16cid:durableId="1734230983">
    <w:abstractNumId w:val="7"/>
  </w:num>
  <w:num w:numId="28" w16cid:durableId="621107591">
    <w:abstractNumId w:val="7"/>
  </w:num>
  <w:num w:numId="29" w16cid:durableId="1013846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63"/>
    <w:rsid w:val="00043CAA"/>
    <w:rsid w:val="00056816"/>
    <w:rsid w:val="00061CC2"/>
    <w:rsid w:val="00075432"/>
    <w:rsid w:val="000968ED"/>
    <w:rsid w:val="000A3D97"/>
    <w:rsid w:val="000C7BD9"/>
    <w:rsid w:val="000E1F8B"/>
    <w:rsid w:val="000F5E56"/>
    <w:rsid w:val="001362EE"/>
    <w:rsid w:val="001406E1"/>
    <w:rsid w:val="00155D8A"/>
    <w:rsid w:val="001647D5"/>
    <w:rsid w:val="001832A6"/>
    <w:rsid w:val="0019592A"/>
    <w:rsid w:val="001D022C"/>
    <w:rsid w:val="001D4107"/>
    <w:rsid w:val="00203D24"/>
    <w:rsid w:val="00210D5F"/>
    <w:rsid w:val="0021217E"/>
    <w:rsid w:val="002326AB"/>
    <w:rsid w:val="00243430"/>
    <w:rsid w:val="002634C4"/>
    <w:rsid w:val="00280626"/>
    <w:rsid w:val="0028264B"/>
    <w:rsid w:val="002928D3"/>
    <w:rsid w:val="002C6A3A"/>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20D17"/>
    <w:rsid w:val="0053057A"/>
    <w:rsid w:val="00537301"/>
    <w:rsid w:val="00556076"/>
    <w:rsid w:val="00560A29"/>
    <w:rsid w:val="005C6649"/>
    <w:rsid w:val="005C6DFB"/>
    <w:rsid w:val="005E7B89"/>
    <w:rsid w:val="005F1FAC"/>
    <w:rsid w:val="00605827"/>
    <w:rsid w:val="00637179"/>
    <w:rsid w:val="00646050"/>
    <w:rsid w:val="00666F7D"/>
    <w:rsid w:val="006713CA"/>
    <w:rsid w:val="00675C09"/>
    <w:rsid w:val="00676C5C"/>
    <w:rsid w:val="006B5C12"/>
    <w:rsid w:val="006C5146"/>
    <w:rsid w:val="006F5D65"/>
    <w:rsid w:val="00703E7B"/>
    <w:rsid w:val="00712D38"/>
    <w:rsid w:val="00720EFD"/>
    <w:rsid w:val="00744638"/>
    <w:rsid w:val="007854AF"/>
    <w:rsid w:val="00793A7C"/>
    <w:rsid w:val="007A398A"/>
    <w:rsid w:val="007B3B59"/>
    <w:rsid w:val="007C4902"/>
    <w:rsid w:val="007D1613"/>
    <w:rsid w:val="007E4C0E"/>
    <w:rsid w:val="00810837"/>
    <w:rsid w:val="00826BC4"/>
    <w:rsid w:val="008A134B"/>
    <w:rsid w:val="008B2CC1"/>
    <w:rsid w:val="008B60B2"/>
    <w:rsid w:val="0090731E"/>
    <w:rsid w:val="00916EE2"/>
    <w:rsid w:val="00966A22"/>
    <w:rsid w:val="0096722F"/>
    <w:rsid w:val="00970184"/>
    <w:rsid w:val="009727A1"/>
    <w:rsid w:val="00980843"/>
    <w:rsid w:val="009B0855"/>
    <w:rsid w:val="009E2791"/>
    <w:rsid w:val="009E3F6F"/>
    <w:rsid w:val="009F499F"/>
    <w:rsid w:val="00A37342"/>
    <w:rsid w:val="00A42DAF"/>
    <w:rsid w:val="00A45BD8"/>
    <w:rsid w:val="00A869B7"/>
    <w:rsid w:val="00A90F0A"/>
    <w:rsid w:val="00AC205C"/>
    <w:rsid w:val="00AD2EB1"/>
    <w:rsid w:val="00AF0A6B"/>
    <w:rsid w:val="00AF28C6"/>
    <w:rsid w:val="00B05A69"/>
    <w:rsid w:val="00B07D4E"/>
    <w:rsid w:val="00B37528"/>
    <w:rsid w:val="00B42CA9"/>
    <w:rsid w:val="00B51FF7"/>
    <w:rsid w:val="00B73D21"/>
    <w:rsid w:val="00B75281"/>
    <w:rsid w:val="00B92F1F"/>
    <w:rsid w:val="00B9734B"/>
    <w:rsid w:val="00BA30E2"/>
    <w:rsid w:val="00BC2601"/>
    <w:rsid w:val="00C11BFE"/>
    <w:rsid w:val="00C32887"/>
    <w:rsid w:val="00C45104"/>
    <w:rsid w:val="00C5068F"/>
    <w:rsid w:val="00C606D4"/>
    <w:rsid w:val="00C86D74"/>
    <w:rsid w:val="00CB3DBA"/>
    <w:rsid w:val="00CC028D"/>
    <w:rsid w:val="00CC3E2D"/>
    <w:rsid w:val="00CD04F1"/>
    <w:rsid w:val="00CE19F8"/>
    <w:rsid w:val="00CE34A5"/>
    <w:rsid w:val="00CF681A"/>
    <w:rsid w:val="00D07C78"/>
    <w:rsid w:val="00D24D4C"/>
    <w:rsid w:val="00D27334"/>
    <w:rsid w:val="00D45252"/>
    <w:rsid w:val="00D60B2C"/>
    <w:rsid w:val="00D60E63"/>
    <w:rsid w:val="00D67EAE"/>
    <w:rsid w:val="00D71B4D"/>
    <w:rsid w:val="00D90B96"/>
    <w:rsid w:val="00D93D55"/>
    <w:rsid w:val="00DA31B9"/>
    <w:rsid w:val="00DC5B55"/>
    <w:rsid w:val="00DD7597"/>
    <w:rsid w:val="00DD7B7F"/>
    <w:rsid w:val="00E1064E"/>
    <w:rsid w:val="00E15015"/>
    <w:rsid w:val="00E227AD"/>
    <w:rsid w:val="00E319DF"/>
    <w:rsid w:val="00E335FE"/>
    <w:rsid w:val="00E40B19"/>
    <w:rsid w:val="00E571B4"/>
    <w:rsid w:val="00E66CC5"/>
    <w:rsid w:val="00E6700A"/>
    <w:rsid w:val="00EA7D6E"/>
    <w:rsid w:val="00EB2F76"/>
    <w:rsid w:val="00EC4E49"/>
    <w:rsid w:val="00ED77FB"/>
    <w:rsid w:val="00EE45FA"/>
    <w:rsid w:val="00F043DE"/>
    <w:rsid w:val="00F64C01"/>
    <w:rsid w:val="00F66152"/>
    <w:rsid w:val="00F9165B"/>
    <w:rsid w:val="00FA5F82"/>
    <w:rsid w:val="00FB552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7D87C"/>
  <w15:docId w15:val="{031A10CD-BDDF-4CF7-88DB-0848BCCD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D27334"/>
    <w:pPr>
      <w:numPr>
        <w:numId w:val="8"/>
      </w:numPr>
    </w:pPr>
    <w:rPr>
      <w:i/>
      <w:iCs/>
      <w:lang w:bidi="ar-EG"/>
    </w:rPr>
  </w:style>
  <w:style w:type="character" w:styleId="FootnoteReference">
    <w:name w:val="footnote reference"/>
    <w:basedOn w:val="DefaultParagraphFont"/>
    <w:semiHidden/>
    <w:unhideWhenUsed/>
    <w:rsid w:val="000C7BD9"/>
    <w:rPr>
      <w:vertAlign w:val="superscript"/>
    </w:rPr>
  </w:style>
  <w:style w:type="character" w:styleId="Hyperlink">
    <w:name w:val="Hyperlink"/>
    <w:basedOn w:val="DefaultParagraphFont"/>
    <w:unhideWhenUsed/>
    <w:rsid w:val="000C7BD9"/>
    <w:rPr>
      <w:color w:val="0000FF" w:themeColor="hyperlink"/>
      <w:u w:val="single"/>
    </w:rPr>
  </w:style>
  <w:style w:type="character" w:styleId="UnresolvedMention">
    <w:name w:val="Unresolved Mention"/>
    <w:basedOn w:val="DefaultParagraphFont"/>
    <w:uiPriority w:val="99"/>
    <w:semiHidden/>
    <w:unhideWhenUsed/>
    <w:rsid w:val="00AD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unstats.un.org/unsd/snaama/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7D1EF-33FD-4806-A552-079E7EA1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PCT/WG/15/</vt:lpstr>
    </vt:vector>
  </TitlesOfParts>
  <Company>WIPO</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PCT/WG/17/Paper n 1</dc:title>
  <dc:creator>ALAKHRAS Basel</dc:creator>
  <cp:keywords>Public</cp:keywords>
  <cp:lastModifiedBy>MARLOW Thomas</cp:lastModifiedBy>
  <cp:revision>2</cp:revision>
  <cp:lastPrinted>2023-12-18T15:22:00Z</cp:lastPrinted>
  <dcterms:created xsi:type="dcterms:W3CDTF">2024-02-27T09:14:00Z</dcterms:created>
  <dcterms:modified xsi:type="dcterms:W3CDTF">2024-02-27T09:14:00Z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2023-12-18T15:22:00Z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29369f1e-d9d7-4fb2-a0f5-7e7b4012e50d</vt:lpwstr>
  </property>
  <property fmtid="{D5CDD505-2E9C-101B-9397-08002B2CF9AE}" pid="13" name="MSIP_Label_20773ee6-353b-4fb9-a59d-0b94c8c67bea_ContentBits">
    <vt:lpwstr>0</vt:lpwstr>
  </property>
</Properties>
</file>