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A149" w14:textId="77777777"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14:paraId="49894C4E" w14:textId="77777777" w:rsidR="003F7284" w:rsidRPr="003F7284" w:rsidRDefault="003F7284" w:rsidP="0037358C">
      <w:pPr>
        <w:spacing w:after="120"/>
        <w:ind w:left="4535"/>
        <w:rPr>
          <w:rtl/>
        </w:rPr>
      </w:pPr>
      <w:r w:rsidRPr="003F7284">
        <w:rPr>
          <w:noProof/>
          <w:lang w:val="en-GB" w:eastAsia="en-GB"/>
        </w:rPr>
        <w:drawing>
          <wp:inline distT="0" distB="0" distL="0" distR="0" wp14:anchorId="79B068D8" wp14:editId="7FB31728">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14:paraId="33411D8F" w14:textId="0C29D47F" w:rsidR="003F7284" w:rsidRPr="00F54409" w:rsidRDefault="0045104D" w:rsidP="003052D6">
      <w:pPr>
        <w:pBdr>
          <w:top w:val="single" w:sz="4" w:space="10" w:color="auto"/>
        </w:pBdr>
        <w:bidi w:val="0"/>
        <w:rPr>
          <w:rFonts w:ascii="Arial Black" w:eastAsia="SimSun" w:hAnsi="Arial Black" w:cs="Arial"/>
          <w:b/>
          <w:caps/>
          <w:noProof/>
          <w:sz w:val="16"/>
          <w:szCs w:val="16"/>
          <w:rtl/>
          <w:lang w:eastAsia="zh-CN"/>
        </w:rPr>
      </w:pPr>
      <w:bookmarkStart w:id="3" w:name="Code"/>
      <w:bookmarkStart w:id="4" w:name="Code2"/>
      <w:bookmarkEnd w:id="3"/>
      <w:r>
        <w:rPr>
          <w:rFonts w:ascii="Arial Black" w:eastAsia="SimSun" w:hAnsi="Arial Black" w:cs="Arial"/>
          <w:b/>
          <w:caps/>
          <w:noProof/>
          <w:sz w:val="16"/>
          <w:szCs w:val="16"/>
          <w:lang w:eastAsia="zh-CN"/>
        </w:rPr>
        <w:t>PCT/</w:t>
      </w:r>
      <w:r w:rsidR="003E07D2">
        <w:rPr>
          <w:rFonts w:ascii="Arial Black" w:eastAsia="SimSun" w:hAnsi="Arial Black" w:cs="Arial"/>
          <w:b/>
          <w:caps/>
          <w:noProof/>
          <w:sz w:val="16"/>
          <w:szCs w:val="16"/>
          <w:lang w:eastAsia="zh-CN"/>
        </w:rPr>
        <w:t>WG/1</w:t>
      </w:r>
      <w:r w:rsidR="007A6F25">
        <w:rPr>
          <w:rFonts w:ascii="Arial Black" w:eastAsia="SimSun" w:hAnsi="Arial Black" w:cs="Arial"/>
          <w:b/>
          <w:caps/>
          <w:noProof/>
          <w:sz w:val="16"/>
          <w:szCs w:val="16"/>
          <w:lang w:eastAsia="zh-CN"/>
        </w:rPr>
        <w:t>3</w:t>
      </w:r>
      <w:r>
        <w:rPr>
          <w:rFonts w:ascii="Arial Black" w:eastAsia="SimSun" w:hAnsi="Arial Black" w:cs="Arial"/>
          <w:b/>
          <w:caps/>
          <w:noProof/>
          <w:sz w:val="16"/>
          <w:szCs w:val="16"/>
          <w:lang w:eastAsia="zh-CN"/>
        </w:rPr>
        <w:t>/</w:t>
      </w:r>
      <w:r w:rsidR="00B8603E">
        <w:rPr>
          <w:rFonts w:ascii="Arial Black" w:eastAsia="SimSun" w:hAnsi="Arial Black" w:cs="Arial"/>
          <w:b/>
          <w:caps/>
          <w:noProof/>
          <w:sz w:val="16"/>
          <w:szCs w:val="16"/>
          <w:lang w:eastAsia="zh-CN"/>
        </w:rPr>
        <w:t>10</w:t>
      </w:r>
    </w:p>
    <w:bookmarkEnd w:id="4"/>
    <w:p w14:paraId="6417CCE4" w14:textId="2856EC29" w:rsidR="003F7284" w:rsidRPr="00BB6440" w:rsidRDefault="003F7284" w:rsidP="005D79F6">
      <w:pPr>
        <w:jc w:val="right"/>
        <w:rPr>
          <w:b/>
          <w:bCs/>
          <w:sz w:val="30"/>
          <w:szCs w:val="30"/>
          <w:rtl/>
          <w:lang w:bidi="ar-EG"/>
        </w:rPr>
      </w:pPr>
      <w:r w:rsidRPr="00BB6440">
        <w:rPr>
          <w:b/>
          <w:bCs/>
          <w:sz w:val="30"/>
          <w:szCs w:val="30"/>
          <w:rtl/>
        </w:rPr>
        <w:t xml:space="preserve">الأصل: </w:t>
      </w:r>
      <w:bookmarkStart w:id="5" w:name="Original"/>
      <w:bookmarkEnd w:id="5"/>
      <w:r w:rsidR="00B8603E">
        <w:rPr>
          <w:rFonts w:hint="cs"/>
          <w:b/>
          <w:bCs/>
          <w:sz w:val="30"/>
          <w:szCs w:val="30"/>
          <w:rtl/>
          <w:lang w:bidi="ar-EG"/>
        </w:rPr>
        <w:t>بالإنكليزية</w:t>
      </w:r>
    </w:p>
    <w:p w14:paraId="001C2DC9" w14:textId="04887F64"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6" w:name="Date"/>
      <w:bookmarkEnd w:id="6"/>
      <w:r w:rsidR="00B8603E">
        <w:rPr>
          <w:rFonts w:hint="cs"/>
          <w:b/>
          <w:bCs/>
          <w:sz w:val="30"/>
          <w:szCs w:val="30"/>
          <w:rtl/>
        </w:rPr>
        <w:t>10 سبتمبر 2020</w:t>
      </w:r>
    </w:p>
    <w:p w14:paraId="54151B29" w14:textId="77777777" w:rsidR="0045104D" w:rsidRDefault="003E07D2" w:rsidP="003E07D2">
      <w:pPr>
        <w:pStyle w:val="Heading1"/>
        <w:spacing w:line="240" w:lineRule="auto"/>
        <w:rPr>
          <w:rtl/>
        </w:rPr>
      </w:pPr>
      <w:bookmarkStart w:id="7" w:name="Body"/>
      <w:bookmarkEnd w:id="7"/>
      <w:r w:rsidRPr="003E07D2">
        <w:rPr>
          <w:rtl/>
        </w:rPr>
        <w:t>معاهدة التعاون بشأن البراءات</w:t>
      </w:r>
    </w:p>
    <w:p w14:paraId="48BFD501" w14:textId="77777777" w:rsidR="002E7810" w:rsidRPr="00FD6D15" w:rsidRDefault="003E07D2" w:rsidP="009B7572">
      <w:pPr>
        <w:pStyle w:val="Heading1"/>
        <w:spacing w:after="600" w:line="240" w:lineRule="auto"/>
        <w:rPr>
          <w:rtl/>
        </w:rPr>
      </w:pPr>
      <w:r w:rsidRPr="003E07D2">
        <w:rPr>
          <w:rtl/>
        </w:rPr>
        <w:t>الفريق العامل</w:t>
      </w:r>
    </w:p>
    <w:p w14:paraId="025B58D0" w14:textId="77777777" w:rsidR="002E7810" w:rsidRPr="002E7810" w:rsidRDefault="003E07D2" w:rsidP="007A6F25">
      <w:pPr>
        <w:rPr>
          <w:rFonts w:ascii="Arial Black" w:hAnsi="Arial Black" w:cs="PT Bold Heading"/>
          <w:sz w:val="30"/>
          <w:szCs w:val="30"/>
          <w:rtl/>
        </w:rPr>
      </w:pPr>
      <w:bookmarkStart w:id="8" w:name="Session"/>
      <w:bookmarkEnd w:id="8"/>
      <w:r w:rsidRPr="003E07D2">
        <w:rPr>
          <w:rFonts w:ascii="Arial Black" w:hAnsi="Arial Black" w:cs="PT Bold Heading"/>
          <w:sz w:val="30"/>
          <w:szCs w:val="30"/>
          <w:rtl/>
        </w:rPr>
        <w:t xml:space="preserve">الدورة </w:t>
      </w:r>
      <w:r w:rsidR="003052D6">
        <w:rPr>
          <w:rFonts w:ascii="Arial Black" w:hAnsi="Arial Black" w:cs="PT Bold Heading" w:hint="cs"/>
          <w:sz w:val="30"/>
          <w:szCs w:val="30"/>
          <w:rtl/>
        </w:rPr>
        <w:t>الثا</w:t>
      </w:r>
      <w:r w:rsidR="007A6F25">
        <w:rPr>
          <w:rFonts w:ascii="Arial Black" w:hAnsi="Arial Black" w:cs="PT Bold Heading" w:hint="cs"/>
          <w:sz w:val="30"/>
          <w:szCs w:val="30"/>
          <w:rtl/>
        </w:rPr>
        <w:t>لث</w:t>
      </w:r>
      <w:r w:rsidR="003052D6">
        <w:rPr>
          <w:rFonts w:ascii="Arial Black" w:hAnsi="Arial Black" w:cs="PT Bold Heading" w:hint="cs"/>
          <w:sz w:val="30"/>
          <w:szCs w:val="30"/>
          <w:rtl/>
        </w:rPr>
        <w:t>ة</w:t>
      </w:r>
      <w:r w:rsidRPr="003E07D2">
        <w:rPr>
          <w:rFonts w:ascii="Arial Black" w:hAnsi="Arial Black" w:cs="PT Bold Heading"/>
          <w:sz w:val="30"/>
          <w:szCs w:val="30"/>
          <w:rtl/>
        </w:rPr>
        <w:t xml:space="preserve"> عشرة</w:t>
      </w:r>
    </w:p>
    <w:p w14:paraId="056AE80D" w14:textId="77777777" w:rsidR="002E7810" w:rsidRPr="002E7810" w:rsidRDefault="003E07D2" w:rsidP="0035466B">
      <w:pPr>
        <w:spacing w:line="600" w:lineRule="auto"/>
        <w:rPr>
          <w:b/>
          <w:bCs/>
        </w:rPr>
      </w:pPr>
      <w:bookmarkStart w:id="9" w:name="Place"/>
      <w:bookmarkEnd w:id="9"/>
      <w:r w:rsidRPr="003E07D2">
        <w:rPr>
          <w:b/>
          <w:bCs/>
          <w:rtl/>
        </w:rPr>
        <w:t xml:space="preserve">جنيف، من </w:t>
      </w:r>
      <w:r w:rsidR="0035466B">
        <w:rPr>
          <w:rFonts w:hint="cs"/>
          <w:b/>
          <w:bCs/>
          <w:rtl/>
        </w:rPr>
        <w:t>5</w:t>
      </w:r>
      <w:r w:rsidRPr="003E07D2">
        <w:rPr>
          <w:b/>
          <w:bCs/>
          <w:rtl/>
        </w:rPr>
        <w:t xml:space="preserve"> إلى </w:t>
      </w:r>
      <w:r w:rsidR="0035466B">
        <w:rPr>
          <w:rFonts w:hint="cs"/>
          <w:b/>
          <w:bCs/>
          <w:rtl/>
        </w:rPr>
        <w:t>8</w:t>
      </w:r>
      <w:r w:rsidR="007A6F25">
        <w:rPr>
          <w:rFonts w:hint="cs"/>
          <w:b/>
          <w:bCs/>
          <w:rtl/>
        </w:rPr>
        <w:t xml:space="preserve"> </w:t>
      </w:r>
      <w:r w:rsidR="0035466B">
        <w:rPr>
          <w:rFonts w:hint="cs"/>
          <w:b/>
          <w:bCs/>
          <w:rtl/>
        </w:rPr>
        <w:t>أكتوبر</w:t>
      </w:r>
      <w:r w:rsidRPr="003E07D2">
        <w:rPr>
          <w:b/>
          <w:bCs/>
          <w:rtl/>
        </w:rPr>
        <w:t xml:space="preserve"> </w:t>
      </w:r>
      <w:r w:rsidR="007A6F25">
        <w:rPr>
          <w:rFonts w:hint="cs"/>
          <w:b/>
          <w:bCs/>
          <w:rtl/>
        </w:rPr>
        <w:t>2020</w:t>
      </w:r>
    </w:p>
    <w:p w14:paraId="7154EEF3" w14:textId="4A589964" w:rsidR="002E7810" w:rsidRPr="002E7810" w:rsidRDefault="00312C2A" w:rsidP="00874721">
      <w:pPr>
        <w:rPr>
          <w:rFonts w:ascii="Arial Black" w:hAnsi="Arial Black" w:cs="PT Bold Heading"/>
          <w:sz w:val="26"/>
          <w:szCs w:val="26"/>
          <w:rtl/>
        </w:rPr>
      </w:pPr>
      <w:bookmarkStart w:id="10" w:name="TitleOfDoc"/>
      <w:bookmarkEnd w:id="10"/>
      <w:r w:rsidRPr="00312C2A">
        <w:rPr>
          <w:rFonts w:ascii="Arial Black" w:hAnsi="Arial Black" w:cs="PT Bold Heading"/>
          <w:sz w:val="26"/>
          <w:szCs w:val="26"/>
          <w:rtl/>
        </w:rPr>
        <w:t>تعزيز ضمانات معاهدة البراءات في حالات الاضطراب العام</w:t>
      </w:r>
    </w:p>
    <w:p w14:paraId="625FC1E6" w14:textId="04B60418" w:rsidR="003F7284" w:rsidRPr="00BB6440" w:rsidRDefault="00312C2A" w:rsidP="00874721">
      <w:pPr>
        <w:spacing w:before="200" w:after="960"/>
        <w:rPr>
          <w:i/>
          <w:iCs/>
          <w:rtl/>
        </w:rPr>
      </w:pPr>
      <w:r w:rsidRPr="00312C2A">
        <w:rPr>
          <w:i/>
          <w:iCs/>
          <w:rtl/>
        </w:rPr>
        <w:t>وثيقة قدمها المكتب الأوروبي للبراءات، وفرنسا، وسويسرا، والمملك</w:t>
      </w:r>
      <w:r>
        <w:rPr>
          <w:rFonts w:hint="cs"/>
          <w:i/>
          <w:iCs/>
          <w:rtl/>
        </w:rPr>
        <w:t>ة المتحدة</w:t>
      </w:r>
      <w:bookmarkStart w:id="11" w:name="Prepared"/>
      <w:bookmarkEnd w:id="11"/>
    </w:p>
    <w:p w14:paraId="6D6A2234" w14:textId="77777777" w:rsidR="00312C2A" w:rsidRPr="00312C2A" w:rsidRDefault="00312C2A" w:rsidP="00312C2A">
      <w:pPr>
        <w:pStyle w:val="Heading2"/>
        <w:rPr>
          <w:rFonts w:eastAsia="SimSun"/>
          <w:rtl/>
          <w:lang w:eastAsia="zh-CN" w:bidi="ar-EG"/>
        </w:rPr>
      </w:pPr>
      <w:r w:rsidRPr="00312C2A">
        <w:rPr>
          <w:rFonts w:eastAsia="SimSun" w:hint="cs"/>
          <w:rtl/>
          <w:lang w:eastAsia="zh-CN" w:bidi="ar-EG"/>
        </w:rPr>
        <w:t>الملخص</w:t>
      </w:r>
    </w:p>
    <w:p w14:paraId="1BAF12BD" w14:textId="14C2076C" w:rsidR="00312C2A" w:rsidRPr="00312C2A" w:rsidRDefault="00312C2A" w:rsidP="00312C2A">
      <w:pPr>
        <w:pStyle w:val="ONUMA"/>
        <w:rPr>
          <w:sz w:val="22"/>
          <w:rtl/>
          <w:lang w:bidi="ar-EG"/>
        </w:rPr>
      </w:pPr>
      <w:r w:rsidRPr="00312C2A">
        <w:rPr>
          <w:rFonts w:hint="cs"/>
          <w:rtl/>
          <w:lang w:bidi="ar-EG"/>
        </w:rPr>
        <w:t xml:space="preserve">يوفر نظام معاهدة البراءات ضمانات متطورة لحماية حقوق المودعين ومنها رد حق الأولوية، وعُذر التأخر في مراعاة المهل، وتمديد المهل المقررة في حالات عديدة. ولكن أظهرت حالة الطوارئ الناشئة عن وباء فيروس كورونا </w:t>
      </w:r>
      <w:r w:rsidRPr="00312C2A">
        <w:rPr>
          <w:rFonts w:hint="cs"/>
          <w:lang w:bidi="ar-EG"/>
        </w:rPr>
        <w:t>2019</w:t>
      </w:r>
      <w:r w:rsidRPr="00312C2A">
        <w:rPr>
          <w:rFonts w:hint="cs"/>
          <w:rtl/>
          <w:lang w:bidi="ar-EG"/>
        </w:rPr>
        <w:t xml:space="preserve"> (كوفيد</w:t>
      </w:r>
      <w:r w:rsidR="009F230E">
        <w:rPr>
          <w:rtl/>
          <w:lang w:bidi="ar-EG"/>
        </w:rPr>
        <w:noBreakHyphen/>
      </w:r>
      <w:r w:rsidRPr="00312C2A">
        <w:rPr>
          <w:rFonts w:hint="cs"/>
          <w:lang w:bidi="ar-EG"/>
        </w:rPr>
        <w:t>19</w:t>
      </w:r>
      <w:r w:rsidRPr="00312C2A">
        <w:rPr>
          <w:rFonts w:hint="cs"/>
          <w:rtl/>
          <w:lang w:bidi="ar-EG"/>
        </w:rPr>
        <w:t xml:space="preserve">) وجود بعض القيود وكذلك فرص للمزيد من التحسين. ولذلك، يقترح المكتب الأوروبي للبراءات تعديل اللائحة التنفيذية لمعاهدة البراءات بإدخال قاعدة جديدة </w:t>
      </w:r>
      <w:r w:rsidRPr="00312C2A">
        <w:rPr>
          <w:rFonts w:hint="cs"/>
          <w:lang w:bidi="ar-EG"/>
        </w:rPr>
        <w:t>82</w:t>
      </w:r>
      <w:r w:rsidRPr="00312C2A">
        <w:rPr>
          <w:rFonts w:hint="cs"/>
          <w:vertAlign w:val="superscript"/>
          <w:rtl/>
          <w:lang w:bidi="ar-EG"/>
        </w:rPr>
        <w:t>(رابعا)</w:t>
      </w:r>
      <w:r w:rsidRPr="00312C2A">
        <w:rPr>
          <w:rFonts w:hint="cs"/>
          <w:lang w:bidi="ar-EG"/>
        </w:rPr>
        <w:t>3</w:t>
      </w:r>
      <w:r w:rsidRPr="00312C2A">
        <w:rPr>
          <w:rFonts w:hint="cs"/>
          <w:rtl/>
          <w:lang w:bidi="ar-EG"/>
        </w:rPr>
        <w:t xml:space="preserve"> تجيز للمكاتب صراحةً تمديد المهل المقررة لفترة محددة في حالة حدوث ظروف استثنائية. وسيكون </w:t>
      </w:r>
      <w:r w:rsidRPr="00312C2A">
        <w:rPr>
          <w:rFonts w:hint="cs"/>
          <w:rtl/>
          <w:lang w:bidi="ar-EG"/>
        </w:rPr>
        <w:lastRenderedPageBreak/>
        <w:t>من شروط تطبيق تلك القاعدة أن تواجه الدولة التي يقع فيها المكتب اضطراباً عاماً بسبب وباء مثلاً.</w:t>
      </w:r>
    </w:p>
    <w:p w14:paraId="266E9B3A" w14:textId="77777777" w:rsidR="00312C2A" w:rsidRPr="00312C2A" w:rsidRDefault="00312C2A" w:rsidP="00312C2A">
      <w:pPr>
        <w:pStyle w:val="Heading2"/>
        <w:rPr>
          <w:rFonts w:eastAsia="SimSun"/>
          <w:rtl/>
          <w:lang w:eastAsia="zh-CN" w:bidi="ar-EG"/>
        </w:rPr>
      </w:pPr>
      <w:r w:rsidRPr="00312C2A">
        <w:rPr>
          <w:rFonts w:eastAsia="SimSun" w:hint="cs"/>
          <w:rtl/>
          <w:lang w:eastAsia="zh-CN" w:bidi="ar-EG"/>
        </w:rPr>
        <w:t>معلومات أساسية</w:t>
      </w:r>
    </w:p>
    <w:p w14:paraId="7C45CD3E" w14:textId="48F19F07" w:rsidR="00312C2A" w:rsidRPr="00312C2A" w:rsidRDefault="00312C2A" w:rsidP="00312C2A">
      <w:pPr>
        <w:pStyle w:val="ONUMA"/>
        <w:rPr>
          <w:sz w:val="22"/>
          <w:rtl/>
          <w:lang w:bidi="ar-EG"/>
        </w:rPr>
      </w:pPr>
      <w:r w:rsidRPr="00312C2A">
        <w:rPr>
          <w:rFonts w:hint="cs"/>
          <w:rtl/>
          <w:lang w:bidi="ar-EG"/>
        </w:rPr>
        <w:t>أعلنت منظمة الصحة العالمية أن تفشي فيروس كوفيد-</w:t>
      </w:r>
      <w:r w:rsidRPr="00312C2A">
        <w:rPr>
          <w:rFonts w:hint="cs"/>
          <w:lang w:bidi="ar-EG"/>
        </w:rPr>
        <w:t>19</w:t>
      </w:r>
      <w:r w:rsidRPr="00312C2A">
        <w:rPr>
          <w:rFonts w:hint="cs"/>
          <w:rtl/>
          <w:lang w:bidi="ar-EG"/>
        </w:rPr>
        <w:t xml:space="preserve"> طارئة صحية عمومية تثير قلقاً دولياً، ثم أطلقت عليه وصف "الجائحة" في </w:t>
      </w:r>
      <w:r w:rsidRPr="00312C2A">
        <w:rPr>
          <w:rFonts w:hint="cs"/>
          <w:lang w:bidi="ar-EG"/>
        </w:rPr>
        <w:t>11</w:t>
      </w:r>
      <w:r w:rsidRPr="00312C2A">
        <w:rPr>
          <w:rFonts w:hint="cs"/>
          <w:rtl/>
          <w:lang w:bidi="ar-EG"/>
        </w:rPr>
        <w:t xml:space="preserve"> مارس </w:t>
      </w:r>
      <w:r w:rsidRPr="00312C2A">
        <w:rPr>
          <w:rFonts w:hint="cs"/>
          <w:lang w:bidi="ar-EG"/>
        </w:rPr>
        <w:t>2020</w:t>
      </w:r>
      <w:r w:rsidRPr="00312C2A">
        <w:rPr>
          <w:rFonts w:hint="cs"/>
          <w:rtl/>
          <w:lang w:bidi="ar-EG"/>
        </w:rPr>
        <w:t>. ودفعت هذه الأزمة الصحية الغالبية العظمى من البلدان لإعلان حالة التأهب أو الطوارئ وفرض قيود على حركة الأشخاص وبعض الخدمات والحياة العامة عموماً، مما ألحق أضراراً جسيمة بالأنشطة الاقتصادية وغيَّر</w:t>
      </w:r>
      <w:r w:rsidR="009F230E">
        <w:rPr>
          <w:rFonts w:hint="eastAsia"/>
          <w:rtl/>
          <w:lang w:bidi="ar-EG"/>
        </w:rPr>
        <w:t> </w:t>
      </w:r>
      <w:r w:rsidRPr="00312C2A">
        <w:rPr>
          <w:rFonts w:hint="cs"/>
          <w:rtl/>
          <w:lang w:bidi="ar-EG"/>
        </w:rPr>
        <w:t>مشهد التجارة الدولية وأساليب العمل تغيراً كبيراً.</w:t>
      </w:r>
    </w:p>
    <w:p w14:paraId="1CDFC72D" w14:textId="422569F3" w:rsidR="00312C2A" w:rsidRPr="00312C2A" w:rsidRDefault="00312C2A" w:rsidP="00312C2A">
      <w:pPr>
        <w:pStyle w:val="ONUMA"/>
        <w:rPr>
          <w:sz w:val="22"/>
          <w:rtl/>
          <w:lang w:bidi="ar-EG"/>
        </w:rPr>
      </w:pPr>
      <w:bookmarkStart w:id="12" w:name="_Ref50129632"/>
      <w:r w:rsidRPr="00312C2A">
        <w:rPr>
          <w:rFonts w:hint="cs"/>
          <w:rtl/>
          <w:lang w:bidi="ar-EG"/>
        </w:rPr>
        <w:t xml:space="preserve">ولا تزال العديد من الدول المتعاقدة بموجب معاهدة البراءات تفرض قيوداً تتسبب في اضطراب الحياة العامة والخاصة لمواطنيها. وفي </w:t>
      </w:r>
      <w:r w:rsidRPr="00312C2A">
        <w:rPr>
          <w:rFonts w:hint="cs"/>
          <w:lang w:bidi="ar-EG"/>
        </w:rPr>
        <w:t>9</w:t>
      </w:r>
      <w:r w:rsidRPr="00312C2A">
        <w:rPr>
          <w:rFonts w:hint="cs"/>
          <w:rtl/>
          <w:lang w:bidi="ar-EG"/>
        </w:rPr>
        <w:t xml:space="preserve"> أبريل </w:t>
      </w:r>
      <w:r w:rsidRPr="00312C2A">
        <w:rPr>
          <w:rFonts w:hint="cs"/>
          <w:lang w:bidi="ar-EG"/>
        </w:rPr>
        <w:t>2020</w:t>
      </w:r>
      <w:r w:rsidR="009F230E" w:rsidRPr="009F230E">
        <w:rPr>
          <w:rFonts w:hint="cs"/>
          <w:sz w:val="2"/>
          <w:szCs w:val="2"/>
          <w:rtl/>
          <w:lang w:bidi="ar-EG"/>
        </w:rPr>
        <w:t xml:space="preserve"> </w:t>
      </w:r>
      <w:r w:rsidRPr="00312C2A">
        <w:rPr>
          <w:vertAlign w:val="superscript"/>
          <w:lang w:bidi="ar-EG"/>
        </w:rPr>
        <w:footnoteReference w:id="1"/>
      </w:r>
      <w:r w:rsidRPr="00312C2A">
        <w:rPr>
          <w:rFonts w:hint="cs"/>
          <w:rtl/>
          <w:lang w:bidi="ar-EG"/>
        </w:rPr>
        <w:t>، أصدر المكتب الدولي للويبو "البيان التفسيري والتغييرات الموصى بها في تطبيق معاهدة التعاون بشأن البراءات في ظل جائحة كوفيد</w:t>
      </w:r>
      <w:r w:rsidRPr="00312C2A">
        <w:rPr>
          <w:rFonts w:hint="cs"/>
          <w:rtl/>
          <w:lang w:bidi="ar-EG"/>
        </w:rPr>
        <w:noBreakHyphen/>
      </w:r>
      <w:r w:rsidRPr="00312C2A">
        <w:rPr>
          <w:rFonts w:hint="cs"/>
          <w:lang w:bidi="ar-EG"/>
        </w:rPr>
        <w:t>19</w:t>
      </w:r>
      <w:r w:rsidRPr="00312C2A">
        <w:rPr>
          <w:rFonts w:hint="cs"/>
          <w:rtl/>
          <w:lang w:bidi="ar-EG"/>
        </w:rPr>
        <w:t xml:space="preserve">"، ووصف فيه هذا الوباء العالمي بأنه "كارثة طبيعية [...] أو غير ذلك من الأسباب المماثلة" بالمعنى المقصود في القاعدة </w:t>
      </w:r>
      <w:r w:rsidRPr="00312C2A">
        <w:rPr>
          <w:rFonts w:hint="cs"/>
          <w:lang w:bidi="ar-EG"/>
        </w:rPr>
        <w:t>82</w:t>
      </w:r>
      <w:r w:rsidRPr="00312C2A">
        <w:rPr>
          <w:rFonts w:hint="cs"/>
          <w:vertAlign w:val="superscript"/>
          <w:rtl/>
          <w:lang w:bidi="ar-EG"/>
        </w:rPr>
        <w:t>(رابعا)</w:t>
      </w:r>
      <w:r w:rsidRPr="00312C2A">
        <w:rPr>
          <w:rFonts w:hint="cs"/>
          <w:lang w:bidi="ar-EG"/>
        </w:rPr>
        <w:t>1</w:t>
      </w:r>
      <w:r w:rsidRPr="00312C2A">
        <w:rPr>
          <w:rFonts w:hint="cs"/>
          <w:rtl/>
          <w:lang w:bidi="ar-EG"/>
        </w:rPr>
        <w:t xml:space="preserve">. ولجأت بعض المكاتب إلى تطبيق القاعدة </w:t>
      </w:r>
      <w:r w:rsidRPr="00312C2A">
        <w:rPr>
          <w:rFonts w:hint="cs"/>
          <w:lang w:bidi="ar-EG"/>
        </w:rPr>
        <w:t>5.80</w:t>
      </w:r>
      <w:r w:rsidRPr="00312C2A">
        <w:rPr>
          <w:rFonts w:hint="cs"/>
          <w:rtl/>
          <w:lang w:bidi="ar-EG"/>
        </w:rPr>
        <w:t>"</w:t>
      </w:r>
      <w:r w:rsidRPr="00312C2A">
        <w:rPr>
          <w:rFonts w:hint="cs"/>
          <w:lang w:bidi="ar-EG"/>
        </w:rPr>
        <w:t>1</w:t>
      </w:r>
      <w:r w:rsidRPr="00312C2A">
        <w:rPr>
          <w:rFonts w:hint="cs"/>
          <w:rtl/>
          <w:lang w:bidi="ar-EG"/>
        </w:rPr>
        <w:t xml:space="preserve">" التي تسري عندما لا تكون المكاتب مفتوحة للجمهور، في حين قررت العديد من المكاتب الأخرى - ومنها المكتب الأوروبي للبراءات والمكتب الدولي - مواصلة عملها، بما يشمل إيداع الطلبات في إطار معاهدة البراءات ومعالجتها. فتبيَّن أن القاعدة </w:t>
      </w:r>
      <w:r w:rsidRPr="00312C2A">
        <w:rPr>
          <w:rFonts w:hint="cs"/>
          <w:lang w:bidi="ar-EG"/>
        </w:rPr>
        <w:t>82</w:t>
      </w:r>
      <w:r w:rsidRPr="00312C2A">
        <w:rPr>
          <w:rFonts w:hint="cs"/>
          <w:vertAlign w:val="superscript"/>
          <w:rtl/>
          <w:lang w:bidi="ar-EG"/>
        </w:rPr>
        <w:t>(رابعا)</w:t>
      </w:r>
      <w:r w:rsidRPr="00312C2A">
        <w:rPr>
          <w:rFonts w:hint="cs"/>
          <w:lang w:bidi="ar-EG"/>
        </w:rPr>
        <w:t>1</w:t>
      </w:r>
      <w:r w:rsidRPr="00312C2A">
        <w:rPr>
          <w:rFonts w:hint="cs"/>
          <w:rtl/>
          <w:lang w:bidi="ar-EG"/>
        </w:rPr>
        <w:t xml:space="preserve"> لا</w:t>
      </w:r>
      <w:r w:rsidR="009F230E">
        <w:rPr>
          <w:rFonts w:hint="eastAsia"/>
          <w:rtl/>
          <w:lang w:bidi="ar-EG"/>
        </w:rPr>
        <w:t> </w:t>
      </w:r>
      <w:r w:rsidRPr="00312C2A">
        <w:rPr>
          <w:rFonts w:hint="cs"/>
          <w:rtl/>
          <w:lang w:bidi="ar-EG"/>
        </w:rPr>
        <w:t>تستجيب للوضع الحالي بطريقة ملائمة.</w:t>
      </w:r>
      <w:bookmarkEnd w:id="12"/>
    </w:p>
    <w:p w14:paraId="4FE8C25E" w14:textId="77777777" w:rsidR="00312C2A" w:rsidRPr="00312C2A" w:rsidRDefault="00312C2A" w:rsidP="00312C2A">
      <w:pPr>
        <w:pStyle w:val="Heading3"/>
        <w:rPr>
          <w:rFonts w:eastAsia="SimSun"/>
          <w:rtl/>
          <w:lang w:eastAsia="zh-CN" w:bidi="ar-EG"/>
        </w:rPr>
      </w:pPr>
      <w:r w:rsidRPr="00312C2A">
        <w:rPr>
          <w:rFonts w:eastAsia="SimSun" w:hint="cs"/>
          <w:rtl/>
          <w:lang w:eastAsia="zh-CN" w:bidi="ar-EG"/>
        </w:rPr>
        <w:lastRenderedPageBreak/>
        <w:t>سبل الانتصاف القانونية المتاحة حالياً في إطار معاهدة البراءات</w:t>
      </w:r>
    </w:p>
    <w:p w14:paraId="2F7572C1" w14:textId="77777777" w:rsidR="00312C2A" w:rsidRPr="00312C2A" w:rsidRDefault="00312C2A" w:rsidP="00312C2A">
      <w:pPr>
        <w:pStyle w:val="ONUMA"/>
        <w:rPr>
          <w:sz w:val="22"/>
          <w:rtl/>
          <w:lang w:bidi="ar-EG"/>
        </w:rPr>
      </w:pPr>
      <w:r w:rsidRPr="00312C2A">
        <w:rPr>
          <w:rFonts w:hint="cs"/>
          <w:rtl/>
          <w:lang w:bidi="ar-EG"/>
        </w:rPr>
        <w:t>تنص معاهدة البراءات على قبول عُذر التأخر في مراعاة المهل أو تمديد تلك المهل في المرحلة الدولية في عدة حالات يمكن تلخيصها كما يلي:</w:t>
      </w:r>
    </w:p>
    <w:p w14:paraId="47C03173" w14:textId="163AD1A1" w:rsidR="00312C2A" w:rsidRPr="00312C2A" w:rsidRDefault="00312C2A" w:rsidP="008F419A">
      <w:pPr>
        <w:pStyle w:val="ONUMA"/>
        <w:numPr>
          <w:ilvl w:val="2"/>
          <w:numId w:val="11"/>
        </w:numPr>
        <w:ind w:left="567"/>
        <w:rPr>
          <w:sz w:val="22"/>
          <w:rtl/>
          <w:lang w:bidi="ar-EG"/>
        </w:rPr>
      </w:pPr>
      <w:r w:rsidRPr="00312C2A">
        <w:rPr>
          <w:rFonts w:hint="cs"/>
          <w:rtl/>
          <w:lang w:bidi="ar-EG"/>
        </w:rPr>
        <w:t xml:space="preserve">أيام إغلاق المكاتب - القاعدة </w:t>
      </w:r>
      <w:r w:rsidRPr="00312C2A">
        <w:rPr>
          <w:rFonts w:hint="cs"/>
          <w:lang w:bidi="ar-EG"/>
        </w:rPr>
        <w:t>5.80</w:t>
      </w:r>
      <w:r w:rsidRPr="00312C2A">
        <w:rPr>
          <w:rFonts w:hint="cs"/>
          <w:rtl/>
          <w:lang w:bidi="ar-EG"/>
        </w:rPr>
        <w:t>"</w:t>
      </w:r>
      <w:r w:rsidRPr="00312C2A">
        <w:rPr>
          <w:rFonts w:hint="cs"/>
          <w:lang w:bidi="ar-EG"/>
        </w:rPr>
        <w:t>1</w:t>
      </w:r>
      <w:r w:rsidRPr="00312C2A">
        <w:rPr>
          <w:rFonts w:hint="cs"/>
          <w:rtl/>
          <w:lang w:bidi="ar-EG"/>
        </w:rPr>
        <w:t>": يُطبَّق تمديد المهل عندما تنقضي المهلة المقررة لتسلّم مكتب وطني أو</w:t>
      </w:r>
      <w:r w:rsidR="009F230E">
        <w:rPr>
          <w:rFonts w:hint="eastAsia"/>
          <w:rtl/>
          <w:lang w:bidi="ar-EG"/>
        </w:rPr>
        <w:t> </w:t>
      </w:r>
      <w:r w:rsidRPr="00312C2A">
        <w:rPr>
          <w:rFonts w:hint="cs"/>
          <w:rtl/>
          <w:lang w:bidi="ar-EG"/>
        </w:rPr>
        <w:t>منظمة حكومية دولية أي مستند أو رسم في يوم لا تكون فيه أبواب ذلك المكتب أو تلك المنظمة مفتوحة للجمهور لأغراض إجراء المعاملات الرسمية أو في يوم لا يُسلَّم فيه البريد العادي في المكان الذي يقع فيه ذلك المكتب أو تلك المنظمة. ويكون هذا التمديد تلقائياً دون أن يتخذ المودعون أي إجراء.</w:t>
      </w:r>
    </w:p>
    <w:p w14:paraId="3335F2BA" w14:textId="30583C8E" w:rsidR="00312C2A" w:rsidRPr="00312C2A" w:rsidRDefault="00312C2A" w:rsidP="008F419A">
      <w:pPr>
        <w:pStyle w:val="ONUMA"/>
        <w:numPr>
          <w:ilvl w:val="2"/>
          <w:numId w:val="11"/>
        </w:numPr>
        <w:ind w:left="567"/>
        <w:rPr>
          <w:sz w:val="22"/>
          <w:rtl/>
          <w:lang w:bidi="ar-EG"/>
        </w:rPr>
      </w:pPr>
      <w:r w:rsidRPr="00312C2A">
        <w:rPr>
          <w:rFonts w:hint="cs"/>
          <w:rtl/>
          <w:lang w:bidi="ar-EG"/>
        </w:rPr>
        <w:t xml:space="preserve">التأخير في تسليم البريد أو فقده - القاعدة </w:t>
      </w:r>
      <w:r w:rsidRPr="00312C2A">
        <w:rPr>
          <w:rFonts w:hint="cs"/>
          <w:lang w:bidi="ar-EG"/>
        </w:rPr>
        <w:t>1.82</w:t>
      </w:r>
      <w:r w:rsidRPr="00312C2A">
        <w:rPr>
          <w:rFonts w:hint="cs"/>
          <w:rtl/>
          <w:lang w:bidi="ar-EG"/>
        </w:rPr>
        <w:t>: يجوز لأي طرف معني أن يقيم الدليل على أنه أرسل المستند أو الكتاب بالبريد قبل انقضاء المهلة المقررة بخمسة أيام. وإذا أقيم الدليل على إرسال مستند أو كتاب ما بالبريد وعلى وجه مُرضٍ للمرسل إليه سواء كان المكتب الوطني أو المنظمة الحكومية الدولية، فإن تأخر البريد يعد معذوراً. ويقع</w:t>
      </w:r>
      <w:r w:rsidR="009F230E">
        <w:rPr>
          <w:rFonts w:hint="eastAsia"/>
          <w:rtl/>
          <w:lang w:bidi="ar-EG"/>
        </w:rPr>
        <w:t> </w:t>
      </w:r>
      <w:r w:rsidRPr="00312C2A">
        <w:rPr>
          <w:rFonts w:hint="cs"/>
          <w:rtl/>
          <w:lang w:bidi="ar-EG"/>
        </w:rPr>
        <w:t>عبء الإثبات على عاتق المودع. ويجب على المكتب أن يعالج الطلب.</w:t>
      </w:r>
    </w:p>
    <w:p w14:paraId="37AD9D44" w14:textId="77777777" w:rsidR="00312C2A" w:rsidRPr="00312C2A" w:rsidRDefault="00312C2A" w:rsidP="008F419A">
      <w:pPr>
        <w:pStyle w:val="ONUMA"/>
        <w:numPr>
          <w:ilvl w:val="2"/>
          <w:numId w:val="11"/>
        </w:numPr>
        <w:ind w:left="567"/>
        <w:rPr>
          <w:sz w:val="22"/>
          <w:rtl/>
          <w:lang w:bidi="ar-EG"/>
        </w:rPr>
      </w:pPr>
      <w:r w:rsidRPr="00312C2A">
        <w:rPr>
          <w:rFonts w:hint="cs"/>
          <w:rtl/>
          <w:lang w:bidi="ar-EG"/>
        </w:rPr>
        <w:t xml:space="preserve">التأخيرات بسبب ظروف استثنائية في مكان إقامة المودع - القاعدة </w:t>
      </w:r>
      <w:r w:rsidRPr="00312C2A">
        <w:rPr>
          <w:rFonts w:hint="cs"/>
          <w:lang w:bidi="ar-EG"/>
        </w:rPr>
        <w:t>82</w:t>
      </w:r>
      <w:r w:rsidRPr="00312C2A">
        <w:rPr>
          <w:rFonts w:hint="cs"/>
          <w:vertAlign w:val="superscript"/>
          <w:rtl/>
          <w:lang w:bidi="ar-EG"/>
        </w:rPr>
        <w:t>(رابعا)</w:t>
      </w:r>
      <w:r w:rsidRPr="00312C2A">
        <w:rPr>
          <w:rFonts w:hint="cs"/>
          <w:lang w:bidi="ar-EG"/>
        </w:rPr>
        <w:t>1</w:t>
      </w:r>
      <w:r w:rsidRPr="00312C2A">
        <w:rPr>
          <w:rFonts w:hint="cs"/>
          <w:rtl/>
          <w:lang w:bidi="ar-EG"/>
        </w:rPr>
        <w:t xml:space="preserve">: رهناً بتقديم التماس والأدلة المطلوبة، يجوز للمكتب المعني أن يقبل عُذر التأخر في مراعاة المهل المقررة (بما في ذلك لسداد الرسوم إلا إذا فقد الطلب الدولي أثره </w:t>
      </w:r>
      <w:r w:rsidRPr="00312C2A">
        <w:rPr>
          <w:rFonts w:hint="cs"/>
          <w:rtl/>
          <w:lang w:bidi="ar-EG"/>
        </w:rPr>
        <w:lastRenderedPageBreak/>
        <w:t>القانوني نتيجة لسحبه أو اعتباره مسحوباً) متى تمكَّن المودع من إثبات تأثر المنطقة التي يقع فيها بحالة من حالات القوة القاهرة. ويقع عبء الإثبات على عاتق المودع. ويجب على المكتب أن يعالج الطلب.</w:t>
      </w:r>
    </w:p>
    <w:p w14:paraId="1A770F6C" w14:textId="3A27D086" w:rsidR="00312C2A" w:rsidRPr="00312C2A" w:rsidRDefault="00312C2A" w:rsidP="008F419A">
      <w:pPr>
        <w:pStyle w:val="ONUMA"/>
        <w:numPr>
          <w:ilvl w:val="2"/>
          <w:numId w:val="11"/>
        </w:numPr>
        <w:ind w:left="567"/>
        <w:rPr>
          <w:sz w:val="22"/>
          <w:rtl/>
          <w:lang w:bidi="ar-EG"/>
        </w:rPr>
      </w:pPr>
      <w:r w:rsidRPr="00312C2A">
        <w:rPr>
          <w:rFonts w:hint="cs"/>
          <w:rtl/>
          <w:lang w:bidi="ar-EG"/>
        </w:rPr>
        <w:t xml:space="preserve">عدم التقيّد بفترة الأولوية - القاعدة </w:t>
      </w:r>
      <w:r w:rsidRPr="00312C2A">
        <w:rPr>
          <w:rFonts w:hint="cs"/>
          <w:lang w:bidi="ar-EG"/>
        </w:rPr>
        <w:t>26</w:t>
      </w:r>
      <w:r w:rsidRPr="00312C2A">
        <w:rPr>
          <w:rFonts w:hint="cs"/>
          <w:vertAlign w:val="superscript"/>
          <w:rtl/>
          <w:lang w:bidi="ar-EG"/>
        </w:rPr>
        <w:t>(ثانيا)</w:t>
      </w:r>
      <w:r w:rsidRPr="00312C2A">
        <w:rPr>
          <w:rFonts w:hint="cs"/>
          <w:lang w:bidi="ar-EG"/>
        </w:rPr>
        <w:t>3</w:t>
      </w:r>
      <w:r w:rsidRPr="00312C2A">
        <w:rPr>
          <w:rFonts w:hint="cs"/>
          <w:rtl/>
          <w:lang w:bidi="ar-EG"/>
        </w:rPr>
        <w:t xml:space="preserve">: هي قاعدة خاصة تتناول حالة عدم التقيّد بفترة الأولوية التي تمتد </w:t>
      </w:r>
      <w:r w:rsidRPr="00312C2A">
        <w:rPr>
          <w:rFonts w:hint="cs"/>
          <w:lang w:bidi="ar-EG"/>
        </w:rPr>
        <w:t>12</w:t>
      </w:r>
      <w:r w:rsidRPr="00312C2A">
        <w:rPr>
          <w:rFonts w:hint="cs"/>
          <w:rtl/>
          <w:lang w:bidi="ar-EG"/>
        </w:rPr>
        <w:t xml:space="preserve"> شهراً. فبناءً على التماس يقدِّمه المودع أو وكيله، يجوز لمكاتب تسلّم الطلبات أن تعذر هذه الحالة من التأخر إذا</w:t>
      </w:r>
      <w:r w:rsidR="009F230E">
        <w:rPr>
          <w:rFonts w:hint="eastAsia"/>
          <w:rtl/>
          <w:lang w:bidi="ar-EG"/>
        </w:rPr>
        <w:t> </w:t>
      </w:r>
      <w:r w:rsidRPr="00312C2A">
        <w:rPr>
          <w:rFonts w:hint="cs"/>
          <w:rtl/>
          <w:lang w:bidi="ar-EG"/>
        </w:rPr>
        <w:t>قُدِّم بيان بالأسباب وكان التأخر في مراعاة المهلة المقررة (أ) غير مقصود، (ب) أو وقع بالرغم من إيلاء المودع أو</w:t>
      </w:r>
      <w:r w:rsidR="009F230E">
        <w:rPr>
          <w:rFonts w:hint="eastAsia"/>
          <w:rtl/>
          <w:lang w:bidi="ar-EG"/>
        </w:rPr>
        <w:t> </w:t>
      </w:r>
      <w:r w:rsidRPr="00312C2A">
        <w:rPr>
          <w:rFonts w:hint="cs"/>
          <w:rtl/>
          <w:lang w:bidi="ar-EG"/>
        </w:rPr>
        <w:t>الوكيل العناية الواجبة التي تقتضيها ظروف الحال.</w:t>
      </w:r>
    </w:p>
    <w:p w14:paraId="64977447" w14:textId="77777777" w:rsidR="00312C2A" w:rsidRPr="00312C2A" w:rsidRDefault="00312C2A" w:rsidP="008F419A">
      <w:pPr>
        <w:pStyle w:val="ONUMA"/>
        <w:numPr>
          <w:ilvl w:val="2"/>
          <w:numId w:val="11"/>
        </w:numPr>
        <w:ind w:left="567"/>
        <w:rPr>
          <w:sz w:val="22"/>
          <w:rtl/>
          <w:lang w:bidi="ar-EG"/>
        </w:rPr>
      </w:pPr>
      <w:r w:rsidRPr="00312C2A">
        <w:rPr>
          <w:rFonts w:hint="cs"/>
          <w:rtl/>
          <w:lang w:bidi="ar-EG"/>
        </w:rPr>
        <w:t xml:space="preserve">عطل يصيب المكتب - القاعدة </w:t>
      </w:r>
      <w:r w:rsidRPr="00312C2A">
        <w:rPr>
          <w:rFonts w:hint="cs"/>
          <w:lang w:bidi="ar-EG"/>
        </w:rPr>
        <w:t>82</w:t>
      </w:r>
      <w:r w:rsidRPr="00312C2A">
        <w:rPr>
          <w:rFonts w:hint="cs"/>
          <w:vertAlign w:val="superscript"/>
          <w:rtl/>
          <w:lang w:bidi="ar-EG"/>
        </w:rPr>
        <w:t>(رابعا)</w:t>
      </w:r>
      <w:r w:rsidRPr="00312C2A">
        <w:rPr>
          <w:rFonts w:hint="cs"/>
          <w:lang w:bidi="ar-EG"/>
        </w:rPr>
        <w:t>2</w:t>
      </w:r>
      <w:r w:rsidRPr="00312C2A">
        <w:rPr>
          <w:rFonts w:hint="cs"/>
          <w:rtl/>
          <w:lang w:bidi="ar-EG"/>
        </w:rPr>
        <w:t xml:space="preserve"> (اعتباراً من </w:t>
      </w:r>
      <w:r w:rsidRPr="00312C2A">
        <w:rPr>
          <w:rFonts w:hint="cs"/>
          <w:lang w:bidi="ar-EG"/>
        </w:rPr>
        <w:t>1</w:t>
      </w:r>
      <w:r w:rsidRPr="00312C2A">
        <w:rPr>
          <w:rFonts w:hint="cs"/>
          <w:rtl/>
          <w:lang w:bidi="ar-EG"/>
        </w:rPr>
        <w:t xml:space="preserve"> يوليو </w:t>
      </w:r>
      <w:r w:rsidRPr="00312C2A">
        <w:rPr>
          <w:rFonts w:hint="cs"/>
          <w:lang w:bidi="ar-EG"/>
        </w:rPr>
        <w:t>2020</w:t>
      </w:r>
      <w:r w:rsidRPr="00312C2A">
        <w:rPr>
          <w:rFonts w:hint="cs"/>
          <w:rtl/>
          <w:lang w:bidi="ar-EG"/>
        </w:rPr>
        <w:t>): يجوز لكل مكتب أو منظمة تصاب أي من وسائل الإيداع المقبولة لديه بعطل أن يعلن ذلك ويُعلِم الجمهور والمكتب الدولي بذلك وبفترة عدم التوفر. وتُمدَّد المهل التي تأخر عنها المودعون إلى يوم العمل التالي الذي تكون فيه كل وسائل الإيداع المقبولة متوفرة مجدداً. ويكون هذا التمديد تلقائياً دون أن يتخذ المودعون أي إجراء.</w:t>
      </w:r>
    </w:p>
    <w:p w14:paraId="2154C407" w14:textId="77777777" w:rsidR="00312C2A" w:rsidRPr="00312C2A" w:rsidRDefault="00312C2A" w:rsidP="00312C2A">
      <w:pPr>
        <w:spacing w:before="200"/>
        <w:ind w:left="567"/>
        <w:rPr>
          <w:rFonts w:eastAsia="SimSun"/>
          <w:rtl/>
          <w:lang w:eastAsia="zh-CN" w:bidi="ar-EG"/>
        </w:rPr>
      </w:pPr>
      <w:r w:rsidRPr="00312C2A">
        <w:rPr>
          <w:rFonts w:eastAsia="SimSun" w:hint="cs"/>
          <w:rtl/>
          <w:lang w:eastAsia="zh-CN" w:bidi="ar-EG"/>
        </w:rPr>
        <w:t xml:space="preserve">وتنص القاعدة الجديدة </w:t>
      </w:r>
      <w:r w:rsidRPr="00312C2A">
        <w:rPr>
          <w:rFonts w:eastAsia="SimSun" w:hint="cs"/>
          <w:lang w:eastAsia="zh-CN" w:bidi="ar-EG"/>
        </w:rPr>
        <w:t>82</w:t>
      </w:r>
      <w:r w:rsidRPr="00312C2A">
        <w:rPr>
          <w:rFonts w:eastAsia="SimSun" w:hint="cs"/>
          <w:vertAlign w:val="superscript"/>
          <w:rtl/>
          <w:lang w:eastAsia="zh-CN" w:bidi="ar-EG"/>
        </w:rPr>
        <w:t>(رابعا)</w:t>
      </w:r>
      <w:r w:rsidRPr="00312C2A">
        <w:rPr>
          <w:rFonts w:eastAsia="SimSun" w:hint="cs"/>
          <w:lang w:eastAsia="zh-CN" w:bidi="ar-EG"/>
        </w:rPr>
        <w:t>2</w:t>
      </w:r>
      <w:r w:rsidRPr="00312C2A">
        <w:rPr>
          <w:rFonts w:eastAsia="SimSun" w:hint="cs"/>
          <w:rtl/>
          <w:lang w:eastAsia="zh-CN" w:bidi="ar-EG"/>
        </w:rPr>
        <w:t xml:space="preserve"> على تمديد المهل المقررة في حال عدم توفر وسائل الإيداع عبر الإنترنت. وتستلزم هذه القاعدة تعرض مكتب معيَّن لعطل، أي عدم توفر كل وسائل الإيداع لفترة يجب أن تكون محددة، وقيام المكتب المعني بنشر المعلومات المتعلقة بذلك العطل. ولا ينطبق ذلك على الأوضاع الراهنة. وإذ لا تنص القاعدة </w:t>
      </w:r>
      <w:r w:rsidRPr="00312C2A">
        <w:rPr>
          <w:rFonts w:eastAsia="SimSun" w:hint="cs"/>
          <w:lang w:eastAsia="zh-CN" w:bidi="ar-EG"/>
        </w:rPr>
        <w:lastRenderedPageBreak/>
        <w:t>82</w:t>
      </w:r>
      <w:r w:rsidRPr="00312C2A">
        <w:rPr>
          <w:rFonts w:eastAsia="SimSun" w:hint="cs"/>
          <w:vertAlign w:val="superscript"/>
          <w:rtl/>
          <w:lang w:eastAsia="zh-CN" w:bidi="ar-EG"/>
        </w:rPr>
        <w:t>(رابعا)</w:t>
      </w:r>
      <w:r w:rsidRPr="00312C2A">
        <w:rPr>
          <w:rFonts w:eastAsia="SimSun" w:hint="cs"/>
          <w:lang w:eastAsia="zh-CN" w:bidi="ar-EG"/>
        </w:rPr>
        <w:t>1</w:t>
      </w:r>
      <w:r w:rsidRPr="00312C2A">
        <w:rPr>
          <w:rFonts w:eastAsia="SimSun" w:hint="cs"/>
          <w:rtl/>
          <w:lang w:eastAsia="zh-CN" w:bidi="ar-EG"/>
        </w:rPr>
        <w:t xml:space="preserve"> على تمديد المهل المقررة في حالة حدوث اضطراب عام في مكان وقوع المكتب على الرغم من أن ذلك المكتب لا يزال مفتوحاً للجمهور، فيتبيَّن أن معاهدة البراءات لا تحتوي حالياً على أي قاعدة تغطي الأوضاع الحالية.</w:t>
      </w:r>
    </w:p>
    <w:p w14:paraId="4BF0FA2A" w14:textId="325F6E31" w:rsidR="00312C2A" w:rsidRPr="00312C2A" w:rsidRDefault="00312C2A" w:rsidP="00312C2A">
      <w:pPr>
        <w:pStyle w:val="BodyText"/>
        <w:rPr>
          <w:rFonts w:eastAsia="SimSun"/>
          <w:rtl/>
          <w:lang w:eastAsia="zh-CN"/>
        </w:rPr>
      </w:pPr>
      <w:r w:rsidRPr="00312C2A">
        <w:rPr>
          <w:rFonts w:eastAsia="SimSun" w:hint="cs"/>
          <w:rtl/>
          <w:lang w:eastAsia="zh-CN"/>
        </w:rPr>
        <w:t xml:space="preserve">وتيسيراً للمناقشة، يحتوي الجدول الوارد في الفقرة </w:t>
      </w:r>
      <w:r w:rsidRPr="00312C2A">
        <w:rPr>
          <w:rFonts w:eastAsia="SimSun"/>
          <w:lang w:eastAsia="zh-CN"/>
        </w:rPr>
        <w:fldChar w:fldCharType="begin"/>
      </w:r>
      <w:r w:rsidRPr="00312C2A">
        <w:rPr>
          <w:rFonts w:eastAsia="SimSun"/>
          <w:rtl/>
          <w:lang w:eastAsia="zh-CN"/>
        </w:rPr>
        <w:instrText xml:space="preserve"> </w:instrText>
      </w:r>
      <w:r w:rsidRPr="00312C2A">
        <w:rPr>
          <w:rFonts w:eastAsia="SimSun"/>
          <w:lang w:eastAsia="zh-CN"/>
        </w:rPr>
        <w:instrText xml:space="preserve">REF _Ref50628380 \r \h </w:instrText>
      </w:r>
      <w:r w:rsidRPr="00312C2A">
        <w:rPr>
          <w:rFonts w:eastAsia="SimSun"/>
          <w:lang w:eastAsia="zh-CN"/>
        </w:rPr>
      </w:r>
      <w:r w:rsidRPr="00312C2A">
        <w:rPr>
          <w:rFonts w:eastAsia="SimSun"/>
          <w:lang w:eastAsia="zh-CN"/>
        </w:rPr>
        <w:fldChar w:fldCharType="separate"/>
      </w:r>
      <w:r w:rsidR="00080AA5">
        <w:rPr>
          <w:rFonts w:eastAsia="SimSun"/>
          <w:rtl/>
          <w:lang w:eastAsia="zh-CN"/>
        </w:rPr>
        <w:t>‏22</w:t>
      </w:r>
      <w:r w:rsidRPr="00312C2A">
        <w:rPr>
          <w:rFonts w:eastAsia="SimSun"/>
          <w:lang w:eastAsia="zh-CN"/>
        </w:rPr>
        <w:fldChar w:fldCharType="end"/>
      </w:r>
      <w:r w:rsidRPr="00312C2A">
        <w:rPr>
          <w:rFonts w:eastAsia="SimSun" w:hint="cs"/>
          <w:rtl/>
          <w:lang w:eastAsia="zh-CN"/>
        </w:rPr>
        <w:t xml:space="preserve"> من هذه الوثيقة على توضيح للتطبيق العملي لسبل الانتصاف المذكورة.</w:t>
      </w:r>
    </w:p>
    <w:p w14:paraId="76B9EAE1" w14:textId="77777777" w:rsidR="00312C2A" w:rsidRPr="00312C2A" w:rsidRDefault="00312C2A" w:rsidP="00312C2A">
      <w:pPr>
        <w:pStyle w:val="Heading3"/>
        <w:rPr>
          <w:rFonts w:eastAsia="SimSun"/>
          <w:rtl/>
          <w:lang w:eastAsia="zh-CN" w:bidi="ar-EG"/>
        </w:rPr>
      </w:pPr>
      <w:r w:rsidRPr="00312C2A">
        <w:rPr>
          <w:rFonts w:eastAsia="SimSun" w:hint="cs"/>
          <w:rtl/>
          <w:lang w:eastAsia="zh-CN" w:bidi="ar-EG"/>
        </w:rPr>
        <w:t>أوجه قصور سبل الانتصاف القانونية المتاحة حالياً في إطار معاهدة البراءات</w:t>
      </w:r>
    </w:p>
    <w:p w14:paraId="5574C0D5" w14:textId="63C5CE3C" w:rsidR="00312C2A" w:rsidRPr="00312C2A" w:rsidRDefault="00312C2A" w:rsidP="00312C2A">
      <w:pPr>
        <w:pStyle w:val="ONUMA"/>
        <w:rPr>
          <w:sz w:val="22"/>
          <w:rtl/>
          <w:lang w:bidi="ar-EG"/>
        </w:rPr>
      </w:pPr>
      <w:r w:rsidRPr="00312C2A">
        <w:rPr>
          <w:rFonts w:hint="cs"/>
          <w:rtl/>
          <w:lang w:bidi="ar-EG"/>
        </w:rPr>
        <w:t>لا ينص الإطار القانوني الحالي لمعاهدة البراءات على حل معقول وفعال ومرن يمكن للمكاتب تطبيقه بسهولة ويمكن</w:t>
      </w:r>
      <w:r w:rsidR="009F230E">
        <w:rPr>
          <w:rFonts w:hint="eastAsia"/>
          <w:rtl/>
          <w:lang w:bidi="ar-EG"/>
        </w:rPr>
        <w:t> </w:t>
      </w:r>
      <w:r w:rsidRPr="00312C2A">
        <w:rPr>
          <w:rFonts w:hint="cs"/>
          <w:rtl/>
          <w:lang w:bidi="ar-EG"/>
        </w:rPr>
        <w:t>للمودعين اللجوء إليه في حالة حدوث اضطراب عام في المكان الذي يقع فيه المكتب.</w:t>
      </w:r>
    </w:p>
    <w:p w14:paraId="7B169865" w14:textId="7FF0BDC5" w:rsidR="00312C2A" w:rsidRPr="00312C2A" w:rsidRDefault="00312C2A" w:rsidP="00312C2A">
      <w:pPr>
        <w:pStyle w:val="ONUMA"/>
        <w:rPr>
          <w:sz w:val="22"/>
          <w:rtl/>
          <w:lang w:bidi="ar-EG"/>
        </w:rPr>
      </w:pPr>
      <w:r w:rsidRPr="00312C2A">
        <w:rPr>
          <w:rFonts w:hint="cs"/>
          <w:rtl/>
          <w:lang w:bidi="ar-EG"/>
        </w:rPr>
        <w:t>وقد أظهرت حالة الطوارئ الناشئة عن فيروس كوفيد-</w:t>
      </w:r>
      <w:r w:rsidRPr="00312C2A">
        <w:rPr>
          <w:rFonts w:hint="cs"/>
          <w:lang w:bidi="ar-EG"/>
        </w:rPr>
        <w:t>19</w:t>
      </w:r>
      <w:r w:rsidRPr="00312C2A">
        <w:rPr>
          <w:rFonts w:hint="cs"/>
          <w:rtl/>
          <w:lang w:bidi="ar-EG"/>
        </w:rPr>
        <w:t xml:space="preserve"> بعض أوجه القصور في سبل الانتصاف القانونية المتاحة في إطار معاهدة البراءات. فقد أظهرت بوجه خاص أنه من غير الضروري اشتراط تقديم الالتماس وأدلة الإثبات المطلوبة بشأن عدم التقيّد بالمهلة المقررة في الأوضاع المماثلة لحالة الطوارئ الحالية. وعلى الرغم من أن طريقة تطبيق القاعدة </w:t>
      </w:r>
      <w:r w:rsidRPr="00312C2A">
        <w:rPr>
          <w:rFonts w:hint="cs"/>
          <w:lang w:bidi="ar-EG"/>
        </w:rPr>
        <w:t>82</w:t>
      </w:r>
      <w:r w:rsidRPr="00312C2A">
        <w:rPr>
          <w:rFonts w:hint="cs"/>
          <w:vertAlign w:val="superscript"/>
          <w:rtl/>
          <w:lang w:bidi="ar-EG"/>
        </w:rPr>
        <w:t>(رابعا)</w:t>
      </w:r>
      <w:r w:rsidRPr="00312C2A">
        <w:rPr>
          <w:rFonts w:hint="cs"/>
          <w:lang w:bidi="ar-EG"/>
        </w:rPr>
        <w:t>1</w:t>
      </w:r>
      <w:r w:rsidRPr="00312C2A">
        <w:rPr>
          <w:rFonts w:hint="cs"/>
          <w:rtl/>
          <w:lang w:bidi="ar-EG"/>
        </w:rPr>
        <w:t xml:space="preserve">، التي اقترحها المكتب الدولي في البيان التفسيري (انظر الفقرة </w:t>
      </w:r>
      <w:r w:rsidRPr="00312C2A">
        <w:rPr>
          <w:lang w:bidi="ar-EG"/>
        </w:rPr>
        <w:fldChar w:fldCharType="begin"/>
      </w:r>
      <w:r w:rsidRPr="00312C2A">
        <w:rPr>
          <w:rtl/>
          <w:lang w:bidi="ar-EG"/>
        </w:rPr>
        <w:instrText xml:space="preserve"> </w:instrText>
      </w:r>
      <w:r w:rsidRPr="00312C2A">
        <w:rPr>
          <w:lang w:bidi="ar-EG"/>
        </w:rPr>
        <w:instrText xml:space="preserve">REF _Ref50129632 \r \h </w:instrText>
      </w:r>
      <w:r w:rsidRPr="00312C2A">
        <w:rPr>
          <w:lang w:bidi="ar-EG"/>
        </w:rPr>
      </w:r>
      <w:r w:rsidRPr="00312C2A">
        <w:rPr>
          <w:lang w:bidi="ar-EG"/>
        </w:rPr>
        <w:fldChar w:fldCharType="separate"/>
      </w:r>
      <w:r w:rsidR="00080AA5">
        <w:rPr>
          <w:rtl/>
          <w:lang w:bidi="ar-EG"/>
        </w:rPr>
        <w:t>‏3</w:t>
      </w:r>
      <w:r w:rsidRPr="00312C2A">
        <w:rPr>
          <w:lang w:bidi="ar-EG"/>
        </w:rPr>
        <w:fldChar w:fldCharType="end"/>
      </w:r>
      <w:r w:rsidRPr="00312C2A">
        <w:rPr>
          <w:rFonts w:hint="cs"/>
          <w:rtl/>
          <w:lang w:bidi="ar-EG"/>
        </w:rPr>
        <w:t xml:space="preserve"> أعلاه)، خطوة نحو التطبيق المرن لتلك القاعدة، فهي غير ملائمة لمعالجة كل أوجه القصور.</w:t>
      </w:r>
    </w:p>
    <w:p w14:paraId="2CE165E9" w14:textId="77777777" w:rsidR="00312C2A" w:rsidRPr="00312C2A" w:rsidRDefault="00312C2A" w:rsidP="00312C2A">
      <w:pPr>
        <w:pStyle w:val="ONUMA"/>
        <w:rPr>
          <w:sz w:val="22"/>
          <w:rtl/>
          <w:lang w:bidi="ar-EG"/>
        </w:rPr>
      </w:pPr>
      <w:r w:rsidRPr="00312C2A">
        <w:rPr>
          <w:rFonts w:hint="cs"/>
          <w:rtl/>
          <w:lang w:bidi="ar-EG"/>
        </w:rPr>
        <w:t xml:space="preserve">إذ إن المودعين ملزمون، طبقاً للقاعدة </w:t>
      </w:r>
      <w:r w:rsidRPr="00312C2A">
        <w:rPr>
          <w:rFonts w:hint="cs"/>
          <w:lang w:bidi="ar-EG"/>
        </w:rPr>
        <w:t>82</w:t>
      </w:r>
      <w:r w:rsidRPr="00312C2A">
        <w:rPr>
          <w:rFonts w:hint="cs"/>
          <w:vertAlign w:val="superscript"/>
          <w:rtl/>
          <w:lang w:bidi="ar-EG"/>
        </w:rPr>
        <w:t>(رابعا)</w:t>
      </w:r>
      <w:r w:rsidRPr="00312C2A">
        <w:rPr>
          <w:rFonts w:hint="cs"/>
          <w:lang w:bidi="ar-EG"/>
        </w:rPr>
        <w:t>1</w:t>
      </w:r>
      <w:r w:rsidRPr="00312C2A">
        <w:rPr>
          <w:rFonts w:hint="cs"/>
          <w:rtl/>
          <w:lang w:bidi="ar-EG"/>
        </w:rPr>
        <w:t xml:space="preserve"> الحالية، بتقديم التماس بعُذر التأخر في مراعاة المهل المقررة، فيتحملون تكاليف وأعباء إدارية إضافية لإعداد تلك الالتماسات </w:t>
      </w:r>
      <w:r w:rsidRPr="00312C2A">
        <w:rPr>
          <w:rFonts w:hint="cs"/>
          <w:rtl/>
          <w:lang w:bidi="ar-EG"/>
        </w:rPr>
        <w:lastRenderedPageBreak/>
        <w:t>مثل أتعاب المحامين وهدر الوقت والموارد. وقد يفقدون حقوقهم في أسوأ الحالات إذا لم يكونوا على علم بسبل الانتصاف القانونية المتاحة فلا يرسلون التماس عُذر التأخر. وفضلاً عن ذلك، تتحمل مكاتب معاهدة البراءات أعباء إدارية أكبر إذ يجب عليها معالجة تلك الالتماسات على أساس فردي، وهو أمر مهدر للوقت والموارد أيضاً.</w:t>
      </w:r>
    </w:p>
    <w:p w14:paraId="5E0F6200" w14:textId="77777777" w:rsidR="00312C2A" w:rsidRPr="00312C2A" w:rsidRDefault="00312C2A" w:rsidP="00312C2A">
      <w:pPr>
        <w:pStyle w:val="Heading2"/>
        <w:rPr>
          <w:rFonts w:eastAsia="SimSun"/>
          <w:rtl/>
          <w:lang w:eastAsia="zh-CN" w:bidi="ar-EG"/>
        </w:rPr>
      </w:pPr>
      <w:r w:rsidRPr="00312C2A">
        <w:rPr>
          <w:rFonts w:eastAsia="SimSun" w:hint="cs"/>
          <w:rtl/>
          <w:lang w:eastAsia="zh-CN" w:bidi="ar-EG"/>
        </w:rPr>
        <w:t>الاقتراحات</w:t>
      </w:r>
    </w:p>
    <w:p w14:paraId="0F2F8959" w14:textId="77777777" w:rsidR="00312C2A" w:rsidRPr="00312C2A" w:rsidRDefault="00312C2A" w:rsidP="00312C2A">
      <w:pPr>
        <w:pStyle w:val="ONUMA"/>
        <w:rPr>
          <w:sz w:val="22"/>
          <w:rtl/>
          <w:lang w:bidi="ar-EG"/>
        </w:rPr>
      </w:pPr>
      <w:r w:rsidRPr="00312C2A">
        <w:rPr>
          <w:rFonts w:hint="cs"/>
          <w:rtl/>
          <w:lang w:bidi="ar-EG"/>
        </w:rPr>
        <w:t>تعالج بعض التشريعات الإقليمية أو الوطنية أوجه القصور المذكورة إذ تنص على تمديد عام للمهل في حالة حدوث اضطراب عام. ومن ثم، سعياً إلى تعزيز مجموعة الضمانات المتاحة حالياً في إطار معاهدة البراءات، يُقترح توفير أساس قانوني جديد محكم وفعال وشفاف وموثوق به لتمديد المهل المنصوص عليها في معاهدة البراءات في حالة حدوث اضطراب عام. ويستمد نظام معاهدة البراءات نجاحه إلى حد كبير من قدرته على التكيف تدريجياً مع احتياجات المستخدمين مع مرور الوقت. ويرى المكتب الأوروبي للبراءات أنه ينبغي لأعضاء معاهدة البراءات الاستفادة من الخبرات المكتسبة في ظل جائحة كوفيد-</w:t>
      </w:r>
      <w:r w:rsidRPr="00312C2A">
        <w:rPr>
          <w:rFonts w:hint="cs"/>
          <w:lang w:bidi="ar-EG"/>
        </w:rPr>
        <w:t>19</w:t>
      </w:r>
      <w:r w:rsidRPr="00312C2A">
        <w:rPr>
          <w:rFonts w:hint="cs"/>
          <w:rtl/>
          <w:lang w:bidi="ar-EG"/>
        </w:rPr>
        <w:t xml:space="preserve"> وأن يغتنموا هذه الفرصة لتطوير معاهدة البراءات بتوفير أنسب سبل الانتصاف التي تدعم المستخدمين. ومن ثم، فإن الهدف هو استكمال الإطار القانوني القائم وتوفير سبل للاستجابة للتحديات التي قد تواجهها المكاتب في حالات الطوارئ. ولا يرمي هذا الاقتراح إلى إعادة النظر في مجموعة الضمانات المتاحة حالياً بموجب معاهدة البراءات.</w:t>
      </w:r>
    </w:p>
    <w:p w14:paraId="2DB4CBAA" w14:textId="77777777" w:rsidR="00312C2A" w:rsidRPr="00312C2A" w:rsidRDefault="00312C2A" w:rsidP="00312C2A">
      <w:pPr>
        <w:pStyle w:val="Heading3"/>
        <w:rPr>
          <w:rFonts w:eastAsia="SimSun"/>
          <w:rtl/>
          <w:lang w:eastAsia="zh-CN" w:bidi="ar-EG"/>
        </w:rPr>
      </w:pPr>
      <w:r w:rsidRPr="00312C2A">
        <w:rPr>
          <w:rFonts w:eastAsia="SimSun" w:hint="cs"/>
          <w:rtl/>
          <w:lang w:eastAsia="zh-CN" w:bidi="ar-EG"/>
        </w:rPr>
        <w:lastRenderedPageBreak/>
        <w:t xml:space="preserve">التغييرات المقترحة في القاعدة </w:t>
      </w:r>
      <w:r w:rsidRPr="00312C2A">
        <w:rPr>
          <w:rFonts w:eastAsia="SimSun" w:hint="cs"/>
          <w:lang w:eastAsia="zh-CN" w:bidi="ar-EG"/>
        </w:rPr>
        <w:t>82</w:t>
      </w:r>
      <w:r w:rsidRPr="00312C2A">
        <w:rPr>
          <w:rFonts w:eastAsia="SimSun" w:hint="cs"/>
          <w:vertAlign w:val="superscript"/>
          <w:rtl/>
          <w:lang w:eastAsia="zh-CN" w:bidi="ar-EG"/>
        </w:rPr>
        <w:t>(رابعا)</w:t>
      </w:r>
    </w:p>
    <w:p w14:paraId="0BF5F24E" w14:textId="44C730D5" w:rsidR="00312C2A" w:rsidRPr="00312C2A" w:rsidRDefault="00312C2A" w:rsidP="00312C2A">
      <w:pPr>
        <w:pStyle w:val="ONUMA"/>
        <w:rPr>
          <w:sz w:val="22"/>
          <w:rtl/>
          <w:lang w:bidi="ar-EG"/>
        </w:rPr>
      </w:pPr>
      <w:r w:rsidRPr="00312C2A">
        <w:rPr>
          <w:rFonts w:hint="cs"/>
          <w:rtl/>
          <w:lang w:bidi="ar-EG"/>
        </w:rPr>
        <w:t xml:space="preserve">يقترح المكتب الأوروبي للبراءات إدخال قاعدة جديدة </w:t>
      </w:r>
      <w:r w:rsidRPr="00312C2A">
        <w:rPr>
          <w:rFonts w:hint="cs"/>
          <w:lang w:bidi="ar-EG"/>
        </w:rPr>
        <w:t>82</w:t>
      </w:r>
      <w:r w:rsidRPr="00312C2A">
        <w:rPr>
          <w:rFonts w:hint="cs"/>
          <w:vertAlign w:val="superscript"/>
          <w:rtl/>
          <w:lang w:bidi="ar-EG"/>
        </w:rPr>
        <w:t>(رابعا)</w:t>
      </w:r>
      <w:r w:rsidRPr="00312C2A">
        <w:rPr>
          <w:rFonts w:hint="cs"/>
          <w:lang w:bidi="ar-EG"/>
        </w:rPr>
        <w:t>3</w:t>
      </w:r>
      <w:r w:rsidRPr="00312C2A">
        <w:rPr>
          <w:rFonts w:hint="cs"/>
          <w:rtl/>
          <w:lang w:bidi="ar-EG"/>
        </w:rPr>
        <w:t xml:space="preserve"> (انظر المرفق) لتمديد المهل في المكاتب الواقعة في دولة تشهد اضطراباً عاماً، مثل وباء، يفرض قيوداً على حركة الأشخاص وبعض الخدمات والحياة العامة عموماً. وتندرج</w:t>
      </w:r>
      <w:r w:rsidR="009F230E">
        <w:rPr>
          <w:rFonts w:hint="eastAsia"/>
          <w:rtl/>
          <w:lang w:bidi="ar-EG"/>
        </w:rPr>
        <w:t> </w:t>
      </w:r>
      <w:r w:rsidRPr="00312C2A">
        <w:rPr>
          <w:rFonts w:hint="cs"/>
          <w:rtl/>
          <w:lang w:bidi="ar-EG"/>
        </w:rPr>
        <w:t>الجائحة - بوصفها وباءً عالمياً - في نطاق تعريف الوباء.</w:t>
      </w:r>
    </w:p>
    <w:p w14:paraId="755D60FE" w14:textId="77777777" w:rsidR="00312C2A" w:rsidRPr="00312C2A" w:rsidRDefault="00312C2A" w:rsidP="00312C2A">
      <w:pPr>
        <w:pStyle w:val="ONUMA"/>
        <w:rPr>
          <w:sz w:val="22"/>
          <w:rtl/>
          <w:lang w:bidi="ar-EG"/>
        </w:rPr>
      </w:pPr>
      <w:r w:rsidRPr="00312C2A">
        <w:rPr>
          <w:rFonts w:hint="cs"/>
          <w:rtl/>
          <w:lang w:bidi="ar-EG"/>
        </w:rPr>
        <w:t>وسيوفر هذا الاقتراح اليقين القانوني وإمكانية التنبؤ عن طريق إرساء أساس قانوني في معاهدة البراءات لتمديد المهل المقررة فيها، بما فيها مهل سداد الرسوم، مع احتفاظه بنطاق متناسب لأنه يرجع إلى كل مكتب إعلان فترة الاضطراب العام بحسب الوضع الفعلي في الدولة التي يقع فيها ذلك المكتب.</w:t>
      </w:r>
    </w:p>
    <w:p w14:paraId="1A5ED521" w14:textId="77777777" w:rsidR="00312C2A" w:rsidRPr="00312C2A" w:rsidRDefault="00312C2A" w:rsidP="00312C2A">
      <w:pPr>
        <w:pStyle w:val="ONUMA"/>
        <w:rPr>
          <w:sz w:val="22"/>
          <w:rtl/>
          <w:lang w:bidi="ar-EG"/>
        </w:rPr>
      </w:pPr>
      <w:r w:rsidRPr="00312C2A">
        <w:rPr>
          <w:rFonts w:hint="cs"/>
          <w:rtl/>
          <w:lang w:bidi="ar-EG"/>
        </w:rPr>
        <w:t xml:space="preserve">ولا تغطي المادة </w:t>
      </w:r>
      <w:r w:rsidRPr="00312C2A">
        <w:rPr>
          <w:rFonts w:hint="cs"/>
          <w:lang w:bidi="ar-EG"/>
        </w:rPr>
        <w:t>48</w:t>
      </w:r>
      <w:r w:rsidRPr="00312C2A">
        <w:rPr>
          <w:rFonts w:hint="cs"/>
          <w:rtl/>
          <w:lang w:bidi="ar-EG"/>
        </w:rPr>
        <w:t>(</w:t>
      </w:r>
      <w:r w:rsidRPr="00312C2A">
        <w:rPr>
          <w:rFonts w:hint="cs"/>
          <w:lang w:bidi="ar-EG"/>
        </w:rPr>
        <w:t>1</w:t>
      </w:r>
      <w:r w:rsidRPr="00312C2A">
        <w:rPr>
          <w:rFonts w:hint="cs"/>
          <w:rtl/>
          <w:lang w:bidi="ar-EG"/>
        </w:rPr>
        <w:t xml:space="preserve">) الحالة المتوخاة في القاعدة الجديدة المقترحة إذ تشير إلى تعطل خدمات البريد أو فقدان البريد أو تأخره. ولا تنطبق المادة </w:t>
      </w:r>
      <w:r w:rsidRPr="00312C2A">
        <w:rPr>
          <w:rFonts w:hint="cs"/>
          <w:lang w:bidi="ar-EG"/>
        </w:rPr>
        <w:t>48</w:t>
      </w:r>
      <w:r w:rsidRPr="00312C2A">
        <w:rPr>
          <w:rFonts w:hint="cs"/>
          <w:rtl/>
          <w:lang w:bidi="ar-EG"/>
        </w:rPr>
        <w:t>(</w:t>
      </w:r>
      <w:r w:rsidRPr="00312C2A">
        <w:rPr>
          <w:rFonts w:hint="cs"/>
          <w:lang w:bidi="ar-EG"/>
        </w:rPr>
        <w:t>2</w:t>
      </w:r>
      <w:r w:rsidRPr="00312C2A">
        <w:rPr>
          <w:rFonts w:hint="cs"/>
          <w:rtl/>
          <w:lang w:bidi="ar-EG"/>
        </w:rPr>
        <w:t xml:space="preserve">) أيضاً لأنها تشير إلى عُذر التأخر في مراعاة المهل المقررة لأسباب مقبولة طبقاً للتشريعات الوطنية فلا تسري سوى في الدولة المعيَّنة أو المختارة المعنية. وأما هذا الاقتراح، فسيجيز للإدارات العاملة في إطار معاهدة البراءات تمديد المهل المقررة خلال المرحلة الدولية. ومع ذلك، فستتبع القاعدة المقترحة </w:t>
      </w:r>
      <w:r w:rsidRPr="00312C2A">
        <w:rPr>
          <w:rFonts w:hint="cs"/>
          <w:lang w:bidi="ar-EG"/>
        </w:rPr>
        <w:t>82</w:t>
      </w:r>
      <w:r w:rsidRPr="00312C2A">
        <w:rPr>
          <w:rFonts w:hint="cs"/>
          <w:vertAlign w:val="superscript"/>
          <w:rtl/>
          <w:lang w:bidi="ar-EG"/>
        </w:rPr>
        <w:t>(رابعا)</w:t>
      </w:r>
      <w:r w:rsidRPr="00312C2A">
        <w:rPr>
          <w:rFonts w:hint="cs"/>
          <w:lang w:bidi="ar-EG"/>
        </w:rPr>
        <w:t>3</w:t>
      </w:r>
      <w:r w:rsidRPr="00312C2A">
        <w:rPr>
          <w:rFonts w:hint="cs"/>
          <w:rtl/>
          <w:lang w:bidi="ar-EG"/>
        </w:rPr>
        <w:t xml:space="preserve"> المنطق العام للقاعدة </w:t>
      </w:r>
      <w:r w:rsidRPr="00312C2A">
        <w:rPr>
          <w:rFonts w:hint="cs"/>
          <w:lang w:bidi="ar-EG"/>
        </w:rPr>
        <w:t>82</w:t>
      </w:r>
      <w:r w:rsidRPr="00312C2A">
        <w:rPr>
          <w:rFonts w:hint="cs"/>
          <w:vertAlign w:val="superscript"/>
          <w:rtl/>
          <w:lang w:bidi="ar-EG"/>
        </w:rPr>
        <w:t>(رابعا)</w:t>
      </w:r>
      <w:r w:rsidRPr="00312C2A">
        <w:rPr>
          <w:rFonts w:hint="cs"/>
          <w:rtl/>
          <w:lang w:bidi="ar-EG"/>
        </w:rPr>
        <w:t xml:space="preserve"> وتنطبق على المهل المقررة في اللائحة التنفيذية. وتحدد المعاهدة نفسها مهلاً أخرى لدخول المراحل الوطنية. ومن ثم، لن يسري التمديد المقترح على تلك المهل. وبذلك، يجوز للدول المعيَّنة أو المختارة استخدام أحكامها الوطنية وتمديد تلك المهل داخل أراضيها حصراً </w:t>
      </w:r>
      <w:r w:rsidRPr="00312C2A">
        <w:rPr>
          <w:rFonts w:hint="cs"/>
          <w:rtl/>
          <w:lang w:bidi="ar-EG"/>
        </w:rPr>
        <w:lastRenderedPageBreak/>
        <w:t xml:space="preserve">(عملاً بأحكام المادة </w:t>
      </w:r>
      <w:r w:rsidRPr="00312C2A">
        <w:rPr>
          <w:rFonts w:hint="cs"/>
          <w:lang w:bidi="ar-EG"/>
        </w:rPr>
        <w:t>48</w:t>
      </w:r>
      <w:r w:rsidRPr="00312C2A">
        <w:rPr>
          <w:rFonts w:hint="cs"/>
          <w:rtl/>
          <w:lang w:bidi="ar-EG"/>
        </w:rPr>
        <w:t>(</w:t>
      </w:r>
      <w:r w:rsidRPr="00312C2A">
        <w:rPr>
          <w:rFonts w:hint="cs"/>
          <w:lang w:bidi="ar-EG"/>
        </w:rPr>
        <w:t>2</w:t>
      </w:r>
      <w:r w:rsidRPr="00312C2A">
        <w:rPr>
          <w:rFonts w:hint="cs"/>
          <w:rtl/>
          <w:lang w:bidi="ar-EG"/>
        </w:rPr>
        <w:t xml:space="preserve">) والقاعدة </w:t>
      </w:r>
      <w:r w:rsidRPr="00312C2A">
        <w:rPr>
          <w:rFonts w:hint="cs"/>
          <w:lang w:bidi="ar-EG"/>
        </w:rPr>
        <w:t>82</w:t>
      </w:r>
      <w:r w:rsidRPr="00312C2A">
        <w:rPr>
          <w:rFonts w:hint="cs"/>
          <w:vertAlign w:val="superscript"/>
          <w:rtl/>
          <w:lang w:bidi="ar-EG"/>
        </w:rPr>
        <w:t>(ثانيا)</w:t>
      </w:r>
      <w:r w:rsidRPr="00312C2A">
        <w:rPr>
          <w:rFonts w:hint="cs"/>
          <w:lang w:bidi="ar-EG"/>
        </w:rPr>
        <w:t>2</w:t>
      </w:r>
      <w:r w:rsidRPr="00312C2A">
        <w:rPr>
          <w:rFonts w:hint="cs"/>
          <w:rtl/>
          <w:lang w:bidi="ar-EG"/>
        </w:rPr>
        <w:t>).</w:t>
      </w:r>
    </w:p>
    <w:p w14:paraId="43231959" w14:textId="77777777" w:rsidR="00312C2A" w:rsidRPr="00312C2A" w:rsidRDefault="00312C2A" w:rsidP="00312C2A">
      <w:pPr>
        <w:pStyle w:val="ONUMA"/>
        <w:rPr>
          <w:sz w:val="22"/>
          <w:rtl/>
          <w:lang w:bidi="ar-EG"/>
        </w:rPr>
      </w:pPr>
      <w:r w:rsidRPr="00312C2A">
        <w:rPr>
          <w:rFonts w:hint="cs"/>
          <w:rtl/>
          <w:lang w:bidi="ar-EG"/>
        </w:rPr>
        <w:t xml:space="preserve">وتستخدم القاعدة </w:t>
      </w:r>
      <w:r w:rsidRPr="00312C2A">
        <w:rPr>
          <w:rFonts w:hint="cs"/>
          <w:lang w:bidi="ar-EG"/>
        </w:rPr>
        <w:t>82</w:t>
      </w:r>
      <w:r w:rsidRPr="00312C2A">
        <w:rPr>
          <w:rFonts w:hint="cs"/>
          <w:vertAlign w:val="superscript"/>
          <w:rtl/>
          <w:lang w:bidi="ar-EG"/>
        </w:rPr>
        <w:t>(رابعا)</w:t>
      </w:r>
      <w:r w:rsidRPr="00312C2A">
        <w:rPr>
          <w:rFonts w:hint="cs"/>
          <w:lang w:bidi="ar-EG"/>
        </w:rPr>
        <w:t>3</w:t>
      </w:r>
      <w:r w:rsidRPr="00312C2A">
        <w:rPr>
          <w:rFonts w:hint="cs"/>
          <w:rtl/>
          <w:lang w:bidi="ar-EG"/>
        </w:rPr>
        <w:t xml:space="preserve"> الجديدة المقترحة الآلية نفسها المستخدمة في القاعدة </w:t>
      </w:r>
      <w:r w:rsidRPr="00312C2A">
        <w:rPr>
          <w:rFonts w:hint="cs"/>
          <w:lang w:bidi="ar-EG"/>
        </w:rPr>
        <w:t>82</w:t>
      </w:r>
      <w:r w:rsidRPr="00312C2A">
        <w:rPr>
          <w:rFonts w:hint="cs"/>
          <w:vertAlign w:val="superscript"/>
          <w:rtl/>
          <w:lang w:bidi="ar-EG"/>
        </w:rPr>
        <w:t>(رابعا)</w:t>
      </w:r>
      <w:r w:rsidRPr="00312C2A">
        <w:rPr>
          <w:rFonts w:hint="cs"/>
          <w:lang w:bidi="ar-EG"/>
        </w:rPr>
        <w:t>2</w:t>
      </w:r>
      <w:r w:rsidRPr="00312C2A">
        <w:rPr>
          <w:rFonts w:hint="cs"/>
          <w:rtl/>
          <w:lang w:bidi="ar-EG"/>
        </w:rPr>
        <w:t xml:space="preserve"> والتي اعتمدتها جمعية معاهدة البراءات في عام </w:t>
      </w:r>
      <w:r w:rsidRPr="00312C2A">
        <w:rPr>
          <w:rFonts w:hint="cs"/>
          <w:lang w:bidi="ar-EG"/>
        </w:rPr>
        <w:t>2019</w:t>
      </w:r>
      <w:r w:rsidRPr="00312C2A">
        <w:rPr>
          <w:rFonts w:hint="cs"/>
          <w:rtl/>
          <w:lang w:bidi="ar-EG"/>
        </w:rPr>
        <w:t xml:space="preserve"> ودخلت حيز النفاذ في </w:t>
      </w:r>
      <w:r w:rsidRPr="00312C2A">
        <w:rPr>
          <w:rFonts w:hint="cs"/>
          <w:lang w:bidi="ar-EG"/>
        </w:rPr>
        <w:t>1</w:t>
      </w:r>
      <w:r w:rsidRPr="00312C2A">
        <w:rPr>
          <w:rFonts w:hint="cs"/>
          <w:rtl/>
          <w:lang w:bidi="ar-EG"/>
        </w:rPr>
        <w:t xml:space="preserve"> يوليو </w:t>
      </w:r>
      <w:r w:rsidRPr="00312C2A">
        <w:rPr>
          <w:rFonts w:hint="cs"/>
          <w:lang w:bidi="ar-EG"/>
        </w:rPr>
        <w:t>2020</w:t>
      </w:r>
      <w:r w:rsidRPr="00312C2A">
        <w:rPr>
          <w:rFonts w:hint="cs"/>
          <w:rtl/>
          <w:lang w:bidi="ar-EG"/>
        </w:rPr>
        <w:t xml:space="preserve">. فيمكن تمديد المهل المقررة في اللائحة التنفيذية، في حالة حدوث اضطراب عام بسبب حالة من حالات القوة القاهرة على النحو المبيَّن في الفقرة (أ) من القاعدة </w:t>
      </w:r>
      <w:r w:rsidRPr="00312C2A">
        <w:rPr>
          <w:rFonts w:hint="cs"/>
          <w:lang w:bidi="ar-EG"/>
        </w:rPr>
        <w:t>82</w:t>
      </w:r>
      <w:r w:rsidRPr="00312C2A">
        <w:rPr>
          <w:rFonts w:hint="cs"/>
          <w:vertAlign w:val="superscript"/>
          <w:rtl/>
          <w:lang w:bidi="ar-EG"/>
        </w:rPr>
        <w:t>(رابعا)</w:t>
      </w:r>
      <w:r w:rsidRPr="00312C2A">
        <w:rPr>
          <w:rFonts w:hint="cs"/>
          <w:lang w:bidi="ar-EG"/>
        </w:rPr>
        <w:t>1</w:t>
      </w:r>
      <w:r w:rsidRPr="00312C2A">
        <w:rPr>
          <w:rFonts w:hint="cs"/>
          <w:rtl/>
          <w:lang w:bidi="ar-EG"/>
        </w:rPr>
        <w:t xml:space="preserve">، إلى اليوم التالي لانتهاء فترة الاضطراب. ويعني ذلك أن القاعدة </w:t>
      </w:r>
      <w:r w:rsidRPr="00312C2A">
        <w:rPr>
          <w:rFonts w:hint="cs"/>
          <w:lang w:bidi="ar-EG"/>
        </w:rPr>
        <w:t>82</w:t>
      </w:r>
      <w:r w:rsidRPr="00312C2A">
        <w:rPr>
          <w:rFonts w:hint="cs"/>
          <w:vertAlign w:val="superscript"/>
          <w:rtl/>
          <w:lang w:bidi="ar-EG"/>
        </w:rPr>
        <w:t>(رابعا)</w:t>
      </w:r>
      <w:r w:rsidRPr="00312C2A">
        <w:rPr>
          <w:rFonts w:hint="cs"/>
          <w:lang w:bidi="ar-EG"/>
        </w:rPr>
        <w:t>3</w:t>
      </w:r>
      <w:r w:rsidRPr="00312C2A">
        <w:rPr>
          <w:rFonts w:hint="cs"/>
          <w:rtl/>
          <w:lang w:bidi="ar-EG"/>
        </w:rPr>
        <w:t xml:space="preserve"> لن تنشئ مجموعة منفصلة من الشروط وإنما ستشير مباشرةً إلى حالات القوة القاهرة المنصوص عليها في القاعدة </w:t>
      </w:r>
      <w:r w:rsidRPr="00312C2A">
        <w:rPr>
          <w:rFonts w:hint="cs"/>
          <w:lang w:bidi="ar-EG"/>
        </w:rPr>
        <w:t>82</w:t>
      </w:r>
      <w:r w:rsidRPr="00312C2A">
        <w:rPr>
          <w:rFonts w:hint="cs"/>
          <w:vertAlign w:val="superscript"/>
          <w:rtl/>
          <w:lang w:bidi="ar-EG"/>
        </w:rPr>
        <w:t>(رابعا)</w:t>
      </w:r>
      <w:r w:rsidRPr="00312C2A">
        <w:rPr>
          <w:rFonts w:hint="cs"/>
          <w:lang w:bidi="ar-EG"/>
        </w:rPr>
        <w:t>1</w:t>
      </w:r>
      <w:r w:rsidRPr="00312C2A">
        <w:rPr>
          <w:rFonts w:hint="cs"/>
          <w:rtl/>
          <w:lang w:bidi="ar-EG"/>
        </w:rPr>
        <w:t xml:space="preserve"> والتي يجوز أن يطلب المودع بموجبها عُذر تأخره في مراعاة المهل المقررة.</w:t>
      </w:r>
    </w:p>
    <w:p w14:paraId="34903450" w14:textId="77777777" w:rsidR="00312C2A" w:rsidRPr="00312C2A" w:rsidRDefault="00312C2A" w:rsidP="00312C2A">
      <w:pPr>
        <w:pStyle w:val="ONUMA"/>
        <w:rPr>
          <w:sz w:val="22"/>
          <w:rtl/>
          <w:lang w:bidi="ar-EG"/>
        </w:rPr>
      </w:pPr>
      <w:r w:rsidRPr="00312C2A">
        <w:rPr>
          <w:rFonts w:hint="cs"/>
          <w:rtl/>
          <w:lang w:bidi="ar-EG"/>
        </w:rPr>
        <w:t>وطبقاً للقاعدة المقترحة، سيتسنى تمديد المهل المقررة للمرحلة الدولية ولا سيما عندما ينص القانون الوطني المعمول به أو تنص المعاهدة التي تنظِّم إيداع الطلبات الإقليمية أو منح البراءات الإقليمية لدى المكتب أو الإدارة المعنية على تمديد مماثل للمهل المتعلقة بالطلبات الوطنية أو الإقليمية.</w:t>
      </w:r>
    </w:p>
    <w:p w14:paraId="1B33B7C2" w14:textId="77777777" w:rsidR="00312C2A" w:rsidRPr="00312C2A" w:rsidRDefault="00312C2A" w:rsidP="00312C2A">
      <w:pPr>
        <w:pStyle w:val="ONUMA"/>
        <w:rPr>
          <w:sz w:val="22"/>
          <w:rtl/>
          <w:lang w:bidi="ar-EG"/>
        </w:rPr>
      </w:pPr>
      <w:r w:rsidRPr="00312C2A">
        <w:rPr>
          <w:rFonts w:hint="cs"/>
          <w:rtl/>
          <w:lang w:bidi="ar-EG"/>
        </w:rPr>
        <w:t xml:space="preserve">وينبغي أن يذكر الإخطار الموجَّه بموجب القاعدة </w:t>
      </w:r>
      <w:r w:rsidRPr="00312C2A">
        <w:rPr>
          <w:rFonts w:hint="cs"/>
          <w:lang w:bidi="ar-EG"/>
        </w:rPr>
        <w:t>82</w:t>
      </w:r>
      <w:r w:rsidRPr="00312C2A">
        <w:rPr>
          <w:rFonts w:hint="cs"/>
          <w:vertAlign w:val="superscript"/>
          <w:rtl/>
          <w:lang w:bidi="ar-EG"/>
        </w:rPr>
        <w:t>(رابعا)</w:t>
      </w:r>
      <w:r w:rsidRPr="00312C2A">
        <w:rPr>
          <w:rFonts w:hint="cs"/>
          <w:lang w:bidi="ar-EG"/>
        </w:rPr>
        <w:t>3</w:t>
      </w:r>
      <w:r w:rsidRPr="00312C2A">
        <w:rPr>
          <w:rFonts w:hint="cs"/>
          <w:rtl/>
          <w:lang w:bidi="ar-EG"/>
        </w:rPr>
        <w:t xml:space="preserve"> إلى الفترة المتوقعة لتطبيق التمديد، إذ ينبغي أن يكون هذا التمديد محدداً زمنياً. ويُقترح أن تكون الفترة القصوى شهرين لأنها الفترة المستخدمة عادةً في إطار معاهدة البراءات (في رد حقوق الأولوية أو التضمين بالإحالة مثلاً). ومتى كان الاضطراب العام مستمراً في تاريخ انقضاء فترة التمديد، جاز للمكتب المعني تجديد إخطاره إلى المكتب الدولي لفترة أخرى مدتها شهران (كحد أقصى). ويمكن تجديد </w:t>
      </w:r>
      <w:r w:rsidRPr="00312C2A">
        <w:rPr>
          <w:rFonts w:hint="cs"/>
          <w:rtl/>
          <w:lang w:bidi="ar-EG"/>
        </w:rPr>
        <w:lastRenderedPageBreak/>
        <w:t xml:space="preserve">الإخطار حتى نهاية الاضطراب العام. وينبغي أن توفر المبادئ التوجيهية لمكتب تسلّم الطلبات وغيرها من مصادر المعلومات الوجيهة مزيداً من الإرشادات فيما يتعلق بتنفيذ تلك القاعدة في المكاتب والإدارات. وعلى غرار الآلية التي أُدخلت في القاعدة </w:t>
      </w:r>
      <w:r w:rsidRPr="00312C2A">
        <w:rPr>
          <w:rFonts w:hint="cs"/>
          <w:lang w:bidi="ar-EG"/>
        </w:rPr>
        <w:t>82</w:t>
      </w:r>
      <w:r w:rsidRPr="00312C2A">
        <w:rPr>
          <w:rFonts w:hint="cs"/>
          <w:vertAlign w:val="superscript"/>
          <w:rtl/>
          <w:lang w:bidi="ar-EG"/>
        </w:rPr>
        <w:t>(رابعا)</w:t>
      </w:r>
      <w:r w:rsidRPr="00312C2A">
        <w:rPr>
          <w:rFonts w:hint="cs"/>
          <w:lang w:bidi="ar-EG"/>
        </w:rPr>
        <w:t>2</w:t>
      </w:r>
      <w:r w:rsidRPr="00312C2A">
        <w:rPr>
          <w:rFonts w:hint="cs"/>
          <w:rtl/>
          <w:lang w:bidi="ar-EG"/>
        </w:rPr>
        <w:t>، سيكفل توجيه المكتب المعني إخطاراً إلى المكتب الدولي بشأن التعرض لاضطراب عام، مع تحديد مدته بدقة، الشفافية التامة للمودعين والمكاتب المعيَّنة والمختارة.</w:t>
      </w:r>
    </w:p>
    <w:p w14:paraId="2A1D4706" w14:textId="77777777" w:rsidR="00312C2A" w:rsidRPr="00312C2A" w:rsidRDefault="00312C2A" w:rsidP="00312C2A">
      <w:pPr>
        <w:pStyle w:val="ONUMA"/>
        <w:rPr>
          <w:sz w:val="22"/>
          <w:rtl/>
          <w:lang w:bidi="ar-EG"/>
        </w:rPr>
      </w:pPr>
      <w:r w:rsidRPr="00312C2A">
        <w:rPr>
          <w:rFonts w:hint="cs"/>
          <w:rtl/>
          <w:lang w:bidi="ar-EG"/>
        </w:rPr>
        <w:t xml:space="preserve">وفضلاً عن ذلك، ستستفيد المكاتب من المرونة التي توفرها الآلية المقترحة إذ يمكن لكل مكتب أن يستعد في الوقت المناسب وبشكل مستقل لتطبيق تمديد عام للمهل (بحسب مقتضيات التقييم المالي والتطورات المعلوماتية والآثار على العمليات وسير العمل). وعلى الرغم من استعمال الفعل "يجوز" في القاعدة </w:t>
      </w:r>
      <w:r w:rsidRPr="00312C2A">
        <w:rPr>
          <w:rFonts w:hint="cs"/>
          <w:lang w:bidi="ar-EG"/>
        </w:rPr>
        <w:t>82</w:t>
      </w:r>
      <w:r w:rsidRPr="00312C2A">
        <w:rPr>
          <w:rFonts w:hint="cs"/>
          <w:vertAlign w:val="superscript"/>
          <w:rtl/>
          <w:lang w:bidi="ar-EG"/>
        </w:rPr>
        <w:t>(رابعا)</w:t>
      </w:r>
      <w:r w:rsidRPr="00312C2A">
        <w:rPr>
          <w:rFonts w:hint="cs"/>
          <w:lang w:bidi="ar-EG"/>
        </w:rPr>
        <w:t>2</w:t>
      </w:r>
      <w:r w:rsidRPr="00312C2A">
        <w:rPr>
          <w:rFonts w:hint="cs"/>
          <w:rtl/>
          <w:lang w:bidi="ar-EG"/>
        </w:rPr>
        <w:t xml:space="preserve">، فإن إدخال هذه القاعدة الجديدة المقترحة سيشكل خطوة مهمة نحو تقارب الممارسات في المكاتب التي تجيز قوانينها الوطنية حالياً تمديد المهل المقررة في تلك الحالات. وفضلاً عن ذلك، يمكن للمودعين أو وكلائهم المقيمين في الدولة نفسها أن يستخدموا الإخطار بموجب القاعدة </w:t>
      </w:r>
      <w:r w:rsidRPr="00312C2A">
        <w:rPr>
          <w:rFonts w:hint="cs"/>
          <w:lang w:bidi="ar-EG"/>
        </w:rPr>
        <w:t>82</w:t>
      </w:r>
      <w:r w:rsidRPr="00312C2A">
        <w:rPr>
          <w:rFonts w:hint="cs"/>
          <w:vertAlign w:val="superscript"/>
          <w:rtl/>
          <w:lang w:bidi="ar-EG"/>
        </w:rPr>
        <w:t>(رابعا)</w:t>
      </w:r>
      <w:r w:rsidRPr="00312C2A">
        <w:rPr>
          <w:rFonts w:hint="cs"/>
          <w:lang w:bidi="ar-EG"/>
        </w:rPr>
        <w:t>3</w:t>
      </w:r>
      <w:r w:rsidRPr="00312C2A">
        <w:rPr>
          <w:rFonts w:hint="cs"/>
          <w:rtl/>
          <w:lang w:bidi="ar-EG"/>
        </w:rPr>
        <w:t xml:space="preserve"> دليلاً في التماس عُذر التأخر بموجب القاعدة </w:t>
      </w:r>
      <w:r w:rsidRPr="00312C2A">
        <w:rPr>
          <w:rFonts w:hint="cs"/>
          <w:lang w:bidi="ar-EG"/>
        </w:rPr>
        <w:t>82</w:t>
      </w:r>
      <w:r w:rsidRPr="00312C2A">
        <w:rPr>
          <w:rFonts w:hint="cs"/>
          <w:vertAlign w:val="superscript"/>
          <w:rtl/>
          <w:lang w:bidi="ar-EG"/>
        </w:rPr>
        <w:t>(رابعا)</w:t>
      </w:r>
      <w:r w:rsidRPr="00312C2A">
        <w:rPr>
          <w:rFonts w:hint="cs"/>
          <w:lang w:bidi="ar-EG"/>
        </w:rPr>
        <w:t>1</w:t>
      </w:r>
      <w:r w:rsidRPr="00312C2A">
        <w:rPr>
          <w:rFonts w:hint="cs"/>
          <w:rtl/>
          <w:lang w:bidi="ar-EG"/>
        </w:rPr>
        <w:t xml:space="preserve"> إذا طلبت مكاتب أخرى ذلك.</w:t>
      </w:r>
    </w:p>
    <w:p w14:paraId="403A77D6" w14:textId="77777777" w:rsidR="00312C2A" w:rsidRPr="00312C2A" w:rsidRDefault="00312C2A" w:rsidP="00312C2A">
      <w:pPr>
        <w:pStyle w:val="ONUMA"/>
        <w:rPr>
          <w:sz w:val="22"/>
          <w:rtl/>
          <w:lang w:bidi="ar-EG"/>
        </w:rPr>
      </w:pPr>
      <w:r w:rsidRPr="00312C2A">
        <w:rPr>
          <w:rFonts w:hint="cs"/>
          <w:rtl/>
          <w:lang w:bidi="ar-EG"/>
        </w:rPr>
        <w:t xml:space="preserve">وخلافاً للقاعدة </w:t>
      </w:r>
      <w:r w:rsidRPr="00312C2A">
        <w:rPr>
          <w:rFonts w:hint="cs"/>
          <w:lang w:bidi="ar-EG"/>
        </w:rPr>
        <w:t>82</w:t>
      </w:r>
      <w:r w:rsidRPr="00312C2A">
        <w:rPr>
          <w:rFonts w:hint="cs"/>
          <w:vertAlign w:val="superscript"/>
          <w:rtl/>
          <w:lang w:bidi="ar-EG"/>
        </w:rPr>
        <w:t>(رابعا)</w:t>
      </w:r>
      <w:r w:rsidRPr="00312C2A">
        <w:rPr>
          <w:rFonts w:hint="cs"/>
          <w:lang w:bidi="ar-EG"/>
        </w:rPr>
        <w:t>1</w:t>
      </w:r>
      <w:r w:rsidRPr="00312C2A">
        <w:rPr>
          <w:rFonts w:hint="cs"/>
          <w:rtl/>
          <w:lang w:bidi="ar-EG"/>
        </w:rPr>
        <w:t xml:space="preserve">، لن يكون المودعون ملزمين بتقديم التماسات أو أدلة طبقاً للقاعدة </w:t>
      </w:r>
      <w:r w:rsidRPr="00312C2A">
        <w:rPr>
          <w:rFonts w:hint="cs"/>
          <w:lang w:bidi="ar-EG"/>
        </w:rPr>
        <w:t>82</w:t>
      </w:r>
      <w:r w:rsidRPr="00312C2A">
        <w:rPr>
          <w:rFonts w:hint="cs"/>
          <w:vertAlign w:val="superscript"/>
          <w:rtl/>
          <w:lang w:bidi="ar-EG"/>
        </w:rPr>
        <w:t>(رابعا)</w:t>
      </w:r>
      <w:r w:rsidRPr="00312C2A">
        <w:rPr>
          <w:rFonts w:hint="cs"/>
          <w:lang w:bidi="ar-EG"/>
        </w:rPr>
        <w:t>3</w:t>
      </w:r>
      <w:r w:rsidRPr="00312C2A">
        <w:rPr>
          <w:rFonts w:hint="cs"/>
          <w:rtl/>
          <w:lang w:bidi="ar-EG"/>
        </w:rPr>
        <w:t xml:space="preserve"> الجديدة المقترحة. وسيحدد المكتب المعني فترة التمديد وينشرها على موقعه الإلكتروني. ويمكن تحديد مزيد من التفاصيل بشأن تنفيذ القاعدة الجديدة المقترحة في وثائق تقنينية ثانوية على غرار </w:t>
      </w:r>
      <w:r w:rsidRPr="00312C2A">
        <w:rPr>
          <w:rFonts w:hint="cs"/>
          <w:rtl/>
          <w:lang w:bidi="ar-EG"/>
        </w:rPr>
        <w:lastRenderedPageBreak/>
        <w:t xml:space="preserve">البند </w:t>
      </w:r>
      <w:r w:rsidRPr="00312C2A">
        <w:rPr>
          <w:rFonts w:hint="cs"/>
          <w:lang w:bidi="ar-EG"/>
        </w:rPr>
        <w:t>111</w:t>
      </w:r>
      <w:r w:rsidRPr="00312C2A">
        <w:rPr>
          <w:rFonts w:hint="cs"/>
          <w:rtl/>
          <w:lang w:bidi="ar-EG"/>
        </w:rPr>
        <w:t xml:space="preserve"> من التعليمات الإدارية لمعاهدة البراءات والفقرتين </w:t>
      </w:r>
      <w:r w:rsidRPr="00312C2A">
        <w:rPr>
          <w:rFonts w:hint="cs"/>
          <w:lang w:bidi="ar-EG"/>
        </w:rPr>
        <w:t>30</w:t>
      </w:r>
      <w:r w:rsidRPr="00312C2A">
        <w:rPr>
          <w:rFonts w:hint="cs"/>
          <w:rtl/>
          <w:lang w:bidi="ar-EG"/>
        </w:rPr>
        <w:t>(ب) و</w:t>
      </w:r>
      <w:r w:rsidRPr="00312C2A">
        <w:rPr>
          <w:rFonts w:hint="cs"/>
          <w:lang w:bidi="ar-EG"/>
        </w:rPr>
        <w:t>30</w:t>
      </w:r>
      <w:r w:rsidRPr="00312C2A">
        <w:rPr>
          <w:rFonts w:hint="cs"/>
          <w:rtl/>
          <w:lang w:bidi="ar-EG"/>
        </w:rPr>
        <w:t xml:space="preserve">(ج) من المبادئ التوجيهية لمكاتب تسلّم الطلبات في حالة القاعدة </w:t>
      </w:r>
      <w:r w:rsidRPr="00312C2A">
        <w:rPr>
          <w:rFonts w:hint="cs"/>
          <w:lang w:bidi="ar-EG"/>
        </w:rPr>
        <w:t>82</w:t>
      </w:r>
      <w:r w:rsidRPr="00312C2A">
        <w:rPr>
          <w:rFonts w:hint="cs"/>
          <w:vertAlign w:val="superscript"/>
          <w:rtl/>
          <w:lang w:bidi="ar-EG"/>
        </w:rPr>
        <w:t>(رابعا)</w:t>
      </w:r>
      <w:r w:rsidRPr="00312C2A">
        <w:rPr>
          <w:rFonts w:hint="cs"/>
          <w:lang w:bidi="ar-EG"/>
        </w:rPr>
        <w:t>2</w:t>
      </w:r>
      <w:r w:rsidRPr="00312C2A">
        <w:rPr>
          <w:rFonts w:hint="cs"/>
          <w:rtl/>
          <w:lang w:bidi="ar-EG"/>
        </w:rPr>
        <w:t>.</w:t>
      </w:r>
    </w:p>
    <w:p w14:paraId="1E143199" w14:textId="77777777" w:rsidR="00312C2A" w:rsidRPr="00312C2A" w:rsidRDefault="00312C2A" w:rsidP="00312C2A">
      <w:pPr>
        <w:pStyle w:val="ONUMA"/>
        <w:rPr>
          <w:sz w:val="22"/>
          <w:rtl/>
          <w:lang w:bidi="ar-EG"/>
        </w:rPr>
      </w:pPr>
      <w:r w:rsidRPr="00312C2A">
        <w:rPr>
          <w:rFonts w:hint="cs"/>
          <w:rtl/>
          <w:lang w:bidi="ar-EG"/>
        </w:rPr>
        <w:t xml:space="preserve">وفضلاً عن ذلك، يقترح المكتب الأوروبي للبراءات تعديل القاعدة </w:t>
      </w:r>
      <w:r w:rsidRPr="00312C2A">
        <w:rPr>
          <w:rFonts w:hint="cs"/>
          <w:lang w:bidi="ar-EG"/>
        </w:rPr>
        <w:t>82</w:t>
      </w:r>
      <w:r w:rsidRPr="00312C2A">
        <w:rPr>
          <w:rFonts w:hint="cs"/>
          <w:vertAlign w:val="superscript"/>
          <w:rtl/>
          <w:lang w:bidi="ar-EG"/>
        </w:rPr>
        <w:t>(رابعا)</w:t>
      </w:r>
      <w:r w:rsidRPr="00312C2A">
        <w:rPr>
          <w:rFonts w:hint="cs"/>
          <w:lang w:bidi="ar-EG"/>
        </w:rPr>
        <w:t>1</w:t>
      </w:r>
      <w:r w:rsidRPr="00312C2A">
        <w:rPr>
          <w:rFonts w:hint="cs"/>
          <w:rtl/>
          <w:lang w:bidi="ar-EG"/>
        </w:rPr>
        <w:t xml:space="preserve"> بتوضيح قائمة حالات القوة القاهرة. إذ ينبغي أن يكون كل وباء معلن سبباً لالتماس عُذر التأخر في مراعاة المهل المقررة، وينبغي أن يُحدَّد ذلك صراحةً في القاعدة </w:t>
      </w:r>
      <w:r w:rsidRPr="00312C2A">
        <w:rPr>
          <w:rFonts w:hint="cs"/>
          <w:lang w:bidi="ar-EG"/>
        </w:rPr>
        <w:t>82</w:t>
      </w:r>
      <w:r w:rsidRPr="00312C2A">
        <w:rPr>
          <w:rFonts w:hint="cs"/>
          <w:vertAlign w:val="superscript"/>
          <w:rtl/>
          <w:lang w:bidi="ar-EG"/>
        </w:rPr>
        <w:t>(رابعا)</w:t>
      </w:r>
      <w:r w:rsidRPr="00312C2A">
        <w:rPr>
          <w:rFonts w:hint="cs"/>
          <w:lang w:bidi="ar-EG"/>
        </w:rPr>
        <w:t>1</w:t>
      </w:r>
      <w:r w:rsidRPr="00312C2A">
        <w:rPr>
          <w:rFonts w:hint="cs"/>
          <w:rtl/>
          <w:lang w:bidi="ar-EG"/>
        </w:rPr>
        <w:t xml:space="preserve"> على الرغم من أن قائمة حالات القوة القاهرة غير حصرية. ولذلك يُقترح إدراج هذا المفهوم في القاعدة </w:t>
      </w:r>
      <w:r w:rsidRPr="00312C2A">
        <w:rPr>
          <w:rFonts w:hint="cs"/>
          <w:lang w:bidi="ar-EG"/>
        </w:rPr>
        <w:t>82</w:t>
      </w:r>
      <w:r w:rsidRPr="00312C2A">
        <w:rPr>
          <w:rFonts w:hint="cs"/>
          <w:vertAlign w:val="superscript"/>
          <w:rtl/>
          <w:lang w:bidi="ar-EG"/>
        </w:rPr>
        <w:t>(رابعا)</w:t>
      </w:r>
      <w:r w:rsidRPr="00312C2A">
        <w:rPr>
          <w:rFonts w:hint="cs"/>
          <w:lang w:bidi="ar-EG"/>
        </w:rPr>
        <w:t>1</w:t>
      </w:r>
      <w:r w:rsidRPr="00312C2A">
        <w:rPr>
          <w:rFonts w:hint="cs"/>
          <w:rtl/>
          <w:lang w:bidi="ar-EG"/>
        </w:rPr>
        <w:t>. ووفقاً لمنظمة الصحة العالمية، فإن الوباء هو "حدوث حالات أكثر من المتوقع من الإصابة بمرض ما أو سلوكيات صحية محددة أو أحداث صحية أخرى في مجتمع محدد أو منطقة محددة [...]".</w:t>
      </w:r>
    </w:p>
    <w:p w14:paraId="07BF80CB" w14:textId="77777777" w:rsidR="00312C2A" w:rsidRPr="00312C2A" w:rsidRDefault="00312C2A" w:rsidP="00312C2A">
      <w:pPr>
        <w:pStyle w:val="ONUMA"/>
        <w:rPr>
          <w:sz w:val="22"/>
          <w:rtl/>
          <w:lang w:bidi="ar-EG"/>
        </w:rPr>
      </w:pPr>
      <w:r w:rsidRPr="00312C2A">
        <w:rPr>
          <w:rFonts w:hint="cs"/>
          <w:rtl/>
          <w:lang w:bidi="ar-EG"/>
        </w:rPr>
        <w:t xml:space="preserve">وأخيراً، ينبغي تعديل القاعدة </w:t>
      </w:r>
      <w:r w:rsidRPr="00312C2A">
        <w:rPr>
          <w:rFonts w:hint="cs"/>
          <w:lang w:bidi="ar-EG"/>
        </w:rPr>
        <w:t>82</w:t>
      </w:r>
      <w:r w:rsidRPr="00312C2A">
        <w:rPr>
          <w:rFonts w:hint="cs"/>
          <w:vertAlign w:val="superscript"/>
          <w:rtl/>
          <w:lang w:bidi="ar-EG"/>
        </w:rPr>
        <w:t>(رابعا)</w:t>
      </w:r>
      <w:r w:rsidRPr="00312C2A">
        <w:rPr>
          <w:rFonts w:hint="cs"/>
          <w:lang w:bidi="ar-EG"/>
        </w:rPr>
        <w:t>1</w:t>
      </w:r>
      <w:r w:rsidRPr="00312C2A">
        <w:rPr>
          <w:rFonts w:hint="cs"/>
          <w:rtl/>
          <w:lang w:bidi="ar-EG"/>
        </w:rPr>
        <w:t xml:space="preserve"> لمراعاة ما جاء في البيان التفسيري الذي أصدره المكتب الدولي في </w:t>
      </w:r>
      <w:r w:rsidRPr="00312C2A">
        <w:rPr>
          <w:rFonts w:hint="cs"/>
          <w:lang w:bidi="ar-EG"/>
        </w:rPr>
        <w:t>9</w:t>
      </w:r>
      <w:r w:rsidRPr="00312C2A">
        <w:rPr>
          <w:rFonts w:hint="cs"/>
          <w:rtl/>
          <w:lang w:bidi="ar-EG"/>
        </w:rPr>
        <w:t xml:space="preserve"> أبريل </w:t>
      </w:r>
      <w:r w:rsidRPr="00312C2A">
        <w:rPr>
          <w:rFonts w:hint="cs"/>
          <w:lang w:bidi="ar-EG"/>
        </w:rPr>
        <w:t>2020</w:t>
      </w:r>
      <w:r w:rsidRPr="00312C2A">
        <w:rPr>
          <w:rFonts w:hint="cs"/>
          <w:rtl/>
          <w:lang w:bidi="ar-EG"/>
        </w:rPr>
        <w:t xml:space="preserve"> بإدراج فقرة (د) جديدة تتيح للمكاتب إمكانية إسقاط شرط الإثبات وإخطار المكتب الدولي بذلك.</w:t>
      </w:r>
    </w:p>
    <w:p w14:paraId="58BCA6CA" w14:textId="77777777" w:rsidR="00312C2A" w:rsidRPr="00312C2A" w:rsidRDefault="00312C2A" w:rsidP="00312C2A">
      <w:pPr>
        <w:pStyle w:val="ONUMA"/>
        <w:rPr>
          <w:sz w:val="22"/>
          <w:rtl/>
          <w:lang w:bidi="ar-EG"/>
        </w:rPr>
      </w:pPr>
      <w:r w:rsidRPr="00312C2A">
        <w:rPr>
          <w:rFonts w:hint="cs"/>
          <w:rtl/>
          <w:lang w:bidi="ar-EG"/>
        </w:rPr>
        <w:t xml:space="preserve">وتختلف الصيغة المقترحة للقاعدة </w:t>
      </w:r>
      <w:r w:rsidRPr="00312C2A">
        <w:rPr>
          <w:rFonts w:hint="cs"/>
          <w:lang w:bidi="ar-EG"/>
        </w:rPr>
        <w:t>82</w:t>
      </w:r>
      <w:r w:rsidRPr="00312C2A">
        <w:rPr>
          <w:rFonts w:hint="cs"/>
          <w:vertAlign w:val="superscript"/>
          <w:rtl/>
          <w:lang w:bidi="ar-EG"/>
        </w:rPr>
        <w:t>(رابعا)</w:t>
      </w:r>
      <w:r w:rsidRPr="00312C2A">
        <w:rPr>
          <w:rFonts w:hint="cs"/>
          <w:lang w:bidi="ar-EG"/>
        </w:rPr>
        <w:t>3</w:t>
      </w:r>
      <w:r w:rsidRPr="00312C2A">
        <w:rPr>
          <w:rFonts w:hint="cs"/>
          <w:rtl/>
          <w:lang w:bidi="ar-EG"/>
        </w:rPr>
        <w:t xml:space="preserve">(ب) قليلاً عن الصيغة الحالية للقاعدتين </w:t>
      </w:r>
      <w:r w:rsidRPr="00312C2A">
        <w:rPr>
          <w:rFonts w:hint="cs"/>
          <w:lang w:bidi="ar-EG"/>
        </w:rPr>
        <w:t>82</w:t>
      </w:r>
      <w:r w:rsidRPr="00312C2A">
        <w:rPr>
          <w:rFonts w:hint="cs"/>
          <w:vertAlign w:val="superscript"/>
          <w:rtl/>
          <w:lang w:bidi="ar-EG"/>
        </w:rPr>
        <w:t>(رابعا)</w:t>
      </w:r>
      <w:r w:rsidRPr="00312C2A">
        <w:rPr>
          <w:rFonts w:hint="cs"/>
          <w:lang w:bidi="ar-EG"/>
        </w:rPr>
        <w:t>1</w:t>
      </w:r>
      <w:r w:rsidRPr="00312C2A">
        <w:rPr>
          <w:rFonts w:hint="cs"/>
          <w:rtl/>
          <w:lang w:bidi="ar-EG"/>
        </w:rPr>
        <w:t>(ج) و</w:t>
      </w:r>
      <w:r w:rsidRPr="00312C2A">
        <w:rPr>
          <w:rFonts w:hint="cs"/>
          <w:lang w:bidi="ar-EG"/>
        </w:rPr>
        <w:t>82</w:t>
      </w:r>
      <w:r w:rsidRPr="00312C2A">
        <w:rPr>
          <w:rFonts w:hint="cs"/>
          <w:vertAlign w:val="superscript"/>
          <w:rtl/>
          <w:lang w:bidi="ar-EG"/>
        </w:rPr>
        <w:t>(رابعا)</w:t>
      </w:r>
      <w:r w:rsidRPr="00312C2A">
        <w:rPr>
          <w:rFonts w:hint="cs"/>
          <w:lang w:bidi="ar-EG"/>
        </w:rPr>
        <w:t>2</w:t>
      </w:r>
      <w:r w:rsidRPr="00312C2A">
        <w:rPr>
          <w:rFonts w:hint="cs"/>
          <w:rtl/>
          <w:lang w:bidi="ar-EG"/>
        </w:rPr>
        <w:t xml:space="preserve">(ب). والهدف هو توضيح أنه لا ينبغي أن تتعرض المكاتب المعيَّنة أو المنتخبة لاضطرابات في الحالات التي بدأت فيها المعالجة الوطنية دون أن ينفِّذ المودع كل الإجراءات المنصوص عليها في المادة </w:t>
      </w:r>
      <w:r w:rsidRPr="00312C2A">
        <w:rPr>
          <w:rFonts w:hint="cs"/>
          <w:lang w:bidi="ar-EG"/>
        </w:rPr>
        <w:t>22</w:t>
      </w:r>
      <w:r w:rsidRPr="00312C2A">
        <w:rPr>
          <w:rFonts w:hint="cs"/>
          <w:rtl/>
          <w:lang w:bidi="ar-EG"/>
        </w:rPr>
        <w:t xml:space="preserve"> أو </w:t>
      </w:r>
      <w:r w:rsidRPr="00312C2A">
        <w:rPr>
          <w:rFonts w:hint="cs"/>
          <w:lang w:bidi="ar-EG"/>
        </w:rPr>
        <w:t>39</w:t>
      </w:r>
      <w:r w:rsidRPr="00312C2A">
        <w:rPr>
          <w:rFonts w:hint="cs"/>
          <w:rtl/>
          <w:lang w:bidi="ar-EG"/>
        </w:rPr>
        <w:t xml:space="preserve">. وإذا حظي هذا الاقتراح بالتأييد، فينبغي النظر في إدخال التعديلات اللازمة في القاعدتين </w:t>
      </w:r>
      <w:r w:rsidRPr="00312C2A">
        <w:rPr>
          <w:rFonts w:hint="cs"/>
          <w:lang w:bidi="ar-EG"/>
        </w:rPr>
        <w:t>82</w:t>
      </w:r>
      <w:r w:rsidRPr="00312C2A">
        <w:rPr>
          <w:rFonts w:hint="cs"/>
          <w:vertAlign w:val="superscript"/>
          <w:rtl/>
          <w:lang w:bidi="ar-EG"/>
        </w:rPr>
        <w:t>(رابعا)</w:t>
      </w:r>
      <w:r w:rsidRPr="00312C2A">
        <w:rPr>
          <w:rFonts w:hint="cs"/>
          <w:lang w:bidi="ar-EG"/>
        </w:rPr>
        <w:t>1</w:t>
      </w:r>
      <w:r w:rsidRPr="00312C2A">
        <w:rPr>
          <w:rFonts w:hint="cs"/>
          <w:rtl/>
          <w:lang w:bidi="ar-EG"/>
        </w:rPr>
        <w:t>(ج) و</w:t>
      </w:r>
      <w:r w:rsidRPr="00312C2A">
        <w:rPr>
          <w:rFonts w:hint="cs"/>
          <w:lang w:bidi="ar-EG"/>
        </w:rPr>
        <w:t>82</w:t>
      </w:r>
      <w:r w:rsidRPr="00312C2A">
        <w:rPr>
          <w:rFonts w:hint="cs"/>
          <w:vertAlign w:val="superscript"/>
          <w:rtl/>
          <w:lang w:bidi="ar-EG"/>
        </w:rPr>
        <w:t>(رابعا)</w:t>
      </w:r>
      <w:r w:rsidRPr="00312C2A">
        <w:rPr>
          <w:rFonts w:hint="cs"/>
          <w:lang w:bidi="ar-EG"/>
        </w:rPr>
        <w:t>2</w:t>
      </w:r>
      <w:r w:rsidRPr="00312C2A">
        <w:rPr>
          <w:rFonts w:hint="cs"/>
          <w:rtl/>
          <w:lang w:bidi="ar-EG"/>
        </w:rPr>
        <w:t>(ب) توخياً للاتساق.</w:t>
      </w:r>
    </w:p>
    <w:p w14:paraId="58577251" w14:textId="77777777" w:rsidR="00312C2A" w:rsidRPr="00312C2A" w:rsidRDefault="00312C2A" w:rsidP="00312C2A">
      <w:pPr>
        <w:pStyle w:val="Heading3"/>
        <w:rPr>
          <w:rFonts w:eastAsia="SimSun"/>
          <w:rtl/>
          <w:lang w:eastAsia="zh-CN" w:bidi="ar-EG"/>
        </w:rPr>
      </w:pPr>
      <w:r w:rsidRPr="00312C2A">
        <w:rPr>
          <w:rFonts w:eastAsia="SimSun" w:hint="cs"/>
          <w:rtl/>
          <w:lang w:eastAsia="zh-CN" w:bidi="ar-EG"/>
        </w:rPr>
        <w:lastRenderedPageBreak/>
        <w:t>الفهم المقترح لجمعية معاهدة البراءات</w:t>
      </w:r>
    </w:p>
    <w:p w14:paraId="2DC96C96" w14:textId="77777777" w:rsidR="00312C2A" w:rsidRPr="00312C2A" w:rsidRDefault="00312C2A" w:rsidP="00312C2A">
      <w:pPr>
        <w:pStyle w:val="ONUMA"/>
        <w:rPr>
          <w:sz w:val="22"/>
          <w:rtl/>
          <w:lang w:bidi="ar-EG"/>
        </w:rPr>
      </w:pPr>
      <w:r w:rsidRPr="00312C2A">
        <w:rPr>
          <w:rFonts w:hint="cs"/>
          <w:rtl/>
          <w:lang w:bidi="ar-EG"/>
        </w:rPr>
        <w:t xml:space="preserve">يُقترح أيضاً أن تعتمد جمعية معاهدة البراءات فهماً بشأن تمديد المهلل المقررة بسبب حدوث اضطراب عام في الدولة التي يقع فيها المكتب أو المنظمة. ومن شأن هذا الفهم أن يغطي الإطار الزمني الذي يسبق دخول القاعدة </w:t>
      </w:r>
      <w:r w:rsidRPr="00312C2A">
        <w:rPr>
          <w:rFonts w:hint="cs"/>
          <w:lang w:bidi="ar-EG"/>
        </w:rPr>
        <w:t>82</w:t>
      </w:r>
      <w:r w:rsidRPr="00312C2A">
        <w:rPr>
          <w:rFonts w:hint="cs"/>
          <w:vertAlign w:val="superscript"/>
          <w:rtl/>
          <w:lang w:bidi="ar-EG"/>
        </w:rPr>
        <w:t>(رابعا)</w:t>
      </w:r>
      <w:r w:rsidRPr="00312C2A">
        <w:rPr>
          <w:rFonts w:hint="cs"/>
          <w:lang w:bidi="ar-EG"/>
        </w:rPr>
        <w:t>3</w:t>
      </w:r>
      <w:r w:rsidRPr="00312C2A">
        <w:rPr>
          <w:rFonts w:hint="cs"/>
          <w:rtl/>
          <w:lang w:bidi="ar-EG"/>
        </w:rPr>
        <w:t xml:space="preserve"> حيز النفاذ، وأن يوفر اليقين القانوني وإمكانية التنبؤ للمودعين الذين قررت المكاتب تمديد المهل المفروضة عليهم بموجب معاهدة البراءات تطبيقاً لقانون وطني أو إقليمي أكثر ملاءمة. وسيوفر توجيهات واضحة ويكفل الشفافية للمكاتب المعينة التي قد تتعامل مع هذه الحالات في وقت لاحق من إجراءات المرحلة الوطنية.</w:t>
      </w:r>
    </w:p>
    <w:p w14:paraId="23578432" w14:textId="77777777" w:rsidR="00312C2A" w:rsidRPr="00312C2A" w:rsidRDefault="00312C2A" w:rsidP="00312C2A">
      <w:pPr>
        <w:pStyle w:val="ONUMA"/>
        <w:keepNext/>
        <w:rPr>
          <w:sz w:val="22"/>
          <w:rtl/>
          <w:lang w:bidi="ar-EG"/>
        </w:rPr>
      </w:pPr>
      <w:r w:rsidRPr="00312C2A">
        <w:rPr>
          <w:rFonts w:hint="cs"/>
          <w:rtl/>
          <w:lang w:bidi="ar-EG"/>
        </w:rPr>
        <w:t>وفيما يلي مشروع نص لهذا الفهم:</w:t>
      </w:r>
    </w:p>
    <w:p w14:paraId="6F773380" w14:textId="77777777" w:rsidR="00312C2A" w:rsidRPr="00312C2A" w:rsidRDefault="00312C2A" w:rsidP="006B47C1">
      <w:pPr>
        <w:pStyle w:val="BodyTextFirstIndent"/>
        <w:keepNext/>
        <w:rPr>
          <w:rFonts w:eastAsia="SimSun"/>
          <w:rtl/>
          <w:lang w:eastAsia="zh-CN"/>
        </w:rPr>
      </w:pPr>
      <w:r w:rsidRPr="00312C2A">
        <w:rPr>
          <w:rFonts w:eastAsia="SimSun" w:hint="cs"/>
          <w:rtl/>
          <w:lang w:eastAsia="zh-CN"/>
        </w:rPr>
        <w:t>"فهم جمعية معاهدة البراءات</w:t>
      </w:r>
    </w:p>
    <w:p w14:paraId="4AFF9E53" w14:textId="5D8356D2" w:rsidR="00312C2A" w:rsidRPr="00312C2A" w:rsidRDefault="00312C2A" w:rsidP="006B47C1">
      <w:pPr>
        <w:pStyle w:val="BodyTextFirstIndent"/>
        <w:rPr>
          <w:rFonts w:eastAsia="SimSun"/>
          <w:rtl/>
          <w:lang w:eastAsia="zh-CN"/>
        </w:rPr>
      </w:pPr>
      <w:r w:rsidRPr="00312C2A">
        <w:rPr>
          <w:rFonts w:eastAsia="SimSun" w:hint="cs"/>
          <w:rtl/>
          <w:lang w:eastAsia="zh-CN"/>
        </w:rPr>
        <w:t xml:space="preserve">اتفقت جمعية معاهدة البراءات، عند اعتماد القاعدة </w:t>
      </w:r>
      <w:r w:rsidRPr="00312C2A">
        <w:rPr>
          <w:rFonts w:eastAsia="SimSun" w:hint="cs"/>
          <w:lang w:eastAsia="zh-CN"/>
        </w:rPr>
        <w:t>82</w:t>
      </w:r>
      <w:r w:rsidRPr="00312C2A">
        <w:rPr>
          <w:rFonts w:eastAsia="SimSun" w:hint="cs"/>
          <w:vertAlign w:val="superscript"/>
          <w:rtl/>
          <w:lang w:eastAsia="zh-CN"/>
        </w:rPr>
        <w:t>(رابعا)</w:t>
      </w:r>
      <w:r w:rsidRPr="00312C2A">
        <w:rPr>
          <w:rFonts w:eastAsia="SimSun" w:hint="cs"/>
          <w:lang w:eastAsia="zh-CN"/>
        </w:rPr>
        <w:t>1</w:t>
      </w:r>
      <w:r w:rsidRPr="00312C2A">
        <w:rPr>
          <w:rFonts w:eastAsia="SimSun" w:hint="cs"/>
          <w:rtl/>
          <w:lang w:eastAsia="zh-CN"/>
        </w:rPr>
        <w:t xml:space="preserve"> المعدَّلة والقاعدة </w:t>
      </w:r>
      <w:r w:rsidRPr="00312C2A">
        <w:rPr>
          <w:rFonts w:eastAsia="SimSun" w:hint="cs"/>
          <w:lang w:eastAsia="zh-CN"/>
        </w:rPr>
        <w:t>82</w:t>
      </w:r>
      <w:r w:rsidRPr="00312C2A">
        <w:rPr>
          <w:rFonts w:eastAsia="SimSun" w:hint="cs"/>
          <w:vertAlign w:val="superscript"/>
          <w:rtl/>
          <w:lang w:eastAsia="zh-CN"/>
        </w:rPr>
        <w:t>(رابعا)</w:t>
      </w:r>
      <w:r w:rsidRPr="00312C2A">
        <w:rPr>
          <w:rFonts w:eastAsia="SimSun" w:hint="cs"/>
          <w:lang w:eastAsia="zh-CN"/>
        </w:rPr>
        <w:t>3</w:t>
      </w:r>
      <w:r w:rsidRPr="00312C2A">
        <w:rPr>
          <w:rFonts w:eastAsia="SimSun" w:hint="cs"/>
          <w:rtl/>
          <w:lang w:eastAsia="zh-CN"/>
        </w:rPr>
        <w:t xml:space="preserve"> الجديدة المقترحة، على أن معاهدة البراءات لم تتضمن قبل دخول القاعدة </w:t>
      </w:r>
      <w:r w:rsidRPr="00312C2A">
        <w:rPr>
          <w:rFonts w:eastAsia="SimSun" w:hint="cs"/>
          <w:lang w:eastAsia="zh-CN"/>
        </w:rPr>
        <w:t>82</w:t>
      </w:r>
      <w:r w:rsidRPr="00312C2A">
        <w:rPr>
          <w:rFonts w:eastAsia="SimSun" w:hint="cs"/>
          <w:vertAlign w:val="superscript"/>
          <w:rtl/>
          <w:lang w:eastAsia="zh-CN"/>
        </w:rPr>
        <w:t>(رابعا)</w:t>
      </w:r>
      <w:r w:rsidRPr="00312C2A">
        <w:rPr>
          <w:rFonts w:eastAsia="SimSun" w:hint="cs"/>
          <w:lang w:eastAsia="zh-CN"/>
        </w:rPr>
        <w:t>1</w:t>
      </w:r>
      <w:r w:rsidRPr="00312C2A">
        <w:rPr>
          <w:rFonts w:eastAsia="SimSun" w:hint="cs"/>
          <w:rtl/>
          <w:lang w:eastAsia="zh-CN"/>
        </w:rPr>
        <w:t xml:space="preserve"> المعدَّلة والقاعدة </w:t>
      </w:r>
      <w:r w:rsidRPr="00312C2A">
        <w:rPr>
          <w:rFonts w:eastAsia="SimSun" w:hint="cs"/>
          <w:lang w:eastAsia="zh-CN"/>
        </w:rPr>
        <w:t>82</w:t>
      </w:r>
      <w:r w:rsidRPr="00312C2A">
        <w:rPr>
          <w:rFonts w:eastAsia="SimSun" w:hint="cs"/>
          <w:vertAlign w:val="superscript"/>
          <w:rtl/>
          <w:lang w:eastAsia="zh-CN"/>
        </w:rPr>
        <w:t>(رابعا)</w:t>
      </w:r>
      <w:r w:rsidRPr="00312C2A">
        <w:rPr>
          <w:rFonts w:eastAsia="SimSun" w:hint="cs"/>
          <w:lang w:eastAsia="zh-CN"/>
        </w:rPr>
        <w:t>3</w:t>
      </w:r>
      <w:r w:rsidRPr="00312C2A">
        <w:rPr>
          <w:rFonts w:eastAsia="SimSun" w:hint="cs"/>
          <w:rtl/>
          <w:lang w:eastAsia="zh-CN"/>
        </w:rPr>
        <w:t xml:space="preserve"> الجديدة المقترحة حيز النفاذ أي نص - بما يشمل القاعدة </w:t>
      </w:r>
      <w:r w:rsidRPr="00312C2A">
        <w:rPr>
          <w:rFonts w:eastAsia="SimSun" w:hint="cs"/>
          <w:lang w:eastAsia="zh-CN"/>
        </w:rPr>
        <w:t>82</w:t>
      </w:r>
      <w:r w:rsidRPr="00312C2A">
        <w:rPr>
          <w:rFonts w:eastAsia="SimSun" w:hint="cs"/>
          <w:vertAlign w:val="superscript"/>
          <w:rtl/>
          <w:lang w:eastAsia="zh-CN"/>
        </w:rPr>
        <w:t>(رابعا)</w:t>
      </w:r>
      <w:r w:rsidRPr="00312C2A">
        <w:rPr>
          <w:rFonts w:eastAsia="SimSun" w:hint="cs"/>
          <w:lang w:eastAsia="zh-CN"/>
        </w:rPr>
        <w:t>1</w:t>
      </w:r>
      <w:r w:rsidRPr="00312C2A">
        <w:rPr>
          <w:rFonts w:eastAsia="SimSun" w:hint="cs"/>
          <w:rtl/>
          <w:lang w:eastAsia="zh-CN"/>
        </w:rPr>
        <w:t xml:space="preserve"> - يمنع أي مكتب من تمديد المهل المقررة في اللائحة التنفيذية في حالات القوة القاهرة بالمعنى المقصود في القاعدة </w:t>
      </w:r>
      <w:r w:rsidRPr="00312C2A">
        <w:rPr>
          <w:rFonts w:eastAsia="SimSun" w:hint="cs"/>
          <w:lang w:eastAsia="zh-CN"/>
        </w:rPr>
        <w:t>82</w:t>
      </w:r>
      <w:r w:rsidRPr="00312C2A">
        <w:rPr>
          <w:rFonts w:eastAsia="SimSun" w:hint="cs"/>
          <w:vertAlign w:val="superscript"/>
          <w:rtl/>
          <w:lang w:eastAsia="zh-CN"/>
        </w:rPr>
        <w:t>(رابعا)</w:t>
      </w:r>
      <w:r w:rsidRPr="00312C2A">
        <w:rPr>
          <w:rFonts w:eastAsia="SimSun" w:hint="cs"/>
          <w:lang w:eastAsia="zh-CN"/>
        </w:rPr>
        <w:t>1</w:t>
      </w:r>
      <w:r w:rsidRPr="00312C2A">
        <w:rPr>
          <w:rFonts w:eastAsia="SimSun" w:hint="cs"/>
          <w:rtl/>
          <w:lang w:eastAsia="zh-CN"/>
        </w:rPr>
        <w:t xml:space="preserve"> عندما تنص التشريعات الوطنية أو الإقليمية المعمول بها في ذلك المكتب على تدبير من هذا القبيل. واتفقت جمعية معاهدة البراءات أيضاً على أن اعتماد القاعدة </w:t>
      </w:r>
      <w:r w:rsidRPr="00312C2A">
        <w:rPr>
          <w:rFonts w:eastAsia="SimSun" w:hint="cs"/>
          <w:lang w:eastAsia="zh-CN"/>
        </w:rPr>
        <w:t>82</w:t>
      </w:r>
      <w:r w:rsidRPr="00312C2A">
        <w:rPr>
          <w:rFonts w:eastAsia="SimSun" w:hint="cs"/>
          <w:vertAlign w:val="superscript"/>
          <w:rtl/>
          <w:lang w:eastAsia="zh-CN"/>
        </w:rPr>
        <w:t>(رابعا)</w:t>
      </w:r>
      <w:r w:rsidRPr="00312C2A">
        <w:rPr>
          <w:rFonts w:eastAsia="SimSun" w:hint="cs"/>
          <w:lang w:eastAsia="zh-CN"/>
        </w:rPr>
        <w:t>3</w:t>
      </w:r>
      <w:r w:rsidRPr="00312C2A">
        <w:rPr>
          <w:rFonts w:eastAsia="SimSun" w:hint="cs"/>
          <w:rtl/>
          <w:lang w:eastAsia="zh-CN"/>
        </w:rPr>
        <w:t xml:space="preserve"> الجديدة المقترحة سينشئ أساساً قانونياً جديداً في اللائحة التنفيذية </w:t>
      </w:r>
      <w:r w:rsidRPr="00312C2A">
        <w:rPr>
          <w:rFonts w:eastAsia="SimSun" w:hint="cs"/>
          <w:rtl/>
          <w:lang w:eastAsia="zh-CN"/>
        </w:rPr>
        <w:lastRenderedPageBreak/>
        <w:t>ينبغي تطبيقه عند الاقتضاء اعتباراً من تاريخ دخوله حيز النفاذ.</w:t>
      </w:r>
      <w:r>
        <w:rPr>
          <w:rFonts w:eastAsia="SimSun" w:hint="cs"/>
          <w:rtl/>
          <w:lang w:eastAsia="zh-CN"/>
        </w:rPr>
        <w:t>"</w:t>
      </w:r>
    </w:p>
    <w:p w14:paraId="4B69B47D" w14:textId="77777777" w:rsidR="00312C2A" w:rsidRPr="00312C2A" w:rsidRDefault="00312C2A" w:rsidP="00312C2A">
      <w:pPr>
        <w:pStyle w:val="Heading3"/>
        <w:rPr>
          <w:rFonts w:eastAsia="SimSun"/>
          <w:rtl/>
          <w:lang w:eastAsia="zh-CN" w:bidi="ar-EG"/>
        </w:rPr>
      </w:pPr>
      <w:bookmarkStart w:id="13" w:name="_Ref50115769"/>
      <w:r w:rsidRPr="00312C2A">
        <w:rPr>
          <w:rFonts w:eastAsia="SimSun" w:hint="cs"/>
          <w:rtl/>
          <w:lang w:eastAsia="zh-CN" w:bidi="ar-EG"/>
        </w:rPr>
        <w:t>حالات الاضطرابات وآثارها</w:t>
      </w:r>
    </w:p>
    <w:p w14:paraId="313DED30" w14:textId="77777777" w:rsidR="00312C2A" w:rsidRPr="00312C2A" w:rsidRDefault="00312C2A" w:rsidP="006B47C1">
      <w:pPr>
        <w:pStyle w:val="ONUMA"/>
        <w:keepNext/>
        <w:spacing w:after="200"/>
        <w:rPr>
          <w:rtl/>
          <w:lang w:bidi="ar-EG"/>
        </w:rPr>
      </w:pPr>
      <w:bookmarkStart w:id="14" w:name="_Ref50628380"/>
      <w:r w:rsidRPr="00312C2A">
        <w:rPr>
          <w:rFonts w:hint="cs"/>
          <w:rtl/>
          <w:lang w:bidi="ar-EG"/>
        </w:rPr>
        <w:t xml:space="preserve">يوضِّح الجدول التالي التطبيق العملي لسبل الانتصاف المتاحة حالياً في إطار معاهدة البراءات، بما يشمل تطبيق القاعدة </w:t>
      </w:r>
      <w:r w:rsidRPr="00312C2A">
        <w:rPr>
          <w:rFonts w:hint="cs"/>
          <w:lang w:bidi="ar-EG"/>
        </w:rPr>
        <w:t>82</w:t>
      </w:r>
      <w:r w:rsidRPr="00312C2A">
        <w:rPr>
          <w:rFonts w:hint="cs"/>
          <w:vertAlign w:val="superscript"/>
          <w:rtl/>
          <w:lang w:bidi="ar-EG"/>
        </w:rPr>
        <w:t>(رابعا)</w:t>
      </w:r>
      <w:r w:rsidRPr="00312C2A">
        <w:rPr>
          <w:rFonts w:hint="cs"/>
          <w:lang w:bidi="ar-EG"/>
        </w:rPr>
        <w:t>1</w:t>
      </w:r>
      <w:r w:rsidRPr="00312C2A">
        <w:rPr>
          <w:rFonts w:hint="cs"/>
          <w:rtl/>
          <w:lang w:bidi="ar-EG"/>
        </w:rPr>
        <w:t xml:space="preserve"> المعدَّلة المقترحة والقاعدة </w:t>
      </w:r>
      <w:r w:rsidRPr="00312C2A">
        <w:rPr>
          <w:rFonts w:hint="cs"/>
          <w:lang w:bidi="ar-EG"/>
        </w:rPr>
        <w:t>82</w:t>
      </w:r>
      <w:r w:rsidRPr="00312C2A">
        <w:rPr>
          <w:rFonts w:hint="cs"/>
          <w:vertAlign w:val="superscript"/>
          <w:rtl/>
          <w:lang w:bidi="ar-EG"/>
        </w:rPr>
        <w:t>(رابعا)</w:t>
      </w:r>
      <w:r w:rsidRPr="00312C2A">
        <w:rPr>
          <w:rFonts w:hint="cs"/>
          <w:lang w:bidi="ar-EG"/>
        </w:rPr>
        <w:t>3</w:t>
      </w:r>
      <w:r w:rsidRPr="00312C2A">
        <w:rPr>
          <w:rFonts w:hint="cs"/>
          <w:rtl/>
          <w:lang w:bidi="ar-EG"/>
        </w:rPr>
        <w:t xml:space="preserve"> الجديدة </w:t>
      </w:r>
      <w:r w:rsidRPr="00312C2A">
        <w:rPr>
          <w:rFonts w:hint="cs"/>
          <w:rtl/>
          <w:lang w:bidi="ar-EG"/>
        </w:rPr>
        <w:lastRenderedPageBreak/>
        <w:t>المقترحة (وترد القاعدتان في الجدول بالخط السميك):</w:t>
      </w:r>
      <w:bookmarkEnd w:id="13"/>
      <w:bookmarkEnd w:id="14"/>
    </w:p>
    <w:tbl>
      <w:tblPr>
        <w:tblStyle w:val="TableGrid1"/>
        <w:bidiVisual/>
        <w:tblW w:w="5000" w:type="pct"/>
        <w:tblLook w:val="0420" w:firstRow="1" w:lastRow="0" w:firstColumn="0" w:lastColumn="0" w:noHBand="0" w:noVBand="1"/>
        <w:tblCaption w:val="الجدول 1:  حالات الاضطرابات وآثارها"/>
        <w:tblDescription w:val="يلخص هذا الجدول سبل الانتصاف القانونية المتاحة في إطار معاهدة البراءات عندما تؤدي حالة ما إلى عدم تقيّد مودع ما بمهلة ما فضلاً عن الأحكام القانونية المقترحة في الوثيقة. ولكل حالة، يعرض الجدول النص القانوني الحالي أو المقترح، وما إذا كان المودع يحتاج إلى تقديم التماس والأدلة المطلوبة إلى المكتب المعني حتى يستفيد من التدبير المتاح، وما إذا كان مكتب الملكية الفكرية يحتاج إلى توجيه إخطار إلى المكتب الدولي عندما يتيح ذلك التدبير."/>
      </w:tblPr>
      <w:tblGrid>
        <w:gridCol w:w="3541"/>
        <w:gridCol w:w="1934"/>
        <w:gridCol w:w="1934"/>
        <w:gridCol w:w="1936"/>
      </w:tblGrid>
      <w:tr w:rsidR="00312C2A" w:rsidRPr="00312C2A" w14:paraId="17F6A152" w14:textId="77777777" w:rsidTr="008B28B2">
        <w:trPr>
          <w:tblHeader/>
        </w:trPr>
        <w:tc>
          <w:tcPr>
            <w:tcW w:w="1894" w:type="pct"/>
          </w:tcPr>
          <w:p w14:paraId="2FC112BF" w14:textId="77777777" w:rsidR="00312C2A" w:rsidRPr="00312C2A" w:rsidRDefault="00312C2A" w:rsidP="00312C2A">
            <w:pPr>
              <w:keepNext/>
              <w:keepLines/>
              <w:spacing w:before="120" w:after="120"/>
              <w:jc w:val="center"/>
              <w:rPr>
                <w:rFonts w:ascii="Arabic Typesetting" w:eastAsia="SimSun" w:hAnsi="Arabic Typesetting"/>
                <w:b/>
                <w:bCs/>
                <w:sz w:val="30"/>
                <w:szCs w:val="30"/>
                <w:rtl/>
                <w:lang w:eastAsia="zh-CN"/>
              </w:rPr>
            </w:pPr>
            <w:r w:rsidRPr="00312C2A">
              <w:rPr>
                <w:rFonts w:ascii="Arabic Typesetting" w:eastAsia="SimSun" w:hAnsi="Arabic Typesetting"/>
                <w:b/>
                <w:bCs/>
                <w:sz w:val="30"/>
                <w:szCs w:val="30"/>
                <w:rtl/>
                <w:lang w:eastAsia="zh-CN"/>
              </w:rPr>
              <w:t>الحالات</w:t>
            </w:r>
          </w:p>
        </w:tc>
        <w:tc>
          <w:tcPr>
            <w:tcW w:w="1035" w:type="pct"/>
          </w:tcPr>
          <w:p w14:paraId="1CF8E7BB" w14:textId="77777777" w:rsidR="00312C2A" w:rsidRPr="00312C2A" w:rsidRDefault="00312C2A" w:rsidP="00312C2A">
            <w:pPr>
              <w:keepNext/>
              <w:keepLines/>
              <w:spacing w:before="120" w:after="120"/>
              <w:jc w:val="center"/>
              <w:rPr>
                <w:rFonts w:ascii="Arabic Typesetting" w:eastAsia="SimSun" w:hAnsi="Arabic Typesetting"/>
                <w:b/>
                <w:bCs/>
                <w:sz w:val="30"/>
                <w:szCs w:val="30"/>
                <w:rtl/>
                <w:lang w:eastAsia="zh-CN"/>
              </w:rPr>
            </w:pPr>
            <w:r w:rsidRPr="00312C2A">
              <w:rPr>
                <w:rFonts w:ascii="Arabic Typesetting" w:eastAsia="SimSun" w:hAnsi="Arabic Typesetting"/>
                <w:b/>
                <w:bCs/>
                <w:sz w:val="30"/>
                <w:szCs w:val="30"/>
                <w:rtl/>
                <w:lang w:eastAsia="zh-CN"/>
              </w:rPr>
              <w:t>الأحكام القانونية</w:t>
            </w:r>
          </w:p>
        </w:tc>
        <w:tc>
          <w:tcPr>
            <w:tcW w:w="1035" w:type="pct"/>
          </w:tcPr>
          <w:p w14:paraId="13DEA935" w14:textId="77777777" w:rsidR="00312C2A" w:rsidRPr="00312C2A" w:rsidRDefault="00312C2A" w:rsidP="00312C2A">
            <w:pPr>
              <w:keepNext/>
              <w:keepLines/>
              <w:spacing w:before="120" w:after="120"/>
              <w:jc w:val="center"/>
              <w:rPr>
                <w:rFonts w:ascii="Arabic Typesetting" w:eastAsia="SimSun" w:hAnsi="Arabic Typesetting"/>
                <w:b/>
                <w:bCs/>
                <w:sz w:val="30"/>
                <w:szCs w:val="30"/>
                <w:rtl/>
                <w:lang w:eastAsia="zh-CN"/>
              </w:rPr>
            </w:pPr>
            <w:r w:rsidRPr="00312C2A">
              <w:rPr>
                <w:rFonts w:ascii="Arabic Typesetting" w:eastAsia="SimSun" w:hAnsi="Arabic Typesetting"/>
                <w:b/>
                <w:bCs/>
                <w:sz w:val="30"/>
                <w:szCs w:val="30"/>
                <w:rtl/>
                <w:lang w:eastAsia="zh-CN"/>
              </w:rPr>
              <w:t>تقديم الالتماس والأدلة</w:t>
            </w:r>
          </w:p>
        </w:tc>
        <w:tc>
          <w:tcPr>
            <w:tcW w:w="1036" w:type="pct"/>
          </w:tcPr>
          <w:p w14:paraId="600E198A" w14:textId="77777777" w:rsidR="00312C2A" w:rsidRPr="00312C2A" w:rsidRDefault="00312C2A" w:rsidP="00312C2A">
            <w:pPr>
              <w:keepNext/>
              <w:keepLines/>
              <w:spacing w:before="120" w:after="120"/>
              <w:jc w:val="center"/>
              <w:rPr>
                <w:rFonts w:ascii="Arabic Typesetting" w:eastAsia="SimSun" w:hAnsi="Arabic Typesetting"/>
                <w:b/>
                <w:bCs/>
                <w:sz w:val="30"/>
                <w:szCs w:val="30"/>
                <w:rtl/>
                <w:lang w:eastAsia="zh-CN"/>
              </w:rPr>
            </w:pPr>
            <w:r w:rsidRPr="00312C2A">
              <w:rPr>
                <w:rFonts w:ascii="Arabic Typesetting" w:eastAsia="SimSun" w:hAnsi="Arabic Typesetting"/>
                <w:b/>
                <w:bCs/>
                <w:sz w:val="30"/>
                <w:szCs w:val="30"/>
                <w:rtl/>
                <w:lang w:eastAsia="zh-CN"/>
              </w:rPr>
              <w:t>إخطار المكتب الدولي</w:t>
            </w:r>
          </w:p>
        </w:tc>
      </w:tr>
      <w:tr w:rsidR="00312C2A" w:rsidRPr="00312C2A" w14:paraId="67A1B5FC" w14:textId="77777777" w:rsidTr="008B28B2">
        <w:tc>
          <w:tcPr>
            <w:tcW w:w="1894" w:type="pct"/>
          </w:tcPr>
          <w:p w14:paraId="6B9786A0" w14:textId="77777777" w:rsidR="00312C2A" w:rsidRPr="00312C2A" w:rsidRDefault="00312C2A" w:rsidP="00312C2A">
            <w:pPr>
              <w:keepNext/>
              <w:keepLines/>
              <w:spacing w:before="120" w:after="120"/>
              <w:rPr>
                <w:rFonts w:ascii="Arabic Typesetting" w:eastAsia="SimSun" w:hAnsi="Arabic Typesetting"/>
                <w:sz w:val="30"/>
                <w:szCs w:val="30"/>
                <w:rtl/>
                <w:lang w:eastAsia="zh-CN"/>
              </w:rPr>
            </w:pPr>
            <w:r w:rsidRPr="00312C2A">
              <w:rPr>
                <w:rFonts w:ascii="Arabic Typesetting" w:eastAsia="SimSun" w:hAnsi="Arabic Typesetting"/>
                <w:sz w:val="30"/>
                <w:szCs w:val="30"/>
                <w:rtl/>
                <w:lang w:eastAsia="zh-CN"/>
              </w:rPr>
              <w:t>تعطل خدمات البريد في محل وقوع المكتب مع بقاء ذلك المكتب مفتوحاً للجمهور</w:t>
            </w:r>
          </w:p>
        </w:tc>
        <w:tc>
          <w:tcPr>
            <w:tcW w:w="1035" w:type="pct"/>
          </w:tcPr>
          <w:p w14:paraId="2F149F0A" w14:textId="77777777" w:rsidR="00312C2A" w:rsidRPr="00312C2A" w:rsidRDefault="00312C2A" w:rsidP="00312C2A">
            <w:pPr>
              <w:keepNext/>
              <w:keepLines/>
              <w:spacing w:before="120" w:after="120"/>
              <w:rPr>
                <w:rFonts w:ascii="Arabic Typesetting" w:eastAsia="SimSun" w:hAnsi="Arabic Typesetting"/>
                <w:sz w:val="30"/>
                <w:szCs w:val="30"/>
                <w:rtl/>
                <w:lang w:eastAsia="zh-CN"/>
              </w:rPr>
            </w:pPr>
            <w:r w:rsidRPr="00312C2A">
              <w:rPr>
                <w:rFonts w:ascii="Arabic Typesetting" w:eastAsia="SimSun" w:hAnsi="Arabic Typesetting"/>
                <w:sz w:val="30"/>
                <w:szCs w:val="30"/>
                <w:rtl/>
                <w:lang w:eastAsia="zh-CN"/>
              </w:rPr>
              <w:t xml:space="preserve">القاعدة </w:t>
            </w:r>
            <w:r w:rsidRPr="00312C2A">
              <w:rPr>
                <w:rFonts w:ascii="Arabic Typesetting" w:eastAsia="SimSun" w:hAnsi="Arabic Typesetting"/>
                <w:sz w:val="30"/>
                <w:szCs w:val="30"/>
                <w:lang w:eastAsia="zh-CN"/>
              </w:rPr>
              <w:t>82</w:t>
            </w:r>
          </w:p>
        </w:tc>
        <w:tc>
          <w:tcPr>
            <w:tcW w:w="1035" w:type="pct"/>
          </w:tcPr>
          <w:p w14:paraId="4526004C" w14:textId="77777777" w:rsidR="00312C2A" w:rsidRPr="00312C2A" w:rsidRDefault="00312C2A" w:rsidP="00312C2A">
            <w:pPr>
              <w:keepNext/>
              <w:keepLines/>
              <w:spacing w:before="120" w:after="120"/>
              <w:rPr>
                <w:rFonts w:ascii="Arabic Typesetting" w:eastAsia="SimSun" w:hAnsi="Arabic Typesetting"/>
                <w:sz w:val="30"/>
                <w:szCs w:val="30"/>
                <w:rtl/>
                <w:lang w:eastAsia="zh-CN"/>
              </w:rPr>
            </w:pPr>
            <w:r w:rsidRPr="00312C2A">
              <w:rPr>
                <w:rFonts w:ascii="Arabic Typesetting" w:eastAsia="SimSun" w:hAnsi="Arabic Typesetting"/>
                <w:sz w:val="30"/>
                <w:szCs w:val="30"/>
                <w:rtl/>
                <w:lang w:eastAsia="zh-CN"/>
              </w:rPr>
              <w:t>نعم</w:t>
            </w:r>
          </w:p>
        </w:tc>
        <w:tc>
          <w:tcPr>
            <w:tcW w:w="1036" w:type="pct"/>
          </w:tcPr>
          <w:p w14:paraId="5DE65041" w14:textId="77777777" w:rsidR="00312C2A" w:rsidRPr="00312C2A" w:rsidRDefault="00312C2A" w:rsidP="00312C2A">
            <w:pPr>
              <w:keepNext/>
              <w:keepLines/>
              <w:spacing w:before="120" w:after="120"/>
              <w:rPr>
                <w:rFonts w:ascii="Arabic Typesetting" w:eastAsia="SimSun" w:hAnsi="Arabic Typesetting"/>
                <w:sz w:val="30"/>
                <w:szCs w:val="30"/>
                <w:rtl/>
                <w:lang w:eastAsia="zh-CN"/>
              </w:rPr>
            </w:pPr>
            <w:r w:rsidRPr="00312C2A">
              <w:rPr>
                <w:rFonts w:ascii="Arabic Typesetting" w:eastAsia="SimSun" w:hAnsi="Arabic Typesetting"/>
                <w:sz w:val="30"/>
                <w:szCs w:val="30"/>
                <w:rtl/>
                <w:lang w:eastAsia="zh-CN"/>
              </w:rPr>
              <w:t>لا</w:t>
            </w:r>
          </w:p>
        </w:tc>
      </w:tr>
      <w:tr w:rsidR="00312C2A" w:rsidRPr="00312C2A" w14:paraId="2753DF3F" w14:textId="77777777" w:rsidTr="008B28B2">
        <w:tc>
          <w:tcPr>
            <w:tcW w:w="1894" w:type="pct"/>
          </w:tcPr>
          <w:p w14:paraId="41CF85B9" w14:textId="77777777" w:rsidR="00312C2A" w:rsidRPr="00312C2A" w:rsidRDefault="00312C2A" w:rsidP="00312C2A">
            <w:pPr>
              <w:keepNext/>
              <w:keepLines/>
              <w:spacing w:before="120" w:after="120"/>
              <w:rPr>
                <w:rFonts w:ascii="Arabic Typesetting" w:eastAsia="SimSun" w:hAnsi="Arabic Typesetting"/>
                <w:sz w:val="30"/>
                <w:szCs w:val="30"/>
                <w:rtl/>
                <w:lang w:eastAsia="zh-CN"/>
              </w:rPr>
            </w:pPr>
            <w:r w:rsidRPr="00312C2A">
              <w:rPr>
                <w:rFonts w:ascii="Arabic Typesetting" w:eastAsia="SimSun" w:hAnsi="Arabic Typesetting"/>
                <w:sz w:val="30"/>
                <w:szCs w:val="30"/>
                <w:rtl/>
                <w:lang w:eastAsia="zh-CN"/>
              </w:rPr>
              <w:t>المكتب مغلق تماماً فلا يمكن إجراء المعاملات الرسمية</w:t>
            </w:r>
          </w:p>
        </w:tc>
        <w:tc>
          <w:tcPr>
            <w:tcW w:w="1035" w:type="pct"/>
          </w:tcPr>
          <w:p w14:paraId="5149E9BD" w14:textId="77777777" w:rsidR="00312C2A" w:rsidRPr="00312C2A" w:rsidRDefault="00312C2A" w:rsidP="00312C2A">
            <w:pPr>
              <w:keepNext/>
              <w:keepLines/>
              <w:spacing w:before="120" w:after="120"/>
              <w:rPr>
                <w:rFonts w:ascii="Arabic Typesetting" w:eastAsia="SimSun" w:hAnsi="Arabic Typesetting"/>
                <w:sz w:val="30"/>
                <w:szCs w:val="30"/>
                <w:rtl/>
                <w:lang w:eastAsia="zh-CN"/>
              </w:rPr>
            </w:pPr>
            <w:r w:rsidRPr="00312C2A">
              <w:rPr>
                <w:rFonts w:ascii="Arabic Typesetting" w:eastAsia="SimSun" w:hAnsi="Arabic Typesetting"/>
                <w:sz w:val="30"/>
                <w:szCs w:val="30"/>
                <w:rtl/>
                <w:lang w:eastAsia="zh-CN"/>
              </w:rPr>
              <w:t xml:space="preserve">القاعدة </w:t>
            </w:r>
            <w:r w:rsidRPr="00312C2A">
              <w:rPr>
                <w:rFonts w:ascii="Arabic Typesetting" w:eastAsia="SimSun" w:hAnsi="Arabic Typesetting"/>
                <w:sz w:val="30"/>
                <w:szCs w:val="30"/>
                <w:lang w:eastAsia="zh-CN"/>
              </w:rPr>
              <w:t>5.80</w:t>
            </w:r>
            <w:r w:rsidRPr="00312C2A">
              <w:rPr>
                <w:rFonts w:ascii="Arabic Typesetting" w:eastAsia="SimSun" w:hAnsi="Arabic Typesetting"/>
                <w:sz w:val="30"/>
                <w:szCs w:val="30"/>
                <w:rtl/>
                <w:lang w:eastAsia="zh-CN"/>
              </w:rPr>
              <w:t>"</w:t>
            </w:r>
            <w:r w:rsidRPr="00312C2A">
              <w:rPr>
                <w:rFonts w:ascii="Arabic Typesetting" w:eastAsia="SimSun" w:hAnsi="Arabic Typesetting"/>
                <w:sz w:val="30"/>
                <w:szCs w:val="30"/>
                <w:lang w:eastAsia="zh-CN"/>
              </w:rPr>
              <w:t>1</w:t>
            </w:r>
            <w:r w:rsidRPr="00312C2A">
              <w:rPr>
                <w:rFonts w:ascii="Arabic Typesetting" w:eastAsia="SimSun" w:hAnsi="Arabic Typesetting"/>
                <w:sz w:val="30"/>
                <w:szCs w:val="30"/>
                <w:rtl/>
                <w:lang w:eastAsia="zh-CN"/>
              </w:rPr>
              <w:t>"</w:t>
            </w:r>
          </w:p>
        </w:tc>
        <w:tc>
          <w:tcPr>
            <w:tcW w:w="1035" w:type="pct"/>
          </w:tcPr>
          <w:p w14:paraId="1B98E834" w14:textId="77777777" w:rsidR="00312C2A" w:rsidRPr="00312C2A" w:rsidRDefault="00312C2A" w:rsidP="00312C2A">
            <w:pPr>
              <w:keepNext/>
              <w:keepLines/>
              <w:spacing w:before="120" w:after="120"/>
              <w:rPr>
                <w:rFonts w:ascii="Arabic Typesetting" w:eastAsia="SimSun" w:hAnsi="Arabic Typesetting"/>
                <w:sz w:val="30"/>
                <w:szCs w:val="30"/>
                <w:rtl/>
                <w:lang w:eastAsia="zh-CN"/>
              </w:rPr>
            </w:pPr>
            <w:r w:rsidRPr="00312C2A">
              <w:rPr>
                <w:rFonts w:ascii="Arabic Typesetting" w:eastAsia="SimSun" w:hAnsi="Arabic Typesetting"/>
                <w:sz w:val="30"/>
                <w:szCs w:val="30"/>
                <w:rtl/>
                <w:lang w:eastAsia="zh-CN"/>
              </w:rPr>
              <w:t>لا</w:t>
            </w:r>
          </w:p>
        </w:tc>
        <w:tc>
          <w:tcPr>
            <w:tcW w:w="1036" w:type="pct"/>
          </w:tcPr>
          <w:p w14:paraId="5410E5FC" w14:textId="77777777" w:rsidR="00312C2A" w:rsidRPr="00312C2A" w:rsidRDefault="00312C2A" w:rsidP="00312C2A">
            <w:pPr>
              <w:keepNext/>
              <w:keepLines/>
              <w:spacing w:before="120" w:after="120"/>
              <w:rPr>
                <w:rFonts w:ascii="Arabic Typesetting" w:eastAsia="SimSun" w:hAnsi="Arabic Typesetting"/>
                <w:sz w:val="30"/>
                <w:szCs w:val="30"/>
                <w:rtl/>
                <w:lang w:eastAsia="zh-CN"/>
              </w:rPr>
            </w:pPr>
            <w:r w:rsidRPr="00312C2A">
              <w:rPr>
                <w:rFonts w:ascii="Arabic Typesetting" w:eastAsia="SimSun" w:hAnsi="Arabic Typesetting"/>
                <w:sz w:val="30"/>
                <w:szCs w:val="30"/>
                <w:rtl/>
                <w:lang w:eastAsia="zh-CN"/>
              </w:rPr>
              <w:t>لا</w:t>
            </w:r>
          </w:p>
        </w:tc>
      </w:tr>
      <w:tr w:rsidR="00312C2A" w:rsidRPr="00312C2A" w14:paraId="5DB0687A" w14:textId="77777777" w:rsidTr="008B28B2">
        <w:tc>
          <w:tcPr>
            <w:tcW w:w="1894" w:type="pct"/>
          </w:tcPr>
          <w:p w14:paraId="57A8408A" w14:textId="74B97E0C" w:rsidR="00312C2A" w:rsidRPr="00312C2A" w:rsidRDefault="00312C2A" w:rsidP="00312C2A">
            <w:pPr>
              <w:keepNext/>
              <w:keepLines/>
              <w:spacing w:before="120" w:after="120"/>
              <w:rPr>
                <w:rFonts w:ascii="Arabic Typesetting" w:eastAsia="SimSun" w:hAnsi="Arabic Typesetting"/>
                <w:sz w:val="30"/>
                <w:szCs w:val="30"/>
                <w:rtl/>
                <w:lang w:eastAsia="zh-CN"/>
              </w:rPr>
            </w:pPr>
            <w:r w:rsidRPr="00312C2A">
              <w:rPr>
                <w:rFonts w:ascii="Arabic Typesetting" w:eastAsia="SimSun" w:hAnsi="Arabic Typesetting"/>
                <w:sz w:val="30"/>
                <w:szCs w:val="30"/>
                <w:rtl/>
                <w:lang w:eastAsia="zh-CN"/>
              </w:rPr>
              <w:t>اضطراب عام في محل إقامة الطرف المعني أو مقر عمله أو محل نزوله</w:t>
            </w:r>
            <w:r w:rsidRPr="00312C2A">
              <w:rPr>
                <w:rFonts w:ascii="Arabic Typesetting" w:eastAsia="SimSun" w:hAnsi="Arabic Typesetting"/>
                <w:sz w:val="30"/>
                <w:szCs w:val="30"/>
                <w:rtl/>
                <w:lang w:eastAsia="zh-CN"/>
              </w:rPr>
              <w:br/>
            </w:r>
            <w:r w:rsidRPr="00312C2A">
              <w:rPr>
                <w:rFonts w:ascii="Arabic Typesetting" w:eastAsia="SimSun" w:hAnsi="Arabic Typesetting"/>
                <w:sz w:val="30"/>
                <w:szCs w:val="30"/>
                <w:rtl/>
                <w:lang w:eastAsia="zh-CN"/>
              </w:rPr>
              <w:br/>
            </w:r>
            <w:r w:rsidRPr="00312C2A">
              <w:rPr>
                <w:rFonts w:ascii="Arabic Typesetting" w:eastAsia="SimSun" w:hAnsi="Arabic Typesetting"/>
                <w:b/>
                <w:bCs/>
                <w:sz w:val="30"/>
                <w:szCs w:val="30"/>
                <w:rtl/>
                <w:lang w:eastAsia="zh-CN"/>
              </w:rPr>
              <w:t>(ترد التعديلات المقترحة بالخط السميك)</w:t>
            </w:r>
          </w:p>
        </w:tc>
        <w:tc>
          <w:tcPr>
            <w:tcW w:w="1035" w:type="pct"/>
          </w:tcPr>
          <w:p w14:paraId="6CC0C100" w14:textId="77777777" w:rsidR="00312C2A" w:rsidRPr="00312C2A" w:rsidRDefault="00312C2A" w:rsidP="00312C2A">
            <w:pPr>
              <w:keepNext/>
              <w:keepLines/>
              <w:spacing w:before="120" w:after="120"/>
              <w:rPr>
                <w:rFonts w:ascii="Arabic Typesetting" w:eastAsia="SimSun" w:hAnsi="Arabic Typesetting"/>
                <w:sz w:val="30"/>
                <w:szCs w:val="30"/>
                <w:rtl/>
                <w:lang w:eastAsia="zh-CN"/>
              </w:rPr>
            </w:pPr>
            <w:r w:rsidRPr="00312C2A">
              <w:rPr>
                <w:rFonts w:ascii="Arabic Typesetting" w:eastAsia="SimSun" w:hAnsi="Arabic Typesetting"/>
                <w:sz w:val="30"/>
                <w:szCs w:val="30"/>
                <w:rtl/>
                <w:lang w:eastAsia="zh-CN"/>
              </w:rPr>
              <w:t xml:space="preserve">القاعدة </w:t>
            </w:r>
            <w:r w:rsidRPr="00312C2A">
              <w:rPr>
                <w:rFonts w:ascii="Arabic Typesetting" w:eastAsia="SimSun" w:hAnsi="Arabic Typesetting"/>
                <w:sz w:val="30"/>
                <w:szCs w:val="30"/>
                <w:lang w:eastAsia="zh-CN"/>
              </w:rPr>
              <w:t>82</w:t>
            </w:r>
            <w:r w:rsidRPr="00312C2A">
              <w:rPr>
                <w:rFonts w:ascii="Arabic Typesetting" w:eastAsia="SimSun" w:hAnsi="Arabic Typesetting"/>
                <w:sz w:val="30"/>
                <w:szCs w:val="30"/>
                <w:vertAlign w:val="superscript"/>
                <w:rtl/>
                <w:lang w:eastAsia="zh-CN"/>
              </w:rPr>
              <w:t>(رابعا)</w:t>
            </w:r>
            <w:r w:rsidRPr="00312C2A">
              <w:rPr>
                <w:rFonts w:ascii="Arabic Typesetting" w:eastAsia="SimSun" w:hAnsi="Arabic Typesetting"/>
                <w:sz w:val="30"/>
                <w:szCs w:val="30"/>
                <w:lang w:eastAsia="zh-CN"/>
              </w:rPr>
              <w:t>1</w:t>
            </w:r>
          </w:p>
        </w:tc>
        <w:tc>
          <w:tcPr>
            <w:tcW w:w="1035" w:type="pct"/>
          </w:tcPr>
          <w:p w14:paraId="39B91928" w14:textId="77777777" w:rsidR="00312C2A" w:rsidRPr="00312C2A" w:rsidRDefault="00312C2A" w:rsidP="00312C2A">
            <w:pPr>
              <w:keepNext/>
              <w:keepLines/>
              <w:spacing w:before="120" w:after="120"/>
              <w:rPr>
                <w:rFonts w:ascii="Arabic Typesetting" w:eastAsia="SimSun" w:hAnsi="Arabic Typesetting"/>
                <w:sz w:val="30"/>
                <w:szCs w:val="30"/>
                <w:rtl/>
                <w:lang w:eastAsia="zh-CN"/>
              </w:rPr>
            </w:pPr>
            <w:r w:rsidRPr="00312C2A">
              <w:rPr>
                <w:rFonts w:ascii="Arabic Typesetting" w:eastAsia="SimSun" w:hAnsi="Arabic Typesetting"/>
                <w:sz w:val="30"/>
                <w:szCs w:val="30"/>
                <w:rtl/>
                <w:lang w:eastAsia="zh-CN"/>
              </w:rPr>
              <w:t>نعم</w:t>
            </w:r>
            <w:r w:rsidRPr="00312C2A">
              <w:rPr>
                <w:rFonts w:ascii="Arabic Typesetting" w:eastAsia="SimSun" w:hAnsi="Arabic Typesetting"/>
                <w:sz w:val="30"/>
                <w:szCs w:val="30"/>
                <w:rtl/>
                <w:lang w:eastAsia="zh-CN"/>
              </w:rPr>
              <w:br/>
            </w:r>
            <w:r w:rsidRPr="00312C2A">
              <w:rPr>
                <w:rFonts w:ascii="Arabic Typesetting" w:eastAsia="SimSun" w:hAnsi="Arabic Typesetting"/>
                <w:sz w:val="30"/>
                <w:szCs w:val="30"/>
                <w:rtl/>
                <w:lang w:eastAsia="zh-CN"/>
              </w:rPr>
              <w:br/>
            </w:r>
            <w:r w:rsidRPr="00312C2A">
              <w:rPr>
                <w:rFonts w:ascii="Arabic Typesetting" w:eastAsia="SimSun" w:hAnsi="Arabic Typesetting"/>
                <w:b/>
                <w:bCs/>
                <w:sz w:val="30"/>
                <w:szCs w:val="30"/>
                <w:rtl/>
                <w:lang w:eastAsia="zh-CN"/>
              </w:rPr>
              <w:t>نعم / لا (يمكن للمكاتب أن تسقط شرط الإثبات)</w:t>
            </w:r>
          </w:p>
        </w:tc>
        <w:tc>
          <w:tcPr>
            <w:tcW w:w="1036" w:type="pct"/>
          </w:tcPr>
          <w:p w14:paraId="0D06ECA0" w14:textId="77777777" w:rsidR="00312C2A" w:rsidRPr="00312C2A" w:rsidRDefault="00312C2A" w:rsidP="00312C2A">
            <w:pPr>
              <w:keepNext/>
              <w:keepLines/>
              <w:spacing w:before="120" w:after="120"/>
              <w:rPr>
                <w:rFonts w:ascii="Arabic Typesetting" w:eastAsia="SimSun" w:hAnsi="Arabic Typesetting"/>
                <w:sz w:val="30"/>
                <w:szCs w:val="30"/>
                <w:rtl/>
                <w:lang w:eastAsia="zh-CN"/>
              </w:rPr>
            </w:pPr>
            <w:r w:rsidRPr="00312C2A">
              <w:rPr>
                <w:rFonts w:ascii="Arabic Typesetting" w:eastAsia="SimSun" w:hAnsi="Arabic Typesetting"/>
                <w:sz w:val="30"/>
                <w:szCs w:val="30"/>
                <w:rtl/>
                <w:lang w:eastAsia="zh-CN"/>
              </w:rPr>
              <w:t>لا</w:t>
            </w:r>
            <w:r w:rsidRPr="00312C2A">
              <w:rPr>
                <w:rFonts w:ascii="Arabic Typesetting" w:eastAsia="SimSun" w:hAnsi="Arabic Typesetting"/>
                <w:sz w:val="30"/>
                <w:szCs w:val="30"/>
                <w:rtl/>
                <w:lang w:eastAsia="zh-CN"/>
              </w:rPr>
              <w:br/>
            </w:r>
            <w:r w:rsidRPr="00312C2A">
              <w:rPr>
                <w:rFonts w:ascii="Arabic Typesetting" w:eastAsia="SimSun" w:hAnsi="Arabic Typesetting"/>
                <w:sz w:val="30"/>
                <w:szCs w:val="30"/>
                <w:rtl/>
                <w:lang w:eastAsia="zh-CN"/>
              </w:rPr>
              <w:br/>
            </w:r>
            <w:r w:rsidRPr="00312C2A">
              <w:rPr>
                <w:rFonts w:ascii="Arabic Typesetting" w:eastAsia="SimSun" w:hAnsi="Arabic Typesetting"/>
                <w:b/>
                <w:bCs/>
                <w:sz w:val="30"/>
                <w:szCs w:val="30"/>
                <w:rtl/>
                <w:lang w:eastAsia="zh-CN"/>
              </w:rPr>
              <w:t>نعم / لا (يمكن للمكاتب أن تسقط شرط الإثبات)</w:t>
            </w:r>
          </w:p>
        </w:tc>
      </w:tr>
      <w:tr w:rsidR="00312C2A" w:rsidRPr="00312C2A" w14:paraId="49EBC4D9" w14:textId="77777777" w:rsidTr="008B28B2">
        <w:tc>
          <w:tcPr>
            <w:tcW w:w="1894" w:type="pct"/>
          </w:tcPr>
          <w:p w14:paraId="53A4EC8E" w14:textId="77777777" w:rsidR="00312C2A" w:rsidRPr="00312C2A" w:rsidRDefault="00312C2A" w:rsidP="00312C2A">
            <w:pPr>
              <w:keepNext/>
              <w:keepLines/>
              <w:spacing w:before="120" w:after="120"/>
              <w:rPr>
                <w:rFonts w:ascii="Arabic Typesetting" w:eastAsia="SimSun" w:hAnsi="Arabic Typesetting"/>
                <w:sz w:val="30"/>
                <w:szCs w:val="30"/>
                <w:rtl/>
                <w:lang w:eastAsia="zh-CN"/>
              </w:rPr>
            </w:pPr>
            <w:r w:rsidRPr="00312C2A">
              <w:rPr>
                <w:rFonts w:ascii="Arabic Typesetting" w:eastAsia="SimSun" w:hAnsi="Arabic Typesetting"/>
                <w:sz w:val="30"/>
                <w:szCs w:val="30"/>
                <w:rtl/>
                <w:lang w:eastAsia="zh-CN"/>
              </w:rPr>
              <w:t>عدم توفر أي من وسائل الإيداع المقبولة في المكتب مع بقاء ذلك المكتب مفتوحاً للجمهور</w:t>
            </w:r>
          </w:p>
        </w:tc>
        <w:tc>
          <w:tcPr>
            <w:tcW w:w="1035" w:type="pct"/>
          </w:tcPr>
          <w:p w14:paraId="7913F46D" w14:textId="77777777" w:rsidR="00312C2A" w:rsidRPr="00312C2A" w:rsidRDefault="00312C2A" w:rsidP="00312C2A">
            <w:pPr>
              <w:keepNext/>
              <w:keepLines/>
              <w:spacing w:before="120" w:after="120"/>
              <w:rPr>
                <w:rFonts w:ascii="Arabic Typesetting" w:eastAsia="SimSun" w:hAnsi="Arabic Typesetting"/>
                <w:sz w:val="30"/>
                <w:szCs w:val="30"/>
                <w:rtl/>
                <w:lang w:eastAsia="zh-CN"/>
              </w:rPr>
            </w:pPr>
            <w:r w:rsidRPr="00312C2A">
              <w:rPr>
                <w:rFonts w:ascii="Arabic Typesetting" w:eastAsia="SimSun" w:hAnsi="Arabic Typesetting"/>
                <w:sz w:val="30"/>
                <w:szCs w:val="30"/>
                <w:rtl/>
                <w:lang w:eastAsia="zh-CN"/>
              </w:rPr>
              <w:t xml:space="preserve">القاعدة </w:t>
            </w:r>
            <w:r w:rsidRPr="00312C2A">
              <w:rPr>
                <w:rFonts w:ascii="Arabic Typesetting" w:eastAsia="SimSun" w:hAnsi="Arabic Typesetting"/>
                <w:sz w:val="30"/>
                <w:szCs w:val="30"/>
                <w:lang w:eastAsia="zh-CN"/>
              </w:rPr>
              <w:t>82</w:t>
            </w:r>
            <w:r w:rsidRPr="00312C2A">
              <w:rPr>
                <w:rFonts w:ascii="Arabic Typesetting" w:eastAsia="SimSun" w:hAnsi="Arabic Typesetting"/>
                <w:sz w:val="30"/>
                <w:szCs w:val="30"/>
                <w:vertAlign w:val="superscript"/>
                <w:rtl/>
                <w:lang w:eastAsia="zh-CN"/>
              </w:rPr>
              <w:t>(رابعا)</w:t>
            </w:r>
            <w:r w:rsidRPr="00312C2A">
              <w:rPr>
                <w:rFonts w:ascii="Arabic Typesetting" w:eastAsia="SimSun" w:hAnsi="Arabic Typesetting"/>
                <w:sz w:val="30"/>
                <w:szCs w:val="30"/>
                <w:lang w:eastAsia="zh-CN"/>
              </w:rPr>
              <w:t>2</w:t>
            </w:r>
          </w:p>
        </w:tc>
        <w:tc>
          <w:tcPr>
            <w:tcW w:w="1035" w:type="pct"/>
          </w:tcPr>
          <w:p w14:paraId="0D94E892" w14:textId="77777777" w:rsidR="00312C2A" w:rsidRPr="00312C2A" w:rsidRDefault="00312C2A" w:rsidP="00312C2A">
            <w:pPr>
              <w:keepNext/>
              <w:keepLines/>
              <w:spacing w:before="120" w:after="120"/>
              <w:rPr>
                <w:rFonts w:ascii="Arabic Typesetting" w:eastAsia="SimSun" w:hAnsi="Arabic Typesetting"/>
                <w:sz w:val="30"/>
                <w:szCs w:val="30"/>
                <w:rtl/>
                <w:lang w:eastAsia="zh-CN"/>
              </w:rPr>
            </w:pPr>
            <w:r w:rsidRPr="00312C2A">
              <w:rPr>
                <w:rFonts w:ascii="Arabic Typesetting" w:eastAsia="SimSun" w:hAnsi="Arabic Typesetting"/>
                <w:sz w:val="30"/>
                <w:szCs w:val="30"/>
                <w:rtl/>
                <w:lang w:eastAsia="zh-CN"/>
              </w:rPr>
              <w:t>لا</w:t>
            </w:r>
          </w:p>
        </w:tc>
        <w:tc>
          <w:tcPr>
            <w:tcW w:w="1036" w:type="pct"/>
          </w:tcPr>
          <w:p w14:paraId="24AADCF7" w14:textId="77777777" w:rsidR="00312C2A" w:rsidRPr="00312C2A" w:rsidRDefault="00312C2A" w:rsidP="00312C2A">
            <w:pPr>
              <w:keepNext/>
              <w:keepLines/>
              <w:spacing w:before="120" w:after="120"/>
              <w:rPr>
                <w:rFonts w:ascii="Arabic Typesetting" w:eastAsia="SimSun" w:hAnsi="Arabic Typesetting"/>
                <w:sz w:val="30"/>
                <w:szCs w:val="30"/>
                <w:rtl/>
                <w:lang w:eastAsia="zh-CN"/>
              </w:rPr>
            </w:pPr>
            <w:r w:rsidRPr="00312C2A">
              <w:rPr>
                <w:rFonts w:ascii="Arabic Typesetting" w:eastAsia="SimSun" w:hAnsi="Arabic Typesetting"/>
                <w:sz w:val="30"/>
                <w:szCs w:val="30"/>
                <w:rtl/>
                <w:lang w:eastAsia="zh-CN"/>
              </w:rPr>
              <w:t>نعم</w:t>
            </w:r>
          </w:p>
        </w:tc>
      </w:tr>
      <w:tr w:rsidR="00312C2A" w:rsidRPr="00312C2A" w14:paraId="134B25D9" w14:textId="77777777" w:rsidTr="008B28B2">
        <w:tc>
          <w:tcPr>
            <w:tcW w:w="1894" w:type="pct"/>
          </w:tcPr>
          <w:p w14:paraId="74EB9FDB" w14:textId="77777777" w:rsidR="00312C2A" w:rsidRPr="00312C2A" w:rsidRDefault="00312C2A" w:rsidP="00312C2A">
            <w:pPr>
              <w:keepNext/>
              <w:keepLines/>
              <w:spacing w:before="120" w:after="120"/>
              <w:rPr>
                <w:rFonts w:ascii="Arabic Typesetting" w:eastAsia="SimSun" w:hAnsi="Arabic Typesetting"/>
                <w:b/>
                <w:bCs/>
                <w:sz w:val="30"/>
                <w:szCs w:val="30"/>
                <w:rtl/>
                <w:lang w:eastAsia="zh-CN"/>
              </w:rPr>
            </w:pPr>
            <w:r w:rsidRPr="00312C2A">
              <w:rPr>
                <w:rFonts w:ascii="Arabic Typesetting" w:eastAsia="SimSun" w:hAnsi="Arabic Typesetting"/>
                <w:b/>
                <w:bCs/>
                <w:sz w:val="30"/>
                <w:szCs w:val="30"/>
                <w:rtl/>
                <w:lang w:eastAsia="zh-CN"/>
              </w:rPr>
              <w:t>اضطراب عام في الدولة التي يقع فيها المكتب مع بقاء المكتب مفتوحاً للجمهور</w:t>
            </w:r>
          </w:p>
        </w:tc>
        <w:tc>
          <w:tcPr>
            <w:tcW w:w="1035" w:type="pct"/>
          </w:tcPr>
          <w:p w14:paraId="0E608B66" w14:textId="77777777" w:rsidR="00312C2A" w:rsidRPr="00312C2A" w:rsidRDefault="00312C2A" w:rsidP="00312C2A">
            <w:pPr>
              <w:keepNext/>
              <w:keepLines/>
              <w:spacing w:before="120" w:after="120"/>
              <w:rPr>
                <w:rFonts w:ascii="Arabic Typesetting" w:eastAsia="SimSun" w:hAnsi="Arabic Typesetting"/>
                <w:b/>
                <w:bCs/>
                <w:sz w:val="30"/>
                <w:szCs w:val="30"/>
                <w:rtl/>
                <w:lang w:eastAsia="zh-CN"/>
              </w:rPr>
            </w:pPr>
            <w:r w:rsidRPr="00312C2A">
              <w:rPr>
                <w:rFonts w:ascii="Arabic Typesetting" w:eastAsia="SimSun" w:hAnsi="Arabic Typesetting"/>
                <w:b/>
                <w:bCs/>
                <w:sz w:val="30"/>
                <w:szCs w:val="30"/>
                <w:rtl/>
                <w:lang w:eastAsia="zh-CN"/>
              </w:rPr>
              <w:t xml:space="preserve">القاعدة </w:t>
            </w:r>
            <w:r w:rsidRPr="00312C2A">
              <w:rPr>
                <w:rFonts w:ascii="Arabic Typesetting" w:eastAsia="SimSun" w:hAnsi="Arabic Typesetting"/>
                <w:b/>
                <w:bCs/>
                <w:sz w:val="30"/>
                <w:szCs w:val="30"/>
                <w:lang w:eastAsia="zh-CN"/>
              </w:rPr>
              <w:t>82</w:t>
            </w:r>
            <w:r w:rsidRPr="00312C2A">
              <w:rPr>
                <w:rFonts w:ascii="Arabic Typesetting" w:eastAsia="SimSun" w:hAnsi="Arabic Typesetting"/>
                <w:b/>
                <w:bCs/>
                <w:sz w:val="30"/>
                <w:szCs w:val="30"/>
                <w:vertAlign w:val="superscript"/>
                <w:rtl/>
                <w:lang w:eastAsia="zh-CN"/>
              </w:rPr>
              <w:t>(رابعا)</w:t>
            </w:r>
            <w:r w:rsidRPr="00312C2A">
              <w:rPr>
                <w:rFonts w:ascii="Arabic Typesetting" w:eastAsia="SimSun" w:hAnsi="Arabic Typesetting"/>
                <w:b/>
                <w:bCs/>
                <w:sz w:val="30"/>
                <w:szCs w:val="30"/>
                <w:lang w:eastAsia="zh-CN"/>
              </w:rPr>
              <w:t>3</w:t>
            </w:r>
          </w:p>
        </w:tc>
        <w:tc>
          <w:tcPr>
            <w:tcW w:w="1035" w:type="pct"/>
          </w:tcPr>
          <w:p w14:paraId="28D07ED4" w14:textId="77777777" w:rsidR="00312C2A" w:rsidRPr="00312C2A" w:rsidRDefault="00312C2A" w:rsidP="00312C2A">
            <w:pPr>
              <w:keepNext/>
              <w:keepLines/>
              <w:spacing w:before="120" w:after="120"/>
              <w:rPr>
                <w:rFonts w:ascii="Arabic Typesetting" w:eastAsia="SimSun" w:hAnsi="Arabic Typesetting"/>
                <w:b/>
                <w:bCs/>
                <w:sz w:val="30"/>
                <w:szCs w:val="30"/>
                <w:rtl/>
                <w:lang w:eastAsia="zh-CN"/>
              </w:rPr>
            </w:pPr>
            <w:r w:rsidRPr="00312C2A">
              <w:rPr>
                <w:rFonts w:ascii="Arabic Typesetting" w:eastAsia="SimSun" w:hAnsi="Arabic Typesetting"/>
                <w:b/>
                <w:bCs/>
                <w:sz w:val="30"/>
                <w:szCs w:val="30"/>
                <w:rtl/>
                <w:lang w:eastAsia="zh-CN"/>
              </w:rPr>
              <w:t>لا</w:t>
            </w:r>
          </w:p>
        </w:tc>
        <w:tc>
          <w:tcPr>
            <w:tcW w:w="1036" w:type="pct"/>
          </w:tcPr>
          <w:p w14:paraId="619E5C63" w14:textId="77777777" w:rsidR="00312C2A" w:rsidRPr="00312C2A" w:rsidRDefault="00312C2A" w:rsidP="00312C2A">
            <w:pPr>
              <w:keepNext/>
              <w:keepLines/>
              <w:spacing w:before="120" w:after="120"/>
              <w:rPr>
                <w:rFonts w:ascii="Arabic Typesetting" w:eastAsia="SimSun" w:hAnsi="Arabic Typesetting"/>
                <w:b/>
                <w:bCs/>
                <w:sz w:val="30"/>
                <w:szCs w:val="30"/>
                <w:rtl/>
                <w:lang w:eastAsia="zh-CN"/>
              </w:rPr>
            </w:pPr>
            <w:r w:rsidRPr="00312C2A">
              <w:rPr>
                <w:rFonts w:ascii="Arabic Typesetting" w:eastAsia="SimSun" w:hAnsi="Arabic Typesetting"/>
                <w:b/>
                <w:bCs/>
                <w:sz w:val="30"/>
                <w:szCs w:val="30"/>
                <w:rtl/>
                <w:lang w:eastAsia="zh-CN"/>
              </w:rPr>
              <w:t>نعم</w:t>
            </w:r>
          </w:p>
        </w:tc>
      </w:tr>
    </w:tbl>
    <w:p w14:paraId="44F7AE2E" w14:textId="77777777" w:rsidR="00312C2A" w:rsidRPr="00312C2A" w:rsidRDefault="00312C2A" w:rsidP="00312C2A">
      <w:pPr>
        <w:keepNext/>
        <w:keepLines/>
        <w:spacing w:before="200"/>
        <w:rPr>
          <w:rFonts w:eastAsia="SimSun"/>
          <w:rtl/>
          <w:lang w:eastAsia="zh-CN" w:bidi="ar-EG"/>
        </w:rPr>
      </w:pPr>
      <w:r w:rsidRPr="00312C2A">
        <w:rPr>
          <w:rFonts w:eastAsia="SimSun" w:hint="cs"/>
          <w:rtl/>
          <w:lang w:eastAsia="zh-CN" w:bidi="ar-EG"/>
        </w:rPr>
        <w:t xml:space="preserve">الجدول </w:t>
      </w:r>
      <w:r w:rsidRPr="00312C2A">
        <w:rPr>
          <w:rFonts w:eastAsia="SimSun" w:hint="cs"/>
          <w:lang w:eastAsia="zh-CN" w:bidi="ar-EG"/>
        </w:rPr>
        <w:t>1</w:t>
      </w:r>
      <w:r w:rsidRPr="00312C2A">
        <w:rPr>
          <w:rFonts w:eastAsia="SimSun" w:hint="cs"/>
          <w:rtl/>
          <w:lang w:eastAsia="zh-CN" w:bidi="ar-EG"/>
        </w:rPr>
        <w:t>: حالات الاضطرابات وآثارها</w:t>
      </w:r>
    </w:p>
    <w:p w14:paraId="0E9E7930" w14:textId="502A11BD" w:rsidR="00E3612C" w:rsidRDefault="00312C2A" w:rsidP="00312C2A">
      <w:pPr>
        <w:pStyle w:val="Endofdocument-Annex"/>
        <w:rPr>
          <w:rFonts w:eastAsia="SimSun"/>
          <w:rtl/>
          <w:lang w:eastAsia="zh-CN"/>
        </w:rPr>
      </w:pPr>
      <w:r w:rsidRPr="00312C2A">
        <w:rPr>
          <w:rFonts w:eastAsia="SimSun" w:hint="cs"/>
          <w:rtl/>
          <w:lang w:eastAsia="zh-CN"/>
        </w:rPr>
        <w:t>[يلي ذلك المرفق]</w:t>
      </w:r>
    </w:p>
    <w:p w14:paraId="17276682" w14:textId="77777777" w:rsidR="00312C2A" w:rsidRDefault="00312C2A" w:rsidP="00312C2A">
      <w:pPr>
        <w:rPr>
          <w:rtl/>
          <w:lang w:eastAsia="zh-CN"/>
        </w:rPr>
      </w:pPr>
    </w:p>
    <w:p w14:paraId="2FB06D37" w14:textId="1E5AA98E" w:rsidR="00312C2A" w:rsidRDefault="00312C2A" w:rsidP="00312C2A">
      <w:pPr>
        <w:rPr>
          <w:rtl/>
          <w:lang w:eastAsia="zh-CN"/>
        </w:rPr>
        <w:sectPr w:rsidR="00312C2A" w:rsidSect="00EB7752">
          <w:headerReference w:type="default" r:id="rId9"/>
          <w:pgSz w:w="11907" w:h="16840" w:code="9"/>
          <w:pgMar w:top="567" w:right="1418" w:bottom="1418" w:left="1134" w:header="510" w:footer="1021" w:gutter="0"/>
          <w:cols w:space="720"/>
          <w:titlePg/>
          <w:docGrid w:linePitch="299"/>
        </w:sectPr>
      </w:pPr>
    </w:p>
    <w:p w14:paraId="0D0E3E4E" w14:textId="77777777" w:rsidR="006B47C1" w:rsidRPr="006B47C1" w:rsidRDefault="006B47C1" w:rsidP="006B47C1">
      <w:pPr>
        <w:pStyle w:val="Heading2"/>
        <w:jc w:val="center"/>
        <w:rPr>
          <w:rFonts w:eastAsia="SimSun"/>
          <w:b w:val="0"/>
          <w:bCs w:val="0"/>
          <w:noProof/>
          <w:rtl/>
          <w:lang w:eastAsia="zh-CN" w:bidi="ar-EG"/>
        </w:rPr>
      </w:pPr>
      <w:r w:rsidRPr="006B47C1">
        <w:rPr>
          <w:rFonts w:eastAsia="SimSun" w:hint="cs"/>
          <w:b w:val="0"/>
          <w:bCs w:val="0"/>
          <w:rtl/>
          <w:lang w:eastAsia="zh-CN" w:bidi="ar-EG"/>
        </w:rPr>
        <w:lastRenderedPageBreak/>
        <w:t>مشروع التعديلات المقترح إدخالها على اللائحة التنفيذية لمعاهدة التعاون بشأن البراءات</w:t>
      </w:r>
      <w:r w:rsidRPr="006B47C1">
        <w:rPr>
          <w:rFonts w:eastAsia="SimSun"/>
          <w:b w:val="0"/>
          <w:bCs w:val="0"/>
          <w:noProof/>
          <w:vertAlign w:val="superscript"/>
          <w:lang w:eastAsia="zh-CN" w:bidi="ar-EG"/>
        </w:rPr>
        <w:footnoteReference w:id="2"/>
      </w:r>
    </w:p>
    <w:p w14:paraId="7678E025" w14:textId="77777777" w:rsidR="006B47C1" w:rsidRPr="006B47C1" w:rsidRDefault="006B47C1" w:rsidP="006B47C1">
      <w:pPr>
        <w:keepNext/>
        <w:keepLines/>
        <w:spacing w:before="200" w:after="200"/>
        <w:jc w:val="center"/>
        <w:rPr>
          <w:rFonts w:eastAsia="SimSun"/>
          <w:caps/>
          <w:noProof/>
          <w:sz w:val="40"/>
          <w:szCs w:val="40"/>
          <w:rtl/>
          <w:lang w:eastAsia="zh-CN" w:bidi="ar-EG"/>
        </w:rPr>
      </w:pPr>
      <w:r w:rsidRPr="006B47C1">
        <w:rPr>
          <w:rFonts w:eastAsia="SimSun" w:hint="cs"/>
          <w:caps/>
          <w:sz w:val="40"/>
          <w:szCs w:val="40"/>
          <w:rtl/>
          <w:lang w:eastAsia="zh-CN" w:bidi="ar-EG"/>
        </w:rPr>
        <w:t>المحتويات</w:t>
      </w:r>
    </w:p>
    <w:p w14:paraId="713A297F" w14:textId="4FBEA7C8" w:rsidR="006B47C1" w:rsidRPr="006B47C1" w:rsidRDefault="006B47C1" w:rsidP="006B47C1">
      <w:pPr>
        <w:pStyle w:val="TOC1"/>
        <w:rPr>
          <w:rFonts w:asciiTheme="minorHAnsi" w:eastAsiaTheme="minorEastAsia" w:hAnsiTheme="minorHAnsi" w:cstheme="minorBidi"/>
          <w:b w:val="0"/>
          <w:bCs w:val="0"/>
          <w:lang w:val="en-GB" w:eastAsia="en-GB"/>
        </w:rPr>
      </w:pPr>
      <w:r w:rsidRPr="006B47C1">
        <w:rPr>
          <w:rFonts w:eastAsia="SimSun"/>
          <w:b w:val="0"/>
          <w:bCs w:val="0"/>
          <w:rtl/>
          <w:lang w:eastAsia="zh-CN" w:bidi="ar-EG"/>
        </w:rPr>
        <w:fldChar w:fldCharType="begin"/>
      </w:r>
      <w:r w:rsidRPr="006B47C1">
        <w:rPr>
          <w:rFonts w:eastAsia="SimSun"/>
          <w:b w:val="0"/>
          <w:bCs w:val="0"/>
          <w:rtl/>
          <w:lang w:eastAsia="zh-CN" w:bidi="ar-EG"/>
        </w:rPr>
        <w:instrText xml:space="preserve"> </w:instrText>
      </w:r>
      <w:r w:rsidRPr="006B47C1">
        <w:rPr>
          <w:rFonts w:eastAsia="SimSun" w:hint="cs"/>
          <w:b w:val="0"/>
          <w:bCs w:val="0"/>
          <w:lang w:eastAsia="zh-CN" w:bidi="ar-EG"/>
        </w:rPr>
        <w:instrText>TOC</w:instrText>
      </w:r>
      <w:r w:rsidRPr="006B47C1">
        <w:rPr>
          <w:rFonts w:eastAsia="SimSun" w:hint="cs"/>
          <w:b w:val="0"/>
          <w:bCs w:val="0"/>
          <w:rtl/>
          <w:lang w:eastAsia="zh-CN" w:bidi="ar-EG"/>
        </w:rPr>
        <w:instrText xml:space="preserve"> \</w:instrText>
      </w:r>
      <w:r w:rsidRPr="006B47C1">
        <w:rPr>
          <w:rFonts w:eastAsia="SimSun" w:hint="cs"/>
          <w:b w:val="0"/>
          <w:bCs w:val="0"/>
          <w:lang w:eastAsia="zh-CN" w:bidi="ar-EG"/>
        </w:rPr>
        <w:instrText>h \z \t "Art Title,1,SubArt Title,2</w:instrText>
      </w:r>
      <w:r w:rsidRPr="006B47C1">
        <w:rPr>
          <w:rFonts w:eastAsia="SimSun" w:hint="cs"/>
          <w:b w:val="0"/>
          <w:bCs w:val="0"/>
          <w:rtl/>
          <w:lang w:eastAsia="zh-CN" w:bidi="ar-EG"/>
        </w:rPr>
        <w:instrText>"</w:instrText>
      </w:r>
      <w:r w:rsidRPr="006B47C1">
        <w:rPr>
          <w:rFonts w:eastAsia="SimSun"/>
          <w:b w:val="0"/>
          <w:bCs w:val="0"/>
          <w:rtl/>
          <w:lang w:eastAsia="zh-CN" w:bidi="ar-EG"/>
        </w:rPr>
        <w:instrText xml:space="preserve"> </w:instrText>
      </w:r>
      <w:r w:rsidRPr="006B47C1">
        <w:rPr>
          <w:rFonts w:eastAsia="SimSun"/>
          <w:b w:val="0"/>
          <w:bCs w:val="0"/>
          <w:rtl/>
          <w:lang w:eastAsia="zh-CN" w:bidi="ar-EG"/>
        </w:rPr>
        <w:fldChar w:fldCharType="separate"/>
      </w:r>
      <w:hyperlink w:anchor="_Toc51202067" w:history="1">
        <w:r w:rsidRPr="006B47C1">
          <w:rPr>
            <w:rStyle w:val="Hyperlink"/>
            <w:b w:val="0"/>
            <w:bCs w:val="0"/>
            <w:rtl/>
            <w:lang w:bidi="ar-EG"/>
          </w:rPr>
          <w:t xml:space="preserve">القاعدة </w:t>
        </w:r>
        <w:r w:rsidRPr="006B47C1">
          <w:rPr>
            <w:rStyle w:val="Hyperlink"/>
            <w:b w:val="0"/>
            <w:bCs w:val="0"/>
            <w:lang w:bidi="ar-EG"/>
          </w:rPr>
          <w:t>82</w:t>
        </w:r>
        <w:r w:rsidRPr="006B47C1">
          <w:rPr>
            <w:rStyle w:val="Hyperlink"/>
            <w:b w:val="0"/>
            <w:bCs w:val="0"/>
            <w:vertAlign w:val="superscript"/>
            <w:rtl/>
            <w:lang w:bidi="ar-EG"/>
          </w:rPr>
          <w:t>(رابعا)</w:t>
        </w:r>
        <w:r w:rsidRPr="006B47C1">
          <w:rPr>
            <w:rStyle w:val="Hyperlink"/>
            <w:b w:val="0"/>
            <w:bCs w:val="0"/>
            <w:rtl/>
            <w:lang w:bidi="ar-EG"/>
          </w:rPr>
          <w:t xml:space="preserve"> - عذر التأخر في مراعاة المهل وتمديد المهل</w:t>
        </w:r>
        <w:r w:rsidRPr="006B47C1">
          <w:rPr>
            <w:b w:val="0"/>
            <w:bCs w:val="0"/>
            <w:webHidden/>
          </w:rPr>
          <w:tab/>
        </w:r>
        <w:r w:rsidRPr="006B47C1">
          <w:rPr>
            <w:b w:val="0"/>
            <w:bCs w:val="0"/>
            <w:webHidden/>
          </w:rPr>
          <w:fldChar w:fldCharType="begin"/>
        </w:r>
        <w:r w:rsidRPr="006B47C1">
          <w:rPr>
            <w:b w:val="0"/>
            <w:bCs w:val="0"/>
            <w:webHidden/>
          </w:rPr>
          <w:instrText xml:space="preserve"> PAGEREF _Toc51202067 \h </w:instrText>
        </w:r>
        <w:r w:rsidRPr="006B47C1">
          <w:rPr>
            <w:b w:val="0"/>
            <w:bCs w:val="0"/>
            <w:webHidden/>
          </w:rPr>
        </w:r>
        <w:r w:rsidRPr="006B47C1">
          <w:rPr>
            <w:b w:val="0"/>
            <w:bCs w:val="0"/>
            <w:webHidden/>
          </w:rPr>
          <w:fldChar w:fldCharType="separate"/>
        </w:r>
        <w:r w:rsidR="00080AA5">
          <w:rPr>
            <w:b w:val="0"/>
            <w:bCs w:val="0"/>
            <w:webHidden/>
            <w:rtl/>
          </w:rPr>
          <w:t>2</w:t>
        </w:r>
        <w:r w:rsidRPr="006B47C1">
          <w:rPr>
            <w:b w:val="0"/>
            <w:bCs w:val="0"/>
            <w:webHidden/>
          </w:rPr>
          <w:fldChar w:fldCharType="end"/>
        </w:r>
      </w:hyperlink>
    </w:p>
    <w:p w14:paraId="5F56F1D5" w14:textId="05433351" w:rsidR="006B47C1" w:rsidRPr="006B47C1" w:rsidRDefault="00073B0D" w:rsidP="006B47C1">
      <w:pPr>
        <w:pStyle w:val="TOC2"/>
        <w:rPr>
          <w:rFonts w:asciiTheme="minorHAnsi" w:eastAsiaTheme="minorEastAsia" w:hAnsiTheme="minorHAnsi" w:cstheme="minorBidi"/>
          <w:i/>
          <w:iCs/>
          <w:noProof/>
          <w:lang w:val="en-GB" w:eastAsia="en-GB"/>
        </w:rPr>
      </w:pPr>
      <w:hyperlink w:anchor="_Toc51202068" w:history="1">
        <w:r w:rsidR="006B47C1" w:rsidRPr="006B47C1">
          <w:rPr>
            <w:rStyle w:val="Hyperlink"/>
            <w:i/>
            <w:iCs/>
            <w:noProof/>
            <w:lang w:bidi="ar-EG"/>
          </w:rPr>
          <w:t>82</w:t>
        </w:r>
        <w:r w:rsidR="006B47C1" w:rsidRPr="006B47C1">
          <w:rPr>
            <w:rStyle w:val="Hyperlink"/>
            <w:i/>
            <w:iCs/>
            <w:noProof/>
            <w:vertAlign w:val="superscript"/>
            <w:rtl/>
            <w:lang w:bidi="ar-EG"/>
          </w:rPr>
          <w:t>(رابعا)</w:t>
        </w:r>
        <w:r w:rsidR="006B47C1" w:rsidRPr="006B47C1">
          <w:rPr>
            <w:rStyle w:val="Hyperlink"/>
            <w:i/>
            <w:iCs/>
            <w:noProof/>
            <w:lang w:bidi="ar-EG"/>
          </w:rPr>
          <w:t>1</w:t>
        </w:r>
        <w:r w:rsidR="006B47C1" w:rsidRPr="006B47C1">
          <w:rPr>
            <w:rFonts w:asciiTheme="minorHAnsi" w:eastAsiaTheme="minorEastAsia" w:hAnsiTheme="minorHAnsi" w:cstheme="minorBidi"/>
            <w:i/>
            <w:iCs/>
            <w:noProof/>
            <w:lang w:val="en-GB" w:eastAsia="en-GB"/>
          </w:rPr>
          <w:tab/>
        </w:r>
        <w:r w:rsidR="006B47C1" w:rsidRPr="006B47C1">
          <w:rPr>
            <w:rStyle w:val="Hyperlink"/>
            <w:i/>
            <w:iCs/>
            <w:noProof/>
            <w:rtl/>
            <w:lang w:bidi="ar-EG"/>
          </w:rPr>
          <w:t>عذر التأخر في مراعاة المهل</w:t>
        </w:r>
        <w:r w:rsidR="006B47C1" w:rsidRPr="006B47C1">
          <w:rPr>
            <w:i/>
            <w:iCs/>
            <w:noProof/>
            <w:webHidden/>
          </w:rPr>
          <w:tab/>
        </w:r>
        <w:r w:rsidR="006B47C1" w:rsidRPr="006B47C1">
          <w:rPr>
            <w:i/>
            <w:iCs/>
            <w:noProof/>
            <w:webHidden/>
          </w:rPr>
          <w:fldChar w:fldCharType="begin"/>
        </w:r>
        <w:r w:rsidR="006B47C1" w:rsidRPr="006B47C1">
          <w:rPr>
            <w:i/>
            <w:iCs/>
            <w:noProof/>
            <w:webHidden/>
          </w:rPr>
          <w:instrText xml:space="preserve"> PAGEREF _Toc51202068 \h </w:instrText>
        </w:r>
        <w:r w:rsidR="006B47C1" w:rsidRPr="006B47C1">
          <w:rPr>
            <w:i/>
            <w:iCs/>
            <w:noProof/>
            <w:webHidden/>
          </w:rPr>
        </w:r>
        <w:r w:rsidR="006B47C1" w:rsidRPr="006B47C1">
          <w:rPr>
            <w:i/>
            <w:iCs/>
            <w:noProof/>
            <w:webHidden/>
          </w:rPr>
          <w:fldChar w:fldCharType="separate"/>
        </w:r>
        <w:r w:rsidR="00080AA5">
          <w:rPr>
            <w:i/>
            <w:iCs/>
            <w:noProof/>
            <w:webHidden/>
            <w:rtl/>
          </w:rPr>
          <w:t>2</w:t>
        </w:r>
        <w:r w:rsidR="006B47C1" w:rsidRPr="006B47C1">
          <w:rPr>
            <w:i/>
            <w:iCs/>
            <w:noProof/>
            <w:webHidden/>
          </w:rPr>
          <w:fldChar w:fldCharType="end"/>
        </w:r>
      </w:hyperlink>
    </w:p>
    <w:p w14:paraId="25886C98" w14:textId="6B53B2DE" w:rsidR="006B47C1" w:rsidRPr="006B47C1" w:rsidRDefault="00073B0D" w:rsidP="006B47C1">
      <w:pPr>
        <w:pStyle w:val="TOC2"/>
        <w:rPr>
          <w:rFonts w:asciiTheme="minorHAnsi" w:eastAsiaTheme="minorEastAsia" w:hAnsiTheme="minorHAnsi" w:cstheme="minorBidi"/>
          <w:i/>
          <w:iCs/>
          <w:noProof/>
          <w:lang w:val="en-GB" w:eastAsia="en-GB"/>
        </w:rPr>
      </w:pPr>
      <w:hyperlink w:anchor="_Toc51202069" w:history="1">
        <w:r w:rsidR="006B47C1" w:rsidRPr="006B47C1">
          <w:rPr>
            <w:rStyle w:val="Hyperlink"/>
            <w:i/>
            <w:iCs/>
            <w:noProof/>
            <w:lang w:bidi="ar-EG"/>
          </w:rPr>
          <w:t>82</w:t>
        </w:r>
        <w:r w:rsidR="006B47C1" w:rsidRPr="006B47C1">
          <w:rPr>
            <w:rStyle w:val="Hyperlink"/>
            <w:i/>
            <w:iCs/>
            <w:noProof/>
            <w:vertAlign w:val="superscript"/>
            <w:rtl/>
            <w:lang w:bidi="ar-EG"/>
          </w:rPr>
          <w:t>(رابعا)</w:t>
        </w:r>
        <w:r w:rsidR="006B47C1" w:rsidRPr="006B47C1">
          <w:rPr>
            <w:rStyle w:val="Hyperlink"/>
            <w:i/>
            <w:iCs/>
            <w:noProof/>
            <w:lang w:bidi="ar-EG"/>
          </w:rPr>
          <w:t>2</w:t>
        </w:r>
        <w:r w:rsidR="006B47C1" w:rsidRPr="006B47C1">
          <w:rPr>
            <w:rFonts w:asciiTheme="minorHAnsi" w:eastAsiaTheme="minorEastAsia" w:hAnsiTheme="minorHAnsi" w:cstheme="minorBidi"/>
            <w:i/>
            <w:iCs/>
            <w:noProof/>
            <w:lang w:val="en-GB" w:eastAsia="en-GB"/>
          </w:rPr>
          <w:tab/>
        </w:r>
        <w:r w:rsidR="006B47C1" w:rsidRPr="006B47C1">
          <w:rPr>
            <w:rStyle w:val="Hyperlink"/>
            <w:i/>
            <w:iCs/>
            <w:noProof/>
            <w:rtl/>
            <w:lang w:bidi="ar-EG"/>
          </w:rPr>
          <w:t>عدم توافر وسائل الاتصال الإلكتروني في المكتب</w:t>
        </w:r>
        <w:r w:rsidR="006B47C1" w:rsidRPr="006B47C1">
          <w:rPr>
            <w:i/>
            <w:iCs/>
            <w:noProof/>
            <w:webHidden/>
          </w:rPr>
          <w:tab/>
        </w:r>
        <w:r w:rsidR="006B47C1" w:rsidRPr="006B47C1">
          <w:rPr>
            <w:i/>
            <w:iCs/>
            <w:noProof/>
            <w:webHidden/>
          </w:rPr>
          <w:fldChar w:fldCharType="begin"/>
        </w:r>
        <w:r w:rsidR="006B47C1" w:rsidRPr="006B47C1">
          <w:rPr>
            <w:i/>
            <w:iCs/>
            <w:noProof/>
            <w:webHidden/>
          </w:rPr>
          <w:instrText xml:space="preserve"> PAGEREF _Toc51202069 \h </w:instrText>
        </w:r>
        <w:r w:rsidR="006B47C1" w:rsidRPr="006B47C1">
          <w:rPr>
            <w:i/>
            <w:iCs/>
            <w:noProof/>
            <w:webHidden/>
          </w:rPr>
        </w:r>
        <w:r w:rsidR="006B47C1" w:rsidRPr="006B47C1">
          <w:rPr>
            <w:i/>
            <w:iCs/>
            <w:noProof/>
            <w:webHidden/>
          </w:rPr>
          <w:fldChar w:fldCharType="separate"/>
        </w:r>
        <w:r w:rsidR="00080AA5">
          <w:rPr>
            <w:i/>
            <w:iCs/>
            <w:noProof/>
            <w:webHidden/>
            <w:rtl/>
          </w:rPr>
          <w:t>2</w:t>
        </w:r>
        <w:r w:rsidR="006B47C1" w:rsidRPr="006B47C1">
          <w:rPr>
            <w:i/>
            <w:iCs/>
            <w:noProof/>
            <w:webHidden/>
          </w:rPr>
          <w:fldChar w:fldCharType="end"/>
        </w:r>
      </w:hyperlink>
    </w:p>
    <w:p w14:paraId="7DBAD27D" w14:textId="3FE64751" w:rsidR="006B47C1" w:rsidRPr="006B47C1" w:rsidRDefault="00073B0D" w:rsidP="006B47C1">
      <w:pPr>
        <w:pStyle w:val="TOC2"/>
        <w:rPr>
          <w:rFonts w:asciiTheme="minorHAnsi" w:eastAsiaTheme="minorEastAsia" w:hAnsiTheme="minorHAnsi" w:cstheme="minorBidi"/>
          <w:i/>
          <w:iCs/>
          <w:noProof/>
          <w:lang w:val="en-GB" w:eastAsia="en-GB"/>
        </w:rPr>
      </w:pPr>
      <w:hyperlink w:anchor="_Toc51202070" w:history="1">
        <w:r w:rsidR="006B47C1" w:rsidRPr="006B47C1">
          <w:rPr>
            <w:rStyle w:val="Hyperlink"/>
            <w:i/>
            <w:iCs/>
            <w:noProof/>
            <w:lang w:bidi="ar-EG"/>
          </w:rPr>
          <w:t>82</w:t>
        </w:r>
        <w:r w:rsidR="006B47C1" w:rsidRPr="006B47C1">
          <w:rPr>
            <w:rStyle w:val="Hyperlink"/>
            <w:i/>
            <w:iCs/>
            <w:noProof/>
            <w:vertAlign w:val="superscript"/>
            <w:rtl/>
            <w:lang w:bidi="ar-EG"/>
          </w:rPr>
          <w:t>(رابعا)</w:t>
        </w:r>
        <w:r w:rsidR="006B47C1" w:rsidRPr="006B47C1">
          <w:rPr>
            <w:rStyle w:val="Hyperlink"/>
            <w:i/>
            <w:iCs/>
            <w:noProof/>
            <w:lang w:bidi="ar-EG"/>
          </w:rPr>
          <w:t>3</w:t>
        </w:r>
        <w:r w:rsidR="006B47C1" w:rsidRPr="006B47C1">
          <w:rPr>
            <w:rFonts w:asciiTheme="minorHAnsi" w:eastAsiaTheme="minorEastAsia" w:hAnsiTheme="minorHAnsi" w:cstheme="minorBidi"/>
            <w:i/>
            <w:iCs/>
            <w:noProof/>
            <w:lang w:val="en-GB" w:eastAsia="en-GB"/>
          </w:rPr>
          <w:tab/>
        </w:r>
        <w:r w:rsidR="006B47C1" w:rsidRPr="006B47C1">
          <w:rPr>
            <w:rStyle w:val="Hyperlink"/>
            <w:i/>
            <w:iCs/>
            <w:noProof/>
            <w:rtl/>
            <w:lang w:bidi="ar-EG"/>
          </w:rPr>
          <w:t>تمديد المهل بسبب حدوث اضطراب عام</w:t>
        </w:r>
        <w:r w:rsidR="006B47C1" w:rsidRPr="006B47C1">
          <w:rPr>
            <w:i/>
            <w:iCs/>
            <w:noProof/>
            <w:webHidden/>
          </w:rPr>
          <w:tab/>
        </w:r>
        <w:r w:rsidR="006B47C1" w:rsidRPr="006B47C1">
          <w:rPr>
            <w:i/>
            <w:iCs/>
            <w:noProof/>
            <w:webHidden/>
          </w:rPr>
          <w:fldChar w:fldCharType="begin"/>
        </w:r>
        <w:r w:rsidR="006B47C1" w:rsidRPr="006B47C1">
          <w:rPr>
            <w:i/>
            <w:iCs/>
            <w:noProof/>
            <w:webHidden/>
          </w:rPr>
          <w:instrText xml:space="preserve"> PAGEREF _Toc51202070 \h </w:instrText>
        </w:r>
        <w:r w:rsidR="006B47C1" w:rsidRPr="006B47C1">
          <w:rPr>
            <w:i/>
            <w:iCs/>
            <w:noProof/>
            <w:webHidden/>
          </w:rPr>
        </w:r>
        <w:r w:rsidR="006B47C1" w:rsidRPr="006B47C1">
          <w:rPr>
            <w:i/>
            <w:iCs/>
            <w:noProof/>
            <w:webHidden/>
          </w:rPr>
          <w:fldChar w:fldCharType="separate"/>
        </w:r>
        <w:r w:rsidR="00080AA5">
          <w:rPr>
            <w:i/>
            <w:iCs/>
            <w:noProof/>
            <w:webHidden/>
            <w:rtl/>
          </w:rPr>
          <w:t>3</w:t>
        </w:r>
        <w:r w:rsidR="006B47C1" w:rsidRPr="006B47C1">
          <w:rPr>
            <w:i/>
            <w:iCs/>
            <w:noProof/>
            <w:webHidden/>
          </w:rPr>
          <w:fldChar w:fldCharType="end"/>
        </w:r>
      </w:hyperlink>
    </w:p>
    <w:p w14:paraId="1A25C3D7" w14:textId="032A0C5C" w:rsidR="006B47C1" w:rsidRPr="006B47C1" w:rsidRDefault="006B47C1" w:rsidP="006B47C1">
      <w:pPr>
        <w:spacing w:before="200"/>
        <w:rPr>
          <w:rFonts w:eastAsia="SimSun"/>
          <w:lang w:eastAsia="zh-CN" w:bidi="ar-EG"/>
        </w:rPr>
      </w:pPr>
      <w:r w:rsidRPr="006B47C1">
        <w:rPr>
          <w:rFonts w:eastAsia="SimSun"/>
          <w:rtl/>
          <w:lang w:eastAsia="zh-CN" w:bidi="ar-EG"/>
        </w:rPr>
        <w:fldChar w:fldCharType="end"/>
      </w:r>
    </w:p>
    <w:p w14:paraId="5DC6308A" w14:textId="05E11C78" w:rsidR="006B47C1" w:rsidRDefault="006B47C1" w:rsidP="006B47C1">
      <w:pPr>
        <w:rPr>
          <w:rFonts w:eastAsia="SimSun"/>
          <w:rtl/>
          <w:lang w:eastAsia="zh-CN" w:bidi="ar-EG"/>
        </w:rPr>
      </w:pPr>
      <w:r>
        <w:rPr>
          <w:rFonts w:eastAsia="SimSun"/>
          <w:rtl/>
          <w:lang w:eastAsia="zh-CN" w:bidi="ar-EG"/>
        </w:rPr>
        <w:br w:type="page"/>
      </w:r>
    </w:p>
    <w:p w14:paraId="35D6E101" w14:textId="48B8AEDF" w:rsidR="006B47C1" w:rsidRPr="006B47C1" w:rsidRDefault="006B47C1" w:rsidP="006B47C1">
      <w:pPr>
        <w:pStyle w:val="ArtTitle"/>
        <w:rPr>
          <w:rtl/>
        </w:rPr>
      </w:pPr>
      <w:bookmarkStart w:id="16" w:name="_Toc50028896"/>
      <w:bookmarkStart w:id="17" w:name="_Toc51202067"/>
      <w:r w:rsidRPr="006B47C1">
        <w:rPr>
          <w:rFonts w:hint="cs"/>
          <w:rtl/>
        </w:rPr>
        <w:lastRenderedPageBreak/>
        <w:t xml:space="preserve">القاعدة </w:t>
      </w:r>
      <w:r w:rsidRPr="006B47C1">
        <w:rPr>
          <w:rFonts w:hint="cs"/>
        </w:rPr>
        <w:t>82</w:t>
      </w:r>
      <w:r w:rsidRPr="006B47C1">
        <w:rPr>
          <w:rFonts w:hint="cs"/>
          <w:vertAlign w:val="superscript"/>
          <w:rtl/>
        </w:rPr>
        <w:t>(رابعا)</w:t>
      </w:r>
      <w:r w:rsidRPr="006B47C1">
        <w:rPr>
          <w:rFonts w:hint="cs"/>
          <w:rtl/>
        </w:rPr>
        <w:t xml:space="preserve"> -</w:t>
      </w:r>
      <w:r w:rsidRPr="006B47C1">
        <w:rPr>
          <w:rFonts w:hint="cs"/>
          <w:rtl/>
        </w:rPr>
        <w:br/>
      </w:r>
      <w:bookmarkEnd w:id="16"/>
      <w:r w:rsidRPr="006B47C1">
        <w:rPr>
          <w:rFonts w:hint="cs"/>
          <w:rtl/>
        </w:rPr>
        <w:t>عذر التأخر في مراعاة المهل</w:t>
      </w:r>
      <w:r w:rsidRPr="006B47C1">
        <w:rPr>
          <w:rFonts w:hint="cs"/>
          <w:color w:val="0000FF"/>
          <w:u w:val="single"/>
          <w:rtl/>
        </w:rPr>
        <w:t xml:space="preserve"> وتمديد المهل</w:t>
      </w:r>
      <w:bookmarkEnd w:id="17"/>
    </w:p>
    <w:p w14:paraId="0F82AB4C" w14:textId="77777777" w:rsidR="006B47C1" w:rsidRPr="006B47C1" w:rsidRDefault="006B47C1" w:rsidP="00B2578B">
      <w:pPr>
        <w:pStyle w:val="SubArtTitle"/>
        <w:spacing w:line="360" w:lineRule="auto"/>
        <w:rPr>
          <w:rtl/>
        </w:rPr>
      </w:pPr>
      <w:bookmarkStart w:id="18" w:name="_Toc50028897"/>
      <w:bookmarkStart w:id="19" w:name="_Toc51202068"/>
      <w:r w:rsidRPr="006B47C1">
        <w:rPr>
          <w:rFonts w:hint="cs"/>
          <w:i w:val="0"/>
          <w:iCs w:val="0"/>
        </w:rPr>
        <w:t>82</w:t>
      </w:r>
      <w:r w:rsidRPr="006B47C1">
        <w:rPr>
          <w:rFonts w:hint="cs"/>
          <w:i w:val="0"/>
          <w:iCs w:val="0"/>
          <w:vertAlign w:val="superscript"/>
          <w:rtl/>
        </w:rPr>
        <w:t>(رابعا)</w:t>
      </w:r>
      <w:r w:rsidRPr="006B47C1">
        <w:rPr>
          <w:rFonts w:hint="cs"/>
          <w:i w:val="0"/>
          <w:iCs w:val="0"/>
        </w:rPr>
        <w:t>1</w:t>
      </w:r>
      <w:r w:rsidRPr="006B47C1">
        <w:rPr>
          <w:rFonts w:hint="cs"/>
          <w:i w:val="0"/>
          <w:iCs w:val="0"/>
          <w:rtl/>
        </w:rPr>
        <w:tab/>
      </w:r>
      <w:bookmarkEnd w:id="18"/>
      <w:r w:rsidRPr="006B47C1">
        <w:rPr>
          <w:rFonts w:hint="cs"/>
          <w:rtl/>
        </w:rPr>
        <w:t>عذر التأخر في مراعاة المهل</w:t>
      </w:r>
      <w:bookmarkEnd w:id="19"/>
    </w:p>
    <w:p w14:paraId="22F24479" w14:textId="6547D614" w:rsidR="006B47C1" w:rsidRPr="006B47C1" w:rsidRDefault="006B47C1" w:rsidP="00B2578B">
      <w:pPr>
        <w:pStyle w:val="BodyText"/>
        <w:spacing w:line="360" w:lineRule="auto"/>
        <w:ind w:firstLine="567"/>
        <w:rPr>
          <w:noProof/>
          <w:snapToGrid w:val="0"/>
          <w:rtl/>
        </w:rPr>
      </w:pPr>
      <w:r w:rsidRPr="006B47C1">
        <w:rPr>
          <w:rFonts w:hint="cs"/>
          <w:noProof/>
          <w:snapToGrid w:val="0"/>
          <w:rtl/>
        </w:rPr>
        <w:t>(أ)</w:t>
      </w:r>
      <w:r w:rsidRPr="006B47C1">
        <w:rPr>
          <w:rFonts w:hint="cs"/>
          <w:noProof/>
          <w:snapToGrid w:val="0"/>
          <w:rtl/>
        </w:rPr>
        <w:tab/>
        <w:t xml:space="preserve">يجوز لأي طرف معني أن يقيم الدليل على أن المهلة المحددة في اللائحة التنفيذية للقيام بأي إجراء لدى مكتب تسلم الطلبات أو إدارة البحث الدولي أو الإدارة المحددة للبحث الإضافي أو إدارة الفحص التمهيدي الدولي أو المكتب الدولي لم تراع بسبب حرب أو ثورة أو اضطرابات أهلية أو إضراب أو كارثة طبيعية </w:t>
      </w:r>
      <w:r w:rsidRPr="006B47C1">
        <w:rPr>
          <w:rFonts w:hint="cs"/>
          <w:noProof/>
          <w:snapToGrid w:val="0"/>
          <w:color w:val="0000FF"/>
          <w:u w:val="single"/>
          <w:rtl/>
        </w:rPr>
        <w:t>أو وباء</w:t>
      </w:r>
      <w:r w:rsidRPr="006B47C1">
        <w:rPr>
          <w:rFonts w:hint="cs"/>
          <w:noProof/>
          <w:snapToGrid w:val="0"/>
          <w:rtl/>
        </w:rPr>
        <w:t xml:space="preserve"> أو عدم توافر خدمات التواصل الإلكتروني بشكل عام أو غير ذلك من الأسباب المماثلة في محل إقامة الطرف المعني أو مقر عمله أو محل نزوله، وأن الإجراء المعني اتخذ في أسرع وقت معقول ممكن.</w:t>
      </w:r>
    </w:p>
    <w:p w14:paraId="4339A2D5" w14:textId="5F92D97D" w:rsidR="006B47C1" w:rsidRPr="006B47C1" w:rsidRDefault="006B47C1" w:rsidP="00B2578B">
      <w:pPr>
        <w:pStyle w:val="BodyText"/>
        <w:spacing w:line="360" w:lineRule="auto"/>
        <w:ind w:firstLine="567"/>
        <w:rPr>
          <w:noProof/>
          <w:snapToGrid w:val="0"/>
          <w:rtl/>
        </w:rPr>
      </w:pPr>
      <w:r w:rsidRPr="006B47C1">
        <w:rPr>
          <w:rFonts w:hint="cs"/>
          <w:noProof/>
          <w:snapToGrid w:val="0"/>
          <w:rtl/>
        </w:rPr>
        <w:t>(ب)</w:t>
      </w:r>
      <w:r w:rsidRPr="006B47C1">
        <w:rPr>
          <w:rFonts w:hint="cs"/>
          <w:noProof/>
          <w:snapToGrid w:val="0"/>
          <w:rtl/>
        </w:rPr>
        <w:tab/>
        <w:t>[بدون تغيير</w:t>
      </w:r>
      <w:r>
        <w:rPr>
          <w:rFonts w:hint="cs"/>
          <w:noProof/>
          <w:snapToGrid w:val="0"/>
          <w:rtl/>
        </w:rPr>
        <w:t xml:space="preserve">]  </w:t>
      </w:r>
      <w:r w:rsidRPr="006B47C1">
        <w:rPr>
          <w:rFonts w:hint="cs"/>
          <w:noProof/>
          <w:snapToGrid w:val="0"/>
          <w:rtl/>
        </w:rPr>
        <w:t xml:space="preserve">يوجه أي دليل من هذا القبيل إلى المكتب أو الإدارة أو المكتب الدولي، حسب الحال، في فترة لا تزيد على ستة أشهر بعد انقضاء المهلة المطبقة في الحالة المعنية. وإذا أقيم الدليل على وجه مُرضٍ </w:t>
      </w:r>
      <w:r w:rsidRPr="006B47C1">
        <w:rPr>
          <w:rFonts w:hint="cs"/>
          <w:noProof/>
          <w:snapToGrid w:val="0"/>
          <w:rtl/>
        </w:rPr>
        <w:lastRenderedPageBreak/>
        <w:t>للمرسل إليه، وجب قبول اعتذار التأخر في مراعاة المهلة.</w:t>
      </w:r>
    </w:p>
    <w:p w14:paraId="1528AD28" w14:textId="04BE21EE" w:rsidR="006B47C1" w:rsidRPr="006B47C1" w:rsidRDefault="006B47C1" w:rsidP="00B2578B">
      <w:pPr>
        <w:pStyle w:val="BodyText"/>
        <w:spacing w:line="360" w:lineRule="auto"/>
        <w:ind w:firstLine="567"/>
        <w:rPr>
          <w:noProof/>
          <w:snapToGrid w:val="0"/>
          <w:rtl/>
        </w:rPr>
      </w:pPr>
      <w:r w:rsidRPr="006B47C1">
        <w:rPr>
          <w:rFonts w:hint="cs"/>
          <w:noProof/>
          <w:snapToGrid w:val="0"/>
          <w:rtl/>
        </w:rPr>
        <w:t>(ج)</w:t>
      </w:r>
      <w:r w:rsidRPr="006B47C1">
        <w:rPr>
          <w:rFonts w:hint="cs"/>
          <w:noProof/>
          <w:snapToGrid w:val="0"/>
          <w:rtl/>
        </w:rPr>
        <w:tab/>
        <w:t>[بدون تغيير</w:t>
      </w:r>
      <w:r>
        <w:rPr>
          <w:rFonts w:hint="cs"/>
          <w:noProof/>
          <w:snapToGrid w:val="0"/>
          <w:rtl/>
        </w:rPr>
        <w:t xml:space="preserve">]  </w:t>
      </w:r>
      <w:r w:rsidRPr="006B47C1">
        <w:rPr>
          <w:rFonts w:hint="cs"/>
          <w:noProof/>
          <w:snapToGrid w:val="0"/>
          <w:rtl/>
        </w:rPr>
        <w:t xml:space="preserve">لا يتعين على أي مكتب معيّن أو منتخب قام المودع لديه، في وقت صدور قرار قبول اعتذار التأخر، بالإجراءات المشار إليها في المادة </w:t>
      </w:r>
      <w:r w:rsidRPr="006B47C1">
        <w:rPr>
          <w:rFonts w:hint="cs"/>
          <w:noProof/>
          <w:snapToGrid w:val="0"/>
        </w:rPr>
        <w:t>22</w:t>
      </w:r>
      <w:r w:rsidRPr="006B47C1">
        <w:rPr>
          <w:rFonts w:hint="cs"/>
          <w:noProof/>
          <w:snapToGrid w:val="0"/>
          <w:rtl/>
        </w:rPr>
        <w:t xml:space="preserve"> أو المادة </w:t>
      </w:r>
      <w:r w:rsidRPr="006B47C1">
        <w:rPr>
          <w:rFonts w:hint="cs"/>
          <w:noProof/>
          <w:snapToGrid w:val="0"/>
        </w:rPr>
        <w:t>39</w:t>
      </w:r>
      <w:r w:rsidRPr="006B47C1">
        <w:rPr>
          <w:rFonts w:hint="cs"/>
          <w:noProof/>
          <w:snapToGrid w:val="0"/>
          <w:rtl/>
        </w:rPr>
        <w:t>، أن يراعي هذا الاعتذار.</w:t>
      </w:r>
    </w:p>
    <w:p w14:paraId="5487A0F6" w14:textId="6F14DB6B" w:rsidR="006B47C1" w:rsidRPr="006B47C1" w:rsidRDefault="006B47C1" w:rsidP="00B2578B">
      <w:pPr>
        <w:pStyle w:val="BodyText"/>
        <w:spacing w:line="360" w:lineRule="auto"/>
        <w:ind w:firstLine="567"/>
        <w:rPr>
          <w:noProof/>
          <w:snapToGrid w:val="0"/>
          <w:rtl/>
        </w:rPr>
      </w:pPr>
      <w:r w:rsidRPr="006B47C1">
        <w:rPr>
          <w:rFonts w:hint="cs"/>
          <w:noProof/>
          <w:snapToGrid w:val="0"/>
          <w:color w:val="0000FF"/>
          <w:u w:val="single"/>
          <w:rtl/>
        </w:rPr>
        <w:t>(د)</w:t>
      </w:r>
      <w:r w:rsidRPr="006B47C1">
        <w:rPr>
          <w:rFonts w:hint="cs"/>
          <w:noProof/>
          <w:snapToGrid w:val="0"/>
          <w:color w:val="0000FF"/>
          <w:u w:val="single"/>
          <w:rtl/>
        </w:rPr>
        <w:tab/>
        <w:t>يجوز للمكتب أو الإدارة أو المكتب الدولي، بحسب الحال، أن يقرر إسقاط شرط الإثبات طبقاً للشروط التي يحددها. ويقوم المكتب أو الإدارة بإبلاغ المكتب الدولي بذلك.</w:t>
      </w:r>
    </w:p>
    <w:p w14:paraId="7236D781" w14:textId="77777777" w:rsidR="006B47C1" w:rsidRPr="006B47C1" w:rsidRDefault="006B47C1" w:rsidP="00B2578B">
      <w:pPr>
        <w:pStyle w:val="SubArtTitle"/>
        <w:spacing w:line="360" w:lineRule="auto"/>
        <w:rPr>
          <w:rtl/>
        </w:rPr>
      </w:pPr>
      <w:bookmarkStart w:id="20" w:name="_Toc51202069"/>
      <w:r w:rsidRPr="006B47C1">
        <w:rPr>
          <w:rFonts w:hint="cs"/>
          <w:i w:val="0"/>
          <w:iCs w:val="0"/>
        </w:rPr>
        <w:t>82</w:t>
      </w:r>
      <w:r w:rsidRPr="006B47C1">
        <w:rPr>
          <w:rFonts w:hint="cs"/>
          <w:i w:val="0"/>
          <w:iCs w:val="0"/>
          <w:vertAlign w:val="superscript"/>
          <w:rtl/>
        </w:rPr>
        <w:t>(رابعا)</w:t>
      </w:r>
      <w:r w:rsidRPr="006B47C1">
        <w:rPr>
          <w:rFonts w:hint="cs"/>
          <w:i w:val="0"/>
          <w:iCs w:val="0"/>
        </w:rPr>
        <w:t>2</w:t>
      </w:r>
      <w:r w:rsidRPr="006B47C1">
        <w:rPr>
          <w:rFonts w:hint="cs"/>
          <w:i w:val="0"/>
          <w:iCs w:val="0"/>
          <w:rtl/>
        </w:rPr>
        <w:tab/>
      </w:r>
      <w:r w:rsidRPr="006B47C1">
        <w:rPr>
          <w:rFonts w:hint="cs"/>
          <w:rtl/>
        </w:rPr>
        <w:t>عدم توافر وسائل الاتصال الإلكتروني في المكتب</w:t>
      </w:r>
      <w:bookmarkEnd w:id="20"/>
    </w:p>
    <w:p w14:paraId="3CF65D69" w14:textId="5FD69F20" w:rsidR="006B47C1" w:rsidRPr="006B47C1" w:rsidRDefault="006B47C1" w:rsidP="00B2578B">
      <w:pPr>
        <w:pStyle w:val="BodyText"/>
        <w:spacing w:line="360" w:lineRule="auto"/>
        <w:ind w:firstLine="567"/>
        <w:rPr>
          <w:noProof/>
          <w:snapToGrid w:val="0"/>
          <w:rtl/>
        </w:rPr>
      </w:pPr>
      <w:r w:rsidRPr="006B47C1">
        <w:rPr>
          <w:rFonts w:hint="cs"/>
          <w:noProof/>
          <w:snapToGrid w:val="0"/>
          <w:rtl/>
        </w:rPr>
        <w:t>(أ)</w:t>
      </w:r>
      <w:r w:rsidRPr="006B47C1">
        <w:rPr>
          <w:rFonts w:hint="cs"/>
          <w:noProof/>
          <w:snapToGrid w:val="0"/>
          <w:rtl/>
        </w:rPr>
        <w:tab/>
        <w:t>[بدون تغيير</w:t>
      </w:r>
      <w:r>
        <w:rPr>
          <w:rFonts w:hint="cs"/>
          <w:noProof/>
          <w:snapToGrid w:val="0"/>
          <w:rtl/>
        </w:rPr>
        <w:t xml:space="preserve">]  </w:t>
      </w:r>
      <w:r w:rsidRPr="006B47C1">
        <w:rPr>
          <w:rFonts w:hint="cs"/>
          <w:noProof/>
          <w:snapToGrid w:val="0"/>
          <w:rtl/>
        </w:rPr>
        <w:t xml:space="preserve">يجوز لأي مكتب وطني أو منظمة حكومية دولية النص على قبول عذر التأخر في مراعاة المهلة المحدّدة في اللائحة التنفيذية للقيام بأي إجراء لدى ذلك المكتب أو تلك المنظمة بسبب عدم توافر أي من وسائل الاتصال الإلكترونية المسموح بها في ذلك المكتب أو تلك المنظمة، شرط القيام بتلك الإجراءات في يوم العمل التالي الذي تكون فيه تلك الوسائل </w:t>
      </w:r>
      <w:r w:rsidRPr="006B47C1">
        <w:rPr>
          <w:rFonts w:hint="cs"/>
          <w:noProof/>
          <w:snapToGrid w:val="0"/>
          <w:rtl/>
        </w:rPr>
        <w:lastRenderedPageBreak/>
        <w:t>الإلكترونية متاحة. وينشر المكتب المعني أو المنظمة المعنية معلومات عن أي من حالات عدم توافر تلك الوسائل، بما في ذلك الفترة التي تستغرقها تلك الحالة، ويخطر المكتب الدولي بذلك.</w:t>
      </w:r>
    </w:p>
    <w:p w14:paraId="526A4E33" w14:textId="65FC2B98" w:rsidR="006B47C1" w:rsidRPr="006B47C1" w:rsidRDefault="006B47C1" w:rsidP="00B2578B">
      <w:pPr>
        <w:pStyle w:val="BodyText"/>
        <w:spacing w:line="360" w:lineRule="auto"/>
        <w:ind w:firstLine="567"/>
        <w:rPr>
          <w:noProof/>
          <w:snapToGrid w:val="0"/>
          <w:rtl/>
        </w:rPr>
      </w:pPr>
      <w:r w:rsidRPr="006B47C1">
        <w:rPr>
          <w:rFonts w:hint="cs"/>
          <w:noProof/>
          <w:snapToGrid w:val="0"/>
          <w:rtl/>
        </w:rPr>
        <w:t>(ب)</w:t>
      </w:r>
      <w:r w:rsidRPr="006B47C1">
        <w:rPr>
          <w:rFonts w:hint="cs"/>
          <w:noProof/>
          <w:snapToGrid w:val="0"/>
          <w:rtl/>
        </w:rPr>
        <w:tab/>
        <w:t>[بدون تغيير</w:t>
      </w:r>
      <w:r>
        <w:rPr>
          <w:rFonts w:hint="cs"/>
          <w:noProof/>
          <w:snapToGrid w:val="0"/>
          <w:rtl/>
        </w:rPr>
        <w:t xml:space="preserve">]  </w:t>
      </w:r>
      <w:r w:rsidRPr="006B47C1">
        <w:rPr>
          <w:rFonts w:hint="cs"/>
          <w:noProof/>
          <w:snapToGrid w:val="0"/>
          <w:rtl/>
        </w:rPr>
        <w:t xml:space="preserve">يتعين أن لا يراعي عذر التأخر في مراعاة مهلة محدّدة بناء على الفقرة (أ) أي مكتب معيّن أو مختار قام المودع لديه، وقت نشر المعلومات المشار إليها في الفقرة (أ)، بالإجراءات المنصوص عليها في المادة </w:t>
      </w:r>
      <w:r w:rsidRPr="006B47C1">
        <w:rPr>
          <w:rFonts w:hint="cs"/>
          <w:noProof/>
          <w:snapToGrid w:val="0"/>
        </w:rPr>
        <w:t>22</w:t>
      </w:r>
      <w:r w:rsidRPr="006B47C1">
        <w:rPr>
          <w:rFonts w:hint="cs"/>
          <w:noProof/>
          <w:snapToGrid w:val="0"/>
          <w:rtl/>
        </w:rPr>
        <w:t xml:space="preserve"> أو المادة </w:t>
      </w:r>
      <w:r w:rsidRPr="006B47C1">
        <w:rPr>
          <w:rFonts w:hint="cs"/>
          <w:noProof/>
          <w:snapToGrid w:val="0"/>
        </w:rPr>
        <w:t>39</w:t>
      </w:r>
      <w:r w:rsidRPr="006B47C1">
        <w:rPr>
          <w:rFonts w:hint="cs"/>
          <w:noProof/>
          <w:snapToGrid w:val="0"/>
          <w:rtl/>
        </w:rPr>
        <w:t>.</w:t>
      </w:r>
    </w:p>
    <w:p w14:paraId="5346D830" w14:textId="77777777" w:rsidR="006B47C1" w:rsidRPr="006B47C1" w:rsidRDefault="006B47C1" w:rsidP="00B2578B">
      <w:pPr>
        <w:pStyle w:val="SubArtTitle"/>
        <w:spacing w:line="360" w:lineRule="auto"/>
        <w:rPr>
          <w:color w:val="0000FF"/>
          <w:rtl/>
        </w:rPr>
      </w:pPr>
      <w:bookmarkStart w:id="21" w:name="_Toc51202070"/>
      <w:bookmarkStart w:id="22" w:name="_Toc50028898"/>
      <w:r w:rsidRPr="006B47C1">
        <w:rPr>
          <w:rFonts w:hint="cs"/>
          <w:i w:val="0"/>
          <w:iCs w:val="0"/>
          <w:color w:val="0000FF"/>
        </w:rPr>
        <w:t>82</w:t>
      </w:r>
      <w:r w:rsidRPr="006B47C1">
        <w:rPr>
          <w:rFonts w:hint="cs"/>
          <w:i w:val="0"/>
          <w:iCs w:val="0"/>
          <w:color w:val="0000FF"/>
          <w:vertAlign w:val="superscript"/>
          <w:rtl/>
        </w:rPr>
        <w:t>(رابعا)</w:t>
      </w:r>
      <w:r w:rsidRPr="006B47C1">
        <w:rPr>
          <w:rFonts w:hint="cs"/>
          <w:i w:val="0"/>
          <w:iCs w:val="0"/>
          <w:color w:val="0000FF"/>
        </w:rPr>
        <w:t>3</w:t>
      </w:r>
      <w:r w:rsidRPr="006B47C1">
        <w:rPr>
          <w:rFonts w:hint="cs"/>
          <w:i w:val="0"/>
          <w:iCs w:val="0"/>
          <w:color w:val="0000FF"/>
          <w:rtl/>
        </w:rPr>
        <w:tab/>
      </w:r>
      <w:r w:rsidRPr="006B47C1">
        <w:rPr>
          <w:rFonts w:hint="cs"/>
          <w:color w:val="0000FF"/>
          <w:rtl/>
        </w:rPr>
        <w:t>تمديد المهل بسبب حدوث اضطراب عام</w:t>
      </w:r>
      <w:bookmarkEnd w:id="21"/>
    </w:p>
    <w:bookmarkEnd w:id="22"/>
    <w:p w14:paraId="5FE08539" w14:textId="133EBB46" w:rsidR="006B47C1" w:rsidRPr="006B47C1" w:rsidRDefault="006B47C1" w:rsidP="00B2578B">
      <w:pPr>
        <w:pStyle w:val="BodyText"/>
        <w:spacing w:line="360" w:lineRule="auto"/>
        <w:ind w:firstLine="567"/>
        <w:rPr>
          <w:noProof/>
          <w:snapToGrid w:val="0"/>
          <w:rtl/>
        </w:rPr>
      </w:pPr>
      <w:r w:rsidRPr="006B47C1">
        <w:rPr>
          <w:rFonts w:hint="cs"/>
          <w:noProof/>
          <w:snapToGrid w:val="0"/>
          <w:color w:val="0000FF"/>
          <w:u w:val="single"/>
          <w:rtl/>
        </w:rPr>
        <w:t>(أ)</w:t>
      </w:r>
      <w:r w:rsidRPr="006B47C1">
        <w:rPr>
          <w:rFonts w:hint="cs"/>
          <w:noProof/>
          <w:snapToGrid w:val="0"/>
          <w:color w:val="0000FF"/>
          <w:u w:val="single"/>
          <w:rtl/>
        </w:rPr>
        <w:tab/>
        <w:t xml:space="preserve">يجوز لأي مكتب لتسلّم الطلبات أو إدارة للبحث الدولي أو إدارة محددة للبحث التكميلي أو إدارة للفحص التمهيدي الدولي أو المكتب الدولي تمديد المهل المقررة في اللائحة التنفيذية لاتخاذ إجراء لدى ذلك المكتب أو الإدارة أو المكتب الدولي عندما تتعرض الدولة التي يقع فيها ذلك المكتب أو الإدارة أو المكتب لاضطراب عام بسبب أحد الأحداث الواردة في الفقرة (أ) من القاعدة </w:t>
      </w:r>
      <w:r w:rsidRPr="006B47C1">
        <w:rPr>
          <w:rFonts w:hint="cs"/>
          <w:noProof/>
          <w:snapToGrid w:val="0"/>
          <w:color w:val="0000FF"/>
          <w:u w:val="single"/>
        </w:rPr>
        <w:t>82</w:t>
      </w:r>
      <w:r w:rsidRPr="006B47C1">
        <w:rPr>
          <w:rFonts w:hint="cs"/>
          <w:noProof/>
          <w:snapToGrid w:val="0"/>
          <w:color w:val="0000FF"/>
          <w:u w:val="single"/>
          <w:vertAlign w:val="superscript"/>
          <w:rtl/>
        </w:rPr>
        <w:t>(رابعا)</w:t>
      </w:r>
      <w:r w:rsidRPr="006B47C1">
        <w:rPr>
          <w:rFonts w:hint="cs"/>
          <w:noProof/>
          <w:snapToGrid w:val="0"/>
          <w:color w:val="0000FF"/>
          <w:u w:val="single"/>
        </w:rPr>
        <w:t>1</w:t>
      </w:r>
      <w:r w:rsidRPr="006B47C1">
        <w:rPr>
          <w:rFonts w:hint="cs"/>
          <w:noProof/>
          <w:snapToGrid w:val="0"/>
          <w:color w:val="0000FF"/>
          <w:u w:val="single"/>
          <w:rtl/>
        </w:rPr>
        <w:t xml:space="preserve"> أو سبب مماثل آخر، ولا سيما عندما ينص القانون الوطني </w:t>
      </w:r>
      <w:r w:rsidRPr="006B47C1">
        <w:rPr>
          <w:rFonts w:hint="cs"/>
          <w:noProof/>
          <w:snapToGrid w:val="0"/>
          <w:color w:val="0000FF"/>
          <w:u w:val="single"/>
          <w:rtl/>
        </w:rPr>
        <w:lastRenderedPageBreak/>
        <w:t>الساري على ذلك المكتب أو الإدارة على تمديد مماثل للمهل فيما يخص الطلبات الوطنية. ويجوز تمديد أي مهلة مُددت طبقاً لهذه الفقرة إلى اليوم التالي لانتهاء الاضطراب. وينشر المكتب المعني أو المنظمة المعنية معلومات عن أي اضطراب من هذا النوع، بما في ذلك فترة تمديد المهل، على ألا تتجاوز فترة التمديد شهرين من تاريخ الإخطار، وتكون هذه الفترة قابلة للتجديد. ويقوم المكتب أو الإدارة بإبلاغ المكتب الدولي بذلك.</w:t>
      </w:r>
    </w:p>
    <w:p w14:paraId="4363C91A" w14:textId="5411C434" w:rsidR="006B47C1" w:rsidRPr="006B47C1" w:rsidRDefault="006B47C1" w:rsidP="00B2578B">
      <w:pPr>
        <w:pStyle w:val="BodyText"/>
        <w:spacing w:line="360" w:lineRule="auto"/>
        <w:ind w:firstLine="567"/>
        <w:rPr>
          <w:noProof/>
          <w:snapToGrid w:val="0"/>
          <w:u w:val="single"/>
          <w:rtl/>
        </w:rPr>
      </w:pPr>
      <w:r w:rsidRPr="006B47C1">
        <w:rPr>
          <w:rFonts w:hint="cs"/>
          <w:noProof/>
          <w:snapToGrid w:val="0"/>
          <w:color w:val="0000FF"/>
          <w:u w:val="single"/>
          <w:rtl/>
        </w:rPr>
        <w:t>(ب)</w:t>
      </w:r>
      <w:r w:rsidRPr="006B47C1">
        <w:rPr>
          <w:rFonts w:hint="cs"/>
          <w:noProof/>
          <w:snapToGrid w:val="0"/>
          <w:color w:val="0000FF"/>
          <w:u w:val="single"/>
          <w:rtl/>
        </w:rPr>
        <w:tab/>
        <w:t>لا يكون أي مكتب معيَّن أو مختار ملزماً بمراعاة تمديد مهلة محددة بناء على الفقرة (أ) إذا بدأت إجراءات المعالجة الوطنية لدى هذا المكتب في تاريخ نشر المعلومات المذكورة في الفقرة (أ).</w:t>
      </w:r>
    </w:p>
    <w:p w14:paraId="6626CBC6" w14:textId="14E8DA60" w:rsidR="006B47C1" w:rsidRPr="006B47C1" w:rsidRDefault="006B47C1" w:rsidP="00B2578B">
      <w:pPr>
        <w:pStyle w:val="Endofdocument-Annex"/>
        <w:rPr>
          <w:rFonts w:eastAsia="SimSun"/>
          <w:rtl/>
          <w:lang w:eastAsia="zh-CN" w:bidi="ar-EG"/>
        </w:rPr>
      </w:pPr>
      <w:r w:rsidRPr="006B47C1">
        <w:rPr>
          <w:rFonts w:eastAsia="SimSun" w:hint="cs"/>
          <w:rtl/>
          <w:lang w:eastAsia="zh-CN" w:bidi="ar-EG"/>
        </w:rPr>
        <w:t>[نهاية المرفق والوثيقة]</w:t>
      </w:r>
    </w:p>
    <w:sectPr w:rsidR="006B47C1" w:rsidRPr="006B47C1" w:rsidSect="006B47C1">
      <w:headerReference w:type="default" r:id="rId10"/>
      <w:headerReference w:type="first" r:id="rId1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3AA74" w14:textId="77777777" w:rsidR="00217AC0" w:rsidRDefault="00217AC0">
      <w:r>
        <w:separator/>
      </w:r>
    </w:p>
  </w:endnote>
  <w:endnote w:type="continuationSeparator" w:id="0">
    <w:p w14:paraId="52BD4627" w14:textId="77777777" w:rsidR="00217AC0" w:rsidRDefault="00217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00000000"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CE715" w14:textId="77777777" w:rsidR="00217AC0" w:rsidRDefault="00217AC0" w:rsidP="009622BF">
      <w:bookmarkStart w:id="0" w:name="OLE_LINK1"/>
      <w:bookmarkStart w:id="1" w:name="OLE_LINK2"/>
      <w:r>
        <w:separator/>
      </w:r>
      <w:bookmarkEnd w:id="0"/>
      <w:bookmarkEnd w:id="1"/>
    </w:p>
  </w:footnote>
  <w:footnote w:type="continuationSeparator" w:id="0">
    <w:p w14:paraId="42103E32" w14:textId="77777777" w:rsidR="00217AC0" w:rsidRDefault="00217AC0" w:rsidP="009622BF">
      <w:r>
        <w:separator/>
      </w:r>
    </w:p>
  </w:footnote>
  <w:footnote w:id="1">
    <w:p w14:paraId="3119B1CC" w14:textId="004AC845" w:rsidR="00312C2A" w:rsidRPr="00B2578B" w:rsidRDefault="00312C2A" w:rsidP="00312C2A">
      <w:pPr>
        <w:pStyle w:val="FootnoteText"/>
        <w:rPr>
          <w:rtl/>
        </w:rPr>
      </w:pPr>
      <w:r w:rsidRPr="00B2578B">
        <w:rPr>
          <w:rStyle w:val="FootnoteReference"/>
          <w:sz w:val="28"/>
          <w:szCs w:val="28"/>
        </w:rPr>
        <w:footnoteRef/>
      </w:r>
      <w:r w:rsidRPr="00B2578B">
        <w:rPr>
          <w:rFonts w:hint="cs"/>
          <w:rtl/>
        </w:rPr>
        <w:t xml:space="preserve"> </w:t>
      </w:r>
      <w:hyperlink r:id="rId1" w:history="1">
        <w:r w:rsidRPr="00B2578B">
          <w:rPr>
            <w:rStyle w:val="Hyperlink"/>
            <w:color w:val="auto"/>
            <w:u w:val="none"/>
          </w:rPr>
          <w:t>https://www.wipo.int/pct/ar/news/2020/news_0009.html</w:t>
        </w:r>
      </w:hyperlink>
    </w:p>
  </w:footnote>
  <w:footnote w:id="2">
    <w:p w14:paraId="79646941" w14:textId="77777777" w:rsidR="006B47C1" w:rsidRPr="00DD6804" w:rsidRDefault="006B47C1" w:rsidP="006B47C1">
      <w:pPr>
        <w:pStyle w:val="FootnoteText"/>
        <w:rPr>
          <w:rtl/>
        </w:rPr>
      </w:pPr>
      <w:r w:rsidRPr="00DD6804">
        <w:rPr>
          <w:rStyle w:val="FootnoteReference"/>
          <w:sz w:val="28"/>
          <w:szCs w:val="28"/>
        </w:rPr>
        <w:footnoteRef/>
      </w:r>
      <w:r w:rsidRPr="00DD6804">
        <w:rPr>
          <w:rtl/>
        </w:rPr>
        <w:t xml:space="preserve"> </w:t>
      </w:r>
      <w:r w:rsidRPr="00DD6804">
        <w:rPr>
          <w:rFonts w:hint="cs"/>
          <w:rtl/>
        </w:rPr>
        <w:t>يُشار إلى التعديلات المقترحة كما يلي: ترد الكلمات المضافة تحتها خط وتظهر الكلمات المحذوفة مشطوبة.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7AD2D" w14:textId="58E1B312" w:rsidR="007A6F25" w:rsidRPr="006565CE" w:rsidRDefault="007A6F25" w:rsidP="0023693F">
    <w:pPr>
      <w:bidi w:val="0"/>
      <w:rPr>
        <w:rFonts w:ascii="Arial" w:hAnsi="Arial" w:cs="Arial"/>
        <w:sz w:val="22"/>
        <w:szCs w:val="22"/>
        <w:lang w:val="en-GB"/>
      </w:rPr>
    </w:pPr>
    <w:bookmarkStart w:id="15" w:name="Code3"/>
    <w:bookmarkEnd w:id="15"/>
    <w:r>
      <w:rPr>
        <w:rFonts w:ascii="Arial" w:hAnsi="Arial" w:cs="Arial"/>
        <w:sz w:val="22"/>
        <w:szCs w:val="22"/>
      </w:rPr>
      <w:t>PCT/WG/13/</w:t>
    </w:r>
    <w:r w:rsidR="006565CE">
      <w:rPr>
        <w:rFonts w:ascii="Arial" w:hAnsi="Arial" w:cs="Arial"/>
        <w:sz w:val="22"/>
        <w:szCs w:val="22"/>
        <w:lang w:val="en-GB"/>
      </w:rPr>
      <w:t>10</w:t>
    </w:r>
  </w:p>
  <w:p w14:paraId="1ACB58EA" w14:textId="6003CE40" w:rsidR="004C495B" w:rsidRPr="00C50A61" w:rsidRDefault="004C495B" w:rsidP="007A6F25">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073B0D">
      <w:rPr>
        <w:rFonts w:ascii="Arial" w:hAnsi="Arial" w:cs="Arial"/>
        <w:noProof/>
        <w:sz w:val="22"/>
        <w:szCs w:val="22"/>
        <w:lang w:bidi="ar-EG"/>
      </w:rPr>
      <w:t>2</w:t>
    </w:r>
    <w:r w:rsidRPr="00C50A61">
      <w:rPr>
        <w:rFonts w:ascii="Arial" w:hAnsi="Arial" w:cs="Arial"/>
        <w:sz w:val="22"/>
        <w:szCs w:val="22"/>
      </w:rPr>
      <w:fldChar w:fldCharType="end"/>
    </w:r>
  </w:p>
  <w:p w14:paraId="061EBA04" w14:textId="77777777" w:rsidR="004C495B" w:rsidRPr="00C50A61" w:rsidRDefault="004C495B"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2C3A0" w14:textId="27E60621" w:rsidR="006B47C1" w:rsidRDefault="006B47C1" w:rsidP="0023693F">
    <w:pPr>
      <w:bidi w:val="0"/>
      <w:rPr>
        <w:rFonts w:ascii="Arial" w:hAnsi="Arial" w:cs="Arial"/>
        <w:sz w:val="22"/>
        <w:szCs w:val="22"/>
        <w:lang w:val="en-GB"/>
      </w:rPr>
    </w:pPr>
    <w:r>
      <w:rPr>
        <w:rFonts w:ascii="Arial" w:hAnsi="Arial" w:cs="Arial"/>
        <w:sz w:val="22"/>
        <w:szCs w:val="22"/>
      </w:rPr>
      <w:t>PCT/WG/13/</w:t>
    </w:r>
    <w:r>
      <w:rPr>
        <w:rFonts w:ascii="Arial" w:hAnsi="Arial" w:cs="Arial"/>
        <w:sz w:val="22"/>
        <w:szCs w:val="22"/>
        <w:lang w:val="en-GB"/>
      </w:rPr>
      <w:t>10</w:t>
    </w:r>
  </w:p>
  <w:p w14:paraId="3E85DA87" w14:textId="6F5D4F1E" w:rsidR="006B47C1" w:rsidRPr="006B47C1" w:rsidRDefault="006B47C1" w:rsidP="006B47C1">
    <w:pPr>
      <w:bidi w:val="0"/>
      <w:rPr>
        <w:rFonts w:ascii="Arial" w:hAnsi="Arial" w:cs="Arial"/>
        <w:sz w:val="22"/>
        <w:szCs w:val="22"/>
        <w:lang w:val="en-GB"/>
      </w:rPr>
    </w:pPr>
    <w:r>
      <w:rPr>
        <w:rFonts w:ascii="Arial" w:hAnsi="Arial" w:cs="Arial"/>
        <w:sz w:val="22"/>
        <w:szCs w:val="22"/>
        <w:lang w:val="en-GB"/>
      </w:rPr>
      <w:t>Annex</w:t>
    </w:r>
  </w:p>
  <w:p w14:paraId="18E77279" w14:textId="09121782" w:rsidR="006B47C1" w:rsidRPr="00C50A61" w:rsidRDefault="006B47C1" w:rsidP="007A6F25">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073B0D">
      <w:rPr>
        <w:rFonts w:ascii="Arial" w:hAnsi="Arial" w:cs="Arial"/>
        <w:noProof/>
        <w:sz w:val="22"/>
        <w:szCs w:val="22"/>
        <w:lang w:bidi="ar-EG"/>
      </w:rPr>
      <w:t>5</w:t>
    </w:r>
    <w:r w:rsidRPr="00C50A61">
      <w:rPr>
        <w:rFonts w:ascii="Arial" w:hAnsi="Arial" w:cs="Arial"/>
        <w:sz w:val="22"/>
        <w:szCs w:val="22"/>
      </w:rPr>
      <w:fldChar w:fldCharType="end"/>
    </w:r>
  </w:p>
  <w:p w14:paraId="021F38EB" w14:textId="77777777" w:rsidR="006B47C1" w:rsidRPr="00C50A61" w:rsidRDefault="006B47C1"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EA996" w14:textId="77777777" w:rsidR="006B47C1" w:rsidRPr="006B47C1" w:rsidRDefault="006B47C1" w:rsidP="006B47C1">
    <w:pPr>
      <w:bidi w:val="0"/>
      <w:rPr>
        <w:rFonts w:ascii="Arial" w:hAnsi="Arial"/>
        <w:sz w:val="22"/>
        <w:lang w:val="en-GB"/>
      </w:rPr>
    </w:pPr>
    <w:r w:rsidRPr="006B47C1">
      <w:rPr>
        <w:rFonts w:ascii="Arial" w:hAnsi="Arial"/>
        <w:sz w:val="22"/>
      </w:rPr>
      <w:t>PCT/WG/13/</w:t>
    </w:r>
    <w:r w:rsidRPr="006B47C1">
      <w:rPr>
        <w:rFonts w:ascii="Arial" w:hAnsi="Arial"/>
        <w:sz w:val="22"/>
        <w:lang w:val="en-GB"/>
      </w:rPr>
      <w:t>10</w:t>
    </w:r>
  </w:p>
  <w:p w14:paraId="30ECC95E" w14:textId="518FD09D" w:rsidR="006B47C1" w:rsidRPr="006B47C1" w:rsidRDefault="006B47C1" w:rsidP="006B47C1">
    <w:pPr>
      <w:bidi w:val="0"/>
      <w:rPr>
        <w:rFonts w:ascii="Arial" w:hAnsi="Arial"/>
        <w:sz w:val="22"/>
        <w:lang w:val="en-GB"/>
      </w:rPr>
    </w:pPr>
    <w:r w:rsidRPr="006B47C1">
      <w:rPr>
        <w:rFonts w:ascii="Arial" w:hAnsi="Arial"/>
        <w:sz w:val="22"/>
        <w:lang w:val="en-GB"/>
      </w:rPr>
      <w:t>ANNEX</w:t>
    </w:r>
  </w:p>
  <w:p w14:paraId="22D03616" w14:textId="3E5F8A69" w:rsidR="006B47C1" w:rsidRPr="006B47C1" w:rsidRDefault="006B47C1" w:rsidP="006B47C1">
    <w:pPr>
      <w:bidi w:val="0"/>
      <w:rPr>
        <w:rFonts w:ascii="Arial" w:hAnsi="Arial"/>
        <w:sz w:val="22"/>
        <w:rtl/>
      </w:rPr>
    </w:pPr>
    <w:r w:rsidRPr="006B47C1">
      <w:rPr>
        <w:rFonts w:ascii="Arial" w:hAnsi="Arial" w:hint="cs"/>
        <w:sz w:val="22"/>
        <w:rtl/>
      </w:rPr>
      <w:t>المرفق</w:t>
    </w:r>
  </w:p>
  <w:p w14:paraId="724DC385" w14:textId="77777777" w:rsidR="006B47C1" w:rsidRPr="006B47C1" w:rsidRDefault="006B47C1" w:rsidP="006B47C1">
    <w:pPr>
      <w:bidi w:val="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1"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03E"/>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B43"/>
    <w:rsid w:val="00066DC7"/>
    <w:rsid w:val="0006794A"/>
    <w:rsid w:val="00067F31"/>
    <w:rsid w:val="00071138"/>
    <w:rsid w:val="00073402"/>
    <w:rsid w:val="00073B0D"/>
    <w:rsid w:val="00075745"/>
    <w:rsid w:val="00075A04"/>
    <w:rsid w:val="00075D39"/>
    <w:rsid w:val="000760C3"/>
    <w:rsid w:val="000763A4"/>
    <w:rsid w:val="00076901"/>
    <w:rsid w:val="00080AA5"/>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AC0"/>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2D6"/>
    <w:rsid w:val="00305417"/>
    <w:rsid w:val="00306127"/>
    <w:rsid w:val="0030641B"/>
    <w:rsid w:val="003067C8"/>
    <w:rsid w:val="00310C06"/>
    <w:rsid w:val="00311453"/>
    <w:rsid w:val="003114C9"/>
    <w:rsid w:val="0031229D"/>
    <w:rsid w:val="00312C2A"/>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466B"/>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18B9"/>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07D2"/>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04D"/>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E5B"/>
    <w:rsid w:val="005F6F2E"/>
    <w:rsid w:val="005F7D85"/>
    <w:rsid w:val="00601A1F"/>
    <w:rsid w:val="00602655"/>
    <w:rsid w:val="00603B68"/>
    <w:rsid w:val="00605297"/>
    <w:rsid w:val="00605CB9"/>
    <w:rsid w:val="006064F6"/>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65CE"/>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C1"/>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6C99"/>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6F25"/>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19A"/>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168D"/>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30E"/>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578B"/>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8603E"/>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5A2"/>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790"/>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4B8"/>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DFC"/>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798"/>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9FE"/>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73A"/>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0650C2"/>
  <w15:docId w15:val="{0BEB9CC1-9727-4A4D-9740-2516750C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6B47C1"/>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rsid w:val="00DA37C7"/>
    <w:pPr>
      <w:tabs>
        <w:tab w:val="right" w:leader="dot" w:pos="9345"/>
      </w:tabs>
      <w:spacing w:after="120"/>
    </w:pPr>
    <w:rPr>
      <w:b/>
      <w:bCs/>
      <w:noProof/>
    </w:rPr>
  </w:style>
  <w:style w:type="paragraph" w:styleId="TOC2">
    <w:name w:val="toc 2"/>
    <w:basedOn w:val="Normal"/>
    <w:next w:val="Normal"/>
    <w:autoRedefine/>
    <w:uiPriority w:val="39"/>
    <w:rsid w:val="006B47C1"/>
    <w:pPr>
      <w:tabs>
        <w:tab w:val="left" w:pos="1417"/>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paragraph" w:customStyle="1" w:styleId="ONUME">
    <w:name w:val="ONUM E"/>
    <w:basedOn w:val="BodyText"/>
    <w:rsid w:val="00312C2A"/>
    <w:pPr>
      <w:tabs>
        <w:tab w:val="num" w:pos="567"/>
      </w:tabs>
      <w:bidi w:val="0"/>
      <w:spacing w:before="0" w:after="220"/>
    </w:pPr>
    <w:rPr>
      <w:rFonts w:ascii="Arial" w:eastAsia="SimSun" w:hAnsi="Arial"/>
      <w:sz w:val="22"/>
      <w:szCs w:val="20"/>
      <w:lang w:eastAsia="zh-CN"/>
    </w:rPr>
  </w:style>
  <w:style w:type="table" w:customStyle="1" w:styleId="TableGrid1">
    <w:name w:val="Table Grid1"/>
    <w:basedOn w:val="TableNormal"/>
    <w:next w:val="TableGrid"/>
    <w:rsid w:val="00312C2A"/>
    <w:rPr>
      <w:rFonts w:ascii="Times New Roman" w:hAnsi="Times New Roman"/>
      <w:sz w:val="20"/>
      <w:szCs w:val="20"/>
      <w:lang w:val="fr-CH" w:eastAsia="fr-CH" w:bidi="ar-E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12C2A"/>
    <w:rPr>
      <w:color w:val="605E5C"/>
      <w:shd w:val="clear" w:color="auto" w:fill="E1DFDD"/>
    </w:rPr>
  </w:style>
  <w:style w:type="paragraph" w:customStyle="1" w:styleId="ArtTitle">
    <w:name w:val="Art Title"/>
    <w:basedOn w:val="Heading3"/>
    <w:next w:val="BodyText"/>
    <w:qFormat/>
    <w:rsid w:val="006B47C1"/>
    <w:pPr>
      <w:jc w:val="center"/>
    </w:pPr>
    <w:rPr>
      <w:b/>
      <w:bCs/>
      <w:noProof/>
      <w:snapToGrid w:val="0"/>
      <w:lang w:bidi="ar-EG"/>
    </w:rPr>
  </w:style>
  <w:style w:type="paragraph" w:customStyle="1" w:styleId="SubArtTitle">
    <w:name w:val="SubArt Title"/>
    <w:basedOn w:val="Heading4"/>
    <w:next w:val="BodyText"/>
    <w:qFormat/>
    <w:rsid w:val="006B47C1"/>
    <w:rPr>
      <w:i/>
      <w:iCs/>
      <w:noProof/>
      <w:snapToGrid w:val="0"/>
      <w:u w:val="none"/>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pct/ar/news/2020/news_000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ed\Downloads\PCT_WG_13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0E691-C52D-4C89-AC9B-28A82355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PCT_WG_13_AR.dotm</Template>
  <TotalTime>0</TotalTime>
  <Pages>18</Pages>
  <Words>2908</Words>
  <Characters>14805</Characters>
  <Application>Microsoft Office Word</Application>
  <DocSecurity>4</DocSecurity>
  <Lines>521</Lines>
  <Paragraphs>94</Paragraphs>
  <ScaleCrop>false</ScaleCrop>
  <HeadingPairs>
    <vt:vector size="2" baseType="variant">
      <vt:variant>
        <vt:lpstr>Title</vt:lpstr>
      </vt:variant>
      <vt:variant>
        <vt:i4>1</vt:i4>
      </vt:variant>
    </vt:vector>
  </HeadingPairs>
  <TitlesOfParts>
    <vt:vector size="1" baseType="lpstr">
      <vt:lpstr>PCT/WG/13/10 (Arabic)</vt:lpstr>
    </vt:vector>
  </TitlesOfParts>
  <Company>World Intellectual Property Organization</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PCT/WG/13/10 (Arabic)</dc:title>
  <dc:creator>Ahmed Hassan</dc:creator>
  <cp:keywords>FOR OFFICIAL USE ONLY</cp:keywords>
  <cp:lastModifiedBy>SHOUSHA Sally</cp:lastModifiedBy>
  <cp:revision>2</cp:revision>
  <cp:lastPrinted>2020-09-18T13:17:00Z</cp:lastPrinted>
  <dcterms:created xsi:type="dcterms:W3CDTF">2020-09-22T09:09:00Z</dcterms:created>
  <dcterms:modified xsi:type="dcterms:W3CDTF">2020-09-22T09:09:00Z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e563582b-0e68-4332-b611-b9521ddbfef4</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