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00" w:rsidRPr="00C50A61" w:rsidRDefault="00650800" w:rsidP="00650800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CB2820" w:rsidRDefault="0045104D" w:rsidP="003052D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val="fr-CH"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</w:t>
      </w:r>
      <w:r w:rsidR="003E07D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WG/1</w:t>
      </w:r>
      <w:r w:rsidR="003052D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CB282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17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CB2820">
        <w:rPr>
          <w:rFonts w:hint="cs"/>
          <w:b/>
          <w:bCs/>
          <w:sz w:val="30"/>
          <w:szCs w:val="30"/>
          <w:rtl/>
        </w:rPr>
        <w:t>بالإنجليزية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CB2820">
        <w:rPr>
          <w:rFonts w:hint="cs"/>
          <w:b/>
          <w:bCs/>
          <w:sz w:val="30"/>
          <w:szCs w:val="30"/>
          <w:rtl/>
        </w:rPr>
        <w:t>14 مايو 2019</w:t>
      </w:r>
    </w:p>
    <w:p w:rsidR="0045104D" w:rsidRDefault="003E07D2" w:rsidP="003E07D2">
      <w:pPr>
        <w:pStyle w:val="Heading1"/>
        <w:spacing w:line="240" w:lineRule="auto"/>
        <w:rPr>
          <w:rtl/>
        </w:rPr>
      </w:pPr>
      <w:bookmarkStart w:id="7" w:name="Body"/>
      <w:bookmarkStart w:id="8" w:name="_Toc9442369"/>
      <w:bookmarkEnd w:id="7"/>
      <w:r w:rsidRPr="003E07D2">
        <w:rPr>
          <w:rtl/>
        </w:rPr>
        <w:t>معاهدة التعاون بشأن البراءات</w:t>
      </w:r>
      <w:bookmarkEnd w:id="8"/>
    </w:p>
    <w:p w:rsidR="002E7810" w:rsidRPr="00FD6D15" w:rsidRDefault="003E07D2" w:rsidP="009B7572">
      <w:pPr>
        <w:pStyle w:val="Heading1"/>
        <w:spacing w:after="600" w:line="240" w:lineRule="auto"/>
        <w:rPr>
          <w:rtl/>
        </w:rPr>
      </w:pPr>
      <w:bookmarkStart w:id="9" w:name="_Toc9442370"/>
      <w:r w:rsidRPr="003E07D2">
        <w:rPr>
          <w:rtl/>
        </w:rPr>
        <w:t>الفريق العامل</w:t>
      </w:r>
      <w:bookmarkEnd w:id="9"/>
    </w:p>
    <w:p w:rsidR="002E7810" w:rsidRPr="002E7810" w:rsidRDefault="003E07D2" w:rsidP="003052D6">
      <w:pPr>
        <w:rPr>
          <w:rFonts w:ascii="Arial Black" w:hAnsi="Arial Black" w:cs="PT Bold Heading"/>
          <w:sz w:val="30"/>
          <w:szCs w:val="30"/>
          <w:rtl/>
        </w:rPr>
      </w:pPr>
      <w:bookmarkStart w:id="10" w:name="Session"/>
      <w:bookmarkEnd w:id="10"/>
      <w:r w:rsidRPr="003E07D2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3052D6">
        <w:rPr>
          <w:rFonts w:ascii="Arial Black" w:hAnsi="Arial Black" w:cs="PT Bold Heading" w:hint="cs"/>
          <w:sz w:val="30"/>
          <w:szCs w:val="30"/>
          <w:rtl/>
        </w:rPr>
        <w:t>الثانية</w:t>
      </w:r>
      <w:r w:rsidRPr="003E07D2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3E07D2" w:rsidP="003052D6">
      <w:pPr>
        <w:spacing w:line="600" w:lineRule="auto"/>
        <w:rPr>
          <w:b/>
          <w:bCs/>
        </w:rPr>
      </w:pPr>
      <w:bookmarkStart w:id="11" w:name="Place"/>
      <w:bookmarkEnd w:id="11"/>
      <w:r w:rsidRPr="003E07D2">
        <w:rPr>
          <w:b/>
          <w:bCs/>
          <w:rtl/>
        </w:rPr>
        <w:t xml:space="preserve">جنيف، من </w:t>
      </w:r>
      <w:r w:rsidR="003052D6">
        <w:rPr>
          <w:rFonts w:hint="cs"/>
          <w:b/>
          <w:bCs/>
          <w:rtl/>
        </w:rPr>
        <w:t>11</w:t>
      </w:r>
      <w:r w:rsidRPr="003E07D2">
        <w:rPr>
          <w:b/>
          <w:bCs/>
          <w:rtl/>
        </w:rPr>
        <w:t xml:space="preserve"> إلى </w:t>
      </w:r>
      <w:r w:rsidR="003052D6">
        <w:rPr>
          <w:rFonts w:hint="cs"/>
          <w:b/>
          <w:bCs/>
          <w:rtl/>
        </w:rPr>
        <w:t>14</w:t>
      </w:r>
      <w:r w:rsidRPr="003E07D2">
        <w:rPr>
          <w:b/>
          <w:bCs/>
          <w:rtl/>
        </w:rPr>
        <w:t xml:space="preserve"> يونيو </w:t>
      </w:r>
      <w:r w:rsidR="003052D6">
        <w:rPr>
          <w:rFonts w:hint="cs"/>
          <w:b/>
          <w:bCs/>
          <w:rtl/>
        </w:rPr>
        <w:t>2019</w:t>
      </w:r>
    </w:p>
    <w:p w:rsidR="002E7810" w:rsidRPr="002E7810" w:rsidRDefault="008F3604" w:rsidP="008F3604">
      <w:pPr>
        <w:rPr>
          <w:rFonts w:ascii="Arial Black" w:hAnsi="Arial Black" w:cs="PT Bold Heading"/>
          <w:sz w:val="26"/>
          <w:szCs w:val="26"/>
          <w:rtl/>
        </w:rPr>
      </w:pPr>
      <w:bookmarkStart w:id="12" w:name="TitleOfDoc"/>
      <w:bookmarkEnd w:id="12"/>
      <w:r w:rsidRPr="00372DB6">
        <w:rPr>
          <w:rFonts w:ascii="Arial Black" w:hAnsi="Arial Black" w:cs="PT Bold Heading"/>
          <w:sz w:val="26"/>
          <w:szCs w:val="26"/>
          <w:rtl/>
        </w:rPr>
        <w:t>الضمانات في حالة أعطال تصيب المكاتب</w:t>
      </w:r>
    </w:p>
    <w:p w:rsidR="003F7284" w:rsidRPr="00BB6440" w:rsidRDefault="00650800" w:rsidP="00874721">
      <w:pPr>
        <w:spacing w:before="200" w:after="960"/>
        <w:rPr>
          <w:i/>
          <w:iCs/>
          <w:rtl/>
        </w:rPr>
      </w:pPr>
      <w:bookmarkStart w:id="13" w:name="Doc"/>
      <w:bookmarkEnd w:id="13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8F3604">
        <w:rPr>
          <w:rFonts w:hint="cs"/>
          <w:i/>
          <w:iCs/>
          <w:rtl/>
        </w:rPr>
        <w:t xml:space="preserve"> المكتب الأوروبي للبراءات</w:t>
      </w:r>
      <w:bookmarkStart w:id="14" w:name="Prepared"/>
      <w:bookmarkEnd w:id="14"/>
    </w:p>
    <w:p w:rsidR="00E3612C" w:rsidRPr="00650800" w:rsidRDefault="00650800" w:rsidP="00650800">
      <w:pPr>
        <w:pStyle w:val="Heading2"/>
        <w:rPr>
          <w:rtl/>
        </w:rPr>
      </w:pPr>
      <w:bookmarkStart w:id="15" w:name="_Toc9442371"/>
      <w:r w:rsidRPr="00650800">
        <w:rPr>
          <w:rFonts w:hint="cs"/>
          <w:rtl/>
        </w:rPr>
        <w:t>ملخص</w:t>
      </w:r>
      <w:bookmarkEnd w:id="15"/>
    </w:p>
    <w:p w:rsidR="00FF20FC" w:rsidRDefault="00FF20FC" w:rsidP="00F20199">
      <w:pPr>
        <w:pStyle w:val="ONUMA"/>
      </w:pPr>
      <w:r w:rsidRPr="005A4C8B">
        <w:rPr>
          <w:rtl/>
        </w:rPr>
        <w:t xml:space="preserve">تقترح هذه الوثيقة تعديل اللائحة التنفيذية لمعاهدة التعاون بشأن البراءات </w:t>
      </w:r>
      <w:r w:rsidR="00650800">
        <w:rPr>
          <w:rFonts w:hint="cs"/>
          <w:rtl/>
        </w:rPr>
        <w:t xml:space="preserve">(معاهدة البراءات) </w:t>
      </w:r>
      <w:r w:rsidRPr="005A4C8B">
        <w:rPr>
          <w:rtl/>
        </w:rPr>
        <w:t>بإ</w:t>
      </w:r>
      <w:r w:rsidRPr="005A4C8B">
        <w:rPr>
          <w:rFonts w:hint="cs"/>
          <w:rtl/>
        </w:rPr>
        <w:t xml:space="preserve">دخال </w:t>
      </w:r>
      <w:r w:rsidRPr="005A4C8B">
        <w:rPr>
          <w:rtl/>
        </w:rPr>
        <w:t>قاعدة</w:t>
      </w:r>
      <w:r w:rsidR="00F70830">
        <w:t xml:space="preserve"> </w:t>
      </w:r>
      <w:r w:rsidR="00F70830">
        <w:rPr>
          <w:rFonts w:hint="cs"/>
          <w:rtl/>
        </w:rPr>
        <w:t>جديدة</w:t>
      </w:r>
      <w:r w:rsidRPr="005A4C8B">
        <w:rPr>
          <w:rFonts w:hint="cs"/>
          <w:rtl/>
        </w:rPr>
        <w:t xml:space="preserve"> </w:t>
      </w:r>
      <w:r w:rsidRPr="005A4C8B">
        <w:rPr>
          <w:rtl/>
        </w:rPr>
        <w:t>82</w:t>
      </w:r>
      <w:r w:rsidRPr="00650800">
        <w:rPr>
          <w:vertAlign w:val="superscript"/>
          <w:rtl/>
        </w:rPr>
        <w:t>(رابعا)</w:t>
      </w:r>
      <w:r w:rsidRPr="005A4C8B">
        <w:rPr>
          <w:rtl/>
        </w:rPr>
        <w:t>(</w:t>
      </w:r>
      <w:r>
        <w:rPr>
          <w:rFonts w:hint="cs"/>
          <w:rtl/>
        </w:rPr>
        <w:t>2</w:t>
      </w:r>
      <w:r w:rsidRPr="005A4C8B">
        <w:rPr>
          <w:rtl/>
        </w:rPr>
        <w:t xml:space="preserve">) </w:t>
      </w:r>
      <w:r>
        <w:rPr>
          <w:rFonts w:hint="cs"/>
          <w:rtl/>
        </w:rPr>
        <w:t>لتوفير</w:t>
      </w:r>
      <w:r w:rsidRPr="005A4C8B">
        <w:rPr>
          <w:rtl/>
        </w:rPr>
        <w:t xml:space="preserve"> أساس قانون</w:t>
      </w:r>
      <w:r>
        <w:rPr>
          <w:rFonts w:hint="cs"/>
          <w:rtl/>
        </w:rPr>
        <w:t>ي</w:t>
      </w:r>
      <w:r w:rsidRPr="005A4C8B">
        <w:rPr>
          <w:rtl/>
        </w:rPr>
        <w:t xml:space="preserve"> </w:t>
      </w:r>
      <w:r>
        <w:rPr>
          <w:rFonts w:hint="cs"/>
          <w:rtl/>
        </w:rPr>
        <w:t>صريح</w:t>
      </w:r>
      <w:r w:rsidRPr="005A4C8B">
        <w:rPr>
          <w:rtl/>
        </w:rPr>
        <w:t xml:space="preserve"> </w:t>
      </w:r>
      <w:r w:rsidR="00555880">
        <w:rPr>
          <w:rFonts w:hint="cs"/>
          <w:rtl/>
        </w:rPr>
        <w:t>في</w:t>
      </w:r>
      <w:r w:rsidRPr="005A4C8B">
        <w:rPr>
          <w:rtl/>
        </w:rPr>
        <w:t xml:space="preserve"> معاهدة البراءات</w:t>
      </w:r>
      <w:r>
        <w:rPr>
          <w:rFonts w:hint="cs"/>
          <w:rtl/>
        </w:rPr>
        <w:t xml:space="preserve"> لأحد المكاتب </w:t>
      </w:r>
      <w:r w:rsidR="00650800">
        <w:rPr>
          <w:rFonts w:hint="cs"/>
          <w:rtl/>
        </w:rPr>
        <w:t>كي يقبل</w:t>
      </w:r>
      <w:r w:rsidR="00555880">
        <w:rPr>
          <w:rFonts w:hint="cs"/>
          <w:rtl/>
        </w:rPr>
        <w:t xml:space="preserve"> </w:t>
      </w:r>
      <w:r>
        <w:rPr>
          <w:rFonts w:hint="cs"/>
          <w:rtl/>
        </w:rPr>
        <w:t xml:space="preserve">عذر </w:t>
      </w:r>
      <w:r w:rsidRPr="005A4C8B">
        <w:rPr>
          <w:rtl/>
        </w:rPr>
        <w:t>التأخر في مراعاة المهل بسبب</w:t>
      </w:r>
      <w:r w:rsidRPr="00B3528A">
        <w:rPr>
          <w:rtl/>
        </w:rPr>
        <w:t xml:space="preserve"> عدم توافر </w:t>
      </w:r>
      <w:r>
        <w:rPr>
          <w:rFonts w:hint="cs"/>
          <w:rtl/>
        </w:rPr>
        <w:t xml:space="preserve">أي من وسائل الاتصال الإلكترونية المسموح بها </w:t>
      </w:r>
      <w:r w:rsidR="00650800">
        <w:rPr>
          <w:rFonts w:hint="cs"/>
          <w:rtl/>
        </w:rPr>
        <w:t>لإيداع</w:t>
      </w:r>
      <w:r>
        <w:rPr>
          <w:rFonts w:hint="cs"/>
          <w:rtl/>
        </w:rPr>
        <w:t xml:space="preserve"> الوثائق </w:t>
      </w:r>
      <w:r w:rsidR="00555880">
        <w:rPr>
          <w:rFonts w:hint="cs"/>
          <w:rtl/>
        </w:rPr>
        <w:t>أ</w:t>
      </w:r>
      <w:r>
        <w:rPr>
          <w:rFonts w:hint="cs"/>
          <w:rtl/>
        </w:rPr>
        <w:t>و</w:t>
      </w:r>
      <w:r w:rsidR="00555880">
        <w:rPr>
          <w:rFonts w:hint="cs"/>
          <w:rtl/>
        </w:rPr>
        <w:t xml:space="preserve"> </w:t>
      </w:r>
      <w:r>
        <w:rPr>
          <w:rFonts w:hint="cs"/>
          <w:rtl/>
        </w:rPr>
        <w:t>دفع الرسوم في المكتب. وقد ي</w:t>
      </w:r>
      <w:r w:rsidR="00650800">
        <w:rPr>
          <w:rFonts w:hint="cs"/>
          <w:rtl/>
        </w:rPr>
        <w:t>ُ</w:t>
      </w:r>
      <w:r>
        <w:rPr>
          <w:rFonts w:hint="cs"/>
          <w:rtl/>
        </w:rPr>
        <w:t xml:space="preserve">عزى </w:t>
      </w:r>
      <w:r w:rsidR="00650800">
        <w:rPr>
          <w:rFonts w:hint="cs"/>
          <w:rtl/>
        </w:rPr>
        <w:t>عدم توافر تلك</w:t>
      </w:r>
      <w:r>
        <w:rPr>
          <w:rFonts w:hint="cs"/>
          <w:rtl/>
        </w:rPr>
        <w:t xml:space="preserve"> الوسائل إلى </w:t>
      </w:r>
      <w:r w:rsidR="00F20199">
        <w:rPr>
          <w:rFonts w:hint="cs"/>
          <w:rtl/>
        </w:rPr>
        <w:t xml:space="preserve">أعمال صيانة </w:t>
      </w:r>
      <w:r>
        <w:rPr>
          <w:rFonts w:hint="cs"/>
          <w:rtl/>
        </w:rPr>
        <w:t>مقر</w:t>
      </w:r>
      <w:r w:rsidR="00650800">
        <w:rPr>
          <w:rFonts w:hint="cs"/>
          <w:rtl/>
        </w:rPr>
        <w:t>ّ</w:t>
      </w:r>
      <w:r>
        <w:rPr>
          <w:rFonts w:hint="cs"/>
          <w:rtl/>
        </w:rPr>
        <w:t>ر</w:t>
      </w:r>
      <w:r w:rsidR="00555880">
        <w:rPr>
          <w:rFonts w:hint="cs"/>
          <w:rtl/>
        </w:rPr>
        <w:t>ة</w:t>
      </w:r>
      <w:r>
        <w:rPr>
          <w:rFonts w:hint="cs"/>
          <w:rtl/>
        </w:rPr>
        <w:t xml:space="preserve"> أو أعطال غير متوقعة أو أية أسباب أخرى مماثلة.</w:t>
      </w:r>
    </w:p>
    <w:p w:rsidR="00FF20FC" w:rsidRDefault="00650800" w:rsidP="00650800">
      <w:pPr>
        <w:pStyle w:val="Heading2"/>
        <w:rPr>
          <w:rtl/>
        </w:rPr>
      </w:pPr>
      <w:bookmarkStart w:id="16" w:name="_Toc9442372"/>
      <w:r>
        <w:rPr>
          <w:rFonts w:hint="cs"/>
          <w:rtl/>
        </w:rPr>
        <w:t>معلومات أساسية</w:t>
      </w:r>
      <w:bookmarkEnd w:id="16"/>
    </w:p>
    <w:p w:rsidR="00FF20FC" w:rsidRDefault="00FF20FC" w:rsidP="00056EC5">
      <w:pPr>
        <w:pStyle w:val="ONUMA"/>
      </w:pPr>
      <w:r>
        <w:rPr>
          <w:rFonts w:hint="cs"/>
          <w:rtl/>
        </w:rPr>
        <w:t xml:space="preserve">خلال </w:t>
      </w:r>
      <w:r w:rsidRPr="0069230A">
        <w:rPr>
          <w:rtl/>
        </w:rPr>
        <w:t>الدورة ال</w:t>
      </w:r>
      <w:r>
        <w:rPr>
          <w:rFonts w:hint="cs"/>
          <w:rtl/>
        </w:rPr>
        <w:t>سادس</w:t>
      </w:r>
      <w:r w:rsidRPr="0069230A">
        <w:rPr>
          <w:rtl/>
        </w:rPr>
        <w:t>ة والعشرين لاجتماع الإدارات الدولية المنعقدة في فبراير</w:t>
      </w:r>
      <w:r>
        <w:rPr>
          <w:rFonts w:hint="cs"/>
          <w:rtl/>
        </w:rPr>
        <w:t xml:space="preserve"> 2019، قدم المكتب الأوروبي للبراءات</w:t>
      </w:r>
      <w:r>
        <w:t xml:space="preserve"> </w:t>
      </w:r>
      <w:r>
        <w:rPr>
          <w:rFonts w:hint="cs"/>
          <w:rtl/>
        </w:rPr>
        <w:t>اقتراحا لتمديد المهلة الزمنية في أحد المكاتب في حالة حدوث أعطال في الاتصالات الإلكتروني</w:t>
      </w:r>
      <w:r>
        <w:rPr>
          <w:rFonts w:hint="eastAsia"/>
          <w:rtl/>
        </w:rPr>
        <w:t>ة</w:t>
      </w:r>
      <w:r>
        <w:rPr>
          <w:rFonts w:hint="cs"/>
          <w:rtl/>
        </w:rPr>
        <w:t xml:space="preserve"> تصيب إيداع الوثائق (الوثيقة </w:t>
      </w:r>
      <w:r>
        <w:t>PCT/MIA/26/5</w:t>
      </w:r>
      <w:r>
        <w:rPr>
          <w:rFonts w:hint="cs"/>
          <w:rtl/>
        </w:rPr>
        <w:t xml:space="preserve">، انظر الفقرات من 24 إلى 32 من </w:t>
      </w:r>
      <w:r w:rsidR="00B364CC">
        <w:rPr>
          <w:rFonts w:hint="cs"/>
          <w:rtl/>
        </w:rPr>
        <w:t>ملخص</w:t>
      </w:r>
      <w:r>
        <w:rPr>
          <w:rFonts w:hint="cs"/>
          <w:rtl/>
        </w:rPr>
        <w:t xml:space="preserve"> رئيس الدورة، والوثيقة</w:t>
      </w:r>
      <w:r w:rsidR="00B364CC">
        <w:rPr>
          <w:rFonts w:hint="eastAsia"/>
          <w:rtl/>
        </w:rPr>
        <w:t> </w:t>
      </w:r>
      <w:r>
        <w:t>PCT/MIA/26/13</w:t>
      </w:r>
      <w:r>
        <w:rPr>
          <w:rFonts w:hint="cs"/>
          <w:rtl/>
        </w:rPr>
        <w:t>، الواردة في مرفق الوثيقة</w:t>
      </w:r>
      <w:r w:rsidR="00B364CC">
        <w:rPr>
          <w:rFonts w:hint="eastAsia"/>
          <w:rtl/>
        </w:rPr>
        <w:t> </w:t>
      </w:r>
      <w:r>
        <w:t>PCT/WG/12/2</w:t>
      </w:r>
      <w:r>
        <w:rPr>
          <w:rFonts w:hint="cs"/>
          <w:rtl/>
        </w:rPr>
        <w:t xml:space="preserve">). وسبق وأن باشر </w:t>
      </w:r>
      <w:r w:rsidR="00B364CC">
        <w:rPr>
          <w:rFonts w:hint="cs"/>
          <w:rtl/>
        </w:rPr>
        <w:t>ال</w:t>
      </w:r>
      <w:r>
        <w:rPr>
          <w:rFonts w:hint="cs"/>
          <w:rtl/>
        </w:rPr>
        <w:t xml:space="preserve">مكتب </w:t>
      </w:r>
      <w:r w:rsidR="00B364CC">
        <w:rPr>
          <w:rFonts w:hint="cs"/>
          <w:rtl/>
        </w:rPr>
        <w:t>الأوروبي لل</w:t>
      </w:r>
      <w:r>
        <w:rPr>
          <w:rFonts w:hint="cs"/>
          <w:rtl/>
        </w:rPr>
        <w:t>براءات مناقشات بشأن هذا الموضوع خلال اجتماع مكاتب الملكية</w:t>
      </w:r>
      <w:r w:rsidR="00B364CC">
        <w:rPr>
          <w:rFonts w:hint="cs"/>
          <w:rtl/>
        </w:rPr>
        <w:t xml:space="preserve"> الفكرية</w:t>
      </w:r>
      <w:r>
        <w:rPr>
          <w:rFonts w:hint="cs"/>
          <w:rtl/>
        </w:rPr>
        <w:t xml:space="preserve"> الخمسة في طوكيو في نوفمبر 2017، تلتها مناقشات خلال الدورة الخامسة والعشرين لاجتماع الإدارات الدولية (انظر الفقرات من 29 إلى 34 من </w:t>
      </w:r>
      <w:r w:rsidR="00B364CC">
        <w:rPr>
          <w:rFonts w:hint="cs"/>
          <w:rtl/>
        </w:rPr>
        <w:t>ملخص</w:t>
      </w:r>
      <w:r>
        <w:rPr>
          <w:rFonts w:hint="cs"/>
          <w:rtl/>
        </w:rPr>
        <w:t xml:space="preserve"> رئيس الدورة، الوثيقة </w:t>
      </w:r>
      <w:r>
        <w:t>PCT/MIA/25/12</w:t>
      </w:r>
      <w:r>
        <w:rPr>
          <w:rFonts w:hint="cs"/>
          <w:rtl/>
        </w:rPr>
        <w:t xml:space="preserve">) وخلال </w:t>
      </w:r>
      <w:r>
        <w:rPr>
          <w:rFonts w:hint="cs"/>
          <w:rtl/>
        </w:rPr>
        <w:lastRenderedPageBreak/>
        <w:t xml:space="preserve">الدورة الحادية عشرة للفريق العامل لمعاهدة </w:t>
      </w:r>
      <w:r w:rsidR="00056EC5">
        <w:rPr>
          <w:rFonts w:hint="cs"/>
          <w:rtl/>
        </w:rPr>
        <w:t>البراءات</w:t>
      </w:r>
      <w:r>
        <w:rPr>
          <w:rFonts w:hint="cs"/>
          <w:rtl/>
        </w:rPr>
        <w:t xml:space="preserve"> (الوثيقة </w:t>
      </w:r>
      <w:r>
        <w:t>PCT/WG/11/19</w:t>
      </w:r>
      <w:r>
        <w:rPr>
          <w:rFonts w:hint="cs"/>
          <w:rtl/>
        </w:rPr>
        <w:t xml:space="preserve"> والفقرات من 264 إلى 281 من التقرير، الوثيقة </w:t>
      </w:r>
      <w:r>
        <w:rPr>
          <w:szCs w:val="22"/>
        </w:rPr>
        <w:t>PCT/WG/11/27</w:t>
      </w:r>
      <w:r>
        <w:rPr>
          <w:rFonts w:hint="cs"/>
          <w:rtl/>
        </w:rPr>
        <w:t xml:space="preserve">). </w:t>
      </w:r>
    </w:p>
    <w:p w:rsidR="00FF20FC" w:rsidRDefault="00FF20FC" w:rsidP="00056EC5">
      <w:pPr>
        <w:pStyle w:val="ONUMA"/>
      </w:pPr>
      <w:r>
        <w:rPr>
          <w:rFonts w:hint="cs"/>
          <w:rtl/>
        </w:rPr>
        <w:t xml:space="preserve">وتكتسي وسائل الاتصال الإلكترونية أهمية </w:t>
      </w:r>
      <w:r w:rsidR="00056EC5">
        <w:rPr>
          <w:rFonts w:hint="cs"/>
          <w:rtl/>
        </w:rPr>
        <w:t xml:space="preserve">بالغة </w:t>
      </w:r>
      <w:r>
        <w:rPr>
          <w:rFonts w:hint="cs"/>
          <w:rtl/>
        </w:rPr>
        <w:t>بالنسبة للمكاتب في تفاعلها مع المستخدمين</w:t>
      </w:r>
      <w:r w:rsidR="00D74CE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D74CEE">
        <w:rPr>
          <w:rFonts w:hint="cs"/>
          <w:rtl/>
        </w:rPr>
        <w:t>بيد</w:t>
      </w:r>
      <w:r w:rsidR="004D5A32">
        <w:rPr>
          <w:rFonts w:hint="cs"/>
          <w:rtl/>
        </w:rPr>
        <w:t xml:space="preserve"> أن</w:t>
      </w:r>
      <w:r w:rsidR="00D74CEE">
        <w:rPr>
          <w:rFonts w:hint="cs"/>
          <w:rtl/>
        </w:rPr>
        <w:t xml:space="preserve"> </w:t>
      </w:r>
      <w:r w:rsidR="00056EC5">
        <w:rPr>
          <w:rFonts w:hint="cs"/>
          <w:rtl/>
        </w:rPr>
        <w:t>تلك</w:t>
      </w:r>
      <w:r>
        <w:rPr>
          <w:rFonts w:hint="cs"/>
          <w:rtl/>
        </w:rPr>
        <w:t xml:space="preserve"> الوسائل </w:t>
      </w:r>
      <w:r w:rsidR="00D74CEE">
        <w:rPr>
          <w:rFonts w:hint="cs"/>
          <w:rtl/>
        </w:rPr>
        <w:t xml:space="preserve">يمكن أن تصبح </w:t>
      </w:r>
      <w:r>
        <w:rPr>
          <w:rFonts w:hint="cs"/>
          <w:rtl/>
        </w:rPr>
        <w:t xml:space="preserve">غير متاحة </w:t>
      </w:r>
      <w:r w:rsidR="004D5A32">
        <w:rPr>
          <w:rFonts w:hint="cs"/>
          <w:rtl/>
        </w:rPr>
        <w:t>على مستوى ا</w:t>
      </w:r>
      <w:r>
        <w:rPr>
          <w:rFonts w:hint="cs"/>
          <w:rtl/>
        </w:rPr>
        <w:t xml:space="preserve">لمكاتب بسبب عمليات الصيانة أو الأعطال (مثل الهجمات </w:t>
      </w:r>
      <w:r w:rsidR="00056EC5">
        <w:rPr>
          <w:rFonts w:hint="cs"/>
          <w:rtl/>
        </w:rPr>
        <w:t>الإلكترونية</w:t>
      </w:r>
      <w:r>
        <w:rPr>
          <w:rFonts w:hint="cs"/>
          <w:rtl/>
        </w:rPr>
        <w:t xml:space="preserve"> أو أية مشاكل تقنية). و</w:t>
      </w:r>
      <w:r w:rsidR="00056EC5">
        <w:rPr>
          <w:rFonts w:hint="cs"/>
          <w:rtl/>
        </w:rPr>
        <w:t xml:space="preserve">من أحدث الأمثلة </w:t>
      </w:r>
      <w:r>
        <w:rPr>
          <w:rFonts w:hint="cs"/>
          <w:rtl/>
        </w:rPr>
        <w:t xml:space="preserve">على ذلك </w:t>
      </w:r>
      <w:r w:rsidR="00845AED">
        <w:rPr>
          <w:rFonts w:hint="cs"/>
          <w:rtl/>
        </w:rPr>
        <w:t>"</w:t>
      </w:r>
      <w:r>
        <w:rPr>
          <w:rFonts w:hint="cs"/>
          <w:rtl/>
        </w:rPr>
        <w:t xml:space="preserve">العطل </w:t>
      </w:r>
      <w:r w:rsidR="00056EC5">
        <w:rPr>
          <w:rFonts w:hint="cs"/>
          <w:rtl/>
        </w:rPr>
        <w:t>الكبير</w:t>
      </w:r>
      <w:r>
        <w:rPr>
          <w:rFonts w:hint="cs"/>
          <w:rtl/>
        </w:rPr>
        <w:t xml:space="preserve"> غير</w:t>
      </w:r>
      <w:r w:rsidR="00056EC5">
        <w:rPr>
          <w:rFonts w:hint="cs"/>
          <w:rtl/>
        </w:rPr>
        <w:t xml:space="preserve"> المرتقب </w:t>
      </w:r>
      <w:r w:rsidR="00845AED">
        <w:rPr>
          <w:rFonts w:hint="cs"/>
          <w:rtl/>
        </w:rPr>
        <w:t>في نظام الخدمات الإلكترونية</w:t>
      </w:r>
      <w:r w:rsidR="00056EC5">
        <w:rPr>
          <w:rFonts w:hint="cs"/>
          <w:rtl/>
        </w:rPr>
        <w:t>"</w:t>
      </w:r>
      <w:r w:rsidR="00845AED">
        <w:rPr>
          <w:rFonts w:hint="cs"/>
          <w:rtl/>
        </w:rPr>
        <w:t xml:space="preserve"> </w:t>
      </w:r>
      <w:r>
        <w:rPr>
          <w:rFonts w:hint="cs"/>
          <w:rtl/>
        </w:rPr>
        <w:t>الذي أث</w:t>
      </w:r>
      <w:r w:rsidR="00056EC5">
        <w:rPr>
          <w:rFonts w:hint="cs"/>
          <w:rtl/>
        </w:rPr>
        <w:t>ّ</w:t>
      </w:r>
      <w:r>
        <w:rPr>
          <w:rFonts w:hint="cs"/>
          <w:rtl/>
        </w:rPr>
        <w:t xml:space="preserve">ر في قدرة مكتب الولايات المتحدة الأمريكية للبراءات والعلامات التجارية على قبول الطلبات الدولية المودعة إلكترونيا </w:t>
      </w:r>
      <w:r w:rsidR="00056EC5">
        <w:rPr>
          <w:rFonts w:hint="cs"/>
          <w:rtl/>
        </w:rPr>
        <w:t xml:space="preserve">خلال الفترة </w:t>
      </w:r>
      <w:r>
        <w:rPr>
          <w:rFonts w:hint="cs"/>
          <w:rtl/>
        </w:rPr>
        <w:t>من</w:t>
      </w:r>
      <w:r w:rsidR="00056EC5">
        <w:rPr>
          <w:rFonts w:hint="eastAsia"/>
          <w:rtl/>
        </w:rPr>
        <w:t> </w:t>
      </w:r>
      <w:r>
        <w:rPr>
          <w:rFonts w:hint="cs"/>
          <w:rtl/>
        </w:rPr>
        <w:t xml:space="preserve">15 إلى 23 أغسطس </w:t>
      </w:r>
      <w:r w:rsidR="00056EC5">
        <w:rPr>
          <w:rFonts w:hint="cs"/>
          <w:rtl/>
        </w:rPr>
        <w:t>2018</w:t>
      </w:r>
      <w:r w:rsidR="00695ECA">
        <w:rPr>
          <w:rFonts w:hint="cs"/>
          <w:rtl/>
        </w:rPr>
        <w:t xml:space="preserve"> </w:t>
      </w:r>
      <w:r w:rsidR="00695ECA">
        <w:rPr>
          <w:rStyle w:val="FootnoteReference"/>
          <w:rtl/>
        </w:rPr>
        <w:footnoteReference w:customMarkFollows="1" w:id="1"/>
        <w:t>1</w:t>
      </w:r>
      <w:r w:rsidR="00056EC5">
        <w:rPr>
          <w:rFonts w:hint="cs"/>
          <w:rtl/>
        </w:rPr>
        <w:t>.</w:t>
      </w:r>
    </w:p>
    <w:p w:rsidR="00FF20FC" w:rsidRDefault="00384308" w:rsidP="004400F6">
      <w:pPr>
        <w:pStyle w:val="ONUMA"/>
      </w:pPr>
      <w:r>
        <w:rPr>
          <w:rFonts w:hint="cs"/>
          <w:rtl/>
        </w:rPr>
        <w:t>و</w:t>
      </w:r>
      <w:r w:rsidR="00FF20FC">
        <w:rPr>
          <w:rtl/>
        </w:rPr>
        <w:t>يجب</w:t>
      </w:r>
      <w:r>
        <w:rPr>
          <w:rFonts w:hint="cs"/>
          <w:rtl/>
        </w:rPr>
        <w:t xml:space="preserve"> </w:t>
      </w:r>
      <w:r w:rsidR="00FF20FC">
        <w:rPr>
          <w:rtl/>
        </w:rPr>
        <w:t>صيانة الأنظمة الإلكترونية بانتظام لتحسين جودة الخدمات الشبكية المتاحة للمستخدمين.</w:t>
      </w:r>
      <w:r w:rsidR="00FF20FC">
        <w:rPr>
          <w:rFonts w:hint="cs"/>
          <w:rtl/>
        </w:rPr>
        <w:t xml:space="preserve"> </w:t>
      </w:r>
      <w:r w:rsidR="00FF20FC">
        <w:rPr>
          <w:rtl/>
        </w:rPr>
        <w:t xml:space="preserve">ويمكن، في بعض </w:t>
      </w:r>
      <w:r>
        <w:rPr>
          <w:rFonts w:hint="cs"/>
          <w:rtl/>
        </w:rPr>
        <w:t>الأحيان</w:t>
      </w:r>
      <w:r w:rsidR="00FF20FC">
        <w:rPr>
          <w:rtl/>
        </w:rPr>
        <w:t xml:space="preserve">، أن </w:t>
      </w:r>
      <w:r w:rsidR="00755C17">
        <w:rPr>
          <w:rFonts w:hint="cs"/>
          <w:rtl/>
        </w:rPr>
        <w:t>ي</w:t>
      </w:r>
      <w:r w:rsidR="00FF20FC">
        <w:rPr>
          <w:rtl/>
        </w:rPr>
        <w:t xml:space="preserve">ؤثر </w:t>
      </w:r>
      <w:r w:rsidR="00755C17">
        <w:rPr>
          <w:rFonts w:hint="cs"/>
          <w:rtl/>
        </w:rPr>
        <w:t>ذلك</w:t>
      </w:r>
      <w:r w:rsidR="00FF20FC">
        <w:rPr>
          <w:rtl/>
        </w:rPr>
        <w:t xml:space="preserve"> في قدرة المستخدمين على </w:t>
      </w:r>
      <w:r w:rsidR="004400F6">
        <w:rPr>
          <w:rFonts w:hint="cs"/>
          <w:rtl/>
        </w:rPr>
        <w:t>استعمال تلك الأنظمة</w:t>
      </w:r>
      <w:r w:rsidR="00FF20FC">
        <w:rPr>
          <w:rtl/>
        </w:rPr>
        <w:t xml:space="preserve"> بشكل كامل.</w:t>
      </w:r>
      <w:r w:rsidR="00FF20FC">
        <w:rPr>
          <w:rFonts w:hint="cs"/>
          <w:rtl/>
        </w:rPr>
        <w:t xml:space="preserve"> </w:t>
      </w:r>
      <w:r w:rsidR="00FF20FC">
        <w:rPr>
          <w:rtl/>
        </w:rPr>
        <w:t>وعادة ما تُبرمج أعمال الصيانة أثناء عُطل نهاية الأسبوع من أجل تلافي إحداث أي إزعاج للمستخدمين.</w:t>
      </w:r>
      <w:r w:rsidR="00FF20FC">
        <w:rPr>
          <w:rFonts w:hint="cs"/>
          <w:rtl/>
        </w:rPr>
        <w:t xml:space="preserve"> </w:t>
      </w:r>
      <w:r w:rsidR="004400F6">
        <w:rPr>
          <w:rFonts w:hint="cs"/>
          <w:rtl/>
        </w:rPr>
        <w:t>ف</w:t>
      </w:r>
      <w:r w:rsidR="009365D2">
        <w:rPr>
          <w:rFonts w:hint="cs"/>
          <w:rtl/>
        </w:rPr>
        <w:t xml:space="preserve">على سبيل المثال، </w:t>
      </w:r>
      <w:r w:rsidR="004400F6">
        <w:rPr>
          <w:rFonts w:hint="cs"/>
          <w:rtl/>
        </w:rPr>
        <w:t>ي</w:t>
      </w:r>
      <w:r w:rsidR="009365D2">
        <w:rPr>
          <w:rFonts w:hint="cs"/>
          <w:rtl/>
        </w:rPr>
        <w:t xml:space="preserve">نشر </w:t>
      </w:r>
      <w:r w:rsidR="00FF20FC">
        <w:rPr>
          <w:rtl/>
        </w:rPr>
        <w:t>المكتب الأوروبي للبراءات إشعار</w:t>
      </w:r>
      <w:r w:rsidR="009365D2">
        <w:rPr>
          <w:rFonts w:hint="cs"/>
          <w:rtl/>
        </w:rPr>
        <w:t>ا</w:t>
      </w:r>
      <w:r w:rsidR="00FF20FC">
        <w:rPr>
          <w:rtl/>
        </w:rPr>
        <w:t xml:space="preserve"> مسبق</w:t>
      </w:r>
      <w:r w:rsidR="009365D2">
        <w:rPr>
          <w:rFonts w:hint="cs"/>
          <w:rtl/>
        </w:rPr>
        <w:t>ا</w:t>
      </w:r>
      <w:r w:rsidR="00FF20FC">
        <w:rPr>
          <w:rtl/>
        </w:rPr>
        <w:t xml:space="preserve"> في صفحة مخصّصة على موقعه الإلكتر</w:t>
      </w:r>
      <w:r w:rsidR="004400F6">
        <w:rPr>
          <w:rtl/>
        </w:rPr>
        <w:t>وني عدة أيام قبل أي</w:t>
      </w:r>
      <w:r w:rsidR="004400F6">
        <w:rPr>
          <w:rFonts w:hint="cs"/>
          <w:rtl/>
        </w:rPr>
        <w:t xml:space="preserve"> فترة من</w:t>
      </w:r>
      <w:r w:rsidR="00FF20FC">
        <w:rPr>
          <w:rtl/>
        </w:rPr>
        <w:t xml:space="preserve"> فترات </w:t>
      </w:r>
      <w:r w:rsidR="004400F6">
        <w:rPr>
          <w:rFonts w:hint="cs"/>
          <w:rtl/>
        </w:rPr>
        <w:t>ال</w:t>
      </w:r>
      <w:r w:rsidR="00FF20FC">
        <w:rPr>
          <w:rtl/>
        </w:rPr>
        <w:t xml:space="preserve">انقطاع </w:t>
      </w:r>
      <w:r w:rsidR="004400F6">
        <w:rPr>
          <w:rFonts w:hint="cs"/>
          <w:rtl/>
        </w:rPr>
        <w:t>ال</w:t>
      </w:r>
      <w:r w:rsidR="00FF20FC">
        <w:rPr>
          <w:rtl/>
        </w:rPr>
        <w:t>ناجم</w:t>
      </w:r>
      <w:r w:rsidR="004400F6">
        <w:rPr>
          <w:rFonts w:hint="cs"/>
          <w:rtl/>
        </w:rPr>
        <w:t>ة</w:t>
      </w:r>
      <w:r w:rsidR="00FF20FC">
        <w:rPr>
          <w:rtl/>
        </w:rPr>
        <w:t xml:space="preserve"> عن أعمال الصيانة</w:t>
      </w:r>
      <w:r w:rsidR="009365D2">
        <w:rPr>
          <w:rFonts w:hint="cs"/>
          <w:rtl/>
        </w:rPr>
        <w:t xml:space="preserve"> </w:t>
      </w:r>
      <w:r w:rsidR="004400F6">
        <w:rPr>
          <w:rFonts w:hint="cs"/>
          <w:rtl/>
        </w:rPr>
        <w:t>المذكورة</w:t>
      </w:r>
      <w:r w:rsidR="00FF20FC">
        <w:rPr>
          <w:rtl/>
        </w:rPr>
        <w:t>.</w:t>
      </w:r>
      <w:r w:rsidR="00FF20FC" w:rsidRPr="001B6A6B">
        <w:rPr>
          <w:rtl/>
        </w:rPr>
        <w:t xml:space="preserve"> ويوصي </w:t>
      </w:r>
      <w:r w:rsidR="004400F6">
        <w:rPr>
          <w:rFonts w:hint="cs"/>
          <w:rtl/>
        </w:rPr>
        <w:t xml:space="preserve">ذلك المكتب </w:t>
      </w:r>
      <w:r w:rsidR="009365D2">
        <w:rPr>
          <w:rFonts w:hint="cs"/>
          <w:rtl/>
        </w:rPr>
        <w:t>ب</w:t>
      </w:r>
      <w:r w:rsidR="00FF20FC" w:rsidRPr="001B6A6B">
        <w:rPr>
          <w:rtl/>
        </w:rPr>
        <w:t>أن تطلّع الأطراف على موقعه بانتظام كي لا تجد نفسها فجأةً أمام أعطال ناجمة عن صيانة أُعلن عنها مسبق</w:t>
      </w:r>
      <w:r w:rsidR="00176BC3">
        <w:rPr>
          <w:rFonts w:hint="cs"/>
          <w:rtl/>
        </w:rPr>
        <w:t>ا.</w:t>
      </w:r>
      <w:r w:rsidR="00FF20FC">
        <w:t xml:space="preserve"> </w:t>
      </w:r>
      <w:r w:rsidR="00FF20FC">
        <w:rPr>
          <w:rFonts w:hint="cs"/>
          <w:rtl/>
        </w:rPr>
        <w:t>غير أن هذا التدبير الاحترازي قد لا يكون كافيا في جميع الظروف.</w:t>
      </w:r>
    </w:p>
    <w:p w:rsidR="00176BC3" w:rsidRDefault="00FD4AC0" w:rsidP="00781817">
      <w:pPr>
        <w:pStyle w:val="ONUMA"/>
        <w:rPr>
          <w:rtl/>
        </w:rPr>
      </w:pPr>
      <w:r>
        <w:rPr>
          <w:rFonts w:hint="cs"/>
          <w:rtl/>
        </w:rPr>
        <w:t xml:space="preserve">ويجوز </w:t>
      </w:r>
      <w:r w:rsidR="00176BC3">
        <w:rPr>
          <w:rFonts w:hint="cs"/>
          <w:rtl/>
        </w:rPr>
        <w:t xml:space="preserve">قبول </w:t>
      </w:r>
      <w:r>
        <w:rPr>
          <w:rFonts w:hint="cs"/>
          <w:rtl/>
        </w:rPr>
        <w:t>عذر</w:t>
      </w:r>
      <w:r w:rsidR="00176BC3">
        <w:rPr>
          <w:rFonts w:hint="cs"/>
          <w:rtl/>
        </w:rPr>
        <w:t xml:space="preserve"> مقدمي الطلبات في حالة عدم توافر وسائل الاتصال الإلكتروني المخصصة لهم في ظروف</w:t>
      </w:r>
      <w:r w:rsidR="009C487E">
        <w:rPr>
          <w:rFonts w:hint="cs"/>
          <w:rtl/>
        </w:rPr>
        <w:t xml:space="preserve"> محد</w:t>
      </w:r>
      <w:r>
        <w:rPr>
          <w:rFonts w:hint="cs"/>
          <w:rtl/>
        </w:rPr>
        <w:t>ّ</w:t>
      </w:r>
      <w:r w:rsidR="009C487E">
        <w:rPr>
          <w:rFonts w:hint="cs"/>
          <w:rtl/>
        </w:rPr>
        <w:t>دة</w:t>
      </w:r>
      <w:r w:rsidR="00176BC3">
        <w:rPr>
          <w:rFonts w:hint="cs"/>
          <w:rtl/>
        </w:rPr>
        <w:t xml:space="preserve"> </w:t>
      </w:r>
      <w:r w:rsidR="009C487E">
        <w:rPr>
          <w:rFonts w:hint="cs"/>
          <w:rtl/>
        </w:rPr>
        <w:t>بناء على</w:t>
      </w:r>
      <w:r>
        <w:rPr>
          <w:rFonts w:hint="cs"/>
          <w:rtl/>
        </w:rPr>
        <w:t xml:space="preserve"> القاعدة 82</w:t>
      </w:r>
      <w:r w:rsidR="00176BC3" w:rsidRPr="00FD4AC0">
        <w:rPr>
          <w:rFonts w:hint="cs"/>
          <w:vertAlign w:val="superscript"/>
          <w:rtl/>
        </w:rPr>
        <w:t>(رابعا)</w:t>
      </w:r>
      <w:r w:rsidR="00176BC3">
        <w:rPr>
          <w:rFonts w:hint="cs"/>
          <w:rtl/>
        </w:rPr>
        <w:t>(1)، شريطة تقديم أدلة في كل حالة معينة. ويمث</w:t>
      </w:r>
      <w:r>
        <w:rPr>
          <w:rFonts w:hint="cs"/>
          <w:rtl/>
        </w:rPr>
        <w:t>ّ</w:t>
      </w:r>
      <w:r w:rsidR="00176BC3">
        <w:rPr>
          <w:rFonts w:hint="cs"/>
          <w:rtl/>
        </w:rPr>
        <w:t>ل ذلك عبئا على المكاتب التي ي</w:t>
      </w:r>
      <w:r w:rsidR="0004233A">
        <w:rPr>
          <w:rFonts w:hint="cs"/>
          <w:rtl/>
        </w:rPr>
        <w:t>جب</w:t>
      </w:r>
      <w:r w:rsidR="00176BC3">
        <w:rPr>
          <w:rFonts w:hint="cs"/>
          <w:rtl/>
        </w:rPr>
        <w:t xml:space="preserve"> عليها تقييم </w:t>
      </w:r>
      <w:r>
        <w:rPr>
          <w:rFonts w:hint="cs"/>
          <w:rtl/>
        </w:rPr>
        <w:t>تلك</w:t>
      </w:r>
      <w:r>
        <w:rPr>
          <w:rFonts w:hint="eastAsia"/>
          <w:rtl/>
        </w:rPr>
        <w:t> </w:t>
      </w:r>
      <w:r w:rsidR="00176BC3">
        <w:rPr>
          <w:rFonts w:hint="cs"/>
          <w:rtl/>
        </w:rPr>
        <w:t xml:space="preserve">الحالات. غير أن معاهدة البراءات لا تشمل أحكام </w:t>
      </w:r>
      <w:r>
        <w:rPr>
          <w:rFonts w:hint="cs"/>
          <w:rtl/>
        </w:rPr>
        <w:t>ضمان</w:t>
      </w:r>
      <w:r w:rsidR="00176BC3">
        <w:rPr>
          <w:rFonts w:hint="cs"/>
          <w:rtl/>
        </w:rPr>
        <w:t xml:space="preserve"> في حالة عدم توافر خدمات الاتصال الإلكتروني لأسباب </w:t>
      </w:r>
      <w:r>
        <w:rPr>
          <w:rFonts w:hint="cs"/>
          <w:rtl/>
        </w:rPr>
        <w:t>تُعزى</w:t>
      </w:r>
      <w:r w:rsidR="00176BC3">
        <w:rPr>
          <w:rFonts w:hint="cs"/>
          <w:rtl/>
        </w:rPr>
        <w:t xml:space="preserve"> </w:t>
      </w:r>
      <w:r>
        <w:rPr>
          <w:rFonts w:hint="cs"/>
          <w:rtl/>
        </w:rPr>
        <w:t xml:space="preserve">إلى </w:t>
      </w:r>
      <w:r w:rsidR="00176BC3">
        <w:rPr>
          <w:rFonts w:hint="cs"/>
          <w:rtl/>
        </w:rPr>
        <w:t>مكاتب البراءات.</w:t>
      </w:r>
    </w:p>
    <w:p w:rsidR="00FF20FC" w:rsidRDefault="00176BC3" w:rsidP="00781817">
      <w:pPr>
        <w:pStyle w:val="ONUMA"/>
      </w:pPr>
      <w:r>
        <w:rPr>
          <w:rtl/>
        </w:rPr>
        <w:t>وتحمي القاعدة 134(1) من الاتفاقية الأوروبية للبراءات مستخدمي</w:t>
      </w:r>
      <w:r w:rsidR="0004233A">
        <w:rPr>
          <w:rFonts w:hint="cs"/>
          <w:rtl/>
        </w:rPr>
        <w:t xml:space="preserve"> مكتب البراءات الأوروبي</w:t>
      </w:r>
      <w:r>
        <w:rPr>
          <w:rtl/>
        </w:rPr>
        <w:t xml:space="preserve"> في حال عدم توافر إحدى وسائل </w:t>
      </w:r>
      <w:r w:rsidR="00781817">
        <w:rPr>
          <w:rFonts w:hint="cs"/>
          <w:rtl/>
        </w:rPr>
        <w:t>الاتصال</w:t>
      </w:r>
      <w:r>
        <w:rPr>
          <w:rtl/>
        </w:rPr>
        <w:t xml:space="preserve"> الإلكتروني في آخر يوم من مهلة محدّدة للقيام بإجراءات.</w:t>
      </w:r>
      <w:r>
        <w:rPr>
          <w:rFonts w:hint="cs"/>
          <w:rtl/>
        </w:rPr>
        <w:t xml:space="preserve"> </w:t>
      </w:r>
      <w:r>
        <w:rPr>
          <w:rtl/>
        </w:rPr>
        <w:t xml:space="preserve">وتكفل تلك الحماية تمديد تلك المهلة إلى أول يوم عمل تكون فيه كل وسائل </w:t>
      </w:r>
      <w:r w:rsidR="00781817">
        <w:rPr>
          <w:rFonts w:hint="cs"/>
          <w:rtl/>
        </w:rPr>
        <w:t>الاتصال</w:t>
      </w:r>
      <w:r>
        <w:rPr>
          <w:rtl/>
        </w:rPr>
        <w:t xml:space="preserve"> الإلكتروني متوافرة.</w:t>
      </w:r>
      <w:r>
        <w:rPr>
          <w:rFonts w:hint="cs"/>
          <w:rtl/>
        </w:rPr>
        <w:t xml:space="preserve"> </w:t>
      </w:r>
      <w:r>
        <w:rPr>
          <w:rtl/>
        </w:rPr>
        <w:t>وذلك التمديد مرهون بأن يكون عدم توافر الوسائل المذكورة معزوا إلى المكتب الأوروبي للبراءات.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FF7045">
        <w:rPr>
          <w:rFonts w:hint="cs"/>
          <w:rtl/>
        </w:rPr>
        <w:t xml:space="preserve">في غياب </w:t>
      </w:r>
      <w:r>
        <w:rPr>
          <w:rtl/>
        </w:rPr>
        <w:t>أي حكم م</w:t>
      </w:r>
      <w:r>
        <w:rPr>
          <w:rFonts w:hint="cs"/>
          <w:rtl/>
        </w:rPr>
        <w:t>حد</w:t>
      </w:r>
      <w:r w:rsidR="00781817">
        <w:rPr>
          <w:rFonts w:hint="cs"/>
          <w:rtl/>
        </w:rPr>
        <w:t>ّ</w:t>
      </w:r>
      <w:r>
        <w:rPr>
          <w:rFonts w:hint="cs"/>
          <w:rtl/>
        </w:rPr>
        <w:t>د</w:t>
      </w:r>
      <w:r>
        <w:rPr>
          <w:rtl/>
        </w:rPr>
        <w:t xml:space="preserve"> في معاهدة البراءات، يطبّق المكتب الأوروبي للبراءات حاليا القاعدة 134(1) من الاتفاقية الأوروبية للبراءات بطريقة تكميلية </w:t>
      </w:r>
      <w:r w:rsidR="00FF7045">
        <w:rPr>
          <w:rFonts w:hint="cs"/>
          <w:rtl/>
        </w:rPr>
        <w:t>ل</w:t>
      </w:r>
      <w:r>
        <w:rPr>
          <w:rtl/>
        </w:rPr>
        <w:t>لمادة 150(2) من الاتفاقية الأوروبية المذكورة</w:t>
      </w:r>
      <w:r>
        <w:rPr>
          <w:rFonts w:hint="cs"/>
          <w:rtl/>
        </w:rPr>
        <w:t>. وتت</w:t>
      </w:r>
      <w:r w:rsidR="00781817">
        <w:rPr>
          <w:rFonts w:hint="cs"/>
          <w:rtl/>
        </w:rPr>
        <w:t>ّ</w:t>
      </w:r>
      <w:r>
        <w:rPr>
          <w:rFonts w:hint="cs"/>
          <w:rtl/>
        </w:rPr>
        <w:t xml:space="preserve">بع </w:t>
      </w:r>
      <w:r w:rsidR="00781817">
        <w:rPr>
          <w:rFonts w:hint="cs"/>
          <w:rtl/>
        </w:rPr>
        <w:t>بعض ال</w:t>
      </w:r>
      <w:r>
        <w:rPr>
          <w:rFonts w:hint="cs"/>
          <w:rtl/>
        </w:rPr>
        <w:t xml:space="preserve">مكاتب </w:t>
      </w:r>
      <w:r w:rsidR="00781817">
        <w:rPr>
          <w:rFonts w:hint="cs"/>
          <w:rtl/>
        </w:rPr>
        <w:t>ال</w:t>
      </w:r>
      <w:r>
        <w:rPr>
          <w:rFonts w:hint="cs"/>
          <w:rtl/>
        </w:rPr>
        <w:t>أخرى النهج</w:t>
      </w:r>
      <w:r w:rsidR="00781817" w:rsidRPr="00781817">
        <w:rPr>
          <w:rFonts w:hint="cs"/>
          <w:rtl/>
        </w:rPr>
        <w:t xml:space="preserve"> </w:t>
      </w:r>
      <w:r w:rsidR="00781817">
        <w:rPr>
          <w:rFonts w:hint="cs"/>
          <w:rtl/>
        </w:rPr>
        <w:t>نفسه</w:t>
      </w:r>
      <w:r>
        <w:rPr>
          <w:rFonts w:hint="cs"/>
          <w:rtl/>
        </w:rPr>
        <w:t xml:space="preserve">. ونتيجة لذلك، </w:t>
      </w:r>
      <w:r w:rsidR="006A119C">
        <w:rPr>
          <w:rFonts w:hint="cs"/>
          <w:rtl/>
        </w:rPr>
        <w:t>يصعب</w:t>
      </w:r>
      <w:r>
        <w:rPr>
          <w:rFonts w:hint="cs"/>
          <w:rtl/>
        </w:rPr>
        <w:t xml:space="preserve"> على المكاتب المعي</w:t>
      </w:r>
      <w:r w:rsidR="00781817">
        <w:rPr>
          <w:rFonts w:hint="cs"/>
          <w:rtl/>
        </w:rPr>
        <w:t>ّ</w:t>
      </w:r>
      <w:r>
        <w:rPr>
          <w:rFonts w:hint="cs"/>
          <w:rtl/>
        </w:rPr>
        <w:t xml:space="preserve">نة فهم </w:t>
      </w:r>
      <w:r w:rsidR="00781817">
        <w:rPr>
          <w:rFonts w:hint="cs"/>
          <w:rtl/>
        </w:rPr>
        <w:t>ال</w:t>
      </w:r>
      <w:r>
        <w:rPr>
          <w:rFonts w:hint="cs"/>
          <w:rtl/>
        </w:rPr>
        <w:t xml:space="preserve">أساس </w:t>
      </w:r>
      <w:r w:rsidR="00781817">
        <w:rPr>
          <w:rFonts w:hint="cs"/>
          <w:rtl/>
        </w:rPr>
        <w:t xml:space="preserve">الذي يستند إليه </w:t>
      </w:r>
      <w:r>
        <w:rPr>
          <w:rFonts w:hint="cs"/>
          <w:rtl/>
        </w:rPr>
        <w:t>تمديد مهلة زمنية محد</w:t>
      </w:r>
      <w:r w:rsidR="00781817">
        <w:rPr>
          <w:rFonts w:hint="cs"/>
          <w:rtl/>
        </w:rPr>
        <w:t>ّ</w:t>
      </w:r>
      <w:r>
        <w:rPr>
          <w:rFonts w:hint="cs"/>
          <w:rtl/>
        </w:rPr>
        <w:t xml:space="preserve">دة خلال </w:t>
      </w:r>
      <w:r w:rsidRPr="00275913">
        <w:rPr>
          <w:rtl/>
        </w:rPr>
        <w:t>المرحلة الدولية</w:t>
      </w:r>
      <w:r>
        <w:rPr>
          <w:rFonts w:hint="cs"/>
          <w:rtl/>
        </w:rPr>
        <w:t>.</w:t>
      </w:r>
    </w:p>
    <w:p w:rsidR="00E36D78" w:rsidRDefault="00E36D78" w:rsidP="00650800">
      <w:pPr>
        <w:pStyle w:val="Heading2"/>
        <w:rPr>
          <w:rtl/>
        </w:rPr>
      </w:pPr>
      <w:bookmarkStart w:id="17" w:name="_Toc9442373"/>
      <w:r>
        <w:rPr>
          <w:rFonts w:hint="cs"/>
          <w:rtl/>
        </w:rPr>
        <w:t>الاقتراح</w:t>
      </w:r>
      <w:bookmarkEnd w:id="17"/>
    </w:p>
    <w:p w:rsidR="00D23130" w:rsidRPr="00D23130" w:rsidRDefault="00E36D78" w:rsidP="00B22F0C">
      <w:pPr>
        <w:pStyle w:val="ONUMA"/>
      </w:pPr>
      <w:r>
        <w:rPr>
          <w:rFonts w:hint="cs"/>
          <w:rtl/>
        </w:rPr>
        <w:t xml:space="preserve">من أجل </w:t>
      </w:r>
      <w:r w:rsidR="008254CC">
        <w:rPr>
          <w:rFonts w:hint="cs"/>
          <w:rtl/>
        </w:rPr>
        <w:t>النص على</w:t>
      </w:r>
      <w:r>
        <w:rPr>
          <w:rFonts w:hint="cs"/>
          <w:rtl/>
        </w:rPr>
        <w:t xml:space="preserve"> قدر أكبر من الشفافية والموثوقية، ودعما للتقريب بين ممارسات مكاتب تسلم الطلبات، ي</w:t>
      </w:r>
      <w:r w:rsidR="00B22F0C">
        <w:rPr>
          <w:rFonts w:hint="cs"/>
          <w:rtl/>
        </w:rPr>
        <w:t>ُ</w:t>
      </w:r>
      <w:r>
        <w:rPr>
          <w:rFonts w:hint="cs"/>
          <w:rtl/>
        </w:rPr>
        <w:t>نصح بوضع أساس قانوني سليم في معاهدة البراءات. وس</w:t>
      </w:r>
      <w:r w:rsidR="008254CC">
        <w:rPr>
          <w:rFonts w:hint="cs"/>
          <w:rtl/>
        </w:rPr>
        <w:t>تستفيد من</w:t>
      </w:r>
      <w:r>
        <w:rPr>
          <w:rFonts w:hint="cs"/>
          <w:rtl/>
        </w:rPr>
        <w:t xml:space="preserve"> ذلك أيضا </w:t>
      </w:r>
      <w:r w:rsidR="0042580E">
        <w:rPr>
          <w:rFonts w:hint="cs"/>
          <w:rtl/>
        </w:rPr>
        <w:t>أكبر</w:t>
      </w:r>
      <w:r>
        <w:rPr>
          <w:rFonts w:hint="cs"/>
          <w:rtl/>
        </w:rPr>
        <w:t xml:space="preserve"> المكاتب حجما التي </w:t>
      </w:r>
      <w:r w:rsidR="00B22F0C">
        <w:rPr>
          <w:rFonts w:hint="cs"/>
          <w:rtl/>
        </w:rPr>
        <w:t>ترد</w:t>
      </w:r>
      <w:r w:rsidR="008254CC">
        <w:rPr>
          <w:rFonts w:hint="cs"/>
          <w:rtl/>
        </w:rPr>
        <w:t xml:space="preserve"> إليها ط</w:t>
      </w:r>
      <w:r>
        <w:rPr>
          <w:rFonts w:hint="cs"/>
          <w:rtl/>
        </w:rPr>
        <w:t xml:space="preserve">لبات دولية من </w:t>
      </w:r>
      <w:r>
        <w:rPr>
          <w:rFonts w:hint="cs"/>
          <w:rtl/>
        </w:rPr>
        <w:lastRenderedPageBreak/>
        <w:t>العديد من مختلف مكاتب تسلم الطلبات</w:t>
      </w:r>
      <w:r w:rsidR="008254CC">
        <w:rPr>
          <w:rFonts w:hint="cs"/>
          <w:rtl/>
        </w:rPr>
        <w:t>،</w:t>
      </w:r>
      <w:r>
        <w:rPr>
          <w:rFonts w:hint="cs"/>
          <w:rtl/>
        </w:rPr>
        <w:t xml:space="preserve"> التي </w:t>
      </w:r>
      <w:r w:rsidR="008254CC">
        <w:rPr>
          <w:rFonts w:hint="cs"/>
          <w:rtl/>
        </w:rPr>
        <w:t>ي</w:t>
      </w:r>
      <w:r>
        <w:rPr>
          <w:rFonts w:hint="cs"/>
          <w:rtl/>
        </w:rPr>
        <w:t xml:space="preserve">طبق حاليا </w:t>
      </w:r>
      <w:r w:rsidR="008254CC">
        <w:rPr>
          <w:rFonts w:hint="cs"/>
          <w:rtl/>
        </w:rPr>
        <w:t xml:space="preserve">كل منها </w:t>
      </w:r>
      <w:r w:rsidR="00B22F0C">
        <w:rPr>
          <w:rFonts w:hint="cs"/>
          <w:rtl/>
        </w:rPr>
        <w:t>الممارسة الوطنية "الخاصة به</w:t>
      </w:r>
      <w:r>
        <w:rPr>
          <w:rFonts w:hint="cs"/>
          <w:rtl/>
        </w:rPr>
        <w:t>" في حال</w:t>
      </w:r>
      <w:r w:rsidR="008254CC">
        <w:rPr>
          <w:rFonts w:hint="cs"/>
          <w:rtl/>
        </w:rPr>
        <w:t>ات</w:t>
      </w:r>
      <w:r>
        <w:rPr>
          <w:rFonts w:hint="cs"/>
          <w:rtl/>
        </w:rPr>
        <w:t xml:space="preserve"> عدم توافر </w:t>
      </w:r>
      <w:r w:rsidR="00B22F0C">
        <w:rPr>
          <w:rFonts w:hint="cs"/>
          <w:rtl/>
        </w:rPr>
        <w:t>مرافقه المخصصة ل</w:t>
      </w:r>
      <w:r>
        <w:rPr>
          <w:rFonts w:hint="cs"/>
          <w:rtl/>
        </w:rPr>
        <w:t xml:space="preserve">إيداع </w:t>
      </w:r>
      <w:r w:rsidR="00B22F0C">
        <w:rPr>
          <w:rFonts w:hint="cs"/>
          <w:rtl/>
        </w:rPr>
        <w:t>الطلبات إلكترونيا</w:t>
      </w:r>
      <w:r>
        <w:rPr>
          <w:rFonts w:hint="cs"/>
          <w:rtl/>
        </w:rPr>
        <w:t>.</w:t>
      </w:r>
    </w:p>
    <w:p w:rsidR="00E36D78" w:rsidRDefault="00E36D78" w:rsidP="00B22F0C">
      <w:pPr>
        <w:pStyle w:val="ONUMA"/>
      </w:pPr>
      <w:r>
        <w:rPr>
          <w:rFonts w:hint="cs"/>
          <w:rtl/>
        </w:rPr>
        <w:t>ولذلك يقترح المكتب الأوروب</w:t>
      </w:r>
      <w:r w:rsidR="00B22F0C">
        <w:rPr>
          <w:rFonts w:hint="cs"/>
          <w:rtl/>
        </w:rPr>
        <w:t>ي للبراءات إدخال قاعدة جديدة 82</w:t>
      </w:r>
      <w:r w:rsidRPr="00B22F0C">
        <w:rPr>
          <w:rFonts w:hint="cs"/>
          <w:vertAlign w:val="superscript"/>
          <w:rtl/>
        </w:rPr>
        <w:t>(رابعا)</w:t>
      </w:r>
      <w:r>
        <w:rPr>
          <w:rFonts w:hint="cs"/>
          <w:rtl/>
        </w:rPr>
        <w:t xml:space="preserve">(2) (انظر </w:t>
      </w:r>
      <w:r w:rsidR="00B22F0C">
        <w:rPr>
          <w:rFonts w:hint="cs"/>
          <w:rtl/>
        </w:rPr>
        <w:t>المرفق</w:t>
      </w:r>
      <w:r>
        <w:rPr>
          <w:rFonts w:hint="cs"/>
          <w:rtl/>
        </w:rPr>
        <w:t xml:space="preserve">) </w:t>
      </w:r>
      <w:r w:rsidR="00B22F0C">
        <w:rPr>
          <w:rFonts w:hint="cs"/>
          <w:rtl/>
        </w:rPr>
        <w:t>ل</w:t>
      </w:r>
      <w:r w:rsidR="00EC2A56">
        <w:rPr>
          <w:rFonts w:hint="cs"/>
          <w:rtl/>
        </w:rPr>
        <w:t xml:space="preserve">قبول </w:t>
      </w:r>
      <w:r>
        <w:rPr>
          <w:rFonts w:hint="cs"/>
          <w:rtl/>
        </w:rPr>
        <w:t>عذر التأخر في حالات المشاكل التقنية التي تصيب الوسائل الرسمية للاتصال الإلكتروني، بصرف النظر عما إذا كانت مقر</w:t>
      </w:r>
      <w:r w:rsidR="00B22F0C">
        <w:rPr>
          <w:rFonts w:hint="cs"/>
          <w:rtl/>
        </w:rPr>
        <w:t>ّ</w:t>
      </w:r>
      <w:r>
        <w:rPr>
          <w:rFonts w:hint="cs"/>
          <w:rtl/>
        </w:rPr>
        <w:t>رة (الصيانة) أو</w:t>
      </w:r>
      <w:r w:rsidR="00B22F0C">
        <w:rPr>
          <w:rFonts w:hint="eastAsia"/>
          <w:rtl/>
        </w:rPr>
        <w:t> </w:t>
      </w:r>
      <w:r>
        <w:rPr>
          <w:rFonts w:hint="cs"/>
          <w:rtl/>
        </w:rPr>
        <w:t xml:space="preserve">غير متوقعة (الأعطال) من طرف </w:t>
      </w:r>
      <w:r w:rsidR="006C5965">
        <w:rPr>
          <w:rFonts w:hint="cs"/>
          <w:rtl/>
        </w:rPr>
        <w:t>ال</w:t>
      </w:r>
      <w:r>
        <w:rPr>
          <w:rFonts w:hint="cs"/>
          <w:rtl/>
        </w:rPr>
        <w:t>مكتب ال</w:t>
      </w:r>
      <w:r w:rsidR="006C5965">
        <w:rPr>
          <w:rFonts w:hint="cs"/>
          <w:rtl/>
        </w:rPr>
        <w:t>م</w:t>
      </w:r>
      <w:r w:rsidR="00B22F0C">
        <w:rPr>
          <w:rFonts w:hint="cs"/>
          <w:rtl/>
        </w:rPr>
        <w:t>عني. ويجوز تمديد المهل</w:t>
      </w:r>
      <w:r>
        <w:rPr>
          <w:rFonts w:hint="cs"/>
          <w:rtl/>
        </w:rPr>
        <w:t xml:space="preserve"> الزمنية إلى يوم العمل التالي </w:t>
      </w:r>
      <w:r w:rsidR="00B22F0C">
        <w:rPr>
          <w:rFonts w:hint="cs"/>
          <w:rtl/>
        </w:rPr>
        <w:t>الذي</w:t>
      </w:r>
      <w:r>
        <w:rPr>
          <w:rFonts w:hint="cs"/>
          <w:rtl/>
        </w:rPr>
        <w:t xml:space="preserve"> تكون </w:t>
      </w:r>
      <w:r w:rsidR="00B22F0C">
        <w:rPr>
          <w:rFonts w:hint="cs"/>
          <w:rtl/>
        </w:rPr>
        <w:t xml:space="preserve">فيه </w:t>
      </w:r>
      <w:r>
        <w:rPr>
          <w:rFonts w:hint="cs"/>
          <w:rtl/>
        </w:rPr>
        <w:t>جميع وسائل الاتصال الإلكتروني المسموح بها متاحة من جديد.</w:t>
      </w:r>
    </w:p>
    <w:p w:rsidR="00E36D78" w:rsidRDefault="00E36D78" w:rsidP="00D539A9">
      <w:pPr>
        <w:pStyle w:val="ONUMA"/>
      </w:pPr>
      <w:r>
        <w:rPr>
          <w:rFonts w:hint="cs"/>
          <w:rtl/>
        </w:rPr>
        <w:t>وبخل</w:t>
      </w:r>
      <w:r w:rsidR="004B0C4F">
        <w:rPr>
          <w:rFonts w:hint="cs"/>
          <w:rtl/>
        </w:rPr>
        <w:t>اف ما جاء في القاعدة 82</w:t>
      </w:r>
      <w:r w:rsidR="004B0C4F" w:rsidRPr="004B0C4F">
        <w:rPr>
          <w:rFonts w:hint="cs"/>
          <w:vertAlign w:val="superscript"/>
          <w:rtl/>
        </w:rPr>
        <w:t>(رابعا)</w:t>
      </w:r>
      <w:r w:rsidR="004B0C4F">
        <w:rPr>
          <w:rFonts w:hint="cs"/>
          <w:rtl/>
        </w:rPr>
        <w:t>(1)، لن</w:t>
      </w:r>
      <w:r>
        <w:rPr>
          <w:rFonts w:hint="cs"/>
          <w:rtl/>
        </w:rPr>
        <w:t xml:space="preserve"> يتعي</w:t>
      </w:r>
      <w:r w:rsidR="004B0C4F">
        <w:rPr>
          <w:rFonts w:hint="cs"/>
          <w:rtl/>
        </w:rPr>
        <w:t>ّ</w:t>
      </w:r>
      <w:r>
        <w:rPr>
          <w:rFonts w:hint="cs"/>
          <w:rtl/>
        </w:rPr>
        <w:t xml:space="preserve">ن على مودعي الطلبات تقديم أدلة </w:t>
      </w:r>
      <w:r w:rsidR="004B0C4F">
        <w:rPr>
          <w:rFonts w:hint="cs"/>
          <w:rtl/>
        </w:rPr>
        <w:t>بمقتضى</w:t>
      </w:r>
      <w:r>
        <w:rPr>
          <w:rFonts w:hint="cs"/>
          <w:rtl/>
        </w:rPr>
        <w:t xml:space="preserve"> القاعدة </w:t>
      </w:r>
      <w:r w:rsidR="00E87473">
        <w:rPr>
          <w:rFonts w:hint="cs"/>
          <w:rtl/>
        </w:rPr>
        <w:t xml:space="preserve">الجديدة </w:t>
      </w:r>
      <w:r w:rsidR="004B0C4F">
        <w:rPr>
          <w:rFonts w:hint="cs"/>
          <w:rtl/>
        </w:rPr>
        <w:t>المقترحة 82</w:t>
      </w:r>
      <w:r w:rsidRPr="004B0C4F">
        <w:rPr>
          <w:rFonts w:hint="cs"/>
          <w:vertAlign w:val="superscript"/>
          <w:rtl/>
        </w:rPr>
        <w:t>(رابعا)</w:t>
      </w:r>
      <w:r w:rsidR="004B0C4F">
        <w:rPr>
          <w:rFonts w:hint="cs"/>
          <w:rtl/>
        </w:rPr>
        <w:t>(2). فس</w:t>
      </w:r>
      <w:r w:rsidR="00E87473">
        <w:rPr>
          <w:rFonts w:hint="cs"/>
          <w:rtl/>
        </w:rPr>
        <w:t>تكفي</w:t>
      </w:r>
      <w:r>
        <w:rPr>
          <w:rFonts w:hint="cs"/>
          <w:rtl/>
        </w:rPr>
        <w:t xml:space="preserve"> الإشارة إلى عدم توافر وسائل الاتصال الإلكتروني وسي</w:t>
      </w:r>
      <w:r w:rsidR="004B0C4F">
        <w:rPr>
          <w:rFonts w:hint="cs"/>
          <w:rtl/>
        </w:rPr>
        <w:t>ُ</w:t>
      </w:r>
      <w:r>
        <w:rPr>
          <w:rFonts w:hint="cs"/>
          <w:rtl/>
        </w:rPr>
        <w:t xml:space="preserve">قبل عذر عدم </w:t>
      </w:r>
      <w:r w:rsidR="00D539A9">
        <w:rPr>
          <w:rFonts w:hint="cs"/>
          <w:rtl/>
        </w:rPr>
        <w:t>الالتزام</w:t>
      </w:r>
      <w:r>
        <w:rPr>
          <w:rFonts w:hint="cs"/>
          <w:rtl/>
        </w:rPr>
        <w:t xml:space="preserve"> </w:t>
      </w:r>
      <w:r w:rsidR="00D539A9">
        <w:rPr>
          <w:rFonts w:hint="cs"/>
          <w:rtl/>
        </w:rPr>
        <w:t>ب</w:t>
      </w:r>
      <w:r>
        <w:rPr>
          <w:rFonts w:hint="cs"/>
          <w:rtl/>
        </w:rPr>
        <w:t>المهل الزمنية المحد</w:t>
      </w:r>
      <w:r w:rsidR="004B0C4F">
        <w:rPr>
          <w:rFonts w:hint="cs"/>
          <w:rtl/>
        </w:rPr>
        <w:t>ّ</w:t>
      </w:r>
      <w:r>
        <w:rPr>
          <w:rFonts w:hint="cs"/>
          <w:rtl/>
        </w:rPr>
        <w:t xml:space="preserve">دة دون إجراء المكتب مزيدا من التقييم، </w:t>
      </w:r>
      <w:r w:rsidR="004B0C4F">
        <w:rPr>
          <w:rFonts w:hint="cs"/>
          <w:rtl/>
        </w:rPr>
        <w:t>مما سيؤدي إلى</w:t>
      </w:r>
      <w:r>
        <w:rPr>
          <w:rFonts w:hint="cs"/>
          <w:rtl/>
        </w:rPr>
        <w:t xml:space="preserve"> تبسيط الإجراءات وتخليص المكاتب من عبء تقييم كل حالة. </w:t>
      </w:r>
      <w:r w:rsidR="004B0C4F">
        <w:rPr>
          <w:rFonts w:hint="cs"/>
          <w:rtl/>
        </w:rPr>
        <w:t>والغرض من النص المقترح للقاعدة الجديدة 82</w:t>
      </w:r>
      <w:r w:rsidRPr="004B0C4F">
        <w:rPr>
          <w:rFonts w:hint="cs"/>
          <w:vertAlign w:val="superscript"/>
          <w:rtl/>
        </w:rPr>
        <w:t>(رابعا)</w:t>
      </w:r>
      <w:r w:rsidR="004B0C4F">
        <w:rPr>
          <w:rFonts w:hint="cs"/>
          <w:rtl/>
        </w:rPr>
        <w:t>(2)</w:t>
      </w:r>
      <w:r>
        <w:rPr>
          <w:rFonts w:hint="cs"/>
          <w:rtl/>
        </w:rPr>
        <w:t>(</w:t>
      </w:r>
      <w:r w:rsidR="00103C59">
        <w:rPr>
          <w:rFonts w:hint="cs"/>
          <w:rtl/>
        </w:rPr>
        <w:t>ب</w:t>
      </w:r>
      <w:r w:rsidR="004B0C4F">
        <w:rPr>
          <w:rFonts w:hint="cs"/>
          <w:rtl/>
        </w:rPr>
        <w:t>) هو نفسه المنشود من نص القاعدة 82</w:t>
      </w:r>
      <w:r w:rsidRPr="004B0C4F">
        <w:rPr>
          <w:rFonts w:hint="cs"/>
          <w:vertAlign w:val="superscript"/>
          <w:rtl/>
        </w:rPr>
        <w:t>(رابعا)</w:t>
      </w:r>
      <w:r>
        <w:rPr>
          <w:rFonts w:hint="cs"/>
          <w:rtl/>
        </w:rPr>
        <w:t>(1) (ج) و</w:t>
      </w:r>
      <w:r w:rsidR="004B0C4F">
        <w:rPr>
          <w:rFonts w:hint="cs"/>
          <w:rtl/>
        </w:rPr>
        <w:t>بالتالي فهو متوافق معه</w:t>
      </w:r>
      <w:r>
        <w:rPr>
          <w:rFonts w:hint="cs"/>
          <w:rtl/>
        </w:rPr>
        <w:t xml:space="preserve">. </w:t>
      </w:r>
      <w:r w:rsidR="00905822">
        <w:rPr>
          <w:rFonts w:hint="cs"/>
          <w:rtl/>
        </w:rPr>
        <w:t xml:space="preserve">والمُراد في آخر المطاف </w:t>
      </w:r>
      <w:r>
        <w:rPr>
          <w:rFonts w:hint="cs"/>
          <w:rtl/>
        </w:rPr>
        <w:t>هو ضمان ألا تكون المكاتب المعي</w:t>
      </w:r>
      <w:r w:rsidR="00103C59">
        <w:rPr>
          <w:rFonts w:hint="cs"/>
          <w:rtl/>
        </w:rPr>
        <w:t>ّ</w:t>
      </w:r>
      <w:r>
        <w:rPr>
          <w:rFonts w:hint="cs"/>
          <w:rtl/>
        </w:rPr>
        <w:t xml:space="preserve">نة </w:t>
      </w:r>
      <w:r w:rsidRPr="00EC7AB5">
        <w:rPr>
          <w:rtl/>
        </w:rPr>
        <w:t xml:space="preserve">ملزمة بقرارات صدرت </w:t>
      </w:r>
      <w:r>
        <w:rPr>
          <w:rFonts w:hint="cs"/>
          <w:rtl/>
        </w:rPr>
        <w:t>عن سلطات أخرى بعد الدخول في المرحلة الوطنية لكل منها.</w:t>
      </w:r>
    </w:p>
    <w:p w:rsidR="00E36D78" w:rsidRDefault="00905822" w:rsidP="00AF6D16">
      <w:pPr>
        <w:pStyle w:val="ONUMA"/>
      </w:pPr>
      <w:r>
        <w:rPr>
          <w:rFonts w:hint="cs"/>
          <w:rtl/>
        </w:rPr>
        <w:t>وبالإضافة إلى ذلك ومن</w:t>
      </w:r>
      <w:r w:rsidR="00E36D78">
        <w:rPr>
          <w:rFonts w:hint="cs"/>
          <w:rtl/>
        </w:rPr>
        <w:t xml:space="preserve"> خلال تجربة المكتب الأ</w:t>
      </w:r>
      <w:r>
        <w:rPr>
          <w:rFonts w:hint="cs"/>
          <w:rtl/>
        </w:rPr>
        <w:t>وروبي للبراءات بشأن القاعدة 134</w:t>
      </w:r>
      <w:r w:rsidR="00E36D78">
        <w:rPr>
          <w:rFonts w:hint="cs"/>
          <w:rtl/>
        </w:rPr>
        <w:t>(1)</w:t>
      </w:r>
      <w:r>
        <w:rPr>
          <w:rFonts w:hint="cs"/>
          <w:rtl/>
        </w:rPr>
        <w:t xml:space="preserve"> من الاتفاقية الأوروبية للبراءات</w:t>
      </w:r>
      <w:r w:rsidR="00E36D78">
        <w:rPr>
          <w:rFonts w:hint="cs"/>
          <w:rtl/>
        </w:rPr>
        <w:t>، ي</w:t>
      </w:r>
      <w:r w:rsidR="00116E99">
        <w:rPr>
          <w:rFonts w:hint="cs"/>
          <w:rtl/>
        </w:rPr>
        <w:t>ُ</w:t>
      </w:r>
      <w:r>
        <w:rPr>
          <w:rFonts w:hint="cs"/>
          <w:rtl/>
        </w:rPr>
        <w:t xml:space="preserve">ستبعد جدا حدوث أي تجاوز </w:t>
      </w:r>
      <w:r w:rsidR="00E36D78">
        <w:rPr>
          <w:rFonts w:hint="cs"/>
          <w:rtl/>
        </w:rPr>
        <w:t>في استخدام النظام. فلا يمكن أن يستبق مقدمو الطلبات عدم توافر أنظمة الإيداع على مستوى المكاتب، سواء بسبب عمليات الصيانة أو الأعطال، و</w:t>
      </w:r>
      <w:r>
        <w:rPr>
          <w:rFonts w:hint="cs"/>
          <w:rtl/>
        </w:rPr>
        <w:t xml:space="preserve">الاستفادة </w:t>
      </w:r>
      <w:r w:rsidR="00E36D78">
        <w:rPr>
          <w:rFonts w:hint="cs"/>
          <w:rtl/>
        </w:rPr>
        <w:t xml:space="preserve">بالتالي </w:t>
      </w:r>
      <w:r>
        <w:rPr>
          <w:rFonts w:hint="cs"/>
          <w:rtl/>
        </w:rPr>
        <w:t>من</w:t>
      </w:r>
      <w:r w:rsidR="00E36D78">
        <w:rPr>
          <w:rFonts w:hint="cs"/>
          <w:rtl/>
        </w:rPr>
        <w:t xml:space="preserve"> تمديدات </w:t>
      </w:r>
      <w:r>
        <w:rPr>
          <w:rFonts w:hint="cs"/>
          <w:rtl/>
        </w:rPr>
        <w:t xml:space="preserve">للمهل الزمنية بصورة </w:t>
      </w:r>
      <w:r w:rsidR="00E36D78">
        <w:rPr>
          <w:rFonts w:hint="cs"/>
          <w:rtl/>
        </w:rPr>
        <w:t>غير مبر</w:t>
      </w:r>
      <w:r>
        <w:rPr>
          <w:rFonts w:hint="cs"/>
          <w:rtl/>
        </w:rPr>
        <w:t>ّ</w:t>
      </w:r>
      <w:r w:rsidR="00E36D78">
        <w:rPr>
          <w:rFonts w:hint="cs"/>
          <w:rtl/>
        </w:rPr>
        <w:t>رة. و</w:t>
      </w:r>
      <w:r>
        <w:rPr>
          <w:rFonts w:hint="cs"/>
          <w:rtl/>
        </w:rPr>
        <w:t>بالمثل</w:t>
      </w:r>
      <w:r w:rsidR="00E36D78">
        <w:rPr>
          <w:rFonts w:hint="cs"/>
          <w:rtl/>
        </w:rPr>
        <w:t>، تدخل عمليات الصيانة ضمن نطاق حكم معاهدة البراءات</w:t>
      </w:r>
      <w:r w:rsidR="00116E99">
        <w:rPr>
          <w:rFonts w:hint="cs"/>
          <w:rtl/>
        </w:rPr>
        <w:t xml:space="preserve"> الجديد </w:t>
      </w:r>
      <w:r>
        <w:rPr>
          <w:rFonts w:hint="cs"/>
          <w:rtl/>
        </w:rPr>
        <w:t>المقترح، إذ س</w:t>
      </w:r>
      <w:r w:rsidR="00E36D78">
        <w:rPr>
          <w:rFonts w:hint="cs"/>
          <w:rtl/>
        </w:rPr>
        <w:t>ي</w:t>
      </w:r>
      <w:r>
        <w:rPr>
          <w:rFonts w:hint="cs"/>
          <w:rtl/>
        </w:rPr>
        <w:t>ُ</w:t>
      </w:r>
      <w:r w:rsidR="00116E99">
        <w:rPr>
          <w:rFonts w:hint="cs"/>
          <w:rtl/>
        </w:rPr>
        <w:t>نتظر</w:t>
      </w:r>
      <w:r w:rsidR="00AF6D16" w:rsidRPr="00AF6D16">
        <w:rPr>
          <w:rFonts w:hint="cs"/>
          <w:rtl/>
        </w:rPr>
        <w:t xml:space="preserve"> </w:t>
      </w:r>
      <w:r w:rsidR="00AF6D16">
        <w:rPr>
          <w:rFonts w:hint="cs"/>
          <w:rtl/>
        </w:rPr>
        <w:t>من مقدمي الطلبات</w:t>
      </w:r>
      <w:r w:rsidR="00116E99">
        <w:rPr>
          <w:rFonts w:hint="cs"/>
          <w:rtl/>
        </w:rPr>
        <w:t xml:space="preserve">، </w:t>
      </w:r>
      <w:r w:rsidR="00AF6D16">
        <w:rPr>
          <w:rFonts w:hint="cs"/>
          <w:rtl/>
        </w:rPr>
        <w:t>خلاف ذلك</w:t>
      </w:r>
      <w:r w:rsidR="00116E99">
        <w:rPr>
          <w:rFonts w:hint="cs"/>
          <w:rtl/>
        </w:rPr>
        <w:t>،</w:t>
      </w:r>
      <w:r w:rsidR="00E36D78">
        <w:rPr>
          <w:rFonts w:hint="cs"/>
          <w:rtl/>
        </w:rPr>
        <w:t xml:space="preserve"> </w:t>
      </w:r>
      <w:r w:rsidR="00AF6D16">
        <w:rPr>
          <w:rFonts w:hint="cs"/>
          <w:rtl/>
        </w:rPr>
        <w:t>الوفاء ب</w:t>
      </w:r>
      <w:r w:rsidR="00E36D78">
        <w:rPr>
          <w:rFonts w:hint="cs"/>
          <w:rtl/>
        </w:rPr>
        <w:t xml:space="preserve">التزاماتهم قبل المهلة الزمنية الفعلية المنصوص عليها في </w:t>
      </w:r>
      <w:r w:rsidR="00AF6D16">
        <w:rPr>
          <w:rFonts w:hint="cs"/>
          <w:rtl/>
        </w:rPr>
        <w:t>اللائحة</w:t>
      </w:r>
      <w:r w:rsidR="00E36D78">
        <w:rPr>
          <w:rFonts w:hint="cs"/>
          <w:rtl/>
        </w:rPr>
        <w:t xml:space="preserve"> التنفيذية لمعاهدة البراءات.</w:t>
      </w:r>
    </w:p>
    <w:p w:rsidR="00CE69E6" w:rsidRDefault="00126F81" w:rsidP="00D539A9">
      <w:pPr>
        <w:pStyle w:val="ONUMA"/>
        <w:rPr>
          <w:rtl/>
        </w:rPr>
      </w:pPr>
      <w:r>
        <w:rPr>
          <w:rFonts w:hint="cs"/>
          <w:rtl/>
        </w:rPr>
        <w:t>و</w:t>
      </w:r>
      <w:r w:rsidR="00E36D78">
        <w:rPr>
          <w:rFonts w:hint="cs"/>
          <w:rtl/>
        </w:rPr>
        <w:t>يشمل الاقتراح جميع المهل الزمنية المحد</w:t>
      </w:r>
      <w:r w:rsidR="00AF6D16">
        <w:rPr>
          <w:rFonts w:hint="cs"/>
          <w:rtl/>
        </w:rPr>
        <w:t>ّ</w:t>
      </w:r>
      <w:r w:rsidR="00E36D78">
        <w:rPr>
          <w:rFonts w:hint="cs"/>
          <w:rtl/>
        </w:rPr>
        <w:t xml:space="preserve">دة في </w:t>
      </w:r>
      <w:r w:rsidR="00AF6D16">
        <w:rPr>
          <w:rFonts w:hint="cs"/>
          <w:rtl/>
        </w:rPr>
        <w:t>اللائحة</w:t>
      </w:r>
      <w:r w:rsidR="00E36D78">
        <w:rPr>
          <w:rFonts w:hint="cs"/>
          <w:rtl/>
        </w:rPr>
        <w:t xml:space="preserve"> التنفيذية لمعاهدة البراءات للقيام بأي إجراء لدى</w:t>
      </w:r>
      <w:r w:rsidR="00AF6D16">
        <w:rPr>
          <w:rFonts w:hint="cs"/>
          <w:rtl/>
        </w:rPr>
        <w:t xml:space="preserve"> المكاتب، بما في ذلك دفع الرسوم، فقد يؤدي </w:t>
      </w:r>
      <w:r w:rsidR="00E36D78">
        <w:rPr>
          <w:rFonts w:hint="cs"/>
          <w:rtl/>
        </w:rPr>
        <w:t xml:space="preserve">عدم دفعها في غضون المهل الزمنية </w:t>
      </w:r>
      <w:r w:rsidR="00AF6D16">
        <w:rPr>
          <w:rFonts w:hint="cs"/>
          <w:rtl/>
        </w:rPr>
        <w:t>المُطبقة</w:t>
      </w:r>
      <w:r w:rsidR="00E36D78">
        <w:rPr>
          <w:rFonts w:hint="cs"/>
          <w:rtl/>
        </w:rPr>
        <w:t xml:space="preserve"> إلى فقدان الحقوق. وعلى غرار ما جاء في القاعدة</w:t>
      </w:r>
      <w:r w:rsidR="00AF6D16">
        <w:rPr>
          <w:rFonts w:hint="eastAsia"/>
          <w:rtl/>
        </w:rPr>
        <w:t> </w:t>
      </w:r>
      <w:r w:rsidR="00AF6D16">
        <w:rPr>
          <w:rFonts w:hint="cs"/>
          <w:rtl/>
        </w:rPr>
        <w:t>82</w:t>
      </w:r>
      <w:r w:rsidR="00E36D78" w:rsidRPr="00AF6D16">
        <w:rPr>
          <w:rFonts w:hint="cs"/>
          <w:vertAlign w:val="superscript"/>
          <w:rtl/>
        </w:rPr>
        <w:t>(رابعا)</w:t>
      </w:r>
      <w:r w:rsidR="00AF6D16">
        <w:rPr>
          <w:rFonts w:hint="cs"/>
          <w:rtl/>
        </w:rPr>
        <w:t>(1)، لن ينطبق الضمان الجديد المقترح بموجب القاعدة 82</w:t>
      </w:r>
      <w:r w:rsidR="00E36D78" w:rsidRPr="00AF6D16">
        <w:rPr>
          <w:rFonts w:hint="cs"/>
          <w:vertAlign w:val="superscript"/>
          <w:rtl/>
        </w:rPr>
        <w:t>(رابعا)</w:t>
      </w:r>
      <w:r w:rsidR="00E36D78">
        <w:rPr>
          <w:rFonts w:hint="cs"/>
          <w:rtl/>
        </w:rPr>
        <w:t>(2) على فترة الأولوية، بما أنها ليست مهلة زمنية محد</w:t>
      </w:r>
      <w:r w:rsidR="00AF6D16">
        <w:rPr>
          <w:rFonts w:hint="cs"/>
          <w:rtl/>
        </w:rPr>
        <w:t>ّ</w:t>
      </w:r>
      <w:r w:rsidR="00E36D78">
        <w:rPr>
          <w:rFonts w:hint="cs"/>
          <w:rtl/>
        </w:rPr>
        <w:t xml:space="preserve">دة في </w:t>
      </w:r>
      <w:r w:rsidR="00AF6D16">
        <w:rPr>
          <w:rFonts w:hint="cs"/>
          <w:rtl/>
        </w:rPr>
        <w:t>اللائحة</w:t>
      </w:r>
      <w:r w:rsidR="00E36D78">
        <w:rPr>
          <w:rFonts w:hint="cs"/>
          <w:rtl/>
        </w:rPr>
        <w:t xml:space="preserve"> التنفيذية. غير أنه يمكن لمقدمي الطلبات التماس </w:t>
      </w:r>
      <w:r w:rsidR="00AF6D16">
        <w:rPr>
          <w:rFonts w:hint="cs"/>
          <w:rtl/>
        </w:rPr>
        <w:t>رد</w:t>
      </w:r>
      <w:r w:rsidR="00E36D78">
        <w:rPr>
          <w:rFonts w:hint="cs"/>
          <w:rtl/>
        </w:rPr>
        <w:t xml:space="preserve"> </w:t>
      </w:r>
      <w:r w:rsidR="00AF6D16">
        <w:rPr>
          <w:rFonts w:hint="cs"/>
          <w:rtl/>
        </w:rPr>
        <w:t>حق الأولوية بناء على القاعدة 26</w:t>
      </w:r>
      <w:r w:rsidR="00E36D78" w:rsidRPr="00AF6D16">
        <w:rPr>
          <w:rFonts w:hint="cs"/>
          <w:vertAlign w:val="superscript"/>
          <w:rtl/>
        </w:rPr>
        <w:t>(</w:t>
      </w:r>
      <w:r w:rsidR="00AF6D16" w:rsidRPr="00AF6D16">
        <w:rPr>
          <w:rFonts w:hint="cs"/>
          <w:vertAlign w:val="superscript"/>
          <w:rtl/>
        </w:rPr>
        <w:t>ثانيا</w:t>
      </w:r>
      <w:r w:rsidR="00E36D78" w:rsidRPr="00AF6D16">
        <w:rPr>
          <w:rFonts w:hint="cs"/>
          <w:vertAlign w:val="superscript"/>
          <w:rtl/>
        </w:rPr>
        <w:t>)</w:t>
      </w:r>
      <w:r w:rsidR="00E36D78">
        <w:rPr>
          <w:rFonts w:hint="cs"/>
          <w:rtl/>
        </w:rPr>
        <w:t>(3). وفي</w:t>
      </w:r>
      <w:r w:rsidR="00AF6D16">
        <w:rPr>
          <w:rFonts w:hint="eastAsia"/>
          <w:rtl/>
        </w:rPr>
        <w:t> </w:t>
      </w:r>
      <w:r w:rsidR="00E36D78">
        <w:rPr>
          <w:rFonts w:hint="cs"/>
          <w:rtl/>
        </w:rPr>
        <w:t>حالة تطبيق القاعدة المقترحة، سيبل</w:t>
      </w:r>
      <w:r w:rsidR="00AF6D16">
        <w:rPr>
          <w:rFonts w:hint="cs"/>
          <w:rtl/>
        </w:rPr>
        <w:t>ّ</w:t>
      </w:r>
      <w:r w:rsidR="00E36D78">
        <w:rPr>
          <w:rFonts w:hint="cs"/>
          <w:rtl/>
        </w:rPr>
        <w:t xml:space="preserve">غ المكتب المعني المعلومات ذات الصلة إلى المكتب الدولي لضمان </w:t>
      </w:r>
      <w:r w:rsidR="00AF6D16">
        <w:rPr>
          <w:rFonts w:hint="cs"/>
          <w:rtl/>
        </w:rPr>
        <w:t>إعلام</w:t>
      </w:r>
      <w:r w:rsidR="00E36D78">
        <w:rPr>
          <w:rFonts w:hint="cs"/>
          <w:rtl/>
        </w:rPr>
        <w:t xml:space="preserve"> عامة الجمهور والمكاتب بطريقة مناسبة، </w:t>
      </w:r>
      <w:r w:rsidR="00AF6D16">
        <w:rPr>
          <w:rFonts w:hint="cs"/>
          <w:rtl/>
        </w:rPr>
        <w:t xml:space="preserve">ويمكن القيام بذلك مثلا </w:t>
      </w:r>
      <w:r w:rsidR="00E36D78">
        <w:rPr>
          <w:rFonts w:hint="cs"/>
          <w:rtl/>
        </w:rPr>
        <w:t xml:space="preserve">عن طريق </w:t>
      </w:r>
      <w:r w:rsidR="00E36D78" w:rsidRPr="00875C6B">
        <w:rPr>
          <w:rtl/>
        </w:rPr>
        <w:t>نشرة أخبار معاهدة البراءات</w:t>
      </w:r>
      <w:r w:rsidR="00E36D78">
        <w:rPr>
          <w:rFonts w:hint="cs"/>
          <w:rtl/>
        </w:rPr>
        <w:t xml:space="preserve">. ويمكن </w:t>
      </w:r>
      <w:r w:rsidR="00AF6D16">
        <w:rPr>
          <w:rFonts w:hint="cs"/>
          <w:rtl/>
        </w:rPr>
        <w:t>وضع</w:t>
      </w:r>
      <w:r w:rsidR="00E36D78">
        <w:rPr>
          <w:rFonts w:hint="cs"/>
          <w:rtl/>
        </w:rPr>
        <w:t xml:space="preserve"> المزيد من </w:t>
      </w:r>
      <w:r w:rsidR="00AF6D16">
        <w:rPr>
          <w:rFonts w:hint="cs"/>
          <w:rtl/>
        </w:rPr>
        <w:t>التفاصيل</w:t>
      </w:r>
      <w:r w:rsidR="00E36D78">
        <w:rPr>
          <w:rFonts w:hint="cs"/>
          <w:rtl/>
        </w:rPr>
        <w:t xml:space="preserve"> بشأن تنفيذ القاعدة الجديدة المقترحة في المبادئ التوجيهية </w:t>
      </w:r>
      <w:r>
        <w:rPr>
          <w:rFonts w:hint="cs"/>
          <w:rtl/>
        </w:rPr>
        <w:t>ل</w:t>
      </w:r>
      <w:r w:rsidR="00E36D78">
        <w:rPr>
          <w:rFonts w:hint="cs"/>
          <w:rtl/>
        </w:rPr>
        <w:t xml:space="preserve">مكاتب تسلم الطلبات </w:t>
      </w:r>
      <w:r w:rsidR="00CE69E6">
        <w:rPr>
          <w:rFonts w:hint="cs"/>
          <w:rtl/>
        </w:rPr>
        <w:t xml:space="preserve">المودعة بناء على معاهدة </w:t>
      </w:r>
      <w:r w:rsidR="00E36D78">
        <w:rPr>
          <w:rFonts w:hint="cs"/>
          <w:rtl/>
        </w:rPr>
        <w:t xml:space="preserve">البراءات، بما في ذلك المعلومات </w:t>
      </w:r>
      <w:r>
        <w:rPr>
          <w:rFonts w:hint="cs"/>
          <w:rtl/>
        </w:rPr>
        <w:t>الخاصة</w:t>
      </w:r>
      <w:r w:rsidR="00E36D78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E36D78">
        <w:rPr>
          <w:rFonts w:hint="cs"/>
          <w:rtl/>
        </w:rPr>
        <w:t xml:space="preserve">الأثر القانوني لعدم </w:t>
      </w:r>
      <w:r w:rsidR="00D539A9">
        <w:rPr>
          <w:rFonts w:hint="cs"/>
          <w:rtl/>
        </w:rPr>
        <w:t>الالتزام</w:t>
      </w:r>
      <w:r w:rsidR="00E36D78">
        <w:rPr>
          <w:rFonts w:hint="cs"/>
          <w:rtl/>
        </w:rPr>
        <w:t xml:space="preserve"> </w:t>
      </w:r>
      <w:r w:rsidR="00D539A9">
        <w:rPr>
          <w:rFonts w:hint="cs"/>
          <w:rtl/>
        </w:rPr>
        <w:t>ب</w:t>
      </w:r>
      <w:r w:rsidR="00E36D78">
        <w:rPr>
          <w:rFonts w:hint="cs"/>
          <w:rtl/>
        </w:rPr>
        <w:t xml:space="preserve">المهل الزمنية، لضمان عدم تضليل مودعي الطلبات </w:t>
      </w:r>
      <w:r w:rsidR="00CE69E6">
        <w:rPr>
          <w:rFonts w:hint="cs"/>
          <w:rtl/>
        </w:rPr>
        <w:t>بخصوص تبعات</w:t>
      </w:r>
      <w:r w:rsidR="00E36D78">
        <w:rPr>
          <w:rFonts w:hint="cs"/>
          <w:rtl/>
        </w:rPr>
        <w:t xml:space="preserve"> عدم </w:t>
      </w:r>
      <w:r w:rsidR="00D539A9">
        <w:rPr>
          <w:rFonts w:hint="cs"/>
          <w:rtl/>
        </w:rPr>
        <w:t>الالتزام</w:t>
      </w:r>
      <w:r w:rsidR="00E36D78">
        <w:rPr>
          <w:rFonts w:hint="cs"/>
          <w:rtl/>
        </w:rPr>
        <w:t xml:space="preserve"> </w:t>
      </w:r>
      <w:r w:rsidR="00D539A9">
        <w:rPr>
          <w:rFonts w:hint="cs"/>
          <w:rtl/>
        </w:rPr>
        <w:t>ب</w:t>
      </w:r>
      <w:r w:rsidR="00CE69E6">
        <w:rPr>
          <w:rFonts w:hint="cs"/>
          <w:rtl/>
        </w:rPr>
        <w:t xml:space="preserve">تلك </w:t>
      </w:r>
      <w:r w:rsidR="00E36D78">
        <w:rPr>
          <w:rFonts w:hint="cs"/>
          <w:rtl/>
        </w:rPr>
        <w:t>المهل.</w:t>
      </w:r>
    </w:p>
    <w:p w:rsidR="00CE69E6" w:rsidRDefault="00CE69E6">
      <w:pPr>
        <w:bidi w:val="0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E36D78" w:rsidRDefault="009539BB" w:rsidP="00174DAA">
      <w:pPr>
        <w:pStyle w:val="ONUMA"/>
        <w:rPr>
          <w:rtl/>
        </w:rPr>
      </w:pPr>
      <w:r>
        <w:rPr>
          <w:rFonts w:hint="cs"/>
          <w:rtl/>
        </w:rPr>
        <w:lastRenderedPageBreak/>
        <w:t>و</w:t>
      </w:r>
      <w:r w:rsidR="00E36D78">
        <w:rPr>
          <w:rFonts w:hint="cs"/>
          <w:rtl/>
        </w:rPr>
        <w:t xml:space="preserve">سيجعل هذا الاقتراح قبول عذر التأخر </w:t>
      </w:r>
      <w:r w:rsidR="00CE69E6">
        <w:rPr>
          <w:rFonts w:hint="cs"/>
          <w:rtl/>
        </w:rPr>
        <w:t>في نظام</w:t>
      </w:r>
      <w:r w:rsidR="00E36D78">
        <w:rPr>
          <w:rFonts w:hint="cs"/>
          <w:rtl/>
        </w:rPr>
        <w:t xml:space="preserve"> معاهدة البراءات أكثر موثوقية </w:t>
      </w:r>
      <w:r w:rsidR="00CE69E6">
        <w:rPr>
          <w:rFonts w:hint="cs"/>
          <w:rtl/>
        </w:rPr>
        <w:t>وشفافية وقابلية</w:t>
      </w:r>
      <w:r w:rsidR="00E36D78">
        <w:rPr>
          <w:rFonts w:hint="cs"/>
          <w:rtl/>
        </w:rPr>
        <w:t xml:space="preserve"> ل</w:t>
      </w:r>
      <w:r w:rsidR="00614947">
        <w:rPr>
          <w:rFonts w:hint="cs"/>
          <w:rtl/>
        </w:rPr>
        <w:t>ل</w:t>
      </w:r>
      <w:r w:rsidR="00E36D78">
        <w:rPr>
          <w:rFonts w:hint="cs"/>
          <w:rtl/>
        </w:rPr>
        <w:t>تتبع بالنسبة للمستخدمين والمكاتب المع</w:t>
      </w:r>
      <w:r w:rsidR="00614947">
        <w:rPr>
          <w:rFonts w:hint="cs"/>
          <w:rtl/>
        </w:rPr>
        <w:t>يّ</w:t>
      </w:r>
      <w:r w:rsidR="00E36D78">
        <w:rPr>
          <w:rFonts w:hint="cs"/>
          <w:rtl/>
        </w:rPr>
        <w:t>نة وال</w:t>
      </w:r>
      <w:r w:rsidR="00614947">
        <w:rPr>
          <w:rFonts w:hint="cs"/>
          <w:rtl/>
        </w:rPr>
        <w:t>أ</w:t>
      </w:r>
      <w:r w:rsidR="00E36D78">
        <w:rPr>
          <w:rFonts w:hint="cs"/>
          <w:rtl/>
        </w:rPr>
        <w:t xml:space="preserve">طراف الأخرى. ومن </w:t>
      </w:r>
      <w:r w:rsidR="00CE69E6">
        <w:rPr>
          <w:rFonts w:hint="cs"/>
          <w:rtl/>
        </w:rPr>
        <w:t>المفهوم أنه لا يمكن لكل</w:t>
      </w:r>
      <w:r w:rsidR="00E36D78">
        <w:rPr>
          <w:rFonts w:hint="cs"/>
          <w:rtl/>
        </w:rPr>
        <w:t xml:space="preserve"> المكاتب استخدام الحكم الجديد بسبب اختلاف الممارسات </w:t>
      </w:r>
      <w:r w:rsidR="004D5B9F">
        <w:rPr>
          <w:rFonts w:hint="cs"/>
          <w:rtl/>
        </w:rPr>
        <w:t>التي يطبقها</w:t>
      </w:r>
      <w:r w:rsidR="00CE69E6">
        <w:rPr>
          <w:rFonts w:hint="cs"/>
          <w:rtl/>
        </w:rPr>
        <w:t xml:space="preserve"> كل منها بموجب قانونه الوطني</w:t>
      </w:r>
      <w:r w:rsidR="00E36D78">
        <w:rPr>
          <w:rFonts w:hint="cs"/>
          <w:rtl/>
        </w:rPr>
        <w:t xml:space="preserve">، </w:t>
      </w:r>
      <w:r w:rsidR="00CE69E6">
        <w:rPr>
          <w:rFonts w:hint="cs"/>
          <w:rtl/>
        </w:rPr>
        <w:t xml:space="preserve">وعليه </w:t>
      </w:r>
      <w:r w:rsidR="00E36D78">
        <w:rPr>
          <w:rFonts w:hint="cs"/>
          <w:rtl/>
        </w:rPr>
        <w:t xml:space="preserve">تبقى لتلك المكاتب حرية </w:t>
      </w:r>
      <w:r w:rsidR="00CE69E6">
        <w:rPr>
          <w:rFonts w:hint="cs"/>
          <w:rtl/>
        </w:rPr>
        <w:t>البتّ</w:t>
      </w:r>
      <w:r w:rsidR="00E36D78">
        <w:rPr>
          <w:rFonts w:hint="cs"/>
          <w:rtl/>
        </w:rPr>
        <w:t xml:space="preserve"> في قبول</w:t>
      </w:r>
      <w:r w:rsidR="00CE69E6">
        <w:rPr>
          <w:rFonts w:hint="cs"/>
          <w:rtl/>
        </w:rPr>
        <w:t>، أو عدم قبول،</w:t>
      </w:r>
      <w:r w:rsidR="00E36D78">
        <w:rPr>
          <w:rFonts w:hint="cs"/>
          <w:rtl/>
        </w:rPr>
        <w:t xml:space="preserve"> عذر </w:t>
      </w:r>
      <w:r w:rsidR="00C92A06">
        <w:rPr>
          <w:rFonts w:hint="cs"/>
          <w:rtl/>
        </w:rPr>
        <w:t>ال</w:t>
      </w:r>
      <w:r w:rsidR="00E36D78">
        <w:rPr>
          <w:rFonts w:hint="cs"/>
          <w:rtl/>
        </w:rPr>
        <w:t>تأخر</w:t>
      </w:r>
      <w:r w:rsidR="00C92A06">
        <w:rPr>
          <w:rFonts w:hint="cs"/>
          <w:rtl/>
        </w:rPr>
        <w:t xml:space="preserve"> في </w:t>
      </w:r>
      <w:r w:rsidR="00174DAA">
        <w:rPr>
          <w:rFonts w:hint="cs"/>
          <w:rtl/>
        </w:rPr>
        <w:t>الالتزام</w:t>
      </w:r>
      <w:r w:rsidR="00C92A06">
        <w:rPr>
          <w:rFonts w:hint="cs"/>
          <w:rtl/>
        </w:rPr>
        <w:t xml:space="preserve"> </w:t>
      </w:r>
      <w:r w:rsidR="00174DAA">
        <w:rPr>
          <w:rFonts w:hint="cs"/>
          <w:rtl/>
        </w:rPr>
        <w:t>ب</w:t>
      </w:r>
      <w:r w:rsidR="00C92A06">
        <w:rPr>
          <w:rFonts w:hint="cs"/>
          <w:rtl/>
        </w:rPr>
        <w:t>المهل الزمنية</w:t>
      </w:r>
      <w:r w:rsidR="00E36D78">
        <w:rPr>
          <w:rFonts w:hint="cs"/>
          <w:rtl/>
        </w:rPr>
        <w:t xml:space="preserve"> لفترة محد</w:t>
      </w:r>
      <w:r w:rsidR="00CE69E6">
        <w:rPr>
          <w:rFonts w:hint="cs"/>
          <w:rtl/>
        </w:rPr>
        <w:t xml:space="preserve">ّدة، </w:t>
      </w:r>
      <w:r w:rsidR="00C92A06">
        <w:rPr>
          <w:rFonts w:hint="cs"/>
          <w:rtl/>
        </w:rPr>
        <w:t xml:space="preserve">وكيفية القيام بذلك، </w:t>
      </w:r>
      <w:r w:rsidR="00E36D78">
        <w:rPr>
          <w:rFonts w:hint="cs"/>
          <w:rtl/>
        </w:rPr>
        <w:t>و</w:t>
      </w:r>
      <w:r w:rsidR="00C92A06">
        <w:rPr>
          <w:rFonts w:hint="cs"/>
          <w:rtl/>
        </w:rPr>
        <w:t>إخطار</w:t>
      </w:r>
      <w:r w:rsidR="00E36D78">
        <w:rPr>
          <w:rFonts w:hint="cs"/>
          <w:rtl/>
        </w:rPr>
        <w:t xml:space="preserve"> المستخدمين بذلك القرار وفقا للممارسا</w:t>
      </w:r>
      <w:r w:rsidR="00E36D78">
        <w:rPr>
          <w:rFonts w:hint="eastAsia"/>
          <w:rtl/>
        </w:rPr>
        <w:t>ت</w:t>
      </w:r>
      <w:r w:rsidR="00E36D78">
        <w:rPr>
          <w:rFonts w:hint="cs"/>
          <w:rtl/>
        </w:rPr>
        <w:t xml:space="preserve"> الخاصة بكل منها. ومع ذلك، سيمث</w:t>
      </w:r>
      <w:r w:rsidR="004D5B9F">
        <w:rPr>
          <w:rFonts w:hint="cs"/>
          <w:rtl/>
        </w:rPr>
        <w:t>ّ</w:t>
      </w:r>
      <w:r w:rsidR="00E36D78">
        <w:rPr>
          <w:rFonts w:hint="cs"/>
          <w:rtl/>
        </w:rPr>
        <w:t xml:space="preserve">ل </w:t>
      </w:r>
      <w:r w:rsidR="004D5B9F">
        <w:rPr>
          <w:rFonts w:hint="cs"/>
          <w:rtl/>
        </w:rPr>
        <w:t>إدراج</w:t>
      </w:r>
      <w:r w:rsidR="00E36D78">
        <w:rPr>
          <w:rFonts w:hint="cs"/>
          <w:rtl/>
        </w:rPr>
        <w:t xml:space="preserve"> هذا الحكم في معاهدة البراءات خطوة </w:t>
      </w:r>
      <w:r w:rsidR="004D5B9F">
        <w:rPr>
          <w:rFonts w:hint="cs"/>
          <w:rtl/>
        </w:rPr>
        <w:t xml:space="preserve">مهمة </w:t>
      </w:r>
      <w:r w:rsidR="00E36D78">
        <w:rPr>
          <w:rFonts w:hint="cs"/>
          <w:rtl/>
        </w:rPr>
        <w:t xml:space="preserve">تجاه التقريب بين ممارسات المكاتب التي تقبل عذر التأخر في </w:t>
      </w:r>
      <w:r w:rsidR="00174DAA">
        <w:rPr>
          <w:rFonts w:hint="cs"/>
          <w:rtl/>
        </w:rPr>
        <w:t>الالتزام</w:t>
      </w:r>
      <w:r w:rsidR="00E36D78">
        <w:rPr>
          <w:rFonts w:hint="cs"/>
          <w:rtl/>
        </w:rPr>
        <w:t xml:space="preserve"> </w:t>
      </w:r>
      <w:r w:rsidR="00174DAA">
        <w:rPr>
          <w:rFonts w:hint="cs"/>
          <w:rtl/>
        </w:rPr>
        <w:t>ب</w:t>
      </w:r>
      <w:r w:rsidR="00E36D78">
        <w:rPr>
          <w:rFonts w:hint="cs"/>
          <w:rtl/>
        </w:rPr>
        <w:t xml:space="preserve">المهل الزمنية بناء على قوانينها </w:t>
      </w:r>
      <w:r w:rsidR="004D5B9F">
        <w:rPr>
          <w:rFonts w:hint="cs"/>
          <w:rtl/>
        </w:rPr>
        <w:t>الوطنية في الحالات المذكورة.</w:t>
      </w:r>
    </w:p>
    <w:p w:rsidR="00E36D78" w:rsidRDefault="004D5B9F" w:rsidP="004D5B9F">
      <w:pPr>
        <w:pStyle w:val="Decision"/>
      </w:pPr>
      <w:r>
        <w:rPr>
          <w:rtl/>
        </w:rPr>
        <w:t>إن الفريق العامل مدعو</w:t>
      </w:r>
      <w:r w:rsidR="00E36D78" w:rsidRPr="004F5F4A">
        <w:rPr>
          <w:rtl/>
        </w:rPr>
        <w:t xml:space="preserve"> إلى التعليق على التعديلات المقترح إدخالها على اللائحة التنفيذية والمبيَّنة في مرفق هذه الوثيقة</w:t>
      </w:r>
      <w:r w:rsidR="00E36D78">
        <w:rPr>
          <w:rFonts w:hint="cs"/>
          <w:rtl/>
        </w:rPr>
        <w:t>.</w:t>
      </w:r>
    </w:p>
    <w:p w:rsidR="00E36D78" w:rsidRPr="00FD6D15" w:rsidRDefault="00E36D78" w:rsidP="00E36D78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:rsidR="004B7E21" w:rsidRDefault="004B7E21">
      <w:pPr>
        <w:bidi w:val="0"/>
        <w:rPr>
          <w:rtl/>
        </w:rPr>
        <w:sectPr w:rsidR="004B7E21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D7E81" w:rsidRPr="00853B37" w:rsidRDefault="00E86113" w:rsidP="00853B37">
      <w:pPr>
        <w:jc w:val="center"/>
        <w:rPr>
          <w:sz w:val="40"/>
          <w:szCs w:val="40"/>
          <w:rtl/>
          <w:lang w:bidi="ar-EG"/>
        </w:rPr>
      </w:pPr>
      <w:r w:rsidRPr="00853B37">
        <w:rPr>
          <w:sz w:val="40"/>
          <w:szCs w:val="40"/>
          <w:rtl/>
        </w:rPr>
        <w:lastRenderedPageBreak/>
        <w:t>التعديلات المقترح إدخالها على اللائحة التنفيذية لمعاهدة التعاون بشأن البراءات</w:t>
      </w:r>
      <w:r w:rsidR="008C1769" w:rsidRPr="00853B37">
        <w:rPr>
          <w:rStyle w:val="FootnoteReference"/>
          <w:sz w:val="40"/>
          <w:szCs w:val="40"/>
          <w:rtl/>
        </w:rPr>
        <w:footnoteReference w:customMarkFollows="1" w:id="2"/>
        <w:t>2</w:t>
      </w:r>
    </w:p>
    <w:p w:rsidR="00FD6D15" w:rsidRPr="00853B37" w:rsidRDefault="00E86113" w:rsidP="004B7E21">
      <w:pPr>
        <w:spacing w:before="200" w:after="960"/>
        <w:jc w:val="center"/>
        <w:rPr>
          <w:sz w:val="40"/>
          <w:szCs w:val="40"/>
          <w:rtl/>
        </w:rPr>
      </w:pPr>
      <w:r w:rsidRPr="00853B37">
        <w:rPr>
          <w:rFonts w:hint="cs"/>
          <w:sz w:val="40"/>
          <w:szCs w:val="40"/>
          <w:rtl/>
        </w:rPr>
        <w:t>قائمة المحتويات</w:t>
      </w:r>
    </w:p>
    <w:bookmarkStart w:id="18" w:name="ExtraPara"/>
    <w:bookmarkEnd w:id="18"/>
    <w:p w:rsidR="00D539A9" w:rsidRPr="00D539A9" w:rsidRDefault="00D539A9" w:rsidP="00D539A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"1-2"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:rsidR="00D539A9" w:rsidRPr="00D539A9" w:rsidRDefault="00C77E9D" w:rsidP="00D539A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9442374" w:history="1">
        <w:r w:rsidR="00D539A9" w:rsidRPr="00D539A9">
          <w:rPr>
            <w:rStyle w:val="Hyperlink"/>
            <w:b w:val="0"/>
            <w:bCs w:val="0"/>
            <w:rtl/>
            <w:lang w:bidi="ar-EG"/>
          </w:rPr>
          <w:t>القاعدة 82</w:t>
        </w:r>
        <w:r w:rsidR="00D539A9" w:rsidRPr="00D539A9">
          <w:rPr>
            <w:rStyle w:val="Hyperlink"/>
            <w:b w:val="0"/>
            <w:bCs w:val="0"/>
            <w:vertAlign w:val="superscript"/>
            <w:rtl/>
            <w:lang w:bidi="ar-EG"/>
          </w:rPr>
          <w:t>(رابعا)</w:t>
        </w:r>
        <w:r w:rsidR="00D539A9" w:rsidRPr="00D539A9">
          <w:rPr>
            <w:rStyle w:val="Hyperlink"/>
            <w:b w:val="0"/>
            <w:bCs w:val="0"/>
            <w:rtl/>
            <w:lang w:bidi="ar-EG"/>
          </w:rPr>
          <w:t xml:space="preserve"> عذر التأخر في مراعاة المهل</w:t>
        </w:r>
        <w:r w:rsidR="00D539A9" w:rsidRPr="00D539A9">
          <w:rPr>
            <w:b w:val="0"/>
            <w:bCs w:val="0"/>
            <w:webHidden/>
          </w:rPr>
          <w:tab/>
        </w:r>
        <w:r w:rsidR="00D539A9" w:rsidRPr="00D539A9">
          <w:rPr>
            <w:b w:val="0"/>
            <w:bCs w:val="0"/>
            <w:webHidden/>
          </w:rPr>
          <w:fldChar w:fldCharType="begin"/>
        </w:r>
        <w:r w:rsidR="00D539A9" w:rsidRPr="00D539A9">
          <w:rPr>
            <w:b w:val="0"/>
            <w:bCs w:val="0"/>
            <w:webHidden/>
          </w:rPr>
          <w:instrText xml:space="preserve"> PAGEREF _Toc9442374 \h </w:instrText>
        </w:r>
        <w:r w:rsidR="00D539A9" w:rsidRPr="00D539A9">
          <w:rPr>
            <w:b w:val="0"/>
            <w:bCs w:val="0"/>
            <w:webHidden/>
          </w:rPr>
        </w:r>
        <w:r w:rsidR="00D539A9" w:rsidRPr="00D539A9">
          <w:rPr>
            <w:b w:val="0"/>
            <w:bCs w:val="0"/>
            <w:webHidden/>
          </w:rPr>
          <w:fldChar w:fldCharType="separate"/>
        </w:r>
        <w:r w:rsidR="00110771">
          <w:rPr>
            <w:b w:val="0"/>
            <w:bCs w:val="0"/>
            <w:webHidden/>
            <w:rtl/>
          </w:rPr>
          <w:t>2</w:t>
        </w:r>
        <w:r w:rsidR="00D539A9" w:rsidRPr="00D539A9">
          <w:rPr>
            <w:b w:val="0"/>
            <w:bCs w:val="0"/>
            <w:webHidden/>
          </w:rPr>
          <w:fldChar w:fldCharType="end"/>
        </w:r>
      </w:hyperlink>
    </w:p>
    <w:p w:rsidR="00D539A9" w:rsidRPr="00D539A9" w:rsidRDefault="00C77E9D" w:rsidP="00D539A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42375" w:history="1">
        <w:r w:rsidR="00D539A9" w:rsidRPr="00D539A9">
          <w:rPr>
            <w:rStyle w:val="Hyperlink"/>
            <w:noProof/>
            <w:rtl/>
            <w:lang w:bidi="ar-EG"/>
          </w:rPr>
          <w:t>82</w:t>
        </w:r>
        <w:r w:rsidR="00D539A9" w:rsidRPr="00D539A9">
          <w:rPr>
            <w:rStyle w:val="Hyperlink"/>
            <w:noProof/>
            <w:vertAlign w:val="superscript"/>
            <w:rtl/>
            <w:lang w:bidi="ar-EG"/>
          </w:rPr>
          <w:t>(رابعا)</w:t>
        </w:r>
        <w:r w:rsidR="00D539A9" w:rsidRPr="00D539A9">
          <w:rPr>
            <w:rStyle w:val="Hyperlink"/>
            <w:noProof/>
            <w:rtl/>
            <w:lang w:bidi="ar-EG"/>
          </w:rPr>
          <w:t xml:space="preserve">1   </w:t>
        </w:r>
        <w:r w:rsidR="00D539A9" w:rsidRPr="00D539A9">
          <w:rPr>
            <w:rStyle w:val="Hyperlink"/>
            <w:i/>
            <w:iCs/>
            <w:noProof/>
            <w:rtl/>
            <w:lang w:bidi="ar-EG"/>
          </w:rPr>
          <w:t>عذر التأخر في مراعاة المهل</w:t>
        </w:r>
        <w:r w:rsidR="00D539A9" w:rsidRPr="00D539A9">
          <w:rPr>
            <w:noProof/>
            <w:webHidden/>
          </w:rPr>
          <w:tab/>
        </w:r>
        <w:r w:rsidR="00D539A9" w:rsidRPr="00D539A9">
          <w:rPr>
            <w:noProof/>
            <w:webHidden/>
          </w:rPr>
          <w:fldChar w:fldCharType="begin"/>
        </w:r>
        <w:r w:rsidR="00D539A9" w:rsidRPr="00D539A9">
          <w:rPr>
            <w:noProof/>
            <w:webHidden/>
          </w:rPr>
          <w:instrText xml:space="preserve"> PAGEREF _Toc9442375 \h </w:instrText>
        </w:r>
        <w:r w:rsidR="00D539A9" w:rsidRPr="00D539A9">
          <w:rPr>
            <w:noProof/>
            <w:webHidden/>
          </w:rPr>
        </w:r>
        <w:r w:rsidR="00D539A9" w:rsidRPr="00D539A9">
          <w:rPr>
            <w:noProof/>
            <w:webHidden/>
          </w:rPr>
          <w:fldChar w:fldCharType="separate"/>
        </w:r>
        <w:r w:rsidR="00110771">
          <w:rPr>
            <w:noProof/>
            <w:webHidden/>
            <w:rtl/>
          </w:rPr>
          <w:t>2</w:t>
        </w:r>
        <w:r w:rsidR="00D539A9" w:rsidRPr="00D539A9">
          <w:rPr>
            <w:noProof/>
            <w:webHidden/>
          </w:rPr>
          <w:fldChar w:fldCharType="end"/>
        </w:r>
      </w:hyperlink>
    </w:p>
    <w:p w:rsidR="00D539A9" w:rsidRPr="00D539A9" w:rsidRDefault="00C77E9D" w:rsidP="00D539A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442376" w:history="1">
        <w:r w:rsidR="00D539A9" w:rsidRPr="00D539A9">
          <w:rPr>
            <w:rStyle w:val="Hyperlink"/>
            <w:noProof/>
            <w:rtl/>
            <w:lang w:bidi="ar-EG"/>
          </w:rPr>
          <w:t>82</w:t>
        </w:r>
        <w:r w:rsidR="00D539A9" w:rsidRPr="00D539A9">
          <w:rPr>
            <w:rStyle w:val="Hyperlink"/>
            <w:noProof/>
            <w:vertAlign w:val="superscript"/>
            <w:rtl/>
            <w:lang w:bidi="ar-EG"/>
          </w:rPr>
          <w:t>(رابعا)</w:t>
        </w:r>
        <w:r w:rsidR="00D539A9" w:rsidRPr="00D539A9">
          <w:rPr>
            <w:rStyle w:val="Hyperlink"/>
            <w:noProof/>
            <w:rtl/>
            <w:lang w:bidi="ar-EG"/>
          </w:rPr>
          <w:t xml:space="preserve">2   </w:t>
        </w:r>
        <w:r w:rsidR="00D539A9" w:rsidRPr="00D539A9">
          <w:rPr>
            <w:rStyle w:val="Hyperlink"/>
            <w:i/>
            <w:iCs/>
            <w:noProof/>
            <w:rtl/>
          </w:rPr>
          <w:t>عدم توافر وسائل الاتصال الإلكتروني في المكتب</w:t>
        </w:r>
        <w:r w:rsidR="00D539A9" w:rsidRPr="00D539A9">
          <w:rPr>
            <w:noProof/>
            <w:webHidden/>
          </w:rPr>
          <w:tab/>
        </w:r>
        <w:r w:rsidR="00D539A9" w:rsidRPr="00D539A9">
          <w:rPr>
            <w:noProof/>
            <w:webHidden/>
          </w:rPr>
          <w:fldChar w:fldCharType="begin"/>
        </w:r>
        <w:r w:rsidR="00D539A9" w:rsidRPr="00D539A9">
          <w:rPr>
            <w:noProof/>
            <w:webHidden/>
          </w:rPr>
          <w:instrText xml:space="preserve"> PAGEREF _Toc9442376 \h </w:instrText>
        </w:r>
        <w:r w:rsidR="00D539A9" w:rsidRPr="00D539A9">
          <w:rPr>
            <w:noProof/>
            <w:webHidden/>
          </w:rPr>
        </w:r>
        <w:r w:rsidR="00D539A9" w:rsidRPr="00D539A9">
          <w:rPr>
            <w:noProof/>
            <w:webHidden/>
          </w:rPr>
          <w:fldChar w:fldCharType="separate"/>
        </w:r>
        <w:r w:rsidR="00110771">
          <w:rPr>
            <w:noProof/>
            <w:webHidden/>
            <w:rtl/>
          </w:rPr>
          <w:t>2</w:t>
        </w:r>
        <w:r w:rsidR="00D539A9" w:rsidRPr="00D539A9">
          <w:rPr>
            <w:noProof/>
            <w:webHidden/>
          </w:rPr>
          <w:fldChar w:fldCharType="end"/>
        </w:r>
      </w:hyperlink>
    </w:p>
    <w:p w:rsidR="00D539A9" w:rsidRDefault="00D539A9" w:rsidP="00653B15">
      <w:pPr>
        <w:spacing w:before="200" w:after="960"/>
        <w:contextualSpacing/>
        <w:rPr>
          <w:rtl/>
        </w:rPr>
      </w:pPr>
      <w:r>
        <w:rPr>
          <w:rtl/>
        </w:rPr>
        <w:fldChar w:fldCharType="end"/>
      </w:r>
    </w:p>
    <w:p w:rsidR="007F10E7" w:rsidRDefault="007F10E7">
      <w:pPr>
        <w:bidi w:val="0"/>
        <w:rPr>
          <w:rtl/>
        </w:rPr>
      </w:pPr>
      <w:r>
        <w:rPr>
          <w:rtl/>
        </w:rPr>
        <w:br w:type="page"/>
      </w:r>
    </w:p>
    <w:p w:rsidR="00C50A61" w:rsidRPr="00D539A9" w:rsidRDefault="00853B37" w:rsidP="00D539A9">
      <w:pPr>
        <w:pStyle w:val="Heading1"/>
        <w:spacing w:line="360" w:lineRule="exact"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bookmarkStart w:id="19" w:name="_Toc9442374"/>
      <w:r w:rsidRPr="00D539A9"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  <w:lastRenderedPageBreak/>
        <w:t>القاعدة 82</w:t>
      </w:r>
      <w:r w:rsidRPr="00D539A9">
        <w:rPr>
          <w:rFonts w:ascii="Arabic Typesetting" w:hAnsi="Arabic Typesetting" w:cs="Arabic Typesetting"/>
          <w:b/>
          <w:bCs/>
          <w:sz w:val="40"/>
          <w:szCs w:val="40"/>
          <w:vertAlign w:val="superscript"/>
          <w:rtl/>
          <w:lang w:bidi="ar-EG"/>
        </w:rPr>
        <w:t>(رابعا)</w:t>
      </w:r>
      <w:r w:rsidRPr="00D539A9">
        <w:rPr>
          <w:rFonts w:ascii="Arabic Typesetting" w:hAnsi="Arabic Typesetting" w:cs="Arabic Typesetting"/>
          <w:b/>
          <w:bCs/>
          <w:sz w:val="40"/>
          <w:szCs w:val="40"/>
          <w:rtl/>
          <w:lang w:bidi="ar-EG"/>
        </w:rPr>
        <w:br/>
        <w:t>عذر التأخر في مراعاة المهل</w:t>
      </w:r>
      <w:bookmarkEnd w:id="19"/>
    </w:p>
    <w:p w:rsidR="00557C03" w:rsidRPr="00D539A9" w:rsidRDefault="00557C03" w:rsidP="00D539A9">
      <w:pPr>
        <w:pStyle w:val="Heading2"/>
        <w:spacing w:before="480"/>
        <w:rPr>
          <w:b w:val="0"/>
          <w:bCs w:val="0"/>
          <w:sz w:val="36"/>
          <w:szCs w:val="36"/>
          <w:rtl/>
          <w:lang w:bidi="ar-EG"/>
        </w:rPr>
      </w:pPr>
      <w:bookmarkStart w:id="20" w:name="_Toc9442375"/>
      <w:r w:rsidRPr="00D539A9">
        <w:rPr>
          <w:rFonts w:hint="cs"/>
          <w:b w:val="0"/>
          <w:bCs w:val="0"/>
          <w:sz w:val="36"/>
          <w:szCs w:val="36"/>
          <w:rtl/>
          <w:lang w:bidi="ar-EG"/>
        </w:rPr>
        <w:t>82</w:t>
      </w:r>
      <w:r w:rsidRPr="00D539A9">
        <w:rPr>
          <w:rFonts w:hint="cs"/>
          <w:b w:val="0"/>
          <w:bCs w:val="0"/>
          <w:sz w:val="36"/>
          <w:szCs w:val="36"/>
          <w:vertAlign w:val="superscript"/>
          <w:rtl/>
          <w:lang w:bidi="ar-EG"/>
        </w:rPr>
        <w:t>(رابعا)</w:t>
      </w:r>
      <w:r w:rsidRPr="00D539A9">
        <w:rPr>
          <w:rFonts w:hint="cs"/>
          <w:b w:val="0"/>
          <w:bCs w:val="0"/>
          <w:sz w:val="36"/>
          <w:szCs w:val="36"/>
          <w:rtl/>
          <w:lang w:bidi="ar-EG"/>
        </w:rPr>
        <w:t xml:space="preserve">1   </w:t>
      </w:r>
      <w:r w:rsidRPr="00D539A9">
        <w:rPr>
          <w:rFonts w:hint="cs"/>
          <w:b w:val="0"/>
          <w:bCs w:val="0"/>
          <w:i/>
          <w:iCs/>
          <w:sz w:val="36"/>
          <w:szCs w:val="36"/>
          <w:rtl/>
          <w:lang w:bidi="ar-EG"/>
        </w:rPr>
        <w:t>عذر التأخر في مراعاة المهل</w:t>
      </w:r>
      <w:bookmarkEnd w:id="20"/>
    </w:p>
    <w:p w:rsidR="004C5FEF" w:rsidRDefault="004C5FEF" w:rsidP="00557C03">
      <w:pPr>
        <w:spacing w:before="200"/>
        <w:rPr>
          <w:rtl/>
        </w:rPr>
      </w:pPr>
      <w:r>
        <w:rPr>
          <w:rFonts w:hint="cs"/>
          <w:rtl/>
        </w:rPr>
        <w:t>من (أ) إلى (ج)</w:t>
      </w:r>
      <w:r w:rsidR="00557C03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557C03" w:rsidRPr="00557C03">
        <w:rPr>
          <w:i/>
          <w:iCs/>
          <w:rtl/>
        </w:rPr>
        <w:t>[</w:t>
      </w:r>
      <w:r w:rsidRPr="00557C03">
        <w:rPr>
          <w:i/>
          <w:iCs/>
          <w:rtl/>
        </w:rPr>
        <w:t>دون تغيير]</w:t>
      </w:r>
    </w:p>
    <w:p w:rsidR="00557C03" w:rsidRPr="00D539A9" w:rsidRDefault="00557C03" w:rsidP="00D539A9">
      <w:pPr>
        <w:pStyle w:val="Heading2"/>
        <w:rPr>
          <w:b w:val="0"/>
          <w:bCs w:val="0"/>
          <w:color w:val="0000FF"/>
          <w:sz w:val="36"/>
          <w:szCs w:val="36"/>
          <w:rtl/>
          <w:lang w:bidi="ar-EG"/>
        </w:rPr>
      </w:pPr>
      <w:bookmarkStart w:id="21" w:name="_Toc9442376"/>
      <w:r w:rsidRPr="00D539A9">
        <w:rPr>
          <w:rFonts w:hint="cs"/>
          <w:b w:val="0"/>
          <w:bCs w:val="0"/>
          <w:color w:val="0000FF"/>
          <w:sz w:val="36"/>
          <w:szCs w:val="36"/>
          <w:rtl/>
          <w:lang w:bidi="ar-EG"/>
        </w:rPr>
        <w:t>82</w:t>
      </w:r>
      <w:r w:rsidRPr="00D539A9">
        <w:rPr>
          <w:rFonts w:hint="cs"/>
          <w:b w:val="0"/>
          <w:bCs w:val="0"/>
          <w:color w:val="0000FF"/>
          <w:sz w:val="36"/>
          <w:szCs w:val="36"/>
          <w:vertAlign w:val="superscript"/>
          <w:rtl/>
          <w:lang w:bidi="ar-EG"/>
        </w:rPr>
        <w:t>(رابعا)</w:t>
      </w:r>
      <w:r w:rsidRPr="00D539A9">
        <w:rPr>
          <w:rFonts w:hint="cs"/>
          <w:b w:val="0"/>
          <w:bCs w:val="0"/>
          <w:color w:val="0000FF"/>
          <w:sz w:val="36"/>
          <w:szCs w:val="36"/>
          <w:rtl/>
          <w:lang w:bidi="ar-EG"/>
        </w:rPr>
        <w:t xml:space="preserve">2   </w:t>
      </w:r>
      <w:r w:rsidRPr="00D539A9">
        <w:rPr>
          <w:rFonts w:hint="cs"/>
          <w:b w:val="0"/>
          <w:bCs w:val="0"/>
          <w:i/>
          <w:iCs/>
          <w:color w:val="0000FF"/>
          <w:sz w:val="36"/>
          <w:szCs w:val="36"/>
          <w:rtl/>
        </w:rPr>
        <w:t>عدم توافر وسائل الاتصال الإلكتروني في المكتب</w:t>
      </w:r>
      <w:bookmarkEnd w:id="21"/>
    </w:p>
    <w:p w:rsidR="00B7406C" w:rsidRPr="002C30EE" w:rsidRDefault="00557C03" w:rsidP="00F20199">
      <w:pPr>
        <w:pStyle w:val="indent1"/>
        <w:numPr>
          <w:ilvl w:val="0"/>
          <w:numId w:val="0"/>
        </w:numPr>
        <w:ind w:firstLine="567"/>
        <w:rPr>
          <w:color w:val="0000FF"/>
          <w:u w:val="single"/>
          <w:rtl/>
        </w:rPr>
      </w:pPr>
      <w:r w:rsidRPr="002C30EE">
        <w:rPr>
          <w:rFonts w:hint="cs"/>
          <w:color w:val="0000FF"/>
          <w:u w:val="single"/>
          <w:rtl/>
        </w:rPr>
        <w:t>(أ)</w:t>
      </w:r>
      <w:r w:rsidRPr="002C30EE">
        <w:rPr>
          <w:color w:val="0000FF"/>
          <w:u w:val="single"/>
          <w:rtl/>
        </w:rPr>
        <w:tab/>
      </w:r>
      <w:r w:rsidR="002C30EE" w:rsidRPr="002C30EE">
        <w:rPr>
          <w:color w:val="0000FF"/>
          <w:u w:val="single"/>
          <w:rtl/>
          <w:lang w:bidi="ar-SA"/>
        </w:rPr>
        <w:t>يجوز ل</w:t>
      </w:r>
      <w:r w:rsidR="002C30EE" w:rsidRPr="002C30EE">
        <w:rPr>
          <w:rFonts w:hint="cs"/>
          <w:color w:val="0000FF"/>
          <w:u w:val="single"/>
          <w:rtl/>
          <w:lang w:bidi="ar-SA"/>
        </w:rPr>
        <w:t>أي</w:t>
      </w:r>
      <w:r w:rsidR="00B7406C" w:rsidRPr="002C30EE">
        <w:rPr>
          <w:color w:val="0000FF"/>
          <w:u w:val="single"/>
          <w:rtl/>
          <w:lang w:bidi="ar-SA"/>
        </w:rPr>
        <w:t xml:space="preserve"> مكتب وطني أو منظمة حكومية دولية </w:t>
      </w:r>
      <w:r w:rsidRPr="002C30EE">
        <w:rPr>
          <w:rFonts w:hint="cs"/>
          <w:color w:val="0000FF"/>
          <w:u w:val="single"/>
          <w:rtl/>
          <w:lang w:bidi="ar-SA"/>
        </w:rPr>
        <w:t xml:space="preserve">النص على </w:t>
      </w:r>
      <w:r w:rsidR="00E92E61" w:rsidRPr="002C30EE">
        <w:rPr>
          <w:rFonts w:hint="cs"/>
          <w:color w:val="0000FF"/>
          <w:u w:val="single"/>
          <w:rtl/>
        </w:rPr>
        <w:t xml:space="preserve">قبول </w:t>
      </w:r>
      <w:r w:rsidRPr="002C30EE">
        <w:rPr>
          <w:rFonts w:hint="cs"/>
          <w:color w:val="0000FF"/>
          <w:u w:val="single"/>
          <w:rtl/>
        </w:rPr>
        <w:t xml:space="preserve">عذر </w:t>
      </w:r>
      <w:r w:rsidR="00E92E61" w:rsidRPr="002C30EE">
        <w:rPr>
          <w:rFonts w:hint="cs"/>
          <w:color w:val="0000FF"/>
          <w:u w:val="single"/>
          <w:rtl/>
        </w:rPr>
        <w:t xml:space="preserve">التأخر في مراعاة </w:t>
      </w:r>
      <w:r w:rsidR="00B7406C" w:rsidRPr="002C30EE">
        <w:rPr>
          <w:color w:val="0000FF"/>
          <w:u w:val="single"/>
          <w:rtl/>
          <w:lang w:bidi="ar-SA"/>
        </w:rPr>
        <w:t>المهلة المحد</w:t>
      </w:r>
      <w:r w:rsidRPr="002C30EE">
        <w:rPr>
          <w:rFonts w:hint="cs"/>
          <w:color w:val="0000FF"/>
          <w:u w:val="single"/>
          <w:rtl/>
          <w:lang w:bidi="ar-SA"/>
        </w:rPr>
        <w:t>ّ</w:t>
      </w:r>
      <w:r w:rsidR="00B7406C" w:rsidRPr="002C30EE">
        <w:rPr>
          <w:color w:val="0000FF"/>
          <w:u w:val="single"/>
          <w:rtl/>
          <w:lang w:bidi="ar-SA"/>
        </w:rPr>
        <w:t xml:space="preserve">دة في اللائحة التنفيذية للقيام بأي إجراء لدى </w:t>
      </w:r>
      <w:r w:rsidRPr="002C30EE">
        <w:rPr>
          <w:rFonts w:hint="cs"/>
          <w:color w:val="0000FF"/>
          <w:u w:val="single"/>
          <w:rtl/>
          <w:lang w:bidi="ar-SA"/>
        </w:rPr>
        <w:t>ذلك ال</w:t>
      </w:r>
      <w:r w:rsidR="00B7406C" w:rsidRPr="002C30EE">
        <w:rPr>
          <w:color w:val="0000FF"/>
          <w:u w:val="single"/>
          <w:rtl/>
          <w:lang w:bidi="ar-SA"/>
        </w:rPr>
        <w:t xml:space="preserve">مكتب </w:t>
      </w:r>
      <w:r w:rsidR="00B7406C" w:rsidRPr="002C30EE">
        <w:rPr>
          <w:rFonts w:hint="cs"/>
          <w:color w:val="0000FF"/>
          <w:u w:val="single"/>
          <w:rtl/>
        </w:rPr>
        <w:t xml:space="preserve">أو </w:t>
      </w:r>
      <w:r w:rsidRPr="002C30EE">
        <w:rPr>
          <w:rFonts w:hint="cs"/>
          <w:color w:val="0000FF"/>
          <w:u w:val="single"/>
          <w:rtl/>
        </w:rPr>
        <w:t xml:space="preserve">تلك </w:t>
      </w:r>
      <w:r w:rsidR="00B7406C" w:rsidRPr="002C30EE">
        <w:rPr>
          <w:rFonts w:hint="cs"/>
          <w:color w:val="0000FF"/>
          <w:u w:val="single"/>
          <w:rtl/>
        </w:rPr>
        <w:t>المنظمة</w:t>
      </w:r>
      <w:r w:rsidR="00B7406C" w:rsidRPr="002C30EE">
        <w:rPr>
          <w:color w:val="0000FF"/>
          <w:u w:val="single"/>
          <w:rtl/>
          <w:lang w:bidi="ar-SA"/>
        </w:rPr>
        <w:t xml:space="preserve"> بسبب</w:t>
      </w:r>
      <w:r w:rsidR="00B7406C" w:rsidRPr="002C30EE">
        <w:rPr>
          <w:rFonts w:hint="cs"/>
          <w:color w:val="0000FF"/>
          <w:u w:val="single"/>
          <w:rtl/>
        </w:rPr>
        <w:t xml:space="preserve"> عدم توافر </w:t>
      </w:r>
      <w:r w:rsidR="00F20199" w:rsidRPr="002C30EE">
        <w:rPr>
          <w:rFonts w:hint="cs"/>
          <w:color w:val="0000FF"/>
          <w:u w:val="single"/>
          <w:rtl/>
          <w:lang w:bidi="ar-SA"/>
        </w:rPr>
        <w:t xml:space="preserve">أي من </w:t>
      </w:r>
      <w:r w:rsidR="00F20199" w:rsidRPr="002C30EE">
        <w:rPr>
          <w:rFonts w:hint="cs"/>
          <w:color w:val="0000FF"/>
          <w:u w:val="single"/>
          <w:rtl/>
        </w:rPr>
        <w:t>وسائل الاتصال الإ</w:t>
      </w:r>
      <w:r w:rsidR="00B7406C" w:rsidRPr="002C30EE">
        <w:rPr>
          <w:rFonts w:hint="cs"/>
          <w:color w:val="0000FF"/>
          <w:u w:val="single"/>
          <w:rtl/>
        </w:rPr>
        <w:t>لكترونية المسموح بها في ذلك المكتب أو</w:t>
      </w:r>
      <w:r w:rsidR="00F20199" w:rsidRPr="002C30EE">
        <w:rPr>
          <w:rFonts w:hint="cs"/>
          <w:color w:val="0000FF"/>
          <w:u w:val="single"/>
          <w:rtl/>
        </w:rPr>
        <w:t xml:space="preserve"> تلك</w:t>
      </w:r>
      <w:r w:rsidR="00B7406C" w:rsidRPr="002C30EE">
        <w:rPr>
          <w:rFonts w:hint="cs"/>
          <w:color w:val="0000FF"/>
          <w:u w:val="single"/>
          <w:rtl/>
        </w:rPr>
        <w:t xml:space="preserve"> المنظمة، </w:t>
      </w:r>
      <w:r w:rsidR="00F20199" w:rsidRPr="002C30EE">
        <w:rPr>
          <w:rFonts w:hint="cs"/>
          <w:color w:val="0000FF"/>
          <w:u w:val="single"/>
          <w:rtl/>
        </w:rPr>
        <w:t>شرط</w:t>
      </w:r>
      <w:r w:rsidR="00E92E61" w:rsidRPr="002C30EE">
        <w:rPr>
          <w:rFonts w:hint="cs"/>
          <w:color w:val="0000FF"/>
          <w:u w:val="single"/>
          <w:rtl/>
        </w:rPr>
        <w:t xml:space="preserve"> القيام بتلك الإجراءات في يوم العمل التالي الذي </w:t>
      </w:r>
      <w:r w:rsidR="00F20199" w:rsidRPr="002C30EE">
        <w:rPr>
          <w:rFonts w:hint="cs"/>
          <w:color w:val="0000FF"/>
          <w:u w:val="single"/>
          <w:rtl/>
        </w:rPr>
        <w:t>تكون فيه</w:t>
      </w:r>
      <w:r w:rsidR="00E92E61" w:rsidRPr="002C30EE">
        <w:rPr>
          <w:rFonts w:hint="cs"/>
          <w:color w:val="0000FF"/>
          <w:u w:val="single"/>
          <w:rtl/>
        </w:rPr>
        <w:t xml:space="preserve"> تلك الوسائل </w:t>
      </w:r>
      <w:r w:rsidR="00F20199" w:rsidRPr="002C30EE">
        <w:rPr>
          <w:rFonts w:hint="cs"/>
          <w:color w:val="0000FF"/>
          <w:u w:val="single"/>
          <w:rtl/>
        </w:rPr>
        <w:t>الإلكترونية</w:t>
      </w:r>
      <w:r w:rsidR="00E92E61" w:rsidRPr="002C30EE">
        <w:rPr>
          <w:rFonts w:hint="cs"/>
          <w:color w:val="0000FF"/>
          <w:u w:val="single"/>
          <w:rtl/>
        </w:rPr>
        <w:t xml:space="preserve"> متاحة.</w:t>
      </w:r>
      <w:r w:rsidR="00021E2D" w:rsidRPr="002C30EE">
        <w:rPr>
          <w:rFonts w:hint="cs"/>
          <w:color w:val="0000FF"/>
          <w:u w:val="single"/>
          <w:rtl/>
        </w:rPr>
        <w:t xml:space="preserve"> وقد </w:t>
      </w:r>
      <w:r w:rsidR="00F20199" w:rsidRPr="002C30EE">
        <w:rPr>
          <w:rFonts w:hint="cs"/>
          <w:color w:val="0000FF"/>
          <w:u w:val="single"/>
          <w:rtl/>
        </w:rPr>
        <w:t>يكون</w:t>
      </w:r>
      <w:r w:rsidR="00021E2D" w:rsidRPr="002C30EE">
        <w:rPr>
          <w:rFonts w:hint="cs"/>
          <w:color w:val="0000FF"/>
          <w:u w:val="single"/>
          <w:rtl/>
        </w:rPr>
        <w:t xml:space="preserve"> عدم توافر </w:t>
      </w:r>
      <w:r w:rsidR="00F20199" w:rsidRPr="002C30EE">
        <w:rPr>
          <w:rFonts w:hint="cs"/>
          <w:color w:val="0000FF"/>
          <w:u w:val="single"/>
          <w:rtl/>
        </w:rPr>
        <w:t>تلك ال</w:t>
      </w:r>
      <w:r w:rsidR="00021E2D" w:rsidRPr="002C30EE">
        <w:rPr>
          <w:rFonts w:hint="cs"/>
          <w:color w:val="0000FF"/>
          <w:u w:val="single"/>
          <w:rtl/>
        </w:rPr>
        <w:t xml:space="preserve">وسائل </w:t>
      </w:r>
      <w:r w:rsidR="00F20199" w:rsidRPr="002C30EE">
        <w:rPr>
          <w:rFonts w:hint="cs"/>
          <w:color w:val="0000FF"/>
          <w:u w:val="single"/>
          <w:rtl/>
        </w:rPr>
        <w:t xml:space="preserve">ناجما </w:t>
      </w:r>
      <w:r w:rsidR="00021E2D" w:rsidRPr="002C30EE">
        <w:rPr>
          <w:rFonts w:hint="cs"/>
          <w:color w:val="0000FF"/>
          <w:u w:val="single"/>
          <w:rtl/>
        </w:rPr>
        <w:t xml:space="preserve">عن </w:t>
      </w:r>
      <w:r w:rsidR="00F20199" w:rsidRPr="002C30EE">
        <w:rPr>
          <w:rFonts w:hint="cs"/>
          <w:color w:val="0000FF"/>
          <w:u w:val="single"/>
          <w:rtl/>
          <w:lang w:bidi="ar-SA"/>
        </w:rPr>
        <w:t>أعمال صيانة مقرّرة أو أعطال غير متوقعة أو أية أسباب أخرى مماثلة</w:t>
      </w:r>
      <w:r w:rsidR="00F20199" w:rsidRPr="002C30EE">
        <w:rPr>
          <w:rFonts w:hint="cs"/>
          <w:color w:val="0000FF"/>
          <w:u w:val="single"/>
          <w:rtl/>
        </w:rPr>
        <w:t>. و</w:t>
      </w:r>
      <w:r w:rsidR="00021E2D" w:rsidRPr="002C30EE">
        <w:rPr>
          <w:rFonts w:hint="cs"/>
          <w:color w:val="0000FF"/>
          <w:u w:val="single"/>
          <w:rtl/>
        </w:rPr>
        <w:t xml:space="preserve">ينشر المكتب </w:t>
      </w:r>
      <w:r w:rsidR="00F20199" w:rsidRPr="002C30EE">
        <w:rPr>
          <w:rFonts w:hint="cs"/>
          <w:color w:val="0000FF"/>
          <w:u w:val="single"/>
          <w:rtl/>
        </w:rPr>
        <w:t xml:space="preserve">المعني </w:t>
      </w:r>
      <w:r w:rsidR="00021E2D" w:rsidRPr="002C30EE">
        <w:rPr>
          <w:rFonts w:hint="cs"/>
          <w:color w:val="0000FF"/>
          <w:u w:val="single"/>
          <w:rtl/>
        </w:rPr>
        <w:t xml:space="preserve">أو المنظمة المعنية معلومات عن </w:t>
      </w:r>
      <w:r w:rsidR="00F20199" w:rsidRPr="002C30EE">
        <w:rPr>
          <w:rFonts w:hint="cs"/>
          <w:color w:val="0000FF"/>
          <w:u w:val="single"/>
          <w:rtl/>
        </w:rPr>
        <w:t xml:space="preserve">أي من </w:t>
      </w:r>
      <w:r w:rsidR="00021E2D" w:rsidRPr="002C30EE">
        <w:rPr>
          <w:rFonts w:hint="cs"/>
          <w:color w:val="0000FF"/>
          <w:u w:val="single"/>
          <w:rtl/>
        </w:rPr>
        <w:t>حالات عدم توافر</w:t>
      </w:r>
      <w:r w:rsidR="00F20199" w:rsidRPr="002C30EE">
        <w:rPr>
          <w:rFonts w:hint="cs"/>
          <w:color w:val="0000FF"/>
          <w:u w:val="single"/>
          <w:rtl/>
        </w:rPr>
        <w:t xml:space="preserve"> تلك الوسائل، </w:t>
      </w:r>
      <w:r w:rsidR="00021E2D" w:rsidRPr="002C30EE">
        <w:rPr>
          <w:rFonts w:hint="cs"/>
          <w:color w:val="0000FF"/>
          <w:u w:val="single"/>
          <w:rtl/>
        </w:rPr>
        <w:t xml:space="preserve">بما في ذلك </w:t>
      </w:r>
      <w:r w:rsidR="00F20199" w:rsidRPr="002C30EE">
        <w:rPr>
          <w:rFonts w:hint="cs"/>
          <w:color w:val="0000FF"/>
          <w:u w:val="single"/>
          <w:rtl/>
        </w:rPr>
        <w:t>ال</w:t>
      </w:r>
      <w:r w:rsidR="00021E2D" w:rsidRPr="002C30EE">
        <w:rPr>
          <w:rFonts w:hint="cs"/>
          <w:color w:val="0000FF"/>
          <w:u w:val="single"/>
          <w:rtl/>
        </w:rPr>
        <w:t xml:space="preserve">فترة </w:t>
      </w:r>
      <w:r w:rsidR="00F20199" w:rsidRPr="002C30EE">
        <w:rPr>
          <w:rFonts w:hint="cs"/>
          <w:color w:val="0000FF"/>
          <w:u w:val="single"/>
          <w:rtl/>
        </w:rPr>
        <w:t xml:space="preserve">التي تستغرقها تلك الحالة، ويخطر </w:t>
      </w:r>
      <w:r w:rsidR="00021E2D" w:rsidRPr="002C30EE">
        <w:rPr>
          <w:rFonts w:hint="cs"/>
          <w:color w:val="0000FF"/>
          <w:u w:val="single"/>
          <w:rtl/>
        </w:rPr>
        <w:t xml:space="preserve">المكتب الدولي </w:t>
      </w:r>
      <w:r w:rsidR="00F20199" w:rsidRPr="002C30EE">
        <w:rPr>
          <w:rFonts w:hint="cs"/>
          <w:color w:val="0000FF"/>
          <w:u w:val="single"/>
          <w:rtl/>
        </w:rPr>
        <w:t>بذلك</w:t>
      </w:r>
      <w:r w:rsidR="00021E2D" w:rsidRPr="002C30EE">
        <w:rPr>
          <w:rFonts w:hint="cs"/>
          <w:color w:val="0000FF"/>
          <w:u w:val="single"/>
          <w:rtl/>
        </w:rPr>
        <w:t>.</w:t>
      </w:r>
    </w:p>
    <w:p w:rsidR="00B7406C" w:rsidRPr="002C30EE" w:rsidRDefault="00557C03" w:rsidP="002C30EE">
      <w:pPr>
        <w:pStyle w:val="indent1"/>
        <w:numPr>
          <w:ilvl w:val="0"/>
          <w:numId w:val="0"/>
        </w:numPr>
        <w:ind w:firstLine="567"/>
        <w:rPr>
          <w:color w:val="0000FF"/>
          <w:u w:val="single"/>
          <w:rtl/>
        </w:rPr>
      </w:pPr>
      <w:r w:rsidRPr="002C30EE">
        <w:rPr>
          <w:rFonts w:hint="cs"/>
          <w:color w:val="0000FF"/>
          <w:u w:val="single"/>
          <w:rtl/>
        </w:rPr>
        <w:t>(ب)</w:t>
      </w:r>
      <w:r w:rsidRPr="002C30EE">
        <w:rPr>
          <w:color w:val="0000FF"/>
          <w:u w:val="single"/>
          <w:rtl/>
        </w:rPr>
        <w:tab/>
      </w:r>
      <w:r w:rsidR="00B7406C" w:rsidRPr="002C30EE">
        <w:rPr>
          <w:color w:val="0000FF"/>
          <w:u w:val="single"/>
          <w:rtl/>
        </w:rPr>
        <w:t xml:space="preserve">يتعين </w:t>
      </w:r>
      <w:r w:rsidR="002C30EE" w:rsidRPr="002C30EE">
        <w:rPr>
          <w:color w:val="0000FF"/>
          <w:u w:val="single"/>
          <w:rtl/>
          <w:lang w:bidi="ar-SA"/>
        </w:rPr>
        <w:t>أ</w:t>
      </w:r>
      <w:r w:rsidR="002C30EE" w:rsidRPr="002C30EE">
        <w:rPr>
          <w:rFonts w:hint="cs"/>
          <w:color w:val="0000FF"/>
          <w:u w:val="single"/>
          <w:rtl/>
          <w:lang w:bidi="ar-SA"/>
        </w:rPr>
        <w:t>ن لا</w:t>
      </w:r>
      <w:r w:rsidR="002C30EE" w:rsidRPr="002C30EE">
        <w:rPr>
          <w:color w:val="0000FF"/>
          <w:u w:val="single"/>
          <w:rtl/>
          <w:lang w:bidi="ar-SA"/>
        </w:rPr>
        <w:t xml:space="preserve"> يراعي </w:t>
      </w:r>
      <w:r w:rsidR="002C30EE" w:rsidRPr="002C30EE">
        <w:rPr>
          <w:rFonts w:hint="cs"/>
          <w:color w:val="0000FF"/>
          <w:u w:val="single"/>
          <w:rtl/>
          <w:lang w:bidi="ar-SA"/>
        </w:rPr>
        <w:t xml:space="preserve">عذر التأخر في مراعاة </w:t>
      </w:r>
      <w:r w:rsidR="002C30EE" w:rsidRPr="002C30EE">
        <w:rPr>
          <w:color w:val="0000FF"/>
          <w:u w:val="single"/>
          <w:rtl/>
          <w:lang w:bidi="ar-SA"/>
        </w:rPr>
        <w:t>مهلة محد</w:t>
      </w:r>
      <w:r w:rsidR="002C30EE" w:rsidRPr="002C30EE">
        <w:rPr>
          <w:rFonts w:hint="cs"/>
          <w:color w:val="0000FF"/>
          <w:u w:val="single"/>
          <w:rtl/>
          <w:lang w:bidi="ar-SA"/>
        </w:rPr>
        <w:t>ّ</w:t>
      </w:r>
      <w:r w:rsidR="002C30EE" w:rsidRPr="002C30EE">
        <w:rPr>
          <w:color w:val="0000FF"/>
          <w:u w:val="single"/>
          <w:rtl/>
          <w:lang w:bidi="ar-SA"/>
        </w:rPr>
        <w:t xml:space="preserve">دة </w:t>
      </w:r>
      <w:r w:rsidR="002C30EE" w:rsidRPr="002C30EE">
        <w:rPr>
          <w:rFonts w:hint="cs"/>
          <w:color w:val="0000FF"/>
          <w:u w:val="single"/>
          <w:rtl/>
          <w:lang w:bidi="ar-SA"/>
        </w:rPr>
        <w:t xml:space="preserve">بناء على الفقرة (أ) </w:t>
      </w:r>
      <w:r w:rsidR="00F20199" w:rsidRPr="002C30EE">
        <w:rPr>
          <w:rFonts w:hint="cs"/>
          <w:color w:val="0000FF"/>
          <w:u w:val="single"/>
          <w:rtl/>
        </w:rPr>
        <w:t xml:space="preserve">أي </w:t>
      </w:r>
      <w:r w:rsidR="00B7406C" w:rsidRPr="002C30EE">
        <w:rPr>
          <w:color w:val="0000FF"/>
          <w:u w:val="single"/>
          <w:rtl/>
        </w:rPr>
        <w:t xml:space="preserve">مكتب معيّن أو </w:t>
      </w:r>
      <w:r w:rsidR="00F20199" w:rsidRPr="002C30EE">
        <w:rPr>
          <w:rFonts w:hint="cs"/>
          <w:color w:val="0000FF"/>
          <w:u w:val="single"/>
          <w:rtl/>
        </w:rPr>
        <w:t>مختار</w:t>
      </w:r>
      <w:r w:rsidR="00B7406C" w:rsidRPr="002C30EE">
        <w:rPr>
          <w:color w:val="0000FF"/>
          <w:u w:val="single"/>
          <w:rtl/>
        </w:rPr>
        <w:t xml:space="preserve"> قام المودع لديه، وقت </w:t>
      </w:r>
      <w:r w:rsidR="002C30EE" w:rsidRPr="002C30EE">
        <w:rPr>
          <w:rFonts w:hint="cs"/>
          <w:color w:val="0000FF"/>
          <w:u w:val="single"/>
          <w:rtl/>
        </w:rPr>
        <w:t xml:space="preserve">نشر المعلومات المشار إليها في </w:t>
      </w:r>
      <w:r w:rsidR="00B7406C" w:rsidRPr="002C30EE">
        <w:rPr>
          <w:color w:val="0000FF"/>
          <w:u w:val="single"/>
          <w:rtl/>
        </w:rPr>
        <w:t xml:space="preserve">الفقرة (أ)، بالإجراءات </w:t>
      </w:r>
      <w:r w:rsidR="002C30EE" w:rsidRPr="002C30EE">
        <w:rPr>
          <w:rFonts w:hint="cs"/>
          <w:color w:val="0000FF"/>
          <w:u w:val="single"/>
          <w:rtl/>
        </w:rPr>
        <w:t>المنصوص عليها</w:t>
      </w:r>
      <w:r w:rsidR="002C30EE" w:rsidRPr="002C30EE">
        <w:rPr>
          <w:color w:val="0000FF"/>
          <w:u w:val="single"/>
          <w:rtl/>
        </w:rPr>
        <w:t xml:space="preserve"> في المادة 22 أو المادة 39</w:t>
      </w:r>
      <w:r w:rsidR="00B7406C" w:rsidRPr="002C30EE">
        <w:rPr>
          <w:color w:val="0000FF"/>
          <w:u w:val="single"/>
          <w:rtl/>
        </w:rPr>
        <w:t>.</w:t>
      </w:r>
    </w:p>
    <w:p w:rsidR="00B7406C" w:rsidRDefault="00B7406C" w:rsidP="00557C03">
      <w:pPr>
        <w:pStyle w:val="Endofdocument-Annex"/>
        <w:spacing w:before="480"/>
        <w:ind w:left="5530"/>
      </w:pPr>
      <w:r>
        <w:rPr>
          <w:rFonts w:hint="cs"/>
          <w:rtl/>
        </w:rPr>
        <w:t xml:space="preserve">[نهاية </w:t>
      </w:r>
      <w:r w:rsidR="00557C03">
        <w:rPr>
          <w:rFonts w:hint="cs"/>
          <w:rtl/>
        </w:rPr>
        <w:t>المرفق</w:t>
      </w:r>
      <w:r>
        <w:rPr>
          <w:rFonts w:hint="cs"/>
          <w:rtl/>
        </w:rPr>
        <w:t xml:space="preserve"> والوثيقة]</w:t>
      </w:r>
    </w:p>
    <w:sectPr w:rsidR="00B7406C" w:rsidSect="00D539A9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9D" w:rsidRDefault="00C77E9D">
      <w:r>
        <w:separator/>
      </w:r>
    </w:p>
  </w:endnote>
  <w:endnote w:type="continuationSeparator" w:id="0">
    <w:p w:rsidR="00C77E9D" w:rsidRDefault="00C7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9D" w:rsidRDefault="00C77E9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77E9D" w:rsidRDefault="00C77E9D" w:rsidP="009622BF">
      <w:r>
        <w:separator/>
      </w:r>
    </w:p>
  </w:footnote>
  <w:footnote w:id="1">
    <w:p w:rsidR="00695ECA" w:rsidRDefault="00695ECA">
      <w:pPr>
        <w:pStyle w:val="FootnoteText"/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rPr>
          <w:rFonts w:hint="cs"/>
          <w:rtl/>
        </w:rPr>
        <w:t xml:space="preserve">يمكن الاطلاع على العدد 09/2018 من </w:t>
      </w:r>
      <w:r w:rsidRPr="00875C6B">
        <w:rPr>
          <w:rtl/>
          <w:lang w:bidi="ar-SA"/>
        </w:rPr>
        <w:t>نشرة أخبار معاهدة التعاون بشأن البراءات</w:t>
      </w:r>
      <w:r>
        <w:rPr>
          <w:rFonts w:hint="cs"/>
          <w:rtl/>
        </w:rPr>
        <w:t xml:space="preserve">، المتاح على موقع الويبو على الرابط </w:t>
      </w:r>
      <w:hyperlink r:id="rId1" w:history="1">
        <w:r w:rsidRPr="004400F6">
          <w:rPr>
            <w:rStyle w:val="Hyperlink"/>
            <w:color w:val="auto"/>
            <w:u w:val="none"/>
          </w:rPr>
          <w:t>https://www.wipo.int/edocs/pctndocs/en/2018/pct_news_2018_9.pdf</w:t>
        </w:r>
      </w:hyperlink>
      <w:r>
        <w:rPr>
          <w:rFonts w:hint="cs"/>
          <w:rtl/>
        </w:rPr>
        <w:t>.</w:t>
      </w:r>
    </w:p>
  </w:footnote>
  <w:footnote w:id="2">
    <w:p w:rsidR="008C1769" w:rsidRDefault="008C1769" w:rsidP="00853B37">
      <w:pPr>
        <w:pStyle w:val="FootnoteText"/>
        <w:rPr>
          <w:lang w:bidi="ar-SA"/>
        </w:rPr>
      </w:pPr>
      <w:r>
        <w:rPr>
          <w:rStyle w:val="FootnoteReference"/>
          <w:rtl/>
        </w:rPr>
        <w:t>2</w:t>
      </w:r>
      <w:r w:rsidR="00853B37">
        <w:rPr>
          <w:rFonts w:hint="cs"/>
          <w:rtl/>
        </w:rPr>
        <w:t xml:space="preserve"> </w:t>
      </w:r>
      <w:r w:rsidR="00853B37">
        <w:rPr>
          <w:rFonts w:hint="cs"/>
          <w:rtl/>
          <w:lang w:bidi="ar-SA"/>
        </w:rPr>
        <w:t>يُ</w:t>
      </w:r>
      <w:r w:rsidR="00853B37" w:rsidRPr="00853B37">
        <w:rPr>
          <w:rtl/>
          <w:lang w:bidi="ar-SA"/>
        </w:rPr>
        <w:t>شار إلى حالات الإضافة أو الحذف المقترحة، على التوالي، بتسطير النص المعني أو شطبه.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4CC" w:rsidRDefault="00B364CC" w:rsidP="00B364CC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364CC">
      <w:rPr>
        <w:rFonts w:ascii="Arial" w:eastAsia="SimSun" w:hAnsi="Arial" w:cs="Arial"/>
        <w:sz w:val="22"/>
        <w:szCs w:val="20"/>
        <w:lang w:eastAsia="zh-CN"/>
      </w:rPr>
      <w:t>PCT/WG/12/17</w:t>
    </w:r>
  </w:p>
  <w:p w:rsidR="00B364CC" w:rsidRPr="00B364CC" w:rsidRDefault="00B364CC" w:rsidP="00B364CC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364CC">
      <w:rPr>
        <w:rFonts w:ascii="Arial" w:eastAsia="SimSun" w:hAnsi="Arial" w:cs="Arial"/>
        <w:sz w:val="22"/>
        <w:szCs w:val="20"/>
        <w:lang w:eastAsia="zh-CN"/>
      </w:rPr>
      <w:fldChar w:fldCharType="begin"/>
    </w:r>
    <w:r w:rsidRPr="00B364CC">
      <w:rPr>
        <w:rFonts w:ascii="Arial" w:eastAsia="SimSun" w:hAnsi="Arial" w:cs="Arial"/>
        <w:sz w:val="22"/>
        <w:szCs w:val="20"/>
        <w:lang w:eastAsia="zh-CN"/>
      </w:rPr>
      <w:instrText xml:space="preserve"> PAGE   \* MERGEFORMAT </w:instrText>
    </w:r>
    <w:r w:rsidRPr="00B364CC">
      <w:rPr>
        <w:rFonts w:ascii="Arial" w:eastAsia="SimSun" w:hAnsi="Arial" w:cs="Arial"/>
        <w:sz w:val="22"/>
        <w:szCs w:val="20"/>
        <w:lang w:eastAsia="zh-CN"/>
      </w:rPr>
      <w:fldChar w:fldCharType="separate"/>
    </w:r>
    <w:r w:rsidR="002F1065">
      <w:rPr>
        <w:rFonts w:ascii="Arial" w:eastAsia="SimSun" w:hAnsi="Arial" w:cs="Arial"/>
        <w:noProof/>
        <w:sz w:val="22"/>
        <w:szCs w:val="20"/>
        <w:lang w:eastAsia="zh-CN"/>
      </w:rPr>
      <w:t>4</w:t>
    </w:r>
    <w:r w:rsidRPr="00B364CC">
      <w:rPr>
        <w:rFonts w:ascii="Arial" w:eastAsia="SimSun" w:hAnsi="Arial" w:cs="Arial"/>
        <w:noProof/>
        <w:sz w:val="22"/>
        <w:szCs w:val="20"/>
        <w:lang w:eastAsia="zh-CN"/>
      </w:rPr>
      <w:fldChar w:fldCharType="end"/>
    </w:r>
  </w:p>
  <w:p w:rsidR="004C495B" w:rsidRPr="00C50A61" w:rsidRDefault="004C495B" w:rsidP="00B364CC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A9" w:rsidRDefault="00D539A9" w:rsidP="00B364CC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364CC">
      <w:rPr>
        <w:rFonts w:ascii="Arial" w:eastAsia="SimSun" w:hAnsi="Arial" w:cs="Arial"/>
        <w:sz w:val="22"/>
        <w:szCs w:val="20"/>
        <w:lang w:eastAsia="zh-CN"/>
      </w:rPr>
      <w:t>PCT/WG/12/17</w:t>
    </w:r>
  </w:p>
  <w:p w:rsidR="00D539A9" w:rsidRDefault="00D539A9" w:rsidP="00D539A9">
    <w:pPr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</w:t>
    </w:r>
  </w:p>
  <w:p w:rsidR="00D539A9" w:rsidRPr="00B364CC" w:rsidRDefault="00D539A9" w:rsidP="00B364CC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364CC">
      <w:rPr>
        <w:rFonts w:ascii="Arial" w:eastAsia="SimSun" w:hAnsi="Arial" w:cs="Arial"/>
        <w:sz w:val="22"/>
        <w:szCs w:val="20"/>
        <w:lang w:eastAsia="zh-CN"/>
      </w:rPr>
      <w:fldChar w:fldCharType="begin"/>
    </w:r>
    <w:r w:rsidRPr="00B364CC">
      <w:rPr>
        <w:rFonts w:ascii="Arial" w:eastAsia="SimSun" w:hAnsi="Arial" w:cs="Arial"/>
        <w:sz w:val="22"/>
        <w:szCs w:val="20"/>
        <w:lang w:eastAsia="zh-CN"/>
      </w:rPr>
      <w:instrText xml:space="preserve"> PAGE   \* MERGEFORMAT </w:instrText>
    </w:r>
    <w:r w:rsidRPr="00B364CC">
      <w:rPr>
        <w:rFonts w:ascii="Arial" w:eastAsia="SimSun" w:hAnsi="Arial" w:cs="Arial"/>
        <w:sz w:val="22"/>
        <w:szCs w:val="20"/>
        <w:lang w:eastAsia="zh-CN"/>
      </w:rPr>
      <w:fldChar w:fldCharType="separate"/>
    </w:r>
    <w:r w:rsidR="002F1065">
      <w:rPr>
        <w:rFonts w:ascii="Arial" w:eastAsia="SimSun" w:hAnsi="Arial" w:cs="Arial"/>
        <w:noProof/>
        <w:sz w:val="22"/>
        <w:szCs w:val="20"/>
        <w:lang w:eastAsia="zh-CN"/>
      </w:rPr>
      <w:t>2</w:t>
    </w:r>
    <w:r w:rsidRPr="00B364CC">
      <w:rPr>
        <w:rFonts w:ascii="Arial" w:eastAsia="SimSun" w:hAnsi="Arial" w:cs="Arial"/>
        <w:noProof/>
        <w:sz w:val="22"/>
        <w:szCs w:val="20"/>
        <w:lang w:eastAsia="zh-CN"/>
      </w:rPr>
      <w:fldChar w:fldCharType="end"/>
    </w:r>
  </w:p>
  <w:p w:rsidR="00D539A9" w:rsidRPr="00C50A61" w:rsidRDefault="00D539A9" w:rsidP="00B364CC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B37" w:rsidRDefault="00853B37" w:rsidP="00853B37">
    <w:pPr>
      <w:bidi w:val="0"/>
      <w:rPr>
        <w:rFonts w:ascii="Arial" w:eastAsia="SimSun" w:hAnsi="Arial" w:cs="Arial"/>
        <w:sz w:val="22"/>
        <w:szCs w:val="20"/>
        <w:lang w:eastAsia="zh-CN"/>
      </w:rPr>
    </w:pPr>
    <w:r w:rsidRPr="00B364CC">
      <w:rPr>
        <w:rFonts w:ascii="Arial" w:eastAsia="SimSun" w:hAnsi="Arial" w:cs="Arial"/>
        <w:sz w:val="22"/>
        <w:szCs w:val="20"/>
        <w:lang w:eastAsia="zh-CN"/>
      </w:rPr>
      <w:t>PCT/WG/12/17</w:t>
    </w:r>
  </w:p>
  <w:p w:rsidR="00853B37" w:rsidRDefault="00853B37" w:rsidP="00853B37">
    <w:pPr>
      <w:bidi w:val="0"/>
      <w:rPr>
        <w:rFonts w:ascii="Arial" w:eastAsia="SimSun" w:hAnsi="Arial" w:cs="Arial"/>
        <w:sz w:val="22"/>
        <w:szCs w:val="20"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</w:t>
    </w:r>
  </w:p>
  <w:p w:rsidR="004B7E21" w:rsidRDefault="00853B37" w:rsidP="00853B37">
    <w:pPr>
      <w:pStyle w:val="Header"/>
      <w:jc w:val="right"/>
      <w:rPr>
        <w:rtl/>
      </w:rPr>
    </w:pPr>
    <w:r>
      <w:rPr>
        <w:rFonts w:hint="cs"/>
        <w:rtl/>
      </w:rPr>
      <w:t>المرفق</w:t>
    </w:r>
  </w:p>
  <w:p w:rsidR="00853B37" w:rsidRDefault="00853B37" w:rsidP="00853B37">
    <w:pPr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701"/>
        </w:tabs>
        <w:ind w:left="1701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835"/>
        </w:tabs>
        <w:ind w:left="2835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3402"/>
        </w:tabs>
        <w:ind w:left="3402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0"/>
        </w:tabs>
        <w:ind w:left="5670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6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1E2D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33A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EC5"/>
    <w:rsid w:val="000571DD"/>
    <w:rsid w:val="00061E03"/>
    <w:rsid w:val="00061FF5"/>
    <w:rsid w:val="00062502"/>
    <w:rsid w:val="00063C91"/>
    <w:rsid w:val="000640E7"/>
    <w:rsid w:val="000649A4"/>
    <w:rsid w:val="00066B4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3C59"/>
    <w:rsid w:val="001042E0"/>
    <w:rsid w:val="00104C51"/>
    <w:rsid w:val="0010597B"/>
    <w:rsid w:val="00110107"/>
    <w:rsid w:val="00110531"/>
    <w:rsid w:val="00110771"/>
    <w:rsid w:val="00110794"/>
    <w:rsid w:val="00112524"/>
    <w:rsid w:val="00113769"/>
    <w:rsid w:val="00114141"/>
    <w:rsid w:val="00114827"/>
    <w:rsid w:val="00115266"/>
    <w:rsid w:val="001154FB"/>
    <w:rsid w:val="00115B51"/>
    <w:rsid w:val="00116E99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6F81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4DAA"/>
    <w:rsid w:val="00175448"/>
    <w:rsid w:val="001757AF"/>
    <w:rsid w:val="00175825"/>
    <w:rsid w:val="0017666F"/>
    <w:rsid w:val="00176BC3"/>
    <w:rsid w:val="00176D38"/>
    <w:rsid w:val="00176D64"/>
    <w:rsid w:val="00176E2C"/>
    <w:rsid w:val="00177DBF"/>
    <w:rsid w:val="00180ABB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6C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0EE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065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2D6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1EC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236"/>
    <w:rsid w:val="003764C0"/>
    <w:rsid w:val="003767A4"/>
    <w:rsid w:val="003774F6"/>
    <w:rsid w:val="003818B3"/>
    <w:rsid w:val="003832F7"/>
    <w:rsid w:val="0038356A"/>
    <w:rsid w:val="0038382F"/>
    <w:rsid w:val="00384308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7D2"/>
    <w:rsid w:val="003E1A49"/>
    <w:rsid w:val="003E2D01"/>
    <w:rsid w:val="003E330E"/>
    <w:rsid w:val="003E3AE3"/>
    <w:rsid w:val="003E5733"/>
    <w:rsid w:val="003E5E27"/>
    <w:rsid w:val="003E687F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0E"/>
    <w:rsid w:val="004258CD"/>
    <w:rsid w:val="004261D2"/>
    <w:rsid w:val="004303D1"/>
    <w:rsid w:val="00430D6E"/>
    <w:rsid w:val="00433C0A"/>
    <w:rsid w:val="004349FA"/>
    <w:rsid w:val="004400F6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0C4F"/>
    <w:rsid w:val="004B10E6"/>
    <w:rsid w:val="004B198F"/>
    <w:rsid w:val="004B46D0"/>
    <w:rsid w:val="004B57B0"/>
    <w:rsid w:val="004B60CE"/>
    <w:rsid w:val="004B61C9"/>
    <w:rsid w:val="004B7E21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FEF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A32"/>
    <w:rsid w:val="004D5B9F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880"/>
    <w:rsid w:val="0055621D"/>
    <w:rsid w:val="00557C03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4F6"/>
    <w:rsid w:val="006065BF"/>
    <w:rsid w:val="00607C00"/>
    <w:rsid w:val="00610430"/>
    <w:rsid w:val="00611858"/>
    <w:rsid w:val="00613A99"/>
    <w:rsid w:val="00614947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800"/>
    <w:rsid w:val="00650C73"/>
    <w:rsid w:val="00651143"/>
    <w:rsid w:val="00651959"/>
    <w:rsid w:val="00652A55"/>
    <w:rsid w:val="00653149"/>
    <w:rsid w:val="006531E4"/>
    <w:rsid w:val="00653B15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5ECA"/>
    <w:rsid w:val="00696412"/>
    <w:rsid w:val="00696601"/>
    <w:rsid w:val="006977FA"/>
    <w:rsid w:val="006A0075"/>
    <w:rsid w:val="006A119C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65"/>
    <w:rsid w:val="006C5997"/>
    <w:rsid w:val="006C5CD2"/>
    <w:rsid w:val="006D0636"/>
    <w:rsid w:val="006D06DC"/>
    <w:rsid w:val="006D6E46"/>
    <w:rsid w:val="006D7FA8"/>
    <w:rsid w:val="006E4601"/>
    <w:rsid w:val="006E481F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5C17"/>
    <w:rsid w:val="00757105"/>
    <w:rsid w:val="00757670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817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10E7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4CC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5AED"/>
    <w:rsid w:val="00846956"/>
    <w:rsid w:val="00846CF1"/>
    <w:rsid w:val="00847622"/>
    <w:rsid w:val="008505B8"/>
    <w:rsid w:val="00851005"/>
    <w:rsid w:val="00851ADD"/>
    <w:rsid w:val="00853B37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769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3604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822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5D2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9BB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04C7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87E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5B84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3CE3"/>
    <w:rsid w:val="00AF4D6A"/>
    <w:rsid w:val="00AF5D2C"/>
    <w:rsid w:val="00AF5D6E"/>
    <w:rsid w:val="00AF6318"/>
    <w:rsid w:val="00AF6D16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0C"/>
    <w:rsid w:val="00B23016"/>
    <w:rsid w:val="00B23771"/>
    <w:rsid w:val="00B24D2B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4CC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06C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4D7A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BF6A9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77E9D"/>
    <w:rsid w:val="00C83A4C"/>
    <w:rsid w:val="00C83B75"/>
    <w:rsid w:val="00C8533B"/>
    <w:rsid w:val="00C858BA"/>
    <w:rsid w:val="00C86977"/>
    <w:rsid w:val="00C916C8"/>
    <w:rsid w:val="00C92A06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B35"/>
    <w:rsid w:val="00CA4503"/>
    <w:rsid w:val="00CA5A66"/>
    <w:rsid w:val="00CA796A"/>
    <w:rsid w:val="00CB2575"/>
    <w:rsid w:val="00CB2820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9E6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130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9A9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4CEE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39A2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4B8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6D78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113"/>
    <w:rsid w:val="00E86343"/>
    <w:rsid w:val="00E866CD"/>
    <w:rsid w:val="00E87473"/>
    <w:rsid w:val="00E877ED"/>
    <w:rsid w:val="00E901FD"/>
    <w:rsid w:val="00E91964"/>
    <w:rsid w:val="00E91FB1"/>
    <w:rsid w:val="00E92E6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A56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199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830"/>
    <w:rsid w:val="00F71430"/>
    <w:rsid w:val="00F71A8A"/>
    <w:rsid w:val="00F73157"/>
    <w:rsid w:val="00F74408"/>
    <w:rsid w:val="00F75896"/>
    <w:rsid w:val="00F75C63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065"/>
    <w:rsid w:val="00FD2672"/>
    <w:rsid w:val="00FD28F4"/>
    <w:rsid w:val="00FD2CE2"/>
    <w:rsid w:val="00FD4A1E"/>
    <w:rsid w:val="00FD4AC0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20FC"/>
    <w:rsid w:val="00FF309E"/>
    <w:rsid w:val="00FF3EE6"/>
    <w:rsid w:val="00FF434C"/>
    <w:rsid w:val="00FF55F5"/>
    <w:rsid w:val="00FF682B"/>
    <w:rsid w:val="00FF7045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15CB67-49F1-4B36-8ECE-4FA24624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F04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rsid w:val="00D539A9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styleId="Title">
    <w:name w:val="Title"/>
    <w:basedOn w:val="Normal"/>
    <w:next w:val="Normal"/>
    <w:link w:val="TitleChar"/>
    <w:qFormat/>
    <w:rsid w:val="00FD2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D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rsid w:val="004B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pctndocs/en/2018/pct_news_2018_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ad\Desktop\PCT_WG_12_17_17345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6F48-02D1-40B1-8D36-717C4BF7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PCT_WG_12_17_17345_AR</Template>
  <TotalTime>210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PCT/WG/12/17 (Arabic)</vt:lpstr>
      <vt:lpstr>PCT/WG/12/ (Arabic)</vt:lpstr>
    </vt:vector>
  </TitlesOfParts>
  <Company>World Intellectual Property Organization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PCT/WG/12/17 (Arabic)</dc:title>
  <dc:creator>WIPO</dc:creator>
  <cp:lastModifiedBy>BAUDIN Claudine</cp:lastModifiedBy>
  <cp:revision>16</cp:revision>
  <cp:lastPrinted>2019-05-22T16:40:00Z</cp:lastPrinted>
  <dcterms:created xsi:type="dcterms:W3CDTF">2019-05-22T12:57:00Z</dcterms:created>
  <dcterms:modified xsi:type="dcterms:W3CDTF">2019-06-04T09:38:00Z</dcterms:modified>
</cp:coreProperties>
</file>