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405BA474" wp14:editId="16C0BBD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CE7F8E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CE7F8E">
              <w:t>11</w:t>
            </w:r>
            <w:r w:rsidR="00C00FA5">
              <w:t>/20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00FA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C00FA5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00FA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00FA5">
              <w:rPr>
                <w:rFonts w:hint="cs"/>
                <w:rtl/>
              </w:rPr>
              <w:t>15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C00FA5">
              <w:rPr>
                <w:rFonts w:hint="cs"/>
                <w:rtl/>
              </w:rPr>
              <w:t>مايو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CE7F8E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proofErr w:type="gramStart"/>
      <w:r>
        <w:rPr>
          <w:rFonts w:hint="cs"/>
          <w:rtl/>
        </w:rPr>
        <w:t>الفريق</w:t>
      </w:r>
      <w:proofErr w:type="gramEnd"/>
      <w:r>
        <w:rPr>
          <w:rFonts w:hint="cs"/>
          <w:rtl/>
        </w:rPr>
        <w:t xml:space="preserve">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CE7F8E" w:rsidRDefault="00F27305" w:rsidP="00CE7F8E">
      <w:pPr>
        <w:pStyle w:val="MeetingSessionAR"/>
        <w:bidi/>
        <w:rPr>
          <w:rFonts w:ascii="Cambria Math" w:hAnsi="Cambria Math"/>
          <w:rtl/>
          <w:lang w:val="fr-FR" w:bidi="ar-EG"/>
        </w:rPr>
      </w:pPr>
      <w:r w:rsidRPr="00783D11">
        <w:rPr>
          <w:rFonts w:ascii="Cambria Math" w:hAnsi="Cambria Math"/>
          <w:rtl/>
        </w:rPr>
        <w:t xml:space="preserve">الدورة </w:t>
      </w:r>
      <w:proofErr w:type="gramStart"/>
      <w:r w:rsidR="00CE7F8E">
        <w:rPr>
          <w:rFonts w:ascii="Cambria Math" w:hAnsi="Cambria Math" w:hint="cs"/>
          <w:rtl/>
          <w:lang w:val="fr-FR" w:bidi="ar-EG"/>
        </w:rPr>
        <w:t>الحادية</w:t>
      </w:r>
      <w:proofErr w:type="gramEnd"/>
      <w:r w:rsidR="00CE7F8E">
        <w:rPr>
          <w:rFonts w:ascii="Cambria Math" w:hAnsi="Cambria Math" w:hint="cs"/>
          <w:rtl/>
          <w:lang w:val="fr-FR" w:bidi="ar-EG"/>
        </w:rPr>
        <w:t xml:space="preserve"> عشرة</w:t>
      </w:r>
    </w:p>
    <w:p w:rsidR="00D61541" w:rsidRPr="00D61541" w:rsidRDefault="00D61541" w:rsidP="007F680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CE7F8E">
        <w:rPr>
          <w:rFonts w:hint="cs"/>
          <w:rtl/>
        </w:rPr>
        <w:t>18</w:t>
      </w:r>
      <w:r w:rsidR="00C742C5">
        <w:rPr>
          <w:rFonts w:hint="cs"/>
          <w:rtl/>
        </w:rPr>
        <w:t xml:space="preserve"> إلى </w:t>
      </w:r>
      <w:r w:rsidR="007F680B">
        <w:rPr>
          <w:rFonts w:hint="cs"/>
          <w:rtl/>
        </w:rPr>
        <w:t>2</w:t>
      </w:r>
      <w:r w:rsidR="008369C1">
        <w:rPr>
          <w:rFonts w:hint="cs"/>
          <w:rtl/>
        </w:rPr>
        <w:t>2</w:t>
      </w:r>
      <w:r w:rsidR="00D07291">
        <w:rPr>
          <w:rFonts w:hint="cs"/>
          <w:rtl/>
        </w:rPr>
        <w:t xml:space="preserve"> </w:t>
      </w:r>
      <w:r w:rsidR="00CE7F8E">
        <w:rPr>
          <w:rFonts w:hint="cs"/>
          <w:rtl/>
        </w:rPr>
        <w:t>يونيو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CE7F8E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00FA5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البدء المبكّر ل</w:t>
      </w:r>
      <w:r w:rsidR="002E3A83">
        <w:rPr>
          <w:rFonts w:hint="cs"/>
          <w:rtl/>
        </w:rPr>
        <w:t>إجراءات ال</w:t>
      </w:r>
      <w:r>
        <w:rPr>
          <w:rFonts w:hint="cs"/>
          <w:rtl/>
        </w:rPr>
        <w:t xml:space="preserve">فصل الثاني من معاهدة </w:t>
      </w:r>
      <w:r w:rsidR="001101A5">
        <w:rPr>
          <w:rFonts w:hint="cs"/>
          <w:rtl/>
        </w:rPr>
        <w:t xml:space="preserve">التعاون بشأن </w:t>
      </w:r>
      <w:r>
        <w:rPr>
          <w:rFonts w:hint="cs"/>
          <w:rtl/>
        </w:rPr>
        <w:t>البراءات</w:t>
      </w:r>
    </w:p>
    <w:p w:rsidR="00D61541" w:rsidRPr="00D61541" w:rsidRDefault="00C00FA5" w:rsidP="00931859">
      <w:pPr>
        <w:pStyle w:val="PreparedbyAR"/>
        <w:bidi/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المكتب الأوروبي للبراءات</w:t>
      </w:r>
    </w:p>
    <w:p w:rsidR="00AF538E" w:rsidRPr="00961C7C" w:rsidRDefault="00961C7C" w:rsidP="00961C7C">
      <w:pPr>
        <w:pStyle w:val="NormalParaAR"/>
        <w:keepNext/>
        <w:rPr>
          <w:b/>
          <w:bCs/>
          <w:sz w:val="40"/>
          <w:szCs w:val="40"/>
          <w:rtl/>
        </w:rPr>
      </w:pPr>
      <w:r w:rsidRPr="00961C7C">
        <w:rPr>
          <w:rFonts w:hint="cs"/>
          <w:b/>
          <w:bCs/>
          <w:sz w:val="40"/>
          <w:szCs w:val="40"/>
          <w:rtl/>
        </w:rPr>
        <w:t>ملخص</w:t>
      </w:r>
    </w:p>
    <w:p w:rsidR="00961C7C" w:rsidRDefault="00961C7C" w:rsidP="002D7D50">
      <w:pPr>
        <w:pStyle w:val="NumberedParaAR"/>
      </w:pPr>
      <w:r>
        <w:rPr>
          <w:rFonts w:hint="cs"/>
          <w:rtl/>
        </w:rPr>
        <w:t xml:space="preserve">تحتوي هذه الوثيقة على اقتراح يرمي إلى زيادة </w:t>
      </w:r>
      <w:r w:rsidR="002D7D50">
        <w:rPr>
          <w:rFonts w:hint="cs"/>
          <w:rtl/>
        </w:rPr>
        <w:t>الفترة الزمنية</w:t>
      </w:r>
      <w:r>
        <w:rPr>
          <w:rFonts w:hint="cs"/>
          <w:rtl/>
        </w:rPr>
        <w:t xml:space="preserve"> المتاح</w:t>
      </w:r>
      <w:r w:rsidR="002D7D50">
        <w:rPr>
          <w:rFonts w:hint="cs"/>
          <w:rtl/>
        </w:rPr>
        <w:t>ة</w:t>
      </w:r>
      <w:r>
        <w:rPr>
          <w:rFonts w:hint="cs"/>
          <w:rtl/>
        </w:rPr>
        <w:t xml:space="preserve"> للحوار بين المودع والفاحص خلال الفصل الثاني من معاهدة </w:t>
      </w:r>
      <w:r w:rsidR="001101A5">
        <w:rPr>
          <w:rFonts w:hint="cs"/>
          <w:rtl/>
        </w:rPr>
        <w:t xml:space="preserve">التعاون بشأن </w:t>
      </w:r>
      <w:r>
        <w:rPr>
          <w:rFonts w:hint="cs"/>
          <w:rtl/>
        </w:rPr>
        <w:t xml:space="preserve">البراءات. ولهذا الغرض يُقترح تعديل </w:t>
      </w:r>
      <w:proofErr w:type="gramStart"/>
      <w:r>
        <w:rPr>
          <w:rFonts w:hint="cs"/>
          <w:rtl/>
        </w:rPr>
        <w:t>القاعدة</w:t>
      </w:r>
      <w:proofErr w:type="gramEnd"/>
      <w:r>
        <w:rPr>
          <w:rFonts w:hint="cs"/>
          <w:rtl/>
        </w:rPr>
        <w:t xml:space="preserve"> 1.69(أ</w:t>
      </w:r>
      <w:bookmarkStart w:id="2" w:name="_GoBack"/>
      <w:bookmarkEnd w:id="2"/>
      <w:r>
        <w:rPr>
          <w:rFonts w:hint="cs"/>
          <w:rtl/>
        </w:rPr>
        <w:t xml:space="preserve">) </w:t>
      </w:r>
      <w:r w:rsidR="00874F95">
        <w:rPr>
          <w:rFonts w:hint="cs"/>
          <w:rtl/>
        </w:rPr>
        <w:t xml:space="preserve">لتمكين إدارة الفحص التمهيدي الدولي من </w:t>
      </w:r>
      <w:r>
        <w:rPr>
          <w:rFonts w:hint="cs"/>
          <w:rtl/>
        </w:rPr>
        <w:t xml:space="preserve">بدء الفحص التمهيدي الدولي عندما يتوفر لديها الطلب والرسوم ذات الصلة وإما تقرير البحث الدولي أو الإعلان الذي تصدره إدارة البحث </w:t>
      </w:r>
      <w:r w:rsidR="00874F95">
        <w:rPr>
          <w:rFonts w:hint="cs"/>
          <w:rtl/>
        </w:rPr>
        <w:t>الدولي بناء على المادة 17(2)(أ)</w:t>
      </w:r>
      <w:r>
        <w:rPr>
          <w:rFonts w:hint="cs"/>
          <w:rtl/>
        </w:rPr>
        <w:t>، والرأي الم</w:t>
      </w:r>
      <w:r w:rsidR="006C32F0">
        <w:rPr>
          <w:rFonts w:hint="cs"/>
          <w:rtl/>
        </w:rPr>
        <w:t>كتوب المعد بناء على القاعدة 43(ثانيا)1، ما</w:t>
      </w:r>
      <w:r w:rsidR="001F6F17">
        <w:rPr>
          <w:rFonts w:hint="eastAsia"/>
          <w:rtl/>
        </w:rPr>
        <w:t> </w:t>
      </w:r>
      <w:r w:rsidR="006C32F0">
        <w:rPr>
          <w:rFonts w:hint="cs"/>
          <w:rtl/>
        </w:rPr>
        <w:t>لم يلتمس مودع الطلب صراحة إرجاء بدء الفحص التمهيدي الدولي حتى انقضاء المهلة المطبقة بناء على القاعدة</w:t>
      </w:r>
      <w:r w:rsidR="006C32F0">
        <w:rPr>
          <w:rFonts w:hint="eastAsia"/>
          <w:rtl/>
        </w:rPr>
        <w:t> </w:t>
      </w:r>
      <w:r w:rsidR="006C32F0">
        <w:rPr>
          <w:rFonts w:hint="cs"/>
          <w:rtl/>
        </w:rPr>
        <w:t>54(ثانيا)1(أ).</w:t>
      </w:r>
    </w:p>
    <w:p w:rsidR="006C32F0" w:rsidRPr="006C32F0" w:rsidRDefault="006C32F0" w:rsidP="006C32F0">
      <w:pPr>
        <w:pStyle w:val="NormalParaAR"/>
        <w:keepNext/>
        <w:rPr>
          <w:b/>
          <w:bCs/>
          <w:sz w:val="40"/>
          <w:szCs w:val="40"/>
        </w:rPr>
      </w:pPr>
      <w:proofErr w:type="gramStart"/>
      <w:r w:rsidRPr="006C32F0">
        <w:rPr>
          <w:rFonts w:hint="cs"/>
          <w:b/>
          <w:bCs/>
          <w:sz w:val="40"/>
          <w:szCs w:val="40"/>
          <w:rtl/>
        </w:rPr>
        <w:t>معلومات</w:t>
      </w:r>
      <w:proofErr w:type="gramEnd"/>
      <w:r w:rsidRPr="006C32F0">
        <w:rPr>
          <w:rFonts w:hint="cs"/>
          <w:b/>
          <w:bCs/>
          <w:sz w:val="40"/>
          <w:szCs w:val="40"/>
          <w:rtl/>
        </w:rPr>
        <w:t xml:space="preserve"> أساسية</w:t>
      </w:r>
    </w:p>
    <w:p w:rsidR="006C32F0" w:rsidRDefault="00533DCB" w:rsidP="007316A5">
      <w:pPr>
        <w:pStyle w:val="NumberedParaAR"/>
      </w:pPr>
      <w:r>
        <w:rPr>
          <w:rFonts w:hint="cs"/>
          <w:rtl/>
        </w:rPr>
        <w:t xml:space="preserve">في الوقت الحالي، لا تبدأ إدارة الفحص التمهيدي الدولي الفحص التمهيدي الدولي </w:t>
      </w:r>
      <w:r w:rsidR="001F6F17">
        <w:rPr>
          <w:rFonts w:hint="cs"/>
          <w:rtl/>
        </w:rPr>
        <w:t>قبل انقضاء المهلة المطبقة بناء على القاعدة 54(ثانيا)1(أ)، أي ثلاثة أشهر اعتبارا من تاريخ إرسال تقرير البحث الدولي أو الإعلان بناء على المادة</w:t>
      </w:r>
      <w:r w:rsidR="001F6F17">
        <w:rPr>
          <w:rFonts w:hint="eastAsia"/>
          <w:rtl/>
        </w:rPr>
        <w:t> </w:t>
      </w:r>
      <w:r w:rsidR="001F6F17">
        <w:rPr>
          <w:rFonts w:hint="cs"/>
          <w:rtl/>
        </w:rPr>
        <w:t>17(2(أ) والرأي المكتوب إلى المودع، أو 22 شهرا اعتبارا من تاريخ الأولوية، مع الأخذ بالمهلة التي تنقضي آخر الأمر (القاعدة</w:t>
      </w:r>
      <w:r w:rsidR="001F6F17">
        <w:rPr>
          <w:rFonts w:hint="eastAsia"/>
          <w:rtl/>
        </w:rPr>
        <w:t> </w:t>
      </w:r>
      <w:r w:rsidR="001F6F17">
        <w:rPr>
          <w:rFonts w:hint="cs"/>
          <w:rtl/>
        </w:rPr>
        <w:t xml:space="preserve">1.69(أ)). ويحق للمودع أن يتنازل عن تلك المهلة بأن </w:t>
      </w:r>
      <w:proofErr w:type="gramStart"/>
      <w:r w:rsidR="001F6F17">
        <w:rPr>
          <w:rFonts w:hint="cs"/>
          <w:rtl/>
        </w:rPr>
        <w:t>يلتمس</w:t>
      </w:r>
      <w:proofErr w:type="gramEnd"/>
      <w:r w:rsidR="001F6F17">
        <w:rPr>
          <w:rFonts w:hint="cs"/>
          <w:rtl/>
        </w:rPr>
        <w:t xml:space="preserve"> صراحة البدء المبكّر </w:t>
      </w:r>
      <w:r w:rsidR="007316A5">
        <w:rPr>
          <w:rFonts w:hint="cs"/>
          <w:rtl/>
        </w:rPr>
        <w:t>عند استيفاء استمارة الطلب (</w:t>
      </w:r>
      <w:r w:rsidR="007316A5" w:rsidRPr="007316A5">
        <w:t>PCT/IPEA/401</w:t>
      </w:r>
      <w:r w:rsidR="007316A5">
        <w:rPr>
          <w:rFonts w:hint="cs"/>
          <w:rtl/>
        </w:rPr>
        <w:t xml:space="preserve">). غير أن المودعين الذين يطلبون </w:t>
      </w:r>
      <w:r w:rsidR="00874F95">
        <w:rPr>
          <w:rFonts w:hint="cs"/>
          <w:rtl/>
        </w:rPr>
        <w:t xml:space="preserve">إجراءات </w:t>
      </w:r>
      <w:r w:rsidR="007316A5">
        <w:rPr>
          <w:rFonts w:hint="cs"/>
          <w:rtl/>
        </w:rPr>
        <w:t>الفصل الثاني لدى المكتب الأوروبي للبراءات بصفته إدارة للفحص التمهيدي الدولي لا يستخدمون إمكانية التنازل إلا بشكل معتدل.</w:t>
      </w:r>
    </w:p>
    <w:p w:rsidR="007316A5" w:rsidRDefault="007316A5" w:rsidP="002E3A83">
      <w:pPr>
        <w:pStyle w:val="NumberedParaAR"/>
      </w:pPr>
      <w:proofErr w:type="gramStart"/>
      <w:r>
        <w:rPr>
          <w:rFonts w:hint="cs"/>
          <w:rtl/>
        </w:rPr>
        <w:t>ومن</w:t>
      </w:r>
      <w:proofErr w:type="gramEnd"/>
      <w:r>
        <w:rPr>
          <w:rFonts w:hint="cs"/>
          <w:rtl/>
        </w:rPr>
        <w:t xml:space="preserve"> جهة أخرى وبناء على القاعدة</w:t>
      </w:r>
      <w:r w:rsidR="006F2038">
        <w:rPr>
          <w:rFonts w:hint="eastAsia"/>
          <w:rtl/>
        </w:rPr>
        <w:t> </w:t>
      </w:r>
      <w:r>
        <w:rPr>
          <w:rFonts w:hint="cs"/>
          <w:rtl/>
        </w:rPr>
        <w:t xml:space="preserve">2.69، </w:t>
      </w:r>
      <w:proofErr w:type="gramStart"/>
      <w:r w:rsidR="006F2038">
        <w:rPr>
          <w:rFonts w:hint="cs"/>
          <w:rtl/>
        </w:rPr>
        <w:t>تبلغ</w:t>
      </w:r>
      <w:proofErr w:type="gramEnd"/>
      <w:r w:rsidR="002E3A83">
        <w:rPr>
          <w:rFonts w:hint="cs"/>
          <w:rtl/>
        </w:rPr>
        <w:t xml:space="preserve"> المهلة المحد</w:t>
      </w:r>
      <w:r>
        <w:rPr>
          <w:rFonts w:hint="cs"/>
          <w:rtl/>
        </w:rPr>
        <w:t xml:space="preserve">دة لإعداد </w:t>
      </w:r>
      <w:r w:rsidR="006F2038">
        <w:rPr>
          <w:rFonts w:hint="cs"/>
          <w:rtl/>
        </w:rPr>
        <w:t>تقرير الفحص التمهيدي الدولي 28</w:t>
      </w:r>
      <w:r w:rsidR="006F2038">
        <w:rPr>
          <w:rFonts w:hint="eastAsia"/>
          <w:rtl/>
        </w:rPr>
        <w:t> </w:t>
      </w:r>
      <w:r w:rsidR="006F2038">
        <w:rPr>
          <w:rFonts w:hint="cs"/>
          <w:rtl/>
        </w:rPr>
        <w:t>شهرا اعتبارا من تاريخ الأولوية، أو ستة أشهر اعتبارا من الموعد المنصوص عليه في القاعدة</w:t>
      </w:r>
      <w:r w:rsidR="002E3A83">
        <w:rPr>
          <w:rFonts w:hint="eastAsia"/>
          <w:rtl/>
        </w:rPr>
        <w:t> </w:t>
      </w:r>
      <w:r w:rsidR="006F2038">
        <w:rPr>
          <w:rFonts w:hint="cs"/>
          <w:rtl/>
        </w:rPr>
        <w:t xml:space="preserve">1.69 </w:t>
      </w:r>
      <w:proofErr w:type="gramStart"/>
      <w:r w:rsidR="006F2038">
        <w:rPr>
          <w:rFonts w:hint="cs"/>
          <w:rtl/>
        </w:rPr>
        <w:t>لبدء</w:t>
      </w:r>
      <w:proofErr w:type="gramEnd"/>
      <w:r w:rsidR="006F2038">
        <w:rPr>
          <w:rFonts w:hint="cs"/>
          <w:rtl/>
        </w:rPr>
        <w:t xml:space="preserve"> الفحص التمهيدي الدولي أو ستة </w:t>
      </w:r>
      <w:r w:rsidR="006F2038">
        <w:rPr>
          <w:rFonts w:hint="cs"/>
          <w:rtl/>
        </w:rPr>
        <w:lastRenderedPageBreak/>
        <w:t xml:space="preserve">أشهر اعتبارا من </w:t>
      </w:r>
      <w:r w:rsidR="004E1C64">
        <w:rPr>
          <w:rFonts w:hint="cs"/>
          <w:rtl/>
        </w:rPr>
        <w:t>ال</w:t>
      </w:r>
      <w:r w:rsidR="006F2038">
        <w:rPr>
          <w:rFonts w:hint="cs"/>
          <w:rtl/>
        </w:rPr>
        <w:t xml:space="preserve">تاريخ </w:t>
      </w:r>
      <w:r w:rsidR="004E1C64">
        <w:rPr>
          <w:rFonts w:hint="cs"/>
          <w:rtl/>
        </w:rPr>
        <w:t>الذي تستلم فيه</w:t>
      </w:r>
      <w:r w:rsidR="006F2038">
        <w:rPr>
          <w:rFonts w:hint="cs"/>
          <w:rtl/>
        </w:rPr>
        <w:t xml:space="preserve"> إدارة الفحص التمهيدي الدولي </w:t>
      </w:r>
      <w:r w:rsidR="004E1C64">
        <w:rPr>
          <w:rFonts w:hint="cs"/>
          <w:rtl/>
        </w:rPr>
        <w:t>الترجمة</w:t>
      </w:r>
      <w:r w:rsidR="006F2038">
        <w:rPr>
          <w:rFonts w:hint="cs"/>
          <w:rtl/>
        </w:rPr>
        <w:t xml:space="preserve"> </w:t>
      </w:r>
      <w:r w:rsidR="004E1C64">
        <w:rPr>
          <w:rFonts w:hint="cs"/>
          <w:rtl/>
        </w:rPr>
        <w:t>الم</w:t>
      </w:r>
      <w:r w:rsidR="006F2038">
        <w:rPr>
          <w:rFonts w:hint="cs"/>
          <w:rtl/>
        </w:rPr>
        <w:t>قدمة بناء على القاعدة</w:t>
      </w:r>
      <w:r w:rsidR="002E3A83">
        <w:rPr>
          <w:rFonts w:hint="eastAsia"/>
          <w:rtl/>
        </w:rPr>
        <w:t> </w:t>
      </w:r>
      <w:r w:rsidR="006F2038">
        <w:rPr>
          <w:rFonts w:hint="cs"/>
          <w:rtl/>
        </w:rPr>
        <w:t xml:space="preserve">2.55، </w:t>
      </w:r>
      <w:proofErr w:type="gramStart"/>
      <w:r w:rsidR="004E1C64">
        <w:rPr>
          <w:rFonts w:hint="cs"/>
          <w:rtl/>
        </w:rPr>
        <w:t>على</w:t>
      </w:r>
      <w:proofErr w:type="gramEnd"/>
      <w:r w:rsidR="004E1C64">
        <w:rPr>
          <w:rFonts w:hint="cs"/>
          <w:rtl/>
        </w:rPr>
        <w:t xml:space="preserve"> أن يؤخذ بالمهلة التي تنقضي أخيرا.</w:t>
      </w:r>
    </w:p>
    <w:p w:rsidR="004E1C64" w:rsidRDefault="004E1C64" w:rsidP="002E3A83">
      <w:pPr>
        <w:pStyle w:val="NumberedParaAR"/>
      </w:pPr>
      <w:r>
        <w:rPr>
          <w:rFonts w:hint="cs"/>
          <w:rtl/>
        </w:rPr>
        <w:t xml:space="preserve">ونتيجة </w:t>
      </w:r>
      <w:r w:rsidR="009F26A0">
        <w:rPr>
          <w:rFonts w:hint="cs"/>
          <w:rtl/>
        </w:rPr>
        <w:t>التفاعل</w:t>
      </w:r>
      <w:r>
        <w:rPr>
          <w:rFonts w:hint="cs"/>
          <w:rtl/>
        </w:rPr>
        <w:t xml:space="preserve"> بين القاعدتين 1.69 و2.69، </w:t>
      </w:r>
      <w:proofErr w:type="gramStart"/>
      <w:r w:rsidR="009F26A0">
        <w:rPr>
          <w:rFonts w:hint="cs"/>
          <w:rtl/>
        </w:rPr>
        <w:t>يكون</w:t>
      </w:r>
      <w:proofErr w:type="gramEnd"/>
      <w:r w:rsidR="009F26A0">
        <w:rPr>
          <w:rFonts w:hint="cs"/>
          <w:rtl/>
        </w:rPr>
        <w:t xml:space="preserve"> الوقت المتروك لإدارة الفحص التمهيدي الدولي كي تعد الرأي المكتوب الأول (المادة 34(2)(ج))، وتمنح شهرين لمودع الطلب كي يودع تعديلات بناء على القاعدة</w:t>
      </w:r>
      <w:r w:rsidR="009F26A0">
        <w:rPr>
          <w:rFonts w:hint="eastAsia"/>
          <w:rtl/>
        </w:rPr>
        <w:t> </w:t>
      </w:r>
      <w:r w:rsidR="009F26A0">
        <w:rPr>
          <w:rFonts w:hint="cs"/>
          <w:rtl/>
        </w:rPr>
        <w:t xml:space="preserve">66، وتصدر تقرير الفحص التمهيدي الدولي (القاعدة 70) أقلّ من خمسة أشهر في غالب الأحيان. وتلك الفترة تفرض أعباء أكبر بالنسبة لإدارات الفحص التمهيدي الدولي </w:t>
      </w:r>
      <w:r w:rsidR="008A4E8C">
        <w:rPr>
          <w:rFonts w:hint="cs"/>
          <w:rtl/>
        </w:rPr>
        <w:t>التي قامت، استجابة للتوصيات الواردة في الفقرة</w:t>
      </w:r>
      <w:r w:rsidR="002E3A83">
        <w:rPr>
          <w:rFonts w:hint="eastAsia"/>
          <w:rtl/>
        </w:rPr>
        <w:t> </w:t>
      </w:r>
      <w:r w:rsidR="008A4E8C">
        <w:rPr>
          <w:rFonts w:hint="cs"/>
          <w:rtl/>
        </w:rPr>
        <w:t>36 من الوثيقة</w:t>
      </w:r>
      <w:r w:rsidR="008A4E8C">
        <w:rPr>
          <w:rFonts w:hint="eastAsia"/>
          <w:rtl/>
        </w:rPr>
        <w:t> </w:t>
      </w:r>
      <w:r w:rsidR="008A4E8C" w:rsidRPr="008A4E8C">
        <w:t>PCT/R/2/7</w:t>
      </w:r>
      <w:r w:rsidR="008A4E8C">
        <w:rPr>
          <w:rFonts w:hint="cs"/>
          <w:rtl/>
        </w:rPr>
        <w:t xml:space="preserve">، بتنفيذ سياسة إصدار رأي مكتوب ثان في </w:t>
      </w:r>
      <w:r w:rsidR="00874F95">
        <w:rPr>
          <w:rFonts w:hint="cs"/>
          <w:rtl/>
        </w:rPr>
        <w:t>إجراءات</w:t>
      </w:r>
      <w:r w:rsidR="008A4E8C">
        <w:rPr>
          <w:rFonts w:hint="cs"/>
          <w:rtl/>
        </w:rPr>
        <w:t xml:space="preserve"> الفصل الثاني، ومنها المكتب الأوروبي للبراءات (الجريدة</w:t>
      </w:r>
      <w:r w:rsidR="008A4E8C">
        <w:rPr>
          <w:rFonts w:hint="eastAsia"/>
          <w:rtl/>
        </w:rPr>
        <w:t> </w:t>
      </w:r>
      <w:r w:rsidR="008A4E8C">
        <w:rPr>
          <w:rFonts w:hint="cs"/>
          <w:rtl/>
        </w:rPr>
        <w:t>الرسمية للمكتب الأوروبي للبراءات 2011، 532).</w:t>
      </w:r>
    </w:p>
    <w:p w:rsidR="008A4E8C" w:rsidRPr="00534B7D" w:rsidRDefault="00534B7D" w:rsidP="00534B7D">
      <w:pPr>
        <w:pStyle w:val="NormalParaAR"/>
        <w:keepNext/>
        <w:rPr>
          <w:b/>
          <w:bCs/>
          <w:sz w:val="40"/>
          <w:szCs w:val="40"/>
          <w:rtl/>
        </w:rPr>
      </w:pPr>
      <w:r w:rsidRPr="00534B7D">
        <w:rPr>
          <w:rFonts w:hint="cs"/>
          <w:b/>
          <w:bCs/>
          <w:sz w:val="40"/>
          <w:szCs w:val="40"/>
          <w:rtl/>
        </w:rPr>
        <w:t>الاقتراح</w:t>
      </w:r>
    </w:p>
    <w:p w:rsidR="00534B7D" w:rsidRDefault="00534B7D" w:rsidP="002E3A83">
      <w:pPr>
        <w:pStyle w:val="NumberedParaAR"/>
      </w:pPr>
      <w:r>
        <w:rPr>
          <w:rFonts w:hint="cs"/>
          <w:rtl/>
        </w:rPr>
        <w:t>في ضوء الف</w:t>
      </w:r>
      <w:r w:rsidR="002E3A83">
        <w:rPr>
          <w:rFonts w:hint="cs"/>
          <w:rtl/>
        </w:rPr>
        <w:t>ترة الزمنية القصيرة نسبيا للقيام</w:t>
      </w:r>
      <w:r>
        <w:rPr>
          <w:rFonts w:hint="cs"/>
          <w:rtl/>
        </w:rPr>
        <w:t xml:space="preserve"> </w:t>
      </w:r>
      <w:r w:rsidR="002E3A83">
        <w:rPr>
          <w:rFonts w:hint="cs"/>
          <w:rtl/>
        </w:rPr>
        <w:t>ب</w:t>
      </w:r>
      <w:r w:rsidR="00874F95">
        <w:rPr>
          <w:rFonts w:hint="cs"/>
          <w:rtl/>
        </w:rPr>
        <w:t>إجراءات</w:t>
      </w:r>
      <w:r>
        <w:rPr>
          <w:rFonts w:hint="cs"/>
          <w:rtl/>
        </w:rPr>
        <w:t xml:space="preserve"> الفصل الثاني وبالنظر، من جهة، إلى التعقيبات الإيجابية المستلمة من المستخدمين الأوروبيين فيما يخص إدراج رأي مكتوب ثان في الفصل الثاني وإلى </w:t>
      </w:r>
      <w:r w:rsidR="002E3A83">
        <w:rPr>
          <w:rFonts w:hint="cs"/>
          <w:rtl/>
        </w:rPr>
        <w:t>تأييدهم</w:t>
      </w:r>
      <w:r w:rsidR="00874F95">
        <w:rPr>
          <w:rFonts w:hint="cs"/>
          <w:rtl/>
        </w:rPr>
        <w:t xml:space="preserve"> المستمر</w:t>
      </w:r>
      <w:r w:rsidR="002E3A83">
        <w:rPr>
          <w:rFonts w:hint="cs"/>
          <w:rtl/>
        </w:rPr>
        <w:t xml:space="preserve"> </w:t>
      </w:r>
      <w:r w:rsidR="00874F95">
        <w:rPr>
          <w:rFonts w:hint="cs"/>
          <w:rtl/>
        </w:rPr>
        <w:t>لزيادة الحوار خلال الفحص التمهيدي الدولي</w:t>
      </w:r>
      <w:r w:rsidR="002E3A83">
        <w:rPr>
          <w:rFonts w:hint="cs"/>
          <w:rtl/>
        </w:rPr>
        <w:t>، من جهة أخرى،</w:t>
      </w:r>
      <w:r w:rsidR="00874F95">
        <w:rPr>
          <w:rFonts w:hint="cs"/>
          <w:rtl/>
        </w:rPr>
        <w:t xml:space="preserve"> يقترح المكتب الأوروبي للبراءات تعديل القاعدة</w:t>
      </w:r>
      <w:r w:rsidR="00874F95">
        <w:rPr>
          <w:rFonts w:hint="eastAsia"/>
          <w:rtl/>
        </w:rPr>
        <w:t> </w:t>
      </w:r>
      <w:r w:rsidR="00874F95">
        <w:rPr>
          <w:rFonts w:hint="cs"/>
          <w:rtl/>
        </w:rPr>
        <w:t xml:space="preserve">1.69(أ) لتمكين إدارة الفحص التمهيدي الدولي من بدء </w:t>
      </w:r>
      <w:r w:rsidR="00874F95" w:rsidRPr="00874F95">
        <w:rPr>
          <w:rFonts w:hint="cs"/>
          <w:rtl/>
        </w:rPr>
        <w:t>الفحص التمهيدي الدولي عندما يتوفر لديها الطلب والرسوم ذات الصلة وإما تقرير البحث الدولي أو الإعلان الذي تصدره إدارة البحث الدولي بناء على المادة</w:t>
      </w:r>
      <w:r w:rsidR="00874F95">
        <w:rPr>
          <w:rFonts w:hint="eastAsia"/>
          <w:rtl/>
        </w:rPr>
        <w:t> </w:t>
      </w:r>
      <w:r w:rsidR="00874F95">
        <w:rPr>
          <w:rFonts w:hint="cs"/>
          <w:rtl/>
        </w:rPr>
        <w:t xml:space="preserve">17(2)(أ)، </w:t>
      </w:r>
      <w:r w:rsidR="00874F95" w:rsidRPr="00874F95">
        <w:rPr>
          <w:rFonts w:hint="cs"/>
          <w:rtl/>
        </w:rPr>
        <w:t>والرأي المكتوب المعد بناء على القاعدة</w:t>
      </w:r>
      <w:r w:rsidR="002E3A83">
        <w:rPr>
          <w:rFonts w:hint="eastAsia"/>
          <w:rtl/>
        </w:rPr>
        <w:t> </w:t>
      </w:r>
      <w:r w:rsidR="00874F95" w:rsidRPr="00874F95">
        <w:rPr>
          <w:rFonts w:hint="cs"/>
          <w:rtl/>
        </w:rPr>
        <w:t>43(ثانيا)1، ما</w:t>
      </w:r>
      <w:r w:rsidR="00874F95" w:rsidRPr="00874F95">
        <w:rPr>
          <w:rFonts w:hint="eastAsia"/>
          <w:rtl/>
        </w:rPr>
        <w:t> </w:t>
      </w:r>
      <w:r w:rsidR="00874F95" w:rsidRPr="00874F95">
        <w:rPr>
          <w:rFonts w:hint="cs"/>
          <w:rtl/>
        </w:rPr>
        <w:t>لم يلتمس مودع الطلب صراحة إرجاء بدء الفحص التمهيدي الدولي حتى انقضاء المهلة المطبقة بناء على القاعدة</w:t>
      </w:r>
      <w:r w:rsidR="00874F95" w:rsidRPr="00874F95">
        <w:rPr>
          <w:rFonts w:hint="eastAsia"/>
          <w:rtl/>
        </w:rPr>
        <w:t> </w:t>
      </w:r>
      <w:r w:rsidR="00874F95" w:rsidRPr="00874F95">
        <w:rPr>
          <w:rFonts w:hint="cs"/>
          <w:rtl/>
        </w:rPr>
        <w:t>54(ثانيا)1(أ).</w:t>
      </w:r>
    </w:p>
    <w:p w:rsidR="00874F95" w:rsidRDefault="00874F95" w:rsidP="00A70F34">
      <w:pPr>
        <w:pStyle w:val="NumberedParaAR"/>
      </w:pPr>
      <w:r>
        <w:rPr>
          <w:rFonts w:hint="cs"/>
          <w:rtl/>
        </w:rPr>
        <w:t>ولن يؤثر هذا الاقتراح على حق المودع في تقديم تعديلات بناء على المادتين 19 و34 كأساس لإجراءات الفصل</w:t>
      </w:r>
      <w:r w:rsidR="00A70F34">
        <w:rPr>
          <w:rFonts w:hint="eastAsia"/>
          <w:rtl/>
        </w:rPr>
        <w:t> </w:t>
      </w:r>
      <w:r>
        <w:rPr>
          <w:rFonts w:hint="cs"/>
          <w:rtl/>
        </w:rPr>
        <w:t>الثاني.</w:t>
      </w:r>
    </w:p>
    <w:p w:rsidR="00A70F34" w:rsidRDefault="00A70F34" w:rsidP="002E3A83">
      <w:pPr>
        <w:pStyle w:val="NumberedParaAR"/>
      </w:pPr>
      <w:r>
        <w:rPr>
          <w:rFonts w:hint="cs"/>
          <w:rtl/>
        </w:rPr>
        <w:t>وبناء عليه، وفي حال كان على الفحص التمهيدي الدولي أ</w:t>
      </w:r>
      <w:r w:rsidR="004901D1">
        <w:rPr>
          <w:rFonts w:hint="cs"/>
          <w:rtl/>
        </w:rPr>
        <w:t>ن ي</w:t>
      </w:r>
      <w:r>
        <w:rPr>
          <w:rFonts w:hint="cs"/>
          <w:rtl/>
        </w:rPr>
        <w:t>راعي تعديلات بناء على المادة</w:t>
      </w:r>
      <w:r w:rsidR="00D2086E">
        <w:rPr>
          <w:rFonts w:hint="eastAsia"/>
          <w:rtl/>
        </w:rPr>
        <w:t> </w:t>
      </w:r>
      <w:r>
        <w:rPr>
          <w:rFonts w:hint="cs"/>
          <w:rtl/>
        </w:rPr>
        <w:t xml:space="preserve">34 ولم يقدم المودع تلك التعديلات </w:t>
      </w:r>
      <w:r w:rsidR="004901D1">
        <w:rPr>
          <w:rFonts w:hint="cs"/>
          <w:rtl/>
        </w:rPr>
        <w:t xml:space="preserve">فعلا </w:t>
      </w:r>
      <w:r>
        <w:rPr>
          <w:rFonts w:hint="cs"/>
          <w:rtl/>
        </w:rPr>
        <w:t xml:space="preserve">مع طلبه، </w:t>
      </w:r>
      <w:r w:rsidR="004901D1">
        <w:rPr>
          <w:rFonts w:hint="cs"/>
          <w:rtl/>
        </w:rPr>
        <w:t>وجب على</w:t>
      </w:r>
      <w:r>
        <w:rPr>
          <w:rFonts w:hint="cs"/>
          <w:rtl/>
        </w:rPr>
        <w:t xml:space="preserve"> إدارة الفحص التمهيدي الدولي</w:t>
      </w:r>
      <w:r w:rsidR="004901D1">
        <w:rPr>
          <w:rFonts w:hint="cs"/>
          <w:rtl/>
        </w:rPr>
        <w:t xml:space="preserve"> أن</w:t>
      </w:r>
      <w:r>
        <w:rPr>
          <w:rFonts w:hint="cs"/>
          <w:rtl/>
        </w:rPr>
        <w:t xml:space="preserve"> تدعوه (الاستمارة</w:t>
      </w:r>
      <w:r>
        <w:rPr>
          <w:rFonts w:hint="eastAsia"/>
          <w:rtl/>
        </w:rPr>
        <w:t> </w:t>
      </w:r>
      <w:r w:rsidRPr="00A70F34">
        <w:t>PCT/IPEA/431</w:t>
      </w:r>
      <w:r>
        <w:rPr>
          <w:rFonts w:hint="cs"/>
          <w:rtl/>
        </w:rPr>
        <w:t xml:space="preserve">) </w:t>
      </w:r>
      <w:r w:rsidR="00D2086E">
        <w:rPr>
          <w:rFonts w:hint="cs"/>
          <w:rtl/>
        </w:rPr>
        <w:t xml:space="preserve">إلى تقديم التعديلات في غضون مهلة معقولة </w:t>
      </w:r>
      <w:r w:rsidR="004901D1">
        <w:rPr>
          <w:rFonts w:hint="cs"/>
          <w:rtl/>
        </w:rPr>
        <w:t>محددة</w:t>
      </w:r>
      <w:r w:rsidR="00D2086E">
        <w:rPr>
          <w:rFonts w:hint="cs"/>
          <w:rtl/>
        </w:rPr>
        <w:t xml:space="preserve"> في الدعوة (القواعد 9.53(ج) و1.60(ز) و1.69(ه)). </w:t>
      </w:r>
      <w:proofErr w:type="gramStart"/>
      <w:r w:rsidR="00D2086E">
        <w:rPr>
          <w:rFonts w:hint="cs"/>
          <w:rtl/>
        </w:rPr>
        <w:t>ويتعين</w:t>
      </w:r>
      <w:proofErr w:type="gramEnd"/>
      <w:r w:rsidR="00D2086E">
        <w:rPr>
          <w:rFonts w:hint="cs"/>
          <w:rtl/>
        </w:rPr>
        <w:t xml:space="preserve"> ألا يبدأ الفحص التمهيدي الدولي حتى تتسلم إدارة الفحص التمهيدي الدولي التعديلات أو قبل انقضاء المهلة المحددة في الدعوة بناء على القاعدة</w:t>
      </w:r>
      <w:r w:rsidR="002E3A83">
        <w:rPr>
          <w:rFonts w:hint="eastAsia"/>
          <w:rtl/>
        </w:rPr>
        <w:t> </w:t>
      </w:r>
      <w:r w:rsidR="00D2086E">
        <w:rPr>
          <w:rFonts w:hint="cs"/>
          <w:rtl/>
        </w:rPr>
        <w:t xml:space="preserve">1.60(ز)، </w:t>
      </w:r>
      <w:r w:rsidR="004901D1">
        <w:rPr>
          <w:rFonts w:hint="cs"/>
          <w:rtl/>
        </w:rPr>
        <w:t xml:space="preserve">على أن يؤخذ </w:t>
      </w:r>
      <w:proofErr w:type="gramStart"/>
      <w:r w:rsidR="004901D1">
        <w:rPr>
          <w:rFonts w:hint="cs"/>
          <w:rtl/>
        </w:rPr>
        <w:t>بالشرط  الذي</w:t>
      </w:r>
      <w:proofErr w:type="gramEnd"/>
      <w:r w:rsidR="004901D1">
        <w:rPr>
          <w:rFonts w:hint="cs"/>
          <w:rtl/>
        </w:rPr>
        <w:t xml:space="preserve"> يستوفى أولا</w:t>
      </w:r>
      <w:r w:rsidR="00D2086E">
        <w:rPr>
          <w:rFonts w:hint="cs"/>
          <w:rtl/>
        </w:rPr>
        <w:t>.</w:t>
      </w:r>
    </w:p>
    <w:p w:rsidR="00D2086E" w:rsidRDefault="00D2086E" w:rsidP="004901D1">
      <w:pPr>
        <w:pStyle w:val="NumberedParaAR"/>
        <w:rPr>
          <w:rtl/>
        </w:rPr>
      </w:pPr>
      <w:proofErr w:type="gramStart"/>
      <w:r>
        <w:rPr>
          <w:rFonts w:hint="cs"/>
          <w:rtl/>
        </w:rPr>
        <w:t>وفي</w:t>
      </w:r>
      <w:proofErr w:type="gramEnd"/>
      <w:r>
        <w:rPr>
          <w:rFonts w:hint="cs"/>
          <w:rtl/>
        </w:rPr>
        <w:t xml:space="preserve"> السياق نفسه، </w:t>
      </w:r>
      <w:r w:rsidR="004901D1">
        <w:rPr>
          <w:rFonts w:hint="cs"/>
          <w:rtl/>
        </w:rPr>
        <w:t>وفي حال كان على الفحص التمهيدي الدولي أن يراعي تعديلات بناء على المادة</w:t>
      </w:r>
      <w:r w:rsidR="004901D1">
        <w:rPr>
          <w:rFonts w:hint="eastAsia"/>
          <w:rtl/>
        </w:rPr>
        <w:t> </w:t>
      </w:r>
      <w:r w:rsidR="004901D1">
        <w:rPr>
          <w:rFonts w:hint="cs"/>
          <w:rtl/>
        </w:rPr>
        <w:t xml:space="preserve">19 إلى جانب البيانات المرافقة الوجيهة، وجب على إدارة الفحص التمهيدي </w:t>
      </w:r>
      <w:r w:rsidR="001865B0">
        <w:rPr>
          <w:rFonts w:hint="cs"/>
          <w:rtl/>
        </w:rPr>
        <w:t>ألا تبدأ الفحص التمهيدي الدولي قبل أن تتسلم صورة من التعديلات المعنية.</w:t>
      </w:r>
    </w:p>
    <w:p w:rsidR="008A4E8C" w:rsidRDefault="001865B0" w:rsidP="001865B0">
      <w:pPr>
        <w:pStyle w:val="DecisionParaAR"/>
      </w:pPr>
      <w:proofErr w:type="gramStart"/>
      <w:r>
        <w:rPr>
          <w:rFonts w:hint="cs"/>
          <w:rtl/>
        </w:rPr>
        <w:t>إن</w:t>
      </w:r>
      <w:proofErr w:type="gramEnd"/>
      <w:r>
        <w:rPr>
          <w:rFonts w:hint="cs"/>
          <w:rtl/>
        </w:rPr>
        <w:t xml:space="preserve"> الفريق العامل مدعو إلى النظر في التعديلات المقترح إدخالها على اللائحة التنفيذية والمبيّنة في مرفق هذه الوثيقة.</w:t>
      </w:r>
    </w:p>
    <w:p w:rsidR="001865B0" w:rsidRDefault="001865B0" w:rsidP="001865B0">
      <w:pPr>
        <w:pStyle w:val="EndofDocumentAR"/>
        <w:rPr>
          <w:rtl/>
        </w:rPr>
        <w:sectPr w:rsidR="001865B0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1865B0" w:rsidRDefault="001865B0" w:rsidP="001865B0">
      <w:pPr>
        <w:pStyle w:val="NormalParaAR"/>
        <w:spacing w:after="480"/>
        <w:jc w:val="center"/>
        <w:rPr>
          <w:rtl/>
        </w:rPr>
      </w:pPr>
      <w:r>
        <w:rPr>
          <w:rFonts w:hint="cs"/>
          <w:rtl/>
        </w:rPr>
        <w:lastRenderedPageBreak/>
        <w:t>التعديلات المقترح إدخالها على اللائحة التنفيذية لمعاهدة التعاون بشأن البراءات</w:t>
      </w:r>
      <w:r>
        <w:rPr>
          <w:rStyle w:val="FootnoteReference"/>
          <w:rtl/>
        </w:rPr>
        <w:footnoteReference w:id="1"/>
      </w:r>
    </w:p>
    <w:p w:rsidR="001865B0" w:rsidRDefault="001865B0" w:rsidP="007A68C4">
      <w:pPr>
        <w:pStyle w:val="NormalParaAR"/>
        <w:jc w:val="center"/>
        <w:rPr>
          <w:rtl/>
        </w:rPr>
      </w:pPr>
      <w:r>
        <w:rPr>
          <w:rFonts w:hint="cs"/>
          <w:rtl/>
        </w:rPr>
        <w:t>المحتويات</w:t>
      </w:r>
    </w:p>
    <w:p w:rsidR="007A68C4" w:rsidRPr="007A68C4" w:rsidRDefault="007A68C4" w:rsidP="007A68C4">
      <w:pPr>
        <w:pStyle w:val="TOC1"/>
        <w:tabs>
          <w:tab w:val="right" w:leader="dot" w:pos="9345"/>
        </w:tabs>
        <w:bidi/>
        <w:rPr>
          <w:rFonts w:ascii="Arabic Typesetting" w:eastAsiaTheme="minorEastAsia" w:hAnsi="Arabic Typesetting" w:cs="Arabic Typesetting"/>
          <w:noProof/>
          <w:sz w:val="36"/>
          <w:szCs w:val="36"/>
        </w:rPr>
      </w:pPr>
      <w:r w:rsidRPr="007A68C4">
        <w:rPr>
          <w:rFonts w:ascii="Arabic Typesetting" w:hAnsi="Arabic Typesetting" w:cs="Arabic Typesetting"/>
          <w:sz w:val="36"/>
          <w:szCs w:val="36"/>
          <w:rtl/>
        </w:rPr>
        <w:fldChar w:fldCharType="begin"/>
      </w:r>
      <w:r w:rsidRPr="007A68C4">
        <w:rPr>
          <w:rFonts w:ascii="Arabic Typesetting" w:hAnsi="Arabic Typesetting" w:cs="Arabic Typesetting"/>
          <w:sz w:val="36"/>
          <w:szCs w:val="36"/>
          <w:rtl/>
        </w:rPr>
        <w:instrText xml:space="preserve"> </w:instrText>
      </w:r>
      <w:r w:rsidRPr="007A68C4">
        <w:rPr>
          <w:rFonts w:ascii="Arabic Typesetting" w:hAnsi="Arabic Typesetting" w:cs="Arabic Typesetting"/>
          <w:sz w:val="36"/>
          <w:szCs w:val="36"/>
        </w:rPr>
        <w:instrText>TOC</w:instrText>
      </w:r>
      <w:r w:rsidRPr="007A68C4">
        <w:rPr>
          <w:rFonts w:ascii="Arabic Typesetting" w:hAnsi="Arabic Typesetting" w:cs="Arabic Typesetting"/>
          <w:sz w:val="36"/>
          <w:szCs w:val="36"/>
          <w:rtl/>
        </w:rPr>
        <w:instrText xml:space="preserve"> \</w:instrText>
      </w:r>
      <w:r w:rsidRPr="007A68C4">
        <w:rPr>
          <w:rFonts w:ascii="Arabic Typesetting" w:hAnsi="Arabic Typesetting" w:cs="Arabic Typesetting"/>
          <w:sz w:val="36"/>
          <w:szCs w:val="36"/>
        </w:rPr>
        <w:instrText>o "1-2" \h \z \u</w:instrText>
      </w:r>
      <w:r w:rsidRPr="007A68C4">
        <w:rPr>
          <w:rFonts w:ascii="Arabic Typesetting" w:hAnsi="Arabic Typesetting" w:cs="Arabic Typesetting"/>
          <w:sz w:val="36"/>
          <w:szCs w:val="36"/>
          <w:rtl/>
        </w:rPr>
        <w:instrText xml:space="preserve"> </w:instrText>
      </w:r>
      <w:r w:rsidRPr="007A68C4">
        <w:rPr>
          <w:rFonts w:ascii="Arabic Typesetting" w:hAnsi="Arabic Typesetting" w:cs="Arabic Typesetting"/>
          <w:sz w:val="36"/>
          <w:szCs w:val="36"/>
          <w:rtl/>
        </w:rPr>
        <w:fldChar w:fldCharType="separate"/>
      </w:r>
      <w:hyperlink w:anchor="_Toc515278414" w:history="1">
        <w:r w:rsidRPr="007A68C4">
          <w:rPr>
            <w:rStyle w:val="Hyperlink"/>
            <w:rFonts w:ascii="Arabic Typesetting" w:hAnsi="Arabic Typesetting" w:cs="Arabic Typesetting"/>
            <w:noProof/>
            <w:sz w:val="36"/>
            <w:szCs w:val="36"/>
            <w:rtl/>
            <w:lang w:bidi="ar-EG"/>
          </w:rPr>
          <w:t>القاعدة 69 بدء الفحص التمهيدي الدولي والمهلة المحددة له</w:t>
        </w:r>
        <w:r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tab/>
        </w:r>
        <w:r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begin"/>
        </w:r>
        <w:r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instrText xml:space="preserve"> PAGEREF _Toc515278414 \h </w:instrText>
        </w:r>
        <w:r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</w:r>
        <w:r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separate"/>
        </w:r>
        <w:r w:rsidR="004D2861">
          <w:rPr>
            <w:rFonts w:ascii="Arabic Typesetting" w:hAnsi="Arabic Typesetting" w:cs="Arabic Typesetting"/>
            <w:noProof/>
            <w:webHidden/>
            <w:sz w:val="36"/>
            <w:szCs w:val="36"/>
            <w:rtl/>
          </w:rPr>
          <w:t>2</w:t>
        </w:r>
        <w:r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end"/>
        </w:r>
      </w:hyperlink>
    </w:p>
    <w:p w:rsidR="007A68C4" w:rsidRPr="007A68C4" w:rsidRDefault="004D2861" w:rsidP="007A68C4">
      <w:pPr>
        <w:pStyle w:val="TOC2"/>
        <w:tabs>
          <w:tab w:val="right" w:leader="dot" w:pos="9345"/>
        </w:tabs>
        <w:bidi/>
        <w:rPr>
          <w:rFonts w:ascii="Arabic Typesetting" w:eastAsiaTheme="minorEastAsia" w:hAnsi="Arabic Typesetting" w:cs="Arabic Typesetting"/>
          <w:noProof/>
          <w:sz w:val="36"/>
          <w:szCs w:val="36"/>
        </w:rPr>
      </w:pPr>
      <w:hyperlink w:anchor="_Toc515278415" w:history="1">
        <w:r w:rsidR="007A68C4" w:rsidRPr="007A68C4">
          <w:rPr>
            <w:rStyle w:val="Hyperlink"/>
            <w:rFonts w:ascii="Arabic Typesetting" w:hAnsi="Arabic Typesetting" w:cs="Arabic Typesetting"/>
            <w:noProof/>
            <w:sz w:val="36"/>
            <w:szCs w:val="36"/>
            <w:rtl/>
            <w:lang w:bidi="ar-EG"/>
          </w:rPr>
          <w:t>69</w:t>
        </w:r>
        <w:r w:rsidR="007A68C4" w:rsidRPr="007A68C4">
          <w:rPr>
            <w:rStyle w:val="Hyperlink"/>
            <w:rFonts w:ascii="Arabic Typesetting" w:hAnsi="Arabic Typesetting" w:cs="Arabic Typesetting"/>
            <w:noProof/>
            <w:sz w:val="36"/>
            <w:szCs w:val="36"/>
          </w:rPr>
          <w:t>.</w:t>
        </w:r>
        <w:r w:rsidR="007A68C4" w:rsidRPr="007A68C4">
          <w:rPr>
            <w:rStyle w:val="Hyperlink"/>
            <w:rFonts w:ascii="Arabic Typesetting" w:hAnsi="Arabic Typesetting" w:cs="Arabic Typesetting"/>
            <w:noProof/>
            <w:sz w:val="36"/>
            <w:szCs w:val="36"/>
            <w:rtl/>
            <w:lang w:bidi="ar-EG"/>
          </w:rPr>
          <w:t xml:space="preserve">1  </w:t>
        </w:r>
        <w:r w:rsidR="007A68C4" w:rsidRPr="007A68C4">
          <w:rPr>
            <w:rStyle w:val="Hyperlink"/>
            <w:rFonts w:ascii="Arabic Typesetting" w:hAnsi="Arabic Typesetting" w:cs="Arabic Typesetting"/>
            <w:i/>
            <w:iCs/>
            <w:noProof/>
            <w:sz w:val="36"/>
            <w:szCs w:val="36"/>
            <w:rtl/>
            <w:lang w:bidi="ar-EG"/>
          </w:rPr>
          <w:t>بدء الفحص التمهيدي الدولي</w:t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tab/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begin"/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instrText xml:space="preserve"> PAGEREF _Toc515278415 \h </w:instrText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separate"/>
        </w:r>
        <w:r>
          <w:rPr>
            <w:rFonts w:ascii="Arabic Typesetting" w:hAnsi="Arabic Typesetting" w:cs="Arabic Typesetting"/>
            <w:noProof/>
            <w:webHidden/>
            <w:sz w:val="36"/>
            <w:szCs w:val="36"/>
            <w:rtl/>
          </w:rPr>
          <w:t>2</w:t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end"/>
        </w:r>
      </w:hyperlink>
    </w:p>
    <w:p w:rsidR="007A68C4" w:rsidRPr="007A68C4" w:rsidRDefault="004D2861" w:rsidP="007A68C4">
      <w:pPr>
        <w:pStyle w:val="TOC2"/>
        <w:tabs>
          <w:tab w:val="right" w:leader="dot" w:pos="9345"/>
        </w:tabs>
        <w:bidi/>
        <w:rPr>
          <w:rFonts w:ascii="Arabic Typesetting" w:eastAsiaTheme="minorEastAsia" w:hAnsi="Arabic Typesetting" w:cs="Arabic Typesetting"/>
          <w:noProof/>
          <w:sz w:val="36"/>
          <w:szCs w:val="36"/>
        </w:rPr>
      </w:pPr>
      <w:hyperlink w:anchor="_Toc515278416" w:history="1">
        <w:r w:rsidR="007A68C4" w:rsidRPr="007A68C4">
          <w:rPr>
            <w:rStyle w:val="Hyperlink"/>
            <w:rFonts w:ascii="Arabic Typesetting" w:hAnsi="Arabic Typesetting" w:cs="Arabic Typesetting"/>
            <w:noProof/>
            <w:sz w:val="36"/>
            <w:szCs w:val="36"/>
            <w:rtl/>
            <w:lang w:bidi="ar-EG"/>
          </w:rPr>
          <w:t xml:space="preserve">2.69  </w:t>
        </w:r>
        <w:r w:rsidR="007A68C4" w:rsidRPr="007A68C4">
          <w:rPr>
            <w:rStyle w:val="Hyperlink"/>
            <w:rFonts w:ascii="Arabic Typesetting" w:hAnsi="Arabic Typesetting" w:cs="Arabic Typesetting"/>
            <w:i/>
            <w:iCs/>
            <w:noProof/>
            <w:sz w:val="36"/>
            <w:szCs w:val="36"/>
            <w:rtl/>
            <w:lang w:bidi="ar-EG"/>
          </w:rPr>
          <w:t>[بدون تغيير]</w:t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tab/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begin"/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instrText xml:space="preserve"> PAGEREF _Toc515278416 \h </w:instrText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separate"/>
        </w:r>
        <w:r>
          <w:rPr>
            <w:rFonts w:ascii="Arabic Typesetting" w:hAnsi="Arabic Typesetting" w:cs="Arabic Typesetting"/>
            <w:noProof/>
            <w:webHidden/>
            <w:sz w:val="36"/>
            <w:szCs w:val="36"/>
            <w:rtl/>
          </w:rPr>
          <w:t>2</w:t>
        </w:r>
        <w:r w:rsidR="007A68C4" w:rsidRPr="007A68C4">
          <w:rPr>
            <w:rFonts w:ascii="Arabic Typesetting" w:hAnsi="Arabic Typesetting" w:cs="Arabic Typesetting"/>
            <w:noProof/>
            <w:webHidden/>
            <w:sz w:val="36"/>
            <w:szCs w:val="36"/>
          </w:rPr>
          <w:fldChar w:fldCharType="end"/>
        </w:r>
      </w:hyperlink>
    </w:p>
    <w:p w:rsidR="001865B0" w:rsidRDefault="007A68C4" w:rsidP="007A68C4">
      <w:pPr>
        <w:pStyle w:val="NormalParaAR"/>
        <w:rPr>
          <w:rtl/>
        </w:rPr>
      </w:pPr>
      <w:r w:rsidRPr="007A68C4">
        <w:rPr>
          <w:rtl/>
        </w:rPr>
        <w:fldChar w:fldCharType="end"/>
      </w:r>
    </w:p>
    <w:p w:rsidR="001865B0" w:rsidRDefault="001865B0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1865B0" w:rsidRDefault="001865B0" w:rsidP="00F5379C">
      <w:pPr>
        <w:pStyle w:val="NormalParaAR"/>
        <w:jc w:val="center"/>
        <w:outlineLvl w:val="0"/>
        <w:rPr>
          <w:b/>
          <w:bCs/>
          <w:rtl/>
          <w:lang w:bidi="ar-EG"/>
        </w:rPr>
      </w:pPr>
      <w:bookmarkStart w:id="3" w:name="_Toc515278414"/>
      <w:r w:rsidRPr="001865B0">
        <w:rPr>
          <w:b/>
          <w:bCs/>
          <w:rtl/>
          <w:lang w:bidi="ar-EG"/>
        </w:rPr>
        <w:lastRenderedPageBreak/>
        <w:t>القاعدة 69</w:t>
      </w:r>
      <w:r w:rsidRPr="001865B0">
        <w:rPr>
          <w:b/>
          <w:bCs/>
          <w:rtl/>
          <w:lang w:bidi="ar-EG"/>
        </w:rPr>
        <w:br/>
        <w:t>بدء الفحص التمهيدي الدولي والمهلة المحددة له</w:t>
      </w:r>
      <w:bookmarkEnd w:id="3"/>
    </w:p>
    <w:p w:rsidR="001865B0" w:rsidRPr="001865B0" w:rsidRDefault="001865B0" w:rsidP="00F5379C">
      <w:pPr>
        <w:pStyle w:val="NormalParaAR"/>
        <w:outlineLvl w:val="1"/>
        <w:rPr>
          <w:rtl/>
          <w:lang w:bidi="ar-EG"/>
        </w:rPr>
      </w:pPr>
      <w:bookmarkStart w:id="4" w:name="_Toc515278415"/>
      <w:proofErr w:type="gramStart"/>
      <w:r w:rsidRPr="001865B0">
        <w:rPr>
          <w:rtl/>
          <w:lang w:bidi="ar-EG"/>
        </w:rPr>
        <w:t>69</w:t>
      </w:r>
      <w:r w:rsidRPr="001865B0">
        <w:t>.</w:t>
      </w:r>
      <w:r>
        <w:rPr>
          <w:rtl/>
          <w:lang w:bidi="ar-EG"/>
        </w:rPr>
        <w:t>1</w:t>
      </w:r>
      <w:r w:rsidR="00F5379C">
        <w:rPr>
          <w:rFonts w:hint="cs"/>
          <w:rtl/>
          <w:lang w:bidi="ar-EG"/>
        </w:rPr>
        <w:t xml:space="preserve">  </w:t>
      </w:r>
      <w:proofErr w:type="gramEnd"/>
      <w:r w:rsidRPr="001865B0">
        <w:rPr>
          <w:i/>
          <w:iCs/>
          <w:rtl/>
          <w:lang w:bidi="ar-EG"/>
        </w:rPr>
        <w:t>بدء الفحص التمهيدي الدولي</w:t>
      </w:r>
      <w:bookmarkEnd w:id="4"/>
    </w:p>
    <w:p w:rsidR="001865B0" w:rsidRPr="001865B0" w:rsidRDefault="001865B0" w:rsidP="001865B0">
      <w:pPr>
        <w:pStyle w:val="NormalParaAR"/>
        <w:ind w:left="566"/>
        <w:rPr>
          <w:rtl/>
          <w:lang w:bidi="ar-EG"/>
        </w:rPr>
      </w:pPr>
      <w:r w:rsidRPr="001865B0">
        <w:rPr>
          <w:rtl/>
          <w:lang w:bidi="ar-EG"/>
        </w:rPr>
        <w:t>( أ )</w:t>
      </w:r>
      <w:r w:rsidRPr="001865B0">
        <w:rPr>
          <w:rtl/>
          <w:lang w:bidi="ar-EG"/>
        </w:rPr>
        <w:tab/>
      </w:r>
      <w:proofErr w:type="gramStart"/>
      <w:r w:rsidRPr="001865B0">
        <w:rPr>
          <w:rtl/>
          <w:lang w:bidi="ar-EG"/>
        </w:rPr>
        <w:t>مع</w:t>
      </w:r>
      <w:proofErr w:type="gramEnd"/>
      <w:r w:rsidRPr="001865B0">
        <w:rPr>
          <w:rtl/>
          <w:lang w:bidi="ar-EG"/>
        </w:rPr>
        <w:t xml:space="preserve"> مراعاة أحكام الفقرات من (ب) إلى (ﻫ)، يتعين على إدارة الفحص التمهيدي الدولي أن تبدأ الفحص المذكور عندما يتوفر لديها كل ما يلي:</w:t>
      </w:r>
    </w:p>
    <w:p w:rsidR="001865B0" w:rsidRPr="001865B0" w:rsidRDefault="001865B0" w:rsidP="001865B0">
      <w:pPr>
        <w:pStyle w:val="NormalParaAR"/>
        <w:ind w:left="1133"/>
        <w:rPr>
          <w:rtl/>
          <w:lang w:bidi="ar-EG"/>
        </w:rPr>
      </w:pPr>
      <w:r w:rsidRPr="001865B0">
        <w:rPr>
          <w:rtl/>
          <w:lang w:bidi="ar-EG"/>
        </w:rPr>
        <w:t>"1"</w:t>
      </w:r>
      <w:r w:rsidRPr="001865B0">
        <w:rPr>
          <w:rtl/>
          <w:lang w:bidi="ar-EG"/>
        </w:rPr>
        <w:tab/>
        <w:t>طلب الفحص التمهيدي الدولي</w:t>
      </w:r>
    </w:p>
    <w:p w:rsidR="001865B0" w:rsidRPr="001865B0" w:rsidRDefault="001865B0" w:rsidP="001865B0">
      <w:pPr>
        <w:pStyle w:val="NormalParaAR"/>
        <w:ind w:left="1133"/>
        <w:rPr>
          <w:rtl/>
          <w:lang w:bidi="ar-EG"/>
        </w:rPr>
      </w:pPr>
      <w:r w:rsidRPr="001865B0">
        <w:rPr>
          <w:rtl/>
          <w:lang w:bidi="ar-EG"/>
        </w:rPr>
        <w:t>"2"</w:t>
      </w:r>
      <w:r w:rsidRPr="001865B0">
        <w:rPr>
          <w:rtl/>
          <w:lang w:bidi="ar-EG"/>
        </w:rPr>
        <w:tab/>
      </w:r>
      <w:r w:rsidRPr="001865B0">
        <w:rPr>
          <w:rFonts w:hint="cs"/>
          <w:rtl/>
          <w:lang w:bidi="ar-EG"/>
        </w:rPr>
        <w:t>و</w:t>
      </w:r>
      <w:r w:rsidRPr="001865B0">
        <w:rPr>
          <w:rtl/>
          <w:lang w:bidi="ar-EG"/>
        </w:rPr>
        <w:t>المبلغ المستحق (بالكامل) لرسم المعالجة ورسم الفحص التمهيدي، بما في ذلك رسم الدفع المتأخر المنصوص عليه في القاعد 58(ثانياً)2، عند الاقتضاء؛</w:t>
      </w:r>
    </w:p>
    <w:p w:rsidR="001865B0" w:rsidRPr="001865B0" w:rsidRDefault="001865B0" w:rsidP="001865B0">
      <w:pPr>
        <w:pStyle w:val="NormalParaAR"/>
        <w:ind w:left="1133"/>
        <w:rPr>
          <w:rtl/>
        </w:rPr>
      </w:pPr>
      <w:r w:rsidRPr="001865B0">
        <w:rPr>
          <w:rtl/>
          <w:lang w:bidi="ar-EG"/>
        </w:rPr>
        <w:t>"3"</w:t>
      </w:r>
      <w:r w:rsidRPr="001865B0">
        <w:rPr>
          <w:rtl/>
          <w:lang w:bidi="ar-EG"/>
        </w:rPr>
        <w:tab/>
      </w:r>
      <w:proofErr w:type="gramStart"/>
      <w:r w:rsidRPr="001865B0">
        <w:rPr>
          <w:rFonts w:hint="cs"/>
          <w:rtl/>
          <w:lang w:bidi="ar-EG"/>
        </w:rPr>
        <w:t>و</w:t>
      </w:r>
      <w:r w:rsidRPr="001865B0">
        <w:rPr>
          <w:rtl/>
          <w:lang w:bidi="ar-EG"/>
        </w:rPr>
        <w:t>إما</w:t>
      </w:r>
      <w:proofErr w:type="gramEnd"/>
      <w:r w:rsidRPr="001865B0">
        <w:rPr>
          <w:rtl/>
          <w:lang w:bidi="ar-EG"/>
        </w:rPr>
        <w:t xml:space="preserve"> تقرير البحث الدولي أو</w:t>
      </w:r>
      <w:r w:rsidRPr="001865B0">
        <w:rPr>
          <w:rFonts w:hint="cs"/>
          <w:rtl/>
          <w:lang w:bidi="ar-EG"/>
        </w:rPr>
        <w:t xml:space="preserve"> </w:t>
      </w:r>
      <w:r w:rsidRPr="001865B0">
        <w:rPr>
          <w:rtl/>
          <w:lang w:bidi="ar-EG"/>
        </w:rPr>
        <w:t>الإعلان الذي تصدره إدارة البحث الدولي بناء على المادة 17(2)(أ) بعدم اعتزامها أن تعد تقريراً للبحث الدولي</w:t>
      </w:r>
      <w:r w:rsidRPr="001865B0">
        <w:rPr>
          <w:rFonts w:hint="cs"/>
          <w:rtl/>
          <w:lang w:bidi="ar-EG"/>
        </w:rPr>
        <w:t>،</w:t>
      </w:r>
      <w:r w:rsidRPr="001865B0">
        <w:rPr>
          <w:rtl/>
          <w:lang w:bidi="ar-EG"/>
        </w:rPr>
        <w:t xml:space="preserve"> والرأي المكتوب المعد بناء على القاعدة 43(ثانياً)1</w:t>
      </w:r>
      <w:r w:rsidRPr="001865B0">
        <w:rPr>
          <w:rFonts w:hint="cs"/>
          <w:rtl/>
          <w:lang w:bidi="ar-EG"/>
        </w:rPr>
        <w:t>،</w:t>
      </w:r>
    </w:p>
    <w:p w:rsidR="001865B0" w:rsidRPr="001865B0" w:rsidRDefault="001865B0" w:rsidP="00F5379C">
      <w:pPr>
        <w:pStyle w:val="NormalParaAR"/>
        <w:rPr>
          <w:rtl/>
          <w:lang w:bidi="ar-EG"/>
        </w:rPr>
      </w:pPr>
      <w:r w:rsidRPr="00F5379C">
        <w:rPr>
          <w:strike/>
          <w:color w:val="FF0000"/>
          <w:rtl/>
          <w:lang w:bidi="ar-EG"/>
        </w:rPr>
        <w:t>على أن إدارة الفحص التمهيدي الدولي لا تبدأ الفحص التمهيدي الدولي قبل انقضاء المهلة المطبقة بناء على القاعدة 54(ثانياً)1(أ)</w:t>
      </w:r>
      <w:r w:rsidRPr="001865B0">
        <w:rPr>
          <w:rtl/>
          <w:lang w:bidi="ar-EG"/>
        </w:rPr>
        <w:t xml:space="preserve"> ما لم يلتمس مودع الطلب صراحة </w:t>
      </w:r>
      <w:r w:rsidR="00F5379C" w:rsidRPr="00F5379C">
        <w:rPr>
          <w:rFonts w:hint="cs"/>
          <w:color w:val="0000FF"/>
          <w:u w:val="single"/>
          <w:rtl/>
        </w:rPr>
        <w:t>إرجاء بدء الفحص التمهيدي الدولي حتى انقضاء المهلة المطبقة بناء على القاعدة</w:t>
      </w:r>
      <w:r w:rsidR="00F5379C" w:rsidRPr="00F5379C">
        <w:rPr>
          <w:rFonts w:hint="eastAsia"/>
          <w:color w:val="0000FF"/>
          <w:u w:val="single"/>
          <w:rtl/>
        </w:rPr>
        <w:t> </w:t>
      </w:r>
      <w:r w:rsidR="00F5379C" w:rsidRPr="00F5379C">
        <w:rPr>
          <w:rFonts w:hint="cs"/>
          <w:color w:val="0000FF"/>
          <w:u w:val="single"/>
          <w:rtl/>
        </w:rPr>
        <w:t>54(ثانيا)1(أ)</w:t>
      </w:r>
      <w:r w:rsidR="00F5379C" w:rsidRPr="00F5379C">
        <w:rPr>
          <w:rFonts w:hint="cs"/>
          <w:strike/>
          <w:color w:val="FF0000"/>
          <w:rtl/>
        </w:rPr>
        <w:t xml:space="preserve"> </w:t>
      </w:r>
      <w:r w:rsidRPr="00F5379C">
        <w:rPr>
          <w:strike/>
          <w:color w:val="FF0000"/>
          <w:rtl/>
          <w:lang w:bidi="ar-EG"/>
        </w:rPr>
        <w:t>بدء الفحص قبل ذلك</w:t>
      </w:r>
      <w:r w:rsidRPr="001865B0">
        <w:rPr>
          <w:rtl/>
          <w:lang w:bidi="ar-EG"/>
        </w:rPr>
        <w:t>.</w:t>
      </w:r>
    </w:p>
    <w:p w:rsidR="001865B0" w:rsidRDefault="00F5379C" w:rsidP="00F5379C">
      <w:pPr>
        <w:pStyle w:val="NormalParaAR"/>
        <w:ind w:left="566"/>
        <w:rPr>
          <w:rtl/>
          <w:lang w:bidi="ar-EG"/>
        </w:rPr>
      </w:pPr>
      <w:r>
        <w:rPr>
          <w:rFonts w:hint="cs"/>
          <w:rtl/>
          <w:lang w:bidi="ar-EG"/>
        </w:rPr>
        <w:t xml:space="preserve">من (ب) إلى </w:t>
      </w:r>
      <w:proofErr w:type="gramStart"/>
      <w:r>
        <w:rPr>
          <w:rFonts w:hint="cs"/>
          <w:rtl/>
          <w:lang w:bidi="ar-EG"/>
        </w:rPr>
        <w:t xml:space="preserve">(ه)  </w:t>
      </w:r>
      <w:r w:rsidRPr="00F5379C">
        <w:rPr>
          <w:rFonts w:hint="cs"/>
          <w:i/>
          <w:iCs/>
          <w:rtl/>
          <w:lang w:bidi="ar-EG"/>
        </w:rPr>
        <w:t>[بدون</w:t>
      </w:r>
      <w:proofErr w:type="gramEnd"/>
      <w:r w:rsidRPr="00F5379C">
        <w:rPr>
          <w:rFonts w:hint="cs"/>
          <w:i/>
          <w:iCs/>
          <w:rtl/>
          <w:lang w:bidi="ar-EG"/>
        </w:rPr>
        <w:t xml:space="preserve"> تغيير]</w:t>
      </w:r>
    </w:p>
    <w:p w:rsidR="00F5379C" w:rsidRDefault="00F5379C" w:rsidP="007A68C4">
      <w:pPr>
        <w:pStyle w:val="NormalParaAR"/>
        <w:spacing w:after="480"/>
        <w:outlineLvl w:val="1"/>
        <w:rPr>
          <w:rtl/>
          <w:lang w:bidi="ar-EG"/>
        </w:rPr>
      </w:pPr>
      <w:bookmarkStart w:id="5" w:name="_Toc515278416"/>
      <w:proofErr w:type="gramStart"/>
      <w:r>
        <w:rPr>
          <w:rFonts w:hint="cs"/>
          <w:rtl/>
          <w:lang w:bidi="ar-EG"/>
        </w:rPr>
        <w:t xml:space="preserve">2.69  </w:t>
      </w:r>
      <w:r w:rsidRPr="00F5379C">
        <w:rPr>
          <w:rFonts w:hint="cs"/>
          <w:i/>
          <w:iCs/>
          <w:rtl/>
          <w:lang w:bidi="ar-EG"/>
        </w:rPr>
        <w:t>[بد</w:t>
      </w:r>
      <w:proofErr w:type="gramEnd"/>
      <w:r w:rsidRPr="00F5379C">
        <w:rPr>
          <w:rFonts w:hint="cs"/>
          <w:i/>
          <w:iCs/>
          <w:rtl/>
          <w:lang w:bidi="ar-EG"/>
        </w:rPr>
        <w:t>ون تغيير]</w:t>
      </w:r>
      <w:bookmarkEnd w:id="5"/>
    </w:p>
    <w:p w:rsidR="00F5379C" w:rsidRPr="009056FD" w:rsidRDefault="007A68C4" w:rsidP="007A68C4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 xml:space="preserve">[نهاية المرفق </w:t>
      </w:r>
      <w:proofErr w:type="gramStart"/>
      <w:r>
        <w:rPr>
          <w:rFonts w:hint="cs"/>
          <w:rtl/>
          <w:lang w:bidi="ar-EG"/>
        </w:rPr>
        <w:t>والوثيقة</w:t>
      </w:r>
      <w:proofErr w:type="gramEnd"/>
      <w:r>
        <w:rPr>
          <w:rFonts w:hint="cs"/>
          <w:rtl/>
          <w:lang w:bidi="ar-EG"/>
        </w:rPr>
        <w:t>]</w:t>
      </w:r>
    </w:p>
    <w:sectPr w:rsidR="00F5379C" w:rsidRPr="009056FD" w:rsidSect="001865B0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A5" w:rsidRDefault="00C00FA5">
      <w:r>
        <w:separator/>
      </w:r>
    </w:p>
  </w:endnote>
  <w:endnote w:type="continuationSeparator" w:id="0">
    <w:p w:rsidR="00C00FA5" w:rsidRDefault="00C0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A5" w:rsidRDefault="00C00FA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00FA5" w:rsidRDefault="00C00FA5" w:rsidP="009622BF">
      <w:pPr>
        <w:bidi/>
      </w:pPr>
      <w:r>
        <w:separator/>
      </w:r>
    </w:p>
  </w:footnote>
  <w:footnote w:id="1">
    <w:p w:rsidR="001865B0" w:rsidRDefault="001865B0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 xml:space="preserve">يُشار إلى حالات الإضافة والحذف، على التوالي، بتسطير النص المعني </w:t>
      </w:r>
      <w:proofErr w:type="gramStart"/>
      <w:r>
        <w:rPr>
          <w:rFonts w:hint="cs"/>
          <w:rtl/>
        </w:rPr>
        <w:t>وشطبه</w:t>
      </w:r>
      <w:proofErr w:type="gramEnd"/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7B3691">
    <w:r>
      <w:t>PCT</w:t>
    </w:r>
    <w:r w:rsidR="00772E46">
      <w:t>/</w:t>
    </w:r>
    <w:r w:rsidR="00C742C5">
      <w:t>WG</w:t>
    </w:r>
    <w:r w:rsidR="002F77FC">
      <w:t>/</w:t>
    </w:r>
    <w:r w:rsidR="00AC3A7A">
      <w:rPr>
        <w:szCs w:val="22"/>
      </w:rPr>
      <w:t>1</w:t>
    </w:r>
    <w:r w:rsidR="007B3691">
      <w:rPr>
        <w:szCs w:val="22"/>
      </w:rPr>
      <w:t>1</w:t>
    </w:r>
    <w:r w:rsidR="006F2038">
      <w:t>/20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D2861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B0" w:rsidRDefault="001865B0" w:rsidP="007B3691">
    <w:r>
      <w:t>PCT/WG/</w:t>
    </w:r>
    <w:r>
      <w:rPr>
        <w:szCs w:val="22"/>
      </w:rPr>
      <w:t>11</w:t>
    </w:r>
    <w:r>
      <w:t>/20</w:t>
    </w:r>
  </w:p>
  <w:p w:rsidR="001865B0" w:rsidRDefault="001865B0" w:rsidP="007B3691">
    <w:r>
      <w:t>Annex</w:t>
    </w:r>
  </w:p>
  <w:p w:rsidR="001865B0" w:rsidRDefault="001865B0" w:rsidP="00D61541">
    <w:r>
      <w:fldChar w:fldCharType="begin"/>
    </w:r>
    <w:r>
      <w:instrText xml:space="preserve"> PAGE  \* MERGEFORMAT </w:instrText>
    </w:r>
    <w:r>
      <w:fldChar w:fldCharType="separate"/>
    </w:r>
    <w:r w:rsidR="004D2861">
      <w:rPr>
        <w:noProof/>
      </w:rPr>
      <w:t>2</w:t>
    </w:r>
    <w:r>
      <w:fldChar w:fldCharType="end"/>
    </w:r>
  </w:p>
  <w:p w:rsidR="001865B0" w:rsidRDefault="001865B0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B0" w:rsidRPr="001865B0" w:rsidRDefault="001865B0" w:rsidP="001865B0">
    <w:pPr>
      <w:pStyle w:val="Header"/>
    </w:pPr>
    <w:r w:rsidRPr="001865B0">
      <w:t>PCT/WG/11/20</w:t>
    </w:r>
  </w:p>
  <w:p w:rsidR="001865B0" w:rsidRDefault="001865B0" w:rsidP="001865B0">
    <w:pPr>
      <w:pStyle w:val="Header"/>
    </w:pPr>
    <w:r>
      <w:t>ANNEX</w:t>
    </w:r>
  </w:p>
  <w:p w:rsidR="001865B0" w:rsidRPr="001865B0" w:rsidRDefault="001865B0" w:rsidP="001865B0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1865B0">
      <w:rPr>
        <w:rFonts w:ascii="Arabic Typesetting" w:hAnsi="Arabic Typesetting" w:cs="Arabic Typesetting"/>
        <w:sz w:val="36"/>
        <w:szCs w:val="36"/>
        <w:rtl/>
      </w:rPr>
      <w:t>المرفق</w:t>
    </w:r>
  </w:p>
  <w:p w:rsidR="001865B0" w:rsidRDefault="001865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A5"/>
    <w:rsid w:val="00002CBE"/>
    <w:rsid w:val="00003232"/>
    <w:rsid w:val="000033DA"/>
    <w:rsid w:val="000041D4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1A5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5B0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17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50"/>
    <w:rsid w:val="002D7EAD"/>
    <w:rsid w:val="002E1169"/>
    <w:rsid w:val="002E1218"/>
    <w:rsid w:val="002E28F3"/>
    <w:rsid w:val="002E3A8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243"/>
    <w:rsid w:val="003C3D89"/>
    <w:rsid w:val="003C3EE2"/>
    <w:rsid w:val="003C4224"/>
    <w:rsid w:val="003C426D"/>
    <w:rsid w:val="003C4877"/>
    <w:rsid w:val="003C4B42"/>
    <w:rsid w:val="003C4E91"/>
    <w:rsid w:val="003C6A0F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1D1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331C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2861"/>
    <w:rsid w:val="004D30CE"/>
    <w:rsid w:val="004D4071"/>
    <w:rsid w:val="004D421A"/>
    <w:rsid w:val="004D4D0C"/>
    <w:rsid w:val="004D6144"/>
    <w:rsid w:val="004D678F"/>
    <w:rsid w:val="004E1264"/>
    <w:rsid w:val="004E1C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3DCB"/>
    <w:rsid w:val="00534AF0"/>
    <w:rsid w:val="00534B7D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32F0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038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16A5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961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68C4"/>
    <w:rsid w:val="007A724D"/>
    <w:rsid w:val="007A749D"/>
    <w:rsid w:val="007A7B37"/>
    <w:rsid w:val="007B024C"/>
    <w:rsid w:val="007B1C4C"/>
    <w:rsid w:val="007B2800"/>
    <w:rsid w:val="007B3691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80B"/>
    <w:rsid w:val="007F6EA4"/>
    <w:rsid w:val="007F6F4E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A0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9C1"/>
    <w:rsid w:val="00837719"/>
    <w:rsid w:val="00837DB0"/>
    <w:rsid w:val="00840419"/>
    <w:rsid w:val="00840A24"/>
    <w:rsid w:val="00840F1B"/>
    <w:rsid w:val="0084117A"/>
    <w:rsid w:val="00842586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819"/>
    <w:rsid w:val="00874F95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4E8C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6F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1C7C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1D9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6A0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F34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A7A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38E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0FA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E7F8E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86E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4F50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3E4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413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5F27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4DBE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79C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056F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/>
      <w:bCs/>
      <w:sz w:val="40"/>
      <w:szCs w:val="40"/>
    </w:rPr>
  </w:style>
  <w:style w:type="paragraph" w:styleId="Heading2">
    <w:name w:val="heading 2"/>
    <w:basedOn w:val="Normal"/>
    <w:next w:val="NormalParaAR"/>
    <w:qFormat/>
    <w:rsid w:val="009056F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056F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ParaAR"/>
    <w:qFormat/>
    <w:rsid w:val="009056F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865B0"/>
    <w:rPr>
      <w:rFonts w:ascii="Arial" w:hAnsi="Arial" w:cs="Arial"/>
      <w:sz w:val="22"/>
    </w:rPr>
  </w:style>
  <w:style w:type="paragraph" w:styleId="TOC1">
    <w:name w:val="toc 1"/>
    <w:basedOn w:val="Normal"/>
    <w:next w:val="Normal"/>
    <w:autoRedefine/>
    <w:uiPriority w:val="39"/>
    <w:rsid w:val="00F5379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5379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537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056F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/>
      <w:bCs/>
      <w:sz w:val="40"/>
      <w:szCs w:val="40"/>
    </w:rPr>
  </w:style>
  <w:style w:type="paragraph" w:styleId="Heading2">
    <w:name w:val="heading 2"/>
    <w:basedOn w:val="Normal"/>
    <w:next w:val="NormalParaAR"/>
    <w:qFormat/>
    <w:rsid w:val="009056F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056F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ParaAR"/>
    <w:qFormat/>
    <w:rsid w:val="009056F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865B0"/>
    <w:rPr>
      <w:rFonts w:ascii="Arial" w:hAnsi="Arial" w:cs="Arial"/>
      <w:sz w:val="22"/>
    </w:rPr>
  </w:style>
  <w:style w:type="paragraph" w:styleId="TOC1">
    <w:name w:val="toc 1"/>
    <w:basedOn w:val="Normal"/>
    <w:next w:val="Normal"/>
    <w:autoRedefine/>
    <w:uiPriority w:val="39"/>
    <w:rsid w:val="00F5379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5379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537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1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17B3-26E0-4D9C-A69C-408F4BA7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PCT_WG_11_AR.dotx</Template>
  <TotalTime>329</TotalTime>
  <Pages>4</Pages>
  <Words>833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PCT/WG/11/20 (Arabic)</vt:lpstr>
    </vt:vector>
  </TitlesOfParts>
  <Company>World Intellectual Property Organization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PCT/WG/11/20 (Arabic)</dc:title>
  <dc:creator>MERZOUK Fawzi</dc:creator>
  <cp:lastModifiedBy>MERZOUK Fawzi</cp:lastModifiedBy>
  <cp:revision>13</cp:revision>
  <cp:lastPrinted>2018-05-28T13:33:00Z</cp:lastPrinted>
  <dcterms:created xsi:type="dcterms:W3CDTF">2018-05-28T07:38:00Z</dcterms:created>
  <dcterms:modified xsi:type="dcterms:W3CDTF">2018-05-28T13:33:00Z</dcterms:modified>
</cp:coreProperties>
</file>