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D33B16">
        <w:tc>
          <w:tcPr>
            <w:tcW w:w="4843" w:type="dxa"/>
            <w:tcBorders>
              <w:bottom w:val="single" w:sz="4" w:space="0" w:color="auto"/>
            </w:tcBorders>
          </w:tcPr>
          <w:p w:rsidR="00D33B16" w:rsidRDefault="00D33B16" w:rsidP="001667B6">
            <w:pPr>
              <w:bidi/>
              <w:rPr>
                <w:rFonts w:ascii="Arabic Typesetting" w:hAnsi="Arabic Typesetting" w:cs="Arabic Typesetting"/>
                <w:sz w:val="36"/>
                <w:szCs w:val="36"/>
              </w:rPr>
            </w:pPr>
          </w:p>
        </w:tc>
        <w:tc>
          <w:tcPr>
            <w:tcW w:w="4223" w:type="dxa"/>
            <w:tcBorders>
              <w:bottom w:val="single" w:sz="4" w:space="0" w:color="auto"/>
            </w:tcBorders>
          </w:tcPr>
          <w:p w:rsidR="00D33B16" w:rsidRDefault="007509E9" w:rsidP="00246E87">
            <w:pPr>
              <w:bidi/>
              <w:spacing w:after="20"/>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7pt;height:98.85pt;visibility:visible">
                  <v:imagedata r:id="rId8" o:title=""/>
                </v:shape>
              </w:pict>
            </w:r>
          </w:p>
        </w:tc>
        <w:tc>
          <w:tcPr>
            <w:tcW w:w="505" w:type="dxa"/>
            <w:tcBorders>
              <w:bottom w:val="single" w:sz="4" w:space="0" w:color="auto"/>
            </w:tcBorders>
          </w:tcPr>
          <w:p w:rsidR="00D33B16" w:rsidRPr="001667B6" w:rsidRDefault="00D33B16" w:rsidP="001667B6">
            <w:pPr>
              <w:rPr>
                <w:b/>
                <w:bCs/>
                <w:sz w:val="40"/>
                <w:szCs w:val="40"/>
              </w:rPr>
            </w:pPr>
            <w:r>
              <w:rPr>
                <w:b/>
                <w:bCs/>
                <w:sz w:val="40"/>
                <w:szCs w:val="40"/>
              </w:rPr>
              <w:t>A</w:t>
            </w:r>
          </w:p>
        </w:tc>
      </w:tr>
      <w:tr w:rsidR="00D33B16">
        <w:trPr>
          <w:trHeight w:val="333"/>
        </w:trPr>
        <w:tc>
          <w:tcPr>
            <w:tcW w:w="9571" w:type="dxa"/>
            <w:gridSpan w:val="3"/>
            <w:tcBorders>
              <w:top w:val="single" w:sz="4" w:space="0" w:color="auto"/>
            </w:tcBorders>
            <w:vAlign w:val="bottom"/>
          </w:tcPr>
          <w:p w:rsidR="00D33B16" w:rsidRPr="00235D3C" w:rsidRDefault="00D33B16" w:rsidP="006C4C61">
            <w:pPr>
              <w:pStyle w:val="DocumentCodeAR"/>
              <w:bidi/>
            </w:pPr>
            <w:r w:rsidRPr="00235D3C">
              <w:t>PCT/WG/10/14</w:t>
            </w:r>
          </w:p>
        </w:tc>
      </w:tr>
      <w:tr w:rsidR="00D33B16">
        <w:tc>
          <w:tcPr>
            <w:tcW w:w="9571" w:type="dxa"/>
            <w:gridSpan w:val="3"/>
          </w:tcPr>
          <w:p w:rsidR="00D33B16" w:rsidRPr="00B6101C" w:rsidRDefault="00D33B16" w:rsidP="006C4C61">
            <w:pPr>
              <w:pStyle w:val="DocumentLanguageAR"/>
              <w:bidi/>
              <w:rPr>
                <w:lang w:bidi="ar-SY"/>
              </w:rPr>
            </w:pPr>
            <w:r>
              <w:rPr>
                <w:rtl/>
              </w:rPr>
              <w:t xml:space="preserve">الأصل: </w:t>
            </w:r>
            <w:proofErr w:type="gramStart"/>
            <w:r>
              <w:rPr>
                <w:rtl/>
              </w:rPr>
              <w:t>بالإنكليزية</w:t>
            </w:r>
            <w:proofErr w:type="gramEnd"/>
          </w:p>
        </w:tc>
      </w:tr>
      <w:tr w:rsidR="00D33B16">
        <w:tc>
          <w:tcPr>
            <w:tcW w:w="9571" w:type="dxa"/>
            <w:gridSpan w:val="3"/>
          </w:tcPr>
          <w:p w:rsidR="00D33B16" w:rsidRPr="00B6101C" w:rsidRDefault="00D33B16" w:rsidP="006C4C61">
            <w:pPr>
              <w:pStyle w:val="DocumentDateAR"/>
              <w:bidi/>
            </w:pPr>
            <w:r w:rsidRPr="00B6101C">
              <w:rPr>
                <w:rtl/>
              </w:rPr>
              <w:t xml:space="preserve">التاريخ: </w:t>
            </w:r>
            <w:r>
              <w:rPr>
                <w:rtl/>
              </w:rPr>
              <w:t xml:space="preserve">4 </w:t>
            </w:r>
            <w:proofErr w:type="gramStart"/>
            <w:r>
              <w:rPr>
                <w:rtl/>
              </w:rPr>
              <w:t>أبريل</w:t>
            </w:r>
            <w:proofErr w:type="gramEnd"/>
            <w:r w:rsidRPr="00B6101C">
              <w:rPr>
                <w:rtl/>
              </w:rPr>
              <w:t xml:space="preserve"> </w:t>
            </w:r>
            <w:r>
              <w:rPr>
                <w:rtl/>
              </w:rPr>
              <w:t>2017</w:t>
            </w:r>
          </w:p>
        </w:tc>
      </w:tr>
    </w:tbl>
    <w:p w:rsidR="00D33B16" w:rsidRDefault="00D33B16" w:rsidP="001667B6">
      <w:pPr>
        <w:bidi/>
        <w:spacing w:line="360" w:lineRule="exact"/>
        <w:rPr>
          <w:rFonts w:ascii="Arabic Typesetting" w:hAnsi="Arabic Typesetting" w:cs="Arabic Typesetting"/>
          <w:sz w:val="36"/>
          <w:szCs w:val="36"/>
          <w:rtl/>
        </w:rPr>
      </w:pPr>
    </w:p>
    <w:p w:rsidR="00D33B16" w:rsidRDefault="00D33B16" w:rsidP="001667B6">
      <w:pPr>
        <w:bidi/>
        <w:spacing w:line="360" w:lineRule="exact"/>
        <w:rPr>
          <w:rFonts w:ascii="Arabic Typesetting" w:hAnsi="Arabic Typesetting" w:cs="Arabic Typesetting"/>
          <w:sz w:val="36"/>
          <w:szCs w:val="36"/>
          <w:rtl/>
        </w:rPr>
      </w:pPr>
    </w:p>
    <w:p w:rsidR="00D33B16" w:rsidRDefault="00D33B16" w:rsidP="00F27305">
      <w:pPr>
        <w:bidi/>
        <w:spacing w:line="360" w:lineRule="exact"/>
        <w:rPr>
          <w:rFonts w:ascii="Arabic Typesetting" w:hAnsi="Arabic Typesetting" w:cs="Arabic Typesetting"/>
          <w:sz w:val="36"/>
          <w:szCs w:val="36"/>
          <w:rtl/>
        </w:rPr>
      </w:pPr>
    </w:p>
    <w:p w:rsidR="00D33B16" w:rsidRDefault="00D33B16"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D33B16" w:rsidRPr="00AB54AE" w:rsidRDefault="00D33B16" w:rsidP="00AB54AE">
      <w:pPr>
        <w:pStyle w:val="MeetingTitleAR"/>
        <w:bidi/>
        <w:ind w:right="550"/>
        <w:rPr>
          <w:rtl/>
        </w:rPr>
      </w:pPr>
      <w:proofErr w:type="gramStart"/>
      <w:r>
        <w:rPr>
          <w:rFonts w:hint="eastAsia"/>
          <w:rtl/>
        </w:rPr>
        <w:t>الفريق</w:t>
      </w:r>
      <w:proofErr w:type="gramEnd"/>
      <w:r>
        <w:rPr>
          <w:rtl/>
        </w:rPr>
        <w:t xml:space="preserve"> </w:t>
      </w:r>
      <w:r>
        <w:rPr>
          <w:rFonts w:hint="eastAsia"/>
          <w:rtl/>
        </w:rPr>
        <w:t>العامل</w:t>
      </w:r>
    </w:p>
    <w:p w:rsidR="00D33B16" w:rsidRDefault="00D33B16" w:rsidP="001667B6">
      <w:pPr>
        <w:bidi/>
        <w:spacing w:line="360" w:lineRule="exact"/>
        <w:rPr>
          <w:rFonts w:ascii="Arabic Typesetting" w:hAnsi="Arabic Typesetting" w:cs="Arabic Typesetting"/>
          <w:sz w:val="36"/>
          <w:szCs w:val="36"/>
          <w:rtl/>
        </w:rPr>
      </w:pPr>
    </w:p>
    <w:p w:rsidR="00D33B16" w:rsidRPr="00783D11" w:rsidRDefault="00D33B16" w:rsidP="00235D3C">
      <w:pPr>
        <w:pStyle w:val="MeetingSessionAR"/>
        <w:bidi/>
        <w:rPr>
          <w:rFonts w:ascii="Cambria Math" w:hAnsi="Cambria Math"/>
          <w:rtl/>
          <w:lang w:bidi="ar-EG"/>
        </w:rPr>
      </w:pPr>
      <w:proofErr w:type="gramStart"/>
      <w:r w:rsidRPr="00783D11">
        <w:rPr>
          <w:rFonts w:ascii="Cambria Math" w:hAnsi="Cambria Math" w:hint="eastAsia"/>
          <w:rtl/>
        </w:rPr>
        <w:t>الدورة</w:t>
      </w:r>
      <w:proofErr w:type="gramEnd"/>
      <w:r w:rsidRPr="00783D11">
        <w:rPr>
          <w:rFonts w:ascii="Cambria Math" w:hAnsi="Cambria Math"/>
          <w:rtl/>
        </w:rPr>
        <w:t xml:space="preserve"> </w:t>
      </w:r>
      <w:r>
        <w:rPr>
          <w:rFonts w:ascii="Cambria Math" w:hAnsi="Cambria Math" w:hint="eastAsia"/>
          <w:rtl/>
          <w:lang w:bidi="ar-EG"/>
        </w:rPr>
        <w:t>العاشرة</w:t>
      </w:r>
    </w:p>
    <w:p w:rsidR="00D33B16" w:rsidRPr="00D61541" w:rsidRDefault="00D33B16" w:rsidP="00235D3C">
      <w:pPr>
        <w:pStyle w:val="MeetingDatesAR"/>
        <w:bidi/>
        <w:rPr>
          <w:rtl/>
        </w:rPr>
      </w:pPr>
      <w:r w:rsidRPr="00D61541">
        <w:rPr>
          <w:rtl/>
        </w:rPr>
        <w:t xml:space="preserve">جنيف، </w:t>
      </w:r>
      <w:proofErr w:type="gramStart"/>
      <w:r w:rsidRPr="00D61541">
        <w:rPr>
          <w:rtl/>
        </w:rPr>
        <w:t>من</w:t>
      </w:r>
      <w:proofErr w:type="gramEnd"/>
      <w:r w:rsidRPr="00D61541">
        <w:rPr>
          <w:rtl/>
        </w:rPr>
        <w:t xml:space="preserve"> </w:t>
      </w:r>
      <w:r>
        <w:rPr>
          <w:rtl/>
        </w:rPr>
        <w:t>8 إلى 12 مايو 2017</w:t>
      </w:r>
    </w:p>
    <w:p w:rsidR="00D33B16" w:rsidRDefault="00D33B16" w:rsidP="00D61541">
      <w:pPr>
        <w:bidi/>
        <w:spacing w:line="360" w:lineRule="exact"/>
        <w:rPr>
          <w:rFonts w:ascii="Arabic Typesetting" w:hAnsi="Arabic Typesetting" w:cs="Arabic Typesetting"/>
          <w:sz w:val="36"/>
          <w:szCs w:val="36"/>
          <w:rtl/>
        </w:rPr>
      </w:pPr>
    </w:p>
    <w:p w:rsidR="00D33B16" w:rsidRDefault="00D33B16" w:rsidP="00D61541">
      <w:pPr>
        <w:bidi/>
        <w:spacing w:line="360" w:lineRule="exact"/>
        <w:rPr>
          <w:rFonts w:ascii="Arabic Typesetting" w:hAnsi="Arabic Typesetting" w:cs="Arabic Typesetting"/>
          <w:sz w:val="36"/>
          <w:szCs w:val="36"/>
          <w:rtl/>
        </w:rPr>
      </w:pPr>
    </w:p>
    <w:p w:rsidR="00D33B16" w:rsidRPr="00235D3C" w:rsidRDefault="00D33B16" w:rsidP="00235D3C">
      <w:pPr>
        <w:pStyle w:val="PreparedbyAR"/>
        <w:bidi/>
        <w:spacing w:before="0" w:after="0"/>
        <w:ind w:right="3119"/>
        <w:rPr>
          <w:rFonts w:ascii="Arial Black" w:hAnsi="Arial Black" w:cs="PT Bold Heading"/>
          <w:i w:val="0"/>
          <w:iCs w:val="0"/>
          <w:sz w:val="26"/>
          <w:szCs w:val="26"/>
          <w:rtl/>
        </w:rPr>
      </w:pPr>
      <w:proofErr w:type="gramStart"/>
      <w:r w:rsidRPr="00235D3C">
        <w:rPr>
          <w:rFonts w:ascii="Arial Black" w:hAnsi="Arial Black" w:cs="PT Bold Heading" w:hint="eastAsia"/>
          <w:i w:val="0"/>
          <w:iCs w:val="0"/>
          <w:sz w:val="26"/>
          <w:szCs w:val="26"/>
          <w:rtl/>
        </w:rPr>
        <w:t>إصدار</w:t>
      </w:r>
      <w:proofErr w:type="gramEnd"/>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رأي</w:t>
      </w:r>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مؤقت</w:t>
      </w:r>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مصاحب</w:t>
      </w:r>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لنتائج</w:t>
      </w:r>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البحث</w:t>
      </w:r>
      <w:r w:rsidRPr="00235D3C">
        <w:rPr>
          <w:rFonts w:ascii="Arial Black" w:hAnsi="Arial Black" w:cs="PT Bold Heading"/>
          <w:i w:val="0"/>
          <w:iCs w:val="0"/>
          <w:sz w:val="26"/>
          <w:szCs w:val="26"/>
          <w:rtl/>
        </w:rPr>
        <w:t xml:space="preserve"> </w:t>
      </w:r>
      <w:r w:rsidRPr="00235D3C">
        <w:rPr>
          <w:rFonts w:ascii="Arial Black" w:hAnsi="Arial Black" w:cs="PT Bold Heading" w:hint="eastAsia"/>
          <w:i w:val="0"/>
          <w:iCs w:val="0"/>
          <w:sz w:val="26"/>
          <w:szCs w:val="26"/>
          <w:rtl/>
        </w:rPr>
        <w:t>الجزئية</w:t>
      </w:r>
    </w:p>
    <w:p w:rsidR="00D33B16" w:rsidRPr="00D61541" w:rsidRDefault="00D33B16" w:rsidP="006C4C61">
      <w:pPr>
        <w:pStyle w:val="PreparedbyAR"/>
        <w:bidi/>
        <w:rPr>
          <w:rtl/>
        </w:rPr>
      </w:pPr>
      <w:r w:rsidRPr="006C4C61">
        <w:rPr>
          <w:rtl/>
        </w:rPr>
        <w:t>وثيقة من إعداد المكتب الأوروبي للبراءات</w:t>
      </w:r>
    </w:p>
    <w:p w:rsidR="00D33B16" w:rsidRDefault="00D33B16" w:rsidP="00A85532">
      <w:pPr>
        <w:pStyle w:val="Heading1AR"/>
      </w:pPr>
      <w:r>
        <w:rPr>
          <w:rtl/>
        </w:rPr>
        <w:t>ملخص</w:t>
      </w:r>
    </w:p>
    <w:p w:rsidR="00D33B16" w:rsidRPr="00235D3C" w:rsidRDefault="00D33B16" w:rsidP="00235D3C">
      <w:pPr>
        <w:pStyle w:val="NumberedParaAR"/>
        <w:rPr>
          <w:lang w:val="fr-CH"/>
        </w:rPr>
      </w:pPr>
      <w:r w:rsidRPr="00235D3C">
        <w:rPr>
          <w:rtl/>
          <w:lang w:val="fr-CH"/>
        </w:rPr>
        <w:t xml:space="preserve">تصف هذه الوثيقة خدمة جديدة في المكتب الأوربي للبراءات استُحدثت في 1 أبريل 2017. </w:t>
      </w:r>
      <w:proofErr w:type="gramStart"/>
      <w:r w:rsidRPr="00235D3C">
        <w:rPr>
          <w:rtl/>
          <w:lang w:val="fr-CH"/>
        </w:rPr>
        <w:t>ففي</w:t>
      </w:r>
      <w:proofErr w:type="gramEnd"/>
      <w:r w:rsidRPr="00235D3C">
        <w:rPr>
          <w:rtl/>
          <w:lang w:val="fr-CH"/>
        </w:rPr>
        <w:t xml:space="preserve"> حالة غياب وحدة الاختراع، يصدر المكتب الأوروبي في نفس وقت إعداد تقرير البحث الدولي بشأن الاختر</w:t>
      </w:r>
      <w:r w:rsidR="008D09D6">
        <w:rPr>
          <w:rtl/>
          <w:lang w:val="fr-CH"/>
        </w:rPr>
        <w:t>اع المذكور أولا في المطالب رأيا مؤقت</w:t>
      </w:r>
      <w:r w:rsidRPr="00235D3C">
        <w:rPr>
          <w:rtl/>
          <w:lang w:val="fr-CH"/>
        </w:rPr>
        <w:t xml:space="preserve">ا حول استحقاق الاختراع للبراءة. </w:t>
      </w:r>
    </w:p>
    <w:p w:rsidR="00D33B16" w:rsidRPr="00235D3C" w:rsidRDefault="00D33B16" w:rsidP="00235D3C">
      <w:pPr>
        <w:pStyle w:val="Heading1AR"/>
      </w:pPr>
      <w:r w:rsidRPr="00235D3C">
        <w:rPr>
          <w:rtl/>
        </w:rPr>
        <w:t>خدمة جديدة في المكتب الأوروبي للبراءات</w:t>
      </w:r>
    </w:p>
    <w:p w:rsidR="00D33B16" w:rsidRPr="00235D3C" w:rsidRDefault="00D33B16" w:rsidP="00235D3C">
      <w:pPr>
        <w:pStyle w:val="NumberedParaAR"/>
        <w:rPr>
          <w:lang w:val="fr-CH"/>
        </w:rPr>
      </w:pPr>
      <w:r w:rsidRPr="00235D3C">
        <w:rPr>
          <w:rtl/>
          <w:lang w:val="fr-CH"/>
        </w:rPr>
        <w:t xml:space="preserve">في 1 أبريل 2017، أطلق المكتب الأوروبي للبراءات بصفته إدارة للبحث الدولي خدمة جديدة ترمي إلى تعزيز جودة منتجات بحثه وشفافية إجراءاته (الإشعار المقدم من المكتب الأوروبي للبراءات المؤرخ 3 مارس 2017 بشأن إصدار رأي مؤقت مصاحب لنتائج البحث الجزئية، </w:t>
      </w:r>
      <w:r w:rsidRPr="00235D3C">
        <w:rPr>
          <w:lang w:val="fr-CH"/>
        </w:rPr>
        <w:t>OJ EPO</w:t>
      </w:r>
      <w:r w:rsidRPr="00235D3C">
        <w:rPr>
          <w:rtl/>
          <w:lang w:val="fr-CH"/>
        </w:rPr>
        <w:t xml:space="preserve"> 2017، </w:t>
      </w:r>
      <w:r w:rsidRPr="00235D3C">
        <w:rPr>
          <w:lang w:val="fr-CH"/>
        </w:rPr>
        <w:t>A20</w:t>
      </w:r>
      <w:r w:rsidRPr="00235D3C">
        <w:rPr>
          <w:rtl/>
          <w:lang w:val="fr-CH"/>
        </w:rPr>
        <w:t>).</w:t>
      </w:r>
      <w:r>
        <w:rPr>
          <w:rtl/>
          <w:lang w:val="fr-CH"/>
        </w:rPr>
        <w:t xml:space="preserve"> </w:t>
      </w:r>
      <w:r w:rsidR="008D09D6">
        <w:rPr>
          <w:rtl/>
          <w:lang w:val="fr-CH"/>
        </w:rPr>
        <w:t>فاعتبار</w:t>
      </w:r>
      <w:r w:rsidRPr="00235D3C">
        <w:rPr>
          <w:rtl/>
          <w:lang w:val="fr-CH"/>
        </w:rPr>
        <w:t>ا من التاريخ المذكور، في حالة غياب وحدة الاختراع، لا يقدم المكتب الأوروبي للبراءات إلى المودعين سوى تقرير بحث دولي جزئي بشأن الاختراع المذكور أولا في المطالب، ولكنه يقدم أيضا رأيا مؤقتا حول استحقاق الاختراع للبراءة.</w:t>
      </w:r>
      <w:r>
        <w:rPr>
          <w:rtl/>
          <w:lang w:val="fr-CH"/>
        </w:rPr>
        <w:t xml:space="preserve"> </w:t>
      </w:r>
      <w:r w:rsidRPr="00235D3C">
        <w:rPr>
          <w:rtl/>
          <w:lang w:val="fr-CH"/>
        </w:rPr>
        <w:t>ويعد التقييم المؤقت لاستحقاق الاختراع الأول للبراءة بمنزلة أرضية مفيدة يقف عليها المودعون الذين عليهم في هذه المرحلة من الإجراءات أن يتخذوا قرارات استراتيجية حول مستقبل طلب البراءة، على سبيل المثال ما إذا كانوا سيدفعون رسوم بحث إضافية أو لا.</w:t>
      </w:r>
      <w:r w:rsidRPr="00235D3C">
        <w:rPr>
          <w:lang w:val="fr-CH"/>
        </w:rPr>
        <w:t xml:space="preserve"> </w:t>
      </w:r>
    </w:p>
    <w:p w:rsidR="00D33B16" w:rsidRPr="00235D3C" w:rsidRDefault="00D33B16" w:rsidP="00235D3C">
      <w:pPr>
        <w:pStyle w:val="NumberedParaAR"/>
        <w:rPr>
          <w:lang w:val="fr-CH"/>
        </w:rPr>
      </w:pPr>
      <w:r w:rsidRPr="00235D3C">
        <w:rPr>
          <w:rtl/>
          <w:lang w:val="fr-CH"/>
        </w:rPr>
        <w:t>ويأتي تقديم هذه الخدمة في إطار جهود المكتب الأوروبي للبراءات المتواصلة للإسهام في تعزيز نظام معاهدة التعاون بشأن البراءات، والتي أدت على سبيل المثال إلى إطلاق برنامج تجريبي في 2015 بشأن تقديم معلومات إضافية حول استراتيجية البحث التي يتبعها الفاحصون (تم تمديده حتى نهاية 2017 ـ</w:t>
      </w:r>
      <w:r>
        <w:rPr>
          <w:rtl/>
          <w:lang w:val="fr-CH"/>
        </w:rPr>
        <w:t xml:space="preserve"> </w:t>
      </w:r>
      <w:r w:rsidRPr="00235D3C">
        <w:rPr>
          <w:lang w:val="fr-CH"/>
        </w:rPr>
        <w:t>2017</w:t>
      </w:r>
      <w:r w:rsidRPr="00235D3C">
        <w:rPr>
          <w:rtl/>
          <w:lang w:val="fr-CH"/>
        </w:rPr>
        <w:t xml:space="preserve"> </w:t>
      </w:r>
      <w:r w:rsidRPr="00235D3C">
        <w:rPr>
          <w:lang w:val="fr-CH"/>
        </w:rPr>
        <w:t>OJ EPO</w:t>
      </w:r>
      <w:r w:rsidRPr="00235D3C">
        <w:rPr>
          <w:rtl/>
          <w:lang w:val="fr-CH"/>
        </w:rPr>
        <w:t xml:space="preserve">، </w:t>
      </w:r>
      <w:r w:rsidRPr="00235D3C">
        <w:rPr>
          <w:lang w:val="fr-CH"/>
        </w:rPr>
        <w:t>A3</w:t>
      </w:r>
      <w:r w:rsidRPr="00235D3C">
        <w:rPr>
          <w:rtl/>
          <w:lang w:val="fr-CH"/>
        </w:rPr>
        <w:t>).</w:t>
      </w:r>
      <w:r>
        <w:rPr>
          <w:rtl/>
          <w:lang w:val="fr-CH"/>
        </w:rPr>
        <w:t xml:space="preserve"> </w:t>
      </w:r>
      <w:r w:rsidRPr="00235D3C">
        <w:rPr>
          <w:rtl/>
          <w:lang w:val="fr-CH"/>
        </w:rPr>
        <w:t xml:space="preserve">ومن الخطوات الأخرى الهامة في هذا الجانب استحداث خدمة </w:t>
      </w:r>
      <w:r w:rsidRPr="00235D3C">
        <w:rPr>
          <w:lang w:val="fr-CH"/>
        </w:rPr>
        <w:t>PCT Direct</w:t>
      </w:r>
      <w:r w:rsidRPr="00235D3C">
        <w:rPr>
          <w:rtl/>
          <w:lang w:val="fr-CH"/>
        </w:rPr>
        <w:t xml:space="preserve">، والتي بموجبها يجوز للمودع الذي يقدم طلبا دوليا يطالب فيه </w:t>
      </w:r>
      <w:r w:rsidRPr="00235D3C">
        <w:rPr>
          <w:rtl/>
          <w:lang w:val="fr-CH"/>
        </w:rPr>
        <w:lastRenderedPageBreak/>
        <w:t>بأولوية طلب سابق يكون المكتب الأوروبي للبراءات قد بحث فيه أن يرد على أي اعتراضات تثار بشأن</w:t>
      </w:r>
      <w:r>
        <w:rPr>
          <w:rtl/>
          <w:lang w:val="fr-CH"/>
        </w:rPr>
        <w:t xml:space="preserve"> </w:t>
      </w:r>
      <w:r w:rsidRPr="00235D3C">
        <w:rPr>
          <w:rtl/>
          <w:lang w:val="fr-CH"/>
        </w:rPr>
        <w:t xml:space="preserve">قرار البحث الذي أُعد لأغراض طلب الأولوية (انظر الوثيقة </w:t>
      </w:r>
      <w:r w:rsidRPr="00235D3C">
        <w:rPr>
          <w:lang w:val="fr-CH"/>
        </w:rPr>
        <w:t>PCT/WG/9/21</w:t>
      </w:r>
      <w:r w:rsidRPr="00235D3C">
        <w:rPr>
          <w:rtl/>
          <w:lang w:val="fr-CH"/>
        </w:rPr>
        <w:t>).</w:t>
      </w:r>
      <w:r>
        <w:rPr>
          <w:rtl/>
          <w:lang w:val="fr-CH"/>
        </w:rPr>
        <w:t xml:space="preserve"> </w:t>
      </w:r>
      <w:proofErr w:type="gramStart"/>
      <w:r w:rsidRPr="00235D3C">
        <w:rPr>
          <w:rtl/>
          <w:lang w:val="fr-CH"/>
        </w:rPr>
        <w:t>وقد</w:t>
      </w:r>
      <w:proofErr w:type="gramEnd"/>
      <w:r w:rsidRPr="00235D3C">
        <w:rPr>
          <w:rtl/>
          <w:lang w:val="fr-CH"/>
        </w:rPr>
        <w:t xml:space="preserve"> عُززت هذه الخدمة أيضا من خلال السماح للفاحصين اعتبارا من 1 أبريل 2017 بالإشارة صراحة إلى خطاب </w:t>
      </w:r>
      <w:r w:rsidRPr="00235D3C">
        <w:rPr>
          <w:lang w:val="fr-CH"/>
        </w:rPr>
        <w:t>PCT Direct</w:t>
      </w:r>
      <w:r w:rsidRPr="00235D3C">
        <w:rPr>
          <w:rtl/>
          <w:lang w:val="fr-CH"/>
        </w:rPr>
        <w:t xml:space="preserve"> في الرأي المكتوب، حيثما كان ذلك مناسبا (</w:t>
      </w:r>
      <w:r w:rsidRPr="00235D3C">
        <w:rPr>
          <w:lang w:val="fr-CH"/>
        </w:rPr>
        <w:t>OJ EPO 2017</w:t>
      </w:r>
      <w:r w:rsidRPr="00235D3C">
        <w:rPr>
          <w:rtl/>
          <w:lang w:val="fr-CH"/>
        </w:rPr>
        <w:t xml:space="preserve">، </w:t>
      </w:r>
      <w:r w:rsidRPr="00235D3C">
        <w:rPr>
          <w:lang w:val="fr-CH"/>
        </w:rPr>
        <w:t>A21</w:t>
      </w:r>
      <w:r w:rsidRPr="00235D3C">
        <w:rPr>
          <w:rtl/>
          <w:lang w:val="fr-CH"/>
        </w:rPr>
        <w:t xml:space="preserve">). </w:t>
      </w:r>
    </w:p>
    <w:p w:rsidR="00D33B16" w:rsidRPr="00235D3C" w:rsidRDefault="00D33B16" w:rsidP="00235D3C">
      <w:pPr>
        <w:pStyle w:val="Heading1AR"/>
      </w:pPr>
      <w:r w:rsidRPr="00235D3C">
        <w:rPr>
          <w:rtl/>
        </w:rPr>
        <w:t xml:space="preserve">المحتوى </w:t>
      </w:r>
      <w:proofErr w:type="gramStart"/>
      <w:r w:rsidRPr="00235D3C">
        <w:rPr>
          <w:rtl/>
        </w:rPr>
        <w:t>والشكل</w:t>
      </w:r>
      <w:proofErr w:type="gramEnd"/>
    </w:p>
    <w:p w:rsidR="00D33B16" w:rsidRPr="00235D3C" w:rsidRDefault="00D33B16" w:rsidP="00235D3C">
      <w:pPr>
        <w:pStyle w:val="NumberedParaAR"/>
        <w:rPr>
          <w:lang w:val="fr-CH"/>
        </w:rPr>
      </w:pPr>
      <w:proofErr w:type="gramStart"/>
      <w:r w:rsidRPr="00235D3C">
        <w:rPr>
          <w:rtl/>
          <w:lang w:val="fr-CH"/>
        </w:rPr>
        <w:t>قبل</w:t>
      </w:r>
      <w:proofErr w:type="gramEnd"/>
      <w:r w:rsidRPr="00235D3C">
        <w:rPr>
          <w:rtl/>
          <w:lang w:val="fr-CH"/>
        </w:rPr>
        <w:t xml:space="preserve"> 1 أبريل 2017، إذا ما تبين غياب وحدة الاختراع في مرحلة البحث، كان المودعون لا يتلقون رأيا مكتوبا لإدارة البحث الدولي حول استحقاق الاختراع للبراءة إلا مع تقرير البحث الدولي "النهائي" (القاعدة 43(ثانيا) 1).</w:t>
      </w:r>
      <w:r>
        <w:rPr>
          <w:rtl/>
          <w:lang w:val="fr-CH"/>
        </w:rPr>
        <w:t xml:space="preserve"> </w:t>
      </w:r>
      <w:r w:rsidRPr="00235D3C">
        <w:rPr>
          <w:rtl/>
          <w:lang w:val="fr-CH"/>
        </w:rPr>
        <w:t xml:space="preserve">ولكن منذ ذلك التاريخ، يرسل المكتب الأوروبي للبراءات رأيا مؤقتا حول استحقاق الاختراع (أو الاختراعات) المذكور أولا في المطالب مع دعوة إلى دفع رسوم إضافية ونتائج البحث الجزئية (النموذج </w:t>
      </w:r>
      <w:r w:rsidRPr="00235D3C">
        <w:rPr>
          <w:lang w:val="fr-CH"/>
        </w:rPr>
        <w:t>PCT/ISA/206</w:t>
      </w:r>
      <w:r w:rsidRPr="00235D3C">
        <w:rPr>
          <w:rtl/>
          <w:lang w:val="fr-CH"/>
        </w:rPr>
        <w:t>) في نموذج جديد للمكتب الأوروبي للبراءات (نموذج المكتب الأوروبي للبراءات 1707).</w:t>
      </w:r>
      <w:r>
        <w:rPr>
          <w:rtl/>
          <w:lang w:val="fr-CH"/>
        </w:rPr>
        <w:t xml:space="preserve"> </w:t>
      </w:r>
      <w:r w:rsidRPr="00235D3C">
        <w:rPr>
          <w:rtl/>
          <w:lang w:val="fr-CH"/>
        </w:rPr>
        <w:t>ونموذج المكتب الأوروبي للبراءات 1707 متاح للعامة عبر وسائل فحص الملفات عبر الإنترنت.</w:t>
      </w:r>
      <w:r w:rsidRPr="00235D3C">
        <w:rPr>
          <w:lang w:val="fr-CH"/>
        </w:rPr>
        <w:t xml:space="preserve"> </w:t>
      </w:r>
    </w:p>
    <w:p w:rsidR="00D33B16" w:rsidRPr="00235D3C" w:rsidRDefault="00D33B16" w:rsidP="00235D3C">
      <w:pPr>
        <w:pStyle w:val="NumberedParaAR"/>
        <w:rPr>
          <w:lang w:val="fr-CH"/>
        </w:rPr>
      </w:pPr>
      <w:proofErr w:type="gramStart"/>
      <w:r w:rsidRPr="00235D3C">
        <w:rPr>
          <w:rtl/>
          <w:lang w:val="fr-CH"/>
        </w:rPr>
        <w:t>ولكن</w:t>
      </w:r>
      <w:proofErr w:type="gramEnd"/>
      <w:r w:rsidRPr="00235D3C">
        <w:rPr>
          <w:rtl/>
          <w:lang w:val="fr-CH"/>
        </w:rPr>
        <w:t xml:space="preserve"> تجدر الإشارة إلى أن الرأي المؤقت يقدم للعلم فقط؛ فلا ينبغي للمودع أن يرسل تعليقات حول النقاط المثارة في الرأي المؤقت، وإن حدث ذلك فلن يأخذ بها الفاحص عند إعداده الرأي المكتوب.</w:t>
      </w:r>
      <w:r>
        <w:rPr>
          <w:rtl/>
          <w:lang w:val="fr-CH"/>
        </w:rPr>
        <w:t xml:space="preserve"> </w:t>
      </w:r>
      <w:r w:rsidRPr="00235D3C">
        <w:rPr>
          <w:rtl/>
          <w:lang w:val="fr-CH"/>
        </w:rPr>
        <w:t xml:space="preserve">ومن ثم فإن أي تعديلات بناء على المادة 19، أو تعليقات مكتوبة غير رسمية أو تعديلات أو حجج أو كليهما بناء على المادة 34 أو ردود بموجب القاعدة 161 </w:t>
      </w:r>
      <w:r w:rsidR="008D09D6">
        <w:rPr>
          <w:rtl/>
          <w:lang w:val="fr-CH"/>
        </w:rPr>
        <w:t xml:space="preserve">من اتفاقية البراءات الأوروبية، </w:t>
      </w:r>
      <w:r w:rsidR="008D09D6">
        <w:rPr>
          <w:rFonts w:hint="cs"/>
          <w:rtl/>
          <w:lang w:val="fr-CH"/>
        </w:rPr>
        <w:t>ي</w:t>
      </w:r>
      <w:bookmarkStart w:id="2" w:name="_GoBack"/>
      <w:bookmarkEnd w:id="2"/>
      <w:r w:rsidRPr="00235D3C">
        <w:rPr>
          <w:rtl/>
          <w:lang w:val="fr-CH"/>
        </w:rPr>
        <w:t>نبغي مواصلة تقديمها بعد تقرير البحث الدولي "النهائي" والرأي المكتوب لإدارة البحث الدولي.</w:t>
      </w:r>
    </w:p>
    <w:p w:rsidR="00D33B16" w:rsidRPr="00235D3C" w:rsidRDefault="00D33B16" w:rsidP="00235D3C">
      <w:pPr>
        <w:pStyle w:val="NumberedParaAR"/>
        <w:rPr>
          <w:lang w:val="fr-CH"/>
        </w:rPr>
      </w:pPr>
      <w:r w:rsidRPr="00235D3C">
        <w:rPr>
          <w:rtl/>
          <w:lang w:val="fr-CH"/>
        </w:rPr>
        <w:t>ولا تشمل هذه الخدمة الإضافية منتجات البحث الصادرة من المكتب الأوروبي للبراءات في المرحلة الدولية فقط ولكنها تنطبق أيضا على البحوث المنفذة في المرحلة الإقليمية سواء بخصوص الطلبات الأوروبية المعتادة (</w:t>
      </w:r>
      <w:r w:rsidRPr="00235D3C">
        <w:rPr>
          <w:lang w:val="fr-CH"/>
        </w:rPr>
        <w:t>Euro-direct</w:t>
      </w:r>
      <w:r w:rsidRPr="00235D3C">
        <w:rPr>
          <w:rtl/>
          <w:lang w:val="fr-CH"/>
        </w:rPr>
        <w:t>) أو الطلبات الأوروبية الخاصة بمعاهدة التعاون بشأن البراءات (</w:t>
      </w:r>
      <w:r w:rsidRPr="00235D3C">
        <w:rPr>
          <w:lang w:val="fr-CH"/>
        </w:rPr>
        <w:t>Euro-PCT</w:t>
      </w:r>
      <w:r w:rsidRPr="00235D3C">
        <w:rPr>
          <w:rtl/>
          <w:lang w:val="fr-CH"/>
        </w:rPr>
        <w:t>).</w:t>
      </w:r>
      <w:r w:rsidRPr="00235D3C">
        <w:rPr>
          <w:lang w:val="fr-CH"/>
        </w:rPr>
        <w:t xml:space="preserve"> </w:t>
      </w:r>
    </w:p>
    <w:p w:rsidR="00D33B16" w:rsidRPr="00235D3C" w:rsidRDefault="00D33B16" w:rsidP="00235D3C">
      <w:pPr>
        <w:pStyle w:val="DecisionParaAR"/>
        <w:ind w:left="5534"/>
      </w:pPr>
      <w:r w:rsidRPr="00235D3C">
        <w:rPr>
          <w:rtl/>
        </w:rPr>
        <w:t xml:space="preserve"> إن الفريق العامل مدعو إلى الإحاطة علما بمضمون هذه الوثيقة.</w:t>
      </w:r>
    </w:p>
    <w:p w:rsidR="00D33B16" w:rsidRPr="00235D3C" w:rsidRDefault="00D33B16" w:rsidP="00235D3C">
      <w:pPr>
        <w:pStyle w:val="DecisionParaAR"/>
        <w:numPr>
          <w:ilvl w:val="0"/>
          <w:numId w:val="0"/>
        </w:numPr>
        <w:ind w:left="5534"/>
      </w:pPr>
    </w:p>
    <w:p w:rsidR="00D33B16" w:rsidRDefault="00D33B16" w:rsidP="003F2DB7">
      <w:pPr>
        <w:pStyle w:val="EndofDocumentAR"/>
        <w:rPr>
          <w:rtl/>
        </w:rPr>
      </w:pPr>
      <w:r w:rsidRPr="00235D3C">
        <w:rPr>
          <w:rtl/>
        </w:rPr>
        <w:t>[</w:t>
      </w:r>
      <w:proofErr w:type="gramStart"/>
      <w:r w:rsidRPr="00235D3C">
        <w:rPr>
          <w:rtl/>
        </w:rPr>
        <w:t>نهاية</w:t>
      </w:r>
      <w:proofErr w:type="gramEnd"/>
      <w:r w:rsidRPr="00235D3C">
        <w:rPr>
          <w:rtl/>
        </w:rPr>
        <w:t xml:space="preserve"> الوثيقة]</w:t>
      </w:r>
    </w:p>
    <w:sectPr w:rsidR="00D33B1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16" w:rsidRDefault="00D33B16">
      <w:r>
        <w:separator/>
      </w:r>
    </w:p>
  </w:endnote>
  <w:endnote w:type="continuationSeparator" w:id="0">
    <w:p w:rsidR="00D33B16" w:rsidRDefault="00D3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16" w:rsidRDefault="00D33B16" w:rsidP="009622BF">
      <w:pPr>
        <w:bidi/>
      </w:pPr>
      <w:bookmarkStart w:id="0" w:name="OLE_LINK1"/>
      <w:bookmarkStart w:id="1" w:name="OLE_LINK2"/>
      <w:r>
        <w:separator/>
      </w:r>
      <w:bookmarkEnd w:id="0"/>
      <w:bookmarkEnd w:id="1"/>
    </w:p>
  </w:footnote>
  <w:footnote w:type="continuationSeparator" w:id="0">
    <w:p w:rsidR="00D33B16" w:rsidRDefault="00D33B1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16" w:rsidRPr="00235D3C" w:rsidRDefault="00D33B16" w:rsidP="001E3F88">
    <w:r w:rsidRPr="00235D3C">
      <w:t>PCT/WG/10/14</w:t>
    </w:r>
  </w:p>
  <w:p w:rsidR="00D33B16" w:rsidRDefault="007509E9" w:rsidP="00D61541">
    <w:r>
      <w:fldChar w:fldCharType="begin"/>
    </w:r>
    <w:r>
      <w:instrText xml:space="preserve"> PAGE \* MERGEFORMAT </w:instrText>
    </w:r>
    <w:r>
      <w:fldChar w:fldCharType="separate"/>
    </w:r>
    <w:r>
      <w:rPr>
        <w:noProof/>
      </w:rPr>
      <w:t>2</w:t>
    </w:r>
    <w:r>
      <w:rPr>
        <w:noProof/>
      </w:rPr>
      <w:fldChar w:fldCharType="end"/>
    </w:r>
  </w:p>
  <w:p w:rsidR="00D33B16" w:rsidRDefault="00D33B1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A572B0C"/>
    <w:multiLevelType w:val="hybridMultilevel"/>
    <w:tmpl w:val="40AA297A"/>
    <w:lvl w:ilvl="0" w:tplc="6BEEFFC6">
      <w:start w:val="1"/>
      <w:numFmt w:val="arabicAbjad"/>
      <w:lvlText w:val="%1)"/>
      <w:lvlJc w:val="left"/>
      <w:pPr>
        <w:ind w:left="720" w:hanging="360"/>
      </w:pPr>
      <w:rPr>
        <w:rFonts w:cs="Times New Roman" w:hint="default"/>
        <w:sz w:val="2"/>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2B5499D"/>
    <w:multiLevelType w:val="hybridMultilevel"/>
    <w:tmpl w:val="56F802B2"/>
    <w:lvl w:ilvl="0" w:tplc="E310825A">
      <w:start w:val="1"/>
      <w:numFmt w:val="arabicAbjad"/>
      <w:lvlText w:val="(%1)"/>
      <w:lvlJc w:val="left"/>
      <w:pPr>
        <w:ind w:left="720" w:hanging="360"/>
      </w:pPr>
      <w:rPr>
        <w:rFonts w:cs="Times New Roman" w:hint="default"/>
        <w:sz w:val="2"/>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2"/>
  </w:num>
  <w:num w:numId="4">
    <w:abstractNumId w:val="17"/>
  </w:num>
  <w:num w:numId="5">
    <w:abstractNumId w:val="11"/>
  </w:num>
  <w:num w:numId="6">
    <w:abstractNumId w:val="20"/>
  </w:num>
  <w:num w:numId="7">
    <w:abstractNumId w:val="8"/>
  </w:num>
  <w:num w:numId="8">
    <w:abstractNumId w:val="21"/>
  </w:num>
  <w:num w:numId="9">
    <w:abstractNumId w:val="15"/>
  </w:num>
  <w:num w:numId="10">
    <w:abstractNumId w:val="19"/>
  </w:num>
  <w:num w:numId="11">
    <w:abstractNumId w:val="18"/>
  </w:num>
  <w:num w:numId="12">
    <w:abstractNumId w:val="22"/>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3"/>
  </w:num>
  <w:num w:numId="24">
    <w:abstractNumId w:val="16"/>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0"/>
  </w:num>
  <w:num w:numId="35">
    <w:abstractNumId w:val="1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C61"/>
    <w:rsid w:val="00002CBE"/>
    <w:rsid w:val="00003232"/>
    <w:rsid w:val="000033DA"/>
    <w:rsid w:val="0000579F"/>
    <w:rsid w:val="0000687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811"/>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55A"/>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5D3C"/>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66E"/>
    <w:rsid w:val="002C014C"/>
    <w:rsid w:val="002C060C"/>
    <w:rsid w:val="002C0BA6"/>
    <w:rsid w:val="002C12A7"/>
    <w:rsid w:val="002C1C4D"/>
    <w:rsid w:val="002C2B6F"/>
    <w:rsid w:val="002C314F"/>
    <w:rsid w:val="002C4AD1"/>
    <w:rsid w:val="002C7D29"/>
    <w:rsid w:val="002D0298"/>
    <w:rsid w:val="002D1662"/>
    <w:rsid w:val="002D1DE5"/>
    <w:rsid w:val="002D3506"/>
    <w:rsid w:val="002D3670"/>
    <w:rsid w:val="002D4807"/>
    <w:rsid w:val="002D5BE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BA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05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1C"/>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D2"/>
    <w:rsid w:val="006C746B"/>
    <w:rsid w:val="006D0636"/>
    <w:rsid w:val="006D06DC"/>
    <w:rsid w:val="006D6E46"/>
    <w:rsid w:val="006D7FA8"/>
    <w:rsid w:val="006E207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3EF"/>
    <w:rsid w:val="0074130E"/>
    <w:rsid w:val="00743937"/>
    <w:rsid w:val="00744889"/>
    <w:rsid w:val="00744910"/>
    <w:rsid w:val="00745BA4"/>
    <w:rsid w:val="00745E8A"/>
    <w:rsid w:val="007462E8"/>
    <w:rsid w:val="00746F2D"/>
    <w:rsid w:val="0074734F"/>
    <w:rsid w:val="00750177"/>
    <w:rsid w:val="0075057F"/>
    <w:rsid w:val="0075066D"/>
    <w:rsid w:val="007509E9"/>
    <w:rsid w:val="00752AEC"/>
    <w:rsid w:val="00752FBA"/>
    <w:rsid w:val="00753324"/>
    <w:rsid w:val="0075458D"/>
    <w:rsid w:val="007554A9"/>
    <w:rsid w:val="007556F5"/>
    <w:rsid w:val="00757105"/>
    <w:rsid w:val="00757B82"/>
    <w:rsid w:val="0076281A"/>
    <w:rsid w:val="00762ADE"/>
    <w:rsid w:val="0076365D"/>
    <w:rsid w:val="007642DC"/>
    <w:rsid w:val="0076525D"/>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7B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9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1CF"/>
    <w:rsid w:val="008C7736"/>
    <w:rsid w:val="008D0948"/>
    <w:rsid w:val="008D09D6"/>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F64"/>
    <w:rsid w:val="00937B8E"/>
    <w:rsid w:val="00940C5B"/>
    <w:rsid w:val="009411F7"/>
    <w:rsid w:val="009417F1"/>
    <w:rsid w:val="00941A84"/>
    <w:rsid w:val="0094204A"/>
    <w:rsid w:val="009425E1"/>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3B"/>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46C"/>
    <w:rsid w:val="009A4F5A"/>
    <w:rsid w:val="009A5C82"/>
    <w:rsid w:val="009A7BB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86E"/>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3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17B"/>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B16"/>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08A"/>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D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6E"/>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F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3F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3FB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3FB7"/>
    <w:rPr>
      <w:rFonts w:asciiTheme="minorHAnsi" w:eastAsiaTheme="minorEastAsia" w:hAnsiTheme="minorHAnsi" w:cstheme="minorBidi"/>
      <w:b/>
      <w:bCs/>
      <w:sz w:val="28"/>
      <w:szCs w:val="28"/>
    </w:rPr>
  </w:style>
  <w:style w:type="paragraph" w:styleId="Header">
    <w:name w:val="header"/>
    <w:basedOn w:val="Normal"/>
    <w:link w:val="HeaderChar"/>
    <w:uiPriority w:val="99"/>
    <w:semiHidden/>
    <w:rsid w:val="00A3386E"/>
    <w:pPr>
      <w:tabs>
        <w:tab w:val="center" w:pos="4536"/>
        <w:tab w:val="right" w:pos="9072"/>
      </w:tabs>
    </w:pPr>
  </w:style>
  <w:style w:type="character" w:customStyle="1" w:styleId="HeaderChar">
    <w:name w:val="Header Char"/>
    <w:basedOn w:val="DefaultParagraphFont"/>
    <w:link w:val="Header"/>
    <w:uiPriority w:val="99"/>
    <w:semiHidden/>
    <w:rsid w:val="00243FB7"/>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243FB7"/>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243FB7"/>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243FB7"/>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243FB7"/>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243FB7"/>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243FB7"/>
    <w:rPr>
      <w:rFonts w:ascii="Arial" w:hAnsi="Arial" w:cs="Arial"/>
      <w:sz w:val="20"/>
      <w:szCs w:val="20"/>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8"/>
      </w:numPr>
    </w:pPr>
  </w:style>
  <w:style w:type="table" w:styleId="TableGrid">
    <w:name w:val="Table Grid"/>
    <w:basedOn w:val="TableNormal"/>
    <w:uiPriority w:val="99"/>
    <w:rsid w:val="001667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ONUME">
    <w:name w:val="ONUM E"/>
    <w:basedOn w:val="BodyText"/>
    <w:uiPriority w:val="99"/>
    <w:rsid w:val="00235D3C"/>
    <w:pPr>
      <w:numPr>
        <w:numId w:val="34"/>
      </w:numPr>
      <w:spacing w:after="220"/>
    </w:pPr>
    <w:rPr>
      <w:rFonts w:eastAsia="SimSun"/>
    </w:rPr>
  </w:style>
  <w:style w:type="paragraph" w:styleId="BodyText">
    <w:name w:val="Body Text"/>
    <w:basedOn w:val="Normal"/>
    <w:link w:val="BodyTextChar"/>
    <w:uiPriority w:val="99"/>
    <w:rsid w:val="00235D3C"/>
    <w:pPr>
      <w:spacing w:after="120"/>
    </w:pPr>
  </w:style>
  <w:style w:type="character" w:customStyle="1" w:styleId="BodyTextChar">
    <w:name w:val="Body Text Char"/>
    <w:basedOn w:val="DefaultParagraphFont"/>
    <w:link w:val="BodyText"/>
    <w:uiPriority w:val="99"/>
    <w:semiHidden/>
    <w:rsid w:val="00243FB7"/>
    <w:rPr>
      <w:rFonts w:ascii="Arial"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505</Words>
  <Characters>2882</Characters>
  <Application>Microsoft Office Word</Application>
  <DocSecurity>0</DocSecurity>
  <Lines>24</Lines>
  <Paragraphs>6</Paragraphs>
  <ScaleCrop>false</ScaleCrop>
  <Company>World Intellectual Property Organization</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subject/>
  <dc:creator>Basel Alakhras</dc:creator>
  <cp:keywords/>
  <dc:description/>
  <cp:lastModifiedBy>YOUSSEF Randa</cp:lastModifiedBy>
  <cp:revision>21</cp:revision>
  <cp:lastPrinted>2017-04-19T10:20:00Z</cp:lastPrinted>
  <dcterms:created xsi:type="dcterms:W3CDTF">2016-04-26T10:22:00Z</dcterms:created>
  <dcterms:modified xsi:type="dcterms:W3CDTF">2017-04-19T10:20:00Z</dcterms:modified>
</cp:coreProperties>
</file>