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4462"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CA23C95" wp14:editId="06FB08B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D56501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EB226BD" w14:textId="66604329"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sidR="007E7D5E">
        <w:rPr>
          <w:rFonts w:ascii="Arial Black" w:hAnsi="Arial Black"/>
          <w:caps/>
          <w:sz w:val="15"/>
          <w:szCs w:val="15"/>
        </w:rPr>
        <w:t>CTC</w:t>
      </w:r>
      <w:r w:rsidR="00D90B96">
        <w:rPr>
          <w:rFonts w:ascii="Arial Black" w:hAnsi="Arial Black"/>
          <w:caps/>
          <w:sz w:val="15"/>
          <w:szCs w:val="15"/>
        </w:rPr>
        <w:t>/</w:t>
      </w:r>
      <w:bookmarkStart w:id="0" w:name="Code"/>
      <w:bookmarkEnd w:id="0"/>
      <w:r w:rsidR="007E7D5E">
        <w:rPr>
          <w:rFonts w:ascii="Arial Black" w:hAnsi="Arial Black"/>
          <w:caps/>
          <w:sz w:val="15"/>
          <w:szCs w:val="15"/>
        </w:rPr>
        <w:t>33</w:t>
      </w:r>
      <w:r>
        <w:rPr>
          <w:rFonts w:ascii="Arial Black" w:hAnsi="Arial Black"/>
          <w:caps/>
          <w:sz w:val="15"/>
          <w:szCs w:val="15"/>
        </w:rPr>
        <w:t>/</w:t>
      </w:r>
      <w:r w:rsidR="002538D5">
        <w:rPr>
          <w:rFonts w:ascii="Arial Black" w:hAnsi="Arial Black"/>
          <w:caps/>
          <w:sz w:val="15"/>
          <w:szCs w:val="15"/>
        </w:rPr>
        <w:t>8</w:t>
      </w:r>
    </w:p>
    <w:p w14:paraId="3384F0E9" w14:textId="16672BE7" w:rsidR="008B2CC1" w:rsidRPr="00200035" w:rsidRDefault="00CC3E2D" w:rsidP="00CC3E2D">
      <w:pPr>
        <w:jc w:val="right"/>
        <w:rPr>
          <w:rFonts w:asciiTheme="minorHAnsi" w:hAnsiTheme="minorHAnsi" w:cstheme="minorHAnsi"/>
          <w:b/>
          <w:bCs/>
          <w:caps/>
          <w:sz w:val="15"/>
          <w:szCs w:val="15"/>
          <w:rtl/>
        </w:rPr>
      </w:pPr>
      <w:bookmarkStart w:id="1" w:name="Original"/>
      <w:r w:rsidRPr="00200035">
        <w:rPr>
          <w:rFonts w:asciiTheme="minorHAnsi" w:hAnsiTheme="minorHAnsi" w:cstheme="minorHAnsi" w:hint="cs"/>
          <w:b/>
          <w:bCs/>
          <w:caps/>
          <w:sz w:val="15"/>
          <w:szCs w:val="15"/>
          <w:rtl/>
        </w:rPr>
        <w:t xml:space="preserve">الأصل: </w:t>
      </w:r>
      <w:r w:rsidR="009D161D">
        <w:rPr>
          <w:rFonts w:asciiTheme="minorHAnsi" w:hAnsiTheme="minorHAnsi" w:cstheme="minorHAnsi" w:hint="cs"/>
          <w:b/>
          <w:bCs/>
          <w:caps/>
          <w:sz w:val="15"/>
          <w:szCs w:val="15"/>
          <w:rtl/>
        </w:rPr>
        <w:t>بالإنكليزية</w:t>
      </w:r>
      <w:r w:rsidR="00BB2118">
        <w:rPr>
          <w:rFonts w:asciiTheme="minorHAnsi" w:hAnsiTheme="minorHAnsi" w:cstheme="minorHAnsi" w:hint="cs"/>
          <w:b/>
          <w:bCs/>
          <w:caps/>
          <w:sz w:val="15"/>
          <w:szCs w:val="15"/>
          <w:rtl/>
        </w:rPr>
        <w:t>/الروسية</w:t>
      </w:r>
    </w:p>
    <w:p w14:paraId="0E1AE2BB" w14:textId="140CCC65" w:rsidR="008B2CC1" w:rsidRPr="00200035" w:rsidRDefault="00CC3E2D" w:rsidP="00CC3E2D">
      <w:pPr>
        <w:spacing w:after="1200"/>
        <w:jc w:val="right"/>
        <w:rPr>
          <w:rFonts w:asciiTheme="minorHAnsi" w:hAnsiTheme="minorHAnsi" w:cstheme="minorHAnsi"/>
          <w:b/>
          <w:bCs/>
          <w:caps/>
          <w:sz w:val="15"/>
          <w:szCs w:val="15"/>
        </w:rPr>
      </w:pPr>
      <w:bookmarkStart w:id="2" w:name="Date"/>
      <w:bookmarkEnd w:id="1"/>
      <w:r w:rsidRPr="00200035">
        <w:rPr>
          <w:rFonts w:asciiTheme="minorHAnsi" w:hAnsiTheme="minorHAnsi" w:cstheme="minorHAnsi" w:hint="cs"/>
          <w:b/>
          <w:bCs/>
          <w:caps/>
          <w:sz w:val="15"/>
          <w:szCs w:val="15"/>
          <w:rtl/>
        </w:rPr>
        <w:t xml:space="preserve">التاريخ: </w:t>
      </w:r>
      <w:r w:rsidR="002538D5">
        <w:rPr>
          <w:rFonts w:asciiTheme="minorHAnsi" w:hAnsiTheme="minorHAnsi" w:cstheme="minorHAnsi" w:hint="cs"/>
          <w:b/>
          <w:bCs/>
          <w:caps/>
          <w:sz w:val="15"/>
          <w:szCs w:val="15"/>
          <w:rtl/>
        </w:rPr>
        <w:t>19</w:t>
      </w:r>
      <w:r w:rsidR="009D161D">
        <w:rPr>
          <w:rFonts w:asciiTheme="minorHAnsi" w:hAnsiTheme="minorHAnsi" w:cstheme="minorHAnsi" w:hint="cs"/>
          <w:b/>
          <w:bCs/>
          <w:caps/>
          <w:sz w:val="15"/>
          <w:szCs w:val="15"/>
          <w:rtl/>
        </w:rPr>
        <w:t xml:space="preserve"> </w:t>
      </w:r>
      <w:r w:rsidR="007F061E">
        <w:rPr>
          <w:rFonts w:asciiTheme="minorHAnsi" w:hAnsiTheme="minorHAnsi" w:cstheme="minorHAnsi" w:hint="cs"/>
          <w:b/>
          <w:bCs/>
          <w:caps/>
          <w:sz w:val="15"/>
          <w:szCs w:val="15"/>
          <w:rtl/>
        </w:rPr>
        <w:t>ديسمبر</w:t>
      </w:r>
      <w:r w:rsidR="009D161D">
        <w:rPr>
          <w:rFonts w:asciiTheme="minorHAnsi" w:hAnsiTheme="minorHAnsi" w:cstheme="minorHAnsi" w:hint="cs"/>
          <w:b/>
          <w:bCs/>
          <w:caps/>
          <w:sz w:val="15"/>
          <w:szCs w:val="15"/>
          <w:rtl/>
        </w:rPr>
        <w:t xml:space="preserve"> </w:t>
      </w:r>
      <w:r w:rsidR="00093892">
        <w:rPr>
          <w:rFonts w:asciiTheme="minorHAnsi" w:hAnsiTheme="minorHAnsi" w:cstheme="minorHAnsi" w:hint="cs"/>
          <w:b/>
          <w:bCs/>
          <w:caps/>
          <w:sz w:val="15"/>
          <w:szCs w:val="15"/>
          <w:rtl/>
        </w:rPr>
        <w:t>2025</w:t>
      </w:r>
    </w:p>
    <w:bookmarkEnd w:id="2"/>
    <w:p w14:paraId="3878C95F" w14:textId="5FD7906D" w:rsidR="008B2CC1" w:rsidRPr="00D67EAE" w:rsidRDefault="007E7D5E" w:rsidP="007E7D5E">
      <w:pPr>
        <w:pStyle w:val="Heading1"/>
        <w:rPr>
          <w:rtl/>
        </w:rPr>
      </w:pPr>
      <w:r>
        <w:rPr>
          <w:rtl/>
        </w:rPr>
        <w:t>معاهدة التعاون بشأن البراءات</w:t>
      </w:r>
      <w:r>
        <w:br/>
      </w:r>
      <w:r>
        <w:rPr>
          <w:rtl/>
        </w:rPr>
        <w:t>اللجنة المعنية بالتعاون التقني</w:t>
      </w:r>
    </w:p>
    <w:p w14:paraId="0CD20626" w14:textId="06F20DFC" w:rsidR="00A90F0A" w:rsidRPr="00D67EAE" w:rsidRDefault="007E7D5E" w:rsidP="00200035">
      <w:pPr>
        <w:outlineLvl w:val="1"/>
        <w:rPr>
          <w:rFonts w:asciiTheme="minorHAnsi" w:hAnsiTheme="minorHAnsi" w:cstheme="minorHAnsi"/>
          <w:bCs/>
          <w:sz w:val="24"/>
          <w:szCs w:val="24"/>
        </w:rPr>
      </w:pPr>
      <w:r w:rsidRPr="007E7D5E">
        <w:rPr>
          <w:rFonts w:asciiTheme="minorHAnsi" w:hAnsiTheme="minorHAnsi"/>
          <w:bCs/>
          <w:sz w:val="24"/>
          <w:szCs w:val="24"/>
          <w:rtl/>
        </w:rPr>
        <w:t>الدورة الثالثة والثلاثون</w:t>
      </w:r>
    </w:p>
    <w:p w14:paraId="7042A1F7" w14:textId="24517F35" w:rsidR="008B2CC1" w:rsidRPr="00D67EAE" w:rsidRDefault="00D67EAE" w:rsidP="002000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093892">
        <w:rPr>
          <w:rFonts w:asciiTheme="minorHAnsi" w:hAnsiTheme="minorHAnsi" w:cstheme="minorHAnsi" w:hint="cs"/>
          <w:bCs/>
          <w:sz w:val="24"/>
          <w:szCs w:val="24"/>
          <w:rtl/>
        </w:rPr>
        <w:t>2</w:t>
      </w:r>
      <w:r w:rsidRPr="00D67EAE">
        <w:rPr>
          <w:rFonts w:asciiTheme="minorHAnsi" w:hAnsiTheme="minorHAnsi" w:cstheme="minorHAnsi" w:hint="cs"/>
          <w:bCs/>
          <w:sz w:val="24"/>
          <w:szCs w:val="24"/>
          <w:rtl/>
        </w:rPr>
        <w:t xml:space="preserve"> إلى </w:t>
      </w:r>
      <w:r w:rsidR="00093892">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w:t>
      </w:r>
      <w:r w:rsidR="00200035">
        <w:rPr>
          <w:rFonts w:asciiTheme="minorHAnsi" w:hAnsiTheme="minorHAnsi" w:cstheme="minorHAnsi" w:hint="cs"/>
          <w:bCs/>
          <w:sz w:val="24"/>
          <w:szCs w:val="24"/>
          <w:rtl/>
        </w:rPr>
        <w:t>فبراي</w:t>
      </w:r>
      <w:r w:rsidR="00B96EB2">
        <w:rPr>
          <w:rFonts w:asciiTheme="minorHAnsi" w:hAnsiTheme="minorHAnsi" w:cstheme="minorHAnsi" w:hint="cs"/>
          <w:bCs/>
          <w:sz w:val="24"/>
          <w:szCs w:val="24"/>
          <w:rtl/>
        </w:rPr>
        <w:t>ر</w:t>
      </w:r>
      <w:r w:rsidR="00250149">
        <w:rPr>
          <w:rFonts w:asciiTheme="minorHAnsi" w:hAnsiTheme="minorHAnsi" w:cstheme="minorHAnsi" w:hint="cs"/>
          <w:bCs/>
          <w:sz w:val="24"/>
          <w:szCs w:val="24"/>
          <w:rtl/>
        </w:rPr>
        <w:t xml:space="preserve"> </w:t>
      </w:r>
      <w:r w:rsidR="001F4309">
        <w:rPr>
          <w:rFonts w:asciiTheme="minorHAnsi" w:hAnsiTheme="minorHAnsi" w:cstheme="minorHAnsi" w:hint="cs"/>
          <w:bCs/>
          <w:sz w:val="24"/>
          <w:szCs w:val="24"/>
          <w:rtl/>
        </w:rPr>
        <w:t>202</w:t>
      </w:r>
      <w:r w:rsidR="00093892">
        <w:rPr>
          <w:rFonts w:asciiTheme="minorHAnsi" w:hAnsiTheme="minorHAnsi" w:cstheme="minorHAnsi" w:hint="cs"/>
          <w:bCs/>
          <w:sz w:val="24"/>
          <w:szCs w:val="24"/>
          <w:rtl/>
        </w:rPr>
        <w:t>6</w:t>
      </w:r>
    </w:p>
    <w:p w14:paraId="474C697B" w14:textId="2DC5C028" w:rsidR="008B2CC1" w:rsidRPr="00D67EAE" w:rsidRDefault="002538D5" w:rsidP="002538D5">
      <w:pPr>
        <w:spacing w:after="360"/>
        <w:outlineLvl w:val="0"/>
        <w:rPr>
          <w:rFonts w:asciiTheme="minorHAnsi" w:hAnsiTheme="minorHAnsi" w:cstheme="minorHAnsi"/>
          <w:caps/>
          <w:sz w:val="24"/>
        </w:rPr>
      </w:pPr>
      <w:bookmarkStart w:id="3" w:name="TitleOfDoc"/>
      <w:r w:rsidRPr="002538D5">
        <w:rPr>
          <w:rFonts w:asciiTheme="minorHAnsi" w:hAnsiTheme="minorHAnsi"/>
          <w:caps/>
          <w:sz w:val="28"/>
          <w:szCs w:val="24"/>
          <w:rtl/>
        </w:rPr>
        <w:t>تمديد تعيين المكتب الأوروبي الآسيوي للبراءات كإدارة للبحث الدولي والفحص التمهيدي الدولي بناءً على معاهدة التعاون بشأن البراءات</w:t>
      </w:r>
    </w:p>
    <w:p w14:paraId="59776B20" w14:textId="3133E461" w:rsidR="002928D3" w:rsidRDefault="007236A1" w:rsidP="001D4107">
      <w:pPr>
        <w:spacing w:after="1040"/>
        <w:rPr>
          <w:rFonts w:asciiTheme="minorHAnsi" w:hAnsiTheme="minorHAnsi" w:cstheme="minorHAnsi"/>
          <w:iCs/>
          <w:rtl/>
        </w:rPr>
      </w:pPr>
      <w:bookmarkStart w:id="4" w:name="Prepared"/>
      <w:bookmarkEnd w:id="3"/>
      <w:bookmarkEnd w:id="4"/>
      <w:r w:rsidRPr="007236A1">
        <w:rPr>
          <w:rFonts w:asciiTheme="minorHAnsi" w:hAnsiTheme="minorHAnsi"/>
          <w:iCs/>
          <w:rtl/>
        </w:rPr>
        <w:t>‏وثيقة من إعداد المكتب الدولي</w:t>
      </w:r>
    </w:p>
    <w:p w14:paraId="3670B808" w14:textId="77777777" w:rsidR="00623113" w:rsidRPr="00623113" w:rsidRDefault="00623113" w:rsidP="00623113">
      <w:pPr>
        <w:pStyle w:val="ONUMA"/>
        <w:rPr>
          <w:rtl/>
          <w:lang w:bidi="ar-EG"/>
        </w:rPr>
      </w:pPr>
      <w:r w:rsidRPr="00623113">
        <w:rPr>
          <w:rFonts w:hint="cs"/>
          <w:rtl/>
          <w:lang w:bidi="ar-EG"/>
        </w:rPr>
        <w:t xml:space="preserve">عينت جمعية معاهدة التعاون بشأن البراءات (جمعية البراءات) كل الإدارات الدولية الحالية لمدة تنتهي في 31 ديسمبر 2027. وقبل انتهاء هذه المدة، سيتعيّن على جمعية البراءات أن تتخذ قراراً بشأن تمديد التعيين لكل إدارة من الإدارات الدولية الحالية التي تلتمس تمديد تعيينها، بعد استشارة هذه اللجنة (انظر المادتين 16(3)(ه) و32 (3) من معاهدة البراءات). وترد في الوثيقة </w:t>
      </w:r>
      <w:r w:rsidRPr="00623113">
        <w:rPr>
          <w:lang w:bidi="ar-EG"/>
        </w:rPr>
        <w:t>PCT/CTC/33/INF/1</w:t>
      </w:r>
      <w:r w:rsidRPr="00623113">
        <w:rPr>
          <w:rFonts w:hint="cs"/>
          <w:rtl/>
          <w:lang w:bidi="ar-EG"/>
        </w:rPr>
        <w:t xml:space="preserve"> معلومات عن هذه العملية ودور اللجنة فيها.</w:t>
      </w:r>
    </w:p>
    <w:p w14:paraId="1D50CF8B" w14:textId="77777777" w:rsidR="00623113" w:rsidRPr="00623113" w:rsidRDefault="00623113" w:rsidP="00623113">
      <w:pPr>
        <w:pStyle w:val="ONUMA"/>
        <w:rPr>
          <w:rtl/>
          <w:lang w:bidi="ar-EG"/>
        </w:rPr>
      </w:pPr>
      <w:r w:rsidRPr="00623113">
        <w:rPr>
          <w:rFonts w:hint="cs"/>
          <w:rtl/>
          <w:lang w:bidi="ar-EG"/>
        </w:rPr>
        <w:t>وفي 24 نوفمبر 2025، تقدّم المكتب الأوروبي الآسيوي للبراءات بطلبه لتمديد تعيينه، ويرد طلبه في مرفق هذه الوثيقة.</w:t>
      </w:r>
    </w:p>
    <w:p w14:paraId="4036C9A8" w14:textId="77777777" w:rsidR="00623113" w:rsidRPr="00623113" w:rsidRDefault="00623113" w:rsidP="00623113">
      <w:pPr>
        <w:pStyle w:val="ONUMA"/>
        <w:ind w:left="5527"/>
        <w:rPr>
          <w:i/>
          <w:iCs/>
          <w:rtl/>
          <w:lang w:bidi="ar-EG"/>
        </w:rPr>
      </w:pPr>
      <w:r w:rsidRPr="00623113">
        <w:rPr>
          <w:rFonts w:hint="cs"/>
          <w:i/>
          <w:iCs/>
          <w:rtl/>
          <w:lang w:bidi="ar-EG"/>
        </w:rPr>
        <w:t>إن اللجنة مدعوة إلى إسداء المشورة في هذا الأمر.</w:t>
      </w:r>
    </w:p>
    <w:p w14:paraId="0CBCD122" w14:textId="3AD8F273" w:rsidR="007F061E" w:rsidRDefault="007F061E" w:rsidP="00320C70">
      <w:pPr>
        <w:pStyle w:val="ONUMA"/>
        <w:numPr>
          <w:ilvl w:val="0"/>
          <w:numId w:val="0"/>
        </w:numPr>
        <w:rPr>
          <w:lang w:bidi="ar-EG"/>
        </w:rPr>
      </w:pPr>
    </w:p>
    <w:p w14:paraId="47C07450" w14:textId="77777777" w:rsidR="000A1D9D" w:rsidRDefault="00320C70" w:rsidP="000A1D9D">
      <w:pPr>
        <w:spacing w:before="480"/>
        <w:ind w:left="5534"/>
        <w:rPr>
          <w:lang w:bidi="ar-EG"/>
        </w:rPr>
      </w:pPr>
      <w:r>
        <w:rPr>
          <w:rtl/>
          <w:lang w:bidi="ar-EG"/>
        </w:rPr>
        <w:t>[يلي ذلك المرفق]</w:t>
      </w:r>
    </w:p>
    <w:p w14:paraId="14844909" w14:textId="77777777" w:rsidR="00331E76" w:rsidRDefault="00331E76" w:rsidP="00331E76">
      <w:pPr>
        <w:pStyle w:val="BodyText"/>
        <w:rPr>
          <w:rtl/>
          <w:lang w:bidi="ar-EG"/>
        </w:rPr>
        <w:sectPr w:rsidR="00331E76"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p>
    <w:p w14:paraId="3F281166" w14:textId="77777777" w:rsidR="004A2957" w:rsidRPr="004A2957" w:rsidRDefault="004A2957" w:rsidP="004A2957">
      <w:pPr>
        <w:spacing w:after="100" w:afterAutospacing="1"/>
        <w:jc w:val="center"/>
        <w:outlineLvl w:val="0"/>
        <w:rPr>
          <w:rFonts w:ascii="Calibri" w:hAnsi="Calibri"/>
          <w:b/>
          <w:bCs/>
          <w:caps/>
          <w:rtl/>
          <w:lang w:bidi="ar-EG"/>
        </w:rPr>
      </w:pPr>
      <w:r w:rsidRPr="004A2957">
        <w:rPr>
          <w:rFonts w:ascii="Calibri" w:hAnsi="Calibri" w:hint="cs"/>
          <w:b/>
          <w:bCs/>
          <w:caps/>
          <w:rtl/>
          <w:lang w:bidi="ar-EG"/>
        </w:rPr>
        <w:lastRenderedPageBreak/>
        <w:t>طلب تمديد التعيين كإدارة للبحث الدولي والفحص التمهيدي الدولي بناءً على معاهدة التعاون بشأن البراءات</w:t>
      </w:r>
    </w:p>
    <w:p w14:paraId="7F30464D" w14:textId="47798A25" w:rsidR="004A2957" w:rsidRPr="004A2957" w:rsidRDefault="004A2957" w:rsidP="00BB2118">
      <w:pPr>
        <w:keepNext/>
        <w:keepLines/>
        <w:pBdr>
          <w:top w:val="single" w:sz="4" w:space="1" w:color="auto"/>
        </w:pBdr>
        <w:spacing w:before="360" w:after="200"/>
        <w:outlineLvl w:val="2"/>
        <w:rPr>
          <w:rFonts w:ascii="Calibri" w:eastAsia="Times New Roman" w:hAnsi="Calibri"/>
          <w:b/>
          <w:bCs/>
          <w:caps/>
          <w:rtl/>
          <w:lang w:bidi="ar-EG"/>
        </w:rPr>
      </w:pPr>
      <w:r w:rsidRPr="004A2957">
        <w:rPr>
          <w:rFonts w:ascii="Calibri" w:eastAsia="Times New Roman" w:hAnsi="Calibri"/>
          <w:b/>
          <w:bCs/>
          <w:caps/>
          <w:rtl/>
          <w:lang w:bidi="ar-EG"/>
        </w:rPr>
        <w:t>1– معلومات عامة</w:t>
      </w:r>
    </w:p>
    <w:p w14:paraId="7A05E66A" w14:textId="77777777" w:rsidR="004A2957" w:rsidRPr="00BB2118" w:rsidRDefault="004A2957" w:rsidP="00BB2118">
      <w:pPr>
        <w:pStyle w:val="Heading3"/>
        <w:rPr>
          <w:rtl/>
        </w:rPr>
      </w:pPr>
      <w:r w:rsidRPr="00BB2118">
        <w:rPr>
          <w:rFonts w:hint="cs"/>
          <w:rtl/>
        </w:rPr>
        <w:t>(أ)</w:t>
      </w:r>
      <w:r w:rsidRPr="00BB2118">
        <w:rPr>
          <w:rFonts w:hint="cs"/>
          <w:rtl/>
        </w:rPr>
        <w:tab/>
        <w:t>اسم المكتب أو المنظمة الحكومية الدولية:</w:t>
      </w:r>
    </w:p>
    <w:p w14:paraId="4F6566D2" w14:textId="77777777" w:rsidR="004A2957" w:rsidRPr="004A2957" w:rsidRDefault="004A2957" w:rsidP="004A2957">
      <w:pPr>
        <w:spacing w:after="220"/>
        <w:rPr>
          <w:rFonts w:ascii="Calibri" w:hAnsi="Calibri"/>
          <w:rtl/>
          <w:lang w:bidi="ar-EG"/>
        </w:rPr>
      </w:pPr>
      <w:r w:rsidRPr="004A2957">
        <w:rPr>
          <w:rFonts w:ascii="Calibri" w:hAnsi="Calibri"/>
          <w:rtl/>
          <w:lang w:bidi="ar-EG"/>
        </w:rPr>
        <w:t>المكتب الأوروبي الآسيوي للبراءات التابع للمنظمة الأوروبية الآسيوية للبراءات (</w:t>
      </w:r>
      <w:r w:rsidRPr="004A2957">
        <w:rPr>
          <w:rFonts w:ascii="Calibri" w:hAnsi="Calibri"/>
          <w:lang w:bidi="ar-EG"/>
        </w:rPr>
        <w:t>EAPO</w:t>
      </w:r>
      <w:r w:rsidRPr="004A2957">
        <w:rPr>
          <w:rFonts w:ascii="Calibri" w:hAnsi="Calibri"/>
          <w:rtl/>
          <w:lang w:bidi="ar-EG"/>
        </w:rPr>
        <w:t>)</w:t>
      </w:r>
    </w:p>
    <w:p w14:paraId="002658F0" w14:textId="77777777" w:rsidR="004A2957" w:rsidRPr="004A2957" w:rsidRDefault="004A2957" w:rsidP="00BB2118">
      <w:pPr>
        <w:pStyle w:val="Heading3"/>
        <w:rPr>
          <w:rtl/>
        </w:rPr>
      </w:pPr>
      <w:r w:rsidRPr="004A2957">
        <w:t>‎</w:t>
      </w:r>
      <w:r w:rsidRPr="004A2957">
        <w:rPr>
          <w:rtl/>
        </w:rPr>
        <w:t xml:space="preserve">(ب) </w:t>
      </w:r>
      <w:r w:rsidRPr="004A2957">
        <w:t>‎</w:t>
      </w:r>
      <w:r w:rsidRPr="004A2957">
        <w:rPr>
          <w:rtl/>
        </w:rPr>
        <w:t>اسم المسؤول وتفاصيل الاتصال به لتقديم أي استفسارات بشأن هذا الطلب:</w:t>
      </w:r>
    </w:p>
    <w:p w14:paraId="5A2EB013" w14:textId="77777777" w:rsidR="004A2957" w:rsidRPr="004A2957" w:rsidRDefault="004A2957" w:rsidP="004A2957">
      <w:pPr>
        <w:spacing w:after="220"/>
        <w:rPr>
          <w:rFonts w:ascii="Calibri" w:hAnsi="Calibri"/>
          <w:rtl/>
          <w:lang w:bidi="ar-EG"/>
        </w:rPr>
      </w:pPr>
      <w:r w:rsidRPr="004A2957">
        <w:rPr>
          <w:rFonts w:ascii="Calibri" w:hAnsi="Calibri"/>
          <w:rtl/>
          <w:lang w:bidi="ar-EG"/>
        </w:rPr>
        <w:t>السيدة غالينا أليكسيفنا ميخيفا، نائبة رئيس إدارة الشؤون التنظيمية والقانونية، ورئيسة شعبة العلاقات الدولية</w:t>
      </w:r>
    </w:p>
    <w:p w14:paraId="4C25AE48" w14:textId="1448ADB7" w:rsidR="004A2957" w:rsidRPr="004A2957" w:rsidRDefault="004A2957" w:rsidP="004A2957">
      <w:pPr>
        <w:spacing w:after="220"/>
        <w:rPr>
          <w:rFonts w:ascii="Calibri" w:hAnsi="Calibri"/>
          <w:rtl/>
          <w:lang w:bidi="ar-EG"/>
        </w:rPr>
      </w:pPr>
      <w:r w:rsidRPr="004A2957">
        <w:rPr>
          <w:rFonts w:ascii="Calibri" w:hAnsi="Calibri"/>
          <w:rtl/>
          <w:lang w:bidi="ar-EG"/>
        </w:rPr>
        <w:t xml:space="preserve">البريد الإلكتروني: </w:t>
      </w:r>
      <w:r w:rsidRPr="004A2957">
        <w:rPr>
          <w:rFonts w:ascii="Calibri" w:hAnsi="Calibri"/>
          <w:color w:val="0000FF" w:themeColor="hyperlink"/>
          <w:u w:val="single"/>
          <w:lang w:bidi="ar-EG"/>
        </w:rPr>
        <w:t>gmikheeva@eapo.org</w:t>
      </w:r>
    </w:p>
    <w:p w14:paraId="5C9BDF2A" w14:textId="77777777" w:rsidR="004A2957" w:rsidRPr="004A2957" w:rsidRDefault="004A2957" w:rsidP="004A2957">
      <w:pPr>
        <w:spacing w:after="220"/>
        <w:rPr>
          <w:rFonts w:ascii="Calibri" w:hAnsi="Calibri"/>
          <w:rtl/>
          <w:lang w:bidi="ar-EG"/>
        </w:rPr>
      </w:pPr>
      <w:r w:rsidRPr="004A2957">
        <w:rPr>
          <w:rFonts w:ascii="Calibri" w:hAnsi="Calibri"/>
          <w:rtl/>
          <w:lang w:bidi="ar-EG"/>
        </w:rPr>
        <w:t xml:space="preserve">الهاتف: </w:t>
      </w:r>
      <w:r w:rsidRPr="004A2957">
        <w:rPr>
          <w:rFonts w:ascii="Calibri" w:hAnsi="Calibri"/>
          <w:lang w:bidi="ar-EG"/>
        </w:rPr>
        <w:t>‎+7 495 4116161 ‎(‎108‎)‎</w:t>
      </w:r>
    </w:p>
    <w:p w14:paraId="62CD3462" w14:textId="77777777" w:rsidR="004A2957" w:rsidRPr="004A2957" w:rsidRDefault="004A2957" w:rsidP="00BB2118">
      <w:pPr>
        <w:pStyle w:val="Heading3"/>
        <w:rPr>
          <w:rtl/>
        </w:rPr>
      </w:pPr>
      <w:r w:rsidRPr="004A2957">
        <w:t>‎</w:t>
      </w:r>
      <w:r w:rsidRPr="004A2957">
        <w:rPr>
          <w:rtl/>
        </w:rPr>
        <w:t xml:space="preserve">(ج) </w:t>
      </w:r>
      <w:r w:rsidRPr="004A2957">
        <w:t>‎</w:t>
      </w:r>
      <w:r w:rsidRPr="004A2957">
        <w:rPr>
          <w:rtl/>
        </w:rPr>
        <w:t>التاريخ الذي تسلم فيه المدير العام طلب التعيين:</w:t>
      </w:r>
    </w:p>
    <w:p w14:paraId="755F838B" w14:textId="77777777" w:rsidR="004A2957" w:rsidRPr="004A2957" w:rsidRDefault="004A2957" w:rsidP="004A2957">
      <w:pPr>
        <w:spacing w:after="220"/>
        <w:ind w:left="567"/>
        <w:rPr>
          <w:rFonts w:ascii="Calibri" w:hAnsi="Calibri"/>
          <w:i/>
          <w:rtl/>
          <w:lang w:bidi="ar-EG"/>
        </w:rPr>
      </w:pPr>
      <w:bookmarkStart w:id="5" w:name="_Hlk215569136"/>
      <w:r w:rsidRPr="004A2957">
        <w:rPr>
          <w:rFonts w:ascii="Calibri" w:hAnsi="Calibri"/>
          <w:rtl/>
          <w:lang w:bidi="ar-EG"/>
        </w:rPr>
        <w:t>24 نوفمبر 2025</w:t>
      </w:r>
      <w:bookmarkEnd w:id="5"/>
    </w:p>
    <w:p w14:paraId="6C465392" w14:textId="6AF1B349" w:rsidR="004A2957" w:rsidRPr="004A2957" w:rsidRDefault="004A2957" w:rsidP="00BB2118">
      <w:pPr>
        <w:keepNext/>
        <w:keepLines/>
        <w:pBdr>
          <w:top w:val="single" w:sz="4" w:space="1" w:color="auto"/>
        </w:pBdr>
        <w:spacing w:before="360" w:after="200"/>
        <w:outlineLvl w:val="2"/>
        <w:rPr>
          <w:rFonts w:ascii="Calibri" w:eastAsia="Times New Roman" w:hAnsi="Calibri"/>
          <w:b/>
          <w:bCs/>
          <w:caps/>
          <w:rtl/>
          <w:lang w:bidi="ar-EG"/>
        </w:rPr>
      </w:pPr>
      <w:r w:rsidRPr="004A2957">
        <w:rPr>
          <w:rFonts w:ascii="Calibri" w:eastAsia="Times New Roman" w:hAnsi="Calibri"/>
          <w:b/>
          <w:bCs/>
          <w:caps/>
          <w:rtl/>
          <w:lang w:bidi="ar-EG"/>
        </w:rPr>
        <w:t>2- متطلبات التعيين الدنيا</w:t>
      </w:r>
    </w:p>
    <w:p w14:paraId="6100ED6A" w14:textId="71473623" w:rsidR="004A2957" w:rsidRPr="004A2957" w:rsidRDefault="004A2957" w:rsidP="00BB2118">
      <w:pPr>
        <w:pStyle w:val="BodyText"/>
        <w:rPr>
          <w:rtl/>
          <w:lang w:bidi="ar-EG"/>
        </w:rPr>
      </w:pPr>
      <w:r w:rsidRPr="004A2957">
        <w:rPr>
          <w:rtl/>
          <w:lang w:bidi="ar-EG"/>
        </w:rPr>
        <w:t>إضافة إلى التقرير السنوي عن نظام إدارة الجودة الذي أعده المكتب الأوروبي الآسيوي للبراءات لعام 2025 ("تقرير نظام إدارة الجودة"،</w:t>
      </w:r>
      <w:r w:rsidR="00BB2118">
        <w:rPr>
          <w:rFonts w:hint="cs"/>
          <w:rtl/>
          <w:lang w:bidi="ar-EG"/>
        </w:rPr>
        <w:t xml:space="preserve"> (</w:t>
      </w:r>
      <w:hyperlink r:id="rId18" w:anchor="EA)" w:history="1">
        <w:r w:rsidR="00BB2118" w:rsidRPr="00386628">
          <w:rPr>
            <w:rStyle w:val="Hyperlink"/>
            <w:lang w:bidi="ar-EG"/>
          </w:rPr>
          <w:t>https://www.wipo.int/en/web/pct-system/quality/authorities#EA</w:t>
        </w:r>
      </w:hyperlink>
      <w:r w:rsidRPr="004A2957">
        <w:rPr>
          <w:rtl/>
          <w:lang w:bidi="ar-EG"/>
        </w:rPr>
        <w:t>)</w:t>
      </w:r>
      <w:r w:rsidR="00BB2118">
        <w:rPr>
          <w:rFonts w:hint="cs"/>
          <w:rtl/>
          <w:lang w:bidi="ar-EG"/>
        </w:rPr>
        <w:t>)</w:t>
      </w:r>
      <w:r w:rsidRPr="004A2957">
        <w:rPr>
          <w:rtl/>
          <w:lang w:bidi="ar-EG"/>
        </w:rPr>
        <w:t>، وفقاً للفقرتين 31.21 و32.21 من المبادئ التوجيهية للبحث الدولي والفحص التمهيدي الدولي ("المبادئ التوجيهية")، يتعين على المكتب أن يقدم المعلومات التالية.</w:t>
      </w:r>
    </w:p>
    <w:p w14:paraId="7BA0F291" w14:textId="50EEA6D8" w:rsidR="004A2957" w:rsidRPr="004A2957" w:rsidRDefault="00BB2118" w:rsidP="00BB2118">
      <w:pPr>
        <w:keepNext/>
        <w:keepLines/>
        <w:pBdr>
          <w:top w:val="single" w:sz="4" w:space="1" w:color="auto"/>
        </w:pBdr>
        <w:spacing w:before="360" w:after="200"/>
        <w:outlineLvl w:val="2"/>
        <w:rPr>
          <w:rFonts w:ascii="Calibri" w:eastAsia="Times New Roman" w:hAnsi="Calibri"/>
          <w:b/>
          <w:bCs/>
          <w:caps/>
          <w:rtl/>
          <w:lang w:bidi="ar-EG"/>
        </w:rPr>
      </w:pPr>
      <w:r w:rsidRPr="00BB2118">
        <w:rPr>
          <w:rFonts w:ascii="Calibri" w:eastAsia="Times New Roman" w:hAnsi="Calibri" w:hint="cs"/>
          <w:b/>
          <w:bCs/>
          <w:caps/>
          <w:rtl/>
          <w:lang w:bidi="ar-EG"/>
        </w:rPr>
        <w:t>1.2</w:t>
      </w:r>
      <w:r w:rsidR="004A2957" w:rsidRPr="004A2957">
        <w:rPr>
          <w:rFonts w:ascii="Calibri" w:eastAsia="Times New Roman" w:hAnsi="Calibri"/>
          <w:b/>
          <w:bCs/>
          <w:caps/>
          <w:rtl/>
          <w:lang w:bidi="ar-EG"/>
        </w:rPr>
        <w:t>- الكفاءات في مجال البحث والفحص</w:t>
      </w:r>
    </w:p>
    <w:p w14:paraId="68869691" w14:textId="77777777" w:rsidR="004A2957" w:rsidRPr="004A2957" w:rsidRDefault="004A2957" w:rsidP="004A2957">
      <w:pPr>
        <w:keepNext/>
        <w:keepLines/>
        <w:spacing w:after="240"/>
        <w:ind w:left="567" w:right="567"/>
        <w:rPr>
          <w:rFonts w:ascii="Calibri" w:hAnsi="Calibri"/>
          <w:i/>
          <w:iCs/>
          <w:rtl/>
          <w:lang w:bidi="ar-EG"/>
        </w:rPr>
      </w:pPr>
      <w:r w:rsidRPr="004A2957">
        <w:rPr>
          <w:rFonts w:ascii="Calibri" w:hAnsi="Calibri"/>
          <w:i/>
          <w:iCs/>
          <w:rtl/>
          <w:lang w:bidi="ar-EG"/>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0E4B161D" w14:textId="02CCEE29" w:rsidR="004A2957" w:rsidRPr="004A2957" w:rsidRDefault="004A2957" w:rsidP="00BB2118">
      <w:pPr>
        <w:pStyle w:val="BodyText"/>
        <w:rPr>
          <w:rtl/>
          <w:lang w:bidi="ar-EG"/>
        </w:rPr>
      </w:pPr>
      <w:r w:rsidRPr="004A2957">
        <w:rPr>
          <w:rtl/>
          <w:lang w:bidi="ar-EG"/>
        </w:rPr>
        <w:t>يقدم تقرير نظام إدارة الجودة معلومات من الإدارة بشأن البنية التحتية الموجودة لديها لضمان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 وتُدرج الإدارة أيضاً المعلومات التالية عن أعداد الموظفين المؤهلين لإجراء عمليات البحث والفحص</w:t>
      </w:r>
      <w:r w:rsidR="00BB2118">
        <w:rPr>
          <w:rtl/>
          <w:lang w:bidi="ar-EG"/>
        </w:rPr>
        <w:t xml:space="preserve">. </w:t>
      </w:r>
      <w:r w:rsidRPr="004A2957">
        <w:rPr>
          <w:rtl/>
          <w:lang w:bidi="ar-EG"/>
        </w:rPr>
        <w:t xml:space="preserve"> </w:t>
      </w:r>
    </w:p>
    <w:p w14:paraId="719C1D6A" w14:textId="77777777" w:rsidR="004A2957" w:rsidRPr="004A2957" w:rsidRDefault="004A2957" w:rsidP="004A2957">
      <w:pPr>
        <w:keepNext/>
        <w:keepLines/>
        <w:spacing w:after="480"/>
        <w:rPr>
          <w:rFonts w:ascii="Calibri" w:hAnsi="Calibri"/>
          <w:b/>
          <w:bCs/>
          <w:rtl/>
          <w:lang w:bidi="ar-EG"/>
        </w:rPr>
      </w:pPr>
      <w:r w:rsidRPr="004A2957">
        <w:rPr>
          <w:rFonts w:ascii="Calibri" w:hAnsi="Calibri"/>
          <w:b/>
          <w:bCs/>
          <w:rtl/>
          <w:lang w:bidi="ar-EG"/>
        </w:rPr>
        <w:t>الموظفون المؤهلون لإجراء البحث والفحص:</w:t>
      </w:r>
    </w:p>
    <w:tbl>
      <w:tblPr>
        <w:bidiVisual/>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5"/>
        <w:gridCol w:w="2025"/>
        <w:gridCol w:w="2389"/>
      </w:tblGrid>
      <w:tr w:rsidR="001B48FB" w:rsidRPr="004A2957" w14:paraId="37C12054" w14:textId="77777777" w:rsidTr="001B48FB">
        <w:trPr>
          <w:cantSplit/>
          <w:trHeight w:val="79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31CBA3" w14:textId="77777777" w:rsidR="001B48FB" w:rsidRPr="004A2957" w:rsidRDefault="001B48FB" w:rsidP="001B48FB">
            <w:pPr>
              <w:spacing w:after="120"/>
              <w:ind w:left="567"/>
              <w:jc w:val="center"/>
              <w:rPr>
                <w:rFonts w:ascii="Calibri" w:hAnsi="Calibri"/>
                <w:b/>
                <w:bCs/>
                <w:rtl/>
                <w:lang w:bidi="ar-EG"/>
              </w:rPr>
            </w:pPr>
            <w:r w:rsidRPr="004A2957">
              <w:rPr>
                <w:rFonts w:ascii="Calibri" w:hAnsi="Calibri"/>
                <w:b/>
                <w:bCs/>
                <w:rtl/>
                <w:lang w:bidi="ar-EG"/>
              </w:rPr>
              <w:t>المجال التقني</w:t>
            </w:r>
          </w:p>
        </w:tc>
        <w:tc>
          <w:tcPr>
            <w:tcW w:w="0" w:type="auto"/>
            <w:tcBorders>
              <w:top w:val="single" w:sz="4" w:space="0" w:color="auto"/>
              <w:left w:val="single" w:sz="4" w:space="0" w:color="auto"/>
              <w:bottom w:val="single" w:sz="4" w:space="0" w:color="auto"/>
              <w:right w:val="single" w:sz="4" w:space="0" w:color="auto"/>
            </w:tcBorders>
            <w:vAlign w:val="center"/>
            <w:hideMark/>
          </w:tcPr>
          <w:p w14:paraId="4F5E14D0" w14:textId="77777777" w:rsidR="001B48FB" w:rsidRPr="004A2957" w:rsidRDefault="001B48FB" w:rsidP="001B48FB">
            <w:pPr>
              <w:spacing w:after="120"/>
              <w:jc w:val="center"/>
              <w:rPr>
                <w:rFonts w:ascii="Calibri" w:hAnsi="Calibri"/>
                <w:b/>
                <w:bCs/>
                <w:lang w:bidi="ar-EG"/>
              </w:rPr>
            </w:pPr>
            <w:r w:rsidRPr="004A2957">
              <w:rPr>
                <w:rFonts w:ascii="Calibri" w:hAnsi="Calibri"/>
                <w:b/>
                <w:bCs/>
                <w:rtl/>
                <w:lang w:bidi="ar-EG"/>
              </w:rPr>
              <w:t>العدد (بمعادل دوام كامل)</w:t>
            </w:r>
          </w:p>
        </w:tc>
        <w:tc>
          <w:tcPr>
            <w:tcW w:w="0" w:type="auto"/>
            <w:tcBorders>
              <w:top w:val="single" w:sz="4" w:space="0" w:color="auto"/>
              <w:left w:val="single" w:sz="4" w:space="0" w:color="auto"/>
              <w:bottom w:val="single" w:sz="4" w:space="0" w:color="auto"/>
              <w:right w:val="single" w:sz="4" w:space="0" w:color="auto"/>
            </w:tcBorders>
            <w:vAlign w:val="center"/>
            <w:hideMark/>
          </w:tcPr>
          <w:p w14:paraId="67515F47" w14:textId="77777777" w:rsidR="001B48FB" w:rsidRPr="004A2957" w:rsidRDefault="001B48FB" w:rsidP="001B48FB">
            <w:pPr>
              <w:spacing w:after="120"/>
              <w:jc w:val="center"/>
              <w:rPr>
                <w:rFonts w:ascii="Calibri" w:hAnsi="Calibri"/>
                <w:b/>
                <w:bCs/>
                <w:rtl/>
                <w:lang w:bidi="ar-EG"/>
              </w:rPr>
            </w:pPr>
            <w:r w:rsidRPr="004A2957">
              <w:rPr>
                <w:rFonts w:ascii="Calibri" w:hAnsi="Calibri"/>
                <w:b/>
                <w:bCs/>
                <w:rtl/>
                <w:lang w:bidi="ar-EG"/>
              </w:rPr>
              <w:t>التمثيل الجنساني (رجال/نساء)</w:t>
            </w:r>
          </w:p>
        </w:tc>
      </w:tr>
      <w:tr w:rsidR="001B48FB" w:rsidRPr="004A2957" w14:paraId="552ADE1D" w14:textId="77777777" w:rsidTr="001B48FB">
        <w:trPr>
          <w:cantSplit/>
          <w:trHeight w:val="33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70201D3" w14:textId="77777777" w:rsidR="001B48FB" w:rsidRPr="004A2957" w:rsidRDefault="001B48FB" w:rsidP="001B48FB">
            <w:pPr>
              <w:spacing w:after="120"/>
              <w:rPr>
                <w:rFonts w:ascii="Calibri" w:hAnsi="Calibri"/>
                <w:rtl/>
                <w:lang w:bidi="ar-EG"/>
              </w:rPr>
            </w:pPr>
            <w:r w:rsidRPr="004A2957">
              <w:rPr>
                <w:rFonts w:ascii="Calibri" w:hAnsi="Calibri"/>
                <w:rtl/>
                <w:lang w:bidi="ar-EG"/>
              </w:rPr>
              <w:t>الكيمياء</w:t>
            </w:r>
          </w:p>
        </w:tc>
        <w:tc>
          <w:tcPr>
            <w:tcW w:w="0" w:type="auto"/>
            <w:tcBorders>
              <w:top w:val="single" w:sz="4" w:space="0" w:color="auto"/>
              <w:left w:val="single" w:sz="4" w:space="0" w:color="auto"/>
              <w:bottom w:val="single" w:sz="4" w:space="0" w:color="auto"/>
              <w:right w:val="single" w:sz="4" w:space="0" w:color="auto"/>
            </w:tcBorders>
            <w:vAlign w:val="center"/>
            <w:hideMark/>
          </w:tcPr>
          <w:p w14:paraId="730C9DD1" w14:textId="77777777" w:rsidR="001B48FB" w:rsidRPr="004A2957" w:rsidRDefault="001B48FB" w:rsidP="001B48FB">
            <w:pPr>
              <w:spacing w:after="120"/>
              <w:rPr>
                <w:rFonts w:ascii="Calibri" w:hAnsi="Calibri"/>
                <w:rtl/>
                <w:lang w:bidi="ar-EG"/>
              </w:rPr>
            </w:pPr>
            <w:r w:rsidRPr="004A2957">
              <w:rPr>
                <w:rFonts w:ascii="Calibri" w:hAnsi="Calibri"/>
                <w:rtl/>
                <w:lang w:bidi="ar-EG"/>
              </w:rPr>
              <w:t>34</w:t>
            </w:r>
          </w:p>
        </w:tc>
        <w:tc>
          <w:tcPr>
            <w:tcW w:w="0" w:type="auto"/>
            <w:tcBorders>
              <w:top w:val="single" w:sz="4" w:space="0" w:color="auto"/>
              <w:left w:val="single" w:sz="4" w:space="0" w:color="auto"/>
              <w:bottom w:val="single" w:sz="4" w:space="0" w:color="auto"/>
              <w:right w:val="single" w:sz="4" w:space="0" w:color="auto"/>
            </w:tcBorders>
            <w:vAlign w:val="center"/>
            <w:hideMark/>
          </w:tcPr>
          <w:p w14:paraId="460F5489" w14:textId="77777777" w:rsidR="001B48FB" w:rsidRPr="004A2957" w:rsidRDefault="001B48FB" w:rsidP="001B48FB">
            <w:pPr>
              <w:spacing w:after="120"/>
              <w:rPr>
                <w:rFonts w:ascii="Calibri" w:hAnsi="Calibri"/>
                <w:rtl/>
                <w:lang w:bidi="ar-EG"/>
              </w:rPr>
            </w:pPr>
            <w:r w:rsidRPr="004A2957">
              <w:rPr>
                <w:rFonts w:ascii="Calibri" w:hAnsi="Calibri"/>
                <w:rtl/>
                <w:lang w:bidi="ar-EG"/>
              </w:rPr>
              <w:t>13/21</w:t>
            </w:r>
          </w:p>
        </w:tc>
      </w:tr>
      <w:tr w:rsidR="001B48FB" w:rsidRPr="004A2957" w14:paraId="75676628" w14:textId="77777777" w:rsidTr="001B48FB">
        <w:trPr>
          <w:cantSplit/>
          <w:trHeight w:val="338"/>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97F046" w14:textId="77777777" w:rsidR="001B48FB" w:rsidRPr="004A2957" w:rsidRDefault="001B48FB" w:rsidP="001B48FB">
            <w:pPr>
              <w:spacing w:after="120"/>
              <w:rPr>
                <w:rFonts w:ascii="Calibri" w:hAnsi="Calibri"/>
                <w:rtl/>
                <w:lang w:bidi="ar-EG"/>
              </w:rPr>
            </w:pPr>
            <w:r w:rsidRPr="004A2957">
              <w:rPr>
                <w:rFonts w:ascii="Calibri" w:hAnsi="Calibri"/>
                <w:rtl/>
                <w:lang w:bidi="ar-EG"/>
              </w:rPr>
              <w:t>البيوتكنولوجيا</w:t>
            </w:r>
          </w:p>
        </w:tc>
        <w:tc>
          <w:tcPr>
            <w:tcW w:w="0" w:type="auto"/>
            <w:tcBorders>
              <w:top w:val="single" w:sz="4" w:space="0" w:color="auto"/>
              <w:left w:val="single" w:sz="4" w:space="0" w:color="auto"/>
              <w:bottom w:val="single" w:sz="4" w:space="0" w:color="auto"/>
              <w:right w:val="single" w:sz="4" w:space="0" w:color="auto"/>
            </w:tcBorders>
            <w:vAlign w:val="center"/>
            <w:hideMark/>
          </w:tcPr>
          <w:p w14:paraId="27E9A34B" w14:textId="77777777" w:rsidR="001B48FB" w:rsidRPr="004A2957" w:rsidRDefault="001B48FB" w:rsidP="001B48FB">
            <w:pPr>
              <w:spacing w:after="120"/>
              <w:rPr>
                <w:rFonts w:ascii="Calibri" w:hAnsi="Calibri"/>
                <w:rtl/>
                <w:lang w:bidi="ar-EG"/>
              </w:rPr>
            </w:pPr>
            <w:r w:rsidRPr="004A2957">
              <w:rPr>
                <w:rFonts w:ascii="Calibri" w:hAnsi="Calibri"/>
                <w:rtl/>
                <w:lang w:bidi="ar-EG"/>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492A435F" w14:textId="77777777" w:rsidR="001B48FB" w:rsidRPr="004A2957" w:rsidRDefault="001B48FB" w:rsidP="001B48FB">
            <w:pPr>
              <w:spacing w:after="120"/>
              <w:rPr>
                <w:rFonts w:ascii="Calibri" w:hAnsi="Calibri"/>
                <w:rtl/>
                <w:lang w:bidi="ar-EG"/>
              </w:rPr>
            </w:pPr>
            <w:r w:rsidRPr="004A2957">
              <w:rPr>
                <w:rFonts w:ascii="Calibri" w:hAnsi="Calibri"/>
                <w:rtl/>
                <w:lang w:bidi="ar-EG"/>
              </w:rPr>
              <w:t>5/9</w:t>
            </w:r>
          </w:p>
        </w:tc>
      </w:tr>
      <w:tr w:rsidR="001B48FB" w:rsidRPr="004A2957" w14:paraId="3F3FDB88" w14:textId="77777777" w:rsidTr="001B48FB">
        <w:trPr>
          <w:cantSplit/>
          <w:trHeight w:val="45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C6F3C9" w14:textId="77777777" w:rsidR="001B48FB" w:rsidRPr="004A2957" w:rsidRDefault="001B48FB" w:rsidP="001B48FB">
            <w:pPr>
              <w:spacing w:after="120"/>
              <w:rPr>
                <w:rFonts w:ascii="Calibri" w:hAnsi="Calibri"/>
                <w:rtl/>
                <w:lang w:bidi="ar-EG"/>
              </w:rPr>
            </w:pPr>
            <w:r w:rsidRPr="004A2957">
              <w:rPr>
                <w:rFonts w:ascii="Calibri" w:hAnsi="Calibri"/>
                <w:rtl/>
                <w:lang w:bidi="ar-EG"/>
              </w:rPr>
              <w:t>المستحضرات الصيدلانية والأدوية</w:t>
            </w:r>
          </w:p>
        </w:tc>
        <w:tc>
          <w:tcPr>
            <w:tcW w:w="0" w:type="auto"/>
            <w:tcBorders>
              <w:top w:val="single" w:sz="4" w:space="0" w:color="auto"/>
              <w:left w:val="single" w:sz="4" w:space="0" w:color="auto"/>
              <w:bottom w:val="single" w:sz="4" w:space="0" w:color="auto"/>
              <w:right w:val="single" w:sz="4" w:space="0" w:color="auto"/>
            </w:tcBorders>
            <w:vAlign w:val="center"/>
            <w:hideMark/>
          </w:tcPr>
          <w:p w14:paraId="5D83252F" w14:textId="77777777" w:rsidR="001B48FB" w:rsidRPr="004A2957" w:rsidRDefault="001B48FB" w:rsidP="001B48FB">
            <w:pPr>
              <w:spacing w:after="120"/>
              <w:rPr>
                <w:rFonts w:ascii="Calibri" w:hAnsi="Calibri"/>
                <w:rtl/>
                <w:lang w:bidi="ar-EG"/>
              </w:rPr>
            </w:pPr>
            <w:r w:rsidRPr="004A2957">
              <w:rPr>
                <w:rFonts w:ascii="Calibri" w:hAnsi="Calibri"/>
                <w:rtl/>
                <w:lang w:bidi="ar-EG"/>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0B365AA3" w14:textId="77777777" w:rsidR="001B48FB" w:rsidRPr="004A2957" w:rsidRDefault="001B48FB" w:rsidP="001B48FB">
            <w:pPr>
              <w:spacing w:after="120"/>
              <w:rPr>
                <w:rFonts w:ascii="Calibri" w:hAnsi="Calibri"/>
                <w:rtl/>
                <w:lang w:bidi="ar-EG"/>
              </w:rPr>
            </w:pPr>
            <w:r w:rsidRPr="004A2957">
              <w:rPr>
                <w:rFonts w:ascii="Calibri" w:hAnsi="Calibri"/>
                <w:rtl/>
                <w:lang w:bidi="ar-EG"/>
              </w:rPr>
              <w:t>7/9</w:t>
            </w:r>
          </w:p>
        </w:tc>
      </w:tr>
      <w:tr w:rsidR="001B48FB" w:rsidRPr="004A2957" w14:paraId="45F7CDBE" w14:textId="77777777" w:rsidTr="001B48FB">
        <w:trPr>
          <w:cantSplit/>
          <w:trHeight w:val="61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D5D2B7" w14:textId="77777777" w:rsidR="001B48FB" w:rsidRPr="004A2957" w:rsidRDefault="001B48FB" w:rsidP="001B48FB">
            <w:pPr>
              <w:spacing w:after="120"/>
              <w:rPr>
                <w:rFonts w:ascii="Calibri" w:hAnsi="Calibri"/>
                <w:rtl/>
                <w:lang w:bidi="ar-EG"/>
              </w:rPr>
            </w:pPr>
            <w:r w:rsidRPr="004A2957">
              <w:rPr>
                <w:rFonts w:ascii="Calibri" w:hAnsi="Calibri"/>
                <w:rtl/>
                <w:lang w:bidi="ar-EG"/>
              </w:rPr>
              <w:t>تكنولوجيات المعلومات والاتصالات</w:t>
            </w:r>
          </w:p>
        </w:tc>
        <w:tc>
          <w:tcPr>
            <w:tcW w:w="0" w:type="auto"/>
            <w:tcBorders>
              <w:top w:val="single" w:sz="4" w:space="0" w:color="auto"/>
              <w:left w:val="single" w:sz="4" w:space="0" w:color="auto"/>
              <w:bottom w:val="single" w:sz="4" w:space="0" w:color="auto"/>
              <w:right w:val="single" w:sz="4" w:space="0" w:color="auto"/>
            </w:tcBorders>
            <w:vAlign w:val="center"/>
            <w:hideMark/>
          </w:tcPr>
          <w:p w14:paraId="190175F3" w14:textId="77777777" w:rsidR="001B48FB" w:rsidRPr="004A2957" w:rsidRDefault="001B48FB" w:rsidP="001B48FB">
            <w:pPr>
              <w:spacing w:after="120"/>
              <w:rPr>
                <w:rFonts w:ascii="Calibri" w:hAnsi="Calibri"/>
                <w:rtl/>
                <w:lang w:bidi="ar-EG"/>
              </w:rPr>
            </w:pPr>
            <w:r w:rsidRPr="004A2957">
              <w:rPr>
                <w:rFonts w:ascii="Calibri" w:hAnsi="Calibri"/>
                <w:rtl/>
                <w:lang w:bidi="ar-EG"/>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681698FB" w14:textId="77777777" w:rsidR="001B48FB" w:rsidRPr="004A2957" w:rsidRDefault="001B48FB" w:rsidP="001B48FB">
            <w:pPr>
              <w:spacing w:after="120"/>
              <w:rPr>
                <w:rFonts w:ascii="Calibri" w:hAnsi="Calibri"/>
                <w:rtl/>
                <w:lang w:bidi="ar-EG"/>
              </w:rPr>
            </w:pPr>
            <w:r w:rsidRPr="004A2957">
              <w:rPr>
                <w:rFonts w:ascii="Calibri" w:hAnsi="Calibri"/>
                <w:rtl/>
                <w:lang w:bidi="ar-EG"/>
              </w:rPr>
              <w:t>12/3</w:t>
            </w:r>
          </w:p>
        </w:tc>
      </w:tr>
      <w:tr w:rsidR="001B48FB" w:rsidRPr="004A2957" w14:paraId="784E8A08" w14:textId="77777777" w:rsidTr="001B48FB">
        <w:trPr>
          <w:cantSplit/>
          <w:trHeight w:val="45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9CD5D4" w14:textId="77777777" w:rsidR="001B48FB" w:rsidRPr="004A2957" w:rsidRDefault="001B48FB" w:rsidP="001B48FB">
            <w:pPr>
              <w:spacing w:after="120"/>
              <w:rPr>
                <w:rFonts w:ascii="Calibri" w:hAnsi="Calibri"/>
                <w:rtl/>
                <w:lang w:bidi="ar-EG"/>
              </w:rPr>
            </w:pPr>
            <w:r w:rsidRPr="004A2957">
              <w:rPr>
                <w:rFonts w:ascii="Calibri" w:hAnsi="Calibri"/>
                <w:rtl/>
                <w:lang w:bidi="ar-EG"/>
              </w:rPr>
              <w:t xml:space="preserve"> الميكانيكا والإلكترونيات</w:t>
            </w:r>
          </w:p>
        </w:tc>
        <w:tc>
          <w:tcPr>
            <w:tcW w:w="0" w:type="auto"/>
            <w:tcBorders>
              <w:top w:val="single" w:sz="4" w:space="0" w:color="auto"/>
              <w:left w:val="single" w:sz="4" w:space="0" w:color="auto"/>
              <w:bottom w:val="single" w:sz="4" w:space="0" w:color="auto"/>
              <w:right w:val="single" w:sz="4" w:space="0" w:color="auto"/>
            </w:tcBorders>
            <w:vAlign w:val="center"/>
            <w:hideMark/>
          </w:tcPr>
          <w:p w14:paraId="71C3FDC1" w14:textId="77777777" w:rsidR="001B48FB" w:rsidRPr="004A2957" w:rsidRDefault="001B48FB" w:rsidP="001B48FB">
            <w:pPr>
              <w:spacing w:after="120"/>
              <w:rPr>
                <w:rFonts w:ascii="Calibri" w:hAnsi="Calibri"/>
                <w:rtl/>
                <w:lang w:bidi="ar-EG"/>
              </w:rPr>
            </w:pPr>
            <w:r w:rsidRPr="004A2957">
              <w:rPr>
                <w:rFonts w:ascii="Calibri" w:hAnsi="Calibri"/>
                <w:rtl/>
                <w:lang w:bidi="ar-EG"/>
              </w:rPr>
              <w:t>26</w:t>
            </w:r>
          </w:p>
        </w:tc>
        <w:tc>
          <w:tcPr>
            <w:tcW w:w="0" w:type="auto"/>
            <w:tcBorders>
              <w:top w:val="single" w:sz="4" w:space="0" w:color="auto"/>
              <w:left w:val="single" w:sz="4" w:space="0" w:color="auto"/>
              <w:bottom w:val="single" w:sz="4" w:space="0" w:color="auto"/>
              <w:right w:val="single" w:sz="4" w:space="0" w:color="auto"/>
            </w:tcBorders>
            <w:vAlign w:val="center"/>
            <w:hideMark/>
          </w:tcPr>
          <w:p w14:paraId="06EAC9DB" w14:textId="77777777" w:rsidR="001B48FB" w:rsidRPr="004A2957" w:rsidRDefault="001B48FB" w:rsidP="001B48FB">
            <w:pPr>
              <w:spacing w:after="120"/>
              <w:rPr>
                <w:rFonts w:ascii="Calibri" w:hAnsi="Calibri"/>
                <w:rtl/>
                <w:lang w:bidi="ar-EG"/>
              </w:rPr>
            </w:pPr>
            <w:r w:rsidRPr="004A2957">
              <w:rPr>
                <w:rFonts w:ascii="Calibri" w:hAnsi="Calibri"/>
                <w:rtl/>
                <w:lang w:bidi="ar-EG"/>
              </w:rPr>
              <w:t>19/7</w:t>
            </w:r>
          </w:p>
        </w:tc>
      </w:tr>
      <w:tr w:rsidR="001B48FB" w:rsidRPr="004A2957" w14:paraId="6C2C52C5" w14:textId="77777777" w:rsidTr="001B48FB">
        <w:trPr>
          <w:cantSplit/>
          <w:trHeight w:val="31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124CF0" w14:textId="77777777" w:rsidR="001B48FB" w:rsidRPr="004A2957" w:rsidRDefault="001B48FB" w:rsidP="001B48FB">
            <w:pPr>
              <w:spacing w:after="120"/>
              <w:rPr>
                <w:rFonts w:ascii="Calibri" w:hAnsi="Calibri"/>
                <w:b/>
                <w:bCs/>
                <w:iCs/>
                <w:rtl/>
                <w:lang w:bidi="ar-EG"/>
              </w:rPr>
            </w:pPr>
            <w:r w:rsidRPr="004A2957">
              <w:rPr>
                <w:rFonts w:ascii="Calibri" w:hAnsi="Calibri"/>
                <w:b/>
                <w:bCs/>
                <w:rtl/>
                <w:lang w:bidi="ar-EG"/>
              </w:rPr>
              <w:t>المجموع</w:t>
            </w:r>
          </w:p>
        </w:tc>
        <w:tc>
          <w:tcPr>
            <w:tcW w:w="0" w:type="auto"/>
            <w:tcBorders>
              <w:top w:val="single" w:sz="4" w:space="0" w:color="auto"/>
              <w:left w:val="single" w:sz="4" w:space="0" w:color="auto"/>
              <w:bottom w:val="single" w:sz="4" w:space="0" w:color="auto"/>
              <w:right w:val="single" w:sz="4" w:space="0" w:color="auto"/>
            </w:tcBorders>
            <w:vAlign w:val="center"/>
            <w:hideMark/>
          </w:tcPr>
          <w:p w14:paraId="711E9316" w14:textId="77777777" w:rsidR="001B48FB" w:rsidRPr="004A2957" w:rsidRDefault="001B48FB" w:rsidP="001B48FB">
            <w:pPr>
              <w:spacing w:after="120"/>
              <w:rPr>
                <w:rFonts w:ascii="Calibri" w:hAnsi="Calibri"/>
                <w:b/>
                <w:bCs/>
                <w:iCs/>
                <w:rtl/>
                <w:lang w:bidi="ar-EG"/>
              </w:rPr>
            </w:pPr>
            <w:r w:rsidRPr="004A2957">
              <w:rPr>
                <w:rFonts w:ascii="Calibri" w:hAnsi="Calibri"/>
                <w:b/>
                <w:bCs/>
                <w:rtl/>
                <w:lang w:bidi="ar-EG"/>
              </w:rPr>
              <w:t>105</w:t>
            </w:r>
          </w:p>
        </w:tc>
        <w:tc>
          <w:tcPr>
            <w:tcW w:w="0" w:type="auto"/>
            <w:tcBorders>
              <w:top w:val="single" w:sz="4" w:space="0" w:color="auto"/>
              <w:left w:val="single" w:sz="4" w:space="0" w:color="auto"/>
              <w:bottom w:val="single" w:sz="4" w:space="0" w:color="auto"/>
              <w:right w:val="single" w:sz="4" w:space="0" w:color="auto"/>
            </w:tcBorders>
          </w:tcPr>
          <w:p w14:paraId="3CFDB598" w14:textId="77777777" w:rsidR="001B48FB" w:rsidRPr="004A2957" w:rsidRDefault="001B48FB" w:rsidP="001B48FB">
            <w:pPr>
              <w:spacing w:after="120"/>
              <w:rPr>
                <w:rFonts w:ascii="Calibri" w:hAnsi="Calibri"/>
                <w:b/>
                <w:bCs/>
                <w:rtl/>
                <w:lang w:bidi="ar-EG"/>
              </w:rPr>
            </w:pPr>
            <w:r w:rsidRPr="004A2957">
              <w:rPr>
                <w:rFonts w:ascii="Calibri" w:hAnsi="Calibri"/>
                <w:b/>
                <w:bCs/>
                <w:rtl/>
                <w:lang w:bidi="ar-EG"/>
              </w:rPr>
              <w:t>56/49</w:t>
            </w:r>
          </w:p>
        </w:tc>
      </w:tr>
    </w:tbl>
    <w:p w14:paraId="190E7881" w14:textId="1F9EF0BF" w:rsidR="004A2957" w:rsidRPr="004A2957" w:rsidRDefault="004A2957" w:rsidP="004A2957">
      <w:pPr>
        <w:keepNext/>
        <w:keepLines/>
        <w:spacing w:after="240"/>
        <w:ind w:right="567"/>
        <w:rPr>
          <w:rFonts w:ascii="Calibri" w:hAnsi="Calibri"/>
          <w:rtl/>
          <w:lang w:bidi="ar-EG"/>
        </w:rPr>
      </w:pPr>
      <w:r w:rsidRPr="004A2957">
        <w:rPr>
          <w:rFonts w:ascii="Calibri" w:hAnsi="Calibri"/>
          <w:rtl/>
          <w:lang w:bidi="ar-EG"/>
        </w:rPr>
        <w:lastRenderedPageBreak/>
        <w:t>معلومات أخرى خلاف تقرير نظام إدارة الجودة والجدول أعلاه (اختيارية):</w:t>
      </w:r>
    </w:p>
    <w:p w14:paraId="5B31B0BF" w14:textId="149EB7B3" w:rsidR="004A2957" w:rsidRPr="004A2957" w:rsidRDefault="004A2957" w:rsidP="004A2957">
      <w:pPr>
        <w:keepNext/>
        <w:keepLines/>
        <w:spacing w:before="240" w:after="480"/>
        <w:rPr>
          <w:rFonts w:ascii="Calibri" w:eastAsia="Times New Roman" w:hAnsi="Calibri"/>
          <w:kern w:val="32"/>
          <w:rtl/>
          <w:lang w:bidi="ar-EG"/>
        </w:rPr>
      </w:pPr>
      <w:r w:rsidRPr="004A2957">
        <w:rPr>
          <w:rFonts w:ascii="Calibri" w:hAnsi="Calibri"/>
          <w:rtl/>
          <w:lang w:bidi="ar-EG"/>
        </w:rPr>
        <w:t>يتول</w:t>
      </w:r>
      <w:r w:rsidR="00DA691C">
        <w:rPr>
          <w:rFonts w:ascii="Calibri" w:hAnsi="Calibri" w:hint="cs"/>
          <w:rtl/>
          <w:lang w:bidi="ar-EG"/>
        </w:rPr>
        <w:t>ّ</w:t>
      </w:r>
      <w:r w:rsidRPr="004A2957">
        <w:rPr>
          <w:rFonts w:ascii="Calibri" w:hAnsi="Calibri"/>
          <w:rtl/>
          <w:lang w:bidi="ar-EG"/>
        </w:rPr>
        <w:t>ى رعاية نظام إدارة الجودة في المكتب فريق شامل من المهنيين من الدول الأعضاء في المكتب الأوروبي الآسيوي للبراءات</w:t>
      </w:r>
      <w:r w:rsidR="00BB2118">
        <w:rPr>
          <w:rFonts w:ascii="Calibri" w:hAnsi="Calibri"/>
          <w:rtl/>
          <w:lang w:bidi="ar-EG"/>
        </w:rPr>
        <w:t xml:space="preserve">. </w:t>
      </w:r>
      <w:r w:rsidRPr="004A2957">
        <w:rPr>
          <w:rFonts w:ascii="Calibri" w:hAnsi="Calibri"/>
          <w:rtl/>
          <w:lang w:bidi="ar-EG"/>
        </w:rPr>
        <w:t>وحرصاً على تعزيز التنوع بين الموظفين، يُقام برنامج منح دراسية كل عام من أجل استقطاب خبراء من البلدان التي لا تحظى بتمثيل كافٍ بين موظفي المكتب.</w:t>
      </w:r>
    </w:p>
    <w:p w14:paraId="1C567EF5" w14:textId="0B7601D3" w:rsidR="004A2957" w:rsidRPr="004A2957" w:rsidRDefault="004A2957" w:rsidP="005E100A">
      <w:pPr>
        <w:keepNext/>
        <w:keepLines/>
        <w:pBdr>
          <w:top w:val="single" w:sz="4" w:space="1" w:color="auto"/>
        </w:pBdr>
        <w:spacing w:before="360" w:after="200"/>
        <w:outlineLvl w:val="2"/>
        <w:rPr>
          <w:rFonts w:ascii="Calibri" w:eastAsia="Times New Roman" w:hAnsi="Calibri"/>
          <w:b/>
          <w:bCs/>
          <w:caps/>
          <w:rtl/>
          <w:lang w:bidi="ar-EG"/>
        </w:rPr>
      </w:pPr>
      <w:r w:rsidRPr="004A2957">
        <w:rPr>
          <w:rFonts w:ascii="Calibri" w:eastAsia="Times New Roman" w:hAnsi="Calibri"/>
          <w:b/>
          <w:bCs/>
          <w:caps/>
          <w:lang w:bidi="ar-EG"/>
        </w:rPr>
        <w:t>‎2.2</w:t>
      </w:r>
      <w:r w:rsidRPr="004A2957">
        <w:rPr>
          <w:rFonts w:ascii="Calibri" w:eastAsia="Times New Roman" w:hAnsi="Calibri"/>
          <w:b/>
          <w:bCs/>
          <w:caps/>
          <w:rtl/>
          <w:lang w:bidi="ar-EG"/>
        </w:rPr>
        <w:t xml:space="preserve"> – الحد الأدنى للوثائق </w:t>
      </w:r>
      <w:r w:rsidR="00031A4E">
        <w:rPr>
          <w:rFonts w:ascii="Calibri" w:eastAsia="Times New Roman" w:hAnsi="Calibri" w:hint="cs"/>
          <w:b/>
          <w:bCs/>
          <w:caps/>
          <w:rtl/>
          <w:lang w:bidi="ar-EG"/>
        </w:rPr>
        <w:t>-</w:t>
      </w:r>
      <w:r w:rsidRPr="004A2957">
        <w:rPr>
          <w:rFonts w:ascii="Calibri" w:eastAsia="Times New Roman" w:hAnsi="Calibri"/>
          <w:b/>
          <w:bCs/>
          <w:caps/>
          <w:rtl/>
          <w:lang w:bidi="ar-EG"/>
        </w:rPr>
        <w:t xml:space="preserve"> الإتاحة للاطلاع</w:t>
      </w:r>
    </w:p>
    <w:p w14:paraId="3D51423D" w14:textId="52B4BF98" w:rsidR="004A2957" w:rsidRPr="004A2957" w:rsidRDefault="004A2957" w:rsidP="004A2957">
      <w:pPr>
        <w:keepNext/>
        <w:keepLines/>
        <w:spacing w:after="240"/>
        <w:ind w:left="567" w:right="567"/>
        <w:rPr>
          <w:rFonts w:ascii="Calibri" w:hAnsi="Calibri"/>
          <w:i/>
          <w:iCs/>
          <w:rtl/>
          <w:lang w:bidi="ar-EG"/>
        </w:rPr>
      </w:pPr>
      <w:r w:rsidRPr="004A2957">
        <w:rPr>
          <w:rFonts w:ascii="Calibri" w:hAnsi="Calibri"/>
          <w:i/>
          <w:iCs/>
          <w:rtl/>
          <w:lang w:bidi="ar-EG"/>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7166F1B4" w14:textId="54889A9F" w:rsidR="004A2957" w:rsidRPr="004A2957" w:rsidRDefault="004A2957" w:rsidP="004A2957">
      <w:pPr>
        <w:keepNext/>
        <w:keepLines/>
        <w:spacing w:after="240"/>
        <w:ind w:left="567" w:right="567"/>
        <w:rPr>
          <w:rFonts w:ascii="Calibri" w:hAnsi="Calibri"/>
          <w:i/>
          <w:iCs/>
          <w:rtl/>
          <w:lang w:bidi="ar-EG"/>
        </w:rPr>
      </w:pPr>
      <w:r w:rsidRPr="004A2957">
        <w:rPr>
          <w:rFonts w:ascii="Calibri" w:hAnsi="Calibri"/>
          <w:i/>
          <w:iCs/>
          <w:rtl/>
          <w:lang w:bidi="ar-EG"/>
        </w:rPr>
        <w:t xml:space="preserve">وترد المتطلبات المحددة في التعليمات الإدارية في </w:t>
      </w:r>
      <w:r w:rsidRPr="004A2957">
        <w:rPr>
          <w:rFonts w:ascii="Calibri" w:hAnsi="Calibri"/>
          <w:i/>
          <w:iCs/>
          <w:lang w:bidi="ar-EG"/>
        </w:rPr>
        <w:t>‎</w:t>
      </w:r>
      <w:hyperlink r:id="rId19" w:history="1">
        <w:r w:rsidRPr="004A2957">
          <w:rPr>
            <w:rFonts w:ascii="Calibri" w:hAnsi="Calibri"/>
            <w:i/>
            <w:iCs/>
            <w:color w:val="0000FF" w:themeColor="hyperlink"/>
            <w:u w:val="single"/>
            <w:rtl/>
            <w:lang w:bidi="ar-EG"/>
          </w:rPr>
          <w:t xml:space="preserve">التعميم </w:t>
        </w:r>
        <w:r w:rsidRPr="004A2957">
          <w:rPr>
            <w:rFonts w:ascii="Calibri" w:hAnsi="Calibri"/>
            <w:i/>
            <w:iCs/>
            <w:color w:val="0000FF" w:themeColor="hyperlink"/>
            <w:u w:val="single"/>
            <w:lang w:bidi="ar-EG"/>
          </w:rPr>
          <w:t>C. PCT 1672</w:t>
        </w:r>
      </w:hyperlink>
      <w:r w:rsidRPr="004A2957">
        <w:rPr>
          <w:rFonts w:ascii="Calibri" w:hAnsi="Calibri"/>
          <w:i/>
          <w:iCs/>
          <w:rtl/>
          <w:lang w:bidi="ar-EG"/>
        </w:rPr>
        <w:t>، المؤرخ 19 يونيو 2024.</w:t>
      </w:r>
    </w:p>
    <w:p w14:paraId="63E0B3FD" w14:textId="1E1E9A95" w:rsidR="008701F2" w:rsidRDefault="004A2957" w:rsidP="008701F2">
      <w:pPr>
        <w:pStyle w:val="BodyText"/>
        <w:rPr>
          <w:rtl/>
          <w:lang w:bidi="ar-EG"/>
        </w:rPr>
      </w:pPr>
      <w:r w:rsidRPr="004A2957">
        <w:rPr>
          <w:rtl/>
          <w:lang w:bidi="ar-EG"/>
        </w:rPr>
        <w:t xml:space="preserve">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التعاون بشأن البراءات في الفقرة 8 من الوثيقة </w:t>
      </w:r>
      <w:r w:rsidRPr="004A2957">
        <w:rPr>
          <w:lang w:bidi="ar-EG"/>
        </w:rPr>
        <w:t>PCT/A/55/2</w:t>
      </w:r>
      <w:r w:rsidRPr="004A2957">
        <w:rPr>
          <w:rtl/>
          <w:lang w:bidi="ar-EG"/>
        </w:rPr>
        <w:t>، يكون التبليغ على النحو التالي:</w:t>
      </w:r>
    </w:p>
    <w:p w14:paraId="1553748A" w14:textId="05EDD144" w:rsidR="004A2957" w:rsidRPr="004A2957" w:rsidRDefault="004A2957" w:rsidP="008701F2">
      <w:pPr>
        <w:pStyle w:val="BodyText"/>
        <w:rPr>
          <w:i/>
          <w:iCs/>
          <w:rtl/>
          <w:lang w:bidi="ar-EG"/>
        </w:rPr>
      </w:pPr>
      <w:r w:rsidRPr="004A2957">
        <w:rPr>
          <w:rtl/>
          <w:lang w:bidi="ar-EG"/>
        </w:rPr>
        <w:t>إما:</w:t>
      </w:r>
    </w:p>
    <w:p w14:paraId="3DAA8635" w14:textId="33FA36A5" w:rsidR="004A2957" w:rsidRPr="004A2957" w:rsidRDefault="00F10CFF" w:rsidP="008701F2">
      <w:pPr>
        <w:pStyle w:val="BodyText"/>
        <w:rPr>
          <w:rtl/>
          <w:lang w:bidi="ar-EG"/>
        </w:rPr>
      </w:pPr>
      <w:sdt>
        <w:sdtPr>
          <w:rPr>
            <w:b/>
            <w:bCs/>
            <w:rtl/>
          </w:rPr>
          <w:id w:val="-178122316"/>
          <w14:checkbox>
            <w14:checked w14:val="1"/>
            <w14:checkedState w14:val="2612" w14:font="MS Gothic"/>
            <w14:uncheckedState w14:val="2610" w14:font="MS Gothic"/>
          </w14:checkbox>
        </w:sdtPr>
        <w:sdtEndPr/>
        <w:sdtContent>
          <w:r w:rsidR="008701F2">
            <w:rPr>
              <w:rFonts w:ascii="MS Gothic" w:eastAsia="MS Gothic" w:hAnsi="MS Gothic" w:hint="eastAsia"/>
            </w:rPr>
            <w:t>☒</w:t>
          </w:r>
        </w:sdtContent>
      </w:sdt>
      <w:r w:rsidR="008701F2">
        <w:t xml:space="preserve"> </w:t>
      </w:r>
      <w:r w:rsidR="004A2957" w:rsidRPr="004A2957">
        <w:rPr>
          <w:rtl/>
          <w:lang w:bidi="ar-EG"/>
        </w:rPr>
        <w:t>أن فرقة العمل المعنية بالحد الأدنى للوثائق المنصوص عليها في معاهدة البراءات قد تحققت من إتاحة مجموعات وثائق البراءات قبل 1 نوفمبر 2025، وتشهد بأن المتطلبات قد استوفيت</w:t>
      </w:r>
      <w:r w:rsidR="00BB2118">
        <w:rPr>
          <w:rtl/>
          <w:lang w:bidi="ar-EG"/>
        </w:rPr>
        <w:t xml:space="preserve">. </w:t>
      </w:r>
      <w:r w:rsidR="004A2957" w:rsidRPr="004A2957">
        <w:rPr>
          <w:rtl/>
          <w:lang w:bidi="ar-EG"/>
        </w:rPr>
        <w:t>وجرى نشر نطاق ونسق الوثائق التي أتاحتها الإدارة للاطلاع عليها في الجريدة الرسمية لمعاهدة البراءات في 23 أكتوبر 2025 في الرابط التالي:</w:t>
      </w:r>
      <w:r w:rsidR="004A2957">
        <w:fldChar w:fldCharType="begin"/>
      </w:r>
      <w:r w:rsidR="004A2957">
        <w:instrText>HYPERLINK "https://www.wipo.int/documents/d/pct-system/docs-en-official-notices-officialnotices.pdf" \l "#page=190"</w:instrText>
      </w:r>
      <w:r w:rsidR="004A2957">
        <w:fldChar w:fldCharType="separate"/>
      </w:r>
      <w:r w:rsidR="004A2957" w:rsidRPr="004A2957">
        <w:rPr>
          <w:rtl/>
          <w:lang w:bidi="ar-EG"/>
        </w:rPr>
        <w:t xml:space="preserve"> </w:t>
      </w:r>
      <w:r w:rsidR="004A2957" w:rsidRPr="004A2957">
        <w:rPr>
          <w:color w:val="0000FF" w:themeColor="hyperlink"/>
          <w:u w:val="single"/>
          <w:lang w:bidi="ar-EG"/>
        </w:rPr>
        <w:t>https://www.wipo.int/documents/d/pct-system/docs-en-official-notices-officialnotices.pdf#page=190</w:t>
      </w:r>
      <w:r w:rsidR="004A2957">
        <w:fldChar w:fldCharType="end"/>
      </w:r>
      <w:r w:rsidR="008701F2">
        <w:rPr>
          <w:rFonts w:hint="cs"/>
          <w:rtl/>
          <w:lang w:bidi="ar-EG"/>
        </w:rPr>
        <w:t>.</w:t>
      </w:r>
    </w:p>
    <w:p w14:paraId="52F2EF7C" w14:textId="77777777" w:rsidR="004A2957" w:rsidRPr="004A2957" w:rsidRDefault="004A2957" w:rsidP="004A2957">
      <w:pPr>
        <w:spacing w:after="220"/>
        <w:rPr>
          <w:rFonts w:ascii="Calibri" w:hAnsi="Calibri"/>
          <w:color w:val="000000" w:themeColor="text1"/>
          <w:rtl/>
          <w:lang w:bidi="ar-EG"/>
        </w:rPr>
      </w:pPr>
      <w:r w:rsidRPr="004A2957">
        <w:rPr>
          <w:rFonts w:ascii="Calibri" w:hAnsi="Calibri"/>
          <w:color w:val="000000" w:themeColor="text1"/>
          <w:rtl/>
          <w:lang w:bidi="ar-EG"/>
        </w:rPr>
        <w:t>أو:</w:t>
      </w:r>
    </w:p>
    <w:p w14:paraId="4CDA3945" w14:textId="11B8644E" w:rsidR="004A2957" w:rsidRPr="004A2957" w:rsidRDefault="00F10CFF" w:rsidP="004A2957">
      <w:pPr>
        <w:rPr>
          <w:rFonts w:ascii="Calibri" w:hAnsi="Calibri"/>
          <w:rtl/>
          <w:lang w:bidi="ar-EG"/>
        </w:rPr>
      </w:pPr>
      <w:sdt>
        <w:sdtPr>
          <w:rPr>
            <w:color w:val="000000" w:themeColor="text1"/>
            <w:rtl/>
            <w:lang w:val="en-GB"/>
          </w:rPr>
          <w:id w:val="229279132"/>
          <w14:checkbox>
            <w14:checked w14:val="0"/>
            <w14:checkedState w14:val="2612" w14:font="MS Gothic"/>
            <w14:uncheckedState w14:val="2610" w14:font="MS Gothic"/>
          </w14:checkbox>
        </w:sdtPr>
        <w:sdtEndPr/>
        <w:sdtContent>
          <w:r w:rsidR="008701F2">
            <w:rPr>
              <w:rFonts w:ascii="MS Gothic" w:eastAsia="MS Gothic" w:hAnsi="MS Gothic" w:hint="eastAsia"/>
              <w:color w:val="000000" w:themeColor="text1"/>
              <w:lang w:val="en-GB"/>
            </w:rPr>
            <w:t>☐</w:t>
          </w:r>
        </w:sdtContent>
      </w:sdt>
      <w:r w:rsidR="008701F2">
        <w:t xml:space="preserve"> </w:t>
      </w:r>
      <w:r w:rsidR="004A2957" w:rsidRPr="004A2957">
        <w:rPr>
          <w:rFonts w:ascii="Calibri" w:hAnsi="Calibri"/>
          <w:rtl/>
          <w:lang w:bidi="ar-EG"/>
        </w:rPr>
        <w:t>تقدم الإدارة تقريراً عن إتاحة مجموعة وثائق البراءات الخاصة بها، على أن يتضمن التقرير جدولاً زمنياً لإجراءات التحقق من الإتاحة الكاملة والإشهاد عليها من قبل فرقة العمل المعنية بالحد الأدنى للوثائق المنصوص عليها في معاهدة البراءات (انظر(ي) أدناه).</w:t>
      </w:r>
      <w:r w:rsidR="004A2957" w:rsidRPr="004A2957">
        <w:rPr>
          <w:rFonts w:ascii="Calibri" w:hAnsi="Calibri"/>
          <w:lang w:bidi="ar-EG"/>
        </w:rPr>
        <w:t>‎</w:t>
      </w:r>
      <w:r w:rsidR="004A2957" w:rsidRPr="004A2957">
        <w:rPr>
          <w:rFonts w:ascii="Calibri" w:hAnsi="Calibri"/>
          <w:color w:val="000000" w:themeColor="text1"/>
          <w:lang w:bidi="ar-EG"/>
        </w:rPr>
        <w:t xml:space="preserve">  </w:t>
      </w:r>
      <w:r w:rsidR="004A2957" w:rsidRPr="004A2957">
        <w:rPr>
          <w:rFonts w:ascii="Calibri" w:hAnsi="Calibri"/>
          <w:color w:val="000000" w:themeColor="text1"/>
          <w:rtl/>
          <w:lang w:bidi="ar-EG"/>
        </w:rPr>
        <w:t>ويُرجى أيضاً تقديم تفاصيل ملف الإدارة مع أي روابط لازمة، حسب الاقتضاء.</w:t>
      </w:r>
    </w:p>
    <w:p w14:paraId="6AD3E202" w14:textId="77777777" w:rsidR="004A2957" w:rsidRPr="004A2957" w:rsidRDefault="004A2957" w:rsidP="004A2957">
      <w:pPr>
        <w:keepLines/>
        <w:pBdr>
          <w:top w:val="single" w:sz="4" w:space="1" w:color="auto"/>
        </w:pBdr>
        <w:spacing w:before="360" w:after="200" w:line="480" w:lineRule="auto"/>
        <w:outlineLvl w:val="2"/>
        <w:rPr>
          <w:rFonts w:ascii="Calibri" w:eastAsia="Times New Roman" w:hAnsi="Calibri"/>
          <w:b/>
          <w:bCs/>
          <w:caps/>
          <w:rtl/>
          <w:lang w:bidi="ar-EG"/>
        </w:rPr>
      </w:pPr>
      <w:r w:rsidRPr="004A2957">
        <w:rPr>
          <w:rFonts w:ascii="Calibri" w:eastAsia="Times New Roman" w:hAnsi="Calibri"/>
          <w:b/>
          <w:bCs/>
          <w:caps/>
          <w:lang w:bidi="ar-EG"/>
        </w:rPr>
        <w:t>‎3.2</w:t>
      </w:r>
      <w:r w:rsidRPr="004A2957">
        <w:rPr>
          <w:rFonts w:ascii="Calibri" w:eastAsia="Times New Roman" w:hAnsi="Calibri"/>
          <w:b/>
          <w:bCs/>
          <w:caps/>
          <w:rtl/>
          <w:lang w:bidi="ar-EG"/>
        </w:rPr>
        <w:t xml:space="preserve"> – الحد الأدنى للوثائق – إمكانية النفاذ</w:t>
      </w:r>
    </w:p>
    <w:p w14:paraId="5D924DAD" w14:textId="6B7206BB" w:rsidR="004A2957" w:rsidRPr="004A2957" w:rsidRDefault="004A2957" w:rsidP="004A2957">
      <w:pPr>
        <w:keepLines/>
        <w:spacing w:after="240"/>
        <w:ind w:left="567" w:right="567"/>
        <w:rPr>
          <w:rFonts w:ascii="Calibri" w:hAnsi="Calibri"/>
          <w:rtl/>
          <w:lang w:bidi="ar-EG"/>
        </w:rPr>
      </w:pPr>
      <w:r w:rsidRPr="004A2957">
        <w:rPr>
          <w:rFonts w:ascii="Calibri" w:hAnsi="Calibri"/>
          <w:i/>
          <w:iCs/>
          <w:rtl/>
          <w:lang w:bidi="ar-EG"/>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50BAD5DD" w14:textId="77777777" w:rsidR="004A2957" w:rsidRPr="004A2957" w:rsidRDefault="004A2957" w:rsidP="00163C60">
      <w:pPr>
        <w:pStyle w:val="BodyText"/>
        <w:rPr>
          <w:iCs/>
          <w:rtl/>
          <w:lang w:bidi="ar-EG"/>
        </w:rPr>
      </w:pPr>
      <w:r w:rsidRPr="004A2957">
        <w:rPr>
          <w:rtl/>
          <w:lang w:bidi="ar-EG"/>
        </w:rPr>
        <w:t>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w:t>
      </w:r>
    </w:p>
    <w:p w14:paraId="2AAB6E55" w14:textId="77777777" w:rsidR="004A2957" w:rsidRPr="004A2957" w:rsidRDefault="004A2957" w:rsidP="004A2957">
      <w:pPr>
        <w:keepNext/>
        <w:keepLines/>
        <w:spacing w:after="240"/>
        <w:ind w:left="567" w:right="567" w:hanging="567"/>
        <w:rPr>
          <w:rFonts w:ascii="Calibri" w:hAnsi="Calibri"/>
          <w:iCs/>
          <w:rtl/>
          <w:lang w:bidi="ar-EG"/>
        </w:rPr>
      </w:pPr>
      <w:r w:rsidRPr="004A2957">
        <w:rPr>
          <w:rFonts w:ascii="Calibri" w:hAnsi="Calibri"/>
          <w:rtl/>
          <w:lang w:bidi="ar-EG"/>
        </w:rPr>
        <w:t>معلومات أخرى خلاف تقرير نظام إدارة الجودة:</w:t>
      </w:r>
      <w:r w:rsidRPr="004A2957">
        <w:rPr>
          <w:rFonts w:ascii="Calibri" w:hAnsi="Calibri"/>
          <w:i/>
          <w:iCs/>
          <w:rtl/>
          <w:lang w:bidi="ar-EG"/>
        </w:rPr>
        <w:t xml:space="preserve"> </w:t>
      </w:r>
    </w:p>
    <w:p w14:paraId="0DB46DB3" w14:textId="288C0887" w:rsidR="004A2957" w:rsidRPr="004A2957" w:rsidRDefault="004A2957" w:rsidP="00163C60">
      <w:pPr>
        <w:pStyle w:val="BodyText"/>
        <w:rPr>
          <w:iCs/>
          <w:rtl/>
          <w:lang w:bidi="ar-EG"/>
        </w:rPr>
      </w:pPr>
      <w:r w:rsidRPr="004A2957">
        <w:rPr>
          <w:rtl/>
          <w:lang w:bidi="ar-EG"/>
        </w:rPr>
        <w:t>يتمتع المكتب بإمكانية النفاذ الكامل إلى الحد الأدنى للوثائق المطلوبة بموجب معاهدة البراءات من أجل إجراء عمليات البحث الدولي</w:t>
      </w:r>
      <w:r w:rsidR="00BB2118">
        <w:rPr>
          <w:rtl/>
          <w:lang w:bidi="ar-EG"/>
        </w:rPr>
        <w:t xml:space="preserve">. </w:t>
      </w:r>
      <w:r w:rsidRPr="004A2957">
        <w:rPr>
          <w:rtl/>
          <w:lang w:bidi="ar-EG"/>
        </w:rPr>
        <w:t>ويستخدم المكتب في عمله مجموعات وثائق البراءات بصيغة إلكترونية، ويستخدم كذلك نظام البحث الخاص به، وهو نظام معلومات البراءات للمكتب الأوروبي الآسيوي (</w:t>
      </w:r>
      <w:r w:rsidRPr="004A2957">
        <w:rPr>
          <w:lang w:bidi="ar-EG"/>
        </w:rPr>
        <w:t>EAPATIS</w:t>
      </w:r>
      <w:r w:rsidRPr="004A2957">
        <w:rPr>
          <w:rtl/>
          <w:lang w:bidi="ar-EG"/>
        </w:rPr>
        <w:t>). ويحتوي النظام على أكثر من 94 مليون وثيقة من وثائق البراءات، بما في ذلك المجموعات المنصوص عليها في الحد الأدنى للوثائق المطلوبة بموجب معاهدة البراءات، وقاعدة بيانات فريدة لوثائق البراءات يحتفظ بها المكتب وبلدان المنطقة الأوروبية الآسيوية باللغة الروسية</w:t>
      </w:r>
      <w:r w:rsidR="00BB2118">
        <w:rPr>
          <w:rtl/>
          <w:lang w:bidi="ar-EG"/>
        </w:rPr>
        <w:t xml:space="preserve">. </w:t>
      </w:r>
      <w:bookmarkStart w:id="6" w:name="OLE_LINK7"/>
      <w:r w:rsidRPr="004A2957">
        <w:rPr>
          <w:rtl/>
          <w:lang w:bidi="ar-EG"/>
        </w:rPr>
        <w:t xml:space="preserve">ويستخدم نظام </w:t>
      </w:r>
      <w:r w:rsidRPr="004A2957">
        <w:rPr>
          <w:lang w:bidi="ar-EG"/>
        </w:rPr>
        <w:t>EAPATIS</w:t>
      </w:r>
      <w:r w:rsidRPr="004A2957">
        <w:rPr>
          <w:rtl/>
          <w:lang w:bidi="ar-EG"/>
        </w:rPr>
        <w:t xml:space="preserve"> نظام الترجمة الآلية </w:t>
      </w:r>
      <w:r w:rsidRPr="004A2957">
        <w:rPr>
          <w:lang w:bidi="ar-EG"/>
        </w:rPr>
        <w:t>WIPO Translate</w:t>
      </w:r>
      <w:r w:rsidRPr="004A2957">
        <w:rPr>
          <w:rtl/>
          <w:lang w:bidi="ar-EG"/>
        </w:rPr>
        <w:t xml:space="preserve"> للمساعدة في ترجمة الوثائق بكميات كبيرة وإجراء الترجمة الإلكترونية للمعلومات المستمدة من الوثائق الفردية لاستعراضها</w:t>
      </w:r>
      <w:r w:rsidR="00BB2118">
        <w:rPr>
          <w:rtl/>
          <w:lang w:bidi="ar-EG"/>
        </w:rPr>
        <w:t xml:space="preserve">. </w:t>
      </w:r>
      <w:bookmarkEnd w:id="6"/>
      <w:r w:rsidRPr="004A2957">
        <w:rPr>
          <w:rtl/>
          <w:lang w:bidi="ar-EG"/>
        </w:rPr>
        <w:t>وقد طوّر المكتب محرك بحث خاص به، يتمتع بقدرات بحث واسعة، من أجل طلبات البراءات الأوروبية الآسيوية التي تحتوي على تسلسلات الأحماض الأمينية و/أو النيوكليوتيدات</w:t>
      </w:r>
      <w:r w:rsidR="00BB2118">
        <w:rPr>
          <w:rtl/>
          <w:lang w:bidi="ar-EG"/>
        </w:rPr>
        <w:t xml:space="preserve">. </w:t>
      </w:r>
      <w:r w:rsidRPr="004A2957">
        <w:rPr>
          <w:rtl/>
          <w:lang w:bidi="ar-EG"/>
        </w:rPr>
        <w:t xml:space="preserve">وتُستخدم أيضاً منصة البحث </w:t>
      </w:r>
      <w:proofErr w:type="spellStart"/>
      <w:r w:rsidRPr="004A2957">
        <w:rPr>
          <w:lang w:bidi="ar-EG"/>
        </w:rPr>
        <w:t>PatSearch</w:t>
      </w:r>
      <w:proofErr w:type="spellEnd"/>
      <w:r w:rsidRPr="004A2957">
        <w:rPr>
          <w:rtl/>
          <w:lang w:bidi="ar-EG"/>
        </w:rPr>
        <w:t xml:space="preserve"> التابعة للمكتب الفيدرالي </w:t>
      </w:r>
      <w:r w:rsidRPr="004A2957">
        <w:rPr>
          <w:rtl/>
          <w:lang w:bidi="ar-EG"/>
        </w:rPr>
        <w:lastRenderedPageBreak/>
        <w:t>الروسي للملكية الفكرية وأنظمة النفاذ المجاني مثل ركن البراءات و</w:t>
      </w:r>
      <w:proofErr w:type="spellStart"/>
      <w:r w:rsidRPr="004A2957">
        <w:rPr>
          <w:lang w:bidi="ar-EG"/>
        </w:rPr>
        <w:t>Espacenet</w:t>
      </w:r>
      <w:proofErr w:type="spellEnd"/>
      <w:r w:rsidRPr="004A2957">
        <w:rPr>
          <w:rtl/>
          <w:lang w:bidi="ar-EG"/>
        </w:rPr>
        <w:t xml:space="preserve"> و</w:t>
      </w:r>
      <w:r w:rsidRPr="004A2957">
        <w:rPr>
          <w:lang w:bidi="ar-EG"/>
        </w:rPr>
        <w:t>Google Patents</w:t>
      </w:r>
      <w:r w:rsidRPr="004A2957">
        <w:rPr>
          <w:rtl/>
          <w:lang w:bidi="ar-EG"/>
        </w:rPr>
        <w:t xml:space="preserve"> و</w:t>
      </w:r>
      <w:r w:rsidRPr="004A2957">
        <w:rPr>
          <w:lang w:bidi="ar-EG"/>
        </w:rPr>
        <w:t>NCBI</w:t>
      </w:r>
      <w:r w:rsidRPr="004A2957">
        <w:rPr>
          <w:rtl/>
          <w:lang w:bidi="ar-EG"/>
        </w:rPr>
        <w:t xml:space="preserve"> و</w:t>
      </w:r>
      <w:r w:rsidRPr="004A2957">
        <w:rPr>
          <w:lang w:bidi="ar-EG"/>
        </w:rPr>
        <w:t>EBI</w:t>
      </w:r>
      <w:r w:rsidR="00BB2118">
        <w:rPr>
          <w:rtl/>
          <w:lang w:bidi="ar-EG"/>
        </w:rPr>
        <w:t xml:space="preserve">. </w:t>
      </w:r>
      <w:r w:rsidRPr="004A2957">
        <w:rPr>
          <w:rtl/>
          <w:lang w:bidi="ar-EG"/>
        </w:rPr>
        <w:t xml:space="preserve">ويتيح المكتب أيضاً النفاذ إلى قواعد بيانات متخصصة مثل </w:t>
      </w:r>
      <w:r w:rsidRPr="004A2957">
        <w:rPr>
          <w:lang w:bidi="ar-EG"/>
        </w:rPr>
        <w:t xml:space="preserve">CAS </w:t>
      </w:r>
      <w:proofErr w:type="spellStart"/>
      <w:r w:rsidRPr="004A2957">
        <w:rPr>
          <w:lang w:bidi="ar-EG"/>
        </w:rPr>
        <w:t>STNext</w:t>
      </w:r>
      <w:proofErr w:type="spellEnd"/>
      <w:r w:rsidRPr="004A2957">
        <w:rPr>
          <w:rtl/>
          <w:lang w:bidi="ar-EG"/>
        </w:rPr>
        <w:t xml:space="preserve"> و</w:t>
      </w:r>
      <w:r w:rsidRPr="004A2957">
        <w:rPr>
          <w:lang w:bidi="ar-EG"/>
        </w:rPr>
        <w:t>The Lens</w:t>
      </w:r>
      <w:r w:rsidRPr="004A2957">
        <w:rPr>
          <w:rtl/>
          <w:lang w:bidi="ar-EG"/>
        </w:rPr>
        <w:t xml:space="preserve"> و</w:t>
      </w:r>
      <w:r w:rsidRPr="004A2957">
        <w:rPr>
          <w:lang w:bidi="ar-EG"/>
        </w:rPr>
        <w:t>PubMed</w:t>
      </w:r>
      <w:r w:rsidRPr="004A2957">
        <w:rPr>
          <w:rtl/>
          <w:lang w:bidi="ar-EG"/>
        </w:rPr>
        <w:t xml:space="preserve"> و</w:t>
      </w:r>
      <w:r w:rsidRPr="004A2957">
        <w:rPr>
          <w:lang w:bidi="ar-EG"/>
        </w:rPr>
        <w:t>TKDL</w:t>
      </w:r>
      <w:r w:rsidRPr="004A2957">
        <w:rPr>
          <w:rtl/>
          <w:lang w:bidi="ar-EG"/>
        </w:rPr>
        <w:t xml:space="preserve"> (قاعدة بيانات بشأن المعارف التقليدية)</w:t>
      </w:r>
      <w:r w:rsidR="00BB2118">
        <w:rPr>
          <w:rtl/>
          <w:lang w:bidi="ar-EG"/>
        </w:rPr>
        <w:t xml:space="preserve">. </w:t>
      </w:r>
      <w:r w:rsidRPr="004A2957">
        <w:rPr>
          <w:rtl/>
          <w:lang w:bidi="ar-EG"/>
        </w:rPr>
        <w:t>ونعمل حالياً على تطوير قواعد بيانات بحث خاصة بنا وأدوات ترجمة آلية لمجموعات موسعة من وثائق البراءات، والتي ستُشكّل جزءاً من الحد الأدنى للوثائق المطلوبة بموجب معاهدة البراءات بدءاً من أوائل عام 2026</w:t>
      </w:r>
      <w:r w:rsidR="00BB2118">
        <w:rPr>
          <w:rtl/>
          <w:lang w:bidi="ar-EG"/>
        </w:rPr>
        <w:t xml:space="preserve">. </w:t>
      </w:r>
      <w:r w:rsidRPr="004A2957">
        <w:rPr>
          <w:rtl/>
          <w:lang w:bidi="ar-EG"/>
        </w:rPr>
        <w:t>واستناداً إلى قائمة مصادر الوثائق غير المتعلقة بالبراءات المنصوص عليها في القاعدة 1.34 (ب)"3" من اللائحة التنفيذية لمعاهدة البراءات، أنشأ المكتب الأوروبي الآسيوي فهرساً للموارد المتاحة على الإنترنت، منظماً حسب المجال التكنولوجي، يمكن استخدامه للبحث في البراءات</w:t>
      </w:r>
      <w:r w:rsidR="00BB2118">
        <w:rPr>
          <w:rtl/>
          <w:lang w:bidi="ar-EG"/>
        </w:rPr>
        <w:t xml:space="preserve">. </w:t>
      </w:r>
      <w:r w:rsidRPr="004A2957">
        <w:rPr>
          <w:rtl/>
          <w:lang w:bidi="ar-EG"/>
        </w:rPr>
        <w:t>ويسلّط الفهرس الضوء على المصادر المتاحة عبر البوابة (وثائق بشأن مختلف مجالات التكنولوجيا)، إضافة إلى موارد رئيسية في بعض فروع المعرفة - مثل الكيمياء، والطب، والبيوتكنولوجيا، والفيزياء وغيرها، تبلغ حوالي 30 فئة في المجمل</w:t>
      </w:r>
      <w:r w:rsidR="00BB2118">
        <w:rPr>
          <w:rtl/>
          <w:lang w:bidi="ar-EG"/>
        </w:rPr>
        <w:t xml:space="preserve">. </w:t>
      </w:r>
      <w:r w:rsidRPr="004A2957">
        <w:rPr>
          <w:rtl/>
          <w:lang w:bidi="ar-EG"/>
        </w:rPr>
        <w:t xml:space="preserve">ويرعى أيضاً المكتب الأوروبي الآسيوي للبراءات مجموعته الخاصة من الوثائق غير المتعلقة بالبراءات ويحدثها باستمرار (حوالي 4 ملايين مجلة ومقالة)، ويعمل على توفير البحث في النص كامل من أجل استخدام نظام </w:t>
      </w:r>
      <w:r w:rsidRPr="004A2957">
        <w:rPr>
          <w:lang w:bidi="ar-EG"/>
        </w:rPr>
        <w:t>EAPATIS</w:t>
      </w:r>
      <w:r w:rsidR="00BB2118">
        <w:rPr>
          <w:rtl/>
          <w:lang w:bidi="ar-EG"/>
        </w:rPr>
        <w:t xml:space="preserve">. </w:t>
      </w:r>
      <w:r w:rsidRPr="004A2957">
        <w:rPr>
          <w:rtl/>
          <w:lang w:bidi="ar-EG"/>
        </w:rPr>
        <w:t>وفي عام 2025، أتاح المكتب النفاذ إلى أكثر من 150 مصدراً من المؤلفات المتخصصة غير المتعلقة بالبراءات في مختلف مجالات التكنولوجيا عبر منصة المكتبة العلمية والتقنية العامة للدولة الروسية.</w:t>
      </w:r>
    </w:p>
    <w:p w14:paraId="5DE1360E" w14:textId="63B86FB8" w:rsidR="004A2957" w:rsidRPr="004A2957" w:rsidRDefault="00163C60" w:rsidP="004A2957">
      <w:pPr>
        <w:keepLines/>
        <w:pBdr>
          <w:top w:val="single" w:sz="4" w:space="1" w:color="auto"/>
        </w:pBdr>
        <w:spacing w:before="360" w:after="200" w:line="480" w:lineRule="auto"/>
        <w:outlineLvl w:val="2"/>
        <w:rPr>
          <w:rFonts w:ascii="Calibri" w:eastAsia="Times New Roman" w:hAnsi="Calibri"/>
          <w:b/>
          <w:bCs/>
          <w:caps/>
          <w:rtl/>
          <w:lang w:bidi="ar-EG"/>
        </w:rPr>
      </w:pPr>
      <w:r w:rsidRPr="00163C60">
        <w:rPr>
          <w:rFonts w:ascii="Calibri" w:eastAsia="Times New Roman" w:hAnsi="Calibri" w:hint="cs"/>
          <w:b/>
          <w:bCs/>
          <w:caps/>
          <w:rtl/>
          <w:lang w:bidi="ar-EG"/>
        </w:rPr>
        <w:t>4.2</w:t>
      </w:r>
      <w:r w:rsidR="004A2957" w:rsidRPr="004A2957">
        <w:rPr>
          <w:rFonts w:ascii="Calibri" w:eastAsia="Times New Roman" w:hAnsi="Calibri"/>
          <w:b/>
          <w:bCs/>
          <w:caps/>
          <w:rtl/>
          <w:lang w:bidi="ar-EG"/>
        </w:rPr>
        <w:t>- إدارة الجودة</w:t>
      </w:r>
    </w:p>
    <w:p w14:paraId="23E3A29C" w14:textId="35A2C5E7" w:rsidR="004A2957" w:rsidRPr="004A2957" w:rsidRDefault="004A2957" w:rsidP="004A2957">
      <w:pPr>
        <w:keepLines/>
        <w:spacing w:after="240"/>
        <w:ind w:left="567" w:right="567"/>
        <w:rPr>
          <w:rFonts w:ascii="Calibri" w:hAnsi="Calibri"/>
          <w:i/>
          <w:iCs/>
          <w:rtl/>
          <w:lang w:bidi="ar-EG"/>
        </w:rPr>
      </w:pPr>
      <w:r w:rsidRPr="004A2957">
        <w:rPr>
          <w:rFonts w:ascii="Calibri" w:hAnsi="Calibri"/>
          <w:i/>
          <w:iCs/>
          <w:rtl/>
          <w:lang w:bidi="ar-EG"/>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6EE2073F" w14:textId="77777777" w:rsidR="004A2957" w:rsidRPr="004A2957" w:rsidRDefault="004A2957" w:rsidP="00163C60">
      <w:pPr>
        <w:pStyle w:val="BodyText"/>
        <w:rPr>
          <w:iCs/>
          <w:rtl/>
          <w:lang w:bidi="ar-EG"/>
        </w:rPr>
      </w:pPr>
      <w:r w:rsidRPr="004A2957">
        <w:rPr>
          <w:rtl/>
          <w:lang w:bidi="ar-EG"/>
        </w:rPr>
        <w:t>يقدم تقرير نظام إدارة الجودة معلومات من الإدارة عن نظام إدارة الجودة الموجود لديها بموجب الفصل 21 من المبادئ التوجيهية ويتضمن الإبلاغ بموجب الفقرة 09.21 عن ترتيبات المراجعة الداخلية الموضحة بمزيد من التفصيل في الفقرات من 27.21 إلى 30.21 من المبادئ التوجيهية.</w:t>
      </w:r>
    </w:p>
    <w:p w14:paraId="703CEE26" w14:textId="77777777" w:rsidR="004A2957" w:rsidRPr="004A2957" w:rsidRDefault="004A2957" w:rsidP="00163C60">
      <w:pPr>
        <w:pStyle w:val="BodyText"/>
        <w:rPr>
          <w:iCs/>
          <w:rtl/>
          <w:lang w:bidi="ar-EG"/>
        </w:rPr>
      </w:pPr>
      <w:r w:rsidRPr="004A2957">
        <w:rPr>
          <w:rtl/>
          <w:lang w:bidi="ar-EG"/>
        </w:rPr>
        <w:t>معلومات أخرى خلاف تقرير نظام إدارة الجودة:</w:t>
      </w:r>
    </w:p>
    <w:p w14:paraId="6C892828" w14:textId="0F27BA3A" w:rsidR="004A2957" w:rsidRPr="004A2957" w:rsidRDefault="004A2957" w:rsidP="00163C60">
      <w:pPr>
        <w:pStyle w:val="BodyText"/>
        <w:rPr>
          <w:iCs/>
          <w:rtl/>
          <w:lang w:bidi="ar-EG"/>
        </w:rPr>
      </w:pPr>
      <w:r w:rsidRPr="004A2957">
        <w:rPr>
          <w:rtl/>
          <w:lang w:bidi="ar-EG"/>
        </w:rPr>
        <w:t>في عام 2024، تمت المصادقة على جميع العمليات التي يؤديها المكتب، بدءاً من إيداع طلبات البراءات الأوروبية الآسيوية وصولاً إلى نشر البراءات، على النحو المؤكد في شهادة مطابقة نظام إدارة الجودة الخاص به مع المعيار</w:t>
      </w:r>
      <w:r w:rsidRPr="004A2957">
        <w:rPr>
          <w:lang w:bidi="ar-EG"/>
        </w:rPr>
        <w:t>ISO 9001:2015</w:t>
      </w:r>
      <w:r w:rsidR="00BB2118">
        <w:rPr>
          <w:rtl/>
          <w:lang w:bidi="ar-EG"/>
        </w:rPr>
        <w:t xml:space="preserve">. </w:t>
      </w:r>
      <w:r w:rsidRPr="004A2957">
        <w:rPr>
          <w:rtl/>
          <w:lang w:bidi="ar-EG"/>
        </w:rPr>
        <w:t xml:space="preserve">وقد صدرت هذه الشهادة عن هيئة إصدار الشهادات </w:t>
      </w:r>
      <w:r w:rsidRPr="004A2957">
        <w:rPr>
          <w:lang w:bidi="ar-EG"/>
        </w:rPr>
        <w:t>TÜV Austria</w:t>
      </w:r>
      <w:r w:rsidRPr="004A2957">
        <w:rPr>
          <w:rtl/>
          <w:lang w:bidi="ar-EG"/>
        </w:rPr>
        <w:t xml:space="preserve"> (فيينا)، برقم التسجيل التالي: 20100243019787</w:t>
      </w:r>
      <w:r w:rsidR="00BB2118">
        <w:rPr>
          <w:rtl/>
          <w:lang w:bidi="ar-EG"/>
        </w:rPr>
        <w:t xml:space="preserve">. </w:t>
      </w:r>
      <w:r w:rsidRPr="004A2957">
        <w:rPr>
          <w:rtl/>
          <w:lang w:bidi="ar-EG"/>
        </w:rPr>
        <w:t xml:space="preserve">وقبل الحصول على الشهادة، حضر 20 رئيس إدارة في المكتب ونوابهم دورة تدريبية نظمتها أكاديمية </w:t>
      </w:r>
      <w:r w:rsidRPr="004A2957">
        <w:rPr>
          <w:lang w:bidi="ar-EG"/>
        </w:rPr>
        <w:t>TÜV Austria</w:t>
      </w:r>
      <w:r w:rsidRPr="004A2957">
        <w:rPr>
          <w:rtl/>
          <w:lang w:bidi="ar-EG"/>
        </w:rPr>
        <w:t xml:space="preserve"> حول متطلبات المعيار </w:t>
      </w:r>
      <w:r w:rsidRPr="004A2957">
        <w:rPr>
          <w:lang w:bidi="ar-EG"/>
        </w:rPr>
        <w:t>ISO 9001</w:t>
      </w:r>
      <w:r w:rsidRPr="004A2957">
        <w:rPr>
          <w:rtl/>
          <w:lang w:bidi="ar-EG"/>
        </w:rPr>
        <w:t xml:space="preserve"> وتطبيقه</w:t>
      </w:r>
      <w:r w:rsidR="00BB2118">
        <w:rPr>
          <w:rtl/>
          <w:lang w:bidi="ar-EG"/>
        </w:rPr>
        <w:t xml:space="preserve">. </w:t>
      </w:r>
      <w:r w:rsidRPr="004A2957">
        <w:rPr>
          <w:rtl/>
          <w:lang w:bidi="ar-EG"/>
        </w:rPr>
        <w:t xml:space="preserve">وحصل 11 فرداً من هؤلاء الموظفين على شهادة بعد حضورهم دورة تدريبية متخصصة حول إجراء عمليات التدقيق الداخلي وفقاً للمعيار </w:t>
      </w:r>
      <w:r w:rsidRPr="004A2957">
        <w:rPr>
          <w:lang w:bidi="ar-EG"/>
        </w:rPr>
        <w:t>ISO 9001</w:t>
      </w:r>
      <w:r w:rsidR="00BB2118">
        <w:rPr>
          <w:rtl/>
          <w:lang w:bidi="ar-EG"/>
        </w:rPr>
        <w:t xml:space="preserve">. </w:t>
      </w:r>
      <w:r w:rsidRPr="004A2957">
        <w:rPr>
          <w:rtl/>
          <w:lang w:bidi="ar-EG"/>
        </w:rPr>
        <w:t>ويتسق نظام إدارة الجودة في المكتب اتساقاً تاماً مع المتطلبات المنصوص عليها في الفصل الحادي والعشرين من المبادئ التوجيهية لمعاهدة التعاون بشأن البراءات الخاصة بالبحث الدولي والفحص التمهيدي الدولي</w:t>
      </w:r>
      <w:r w:rsidR="00BB2118">
        <w:rPr>
          <w:rtl/>
          <w:lang w:bidi="ar-EG"/>
        </w:rPr>
        <w:t xml:space="preserve">. </w:t>
      </w:r>
      <w:r w:rsidRPr="004A2957">
        <w:rPr>
          <w:rtl/>
          <w:lang w:bidi="ar-EG"/>
        </w:rPr>
        <w:t>ويُطبق هذا النظام في جميع أعمال المكتب، سواءً بصفته مكتب تسلم طلبات ومكتباً منتخباً أو بصفته إدارة بحث دولي/إدارة فحص تمهيدي دولي.</w:t>
      </w:r>
    </w:p>
    <w:p w14:paraId="64D66636" w14:textId="5E9664FB" w:rsidR="004A2957" w:rsidRPr="004A2957" w:rsidRDefault="004A2957" w:rsidP="00163C60">
      <w:pPr>
        <w:pStyle w:val="BodyText"/>
        <w:rPr>
          <w:rtl/>
          <w:lang w:bidi="ar-EG"/>
        </w:rPr>
      </w:pPr>
      <w:r w:rsidRPr="004A2957">
        <w:rPr>
          <w:rtl/>
          <w:lang w:bidi="ar-EG"/>
        </w:rPr>
        <w:t>وفي إطار الجهود المستمرة لتحسين عمليات البحث والفحص المتعلقة بالبراءات، تم تشكيل فريق عمل مشترك بين الإدارات معني بفحص الاختراعات بناءً على اقتراح المكتب، وذلك بقرار من المجلس الإداري للمكتب الأوروبي الآسيوي بتاريخ 15 أكتوبر 2025</w:t>
      </w:r>
      <w:r w:rsidR="00BB2118">
        <w:rPr>
          <w:rtl/>
          <w:lang w:bidi="ar-EG"/>
        </w:rPr>
        <w:t xml:space="preserve">. </w:t>
      </w:r>
      <w:r w:rsidRPr="004A2957">
        <w:rPr>
          <w:rtl/>
          <w:lang w:bidi="ar-EG"/>
        </w:rPr>
        <w:t>ويضم الفريق في عضويته ممثلين عن الدول الأعضاء في المنظمة</w:t>
      </w:r>
      <w:r w:rsidR="00BB2118">
        <w:rPr>
          <w:rtl/>
          <w:lang w:bidi="ar-EG"/>
        </w:rPr>
        <w:t xml:space="preserve">. </w:t>
      </w:r>
      <w:r w:rsidRPr="004A2957">
        <w:rPr>
          <w:rtl/>
          <w:lang w:bidi="ar-EG"/>
        </w:rPr>
        <w:t>ويهدف الفريق إلى ضمان جودة عالية لعمليات البحث وفعالية إجراءات الفحص، بما في ذلك تطوير أدوات الذكاء الاصطناعي لدعم عمل الفاحصين وإدارة إجراءات البراءات.</w:t>
      </w:r>
    </w:p>
    <w:p w14:paraId="101C242D" w14:textId="77777777" w:rsidR="004A2957" w:rsidRPr="004A2957" w:rsidRDefault="004A2957" w:rsidP="00163C60">
      <w:pPr>
        <w:keepLines/>
        <w:pBdr>
          <w:top w:val="single" w:sz="4" w:space="1" w:color="auto"/>
        </w:pBdr>
        <w:spacing w:before="360" w:after="200"/>
        <w:outlineLvl w:val="2"/>
        <w:rPr>
          <w:rFonts w:ascii="Calibri" w:eastAsia="Times New Roman" w:hAnsi="Calibri"/>
          <w:b/>
          <w:bCs/>
          <w:caps/>
          <w:rtl/>
          <w:lang w:bidi="ar-EG"/>
        </w:rPr>
      </w:pPr>
      <w:r w:rsidRPr="004A2957">
        <w:rPr>
          <w:rFonts w:ascii="Calibri" w:eastAsia="Times New Roman" w:hAnsi="Calibri"/>
          <w:b/>
          <w:bCs/>
          <w:caps/>
          <w:lang w:bidi="ar-EG"/>
        </w:rPr>
        <w:t>‎3</w:t>
      </w:r>
      <w:r w:rsidRPr="004A2957">
        <w:rPr>
          <w:rFonts w:ascii="Calibri" w:eastAsia="Times New Roman" w:hAnsi="Calibri"/>
          <w:b/>
          <w:bCs/>
          <w:caps/>
          <w:rtl/>
          <w:lang w:bidi="ar-EG"/>
        </w:rPr>
        <w:t>- نطاق التشغيل</w:t>
      </w:r>
    </w:p>
    <w:p w14:paraId="22A47DCF" w14:textId="77777777" w:rsidR="004A2957" w:rsidRPr="004A2957" w:rsidRDefault="004A2957" w:rsidP="00163C60">
      <w:pPr>
        <w:pStyle w:val="Heading3"/>
        <w:rPr>
          <w:rtl/>
        </w:rPr>
      </w:pPr>
      <w:r w:rsidRPr="004A2957">
        <w:t>‎</w:t>
      </w:r>
      <w:r w:rsidRPr="004A2957">
        <w:rPr>
          <w:rtl/>
        </w:rPr>
        <w:t xml:space="preserve">(أ) </w:t>
      </w:r>
      <w:r w:rsidRPr="004A2957">
        <w:t>‎</w:t>
      </w:r>
      <w:r w:rsidRPr="004A2957">
        <w:rPr>
          <w:rtl/>
        </w:rPr>
        <w:t>نطاق التشغيل الحالي</w:t>
      </w:r>
    </w:p>
    <w:p w14:paraId="1B7B2F2A" w14:textId="15097D21" w:rsidR="004A2957" w:rsidRPr="004A2957" w:rsidRDefault="004A2957" w:rsidP="006F6076">
      <w:pPr>
        <w:pStyle w:val="BodyText"/>
        <w:rPr>
          <w:rtl/>
          <w:lang w:bidi="ar-EG"/>
        </w:rPr>
      </w:pPr>
      <w:r w:rsidRPr="004A2957">
        <w:rPr>
          <w:rtl/>
          <w:lang w:bidi="ar-EG"/>
        </w:rPr>
        <w:t>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دليل مودع الطلب بناء على معاهدة التعاون بشأن البراءات المتاح من خلال الرابط</w:t>
      </w:r>
      <w:r w:rsidR="009F59E0">
        <w:rPr>
          <w:rFonts w:hint="cs"/>
          <w:rtl/>
        </w:rPr>
        <w:t>ين التاليين</w:t>
      </w:r>
      <w:r w:rsidRPr="004A2957">
        <w:rPr>
          <w:rtl/>
          <w:lang w:bidi="ar-EG"/>
        </w:rPr>
        <w:t xml:space="preserve">:  </w:t>
      </w:r>
      <w:bookmarkStart w:id="7" w:name="_Hlk215085102"/>
      <w:r w:rsidRPr="004A2957">
        <w:rPr>
          <w:color w:val="0000FF" w:themeColor="hyperlink"/>
          <w:u w:val="single"/>
          <w:rtl/>
          <w:lang w:bidi="ar-EG"/>
        </w:rPr>
        <w:fldChar w:fldCharType="begin"/>
      </w:r>
      <w:r w:rsidRPr="004A2957">
        <w:rPr>
          <w:rtl/>
          <w:lang w:bidi="ar-EG"/>
        </w:rPr>
        <w:instrText xml:space="preserve"> </w:instrText>
      </w:r>
      <w:r w:rsidRPr="004A2957">
        <w:rPr>
          <w:color w:val="0000FF" w:themeColor="hyperlink"/>
          <w:u w:val="single"/>
          <w:lang w:bidi="ar-EG"/>
        </w:rPr>
        <w:instrText>HYPERLINK "https://pctlegal.wipo.int/eGuide/view-doc.xhtml?doc-code=EA&amp;amp;doc-lang=en%23ISA."</w:instrText>
      </w:r>
      <w:r w:rsidRPr="004A2957">
        <w:rPr>
          <w:color w:val="0000FF" w:themeColor="hyperlink"/>
          <w:u w:val="single"/>
          <w:rtl/>
          <w:lang w:bidi="ar-EG"/>
        </w:rPr>
      </w:r>
      <w:r w:rsidRPr="004A2957">
        <w:rPr>
          <w:color w:val="0000FF" w:themeColor="hyperlink"/>
          <w:u w:val="single"/>
          <w:rtl/>
          <w:lang w:bidi="ar-EG"/>
        </w:rPr>
        <w:fldChar w:fldCharType="separate"/>
      </w:r>
      <w:r w:rsidRPr="004A2957">
        <w:rPr>
          <w:color w:val="0000FF" w:themeColor="hyperlink"/>
          <w:u w:val="single"/>
          <w:lang w:bidi="ar-EG"/>
        </w:rPr>
        <w:t>https://pctlegal.wipo.int/eGuide/view-doc.xhtml?doc-code=EA&amp;amp;doc-lang=en#ISA</w:t>
      </w:r>
      <w:r w:rsidRPr="004A2957">
        <w:rPr>
          <w:color w:val="0000FF" w:themeColor="hyperlink"/>
          <w:u w:val="single"/>
          <w:rtl/>
          <w:lang w:bidi="ar-EG"/>
        </w:rPr>
        <w:fldChar w:fldCharType="end"/>
      </w:r>
      <w:bookmarkEnd w:id="7"/>
      <w:r w:rsidR="006F6076">
        <w:rPr>
          <w:rFonts w:hint="cs"/>
          <w:rtl/>
          <w:lang w:bidi="ar-EG"/>
        </w:rPr>
        <w:t xml:space="preserve"> و</w:t>
      </w:r>
      <w:r w:rsidR="006F6076" w:rsidRPr="006F6076">
        <w:t xml:space="preserve"> </w:t>
      </w:r>
      <w:hyperlink r:id="rId20" w:anchor="#IPEA" w:history="1">
        <w:r w:rsidR="006F6076">
          <w:rPr>
            <w:rStyle w:val="Hyperlink"/>
          </w:rPr>
          <w:t>https://pctlegal.wipo.int/eGuide/view-doc.xhtml?doc-code=EA&amp;amp;doc-lang=en#IPEA</w:t>
        </w:r>
      </w:hyperlink>
      <w:r w:rsidR="006F6076">
        <w:rPr>
          <w:rFonts w:hint="cs"/>
          <w:rtl/>
          <w:lang w:bidi="ar-EG"/>
        </w:rPr>
        <w:t>.</w:t>
      </w:r>
    </w:p>
    <w:p w14:paraId="5FCD243D" w14:textId="77777777" w:rsidR="004A2957" w:rsidRDefault="004A2957" w:rsidP="007375A1">
      <w:pPr>
        <w:pStyle w:val="Heading3"/>
        <w:rPr>
          <w:rtl/>
        </w:rPr>
      </w:pPr>
      <w:r w:rsidRPr="004A2957">
        <w:t>‎</w:t>
      </w:r>
      <w:r w:rsidRPr="004A2957">
        <w:rPr>
          <w:rtl/>
        </w:rPr>
        <w:t>(ب) التغييرات المخطط لها بشأن نطاق تشغيل الإدارة، مثل مكاتب تسلم الطلبات التي تختص الإدارة بالنظر في طلباتها واللغات المتاحة (إن وجدت):</w:t>
      </w:r>
    </w:p>
    <w:p w14:paraId="6941D894" w14:textId="77777777" w:rsidR="00031A4E" w:rsidRPr="00031A4E" w:rsidRDefault="00031A4E" w:rsidP="00031A4E">
      <w:pPr>
        <w:rPr>
          <w:rtl/>
          <w:lang w:bidi="ar-EG"/>
        </w:rPr>
      </w:pPr>
    </w:p>
    <w:p w14:paraId="5BF42B06" w14:textId="310938C0" w:rsidR="004A2957" w:rsidRPr="004A2957" w:rsidRDefault="004A2957" w:rsidP="006A75DF">
      <w:pPr>
        <w:keepNext/>
        <w:keepLines/>
        <w:pBdr>
          <w:top w:val="single" w:sz="4" w:space="1" w:color="auto"/>
        </w:pBdr>
        <w:spacing w:before="360" w:after="200"/>
        <w:outlineLvl w:val="2"/>
        <w:rPr>
          <w:rFonts w:ascii="Calibri" w:eastAsia="Times New Roman" w:hAnsi="Calibri"/>
          <w:b/>
          <w:bCs/>
          <w:caps/>
          <w:rtl/>
          <w:lang w:bidi="ar-EG"/>
        </w:rPr>
      </w:pPr>
      <w:r w:rsidRPr="004A2957">
        <w:rPr>
          <w:rFonts w:ascii="Calibri" w:eastAsia="Times New Roman" w:hAnsi="Calibri"/>
          <w:b/>
          <w:bCs/>
          <w:caps/>
          <w:rtl/>
          <w:lang w:bidi="ar-EG"/>
        </w:rPr>
        <w:t>4- معلومات أخرى</w:t>
      </w:r>
    </w:p>
    <w:p w14:paraId="4123707A" w14:textId="77777777" w:rsidR="004A2957" w:rsidRPr="004A2957" w:rsidRDefault="004A2957" w:rsidP="0019680C">
      <w:pPr>
        <w:pStyle w:val="BodyText"/>
        <w:rPr>
          <w:rtl/>
          <w:lang w:bidi="ar-EG"/>
        </w:rPr>
      </w:pPr>
      <w:r w:rsidRPr="004A2957">
        <w:rPr>
          <w:rtl/>
          <w:lang w:bidi="ar-EG"/>
        </w:rPr>
        <w:t>أية معلومات إضافية تتعلق بتمديد التعيين كإدارة للبحث الدولي والفحص التمهيدي الدولي:</w:t>
      </w:r>
    </w:p>
    <w:p w14:paraId="73923952" w14:textId="40D16344" w:rsidR="004A2957" w:rsidRPr="004A2957" w:rsidRDefault="004A2957" w:rsidP="0019680C">
      <w:pPr>
        <w:pStyle w:val="BodyText"/>
        <w:rPr>
          <w:rtl/>
          <w:lang w:bidi="ar-EG"/>
        </w:rPr>
      </w:pPr>
      <w:r w:rsidRPr="004A2957">
        <w:rPr>
          <w:rtl/>
          <w:lang w:bidi="ar-EG"/>
        </w:rPr>
        <w:t>يُعدّ المكتب إدارة البحث الدولي/إدارة الفحص التمهيدي الدولي المختصة لجميع مكاتب تسلم الطلبات للدول الأعضاء التالية في المكتب الأوروبي الآسيوي للبراءات: تركمانستان (</w:t>
      </w:r>
      <w:r w:rsidRPr="004A2957">
        <w:rPr>
          <w:lang w:bidi="ar-EG"/>
        </w:rPr>
        <w:t>TM</w:t>
      </w:r>
      <w:r w:rsidR="006A75DF">
        <w:rPr>
          <w:rtl/>
          <w:lang w:bidi="ar-EG"/>
        </w:rPr>
        <w:t>)</w:t>
      </w:r>
      <w:r w:rsidRPr="004A2957">
        <w:rPr>
          <w:rtl/>
          <w:lang w:bidi="ar-EG"/>
        </w:rPr>
        <w:t>، وبيلاروس (</w:t>
      </w:r>
      <w:r w:rsidRPr="004A2957">
        <w:rPr>
          <w:lang w:bidi="ar-EG"/>
        </w:rPr>
        <w:t>BY</w:t>
      </w:r>
      <w:r w:rsidR="006A75DF">
        <w:rPr>
          <w:rtl/>
          <w:lang w:bidi="ar-EG"/>
        </w:rPr>
        <w:t>)</w:t>
      </w:r>
      <w:r w:rsidRPr="004A2957">
        <w:rPr>
          <w:rtl/>
          <w:lang w:bidi="ar-EG"/>
        </w:rPr>
        <w:t>، وطاجيكستان (</w:t>
      </w:r>
      <w:r w:rsidRPr="004A2957">
        <w:rPr>
          <w:lang w:bidi="ar-EG"/>
        </w:rPr>
        <w:t>TJ</w:t>
      </w:r>
      <w:r w:rsidR="006A75DF">
        <w:rPr>
          <w:rtl/>
          <w:lang w:bidi="ar-EG"/>
        </w:rPr>
        <w:t>)</w:t>
      </w:r>
      <w:r w:rsidRPr="004A2957">
        <w:rPr>
          <w:rtl/>
          <w:lang w:bidi="ar-EG"/>
        </w:rPr>
        <w:t>، والاتحاد الروسي (</w:t>
      </w:r>
      <w:r w:rsidRPr="004A2957">
        <w:rPr>
          <w:lang w:bidi="ar-EG"/>
        </w:rPr>
        <w:t>RU</w:t>
      </w:r>
      <w:r w:rsidR="006A75DF">
        <w:rPr>
          <w:rtl/>
          <w:lang w:bidi="ar-EG"/>
        </w:rPr>
        <w:t>)</w:t>
      </w:r>
      <w:r w:rsidRPr="004A2957">
        <w:rPr>
          <w:rtl/>
          <w:lang w:bidi="ar-EG"/>
        </w:rPr>
        <w:t>، وكازاخستان (</w:t>
      </w:r>
      <w:r w:rsidRPr="004A2957">
        <w:rPr>
          <w:lang w:bidi="ar-EG"/>
        </w:rPr>
        <w:t>KZ</w:t>
      </w:r>
      <w:r w:rsidR="006A75DF">
        <w:rPr>
          <w:rtl/>
          <w:lang w:bidi="ar-EG"/>
        </w:rPr>
        <w:t>)</w:t>
      </w:r>
      <w:r w:rsidRPr="004A2957">
        <w:rPr>
          <w:rtl/>
          <w:lang w:bidi="ar-EG"/>
        </w:rPr>
        <w:t>، وأذربيجان (</w:t>
      </w:r>
      <w:r w:rsidRPr="004A2957">
        <w:rPr>
          <w:lang w:bidi="ar-EG"/>
        </w:rPr>
        <w:t>AZ</w:t>
      </w:r>
      <w:r w:rsidR="006A75DF">
        <w:rPr>
          <w:rtl/>
          <w:lang w:bidi="ar-EG"/>
        </w:rPr>
        <w:t>)</w:t>
      </w:r>
      <w:r w:rsidRPr="004A2957">
        <w:rPr>
          <w:rtl/>
          <w:lang w:bidi="ar-EG"/>
        </w:rPr>
        <w:t>، وقيرغيزستان (</w:t>
      </w:r>
      <w:r w:rsidRPr="004A2957">
        <w:rPr>
          <w:lang w:bidi="ar-EG"/>
        </w:rPr>
        <w:t>KG</w:t>
      </w:r>
      <w:r w:rsidR="006A75DF">
        <w:rPr>
          <w:rtl/>
          <w:lang w:bidi="ar-EG"/>
        </w:rPr>
        <w:t>)</w:t>
      </w:r>
      <w:r w:rsidRPr="004A2957">
        <w:rPr>
          <w:rtl/>
          <w:lang w:bidi="ar-EG"/>
        </w:rPr>
        <w:t>، وأرمينيا (</w:t>
      </w:r>
      <w:r w:rsidRPr="004A2957">
        <w:rPr>
          <w:lang w:bidi="ar-EG"/>
        </w:rPr>
        <w:t>AM</w:t>
      </w:r>
      <w:r w:rsidR="006A75DF">
        <w:rPr>
          <w:rtl/>
          <w:lang w:bidi="ar-EG"/>
        </w:rPr>
        <w:t>)</w:t>
      </w:r>
      <w:r w:rsidR="00BB2118">
        <w:rPr>
          <w:rtl/>
          <w:lang w:bidi="ar-EG"/>
        </w:rPr>
        <w:t xml:space="preserve">. </w:t>
      </w:r>
      <w:r w:rsidRPr="004A2957">
        <w:rPr>
          <w:rtl/>
          <w:lang w:bidi="ar-EG"/>
        </w:rPr>
        <w:t>ويتولّى المكتب أيضاً معالجة الطلبات الدولية المودعة لديه بصفته مكتب تسلم طلبات.</w:t>
      </w:r>
    </w:p>
    <w:p w14:paraId="6CF3E9D4" w14:textId="3BDA0690" w:rsidR="004A2957" w:rsidRPr="004A2957" w:rsidRDefault="004A2957" w:rsidP="0019680C">
      <w:pPr>
        <w:pStyle w:val="BodyText"/>
        <w:rPr>
          <w:rtl/>
          <w:lang w:bidi="ar-EG"/>
        </w:rPr>
      </w:pPr>
      <w:r w:rsidRPr="004A2957">
        <w:rPr>
          <w:rtl/>
          <w:lang w:bidi="ar-EG"/>
        </w:rPr>
        <w:t>ويشارك المكتب في أنشطة الويبو الرامية إلى تعزيز ونشر الوعي بنظام معاهدة البراءات في منطقة الأوروبية الآسيوية</w:t>
      </w:r>
      <w:r w:rsidR="00BB2118">
        <w:rPr>
          <w:rtl/>
          <w:lang w:bidi="ar-EG"/>
        </w:rPr>
        <w:t xml:space="preserve">. </w:t>
      </w:r>
      <w:r w:rsidRPr="004A2957">
        <w:rPr>
          <w:rtl/>
          <w:lang w:bidi="ar-EG"/>
        </w:rPr>
        <w:t>وفي عام 2025، على سبيل المثال، قدّم ممثلو المكتب عروضاً تقديمية في سلسلة من الندوات الإلكترونية التي نظمتها الويبو حول جوانب مختلفة من نظام معاهدة البراءات، بما في ذلك إجراءات البحث الدولي والفحص التمهيدي الدولي.</w:t>
      </w:r>
    </w:p>
    <w:p w14:paraId="645E5DB4" w14:textId="77777777" w:rsidR="004A2957" w:rsidRPr="004A2957" w:rsidRDefault="004A2957" w:rsidP="004A2957">
      <w:pPr>
        <w:keepNext/>
        <w:keepLines/>
        <w:pBdr>
          <w:top w:val="single" w:sz="4" w:space="1" w:color="auto"/>
        </w:pBdr>
        <w:spacing w:before="360" w:after="200" w:line="480" w:lineRule="auto"/>
        <w:jc w:val="both"/>
        <w:outlineLvl w:val="2"/>
        <w:rPr>
          <w:rFonts w:ascii="Calibri" w:eastAsia="Times New Roman" w:hAnsi="Calibri"/>
          <w:caps/>
          <w:lang w:val="en-GB" w:bidi="ar-EG"/>
        </w:rPr>
      </w:pPr>
    </w:p>
    <w:p w14:paraId="6C4ACB42" w14:textId="0336522E" w:rsidR="00331E76" w:rsidRPr="004A2957" w:rsidRDefault="004A2957" w:rsidP="004A2957">
      <w:pPr>
        <w:pStyle w:val="Endofdocument-Annex"/>
        <w:rPr>
          <w:lang w:val="fr-CH" w:bidi="ar-EG"/>
        </w:rPr>
      </w:pPr>
      <w:r w:rsidRPr="004A2957">
        <w:rPr>
          <w:rtl/>
          <w:lang w:bidi="ar-EG"/>
        </w:rPr>
        <w:t>[نهاية المرفق والوثيقة]</w:t>
      </w:r>
    </w:p>
    <w:sectPr w:rsidR="00331E76" w:rsidRPr="004A2957" w:rsidSect="004A2957">
      <w:headerReference w:type="first" r:id="rId21"/>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AA74B" w14:textId="77777777" w:rsidR="00663029" w:rsidRDefault="00663029">
      <w:r>
        <w:separator/>
      </w:r>
    </w:p>
  </w:endnote>
  <w:endnote w:type="continuationSeparator" w:id="0">
    <w:p w14:paraId="11F3DB38" w14:textId="77777777" w:rsidR="00663029" w:rsidRDefault="00663029" w:rsidP="003B38C1">
      <w:r>
        <w:separator/>
      </w:r>
    </w:p>
    <w:p w14:paraId="532DA2D9" w14:textId="77777777" w:rsidR="00663029" w:rsidRPr="003B38C1" w:rsidRDefault="00663029" w:rsidP="003B38C1">
      <w:pPr>
        <w:spacing w:after="60"/>
        <w:rPr>
          <w:sz w:val="17"/>
        </w:rPr>
      </w:pPr>
      <w:r>
        <w:rPr>
          <w:sz w:val="17"/>
        </w:rPr>
        <w:t>[Endnote continued from previous page]</w:t>
      </w:r>
    </w:p>
  </w:endnote>
  <w:endnote w:type="continuationNotice" w:id="1">
    <w:p w14:paraId="14EFA58E" w14:textId="77777777" w:rsidR="00663029" w:rsidRPr="003B38C1" w:rsidRDefault="0066302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1BBD" w14:textId="77777777" w:rsidR="00331E76" w:rsidRDefault="00331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03B8" w14:textId="77777777" w:rsidR="00331E76" w:rsidRDefault="00331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3B79" w14:textId="77777777" w:rsidR="00331E76" w:rsidRDefault="00331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422FC" w14:textId="77777777" w:rsidR="00663029" w:rsidRDefault="00663029">
      <w:r>
        <w:separator/>
      </w:r>
    </w:p>
  </w:footnote>
  <w:footnote w:type="continuationSeparator" w:id="0">
    <w:p w14:paraId="0A50FD14" w14:textId="77777777" w:rsidR="00663029" w:rsidRDefault="00663029" w:rsidP="008B60B2">
      <w:r>
        <w:separator/>
      </w:r>
    </w:p>
    <w:p w14:paraId="6009A9E7" w14:textId="77777777" w:rsidR="00663029" w:rsidRPr="00ED77FB" w:rsidRDefault="00663029" w:rsidP="008B60B2">
      <w:pPr>
        <w:spacing w:after="60"/>
        <w:rPr>
          <w:sz w:val="17"/>
          <w:szCs w:val="17"/>
        </w:rPr>
      </w:pPr>
      <w:r w:rsidRPr="00ED77FB">
        <w:rPr>
          <w:sz w:val="17"/>
          <w:szCs w:val="17"/>
        </w:rPr>
        <w:t>[Footnote continued from previous page]</w:t>
      </w:r>
    </w:p>
  </w:footnote>
  <w:footnote w:type="continuationNotice" w:id="1">
    <w:p w14:paraId="28194864" w14:textId="77777777" w:rsidR="00663029" w:rsidRPr="00ED77FB" w:rsidRDefault="0066302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943B" w14:textId="77777777" w:rsidR="00331E76" w:rsidRDefault="00331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746A" w14:textId="149EFCD8" w:rsidR="00D07C78" w:rsidRDefault="004E0043" w:rsidP="00B96EB2">
    <w:pPr>
      <w:bidi w:val="0"/>
      <w:rPr>
        <w:caps/>
        <w:rtl/>
      </w:rPr>
    </w:pPr>
    <w:r>
      <w:rPr>
        <w:caps/>
      </w:rPr>
      <w:t>PCT</w:t>
    </w:r>
    <w:r w:rsidR="00250149">
      <w:rPr>
        <w:caps/>
      </w:rPr>
      <w:t>/</w:t>
    </w:r>
    <w:r w:rsidR="00320C70">
      <w:rPr>
        <w:caps/>
      </w:rPr>
      <w:t>CTC</w:t>
    </w:r>
    <w:r w:rsidR="00250149">
      <w:rPr>
        <w:caps/>
      </w:rPr>
      <w:t>/</w:t>
    </w:r>
    <w:r w:rsidR="00320C70">
      <w:rPr>
        <w:caps/>
      </w:rPr>
      <w:t>33</w:t>
    </w:r>
    <w:r>
      <w:rPr>
        <w:caps/>
      </w:rPr>
      <w:t>/</w:t>
    </w:r>
    <w:r w:rsidR="004A2957">
      <w:rPr>
        <w:rFonts w:hint="cs"/>
        <w:caps/>
        <w:rtl/>
      </w:rPr>
      <w:t>8</w:t>
    </w:r>
  </w:p>
  <w:p w14:paraId="412C909E" w14:textId="2A1E1BA8" w:rsidR="004A2957" w:rsidRPr="004A2957" w:rsidRDefault="004A2957" w:rsidP="004A2957">
    <w:pPr>
      <w:bidi w:val="0"/>
      <w:rPr>
        <w:caps/>
        <w:lang w:val="fr-CH"/>
      </w:rPr>
    </w:pPr>
    <w:r>
      <w:rPr>
        <w:lang w:val="fr-CH"/>
      </w:rPr>
      <w:t>Annex</w:t>
    </w:r>
  </w:p>
  <w:p w14:paraId="3B93D0EA" w14:textId="77777777" w:rsidR="00D07C78" w:rsidRDefault="00D07C78" w:rsidP="00210D5F">
    <w:pPr>
      <w:bidi w:val="0"/>
    </w:pPr>
    <w:r>
      <w:fldChar w:fldCharType="begin"/>
    </w:r>
    <w:r>
      <w:instrText xml:space="preserve"> PAGE  \* MERGEFORMAT </w:instrText>
    </w:r>
    <w:r>
      <w:fldChar w:fldCharType="separate"/>
    </w:r>
    <w:r w:rsidR="001E41FD">
      <w:rPr>
        <w:noProof/>
      </w:rPr>
      <w:t>2</w:t>
    </w:r>
    <w:r>
      <w:fldChar w:fldCharType="end"/>
    </w:r>
  </w:p>
  <w:p w14:paraId="2C4F3247"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28F9" w14:textId="77777777" w:rsidR="00331E76" w:rsidRDefault="00331E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2EE8" w14:textId="77777777" w:rsidR="004A2957" w:rsidRDefault="004A2957" w:rsidP="004A2957">
    <w:pPr>
      <w:pStyle w:val="Header"/>
      <w:bidi w:val="0"/>
    </w:pPr>
    <w:r>
      <w:t>PCT/CTC/33/8</w:t>
    </w:r>
  </w:p>
  <w:p w14:paraId="00039000" w14:textId="54AF4402" w:rsidR="00331E76" w:rsidRDefault="004A2957" w:rsidP="004A2957">
    <w:pPr>
      <w:pStyle w:val="Header"/>
      <w:bidi w:val="0"/>
      <w:rPr>
        <w:rtl/>
      </w:rPr>
    </w:pPr>
    <w:r>
      <w:t>ANNEX</w:t>
    </w:r>
  </w:p>
  <w:p w14:paraId="54E3CC48" w14:textId="01C36C70" w:rsidR="004A2957" w:rsidRDefault="004A2957" w:rsidP="004A2957">
    <w:pPr>
      <w:pStyle w:val="Header"/>
      <w:bidi w:val="0"/>
      <w:rPr>
        <w:rtl/>
      </w:rPr>
    </w:pPr>
    <w:r>
      <w:rPr>
        <w:rFonts w:hint="cs"/>
        <w:rtl/>
      </w:rPr>
      <w:t>المرفق</w:t>
    </w:r>
  </w:p>
  <w:p w14:paraId="108E29C2" w14:textId="77777777" w:rsidR="004A2957" w:rsidRDefault="004A2957" w:rsidP="004A295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36318921">
    <w:abstractNumId w:val="2"/>
  </w:num>
  <w:num w:numId="2" w16cid:durableId="1449659008">
    <w:abstractNumId w:val="5"/>
  </w:num>
  <w:num w:numId="3" w16cid:durableId="1554928416">
    <w:abstractNumId w:val="0"/>
  </w:num>
  <w:num w:numId="4" w16cid:durableId="1250307828">
    <w:abstractNumId w:val="6"/>
  </w:num>
  <w:num w:numId="5" w16cid:durableId="310136077">
    <w:abstractNumId w:val="1"/>
  </w:num>
  <w:num w:numId="6" w16cid:durableId="550701">
    <w:abstractNumId w:val="3"/>
  </w:num>
  <w:num w:numId="7" w16cid:durableId="623774633">
    <w:abstractNumId w:val="7"/>
  </w:num>
  <w:num w:numId="8" w16cid:durableId="878468255">
    <w:abstractNumId w:val="4"/>
  </w:num>
  <w:num w:numId="9" w16cid:durableId="1042556044">
    <w:abstractNumId w:val="7"/>
  </w:num>
  <w:num w:numId="10" w16cid:durableId="73743099">
    <w:abstractNumId w:val="7"/>
  </w:num>
  <w:num w:numId="11" w16cid:durableId="1413041658">
    <w:abstractNumId w:val="7"/>
  </w:num>
  <w:num w:numId="12" w16cid:durableId="522745865">
    <w:abstractNumId w:val="7"/>
  </w:num>
  <w:num w:numId="13" w16cid:durableId="594633449">
    <w:abstractNumId w:val="7"/>
  </w:num>
  <w:num w:numId="14" w16cid:durableId="157698280">
    <w:abstractNumId w:val="7"/>
  </w:num>
  <w:num w:numId="15" w16cid:durableId="669791953">
    <w:abstractNumId w:val="7"/>
  </w:num>
  <w:num w:numId="16" w16cid:durableId="2112704310">
    <w:abstractNumId w:val="7"/>
  </w:num>
  <w:num w:numId="17" w16cid:durableId="1065496818">
    <w:abstractNumId w:val="7"/>
  </w:num>
  <w:num w:numId="18" w16cid:durableId="756173138">
    <w:abstractNumId w:val="7"/>
  </w:num>
  <w:num w:numId="19" w16cid:durableId="1796094349">
    <w:abstractNumId w:val="7"/>
  </w:num>
  <w:num w:numId="20" w16cid:durableId="794909897">
    <w:abstractNumId w:val="7"/>
  </w:num>
  <w:num w:numId="21" w16cid:durableId="1481849727">
    <w:abstractNumId w:val="7"/>
  </w:num>
  <w:num w:numId="22" w16cid:durableId="2076009542">
    <w:abstractNumId w:val="7"/>
  </w:num>
  <w:num w:numId="23" w16cid:durableId="1753697539">
    <w:abstractNumId w:val="7"/>
  </w:num>
  <w:num w:numId="24" w16cid:durableId="1599633186">
    <w:abstractNumId w:val="7"/>
  </w:num>
  <w:num w:numId="25" w16cid:durableId="930940975">
    <w:abstractNumId w:val="7"/>
  </w:num>
  <w:num w:numId="26" w16cid:durableId="363141769">
    <w:abstractNumId w:val="7"/>
  </w:num>
  <w:num w:numId="27" w16cid:durableId="1096705814">
    <w:abstractNumId w:val="7"/>
  </w:num>
  <w:num w:numId="28" w16cid:durableId="1963414395">
    <w:abstractNumId w:val="7"/>
  </w:num>
  <w:num w:numId="29" w16cid:durableId="3805986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84313">
    <w:abstractNumId w:val="7"/>
  </w:num>
  <w:num w:numId="31" w16cid:durableId="20604746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86"/>
    <w:rsid w:val="0000093F"/>
    <w:rsid w:val="0001606E"/>
    <w:rsid w:val="00031A4E"/>
    <w:rsid w:val="00043CAA"/>
    <w:rsid w:val="00056816"/>
    <w:rsid w:val="00060CBA"/>
    <w:rsid w:val="00066E00"/>
    <w:rsid w:val="00075432"/>
    <w:rsid w:val="00082036"/>
    <w:rsid w:val="00093892"/>
    <w:rsid w:val="000968ED"/>
    <w:rsid w:val="000A1D9D"/>
    <w:rsid w:val="000A3D97"/>
    <w:rsid w:val="000F5E56"/>
    <w:rsid w:val="001232B6"/>
    <w:rsid w:val="001362EE"/>
    <w:rsid w:val="001406E1"/>
    <w:rsid w:val="00155D8A"/>
    <w:rsid w:val="00163C60"/>
    <w:rsid w:val="001647D5"/>
    <w:rsid w:val="00167832"/>
    <w:rsid w:val="001832A6"/>
    <w:rsid w:val="0019592A"/>
    <w:rsid w:val="0019680C"/>
    <w:rsid w:val="001B48FB"/>
    <w:rsid w:val="001B6737"/>
    <w:rsid w:val="001D4107"/>
    <w:rsid w:val="001E41FD"/>
    <w:rsid w:val="001F4309"/>
    <w:rsid w:val="00200035"/>
    <w:rsid w:val="00203D24"/>
    <w:rsid w:val="00210D5F"/>
    <w:rsid w:val="0021217E"/>
    <w:rsid w:val="00216673"/>
    <w:rsid w:val="00221268"/>
    <w:rsid w:val="002326AB"/>
    <w:rsid w:val="00243430"/>
    <w:rsid w:val="00250149"/>
    <w:rsid w:val="002538D5"/>
    <w:rsid w:val="002634C4"/>
    <w:rsid w:val="002906BF"/>
    <w:rsid w:val="002928D3"/>
    <w:rsid w:val="00293886"/>
    <w:rsid w:val="002C516E"/>
    <w:rsid w:val="002F1FE6"/>
    <w:rsid w:val="002F4E68"/>
    <w:rsid w:val="00312F7F"/>
    <w:rsid w:val="00320C70"/>
    <w:rsid w:val="00331E76"/>
    <w:rsid w:val="00361450"/>
    <w:rsid w:val="003673CF"/>
    <w:rsid w:val="003845C1"/>
    <w:rsid w:val="003A6F89"/>
    <w:rsid w:val="003B243D"/>
    <w:rsid w:val="003B355C"/>
    <w:rsid w:val="003B38C1"/>
    <w:rsid w:val="003C2A9F"/>
    <w:rsid w:val="003C34E9"/>
    <w:rsid w:val="003C48E9"/>
    <w:rsid w:val="003E01BA"/>
    <w:rsid w:val="00423E3E"/>
    <w:rsid w:val="00427AF4"/>
    <w:rsid w:val="0045246E"/>
    <w:rsid w:val="004647DA"/>
    <w:rsid w:val="00474062"/>
    <w:rsid w:val="00477D6B"/>
    <w:rsid w:val="004A2957"/>
    <w:rsid w:val="004E0043"/>
    <w:rsid w:val="005019FF"/>
    <w:rsid w:val="00512FB0"/>
    <w:rsid w:val="0053057A"/>
    <w:rsid w:val="00556076"/>
    <w:rsid w:val="00560A29"/>
    <w:rsid w:val="005C6649"/>
    <w:rsid w:val="005E100A"/>
    <w:rsid w:val="005E7B89"/>
    <w:rsid w:val="00605827"/>
    <w:rsid w:val="00623113"/>
    <w:rsid w:val="00646050"/>
    <w:rsid w:val="00663029"/>
    <w:rsid w:val="006653CA"/>
    <w:rsid w:val="006713CA"/>
    <w:rsid w:val="00676C5C"/>
    <w:rsid w:val="006840CE"/>
    <w:rsid w:val="006938E1"/>
    <w:rsid w:val="006A75DF"/>
    <w:rsid w:val="006B5C12"/>
    <w:rsid w:val="006E0C80"/>
    <w:rsid w:val="006F6076"/>
    <w:rsid w:val="00720EFD"/>
    <w:rsid w:val="007236A1"/>
    <w:rsid w:val="007375A1"/>
    <w:rsid w:val="0074738A"/>
    <w:rsid w:val="00762189"/>
    <w:rsid w:val="00781037"/>
    <w:rsid w:val="007854AF"/>
    <w:rsid w:val="00793A7C"/>
    <w:rsid w:val="007A398A"/>
    <w:rsid w:val="007C4902"/>
    <w:rsid w:val="007D1613"/>
    <w:rsid w:val="007D6467"/>
    <w:rsid w:val="007E4C0E"/>
    <w:rsid w:val="007E7D5E"/>
    <w:rsid w:val="007F061E"/>
    <w:rsid w:val="008701F2"/>
    <w:rsid w:val="008A134B"/>
    <w:rsid w:val="008B2CC1"/>
    <w:rsid w:val="008B60B2"/>
    <w:rsid w:val="0090731E"/>
    <w:rsid w:val="00916EE2"/>
    <w:rsid w:val="00966A22"/>
    <w:rsid w:val="0096722F"/>
    <w:rsid w:val="00980843"/>
    <w:rsid w:val="009B0855"/>
    <w:rsid w:val="009C41AC"/>
    <w:rsid w:val="009D161D"/>
    <w:rsid w:val="009E1721"/>
    <w:rsid w:val="009E2791"/>
    <w:rsid w:val="009E3F6F"/>
    <w:rsid w:val="009F499F"/>
    <w:rsid w:val="009F59E0"/>
    <w:rsid w:val="00A37342"/>
    <w:rsid w:val="00A40C85"/>
    <w:rsid w:val="00A42DAF"/>
    <w:rsid w:val="00A45BD8"/>
    <w:rsid w:val="00A841DF"/>
    <w:rsid w:val="00A869B7"/>
    <w:rsid w:val="00A90F0A"/>
    <w:rsid w:val="00AC205C"/>
    <w:rsid w:val="00AF0A6B"/>
    <w:rsid w:val="00AF3DCE"/>
    <w:rsid w:val="00B05A69"/>
    <w:rsid w:val="00B42CA9"/>
    <w:rsid w:val="00B51FF7"/>
    <w:rsid w:val="00B75281"/>
    <w:rsid w:val="00B84ADE"/>
    <w:rsid w:val="00B92F1F"/>
    <w:rsid w:val="00B96EB2"/>
    <w:rsid w:val="00B9734B"/>
    <w:rsid w:val="00BA30E2"/>
    <w:rsid w:val="00BB2118"/>
    <w:rsid w:val="00BC76C1"/>
    <w:rsid w:val="00C04AE1"/>
    <w:rsid w:val="00C11BFE"/>
    <w:rsid w:val="00C5068F"/>
    <w:rsid w:val="00C86D74"/>
    <w:rsid w:val="00CB3DBA"/>
    <w:rsid w:val="00CC3E2D"/>
    <w:rsid w:val="00CD04F1"/>
    <w:rsid w:val="00CE19F8"/>
    <w:rsid w:val="00CF681A"/>
    <w:rsid w:val="00D07C78"/>
    <w:rsid w:val="00D45252"/>
    <w:rsid w:val="00D46AA3"/>
    <w:rsid w:val="00D60B2C"/>
    <w:rsid w:val="00D67EAE"/>
    <w:rsid w:val="00D713B3"/>
    <w:rsid w:val="00D71B4D"/>
    <w:rsid w:val="00D7745F"/>
    <w:rsid w:val="00D90B96"/>
    <w:rsid w:val="00D92FE6"/>
    <w:rsid w:val="00D93D55"/>
    <w:rsid w:val="00DA691C"/>
    <w:rsid w:val="00DD7B7F"/>
    <w:rsid w:val="00DE490E"/>
    <w:rsid w:val="00E15015"/>
    <w:rsid w:val="00E319DF"/>
    <w:rsid w:val="00E335FE"/>
    <w:rsid w:val="00E66CC5"/>
    <w:rsid w:val="00EA7D6E"/>
    <w:rsid w:val="00EB2F76"/>
    <w:rsid w:val="00EC4E49"/>
    <w:rsid w:val="00ED77FB"/>
    <w:rsid w:val="00EE45FA"/>
    <w:rsid w:val="00F043DE"/>
    <w:rsid w:val="00F46D2A"/>
    <w:rsid w:val="00F66152"/>
    <w:rsid w:val="00F76CB4"/>
    <w:rsid w:val="00F9165B"/>
    <w:rsid w:val="00F91DEF"/>
    <w:rsid w:val="00FB3FDF"/>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EE54E"/>
  <w15:docId w15:val="{D93AB70B-A8A5-4CFE-BD6F-0B1497C0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BB2118"/>
    <w:pPr>
      <w:keepNext/>
      <w:spacing w:before="240" w:after="60"/>
      <w:outlineLvl w:val="2"/>
    </w:pPr>
    <w:rPr>
      <w:bCs/>
      <w:lang w:bidi="ar-EG"/>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styleId="Hyperlink">
    <w:name w:val="Hyperlink"/>
    <w:basedOn w:val="DefaultParagraphFont"/>
    <w:unhideWhenUsed/>
    <w:rsid w:val="00BB2118"/>
    <w:rPr>
      <w:color w:val="0000FF" w:themeColor="hyperlink"/>
      <w:u w:val="single"/>
    </w:rPr>
  </w:style>
  <w:style w:type="character" w:styleId="UnresolvedMention">
    <w:name w:val="Unresolved Mention"/>
    <w:basedOn w:val="DefaultParagraphFont"/>
    <w:uiPriority w:val="99"/>
    <w:semiHidden/>
    <w:unhideWhenUsed/>
    <w:rsid w:val="00BB2118"/>
    <w:rPr>
      <w:color w:val="605E5C"/>
      <w:shd w:val="clear" w:color="auto" w:fill="E1DFDD"/>
    </w:rPr>
  </w:style>
  <w:style w:type="character" w:styleId="FollowedHyperlink">
    <w:name w:val="FollowedHyperlink"/>
    <w:basedOn w:val="DefaultParagraphFont"/>
    <w:semiHidden/>
    <w:unhideWhenUsed/>
    <w:rsid w:val="00BB21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10491">
      <w:bodyDiv w:val="1"/>
      <w:marLeft w:val="0"/>
      <w:marRight w:val="0"/>
      <w:marTop w:val="0"/>
      <w:marBottom w:val="0"/>
      <w:divBdr>
        <w:top w:val="none" w:sz="0" w:space="0" w:color="auto"/>
        <w:left w:val="none" w:sz="0" w:space="0" w:color="auto"/>
        <w:bottom w:val="none" w:sz="0" w:space="0" w:color="auto"/>
        <w:right w:val="none" w:sz="0" w:space="0" w:color="auto"/>
      </w:divBdr>
    </w:div>
    <w:div w:id="703479443">
      <w:bodyDiv w:val="1"/>
      <w:marLeft w:val="0"/>
      <w:marRight w:val="0"/>
      <w:marTop w:val="0"/>
      <w:marBottom w:val="0"/>
      <w:divBdr>
        <w:top w:val="none" w:sz="0" w:space="0" w:color="auto"/>
        <w:left w:val="none" w:sz="0" w:space="0" w:color="auto"/>
        <w:bottom w:val="none" w:sz="0" w:space="0" w:color="auto"/>
        <w:right w:val="none" w:sz="0" w:space="0" w:color="auto"/>
      </w:divBdr>
    </w:div>
    <w:div w:id="174792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wipo.int/en/web/pct-system/quality/authorities"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pctlegal.wipo.int/eGuide/view-doc.xhtml?doc-code=EA&amp;amp;doc-lan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wipo.int/export/sites/www/pct/en/docs/circulars/2024/1672.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CE32-A4BC-40A3-AB5F-302F79C5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PCT/CTC/33/8 (Arabic)</vt:lpstr>
    </vt:vector>
  </TitlesOfParts>
  <Company>WIPO</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PCT/CTC/33/8 (Arabic)</dc:title>
  <dc:subject>Extension of Appointment of the Eurasian Patent Office as an International Searching and Preliminary Examining Authority Under the PCT</dc:subject>
  <dc:creator>FM</dc:creator>
  <cp:keywords>PUBLIC</cp:keywords>
  <cp:lastModifiedBy>MARLOW Thomas</cp:lastModifiedBy>
  <cp:revision>2</cp:revision>
  <cp:lastPrinted>2025-12-05T14:09:00Z</cp:lastPrinted>
  <dcterms:created xsi:type="dcterms:W3CDTF">2026-01-13T11:57:00Z</dcterms:created>
  <dcterms:modified xsi:type="dcterms:W3CDTF">2026-01-13T11:57:00Z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2024-12-05T18:00:49Z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4c4396f8-a116-4310-b65a-3ae24077e4a8</vt:lpwstr>
  </property>
  <property fmtid="{D5CDD505-2E9C-101B-9397-08002B2CF9AE}" pid="13" name="MSIP_Label_20773ee6-353b-4fb9-a59d-0b94c8c67bea_ContentBits">
    <vt:lpwstr>0</vt:lpwstr>
  </property>
</Properties>
</file>