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4462"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CA23C95" wp14:editId="06FB08B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D56501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EB226BD" w14:textId="6D419CF1"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sidR="007E7D5E">
        <w:rPr>
          <w:rFonts w:ascii="Arial Black" w:hAnsi="Arial Black"/>
          <w:caps/>
          <w:sz w:val="15"/>
          <w:szCs w:val="15"/>
        </w:rPr>
        <w:t>CTC</w:t>
      </w:r>
      <w:r w:rsidR="00D90B96">
        <w:rPr>
          <w:rFonts w:ascii="Arial Black" w:hAnsi="Arial Black"/>
          <w:caps/>
          <w:sz w:val="15"/>
          <w:szCs w:val="15"/>
        </w:rPr>
        <w:t>/</w:t>
      </w:r>
      <w:bookmarkStart w:id="0" w:name="Code"/>
      <w:bookmarkEnd w:id="0"/>
      <w:r w:rsidR="007E7D5E">
        <w:rPr>
          <w:rFonts w:ascii="Arial Black" w:hAnsi="Arial Black"/>
          <w:caps/>
          <w:sz w:val="15"/>
          <w:szCs w:val="15"/>
        </w:rPr>
        <w:t>33</w:t>
      </w:r>
      <w:r>
        <w:rPr>
          <w:rFonts w:ascii="Arial Black" w:hAnsi="Arial Black"/>
          <w:caps/>
          <w:sz w:val="15"/>
          <w:szCs w:val="15"/>
        </w:rPr>
        <w:t>/</w:t>
      </w:r>
      <w:r w:rsidR="00DC2960">
        <w:rPr>
          <w:rFonts w:ascii="Arial Black" w:hAnsi="Arial Black"/>
          <w:caps/>
          <w:sz w:val="15"/>
          <w:szCs w:val="15"/>
        </w:rPr>
        <w:t>6</w:t>
      </w:r>
    </w:p>
    <w:p w14:paraId="3384F0E9" w14:textId="7676B780" w:rsidR="008B2CC1" w:rsidRPr="00200035" w:rsidRDefault="00CC3E2D" w:rsidP="00CC3E2D">
      <w:pPr>
        <w:jc w:val="right"/>
        <w:rPr>
          <w:rFonts w:asciiTheme="minorHAnsi" w:hAnsiTheme="minorHAnsi" w:cstheme="minorHAnsi"/>
          <w:b/>
          <w:bCs/>
          <w:caps/>
          <w:sz w:val="15"/>
          <w:szCs w:val="15"/>
        </w:rPr>
      </w:pPr>
      <w:bookmarkStart w:id="1" w:name="Original"/>
      <w:r w:rsidRPr="00200035">
        <w:rPr>
          <w:rFonts w:asciiTheme="minorHAnsi" w:hAnsiTheme="minorHAnsi" w:cstheme="minorHAnsi" w:hint="cs"/>
          <w:b/>
          <w:bCs/>
          <w:caps/>
          <w:sz w:val="15"/>
          <w:szCs w:val="15"/>
          <w:rtl/>
        </w:rPr>
        <w:t xml:space="preserve">الأصل: </w:t>
      </w:r>
      <w:r w:rsidR="009D161D">
        <w:rPr>
          <w:rFonts w:asciiTheme="minorHAnsi" w:hAnsiTheme="minorHAnsi" w:cstheme="minorHAnsi" w:hint="cs"/>
          <w:b/>
          <w:bCs/>
          <w:caps/>
          <w:sz w:val="15"/>
          <w:szCs w:val="15"/>
          <w:rtl/>
        </w:rPr>
        <w:t>بالإنكليزية</w:t>
      </w:r>
    </w:p>
    <w:p w14:paraId="0E1AE2BB" w14:textId="77009833" w:rsidR="008B2CC1" w:rsidRPr="00200035" w:rsidRDefault="00CC3E2D" w:rsidP="00CC3E2D">
      <w:pPr>
        <w:spacing w:after="1200"/>
        <w:jc w:val="right"/>
        <w:rPr>
          <w:rFonts w:asciiTheme="minorHAnsi" w:hAnsiTheme="minorHAnsi" w:cstheme="minorHAnsi"/>
          <w:b/>
          <w:bCs/>
          <w:caps/>
          <w:sz w:val="15"/>
          <w:szCs w:val="15"/>
        </w:rPr>
      </w:pPr>
      <w:bookmarkStart w:id="2" w:name="Date"/>
      <w:bookmarkEnd w:id="1"/>
      <w:r w:rsidRPr="00200035">
        <w:rPr>
          <w:rFonts w:asciiTheme="minorHAnsi" w:hAnsiTheme="minorHAnsi" w:cstheme="minorHAnsi" w:hint="cs"/>
          <w:b/>
          <w:bCs/>
          <w:caps/>
          <w:sz w:val="15"/>
          <w:szCs w:val="15"/>
          <w:rtl/>
        </w:rPr>
        <w:t xml:space="preserve">التاريخ: </w:t>
      </w:r>
      <w:r w:rsidR="00DC2960">
        <w:rPr>
          <w:rFonts w:asciiTheme="minorHAnsi" w:hAnsiTheme="minorHAnsi" w:cstheme="minorHAnsi" w:hint="cs"/>
          <w:b/>
          <w:bCs/>
          <w:caps/>
          <w:sz w:val="15"/>
          <w:szCs w:val="15"/>
          <w:rtl/>
        </w:rPr>
        <w:t>19</w:t>
      </w:r>
      <w:r w:rsidR="009D161D">
        <w:rPr>
          <w:rFonts w:asciiTheme="minorHAnsi" w:hAnsiTheme="minorHAnsi" w:cstheme="minorHAnsi" w:hint="cs"/>
          <w:b/>
          <w:bCs/>
          <w:caps/>
          <w:sz w:val="15"/>
          <w:szCs w:val="15"/>
          <w:rtl/>
        </w:rPr>
        <w:t xml:space="preserve"> </w:t>
      </w:r>
      <w:r w:rsidR="007F061E">
        <w:rPr>
          <w:rFonts w:asciiTheme="minorHAnsi" w:hAnsiTheme="minorHAnsi" w:cstheme="minorHAnsi" w:hint="cs"/>
          <w:b/>
          <w:bCs/>
          <w:caps/>
          <w:sz w:val="15"/>
          <w:szCs w:val="15"/>
          <w:rtl/>
        </w:rPr>
        <w:t>ديسمبر</w:t>
      </w:r>
      <w:r w:rsidR="009D161D">
        <w:rPr>
          <w:rFonts w:asciiTheme="minorHAnsi" w:hAnsiTheme="minorHAnsi" w:cstheme="minorHAnsi" w:hint="cs"/>
          <w:b/>
          <w:bCs/>
          <w:caps/>
          <w:sz w:val="15"/>
          <w:szCs w:val="15"/>
          <w:rtl/>
        </w:rPr>
        <w:t xml:space="preserve"> </w:t>
      </w:r>
      <w:r w:rsidR="00093892">
        <w:rPr>
          <w:rFonts w:asciiTheme="minorHAnsi" w:hAnsiTheme="minorHAnsi" w:cstheme="minorHAnsi" w:hint="cs"/>
          <w:b/>
          <w:bCs/>
          <w:caps/>
          <w:sz w:val="15"/>
          <w:szCs w:val="15"/>
          <w:rtl/>
        </w:rPr>
        <w:t>2025</w:t>
      </w:r>
    </w:p>
    <w:bookmarkEnd w:id="2"/>
    <w:p w14:paraId="3878C95F" w14:textId="5FD7906D" w:rsidR="008B2CC1" w:rsidRPr="00D67EAE" w:rsidRDefault="007E7D5E" w:rsidP="007E7D5E">
      <w:pPr>
        <w:pStyle w:val="Heading1"/>
        <w:rPr>
          <w:rtl/>
        </w:rPr>
      </w:pPr>
      <w:r>
        <w:rPr>
          <w:rtl/>
        </w:rPr>
        <w:t>معاهدة التعاون بشأن البراءات</w:t>
      </w:r>
      <w:r>
        <w:br/>
      </w:r>
      <w:r>
        <w:rPr>
          <w:rtl/>
        </w:rPr>
        <w:t>اللجنة المعنية بالتعاون التقني</w:t>
      </w:r>
    </w:p>
    <w:p w14:paraId="0CD20626" w14:textId="06F20DFC" w:rsidR="00A90F0A" w:rsidRPr="00D67EAE" w:rsidRDefault="007E7D5E" w:rsidP="00200035">
      <w:pPr>
        <w:outlineLvl w:val="1"/>
        <w:rPr>
          <w:rFonts w:asciiTheme="minorHAnsi" w:hAnsiTheme="minorHAnsi" w:cstheme="minorHAnsi"/>
          <w:bCs/>
          <w:sz w:val="24"/>
          <w:szCs w:val="24"/>
        </w:rPr>
      </w:pPr>
      <w:r w:rsidRPr="007E7D5E">
        <w:rPr>
          <w:rFonts w:asciiTheme="minorHAnsi" w:hAnsiTheme="minorHAnsi"/>
          <w:bCs/>
          <w:sz w:val="24"/>
          <w:szCs w:val="24"/>
          <w:rtl/>
        </w:rPr>
        <w:t>الدورة الثالثة والثلاثون</w:t>
      </w:r>
    </w:p>
    <w:p w14:paraId="7042A1F7" w14:textId="24517F35" w:rsidR="008B2CC1" w:rsidRPr="00D67EAE" w:rsidRDefault="00D67EAE" w:rsidP="002000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093892">
        <w:rPr>
          <w:rFonts w:asciiTheme="minorHAnsi" w:hAnsiTheme="minorHAnsi" w:cstheme="minorHAnsi" w:hint="cs"/>
          <w:bCs/>
          <w:sz w:val="24"/>
          <w:szCs w:val="24"/>
          <w:rtl/>
        </w:rPr>
        <w:t>2</w:t>
      </w:r>
      <w:r w:rsidRPr="00D67EAE">
        <w:rPr>
          <w:rFonts w:asciiTheme="minorHAnsi" w:hAnsiTheme="minorHAnsi" w:cstheme="minorHAnsi" w:hint="cs"/>
          <w:bCs/>
          <w:sz w:val="24"/>
          <w:szCs w:val="24"/>
          <w:rtl/>
        </w:rPr>
        <w:t xml:space="preserve"> إلى </w:t>
      </w:r>
      <w:r w:rsidR="00093892">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50149">
        <w:rPr>
          <w:rFonts w:asciiTheme="minorHAnsi" w:hAnsiTheme="minorHAnsi" w:cstheme="minorHAnsi" w:hint="cs"/>
          <w:bCs/>
          <w:sz w:val="24"/>
          <w:szCs w:val="24"/>
          <w:rtl/>
        </w:rPr>
        <w:t xml:space="preserve"> </w:t>
      </w:r>
      <w:r w:rsidR="001F4309">
        <w:rPr>
          <w:rFonts w:asciiTheme="minorHAnsi" w:hAnsiTheme="minorHAnsi" w:cstheme="minorHAnsi" w:hint="cs"/>
          <w:bCs/>
          <w:sz w:val="24"/>
          <w:szCs w:val="24"/>
          <w:rtl/>
        </w:rPr>
        <w:t>202</w:t>
      </w:r>
      <w:r w:rsidR="00093892">
        <w:rPr>
          <w:rFonts w:asciiTheme="minorHAnsi" w:hAnsiTheme="minorHAnsi" w:cstheme="minorHAnsi" w:hint="cs"/>
          <w:bCs/>
          <w:sz w:val="24"/>
          <w:szCs w:val="24"/>
          <w:rtl/>
        </w:rPr>
        <w:t>6</w:t>
      </w:r>
    </w:p>
    <w:p w14:paraId="474C697B" w14:textId="49483C67" w:rsidR="008B2CC1" w:rsidRPr="00D67EAE" w:rsidRDefault="00AF2D45" w:rsidP="00DD7B7F">
      <w:pPr>
        <w:spacing w:after="360"/>
        <w:outlineLvl w:val="0"/>
        <w:rPr>
          <w:rFonts w:asciiTheme="minorHAnsi" w:hAnsiTheme="minorHAnsi" w:cstheme="minorHAnsi"/>
          <w:caps/>
          <w:sz w:val="24"/>
        </w:rPr>
      </w:pPr>
      <w:bookmarkStart w:id="3" w:name="TitleOfDoc"/>
      <w:r w:rsidRPr="00AF2D45">
        <w:rPr>
          <w:rFonts w:asciiTheme="minorHAnsi" w:hAnsiTheme="minorHAnsi"/>
          <w:caps/>
          <w:sz w:val="28"/>
          <w:szCs w:val="24"/>
          <w:rtl/>
        </w:rPr>
        <w:t>تمديد تعيين المعهد الوطني للملكية الصناعية في شيلي كإدارة للبحث الدولي وإدارة للفحص التمهيدي الدولي بناءً على معاهدة التعاون بشأن البراءات</w:t>
      </w:r>
    </w:p>
    <w:p w14:paraId="59776B20" w14:textId="3133E461" w:rsidR="002928D3" w:rsidRDefault="007236A1" w:rsidP="001D4107">
      <w:pPr>
        <w:spacing w:after="1040"/>
        <w:rPr>
          <w:rFonts w:asciiTheme="minorHAnsi" w:hAnsiTheme="minorHAnsi" w:cstheme="minorHAnsi"/>
          <w:iCs/>
          <w:rtl/>
        </w:rPr>
      </w:pPr>
      <w:bookmarkStart w:id="4" w:name="Prepared"/>
      <w:bookmarkEnd w:id="3"/>
      <w:bookmarkEnd w:id="4"/>
      <w:r w:rsidRPr="007236A1">
        <w:rPr>
          <w:rFonts w:asciiTheme="minorHAnsi" w:hAnsiTheme="minorHAnsi"/>
          <w:iCs/>
          <w:rtl/>
        </w:rPr>
        <w:t>‏وثيقة من إعداد المكتب الدولي</w:t>
      </w:r>
    </w:p>
    <w:p w14:paraId="0696BEB4" w14:textId="77777777" w:rsidR="00251448" w:rsidRPr="00251448" w:rsidRDefault="00251448" w:rsidP="00251448">
      <w:pPr>
        <w:pStyle w:val="ONUMA"/>
        <w:rPr>
          <w:rtl/>
          <w:lang w:bidi="ar-EG"/>
        </w:rPr>
      </w:pPr>
      <w:r w:rsidRPr="00251448">
        <w:rPr>
          <w:rFonts w:hint="cs"/>
          <w:rtl/>
          <w:lang w:bidi="ar-EG"/>
        </w:rPr>
        <w:t xml:space="preserve">عينت جمعية معاهدة التعاون بشأن البراءات (جمعية البراءات) كل الإدارات الدولية الحالية لمدة تنتهي في 31 ديسمبر 2027. وقبل انتهاء هذه المدة، سيتعيّن على جمعية البراءات أن تتخذ قرارا بشأن تمديد التعيين لكل إدارة من الإدارات الدولية الحالية التي تلتمس تمديد تعيينها، بعد استشارة هذه اللجنة (انظر المادتين 16(3)(هـ) و32 (3) من معاهدة البراءات). وترد في الوثيقة </w:t>
      </w:r>
      <w:r w:rsidRPr="00251448">
        <w:rPr>
          <w:lang w:bidi="ar-EG"/>
        </w:rPr>
        <w:t>PCT/CTC/33/INF/1</w:t>
      </w:r>
      <w:r w:rsidRPr="00251448">
        <w:rPr>
          <w:rFonts w:hint="cs"/>
          <w:rtl/>
          <w:lang w:bidi="ar-EG"/>
        </w:rPr>
        <w:t xml:space="preserve"> معلومات عن هذه العملية ودور اللجنة فيها.</w:t>
      </w:r>
    </w:p>
    <w:p w14:paraId="601EB2DD" w14:textId="77777777" w:rsidR="00251448" w:rsidRPr="00251448" w:rsidRDefault="00251448" w:rsidP="00251448">
      <w:pPr>
        <w:pStyle w:val="ONUMA"/>
        <w:rPr>
          <w:rtl/>
          <w:lang w:bidi="ar-EG"/>
        </w:rPr>
      </w:pPr>
      <w:r w:rsidRPr="00251448">
        <w:rPr>
          <w:rFonts w:hint="cs"/>
          <w:rtl/>
          <w:lang w:bidi="ar-EG"/>
        </w:rPr>
        <w:t>وفي 19 نوفمبر 2025، تقدّم المعهد الوطني للملكية الصناعية في شيلي بطلبه لتمديد تعيينه، ويرد طلبه في مرفق هذه الوثيقة.</w:t>
      </w:r>
    </w:p>
    <w:p w14:paraId="14C0C053" w14:textId="77777777" w:rsidR="00251448" w:rsidRPr="00251448" w:rsidRDefault="00251448" w:rsidP="00251448">
      <w:pPr>
        <w:pStyle w:val="ONUMA"/>
        <w:ind w:left="5527"/>
        <w:rPr>
          <w:i/>
          <w:iCs/>
          <w:rtl/>
          <w:lang w:bidi="ar-EG"/>
        </w:rPr>
      </w:pPr>
      <w:r w:rsidRPr="00251448">
        <w:rPr>
          <w:rFonts w:hint="cs"/>
          <w:i/>
          <w:iCs/>
          <w:rtl/>
          <w:lang w:bidi="ar-EG"/>
        </w:rPr>
        <w:t>إن اللجنة مدعوة إلى إسداء المشورة في هذا الأمر.</w:t>
      </w:r>
    </w:p>
    <w:p w14:paraId="47C07450" w14:textId="77777777" w:rsidR="000A1D9D" w:rsidRDefault="00320C70" w:rsidP="000A1D9D">
      <w:pPr>
        <w:spacing w:before="480"/>
        <w:ind w:left="5534"/>
        <w:rPr>
          <w:lang w:bidi="ar-EG"/>
        </w:rPr>
      </w:pPr>
      <w:r>
        <w:rPr>
          <w:rtl/>
          <w:lang w:bidi="ar-EG"/>
        </w:rPr>
        <w:t>[يلي ذلك المرفق]</w:t>
      </w:r>
    </w:p>
    <w:p w14:paraId="14844909" w14:textId="77777777" w:rsidR="00331E76" w:rsidRDefault="00331E76" w:rsidP="00331E76">
      <w:pPr>
        <w:pStyle w:val="BodyText"/>
        <w:rPr>
          <w:rtl/>
          <w:lang w:bidi="ar-EG"/>
        </w:rPr>
        <w:sectPr w:rsidR="00331E76"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p>
    <w:p w14:paraId="630ABC85" w14:textId="77777777" w:rsidR="00CB12DB" w:rsidRPr="00CB12DB" w:rsidRDefault="00CB12DB" w:rsidP="00CB12DB">
      <w:pPr>
        <w:keepNext/>
        <w:spacing w:before="240" w:after="60"/>
        <w:jc w:val="center"/>
        <w:outlineLvl w:val="1"/>
        <w:rPr>
          <w:rFonts w:ascii="Calibri" w:hAnsi="Calibri"/>
          <w:bCs/>
          <w:i/>
          <w:caps/>
          <w:rtl/>
          <w:lang w:bidi="ar-EG"/>
        </w:rPr>
      </w:pPr>
      <w:r w:rsidRPr="00CB12DB">
        <w:rPr>
          <w:rFonts w:ascii="Calibri" w:hAnsi="Calibri" w:hint="cs"/>
          <w:bCs/>
          <w:i/>
          <w:caps/>
          <w:rtl/>
          <w:lang w:bidi="ar-EG"/>
        </w:rPr>
        <w:lastRenderedPageBreak/>
        <w:t>طلب تمديد التعيين كإدارة للبحث الدولي والفحص التمهيدي الدولي بناءً على معاهدة التعاون بشأن البراءات</w:t>
      </w:r>
    </w:p>
    <w:p w14:paraId="2DEF3221" w14:textId="272EFDC0" w:rsidR="00CB12DB" w:rsidRPr="00CB12DB" w:rsidRDefault="00CB12DB" w:rsidP="00F30DAE">
      <w:pPr>
        <w:keepNext/>
        <w:keepLines/>
        <w:pBdr>
          <w:top w:val="single" w:sz="4" w:space="1" w:color="000000"/>
          <w:left w:val="nil"/>
          <w:bottom w:val="nil"/>
          <w:right w:val="nil"/>
          <w:between w:val="nil"/>
        </w:pBdr>
        <w:spacing w:before="360" w:after="200"/>
        <w:rPr>
          <w:rFonts w:ascii="Calibri" w:hAnsi="Calibri"/>
          <w:b/>
          <w:smallCaps/>
          <w:color w:val="000000"/>
          <w:rtl/>
          <w:lang w:bidi="ar-EG"/>
        </w:rPr>
      </w:pPr>
      <w:r w:rsidRPr="00CB12DB">
        <w:rPr>
          <w:rFonts w:ascii="Calibri" w:hAnsi="Calibri" w:hint="cs"/>
          <w:b/>
          <w:bCs/>
          <w:smallCaps/>
          <w:color w:val="000000"/>
          <w:rtl/>
          <w:lang w:bidi="ar-EG"/>
        </w:rPr>
        <w:t xml:space="preserve">1 </w:t>
      </w:r>
      <w:r w:rsidR="00B13708">
        <w:rPr>
          <w:rFonts w:ascii="Calibri" w:hAnsi="Calibri" w:hint="cs"/>
          <w:b/>
          <w:bCs/>
          <w:smallCaps/>
          <w:color w:val="000000"/>
          <w:rtl/>
          <w:lang w:bidi="ar-EG"/>
        </w:rPr>
        <w:t>-</w:t>
      </w:r>
      <w:r w:rsidRPr="00CB12DB">
        <w:rPr>
          <w:rFonts w:ascii="Calibri" w:hAnsi="Calibri" w:hint="cs"/>
          <w:b/>
          <w:bCs/>
          <w:smallCaps/>
          <w:color w:val="000000"/>
          <w:rtl/>
          <w:lang w:bidi="ar-EG"/>
        </w:rPr>
        <w:t xml:space="preserve"> معلومات عامة</w:t>
      </w:r>
    </w:p>
    <w:p w14:paraId="4C62E079" w14:textId="77777777" w:rsidR="00CB12DB" w:rsidRPr="00F30DAE" w:rsidRDefault="00CB12DB" w:rsidP="00F30DAE">
      <w:pPr>
        <w:pStyle w:val="Heading3"/>
        <w:rPr>
          <w:rtl/>
        </w:rPr>
      </w:pPr>
      <w:r w:rsidRPr="00F30DAE">
        <w:rPr>
          <w:rFonts w:hint="cs"/>
          <w:rtl/>
        </w:rPr>
        <w:t>(أ)</w:t>
      </w:r>
      <w:r w:rsidRPr="00F30DAE">
        <w:rPr>
          <w:rFonts w:hint="cs"/>
          <w:rtl/>
        </w:rPr>
        <w:tab/>
        <w:t xml:space="preserve">اسم المكتب أو المنظمة الحكومية الدولية: </w:t>
      </w:r>
    </w:p>
    <w:p w14:paraId="084A5C8D" w14:textId="77777777" w:rsidR="00CB12DB" w:rsidRPr="00CB12DB" w:rsidRDefault="00CB12DB" w:rsidP="00F30DAE">
      <w:pPr>
        <w:keepNext/>
        <w:keepLines/>
        <w:pBdr>
          <w:top w:val="nil"/>
          <w:left w:val="nil"/>
          <w:bottom w:val="nil"/>
          <w:right w:val="nil"/>
          <w:between w:val="nil"/>
        </w:pBdr>
        <w:spacing w:after="240"/>
        <w:rPr>
          <w:rFonts w:ascii="Calibri" w:hAnsi="Calibri"/>
          <w:bCs/>
          <w:color w:val="000000" w:themeColor="text1"/>
          <w:rtl/>
          <w:lang w:bidi="ar-EG"/>
        </w:rPr>
      </w:pPr>
      <w:r w:rsidRPr="00CB12DB">
        <w:rPr>
          <w:rFonts w:ascii="Calibri" w:hAnsi="Calibri" w:hint="cs"/>
          <w:color w:val="000000" w:themeColor="text1"/>
          <w:rtl/>
          <w:lang w:bidi="ar-EG"/>
        </w:rPr>
        <w:t>المعهد الوطني للملكية الصناعية في شيلي</w:t>
      </w:r>
    </w:p>
    <w:p w14:paraId="27CD317D" w14:textId="77777777" w:rsidR="00CB12DB" w:rsidRPr="00CB12DB" w:rsidRDefault="00CB12DB" w:rsidP="00F30DAE">
      <w:pPr>
        <w:pStyle w:val="Heading3"/>
        <w:rPr>
          <w:rFonts w:ascii="Calibri" w:hAnsi="Calibri"/>
          <w:b/>
          <w:color w:val="000000"/>
          <w:rtl/>
        </w:rPr>
      </w:pPr>
      <w:r w:rsidRPr="00CB12DB">
        <w:rPr>
          <w:rFonts w:ascii="Calibri" w:hAnsi="Calibri"/>
          <w:b/>
          <w:color w:val="000000"/>
        </w:rPr>
        <w:t>‎</w:t>
      </w:r>
      <w:r w:rsidRPr="00CB12DB">
        <w:rPr>
          <w:rFonts w:ascii="Calibri" w:hAnsi="Calibri" w:hint="cs"/>
          <w:b/>
          <w:color w:val="000000"/>
          <w:rtl/>
        </w:rPr>
        <w:t xml:space="preserve">(ب) </w:t>
      </w:r>
      <w:r w:rsidRPr="00CB12DB">
        <w:rPr>
          <w:rFonts w:ascii="Calibri" w:hAnsi="Calibri"/>
          <w:b/>
          <w:color w:val="000000"/>
        </w:rPr>
        <w:t>‎</w:t>
      </w:r>
      <w:r w:rsidRPr="00CB12DB">
        <w:rPr>
          <w:rFonts w:ascii="Calibri" w:hAnsi="Calibri" w:hint="cs"/>
          <w:b/>
          <w:color w:val="000000"/>
          <w:rtl/>
        </w:rPr>
        <w:t xml:space="preserve">اسم </w:t>
      </w:r>
      <w:r w:rsidRPr="00CB12DB">
        <w:rPr>
          <w:rFonts w:hint="cs"/>
          <w:rtl/>
        </w:rPr>
        <w:t>المسؤول</w:t>
      </w:r>
      <w:r w:rsidRPr="00CB12DB">
        <w:rPr>
          <w:rFonts w:ascii="Calibri" w:hAnsi="Calibri" w:hint="cs"/>
          <w:b/>
          <w:color w:val="000000"/>
          <w:rtl/>
        </w:rPr>
        <w:t xml:space="preserve"> وتفاصيل الاتصال به لتقديم أي استفسارات بشأن هذا الطلب:</w:t>
      </w:r>
    </w:p>
    <w:p w14:paraId="05F05EF5" w14:textId="77777777" w:rsidR="00CB12DB" w:rsidRPr="00CB12DB" w:rsidRDefault="00CB12DB" w:rsidP="00CB12DB">
      <w:pPr>
        <w:pBdr>
          <w:top w:val="nil"/>
          <w:left w:val="nil"/>
          <w:bottom w:val="nil"/>
          <w:right w:val="nil"/>
          <w:between w:val="nil"/>
        </w:pBdr>
        <w:spacing w:after="220"/>
        <w:jc w:val="both"/>
        <w:rPr>
          <w:rFonts w:ascii="Calibri" w:hAnsi="Calibri"/>
          <w:color w:val="000000" w:themeColor="text1"/>
          <w:rtl/>
          <w:lang w:bidi="ar-EG"/>
        </w:rPr>
      </w:pPr>
      <w:r w:rsidRPr="00CB12DB">
        <w:rPr>
          <w:rFonts w:ascii="Calibri" w:hAnsi="Calibri" w:hint="cs"/>
          <w:rtl/>
          <w:lang w:bidi="ar-EG"/>
        </w:rPr>
        <w:t xml:space="preserve">هنري كرو، رئيس إدارة معاهدة التعاون بشأن البراءات في المعهد الوطني للملكية الصناعية في شيلي، </w:t>
      </w:r>
      <w:r>
        <w:fldChar w:fldCharType="begin"/>
      </w:r>
      <w:r>
        <w:instrText>HYPERLINK "mailto:hcrew@inapi.cl" \h</w:instrText>
      </w:r>
      <w:r>
        <w:fldChar w:fldCharType="separate"/>
      </w:r>
      <w:r w:rsidRPr="00CB12DB">
        <w:rPr>
          <w:rFonts w:ascii="Calibri" w:hAnsi="Calibri"/>
          <w:color w:val="0000FF" w:themeColor="hyperlink"/>
          <w:u w:val="single"/>
          <w:lang w:bidi="ar-EG"/>
        </w:rPr>
        <w:t>hcrew@inapi.cl</w:t>
      </w:r>
      <w:r>
        <w:fldChar w:fldCharType="end"/>
      </w:r>
    </w:p>
    <w:p w14:paraId="7177889C" w14:textId="77777777" w:rsidR="00CB12DB" w:rsidRPr="00CB12DB" w:rsidRDefault="00CB12DB" w:rsidP="00F30DAE">
      <w:pPr>
        <w:pStyle w:val="Heading3"/>
        <w:rPr>
          <w:rFonts w:ascii="Calibri" w:hAnsi="Calibri"/>
          <w:b/>
          <w:color w:val="000000"/>
          <w:rtl/>
        </w:rPr>
      </w:pPr>
      <w:r w:rsidRPr="00CB12DB">
        <w:rPr>
          <w:rFonts w:ascii="Calibri" w:hAnsi="Calibri"/>
          <w:b/>
          <w:color w:val="000000"/>
        </w:rPr>
        <w:t>‎</w:t>
      </w:r>
      <w:r w:rsidRPr="00CB12DB">
        <w:rPr>
          <w:rFonts w:ascii="Calibri" w:hAnsi="Calibri" w:hint="cs"/>
          <w:b/>
          <w:color w:val="000000"/>
          <w:rtl/>
        </w:rPr>
        <w:t xml:space="preserve">(ج) </w:t>
      </w:r>
      <w:r w:rsidRPr="00CB12DB">
        <w:rPr>
          <w:rFonts w:ascii="Calibri" w:hAnsi="Calibri"/>
          <w:b/>
          <w:color w:val="000000"/>
        </w:rPr>
        <w:t>‎</w:t>
      </w:r>
      <w:r w:rsidRPr="00CB12DB">
        <w:rPr>
          <w:rFonts w:ascii="Calibri" w:hAnsi="Calibri" w:hint="cs"/>
          <w:b/>
          <w:color w:val="000000"/>
          <w:rtl/>
        </w:rPr>
        <w:t xml:space="preserve">التاريخ </w:t>
      </w:r>
      <w:r w:rsidRPr="00CB12DB">
        <w:rPr>
          <w:rFonts w:hint="cs"/>
          <w:rtl/>
        </w:rPr>
        <w:t>الذي</w:t>
      </w:r>
      <w:r w:rsidRPr="00CB12DB">
        <w:rPr>
          <w:rFonts w:ascii="Calibri" w:hAnsi="Calibri" w:hint="cs"/>
          <w:b/>
          <w:color w:val="000000"/>
          <w:rtl/>
        </w:rPr>
        <w:t xml:space="preserve"> تسلم فيه المدير العام طلب التعيين:</w:t>
      </w:r>
    </w:p>
    <w:p w14:paraId="11C0BDF0" w14:textId="77777777" w:rsidR="00CB12DB" w:rsidRPr="00CB12DB" w:rsidRDefault="00CB12DB" w:rsidP="00CB12DB">
      <w:pPr>
        <w:pBdr>
          <w:top w:val="nil"/>
          <w:left w:val="nil"/>
          <w:bottom w:val="nil"/>
          <w:right w:val="nil"/>
          <w:between w:val="nil"/>
        </w:pBdr>
        <w:spacing w:after="220"/>
        <w:ind w:left="567"/>
        <w:rPr>
          <w:rFonts w:ascii="Calibri" w:hAnsi="Calibri"/>
          <w:b/>
          <w:bCs/>
          <w:i/>
          <w:color w:val="000000"/>
          <w:rtl/>
          <w:lang w:bidi="ar-EG"/>
        </w:rPr>
      </w:pPr>
      <w:r w:rsidRPr="00CB12DB">
        <w:rPr>
          <w:rFonts w:ascii="Calibri" w:hAnsi="Calibri" w:hint="cs"/>
          <w:rtl/>
          <w:lang w:bidi="ar-EG"/>
        </w:rPr>
        <w:t>19 نوفمبر 2025</w:t>
      </w:r>
    </w:p>
    <w:p w14:paraId="2A435E01" w14:textId="49F234A2" w:rsidR="00CB12DB" w:rsidRPr="00CB12DB" w:rsidRDefault="00CB12DB" w:rsidP="00F30DAE">
      <w:pPr>
        <w:keepNext/>
        <w:keepLines/>
        <w:pBdr>
          <w:top w:val="single" w:sz="4" w:space="1" w:color="000000"/>
          <w:left w:val="nil"/>
          <w:bottom w:val="nil"/>
          <w:right w:val="nil"/>
          <w:between w:val="nil"/>
        </w:pBdr>
        <w:spacing w:before="360" w:after="200"/>
        <w:rPr>
          <w:rFonts w:ascii="Calibri" w:hAnsi="Calibri"/>
          <w:b/>
          <w:smallCaps/>
          <w:color w:val="000000"/>
          <w:rtl/>
          <w:lang w:bidi="ar-EG"/>
        </w:rPr>
      </w:pPr>
      <w:r w:rsidRPr="00CB12DB">
        <w:rPr>
          <w:rFonts w:ascii="Calibri" w:hAnsi="Calibri" w:hint="cs"/>
          <w:b/>
          <w:bCs/>
          <w:smallCaps/>
          <w:color w:val="000000"/>
          <w:rtl/>
          <w:lang w:bidi="ar-EG"/>
        </w:rPr>
        <w:t>2</w:t>
      </w:r>
      <w:r w:rsidR="00F30DAE">
        <w:rPr>
          <w:rFonts w:ascii="Calibri" w:hAnsi="Calibri" w:hint="cs"/>
          <w:b/>
          <w:bCs/>
          <w:smallCaps/>
          <w:color w:val="000000"/>
          <w:rtl/>
          <w:lang w:bidi="ar-EG"/>
        </w:rPr>
        <w:t xml:space="preserve"> </w:t>
      </w:r>
      <w:r w:rsidR="00B13708">
        <w:rPr>
          <w:rFonts w:ascii="Calibri" w:hAnsi="Calibri" w:hint="cs"/>
          <w:b/>
          <w:bCs/>
          <w:smallCaps/>
          <w:color w:val="000000"/>
          <w:rtl/>
          <w:lang w:bidi="ar-EG"/>
        </w:rPr>
        <w:t>-</w:t>
      </w:r>
      <w:r w:rsidRPr="00CB12DB">
        <w:rPr>
          <w:rFonts w:ascii="Calibri" w:hAnsi="Calibri" w:hint="cs"/>
          <w:b/>
          <w:bCs/>
          <w:smallCaps/>
          <w:color w:val="000000"/>
          <w:rtl/>
          <w:lang w:bidi="ar-EG"/>
        </w:rPr>
        <w:t xml:space="preserve"> متطلبات التعيين الدنيا</w:t>
      </w:r>
    </w:p>
    <w:p w14:paraId="757A2094" w14:textId="77777777" w:rsidR="00CB12DB" w:rsidRPr="00CB12DB" w:rsidRDefault="00CB12DB" w:rsidP="00F30DAE">
      <w:pPr>
        <w:pStyle w:val="BodyText"/>
        <w:rPr>
          <w:rtl/>
          <w:lang w:bidi="ar-EG"/>
        </w:rPr>
      </w:pPr>
      <w:r w:rsidRPr="00CB12DB">
        <w:rPr>
          <w:rFonts w:hint="cs"/>
          <w:rtl/>
          <w:lang w:bidi="ar-EG"/>
        </w:rPr>
        <w:t xml:space="preserve">إضافة إلى التقرير السنوي عن نظام إدارة الجودة الذي أعده المكتب أو المنظمة لعام 2025 ("تقرير نظام إدارة الجودة"، </w:t>
      </w:r>
      <w:r>
        <w:fldChar w:fldCharType="begin"/>
      </w:r>
      <w:r>
        <w:instrText>HYPERLINK "https://www.wipo.int/en/web/pct-system/quality/authorities" \l "CL"</w:instrText>
      </w:r>
      <w:r>
        <w:fldChar w:fldCharType="separate"/>
      </w:r>
      <w:r w:rsidRPr="00CB12DB">
        <w:rPr>
          <w:color w:val="0000FF" w:themeColor="hyperlink"/>
          <w:u w:val="single"/>
          <w:lang w:bidi="ar-EG"/>
        </w:rPr>
        <w:t>https://www.wipo.int/en/web/pct-system/quality/authorities#CL</w:t>
      </w:r>
      <w:r>
        <w:fldChar w:fldCharType="end"/>
      </w:r>
      <w:r w:rsidRPr="00CB12DB">
        <w:rPr>
          <w:rFonts w:hint="cs"/>
          <w:rtl/>
          <w:lang w:bidi="ar-EG"/>
        </w:rPr>
        <w:t>)،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6940D442" w14:textId="59C7115C" w:rsidR="00CB12DB" w:rsidRPr="00CB12DB" w:rsidRDefault="00CB12DB" w:rsidP="00CB12DB">
      <w:pPr>
        <w:keepLines/>
        <w:pBdr>
          <w:top w:val="single" w:sz="4" w:space="1" w:color="000000"/>
          <w:left w:val="nil"/>
          <w:bottom w:val="nil"/>
          <w:right w:val="nil"/>
          <w:between w:val="nil"/>
        </w:pBdr>
        <w:spacing w:before="360" w:after="200" w:line="480" w:lineRule="auto"/>
        <w:rPr>
          <w:rFonts w:ascii="Calibri" w:hAnsi="Calibri"/>
          <w:b/>
          <w:smallCaps/>
          <w:color w:val="000000"/>
          <w:rtl/>
          <w:lang w:bidi="ar-EG"/>
        </w:rPr>
      </w:pPr>
      <w:r w:rsidRPr="00CB12DB">
        <w:rPr>
          <w:rFonts w:ascii="Calibri" w:hAnsi="Calibri"/>
          <w:b/>
          <w:bCs/>
          <w:smallCaps/>
          <w:color w:val="000000"/>
          <w:lang w:bidi="ar-EG"/>
        </w:rPr>
        <w:t>‎1.2</w:t>
      </w:r>
      <w:r w:rsidRPr="00CB12DB">
        <w:rPr>
          <w:rFonts w:ascii="Calibri" w:hAnsi="Calibri" w:hint="cs"/>
          <w:b/>
          <w:bCs/>
          <w:smallCaps/>
          <w:color w:val="000000"/>
          <w:rtl/>
          <w:lang w:bidi="ar-EG"/>
        </w:rPr>
        <w:t xml:space="preserve"> </w:t>
      </w:r>
      <w:r w:rsidR="00B13708">
        <w:rPr>
          <w:rFonts w:ascii="Calibri" w:hAnsi="Calibri" w:hint="cs"/>
          <w:b/>
          <w:bCs/>
          <w:smallCaps/>
          <w:color w:val="000000"/>
          <w:rtl/>
          <w:lang w:bidi="ar-EG"/>
        </w:rPr>
        <w:t>-</w:t>
      </w:r>
      <w:r w:rsidRPr="00CB12DB">
        <w:rPr>
          <w:rFonts w:ascii="Calibri" w:hAnsi="Calibri" w:hint="cs"/>
          <w:b/>
          <w:bCs/>
          <w:smallCaps/>
          <w:color w:val="000000"/>
          <w:rtl/>
          <w:lang w:bidi="ar-EG"/>
        </w:rPr>
        <w:t xml:space="preserve"> الكفاءات في مجال البحث والفحص</w:t>
      </w:r>
    </w:p>
    <w:p w14:paraId="771BE9F9" w14:textId="77777777" w:rsidR="00CB12DB" w:rsidRPr="00CB12DB" w:rsidRDefault="00CB12DB" w:rsidP="00CB12DB">
      <w:pPr>
        <w:keepLines/>
        <w:pBdr>
          <w:top w:val="nil"/>
          <w:left w:val="nil"/>
          <w:bottom w:val="nil"/>
          <w:right w:val="nil"/>
          <w:between w:val="nil"/>
        </w:pBdr>
        <w:spacing w:after="240"/>
        <w:ind w:left="567" w:right="567"/>
        <w:rPr>
          <w:rFonts w:ascii="Calibri" w:hAnsi="Calibri"/>
          <w:i/>
          <w:color w:val="000000"/>
          <w:rtl/>
          <w:lang w:bidi="ar-EG"/>
        </w:rPr>
      </w:pPr>
      <w:r w:rsidRPr="00CB12DB">
        <w:rPr>
          <w:rFonts w:ascii="Calibri" w:hAnsi="Calibri" w:hint="cs"/>
          <w:i/>
          <w:iCs/>
          <w:color w:val="000000"/>
          <w:rtl/>
          <w:lang w:bidi="ar-EG"/>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04EBFB48" w14:textId="77777777" w:rsidR="00CB12DB" w:rsidRPr="00CB12DB" w:rsidRDefault="00CB12DB" w:rsidP="00F30DAE">
      <w:pPr>
        <w:pStyle w:val="BodyText"/>
        <w:rPr>
          <w:rtl/>
          <w:lang w:bidi="ar-EG"/>
        </w:rPr>
      </w:pPr>
      <w:r w:rsidRPr="00CB12DB">
        <w:rPr>
          <w:rFonts w:hint="cs"/>
          <w:rtl/>
          <w:lang w:bidi="ar-EG"/>
        </w:rPr>
        <w:t xml:space="preserve">يقدم تقرير نظام إدارة الجودة معلومات من الإدارة بشأن البنية التحتية الموجودة لديها لضمان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  وتُدرج الإدارة أيضاً المعلومات التالية عن أعداد الموظفين المؤهلين لإجراء عمليات البحث والفحص.  </w:t>
      </w:r>
    </w:p>
    <w:p w14:paraId="6C13BC84" w14:textId="77777777" w:rsidR="00CB12DB" w:rsidRPr="00CB12DB" w:rsidRDefault="00CB12DB" w:rsidP="00CB12DB">
      <w:pPr>
        <w:keepNext/>
        <w:keepLines/>
        <w:pBdr>
          <w:top w:val="nil"/>
          <w:left w:val="nil"/>
          <w:bottom w:val="nil"/>
          <w:right w:val="nil"/>
          <w:between w:val="nil"/>
        </w:pBdr>
        <w:spacing w:after="480"/>
        <w:rPr>
          <w:rFonts w:ascii="Calibri" w:hAnsi="Calibri"/>
          <w:color w:val="000000"/>
          <w:rtl/>
          <w:lang w:bidi="ar-EG"/>
        </w:rPr>
      </w:pPr>
      <w:r w:rsidRPr="00CB12DB">
        <w:rPr>
          <w:rFonts w:ascii="Calibri" w:hAnsi="Calibri" w:hint="cs"/>
          <w:color w:val="000000"/>
          <w:rtl/>
          <w:lang w:bidi="ar-EG"/>
        </w:rPr>
        <w:t>الموظفون المؤهلون لإجراء البحث والفحص:</w:t>
      </w:r>
    </w:p>
    <w:tbl>
      <w:tblPr>
        <w:bidiVisual/>
        <w:tblW w:w="7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2310"/>
        <w:gridCol w:w="2595"/>
      </w:tblGrid>
      <w:tr w:rsidR="00CB12DB" w:rsidRPr="00CB12DB" w14:paraId="35D89AF7" w14:textId="77777777" w:rsidTr="00F30DAE">
        <w:trPr>
          <w:cantSplit/>
          <w:tblHeader/>
          <w:jc w:val="center"/>
        </w:trPr>
        <w:tc>
          <w:tcPr>
            <w:tcW w:w="3015" w:type="dxa"/>
            <w:tcBorders>
              <w:top w:val="single" w:sz="4" w:space="0" w:color="000000"/>
              <w:left w:val="single" w:sz="4" w:space="0" w:color="000000"/>
              <w:bottom w:val="single" w:sz="4" w:space="0" w:color="000000"/>
              <w:right w:val="single" w:sz="4" w:space="0" w:color="000000"/>
            </w:tcBorders>
          </w:tcPr>
          <w:p w14:paraId="4C33F91B" w14:textId="77777777" w:rsidR="00CB12DB" w:rsidRPr="00CB12DB" w:rsidRDefault="00CB12DB" w:rsidP="00CB12DB">
            <w:pPr>
              <w:keepNext/>
              <w:keepLines/>
              <w:rPr>
                <w:rFonts w:ascii="Calibri" w:hAnsi="Calibri"/>
                <w:b/>
                <w:rtl/>
                <w:lang w:bidi="ar-EG"/>
              </w:rPr>
            </w:pPr>
            <w:r w:rsidRPr="00CB12DB">
              <w:rPr>
                <w:rFonts w:ascii="Calibri" w:hAnsi="Calibri" w:hint="cs"/>
                <w:b/>
                <w:bCs/>
                <w:rtl/>
                <w:lang w:bidi="ar-EG"/>
              </w:rPr>
              <w:t>المجال التقني</w:t>
            </w:r>
          </w:p>
        </w:tc>
        <w:tc>
          <w:tcPr>
            <w:tcW w:w="2310" w:type="dxa"/>
            <w:tcBorders>
              <w:top w:val="single" w:sz="4" w:space="0" w:color="000000"/>
              <w:left w:val="single" w:sz="4" w:space="0" w:color="000000"/>
              <w:bottom w:val="single" w:sz="4" w:space="0" w:color="000000"/>
              <w:right w:val="single" w:sz="4" w:space="0" w:color="000000"/>
            </w:tcBorders>
          </w:tcPr>
          <w:p w14:paraId="00E8630B" w14:textId="77777777" w:rsidR="00CB12DB" w:rsidRPr="00CB12DB" w:rsidRDefault="00CB12DB" w:rsidP="00CB12DB">
            <w:pPr>
              <w:keepNext/>
              <w:keepLines/>
              <w:rPr>
                <w:rFonts w:ascii="Calibri" w:hAnsi="Calibri"/>
                <w:b/>
                <w:rtl/>
                <w:lang w:bidi="ar-EG"/>
              </w:rPr>
            </w:pPr>
            <w:r w:rsidRPr="00CB12DB">
              <w:rPr>
                <w:rFonts w:ascii="Calibri" w:hAnsi="Calibri" w:hint="cs"/>
                <w:b/>
                <w:bCs/>
                <w:rtl/>
                <w:lang w:bidi="ar-EG"/>
              </w:rPr>
              <w:t>العدد (بمعادل دوام كامل)</w:t>
            </w:r>
          </w:p>
        </w:tc>
        <w:tc>
          <w:tcPr>
            <w:tcW w:w="2595" w:type="dxa"/>
            <w:tcBorders>
              <w:top w:val="single" w:sz="4" w:space="0" w:color="000000"/>
              <w:left w:val="single" w:sz="4" w:space="0" w:color="000000"/>
              <w:bottom w:val="single" w:sz="4" w:space="0" w:color="000000"/>
              <w:right w:val="single" w:sz="4" w:space="0" w:color="000000"/>
            </w:tcBorders>
          </w:tcPr>
          <w:p w14:paraId="6E2C557D" w14:textId="77777777" w:rsidR="00CB12DB" w:rsidRPr="00CB12DB" w:rsidRDefault="00CB12DB" w:rsidP="00CB12DB">
            <w:pPr>
              <w:keepNext/>
              <w:keepLines/>
              <w:rPr>
                <w:rFonts w:ascii="Calibri" w:hAnsi="Calibri"/>
                <w:b/>
                <w:rtl/>
                <w:lang w:bidi="ar-EG"/>
              </w:rPr>
            </w:pPr>
            <w:r w:rsidRPr="00CB12DB">
              <w:rPr>
                <w:rFonts w:ascii="Calibri" w:hAnsi="Calibri" w:hint="cs"/>
                <w:b/>
                <w:bCs/>
                <w:rtl/>
                <w:lang w:bidi="ar-EG"/>
              </w:rPr>
              <w:t>متوسط الخبرة كفاحص (بالسنوات)</w:t>
            </w:r>
          </w:p>
        </w:tc>
      </w:tr>
      <w:tr w:rsidR="00CB12DB" w:rsidRPr="00CB12DB" w14:paraId="44B16342" w14:textId="77777777" w:rsidTr="00F30DAE">
        <w:trPr>
          <w:cantSplit/>
          <w:jc w:val="center"/>
        </w:trPr>
        <w:tc>
          <w:tcPr>
            <w:tcW w:w="3015" w:type="dxa"/>
            <w:tcBorders>
              <w:top w:val="single" w:sz="4" w:space="0" w:color="000000"/>
              <w:left w:val="single" w:sz="4" w:space="0" w:color="000000"/>
              <w:bottom w:val="single" w:sz="4" w:space="0" w:color="000000"/>
              <w:right w:val="single" w:sz="4" w:space="0" w:color="000000"/>
            </w:tcBorders>
          </w:tcPr>
          <w:p w14:paraId="51BDD32A" w14:textId="77777777" w:rsidR="00CB12DB" w:rsidRPr="00CB12DB" w:rsidRDefault="00CB12DB" w:rsidP="00CB12DB">
            <w:pPr>
              <w:keepNext/>
              <w:keepLines/>
              <w:rPr>
                <w:rFonts w:ascii="Calibri" w:hAnsi="Calibri"/>
                <w:rtl/>
                <w:lang w:bidi="ar-EG"/>
              </w:rPr>
            </w:pPr>
            <w:r w:rsidRPr="00CB12DB">
              <w:rPr>
                <w:rFonts w:ascii="Calibri" w:hAnsi="Calibri" w:hint="cs"/>
                <w:rtl/>
                <w:lang w:bidi="ar-EG"/>
              </w:rPr>
              <w:t>الميكانيكا</w:t>
            </w:r>
          </w:p>
        </w:tc>
        <w:tc>
          <w:tcPr>
            <w:tcW w:w="2310" w:type="dxa"/>
            <w:tcBorders>
              <w:top w:val="single" w:sz="4" w:space="0" w:color="000000"/>
              <w:left w:val="single" w:sz="4" w:space="0" w:color="000000"/>
              <w:bottom w:val="single" w:sz="4" w:space="0" w:color="000000"/>
              <w:right w:val="single" w:sz="4" w:space="0" w:color="000000"/>
            </w:tcBorders>
          </w:tcPr>
          <w:p w14:paraId="7A5ADF80" w14:textId="77777777" w:rsidR="00CB12DB" w:rsidRPr="00CB12DB" w:rsidRDefault="00CB12DB" w:rsidP="00CB12DB">
            <w:pPr>
              <w:keepNext/>
              <w:keepLines/>
              <w:rPr>
                <w:rFonts w:ascii="Calibri" w:hAnsi="Calibri"/>
                <w:color w:val="000000"/>
                <w:rtl/>
                <w:lang w:bidi="ar-EG"/>
              </w:rPr>
            </w:pPr>
            <w:r w:rsidRPr="00CB12DB">
              <w:rPr>
                <w:rFonts w:ascii="Calibri" w:hAnsi="Calibri" w:hint="cs"/>
                <w:color w:val="000000"/>
                <w:rtl/>
                <w:lang w:bidi="ar-EG"/>
              </w:rPr>
              <w:t>25</w:t>
            </w:r>
          </w:p>
        </w:tc>
        <w:tc>
          <w:tcPr>
            <w:tcW w:w="2595" w:type="dxa"/>
            <w:tcBorders>
              <w:top w:val="single" w:sz="4" w:space="0" w:color="000000"/>
              <w:left w:val="single" w:sz="4" w:space="0" w:color="000000"/>
              <w:bottom w:val="single" w:sz="4" w:space="0" w:color="000000"/>
              <w:right w:val="single" w:sz="4" w:space="0" w:color="000000"/>
            </w:tcBorders>
          </w:tcPr>
          <w:p w14:paraId="0B3D2B43" w14:textId="77777777" w:rsidR="00CB12DB" w:rsidRPr="00CB12DB" w:rsidRDefault="00CB12DB" w:rsidP="00CB12DB">
            <w:pPr>
              <w:keepNext/>
              <w:keepLines/>
              <w:rPr>
                <w:rFonts w:ascii="Calibri" w:hAnsi="Calibri"/>
                <w:color w:val="000000"/>
                <w:rtl/>
                <w:lang w:bidi="ar-EG"/>
              </w:rPr>
            </w:pPr>
            <w:r w:rsidRPr="00CB12DB">
              <w:rPr>
                <w:rFonts w:ascii="Calibri" w:hAnsi="Calibri" w:hint="cs"/>
                <w:color w:val="000000"/>
                <w:rtl/>
                <w:lang w:bidi="ar-EG"/>
              </w:rPr>
              <w:t>10.3</w:t>
            </w:r>
          </w:p>
        </w:tc>
      </w:tr>
      <w:tr w:rsidR="00CB12DB" w:rsidRPr="00CB12DB" w14:paraId="6621860F" w14:textId="77777777" w:rsidTr="00F30DAE">
        <w:trPr>
          <w:cantSplit/>
          <w:jc w:val="center"/>
        </w:trPr>
        <w:tc>
          <w:tcPr>
            <w:tcW w:w="3015" w:type="dxa"/>
            <w:tcBorders>
              <w:top w:val="single" w:sz="4" w:space="0" w:color="000000"/>
              <w:left w:val="single" w:sz="4" w:space="0" w:color="000000"/>
              <w:bottom w:val="single" w:sz="4" w:space="0" w:color="000000"/>
              <w:right w:val="single" w:sz="4" w:space="0" w:color="000000"/>
            </w:tcBorders>
          </w:tcPr>
          <w:p w14:paraId="6439C479" w14:textId="77777777" w:rsidR="00CB12DB" w:rsidRPr="00CB12DB" w:rsidRDefault="00CB12DB" w:rsidP="00CB12DB">
            <w:pPr>
              <w:keepNext/>
              <w:keepLines/>
              <w:rPr>
                <w:rFonts w:ascii="Calibri" w:hAnsi="Calibri"/>
                <w:rtl/>
                <w:lang w:bidi="ar-EG"/>
              </w:rPr>
            </w:pPr>
            <w:r w:rsidRPr="00CB12DB">
              <w:rPr>
                <w:rFonts w:ascii="Calibri" w:hAnsi="Calibri" w:hint="cs"/>
                <w:rtl/>
                <w:lang w:bidi="ar-EG"/>
              </w:rPr>
              <w:t>الكهرباء/الإلكترونيات</w:t>
            </w:r>
          </w:p>
        </w:tc>
        <w:tc>
          <w:tcPr>
            <w:tcW w:w="2310" w:type="dxa"/>
            <w:tcBorders>
              <w:top w:val="single" w:sz="4" w:space="0" w:color="000000"/>
              <w:left w:val="single" w:sz="4" w:space="0" w:color="000000"/>
              <w:bottom w:val="single" w:sz="4" w:space="0" w:color="000000"/>
              <w:right w:val="single" w:sz="4" w:space="0" w:color="000000"/>
            </w:tcBorders>
          </w:tcPr>
          <w:p w14:paraId="17334C92" w14:textId="77777777" w:rsidR="00CB12DB" w:rsidRPr="00CB12DB" w:rsidRDefault="00CB12DB" w:rsidP="00CB12DB">
            <w:pPr>
              <w:keepNext/>
              <w:keepLines/>
              <w:rPr>
                <w:rFonts w:ascii="Calibri" w:hAnsi="Calibri"/>
                <w:color w:val="000000"/>
                <w:rtl/>
                <w:lang w:bidi="ar-EG"/>
              </w:rPr>
            </w:pPr>
            <w:r w:rsidRPr="00CB12DB">
              <w:rPr>
                <w:rFonts w:ascii="Calibri" w:hAnsi="Calibri" w:hint="cs"/>
                <w:color w:val="000000"/>
                <w:rtl/>
                <w:lang w:bidi="ar-EG"/>
              </w:rPr>
              <w:t>14</w:t>
            </w:r>
          </w:p>
        </w:tc>
        <w:tc>
          <w:tcPr>
            <w:tcW w:w="2595" w:type="dxa"/>
            <w:tcBorders>
              <w:top w:val="single" w:sz="4" w:space="0" w:color="000000"/>
              <w:left w:val="single" w:sz="4" w:space="0" w:color="000000"/>
              <w:bottom w:val="single" w:sz="4" w:space="0" w:color="000000"/>
              <w:right w:val="single" w:sz="4" w:space="0" w:color="000000"/>
            </w:tcBorders>
          </w:tcPr>
          <w:p w14:paraId="260D451F" w14:textId="77777777" w:rsidR="00CB12DB" w:rsidRPr="00CB12DB" w:rsidRDefault="00CB12DB" w:rsidP="00CB12DB">
            <w:pPr>
              <w:keepNext/>
              <w:keepLines/>
              <w:rPr>
                <w:rFonts w:ascii="Calibri" w:hAnsi="Calibri"/>
                <w:color w:val="000000"/>
                <w:rtl/>
                <w:lang w:bidi="ar-EG"/>
              </w:rPr>
            </w:pPr>
            <w:r w:rsidRPr="00CB12DB">
              <w:rPr>
                <w:rFonts w:ascii="Calibri" w:hAnsi="Calibri" w:hint="cs"/>
                <w:color w:val="000000"/>
                <w:rtl/>
                <w:lang w:bidi="ar-EG"/>
              </w:rPr>
              <w:t>8.5</w:t>
            </w:r>
          </w:p>
        </w:tc>
      </w:tr>
      <w:tr w:rsidR="00CB12DB" w:rsidRPr="00CB12DB" w14:paraId="0AC4AE7C" w14:textId="77777777" w:rsidTr="00F30DAE">
        <w:trPr>
          <w:cantSplit/>
          <w:jc w:val="center"/>
        </w:trPr>
        <w:tc>
          <w:tcPr>
            <w:tcW w:w="3015" w:type="dxa"/>
            <w:tcBorders>
              <w:top w:val="single" w:sz="4" w:space="0" w:color="000000"/>
              <w:left w:val="single" w:sz="4" w:space="0" w:color="000000"/>
              <w:bottom w:val="single" w:sz="4" w:space="0" w:color="000000"/>
              <w:right w:val="single" w:sz="4" w:space="0" w:color="000000"/>
            </w:tcBorders>
          </w:tcPr>
          <w:p w14:paraId="2F20D873" w14:textId="77777777" w:rsidR="00CB12DB" w:rsidRPr="00CB12DB" w:rsidRDefault="00CB12DB" w:rsidP="00CB12DB">
            <w:pPr>
              <w:keepNext/>
              <w:keepLines/>
              <w:rPr>
                <w:rFonts w:ascii="Calibri" w:hAnsi="Calibri"/>
                <w:rtl/>
                <w:lang w:bidi="ar-EG"/>
              </w:rPr>
            </w:pPr>
            <w:r w:rsidRPr="00CB12DB">
              <w:rPr>
                <w:rFonts w:ascii="Calibri" w:hAnsi="Calibri" w:hint="cs"/>
                <w:rtl/>
                <w:lang w:bidi="ar-EG"/>
              </w:rPr>
              <w:t>المستحضرات الصيدلانية</w:t>
            </w:r>
          </w:p>
        </w:tc>
        <w:tc>
          <w:tcPr>
            <w:tcW w:w="2310" w:type="dxa"/>
            <w:tcBorders>
              <w:top w:val="single" w:sz="4" w:space="0" w:color="000000"/>
              <w:left w:val="single" w:sz="4" w:space="0" w:color="000000"/>
              <w:bottom w:val="single" w:sz="4" w:space="0" w:color="000000"/>
              <w:right w:val="single" w:sz="4" w:space="0" w:color="000000"/>
            </w:tcBorders>
          </w:tcPr>
          <w:p w14:paraId="1A1C75F1" w14:textId="77777777" w:rsidR="00CB12DB" w:rsidRPr="00CB12DB" w:rsidRDefault="00CB12DB" w:rsidP="00CB12DB">
            <w:pPr>
              <w:keepNext/>
              <w:keepLines/>
              <w:rPr>
                <w:rFonts w:ascii="Calibri" w:hAnsi="Calibri"/>
                <w:color w:val="000000"/>
                <w:rtl/>
                <w:lang w:bidi="ar-EG"/>
              </w:rPr>
            </w:pPr>
            <w:r w:rsidRPr="00CB12DB">
              <w:rPr>
                <w:rFonts w:ascii="Calibri" w:hAnsi="Calibri" w:hint="cs"/>
                <w:color w:val="000000"/>
                <w:rtl/>
                <w:lang w:bidi="ar-EG"/>
              </w:rPr>
              <w:t>24</w:t>
            </w:r>
          </w:p>
        </w:tc>
        <w:tc>
          <w:tcPr>
            <w:tcW w:w="2595" w:type="dxa"/>
            <w:tcBorders>
              <w:top w:val="single" w:sz="4" w:space="0" w:color="000000"/>
              <w:left w:val="single" w:sz="4" w:space="0" w:color="000000"/>
              <w:bottom w:val="single" w:sz="4" w:space="0" w:color="000000"/>
              <w:right w:val="single" w:sz="4" w:space="0" w:color="000000"/>
            </w:tcBorders>
          </w:tcPr>
          <w:p w14:paraId="50E560F0" w14:textId="77777777" w:rsidR="00CB12DB" w:rsidRPr="00CB12DB" w:rsidRDefault="00CB12DB" w:rsidP="00CB12DB">
            <w:pPr>
              <w:keepNext/>
              <w:keepLines/>
              <w:rPr>
                <w:rFonts w:ascii="Calibri" w:hAnsi="Calibri"/>
                <w:color w:val="000000"/>
                <w:rtl/>
                <w:lang w:bidi="ar-EG"/>
              </w:rPr>
            </w:pPr>
            <w:r w:rsidRPr="00CB12DB">
              <w:rPr>
                <w:rFonts w:ascii="Calibri" w:hAnsi="Calibri" w:hint="cs"/>
                <w:color w:val="000000"/>
                <w:rtl/>
                <w:lang w:bidi="ar-EG"/>
              </w:rPr>
              <w:t>12.6</w:t>
            </w:r>
          </w:p>
        </w:tc>
      </w:tr>
      <w:tr w:rsidR="00CB12DB" w:rsidRPr="00CB12DB" w14:paraId="79260BDD" w14:textId="77777777" w:rsidTr="00F30DAE">
        <w:trPr>
          <w:cantSplit/>
          <w:jc w:val="center"/>
        </w:trPr>
        <w:tc>
          <w:tcPr>
            <w:tcW w:w="3015" w:type="dxa"/>
            <w:tcBorders>
              <w:top w:val="single" w:sz="4" w:space="0" w:color="000000"/>
              <w:left w:val="single" w:sz="4" w:space="0" w:color="000000"/>
              <w:bottom w:val="single" w:sz="4" w:space="0" w:color="000000"/>
              <w:right w:val="single" w:sz="4" w:space="0" w:color="000000"/>
            </w:tcBorders>
          </w:tcPr>
          <w:p w14:paraId="36666F9D" w14:textId="77777777" w:rsidR="00CB12DB" w:rsidRPr="00CB12DB" w:rsidRDefault="00CB12DB" w:rsidP="00CB12DB">
            <w:pPr>
              <w:keepNext/>
              <w:keepLines/>
              <w:rPr>
                <w:rFonts w:ascii="Calibri" w:hAnsi="Calibri"/>
                <w:rtl/>
                <w:lang w:bidi="ar-EG"/>
              </w:rPr>
            </w:pPr>
            <w:r w:rsidRPr="00CB12DB">
              <w:rPr>
                <w:rFonts w:ascii="Calibri" w:hAnsi="Calibri" w:hint="cs"/>
                <w:rtl/>
                <w:lang w:bidi="ar-EG"/>
              </w:rPr>
              <w:t>الكيمياء</w:t>
            </w:r>
          </w:p>
        </w:tc>
        <w:tc>
          <w:tcPr>
            <w:tcW w:w="2310" w:type="dxa"/>
            <w:tcBorders>
              <w:top w:val="single" w:sz="4" w:space="0" w:color="000000"/>
              <w:left w:val="single" w:sz="4" w:space="0" w:color="000000"/>
              <w:bottom w:val="single" w:sz="4" w:space="0" w:color="000000"/>
              <w:right w:val="single" w:sz="4" w:space="0" w:color="000000"/>
            </w:tcBorders>
          </w:tcPr>
          <w:p w14:paraId="12D4A617" w14:textId="77777777" w:rsidR="00CB12DB" w:rsidRPr="00CB12DB" w:rsidRDefault="00CB12DB" w:rsidP="00CB12DB">
            <w:pPr>
              <w:keepNext/>
              <w:keepLines/>
              <w:rPr>
                <w:rFonts w:ascii="Calibri" w:hAnsi="Calibri"/>
                <w:color w:val="000000"/>
                <w:rtl/>
                <w:lang w:bidi="ar-EG"/>
              </w:rPr>
            </w:pPr>
            <w:r w:rsidRPr="00CB12DB">
              <w:rPr>
                <w:rFonts w:ascii="Calibri" w:hAnsi="Calibri" w:hint="cs"/>
                <w:rtl/>
                <w:lang w:bidi="ar-EG"/>
              </w:rPr>
              <w:t>19</w:t>
            </w:r>
          </w:p>
        </w:tc>
        <w:tc>
          <w:tcPr>
            <w:tcW w:w="2595" w:type="dxa"/>
            <w:tcBorders>
              <w:top w:val="single" w:sz="4" w:space="0" w:color="000000"/>
              <w:left w:val="single" w:sz="4" w:space="0" w:color="000000"/>
              <w:bottom w:val="single" w:sz="4" w:space="0" w:color="000000"/>
              <w:right w:val="single" w:sz="4" w:space="0" w:color="000000"/>
            </w:tcBorders>
          </w:tcPr>
          <w:p w14:paraId="02F481D9" w14:textId="77777777" w:rsidR="00CB12DB" w:rsidRPr="00CB12DB" w:rsidRDefault="00CB12DB" w:rsidP="00CB12DB">
            <w:pPr>
              <w:keepNext/>
              <w:keepLines/>
              <w:rPr>
                <w:rFonts w:ascii="Calibri" w:hAnsi="Calibri"/>
                <w:color w:val="000000"/>
                <w:rtl/>
                <w:lang w:bidi="ar-EG"/>
              </w:rPr>
            </w:pPr>
            <w:r w:rsidRPr="00CB12DB">
              <w:rPr>
                <w:rFonts w:ascii="Calibri" w:hAnsi="Calibri" w:hint="cs"/>
                <w:color w:val="000000"/>
                <w:rtl/>
                <w:lang w:bidi="ar-EG"/>
              </w:rPr>
              <w:t>10.6</w:t>
            </w:r>
          </w:p>
        </w:tc>
      </w:tr>
      <w:tr w:rsidR="00CB12DB" w:rsidRPr="00CB12DB" w14:paraId="7DEBE305" w14:textId="77777777" w:rsidTr="00F30DAE">
        <w:trPr>
          <w:cantSplit/>
          <w:jc w:val="center"/>
        </w:trPr>
        <w:tc>
          <w:tcPr>
            <w:tcW w:w="3015" w:type="dxa"/>
            <w:tcBorders>
              <w:top w:val="single" w:sz="4" w:space="0" w:color="000000"/>
              <w:left w:val="single" w:sz="4" w:space="0" w:color="000000"/>
              <w:bottom w:val="single" w:sz="4" w:space="0" w:color="000000"/>
              <w:right w:val="single" w:sz="4" w:space="0" w:color="000000"/>
            </w:tcBorders>
          </w:tcPr>
          <w:p w14:paraId="43A219AB" w14:textId="77777777" w:rsidR="00CB12DB" w:rsidRPr="00CB12DB" w:rsidRDefault="00CB12DB" w:rsidP="00CB12DB">
            <w:pPr>
              <w:keepNext/>
              <w:keepLines/>
              <w:rPr>
                <w:rFonts w:ascii="Calibri" w:hAnsi="Calibri"/>
                <w:rtl/>
                <w:lang w:bidi="ar-EG"/>
              </w:rPr>
            </w:pPr>
            <w:r w:rsidRPr="00CB12DB">
              <w:rPr>
                <w:rFonts w:ascii="Calibri" w:hAnsi="Calibri" w:hint="cs"/>
                <w:rtl/>
                <w:lang w:bidi="ar-EG"/>
              </w:rPr>
              <w:t>البيوتكنولوجيا</w:t>
            </w:r>
          </w:p>
        </w:tc>
        <w:tc>
          <w:tcPr>
            <w:tcW w:w="2310" w:type="dxa"/>
            <w:tcBorders>
              <w:top w:val="single" w:sz="4" w:space="0" w:color="000000"/>
              <w:left w:val="single" w:sz="4" w:space="0" w:color="000000"/>
              <w:bottom w:val="single" w:sz="4" w:space="0" w:color="000000"/>
              <w:right w:val="single" w:sz="4" w:space="0" w:color="000000"/>
            </w:tcBorders>
          </w:tcPr>
          <w:p w14:paraId="3CBF93C2" w14:textId="77777777" w:rsidR="00CB12DB" w:rsidRPr="00CB12DB" w:rsidRDefault="00CB12DB" w:rsidP="00CB12DB">
            <w:pPr>
              <w:keepNext/>
              <w:keepLines/>
              <w:rPr>
                <w:rFonts w:ascii="Calibri" w:hAnsi="Calibri"/>
                <w:color w:val="000000"/>
                <w:rtl/>
                <w:lang w:bidi="ar-EG"/>
              </w:rPr>
            </w:pPr>
            <w:r w:rsidRPr="00CB12DB">
              <w:rPr>
                <w:rFonts w:ascii="Calibri" w:hAnsi="Calibri" w:hint="cs"/>
                <w:rtl/>
                <w:lang w:bidi="ar-EG"/>
              </w:rPr>
              <w:t>25</w:t>
            </w:r>
          </w:p>
        </w:tc>
        <w:tc>
          <w:tcPr>
            <w:tcW w:w="2595" w:type="dxa"/>
            <w:tcBorders>
              <w:top w:val="single" w:sz="4" w:space="0" w:color="000000"/>
              <w:left w:val="single" w:sz="4" w:space="0" w:color="000000"/>
              <w:bottom w:val="single" w:sz="4" w:space="0" w:color="000000"/>
              <w:right w:val="single" w:sz="4" w:space="0" w:color="000000"/>
            </w:tcBorders>
          </w:tcPr>
          <w:p w14:paraId="1C943CC4" w14:textId="77777777" w:rsidR="00CB12DB" w:rsidRPr="00CB12DB" w:rsidRDefault="00CB12DB" w:rsidP="00CB12DB">
            <w:pPr>
              <w:keepNext/>
              <w:keepLines/>
              <w:rPr>
                <w:rFonts w:ascii="Calibri" w:hAnsi="Calibri"/>
                <w:color w:val="000000"/>
                <w:rtl/>
                <w:lang w:bidi="ar-EG"/>
              </w:rPr>
            </w:pPr>
            <w:r w:rsidRPr="00CB12DB">
              <w:rPr>
                <w:rFonts w:ascii="Calibri" w:hAnsi="Calibri" w:hint="cs"/>
                <w:color w:val="000000"/>
                <w:rtl/>
                <w:lang w:bidi="ar-EG"/>
              </w:rPr>
              <w:t>7.4</w:t>
            </w:r>
          </w:p>
        </w:tc>
      </w:tr>
      <w:tr w:rsidR="00CB12DB" w:rsidRPr="00CB12DB" w14:paraId="51ADE827" w14:textId="77777777" w:rsidTr="00F30DAE">
        <w:trPr>
          <w:cantSplit/>
          <w:jc w:val="center"/>
        </w:trPr>
        <w:tc>
          <w:tcPr>
            <w:tcW w:w="3015" w:type="dxa"/>
            <w:tcBorders>
              <w:top w:val="single" w:sz="4" w:space="0" w:color="000000"/>
              <w:left w:val="single" w:sz="4" w:space="0" w:color="000000"/>
              <w:bottom w:val="single" w:sz="4" w:space="0" w:color="000000"/>
              <w:right w:val="single" w:sz="4" w:space="0" w:color="000000"/>
            </w:tcBorders>
          </w:tcPr>
          <w:p w14:paraId="5D714361" w14:textId="77777777" w:rsidR="00CB12DB" w:rsidRPr="00CB12DB" w:rsidRDefault="00CB12DB" w:rsidP="00CB12DB">
            <w:pPr>
              <w:keepLines/>
              <w:rPr>
                <w:rFonts w:ascii="Calibri" w:hAnsi="Calibri"/>
                <w:rtl/>
                <w:lang w:bidi="ar-EG"/>
              </w:rPr>
            </w:pPr>
            <w:r w:rsidRPr="00CB12DB">
              <w:rPr>
                <w:rFonts w:ascii="Calibri" w:hAnsi="Calibri" w:hint="cs"/>
                <w:rtl/>
                <w:lang w:bidi="ar-EG"/>
              </w:rPr>
              <w:t>التصاميم الصناعية</w:t>
            </w:r>
          </w:p>
        </w:tc>
        <w:tc>
          <w:tcPr>
            <w:tcW w:w="2310" w:type="dxa"/>
            <w:tcBorders>
              <w:top w:val="single" w:sz="4" w:space="0" w:color="000000"/>
              <w:left w:val="single" w:sz="4" w:space="0" w:color="000000"/>
              <w:bottom w:val="single" w:sz="4" w:space="0" w:color="000000"/>
              <w:right w:val="single" w:sz="4" w:space="0" w:color="000000"/>
            </w:tcBorders>
          </w:tcPr>
          <w:p w14:paraId="5D32D726" w14:textId="77777777" w:rsidR="00CB12DB" w:rsidRPr="00CB12DB" w:rsidRDefault="00CB12DB" w:rsidP="00CB12DB">
            <w:pPr>
              <w:keepLines/>
              <w:rPr>
                <w:rFonts w:ascii="Calibri" w:hAnsi="Calibri"/>
                <w:color w:val="000000"/>
                <w:rtl/>
                <w:lang w:bidi="ar-EG"/>
              </w:rPr>
            </w:pPr>
            <w:r w:rsidRPr="00CB12DB">
              <w:rPr>
                <w:rFonts w:ascii="Calibri" w:hAnsi="Calibri" w:hint="cs"/>
                <w:color w:val="000000"/>
                <w:rtl/>
                <w:lang w:bidi="ar-EG"/>
              </w:rPr>
              <w:t>5</w:t>
            </w:r>
          </w:p>
        </w:tc>
        <w:tc>
          <w:tcPr>
            <w:tcW w:w="2595" w:type="dxa"/>
            <w:tcBorders>
              <w:top w:val="single" w:sz="4" w:space="0" w:color="000000"/>
              <w:left w:val="single" w:sz="4" w:space="0" w:color="000000"/>
              <w:bottom w:val="single" w:sz="4" w:space="0" w:color="000000"/>
              <w:right w:val="single" w:sz="4" w:space="0" w:color="000000"/>
            </w:tcBorders>
          </w:tcPr>
          <w:p w14:paraId="0274B0C3" w14:textId="77777777" w:rsidR="00CB12DB" w:rsidRPr="00CB12DB" w:rsidRDefault="00CB12DB" w:rsidP="00CB12DB">
            <w:pPr>
              <w:keepLines/>
              <w:rPr>
                <w:rFonts w:ascii="Calibri" w:hAnsi="Calibri"/>
                <w:color w:val="000000"/>
                <w:rtl/>
                <w:lang w:bidi="ar-EG"/>
              </w:rPr>
            </w:pPr>
            <w:r w:rsidRPr="00CB12DB">
              <w:rPr>
                <w:rFonts w:ascii="Calibri" w:hAnsi="Calibri" w:hint="cs"/>
                <w:color w:val="000000"/>
                <w:rtl/>
                <w:lang w:bidi="ar-EG"/>
              </w:rPr>
              <w:t>17.7</w:t>
            </w:r>
          </w:p>
        </w:tc>
      </w:tr>
      <w:tr w:rsidR="00CB12DB" w:rsidRPr="00CB12DB" w14:paraId="633FAC8F" w14:textId="77777777" w:rsidTr="00F30DAE">
        <w:trPr>
          <w:cantSplit/>
          <w:jc w:val="center"/>
        </w:trPr>
        <w:tc>
          <w:tcPr>
            <w:tcW w:w="3015" w:type="dxa"/>
            <w:tcBorders>
              <w:top w:val="single" w:sz="4" w:space="0" w:color="000000"/>
              <w:left w:val="single" w:sz="4" w:space="0" w:color="000000"/>
              <w:bottom w:val="single" w:sz="4" w:space="0" w:color="000000"/>
              <w:right w:val="single" w:sz="4" w:space="0" w:color="000000"/>
            </w:tcBorders>
          </w:tcPr>
          <w:p w14:paraId="17B00CAB" w14:textId="77777777" w:rsidR="00CB12DB" w:rsidRPr="00CB12DB" w:rsidRDefault="00CB12DB" w:rsidP="00CB12DB">
            <w:pPr>
              <w:rPr>
                <w:rFonts w:ascii="Calibri" w:hAnsi="Calibri"/>
                <w:i/>
                <w:rtl/>
                <w:lang w:bidi="ar-EG"/>
              </w:rPr>
            </w:pPr>
            <w:r w:rsidRPr="00CB12DB">
              <w:rPr>
                <w:rFonts w:ascii="Calibri" w:hAnsi="Calibri" w:hint="cs"/>
                <w:i/>
                <w:iCs/>
                <w:rtl/>
                <w:lang w:bidi="ar-EG"/>
              </w:rPr>
              <w:t>المجموع</w:t>
            </w:r>
          </w:p>
        </w:tc>
        <w:tc>
          <w:tcPr>
            <w:tcW w:w="2310" w:type="dxa"/>
            <w:tcBorders>
              <w:top w:val="single" w:sz="4" w:space="0" w:color="000000"/>
              <w:left w:val="single" w:sz="4" w:space="0" w:color="000000"/>
              <w:bottom w:val="single" w:sz="4" w:space="0" w:color="000000"/>
              <w:right w:val="single" w:sz="4" w:space="0" w:color="000000"/>
            </w:tcBorders>
          </w:tcPr>
          <w:p w14:paraId="57E2C733" w14:textId="77777777" w:rsidR="00CB12DB" w:rsidRPr="00CB12DB" w:rsidRDefault="00CB12DB" w:rsidP="00CB12DB">
            <w:pPr>
              <w:rPr>
                <w:rFonts w:ascii="Calibri" w:hAnsi="Calibri"/>
                <w:i/>
                <w:color w:val="000000"/>
                <w:rtl/>
                <w:lang w:bidi="ar-EG"/>
              </w:rPr>
            </w:pPr>
            <w:r w:rsidRPr="00CB12DB">
              <w:rPr>
                <w:rFonts w:ascii="Calibri" w:hAnsi="Calibri" w:hint="cs"/>
                <w:i/>
                <w:iCs/>
                <w:color w:val="000000"/>
                <w:rtl/>
                <w:lang w:bidi="ar-EG"/>
              </w:rPr>
              <w:t>112</w:t>
            </w:r>
          </w:p>
        </w:tc>
        <w:tc>
          <w:tcPr>
            <w:tcW w:w="2595" w:type="dxa"/>
            <w:tcBorders>
              <w:top w:val="single" w:sz="4" w:space="0" w:color="000000"/>
              <w:left w:val="single" w:sz="4" w:space="0" w:color="000000"/>
              <w:bottom w:val="single" w:sz="4" w:space="0" w:color="000000"/>
              <w:right w:val="single" w:sz="4" w:space="0" w:color="000000"/>
            </w:tcBorders>
          </w:tcPr>
          <w:p w14:paraId="3200C984" w14:textId="77777777" w:rsidR="00CB12DB" w:rsidRPr="00CB12DB" w:rsidRDefault="00CB12DB" w:rsidP="00CB12DB">
            <w:pPr>
              <w:rPr>
                <w:rFonts w:ascii="Calibri" w:hAnsi="Calibri"/>
                <w:i/>
                <w:color w:val="000000"/>
                <w:rtl/>
                <w:lang w:bidi="ar-EG"/>
              </w:rPr>
            </w:pPr>
            <w:r w:rsidRPr="00CB12DB">
              <w:rPr>
                <w:rFonts w:ascii="Calibri" w:hAnsi="Calibri" w:hint="cs"/>
                <w:i/>
                <w:iCs/>
                <w:color w:val="000000"/>
                <w:rtl/>
                <w:lang w:bidi="ar-EG"/>
              </w:rPr>
              <w:t>10.</w:t>
            </w:r>
            <w:r w:rsidRPr="00CB12DB">
              <w:rPr>
                <w:rFonts w:ascii="Calibri" w:hAnsi="Calibri" w:hint="cs"/>
                <w:i/>
                <w:iCs/>
                <w:rtl/>
                <w:lang w:bidi="ar-EG"/>
              </w:rPr>
              <w:t>4</w:t>
            </w:r>
          </w:p>
        </w:tc>
      </w:tr>
    </w:tbl>
    <w:p w14:paraId="1CCBE176" w14:textId="77777777" w:rsidR="00CB12DB" w:rsidRPr="00CB12DB" w:rsidRDefault="00CB12DB" w:rsidP="00CB12DB">
      <w:pPr>
        <w:keepLines/>
        <w:pBdr>
          <w:top w:val="nil"/>
          <w:left w:val="nil"/>
          <w:bottom w:val="nil"/>
          <w:right w:val="nil"/>
          <w:between w:val="nil"/>
        </w:pBdr>
        <w:spacing w:after="240"/>
        <w:ind w:right="567"/>
        <w:rPr>
          <w:rFonts w:ascii="Calibri" w:hAnsi="Calibri"/>
          <w:color w:val="000000"/>
          <w:lang w:bidi="ar-EG"/>
        </w:rPr>
      </w:pPr>
    </w:p>
    <w:p w14:paraId="54953AD7" w14:textId="4A3ADDF6" w:rsidR="00CB12DB" w:rsidRPr="00CB12DB" w:rsidRDefault="00CB12DB" w:rsidP="00CB12DB">
      <w:pPr>
        <w:keepLines/>
        <w:pBdr>
          <w:top w:val="nil"/>
          <w:left w:val="nil"/>
          <w:bottom w:val="nil"/>
          <w:right w:val="nil"/>
          <w:between w:val="nil"/>
        </w:pBdr>
        <w:spacing w:after="240"/>
        <w:ind w:right="567"/>
        <w:rPr>
          <w:rFonts w:ascii="Calibri" w:hAnsi="Calibri"/>
          <w:color w:val="000000"/>
          <w:rtl/>
          <w:lang w:bidi="ar-EG"/>
        </w:rPr>
      </w:pPr>
      <w:r w:rsidRPr="00CB12DB">
        <w:rPr>
          <w:rFonts w:ascii="Calibri" w:hAnsi="Calibri" w:hint="cs"/>
          <w:color w:val="000000"/>
          <w:rtl/>
          <w:lang w:bidi="ar-EG"/>
        </w:rPr>
        <w:t>معلومات أخرى خلاف تقرير نظام إدارة الجودة والجدول أعلاه (اختيارية):</w:t>
      </w:r>
    </w:p>
    <w:p w14:paraId="36CCDE86" w14:textId="77777777" w:rsidR="00B13708" w:rsidRDefault="00CB12DB" w:rsidP="00B13708">
      <w:pPr>
        <w:pStyle w:val="BodyText"/>
        <w:rPr>
          <w:rtl/>
          <w:lang w:bidi="ar-EG"/>
        </w:rPr>
      </w:pPr>
      <w:r w:rsidRPr="00CB12DB">
        <w:rPr>
          <w:rFonts w:hint="cs"/>
          <w:rtl/>
          <w:lang w:bidi="ar-EG"/>
        </w:rPr>
        <w:t>يوجد لدى المكتب خبراء داخليون وخارجيون مدربون ومؤهلون لإجراء عمليات البحث والفحص الخاصة بالطلبات.  ويعمل الخبراء الخارجيون بشكل رئيسي على الطلبات الوطنية.  ويركّز الخبراء من الموظفين على طلبات معاهدة البراءات في المرحلة الدولية، ويفحصون كذلك الطلبات الوطنية عند النظر في التوصية بمنح البراءة أو رفضها.</w:t>
      </w:r>
    </w:p>
    <w:p w14:paraId="2D8292BC" w14:textId="0EE30894" w:rsidR="00CB12DB" w:rsidRPr="00CB12DB" w:rsidRDefault="00CB12DB" w:rsidP="00B13708">
      <w:pPr>
        <w:pStyle w:val="BodyText"/>
        <w:rPr>
          <w:rtl/>
          <w:lang w:bidi="ar-EG"/>
        </w:rPr>
      </w:pPr>
      <w:r w:rsidRPr="00CB12DB">
        <w:rPr>
          <w:rFonts w:hint="cs"/>
          <w:rtl/>
          <w:lang w:bidi="ar-EG"/>
        </w:rPr>
        <w:lastRenderedPageBreak/>
        <w:t>ويضم المعهد الوطني 107 متخصصين مؤهلين تأهيلاً عالياً لإجراء عمليات البحث والفحص في جميع المجالات التقنية المتعلقة بالميكانيكا والإلكترونيات والصيدلة والكيمياء والبيوتكنولوجيا، على النحو الموضح في الجدول أعلاه.  ويضم مكتبنا أيضاً خمسة فاحصين متخصّصين في التصاميم الصناعية.  وقد أتم أكثر من نصفهم دراسات عليا، سواءً بدرجة الماجستير أو الدكتوراه.</w:t>
      </w:r>
    </w:p>
    <w:p w14:paraId="1ED88424" w14:textId="77777777" w:rsidR="00CB12DB" w:rsidRPr="00CB12DB" w:rsidRDefault="00CB12DB" w:rsidP="00F30DAE">
      <w:pPr>
        <w:pStyle w:val="BodyText"/>
        <w:rPr>
          <w:u w:val="single"/>
          <w:rtl/>
          <w:lang w:bidi="ar-EG"/>
        </w:rPr>
      </w:pPr>
      <w:r w:rsidRPr="00CB12DB">
        <w:rPr>
          <w:rFonts w:hint="cs"/>
          <w:u w:val="single"/>
          <w:rtl/>
          <w:lang w:bidi="ar-EG"/>
        </w:rPr>
        <w:t>البرامج التدريبية</w:t>
      </w:r>
    </w:p>
    <w:p w14:paraId="2E50CE68" w14:textId="77777777" w:rsidR="00CB12DB" w:rsidRPr="00CB12DB" w:rsidRDefault="00CB12DB" w:rsidP="00F30DAE">
      <w:pPr>
        <w:pStyle w:val="BodyText"/>
        <w:rPr>
          <w:rtl/>
          <w:lang w:bidi="ar-EG"/>
        </w:rPr>
      </w:pPr>
      <w:r w:rsidRPr="00CB12DB">
        <w:rPr>
          <w:rFonts w:hint="cs"/>
          <w:rtl/>
          <w:lang w:bidi="ar-EG"/>
        </w:rPr>
        <w:t>تتمثّل الخطوة الأولى في عملية توظيف موظفين جدد في تحديد الاحتياجات الموجودة ضمن المجالات التقنية ووضع توصيفات وظيفية.  وبعد ذلك، تُوجه دعوة عامة لتقديم الطلبات، مع تحديد المؤهلات المطلوبة.  وبعدها، يتم اختيار المرشحين.  ويتلقى المرشحون تدريباً كاملاً ويخضعون لعملية اختيار من مرحلتين: مرحلة تعريفية أولية تركّز على توفير المعرفة العامة والخبرة في شؤون البراءات والملكية الصناعية؛ وتتضمن المرحلة الثانية التدريب نفسه.  وخلال هذه الفترة، يعمل المرشحون تحت إشراف خبراء من المعهد الوطني، ويفحصون طلبات البراءات حقيقية.  ويشرف على العملية برمتها رؤساء الأقسام التقنية في إدارة فحص البراءات، الذين يقيّمون أداء المرشحين وقدراتهم ويختارون من يستوفي متطلبات المعهد الوطني.</w:t>
      </w:r>
    </w:p>
    <w:p w14:paraId="606FE4FD" w14:textId="77777777" w:rsidR="00CB12DB" w:rsidRPr="00CB12DB" w:rsidRDefault="00CB12DB" w:rsidP="00F30DAE">
      <w:pPr>
        <w:pStyle w:val="BodyText"/>
        <w:rPr>
          <w:rtl/>
          <w:lang w:bidi="ar-EG"/>
        </w:rPr>
      </w:pPr>
      <w:r w:rsidRPr="00CB12DB">
        <w:rPr>
          <w:rFonts w:hint="cs"/>
          <w:rtl/>
          <w:lang w:bidi="ar-EG"/>
        </w:rPr>
        <w:t>ويُعيّن لكل مرشح ناجح مدرّب يُشرف عليه ويُوجهه في صياغة تقاريره الأولى.  وتستمر فترة التوجيه هذه لمدة عام، يتفاعل فيها مع مجموعة من المدربين في المجال التقني نفسه.  ويُقيّم أداء الموظفين الجدد كل أربعة أشهر. وخلال عام أو أقل، يُمكن للمرشحين الذين يُظهرِون اكتسابهم للمهارات والقدرات اللازمة لكتابة تقارير البحث والفحص أن يبدؤوا العمل بشكل مستقل.  ويكمن الهدف من هذه العملية في أن يكون جميع الخبراء الجدد، في غضون 18 شهراً، مستعدين لإجراء عمليات البحث والفحص دون إشراف من مدرب، وفقاً للقانون واللوائح والمبادئ التوجيهية.</w:t>
      </w:r>
    </w:p>
    <w:p w14:paraId="3FB0B13A" w14:textId="662A4693" w:rsidR="00CB12DB" w:rsidRPr="00CB12DB" w:rsidRDefault="00CB12DB" w:rsidP="00F30DAE">
      <w:pPr>
        <w:pStyle w:val="BodyText"/>
        <w:rPr>
          <w:rtl/>
          <w:lang w:bidi="ar-EG"/>
        </w:rPr>
      </w:pPr>
      <w:r w:rsidRPr="00CB12DB">
        <w:rPr>
          <w:rFonts w:hint="cs"/>
          <w:rtl/>
          <w:lang w:bidi="ar-EG"/>
        </w:rPr>
        <w:t>وقد صُممت عملية التوظيف والتدريب بطريقة لا تؤثر على إنتاجية المكتب، ويتجلّى ذلك في الانخفاض السريع في متأخرات الطلبات المعلقة خلال السنوات الأخيرة.</w:t>
      </w:r>
    </w:p>
    <w:p w14:paraId="788BC673" w14:textId="0BF5B413" w:rsidR="00CB12DB" w:rsidRPr="00CB12DB" w:rsidRDefault="00CB12DB" w:rsidP="00CB12DB">
      <w:pPr>
        <w:keepNext/>
        <w:keepLines/>
        <w:pBdr>
          <w:top w:val="single" w:sz="4" w:space="1" w:color="000000"/>
          <w:left w:val="nil"/>
          <w:bottom w:val="nil"/>
          <w:right w:val="nil"/>
          <w:between w:val="nil"/>
        </w:pBdr>
        <w:spacing w:before="360" w:after="200" w:line="480" w:lineRule="auto"/>
        <w:rPr>
          <w:rFonts w:ascii="Calibri" w:hAnsi="Calibri"/>
          <w:b/>
          <w:smallCaps/>
          <w:color w:val="000000"/>
          <w:rtl/>
          <w:lang w:bidi="ar-EG"/>
        </w:rPr>
      </w:pPr>
      <w:r w:rsidRPr="00CB12DB">
        <w:rPr>
          <w:rFonts w:ascii="Calibri" w:hAnsi="Calibri"/>
          <w:b/>
          <w:bCs/>
          <w:smallCaps/>
          <w:color w:val="000000"/>
          <w:lang w:bidi="ar-EG"/>
        </w:rPr>
        <w:t>‎2.2</w:t>
      </w:r>
      <w:r w:rsidRPr="00CB12DB">
        <w:rPr>
          <w:rFonts w:ascii="Calibri" w:hAnsi="Calibri" w:hint="cs"/>
          <w:b/>
          <w:bCs/>
          <w:smallCaps/>
          <w:color w:val="000000"/>
          <w:rtl/>
          <w:lang w:bidi="ar-EG"/>
        </w:rPr>
        <w:t xml:space="preserve"> </w:t>
      </w:r>
      <w:r w:rsidR="00317FE3">
        <w:rPr>
          <w:rFonts w:ascii="Calibri" w:hAnsi="Calibri" w:hint="cs"/>
          <w:b/>
          <w:bCs/>
          <w:smallCaps/>
          <w:color w:val="000000"/>
          <w:rtl/>
          <w:lang w:bidi="ar-EG"/>
        </w:rPr>
        <w:t>-</w:t>
      </w:r>
      <w:r w:rsidRPr="00CB12DB">
        <w:rPr>
          <w:rFonts w:ascii="Calibri" w:hAnsi="Calibri" w:hint="cs"/>
          <w:b/>
          <w:bCs/>
          <w:smallCaps/>
          <w:color w:val="000000"/>
          <w:rtl/>
          <w:lang w:bidi="ar-EG"/>
        </w:rPr>
        <w:t xml:space="preserve"> الحد الأدنى للوثائق </w:t>
      </w:r>
      <w:r w:rsidR="00B55C60">
        <w:rPr>
          <w:rFonts w:ascii="Calibri" w:hAnsi="Calibri" w:hint="cs"/>
          <w:b/>
          <w:bCs/>
          <w:smallCaps/>
          <w:color w:val="000000"/>
          <w:rtl/>
          <w:lang w:bidi="ar-EG"/>
        </w:rPr>
        <w:t>-</w:t>
      </w:r>
      <w:r w:rsidRPr="00CB12DB">
        <w:rPr>
          <w:rFonts w:ascii="Calibri" w:hAnsi="Calibri" w:hint="cs"/>
          <w:b/>
          <w:bCs/>
          <w:smallCaps/>
          <w:color w:val="000000"/>
          <w:rtl/>
          <w:lang w:bidi="ar-EG"/>
        </w:rPr>
        <w:t xml:space="preserve"> الإتاحة للاطلاع</w:t>
      </w:r>
    </w:p>
    <w:p w14:paraId="25491574" w14:textId="03DF0E1D" w:rsidR="00CB12DB" w:rsidRPr="00CB12DB" w:rsidRDefault="00CB12DB" w:rsidP="00CB12DB">
      <w:pPr>
        <w:keepNext/>
        <w:keepLines/>
        <w:pBdr>
          <w:top w:val="nil"/>
          <w:left w:val="nil"/>
          <w:bottom w:val="nil"/>
          <w:right w:val="nil"/>
          <w:between w:val="nil"/>
        </w:pBdr>
        <w:spacing w:after="240"/>
        <w:ind w:left="567" w:right="567"/>
        <w:rPr>
          <w:rFonts w:ascii="Calibri" w:hAnsi="Calibri"/>
          <w:i/>
          <w:color w:val="000000"/>
          <w:rtl/>
          <w:lang w:bidi="ar-EG"/>
        </w:rPr>
      </w:pPr>
      <w:r w:rsidRPr="00CB12DB">
        <w:rPr>
          <w:rFonts w:ascii="Calibri" w:hAnsi="Calibri" w:hint="cs"/>
          <w:i/>
          <w:iCs/>
          <w:color w:val="000000"/>
          <w:rtl/>
          <w:lang w:bidi="ar-EG"/>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7FC8B75D" w14:textId="43DC937B" w:rsidR="00CB12DB" w:rsidRPr="00CB12DB" w:rsidRDefault="00CB12DB" w:rsidP="00CB12DB">
      <w:pPr>
        <w:keepNext/>
        <w:keepLines/>
        <w:pBdr>
          <w:top w:val="nil"/>
          <w:left w:val="nil"/>
          <w:bottom w:val="nil"/>
          <w:right w:val="nil"/>
          <w:between w:val="nil"/>
        </w:pBdr>
        <w:spacing w:after="240"/>
        <w:ind w:left="567" w:right="567"/>
        <w:rPr>
          <w:rFonts w:ascii="Calibri" w:hAnsi="Calibri"/>
          <w:i/>
          <w:color w:val="000000"/>
          <w:rtl/>
          <w:lang w:bidi="ar-EG"/>
        </w:rPr>
      </w:pPr>
      <w:r w:rsidRPr="00CB12DB">
        <w:rPr>
          <w:rFonts w:ascii="Calibri" w:hAnsi="Calibri" w:hint="cs"/>
          <w:rtl/>
          <w:lang w:bidi="ar-EG"/>
        </w:rPr>
        <w:t xml:space="preserve">وترد المتطلبات المحددة في التعليمات الإدارية في </w:t>
      </w:r>
      <w:r w:rsidRPr="00CB12DB">
        <w:rPr>
          <w:rFonts w:ascii="Calibri" w:hAnsi="Calibri"/>
          <w:lang w:bidi="ar-EG"/>
        </w:rPr>
        <w:t>‎</w:t>
      </w:r>
      <w:hyperlink r:id="rId18">
        <w:r w:rsidRPr="00CB12DB">
          <w:rPr>
            <w:rFonts w:ascii="Calibri" w:hAnsi="Calibri" w:hint="cs"/>
            <w:i/>
            <w:color w:val="0000FF" w:themeColor="hyperlink"/>
            <w:u w:val="single"/>
            <w:rtl/>
            <w:lang w:bidi="ar-EG"/>
          </w:rPr>
          <w:t xml:space="preserve">التعميم </w:t>
        </w:r>
        <w:r w:rsidRPr="00CB12DB">
          <w:rPr>
            <w:rFonts w:ascii="Calibri" w:hAnsi="Calibri"/>
            <w:i/>
            <w:color w:val="0000FF" w:themeColor="hyperlink"/>
            <w:u w:val="single"/>
            <w:lang w:bidi="ar-EG"/>
          </w:rPr>
          <w:t>C. PCT 1672</w:t>
        </w:r>
      </w:hyperlink>
      <w:r w:rsidRPr="00CB12DB">
        <w:rPr>
          <w:rFonts w:ascii="Calibri" w:hAnsi="Calibri"/>
          <w:lang w:bidi="ar-EG"/>
        </w:rPr>
        <w:t>‎</w:t>
      </w:r>
      <w:r w:rsidR="00317FE3">
        <w:rPr>
          <w:rFonts w:ascii="Calibri" w:hAnsi="Calibri" w:hint="cs"/>
          <w:rtl/>
          <w:lang w:bidi="ar-EG"/>
        </w:rPr>
        <w:t>،</w:t>
      </w:r>
      <w:r w:rsidRPr="00CB12DB">
        <w:rPr>
          <w:rFonts w:ascii="Calibri" w:hAnsi="Calibri" w:hint="cs"/>
          <w:rtl/>
          <w:lang w:bidi="ar-EG"/>
        </w:rPr>
        <w:t xml:space="preserve"> المؤرخ 19 يونيو 2024.</w:t>
      </w:r>
    </w:p>
    <w:p w14:paraId="5C3CC0E4" w14:textId="77777777" w:rsidR="00F30DAE" w:rsidRDefault="00CB12DB" w:rsidP="00F30DAE">
      <w:pPr>
        <w:pStyle w:val="BodyText"/>
        <w:rPr>
          <w:rtl/>
          <w:lang w:bidi="ar-EG"/>
        </w:rPr>
      </w:pPr>
      <w:r w:rsidRPr="00CB12DB">
        <w:rPr>
          <w:rFonts w:hint="cs"/>
          <w:rtl/>
          <w:lang w:bidi="ar-EG"/>
        </w:rPr>
        <w:t xml:space="preserve">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التعاون بشأن البراءات في الفقرة 8 من الوثيقة </w:t>
      </w:r>
      <w:r w:rsidRPr="00CB12DB">
        <w:rPr>
          <w:lang w:bidi="ar-EG"/>
        </w:rPr>
        <w:t>PCT/A/55/2</w:t>
      </w:r>
      <w:r w:rsidRPr="00CB12DB">
        <w:rPr>
          <w:rFonts w:hint="cs"/>
          <w:rtl/>
          <w:lang w:bidi="ar-EG"/>
        </w:rPr>
        <w:t>، يكون التبليغ على النحو التالي:</w:t>
      </w:r>
      <w:r w:rsidRPr="00CB12DB">
        <w:rPr>
          <w:rFonts w:hint="cs"/>
          <w:rtl/>
          <w:lang w:bidi="ar-EG"/>
        </w:rPr>
        <w:br/>
        <w:t xml:space="preserve">إما: </w:t>
      </w:r>
      <w:r w:rsidRPr="00CB12DB">
        <w:rPr>
          <w:lang w:bidi="ar-EG"/>
        </w:rPr>
        <w:t>‎</w:t>
      </w:r>
    </w:p>
    <w:p w14:paraId="522F5BC7" w14:textId="7B512546" w:rsidR="00CB12DB" w:rsidRPr="00CB12DB" w:rsidRDefault="00CB12DB" w:rsidP="00F30DAE">
      <w:pPr>
        <w:pStyle w:val="BodyText"/>
        <w:rPr>
          <w:color w:val="000000"/>
          <w:rtl/>
          <w:lang w:bidi="ar-EG"/>
        </w:rPr>
      </w:pPr>
      <w:r w:rsidRPr="00CB12DB">
        <w:rPr>
          <w:rFonts w:ascii="Segoe UI Symbol" w:hAnsi="Segoe UI Symbol" w:cs="Segoe UI Symbol" w:hint="cs"/>
          <w:rtl/>
          <w:lang w:bidi="ar-EG"/>
        </w:rPr>
        <w:t>☒</w:t>
      </w:r>
      <w:r w:rsidRPr="00CB12DB">
        <w:rPr>
          <w:rFonts w:hint="cs"/>
          <w:rtl/>
          <w:lang w:bidi="ar-EG"/>
        </w:rPr>
        <w:t xml:space="preserve"> 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w:t>
      </w:r>
      <w:r w:rsidRPr="00CB12DB">
        <w:rPr>
          <w:rFonts w:hint="cs"/>
          <w:color w:val="000000"/>
          <w:rtl/>
          <w:lang w:bidi="ar-EG"/>
        </w:rPr>
        <w:t xml:space="preserve">  </w:t>
      </w:r>
      <w:r w:rsidRPr="00CB12DB">
        <w:rPr>
          <w:rFonts w:hint="cs"/>
          <w:rtl/>
          <w:lang w:bidi="ar-EG"/>
        </w:rPr>
        <w:t>وجرى نشر نطاق ونسق الوثائق التي أتاحتها الإدارة للاطلاع عليها في الجريدة الرسمية لمعاهدة البراءات في 23 أكتوبر 2025، على الرابط التالي:</w:t>
      </w:r>
      <w:bookmarkStart w:id="5" w:name="_Hlk215085357"/>
      <w:r w:rsidRPr="00CB12DB">
        <w:rPr>
          <w:rFonts w:hint="cs"/>
          <w:rtl/>
          <w:lang w:bidi="ar-EG"/>
        </w:rPr>
        <w:t xml:space="preserve">  </w:t>
      </w:r>
      <w:bookmarkEnd w:id="5"/>
      <w:r w:rsidRPr="00CB12DB">
        <w:rPr>
          <w:rFonts w:hint="cs"/>
          <w:color w:val="0000FF" w:themeColor="hyperlink"/>
          <w:u w:val="single"/>
          <w:rtl/>
          <w:lang w:bidi="ar-EG"/>
        </w:rPr>
        <w:fldChar w:fldCharType="begin"/>
      </w:r>
      <w:r w:rsidRPr="00CB12DB">
        <w:rPr>
          <w:rtl/>
          <w:lang w:bidi="ar-EG"/>
        </w:rPr>
        <w:instrText xml:space="preserve"> </w:instrText>
      </w:r>
      <w:r w:rsidRPr="00CB12DB">
        <w:rPr>
          <w:rFonts w:hint="cs"/>
          <w:color w:val="0000FF" w:themeColor="hyperlink"/>
          <w:u w:val="single"/>
          <w:lang w:bidi="ar-EG"/>
        </w:rPr>
        <w:instrText>HYPERLINK "https://www.wipo.int/documents/d/pct-system/docs-en-official-notices-officialnotices.pdf%23page=184"</w:instrText>
      </w:r>
      <w:r w:rsidRPr="00CB12DB">
        <w:rPr>
          <w:rFonts w:hint="cs"/>
          <w:color w:val="0000FF" w:themeColor="hyperlink"/>
          <w:u w:val="single"/>
          <w:rtl/>
          <w:lang w:bidi="ar-EG"/>
        </w:rPr>
      </w:r>
      <w:r w:rsidRPr="00CB12DB">
        <w:rPr>
          <w:rFonts w:hint="cs"/>
          <w:color w:val="0000FF" w:themeColor="hyperlink"/>
          <w:u w:val="single"/>
          <w:rtl/>
          <w:lang w:bidi="ar-EG"/>
        </w:rPr>
        <w:fldChar w:fldCharType="separate"/>
      </w:r>
      <w:r w:rsidRPr="00CB12DB">
        <w:rPr>
          <w:color w:val="0000FF" w:themeColor="hyperlink"/>
          <w:u w:val="single"/>
          <w:lang w:bidi="ar-EG"/>
        </w:rPr>
        <w:t>https://www.wipo.int/documents/d/pct-system/docs-en-official-notices-officialnotices.pdf#page=184</w:t>
      </w:r>
      <w:r w:rsidRPr="00CB12DB">
        <w:rPr>
          <w:rFonts w:hint="cs"/>
          <w:color w:val="0000FF" w:themeColor="hyperlink"/>
          <w:u w:val="single"/>
          <w:rtl/>
          <w:lang w:bidi="ar-EG"/>
        </w:rPr>
        <w:fldChar w:fldCharType="end"/>
      </w:r>
      <w:r w:rsidR="008D2C8E">
        <w:rPr>
          <w:rFonts w:hint="cs"/>
          <w:color w:val="000000"/>
          <w:rtl/>
          <w:lang w:bidi="ar-EG"/>
        </w:rPr>
        <w:t>.</w:t>
      </w:r>
    </w:p>
    <w:p w14:paraId="30F95EB7" w14:textId="77777777" w:rsidR="00CB12DB" w:rsidRPr="00CB12DB" w:rsidRDefault="00CB12DB" w:rsidP="00CB12DB">
      <w:pPr>
        <w:pBdr>
          <w:top w:val="nil"/>
          <w:left w:val="nil"/>
          <w:bottom w:val="nil"/>
          <w:right w:val="nil"/>
          <w:between w:val="nil"/>
        </w:pBdr>
        <w:spacing w:after="220"/>
        <w:rPr>
          <w:rFonts w:ascii="Calibri" w:hAnsi="Calibri"/>
          <w:color w:val="000000"/>
          <w:rtl/>
          <w:lang w:bidi="ar-EG"/>
        </w:rPr>
      </w:pPr>
      <w:r w:rsidRPr="00CB12DB">
        <w:rPr>
          <w:rFonts w:ascii="Calibri" w:hAnsi="Calibri" w:hint="cs"/>
          <w:color w:val="000000"/>
          <w:rtl/>
          <w:lang w:bidi="ar-EG"/>
        </w:rPr>
        <w:t>أو:</w:t>
      </w:r>
    </w:p>
    <w:p w14:paraId="69B36187" w14:textId="03FD398E" w:rsidR="00CB12DB" w:rsidRPr="00CB12DB" w:rsidRDefault="00CB12DB" w:rsidP="00CB12DB">
      <w:pPr>
        <w:pBdr>
          <w:top w:val="nil"/>
          <w:left w:val="nil"/>
          <w:bottom w:val="nil"/>
          <w:right w:val="nil"/>
          <w:between w:val="nil"/>
        </w:pBdr>
        <w:spacing w:after="220"/>
        <w:rPr>
          <w:rFonts w:ascii="Calibri" w:hAnsi="Calibri"/>
          <w:color w:val="000000"/>
          <w:rtl/>
          <w:lang w:bidi="ar-EG"/>
        </w:rPr>
      </w:pPr>
      <w:r w:rsidRPr="00CB12DB">
        <w:rPr>
          <w:rFonts w:ascii="Segoe UI Symbol" w:hAnsi="Segoe UI Symbol" w:cs="Segoe UI Symbol" w:hint="cs"/>
          <w:color w:val="000000"/>
          <w:rtl/>
          <w:lang w:bidi="ar-EG"/>
        </w:rPr>
        <w:t>☐</w:t>
      </w:r>
      <w:r w:rsidRPr="00CB12DB">
        <w:rPr>
          <w:rFonts w:ascii="Calibri" w:hAnsi="Calibri" w:hint="cs"/>
          <w:color w:val="000000"/>
          <w:rtl/>
          <w:lang w:bidi="ar-EG"/>
        </w:rPr>
        <w:t xml:space="preserve"> 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w:t>
      </w:r>
      <w:r w:rsidR="008D2C8E">
        <w:rPr>
          <w:rFonts w:ascii="Calibri" w:hAnsi="Calibri" w:hint="cs"/>
          <w:color w:val="000000"/>
          <w:rtl/>
          <w:lang w:bidi="ar-EG"/>
        </w:rPr>
        <w:t>.</w:t>
      </w:r>
      <w:r w:rsidR="008D2C8E">
        <w:rPr>
          <w:rFonts w:ascii="Calibri" w:hAnsi="Calibri" w:hint="cs"/>
          <w:color w:val="000000"/>
          <w:cs/>
          <w:lang w:bidi="ar-EG"/>
        </w:rPr>
        <w:t>‎</w:t>
      </w:r>
      <w:r w:rsidR="008D2C8E">
        <w:rPr>
          <w:rFonts w:ascii="Calibri" w:hAnsi="Calibri" w:hint="cs"/>
          <w:color w:val="000000"/>
          <w:rtl/>
          <w:lang w:bidi="ar-EG"/>
        </w:rPr>
        <w:t xml:space="preserve"> </w:t>
      </w:r>
      <w:r w:rsidRPr="00CB12DB">
        <w:rPr>
          <w:rFonts w:ascii="Calibri" w:hAnsi="Calibri" w:hint="cs"/>
          <w:color w:val="000000"/>
          <w:rtl/>
          <w:lang w:bidi="ar-EG"/>
        </w:rPr>
        <w:t>ويُرجى أيضاً تقديم تفاصيل ملف الإدارة مع أي روابط لازمة، حسب الاقتضاء.</w:t>
      </w:r>
    </w:p>
    <w:p w14:paraId="21B16A16" w14:textId="55883D33" w:rsidR="00CB12DB" w:rsidRPr="00CB12DB" w:rsidRDefault="00CB12DB" w:rsidP="00CB12DB">
      <w:pPr>
        <w:keepNext/>
        <w:keepLines/>
        <w:pBdr>
          <w:top w:val="single" w:sz="4" w:space="0" w:color="000000"/>
          <w:left w:val="nil"/>
          <w:bottom w:val="nil"/>
          <w:right w:val="nil"/>
          <w:between w:val="nil"/>
        </w:pBdr>
        <w:spacing w:before="360" w:after="200" w:line="480" w:lineRule="auto"/>
        <w:rPr>
          <w:rFonts w:ascii="Calibri" w:hAnsi="Calibri"/>
          <w:b/>
          <w:smallCaps/>
          <w:color w:val="000000"/>
          <w:rtl/>
          <w:lang w:bidi="ar-EG"/>
        </w:rPr>
      </w:pPr>
      <w:r w:rsidRPr="00CB12DB">
        <w:rPr>
          <w:rFonts w:ascii="Calibri" w:hAnsi="Calibri"/>
          <w:b/>
          <w:bCs/>
          <w:smallCaps/>
          <w:color w:val="000000"/>
          <w:lang w:bidi="ar-EG"/>
        </w:rPr>
        <w:lastRenderedPageBreak/>
        <w:t>‎3.2</w:t>
      </w:r>
      <w:r w:rsidRPr="00CB12DB">
        <w:rPr>
          <w:rFonts w:ascii="Calibri" w:hAnsi="Calibri" w:hint="cs"/>
          <w:b/>
          <w:bCs/>
          <w:smallCaps/>
          <w:color w:val="000000"/>
          <w:rtl/>
          <w:lang w:bidi="ar-EG"/>
        </w:rPr>
        <w:t xml:space="preserve"> </w:t>
      </w:r>
      <w:r w:rsidR="00317FE3">
        <w:rPr>
          <w:rFonts w:ascii="Calibri" w:hAnsi="Calibri" w:hint="cs"/>
          <w:b/>
          <w:bCs/>
          <w:smallCaps/>
          <w:color w:val="000000"/>
          <w:rtl/>
          <w:lang w:bidi="ar-EG"/>
        </w:rPr>
        <w:t>-</w:t>
      </w:r>
      <w:r w:rsidRPr="00CB12DB">
        <w:rPr>
          <w:rFonts w:ascii="Calibri" w:hAnsi="Calibri" w:hint="cs"/>
          <w:b/>
          <w:bCs/>
          <w:smallCaps/>
          <w:color w:val="000000"/>
          <w:rtl/>
          <w:lang w:bidi="ar-EG"/>
        </w:rPr>
        <w:t xml:space="preserve"> الحد الأدنى للوثائق </w:t>
      </w:r>
      <w:r w:rsidR="00B55C60">
        <w:rPr>
          <w:rFonts w:ascii="Calibri" w:hAnsi="Calibri" w:hint="cs"/>
          <w:b/>
          <w:bCs/>
          <w:smallCaps/>
          <w:color w:val="000000"/>
          <w:rtl/>
          <w:lang w:bidi="ar-EG"/>
        </w:rPr>
        <w:t>-</w:t>
      </w:r>
      <w:r w:rsidRPr="00CB12DB">
        <w:rPr>
          <w:rFonts w:ascii="Calibri" w:hAnsi="Calibri" w:hint="cs"/>
          <w:b/>
          <w:bCs/>
          <w:smallCaps/>
          <w:color w:val="000000"/>
          <w:rtl/>
          <w:lang w:bidi="ar-EG"/>
        </w:rPr>
        <w:t xml:space="preserve"> إمكانية النفاذ</w:t>
      </w:r>
    </w:p>
    <w:p w14:paraId="2E3F9301" w14:textId="662E7E01" w:rsidR="00CB12DB" w:rsidRPr="00CB12DB" w:rsidRDefault="00CB12DB" w:rsidP="00CB12DB">
      <w:pPr>
        <w:keepLines/>
        <w:pBdr>
          <w:top w:val="nil"/>
          <w:left w:val="nil"/>
          <w:bottom w:val="nil"/>
          <w:right w:val="nil"/>
          <w:between w:val="nil"/>
        </w:pBdr>
        <w:spacing w:after="240"/>
        <w:ind w:left="567" w:right="567"/>
        <w:rPr>
          <w:rFonts w:ascii="Calibri" w:hAnsi="Calibri"/>
          <w:color w:val="000000"/>
          <w:rtl/>
          <w:lang w:bidi="ar-EG"/>
        </w:rPr>
      </w:pPr>
      <w:r w:rsidRPr="00CB12DB">
        <w:rPr>
          <w:rFonts w:ascii="Calibri" w:hAnsi="Calibri" w:hint="cs"/>
          <w:i/>
          <w:iCs/>
          <w:color w:val="000000"/>
          <w:rtl/>
          <w:lang w:bidi="ar-EG"/>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57F74C01" w14:textId="77777777" w:rsidR="00CB12DB" w:rsidRPr="00CB12DB" w:rsidRDefault="00CB12DB" w:rsidP="008D2C8E">
      <w:pPr>
        <w:pStyle w:val="BodyText"/>
        <w:rPr>
          <w:rtl/>
          <w:lang w:bidi="ar-EG"/>
        </w:rPr>
      </w:pPr>
      <w:r w:rsidRPr="00CB12DB">
        <w:rPr>
          <w:rFonts w:hint="cs"/>
          <w:rtl/>
          <w:lang w:bidi="ar-EG"/>
        </w:rPr>
        <w:t xml:space="preserve">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 </w:t>
      </w:r>
    </w:p>
    <w:p w14:paraId="452B9682" w14:textId="77777777" w:rsidR="00CB12DB" w:rsidRPr="00CB12DB" w:rsidRDefault="00CB12DB" w:rsidP="008D2C8E">
      <w:pPr>
        <w:pStyle w:val="BodyText"/>
        <w:rPr>
          <w:rtl/>
          <w:lang w:bidi="ar-EG"/>
        </w:rPr>
      </w:pPr>
      <w:r w:rsidRPr="00CB12DB">
        <w:rPr>
          <w:rFonts w:hint="cs"/>
          <w:rtl/>
          <w:lang w:bidi="ar-EG"/>
        </w:rPr>
        <w:t xml:space="preserve">معلومات أخرى خلاف تقرير نظام إدارة الجودة (اختيارية):   </w:t>
      </w:r>
    </w:p>
    <w:p w14:paraId="3439D264" w14:textId="77777777" w:rsidR="00CB12DB" w:rsidRPr="00CB12DB" w:rsidRDefault="00CB12DB" w:rsidP="008D2C8E">
      <w:pPr>
        <w:pStyle w:val="BodyText"/>
        <w:rPr>
          <w:rtl/>
          <w:lang w:bidi="ar-EG"/>
        </w:rPr>
      </w:pPr>
      <w:bookmarkStart w:id="6" w:name="_heading=h.hp10366k0hmg"/>
      <w:bookmarkEnd w:id="6"/>
      <w:r w:rsidRPr="00CB12DB">
        <w:rPr>
          <w:rFonts w:hint="cs"/>
          <w:rtl/>
          <w:lang w:bidi="ar-EG"/>
        </w:rPr>
        <w:t xml:space="preserve">يتيح المعهد الوطني للفاحصين إمكانية النفاذ إلى قواعد بيانات داخلية وخارجية.   وتشمل هذه القواعد منصات إلكترونية مجانية مثل </w:t>
      </w:r>
      <w:proofErr w:type="spellStart"/>
      <w:r w:rsidRPr="00CB12DB">
        <w:rPr>
          <w:lang w:bidi="ar-EG"/>
        </w:rPr>
        <w:t>Espacenet</w:t>
      </w:r>
      <w:proofErr w:type="spellEnd"/>
      <w:r w:rsidRPr="00CB12DB">
        <w:rPr>
          <w:rFonts w:hint="cs"/>
          <w:rtl/>
          <w:lang w:bidi="ar-EG"/>
        </w:rPr>
        <w:t>، و</w:t>
      </w:r>
      <w:r w:rsidRPr="00CB12DB">
        <w:rPr>
          <w:lang w:bidi="ar-EG"/>
        </w:rPr>
        <w:t>Google Patents</w:t>
      </w:r>
      <w:r w:rsidRPr="00CB12DB">
        <w:rPr>
          <w:rFonts w:hint="cs"/>
          <w:rtl/>
          <w:lang w:bidi="ar-EG"/>
        </w:rPr>
        <w:t xml:space="preserve">، وقاعدة البيانات الخاصة بالمعهد الوطني، وركن البراءات.  وجرى كذلك توقيع عقود للنفاذ إلى منصات مدفوعة متنوعة، مثل </w:t>
      </w:r>
      <w:r w:rsidRPr="00CB12DB">
        <w:rPr>
          <w:lang w:bidi="ar-EG"/>
        </w:rPr>
        <w:t>STN</w:t>
      </w:r>
      <w:r w:rsidRPr="00CB12DB">
        <w:rPr>
          <w:rFonts w:hint="cs"/>
          <w:rtl/>
          <w:lang w:bidi="ar-EG"/>
        </w:rPr>
        <w:t xml:space="preserve"> (المزودة بوحدة بحث في قوائم التسلسل)، و</w:t>
      </w:r>
      <w:r w:rsidRPr="00CB12DB">
        <w:rPr>
          <w:lang w:bidi="ar-EG"/>
        </w:rPr>
        <w:t>Derwent Innovation</w:t>
      </w:r>
      <w:r w:rsidRPr="00CB12DB">
        <w:rPr>
          <w:rFonts w:hint="cs"/>
          <w:rtl/>
          <w:lang w:bidi="ar-EG"/>
        </w:rPr>
        <w:t xml:space="preserve"> (المعروفة سابقاً باسم </w:t>
      </w:r>
      <w:r w:rsidRPr="00CB12DB">
        <w:rPr>
          <w:lang w:bidi="ar-EG"/>
        </w:rPr>
        <w:t>Thomson Innovation)</w:t>
      </w:r>
      <w:r w:rsidRPr="00CB12DB">
        <w:rPr>
          <w:rFonts w:hint="cs"/>
          <w:rtl/>
          <w:lang w:bidi="ar-EG"/>
        </w:rPr>
        <w:t>، و</w:t>
      </w:r>
      <w:r w:rsidRPr="00CB12DB">
        <w:rPr>
          <w:lang w:bidi="ar-EG"/>
        </w:rPr>
        <w:t>ProQuest Dialog</w:t>
      </w:r>
      <w:r w:rsidRPr="00CB12DB">
        <w:rPr>
          <w:rFonts w:hint="cs"/>
          <w:rtl/>
          <w:lang w:bidi="ar-EG"/>
        </w:rPr>
        <w:t xml:space="preserve">، التي تُتيح النفاذ إلى أكثر من 200 قاعدة بيانات تُغطي جميع المجالات التقنية.  ومنذ عام 2015، أصبح النفاذ الكامل مُتاحاً إلى قاعدة البيانات </w:t>
      </w:r>
      <w:r w:rsidRPr="00CB12DB">
        <w:rPr>
          <w:lang w:bidi="ar-EG"/>
        </w:rPr>
        <w:t>EPOQUE Net</w:t>
      </w:r>
      <w:r w:rsidRPr="00CB12DB">
        <w:rPr>
          <w:rFonts w:hint="cs"/>
          <w:rtl/>
          <w:lang w:bidi="ar-EG"/>
        </w:rPr>
        <w:t xml:space="preserve">. وسيتوقف النفاذ إلى منصة </w:t>
      </w:r>
      <w:r w:rsidRPr="00CB12DB">
        <w:rPr>
          <w:lang w:bidi="ar-EG"/>
        </w:rPr>
        <w:t>EPOQUE</w:t>
      </w:r>
      <w:r w:rsidRPr="00CB12DB">
        <w:rPr>
          <w:rFonts w:hint="cs"/>
          <w:rtl/>
          <w:lang w:bidi="ar-EG"/>
        </w:rPr>
        <w:t xml:space="preserve"> في 31 ديسمبر 2025، وسيُستعاض عنها بمنصة البحث القائمة على أداة </w:t>
      </w:r>
      <w:r w:rsidRPr="00CB12DB">
        <w:rPr>
          <w:lang w:bidi="ar-EG"/>
        </w:rPr>
        <w:t>ANSERA</w:t>
      </w:r>
      <w:r w:rsidRPr="00CB12DB">
        <w:rPr>
          <w:rFonts w:hint="cs"/>
          <w:rtl/>
          <w:lang w:bidi="ar-EG"/>
        </w:rPr>
        <w:t>.  ولذلك، تلقى فاحصو المعهدة الوطني تدريباً للتعرّف على هذا النظام الجديد.  وعقد المعهد الوطني والمكتب الأوروبي للبراءات اجتماعات لاستكشاف أنسب الآليات ووضعها من أجل ضمان الاستخدام الأمثل والفعّال لهذه الأداة الجديدة في المستقبل.  وإضافةً إلى ذلك، وبموجب اتفاقية مع الوكالة الوطنية للبحث والتطوير، يُتاح للمعهد الوطني النفاذ إلى النصوص الكاملة لما يقارب 5,000 مجلة علمية وتقنية بنسق إلكترونية ضمن 99 تخصصاً، وذلك من خلال مكتبة المعلومات العلمية الإلكترونية (</w:t>
      </w:r>
      <w:r w:rsidRPr="00CB12DB">
        <w:rPr>
          <w:lang w:bidi="ar-EG"/>
        </w:rPr>
        <w:t>BEIC)</w:t>
      </w:r>
      <w:r w:rsidRPr="00CB12DB">
        <w:rPr>
          <w:rFonts w:hint="cs"/>
          <w:rtl/>
          <w:lang w:bidi="ar-EG"/>
        </w:rPr>
        <w:t xml:space="preserve">، التي توفر النفاذ إلى مصادر مثل </w:t>
      </w:r>
      <w:r w:rsidRPr="00CB12DB">
        <w:rPr>
          <w:lang w:bidi="ar-EG"/>
        </w:rPr>
        <w:t>Oxford University Press</w:t>
      </w:r>
      <w:r w:rsidRPr="00CB12DB">
        <w:rPr>
          <w:rFonts w:hint="cs"/>
          <w:rtl/>
          <w:lang w:bidi="ar-EG"/>
        </w:rPr>
        <w:t xml:space="preserve"> و</w:t>
      </w:r>
      <w:r w:rsidRPr="00CB12DB">
        <w:rPr>
          <w:lang w:bidi="ar-EG"/>
        </w:rPr>
        <w:t>Elsevier</w:t>
      </w:r>
      <w:r w:rsidRPr="00CB12DB">
        <w:rPr>
          <w:rFonts w:hint="cs"/>
          <w:rtl/>
          <w:lang w:bidi="ar-EG"/>
        </w:rPr>
        <w:t xml:space="preserve"> و</w:t>
      </w:r>
      <w:r w:rsidRPr="00CB12DB">
        <w:rPr>
          <w:lang w:bidi="ar-EG"/>
        </w:rPr>
        <w:t>American Chemical Society</w:t>
      </w:r>
      <w:r w:rsidRPr="00CB12DB">
        <w:rPr>
          <w:rFonts w:hint="cs"/>
          <w:rtl/>
          <w:lang w:bidi="ar-EG"/>
        </w:rPr>
        <w:t xml:space="preserve"> و</w:t>
      </w:r>
      <w:r w:rsidRPr="00CB12DB">
        <w:rPr>
          <w:lang w:bidi="ar-EG"/>
        </w:rPr>
        <w:t>Annual Reviews</w:t>
      </w:r>
      <w:r w:rsidRPr="00CB12DB">
        <w:rPr>
          <w:rFonts w:hint="cs"/>
          <w:rtl/>
          <w:lang w:bidi="ar-EG"/>
        </w:rPr>
        <w:t xml:space="preserve"> و</w:t>
      </w:r>
      <w:r w:rsidRPr="00CB12DB">
        <w:rPr>
          <w:lang w:bidi="ar-EG"/>
        </w:rPr>
        <w:t>Nature</w:t>
      </w:r>
      <w:r w:rsidRPr="00CB12DB">
        <w:rPr>
          <w:rFonts w:hint="cs"/>
          <w:rtl/>
          <w:lang w:bidi="ar-EG"/>
        </w:rPr>
        <w:t xml:space="preserve"> و</w:t>
      </w:r>
      <w:r w:rsidRPr="00CB12DB">
        <w:rPr>
          <w:lang w:bidi="ar-EG"/>
        </w:rPr>
        <w:t>Springer</w:t>
      </w:r>
      <w:r w:rsidRPr="00CB12DB">
        <w:rPr>
          <w:rFonts w:hint="cs"/>
          <w:rtl/>
          <w:lang w:bidi="ar-EG"/>
        </w:rPr>
        <w:t xml:space="preserve"> و</w:t>
      </w:r>
      <w:r w:rsidRPr="00CB12DB">
        <w:rPr>
          <w:lang w:bidi="ar-EG"/>
        </w:rPr>
        <w:t>Science Magazine</w:t>
      </w:r>
      <w:r w:rsidRPr="00CB12DB">
        <w:rPr>
          <w:rFonts w:hint="cs"/>
          <w:rtl/>
          <w:lang w:bidi="ar-EG"/>
        </w:rPr>
        <w:t xml:space="preserve"> و</w:t>
      </w:r>
      <w:r w:rsidRPr="00CB12DB">
        <w:rPr>
          <w:lang w:bidi="ar-EG"/>
        </w:rPr>
        <w:t>Wiley</w:t>
      </w:r>
      <w:r w:rsidRPr="00CB12DB">
        <w:rPr>
          <w:rFonts w:hint="cs"/>
          <w:rtl/>
          <w:lang w:bidi="ar-EG"/>
        </w:rPr>
        <w:t>.  وقد تجاوزت تكلفة هذه المنصة 12 مليون دولار أمريكي في عام 2024.</w:t>
      </w:r>
    </w:p>
    <w:p w14:paraId="29492603" w14:textId="77777777" w:rsidR="00CB12DB" w:rsidRPr="00CB12DB" w:rsidRDefault="00CB12DB" w:rsidP="008D2C8E">
      <w:pPr>
        <w:pStyle w:val="BodyText"/>
        <w:rPr>
          <w:rtl/>
          <w:lang w:bidi="ar-EG"/>
        </w:rPr>
      </w:pPr>
      <w:r w:rsidRPr="00CB12DB">
        <w:rPr>
          <w:rFonts w:hint="cs"/>
          <w:rtl/>
          <w:lang w:bidi="ar-EG"/>
        </w:rPr>
        <w:t>ويبحث المعهد الوطني باستمرار في قواعد البيانات الأخرى التي يمكن أن تعزّز قدرات البحث لديه.</w:t>
      </w:r>
    </w:p>
    <w:p w14:paraId="76441934" w14:textId="77777777" w:rsidR="00CB12DB" w:rsidRPr="00CB12DB" w:rsidRDefault="00CB12DB" w:rsidP="00CB12DB">
      <w:pPr>
        <w:keepLines/>
        <w:pBdr>
          <w:top w:val="single" w:sz="4" w:space="1" w:color="000000"/>
          <w:left w:val="nil"/>
          <w:bottom w:val="nil"/>
          <w:right w:val="nil"/>
          <w:between w:val="nil"/>
        </w:pBdr>
        <w:spacing w:before="360" w:after="200" w:line="480" w:lineRule="auto"/>
        <w:rPr>
          <w:rFonts w:ascii="Calibri" w:hAnsi="Calibri"/>
          <w:b/>
          <w:smallCaps/>
          <w:color w:val="000000" w:themeColor="text1"/>
          <w:rtl/>
          <w:lang w:bidi="ar-EG"/>
        </w:rPr>
      </w:pPr>
      <w:r w:rsidRPr="00CB12DB">
        <w:rPr>
          <w:rFonts w:ascii="Calibri" w:hAnsi="Calibri" w:hint="cs"/>
          <w:b/>
          <w:bCs/>
          <w:smallCaps/>
          <w:color w:val="000000" w:themeColor="text1"/>
          <w:rtl/>
          <w:lang w:bidi="ar-EG"/>
        </w:rPr>
        <w:t>4.2 - إدارة الجودة</w:t>
      </w:r>
    </w:p>
    <w:p w14:paraId="2D87D11C" w14:textId="042595C6" w:rsidR="00CB12DB" w:rsidRPr="00CB12DB" w:rsidRDefault="00CB12DB" w:rsidP="00CB12DB">
      <w:pPr>
        <w:keepLines/>
        <w:pBdr>
          <w:top w:val="nil"/>
          <w:left w:val="nil"/>
          <w:bottom w:val="nil"/>
          <w:right w:val="nil"/>
          <w:between w:val="nil"/>
        </w:pBdr>
        <w:spacing w:after="240"/>
        <w:ind w:left="567" w:right="567"/>
        <w:rPr>
          <w:rFonts w:ascii="Calibri" w:hAnsi="Calibri"/>
          <w:i/>
          <w:color w:val="000000" w:themeColor="text1"/>
          <w:rtl/>
          <w:lang w:bidi="ar-EG"/>
        </w:rPr>
      </w:pPr>
      <w:r w:rsidRPr="00CB12DB">
        <w:rPr>
          <w:rFonts w:ascii="Calibri" w:hAnsi="Calibri" w:hint="cs"/>
          <w:i/>
          <w:iCs/>
          <w:color w:val="000000" w:themeColor="text1"/>
          <w:rtl/>
          <w:lang w:bidi="ar-EG"/>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4E6DE455" w14:textId="77777777" w:rsidR="00CB12DB" w:rsidRPr="00CB12DB" w:rsidRDefault="00CB12DB" w:rsidP="00CB12DB">
      <w:pPr>
        <w:pStyle w:val="BodyText"/>
        <w:rPr>
          <w:rtl/>
          <w:lang w:bidi="ar-EG"/>
        </w:rPr>
      </w:pPr>
      <w:r w:rsidRPr="00CB12DB">
        <w:rPr>
          <w:rFonts w:hint="cs"/>
          <w:rtl/>
          <w:lang w:bidi="ar-EG"/>
        </w:rPr>
        <w:t>يقدم تقرير نظام إدارة الجودة معلومات من الإدارة عن نظام إدارة الجودة الموجود لديها بموجب الفصل 21 من المبادئ التوجيهية ويتضمن الإبلاغ بموجب الفقرة 09.21 عن ترتيبات المراجعة الداخلية الموضحة بمزيد من التفصيل في الفقرات من 27.21 إلى 30.21 من المبادئ التوجيهية.</w:t>
      </w:r>
    </w:p>
    <w:p w14:paraId="68DD5D74" w14:textId="77777777" w:rsidR="00CB12DB" w:rsidRPr="00CB12DB" w:rsidRDefault="00CB12DB" w:rsidP="00CB12DB">
      <w:pPr>
        <w:pStyle w:val="BodyText"/>
        <w:rPr>
          <w:rtl/>
          <w:lang w:bidi="ar-EG"/>
        </w:rPr>
      </w:pPr>
      <w:r w:rsidRPr="00CB12DB">
        <w:rPr>
          <w:rFonts w:hint="cs"/>
          <w:rtl/>
          <w:lang w:bidi="ar-EG"/>
        </w:rPr>
        <w:t xml:space="preserve">معلومات أخرى خلاف تقرير نظام إدارة الجودة (اختيارية):  </w:t>
      </w:r>
    </w:p>
    <w:p w14:paraId="0F571D69" w14:textId="77777777" w:rsidR="00CB12DB" w:rsidRPr="00CB12DB" w:rsidRDefault="00CB12DB" w:rsidP="00CB12DB">
      <w:pPr>
        <w:pStyle w:val="BodyText"/>
        <w:rPr>
          <w:rtl/>
          <w:lang w:bidi="ar-EG"/>
        </w:rPr>
      </w:pPr>
      <w:r w:rsidRPr="00CB12DB">
        <w:rPr>
          <w:rFonts w:hint="cs"/>
          <w:rtl/>
          <w:lang w:bidi="ar-EG"/>
        </w:rPr>
        <w:t xml:space="preserve">يتسق نظام إدارة الجودة في المعهد الوطني مع المتطلبات المنصوص عليها في الفصل الحادي والعشرين من المبادئ التوجيهية لمعاهدة التعاون بشأن البراءات الخاصة بالبحث الدولي والفحص التمهيدي الدولي. وهو متطور بدرجة جيدة ويخضع لتحسين مستمر.  ويوجد لدينا شهادة </w:t>
      </w:r>
      <w:r w:rsidRPr="00CB12DB">
        <w:rPr>
          <w:lang w:bidi="ar-EG"/>
        </w:rPr>
        <w:t>ISO 9001:2015</w:t>
      </w:r>
      <w:r w:rsidRPr="00CB12DB">
        <w:rPr>
          <w:rFonts w:hint="cs"/>
          <w:rtl/>
          <w:lang w:bidi="ar-EG"/>
        </w:rPr>
        <w:t xml:space="preserve"> لجميع عمليات المرحلة الدولية لمعاهدة البراءات في المعهد الوطني، أي دورنا كمكتب تسلم طلبات وإدارة للبحث الدولي وإدارة للفحص التمهيدي الدولي.  وهذا يضمن التزامنا بتقديم أعلى معايير الجودة للمستخدمين الذين يعتمدون على خدمات معاهدة البراءات التي يقدمها المعهد الوطني.</w:t>
      </w:r>
    </w:p>
    <w:p w14:paraId="1C0FF8B3" w14:textId="77777777" w:rsidR="00CB12DB" w:rsidRPr="00CB12DB" w:rsidRDefault="00CB12DB" w:rsidP="00F30DAE">
      <w:pPr>
        <w:keepNext/>
        <w:keepLines/>
        <w:pBdr>
          <w:top w:val="single" w:sz="4" w:space="1" w:color="000000"/>
          <w:left w:val="nil"/>
          <w:bottom w:val="nil"/>
          <w:right w:val="nil"/>
          <w:between w:val="nil"/>
        </w:pBdr>
        <w:spacing w:before="360" w:after="200"/>
        <w:rPr>
          <w:rFonts w:ascii="Calibri" w:hAnsi="Calibri"/>
          <w:b/>
          <w:smallCaps/>
          <w:color w:val="000000" w:themeColor="text1"/>
          <w:rtl/>
          <w:lang w:bidi="ar-EG"/>
        </w:rPr>
      </w:pPr>
      <w:r w:rsidRPr="00CB12DB">
        <w:rPr>
          <w:rFonts w:ascii="Calibri" w:hAnsi="Calibri"/>
          <w:b/>
          <w:bCs/>
          <w:smallCaps/>
          <w:color w:val="000000" w:themeColor="text1"/>
          <w:lang w:bidi="ar-EG"/>
        </w:rPr>
        <w:t>‎3</w:t>
      </w:r>
      <w:r w:rsidRPr="00CB12DB">
        <w:rPr>
          <w:rFonts w:ascii="Calibri" w:hAnsi="Calibri" w:hint="cs"/>
          <w:b/>
          <w:bCs/>
          <w:smallCaps/>
          <w:color w:val="000000" w:themeColor="text1"/>
          <w:rtl/>
          <w:lang w:bidi="ar-EG"/>
        </w:rPr>
        <w:t>- نطاق التشغيل</w:t>
      </w:r>
    </w:p>
    <w:p w14:paraId="2BC49D4E" w14:textId="77777777" w:rsidR="00CB12DB" w:rsidRPr="00CB12DB" w:rsidRDefault="00CB12DB" w:rsidP="00317FE3">
      <w:pPr>
        <w:pStyle w:val="Heading3"/>
        <w:rPr>
          <w:rFonts w:ascii="Calibri" w:hAnsi="Calibri"/>
          <w:b/>
          <w:color w:val="000000" w:themeColor="text1"/>
          <w:rtl/>
        </w:rPr>
      </w:pPr>
      <w:r w:rsidRPr="00CB12DB">
        <w:rPr>
          <w:rFonts w:ascii="Calibri" w:hAnsi="Calibri"/>
          <w:b/>
          <w:color w:val="000000" w:themeColor="text1"/>
        </w:rPr>
        <w:t>‎</w:t>
      </w:r>
      <w:r w:rsidRPr="00CB12DB">
        <w:rPr>
          <w:rFonts w:ascii="Calibri" w:hAnsi="Calibri" w:hint="cs"/>
          <w:b/>
          <w:color w:val="000000" w:themeColor="text1"/>
          <w:rtl/>
        </w:rPr>
        <w:t xml:space="preserve">(أ) </w:t>
      </w:r>
      <w:r w:rsidRPr="00CB12DB">
        <w:rPr>
          <w:rFonts w:ascii="Calibri" w:hAnsi="Calibri"/>
          <w:b/>
          <w:color w:val="000000" w:themeColor="text1"/>
        </w:rPr>
        <w:t>‎</w:t>
      </w:r>
      <w:r w:rsidRPr="00CB12DB">
        <w:rPr>
          <w:rFonts w:ascii="Calibri" w:hAnsi="Calibri" w:hint="cs"/>
          <w:b/>
          <w:color w:val="000000" w:themeColor="text1"/>
          <w:rtl/>
        </w:rPr>
        <w:t xml:space="preserve">نطاق </w:t>
      </w:r>
      <w:r w:rsidRPr="00CB12DB">
        <w:rPr>
          <w:rFonts w:hint="cs"/>
          <w:rtl/>
        </w:rPr>
        <w:t>التشغيل</w:t>
      </w:r>
      <w:r w:rsidRPr="00CB12DB">
        <w:rPr>
          <w:rFonts w:ascii="Calibri" w:hAnsi="Calibri" w:hint="cs"/>
          <w:b/>
          <w:color w:val="000000" w:themeColor="text1"/>
          <w:rtl/>
        </w:rPr>
        <w:t xml:space="preserve"> الحالي</w:t>
      </w:r>
    </w:p>
    <w:p w14:paraId="30D38E9B" w14:textId="0BD43D0D" w:rsidR="00CB12DB" w:rsidRPr="00CB12DB" w:rsidRDefault="00CB12DB" w:rsidP="00317FE3">
      <w:pPr>
        <w:pStyle w:val="BodyText"/>
        <w:rPr>
          <w:bCs/>
          <w:color w:val="0000FF" w:themeColor="hyperlink"/>
          <w:u w:val="single"/>
          <w:rtl/>
          <w:lang w:bidi="ar-EG"/>
        </w:rPr>
      </w:pPr>
      <w:r w:rsidRPr="00CB12DB">
        <w:rPr>
          <w:rFonts w:hint="cs"/>
          <w:rtl/>
          <w:lang w:bidi="ar-EG"/>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CB12DB">
        <w:rPr>
          <w:rFonts w:hint="cs"/>
          <w:i/>
          <w:iCs/>
          <w:rtl/>
          <w:lang w:bidi="ar-EG"/>
        </w:rPr>
        <w:t xml:space="preserve">دليل مودع الطلب بناء على معاهدة التعاون بشأن البراءات </w:t>
      </w:r>
      <w:r w:rsidRPr="00CB12DB">
        <w:rPr>
          <w:rFonts w:hint="cs"/>
          <w:rtl/>
          <w:lang w:bidi="ar-EG"/>
        </w:rPr>
        <w:t>المتاح من خلال الرابط</w:t>
      </w:r>
      <w:r w:rsidR="00317FE3">
        <w:rPr>
          <w:rFonts w:hint="cs"/>
          <w:rtl/>
          <w:lang w:bidi="ar-EG"/>
        </w:rPr>
        <w:t>ين</w:t>
      </w:r>
      <w:r w:rsidRPr="00CB12DB">
        <w:rPr>
          <w:rFonts w:hint="cs"/>
          <w:rtl/>
          <w:lang w:bidi="ar-EG"/>
        </w:rPr>
        <w:t xml:space="preserve"> التالي</w:t>
      </w:r>
      <w:r w:rsidR="00317FE3">
        <w:rPr>
          <w:rFonts w:hint="cs"/>
          <w:rtl/>
          <w:lang w:bidi="ar-EG"/>
        </w:rPr>
        <w:t>ين</w:t>
      </w:r>
      <w:r w:rsidRPr="00CB12DB">
        <w:rPr>
          <w:rFonts w:hint="cs"/>
          <w:rtl/>
          <w:lang w:bidi="ar-EG"/>
        </w:rPr>
        <w:t>:</w:t>
      </w:r>
      <w:r w:rsidR="00317FE3">
        <w:rPr>
          <w:rFonts w:hint="cs"/>
          <w:b/>
          <w:bCs/>
          <w:rtl/>
          <w:lang w:bidi="ar-EG"/>
        </w:rPr>
        <w:t xml:space="preserve"> </w:t>
      </w:r>
      <w:hyperlink r:id="rId19" w:anchor="ISA؛" w:history="1">
        <w:r w:rsidR="00317FE3" w:rsidRPr="00317FE3">
          <w:rPr>
            <w:rStyle w:val="Hyperlink"/>
            <w:lang w:bidi="ar-EG"/>
          </w:rPr>
          <w:t>https://pctlegal.wipo.int/eGuide/view-doc.xhtml?doc-code=CL&amp;amp;doc-lang=en#ISA</w:t>
        </w:r>
        <w:r w:rsidR="00317FE3" w:rsidRPr="00317FE3">
          <w:rPr>
            <w:rStyle w:val="Hyperlink"/>
            <w:rFonts w:hint="cs"/>
            <w:rtl/>
            <w:lang w:bidi="ar-EG"/>
          </w:rPr>
          <w:t>؛</w:t>
        </w:r>
      </w:hyperlink>
      <w:r w:rsidR="00317FE3" w:rsidRPr="00317FE3">
        <w:rPr>
          <w:rFonts w:hint="cs"/>
          <w:rtl/>
          <w:lang w:bidi="ar-EG"/>
        </w:rPr>
        <w:t xml:space="preserve"> و </w:t>
      </w:r>
      <w:hyperlink r:id="rId20" w:anchor="IPEA" w:history="1">
        <w:r w:rsidR="00317FE3" w:rsidRPr="00317FE3">
          <w:rPr>
            <w:rStyle w:val="Hyperlink"/>
            <w:lang w:bidi="ar-EG"/>
          </w:rPr>
          <w:t>https://pctlegal.wipo.int/eGuide/view-doc.xhtml?doc-code=CL&amp;amp;doc-lang=en#IPEA</w:t>
        </w:r>
      </w:hyperlink>
      <w:r w:rsidR="00317FE3" w:rsidRPr="00317FE3">
        <w:rPr>
          <w:rFonts w:hint="cs"/>
          <w:rtl/>
          <w:lang w:bidi="ar-EG"/>
        </w:rPr>
        <w:t>.</w:t>
      </w:r>
    </w:p>
    <w:p w14:paraId="3F129EE9" w14:textId="77777777" w:rsidR="00CB12DB" w:rsidRPr="00CB12DB" w:rsidRDefault="00CB12DB" w:rsidP="00F14BB5">
      <w:pPr>
        <w:pStyle w:val="Heading3"/>
        <w:rPr>
          <w:rFonts w:ascii="Calibri" w:hAnsi="Calibri"/>
          <w:b/>
          <w:color w:val="000000" w:themeColor="text1"/>
          <w:rtl/>
        </w:rPr>
      </w:pPr>
      <w:r w:rsidRPr="00CB12DB">
        <w:rPr>
          <w:rFonts w:ascii="Calibri" w:hAnsi="Calibri"/>
          <w:b/>
          <w:color w:val="000000" w:themeColor="text1"/>
        </w:rPr>
        <w:t>‎</w:t>
      </w:r>
      <w:r w:rsidRPr="00CB12DB">
        <w:rPr>
          <w:rFonts w:ascii="Calibri" w:hAnsi="Calibri" w:hint="cs"/>
          <w:b/>
          <w:color w:val="000000" w:themeColor="text1"/>
          <w:rtl/>
        </w:rPr>
        <w:t xml:space="preserve">(ب) التغييرات المخطط لها بشأن نطاق تشغيل الإدارة، مثل مكاتب تسلم الطلبات التي تختص الإدارة بالنظر في طلباتها واللغات المتاحة (إن </w:t>
      </w:r>
      <w:r w:rsidRPr="00CB12DB">
        <w:rPr>
          <w:rFonts w:hint="cs"/>
          <w:rtl/>
        </w:rPr>
        <w:t>وجدت</w:t>
      </w:r>
      <w:r w:rsidRPr="00CB12DB">
        <w:rPr>
          <w:rFonts w:ascii="Calibri" w:hAnsi="Calibri" w:hint="cs"/>
          <w:b/>
          <w:color w:val="000000" w:themeColor="text1"/>
          <w:rtl/>
        </w:rPr>
        <w:t>):</w:t>
      </w:r>
      <w:r w:rsidRPr="00CB12DB">
        <w:rPr>
          <w:rFonts w:ascii="Calibri" w:hAnsi="Calibri" w:hint="cs"/>
          <w:rtl/>
        </w:rPr>
        <w:t xml:space="preserve"> </w:t>
      </w:r>
    </w:p>
    <w:p w14:paraId="486718E0" w14:textId="77777777" w:rsidR="00CB12DB" w:rsidRPr="00CB12DB" w:rsidRDefault="00CB12DB" w:rsidP="00CB12DB">
      <w:pPr>
        <w:pStyle w:val="BodyText"/>
        <w:rPr>
          <w:rtl/>
          <w:lang w:bidi="ar-EG"/>
        </w:rPr>
      </w:pPr>
      <w:r w:rsidRPr="00CB12DB">
        <w:rPr>
          <w:rFonts w:hint="cs"/>
          <w:rtl/>
          <w:lang w:bidi="ar-EG"/>
        </w:rPr>
        <w:t>لا يتوخى المعهد الوطني إجراء أي تغييرات في هذا الشأن.  وكإدارة دولية لمعاهدة البراءات، يعمل المعهد الوطني باللغتين الإسبانية والإنكليزية فقط بالنسبة إلى مودعي الطلبات من الدول المتعاقدة في اتفاقية معاهدة البراءات في أمريكا اللاتينية والبحر الكاريبي.  وفي الوقت الراهن، عيّن 14 بلداً المعهد الوطني باعتباره إدارة البحث الدولي/إدارة الفحص التمهيدي الدولي المتخصصة لمودعي الطلبات لديها، وهذه البلدان هي: البرازيل، شيلي، كولومبيا، كوستاريكا، كوبا، الجمهورية الدومينيكية، إكوادور، السلفادور، غواتيمالا، المكسيك، بنما، بيرو، ترينيداد وتوباغو، أوروغواي.</w:t>
      </w:r>
    </w:p>
    <w:p w14:paraId="3632271C" w14:textId="77777777" w:rsidR="00CB12DB" w:rsidRPr="00CB12DB" w:rsidRDefault="00CB12DB" w:rsidP="00F30DAE">
      <w:pPr>
        <w:keepNext/>
        <w:keepLines/>
        <w:pBdr>
          <w:top w:val="single" w:sz="4" w:space="1" w:color="000000"/>
          <w:left w:val="nil"/>
          <w:bottom w:val="nil"/>
          <w:right w:val="nil"/>
          <w:between w:val="nil"/>
        </w:pBdr>
        <w:spacing w:before="360" w:after="200"/>
        <w:rPr>
          <w:rFonts w:ascii="Calibri" w:hAnsi="Calibri"/>
          <w:b/>
          <w:smallCaps/>
          <w:color w:val="000000" w:themeColor="text1"/>
          <w:rtl/>
          <w:lang w:bidi="ar-EG"/>
        </w:rPr>
      </w:pPr>
      <w:r w:rsidRPr="00CB12DB">
        <w:rPr>
          <w:rFonts w:ascii="Calibri" w:hAnsi="Calibri"/>
          <w:b/>
          <w:bCs/>
          <w:smallCaps/>
          <w:color w:val="000000" w:themeColor="text1"/>
          <w:lang w:bidi="ar-EG"/>
        </w:rPr>
        <w:t>‎4</w:t>
      </w:r>
      <w:r w:rsidRPr="00CB12DB">
        <w:rPr>
          <w:rFonts w:ascii="Calibri" w:hAnsi="Calibri" w:hint="cs"/>
          <w:b/>
          <w:bCs/>
          <w:smallCaps/>
          <w:color w:val="000000" w:themeColor="text1"/>
          <w:rtl/>
          <w:lang w:bidi="ar-EG"/>
        </w:rPr>
        <w:t>- معلومات أخرى</w:t>
      </w:r>
    </w:p>
    <w:p w14:paraId="3D133FEE" w14:textId="77777777" w:rsidR="00CB12DB" w:rsidRPr="00CB12DB" w:rsidRDefault="00CB12DB" w:rsidP="00CB12DB">
      <w:pPr>
        <w:pStyle w:val="BodyText"/>
        <w:rPr>
          <w:rtl/>
          <w:lang w:bidi="ar-EG"/>
        </w:rPr>
      </w:pPr>
      <w:r w:rsidRPr="00CB12DB">
        <w:rPr>
          <w:rFonts w:hint="cs"/>
          <w:rtl/>
          <w:lang w:bidi="ar-EG"/>
        </w:rPr>
        <w:t xml:space="preserve">أية معلومات إضافية تتعلق بتمديد التعيين كإدارة للبحث الدولي والفحص التمهيدي الدولي:  </w:t>
      </w:r>
    </w:p>
    <w:p w14:paraId="56802E38" w14:textId="77777777" w:rsidR="00CB12DB" w:rsidRPr="00CB12DB" w:rsidRDefault="00CB12DB" w:rsidP="00CB12DB">
      <w:pPr>
        <w:rPr>
          <w:rFonts w:ascii="Calibri" w:hAnsi="Calibri"/>
          <w:color w:val="000000" w:themeColor="text1"/>
          <w:u w:val="single"/>
          <w:rtl/>
          <w:lang w:bidi="ar-EG"/>
        </w:rPr>
      </w:pPr>
      <w:r w:rsidRPr="00CB12DB">
        <w:rPr>
          <w:rFonts w:ascii="Calibri" w:hAnsi="Calibri" w:hint="cs"/>
          <w:color w:val="000000" w:themeColor="text1"/>
          <w:u w:val="single"/>
          <w:rtl/>
          <w:lang w:bidi="ar-EG"/>
        </w:rPr>
        <w:t>الإعلان عن المصالح</w:t>
      </w:r>
    </w:p>
    <w:p w14:paraId="1801C67A" w14:textId="77777777" w:rsidR="00F14BB5" w:rsidRDefault="00F14BB5" w:rsidP="00CB12DB">
      <w:pPr>
        <w:pStyle w:val="BodyText"/>
        <w:rPr>
          <w:rtl/>
          <w:lang w:bidi="ar-EG"/>
        </w:rPr>
      </w:pPr>
    </w:p>
    <w:p w14:paraId="76CA8A0E" w14:textId="6101AAC9" w:rsidR="00CB12DB" w:rsidRPr="00CB12DB" w:rsidRDefault="00CB12DB" w:rsidP="00CB12DB">
      <w:pPr>
        <w:pStyle w:val="BodyText"/>
        <w:rPr>
          <w:rtl/>
          <w:lang w:bidi="ar-EG"/>
        </w:rPr>
      </w:pPr>
      <w:r w:rsidRPr="00CB12DB">
        <w:rPr>
          <w:rFonts w:hint="cs"/>
          <w:rtl/>
          <w:lang w:bidi="ar-EG"/>
        </w:rPr>
        <w:t>لقد ساهم إنشاء المعهد الوطني في عام 2009 والعمل الذي تم تنفيذه منذ ذلك الحين في الوصول إلى مرحلة جديدة في تحويل نظام الملكية الفكرية في شيلي.  وقد أصبح المعهد الوطني يتسم بالحداثة والكفاءة، ويمكنه تقديم خدمات جيدة وكذلك التفاعل بفعالية مع نظام الملكية الفكرية الدولي ككل.</w:t>
      </w:r>
    </w:p>
    <w:p w14:paraId="6E9A29FE" w14:textId="77777777" w:rsidR="00CB12DB" w:rsidRPr="00CB12DB" w:rsidRDefault="00CB12DB" w:rsidP="00CB12DB">
      <w:pPr>
        <w:pStyle w:val="BodyText"/>
        <w:rPr>
          <w:rtl/>
          <w:lang w:bidi="ar-EG"/>
        </w:rPr>
      </w:pPr>
      <w:r w:rsidRPr="00CB12DB">
        <w:rPr>
          <w:rFonts w:hint="cs"/>
          <w:rtl/>
          <w:lang w:bidi="ar-EG"/>
        </w:rPr>
        <w:t>ويؤمن المعهد الوطني إيماناً راسخاً بأن نظام الملكية الفكرية الدولي له دور أساسي في تعزيز الابتكار وريادة الأعمال.  وتؤدي معاهدة البراءات دوراً محورياً في هذا الصدد، ويشكل تنفيذها أولوية استراتيجية في مؤسستنا منذ أن دخلت حيز التنفيذ في شيلي.</w:t>
      </w:r>
    </w:p>
    <w:p w14:paraId="4C0B2125" w14:textId="77777777" w:rsidR="00CB12DB" w:rsidRPr="00CB12DB" w:rsidRDefault="00CB12DB" w:rsidP="00CB12DB">
      <w:pPr>
        <w:pStyle w:val="BodyText"/>
        <w:rPr>
          <w:rtl/>
          <w:lang w:bidi="ar-EG"/>
        </w:rPr>
      </w:pPr>
      <w:r w:rsidRPr="00CB12DB">
        <w:rPr>
          <w:rFonts w:hint="cs"/>
          <w:rtl/>
          <w:lang w:bidi="ar-EG"/>
        </w:rPr>
        <w:t>وترى حكومة شيلي أن معاهدة البراءات تنطوي على إمكانيات حقيقية وملموسة لتفاعل البلدان الأعضاء وإسهامهم بفعالية في نظام المعاهدة، وجعله أكثر جاذبية ويسراً لجميع المستخدمين.  وترى الحكومة أن تمديد تعيين المعهد الوطني كإدارة للبحث الدولي/إدارة للفحص التمهيدي الدولي سيمكنه من مواصلة دعم تطوير النظام في المنطقة وتشجيع تقديم طلبات معاهدة البراءات في أمريكا اللاتينية، حيث لا يتجاوز إجمالي عدد الطلبات 1,000 طلب سنوياً.</w:t>
      </w:r>
    </w:p>
    <w:p w14:paraId="3503EB2B" w14:textId="77777777" w:rsidR="00CB12DB" w:rsidRPr="00CB12DB" w:rsidRDefault="00CB12DB" w:rsidP="00CB12DB">
      <w:pPr>
        <w:pStyle w:val="BodyText"/>
        <w:rPr>
          <w:rtl/>
          <w:lang w:bidi="ar-EG"/>
        </w:rPr>
      </w:pPr>
      <w:r w:rsidRPr="00CB12DB">
        <w:rPr>
          <w:rFonts w:hint="cs"/>
          <w:rtl/>
          <w:lang w:bidi="ar-EG"/>
        </w:rPr>
        <w:t>ويرى المعهد الوطني، بصفته إدارة بحث دولي/إدارة فحص تمهيدي دولي يعمل باللغة بالإسبانية، أنه يعود بالنفع على بلدان أمريكا اللاتينية التي لم تنضم بعد إلى معاهدة البراءات أو التي تفكّر في الانضمام إليها. ويشارك المعهد الوطني بفعالية في جميع مجالات نظام معاهدة البراءات، ممّا يتيح له تبادل خبراته ودعم البلدان التي تنفذ المعاهدة أو ترغب في الانضمام إليها.  ومن المؤكد أن وجود إدارة للبحث الدولي والفحص التمهيدي الدولي تعمل باللغة الإسبانية في المنطقة ويمكنها الاضطلاع بعمليات البحث الدولي والفحص التمهيدي الدولي سيعود بالفائدة على النظام برمته.  ومن الأمثلة على ذلك المساعدة التقنية التي قدمها المعهد الوطني لأوروغواي، التي انضمت مؤخراً إلى معاهدة البراءات، في سياق تنفيذ المعاهدة.</w:t>
      </w:r>
    </w:p>
    <w:p w14:paraId="262EB58D" w14:textId="77777777" w:rsidR="00CB12DB" w:rsidRPr="00CB12DB" w:rsidRDefault="00CB12DB" w:rsidP="00CB12DB">
      <w:pPr>
        <w:pStyle w:val="BodyText"/>
        <w:rPr>
          <w:rtl/>
          <w:lang w:bidi="ar-EG"/>
        </w:rPr>
      </w:pPr>
      <w:r w:rsidRPr="00CB12DB">
        <w:rPr>
          <w:rFonts w:hint="cs"/>
          <w:rtl/>
          <w:lang w:bidi="ar-EG"/>
        </w:rPr>
        <w:t>وفي إطار استراتيجية ترمي إلى تعزيز استخدام النظام ككل، ترى الحكومة أن دور المعهد الوطني كإدارة بحث دولي/إدارة فحص تمهيدي دولي في أمريكا اللاتينية يساعد على تجنّب أي تأخيرات محتملة في معالجة الطلبات الدولية لمعاهدة البراءات، نظراً إلى أن بعض المكاتب مثقلة بأعباء العمل.  ونرى كذلك أن هناك حاجة إلى توزيع موارد البحث على مختلف أنحاء العالم من أجل تحقيق الاستخدام الأمثل لها.</w:t>
      </w:r>
    </w:p>
    <w:p w14:paraId="01B491F9" w14:textId="77777777" w:rsidR="00CB12DB" w:rsidRPr="00CB12DB" w:rsidRDefault="00CB12DB" w:rsidP="00CB12DB">
      <w:pPr>
        <w:pStyle w:val="BodyText"/>
        <w:rPr>
          <w:rtl/>
          <w:lang w:bidi="ar-EG"/>
        </w:rPr>
      </w:pPr>
      <w:r w:rsidRPr="00CB12DB">
        <w:rPr>
          <w:rFonts w:hint="cs"/>
          <w:rtl/>
          <w:lang w:bidi="ar-EG"/>
        </w:rPr>
        <w:t>ونظراً إلى اهتمام شيلي بتعزيز الابتكار وريادة الأعمال، وأهمية نظام البراءات الدولي في تحقيق هذا الهدف، نرى ان هناك ضرورة في تمديد تعيين المعهد الوطني كإدارة بحث دولي/إدارة فحص تمهيدي دولي. ويستوفي المعهد الوطني المتطلبات التقنية اللازمة لتقديم خدمات البحث والفحص لمواطني شيلي ومودعي الطلبات من الدول الأعضاء الأخرى في المعاهدة، ممّا يشجع على استخدام المعاهدة في المنطقة ويُعززه.</w:t>
      </w:r>
    </w:p>
    <w:p w14:paraId="3DBD5135" w14:textId="77777777" w:rsidR="00CB12DB" w:rsidRPr="00CB12DB" w:rsidRDefault="00CB12DB" w:rsidP="00CB12DB">
      <w:pPr>
        <w:pStyle w:val="BodyText"/>
        <w:rPr>
          <w:rtl/>
          <w:lang w:bidi="ar-EG"/>
        </w:rPr>
      </w:pPr>
      <w:r w:rsidRPr="00CB12DB">
        <w:rPr>
          <w:rFonts w:hint="cs"/>
          <w:rtl/>
          <w:lang w:bidi="ar-EG"/>
        </w:rPr>
        <w:t>وعلاوة على ذلك، حقق المعهد العديد من المزايا لمستخدميه بصفته إدارة بحث دولي/إدارة فحص تمهيدي دولي.  وقد أقرت حكومة شيلي بهذه الحقيقة، إذ منحته الجائزة الوطنية للتميّز في الخدمة العامة ثلاث مرات، واعترفت به كمؤسسة من أفضل ثلاث مؤسسات عامة في البلاد.  وتُمنح هذه الجائزة للمؤسسات الوطنية التي تعزّز جودة حياة مستخدميها بشكل ملحوظ، على سبيل المثال، من خلال رفع مستوى الوعي بنظام الملكية الفكرية ومزايا تقديم طلبات البراءات في الخارج.  وفي الواقع، منذ أن بدأ المعهد الوطني العمل كإدارة دولية بناءً على معاهدة البراءات، ارتفع معدل تقديم الطلبات الدولية بشكل عام في المنطقة.  وقد طلب العديد من مودعي الطلبات الذين لم يكونوا على دراية بنظام الملكية الفكرية معلومات عن طريقة عمل المعاهدة، ممّا أدى إلى دخول مشاركين جدد إلى النظام ممّن يتطلعون إلى استخدام معاهدة البراءات كجزء من استراتيجياتهم المتعلقة بمنح البراءات.</w:t>
      </w:r>
    </w:p>
    <w:p w14:paraId="3265A695" w14:textId="77777777" w:rsidR="00CB12DB" w:rsidRPr="00CB12DB" w:rsidRDefault="00CB12DB" w:rsidP="00CB12DB">
      <w:pPr>
        <w:jc w:val="both"/>
        <w:rPr>
          <w:rFonts w:ascii="Calibri" w:hAnsi="Calibri"/>
          <w:color w:val="000000" w:themeColor="text1"/>
          <w:u w:val="single"/>
          <w:rtl/>
          <w:lang w:bidi="ar-EG"/>
        </w:rPr>
      </w:pPr>
      <w:r w:rsidRPr="00CB12DB">
        <w:rPr>
          <w:rFonts w:ascii="Calibri" w:hAnsi="Calibri" w:hint="cs"/>
          <w:color w:val="000000" w:themeColor="text1"/>
          <w:u w:val="single"/>
          <w:rtl/>
          <w:lang w:bidi="ar-EG"/>
        </w:rPr>
        <w:t>عمل المعهد الوطني كإدارة للبحث الدولي/إدارة للفحص الدولي التمهيدي</w:t>
      </w:r>
    </w:p>
    <w:p w14:paraId="70EACCA9" w14:textId="77777777" w:rsidR="00F14BB5" w:rsidRDefault="00F14BB5" w:rsidP="00CB12DB">
      <w:pPr>
        <w:pStyle w:val="BodyText"/>
        <w:rPr>
          <w:rtl/>
          <w:lang w:bidi="ar-EG"/>
        </w:rPr>
      </w:pPr>
    </w:p>
    <w:p w14:paraId="25301FD9" w14:textId="1727E78D" w:rsidR="00CB12DB" w:rsidRPr="00CB12DB" w:rsidRDefault="00CB12DB" w:rsidP="00CB12DB">
      <w:pPr>
        <w:pStyle w:val="BodyText"/>
        <w:rPr>
          <w:rtl/>
          <w:lang w:bidi="ar-EG"/>
        </w:rPr>
      </w:pPr>
      <w:r w:rsidRPr="00CB12DB">
        <w:rPr>
          <w:rFonts w:hint="cs"/>
          <w:rtl/>
          <w:lang w:bidi="ar-EG"/>
        </w:rPr>
        <w:t xml:space="preserve">يعمل المعهد الوطني كإدارة دولية بموجب معاهدة البراءات منذ 22 أكتوبر 2014.  وفي عام 2024، احتفل المعهد الوطني بالذكرى السنوية العاشرة لكونه إدارة للبحث الدولي/إدارة للفحص التمهيدي الدولي، ممّا عزز مكانته كأكثر إدارات معاهدة البراءات استخداماً باللغة الإسبانية في أمريكا اللاتينية.  وخلال كل هذه السنوات، شهدنا نمواً مطرداً في طلبات معاهدة البراءات، ليس فقط من مودعي الطلبات الشيليين، بل كذلك من مختلف أنحاء المنطقة، بما في ذلك المكسيك وكولومبيا وبيرو وإكوادور وكوستاريكا. </w:t>
      </w:r>
    </w:p>
    <w:p w14:paraId="0E5E61E6" w14:textId="77777777" w:rsidR="00CB12DB" w:rsidRPr="00CB12DB" w:rsidRDefault="00CB12DB" w:rsidP="00CB12DB">
      <w:pPr>
        <w:pStyle w:val="BodyText"/>
        <w:rPr>
          <w:rtl/>
          <w:lang w:bidi="ar-EG"/>
        </w:rPr>
      </w:pPr>
      <w:r w:rsidRPr="00CB12DB">
        <w:rPr>
          <w:rFonts w:hint="cs"/>
          <w:rtl/>
          <w:lang w:bidi="ar-EG"/>
        </w:rPr>
        <w:t>وبين عامي 2014 و2024، تم تعيين المعهد الوطني كجهة مستقلة في 2,809 طلبات، وأصدر 2,449 تقرير بحث ورأياً كتابياً.  وفي عام 2024، جرى تعيينه في 293 طلباً. وعُين كإدارة للفحص التمهيدي الدولي في 96 طلباً خلال الفترة نفسها، 11 طلباً منها قُدّمت في عام 2024.</w:t>
      </w:r>
    </w:p>
    <w:p w14:paraId="502A2E00" w14:textId="77777777" w:rsidR="00CB12DB" w:rsidRPr="00CB12DB" w:rsidRDefault="00CB12DB" w:rsidP="00CB12DB">
      <w:pPr>
        <w:pStyle w:val="BodyText"/>
        <w:rPr>
          <w:rtl/>
          <w:lang w:bidi="ar-EG"/>
        </w:rPr>
      </w:pPr>
      <w:r w:rsidRPr="00CB12DB">
        <w:rPr>
          <w:rFonts w:hint="cs"/>
          <w:rtl/>
          <w:lang w:bidi="ar-EG"/>
        </w:rPr>
        <w:t>وفي الاجتماع الأخير للإدارات الدولية لمعاهدة البراءات، الذي عُقد في أكتوبر 2025، حظي المعهد الوطني بالتقدير كإحدى إدارات البحث الدولي/إدارات الفحص التمهيدي الدولي التي حققت التزاماً تاماً بالمواعيد النهائية فيما يخص إصدار تقارير البحث والآراء الكتابية والفحوصات التمهيدية الدولية. ويُعدّ الالتزام بمواعيد معاهدة البراءات وتقديم التقارير في الوقت المناسب للمستخدمين سمةً بارزةً لإدارة المعهد بصفته إدارة دوليةً لمعاهدة البراءات.</w:t>
      </w:r>
    </w:p>
    <w:p w14:paraId="3F1C1187" w14:textId="77777777" w:rsidR="00CB12DB" w:rsidRPr="00CB12DB" w:rsidRDefault="00CB12DB" w:rsidP="00CB12DB">
      <w:pPr>
        <w:pStyle w:val="BodyText"/>
        <w:rPr>
          <w:rtl/>
          <w:lang w:bidi="ar-EG"/>
        </w:rPr>
      </w:pPr>
      <w:r w:rsidRPr="00CB12DB">
        <w:rPr>
          <w:rFonts w:hint="cs"/>
          <w:rtl/>
          <w:lang w:bidi="ar-EG"/>
        </w:rPr>
        <w:t>وكإدارة دوليةً لمعاهدة البراءات، يحظى عمل المعهد بتقدير كبير من مودعي الطلبات من شيلي والمنطقة ككل.  ويبرز ذلك في استطلاعات استقصاءات رضا العملاء التي تُجرى لكل طلبٍ يُعالجه المعهد الوطني بصفته إدارة للفحص الدولي، وفي الاجتماعات السنوية مع المستخدمين الرئيسيين، وفي الاجتماعات مع العديد من مودعي الطلبات الذين قدموا أكثر من طلب، واختاروا المعهد الوطني كإدارة الفحص الدولي الخاصة بهم.  ويُشير كل ذلك إلى ثقتهم بجودة عملنا وتقديرهم لكفاءتنا.</w:t>
      </w:r>
    </w:p>
    <w:p w14:paraId="32D9343F" w14:textId="77777777" w:rsidR="00CB12DB" w:rsidRPr="00CB12DB" w:rsidRDefault="00CB12DB" w:rsidP="00CB12DB">
      <w:pPr>
        <w:jc w:val="both"/>
        <w:rPr>
          <w:rFonts w:ascii="Calibri" w:hAnsi="Calibri"/>
          <w:bCs/>
          <w:color w:val="000000" w:themeColor="text1"/>
          <w:lang w:bidi="ar-EG"/>
        </w:rPr>
      </w:pPr>
    </w:p>
    <w:p w14:paraId="51B6244F" w14:textId="77777777" w:rsidR="00CB12DB" w:rsidRPr="00CB12DB" w:rsidRDefault="00CB12DB" w:rsidP="00CB12DB">
      <w:pPr>
        <w:jc w:val="both"/>
        <w:rPr>
          <w:rFonts w:ascii="Calibri" w:hAnsi="Calibri"/>
          <w:bCs/>
          <w:lang w:val="en-GB" w:bidi="ar-EG"/>
        </w:rPr>
      </w:pPr>
    </w:p>
    <w:p w14:paraId="539BD938" w14:textId="77777777" w:rsidR="00CB12DB" w:rsidRPr="00CB12DB" w:rsidRDefault="00CB12DB" w:rsidP="00CB12DB">
      <w:pPr>
        <w:pStyle w:val="Endofdocument-Annex"/>
        <w:rPr>
          <w:bCs/>
          <w:rtl/>
          <w:lang w:bidi="ar-EG"/>
        </w:rPr>
      </w:pPr>
      <w:r w:rsidRPr="00CB12DB">
        <w:rPr>
          <w:rFonts w:hint="cs"/>
          <w:rtl/>
          <w:lang w:bidi="ar-EG"/>
        </w:rPr>
        <w:t>[نهاية المرفق والوثيقة]</w:t>
      </w:r>
    </w:p>
    <w:p w14:paraId="303278B9" w14:textId="4F5161BE" w:rsidR="00320C70" w:rsidRDefault="00320C70" w:rsidP="00331E76">
      <w:pPr>
        <w:pStyle w:val="BodyText"/>
        <w:rPr>
          <w:lang w:bidi="ar-EG"/>
        </w:rPr>
      </w:pPr>
    </w:p>
    <w:p w14:paraId="23D33907" w14:textId="77777777" w:rsidR="00331E76" w:rsidRDefault="00331E76" w:rsidP="00331E76">
      <w:pPr>
        <w:pStyle w:val="BodyText"/>
        <w:rPr>
          <w:lang w:bidi="ar-EG"/>
        </w:rPr>
      </w:pPr>
    </w:p>
    <w:p w14:paraId="6C4ACB42" w14:textId="77777777" w:rsidR="00331E76" w:rsidRPr="009D161D" w:rsidRDefault="00331E76" w:rsidP="00331E76">
      <w:pPr>
        <w:pStyle w:val="BodyText"/>
        <w:rPr>
          <w:lang w:bidi="ar-EG"/>
        </w:rPr>
      </w:pPr>
    </w:p>
    <w:sectPr w:rsidR="00331E76" w:rsidRPr="009D161D" w:rsidSect="00F14BB5">
      <w:headerReference w:type="first" r:id="rId21"/>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3DAC" w14:textId="77777777" w:rsidR="002E4814" w:rsidRDefault="002E4814">
      <w:r>
        <w:separator/>
      </w:r>
    </w:p>
  </w:endnote>
  <w:endnote w:type="continuationSeparator" w:id="0">
    <w:p w14:paraId="7665F1DF" w14:textId="77777777" w:rsidR="002E4814" w:rsidRDefault="002E4814" w:rsidP="003B38C1">
      <w:r>
        <w:separator/>
      </w:r>
    </w:p>
    <w:p w14:paraId="3FFCE854" w14:textId="77777777" w:rsidR="002E4814" w:rsidRPr="003B38C1" w:rsidRDefault="002E4814" w:rsidP="003B38C1">
      <w:pPr>
        <w:spacing w:after="60"/>
        <w:rPr>
          <w:sz w:val="17"/>
        </w:rPr>
      </w:pPr>
      <w:r>
        <w:rPr>
          <w:sz w:val="17"/>
        </w:rPr>
        <w:t>[Endnote continued from previous page]</w:t>
      </w:r>
    </w:p>
  </w:endnote>
  <w:endnote w:type="continuationNotice" w:id="1">
    <w:p w14:paraId="48703A1B" w14:textId="77777777" w:rsidR="002E4814" w:rsidRPr="003B38C1" w:rsidRDefault="002E4814"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1BBD" w14:textId="77777777" w:rsidR="00331E76" w:rsidRDefault="00331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03B8" w14:textId="77777777" w:rsidR="00331E76" w:rsidRDefault="00331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3B79" w14:textId="77777777" w:rsidR="00331E76" w:rsidRDefault="0033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5435" w14:textId="77777777" w:rsidR="002E4814" w:rsidRDefault="002E4814">
      <w:r>
        <w:separator/>
      </w:r>
    </w:p>
  </w:footnote>
  <w:footnote w:type="continuationSeparator" w:id="0">
    <w:p w14:paraId="3B814B15" w14:textId="77777777" w:rsidR="002E4814" w:rsidRDefault="002E4814" w:rsidP="008B60B2">
      <w:r>
        <w:separator/>
      </w:r>
    </w:p>
    <w:p w14:paraId="6A2A462F" w14:textId="77777777" w:rsidR="002E4814" w:rsidRPr="00ED77FB" w:rsidRDefault="002E4814" w:rsidP="008B60B2">
      <w:pPr>
        <w:spacing w:after="60"/>
        <w:rPr>
          <w:sz w:val="17"/>
          <w:szCs w:val="17"/>
        </w:rPr>
      </w:pPr>
      <w:r w:rsidRPr="00ED77FB">
        <w:rPr>
          <w:sz w:val="17"/>
          <w:szCs w:val="17"/>
        </w:rPr>
        <w:t>[Footnote continued from previous page]</w:t>
      </w:r>
    </w:p>
  </w:footnote>
  <w:footnote w:type="continuationNotice" w:id="1">
    <w:p w14:paraId="32FACBD5" w14:textId="77777777" w:rsidR="002E4814" w:rsidRPr="00ED77FB" w:rsidRDefault="002E4814"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943B" w14:textId="77777777" w:rsidR="00331E76" w:rsidRDefault="00331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746A" w14:textId="2DD21D28" w:rsidR="00D07C78" w:rsidRDefault="004E0043" w:rsidP="00B96EB2">
    <w:pPr>
      <w:bidi w:val="0"/>
      <w:rPr>
        <w:caps/>
        <w:lang w:val="fr-CH"/>
      </w:rPr>
    </w:pPr>
    <w:r>
      <w:rPr>
        <w:caps/>
      </w:rPr>
      <w:t>PCT</w:t>
    </w:r>
    <w:r w:rsidR="00250149">
      <w:rPr>
        <w:caps/>
      </w:rPr>
      <w:t>/</w:t>
    </w:r>
    <w:r w:rsidR="00320C70">
      <w:rPr>
        <w:caps/>
      </w:rPr>
      <w:t>CTC</w:t>
    </w:r>
    <w:r w:rsidR="00250149">
      <w:rPr>
        <w:caps/>
      </w:rPr>
      <w:t>/</w:t>
    </w:r>
    <w:r w:rsidR="00320C70">
      <w:rPr>
        <w:caps/>
      </w:rPr>
      <w:t>33</w:t>
    </w:r>
    <w:r>
      <w:rPr>
        <w:caps/>
      </w:rPr>
      <w:t>/</w:t>
    </w:r>
    <w:r w:rsidR="00F30DAE">
      <w:rPr>
        <w:caps/>
        <w:lang w:val="fr-CH"/>
      </w:rPr>
      <w:t>6</w:t>
    </w:r>
  </w:p>
  <w:p w14:paraId="74BC60DA" w14:textId="00CF7D81" w:rsidR="00F30DAE" w:rsidRPr="00F30DAE" w:rsidRDefault="00F30DAE" w:rsidP="00F30DAE">
    <w:pPr>
      <w:bidi w:val="0"/>
      <w:rPr>
        <w:caps/>
      </w:rPr>
    </w:pPr>
    <w:r>
      <w:t>Annex</w:t>
    </w:r>
  </w:p>
  <w:p w14:paraId="3B93D0EA" w14:textId="77777777" w:rsidR="00D07C78" w:rsidRDefault="00D07C78" w:rsidP="00210D5F">
    <w:pPr>
      <w:bidi w:val="0"/>
    </w:pPr>
    <w:r>
      <w:fldChar w:fldCharType="begin"/>
    </w:r>
    <w:r>
      <w:instrText xml:space="preserve"> PAGE  \* MERGEFORMAT </w:instrText>
    </w:r>
    <w:r>
      <w:fldChar w:fldCharType="separate"/>
    </w:r>
    <w:r w:rsidR="001E41FD">
      <w:rPr>
        <w:noProof/>
      </w:rPr>
      <w:t>2</w:t>
    </w:r>
    <w:r>
      <w:fldChar w:fldCharType="end"/>
    </w:r>
  </w:p>
  <w:p w14:paraId="2C4F3247"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28F9" w14:textId="77777777" w:rsidR="00331E76" w:rsidRDefault="00331E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5924" w14:textId="77777777" w:rsidR="00CB12DB" w:rsidRPr="00CB12DB" w:rsidRDefault="00CB12DB" w:rsidP="00CB12DB">
    <w:pPr>
      <w:tabs>
        <w:tab w:val="center" w:pos="4536"/>
        <w:tab w:val="right" w:pos="9072"/>
      </w:tabs>
      <w:bidi w:val="0"/>
      <w:rPr>
        <w:rFonts w:cs="Arial"/>
        <w:szCs w:val="20"/>
      </w:rPr>
    </w:pPr>
    <w:r w:rsidRPr="00CB12DB">
      <w:rPr>
        <w:rFonts w:cs="Arial"/>
        <w:szCs w:val="20"/>
      </w:rPr>
      <w:t>PCT/CTC/33/6</w:t>
    </w:r>
  </w:p>
  <w:p w14:paraId="00039000" w14:textId="13F66743" w:rsidR="00331E76" w:rsidRDefault="00CB12DB" w:rsidP="00CB12DB">
    <w:pPr>
      <w:pStyle w:val="Header"/>
      <w:bidi w:val="0"/>
      <w:rPr>
        <w:rFonts w:cs="Arial"/>
        <w:szCs w:val="20"/>
        <w:rtl/>
      </w:rPr>
    </w:pPr>
    <w:r w:rsidRPr="00CB12DB">
      <w:rPr>
        <w:rFonts w:cs="Arial"/>
        <w:szCs w:val="20"/>
      </w:rPr>
      <w:t>ANNEX</w:t>
    </w:r>
  </w:p>
  <w:p w14:paraId="72E1FF11" w14:textId="5A01A306" w:rsidR="00CB12DB" w:rsidRPr="00CB12DB" w:rsidRDefault="00CB12DB" w:rsidP="00CB12DB">
    <w:pPr>
      <w:pStyle w:val="Header"/>
      <w:jc w:val="right"/>
      <w:rPr>
        <w:rFonts w:ascii="Calibri" w:hAnsi="Calibri"/>
        <w:sz w:val="24"/>
        <w:rtl/>
      </w:rPr>
    </w:pPr>
    <w:r w:rsidRPr="00CB12DB">
      <w:rPr>
        <w:rFonts w:ascii="Calibri" w:hAnsi="Calibri"/>
        <w:sz w:val="24"/>
        <w:rtl/>
      </w:rPr>
      <w:t>المرفق</w:t>
    </w:r>
  </w:p>
  <w:p w14:paraId="798AD133" w14:textId="77777777" w:rsidR="00CB12DB" w:rsidRDefault="00CB12DB" w:rsidP="00CB12D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36318921">
    <w:abstractNumId w:val="2"/>
  </w:num>
  <w:num w:numId="2" w16cid:durableId="1449659008">
    <w:abstractNumId w:val="5"/>
  </w:num>
  <w:num w:numId="3" w16cid:durableId="1554928416">
    <w:abstractNumId w:val="0"/>
  </w:num>
  <w:num w:numId="4" w16cid:durableId="1250307828">
    <w:abstractNumId w:val="6"/>
  </w:num>
  <w:num w:numId="5" w16cid:durableId="310136077">
    <w:abstractNumId w:val="1"/>
  </w:num>
  <w:num w:numId="6" w16cid:durableId="550701">
    <w:abstractNumId w:val="3"/>
  </w:num>
  <w:num w:numId="7" w16cid:durableId="623774633">
    <w:abstractNumId w:val="7"/>
  </w:num>
  <w:num w:numId="8" w16cid:durableId="878468255">
    <w:abstractNumId w:val="4"/>
  </w:num>
  <w:num w:numId="9" w16cid:durableId="1042556044">
    <w:abstractNumId w:val="7"/>
  </w:num>
  <w:num w:numId="10" w16cid:durableId="73743099">
    <w:abstractNumId w:val="7"/>
  </w:num>
  <w:num w:numId="11" w16cid:durableId="1413041658">
    <w:abstractNumId w:val="7"/>
  </w:num>
  <w:num w:numId="12" w16cid:durableId="522745865">
    <w:abstractNumId w:val="7"/>
  </w:num>
  <w:num w:numId="13" w16cid:durableId="594633449">
    <w:abstractNumId w:val="7"/>
  </w:num>
  <w:num w:numId="14" w16cid:durableId="157698280">
    <w:abstractNumId w:val="7"/>
  </w:num>
  <w:num w:numId="15" w16cid:durableId="669791953">
    <w:abstractNumId w:val="7"/>
  </w:num>
  <w:num w:numId="16" w16cid:durableId="2112704310">
    <w:abstractNumId w:val="7"/>
  </w:num>
  <w:num w:numId="17" w16cid:durableId="1065496818">
    <w:abstractNumId w:val="7"/>
  </w:num>
  <w:num w:numId="18" w16cid:durableId="756173138">
    <w:abstractNumId w:val="7"/>
  </w:num>
  <w:num w:numId="19" w16cid:durableId="1796094349">
    <w:abstractNumId w:val="7"/>
  </w:num>
  <w:num w:numId="20" w16cid:durableId="794909897">
    <w:abstractNumId w:val="7"/>
  </w:num>
  <w:num w:numId="21" w16cid:durableId="1481849727">
    <w:abstractNumId w:val="7"/>
  </w:num>
  <w:num w:numId="22" w16cid:durableId="2076009542">
    <w:abstractNumId w:val="7"/>
  </w:num>
  <w:num w:numId="23" w16cid:durableId="1753697539">
    <w:abstractNumId w:val="7"/>
  </w:num>
  <w:num w:numId="24" w16cid:durableId="1599633186">
    <w:abstractNumId w:val="7"/>
  </w:num>
  <w:num w:numId="25" w16cid:durableId="930940975">
    <w:abstractNumId w:val="7"/>
  </w:num>
  <w:num w:numId="26" w16cid:durableId="363141769">
    <w:abstractNumId w:val="7"/>
  </w:num>
  <w:num w:numId="27" w16cid:durableId="1096705814">
    <w:abstractNumId w:val="7"/>
  </w:num>
  <w:num w:numId="28" w16cid:durableId="1963414395">
    <w:abstractNumId w:val="7"/>
  </w:num>
  <w:num w:numId="29" w16cid:durableId="380598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84313">
    <w:abstractNumId w:val="7"/>
  </w:num>
  <w:num w:numId="31" w16cid:durableId="2060474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86"/>
    <w:rsid w:val="0000093F"/>
    <w:rsid w:val="0001606E"/>
    <w:rsid w:val="000344A4"/>
    <w:rsid w:val="00043CAA"/>
    <w:rsid w:val="00056816"/>
    <w:rsid w:val="00075432"/>
    <w:rsid w:val="00093892"/>
    <w:rsid w:val="000968ED"/>
    <w:rsid w:val="000A1D9D"/>
    <w:rsid w:val="000A3D97"/>
    <w:rsid w:val="000F5E56"/>
    <w:rsid w:val="001362EE"/>
    <w:rsid w:val="001406E1"/>
    <w:rsid w:val="00155D8A"/>
    <w:rsid w:val="001647D5"/>
    <w:rsid w:val="00167832"/>
    <w:rsid w:val="001832A6"/>
    <w:rsid w:val="0019592A"/>
    <w:rsid w:val="001B6737"/>
    <w:rsid w:val="001D4107"/>
    <w:rsid w:val="001E41FD"/>
    <w:rsid w:val="001F4309"/>
    <w:rsid w:val="00200035"/>
    <w:rsid w:val="00203D24"/>
    <w:rsid w:val="00210D5F"/>
    <w:rsid w:val="0021217E"/>
    <w:rsid w:val="002326AB"/>
    <w:rsid w:val="00243430"/>
    <w:rsid w:val="00250149"/>
    <w:rsid w:val="00251448"/>
    <w:rsid w:val="002634C4"/>
    <w:rsid w:val="002906BF"/>
    <w:rsid w:val="002928D3"/>
    <w:rsid w:val="00293886"/>
    <w:rsid w:val="002C516E"/>
    <w:rsid w:val="002E4814"/>
    <w:rsid w:val="002F1FE6"/>
    <w:rsid w:val="002F4E68"/>
    <w:rsid w:val="00312F7F"/>
    <w:rsid w:val="00317FE3"/>
    <w:rsid w:val="00320819"/>
    <w:rsid w:val="00320C70"/>
    <w:rsid w:val="00331E76"/>
    <w:rsid w:val="00361450"/>
    <w:rsid w:val="003673CF"/>
    <w:rsid w:val="003845C1"/>
    <w:rsid w:val="003A6F89"/>
    <w:rsid w:val="003B243D"/>
    <w:rsid w:val="003B355C"/>
    <w:rsid w:val="003B38C1"/>
    <w:rsid w:val="003C2A9F"/>
    <w:rsid w:val="003C34E9"/>
    <w:rsid w:val="003C48E9"/>
    <w:rsid w:val="003E01BA"/>
    <w:rsid w:val="00423E3E"/>
    <w:rsid w:val="00427AF4"/>
    <w:rsid w:val="0045246E"/>
    <w:rsid w:val="004647DA"/>
    <w:rsid w:val="00474062"/>
    <w:rsid w:val="00477D6B"/>
    <w:rsid w:val="004E0043"/>
    <w:rsid w:val="005019FF"/>
    <w:rsid w:val="00512FB0"/>
    <w:rsid w:val="0053057A"/>
    <w:rsid w:val="00556076"/>
    <w:rsid w:val="00560A29"/>
    <w:rsid w:val="005C6649"/>
    <w:rsid w:val="005E7B89"/>
    <w:rsid w:val="00605827"/>
    <w:rsid w:val="00646050"/>
    <w:rsid w:val="006653CA"/>
    <w:rsid w:val="006713CA"/>
    <w:rsid w:val="00676C5C"/>
    <w:rsid w:val="006840CE"/>
    <w:rsid w:val="006938E1"/>
    <w:rsid w:val="006B5C12"/>
    <w:rsid w:val="00720EFD"/>
    <w:rsid w:val="007236A1"/>
    <w:rsid w:val="0074738A"/>
    <w:rsid w:val="00762189"/>
    <w:rsid w:val="00781037"/>
    <w:rsid w:val="007854AF"/>
    <w:rsid w:val="00793A7C"/>
    <w:rsid w:val="007A398A"/>
    <w:rsid w:val="007C4902"/>
    <w:rsid w:val="007D1613"/>
    <w:rsid w:val="007E4C0E"/>
    <w:rsid w:val="007E7D5E"/>
    <w:rsid w:val="007F061E"/>
    <w:rsid w:val="008A134B"/>
    <w:rsid w:val="008B2CC1"/>
    <w:rsid w:val="008B60B2"/>
    <w:rsid w:val="008D2C8E"/>
    <w:rsid w:val="0090731E"/>
    <w:rsid w:val="00916EE2"/>
    <w:rsid w:val="00966A22"/>
    <w:rsid w:val="0096722F"/>
    <w:rsid w:val="00980843"/>
    <w:rsid w:val="009B0855"/>
    <w:rsid w:val="009D161D"/>
    <w:rsid w:val="009E1721"/>
    <w:rsid w:val="009E2791"/>
    <w:rsid w:val="009E3F6F"/>
    <w:rsid w:val="009F499F"/>
    <w:rsid w:val="00A171CE"/>
    <w:rsid w:val="00A37342"/>
    <w:rsid w:val="00A40C85"/>
    <w:rsid w:val="00A42DAF"/>
    <w:rsid w:val="00A45BD8"/>
    <w:rsid w:val="00A841DF"/>
    <w:rsid w:val="00A869B7"/>
    <w:rsid w:val="00A90F0A"/>
    <w:rsid w:val="00AC205C"/>
    <w:rsid w:val="00AF0A6B"/>
    <w:rsid w:val="00AF2D45"/>
    <w:rsid w:val="00AF3DCE"/>
    <w:rsid w:val="00B05A69"/>
    <w:rsid w:val="00B13708"/>
    <w:rsid w:val="00B42CA9"/>
    <w:rsid w:val="00B51FF7"/>
    <w:rsid w:val="00B55C60"/>
    <w:rsid w:val="00B75281"/>
    <w:rsid w:val="00B92F1F"/>
    <w:rsid w:val="00B96EB2"/>
    <w:rsid w:val="00B9734B"/>
    <w:rsid w:val="00BA30E2"/>
    <w:rsid w:val="00BC2117"/>
    <w:rsid w:val="00BC76C1"/>
    <w:rsid w:val="00C04AE1"/>
    <w:rsid w:val="00C11BFE"/>
    <w:rsid w:val="00C5068F"/>
    <w:rsid w:val="00C86D74"/>
    <w:rsid w:val="00CB12DB"/>
    <w:rsid w:val="00CB3DBA"/>
    <w:rsid w:val="00CC3E2D"/>
    <w:rsid w:val="00CD04F1"/>
    <w:rsid w:val="00CE19F8"/>
    <w:rsid w:val="00CF681A"/>
    <w:rsid w:val="00D07C78"/>
    <w:rsid w:val="00D45252"/>
    <w:rsid w:val="00D46AA3"/>
    <w:rsid w:val="00D60B2C"/>
    <w:rsid w:val="00D67EAE"/>
    <w:rsid w:val="00D713B3"/>
    <w:rsid w:val="00D71B4D"/>
    <w:rsid w:val="00D7745F"/>
    <w:rsid w:val="00D90B96"/>
    <w:rsid w:val="00D92FE6"/>
    <w:rsid w:val="00D93D55"/>
    <w:rsid w:val="00DC2960"/>
    <w:rsid w:val="00DD7B7F"/>
    <w:rsid w:val="00E15015"/>
    <w:rsid w:val="00E319DF"/>
    <w:rsid w:val="00E335FE"/>
    <w:rsid w:val="00E66CC5"/>
    <w:rsid w:val="00EA7D6E"/>
    <w:rsid w:val="00EB2F76"/>
    <w:rsid w:val="00EC4E49"/>
    <w:rsid w:val="00ED77FB"/>
    <w:rsid w:val="00EE45FA"/>
    <w:rsid w:val="00F043DE"/>
    <w:rsid w:val="00F14BB5"/>
    <w:rsid w:val="00F30DAE"/>
    <w:rsid w:val="00F46D2A"/>
    <w:rsid w:val="00F66152"/>
    <w:rsid w:val="00F76CB4"/>
    <w:rsid w:val="00F9165B"/>
    <w:rsid w:val="00F91DEF"/>
    <w:rsid w:val="00FB3FDF"/>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EE54E"/>
  <w15:docId w15:val="{D93AB70B-A8A5-4CFE-BD6F-0B1497C0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F30DAE"/>
    <w:pPr>
      <w:keepNext/>
      <w:spacing w:before="240" w:after="60"/>
      <w:outlineLvl w:val="2"/>
    </w:pPr>
    <w:rPr>
      <w:bCs/>
      <w:lang w:bidi="ar-EG"/>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styleId="Hyperlink">
    <w:name w:val="Hyperlink"/>
    <w:basedOn w:val="DefaultParagraphFont"/>
    <w:unhideWhenUsed/>
    <w:rsid w:val="00317FE3"/>
    <w:rPr>
      <w:color w:val="0000FF" w:themeColor="hyperlink"/>
      <w:u w:val="single"/>
    </w:rPr>
  </w:style>
  <w:style w:type="character" w:styleId="UnresolvedMention">
    <w:name w:val="Unresolved Mention"/>
    <w:basedOn w:val="DefaultParagraphFont"/>
    <w:uiPriority w:val="99"/>
    <w:semiHidden/>
    <w:unhideWhenUsed/>
    <w:rsid w:val="00317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79443">
      <w:bodyDiv w:val="1"/>
      <w:marLeft w:val="0"/>
      <w:marRight w:val="0"/>
      <w:marTop w:val="0"/>
      <w:marBottom w:val="0"/>
      <w:divBdr>
        <w:top w:val="none" w:sz="0" w:space="0" w:color="auto"/>
        <w:left w:val="none" w:sz="0" w:space="0" w:color="auto"/>
        <w:bottom w:val="none" w:sz="0" w:space="0" w:color="auto"/>
        <w:right w:val="none" w:sz="0" w:space="0" w:color="auto"/>
      </w:divBdr>
    </w:div>
    <w:div w:id="174792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wipo.int/export/sites/www/pct/en/docs/circulars/2024/1672.pdf"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pctlegal.wipo.int/eGuide/view-doc.xhtml?doc-code=CL&amp;amp;doc-lan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pctlegal.wipo.int/eGuide/view-doc.xhtml?doc-code=CL&amp;amp;doc-lang=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CE32-A4BC-40A3-AB5F-302F79C5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2382</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PCT/CTC/33/Cover Template. (Arabic)</vt:lpstr>
    </vt:vector>
  </TitlesOfParts>
  <Company>WIPO</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PCT/CTC/33/6</dc:title>
  <dc:creator>FM</dc:creator>
  <cp:keywords>PUBLIC</cp:keywords>
  <cp:lastModifiedBy>MARLOW Thomas</cp:lastModifiedBy>
  <cp:revision>2</cp:revision>
  <cp:lastPrinted>2026-01-13T01:18:00Z</cp:lastPrinted>
  <dcterms:created xsi:type="dcterms:W3CDTF">2026-01-13T11:54:00Z</dcterms:created>
  <dcterms:modified xsi:type="dcterms:W3CDTF">2026-01-13T11:54:00Z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2024-12-05T18:00:49Z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4c4396f8-a116-4310-b65a-3ae24077e4a8</vt:lpwstr>
  </property>
  <property fmtid="{D5CDD505-2E9C-101B-9397-08002B2CF9AE}" pid="13" name="MSIP_Label_20773ee6-353b-4fb9-a59d-0b94c8c67bea_ContentBits">
    <vt:lpwstr>0</vt:lpwstr>
  </property>
</Properties>
</file>