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559B582B" w:rsidR="008B2CC1" w:rsidRPr="00F043DE" w:rsidRDefault="00472785"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5F3DA5BB" wp14:editId="5B0BE88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B7E9A2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65A1D83E" w:rsidR="008B2CC1" w:rsidRPr="002326AB" w:rsidRDefault="00761CD8" w:rsidP="00472785">
      <w:pPr>
        <w:rPr>
          <w:rFonts w:ascii="Arial Black" w:hAnsi="Arial Black"/>
          <w:caps/>
          <w:sz w:val="15"/>
          <w:szCs w:val="15"/>
          <w:rtl/>
        </w:rPr>
      </w:pPr>
      <w:r>
        <w:rPr>
          <w:rFonts w:ascii="Arial Black" w:hAnsi="Arial Black"/>
          <w:caps/>
          <w:sz w:val="15"/>
          <w:szCs w:val="15"/>
        </w:rPr>
        <w:t>PCT/CTC/33</w:t>
      </w:r>
      <w:bookmarkStart w:id="0" w:name="Code"/>
      <w:bookmarkEnd w:id="0"/>
      <w:r w:rsidR="00472785">
        <w:rPr>
          <w:rFonts w:ascii="Arial Black" w:hAnsi="Arial Black"/>
          <w:caps/>
          <w:sz w:val="15"/>
          <w:szCs w:val="15"/>
        </w:rPr>
        <w:t>/23</w:t>
      </w:r>
    </w:p>
    <w:p w14:paraId="4157C28F" w14:textId="3D55971C" w:rsidR="008B2CC1" w:rsidRPr="00472785" w:rsidRDefault="00EB2F76" w:rsidP="00EB2F76">
      <w:pPr>
        <w:bidi/>
        <w:jc w:val="right"/>
        <w:rPr>
          <w:rFonts w:ascii="Calibri" w:hAnsi="Calibri" w:cs="Calibri"/>
          <w:b/>
          <w:bCs/>
          <w:caps/>
          <w:sz w:val="15"/>
          <w:szCs w:val="15"/>
          <w:rtl/>
        </w:rPr>
      </w:pPr>
      <w:r w:rsidRPr="00472785">
        <w:rPr>
          <w:rFonts w:ascii="Calibri" w:hAnsi="Calibri" w:cs="Calibri"/>
          <w:b/>
          <w:bCs/>
          <w:caps/>
          <w:sz w:val="15"/>
          <w:szCs w:val="15"/>
          <w:rtl/>
        </w:rPr>
        <w:t xml:space="preserve">الأصل:  </w:t>
      </w:r>
      <w:bookmarkStart w:id="1" w:name="Original"/>
      <w:r w:rsidRPr="00472785">
        <w:rPr>
          <w:rFonts w:ascii="Calibri" w:hAnsi="Calibri" w:cs="Calibri"/>
          <w:b/>
          <w:bCs/>
          <w:caps/>
          <w:sz w:val="15"/>
          <w:szCs w:val="15"/>
          <w:rtl/>
        </w:rPr>
        <w:t>بالإنكليزية</w:t>
      </w:r>
    </w:p>
    <w:bookmarkEnd w:id="1"/>
    <w:p w14:paraId="5ECFCDC6" w14:textId="3161128B" w:rsidR="008B2CC1" w:rsidRPr="00472785" w:rsidRDefault="00EB2F76" w:rsidP="000A3D97">
      <w:pPr>
        <w:bidi/>
        <w:spacing w:after="1200"/>
        <w:jc w:val="right"/>
        <w:rPr>
          <w:rFonts w:ascii="Calibri" w:hAnsi="Calibri" w:cs="Calibri"/>
          <w:b/>
          <w:bCs/>
          <w:caps/>
          <w:sz w:val="15"/>
          <w:szCs w:val="15"/>
          <w:rtl/>
        </w:rPr>
      </w:pPr>
      <w:r w:rsidRPr="00472785">
        <w:rPr>
          <w:rFonts w:ascii="Calibri" w:hAnsi="Calibri" w:cs="Calibri"/>
          <w:b/>
          <w:bCs/>
          <w:caps/>
          <w:sz w:val="15"/>
          <w:szCs w:val="15"/>
          <w:rtl/>
        </w:rPr>
        <w:t xml:space="preserve">التاريخ:  </w:t>
      </w:r>
      <w:bookmarkStart w:id="2" w:name="Date"/>
      <w:r w:rsidRPr="00472785">
        <w:rPr>
          <w:rFonts w:ascii="Calibri" w:hAnsi="Calibri" w:cs="Calibri"/>
          <w:b/>
          <w:bCs/>
          <w:caps/>
          <w:sz w:val="15"/>
          <w:szCs w:val="15"/>
          <w:rtl/>
        </w:rPr>
        <w:t>19 ديسمبر 2025</w:t>
      </w:r>
    </w:p>
    <w:bookmarkEnd w:id="2"/>
    <w:p w14:paraId="65161F5C" w14:textId="77777777" w:rsidR="008B2CC1" w:rsidRPr="00472785" w:rsidRDefault="00761CD8" w:rsidP="004B446A">
      <w:pPr>
        <w:bidi/>
        <w:spacing w:after="480"/>
        <w:rPr>
          <w:rFonts w:ascii="Calibri" w:hAnsi="Calibri" w:cs="Calibri"/>
          <w:b/>
          <w:bCs/>
          <w:rtl/>
        </w:rPr>
      </w:pPr>
      <w:r w:rsidRPr="00472785">
        <w:rPr>
          <w:rFonts w:ascii="Calibri" w:hAnsi="Calibri" w:cs="Calibri"/>
          <w:b/>
          <w:bCs/>
          <w:sz w:val="28"/>
          <w:szCs w:val="28"/>
          <w:rtl/>
        </w:rPr>
        <w:t>معاهدة التعاون بشأن البراءات</w:t>
      </w:r>
      <w:r w:rsidRPr="00472785">
        <w:rPr>
          <w:rFonts w:ascii="Calibri" w:hAnsi="Calibri" w:cs="Calibri"/>
          <w:b/>
          <w:bCs/>
          <w:sz w:val="28"/>
          <w:szCs w:val="28"/>
          <w:rtl/>
        </w:rPr>
        <w:br/>
        <w:t>اللجنة المعنية بالتعاون التقني</w:t>
      </w:r>
    </w:p>
    <w:p w14:paraId="1CBE04FC" w14:textId="77777777" w:rsidR="00A90F0A" w:rsidRPr="00472785" w:rsidRDefault="00761CD8" w:rsidP="00A90F0A">
      <w:pPr>
        <w:bidi/>
        <w:outlineLvl w:val="1"/>
        <w:rPr>
          <w:rFonts w:ascii="Calibri" w:hAnsi="Calibri" w:cs="Calibri"/>
          <w:b/>
          <w:sz w:val="24"/>
          <w:szCs w:val="24"/>
          <w:rtl/>
        </w:rPr>
      </w:pPr>
      <w:r w:rsidRPr="00472785">
        <w:rPr>
          <w:rFonts w:ascii="Calibri" w:hAnsi="Calibri" w:cs="Calibri"/>
          <w:b/>
          <w:bCs/>
          <w:sz w:val="24"/>
          <w:szCs w:val="24"/>
          <w:rtl/>
        </w:rPr>
        <w:t>الدورة الثالثة والثلاثون</w:t>
      </w:r>
    </w:p>
    <w:p w14:paraId="40D1F4FD" w14:textId="77777777" w:rsidR="008B2CC1" w:rsidRPr="00472785" w:rsidRDefault="00761CD8" w:rsidP="00F9165B">
      <w:pPr>
        <w:bidi/>
        <w:spacing w:after="720"/>
        <w:outlineLvl w:val="1"/>
        <w:rPr>
          <w:rFonts w:ascii="Calibri" w:hAnsi="Calibri" w:cs="Calibri"/>
          <w:b/>
          <w:sz w:val="24"/>
          <w:szCs w:val="24"/>
          <w:rtl/>
        </w:rPr>
      </w:pPr>
      <w:r w:rsidRPr="00472785">
        <w:rPr>
          <w:rFonts w:ascii="Calibri" w:hAnsi="Calibri" w:cs="Calibri"/>
          <w:b/>
          <w:bCs/>
          <w:sz w:val="24"/>
          <w:szCs w:val="24"/>
          <w:rtl/>
        </w:rPr>
        <w:t>جنيف، من 2 إلى 6 فبراير 2026</w:t>
      </w:r>
    </w:p>
    <w:p w14:paraId="51B065A7" w14:textId="74112F91" w:rsidR="008B2CC1" w:rsidRPr="00472785" w:rsidRDefault="009A31F1" w:rsidP="00DD7B7F">
      <w:pPr>
        <w:bidi/>
        <w:spacing w:after="360"/>
        <w:outlineLvl w:val="0"/>
        <w:rPr>
          <w:rFonts w:ascii="Calibri" w:hAnsi="Calibri" w:cs="Calibri"/>
          <w:caps/>
          <w:sz w:val="24"/>
          <w:rtl/>
        </w:rPr>
      </w:pPr>
      <w:bookmarkStart w:id="3" w:name="TitleOfDoc"/>
      <w:r w:rsidRPr="00472785">
        <w:rPr>
          <w:rFonts w:ascii="Calibri" w:hAnsi="Calibri" w:cs="Calibri"/>
          <w:caps/>
          <w:sz w:val="24"/>
          <w:szCs w:val="24"/>
          <w:rtl/>
        </w:rPr>
        <w:t>تمديد تعيين المكتب الوطني الأوكراني للملكية الفكرية والابتكارات كإدارة للبحث الدولي وإدارة للفحص التمهيدي الدولي في إطار معاهدة التعاون بشأن البراءات</w:t>
      </w:r>
      <w:r w:rsidRPr="00472785">
        <w:rPr>
          <w:rFonts w:ascii="Calibri" w:hAnsi="Calibri" w:cs="Calibri"/>
          <w:rtl/>
        </w:rPr>
        <w:t xml:space="preserve"> </w:t>
      </w:r>
    </w:p>
    <w:p w14:paraId="7738860A" w14:textId="24FE54E8" w:rsidR="002928D3" w:rsidRPr="00472785" w:rsidRDefault="009A31F1" w:rsidP="001D4107">
      <w:pPr>
        <w:bidi/>
        <w:spacing w:after="1040"/>
        <w:rPr>
          <w:rFonts w:ascii="Calibri" w:hAnsi="Calibri" w:cs="Calibri"/>
          <w:i/>
          <w:rtl/>
        </w:rPr>
      </w:pPr>
      <w:bookmarkStart w:id="4" w:name="Prepared"/>
      <w:bookmarkEnd w:id="3"/>
      <w:bookmarkEnd w:id="4"/>
      <w:r w:rsidRPr="00472785">
        <w:rPr>
          <w:rFonts w:ascii="Calibri" w:hAnsi="Calibri" w:cs="Calibri"/>
          <w:i/>
          <w:iCs/>
          <w:rtl/>
        </w:rPr>
        <w:t>وثيقة من إعداد المكتب الدولي</w:t>
      </w:r>
    </w:p>
    <w:p w14:paraId="4E7B2DAF" w14:textId="18950409" w:rsidR="002326AB" w:rsidRPr="00472785" w:rsidRDefault="009A31F1" w:rsidP="002326AB">
      <w:pPr>
        <w:bidi/>
        <w:spacing w:after="220"/>
        <w:rPr>
          <w:rFonts w:ascii="Calibri" w:hAnsi="Calibri" w:cs="Calibri"/>
          <w:szCs w:val="22"/>
          <w:rtl/>
        </w:rPr>
      </w:pPr>
      <w:r w:rsidRPr="00472785">
        <w:rPr>
          <w:rFonts w:ascii="Calibri" w:hAnsi="Calibri" w:cs="Calibri"/>
          <w:szCs w:val="22"/>
          <w:rtl/>
        </w:rPr>
        <w:t>1.</w:t>
      </w:r>
      <w:r w:rsidRPr="00472785">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472785">
        <w:rPr>
          <w:rFonts w:ascii="Calibri" w:hAnsi="Calibri" w:cs="Calibri"/>
          <w:szCs w:val="22"/>
        </w:rPr>
        <w:t>PCT/CTC/33/INF/1</w:t>
      </w:r>
      <w:r w:rsidRPr="00472785">
        <w:rPr>
          <w:rFonts w:ascii="Calibri" w:hAnsi="Calibri" w:cs="Calibri"/>
          <w:szCs w:val="22"/>
          <w:rtl/>
        </w:rPr>
        <w:t xml:space="preserve"> معلومات عن هذا الإجراء ودور اللجنة فيه.</w:t>
      </w:r>
    </w:p>
    <w:p w14:paraId="518176C0" w14:textId="3561D262" w:rsidR="009A31F1" w:rsidRPr="00472785" w:rsidRDefault="009A31F1" w:rsidP="002326AB">
      <w:pPr>
        <w:bidi/>
        <w:spacing w:after="220"/>
        <w:rPr>
          <w:rFonts w:ascii="Calibri" w:hAnsi="Calibri" w:cs="Calibri"/>
          <w:sz w:val="24"/>
          <w:szCs w:val="22"/>
          <w:rtl/>
        </w:rPr>
      </w:pPr>
      <w:r w:rsidRPr="00472785">
        <w:rPr>
          <w:rFonts w:ascii="Calibri" w:hAnsi="Calibri" w:cs="Calibri"/>
          <w:sz w:val="24"/>
          <w:szCs w:val="22"/>
          <w:rtl/>
        </w:rPr>
        <w:t>2.</w:t>
      </w:r>
      <w:r w:rsidRPr="00472785">
        <w:rPr>
          <w:rFonts w:ascii="Calibri" w:hAnsi="Calibri" w:cs="Calibri"/>
          <w:sz w:val="24"/>
          <w:szCs w:val="22"/>
          <w:rtl/>
        </w:rPr>
        <w:tab/>
        <w:t>وفي 1 ديسمبر 2025، تقدم المكتب الوطني الأوكراني للملكية الفكرية والابتكارات بطلبه لتمديد تعيينه، ويرد طلبه في مرفق هذه الوثيقة.</w:t>
      </w:r>
    </w:p>
    <w:p w14:paraId="5AECB256" w14:textId="086B29CF" w:rsidR="009A31F1" w:rsidRPr="00472785" w:rsidRDefault="009A31F1" w:rsidP="009A31F1">
      <w:pPr>
        <w:bidi/>
        <w:spacing w:after="220"/>
        <w:ind w:left="5533"/>
        <w:rPr>
          <w:rFonts w:ascii="Calibri" w:hAnsi="Calibri" w:cs="Calibri"/>
          <w:i/>
          <w:sz w:val="24"/>
          <w:szCs w:val="22"/>
          <w:rtl/>
        </w:rPr>
      </w:pPr>
      <w:r w:rsidRPr="00472785">
        <w:rPr>
          <w:rFonts w:ascii="Calibri" w:hAnsi="Calibri" w:cs="Calibri"/>
          <w:i/>
          <w:iCs/>
          <w:sz w:val="24"/>
          <w:szCs w:val="22"/>
          <w:rtl/>
        </w:rPr>
        <w:t>3.</w:t>
      </w:r>
      <w:r w:rsidRPr="00472785">
        <w:rPr>
          <w:rFonts w:ascii="Calibri" w:hAnsi="Calibri" w:cs="Calibri"/>
          <w:i/>
          <w:iCs/>
          <w:sz w:val="24"/>
          <w:szCs w:val="22"/>
          <w:rtl/>
        </w:rPr>
        <w:tab/>
        <w:t>إن اللجنة مدعوة إلى إسداء مشورتها في هذا الأمر.</w:t>
      </w:r>
    </w:p>
    <w:p w14:paraId="27CF3FCB" w14:textId="77777777" w:rsidR="009A31F1" w:rsidRDefault="009A31F1" w:rsidP="009A31F1">
      <w:pPr>
        <w:spacing w:after="220"/>
        <w:jc w:val="both"/>
        <w:rPr>
          <w:i/>
        </w:rPr>
      </w:pPr>
    </w:p>
    <w:p w14:paraId="593F9160" w14:textId="77777777" w:rsidR="009A31F1" w:rsidRPr="00472785" w:rsidRDefault="009A31F1" w:rsidP="009A31F1">
      <w:pPr>
        <w:bidi/>
        <w:spacing w:after="220"/>
        <w:ind w:left="4966" w:firstLine="567"/>
        <w:jc w:val="both"/>
        <w:rPr>
          <w:rFonts w:ascii="Calibri" w:hAnsi="Calibri" w:cs="Calibri"/>
          <w:sz w:val="24"/>
          <w:szCs w:val="22"/>
          <w:rtl/>
        </w:rPr>
        <w:sectPr w:rsidR="009A31F1" w:rsidRPr="00472785"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472785">
        <w:rPr>
          <w:rFonts w:ascii="Calibri" w:hAnsi="Calibri" w:cs="Calibri"/>
          <w:sz w:val="24"/>
          <w:szCs w:val="22"/>
          <w:rtl/>
        </w:rPr>
        <w:t>[يلي ذلك المرفق]</w:t>
      </w:r>
    </w:p>
    <w:p w14:paraId="1C2CA1D0" w14:textId="77777777" w:rsidR="009A31F1" w:rsidRDefault="009A31F1" w:rsidP="009A31F1">
      <w:pPr>
        <w:rPr>
          <w:i/>
        </w:rPr>
      </w:pPr>
    </w:p>
    <w:p w14:paraId="77F0B892" w14:textId="77777777" w:rsidR="009A31F1" w:rsidRPr="00472785" w:rsidRDefault="009A31F1" w:rsidP="009A31F1">
      <w:pPr>
        <w:pStyle w:val="Heading2"/>
        <w:bidi/>
        <w:jc w:val="center"/>
        <w:rPr>
          <w:rFonts w:ascii="Calibri" w:hAnsi="Calibri" w:cs="Calibri"/>
          <w:i/>
          <w:iCs w:val="0"/>
          <w:rtl/>
        </w:rPr>
      </w:pPr>
      <w:r w:rsidRPr="00472785">
        <w:rPr>
          <w:rFonts w:ascii="Calibri" w:hAnsi="Calibri" w:cs="Calibri"/>
          <w:i/>
          <w:iCs w:val="0"/>
          <w:rtl/>
        </w:rPr>
        <w:t>طلب تمديد التعيين كإدارة للبحث الدولي والفحص التمهيدي الدولي</w:t>
      </w:r>
      <w:r w:rsidRPr="00472785">
        <w:rPr>
          <w:rFonts w:ascii="Calibri" w:hAnsi="Calibri" w:cs="Calibri"/>
          <w:i/>
          <w:iCs w:val="0"/>
          <w:rtl/>
        </w:rPr>
        <w:br/>
        <w:t>في إطار معاهدة التعاون بشأن البراءات</w:t>
      </w:r>
    </w:p>
    <w:p w14:paraId="68E5AD2D" w14:textId="77777777" w:rsidR="009A31F1" w:rsidRPr="00472785" w:rsidRDefault="009A31F1" w:rsidP="009A31F1">
      <w:pPr>
        <w:pStyle w:val="SectionHeading"/>
        <w:bidi/>
        <w:rPr>
          <w:rFonts w:ascii="Calibri" w:hAnsi="Calibri" w:cs="Calibri"/>
          <w:szCs w:val="22"/>
          <w:rtl/>
        </w:rPr>
      </w:pPr>
      <w:r w:rsidRPr="00472785">
        <w:rPr>
          <w:rFonts w:ascii="Calibri" w:hAnsi="Calibri" w:cs="Calibri"/>
          <w:szCs w:val="22"/>
          <w:rtl/>
        </w:rPr>
        <w:t>1 – معلومات عامة</w:t>
      </w:r>
    </w:p>
    <w:p w14:paraId="5787583A" w14:textId="77777777" w:rsidR="003B1E1E" w:rsidRPr="00472785" w:rsidRDefault="003B1E1E" w:rsidP="003B1E1E">
      <w:pPr>
        <w:pStyle w:val="Question"/>
        <w:bidi/>
        <w:rPr>
          <w:rFonts w:ascii="Calibri" w:hAnsi="Calibri" w:cs="Calibri"/>
          <w:rtl/>
        </w:rPr>
      </w:pPr>
      <w:r w:rsidRPr="00472785">
        <w:rPr>
          <w:rFonts w:ascii="Calibri" w:hAnsi="Calibri" w:cs="Calibri"/>
          <w:rtl/>
        </w:rPr>
        <w:t>(أ)</w:t>
      </w:r>
      <w:r w:rsidRPr="00472785">
        <w:rPr>
          <w:rFonts w:ascii="Calibri" w:hAnsi="Calibri" w:cs="Calibri"/>
          <w:rtl/>
        </w:rPr>
        <w:tab/>
        <w:t>اسم المكتب أو المنظمة الحكومية الدولية:</w:t>
      </w:r>
    </w:p>
    <w:p w14:paraId="7E509557" w14:textId="1BB98C2B" w:rsidR="003B1E1E" w:rsidRPr="00472785" w:rsidRDefault="003B1E1E" w:rsidP="003B1E1E">
      <w:pPr>
        <w:bidi/>
        <w:spacing w:after="240"/>
        <w:rPr>
          <w:rFonts w:ascii="Calibri" w:hAnsi="Calibri" w:cs="Calibri"/>
          <w:szCs w:val="22"/>
          <w:rtl/>
        </w:rPr>
      </w:pPr>
      <w:r w:rsidRPr="00472785">
        <w:rPr>
          <w:rFonts w:ascii="Calibri" w:hAnsi="Calibri" w:cs="Calibri"/>
          <w:szCs w:val="22"/>
          <w:rtl/>
        </w:rPr>
        <w:t>المكتب الوطني الأوكراني للملكية الفكرية والابتكارات</w:t>
      </w:r>
      <w:r w:rsidR="00472785">
        <w:rPr>
          <w:rFonts w:ascii="Calibri" w:hAnsi="Calibri" w:cs="Calibri" w:hint="cs"/>
          <w:szCs w:val="22"/>
          <w:rtl/>
        </w:rPr>
        <w:t xml:space="preserve"> (</w:t>
      </w:r>
      <w:r w:rsidR="00472785" w:rsidRPr="00472785">
        <w:rPr>
          <w:rFonts w:ascii="Calibri" w:hAnsi="Calibri" w:cs="Calibri"/>
          <w:szCs w:val="22"/>
        </w:rPr>
        <w:t>UANIPIO</w:t>
      </w:r>
      <w:r w:rsidR="00472785">
        <w:rPr>
          <w:rFonts w:ascii="Calibri" w:hAnsi="Calibri" w:cs="Calibri" w:hint="cs"/>
          <w:szCs w:val="22"/>
          <w:rtl/>
        </w:rPr>
        <w:t>)</w:t>
      </w:r>
    </w:p>
    <w:p w14:paraId="747E1680" w14:textId="77777777" w:rsidR="003B1E1E" w:rsidRPr="00472785" w:rsidRDefault="003B1E1E" w:rsidP="003B1E1E">
      <w:pPr>
        <w:pStyle w:val="Question"/>
        <w:bidi/>
        <w:rPr>
          <w:rFonts w:ascii="Calibri" w:hAnsi="Calibri" w:cs="Calibri"/>
          <w:rtl/>
        </w:rPr>
      </w:pPr>
      <w:r w:rsidRPr="00472785">
        <w:rPr>
          <w:rFonts w:ascii="Calibri" w:hAnsi="Calibri" w:cs="Calibri"/>
          <w:rtl/>
        </w:rPr>
        <w:t>(ب)</w:t>
      </w:r>
      <w:r w:rsidRPr="00472785">
        <w:rPr>
          <w:rFonts w:ascii="Calibri" w:hAnsi="Calibri" w:cs="Calibri"/>
          <w:rtl/>
        </w:rPr>
        <w:tab/>
        <w:t>اسم المسؤول وتفاصيل الاتصال به لتقديم أي استفسارات بشأن هذا الطلب:</w:t>
      </w:r>
    </w:p>
    <w:p w14:paraId="24321BEC" w14:textId="77777777" w:rsidR="003B1E1E" w:rsidRPr="00472785" w:rsidRDefault="003B1E1E" w:rsidP="003B1E1E">
      <w:pPr>
        <w:bidi/>
        <w:spacing w:line="360" w:lineRule="auto"/>
        <w:rPr>
          <w:rFonts w:ascii="Calibri" w:hAnsi="Calibri" w:cs="Calibri"/>
          <w:szCs w:val="22"/>
          <w:rtl/>
        </w:rPr>
      </w:pPr>
      <w:r w:rsidRPr="00472785">
        <w:rPr>
          <w:rFonts w:ascii="Calibri" w:hAnsi="Calibri" w:cs="Calibri"/>
          <w:szCs w:val="22"/>
          <w:rtl/>
        </w:rPr>
        <w:t>بوغدان بادوتشاك، النائب الأول لمدير المكتب الوطني الأوكراني للملكية الفكرية والابتكارات</w:t>
      </w:r>
    </w:p>
    <w:p w14:paraId="59279634" w14:textId="4B900A68" w:rsidR="009A31F1" w:rsidRPr="00472785" w:rsidRDefault="00AB729B" w:rsidP="003B1E1E">
      <w:pPr>
        <w:bidi/>
        <w:spacing w:after="240" w:line="360" w:lineRule="auto"/>
        <w:rPr>
          <w:rFonts w:ascii="Calibri" w:hAnsi="Calibri" w:cs="Calibri"/>
          <w:color w:val="365F91" w:themeColor="accent1" w:themeShade="BF"/>
          <w:szCs w:val="22"/>
          <w:u w:val="single"/>
          <w:rtl/>
        </w:rPr>
      </w:pPr>
      <w:hyperlink r:id="rId14" w:history="1">
        <w:r w:rsidRPr="00472785">
          <w:rPr>
            <w:rStyle w:val="Hyperlink"/>
            <w:rFonts w:ascii="Calibri" w:hAnsi="Calibri" w:cs="Calibri"/>
            <w:szCs w:val="22"/>
          </w:rPr>
          <w:t>bogdan.paduchak@nipo.gov.ua</w:t>
        </w:r>
      </w:hyperlink>
    </w:p>
    <w:p w14:paraId="5EBA2C3E" w14:textId="77777777" w:rsidR="009A31F1" w:rsidRPr="00472785" w:rsidRDefault="009A31F1" w:rsidP="009A31F1">
      <w:pPr>
        <w:pStyle w:val="Question"/>
        <w:bidi/>
        <w:rPr>
          <w:rFonts w:ascii="Calibri" w:hAnsi="Calibri" w:cs="Calibri"/>
          <w:rtl/>
        </w:rPr>
      </w:pPr>
      <w:r w:rsidRPr="00472785">
        <w:rPr>
          <w:rFonts w:ascii="Calibri" w:hAnsi="Calibri" w:cs="Calibri"/>
          <w:rtl/>
        </w:rPr>
        <w:t>(ج)</w:t>
      </w:r>
      <w:r w:rsidRPr="00472785">
        <w:rPr>
          <w:rFonts w:ascii="Calibri" w:hAnsi="Calibri" w:cs="Calibri"/>
          <w:rtl/>
        </w:rPr>
        <w:tab/>
        <w:t>التاريخ الذي تسلم فيه المدير العام طلب تمديد التعيين:</w:t>
      </w:r>
    </w:p>
    <w:p w14:paraId="2740412F" w14:textId="400F4D63" w:rsidR="009A31F1" w:rsidRPr="00472785" w:rsidRDefault="008425EA" w:rsidP="009A31F1">
      <w:pPr>
        <w:pStyle w:val="Answer"/>
        <w:bidi/>
        <w:rPr>
          <w:rFonts w:ascii="Calibri" w:hAnsi="Calibri" w:cs="Calibri"/>
          <w:szCs w:val="22"/>
          <w:rtl/>
        </w:rPr>
      </w:pPr>
      <w:r w:rsidRPr="00472785">
        <w:rPr>
          <w:rFonts w:ascii="Calibri" w:hAnsi="Calibri" w:cs="Calibri"/>
          <w:szCs w:val="22"/>
          <w:rtl/>
        </w:rPr>
        <w:t>1 ديسمبر 2025</w:t>
      </w:r>
    </w:p>
    <w:p w14:paraId="671168CF" w14:textId="77777777" w:rsidR="009A31F1" w:rsidRPr="00472785" w:rsidRDefault="009A31F1" w:rsidP="009A31F1">
      <w:pPr>
        <w:pStyle w:val="SectionHeading"/>
        <w:bidi/>
        <w:rPr>
          <w:rFonts w:ascii="Calibri" w:hAnsi="Calibri" w:cs="Calibri"/>
          <w:szCs w:val="22"/>
          <w:rtl/>
        </w:rPr>
      </w:pPr>
      <w:r w:rsidRPr="00472785">
        <w:rPr>
          <w:rFonts w:ascii="Calibri" w:hAnsi="Calibri" w:cs="Calibri"/>
          <w:szCs w:val="22"/>
          <w:rtl/>
        </w:rPr>
        <w:t>2 – متطلبات التعيين الدنيا</w:t>
      </w:r>
    </w:p>
    <w:p w14:paraId="21EECB02" w14:textId="513E51F9" w:rsidR="009A31F1" w:rsidRPr="00472785" w:rsidRDefault="009A31F1" w:rsidP="009A31F1">
      <w:pPr>
        <w:bidi/>
        <w:rPr>
          <w:rFonts w:ascii="Calibri" w:hAnsi="Calibri" w:cs="Calibri"/>
          <w:szCs w:val="22"/>
          <w:rtl/>
        </w:rPr>
      </w:pPr>
      <w:r w:rsidRPr="00472785">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fldChar w:fldCharType="begin"/>
      </w:r>
      <w:r>
        <w:instrText>HYPERLINK "https://www.wipo.int/en/web/pct-system/quality/authorities" \l "UA"</w:instrText>
      </w:r>
      <w:r>
        <w:fldChar w:fldCharType="separate"/>
      </w:r>
      <w:r w:rsidRPr="00472785">
        <w:rPr>
          <w:rStyle w:val="Hyperlink"/>
          <w:rFonts w:ascii="Calibri" w:hAnsi="Calibri" w:cs="Calibri"/>
          <w:szCs w:val="22"/>
        </w:rPr>
        <w:t>https://www.wipo.int/en/web/pct-system/quality/authorities</w:t>
      </w:r>
      <w:r w:rsidRPr="00472785">
        <w:rPr>
          <w:rStyle w:val="Hyperlink"/>
          <w:rFonts w:ascii="Calibri" w:hAnsi="Calibri" w:cs="Calibri"/>
          <w:szCs w:val="22"/>
          <w:rtl/>
        </w:rPr>
        <w:t>#</w:t>
      </w:r>
      <w:bookmarkStart w:id="5" w:name="_Hlk216194931"/>
      <w:r w:rsidRPr="00472785">
        <w:rPr>
          <w:rStyle w:val="Hyperlink"/>
          <w:rFonts w:ascii="Calibri" w:hAnsi="Calibri" w:cs="Calibri"/>
          <w:szCs w:val="22"/>
        </w:rPr>
        <w:t>UA</w:t>
      </w:r>
      <w:bookmarkEnd w:id="5"/>
      <w:r>
        <w:fldChar w:fldCharType="end"/>
      </w:r>
      <w:r w:rsidRPr="00472785">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472785" w:rsidRDefault="009A31F1" w:rsidP="009A31F1">
      <w:pPr>
        <w:pStyle w:val="SectionHeading"/>
        <w:bidi/>
        <w:rPr>
          <w:rFonts w:ascii="Calibri" w:hAnsi="Calibri" w:cs="Calibri"/>
          <w:szCs w:val="22"/>
          <w:rtl/>
        </w:rPr>
      </w:pPr>
      <w:r w:rsidRPr="00472785">
        <w:rPr>
          <w:rFonts w:ascii="Calibri" w:hAnsi="Calibri" w:cs="Calibri"/>
          <w:szCs w:val="22"/>
          <w:rtl/>
        </w:rPr>
        <w:t>1.2 – الكفاءات في مجال البحث والفحص</w:t>
      </w:r>
    </w:p>
    <w:p w14:paraId="4204A13E" w14:textId="77777777" w:rsidR="009A31F1" w:rsidRPr="00472785" w:rsidRDefault="009A31F1" w:rsidP="009A31F1">
      <w:pPr>
        <w:pStyle w:val="RuleQuote"/>
        <w:bidi/>
        <w:rPr>
          <w:rFonts w:ascii="Calibri" w:hAnsi="Calibri" w:cs="Calibri"/>
          <w:b/>
          <w:bCs w:val="0"/>
          <w:szCs w:val="22"/>
          <w:rtl/>
        </w:rPr>
      </w:pPr>
      <w:r w:rsidRPr="00472785">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422F4FE7" w:rsidR="009A31F1" w:rsidRPr="00472785" w:rsidRDefault="009A31F1" w:rsidP="00D87365">
      <w:pPr>
        <w:pStyle w:val="RuleQuote"/>
        <w:bidi/>
        <w:ind w:left="0" w:right="53"/>
        <w:rPr>
          <w:rFonts w:ascii="Calibri" w:hAnsi="Calibri" w:cs="Calibri"/>
          <w:b/>
          <w:bCs w:val="0"/>
          <w:i w:val="0"/>
          <w:iCs w:val="0"/>
          <w:szCs w:val="22"/>
          <w:rtl/>
        </w:rPr>
      </w:pPr>
      <w:r w:rsidRPr="00472785">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472785" w:rsidRDefault="00C5047D" w:rsidP="009A31F1">
      <w:pPr>
        <w:ind w:left="540"/>
        <w:jc w:val="both"/>
        <w:rPr>
          <w:rFonts w:ascii="Calibri" w:hAnsi="Calibri" w:cs="Calibri"/>
          <w:color w:val="000000" w:themeColor="text1"/>
          <w:szCs w:val="22"/>
        </w:rPr>
      </w:pPr>
    </w:p>
    <w:p w14:paraId="70EE9A7D" w14:textId="77777777" w:rsidR="00C5047D" w:rsidRPr="00472785" w:rsidRDefault="00C5047D" w:rsidP="009A31F1">
      <w:pPr>
        <w:ind w:left="540"/>
        <w:jc w:val="both"/>
        <w:rPr>
          <w:rFonts w:ascii="Calibri" w:hAnsi="Calibri" w:cs="Calibri"/>
          <w:i/>
          <w:iCs/>
          <w:color w:val="000000" w:themeColor="text1"/>
          <w:szCs w:val="22"/>
        </w:rPr>
      </w:pPr>
    </w:p>
    <w:p w14:paraId="214CCA9A" w14:textId="77777777" w:rsidR="00B77CE2" w:rsidRPr="00472785" w:rsidRDefault="00B77CE2" w:rsidP="00B77CE2">
      <w:pPr>
        <w:pStyle w:val="Question"/>
        <w:bidi/>
        <w:spacing w:after="480"/>
        <w:rPr>
          <w:rFonts w:ascii="Calibri" w:hAnsi="Calibri" w:cs="Calibri"/>
          <w:rtl/>
        </w:rPr>
      </w:pPr>
      <w:r w:rsidRPr="00472785">
        <w:rPr>
          <w:rFonts w:ascii="Calibri" w:hAnsi="Calibri" w:cs="Calibri"/>
          <w:rtl/>
        </w:rPr>
        <w:lastRenderedPageBreak/>
        <w:t>الموظفون المؤهلون لإجراء البحث والفحص:</w:t>
      </w:r>
    </w:p>
    <w:tbl>
      <w:tblPr>
        <w:bidiVisu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263"/>
        <w:gridCol w:w="1985"/>
        <w:gridCol w:w="1984"/>
        <w:gridCol w:w="3119"/>
      </w:tblGrid>
      <w:tr w:rsidR="00B77CE2" w:rsidRPr="00472785" w14:paraId="75B593DE" w14:textId="77777777" w:rsidTr="00C65CE6">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1A05296C" w14:textId="77777777" w:rsidR="00B77CE2" w:rsidRPr="00472785" w:rsidRDefault="00B77CE2" w:rsidP="00C65CE6">
            <w:pPr>
              <w:keepNext/>
              <w:keepLines/>
              <w:suppressAutoHyphens/>
              <w:bidi/>
              <w:rPr>
                <w:rFonts w:ascii="Calibri" w:eastAsia="Times New Roman" w:hAnsi="Calibri" w:cs="Calibri"/>
                <w:b/>
                <w:bCs/>
                <w:szCs w:val="22"/>
                <w:rtl/>
              </w:rPr>
            </w:pPr>
            <w:r w:rsidRPr="00472785">
              <w:rPr>
                <w:rFonts w:ascii="Calibri" w:hAnsi="Calibri" w:cs="Calibri"/>
                <w:b/>
                <w:bCs/>
                <w:szCs w:val="22"/>
                <w:rtl/>
              </w:rPr>
              <w:t>المجال التقني</w:t>
            </w:r>
          </w:p>
        </w:tc>
        <w:tc>
          <w:tcPr>
            <w:tcW w:w="1985" w:type="dxa"/>
            <w:tcBorders>
              <w:top w:val="single" w:sz="4" w:space="0" w:color="auto"/>
              <w:left w:val="single" w:sz="4" w:space="0" w:color="auto"/>
              <w:bottom w:val="single" w:sz="4" w:space="0" w:color="auto"/>
              <w:right w:val="single" w:sz="4" w:space="0" w:color="auto"/>
            </w:tcBorders>
            <w:hideMark/>
          </w:tcPr>
          <w:p w14:paraId="5312E5E8" w14:textId="77777777" w:rsidR="00B77CE2" w:rsidRPr="00472785" w:rsidRDefault="00B77CE2" w:rsidP="00C65CE6">
            <w:pPr>
              <w:keepNext/>
              <w:keepLines/>
              <w:suppressAutoHyphens/>
              <w:bidi/>
              <w:rPr>
                <w:rFonts w:ascii="Calibri" w:eastAsia="Times New Roman" w:hAnsi="Calibri" w:cs="Calibri"/>
                <w:b/>
                <w:bCs/>
                <w:szCs w:val="22"/>
                <w:rtl/>
              </w:rPr>
            </w:pPr>
            <w:r w:rsidRPr="00472785">
              <w:rPr>
                <w:rFonts w:ascii="Calibri" w:hAnsi="Calibri" w:cs="Calibri"/>
                <w:b/>
                <w:bCs/>
                <w:szCs w:val="22"/>
                <w:rtl/>
              </w:rPr>
              <w:t>العدد (بمعادل دوام كامل)</w:t>
            </w:r>
          </w:p>
        </w:tc>
        <w:tc>
          <w:tcPr>
            <w:tcW w:w="1984" w:type="dxa"/>
            <w:tcBorders>
              <w:top w:val="single" w:sz="4" w:space="0" w:color="auto"/>
              <w:left w:val="single" w:sz="4" w:space="0" w:color="auto"/>
              <w:bottom w:val="single" w:sz="4" w:space="0" w:color="auto"/>
              <w:right w:val="single" w:sz="4" w:space="0" w:color="auto"/>
            </w:tcBorders>
            <w:hideMark/>
          </w:tcPr>
          <w:p w14:paraId="170ACEAC" w14:textId="77777777" w:rsidR="00B77CE2" w:rsidRPr="00472785" w:rsidRDefault="00B77CE2" w:rsidP="00C65CE6">
            <w:pPr>
              <w:suppressAutoHyphens/>
              <w:bidi/>
              <w:rPr>
                <w:rFonts w:ascii="Calibri" w:eastAsia="Times New Roman" w:hAnsi="Calibri" w:cs="Calibri"/>
                <w:b/>
                <w:bCs/>
                <w:szCs w:val="22"/>
                <w:rtl/>
              </w:rPr>
            </w:pPr>
            <w:r w:rsidRPr="00472785">
              <w:rPr>
                <w:rFonts w:ascii="Calibri" w:hAnsi="Calibri" w:cs="Calibri"/>
                <w:b/>
                <w:bCs/>
                <w:szCs w:val="22"/>
                <w:rtl/>
              </w:rPr>
              <w:t>متوسط الخبرة كفاحص (بالسنوات)</w:t>
            </w:r>
          </w:p>
        </w:tc>
        <w:tc>
          <w:tcPr>
            <w:tcW w:w="3119" w:type="dxa"/>
            <w:tcBorders>
              <w:top w:val="single" w:sz="4" w:space="0" w:color="auto"/>
              <w:left w:val="single" w:sz="4" w:space="0" w:color="auto"/>
              <w:bottom w:val="single" w:sz="4" w:space="0" w:color="auto"/>
              <w:right w:val="single" w:sz="4" w:space="0" w:color="auto"/>
            </w:tcBorders>
            <w:hideMark/>
          </w:tcPr>
          <w:p w14:paraId="14A76AB6" w14:textId="77777777" w:rsidR="00B77CE2" w:rsidRPr="00472785" w:rsidRDefault="00B77CE2" w:rsidP="00C65CE6">
            <w:pPr>
              <w:suppressAutoHyphens/>
              <w:bidi/>
              <w:rPr>
                <w:rFonts w:ascii="Calibri" w:eastAsia="Times New Roman" w:hAnsi="Calibri" w:cs="Calibri"/>
                <w:b/>
                <w:bCs/>
                <w:szCs w:val="22"/>
                <w:rtl/>
              </w:rPr>
            </w:pPr>
            <w:r w:rsidRPr="00472785">
              <w:rPr>
                <w:rFonts w:ascii="Calibri" w:hAnsi="Calibri" w:cs="Calibri"/>
                <w:b/>
                <w:bCs/>
                <w:szCs w:val="22"/>
                <w:rtl/>
              </w:rPr>
              <w:t>المؤهلات بالتفصيل</w:t>
            </w:r>
          </w:p>
        </w:tc>
      </w:tr>
      <w:tr w:rsidR="00B77CE2" w:rsidRPr="00472785" w14:paraId="3E38F9EC"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51F69DFD"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الميكانيكا</w:t>
            </w:r>
          </w:p>
        </w:tc>
        <w:tc>
          <w:tcPr>
            <w:tcW w:w="1985" w:type="dxa"/>
            <w:tcBorders>
              <w:top w:val="single" w:sz="4" w:space="0" w:color="auto"/>
              <w:left w:val="single" w:sz="4" w:space="0" w:color="auto"/>
              <w:bottom w:val="single" w:sz="4" w:space="0" w:color="auto"/>
              <w:right w:val="single" w:sz="4" w:space="0" w:color="auto"/>
            </w:tcBorders>
          </w:tcPr>
          <w:p w14:paraId="7D17D3F0"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25</w:t>
            </w:r>
          </w:p>
        </w:tc>
        <w:tc>
          <w:tcPr>
            <w:tcW w:w="1984" w:type="dxa"/>
            <w:tcBorders>
              <w:top w:val="single" w:sz="4" w:space="0" w:color="auto"/>
              <w:left w:val="single" w:sz="4" w:space="0" w:color="auto"/>
              <w:bottom w:val="single" w:sz="4" w:space="0" w:color="auto"/>
              <w:right w:val="single" w:sz="4" w:space="0" w:color="auto"/>
            </w:tcBorders>
          </w:tcPr>
          <w:p w14:paraId="162AA702"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21</w:t>
            </w:r>
          </w:p>
        </w:tc>
        <w:tc>
          <w:tcPr>
            <w:tcW w:w="3119" w:type="dxa"/>
            <w:tcBorders>
              <w:top w:val="single" w:sz="4" w:space="0" w:color="auto"/>
              <w:left w:val="single" w:sz="4" w:space="0" w:color="auto"/>
              <w:bottom w:val="single" w:sz="4" w:space="0" w:color="auto"/>
              <w:right w:val="single" w:sz="4" w:space="0" w:color="auto"/>
            </w:tcBorders>
          </w:tcPr>
          <w:p w14:paraId="7D55C546" w14:textId="77777777" w:rsidR="00B77CE2" w:rsidRPr="00472785" w:rsidRDefault="00B77CE2" w:rsidP="00C65CE6">
            <w:pPr>
              <w:bidi/>
              <w:rPr>
                <w:rFonts w:ascii="Calibri" w:eastAsiaTheme="minorHAnsi" w:hAnsi="Calibri" w:cs="Calibri"/>
                <w:szCs w:val="22"/>
                <w:rtl/>
              </w:rPr>
            </w:pPr>
            <w:r w:rsidRPr="00472785">
              <w:rPr>
                <w:rFonts w:ascii="Calibri" w:hAnsi="Calibri" w:cs="Calibri"/>
                <w:szCs w:val="22"/>
                <w:rtl/>
              </w:rPr>
              <w:t>73% فاحصين رئيسيين</w:t>
            </w:r>
          </w:p>
          <w:p w14:paraId="5E7E0E8E" w14:textId="77777777" w:rsidR="00B77CE2" w:rsidRPr="00472785" w:rsidRDefault="00B77CE2" w:rsidP="00C65CE6">
            <w:pPr>
              <w:bidi/>
              <w:rPr>
                <w:rFonts w:ascii="Calibri" w:hAnsi="Calibri" w:cs="Calibri"/>
                <w:szCs w:val="22"/>
                <w:rtl/>
              </w:rPr>
            </w:pPr>
            <w:r w:rsidRPr="00472785">
              <w:rPr>
                <w:rFonts w:ascii="Calibri" w:hAnsi="Calibri" w:cs="Calibri"/>
                <w:szCs w:val="22"/>
                <w:rtl/>
              </w:rPr>
              <w:t>20% فاحصين من الدرجة الأولى</w:t>
            </w:r>
          </w:p>
          <w:p w14:paraId="25014ECE"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7% فاحصين</w:t>
            </w:r>
          </w:p>
        </w:tc>
      </w:tr>
      <w:tr w:rsidR="00B77CE2" w:rsidRPr="00472785" w14:paraId="63AFA8E5"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2AD89858"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الكهرباء/الإلكترونيات</w:t>
            </w:r>
          </w:p>
        </w:tc>
        <w:tc>
          <w:tcPr>
            <w:tcW w:w="1985" w:type="dxa"/>
            <w:tcBorders>
              <w:top w:val="single" w:sz="4" w:space="0" w:color="auto"/>
              <w:left w:val="single" w:sz="4" w:space="0" w:color="auto"/>
              <w:bottom w:val="single" w:sz="4" w:space="0" w:color="auto"/>
              <w:right w:val="single" w:sz="4" w:space="0" w:color="auto"/>
            </w:tcBorders>
          </w:tcPr>
          <w:p w14:paraId="525937FE"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24</w:t>
            </w:r>
          </w:p>
        </w:tc>
        <w:tc>
          <w:tcPr>
            <w:tcW w:w="1984" w:type="dxa"/>
            <w:tcBorders>
              <w:top w:val="single" w:sz="4" w:space="0" w:color="auto"/>
              <w:left w:val="single" w:sz="4" w:space="0" w:color="auto"/>
              <w:bottom w:val="single" w:sz="4" w:space="0" w:color="auto"/>
              <w:right w:val="single" w:sz="4" w:space="0" w:color="auto"/>
            </w:tcBorders>
          </w:tcPr>
          <w:p w14:paraId="43C5E4D0"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16</w:t>
            </w:r>
          </w:p>
        </w:tc>
        <w:tc>
          <w:tcPr>
            <w:tcW w:w="3119" w:type="dxa"/>
            <w:tcBorders>
              <w:top w:val="single" w:sz="4" w:space="0" w:color="auto"/>
              <w:left w:val="single" w:sz="4" w:space="0" w:color="auto"/>
              <w:bottom w:val="single" w:sz="4" w:space="0" w:color="auto"/>
              <w:right w:val="single" w:sz="4" w:space="0" w:color="auto"/>
            </w:tcBorders>
          </w:tcPr>
          <w:p w14:paraId="19E7DBBA" w14:textId="77777777" w:rsidR="00B77CE2" w:rsidRPr="00472785" w:rsidRDefault="00B77CE2" w:rsidP="00C65CE6">
            <w:pPr>
              <w:bidi/>
              <w:rPr>
                <w:rFonts w:ascii="Calibri" w:hAnsi="Calibri" w:cs="Calibri"/>
                <w:szCs w:val="22"/>
                <w:rtl/>
              </w:rPr>
            </w:pPr>
            <w:r w:rsidRPr="00472785">
              <w:rPr>
                <w:rFonts w:ascii="Calibri" w:hAnsi="Calibri" w:cs="Calibri"/>
                <w:szCs w:val="22"/>
                <w:rtl/>
              </w:rPr>
              <w:t>50% فاحصين رئيسيين</w:t>
            </w:r>
          </w:p>
          <w:p w14:paraId="6EE53214" w14:textId="77777777" w:rsidR="00B77CE2" w:rsidRPr="00472785" w:rsidRDefault="00B77CE2" w:rsidP="00C65CE6">
            <w:pPr>
              <w:bidi/>
              <w:rPr>
                <w:rFonts w:ascii="Calibri" w:hAnsi="Calibri" w:cs="Calibri"/>
                <w:szCs w:val="22"/>
                <w:rtl/>
              </w:rPr>
            </w:pPr>
            <w:r w:rsidRPr="00472785">
              <w:rPr>
                <w:rFonts w:ascii="Calibri" w:hAnsi="Calibri" w:cs="Calibri"/>
                <w:szCs w:val="22"/>
                <w:rtl/>
              </w:rPr>
              <w:t>20% فاحصين من الدرجة الأولى</w:t>
            </w:r>
          </w:p>
          <w:p w14:paraId="69BF1C5A"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30% فاحصين</w:t>
            </w:r>
          </w:p>
        </w:tc>
      </w:tr>
      <w:tr w:rsidR="00B77CE2" w:rsidRPr="00472785" w14:paraId="08EA7A93"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64EF5139"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الكيمياء</w:t>
            </w:r>
          </w:p>
        </w:tc>
        <w:tc>
          <w:tcPr>
            <w:tcW w:w="1985" w:type="dxa"/>
            <w:tcBorders>
              <w:top w:val="single" w:sz="4" w:space="0" w:color="auto"/>
              <w:left w:val="single" w:sz="4" w:space="0" w:color="auto"/>
              <w:bottom w:val="single" w:sz="4" w:space="0" w:color="auto"/>
              <w:right w:val="single" w:sz="4" w:space="0" w:color="auto"/>
            </w:tcBorders>
          </w:tcPr>
          <w:p w14:paraId="4C0BF776"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31</w:t>
            </w:r>
          </w:p>
        </w:tc>
        <w:tc>
          <w:tcPr>
            <w:tcW w:w="1984" w:type="dxa"/>
            <w:tcBorders>
              <w:top w:val="single" w:sz="4" w:space="0" w:color="auto"/>
              <w:left w:val="single" w:sz="4" w:space="0" w:color="auto"/>
              <w:bottom w:val="single" w:sz="4" w:space="0" w:color="auto"/>
              <w:right w:val="single" w:sz="4" w:space="0" w:color="auto"/>
            </w:tcBorders>
          </w:tcPr>
          <w:p w14:paraId="02213819"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18</w:t>
            </w:r>
          </w:p>
        </w:tc>
        <w:tc>
          <w:tcPr>
            <w:tcW w:w="3119" w:type="dxa"/>
            <w:tcBorders>
              <w:top w:val="single" w:sz="4" w:space="0" w:color="auto"/>
              <w:left w:val="single" w:sz="4" w:space="0" w:color="auto"/>
              <w:bottom w:val="single" w:sz="4" w:space="0" w:color="auto"/>
              <w:right w:val="single" w:sz="4" w:space="0" w:color="auto"/>
            </w:tcBorders>
          </w:tcPr>
          <w:p w14:paraId="4F71BC78" w14:textId="77777777" w:rsidR="00B77CE2" w:rsidRPr="00472785" w:rsidRDefault="00B77CE2" w:rsidP="00C65CE6">
            <w:pPr>
              <w:bidi/>
              <w:rPr>
                <w:rFonts w:ascii="Calibri" w:hAnsi="Calibri" w:cs="Calibri"/>
                <w:szCs w:val="22"/>
                <w:rtl/>
              </w:rPr>
            </w:pPr>
            <w:r w:rsidRPr="00472785">
              <w:rPr>
                <w:rFonts w:ascii="Calibri" w:hAnsi="Calibri" w:cs="Calibri"/>
                <w:szCs w:val="22"/>
                <w:rtl/>
              </w:rPr>
              <w:t>72% فاحصين رئيسيين</w:t>
            </w:r>
          </w:p>
          <w:p w14:paraId="595839EF" w14:textId="77777777" w:rsidR="00B77CE2" w:rsidRPr="00472785" w:rsidRDefault="00B77CE2" w:rsidP="00C65CE6">
            <w:pPr>
              <w:bidi/>
              <w:rPr>
                <w:rFonts w:ascii="Calibri" w:hAnsi="Calibri" w:cs="Calibri"/>
                <w:szCs w:val="22"/>
                <w:rtl/>
              </w:rPr>
            </w:pPr>
            <w:r w:rsidRPr="00472785">
              <w:rPr>
                <w:rFonts w:ascii="Calibri" w:hAnsi="Calibri" w:cs="Calibri"/>
                <w:szCs w:val="22"/>
                <w:rtl/>
              </w:rPr>
              <w:t>23% فاحصين من الدرجة الأولى</w:t>
            </w:r>
          </w:p>
          <w:p w14:paraId="28B37DB6"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5% فاحصين</w:t>
            </w:r>
          </w:p>
        </w:tc>
      </w:tr>
      <w:tr w:rsidR="00B77CE2" w:rsidRPr="00472785" w14:paraId="612F5344"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266D0982"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البيوتكنولوجيا</w:t>
            </w:r>
          </w:p>
        </w:tc>
        <w:tc>
          <w:tcPr>
            <w:tcW w:w="1985" w:type="dxa"/>
            <w:tcBorders>
              <w:top w:val="single" w:sz="4" w:space="0" w:color="auto"/>
              <w:left w:val="single" w:sz="4" w:space="0" w:color="auto"/>
              <w:bottom w:val="single" w:sz="4" w:space="0" w:color="auto"/>
              <w:right w:val="single" w:sz="4" w:space="0" w:color="auto"/>
            </w:tcBorders>
          </w:tcPr>
          <w:p w14:paraId="40128B3B"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22</w:t>
            </w:r>
          </w:p>
        </w:tc>
        <w:tc>
          <w:tcPr>
            <w:tcW w:w="1984" w:type="dxa"/>
            <w:tcBorders>
              <w:top w:val="single" w:sz="4" w:space="0" w:color="auto"/>
              <w:left w:val="single" w:sz="4" w:space="0" w:color="auto"/>
              <w:bottom w:val="single" w:sz="4" w:space="0" w:color="auto"/>
              <w:right w:val="single" w:sz="4" w:space="0" w:color="auto"/>
            </w:tcBorders>
          </w:tcPr>
          <w:p w14:paraId="22742975" w14:textId="77777777" w:rsidR="00B77CE2" w:rsidRPr="00472785" w:rsidRDefault="00B77CE2" w:rsidP="00C65CE6">
            <w:pPr>
              <w:keepNext/>
              <w:keepLines/>
              <w:suppressAutoHyphens/>
              <w:bidi/>
              <w:jc w:val="center"/>
              <w:rPr>
                <w:rFonts w:ascii="Calibri" w:eastAsia="Times New Roman" w:hAnsi="Calibri" w:cs="Calibri"/>
                <w:szCs w:val="22"/>
                <w:rtl/>
              </w:rPr>
            </w:pPr>
            <w:r w:rsidRPr="00472785">
              <w:rPr>
                <w:rFonts w:ascii="Calibri" w:hAnsi="Calibri" w:cs="Calibri"/>
                <w:szCs w:val="22"/>
                <w:rtl/>
              </w:rPr>
              <w:t>17</w:t>
            </w:r>
          </w:p>
        </w:tc>
        <w:tc>
          <w:tcPr>
            <w:tcW w:w="3119" w:type="dxa"/>
            <w:tcBorders>
              <w:top w:val="single" w:sz="4" w:space="0" w:color="auto"/>
              <w:left w:val="single" w:sz="4" w:space="0" w:color="auto"/>
              <w:bottom w:val="single" w:sz="4" w:space="0" w:color="auto"/>
              <w:right w:val="single" w:sz="4" w:space="0" w:color="auto"/>
            </w:tcBorders>
          </w:tcPr>
          <w:p w14:paraId="5D672ADE" w14:textId="77777777" w:rsidR="00B77CE2" w:rsidRPr="00472785" w:rsidRDefault="00B77CE2" w:rsidP="00C65CE6">
            <w:pPr>
              <w:bidi/>
              <w:rPr>
                <w:rFonts w:ascii="Calibri" w:hAnsi="Calibri" w:cs="Calibri"/>
                <w:szCs w:val="22"/>
                <w:rtl/>
              </w:rPr>
            </w:pPr>
            <w:r w:rsidRPr="00472785">
              <w:rPr>
                <w:rFonts w:ascii="Calibri" w:hAnsi="Calibri" w:cs="Calibri"/>
                <w:szCs w:val="22"/>
                <w:rtl/>
              </w:rPr>
              <w:t>54% فاحصين رئيسيين</w:t>
            </w:r>
          </w:p>
          <w:p w14:paraId="59E47DC8" w14:textId="77777777" w:rsidR="00B77CE2" w:rsidRPr="00472785" w:rsidRDefault="00B77CE2" w:rsidP="00C65CE6">
            <w:pPr>
              <w:bidi/>
              <w:rPr>
                <w:rFonts w:ascii="Calibri" w:hAnsi="Calibri" w:cs="Calibri"/>
                <w:szCs w:val="22"/>
                <w:rtl/>
              </w:rPr>
            </w:pPr>
            <w:r w:rsidRPr="00472785">
              <w:rPr>
                <w:rFonts w:ascii="Calibri" w:hAnsi="Calibri" w:cs="Calibri"/>
                <w:szCs w:val="22"/>
                <w:rtl/>
              </w:rPr>
              <w:t>18% فاحصين من الدرجة الأولى</w:t>
            </w:r>
          </w:p>
          <w:p w14:paraId="2DBA5A84" w14:textId="77777777" w:rsidR="00B77CE2" w:rsidRPr="00472785" w:rsidRDefault="00B77CE2" w:rsidP="00C65CE6">
            <w:pPr>
              <w:keepNext/>
              <w:keepLines/>
              <w:suppressAutoHyphens/>
              <w:bidi/>
              <w:rPr>
                <w:rFonts w:ascii="Calibri" w:eastAsia="Times New Roman" w:hAnsi="Calibri" w:cs="Calibri"/>
                <w:szCs w:val="22"/>
                <w:rtl/>
              </w:rPr>
            </w:pPr>
            <w:r w:rsidRPr="00472785">
              <w:rPr>
                <w:rFonts w:ascii="Calibri" w:hAnsi="Calibri" w:cs="Calibri"/>
                <w:szCs w:val="22"/>
                <w:rtl/>
              </w:rPr>
              <w:t>28% فاحصين</w:t>
            </w:r>
          </w:p>
        </w:tc>
      </w:tr>
      <w:tr w:rsidR="00B77CE2" w:rsidRPr="00472785" w14:paraId="78709B5F"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6F9A4552" w14:textId="77777777" w:rsidR="00B77CE2" w:rsidRPr="00472785" w:rsidRDefault="00B77CE2" w:rsidP="00C65CE6">
            <w:pPr>
              <w:suppressAutoHyphens/>
              <w:bidi/>
              <w:rPr>
                <w:rFonts w:ascii="Calibri" w:eastAsia="Times New Roman" w:hAnsi="Calibri" w:cs="Calibri"/>
                <w:i/>
                <w:iCs/>
                <w:szCs w:val="22"/>
                <w:rtl/>
              </w:rPr>
            </w:pPr>
            <w:r w:rsidRPr="00472785">
              <w:rPr>
                <w:rFonts w:ascii="Calibri" w:hAnsi="Calibri" w:cs="Calibri"/>
                <w:i/>
                <w:iCs/>
                <w:szCs w:val="22"/>
                <w:rtl/>
              </w:rPr>
              <w:t>المجموع</w:t>
            </w:r>
          </w:p>
        </w:tc>
        <w:tc>
          <w:tcPr>
            <w:tcW w:w="1985" w:type="dxa"/>
            <w:tcBorders>
              <w:top w:val="single" w:sz="4" w:space="0" w:color="auto"/>
              <w:left w:val="single" w:sz="4" w:space="0" w:color="auto"/>
              <w:bottom w:val="single" w:sz="4" w:space="0" w:color="auto"/>
              <w:right w:val="single" w:sz="4" w:space="0" w:color="auto"/>
            </w:tcBorders>
          </w:tcPr>
          <w:p w14:paraId="0C625108" w14:textId="77777777" w:rsidR="00B77CE2" w:rsidRPr="00472785" w:rsidRDefault="00B77CE2" w:rsidP="00C65CE6">
            <w:pPr>
              <w:suppressAutoHyphens/>
              <w:bidi/>
              <w:jc w:val="center"/>
              <w:rPr>
                <w:rFonts w:ascii="Calibri" w:eastAsia="Times New Roman" w:hAnsi="Calibri" w:cs="Calibri"/>
                <w:i/>
                <w:iCs/>
                <w:szCs w:val="22"/>
                <w:rtl/>
              </w:rPr>
            </w:pPr>
            <w:r w:rsidRPr="00472785">
              <w:rPr>
                <w:rFonts w:ascii="Calibri" w:hAnsi="Calibri" w:cs="Calibri"/>
                <w:i/>
                <w:iCs/>
                <w:szCs w:val="22"/>
                <w:rtl/>
              </w:rPr>
              <w:t>‎102</w:t>
            </w:r>
          </w:p>
        </w:tc>
        <w:tc>
          <w:tcPr>
            <w:tcW w:w="1984" w:type="dxa"/>
            <w:tcBorders>
              <w:top w:val="single" w:sz="4" w:space="0" w:color="auto"/>
              <w:left w:val="single" w:sz="4" w:space="0" w:color="auto"/>
              <w:bottom w:val="single" w:sz="4" w:space="0" w:color="auto"/>
              <w:right w:val="single" w:sz="4" w:space="0" w:color="auto"/>
            </w:tcBorders>
          </w:tcPr>
          <w:p w14:paraId="32CB454C" w14:textId="77777777" w:rsidR="00B77CE2" w:rsidRPr="00472785" w:rsidRDefault="00B77CE2" w:rsidP="00C65CE6">
            <w:pPr>
              <w:suppressAutoHyphens/>
              <w:bidi/>
              <w:jc w:val="center"/>
              <w:rPr>
                <w:rFonts w:ascii="Calibri" w:eastAsia="Times New Roman" w:hAnsi="Calibri" w:cs="Calibri"/>
                <w:i/>
                <w:iCs/>
                <w:szCs w:val="22"/>
                <w:rtl/>
              </w:rPr>
            </w:pPr>
            <w:r w:rsidRPr="00472785">
              <w:rPr>
                <w:rFonts w:ascii="Calibri" w:hAnsi="Calibri" w:cs="Calibri"/>
                <w:i/>
                <w:iCs/>
                <w:szCs w:val="22"/>
                <w:rtl/>
              </w:rPr>
              <w:t>18 سنة</w:t>
            </w:r>
          </w:p>
        </w:tc>
        <w:tc>
          <w:tcPr>
            <w:tcW w:w="3119" w:type="dxa"/>
            <w:tcBorders>
              <w:top w:val="single" w:sz="4" w:space="0" w:color="auto"/>
              <w:left w:val="single" w:sz="4" w:space="0" w:color="auto"/>
              <w:bottom w:val="single" w:sz="4" w:space="0" w:color="auto"/>
              <w:right w:val="single" w:sz="4" w:space="0" w:color="auto"/>
            </w:tcBorders>
          </w:tcPr>
          <w:p w14:paraId="3B2E4096" w14:textId="77777777" w:rsidR="00B77CE2" w:rsidRPr="00472785" w:rsidRDefault="00B77CE2" w:rsidP="00C65CE6">
            <w:pPr>
              <w:suppressAutoHyphens/>
              <w:jc w:val="center"/>
              <w:rPr>
                <w:rFonts w:ascii="Calibri" w:eastAsia="Times New Roman" w:hAnsi="Calibri" w:cs="Calibri"/>
                <w:i/>
                <w:iCs/>
                <w:szCs w:val="22"/>
                <w:lang w:eastAsia="en-US" w:bidi="he-IL"/>
              </w:rPr>
            </w:pPr>
          </w:p>
        </w:tc>
      </w:tr>
    </w:tbl>
    <w:p w14:paraId="44ED2F5F" w14:textId="77777777" w:rsidR="00C5047D" w:rsidRPr="00472785" w:rsidRDefault="00C5047D" w:rsidP="009A31F1">
      <w:pPr>
        <w:rPr>
          <w:rFonts w:ascii="Calibri" w:hAnsi="Calibri" w:cs="Calibri"/>
          <w:szCs w:val="22"/>
        </w:rPr>
      </w:pPr>
    </w:p>
    <w:p w14:paraId="1633CD0D" w14:textId="3C742992" w:rsidR="00C5047D" w:rsidRPr="00472785" w:rsidRDefault="00C5047D" w:rsidP="00C5047D">
      <w:pPr>
        <w:pStyle w:val="RuleQuote"/>
        <w:bidi/>
        <w:ind w:left="0"/>
        <w:rPr>
          <w:rFonts w:ascii="Calibri" w:hAnsi="Calibri" w:cs="Calibri"/>
          <w:i w:val="0"/>
          <w:iCs w:val="0"/>
          <w:szCs w:val="22"/>
          <w:rtl/>
        </w:rPr>
      </w:pPr>
      <w:r w:rsidRPr="00472785">
        <w:rPr>
          <w:rFonts w:ascii="Calibri" w:hAnsi="Calibri" w:cs="Calibri"/>
          <w:i w:val="0"/>
          <w:iCs w:val="0"/>
          <w:szCs w:val="22"/>
          <w:rtl/>
        </w:rPr>
        <w:t xml:space="preserve">معلومات أخرى خلاف تقرير نظام إدارة الجودة والجدول أعلاه (اختيارية):  </w:t>
      </w:r>
    </w:p>
    <w:p w14:paraId="694809A8" w14:textId="509E9938" w:rsidR="00B77CE2" w:rsidRPr="00472785" w:rsidRDefault="00B77CE2" w:rsidP="00B77CE2">
      <w:pPr>
        <w:bidi/>
        <w:spacing w:after="240"/>
        <w:rPr>
          <w:rFonts w:ascii="Calibri" w:hAnsi="Calibri" w:cs="Calibri"/>
          <w:szCs w:val="22"/>
          <w:rtl/>
        </w:rPr>
      </w:pPr>
      <w:r w:rsidRPr="00472785">
        <w:rPr>
          <w:rFonts w:ascii="Calibri" w:hAnsi="Calibri" w:cs="Calibri"/>
          <w:szCs w:val="22"/>
          <w:rtl/>
        </w:rPr>
        <w:t>جميع الفاحصين البالغ عددهم 102 يعملون بدوام كامل ويحملون شهادات تعليم عالي في المجالات التقنية (بكالوريوس/ماجستير) في تخصصاتهم.  بالإضافة إلى ذلك، يحمل جميع الفاحصين شهادة تعليم عالي ثانية في مجال الملكية الفكرية (تخصص/ماجستير) ولديهم إجادة كافية للغة الإنكليزية لإجراء عمليات البحث وفحص الطلبات وإعداد وثائق فحص معاهدة البراءات.  كما أن عددًا من الفاحصين يجيدون اللغة الألمانية والفرنسية والإسبانية والبولندية.</w:t>
      </w:r>
    </w:p>
    <w:p w14:paraId="0BA752C4" w14:textId="77777777" w:rsidR="00B77CE2" w:rsidRPr="00472785" w:rsidRDefault="00B77CE2" w:rsidP="00B77CE2">
      <w:pPr>
        <w:bidi/>
        <w:spacing w:after="240"/>
        <w:rPr>
          <w:rFonts w:ascii="Calibri" w:hAnsi="Calibri" w:cs="Calibri"/>
          <w:szCs w:val="22"/>
          <w:rtl/>
        </w:rPr>
      </w:pPr>
      <w:r w:rsidRPr="00472785">
        <w:rPr>
          <w:rFonts w:ascii="Calibri" w:hAnsi="Calibri" w:cs="Calibri"/>
          <w:szCs w:val="22"/>
          <w:rtl/>
        </w:rPr>
        <w:t>يحافظ المكتب الوطني الأوكراني للملكية الفكرية والابتكارات على توزيع متوازن للخبرات في جميع المجالات التقنية، بما في ذلك الكيمياء والصيدلة والبيوتكنولوجيا والميكانيكا والهندسة الكهربائية والإلكترونية وتكنولوجيا المعلومات والاتصالات والفيزياء وتقنيات الهندسة والمعادن وعلوم المواد والمجالات ذات الصلة.</w:t>
      </w:r>
    </w:p>
    <w:p w14:paraId="60AF6307" w14:textId="5D540087" w:rsidR="00C5047D" w:rsidRPr="00472785" w:rsidRDefault="00C5047D" w:rsidP="00C5047D">
      <w:pPr>
        <w:pStyle w:val="SectionHeading"/>
        <w:bidi/>
        <w:rPr>
          <w:rFonts w:ascii="Calibri" w:hAnsi="Calibri" w:cs="Calibri"/>
          <w:szCs w:val="22"/>
          <w:rtl/>
        </w:rPr>
      </w:pPr>
      <w:r w:rsidRPr="00472785">
        <w:rPr>
          <w:rFonts w:ascii="Calibri" w:hAnsi="Calibri" w:cs="Calibri"/>
          <w:szCs w:val="22"/>
          <w:rtl/>
        </w:rPr>
        <w:t>2.2 – الحد الأدنى للوثائق – الإتاحة للاطلاع</w:t>
      </w:r>
    </w:p>
    <w:p w14:paraId="44503BDA" w14:textId="77777777" w:rsidR="00C5047D" w:rsidRPr="00472785" w:rsidRDefault="00C5047D" w:rsidP="00C5047D">
      <w:pPr>
        <w:pStyle w:val="RuleQuote"/>
        <w:bidi/>
        <w:rPr>
          <w:rFonts w:ascii="Calibri" w:hAnsi="Calibri" w:cs="Calibri"/>
          <w:b/>
          <w:bCs w:val="0"/>
          <w:szCs w:val="22"/>
          <w:rtl/>
        </w:rPr>
      </w:pPr>
      <w:r w:rsidRPr="00472785">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29704E79" w:rsidR="00C5047D" w:rsidRPr="00472785" w:rsidRDefault="00C5047D" w:rsidP="00C5047D">
      <w:pPr>
        <w:pStyle w:val="RuleQuote"/>
        <w:bidi/>
        <w:rPr>
          <w:rFonts w:ascii="Calibri" w:hAnsi="Calibri" w:cs="Calibri"/>
          <w:b/>
          <w:bCs w:val="0"/>
          <w:szCs w:val="22"/>
          <w:rtl/>
        </w:rPr>
      </w:pPr>
      <w:r w:rsidRPr="00472785">
        <w:rPr>
          <w:rFonts w:ascii="Calibri" w:hAnsi="Calibri" w:cs="Calibri"/>
          <w:b/>
          <w:bCs w:val="0"/>
          <w:szCs w:val="22"/>
          <w:rtl/>
        </w:rPr>
        <w:t xml:space="preserve">وترد المتطلبات المحددة في التعليمات الإدارية في </w:t>
      </w:r>
      <w:r w:rsidRPr="00472785">
        <w:rPr>
          <w:rFonts w:ascii="Calibri" w:hAnsi="Calibri" w:cs="Calibri"/>
          <w:b/>
          <w:bCs w:val="0"/>
          <w:szCs w:val="22"/>
        </w:rPr>
        <w:t>‎</w:t>
      </w:r>
      <w:hyperlink r:id="rId15" w:history="1">
        <w:r w:rsidRPr="00472785">
          <w:rPr>
            <w:rStyle w:val="Hyperlink"/>
            <w:rFonts w:ascii="Calibri" w:hAnsi="Calibri" w:cs="Calibri"/>
            <w:b/>
            <w:bCs w:val="0"/>
            <w:szCs w:val="22"/>
            <w:rtl/>
          </w:rPr>
          <w:t>التعميم</w:t>
        </w:r>
        <w:r w:rsidRPr="00472785">
          <w:rPr>
            <w:rStyle w:val="Hyperlink"/>
            <w:rFonts w:ascii="Calibri" w:hAnsi="Calibri" w:cs="Calibri"/>
            <w:szCs w:val="22"/>
          </w:rPr>
          <w:t>C. PCT 1672</w:t>
        </w:r>
      </w:hyperlink>
      <w:r w:rsidRPr="00472785">
        <w:rPr>
          <w:rFonts w:ascii="Calibri" w:hAnsi="Calibri" w:cs="Calibri"/>
          <w:b/>
          <w:bCs w:val="0"/>
          <w:szCs w:val="22"/>
        </w:rPr>
        <w:t xml:space="preserve"> ‎‎</w:t>
      </w:r>
      <w:r w:rsidRPr="00472785">
        <w:rPr>
          <w:rFonts w:ascii="Calibri" w:hAnsi="Calibri" w:cs="Calibri"/>
          <w:b/>
          <w:bCs w:val="0"/>
          <w:szCs w:val="22"/>
          <w:rtl/>
        </w:rPr>
        <w:t>، المؤرخ 19 يونيو 2024.</w:t>
      </w:r>
    </w:p>
    <w:p w14:paraId="37D5BDD4" w14:textId="307AF2ED" w:rsidR="00C5047D" w:rsidRPr="00472785" w:rsidRDefault="00C5047D" w:rsidP="005D7341">
      <w:pPr>
        <w:pStyle w:val="Question"/>
        <w:bidi/>
        <w:spacing w:after="0"/>
        <w:rPr>
          <w:rFonts w:ascii="Calibri" w:hAnsi="Calibri" w:cs="Calibri"/>
          <w:b w:val="0"/>
          <w:bCs w:val="0"/>
          <w:rtl/>
        </w:rPr>
      </w:pPr>
      <w:r w:rsidRPr="00472785">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472785">
        <w:rPr>
          <w:rFonts w:ascii="Calibri" w:hAnsi="Calibri" w:cs="Calibri"/>
          <w:b w:val="0"/>
          <w:bCs w:val="0"/>
        </w:rPr>
        <w:t>PCT/A/55/2</w:t>
      </w:r>
      <w:r w:rsidRPr="00472785">
        <w:rPr>
          <w:rFonts w:ascii="Calibri" w:hAnsi="Calibri" w:cs="Calibri"/>
          <w:b w:val="0"/>
          <w:bCs w:val="0"/>
          <w:rtl/>
        </w:rPr>
        <w:t>، يكون التبليغ على النحو التالي:</w:t>
      </w:r>
      <w:r w:rsidRPr="00472785">
        <w:rPr>
          <w:rFonts w:ascii="Calibri" w:hAnsi="Calibri" w:cs="Calibri"/>
          <w:b w:val="0"/>
          <w:bCs w:val="0"/>
          <w:rtl/>
        </w:rPr>
        <w:br/>
      </w:r>
      <w:r w:rsidRPr="00472785">
        <w:rPr>
          <w:rFonts w:ascii="Calibri" w:hAnsi="Calibri" w:cs="Calibri"/>
          <w:b w:val="0"/>
          <w:bCs w:val="0"/>
          <w:rtl/>
        </w:rPr>
        <w:br/>
        <w:t xml:space="preserve">إما: </w:t>
      </w:r>
      <w:r w:rsidRPr="00472785">
        <w:rPr>
          <w:rFonts w:ascii="Calibri" w:hAnsi="Calibri" w:cs="Calibri"/>
          <w:b w:val="0"/>
          <w:bCs w:val="0"/>
        </w:rPr>
        <w:t>‎</w:t>
      </w:r>
      <w:r w:rsidRPr="00472785">
        <w:rPr>
          <w:rFonts w:ascii="Calibri" w:hAnsi="Calibri" w:cs="Calibri"/>
          <w:b w:val="0"/>
          <w:bCs w:val="0"/>
          <w:rtl/>
        </w:rPr>
        <w:br/>
      </w:r>
      <w:r w:rsidRPr="00472785">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009E4E4F" w:rsidRPr="00472785">
            <w:rPr>
              <w:rFonts w:ascii="Segoe UI Symbol" w:eastAsia="MS Gothic" w:hAnsi="Segoe UI Symbol" w:cs="Segoe UI Symbol"/>
              <w:b w:val="0"/>
              <w:bCs w:val="0"/>
            </w:rPr>
            <w:t>☒</w:t>
          </w:r>
        </w:sdtContent>
      </w:sdt>
      <w:r w:rsidRPr="00472785">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النطاق والنسق الخاصين بالوثائق التي أتاحتها الإدارة للاطلاع عليها في الجريدة الرسمية لمعاهدة البراءات في 23 أكتوبر 2025، في الرابط التالي:  </w:t>
      </w:r>
      <w:r>
        <w:fldChar w:fldCharType="begin"/>
      </w:r>
      <w:r>
        <w:instrText>HYPERLINK "file:///\\\\adi.wipo.int\\wipodata\\DAT1\\OrgPctLdev\\Shared\\WIPO%20meetings%20-%20PCT\\PCT-CTC-33\\Applications%20for%20extension%20of%20appointment\\UA\\pct_ctc_33_22%20draft%20UA.docx"</w:instrText>
      </w:r>
      <w:r>
        <w:fldChar w:fldCharType="separate"/>
      </w:r>
      <w:r w:rsidRPr="00472785">
        <w:rPr>
          <w:rStyle w:val="Hyperlink"/>
          <w:rFonts w:ascii="Calibri" w:hAnsi="Calibri" w:cs="Calibri"/>
          <w:b w:val="0"/>
          <w:bCs w:val="0"/>
        </w:rPr>
        <w:t>https://www.wipo.int/documents/d/pct-system/docs-en-official-notices-officialnotices.pdf#page=209</w:t>
      </w:r>
      <w:r>
        <w:fldChar w:fldCharType="end"/>
      </w:r>
      <w:r w:rsidRPr="00472785">
        <w:rPr>
          <w:rFonts w:ascii="Calibri" w:hAnsi="Calibri" w:cs="Calibri"/>
          <w:b w:val="0"/>
          <w:bCs w:val="0"/>
          <w:rtl/>
        </w:rPr>
        <w:t>.</w:t>
      </w:r>
    </w:p>
    <w:p w14:paraId="110066E8" w14:textId="77777777" w:rsidR="009023B3" w:rsidRPr="00472785" w:rsidRDefault="009023B3" w:rsidP="009023B3">
      <w:pPr>
        <w:pStyle w:val="Answer"/>
        <w:rPr>
          <w:rFonts w:ascii="Calibri" w:hAnsi="Calibri" w:cs="Calibri"/>
          <w:szCs w:val="22"/>
        </w:rPr>
      </w:pPr>
    </w:p>
    <w:p w14:paraId="4600B187" w14:textId="527F7F90" w:rsidR="009023B3" w:rsidRPr="00472785" w:rsidRDefault="009023B3" w:rsidP="009023B3">
      <w:pPr>
        <w:pStyle w:val="Answer"/>
        <w:bidi/>
        <w:ind w:left="0"/>
        <w:rPr>
          <w:rFonts w:ascii="Calibri" w:hAnsi="Calibri" w:cs="Calibri"/>
          <w:szCs w:val="22"/>
          <w:rtl/>
        </w:rPr>
      </w:pPr>
      <w:r w:rsidRPr="00472785">
        <w:rPr>
          <w:rFonts w:ascii="Calibri" w:hAnsi="Calibri" w:cs="Calibri"/>
          <w:szCs w:val="22"/>
          <w:rtl/>
        </w:rPr>
        <w:lastRenderedPageBreak/>
        <w:t>أنشأ المكتب الوطني الأوكراني للملكية الفكرية والابتكارات مستودع وصول جماعي إلكتروني لاستضافة المجموعات، وهو</w:t>
      </w:r>
      <w:r>
        <w:fldChar w:fldCharType="begin"/>
      </w:r>
      <w:r>
        <w:instrText>HYPERLINK "https://sis.nipo.gov.ua/en/search/simple/" \l "!"</w:instrText>
      </w:r>
      <w:r>
        <w:fldChar w:fldCharType="separate"/>
      </w:r>
      <w:hyperlink r:id="rId16" w:history="1">
        <w:r w:rsidRPr="00472785">
          <w:rPr>
            <w:rStyle w:val="Hyperlink"/>
            <w:rFonts w:ascii="Calibri" w:hAnsi="Calibri" w:cs="Calibri"/>
            <w:szCs w:val="22"/>
            <w:rtl/>
          </w:rPr>
          <w:t xml:space="preserve"> نظام المعلومات الخاص بمكتب</w:t>
        </w:r>
      </w:hyperlink>
      <w:r w:rsidRPr="00472785">
        <w:rPr>
          <w:rStyle w:val="Hyperlink"/>
          <w:rFonts w:ascii="Calibri" w:hAnsi="Calibri" w:cs="Calibri"/>
          <w:szCs w:val="22"/>
          <w:rtl/>
        </w:rPr>
        <w:t xml:space="preserve"> </w:t>
      </w:r>
      <w:r w:rsidRPr="00472785">
        <w:rPr>
          <w:rStyle w:val="Hyperlink"/>
          <w:rFonts w:ascii="Calibri" w:hAnsi="Calibri" w:cs="Calibri"/>
          <w:szCs w:val="22"/>
        </w:rPr>
        <w:t>UANIPIO</w:t>
      </w:r>
      <w:r>
        <w:fldChar w:fldCharType="end"/>
      </w:r>
      <w:r w:rsidRPr="00472785">
        <w:rPr>
          <w:rFonts w:ascii="Calibri" w:hAnsi="Calibri" w:cs="Calibri"/>
          <w:szCs w:val="22"/>
          <w:rtl/>
        </w:rPr>
        <w:t>.</w:t>
      </w:r>
    </w:p>
    <w:p w14:paraId="53C8872E" w14:textId="77777777" w:rsidR="005D7341" w:rsidRPr="00472785" w:rsidRDefault="005D7341" w:rsidP="005D7341">
      <w:pPr>
        <w:pStyle w:val="Answer"/>
        <w:rPr>
          <w:rFonts w:ascii="Calibri" w:hAnsi="Calibri" w:cs="Calibri"/>
          <w:szCs w:val="22"/>
        </w:rPr>
      </w:pPr>
    </w:p>
    <w:p w14:paraId="1DE04B01" w14:textId="77777777" w:rsidR="00C5047D" w:rsidRPr="00472785" w:rsidRDefault="00C5047D" w:rsidP="00C5047D">
      <w:pPr>
        <w:pStyle w:val="Answer"/>
        <w:bidi/>
        <w:ind w:left="0"/>
        <w:rPr>
          <w:rFonts w:ascii="Calibri" w:hAnsi="Calibri" w:cs="Calibri"/>
          <w:szCs w:val="22"/>
          <w:rtl/>
        </w:rPr>
      </w:pPr>
      <w:r w:rsidRPr="00472785">
        <w:rPr>
          <w:rFonts w:ascii="Calibri" w:hAnsi="Calibri" w:cs="Calibri"/>
          <w:szCs w:val="22"/>
          <w:rtl/>
        </w:rPr>
        <w:t>أو:</w:t>
      </w:r>
    </w:p>
    <w:p w14:paraId="5487139A" w14:textId="77777777" w:rsidR="00141C5C" w:rsidRPr="00472785" w:rsidRDefault="00141C5C" w:rsidP="00C5047D">
      <w:pPr>
        <w:pStyle w:val="Answer"/>
        <w:ind w:left="0"/>
        <w:rPr>
          <w:rFonts w:ascii="Calibri" w:hAnsi="Calibri" w:cs="Calibri"/>
          <w:szCs w:val="22"/>
        </w:rPr>
      </w:pPr>
    </w:p>
    <w:p w14:paraId="29122C8D" w14:textId="1288FD07" w:rsidR="006A5C36" w:rsidRPr="00472785" w:rsidRDefault="0096013A"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472785">
            <w:rPr>
              <w:rFonts w:ascii="Segoe UI Symbol" w:eastAsia="MS Gothic" w:hAnsi="Segoe UI Symbol" w:cs="Segoe UI Symbol"/>
              <w:szCs w:val="22"/>
            </w:rPr>
            <w:t>☐</w:t>
          </w:r>
        </w:sdtContent>
      </w:sdt>
      <w:r w:rsidR="00273E1A" w:rsidRPr="00472785">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273E1A" w:rsidRPr="00472785">
        <w:rPr>
          <w:rFonts w:ascii="Calibri" w:hAnsi="Calibri" w:cs="Calibri"/>
          <w:szCs w:val="22"/>
        </w:rPr>
        <w:t xml:space="preserve">‎  </w:t>
      </w:r>
      <w:r w:rsidR="00273E1A" w:rsidRPr="00472785">
        <w:rPr>
          <w:rFonts w:ascii="Calibri" w:hAnsi="Calibri" w:cs="Calibri"/>
          <w:szCs w:val="22"/>
          <w:rtl/>
        </w:rPr>
        <w:t>ويُرجى أيضاً تقديم تفاصيل ملف الإدارة مع أي روابط لازمة، حسب الاقتضاء.</w:t>
      </w:r>
    </w:p>
    <w:p w14:paraId="19A4C13D" w14:textId="77777777" w:rsidR="00C5047D" w:rsidRPr="00472785" w:rsidRDefault="00C5047D" w:rsidP="00C5047D">
      <w:pPr>
        <w:pStyle w:val="SectionHeading"/>
        <w:bidi/>
        <w:rPr>
          <w:rFonts w:ascii="Calibri" w:hAnsi="Calibri" w:cs="Calibri"/>
          <w:szCs w:val="22"/>
          <w:rtl/>
        </w:rPr>
      </w:pPr>
      <w:r w:rsidRPr="00472785">
        <w:rPr>
          <w:rFonts w:ascii="Calibri" w:hAnsi="Calibri" w:cs="Calibri"/>
          <w:szCs w:val="22"/>
          <w:rtl/>
        </w:rPr>
        <w:t>3.2 – الحد الأدنى للوثائق – إمكانية النفاذ</w:t>
      </w:r>
    </w:p>
    <w:p w14:paraId="6096117B" w14:textId="77777777" w:rsidR="00C5047D" w:rsidRPr="00472785" w:rsidRDefault="00C5047D" w:rsidP="00C5047D">
      <w:pPr>
        <w:pStyle w:val="RuleQuote"/>
        <w:bidi/>
        <w:rPr>
          <w:rFonts w:ascii="Calibri" w:hAnsi="Calibri" w:cs="Calibri"/>
          <w:b/>
          <w:bCs w:val="0"/>
          <w:i w:val="0"/>
          <w:iCs w:val="0"/>
          <w:szCs w:val="22"/>
          <w:rtl/>
        </w:rPr>
      </w:pPr>
      <w:r w:rsidRPr="00472785">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472785" w:rsidRDefault="00C5047D" w:rsidP="00C5047D">
      <w:pPr>
        <w:pStyle w:val="RuleQuote"/>
        <w:bidi/>
        <w:ind w:left="0"/>
        <w:rPr>
          <w:rFonts w:ascii="Calibri" w:hAnsi="Calibri" w:cs="Calibri"/>
          <w:b/>
          <w:bCs w:val="0"/>
          <w:i w:val="0"/>
          <w:iCs w:val="0"/>
          <w:szCs w:val="22"/>
          <w:rtl/>
        </w:rPr>
      </w:pPr>
      <w:r w:rsidRPr="00472785">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472785" w:rsidRDefault="00C5047D" w:rsidP="00C5047D">
      <w:pPr>
        <w:pStyle w:val="RuleQuote"/>
        <w:bidi/>
        <w:ind w:left="0"/>
        <w:rPr>
          <w:rFonts w:ascii="Calibri" w:hAnsi="Calibri" w:cs="Calibri"/>
          <w:b/>
          <w:bCs w:val="0"/>
          <w:i w:val="0"/>
          <w:iCs w:val="0"/>
          <w:szCs w:val="22"/>
          <w:rtl/>
        </w:rPr>
      </w:pPr>
      <w:r w:rsidRPr="00472785">
        <w:rPr>
          <w:rFonts w:ascii="Calibri" w:hAnsi="Calibri" w:cs="Calibri"/>
          <w:b/>
          <w:bCs w:val="0"/>
          <w:i w:val="0"/>
          <w:iCs w:val="0"/>
          <w:szCs w:val="22"/>
          <w:rtl/>
        </w:rPr>
        <w:t xml:space="preserve">معلومات أخرى خلاف تقرير نظام إدارة الجودة (اختيارية):  </w:t>
      </w:r>
    </w:p>
    <w:p w14:paraId="33B15563" w14:textId="04D0D3BF"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يصف تقرير نظام إدارة الجودة (2025) للمكتب الوطني الأوكراني للملكية الفكرية والابتكارات بالتفصيل البنية التحتية والعمليات التي تضمن أن جميع مكونات الحد الأدنى للوثائق المنصوص عليها في معاهدة البراءات متاحة بشكل دائم، ومنظمة بشكل صحيح، ويتم صيانتها بشكل منهجي، وفقًا للفقرة 15.21"4" من المبادئ التوجيهية.  ويشمل ذلك المستودعات الداخلية للمكتب وقواعد البيانات وبيئات البرمجيات وخدمات الاشتراك وأنظمة التكرار.</w:t>
      </w:r>
    </w:p>
    <w:p w14:paraId="35259693" w14:textId="5A57E734"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ويتمتع فاحصو المكتب بإمكانية الوصول إلى موارد الإنترنت وموقع المكتب الإلكتروني وموارد المعلومات الإلكترونية للمكتب (بما في ذلك قاعدة بيانات النصوص الكاملة للمؤلفات غير المتعلقة بالبراءات وبوابة البحث المتكاملة والنظام الآلي ”الاختراعات“) وأنظمة المعلومات الأجنبية التجارية والمتاحة مجانًا والمنشورات الرسمية والمجموعات الإلكترونية والتقليدية للمكتبات الوطنية والإقليمية.  ويتم ضمان الوصول إلى المكتبات الأوكرانية الكبرى عن طريق الاستعارة بين المكتبات، كما تتوفر خدمة الاستعارة الدولية بين المكتبات من خلال أكبر المكتبات في كييف.</w:t>
      </w:r>
    </w:p>
    <w:p w14:paraId="7E0E568C" w14:textId="794DA528"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وتقع مسؤولية إدارة موارد المعلومات هذه على عاتق شعبة التطوير الرقمي والخدمات الإلكترونية وإدارة دعم المعلومات والتوثيق.  ويتم توفير الحد الأدنى للوثائق المنصوص عليها في معاهدة البراءات إلكترونياً من خلال الأنظمة الداخلية للمكتب الوطني الأوكراني وقواعد البيانات المرخصة والمجموعات التي تحتفظ بها الشعبة.</w:t>
      </w:r>
    </w:p>
    <w:p w14:paraId="071B2E33" w14:textId="32C5E59F"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 xml:space="preserve">ويمكن للفاحصين الوصول إلى مجموعة موسعة من موارد البحث عن البراءات والموارد العلمية، بما في ذلك </w:t>
      </w:r>
      <w:r w:rsidRPr="00472785">
        <w:rPr>
          <w:rFonts w:ascii="Calibri" w:hAnsi="Calibri" w:cs="Calibri"/>
          <w:szCs w:val="22"/>
        </w:rPr>
        <w:t>EPO ANSERA</w:t>
      </w:r>
      <w:r w:rsidRPr="00472785">
        <w:rPr>
          <w:rFonts w:ascii="Calibri" w:hAnsi="Calibri" w:cs="Calibri"/>
          <w:szCs w:val="22"/>
          <w:rtl/>
        </w:rPr>
        <w:t xml:space="preserve"> (أداة البحث)، و</w:t>
      </w:r>
      <w:r w:rsidRPr="00472785">
        <w:rPr>
          <w:rFonts w:ascii="Calibri" w:hAnsi="Calibri" w:cs="Calibri"/>
          <w:szCs w:val="22"/>
        </w:rPr>
        <w:t>Questel Orbit Intelligence</w:t>
      </w:r>
      <w:r w:rsidRPr="00472785">
        <w:rPr>
          <w:rFonts w:ascii="Calibri" w:hAnsi="Calibri" w:cs="Calibri"/>
          <w:szCs w:val="22"/>
          <w:rtl/>
        </w:rPr>
        <w:t xml:space="preserve"> و</w:t>
      </w:r>
      <w:proofErr w:type="spellStart"/>
      <w:r w:rsidRPr="00472785">
        <w:rPr>
          <w:rFonts w:ascii="Calibri" w:hAnsi="Calibri" w:cs="Calibri"/>
          <w:szCs w:val="22"/>
        </w:rPr>
        <w:t>PatBase</w:t>
      </w:r>
      <w:proofErr w:type="spellEnd"/>
      <w:r w:rsidRPr="00472785">
        <w:rPr>
          <w:rFonts w:ascii="Calibri" w:hAnsi="Calibri" w:cs="Calibri"/>
          <w:szCs w:val="22"/>
          <w:rtl/>
        </w:rPr>
        <w:t xml:space="preserve"> (عبر </w:t>
      </w:r>
      <w:r w:rsidRPr="00472785">
        <w:rPr>
          <w:rFonts w:ascii="Calibri" w:hAnsi="Calibri" w:cs="Calibri"/>
          <w:szCs w:val="22"/>
        </w:rPr>
        <w:t>WIPO ASPI</w:t>
      </w:r>
      <w:r w:rsidRPr="00472785">
        <w:rPr>
          <w:rFonts w:ascii="Calibri" w:hAnsi="Calibri" w:cs="Calibri"/>
          <w:szCs w:val="22"/>
          <w:rtl/>
        </w:rPr>
        <w:t>)، و</w:t>
      </w:r>
      <w:proofErr w:type="spellStart"/>
      <w:r w:rsidRPr="00472785">
        <w:rPr>
          <w:rFonts w:ascii="Calibri" w:hAnsi="Calibri" w:cs="Calibri"/>
          <w:szCs w:val="22"/>
        </w:rPr>
        <w:t>Reaxys</w:t>
      </w:r>
      <w:proofErr w:type="spellEnd"/>
      <w:r w:rsidRPr="00472785">
        <w:rPr>
          <w:rFonts w:ascii="Calibri" w:hAnsi="Calibri" w:cs="Calibri"/>
          <w:szCs w:val="22"/>
          <w:rtl/>
        </w:rPr>
        <w:t xml:space="preserve"> و</w:t>
      </w:r>
      <w:proofErr w:type="spellStart"/>
      <w:r w:rsidRPr="00472785">
        <w:rPr>
          <w:rFonts w:ascii="Calibri" w:hAnsi="Calibri" w:cs="Calibri"/>
          <w:szCs w:val="22"/>
        </w:rPr>
        <w:t>Reaxys</w:t>
      </w:r>
      <w:proofErr w:type="spellEnd"/>
      <w:r w:rsidRPr="00472785">
        <w:rPr>
          <w:rFonts w:ascii="Calibri" w:hAnsi="Calibri" w:cs="Calibri"/>
          <w:szCs w:val="22"/>
        </w:rPr>
        <w:t xml:space="preserve"> Target &amp; Bioactivity</w:t>
      </w:r>
      <w:r w:rsidRPr="00472785">
        <w:rPr>
          <w:rFonts w:ascii="Calibri" w:hAnsi="Calibri" w:cs="Calibri"/>
          <w:szCs w:val="22"/>
          <w:rtl/>
        </w:rPr>
        <w:t>، و</w:t>
      </w:r>
      <w:proofErr w:type="spellStart"/>
      <w:r w:rsidRPr="00472785">
        <w:rPr>
          <w:rFonts w:ascii="Calibri" w:hAnsi="Calibri" w:cs="Calibri"/>
          <w:szCs w:val="22"/>
        </w:rPr>
        <w:t>STNext</w:t>
      </w:r>
      <w:proofErr w:type="spellEnd"/>
      <w:r w:rsidRPr="00472785">
        <w:rPr>
          <w:rFonts w:ascii="Calibri" w:hAnsi="Calibri" w:cs="Calibri"/>
          <w:szCs w:val="22"/>
          <w:rtl/>
        </w:rPr>
        <w:t xml:space="preserve">، وقواعد البيانات العلمية والتقنية المتاحة عبر </w:t>
      </w:r>
      <w:r w:rsidRPr="00472785">
        <w:rPr>
          <w:rFonts w:ascii="Calibri" w:hAnsi="Calibri" w:cs="Calibri"/>
          <w:szCs w:val="22"/>
        </w:rPr>
        <w:t>Research4Life</w:t>
      </w:r>
      <w:r w:rsidRPr="00472785">
        <w:rPr>
          <w:rFonts w:ascii="Calibri" w:hAnsi="Calibri" w:cs="Calibri"/>
          <w:szCs w:val="22"/>
          <w:rtl/>
        </w:rPr>
        <w:t>.  ويتم ضمان الوصول من خلال اتفاقيات الترخيص أو برامج الدعم الدولية المقدمة إلى أوكرانيا في أوقات الحرب.</w:t>
      </w:r>
    </w:p>
    <w:p w14:paraId="38C81F63" w14:textId="77777777"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 xml:space="preserve">ويواصل المكتب توسيع مجموعته من المؤلفات غير المتعلقة بالبراءات، بالاعتماد على المواد المرجعية الخاصة بالمكتب، وقاعدة بيانات </w:t>
      </w:r>
      <w:r w:rsidRPr="00472785">
        <w:rPr>
          <w:rFonts w:ascii="Calibri" w:hAnsi="Calibri" w:cs="Calibri"/>
          <w:szCs w:val="22"/>
        </w:rPr>
        <w:t>NPL</w:t>
      </w:r>
      <w:r w:rsidRPr="00472785">
        <w:rPr>
          <w:rFonts w:ascii="Calibri" w:hAnsi="Calibri" w:cs="Calibri"/>
          <w:szCs w:val="22"/>
          <w:rtl/>
        </w:rPr>
        <w:t xml:space="preserve"> النصية الكاملة، والمصادر الوطنية والأجنبية المفتوحة الوصول، وأنظمة المكتبات الأوكرانية، وخدمات الاستعارة الدولية بين المكتبات، وقواعد البيانات العلمية التجارية المتوفرة في إطار التعاون أو المساعدة الدولية. </w:t>
      </w:r>
    </w:p>
    <w:p w14:paraId="7068F007" w14:textId="77777777"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ويؤكد المكتب أنه يحافظ على وصول كامل ومستقر وآمن إلى جميع مكونات الحد الأدنى للوثائق المطلوبة بموجب القاعدة 34 من معاهدة البراءات، والتي تكملها الأنظمة والإجراءات الموضحة في تقرير نظام إدارة الجودة (</w:t>
      </w:r>
      <w:r w:rsidRPr="00472785">
        <w:rPr>
          <w:rFonts w:ascii="Calibri" w:hAnsi="Calibri" w:cs="Calibri"/>
          <w:szCs w:val="22"/>
        </w:rPr>
        <w:t>QMS</w:t>
      </w:r>
      <w:r w:rsidRPr="00472785">
        <w:rPr>
          <w:rFonts w:ascii="Calibri" w:hAnsi="Calibri" w:cs="Calibri"/>
          <w:szCs w:val="22"/>
          <w:rtl/>
        </w:rPr>
        <w:t>).</w:t>
      </w:r>
    </w:p>
    <w:p w14:paraId="61FFA6D9" w14:textId="77777777" w:rsidR="004E7E2F" w:rsidRPr="00472785" w:rsidRDefault="004E7E2F" w:rsidP="00C5047D">
      <w:pPr>
        <w:pStyle w:val="RuleQuote"/>
        <w:ind w:left="0"/>
        <w:rPr>
          <w:rFonts w:ascii="Calibri" w:hAnsi="Calibri" w:cs="Calibri"/>
          <w:i w:val="0"/>
          <w:iCs w:val="0"/>
          <w:szCs w:val="22"/>
          <w:lang w:val="en-GB"/>
        </w:rPr>
      </w:pPr>
    </w:p>
    <w:p w14:paraId="6EF613BF" w14:textId="7AA52D01" w:rsidR="00C5047D" w:rsidRPr="00472785" w:rsidRDefault="00C5047D" w:rsidP="00C5047D">
      <w:pPr>
        <w:pStyle w:val="SectionHeading"/>
        <w:bidi/>
        <w:rPr>
          <w:rFonts w:ascii="Calibri" w:hAnsi="Calibri" w:cs="Calibri"/>
          <w:szCs w:val="22"/>
          <w:rtl/>
        </w:rPr>
      </w:pPr>
      <w:r w:rsidRPr="00472785">
        <w:rPr>
          <w:rFonts w:ascii="Calibri" w:hAnsi="Calibri" w:cs="Calibri"/>
          <w:szCs w:val="22"/>
          <w:rtl/>
        </w:rPr>
        <w:t>4.2 – إدارة الجودة</w:t>
      </w:r>
    </w:p>
    <w:p w14:paraId="71608889" w14:textId="77777777" w:rsidR="00C5047D" w:rsidRPr="00472785" w:rsidRDefault="00C5047D" w:rsidP="00C5047D">
      <w:pPr>
        <w:pStyle w:val="RuleQuote"/>
        <w:bidi/>
        <w:rPr>
          <w:rFonts w:ascii="Calibri" w:hAnsi="Calibri" w:cs="Calibri"/>
          <w:b/>
          <w:bCs w:val="0"/>
          <w:szCs w:val="22"/>
          <w:rtl/>
        </w:rPr>
      </w:pPr>
      <w:r w:rsidRPr="00472785">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472785" w:rsidRDefault="00C5047D" w:rsidP="00C5047D">
      <w:pPr>
        <w:pStyle w:val="RuleQuote"/>
        <w:bidi/>
        <w:ind w:left="0"/>
        <w:rPr>
          <w:rFonts w:ascii="Calibri" w:hAnsi="Calibri" w:cs="Calibri"/>
          <w:b/>
          <w:bCs w:val="0"/>
          <w:i w:val="0"/>
          <w:iCs w:val="0"/>
          <w:szCs w:val="22"/>
          <w:rtl/>
        </w:rPr>
      </w:pPr>
      <w:r w:rsidRPr="00472785">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472785" w:rsidRDefault="00C5047D" w:rsidP="00C5047D">
      <w:pPr>
        <w:pStyle w:val="RuleQuote"/>
        <w:bidi/>
        <w:ind w:left="0"/>
        <w:rPr>
          <w:rFonts w:ascii="Calibri" w:hAnsi="Calibri" w:cs="Calibri"/>
          <w:b/>
          <w:bCs w:val="0"/>
          <w:i w:val="0"/>
          <w:iCs w:val="0"/>
          <w:szCs w:val="22"/>
          <w:rtl/>
        </w:rPr>
      </w:pPr>
      <w:r w:rsidRPr="00472785">
        <w:rPr>
          <w:rFonts w:ascii="Calibri" w:hAnsi="Calibri" w:cs="Calibri"/>
          <w:b/>
          <w:bCs w:val="0"/>
          <w:i w:val="0"/>
          <w:iCs w:val="0"/>
          <w:szCs w:val="22"/>
          <w:rtl/>
        </w:rPr>
        <w:t xml:space="preserve">معلومات أخرى خلاف تقرير نظام إدارة الجودة (اختيارية):  </w:t>
      </w:r>
    </w:p>
    <w:p w14:paraId="4B1478BD" w14:textId="375DBC3F"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 xml:space="preserve">يدير المكتب الوطني الأوكراني نظام إدارة جودة شامل حاصل على شهادة </w:t>
      </w:r>
      <w:r w:rsidRPr="00472785">
        <w:rPr>
          <w:rFonts w:ascii="Calibri" w:hAnsi="Calibri" w:cs="Calibri"/>
          <w:szCs w:val="22"/>
        </w:rPr>
        <w:t>ISO</w:t>
      </w:r>
      <w:r w:rsidRPr="00472785">
        <w:rPr>
          <w:rFonts w:ascii="Calibri" w:hAnsi="Calibri" w:cs="Calibri"/>
          <w:szCs w:val="22"/>
          <w:rtl/>
        </w:rPr>
        <w:t xml:space="preserve"> يغطي جميع مراحل البحث والفحص الدوليين.  والمكتب حاصل على شهادة </w:t>
      </w:r>
      <w:r w:rsidRPr="00472785">
        <w:rPr>
          <w:rFonts w:ascii="Calibri" w:hAnsi="Calibri" w:cs="Calibri"/>
          <w:szCs w:val="22"/>
        </w:rPr>
        <w:t>ISO 9001:2015</w:t>
      </w:r>
      <w:r w:rsidRPr="00472785">
        <w:rPr>
          <w:rFonts w:ascii="Calibri" w:hAnsi="Calibri" w:cs="Calibri"/>
          <w:szCs w:val="22"/>
          <w:rtl/>
        </w:rPr>
        <w:t xml:space="preserve"> لنظام إدارة الجودة وشهادة </w:t>
      </w:r>
      <w:r w:rsidRPr="00472785">
        <w:rPr>
          <w:rFonts w:ascii="Calibri" w:hAnsi="Calibri" w:cs="Calibri"/>
          <w:szCs w:val="22"/>
        </w:rPr>
        <w:t>ISO 37001:2016</w:t>
      </w:r>
      <w:r w:rsidRPr="00472785">
        <w:rPr>
          <w:rFonts w:ascii="Calibri" w:hAnsi="Calibri" w:cs="Calibri"/>
          <w:szCs w:val="22"/>
          <w:rtl/>
        </w:rPr>
        <w:t xml:space="preserve"> لإدارة مكافحة الرشوة، وقد اجتاز بنجاح أحدث تدقيق مراقبة لشهادة </w:t>
      </w:r>
      <w:r w:rsidRPr="00472785">
        <w:rPr>
          <w:rFonts w:ascii="Calibri" w:hAnsi="Calibri" w:cs="Calibri"/>
          <w:szCs w:val="22"/>
        </w:rPr>
        <w:t>ISO 9001:2015</w:t>
      </w:r>
      <w:r w:rsidRPr="00472785">
        <w:rPr>
          <w:rFonts w:ascii="Calibri" w:hAnsi="Calibri" w:cs="Calibri"/>
          <w:szCs w:val="22"/>
          <w:rtl/>
        </w:rPr>
        <w:t xml:space="preserve"> في يونيو 2025.  وتطبّق إجراءات الجودة في جميع الوحدات التشغيلية وتخضع لإجراءات موثقة وأنشطة مراقبة منتظمة.</w:t>
      </w:r>
    </w:p>
    <w:p w14:paraId="6B68CFA9" w14:textId="77777777"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كما يوفر نظام إدارة الجودة التدريب المستمر وتطوير كفاءات الفاحصين، والتخطيط والمراقبة القائمين على المخاطر، وتوزيع المسؤوليات بوضوح فيما يتعلق بالجودة على المستويين التشغيلي والإداري.</w:t>
      </w:r>
    </w:p>
    <w:p w14:paraId="2EF380E7" w14:textId="77777777" w:rsidR="00F235D8" w:rsidRPr="00472785" w:rsidRDefault="00F235D8" w:rsidP="00F235D8">
      <w:pPr>
        <w:pStyle w:val="Answer"/>
        <w:bidi/>
        <w:ind w:left="0"/>
        <w:rPr>
          <w:rFonts w:ascii="Calibri" w:hAnsi="Calibri" w:cs="Calibri"/>
          <w:szCs w:val="22"/>
          <w:rtl/>
        </w:rPr>
      </w:pPr>
      <w:r w:rsidRPr="00472785">
        <w:rPr>
          <w:rFonts w:ascii="Calibri" w:hAnsi="Calibri" w:cs="Calibri"/>
          <w:szCs w:val="22"/>
          <w:rtl/>
        </w:rPr>
        <w:t>ويؤكد المكتب أن نظام إدارة الجودة وترتيبات المراجعة الداخلية لديه تفي تمامًا بمتطلبات القاعدتين 1.36"4" و1.63"4" والفصل 21 من المبادئ التوجيهية، مما يضمن تقديم خدمات بحث وفحص دولية متسقة وعالية الجودة.</w:t>
      </w:r>
    </w:p>
    <w:p w14:paraId="21916F50" w14:textId="77777777" w:rsidR="004E7E2F" w:rsidRPr="00472785" w:rsidRDefault="004E7E2F" w:rsidP="00C5047D">
      <w:pPr>
        <w:pStyle w:val="RuleQuote"/>
        <w:ind w:left="0"/>
        <w:rPr>
          <w:rFonts w:ascii="Calibri" w:hAnsi="Calibri" w:cs="Calibri"/>
          <w:i w:val="0"/>
          <w:iCs w:val="0"/>
          <w:szCs w:val="22"/>
          <w:lang w:val="en-GB"/>
        </w:rPr>
      </w:pPr>
    </w:p>
    <w:p w14:paraId="3B307B49" w14:textId="77777777" w:rsidR="00C5047D" w:rsidRPr="00472785" w:rsidRDefault="00C5047D" w:rsidP="00C5047D">
      <w:pPr>
        <w:pStyle w:val="SectionHeading"/>
        <w:bidi/>
        <w:rPr>
          <w:rFonts w:ascii="Calibri" w:hAnsi="Calibri" w:cs="Calibri"/>
          <w:szCs w:val="22"/>
          <w:rtl/>
        </w:rPr>
      </w:pPr>
      <w:r w:rsidRPr="00472785">
        <w:rPr>
          <w:rFonts w:ascii="Calibri" w:hAnsi="Calibri" w:cs="Calibri"/>
          <w:szCs w:val="22"/>
          <w:rtl/>
        </w:rPr>
        <w:t>3 – نطاق التشغيل</w:t>
      </w:r>
    </w:p>
    <w:p w14:paraId="4DF663EE" w14:textId="77777777" w:rsidR="00C5047D" w:rsidRPr="00472785" w:rsidRDefault="00C5047D" w:rsidP="00C5047D">
      <w:pPr>
        <w:pStyle w:val="Question"/>
        <w:numPr>
          <w:ilvl w:val="0"/>
          <w:numId w:val="8"/>
        </w:numPr>
        <w:bidi/>
        <w:spacing w:after="240"/>
        <w:rPr>
          <w:rFonts w:ascii="Calibri" w:hAnsi="Calibri" w:cs="Calibri"/>
          <w:i/>
          <w:iCs/>
          <w:rtl/>
        </w:rPr>
      </w:pPr>
      <w:bookmarkStart w:id="6" w:name="_Hlk215156473"/>
      <w:r w:rsidRPr="00472785">
        <w:rPr>
          <w:rFonts w:ascii="Calibri" w:hAnsi="Calibri" w:cs="Calibri"/>
          <w:rtl/>
        </w:rPr>
        <w:tab/>
      </w:r>
      <w:bookmarkEnd w:id="6"/>
      <w:r w:rsidRPr="00472785">
        <w:rPr>
          <w:rFonts w:ascii="Calibri" w:hAnsi="Calibri" w:cs="Calibri"/>
          <w:rtl/>
        </w:rPr>
        <w:t>نطاق التشغيل الحالي</w:t>
      </w:r>
    </w:p>
    <w:p w14:paraId="00647516" w14:textId="70568FF7" w:rsidR="00C5047D" w:rsidRPr="00472785" w:rsidRDefault="00C5047D" w:rsidP="00C5047D">
      <w:pPr>
        <w:pStyle w:val="Question"/>
        <w:keepNext w:val="0"/>
        <w:bidi/>
        <w:spacing w:after="480"/>
        <w:rPr>
          <w:rFonts w:ascii="Calibri" w:hAnsi="Calibri" w:cs="Calibri"/>
          <w:b w:val="0"/>
          <w:bCs w:val="0"/>
          <w:rtl/>
        </w:rPr>
      </w:pPr>
      <w:r w:rsidRPr="00472785">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472785">
        <w:rPr>
          <w:rFonts w:ascii="Calibri" w:hAnsi="Calibri" w:cs="Calibri"/>
          <w:b w:val="0"/>
          <w:bCs w:val="0"/>
          <w:i/>
          <w:iCs/>
          <w:rtl/>
        </w:rPr>
        <w:t xml:space="preserve">دليل مودع الطلب بناء على معاهدة التعاون بشأن البراءات </w:t>
      </w:r>
      <w:r w:rsidRPr="00472785">
        <w:rPr>
          <w:rFonts w:ascii="Calibri" w:hAnsi="Calibri" w:cs="Calibri"/>
          <w:b w:val="0"/>
          <w:bCs w:val="0"/>
          <w:rtl/>
        </w:rPr>
        <w:t>المتاح من خلال الرابط التالي</w:t>
      </w:r>
      <w:bookmarkStart w:id="7" w:name="_Hlk214637647"/>
      <w:r w:rsidRPr="00472785">
        <w:rPr>
          <w:rFonts w:ascii="Calibri" w:hAnsi="Calibri" w:cs="Calibri"/>
          <w:b w:val="0"/>
          <w:bCs w:val="0"/>
          <w:rtl/>
        </w:rPr>
        <w:t xml:space="preserve">:  </w:t>
      </w:r>
      <w:hyperlink r:id="rId17" w:history="1">
        <w:r w:rsidRPr="00472785">
          <w:rPr>
            <w:rStyle w:val="Hyperlink"/>
            <w:rFonts w:ascii="Calibri" w:hAnsi="Calibri" w:cs="Calibri"/>
            <w:b w:val="0"/>
            <w:bCs w:val="0"/>
          </w:rPr>
          <w:t>https://pctlegal.wipo.int/eGuide/view-doc.xhtml?doc-code=UA&amp;doc-lang=en#ISA</w:t>
        </w:r>
      </w:hyperlink>
      <w:r w:rsidRPr="00472785">
        <w:rPr>
          <w:rFonts w:ascii="Calibri" w:hAnsi="Calibri" w:cs="Calibri"/>
          <w:b w:val="0"/>
          <w:bCs w:val="0"/>
          <w:rtl/>
        </w:rPr>
        <w:t xml:space="preserve"> و</w:t>
      </w:r>
      <w:bookmarkEnd w:id="7"/>
      <w:r w:rsidRPr="00472785">
        <w:rPr>
          <w:rFonts w:ascii="Calibri" w:hAnsi="Calibri" w:cs="Calibri"/>
          <w:b w:val="0"/>
          <w:bCs w:val="0"/>
        </w:rPr>
        <w:fldChar w:fldCharType="begin"/>
      </w:r>
      <w:r w:rsidRPr="00472785">
        <w:rPr>
          <w:rFonts w:ascii="Calibri" w:hAnsi="Calibri" w:cs="Calibri"/>
          <w:b w:val="0"/>
          <w:bCs w:val="0"/>
        </w:rPr>
        <w:instrText>HYPERLINK "file:///\\\\adi.wipo.int\\wipodata\\DAT1\\OrgPctLdev\\Shared\\WIPO%20meetings%20-%20PCT\\PCT-CTC-33\\Applications%20for%20extension%20of%20appointment\\UA\\pct_ctc_33_22%20draft%20UA.docx"</w:instrText>
      </w:r>
      <w:r w:rsidR="0096013A" w:rsidRPr="00472785">
        <w:rPr>
          <w:rFonts w:ascii="Calibri" w:hAnsi="Calibri" w:cs="Calibri"/>
          <w:b w:val="0"/>
          <w:bCs w:val="0"/>
        </w:rPr>
      </w:r>
      <w:r w:rsidRPr="00472785">
        <w:rPr>
          <w:rFonts w:ascii="Calibri" w:hAnsi="Calibri" w:cs="Calibri"/>
          <w:b w:val="0"/>
          <w:bCs w:val="0"/>
        </w:rPr>
        <w:fldChar w:fldCharType="separate"/>
      </w:r>
      <w:r w:rsidRPr="00472785">
        <w:rPr>
          <w:rFonts w:ascii="Calibri" w:hAnsi="Calibri" w:cs="Calibri"/>
          <w:b w:val="0"/>
          <w:bCs w:val="0"/>
          <w:rtl/>
        </w:rPr>
        <w:t xml:space="preserve"> </w:t>
      </w:r>
      <w:r w:rsidRPr="00472785">
        <w:rPr>
          <w:rStyle w:val="Hyperlink"/>
          <w:rFonts w:ascii="Calibri" w:hAnsi="Calibri" w:cs="Calibri"/>
          <w:b w:val="0"/>
          <w:bCs w:val="0"/>
        </w:rPr>
        <w:t>https://pctlegal.wipo.int/eGuide/view-doc.xhtml?doc-code=UA&amp;doc-lang=en#IPEA</w:t>
      </w:r>
      <w:r w:rsidRPr="00472785">
        <w:rPr>
          <w:rFonts w:ascii="Calibri" w:hAnsi="Calibri" w:cs="Calibri"/>
          <w:b w:val="0"/>
          <w:bCs w:val="0"/>
        </w:rPr>
        <w:fldChar w:fldCharType="end"/>
      </w:r>
      <w:r w:rsidRPr="00472785">
        <w:rPr>
          <w:rFonts w:ascii="Calibri" w:hAnsi="Calibri" w:cs="Calibri"/>
          <w:b w:val="0"/>
          <w:bCs w:val="0"/>
          <w:i/>
          <w:iCs/>
          <w:rtl/>
        </w:rPr>
        <w:t>.</w:t>
      </w:r>
    </w:p>
    <w:p w14:paraId="28EC7561" w14:textId="39649D7D" w:rsidR="00C5047D" w:rsidRPr="00472785" w:rsidRDefault="00AA4FB4" w:rsidP="00C5047D">
      <w:pPr>
        <w:pStyle w:val="Question"/>
        <w:numPr>
          <w:ilvl w:val="0"/>
          <w:numId w:val="8"/>
        </w:numPr>
        <w:bidi/>
        <w:spacing w:after="240"/>
        <w:rPr>
          <w:rFonts w:ascii="Calibri" w:hAnsi="Calibri" w:cs="Calibri"/>
          <w:rtl/>
        </w:rPr>
      </w:pPr>
      <w:r w:rsidRPr="00472785">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2193570D" w14:textId="0DEFA1E2" w:rsidR="000B29A7" w:rsidRPr="00472785" w:rsidRDefault="000B29A7" w:rsidP="000B29A7">
      <w:pPr>
        <w:pStyle w:val="Answer"/>
        <w:bidi/>
        <w:ind w:left="0"/>
        <w:rPr>
          <w:rFonts w:ascii="Calibri" w:hAnsi="Calibri" w:cs="Calibri"/>
          <w:szCs w:val="22"/>
          <w:rtl/>
        </w:rPr>
      </w:pPr>
      <w:r w:rsidRPr="00472785">
        <w:rPr>
          <w:rFonts w:ascii="Calibri" w:hAnsi="Calibri" w:cs="Calibri"/>
          <w:szCs w:val="22"/>
          <w:rtl/>
        </w:rPr>
        <w:t>تقوم الإدارة حالياً بمراجعة بعض المعايير الإدارية لعمليات إدارة البحث الدولي وإدارة الفحص التمهيدي الدولي من أجل ضمان استمرار توافقها مع التشريعات الوطنية واحتياجات المستخدمين.  ويمكن أن يشمل هذا الاستعراض الداخلي، في جملة أمور، النظر في التعديلات المستقبلية على هيكل الرسوم والترتيبات اللغوية التشغيلية.</w:t>
      </w:r>
    </w:p>
    <w:p w14:paraId="2C7F3F2D" w14:textId="77777777" w:rsidR="000B29A7" w:rsidRPr="00472785" w:rsidRDefault="000B29A7" w:rsidP="000B29A7">
      <w:pPr>
        <w:pStyle w:val="Answer"/>
        <w:bidi/>
        <w:ind w:left="0"/>
        <w:rPr>
          <w:rFonts w:ascii="Calibri" w:hAnsi="Calibri" w:cs="Calibri"/>
          <w:szCs w:val="22"/>
          <w:rtl/>
        </w:rPr>
      </w:pPr>
      <w:r w:rsidRPr="00472785">
        <w:rPr>
          <w:rFonts w:ascii="Calibri" w:hAnsi="Calibri" w:cs="Calibri"/>
          <w:szCs w:val="22"/>
          <w:rtl/>
        </w:rPr>
        <w:t>وستُبلغ أي تغييرات من هذا القبيل، بمجرد اتخاذ قرار رسمي بشأنها، إلى المكتب الدولي من خلال الإجراءات القياسية لمعاهدة البراءات وستُنفذ وفقاً للقواعد والتعليمات الإدارية لمعاهدة البراءات المعمول بها.</w:t>
      </w:r>
    </w:p>
    <w:p w14:paraId="3CB68C76" w14:textId="77777777" w:rsidR="004E7E2F" w:rsidRPr="00472785" w:rsidRDefault="004E7E2F" w:rsidP="004E7E2F">
      <w:pPr>
        <w:pStyle w:val="Answer"/>
        <w:rPr>
          <w:rFonts w:ascii="Calibri" w:hAnsi="Calibri" w:cs="Calibri"/>
          <w:szCs w:val="22"/>
          <w:lang w:val="en-GB"/>
        </w:rPr>
      </w:pPr>
    </w:p>
    <w:p w14:paraId="0330D9AA" w14:textId="77777777" w:rsidR="00C5047D" w:rsidRPr="00472785" w:rsidRDefault="00C5047D" w:rsidP="00C5047D">
      <w:pPr>
        <w:pStyle w:val="SectionHeading"/>
        <w:bidi/>
        <w:rPr>
          <w:rFonts w:ascii="Calibri" w:hAnsi="Calibri" w:cs="Calibri"/>
          <w:szCs w:val="22"/>
          <w:rtl/>
        </w:rPr>
      </w:pPr>
      <w:r w:rsidRPr="00472785">
        <w:rPr>
          <w:rFonts w:ascii="Calibri" w:hAnsi="Calibri" w:cs="Calibri"/>
          <w:szCs w:val="22"/>
          <w:rtl/>
        </w:rPr>
        <w:lastRenderedPageBreak/>
        <w:t>4 – معلومات أخرى</w:t>
      </w:r>
    </w:p>
    <w:p w14:paraId="041B071C" w14:textId="77777777" w:rsidR="00C5047D" w:rsidRPr="00472785" w:rsidRDefault="00C5047D" w:rsidP="00C5047D">
      <w:pPr>
        <w:bidi/>
        <w:rPr>
          <w:rFonts w:ascii="Calibri" w:hAnsi="Calibri" w:cs="Calibri"/>
          <w:szCs w:val="22"/>
          <w:rtl/>
        </w:rPr>
      </w:pPr>
      <w:r w:rsidRPr="00472785">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77777777" w:rsidR="00C5047D" w:rsidRPr="00472785" w:rsidRDefault="00C5047D" w:rsidP="00C5047D">
      <w:pPr>
        <w:rPr>
          <w:rFonts w:ascii="Calibri" w:hAnsi="Calibri" w:cs="Calibri"/>
          <w:szCs w:val="22"/>
        </w:rPr>
      </w:pPr>
    </w:p>
    <w:p w14:paraId="565493DE" w14:textId="77777777" w:rsidR="00C5047D" w:rsidRPr="00472785" w:rsidRDefault="00C5047D" w:rsidP="00C5047D">
      <w:pPr>
        <w:pStyle w:val="SectionHeading"/>
        <w:rPr>
          <w:rFonts w:ascii="Calibri" w:hAnsi="Calibri" w:cs="Calibri"/>
          <w:szCs w:val="22"/>
          <w:lang w:val="en-US"/>
        </w:rPr>
      </w:pPr>
    </w:p>
    <w:p w14:paraId="05B9A047" w14:textId="77777777" w:rsidR="00C5047D" w:rsidRPr="00472785" w:rsidRDefault="00C5047D" w:rsidP="00C5047D">
      <w:pPr>
        <w:pStyle w:val="Endofdocument-Annex"/>
        <w:bidi/>
        <w:rPr>
          <w:rFonts w:ascii="Calibri" w:hAnsi="Calibri" w:cs="Calibri"/>
          <w:b/>
          <w:bCs/>
          <w:iCs/>
          <w:caps/>
          <w:szCs w:val="22"/>
          <w:rtl/>
        </w:rPr>
      </w:pPr>
      <w:r w:rsidRPr="00472785">
        <w:rPr>
          <w:rFonts w:ascii="Calibri" w:hAnsi="Calibri" w:cs="Calibri"/>
          <w:szCs w:val="22"/>
          <w:rtl/>
        </w:rPr>
        <w:t>[نهاية المرفق والوثيقة]</w:t>
      </w:r>
    </w:p>
    <w:p w14:paraId="3B3E50D2" w14:textId="77777777" w:rsidR="00C5047D" w:rsidRPr="00472785" w:rsidRDefault="00C5047D" w:rsidP="00C5047D">
      <w:pPr>
        <w:rPr>
          <w:rFonts w:ascii="Calibri" w:hAnsi="Calibri" w:cs="Calibri"/>
          <w:szCs w:val="22"/>
        </w:rPr>
      </w:pPr>
    </w:p>
    <w:sectPr w:rsidR="00C5047D" w:rsidRPr="00472785"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3B9F" w14:textId="77777777" w:rsidR="00255D0F" w:rsidRDefault="00255D0F">
      <w:r>
        <w:separator/>
      </w:r>
    </w:p>
  </w:endnote>
  <w:endnote w:type="continuationSeparator" w:id="0">
    <w:p w14:paraId="70635E4A" w14:textId="77777777" w:rsidR="00255D0F" w:rsidRDefault="00255D0F" w:rsidP="003B38C1">
      <w:r>
        <w:separator/>
      </w:r>
    </w:p>
    <w:p w14:paraId="2F252A81" w14:textId="77777777" w:rsidR="00255D0F" w:rsidRPr="003B38C1" w:rsidRDefault="00255D0F" w:rsidP="003B38C1">
      <w:pPr>
        <w:spacing w:after="60"/>
        <w:rPr>
          <w:sz w:val="17"/>
        </w:rPr>
      </w:pPr>
      <w:r>
        <w:rPr>
          <w:sz w:val="17"/>
        </w:rPr>
        <w:t>[Endnote continued from previous page]</w:t>
      </w:r>
    </w:p>
  </w:endnote>
  <w:endnote w:type="continuationNotice" w:id="1">
    <w:p w14:paraId="05610C23" w14:textId="77777777" w:rsidR="00255D0F" w:rsidRPr="003B38C1" w:rsidRDefault="00255D0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25EE" w14:textId="77777777" w:rsidR="00255D0F" w:rsidRDefault="00255D0F">
      <w:r>
        <w:separator/>
      </w:r>
    </w:p>
  </w:footnote>
  <w:footnote w:type="continuationSeparator" w:id="0">
    <w:p w14:paraId="17B84B01" w14:textId="77777777" w:rsidR="00255D0F" w:rsidRDefault="00255D0F" w:rsidP="008B60B2">
      <w:r>
        <w:separator/>
      </w:r>
    </w:p>
    <w:p w14:paraId="14221578" w14:textId="77777777" w:rsidR="00255D0F" w:rsidRPr="00ED77FB" w:rsidRDefault="00255D0F" w:rsidP="008B60B2">
      <w:pPr>
        <w:spacing w:after="60"/>
        <w:rPr>
          <w:sz w:val="17"/>
          <w:szCs w:val="17"/>
        </w:rPr>
      </w:pPr>
      <w:r w:rsidRPr="00ED77FB">
        <w:rPr>
          <w:sz w:val="17"/>
          <w:szCs w:val="17"/>
        </w:rPr>
        <w:t>[Footnote continued from previous page]</w:t>
      </w:r>
    </w:p>
  </w:footnote>
  <w:footnote w:type="continuationNotice" w:id="1">
    <w:p w14:paraId="29F92B9B" w14:textId="77777777" w:rsidR="00255D0F" w:rsidRPr="00ED77FB" w:rsidRDefault="00255D0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5208C7CC" w:rsidR="009A31F1" w:rsidRPr="00346ECC" w:rsidRDefault="009A31F1" w:rsidP="009A31F1">
        <w:pPr>
          <w:bidi/>
          <w:jc w:val="right"/>
          <w:rPr>
            <w:caps/>
            <w:rtl/>
          </w:rPr>
        </w:pPr>
        <w:r>
          <w:rPr>
            <w:rFonts w:hint="cs"/>
            <w:caps/>
            <w:rtl/>
          </w:rPr>
          <w:t>/</w:t>
        </w:r>
        <w:r>
          <w:rPr>
            <w:caps/>
          </w:rPr>
          <w:t>CTC/33/23</w:t>
        </w:r>
      </w:p>
      <w:p w14:paraId="4B95F7F0" w14:textId="77777777" w:rsidR="00472785" w:rsidRDefault="009A31F1" w:rsidP="009A31F1">
        <w:pPr>
          <w:pStyle w:val="Header"/>
          <w:bidi/>
          <w:jc w:val="right"/>
          <w:rPr>
            <w:rtl/>
          </w:rPr>
        </w:pPr>
        <w:r>
          <w:t>Annex</w:t>
        </w:r>
      </w:p>
      <w:p w14:paraId="28DB5474" w14:textId="3C921755" w:rsidR="009A31F1" w:rsidRDefault="009A31F1" w:rsidP="00472785">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96013A"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4A10704" w:rsidR="009A31F1" w:rsidRDefault="009A31F1" w:rsidP="009A31F1">
    <w:pPr>
      <w:pStyle w:val="Header"/>
      <w:bidi/>
      <w:jc w:val="right"/>
      <w:rPr>
        <w:rtl/>
      </w:rPr>
    </w:pPr>
    <w:r>
      <w:rPr>
        <w:rFonts w:hint="cs"/>
        <w:rtl/>
      </w:rPr>
      <w:tab/>
    </w:r>
    <w:r>
      <w:rPr>
        <w:rFonts w:hint="cs"/>
        <w:rtl/>
      </w:rPr>
      <w:t>/</w:t>
    </w:r>
    <w:r>
      <w:t>CTC/33/23</w:t>
    </w:r>
  </w:p>
  <w:p w14:paraId="0AD3DC1D" w14:textId="77777777" w:rsidR="009A31F1" w:rsidRDefault="009A31F1" w:rsidP="009A31F1">
    <w:pPr>
      <w:pStyle w:val="Header"/>
      <w:bidi/>
      <w:jc w:val="right"/>
    </w:pPr>
    <w:r>
      <w:t>ANNEX</w:t>
    </w:r>
  </w:p>
  <w:p w14:paraId="03C00216" w14:textId="34F76FB8" w:rsidR="00472785" w:rsidRPr="00472785" w:rsidRDefault="00472785" w:rsidP="00472785">
    <w:pPr>
      <w:pStyle w:val="Header"/>
      <w:bidi/>
      <w:jc w:val="right"/>
      <w:rPr>
        <w:rFonts w:ascii="Calibri" w:hAnsi="Calibri" w:cs="Calibri"/>
        <w:sz w:val="24"/>
        <w:szCs w:val="22"/>
        <w:rtl/>
        <w:lang w:val="fr-CH" w:bidi="ar-SY"/>
      </w:rPr>
    </w:pPr>
    <w:r w:rsidRPr="00472785">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688D"/>
    <w:rsid w:val="00027CD7"/>
    <w:rsid w:val="000358C3"/>
    <w:rsid w:val="00043CAA"/>
    <w:rsid w:val="00056816"/>
    <w:rsid w:val="000641FE"/>
    <w:rsid w:val="00075432"/>
    <w:rsid w:val="000756C6"/>
    <w:rsid w:val="000968ED"/>
    <w:rsid w:val="000A3D97"/>
    <w:rsid w:val="000A6309"/>
    <w:rsid w:val="000A78D1"/>
    <w:rsid w:val="000B29A7"/>
    <w:rsid w:val="000D46FE"/>
    <w:rsid w:val="000F5E56"/>
    <w:rsid w:val="00111BB0"/>
    <w:rsid w:val="001362EE"/>
    <w:rsid w:val="00141C5C"/>
    <w:rsid w:val="001647D5"/>
    <w:rsid w:val="001832A6"/>
    <w:rsid w:val="001908E4"/>
    <w:rsid w:val="001C1E5F"/>
    <w:rsid w:val="001D4107"/>
    <w:rsid w:val="001E0E2A"/>
    <w:rsid w:val="001F1115"/>
    <w:rsid w:val="001F76D2"/>
    <w:rsid w:val="00203D24"/>
    <w:rsid w:val="0021217E"/>
    <w:rsid w:val="00217FB1"/>
    <w:rsid w:val="002326AB"/>
    <w:rsid w:val="00243430"/>
    <w:rsid w:val="00246D4D"/>
    <w:rsid w:val="00255D0F"/>
    <w:rsid w:val="002634C4"/>
    <w:rsid w:val="00273E1A"/>
    <w:rsid w:val="0027691E"/>
    <w:rsid w:val="002928D3"/>
    <w:rsid w:val="002D26EA"/>
    <w:rsid w:val="002E29C7"/>
    <w:rsid w:val="002F1FE6"/>
    <w:rsid w:val="002F4E68"/>
    <w:rsid w:val="002F50F7"/>
    <w:rsid w:val="00312F7F"/>
    <w:rsid w:val="00344B35"/>
    <w:rsid w:val="00355FC1"/>
    <w:rsid w:val="00361450"/>
    <w:rsid w:val="003673CF"/>
    <w:rsid w:val="003845C1"/>
    <w:rsid w:val="003A6F89"/>
    <w:rsid w:val="003B1E1E"/>
    <w:rsid w:val="003B38C1"/>
    <w:rsid w:val="003C2564"/>
    <w:rsid w:val="003C34E9"/>
    <w:rsid w:val="003F6F01"/>
    <w:rsid w:val="00423E3E"/>
    <w:rsid w:val="00427AF4"/>
    <w:rsid w:val="004647DA"/>
    <w:rsid w:val="00466D9E"/>
    <w:rsid w:val="00472785"/>
    <w:rsid w:val="00474062"/>
    <w:rsid w:val="00477D6B"/>
    <w:rsid w:val="00496909"/>
    <w:rsid w:val="004B446A"/>
    <w:rsid w:val="004B6994"/>
    <w:rsid w:val="004C667B"/>
    <w:rsid w:val="004E2494"/>
    <w:rsid w:val="004E7E2F"/>
    <w:rsid w:val="004F0127"/>
    <w:rsid w:val="005019FF"/>
    <w:rsid w:val="0053057A"/>
    <w:rsid w:val="00543916"/>
    <w:rsid w:val="00556076"/>
    <w:rsid w:val="00560A29"/>
    <w:rsid w:val="005C6649"/>
    <w:rsid w:val="005C79F6"/>
    <w:rsid w:val="005D7341"/>
    <w:rsid w:val="00605827"/>
    <w:rsid w:val="00646050"/>
    <w:rsid w:val="00647CAE"/>
    <w:rsid w:val="006713CA"/>
    <w:rsid w:val="00676C5C"/>
    <w:rsid w:val="006916DB"/>
    <w:rsid w:val="006A5C36"/>
    <w:rsid w:val="006C238E"/>
    <w:rsid w:val="006C712A"/>
    <w:rsid w:val="006E0254"/>
    <w:rsid w:val="006F04BC"/>
    <w:rsid w:val="00720EFD"/>
    <w:rsid w:val="00756C6B"/>
    <w:rsid w:val="007578A4"/>
    <w:rsid w:val="00761CD8"/>
    <w:rsid w:val="007757F3"/>
    <w:rsid w:val="007854AF"/>
    <w:rsid w:val="00793A7C"/>
    <w:rsid w:val="007A398A"/>
    <w:rsid w:val="007A3EC4"/>
    <w:rsid w:val="007D0724"/>
    <w:rsid w:val="007D1613"/>
    <w:rsid w:val="007E2EC1"/>
    <w:rsid w:val="007E4C0E"/>
    <w:rsid w:val="008425EA"/>
    <w:rsid w:val="008543C9"/>
    <w:rsid w:val="008769C1"/>
    <w:rsid w:val="008A134B"/>
    <w:rsid w:val="008B2CC1"/>
    <w:rsid w:val="008B60B2"/>
    <w:rsid w:val="008E698F"/>
    <w:rsid w:val="008F499A"/>
    <w:rsid w:val="009023B3"/>
    <w:rsid w:val="0090731E"/>
    <w:rsid w:val="00916EE2"/>
    <w:rsid w:val="0092539A"/>
    <w:rsid w:val="00936531"/>
    <w:rsid w:val="0096013A"/>
    <w:rsid w:val="00966A22"/>
    <w:rsid w:val="0096722F"/>
    <w:rsid w:val="00980843"/>
    <w:rsid w:val="009A31F1"/>
    <w:rsid w:val="009A53C9"/>
    <w:rsid w:val="009E2791"/>
    <w:rsid w:val="009E3F6F"/>
    <w:rsid w:val="009E4E4F"/>
    <w:rsid w:val="009F157D"/>
    <w:rsid w:val="009F499F"/>
    <w:rsid w:val="00A0628B"/>
    <w:rsid w:val="00A1569E"/>
    <w:rsid w:val="00A37342"/>
    <w:rsid w:val="00A42DAF"/>
    <w:rsid w:val="00A45BD8"/>
    <w:rsid w:val="00A53F2A"/>
    <w:rsid w:val="00A80695"/>
    <w:rsid w:val="00A869B7"/>
    <w:rsid w:val="00A90F0A"/>
    <w:rsid w:val="00AA4FB4"/>
    <w:rsid w:val="00AB729B"/>
    <w:rsid w:val="00AC205C"/>
    <w:rsid w:val="00AC4C7C"/>
    <w:rsid w:val="00AF0A6B"/>
    <w:rsid w:val="00B05A69"/>
    <w:rsid w:val="00B442F5"/>
    <w:rsid w:val="00B56A00"/>
    <w:rsid w:val="00B75281"/>
    <w:rsid w:val="00B77CE2"/>
    <w:rsid w:val="00B81893"/>
    <w:rsid w:val="00B92F1F"/>
    <w:rsid w:val="00B9734B"/>
    <w:rsid w:val="00BA30E2"/>
    <w:rsid w:val="00BC039A"/>
    <w:rsid w:val="00C00276"/>
    <w:rsid w:val="00C014ED"/>
    <w:rsid w:val="00C11BFE"/>
    <w:rsid w:val="00C457C7"/>
    <w:rsid w:val="00C5047D"/>
    <w:rsid w:val="00C5068F"/>
    <w:rsid w:val="00C66665"/>
    <w:rsid w:val="00C86D74"/>
    <w:rsid w:val="00CA7350"/>
    <w:rsid w:val="00CC3DCE"/>
    <w:rsid w:val="00CD04F1"/>
    <w:rsid w:val="00CD3493"/>
    <w:rsid w:val="00CD578D"/>
    <w:rsid w:val="00CF681A"/>
    <w:rsid w:val="00D07C78"/>
    <w:rsid w:val="00D45252"/>
    <w:rsid w:val="00D47739"/>
    <w:rsid w:val="00D50FB2"/>
    <w:rsid w:val="00D71B4D"/>
    <w:rsid w:val="00D87365"/>
    <w:rsid w:val="00D93D55"/>
    <w:rsid w:val="00DD7B7F"/>
    <w:rsid w:val="00DF7EF2"/>
    <w:rsid w:val="00E15015"/>
    <w:rsid w:val="00E335FE"/>
    <w:rsid w:val="00E82F6F"/>
    <w:rsid w:val="00E955BE"/>
    <w:rsid w:val="00EA7D6E"/>
    <w:rsid w:val="00EB2F76"/>
    <w:rsid w:val="00EC4E49"/>
    <w:rsid w:val="00ED77FB"/>
    <w:rsid w:val="00EE45FA"/>
    <w:rsid w:val="00EF0538"/>
    <w:rsid w:val="00EF6955"/>
    <w:rsid w:val="00F043DE"/>
    <w:rsid w:val="00F16F62"/>
    <w:rsid w:val="00F235D8"/>
    <w:rsid w:val="00F36518"/>
    <w:rsid w:val="00F63809"/>
    <w:rsid w:val="00F66152"/>
    <w:rsid w:val="00F9165B"/>
    <w:rsid w:val="00FA796B"/>
    <w:rsid w:val="00FB5C16"/>
    <w:rsid w:val="00FB7D28"/>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adi.wipo.int\wipodata\DAT1\OrgPctLdev\Shared\WIPO%20meetings%20-%20PCT\PCT-CTC-33\Applications%20for%20extension%20of%20appointment\UA\pct_ctc_33_22%20draft%20UA.docx" TargetMode="External"/><Relationship Id="rId2" Type="http://schemas.openxmlformats.org/officeDocument/2006/relationships/numbering" Target="numbering.xml"/><Relationship Id="rId16" Type="http://schemas.openxmlformats.org/officeDocument/2006/relationships/hyperlink" Target="https://sis.nipo.gov.ua/en/search/simp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ogdan.paduchak@nipo.gov.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PCT/CTC/33/23</vt:lpstr>
    </vt:vector>
  </TitlesOfParts>
  <Company>WIPO</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PCT/CTC/33/23</dc:title>
  <dc:creator>NOVRUZOVA Elnara</dc:creator>
  <cp:keywords>FOR OFFICIAL USE ONLY</cp:keywords>
  <cp:lastModifiedBy>SAKR Sally</cp:lastModifiedBy>
  <cp:revision>2</cp:revision>
  <cp:lastPrinted>2026-01-09T18:35:00Z</cp:lastPrinted>
  <dcterms:created xsi:type="dcterms:W3CDTF">2026-01-13T10:30:00Z</dcterms:created>
  <dcterms:modified xsi:type="dcterms:W3CDTF">2026-01-13T10:30:00Z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