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446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CA23C95" wp14:editId="06FB08BC">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D56501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EB226BD" w14:textId="69D34A7D" w:rsidR="008B2CC1" w:rsidRPr="002326AB" w:rsidRDefault="004E0043" w:rsidP="00250149">
      <w:pPr>
        <w:bidi w:val="0"/>
        <w:rPr>
          <w:rFonts w:ascii="Arial Black" w:hAnsi="Arial Black"/>
          <w:caps/>
          <w:sz w:val="15"/>
          <w:szCs w:val="15"/>
          <w:rtl/>
        </w:rPr>
      </w:pPr>
      <w:r>
        <w:rPr>
          <w:rFonts w:ascii="Arial Black" w:hAnsi="Arial Black"/>
          <w:caps/>
          <w:sz w:val="15"/>
          <w:szCs w:val="15"/>
        </w:rPr>
        <w:t>PCT</w:t>
      </w:r>
      <w:r w:rsidR="00250149">
        <w:rPr>
          <w:rFonts w:ascii="Arial Black" w:hAnsi="Arial Black"/>
          <w:caps/>
          <w:sz w:val="15"/>
          <w:szCs w:val="15"/>
        </w:rPr>
        <w:t>/</w:t>
      </w:r>
      <w:r w:rsidR="007E7D5E">
        <w:rPr>
          <w:rFonts w:ascii="Arial Black" w:hAnsi="Arial Black"/>
          <w:caps/>
          <w:sz w:val="15"/>
          <w:szCs w:val="15"/>
        </w:rPr>
        <w:t>CTC</w:t>
      </w:r>
      <w:r w:rsidR="00D90B96">
        <w:rPr>
          <w:rFonts w:ascii="Arial Black" w:hAnsi="Arial Black"/>
          <w:caps/>
          <w:sz w:val="15"/>
          <w:szCs w:val="15"/>
        </w:rPr>
        <w:t>/</w:t>
      </w:r>
      <w:bookmarkStart w:id="0" w:name="Code"/>
      <w:bookmarkEnd w:id="0"/>
      <w:r w:rsidR="007E7D5E">
        <w:rPr>
          <w:rFonts w:ascii="Arial Black" w:hAnsi="Arial Black"/>
          <w:caps/>
          <w:sz w:val="15"/>
          <w:szCs w:val="15"/>
        </w:rPr>
        <w:t>33</w:t>
      </w:r>
      <w:r>
        <w:rPr>
          <w:rFonts w:ascii="Arial Black" w:hAnsi="Arial Black"/>
          <w:caps/>
          <w:sz w:val="15"/>
          <w:szCs w:val="15"/>
        </w:rPr>
        <w:t>/</w:t>
      </w:r>
      <w:r w:rsidR="00F601AC">
        <w:rPr>
          <w:rFonts w:ascii="Arial Black" w:hAnsi="Arial Black"/>
          <w:caps/>
          <w:sz w:val="15"/>
          <w:szCs w:val="15"/>
        </w:rPr>
        <w:t>13</w:t>
      </w:r>
    </w:p>
    <w:p w14:paraId="3384F0E9" w14:textId="7676B780" w:rsidR="008B2CC1" w:rsidRPr="00200035" w:rsidRDefault="00CC3E2D" w:rsidP="00CC3E2D">
      <w:pPr>
        <w:jc w:val="right"/>
        <w:rPr>
          <w:rFonts w:asciiTheme="minorHAnsi" w:hAnsiTheme="minorHAnsi" w:cstheme="minorHAnsi"/>
          <w:b/>
          <w:bCs/>
          <w:caps/>
          <w:sz w:val="15"/>
          <w:szCs w:val="15"/>
        </w:rPr>
      </w:pPr>
      <w:bookmarkStart w:id="1" w:name="Original"/>
      <w:r w:rsidRPr="00200035">
        <w:rPr>
          <w:rFonts w:asciiTheme="minorHAnsi" w:hAnsiTheme="minorHAnsi" w:cstheme="minorHAnsi" w:hint="cs"/>
          <w:b/>
          <w:bCs/>
          <w:caps/>
          <w:sz w:val="15"/>
          <w:szCs w:val="15"/>
          <w:rtl/>
        </w:rPr>
        <w:t xml:space="preserve">الأصل: </w:t>
      </w:r>
      <w:r w:rsidR="009D161D">
        <w:rPr>
          <w:rFonts w:asciiTheme="minorHAnsi" w:hAnsiTheme="minorHAnsi" w:cstheme="minorHAnsi" w:hint="cs"/>
          <w:b/>
          <w:bCs/>
          <w:caps/>
          <w:sz w:val="15"/>
          <w:szCs w:val="15"/>
          <w:rtl/>
        </w:rPr>
        <w:t>بالإنكليزية</w:t>
      </w:r>
    </w:p>
    <w:p w14:paraId="0E1AE2BB" w14:textId="55842841" w:rsidR="008B2CC1" w:rsidRPr="00200035" w:rsidRDefault="00CC3E2D" w:rsidP="00CC3E2D">
      <w:pPr>
        <w:spacing w:after="1200"/>
        <w:jc w:val="right"/>
        <w:rPr>
          <w:rFonts w:asciiTheme="minorHAnsi" w:hAnsiTheme="minorHAnsi" w:cstheme="minorHAnsi"/>
          <w:b/>
          <w:bCs/>
          <w:caps/>
          <w:sz w:val="15"/>
          <w:szCs w:val="15"/>
        </w:rPr>
      </w:pPr>
      <w:bookmarkStart w:id="2" w:name="Date"/>
      <w:bookmarkEnd w:id="1"/>
      <w:r w:rsidRPr="00200035">
        <w:rPr>
          <w:rFonts w:asciiTheme="minorHAnsi" w:hAnsiTheme="minorHAnsi" w:cstheme="minorHAnsi" w:hint="cs"/>
          <w:b/>
          <w:bCs/>
          <w:caps/>
          <w:sz w:val="15"/>
          <w:szCs w:val="15"/>
          <w:rtl/>
        </w:rPr>
        <w:t xml:space="preserve">التاريخ: </w:t>
      </w:r>
      <w:r w:rsidR="00F601AC">
        <w:rPr>
          <w:rFonts w:asciiTheme="minorHAnsi" w:hAnsiTheme="minorHAnsi" w:cstheme="minorHAnsi" w:hint="cs"/>
          <w:b/>
          <w:bCs/>
          <w:caps/>
          <w:sz w:val="15"/>
          <w:szCs w:val="15"/>
          <w:rtl/>
        </w:rPr>
        <w:t>19</w:t>
      </w:r>
      <w:r w:rsidR="009D161D">
        <w:rPr>
          <w:rFonts w:asciiTheme="minorHAnsi" w:hAnsiTheme="minorHAnsi" w:cstheme="minorHAnsi" w:hint="cs"/>
          <w:b/>
          <w:bCs/>
          <w:caps/>
          <w:sz w:val="15"/>
          <w:szCs w:val="15"/>
          <w:rtl/>
        </w:rPr>
        <w:t xml:space="preserve"> </w:t>
      </w:r>
      <w:r w:rsidR="007F061E">
        <w:rPr>
          <w:rFonts w:asciiTheme="minorHAnsi" w:hAnsiTheme="minorHAnsi" w:cstheme="minorHAnsi" w:hint="cs"/>
          <w:b/>
          <w:bCs/>
          <w:caps/>
          <w:sz w:val="15"/>
          <w:szCs w:val="15"/>
          <w:rtl/>
        </w:rPr>
        <w:t>ديسمبر</w:t>
      </w:r>
      <w:r w:rsidR="009D161D">
        <w:rPr>
          <w:rFonts w:asciiTheme="minorHAnsi" w:hAnsiTheme="minorHAnsi" w:cstheme="minorHAnsi" w:hint="cs"/>
          <w:b/>
          <w:bCs/>
          <w:caps/>
          <w:sz w:val="15"/>
          <w:szCs w:val="15"/>
          <w:rtl/>
        </w:rPr>
        <w:t xml:space="preserve"> </w:t>
      </w:r>
      <w:r w:rsidR="00093892">
        <w:rPr>
          <w:rFonts w:asciiTheme="minorHAnsi" w:hAnsiTheme="minorHAnsi" w:cstheme="minorHAnsi" w:hint="cs"/>
          <w:b/>
          <w:bCs/>
          <w:caps/>
          <w:sz w:val="15"/>
          <w:szCs w:val="15"/>
          <w:rtl/>
        </w:rPr>
        <w:t>2025</w:t>
      </w:r>
    </w:p>
    <w:bookmarkEnd w:id="2"/>
    <w:p w14:paraId="3878C95F" w14:textId="5FD7906D" w:rsidR="008B2CC1" w:rsidRPr="00D67EAE" w:rsidRDefault="007E7D5E" w:rsidP="007E7D5E">
      <w:pPr>
        <w:pStyle w:val="Heading1"/>
        <w:rPr>
          <w:rtl/>
        </w:rPr>
      </w:pPr>
      <w:r>
        <w:rPr>
          <w:rtl/>
        </w:rPr>
        <w:t>معاهدة التعاون بشأن البراءات</w:t>
      </w:r>
      <w:r>
        <w:br/>
      </w:r>
      <w:r>
        <w:rPr>
          <w:rtl/>
        </w:rPr>
        <w:t>اللجنة المعنية بالتعاون التقني</w:t>
      </w:r>
    </w:p>
    <w:p w14:paraId="0CD20626" w14:textId="06F20DFC" w:rsidR="00A90F0A" w:rsidRPr="00D67EAE" w:rsidRDefault="007E7D5E" w:rsidP="00200035">
      <w:pPr>
        <w:outlineLvl w:val="1"/>
        <w:rPr>
          <w:rFonts w:asciiTheme="minorHAnsi" w:hAnsiTheme="minorHAnsi" w:cstheme="minorHAnsi"/>
          <w:bCs/>
          <w:sz w:val="24"/>
          <w:szCs w:val="24"/>
        </w:rPr>
      </w:pPr>
      <w:r w:rsidRPr="007E7D5E">
        <w:rPr>
          <w:rFonts w:asciiTheme="minorHAnsi" w:hAnsiTheme="minorHAnsi"/>
          <w:bCs/>
          <w:sz w:val="24"/>
          <w:szCs w:val="24"/>
          <w:rtl/>
        </w:rPr>
        <w:t>الدورة الثالثة والثلاثون</w:t>
      </w:r>
    </w:p>
    <w:p w14:paraId="7042A1F7" w14:textId="2F3AEF2F" w:rsidR="008B2CC1" w:rsidRPr="00D67EAE" w:rsidRDefault="00D67EAE" w:rsidP="00EC48BA">
      <w:pPr>
        <w:tabs>
          <w:tab w:val="left" w:pos="7293"/>
        </w:tabs>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093892">
        <w:rPr>
          <w:rFonts w:asciiTheme="minorHAnsi" w:hAnsiTheme="minorHAnsi" w:cstheme="minorHAnsi" w:hint="cs"/>
          <w:bCs/>
          <w:sz w:val="24"/>
          <w:szCs w:val="24"/>
          <w:rtl/>
        </w:rPr>
        <w:t>2</w:t>
      </w:r>
      <w:r w:rsidRPr="00D67EAE">
        <w:rPr>
          <w:rFonts w:asciiTheme="minorHAnsi" w:hAnsiTheme="minorHAnsi" w:cstheme="minorHAnsi" w:hint="cs"/>
          <w:bCs/>
          <w:sz w:val="24"/>
          <w:szCs w:val="24"/>
          <w:rtl/>
        </w:rPr>
        <w:t xml:space="preserve"> إلى </w:t>
      </w:r>
      <w:r w:rsidR="00093892">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w:t>
      </w:r>
      <w:r w:rsidR="00200035">
        <w:rPr>
          <w:rFonts w:asciiTheme="minorHAnsi" w:hAnsiTheme="minorHAnsi" w:cstheme="minorHAnsi" w:hint="cs"/>
          <w:bCs/>
          <w:sz w:val="24"/>
          <w:szCs w:val="24"/>
          <w:rtl/>
        </w:rPr>
        <w:t>فبراي</w:t>
      </w:r>
      <w:r w:rsidR="00B96EB2">
        <w:rPr>
          <w:rFonts w:asciiTheme="minorHAnsi" w:hAnsiTheme="minorHAnsi" w:cstheme="minorHAnsi" w:hint="cs"/>
          <w:bCs/>
          <w:sz w:val="24"/>
          <w:szCs w:val="24"/>
          <w:rtl/>
        </w:rPr>
        <w:t>ر</w:t>
      </w:r>
      <w:r w:rsidR="00250149">
        <w:rPr>
          <w:rFonts w:asciiTheme="minorHAnsi" w:hAnsiTheme="minorHAnsi" w:cstheme="minorHAnsi" w:hint="cs"/>
          <w:bCs/>
          <w:sz w:val="24"/>
          <w:szCs w:val="24"/>
          <w:rtl/>
        </w:rPr>
        <w:t xml:space="preserve"> </w:t>
      </w:r>
      <w:r w:rsidR="001F4309">
        <w:rPr>
          <w:rFonts w:asciiTheme="minorHAnsi" w:hAnsiTheme="minorHAnsi" w:cstheme="minorHAnsi" w:hint="cs"/>
          <w:bCs/>
          <w:sz w:val="24"/>
          <w:szCs w:val="24"/>
          <w:rtl/>
        </w:rPr>
        <w:t>202</w:t>
      </w:r>
      <w:r w:rsidR="00093892">
        <w:rPr>
          <w:rFonts w:asciiTheme="minorHAnsi" w:hAnsiTheme="minorHAnsi" w:cstheme="minorHAnsi" w:hint="cs"/>
          <w:bCs/>
          <w:sz w:val="24"/>
          <w:szCs w:val="24"/>
          <w:rtl/>
        </w:rPr>
        <w:t>6</w:t>
      </w:r>
      <w:r w:rsidR="00EC48BA">
        <w:rPr>
          <w:rFonts w:asciiTheme="minorHAnsi" w:hAnsiTheme="minorHAnsi" w:cstheme="minorHAnsi"/>
          <w:bCs/>
          <w:sz w:val="24"/>
          <w:szCs w:val="24"/>
          <w:rtl/>
        </w:rPr>
        <w:tab/>
      </w:r>
    </w:p>
    <w:p w14:paraId="474C697B" w14:textId="63867F9F" w:rsidR="008B2CC1" w:rsidRPr="00D67EAE" w:rsidRDefault="007236A1" w:rsidP="00DD7B7F">
      <w:pPr>
        <w:spacing w:after="360"/>
        <w:outlineLvl w:val="0"/>
        <w:rPr>
          <w:rFonts w:asciiTheme="minorHAnsi" w:hAnsiTheme="minorHAnsi" w:cstheme="minorHAnsi"/>
          <w:caps/>
          <w:sz w:val="24"/>
        </w:rPr>
      </w:pPr>
      <w:bookmarkStart w:id="3" w:name="TitleOfDoc"/>
      <w:r w:rsidRPr="007236A1">
        <w:rPr>
          <w:rFonts w:asciiTheme="minorHAnsi" w:hAnsiTheme="minorHAnsi"/>
          <w:caps/>
          <w:sz w:val="28"/>
          <w:szCs w:val="24"/>
          <w:rtl/>
        </w:rPr>
        <w:t xml:space="preserve">تمديد </w:t>
      </w:r>
      <w:r w:rsidR="006A74D7" w:rsidRPr="006A74D7">
        <w:rPr>
          <w:rFonts w:asciiTheme="minorHAnsi" w:hAnsiTheme="minorHAnsi"/>
          <w:caps/>
          <w:sz w:val="28"/>
          <w:szCs w:val="24"/>
          <w:rtl/>
        </w:rPr>
        <w:t>تعيين مكتب إسرائيل للبراءات كإدارة للبحث الدولي والفحص التمهيدي الدولي في إطار معاهدة التعاون بشأن البراءات</w:t>
      </w:r>
    </w:p>
    <w:p w14:paraId="59776B20" w14:textId="3133E461" w:rsidR="002928D3" w:rsidRDefault="007236A1" w:rsidP="001D4107">
      <w:pPr>
        <w:spacing w:after="1040"/>
        <w:rPr>
          <w:rFonts w:asciiTheme="minorHAnsi" w:hAnsiTheme="minorHAnsi" w:cstheme="minorHAnsi"/>
          <w:iCs/>
          <w:rtl/>
        </w:rPr>
      </w:pPr>
      <w:bookmarkStart w:id="4" w:name="Prepared"/>
      <w:bookmarkEnd w:id="3"/>
      <w:bookmarkEnd w:id="4"/>
      <w:r w:rsidRPr="007236A1">
        <w:rPr>
          <w:rFonts w:asciiTheme="minorHAnsi" w:hAnsiTheme="minorHAnsi"/>
          <w:iCs/>
          <w:rtl/>
        </w:rPr>
        <w:t>‏وثيقة من إعداد المكتب الدولي</w:t>
      </w:r>
    </w:p>
    <w:p w14:paraId="03977AEE" w14:textId="77777777" w:rsidR="008D4A04" w:rsidRDefault="008D4A04" w:rsidP="008D4A04">
      <w:pPr>
        <w:pStyle w:val="ONUMA"/>
        <w:rPr>
          <w:rtl/>
          <w:lang w:bidi="ar-EG"/>
        </w:rPr>
      </w:pPr>
      <w:r>
        <w:rPr>
          <w:rtl/>
          <w:lang w:bidi="ar-EG"/>
        </w:rPr>
        <w:t xml:space="preserve">عيّنت جمعية معاهدة التعاون بشأن البراءات (جمعية معاهدة البراءات) كل الإدارات الدولية الحالية لمدة تنتهي في 31 ديسمبر 2027.  وقبل انتهاء هذه المدة، سيتعيّن على الجمعية أن تتخذ قراراً بشأن تمديد التعيين لكل إدارة من الإدارات الدولية الحالية التي تلتمس تمديد تعيينها، بعد استشارة هذه اللجنة (انظر(ي) المادتين 16(3)(هـ) و32(3) من معاهدة البراءات).  وترد في الوثيقة </w:t>
      </w:r>
      <w:r>
        <w:rPr>
          <w:lang w:bidi="ar-EG"/>
        </w:rPr>
        <w:t>PCT/CTC/33/INF/1</w:t>
      </w:r>
      <w:r>
        <w:rPr>
          <w:rtl/>
          <w:lang w:bidi="ar-EG"/>
        </w:rPr>
        <w:t xml:space="preserve"> معلومات عن هذا الإجراء ودور اللجنة فيه.</w:t>
      </w:r>
    </w:p>
    <w:p w14:paraId="6553BFBF" w14:textId="7387B6D8" w:rsidR="008D4A04" w:rsidRDefault="008D4A04" w:rsidP="008D4A04">
      <w:pPr>
        <w:pStyle w:val="ONUMA"/>
        <w:rPr>
          <w:rtl/>
          <w:lang w:bidi="ar-EG"/>
        </w:rPr>
      </w:pPr>
      <w:r>
        <w:rPr>
          <w:rtl/>
          <w:lang w:bidi="ar-EG"/>
        </w:rPr>
        <w:t>وفي 30 أكتوبر2025، تقدم مكتب إسرائيل للبراءات بطلبه لتمديد تعيينه، ويرد طلبه في مرفق هذه الوثيقة.</w:t>
      </w:r>
    </w:p>
    <w:p w14:paraId="0CBCD122" w14:textId="5A109B3D" w:rsidR="007F061E" w:rsidRPr="00223830" w:rsidRDefault="008D4A04" w:rsidP="00223830">
      <w:pPr>
        <w:pStyle w:val="ONUMA"/>
        <w:ind w:left="5527"/>
        <w:rPr>
          <w:i/>
          <w:iCs/>
          <w:lang w:bidi="ar-EG"/>
        </w:rPr>
      </w:pPr>
      <w:r w:rsidRPr="00223830">
        <w:rPr>
          <w:i/>
          <w:iCs/>
          <w:rtl/>
          <w:lang w:bidi="ar-EG"/>
        </w:rPr>
        <w:t xml:space="preserve">إن اللجنة مدعوة إلى إسداء المشورة في هذا </w:t>
      </w:r>
      <w:r w:rsidRPr="00223830">
        <w:rPr>
          <w:rFonts w:hint="cs"/>
          <w:i/>
          <w:iCs/>
          <w:rtl/>
          <w:lang w:bidi="ar-EG"/>
        </w:rPr>
        <w:t>الأمر</w:t>
      </w:r>
      <w:r w:rsidRPr="00223830">
        <w:rPr>
          <w:i/>
          <w:iCs/>
          <w:rtl/>
          <w:lang w:bidi="ar-EG"/>
        </w:rPr>
        <w:t>.</w:t>
      </w:r>
    </w:p>
    <w:p w14:paraId="47C07450" w14:textId="77777777" w:rsidR="000A1D9D" w:rsidRDefault="00320C70" w:rsidP="000A1D9D">
      <w:pPr>
        <w:spacing w:before="480"/>
        <w:ind w:left="5534"/>
        <w:rPr>
          <w:rtl/>
          <w:lang w:bidi="ar-EG"/>
        </w:rPr>
      </w:pPr>
      <w:r>
        <w:rPr>
          <w:rtl/>
          <w:lang w:bidi="ar-EG"/>
        </w:rPr>
        <w:t>[يلي ذلك المرفق]</w:t>
      </w:r>
    </w:p>
    <w:p w14:paraId="0ED93A96" w14:textId="77777777" w:rsidR="00EC48BA" w:rsidRDefault="00EC48BA">
      <w:pPr>
        <w:bidi w:val="0"/>
        <w:rPr>
          <w:lang w:bidi="ar-EG"/>
        </w:rPr>
        <w:sectPr w:rsidR="00EC48BA" w:rsidSect="00EC48BA">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615BC981" w14:textId="77659874" w:rsidR="00EA3245" w:rsidRDefault="00EA3245">
      <w:pPr>
        <w:bidi w:val="0"/>
        <w:rPr>
          <w:rtl/>
          <w:lang w:bidi="ar-EG"/>
        </w:rPr>
      </w:pPr>
    </w:p>
    <w:p w14:paraId="35A5F566" w14:textId="77777777" w:rsidR="00D179AD" w:rsidRPr="00D179AD" w:rsidRDefault="00D179AD" w:rsidP="00D179AD">
      <w:pPr>
        <w:keepNext/>
        <w:spacing w:before="240" w:after="60"/>
        <w:jc w:val="center"/>
        <w:outlineLvl w:val="1"/>
        <w:rPr>
          <w:rFonts w:ascii="Calibri" w:hAnsi="Calibri"/>
          <w:bCs/>
          <w:i/>
          <w:caps/>
          <w:rtl/>
          <w:lang w:bidi="ar-EG"/>
        </w:rPr>
      </w:pPr>
      <w:r w:rsidRPr="00D179AD">
        <w:rPr>
          <w:rFonts w:ascii="Calibri" w:hAnsi="Calibri"/>
          <w:bCs/>
          <w:i/>
          <w:caps/>
          <w:rtl/>
          <w:lang w:bidi="ar-EG"/>
        </w:rPr>
        <w:t>طلب تمديد التعيين كإدارة للبحث الدولي والفحص التمهيدي الدولي في إطار معاهدة التعاون بشأن البراءات</w:t>
      </w:r>
    </w:p>
    <w:p w14:paraId="3AC42CE3" w14:textId="77777777" w:rsidR="00D179AD" w:rsidRPr="00D179AD" w:rsidRDefault="00D179AD" w:rsidP="00D179AD">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D179AD">
        <w:rPr>
          <w:rFonts w:ascii="Calibri" w:eastAsia="Times New Roman" w:hAnsi="Calibri"/>
          <w:b/>
          <w:bCs/>
          <w:caps/>
          <w:lang w:val="fr-CH" w:bidi="ar-EG"/>
        </w:rPr>
        <w:t>‎1</w:t>
      </w:r>
      <w:r w:rsidRPr="00D179AD">
        <w:rPr>
          <w:rFonts w:ascii="Calibri" w:eastAsia="Times New Roman" w:hAnsi="Calibri"/>
          <w:b/>
          <w:bCs/>
          <w:caps/>
          <w:rtl/>
          <w:lang w:val="fr-CH" w:bidi="ar-EG"/>
        </w:rPr>
        <w:t>- معلومات عامة</w:t>
      </w:r>
    </w:p>
    <w:p w14:paraId="12FACA59" w14:textId="7DE741B2" w:rsidR="00D179AD" w:rsidRPr="00D179AD" w:rsidRDefault="00D179AD" w:rsidP="00D179AD">
      <w:pPr>
        <w:keepNext/>
        <w:keepLines/>
        <w:spacing w:after="480"/>
        <w:rPr>
          <w:rFonts w:ascii="Calibri" w:hAnsi="Calibri"/>
          <w:bCs/>
          <w:rtl/>
          <w:lang w:bidi="ar-EG"/>
        </w:rPr>
      </w:pPr>
      <w:r w:rsidRPr="00D179AD">
        <w:rPr>
          <w:rFonts w:ascii="Calibri" w:hAnsi="Calibri"/>
          <w:b/>
          <w:bCs/>
          <w:rtl/>
          <w:lang w:bidi="ar-EG"/>
        </w:rPr>
        <w:t>(أ)</w:t>
      </w:r>
      <w:r w:rsidRPr="00D179AD">
        <w:rPr>
          <w:rFonts w:ascii="Calibri" w:hAnsi="Calibri"/>
          <w:b/>
          <w:bCs/>
          <w:rtl/>
          <w:lang w:bidi="ar-EG"/>
        </w:rPr>
        <w:tab/>
        <w:t>اسم المكتب أو المنظمة الحكومية الدولية:</w:t>
      </w:r>
      <w:r w:rsidRPr="00D179AD">
        <w:rPr>
          <w:rFonts w:ascii="Calibri" w:hAnsi="Calibri"/>
          <w:b/>
          <w:bCs/>
          <w:color w:val="C00000"/>
          <w:rtl/>
          <w:lang w:bidi="ar-EG"/>
        </w:rPr>
        <w:t xml:space="preserve"> </w:t>
      </w:r>
      <w:r w:rsidRPr="00D179AD">
        <w:rPr>
          <w:rFonts w:ascii="Calibri" w:hAnsi="Calibri"/>
          <w:rtl/>
          <w:lang w:bidi="ar-EG"/>
        </w:rPr>
        <w:t>مكتب إسرائيل للبراءات (</w:t>
      </w:r>
      <w:r w:rsidRPr="00D179AD">
        <w:rPr>
          <w:rFonts w:ascii="Calibri" w:hAnsi="Calibri"/>
          <w:lang w:bidi="ar-EG"/>
        </w:rPr>
        <w:t>ILPO</w:t>
      </w:r>
      <w:r w:rsidRPr="00D179AD">
        <w:rPr>
          <w:rFonts w:ascii="Calibri" w:hAnsi="Calibri"/>
          <w:rtl/>
          <w:lang w:bidi="ar-EG"/>
        </w:rPr>
        <w:t>)</w:t>
      </w:r>
    </w:p>
    <w:p w14:paraId="3A316F8E" w14:textId="6DC4EA74" w:rsidR="00D179AD" w:rsidRPr="00D179AD" w:rsidRDefault="00D179AD" w:rsidP="00D179AD">
      <w:pPr>
        <w:keepNext/>
        <w:keepLines/>
        <w:spacing w:after="480"/>
        <w:rPr>
          <w:rFonts w:ascii="Calibri" w:hAnsi="Calibri"/>
          <w:b/>
          <w:bCs/>
          <w:rtl/>
          <w:lang w:bidi="ar-EG"/>
        </w:rPr>
      </w:pPr>
      <w:r w:rsidRPr="00D179AD">
        <w:rPr>
          <w:rFonts w:ascii="Calibri" w:hAnsi="Calibri"/>
          <w:b/>
          <w:bCs/>
          <w:lang w:bidi="ar-EG"/>
        </w:rPr>
        <w:t>‎</w:t>
      </w:r>
      <w:r w:rsidRPr="00D179AD">
        <w:rPr>
          <w:rFonts w:ascii="Calibri" w:hAnsi="Calibri"/>
          <w:b/>
          <w:bCs/>
          <w:rtl/>
          <w:lang w:bidi="ar-EG"/>
        </w:rPr>
        <w:t xml:space="preserve">(ب) </w:t>
      </w:r>
      <w:r w:rsidR="00186746">
        <w:rPr>
          <w:rFonts w:ascii="Calibri" w:hAnsi="Calibri"/>
          <w:b/>
          <w:bCs/>
          <w:rtl/>
          <w:lang w:bidi="ar-EG"/>
        </w:rPr>
        <w:tab/>
      </w:r>
      <w:r w:rsidRPr="00D179AD">
        <w:rPr>
          <w:rFonts w:ascii="Calibri" w:hAnsi="Calibri"/>
          <w:b/>
          <w:bCs/>
          <w:rtl/>
          <w:lang w:bidi="ar-EG"/>
        </w:rPr>
        <w:t>اسم المسؤول وتفاصيل الاتصال به لتقديم أي استفسارات بشأن هذا الطلب:</w:t>
      </w:r>
    </w:p>
    <w:p w14:paraId="15916F68" w14:textId="77777777" w:rsidR="00D179AD" w:rsidRPr="00D179AD" w:rsidRDefault="00D179AD" w:rsidP="00D179AD">
      <w:pPr>
        <w:keepNext/>
        <w:keepLines/>
        <w:spacing w:after="480"/>
        <w:rPr>
          <w:rFonts w:ascii="Calibri" w:hAnsi="Calibri"/>
          <w:bCs/>
          <w:rtl/>
          <w:lang w:bidi="ar-EG"/>
        </w:rPr>
      </w:pPr>
      <w:r w:rsidRPr="00D179AD">
        <w:rPr>
          <w:rFonts w:ascii="Calibri" w:hAnsi="Calibri"/>
          <w:rtl/>
          <w:lang w:bidi="ar-EG"/>
        </w:rPr>
        <w:t>باروخ (باري) نيومان، قائد فريق، شعبة معاهدة التعاون بشأن البراءات</w:t>
      </w:r>
    </w:p>
    <w:p w14:paraId="076BB3F0" w14:textId="2BD055DB" w:rsidR="00D179AD" w:rsidRPr="00D179AD" w:rsidRDefault="00D179AD" w:rsidP="00D179AD">
      <w:pPr>
        <w:keepNext/>
        <w:keepLines/>
        <w:spacing w:after="480"/>
        <w:rPr>
          <w:rFonts w:ascii="Calibri" w:hAnsi="Calibri"/>
          <w:bCs/>
          <w:rtl/>
          <w:lang w:bidi="ar-EG"/>
        </w:rPr>
      </w:pPr>
      <w:r w:rsidRPr="00D179AD">
        <w:rPr>
          <w:rFonts w:ascii="Calibri" w:hAnsi="Calibri"/>
          <w:rtl/>
          <w:lang w:bidi="ar-EG"/>
        </w:rPr>
        <w:t xml:space="preserve">البريد الإلكتروني: </w:t>
      </w:r>
      <w:r w:rsidRPr="00D179AD">
        <w:rPr>
          <w:rFonts w:ascii="Calibri" w:hAnsi="Calibri"/>
          <w:color w:val="0000FF" w:themeColor="hyperlink"/>
          <w:u w:val="single"/>
          <w:lang w:bidi="ar-EG"/>
        </w:rPr>
        <w:t>BaruchN@justice.gov.il</w:t>
      </w:r>
    </w:p>
    <w:p w14:paraId="49E2B8C8" w14:textId="1BEE0E3C" w:rsidR="00D179AD" w:rsidRPr="00D179AD" w:rsidRDefault="00D179AD" w:rsidP="00D179AD">
      <w:pPr>
        <w:keepNext/>
        <w:keepLines/>
        <w:spacing w:after="220"/>
        <w:rPr>
          <w:rFonts w:ascii="Calibri" w:hAnsi="Calibri"/>
          <w:b/>
          <w:bCs/>
          <w:rtl/>
          <w:lang w:bidi="ar-EG"/>
        </w:rPr>
      </w:pPr>
      <w:r w:rsidRPr="00D179AD">
        <w:rPr>
          <w:rFonts w:ascii="Calibri" w:hAnsi="Calibri"/>
          <w:b/>
          <w:bCs/>
          <w:lang w:bidi="ar-EG"/>
        </w:rPr>
        <w:t>‎</w:t>
      </w:r>
      <w:r w:rsidRPr="00D179AD">
        <w:rPr>
          <w:rFonts w:ascii="Calibri" w:hAnsi="Calibri"/>
          <w:b/>
          <w:bCs/>
          <w:rtl/>
          <w:lang w:bidi="ar-EG"/>
        </w:rPr>
        <w:t xml:space="preserve">(ج) </w:t>
      </w:r>
      <w:r w:rsidR="00186746">
        <w:rPr>
          <w:rFonts w:ascii="Calibri" w:hAnsi="Calibri"/>
          <w:b/>
          <w:bCs/>
          <w:rtl/>
          <w:lang w:bidi="ar-EG"/>
        </w:rPr>
        <w:tab/>
      </w:r>
      <w:r w:rsidRPr="00D179AD">
        <w:rPr>
          <w:rFonts w:ascii="Calibri" w:hAnsi="Calibri"/>
          <w:b/>
          <w:bCs/>
          <w:rtl/>
          <w:lang w:bidi="ar-EG"/>
        </w:rPr>
        <w:t>التاريخ الذي تسلّم فيه المدير العام طلب تمديد التعيين:</w:t>
      </w:r>
    </w:p>
    <w:p w14:paraId="19D7AC25" w14:textId="77777777" w:rsidR="00D179AD" w:rsidRPr="00D179AD" w:rsidRDefault="00D179AD" w:rsidP="00D179AD">
      <w:pPr>
        <w:spacing w:after="220"/>
        <w:ind w:left="567"/>
        <w:rPr>
          <w:rFonts w:ascii="Calibri" w:hAnsi="Calibri"/>
          <w:iCs/>
          <w:rtl/>
          <w:lang w:bidi="ar-EG"/>
        </w:rPr>
      </w:pPr>
      <w:r w:rsidRPr="00D179AD">
        <w:rPr>
          <w:rFonts w:ascii="Calibri" w:hAnsi="Calibri"/>
          <w:rtl/>
          <w:lang w:bidi="ar-EG"/>
        </w:rPr>
        <w:t>30 أكتوبر 2025</w:t>
      </w:r>
    </w:p>
    <w:p w14:paraId="01F3D8F8" w14:textId="77777777" w:rsidR="00D179AD" w:rsidRPr="00D179AD" w:rsidRDefault="00D179AD" w:rsidP="00D179AD">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D179AD">
        <w:rPr>
          <w:rFonts w:ascii="Calibri" w:eastAsia="Times New Roman" w:hAnsi="Calibri"/>
          <w:b/>
          <w:bCs/>
          <w:caps/>
          <w:lang w:val="fr-CH" w:bidi="ar-EG"/>
        </w:rPr>
        <w:t>‎2</w:t>
      </w:r>
      <w:r w:rsidRPr="00D179AD">
        <w:rPr>
          <w:rFonts w:ascii="Calibri" w:eastAsia="Times New Roman" w:hAnsi="Calibri"/>
          <w:b/>
          <w:bCs/>
          <w:caps/>
          <w:rtl/>
          <w:lang w:val="fr-CH" w:bidi="ar-EG"/>
        </w:rPr>
        <w:t>- متطلبات التعيين الدنيا</w:t>
      </w:r>
    </w:p>
    <w:p w14:paraId="02D74730" w14:textId="77777777" w:rsidR="00D179AD" w:rsidRPr="00D179AD" w:rsidRDefault="00D179AD" w:rsidP="00D179AD">
      <w:pPr>
        <w:rPr>
          <w:rFonts w:ascii="Calibri" w:hAnsi="Calibri"/>
          <w:rtl/>
          <w:lang w:bidi="ar-EG"/>
        </w:rPr>
      </w:pPr>
      <w:r w:rsidRPr="00D179AD">
        <w:rPr>
          <w:rFonts w:ascii="Calibri" w:hAnsi="Calibri"/>
          <w:rtl/>
          <w:lang w:bidi="ar-EG"/>
        </w:rPr>
        <w:t xml:space="preserve">إضافة إلى التقرير السنوي عن نظام إدارة الجودة الذي أعدّه المكتب أو المنظمة لعام 2025 ("تقرير نظام إدارة الجودة")  </w:t>
      </w:r>
      <w:hyperlink r:id="rId18" w:anchor="IL" w:history="1">
        <w:r w:rsidRPr="00D179AD">
          <w:rPr>
            <w:rFonts w:ascii="Calibri" w:hAnsi="Calibri"/>
            <w:color w:val="0000FF" w:themeColor="hyperlink"/>
            <w:u w:val="single"/>
            <w:lang w:bidi="ar-EG"/>
          </w:rPr>
          <w:t>https://www.wipo.int/en/web/pct-system/quality/authorities#IL</w:t>
        </w:r>
      </w:hyperlink>
      <w:r w:rsidRPr="00D179AD">
        <w:rPr>
          <w:rFonts w:ascii="Calibri" w:hAnsi="Calibri"/>
          <w:rtl/>
          <w:lang w:bidi="ar-EG"/>
        </w:rPr>
        <w:t xml:space="preserve"> وفقاً للفقرتين 31.21 و32.21 من المبادئ التوجيهية للبحث الدولي والفحص التمهيدي الدولي ("المبادئ التوجيهية")، يتعيّن على الإدارة أن تقدّم المعلومات التالية.</w:t>
      </w:r>
    </w:p>
    <w:p w14:paraId="17D2AC8C" w14:textId="77777777" w:rsidR="00D179AD" w:rsidRPr="00D179AD" w:rsidRDefault="00D179AD" w:rsidP="00D179AD">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D179AD">
        <w:rPr>
          <w:rFonts w:ascii="Calibri" w:eastAsia="Times New Roman" w:hAnsi="Calibri"/>
          <w:b/>
          <w:bCs/>
          <w:caps/>
          <w:lang w:val="fr-CH" w:bidi="ar-EG"/>
        </w:rPr>
        <w:t>‎1.2</w:t>
      </w:r>
      <w:r w:rsidRPr="00D179AD">
        <w:rPr>
          <w:rFonts w:ascii="Calibri" w:eastAsia="Times New Roman" w:hAnsi="Calibri"/>
          <w:b/>
          <w:bCs/>
          <w:caps/>
          <w:rtl/>
          <w:lang w:val="fr-CH" w:bidi="ar-EG"/>
        </w:rPr>
        <w:t xml:space="preserve"> – الكفاءات في مجال البحث والفحص</w:t>
      </w:r>
    </w:p>
    <w:p w14:paraId="08323280" w14:textId="77777777" w:rsidR="00D179AD" w:rsidRPr="00D179AD" w:rsidRDefault="00D179AD" w:rsidP="00D179AD">
      <w:pPr>
        <w:keepNext/>
        <w:keepLines/>
        <w:spacing w:after="240"/>
        <w:ind w:left="567" w:right="567"/>
        <w:rPr>
          <w:rFonts w:ascii="Calibri" w:hAnsi="Calibri"/>
          <w:bCs/>
          <w:i/>
          <w:iCs/>
          <w:rtl/>
          <w:lang w:bidi="ar-EG"/>
        </w:rPr>
      </w:pPr>
      <w:r w:rsidRPr="00D179AD">
        <w:rPr>
          <w:rFonts w:ascii="Calibri" w:hAnsi="Calibri"/>
          <w:bCs/>
          <w:i/>
          <w:iCs/>
          <w:rtl/>
          <w:lang w:bidi="ar-EG"/>
        </w:rPr>
        <w:t>القاعدتان 1.36"1" و1.63"1":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 والفحوص.</w:t>
      </w:r>
    </w:p>
    <w:p w14:paraId="08C81AD5" w14:textId="2100DB82" w:rsidR="00D179AD" w:rsidRPr="00D179AD" w:rsidRDefault="00D179AD" w:rsidP="00D179AD">
      <w:pPr>
        <w:keepNext/>
        <w:keepLines/>
        <w:spacing w:after="240"/>
        <w:ind w:right="53"/>
        <w:rPr>
          <w:rFonts w:ascii="Calibri" w:hAnsi="Calibri"/>
          <w:b/>
          <w:rtl/>
          <w:lang w:bidi="ar-EG"/>
        </w:rPr>
      </w:pPr>
      <w:r w:rsidRPr="00D179AD">
        <w:rPr>
          <w:rFonts w:ascii="Calibri" w:hAnsi="Calibri"/>
          <w:b/>
          <w:rtl/>
          <w:lang w:bidi="ar-EG"/>
        </w:rPr>
        <w:t>يقدّم تقرير نظام إدارة الجودة معلومات من الإدارة بشأن البنية التحتية الموجودة لديها من أجل ضمان توفير كمية كافية من الموظفين المؤهلين تقنياً بموجب الفقرة 15.21"1" من المبادئ التوجيهية، وبشأن برامج التدريب والتطوير للموظفين المشاركين في عمليات البحث والفحص بموجب الفقرة 15.21"4"</w:t>
      </w:r>
      <w:r w:rsidRPr="0025129C">
        <w:rPr>
          <w:rFonts w:ascii="Calibri" w:hAnsi="Calibri"/>
          <w:b/>
          <w:rtl/>
          <w:lang w:bidi="ar-EG"/>
        </w:rPr>
        <w:t xml:space="preserve">. </w:t>
      </w:r>
      <w:r w:rsidRPr="00D179AD">
        <w:rPr>
          <w:rFonts w:ascii="Calibri" w:hAnsi="Calibri"/>
          <w:b/>
          <w:rtl/>
          <w:lang w:bidi="ar-EG"/>
        </w:rPr>
        <w:t>وتُدرِج الإدارة أيضاً المعلومات التالية عن أعداد الموظفين المؤهلين لإجراء عمليات البحث والفحص</w:t>
      </w:r>
      <w:r w:rsidRPr="0025129C">
        <w:rPr>
          <w:rFonts w:ascii="Calibri" w:hAnsi="Calibri"/>
          <w:b/>
          <w:rtl/>
          <w:lang w:bidi="ar-EG"/>
        </w:rPr>
        <w:t xml:space="preserve">. </w:t>
      </w:r>
      <w:r w:rsidRPr="00D179AD">
        <w:rPr>
          <w:rFonts w:ascii="Calibri" w:hAnsi="Calibri"/>
          <w:b/>
          <w:rtl/>
          <w:lang w:bidi="ar-EG"/>
        </w:rPr>
        <w:t xml:space="preserve"> </w:t>
      </w:r>
    </w:p>
    <w:p w14:paraId="408374AF" w14:textId="77777777" w:rsidR="0025129C" w:rsidRDefault="0025129C">
      <w:pPr>
        <w:bidi w:val="0"/>
        <w:rPr>
          <w:rFonts w:ascii="Calibri" w:hAnsi="Calibri"/>
          <w:b/>
          <w:bCs/>
          <w:rtl/>
          <w:lang w:bidi="ar-EG"/>
        </w:rPr>
      </w:pPr>
      <w:r>
        <w:rPr>
          <w:rFonts w:ascii="Calibri" w:hAnsi="Calibri"/>
          <w:b/>
          <w:bCs/>
          <w:rtl/>
          <w:lang w:bidi="ar-EG"/>
        </w:rPr>
        <w:br w:type="page"/>
      </w:r>
    </w:p>
    <w:p w14:paraId="1057E3D1" w14:textId="31024E52" w:rsidR="00D179AD" w:rsidRPr="00D179AD" w:rsidRDefault="00D179AD" w:rsidP="00D179AD">
      <w:pPr>
        <w:keepNext/>
        <w:keepLines/>
        <w:spacing w:after="480"/>
        <w:rPr>
          <w:rFonts w:ascii="Calibri" w:hAnsi="Calibri"/>
          <w:b/>
          <w:bCs/>
          <w:rtl/>
          <w:lang w:bidi="ar-EG"/>
        </w:rPr>
      </w:pPr>
      <w:r w:rsidRPr="00D179AD">
        <w:rPr>
          <w:rFonts w:ascii="Calibri" w:hAnsi="Calibri"/>
          <w:b/>
          <w:bCs/>
          <w:rtl/>
          <w:lang w:bidi="ar-EG"/>
        </w:rPr>
        <w:lastRenderedPageBreak/>
        <w:t>الموظفون المؤهلون لإجراء البحث والفحص:</w:t>
      </w:r>
    </w:p>
    <w:tbl>
      <w:tblPr>
        <w:bidiVisual/>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114"/>
        <w:gridCol w:w="1478"/>
        <w:gridCol w:w="1790"/>
        <w:gridCol w:w="850"/>
        <w:gridCol w:w="1134"/>
        <w:gridCol w:w="1276"/>
      </w:tblGrid>
      <w:tr w:rsidR="00D179AD" w:rsidRPr="00D179AD" w14:paraId="0A832729" w14:textId="77777777" w:rsidTr="002C4FB7">
        <w:trPr>
          <w:cantSplit/>
          <w:tblHeader/>
        </w:trPr>
        <w:tc>
          <w:tcPr>
            <w:tcW w:w="2114" w:type="dxa"/>
            <w:vMerge w:val="restart"/>
            <w:tcBorders>
              <w:top w:val="single" w:sz="4" w:space="0" w:color="auto"/>
              <w:left w:val="single" w:sz="4" w:space="0" w:color="auto"/>
              <w:right w:val="single" w:sz="4" w:space="0" w:color="auto"/>
            </w:tcBorders>
            <w:hideMark/>
          </w:tcPr>
          <w:p w14:paraId="16CB7C7B" w14:textId="02B79887" w:rsidR="00D179AD" w:rsidRPr="00D179AD" w:rsidRDefault="00D179AD" w:rsidP="00D179AD">
            <w:pPr>
              <w:keepNext/>
              <w:keepLines/>
              <w:suppressAutoHyphens/>
              <w:rPr>
                <w:rFonts w:ascii="Calibri" w:eastAsia="Times New Roman" w:hAnsi="Calibri"/>
                <w:b/>
                <w:bCs/>
                <w:rtl/>
                <w:lang w:bidi="ar-EG"/>
              </w:rPr>
            </w:pPr>
            <w:r w:rsidRPr="00D179AD">
              <w:rPr>
                <w:rFonts w:ascii="Calibri" w:hAnsi="Calibri"/>
                <w:b/>
                <w:bCs/>
                <w:rtl/>
                <w:lang w:bidi="ar-EG"/>
              </w:rPr>
              <w:t>المجال التقن</w:t>
            </w:r>
            <w:r w:rsidR="00241FCD">
              <w:rPr>
                <w:rFonts w:ascii="Calibri" w:hAnsi="Calibri" w:hint="cs"/>
                <w:b/>
                <w:bCs/>
                <w:rtl/>
                <w:lang w:bidi="ar-EG"/>
              </w:rPr>
              <w:t>ي</w:t>
            </w:r>
          </w:p>
        </w:tc>
        <w:tc>
          <w:tcPr>
            <w:tcW w:w="1478" w:type="dxa"/>
            <w:vMerge w:val="restart"/>
            <w:tcBorders>
              <w:top w:val="single" w:sz="4" w:space="0" w:color="auto"/>
              <w:left w:val="single" w:sz="4" w:space="0" w:color="auto"/>
              <w:right w:val="single" w:sz="4" w:space="0" w:color="auto"/>
            </w:tcBorders>
            <w:hideMark/>
          </w:tcPr>
          <w:p w14:paraId="17732CF7" w14:textId="77777777" w:rsidR="00D179AD" w:rsidRPr="00D179AD" w:rsidRDefault="00D179AD" w:rsidP="00D179AD">
            <w:pPr>
              <w:keepNext/>
              <w:keepLines/>
              <w:suppressAutoHyphens/>
              <w:rPr>
                <w:rFonts w:ascii="Calibri" w:eastAsia="Times New Roman" w:hAnsi="Calibri"/>
                <w:b/>
                <w:bCs/>
                <w:rtl/>
                <w:lang w:bidi="ar-EG"/>
              </w:rPr>
            </w:pPr>
            <w:r w:rsidRPr="00D179AD">
              <w:rPr>
                <w:rFonts w:ascii="Calibri" w:hAnsi="Calibri"/>
                <w:b/>
                <w:bCs/>
                <w:rtl/>
                <w:lang w:bidi="ar-EG"/>
              </w:rPr>
              <w:t>العدد (بمعادل دوام كامل)</w:t>
            </w:r>
          </w:p>
        </w:tc>
        <w:tc>
          <w:tcPr>
            <w:tcW w:w="1790" w:type="dxa"/>
            <w:vMerge w:val="restart"/>
            <w:tcBorders>
              <w:top w:val="single" w:sz="4" w:space="0" w:color="auto"/>
              <w:left w:val="single" w:sz="4" w:space="0" w:color="auto"/>
              <w:right w:val="single" w:sz="4" w:space="0" w:color="auto"/>
            </w:tcBorders>
            <w:hideMark/>
          </w:tcPr>
          <w:p w14:paraId="3890AEA3" w14:textId="77777777" w:rsidR="00D179AD" w:rsidRPr="00D179AD" w:rsidRDefault="00D179AD" w:rsidP="00D179AD">
            <w:pPr>
              <w:suppressAutoHyphens/>
              <w:rPr>
                <w:rFonts w:ascii="Calibri" w:eastAsia="Times New Roman" w:hAnsi="Calibri"/>
                <w:b/>
                <w:bCs/>
                <w:rtl/>
                <w:lang w:bidi="ar-EG"/>
              </w:rPr>
            </w:pPr>
            <w:r w:rsidRPr="00D179AD">
              <w:rPr>
                <w:rFonts w:ascii="Calibri" w:hAnsi="Calibri"/>
                <w:b/>
                <w:bCs/>
                <w:rtl/>
                <w:lang w:bidi="ar-EG"/>
              </w:rPr>
              <w:t>متوسط الخبرة كفاحص (بالسنوات)</w:t>
            </w:r>
          </w:p>
        </w:tc>
        <w:tc>
          <w:tcPr>
            <w:tcW w:w="3260" w:type="dxa"/>
            <w:gridSpan w:val="3"/>
            <w:tcBorders>
              <w:top w:val="single" w:sz="4" w:space="0" w:color="auto"/>
              <w:left w:val="single" w:sz="4" w:space="0" w:color="auto"/>
              <w:bottom w:val="single" w:sz="4" w:space="0" w:color="auto"/>
              <w:right w:val="single" w:sz="4" w:space="0" w:color="auto"/>
            </w:tcBorders>
            <w:hideMark/>
          </w:tcPr>
          <w:p w14:paraId="218871D1" w14:textId="77777777" w:rsidR="00D179AD" w:rsidRPr="00D179AD" w:rsidRDefault="00D179AD" w:rsidP="00241FCD">
            <w:pPr>
              <w:suppressAutoHyphens/>
              <w:jc w:val="center"/>
              <w:rPr>
                <w:rFonts w:ascii="Calibri" w:eastAsia="Times New Roman" w:hAnsi="Calibri"/>
                <w:b/>
                <w:bCs/>
                <w:rtl/>
                <w:lang w:bidi="ar-EG"/>
              </w:rPr>
            </w:pPr>
            <w:r w:rsidRPr="00D179AD">
              <w:rPr>
                <w:rFonts w:ascii="Calibri" w:hAnsi="Calibri"/>
                <w:b/>
                <w:bCs/>
                <w:rtl/>
                <w:lang w:bidi="ar-EG"/>
              </w:rPr>
              <w:t>المؤهلات بالتفصيل</w:t>
            </w:r>
          </w:p>
        </w:tc>
      </w:tr>
      <w:tr w:rsidR="00D179AD" w:rsidRPr="00D179AD" w14:paraId="18D8B0F9" w14:textId="77777777" w:rsidTr="002C4FB7">
        <w:trPr>
          <w:cantSplit/>
          <w:tblHeader/>
        </w:trPr>
        <w:tc>
          <w:tcPr>
            <w:tcW w:w="2114" w:type="dxa"/>
            <w:vMerge/>
            <w:tcBorders>
              <w:left w:val="single" w:sz="4" w:space="0" w:color="auto"/>
              <w:bottom w:val="single" w:sz="4" w:space="0" w:color="auto"/>
              <w:right w:val="single" w:sz="4" w:space="0" w:color="auto"/>
            </w:tcBorders>
          </w:tcPr>
          <w:p w14:paraId="64820744" w14:textId="77777777" w:rsidR="00D179AD" w:rsidRPr="00D179AD" w:rsidRDefault="00D179AD" w:rsidP="00D179AD">
            <w:pPr>
              <w:keepNext/>
              <w:keepLines/>
              <w:suppressAutoHyphens/>
              <w:rPr>
                <w:rFonts w:ascii="Calibri" w:hAnsi="Calibri"/>
                <w:b/>
                <w:bCs/>
                <w:lang w:eastAsia="en-US" w:bidi="he-IL"/>
              </w:rPr>
            </w:pPr>
          </w:p>
        </w:tc>
        <w:tc>
          <w:tcPr>
            <w:tcW w:w="1478" w:type="dxa"/>
            <w:vMerge/>
            <w:tcBorders>
              <w:left w:val="single" w:sz="4" w:space="0" w:color="auto"/>
              <w:bottom w:val="single" w:sz="4" w:space="0" w:color="auto"/>
              <w:right w:val="single" w:sz="4" w:space="0" w:color="auto"/>
            </w:tcBorders>
          </w:tcPr>
          <w:p w14:paraId="6B5D9E75" w14:textId="77777777" w:rsidR="00D179AD" w:rsidRPr="00D179AD" w:rsidRDefault="00D179AD" w:rsidP="00D179AD">
            <w:pPr>
              <w:keepNext/>
              <w:keepLines/>
              <w:suppressAutoHyphens/>
              <w:rPr>
                <w:rFonts w:ascii="Calibri" w:hAnsi="Calibri"/>
                <w:b/>
                <w:bCs/>
                <w:lang w:eastAsia="en-US" w:bidi="he-IL"/>
              </w:rPr>
            </w:pPr>
          </w:p>
        </w:tc>
        <w:tc>
          <w:tcPr>
            <w:tcW w:w="1790" w:type="dxa"/>
            <w:vMerge/>
            <w:tcBorders>
              <w:left w:val="single" w:sz="4" w:space="0" w:color="auto"/>
              <w:bottom w:val="single" w:sz="4" w:space="0" w:color="auto"/>
              <w:right w:val="single" w:sz="4" w:space="0" w:color="auto"/>
            </w:tcBorders>
          </w:tcPr>
          <w:p w14:paraId="0194D7C8" w14:textId="77777777" w:rsidR="00D179AD" w:rsidRPr="00D179AD" w:rsidRDefault="00D179AD" w:rsidP="00D179AD">
            <w:pPr>
              <w:suppressAutoHyphens/>
              <w:rPr>
                <w:rFonts w:ascii="Calibri" w:hAnsi="Calibri"/>
                <w:b/>
                <w:bCs/>
                <w:lang w:eastAsia="en-US" w:bidi="he-IL"/>
              </w:rPr>
            </w:pPr>
          </w:p>
        </w:tc>
        <w:tc>
          <w:tcPr>
            <w:tcW w:w="850" w:type="dxa"/>
            <w:tcBorders>
              <w:top w:val="single" w:sz="4" w:space="0" w:color="auto"/>
              <w:left w:val="single" w:sz="4" w:space="0" w:color="auto"/>
              <w:bottom w:val="single" w:sz="4" w:space="0" w:color="auto"/>
              <w:right w:val="single" w:sz="4" w:space="0" w:color="auto"/>
            </w:tcBorders>
          </w:tcPr>
          <w:p w14:paraId="4626CF13" w14:textId="77777777" w:rsidR="00D179AD" w:rsidRPr="00D179AD" w:rsidRDefault="00D179AD" w:rsidP="00D179AD">
            <w:pPr>
              <w:suppressAutoHyphens/>
              <w:rPr>
                <w:rFonts w:ascii="Calibri" w:hAnsi="Calibri"/>
                <w:rtl/>
                <w:lang w:bidi="ar-EG"/>
              </w:rPr>
            </w:pPr>
            <w:r w:rsidRPr="00D179AD">
              <w:rPr>
                <w:rFonts w:ascii="Calibri" w:hAnsi="Calibri"/>
                <w:rtl/>
                <w:lang w:bidi="ar-EG"/>
              </w:rPr>
              <w:t>دكتوراه</w:t>
            </w:r>
          </w:p>
        </w:tc>
        <w:tc>
          <w:tcPr>
            <w:tcW w:w="1134" w:type="dxa"/>
            <w:tcBorders>
              <w:top w:val="single" w:sz="4" w:space="0" w:color="auto"/>
              <w:left w:val="single" w:sz="4" w:space="0" w:color="auto"/>
              <w:bottom w:val="single" w:sz="4" w:space="0" w:color="auto"/>
              <w:right w:val="single" w:sz="4" w:space="0" w:color="auto"/>
            </w:tcBorders>
          </w:tcPr>
          <w:p w14:paraId="59E2E751" w14:textId="77777777" w:rsidR="00D179AD" w:rsidRPr="00D179AD" w:rsidRDefault="00D179AD" w:rsidP="00D179AD">
            <w:pPr>
              <w:suppressAutoHyphens/>
              <w:rPr>
                <w:rFonts w:ascii="Calibri" w:hAnsi="Calibri"/>
                <w:rtl/>
                <w:lang w:bidi="ar-EG"/>
              </w:rPr>
            </w:pPr>
            <w:r w:rsidRPr="00D179AD">
              <w:rPr>
                <w:rFonts w:ascii="Calibri" w:hAnsi="Calibri"/>
                <w:rtl/>
                <w:lang w:bidi="ar-EG"/>
              </w:rPr>
              <w:t>ماجستير</w:t>
            </w:r>
          </w:p>
        </w:tc>
        <w:tc>
          <w:tcPr>
            <w:tcW w:w="1276" w:type="dxa"/>
            <w:tcBorders>
              <w:top w:val="single" w:sz="4" w:space="0" w:color="auto"/>
              <w:left w:val="single" w:sz="4" w:space="0" w:color="auto"/>
              <w:bottom w:val="single" w:sz="4" w:space="0" w:color="auto"/>
              <w:right w:val="single" w:sz="4" w:space="0" w:color="auto"/>
            </w:tcBorders>
          </w:tcPr>
          <w:p w14:paraId="70D0E471" w14:textId="77777777" w:rsidR="00D179AD" w:rsidRPr="00D179AD" w:rsidRDefault="00D179AD" w:rsidP="00D179AD">
            <w:pPr>
              <w:suppressAutoHyphens/>
              <w:rPr>
                <w:rFonts w:ascii="Calibri" w:hAnsi="Calibri"/>
                <w:rtl/>
                <w:lang w:bidi="ar-EG"/>
              </w:rPr>
            </w:pPr>
            <w:r w:rsidRPr="00D179AD">
              <w:rPr>
                <w:rFonts w:ascii="Calibri" w:hAnsi="Calibri"/>
                <w:rtl/>
                <w:lang w:bidi="ar-EG"/>
              </w:rPr>
              <w:t>بكالوريوس</w:t>
            </w:r>
          </w:p>
        </w:tc>
      </w:tr>
      <w:tr w:rsidR="00D179AD" w:rsidRPr="00D179AD" w14:paraId="41A00F87" w14:textId="77777777" w:rsidTr="002C4FB7">
        <w:trPr>
          <w:cantSplit/>
        </w:trPr>
        <w:tc>
          <w:tcPr>
            <w:tcW w:w="2114" w:type="dxa"/>
            <w:tcBorders>
              <w:top w:val="single" w:sz="4" w:space="0" w:color="auto"/>
              <w:left w:val="single" w:sz="4" w:space="0" w:color="auto"/>
              <w:bottom w:val="single" w:sz="4" w:space="0" w:color="auto"/>
              <w:right w:val="single" w:sz="4" w:space="0" w:color="auto"/>
            </w:tcBorders>
            <w:hideMark/>
          </w:tcPr>
          <w:p w14:paraId="4C0A05EA" w14:textId="77777777" w:rsidR="00D179AD" w:rsidRPr="00D179AD" w:rsidRDefault="00D179AD" w:rsidP="00D179AD">
            <w:pPr>
              <w:keepNext/>
              <w:keepLines/>
              <w:suppressAutoHyphens/>
              <w:rPr>
                <w:rFonts w:ascii="Calibri" w:eastAsia="Times New Roman" w:hAnsi="Calibri"/>
                <w:rtl/>
                <w:lang w:bidi="ar-EG"/>
              </w:rPr>
            </w:pPr>
            <w:r w:rsidRPr="00D179AD">
              <w:rPr>
                <w:rFonts w:ascii="Calibri" w:hAnsi="Calibri"/>
                <w:rtl/>
                <w:lang w:bidi="ar-EG"/>
              </w:rPr>
              <w:t>الميكانيكا</w:t>
            </w:r>
          </w:p>
        </w:tc>
        <w:tc>
          <w:tcPr>
            <w:tcW w:w="1478" w:type="dxa"/>
            <w:tcBorders>
              <w:top w:val="single" w:sz="4" w:space="0" w:color="auto"/>
              <w:left w:val="single" w:sz="4" w:space="0" w:color="auto"/>
              <w:bottom w:val="single" w:sz="4" w:space="0" w:color="auto"/>
              <w:right w:val="single" w:sz="4" w:space="0" w:color="auto"/>
            </w:tcBorders>
          </w:tcPr>
          <w:p w14:paraId="3791CA75"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27</w:t>
            </w:r>
          </w:p>
        </w:tc>
        <w:tc>
          <w:tcPr>
            <w:tcW w:w="1790" w:type="dxa"/>
            <w:tcBorders>
              <w:top w:val="single" w:sz="4" w:space="0" w:color="auto"/>
              <w:left w:val="single" w:sz="4" w:space="0" w:color="auto"/>
              <w:bottom w:val="single" w:sz="4" w:space="0" w:color="auto"/>
              <w:right w:val="single" w:sz="4" w:space="0" w:color="auto"/>
            </w:tcBorders>
          </w:tcPr>
          <w:p w14:paraId="6F10CC48"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10</w:t>
            </w:r>
          </w:p>
        </w:tc>
        <w:tc>
          <w:tcPr>
            <w:tcW w:w="850" w:type="dxa"/>
            <w:tcBorders>
              <w:top w:val="single" w:sz="4" w:space="0" w:color="auto"/>
              <w:left w:val="single" w:sz="4" w:space="0" w:color="auto"/>
              <w:bottom w:val="single" w:sz="4" w:space="0" w:color="auto"/>
              <w:right w:val="single" w:sz="4" w:space="0" w:color="auto"/>
            </w:tcBorders>
          </w:tcPr>
          <w:p w14:paraId="7279E7EE"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11%</w:t>
            </w:r>
          </w:p>
        </w:tc>
        <w:tc>
          <w:tcPr>
            <w:tcW w:w="1134" w:type="dxa"/>
            <w:tcBorders>
              <w:top w:val="single" w:sz="4" w:space="0" w:color="auto"/>
              <w:left w:val="single" w:sz="4" w:space="0" w:color="auto"/>
              <w:bottom w:val="single" w:sz="4" w:space="0" w:color="auto"/>
              <w:right w:val="single" w:sz="4" w:space="0" w:color="auto"/>
            </w:tcBorders>
          </w:tcPr>
          <w:p w14:paraId="49C38661"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63%</w:t>
            </w:r>
          </w:p>
        </w:tc>
        <w:tc>
          <w:tcPr>
            <w:tcW w:w="1276" w:type="dxa"/>
            <w:tcBorders>
              <w:top w:val="single" w:sz="4" w:space="0" w:color="auto"/>
              <w:left w:val="single" w:sz="4" w:space="0" w:color="auto"/>
              <w:bottom w:val="single" w:sz="4" w:space="0" w:color="auto"/>
              <w:right w:val="single" w:sz="4" w:space="0" w:color="auto"/>
            </w:tcBorders>
          </w:tcPr>
          <w:p w14:paraId="6D0706E2"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26%</w:t>
            </w:r>
          </w:p>
        </w:tc>
      </w:tr>
      <w:tr w:rsidR="00D179AD" w:rsidRPr="00D179AD" w14:paraId="56A8CDCE" w14:textId="77777777" w:rsidTr="002C4FB7">
        <w:trPr>
          <w:cantSplit/>
        </w:trPr>
        <w:tc>
          <w:tcPr>
            <w:tcW w:w="2114" w:type="dxa"/>
            <w:tcBorders>
              <w:top w:val="single" w:sz="4" w:space="0" w:color="auto"/>
              <w:left w:val="single" w:sz="4" w:space="0" w:color="auto"/>
              <w:bottom w:val="single" w:sz="4" w:space="0" w:color="auto"/>
              <w:right w:val="single" w:sz="4" w:space="0" w:color="auto"/>
            </w:tcBorders>
            <w:hideMark/>
          </w:tcPr>
          <w:p w14:paraId="34807899" w14:textId="77777777" w:rsidR="00D179AD" w:rsidRPr="00D179AD" w:rsidRDefault="00D179AD" w:rsidP="00D179AD">
            <w:pPr>
              <w:keepNext/>
              <w:keepLines/>
              <w:suppressAutoHyphens/>
              <w:rPr>
                <w:rFonts w:ascii="Calibri" w:eastAsia="Times New Roman" w:hAnsi="Calibri"/>
                <w:rtl/>
                <w:lang w:bidi="ar-EG"/>
              </w:rPr>
            </w:pPr>
            <w:r w:rsidRPr="00D179AD">
              <w:rPr>
                <w:rFonts w:ascii="Calibri" w:hAnsi="Calibri"/>
                <w:rtl/>
                <w:lang w:bidi="ar-EG"/>
              </w:rPr>
              <w:t>الكهرباء/الإلكترونيات</w:t>
            </w:r>
          </w:p>
        </w:tc>
        <w:tc>
          <w:tcPr>
            <w:tcW w:w="1478" w:type="dxa"/>
            <w:tcBorders>
              <w:top w:val="single" w:sz="4" w:space="0" w:color="auto"/>
              <w:left w:val="single" w:sz="4" w:space="0" w:color="auto"/>
              <w:bottom w:val="single" w:sz="4" w:space="0" w:color="auto"/>
              <w:right w:val="single" w:sz="4" w:space="0" w:color="auto"/>
            </w:tcBorders>
          </w:tcPr>
          <w:p w14:paraId="3F9F5528"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42</w:t>
            </w:r>
          </w:p>
        </w:tc>
        <w:tc>
          <w:tcPr>
            <w:tcW w:w="1790" w:type="dxa"/>
            <w:tcBorders>
              <w:top w:val="single" w:sz="4" w:space="0" w:color="auto"/>
              <w:left w:val="single" w:sz="4" w:space="0" w:color="auto"/>
              <w:bottom w:val="single" w:sz="4" w:space="0" w:color="auto"/>
              <w:right w:val="single" w:sz="4" w:space="0" w:color="auto"/>
            </w:tcBorders>
          </w:tcPr>
          <w:p w14:paraId="5E92B59F"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10</w:t>
            </w:r>
          </w:p>
        </w:tc>
        <w:tc>
          <w:tcPr>
            <w:tcW w:w="850" w:type="dxa"/>
            <w:tcBorders>
              <w:top w:val="single" w:sz="4" w:space="0" w:color="auto"/>
              <w:left w:val="single" w:sz="4" w:space="0" w:color="auto"/>
              <w:bottom w:val="single" w:sz="4" w:space="0" w:color="auto"/>
              <w:right w:val="single" w:sz="4" w:space="0" w:color="auto"/>
            </w:tcBorders>
          </w:tcPr>
          <w:p w14:paraId="3D4E89A6"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14%</w:t>
            </w:r>
          </w:p>
        </w:tc>
        <w:tc>
          <w:tcPr>
            <w:tcW w:w="1134" w:type="dxa"/>
            <w:tcBorders>
              <w:top w:val="single" w:sz="4" w:space="0" w:color="auto"/>
              <w:left w:val="single" w:sz="4" w:space="0" w:color="auto"/>
              <w:bottom w:val="single" w:sz="4" w:space="0" w:color="auto"/>
              <w:right w:val="single" w:sz="4" w:space="0" w:color="auto"/>
            </w:tcBorders>
          </w:tcPr>
          <w:p w14:paraId="09038CEF"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67%</w:t>
            </w:r>
          </w:p>
        </w:tc>
        <w:tc>
          <w:tcPr>
            <w:tcW w:w="1276" w:type="dxa"/>
            <w:tcBorders>
              <w:top w:val="single" w:sz="4" w:space="0" w:color="auto"/>
              <w:left w:val="single" w:sz="4" w:space="0" w:color="auto"/>
              <w:bottom w:val="single" w:sz="4" w:space="0" w:color="auto"/>
              <w:right w:val="single" w:sz="4" w:space="0" w:color="auto"/>
            </w:tcBorders>
          </w:tcPr>
          <w:p w14:paraId="68426851"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19%</w:t>
            </w:r>
          </w:p>
        </w:tc>
      </w:tr>
      <w:tr w:rsidR="00D179AD" w:rsidRPr="00D179AD" w14:paraId="7DA35937" w14:textId="77777777" w:rsidTr="002C4FB7">
        <w:trPr>
          <w:cantSplit/>
        </w:trPr>
        <w:tc>
          <w:tcPr>
            <w:tcW w:w="2114" w:type="dxa"/>
            <w:tcBorders>
              <w:top w:val="single" w:sz="4" w:space="0" w:color="auto"/>
              <w:left w:val="single" w:sz="4" w:space="0" w:color="auto"/>
              <w:bottom w:val="single" w:sz="4" w:space="0" w:color="auto"/>
              <w:right w:val="single" w:sz="4" w:space="0" w:color="auto"/>
            </w:tcBorders>
            <w:hideMark/>
          </w:tcPr>
          <w:p w14:paraId="24EC44A2" w14:textId="77777777" w:rsidR="00D179AD" w:rsidRPr="00D179AD" w:rsidRDefault="00D179AD" w:rsidP="00D179AD">
            <w:pPr>
              <w:keepNext/>
              <w:keepLines/>
              <w:suppressAutoHyphens/>
              <w:rPr>
                <w:rFonts w:ascii="Calibri" w:eastAsia="Times New Roman" w:hAnsi="Calibri"/>
                <w:rtl/>
                <w:lang w:bidi="ar-EG"/>
              </w:rPr>
            </w:pPr>
            <w:r w:rsidRPr="00D179AD">
              <w:rPr>
                <w:rFonts w:ascii="Calibri" w:hAnsi="Calibri"/>
                <w:rtl/>
                <w:lang w:bidi="ar-EG"/>
              </w:rPr>
              <w:t>الكيمياء</w:t>
            </w:r>
          </w:p>
        </w:tc>
        <w:tc>
          <w:tcPr>
            <w:tcW w:w="1478" w:type="dxa"/>
            <w:tcBorders>
              <w:top w:val="single" w:sz="4" w:space="0" w:color="auto"/>
              <w:left w:val="single" w:sz="4" w:space="0" w:color="auto"/>
              <w:bottom w:val="single" w:sz="4" w:space="0" w:color="auto"/>
              <w:right w:val="single" w:sz="4" w:space="0" w:color="auto"/>
            </w:tcBorders>
          </w:tcPr>
          <w:p w14:paraId="1711CACE"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38</w:t>
            </w:r>
          </w:p>
        </w:tc>
        <w:tc>
          <w:tcPr>
            <w:tcW w:w="1790" w:type="dxa"/>
            <w:tcBorders>
              <w:top w:val="single" w:sz="4" w:space="0" w:color="auto"/>
              <w:left w:val="single" w:sz="4" w:space="0" w:color="auto"/>
              <w:bottom w:val="single" w:sz="4" w:space="0" w:color="auto"/>
              <w:right w:val="single" w:sz="4" w:space="0" w:color="auto"/>
            </w:tcBorders>
          </w:tcPr>
          <w:p w14:paraId="209DED0C"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12</w:t>
            </w:r>
          </w:p>
        </w:tc>
        <w:tc>
          <w:tcPr>
            <w:tcW w:w="850" w:type="dxa"/>
            <w:tcBorders>
              <w:top w:val="single" w:sz="4" w:space="0" w:color="auto"/>
              <w:left w:val="single" w:sz="4" w:space="0" w:color="auto"/>
              <w:bottom w:val="single" w:sz="4" w:space="0" w:color="auto"/>
              <w:right w:val="single" w:sz="4" w:space="0" w:color="auto"/>
            </w:tcBorders>
          </w:tcPr>
          <w:p w14:paraId="659B9F47"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34%</w:t>
            </w:r>
          </w:p>
        </w:tc>
        <w:tc>
          <w:tcPr>
            <w:tcW w:w="1134" w:type="dxa"/>
            <w:tcBorders>
              <w:top w:val="single" w:sz="4" w:space="0" w:color="auto"/>
              <w:left w:val="single" w:sz="4" w:space="0" w:color="auto"/>
              <w:bottom w:val="single" w:sz="4" w:space="0" w:color="auto"/>
              <w:right w:val="single" w:sz="4" w:space="0" w:color="auto"/>
            </w:tcBorders>
          </w:tcPr>
          <w:p w14:paraId="1E3A504B"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63%</w:t>
            </w:r>
          </w:p>
        </w:tc>
        <w:tc>
          <w:tcPr>
            <w:tcW w:w="1276" w:type="dxa"/>
            <w:tcBorders>
              <w:top w:val="single" w:sz="4" w:space="0" w:color="auto"/>
              <w:left w:val="single" w:sz="4" w:space="0" w:color="auto"/>
              <w:bottom w:val="single" w:sz="4" w:space="0" w:color="auto"/>
              <w:right w:val="single" w:sz="4" w:space="0" w:color="auto"/>
            </w:tcBorders>
          </w:tcPr>
          <w:p w14:paraId="3E271D7F"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3%</w:t>
            </w:r>
          </w:p>
        </w:tc>
      </w:tr>
      <w:tr w:rsidR="00D179AD" w:rsidRPr="00D179AD" w14:paraId="6EDF1D69" w14:textId="77777777" w:rsidTr="002C4FB7">
        <w:trPr>
          <w:cantSplit/>
        </w:trPr>
        <w:tc>
          <w:tcPr>
            <w:tcW w:w="2114" w:type="dxa"/>
            <w:tcBorders>
              <w:top w:val="single" w:sz="4" w:space="0" w:color="auto"/>
              <w:left w:val="single" w:sz="4" w:space="0" w:color="auto"/>
              <w:bottom w:val="single" w:sz="4" w:space="0" w:color="auto"/>
              <w:right w:val="single" w:sz="4" w:space="0" w:color="auto"/>
            </w:tcBorders>
            <w:hideMark/>
          </w:tcPr>
          <w:p w14:paraId="7EA28924" w14:textId="77777777" w:rsidR="00D179AD" w:rsidRPr="00D179AD" w:rsidRDefault="00D179AD" w:rsidP="00D179AD">
            <w:pPr>
              <w:keepNext/>
              <w:keepLines/>
              <w:suppressAutoHyphens/>
              <w:rPr>
                <w:rFonts w:ascii="Calibri" w:eastAsia="Times New Roman" w:hAnsi="Calibri"/>
                <w:rtl/>
                <w:lang w:bidi="ar-EG"/>
              </w:rPr>
            </w:pPr>
            <w:r w:rsidRPr="00D179AD">
              <w:rPr>
                <w:rFonts w:ascii="Calibri" w:hAnsi="Calibri"/>
                <w:rtl/>
                <w:lang w:bidi="ar-EG"/>
              </w:rPr>
              <w:t>البيوتكنولوجيا</w:t>
            </w:r>
          </w:p>
        </w:tc>
        <w:tc>
          <w:tcPr>
            <w:tcW w:w="1478" w:type="dxa"/>
            <w:tcBorders>
              <w:top w:val="single" w:sz="4" w:space="0" w:color="auto"/>
              <w:left w:val="single" w:sz="4" w:space="0" w:color="auto"/>
              <w:bottom w:val="single" w:sz="4" w:space="0" w:color="auto"/>
              <w:right w:val="single" w:sz="4" w:space="0" w:color="auto"/>
            </w:tcBorders>
          </w:tcPr>
          <w:p w14:paraId="3C741527"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23</w:t>
            </w:r>
          </w:p>
        </w:tc>
        <w:tc>
          <w:tcPr>
            <w:tcW w:w="1790" w:type="dxa"/>
            <w:tcBorders>
              <w:top w:val="single" w:sz="4" w:space="0" w:color="auto"/>
              <w:left w:val="single" w:sz="4" w:space="0" w:color="auto"/>
              <w:bottom w:val="single" w:sz="4" w:space="0" w:color="auto"/>
              <w:right w:val="single" w:sz="4" w:space="0" w:color="auto"/>
            </w:tcBorders>
          </w:tcPr>
          <w:p w14:paraId="4C5C425F"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15</w:t>
            </w:r>
          </w:p>
        </w:tc>
        <w:tc>
          <w:tcPr>
            <w:tcW w:w="850" w:type="dxa"/>
            <w:tcBorders>
              <w:top w:val="single" w:sz="4" w:space="0" w:color="auto"/>
              <w:left w:val="single" w:sz="4" w:space="0" w:color="auto"/>
              <w:bottom w:val="single" w:sz="4" w:space="0" w:color="auto"/>
              <w:right w:val="single" w:sz="4" w:space="0" w:color="auto"/>
            </w:tcBorders>
          </w:tcPr>
          <w:p w14:paraId="0A6B221D"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57%</w:t>
            </w:r>
          </w:p>
        </w:tc>
        <w:tc>
          <w:tcPr>
            <w:tcW w:w="1134" w:type="dxa"/>
            <w:tcBorders>
              <w:top w:val="single" w:sz="4" w:space="0" w:color="auto"/>
              <w:left w:val="single" w:sz="4" w:space="0" w:color="auto"/>
              <w:bottom w:val="single" w:sz="4" w:space="0" w:color="auto"/>
              <w:right w:val="single" w:sz="4" w:space="0" w:color="auto"/>
            </w:tcBorders>
          </w:tcPr>
          <w:p w14:paraId="4B085FB7"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30%</w:t>
            </w:r>
          </w:p>
        </w:tc>
        <w:tc>
          <w:tcPr>
            <w:tcW w:w="1276" w:type="dxa"/>
            <w:tcBorders>
              <w:top w:val="single" w:sz="4" w:space="0" w:color="auto"/>
              <w:left w:val="single" w:sz="4" w:space="0" w:color="auto"/>
              <w:bottom w:val="single" w:sz="4" w:space="0" w:color="auto"/>
              <w:right w:val="single" w:sz="4" w:space="0" w:color="auto"/>
            </w:tcBorders>
          </w:tcPr>
          <w:p w14:paraId="1B4CDDA1" w14:textId="77777777" w:rsidR="00D179AD" w:rsidRPr="00D179AD" w:rsidRDefault="00D179AD" w:rsidP="00D179AD">
            <w:pPr>
              <w:keepNext/>
              <w:keepLines/>
              <w:suppressAutoHyphens/>
              <w:jc w:val="center"/>
              <w:rPr>
                <w:rFonts w:ascii="Calibri" w:eastAsia="Times New Roman" w:hAnsi="Calibri"/>
                <w:rtl/>
                <w:lang w:bidi="ar-EG"/>
              </w:rPr>
            </w:pPr>
            <w:r w:rsidRPr="00D179AD">
              <w:rPr>
                <w:rFonts w:ascii="Calibri" w:hAnsi="Calibri"/>
                <w:rtl/>
                <w:lang w:bidi="ar-EG"/>
              </w:rPr>
              <w:t>13%</w:t>
            </w:r>
          </w:p>
        </w:tc>
      </w:tr>
      <w:tr w:rsidR="00D179AD" w:rsidRPr="00D179AD" w14:paraId="0A71205B" w14:textId="77777777" w:rsidTr="002C4FB7">
        <w:trPr>
          <w:cantSplit/>
        </w:trPr>
        <w:tc>
          <w:tcPr>
            <w:tcW w:w="2114" w:type="dxa"/>
            <w:tcBorders>
              <w:top w:val="single" w:sz="4" w:space="0" w:color="auto"/>
              <w:left w:val="single" w:sz="4" w:space="0" w:color="auto"/>
              <w:bottom w:val="single" w:sz="4" w:space="0" w:color="auto"/>
              <w:right w:val="single" w:sz="4" w:space="0" w:color="auto"/>
            </w:tcBorders>
            <w:hideMark/>
          </w:tcPr>
          <w:p w14:paraId="007840A1" w14:textId="77777777" w:rsidR="00D179AD" w:rsidRPr="00D179AD" w:rsidRDefault="00D179AD" w:rsidP="00D179AD">
            <w:pPr>
              <w:suppressAutoHyphens/>
              <w:rPr>
                <w:rFonts w:ascii="Calibri" w:eastAsia="Times New Roman" w:hAnsi="Calibri"/>
                <w:i/>
                <w:iCs/>
                <w:rtl/>
                <w:lang w:bidi="ar-EG"/>
              </w:rPr>
            </w:pPr>
            <w:r w:rsidRPr="00D179AD">
              <w:rPr>
                <w:rFonts w:ascii="Calibri" w:hAnsi="Calibri"/>
                <w:i/>
                <w:iCs/>
                <w:rtl/>
                <w:lang w:bidi="ar-EG"/>
              </w:rPr>
              <w:t>الإجمالي</w:t>
            </w:r>
          </w:p>
        </w:tc>
        <w:tc>
          <w:tcPr>
            <w:tcW w:w="1478" w:type="dxa"/>
            <w:tcBorders>
              <w:top w:val="single" w:sz="4" w:space="0" w:color="auto"/>
              <w:left w:val="single" w:sz="4" w:space="0" w:color="auto"/>
              <w:bottom w:val="single" w:sz="4" w:space="0" w:color="auto"/>
              <w:right w:val="single" w:sz="4" w:space="0" w:color="auto"/>
            </w:tcBorders>
          </w:tcPr>
          <w:p w14:paraId="20542127" w14:textId="77777777" w:rsidR="00D179AD" w:rsidRPr="00D179AD" w:rsidRDefault="00D179AD" w:rsidP="00D179AD">
            <w:pPr>
              <w:suppressAutoHyphens/>
              <w:jc w:val="center"/>
              <w:rPr>
                <w:rFonts w:ascii="Calibri" w:eastAsia="Times New Roman" w:hAnsi="Calibri"/>
                <w:i/>
                <w:iCs/>
                <w:rtl/>
                <w:lang w:bidi="ar-EG"/>
              </w:rPr>
            </w:pPr>
            <w:r w:rsidRPr="00D179AD">
              <w:rPr>
                <w:rFonts w:ascii="Calibri" w:hAnsi="Calibri"/>
                <w:i/>
                <w:iCs/>
                <w:rtl/>
                <w:lang w:bidi="ar-EG"/>
              </w:rPr>
              <w:t>130</w:t>
            </w:r>
          </w:p>
        </w:tc>
        <w:tc>
          <w:tcPr>
            <w:tcW w:w="1790" w:type="dxa"/>
            <w:tcBorders>
              <w:top w:val="single" w:sz="4" w:space="0" w:color="auto"/>
              <w:left w:val="single" w:sz="4" w:space="0" w:color="auto"/>
              <w:bottom w:val="single" w:sz="4" w:space="0" w:color="auto"/>
              <w:right w:val="single" w:sz="4" w:space="0" w:color="auto"/>
            </w:tcBorders>
          </w:tcPr>
          <w:p w14:paraId="5688A5A4" w14:textId="77777777" w:rsidR="00D179AD" w:rsidRPr="00D179AD" w:rsidRDefault="00D179AD" w:rsidP="00D179AD">
            <w:pPr>
              <w:suppressAutoHyphens/>
              <w:jc w:val="center"/>
              <w:rPr>
                <w:rFonts w:ascii="Calibri" w:eastAsia="Times New Roman" w:hAnsi="Calibri"/>
                <w:i/>
                <w:iCs/>
                <w:rtl/>
                <w:lang w:bidi="ar-EG"/>
              </w:rPr>
            </w:pPr>
            <w:r w:rsidRPr="00D179AD">
              <w:rPr>
                <w:rFonts w:ascii="Calibri" w:hAnsi="Calibri"/>
                <w:i/>
                <w:iCs/>
                <w:rtl/>
                <w:lang w:bidi="ar-EG"/>
              </w:rPr>
              <w:t>11.5</w:t>
            </w:r>
          </w:p>
        </w:tc>
        <w:tc>
          <w:tcPr>
            <w:tcW w:w="850" w:type="dxa"/>
            <w:tcBorders>
              <w:top w:val="single" w:sz="4" w:space="0" w:color="auto"/>
              <w:left w:val="single" w:sz="4" w:space="0" w:color="auto"/>
              <w:bottom w:val="single" w:sz="4" w:space="0" w:color="auto"/>
              <w:right w:val="single" w:sz="4" w:space="0" w:color="auto"/>
            </w:tcBorders>
          </w:tcPr>
          <w:p w14:paraId="53476D11" w14:textId="77777777" w:rsidR="00D179AD" w:rsidRPr="00D179AD" w:rsidRDefault="00D179AD" w:rsidP="00D179AD">
            <w:pPr>
              <w:suppressAutoHyphens/>
              <w:jc w:val="center"/>
              <w:rPr>
                <w:rFonts w:ascii="Calibri" w:eastAsia="Times New Roman" w:hAnsi="Calibri"/>
                <w:i/>
                <w:iCs/>
                <w:lang w:eastAsia="en-US" w:bidi="he-IL"/>
              </w:rPr>
            </w:pPr>
          </w:p>
        </w:tc>
        <w:tc>
          <w:tcPr>
            <w:tcW w:w="1134" w:type="dxa"/>
            <w:tcBorders>
              <w:top w:val="single" w:sz="4" w:space="0" w:color="auto"/>
              <w:left w:val="single" w:sz="4" w:space="0" w:color="auto"/>
              <w:bottom w:val="single" w:sz="4" w:space="0" w:color="auto"/>
              <w:right w:val="single" w:sz="4" w:space="0" w:color="auto"/>
            </w:tcBorders>
          </w:tcPr>
          <w:p w14:paraId="762FF74B" w14:textId="77777777" w:rsidR="00D179AD" w:rsidRPr="00D179AD" w:rsidRDefault="00D179AD" w:rsidP="00D179AD">
            <w:pPr>
              <w:suppressAutoHyphens/>
              <w:jc w:val="center"/>
              <w:rPr>
                <w:rFonts w:ascii="Calibri" w:eastAsia="Times New Roman" w:hAnsi="Calibri"/>
                <w:i/>
                <w:iCs/>
                <w:lang w:eastAsia="en-US" w:bidi="he-IL"/>
              </w:rPr>
            </w:pPr>
          </w:p>
        </w:tc>
        <w:tc>
          <w:tcPr>
            <w:tcW w:w="1276" w:type="dxa"/>
            <w:tcBorders>
              <w:top w:val="single" w:sz="4" w:space="0" w:color="auto"/>
              <w:left w:val="single" w:sz="4" w:space="0" w:color="auto"/>
              <w:bottom w:val="single" w:sz="4" w:space="0" w:color="auto"/>
              <w:right w:val="single" w:sz="4" w:space="0" w:color="auto"/>
            </w:tcBorders>
          </w:tcPr>
          <w:p w14:paraId="292EFB72" w14:textId="77777777" w:rsidR="00D179AD" w:rsidRPr="00D179AD" w:rsidRDefault="00D179AD" w:rsidP="00D179AD">
            <w:pPr>
              <w:suppressAutoHyphens/>
              <w:jc w:val="center"/>
              <w:rPr>
                <w:rFonts w:ascii="Calibri" w:eastAsia="Times New Roman" w:hAnsi="Calibri"/>
                <w:i/>
                <w:iCs/>
                <w:lang w:eastAsia="en-US" w:bidi="he-IL"/>
              </w:rPr>
            </w:pPr>
          </w:p>
        </w:tc>
      </w:tr>
    </w:tbl>
    <w:p w14:paraId="30F2F1AA" w14:textId="77777777" w:rsidR="00D179AD" w:rsidRPr="00D179AD" w:rsidRDefault="00D179AD" w:rsidP="00D179AD">
      <w:pPr>
        <w:rPr>
          <w:rFonts w:ascii="Calibri" w:hAnsi="Calibri"/>
          <w:lang w:bidi="ar-EG"/>
        </w:rPr>
      </w:pPr>
    </w:p>
    <w:p w14:paraId="732DDFD8" w14:textId="77777777" w:rsidR="00D179AD" w:rsidRPr="00D179AD" w:rsidRDefault="00D179AD" w:rsidP="00D179AD">
      <w:pPr>
        <w:rPr>
          <w:rFonts w:ascii="Calibri" w:hAnsi="Calibri"/>
          <w:lang w:bidi="ar-EG"/>
        </w:rPr>
      </w:pPr>
    </w:p>
    <w:p w14:paraId="41F1608C" w14:textId="77777777" w:rsidR="00D179AD" w:rsidRPr="00D179AD" w:rsidRDefault="00D179AD" w:rsidP="00D179AD">
      <w:pPr>
        <w:keepNext/>
        <w:keepLines/>
        <w:spacing w:after="240"/>
        <w:ind w:right="567"/>
        <w:rPr>
          <w:rFonts w:ascii="Calibri" w:hAnsi="Calibri"/>
          <w:b/>
          <w:rtl/>
          <w:lang w:bidi="ar-EG"/>
        </w:rPr>
      </w:pPr>
      <w:r w:rsidRPr="00D179AD">
        <w:rPr>
          <w:rFonts w:ascii="Calibri" w:hAnsi="Calibri"/>
          <w:b/>
          <w:rtl/>
          <w:lang w:bidi="ar-EG"/>
        </w:rPr>
        <w:t xml:space="preserve">معلومات أخرى خلاف تقرير نظام إدارة الجودة والجدول أعلاه (اختيارية):  </w:t>
      </w:r>
    </w:p>
    <w:p w14:paraId="6411B718" w14:textId="77777777" w:rsidR="00D179AD" w:rsidRPr="00D179AD" w:rsidRDefault="00D179AD" w:rsidP="00D179AD">
      <w:pPr>
        <w:keepNext/>
        <w:keepLines/>
        <w:spacing w:after="240"/>
        <w:ind w:right="567"/>
        <w:rPr>
          <w:rFonts w:ascii="Calibri" w:hAnsi="Calibri"/>
          <w:bCs/>
          <w:lang w:bidi="ar-EG"/>
        </w:rPr>
      </w:pPr>
    </w:p>
    <w:p w14:paraId="16AA0490" w14:textId="77777777" w:rsidR="00D179AD" w:rsidRPr="00D179AD" w:rsidRDefault="00D179AD" w:rsidP="00D179AD">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D179AD">
        <w:rPr>
          <w:rFonts w:ascii="Calibri" w:eastAsia="Times New Roman" w:hAnsi="Calibri"/>
          <w:b/>
          <w:bCs/>
          <w:caps/>
          <w:lang w:val="fr-CH" w:bidi="ar-EG"/>
        </w:rPr>
        <w:t>‎2.2</w:t>
      </w:r>
      <w:r w:rsidRPr="00D179AD">
        <w:rPr>
          <w:rFonts w:ascii="Calibri" w:eastAsia="Times New Roman" w:hAnsi="Calibri"/>
          <w:b/>
          <w:bCs/>
          <w:caps/>
          <w:rtl/>
          <w:lang w:val="fr-CH" w:bidi="ar-EG"/>
        </w:rPr>
        <w:t xml:space="preserve"> – الحد الأدنى للوثائق ـ الإتاحة للاطلاع</w:t>
      </w:r>
    </w:p>
    <w:p w14:paraId="137DD0EC" w14:textId="77777777" w:rsidR="00D179AD" w:rsidRPr="00D179AD" w:rsidRDefault="00D179AD" w:rsidP="00D179AD">
      <w:pPr>
        <w:keepNext/>
        <w:keepLines/>
        <w:spacing w:after="240"/>
        <w:ind w:left="567" w:right="567"/>
        <w:rPr>
          <w:rFonts w:ascii="Calibri" w:hAnsi="Calibri"/>
          <w:b/>
          <w:i/>
          <w:iCs/>
          <w:rtl/>
          <w:lang w:bidi="ar-EG"/>
        </w:rPr>
      </w:pPr>
      <w:r w:rsidRPr="00D179AD">
        <w:rPr>
          <w:rFonts w:ascii="Calibri" w:hAnsi="Calibri"/>
          <w:b/>
          <w:i/>
          <w:iCs/>
          <w:rtl/>
          <w:lang w:bidi="ar-EG"/>
        </w:rPr>
        <w:t>القاعدتان 1.36"2" و1.63"2": 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5CC4A195" w14:textId="3F7FA9AD" w:rsidR="00D179AD" w:rsidRPr="00D179AD" w:rsidRDefault="00D179AD" w:rsidP="00D179AD">
      <w:pPr>
        <w:keepNext/>
        <w:keepLines/>
        <w:spacing w:after="240"/>
        <w:ind w:left="567" w:right="567"/>
        <w:rPr>
          <w:rFonts w:ascii="Calibri" w:hAnsi="Calibri"/>
          <w:b/>
          <w:i/>
          <w:iCs/>
          <w:rtl/>
          <w:lang w:bidi="ar-EG"/>
        </w:rPr>
      </w:pPr>
      <w:r w:rsidRPr="00D179AD">
        <w:rPr>
          <w:rFonts w:ascii="Calibri" w:hAnsi="Calibri"/>
          <w:b/>
          <w:i/>
          <w:iCs/>
          <w:rtl/>
          <w:lang w:bidi="ar-EG"/>
        </w:rPr>
        <w:t xml:space="preserve">وترد المتطلبات المحددة في التعليمات الإدارية في </w:t>
      </w:r>
      <w:r w:rsidRPr="00D179AD">
        <w:rPr>
          <w:rFonts w:ascii="Calibri" w:hAnsi="Calibri"/>
          <w:b/>
          <w:i/>
          <w:iCs/>
          <w:lang w:bidi="ar-EG"/>
        </w:rPr>
        <w:t>‎</w:t>
      </w:r>
      <w:hyperlink r:id="rId19" w:history="1">
        <w:r w:rsidRPr="00D179AD">
          <w:rPr>
            <w:rFonts w:ascii="Calibri" w:hAnsi="Calibri"/>
            <w:b/>
            <w:i/>
            <w:iCs/>
            <w:color w:val="0000FF" w:themeColor="hyperlink"/>
            <w:u w:val="single"/>
            <w:rtl/>
            <w:lang w:bidi="ar-EG"/>
          </w:rPr>
          <w:t xml:space="preserve">التعميم </w:t>
        </w:r>
        <w:r w:rsidRPr="00D179AD">
          <w:rPr>
            <w:rFonts w:ascii="Calibri" w:hAnsi="Calibri"/>
            <w:bCs/>
            <w:i/>
            <w:iCs/>
            <w:color w:val="0000FF" w:themeColor="hyperlink"/>
            <w:u w:val="single"/>
            <w:lang w:bidi="ar-EG"/>
          </w:rPr>
          <w:t>C. PCT 1672</w:t>
        </w:r>
      </w:hyperlink>
      <w:r w:rsidRPr="00D179AD">
        <w:rPr>
          <w:rFonts w:ascii="Calibri" w:hAnsi="Calibri"/>
          <w:b/>
          <w:i/>
          <w:iCs/>
          <w:lang w:bidi="ar-EG"/>
        </w:rPr>
        <w:t>‎‎</w:t>
      </w:r>
      <w:r w:rsidRPr="00D179AD">
        <w:rPr>
          <w:rFonts w:ascii="Calibri" w:hAnsi="Calibri"/>
          <w:b/>
          <w:i/>
          <w:iCs/>
          <w:rtl/>
          <w:lang w:bidi="ar-EG"/>
        </w:rPr>
        <w:t>، المؤرخ 19 يونيو 2024.</w:t>
      </w:r>
    </w:p>
    <w:p w14:paraId="7E77C5A4" w14:textId="6724D696" w:rsidR="00D179AD" w:rsidRPr="00D179AD" w:rsidRDefault="00D179AD" w:rsidP="00D179AD">
      <w:pPr>
        <w:keepNext/>
        <w:keepLines/>
        <w:rPr>
          <w:rFonts w:ascii="Calibri" w:hAnsi="Calibri"/>
          <w:rtl/>
          <w:lang w:bidi="ar-EG"/>
        </w:rPr>
      </w:pPr>
      <w:r w:rsidRPr="00D179AD">
        <w:rPr>
          <w:rFonts w:ascii="Calibri" w:hAnsi="Calibri"/>
          <w:rtl/>
          <w:lang w:bidi="ar-EG"/>
        </w:rPr>
        <w:t xml:space="preserve">وفيما يخص الإتاحة للاطلاع كجزء من الحد الأدنى لمجموعة الوثائق المشار إليه في القاعدة 34، بالنسبة إلى البراءات الصادرة وطلبات البراءات المنشورة من قبل المكتب أو، حسب الاقتضاء، مكاتب الدول الأعضاء في المنظمة الحكومية الدولية وفقاً للتفاهم الذي اعتمدته جمعية معاهدة البراءات في الفقرة 8 من الوثيقة </w:t>
      </w:r>
      <w:r w:rsidRPr="00D179AD">
        <w:rPr>
          <w:rFonts w:ascii="Calibri" w:hAnsi="Calibri"/>
          <w:lang w:bidi="ar-EG"/>
        </w:rPr>
        <w:t>PCT/A/55/2</w:t>
      </w:r>
      <w:r w:rsidRPr="00D179AD">
        <w:rPr>
          <w:rFonts w:ascii="Calibri" w:hAnsi="Calibri"/>
          <w:rtl/>
          <w:lang w:bidi="ar-EG"/>
        </w:rPr>
        <w:t>، يكون التبليغ على النحو التالي:</w:t>
      </w:r>
      <w:r w:rsidRPr="00D179AD">
        <w:rPr>
          <w:rFonts w:ascii="Calibri" w:hAnsi="Calibri"/>
          <w:rtl/>
          <w:lang w:bidi="ar-EG"/>
        </w:rPr>
        <w:br/>
      </w:r>
      <w:r w:rsidRPr="00D179AD">
        <w:rPr>
          <w:rFonts w:ascii="Calibri" w:hAnsi="Calibri"/>
          <w:rtl/>
          <w:lang w:bidi="ar-EG"/>
        </w:rPr>
        <w:br/>
        <w:t xml:space="preserve">إما: </w:t>
      </w:r>
      <w:r w:rsidRPr="00D179AD">
        <w:rPr>
          <w:rFonts w:ascii="Calibri" w:hAnsi="Calibri"/>
          <w:lang w:bidi="ar-EG"/>
        </w:rPr>
        <w:t>‎</w:t>
      </w:r>
      <w:r w:rsidRPr="00D179AD">
        <w:rPr>
          <w:rFonts w:ascii="Calibri" w:hAnsi="Calibri"/>
          <w:rtl/>
          <w:lang w:bidi="ar-EG"/>
        </w:rPr>
        <w:br/>
      </w:r>
      <w:r w:rsidRPr="00D179AD">
        <w:rPr>
          <w:rFonts w:ascii="Calibri" w:hAnsi="Calibri"/>
          <w:rtl/>
          <w:lang w:bidi="ar-EG"/>
        </w:rPr>
        <w:br/>
        <w:t>أن فرقة العمل المعنية بالحد الأدنى للوثائق المنصوص عليها في معاهدة البراءات قد تحققت من إتاحة مجموعات وثائق البراءات قبل 1 نوفمبر 2025، وتشهد بأن المتطلبات قد استُوفيت</w:t>
      </w:r>
      <w:r w:rsidRPr="00312555">
        <w:rPr>
          <w:rFonts w:ascii="Calibri" w:hAnsi="Calibri"/>
          <w:rtl/>
          <w:lang w:bidi="ar-EG"/>
        </w:rPr>
        <w:t xml:space="preserve">. </w:t>
      </w:r>
      <w:r w:rsidRPr="00D179AD">
        <w:rPr>
          <w:rFonts w:ascii="Calibri" w:hAnsi="Calibri"/>
          <w:rtl/>
          <w:lang w:bidi="ar-EG"/>
        </w:rPr>
        <w:t xml:space="preserve">وجرى نشر النطاق والنسق الخاصين بالوثائق التي أتاحتها الإدارة للاطلاع عليها في الجريدة الرسمية لمعاهدة البراءات في 23 أكتوبر 2025، في الرابط التالي:  </w:t>
      </w:r>
      <w:hyperlink r:id="rId20" w:anchor="page=221" w:history="1">
        <w:r w:rsidRPr="00D179AD">
          <w:rPr>
            <w:rFonts w:ascii="Calibri" w:hAnsi="Calibri"/>
            <w:color w:val="0000FF" w:themeColor="hyperlink"/>
            <w:u w:val="single"/>
            <w:lang w:bidi="ar-EG"/>
          </w:rPr>
          <w:t>https://www.wipo.int/documents/d/pct-system/docs-en-official-notices-officialnotices.pdf#page=197</w:t>
        </w:r>
      </w:hyperlink>
      <w:r w:rsidR="00DB3828">
        <w:rPr>
          <w:rFonts w:ascii="Calibri" w:hAnsi="Calibri" w:hint="cs"/>
          <w:rtl/>
          <w:lang w:bidi="ar-EG"/>
        </w:rPr>
        <w:t>.</w:t>
      </w:r>
    </w:p>
    <w:p w14:paraId="53E60FBA" w14:textId="77777777" w:rsidR="00D179AD" w:rsidRPr="00D179AD" w:rsidRDefault="00D179AD" w:rsidP="00D179AD">
      <w:pPr>
        <w:spacing w:after="220"/>
        <w:rPr>
          <w:rFonts w:ascii="Calibri" w:hAnsi="Calibri"/>
          <w:lang w:bidi="ar-EG"/>
        </w:rPr>
      </w:pPr>
    </w:p>
    <w:p w14:paraId="3BF622D2" w14:textId="77777777" w:rsidR="00D179AD" w:rsidRPr="00D179AD" w:rsidRDefault="00D179AD" w:rsidP="00D179AD">
      <w:pPr>
        <w:spacing w:after="220"/>
        <w:rPr>
          <w:rFonts w:ascii="Calibri" w:hAnsi="Calibri"/>
          <w:rtl/>
          <w:lang w:bidi="ar-EG"/>
        </w:rPr>
      </w:pPr>
      <w:r w:rsidRPr="00D179AD">
        <w:rPr>
          <w:rFonts w:ascii="Calibri" w:hAnsi="Calibri"/>
          <w:rtl/>
          <w:lang w:bidi="ar-EG"/>
        </w:rPr>
        <w:t>أو:</w:t>
      </w:r>
    </w:p>
    <w:p w14:paraId="6CA29A5E" w14:textId="586314E9" w:rsidR="00D179AD" w:rsidRPr="00D179AD" w:rsidRDefault="00D179AD" w:rsidP="00D179AD">
      <w:pPr>
        <w:spacing w:after="220"/>
        <w:rPr>
          <w:rFonts w:ascii="Calibri" w:hAnsi="Calibri"/>
          <w:rtl/>
          <w:lang w:bidi="ar-EG"/>
        </w:rPr>
      </w:pPr>
      <w:r w:rsidRPr="00D179AD">
        <w:rPr>
          <w:rFonts w:ascii="Calibri" w:hAnsi="Calibri"/>
          <w:rtl/>
          <w:lang w:bidi="ar-EG"/>
        </w:rPr>
        <w:t>تقدم الإدارة تقريراً عن إتاحة مجموعة وثائق البراءات الخاصة بها، على أن يتضمن التقرير جدولاً زمنياً لإجراءات التحقق من الإتاحة الكاملة والإشهاد عليها من قبل فرقة العمل المعنية بالحد الأدنى للوثائق المنصوص عليها في معاهدة البراءات.</w:t>
      </w:r>
      <w:r w:rsidRPr="00D179AD">
        <w:rPr>
          <w:rFonts w:ascii="Calibri" w:hAnsi="Calibri"/>
          <w:lang w:bidi="ar-EG"/>
        </w:rPr>
        <w:t xml:space="preserve">‎ </w:t>
      </w:r>
      <w:r w:rsidRPr="00D179AD">
        <w:rPr>
          <w:rFonts w:ascii="Calibri" w:hAnsi="Calibri"/>
          <w:rtl/>
          <w:lang w:bidi="ar-EG"/>
        </w:rPr>
        <w:t>ويُرجى أيضاً تقديم تفاصيل ملف الإدارة مع أي روابط لازمة، حسب الاقتضاء.</w:t>
      </w:r>
    </w:p>
    <w:p w14:paraId="3508FE50" w14:textId="77777777" w:rsidR="00D179AD" w:rsidRPr="00D179AD" w:rsidRDefault="00D179AD" w:rsidP="00D179AD">
      <w:pPr>
        <w:spacing w:after="220"/>
        <w:rPr>
          <w:rFonts w:ascii="Calibri" w:hAnsi="Calibri"/>
          <w:lang w:bidi="ar-EG"/>
        </w:rPr>
      </w:pPr>
    </w:p>
    <w:p w14:paraId="351107C6" w14:textId="77777777" w:rsidR="00D179AD" w:rsidRPr="00D179AD" w:rsidRDefault="00D179AD" w:rsidP="00D179AD">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D179AD">
        <w:rPr>
          <w:rFonts w:ascii="Calibri" w:eastAsia="Times New Roman" w:hAnsi="Calibri"/>
          <w:b/>
          <w:bCs/>
          <w:caps/>
          <w:lang w:val="fr-CH" w:bidi="ar-EG"/>
        </w:rPr>
        <w:lastRenderedPageBreak/>
        <w:t>‎3.2</w:t>
      </w:r>
      <w:r w:rsidRPr="00D179AD">
        <w:rPr>
          <w:rFonts w:ascii="Calibri" w:eastAsia="Times New Roman" w:hAnsi="Calibri"/>
          <w:b/>
          <w:bCs/>
          <w:caps/>
          <w:rtl/>
          <w:lang w:val="fr-CH" w:bidi="ar-EG"/>
        </w:rPr>
        <w:t xml:space="preserve"> – الحد الأدنى للوثائق – إمكانية النفاذ</w:t>
      </w:r>
    </w:p>
    <w:p w14:paraId="6964000F" w14:textId="77777777" w:rsidR="00D179AD" w:rsidRPr="00D179AD" w:rsidRDefault="00D179AD" w:rsidP="00D179AD">
      <w:pPr>
        <w:keepNext/>
        <w:keepLines/>
        <w:spacing w:after="240"/>
        <w:ind w:left="567" w:right="567"/>
        <w:rPr>
          <w:rFonts w:ascii="Calibri" w:hAnsi="Calibri"/>
          <w:b/>
          <w:rtl/>
          <w:lang w:bidi="ar-EG"/>
        </w:rPr>
      </w:pPr>
      <w:r w:rsidRPr="00D179AD">
        <w:rPr>
          <w:rFonts w:ascii="Calibri" w:hAnsi="Calibri"/>
          <w:b/>
          <w:i/>
          <w:iCs/>
          <w:rtl/>
          <w:lang w:bidi="ar-EG"/>
        </w:rPr>
        <w:t>القاعدتان 1.36"3" و1.63"3": يجب أن يكون في حوزة المكتب الوطني أو المنظمة الحكومية الدولية على الأقل الحد الأدنى لمجموعة الوثائق المشار إليه في القاعدة 34 أو أن يحافظ على إمكانية الحصول عليه لأغراض البحث وفقاً للتعليمات الإدارية.</w:t>
      </w:r>
    </w:p>
    <w:p w14:paraId="3C632414" w14:textId="389A6130" w:rsidR="00D179AD" w:rsidRPr="00D179AD" w:rsidRDefault="00D179AD" w:rsidP="00D179AD">
      <w:pPr>
        <w:keepNext/>
        <w:keepLines/>
        <w:spacing w:after="240"/>
        <w:ind w:right="567"/>
        <w:rPr>
          <w:rFonts w:ascii="Calibri" w:hAnsi="Calibri"/>
          <w:b/>
          <w:rtl/>
          <w:lang w:bidi="ar-EG"/>
        </w:rPr>
      </w:pPr>
      <w:r w:rsidRPr="00D179AD">
        <w:rPr>
          <w:rFonts w:ascii="Calibri" w:hAnsi="Calibri"/>
          <w:b/>
          <w:rtl/>
          <w:lang w:bidi="ar-EG"/>
        </w:rPr>
        <w:t>يقدم تقرير نظام إدارة الجودة معلومات من الإدارة عن البنية التحتية الموجودة لديها لضمان أن الحد الأدنى لمجموعة الوثائق المشار إليه في القاعدة 34 على الأقل متوفراً ويمكن النفاذ إليه ومرتباً ومحتفظاً به على نحو سليم لأغراض البحث والفحص بموجب الفقرة 15.21"4" من المبادئ التوجيهية</w:t>
      </w:r>
      <w:r w:rsidRPr="003E04E5">
        <w:rPr>
          <w:rFonts w:ascii="Calibri" w:hAnsi="Calibri"/>
          <w:b/>
          <w:rtl/>
          <w:lang w:bidi="ar-EG"/>
        </w:rPr>
        <w:t xml:space="preserve">. </w:t>
      </w:r>
      <w:r w:rsidRPr="00D179AD">
        <w:rPr>
          <w:rFonts w:ascii="Calibri" w:hAnsi="Calibri"/>
          <w:b/>
          <w:rtl/>
          <w:lang w:bidi="ar-EG"/>
        </w:rPr>
        <w:t xml:space="preserve"> </w:t>
      </w:r>
    </w:p>
    <w:p w14:paraId="426BEAEF" w14:textId="77777777" w:rsidR="00D179AD" w:rsidRPr="00D179AD" w:rsidRDefault="00D179AD" w:rsidP="00D179AD">
      <w:pPr>
        <w:keepNext/>
        <w:keepLines/>
        <w:spacing w:after="240"/>
        <w:ind w:right="567"/>
        <w:rPr>
          <w:rFonts w:ascii="Calibri" w:hAnsi="Calibri"/>
          <w:b/>
          <w:rtl/>
          <w:lang w:bidi="ar-EG"/>
        </w:rPr>
      </w:pPr>
      <w:r w:rsidRPr="00D179AD">
        <w:rPr>
          <w:rFonts w:ascii="Calibri" w:hAnsi="Calibri"/>
          <w:b/>
          <w:rtl/>
          <w:lang w:bidi="ar-EG"/>
        </w:rPr>
        <w:t xml:space="preserve">معلومات أخرى خلاف تقرير نظام إدارة الجودة (اختيارية):  </w:t>
      </w:r>
    </w:p>
    <w:p w14:paraId="41209A3B" w14:textId="77777777" w:rsidR="00D179AD" w:rsidRPr="00D179AD" w:rsidRDefault="00D179AD" w:rsidP="00D179AD">
      <w:pPr>
        <w:keepNext/>
        <w:keepLines/>
        <w:spacing w:after="240"/>
        <w:ind w:right="567"/>
        <w:rPr>
          <w:rFonts w:ascii="Calibri" w:hAnsi="Calibri"/>
          <w:bCs/>
          <w:lang w:bidi="ar-EG"/>
        </w:rPr>
      </w:pPr>
    </w:p>
    <w:p w14:paraId="1AC9A73F" w14:textId="77777777" w:rsidR="00D179AD" w:rsidRPr="00D179AD" w:rsidRDefault="00D179AD" w:rsidP="00D179AD">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D179AD">
        <w:rPr>
          <w:rFonts w:ascii="Calibri" w:eastAsia="Times New Roman" w:hAnsi="Calibri"/>
          <w:b/>
          <w:bCs/>
          <w:caps/>
          <w:lang w:val="fr-CH" w:bidi="ar-EG"/>
        </w:rPr>
        <w:t>‎4.2</w:t>
      </w:r>
      <w:r w:rsidRPr="00D179AD">
        <w:rPr>
          <w:rFonts w:ascii="Calibri" w:eastAsia="Times New Roman" w:hAnsi="Calibri"/>
          <w:b/>
          <w:bCs/>
          <w:caps/>
          <w:rtl/>
          <w:lang w:val="fr-CH" w:bidi="ar-EG"/>
        </w:rPr>
        <w:t xml:space="preserve"> – إدارة الجودة</w:t>
      </w:r>
    </w:p>
    <w:p w14:paraId="4521DF3F" w14:textId="77777777" w:rsidR="00D179AD" w:rsidRPr="00D179AD" w:rsidRDefault="00D179AD" w:rsidP="00D179AD">
      <w:pPr>
        <w:keepNext/>
        <w:keepLines/>
        <w:spacing w:after="240"/>
        <w:ind w:left="567" w:right="567"/>
        <w:rPr>
          <w:rFonts w:ascii="Calibri" w:hAnsi="Calibri"/>
          <w:b/>
          <w:i/>
          <w:iCs/>
          <w:rtl/>
          <w:lang w:bidi="ar-EG"/>
        </w:rPr>
      </w:pPr>
      <w:r w:rsidRPr="00D179AD">
        <w:rPr>
          <w:rFonts w:ascii="Calibri" w:hAnsi="Calibri"/>
          <w:b/>
          <w:i/>
          <w:iCs/>
          <w:rtl/>
          <w:lang w:bidi="ar-EG"/>
        </w:rPr>
        <w:t>القاعدتان 1.36"4" و1.63"4": يجب أن يكون لدى المكتب الوطني أو المنظمة الحكومية الدولية نظام لإدارة الجودة وترتيبات داخلية للمراجعة وفقاً لقواعد البحث الدولي المشتركة.</w:t>
      </w:r>
    </w:p>
    <w:p w14:paraId="3F7E590A" w14:textId="77777777" w:rsidR="00D179AD" w:rsidRPr="00D179AD" w:rsidRDefault="00D179AD" w:rsidP="00D179AD">
      <w:pPr>
        <w:keepNext/>
        <w:keepLines/>
        <w:spacing w:after="240"/>
        <w:ind w:right="567"/>
        <w:rPr>
          <w:rFonts w:ascii="Calibri" w:hAnsi="Calibri"/>
          <w:b/>
          <w:rtl/>
          <w:lang w:bidi="ar-EG"/>
        </w:rPr>
      </w:pPr>
      <w:r w:rsidRPr="00D179AD">
        <w:rPr>
          <w:rFonts w:ascii="Calibri" w:hAnsi="Calibri"/>
          <w:b/>
          <w:rtl/>
          <w:lang w:bidi="ar-EG"/>
        </w:rPr>
        <w:t>يقدم تقرير نظام إدارة الجودة معلومات من الإدارة عن نظام إدارة الجودة الموجود لديها بموجب الفصل 21 من المبادئ التوجيهية ويتضمن تقريراً بموجب الفقرة 09.21 عن ترتيبات المراجعة الداخلية الموضحة بمزيد من التفصيل في الفقرات من 27.21 إلى 30.21 من المبادئ التوجيهية.</w:t>
      </w:r>
    </w:p>
    <w:p w14:paraId="6D2AB6B6" w14:textId="77777777" w:rsidR="00D179AD" w:rsidRPr="00D179AD" w:rsidRDefault="00D179AD" w:rsidP="00D179AD">
      <w:pPr>
        <w:keepNext/>
        <w:keepLines/>
        <w:spacing w:after="240"/>
        <w:ind w:right="567"/>
        <w:rPr>
          <w:rFonts w:ascii="Calibri" w:hAnsi="Calibri"/>
          <w:b/>
          <w:rtl/>
          <w:lang w:bidi="ar-EG"/>
        </w:rPr>
      </w:pPr>
      <w:r w:rsidRPr="00D179AD">
        <w:rPr>
          <w:rFonts w:ascii="Calibri" w:hAnsi="Calibri"/>
          <w:b/>
          <w:rtl/>
          <w:lang w:bidi="ar-EG"/>
        </w:rPr>
        <w:t xml:space="preserve">معلومات أخرى خلاف تقرير نظام إدارة الجودة (اختيارية):  </w:t>
      </w:r>
    </w:p>
    <w:p w14:paraId="1AB05B68" w14:textId="77777777" w:rsidR="00D179AD" w:rsidRPr="00D179AD" w:rsidRDefault="00D179AD" w:rsidP="00D179AD">
      <w:pPr>
        <w:keepNext/>
        <w:keepLines/>
        <w:spacing w:after="240"/>
        <w:ind w:right="567"/>
        <w:rPr>
          <w:rFonts w:ascii="Calibri" w:hAnsi="Calibri"/>
          <w:bCs/>
          <w:lang w:bidi="ar-EG"/>
        </w:rPr>
      </w:pPr>
    </w:p>
    <w:p w14:paraId="7AAF5ED9" w14:textId="77777777" w:rsidR="00D179AD" w:rsidRPr="00D179AD" w:rsidRDefault="00D179AD" w:rsidP="00D179AD">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D179AD">
        <w:rPr>
          <w:rFonts w:ascii="Calibri" w:eastAsia="Times New Roman" w:hAnsi="Calibri"/>
          <w:b/>
          <w:bCs/>
          <w:caps/>
          <w:lang w:val="fr-CH" w:bidi="ar-EG"/>
        </w:rPr>
        <w:t>‎3</w:t>
      </w:r>
      <w:r w:rsidRPr="00D179AD">
        <w:rPr>
          <w:rFonts w:ascii="Calibri" w:eastAsia="Times New Roman" w:hAnsi="Calibri"/>
          <w:b/>
          <w:bCs/>
          <w:caps/>
          <w:rtl/>
          <w:lang w:val="fr-CH" w:bidi="ar-EG"/>
        </w:rPr>
        <w:t>- نطاق التشغيل</w:t>
      </w:r>
    </w:p>
    <w:p w14:paraId="34D6A245" w14:textId="77777777" w:rsidR="00D179AD" w:rsidRPr="00D179AD" w:rsidRDefault="00D179AD" w:rsidP="00D179AD">
      <w:pPr>
        <w:keepNext/>
        <w:keepLines/>
        <w:numPr>
          <w:ilvl w:val="0"/>
          <w:numId w:val="33"/>
        </w:numPr>
        <w:spacing w:after="240"/>
        <w:rPr>
          <w:rFonts w:ascii="Calibri" w:hAnsi="Calibri"/>
          <w:b/>
          <w:bCs/>
          <w:i/>
          <w:iCs/>
          <w:rtl/>
          <w:lang w:bidi="ar-EG"/>
        </w:rPr>
      </w:pPr>
      <w:r w:rsidRPr="00D179AD">
        <w:rPr>
          <w:rFonts w:ascii="Calibri" w:hAnsi="Calibri"/>
          <w:b/>
          <w:bCs/>
          <w:rtl/>
          <w:lang w:bidi="ar-EG"/>
        </w:rPr>
        <w:tab/>
        <w:t>نطاق التشغيل الحالي</w:t>
      </w:r>
    </w:p>
    <w:p w14:paraId="291BF939" w14:textId="3C5601A2" w:rsidR="00D179AD" w:rsidRPr="00D179AD" w:rsidRDefault="00D179AD" w:rsidP="00D179AD">
      <w:pPr>
        <w:keepLines/>
        <w:spacing w:after="480"/>
        <w:rPr>
          <w:rFonts w:ascii="Calibri" w:hAnsi="Calibri"/>
          <w:rtl/>
          <w:lang w:bidi="ar-EG"/>
        </w:rPr>
      </w:pPr>
      <w:r w:rsidRPr="00D179AD">
        <w:rPr>
          <w:rFonts w:ascii="Calibri" w:hAnsi="Calibri"/>
          <w:rtl/>
          <w:lang w:bidi="ar-EG"/>
        </w:rPr>
        <w:t xml:space="preserve">ترد قائمة بمكاتب تسلم الطلبات التي يختص المكتب أو المنظمة الحكومية الدولية بالنظر في طلباتها بوصفه إدارة للبحث الدولي وإدارة للفحص التمهيدي الدولي، واللغة (اللغات) التي تُقدم بها الخدمات وغير ذلك من التفاصيل المتعلقة بنطاق التشغيل في </w:t>
      </w:r>
      <w:r w:rsidRPr="00D179AD">
        <w:rPr>
          <w:rFonts w:ascii="Calibri" w:hAnsi="Calibri"/>
          <w:i/>
          <w:iCs/>
          <w:rtl/>
          <w:lang w:bidi="ar-EG"/>
        </w:rPr>
        <w:t>دليل مودع الطلب بناءً على معاهدة التعاون بشأن البراءات</w:t>
      </w:r>
      <w:r w:rsidRPr="00D179AD">
        <w:rPr>
          <w:rFonts w:ascii="Calibri" w:hAnsi="Calibri"/>
          <w:rtl/>
          <w:lang w:bidi="ar-EG"/>
        </w:rPr>
        <w:t xml:space="preserve"> المتاح في الرابط التالي: </w:t>
      </w:r>
      <w:bookmarkStart w:id="5" w:name="_Hlk214637647"/>
      <w:bookmarkEnd w:id="5"/>
      <w:r w:rsidRPr="00D179AD">
        <w:rPr>
          <w:rFonts w:ascii="Calibri" w:hAnsi="Calibri"/>
          <w:rtl/>
          <w:lang w:bidi="ar-EG"/>
        </w:rPr>
        <w:t xml:space="preserve"> </w:t>
      </w:r>
      <w:hyperlink r:id="rId21" w:history="1">
        <w:r w:rsidRPr="00D179AD">
          <w:rPr>
            <w:rFonts w:ascii="Calibri" w:hAnsi="Calibri"/>
            <w:rtl/>
            <w:lang w:bidi="ar-EG"/>
          </w:rPr>
          <w:t xml:space="preserve"> </w:t>
        </w:r>
        <w:r w:rsidRPr="00D179AD">
          <w:rPr>
            <w:rFonts w:ascii="Calibri" w:hAnsi="Calibri"/>
            <w:color w:val="0000FF" w:themeColor="hyperlink"/>
            <w:u w:val="single"/>
            <w:lang w:bidi="ar-EG"/>
          </w:rPr>
          <w:t>https://pctlegal.wipo.int/eGuide/view-doc.xhtml?doc-code=IL&amp;doc-lang=en#ISA</w:t>
        </w:r>
      </w:hyperlink>
      <w:r w:rsidRPr="00D179AD">
        <w:rPr>
          <w:rFonts w:ascii="Calibri" w:hAnsi="Calibri"/>
          <w:rtl/>
          <w:lang w:bidi="ar-EG"/>
        </w:rPr>
        <w:t xml:space="preserve"> و </w:t>
      </w:r>
      <w:hyperlink r:id="rId22" w:history="1">
        <w:r w:rsidRPr="00D179AD">
          <w:rPr>
            <w:rFonts w:ascii="Calibri" w:hAnsi="Calibri"/>
            <w:color w:val="0000FF" w:themeColor="hyperlink"/>
            <w:u w:val="single"/>
            <w:lang w:bidi="ar-EG"/>
          </w:rPr>
          <w:t>https://pctlegal.wipo.int/eGuide/view-doc.xhtml?doc-code=IL&amp;doc-lang=en#IPEA</w:t>
        </w:r>
      </w:hyperlink>
      <w:r w:rsidR="003E04E5" w:rsidRPr="003E04E5">
        <w:rPr>
          <w:rFonts w:ascii="Calibri" w:hAnsi="Calibri" w:hint="cs"/>
          <w:i/>
          <w:iCs/>
          <w:rtl/>
          <w:lang w:bidi="ar-EG"/>
        </w:rPr>
        <w:t>.</w:t>
      </w:r>
    </w:p>
    <w:p w14:paraId="3134D67A" w14:textId="77777777" w:rsidR="00D179AD" w:rsidRPr="00D179AD" w:rsidRDefault="00D179AD" w:rsidP="00D179AD">
      <w:pPr>
        <w:keepNext/>
        <w:keepLines/>
        <w:numPr>
          <w:ilvl w:val="0"/>
          <w:numId w:val="33"/>
        </w:numPr>
        <w:spacing w:after="240"/>
        <w:rPr>
          <w:rFonts w:ascii="Calibri" w:hAnsi="Calibri"/>
          <w:b/>
          <w:bCs/>
          <w:rtl/>
          <w:lang w:bidi="ar-EG"/>
        </w:rPr>
      </w:pPr>
      <w:r w:rsidRPr="00D179AD">
        <w:rPr>
          <w:rFonts w:ascii="Calibri" w:hAnsi="Calibri"/>
          <w:b/>
          <w:bCs/>
          <w:rtl/>
          <w:lang w:bidi="ar-EG"/>
        </w:rPr>
        <w:tab/>
        <w:t xml:space="preserve">التغييرات المخطط لها بشأن نطاق تشغيل الإدارة، مثل مكاتب تسلّم الطلبات التي تختص الإدارة بالنظر في طلباتها واللغات المتاحة (إن وُجدت): </w:t>
      </w:r>
    </w:p>
    <w:p w14:paraId="5314C6D5" w14:textId="77777777" w:rsidR="00D179AD" w:rsidRDefault="00D179AD" w:rsidP="00D179AD">
      <w:pPr>
        <w:jc w:val="both"/>
        <w:rPr>
          <w:rFonts w:ascii="Calibri" w:hAnsi="Calibri"/>
          <w:rtl/>
          <w:lang w:bidi="ar-EG"/>
        </w:rPr>
      </w:pPr>
      <w:r w:rsidRPr="00D179AD">
        <w:rPr>
          <w:rFonts w:ascii="Calibri" w:hAnsi="Calibri"/>
          <w:rtl/>
          <w:lang w:bidi="ar-EG"/>
        </w:rPr>
        <w:t>منذ عام 2012، أصبح مكتب إسرائيل للبراءات مختصاً لكي يعمل كإدارة دولية للطلبات الدولية المودعة لدى مكاتب تسلم الطلبات التابعة لإسرائيل والمكتب الدولي والولايات المتحدة الأمريكية وجورجيا، التي تخدم مودعي الطلبات من إسرائيل والولايات المتحدة الأمريكية وجورجيا.</w:t>
      </w:r>
    </w:p>
    <w:p w14:paraId="374A1571" w14:textId="77777777" w:rsidR="003E04E5" w:rsidRPr="00D179AD" w:rsidRDefault="003E04E5" w:rsidP="00D179AD">
      <w:pPr>
        <w:jc w:val="both"/>
        <w:rPr>
          <w:rFonts w:ascii="Calibri" w:hAnsi="Calibri"/>
          <w:bCs/>
          <w:rtl/>
          <w:lang w:bidi="ar-EG"/>
        </w:rPr>
      </w:pPr>
    </w:p>
    <w:p w14:paraId="5F1CC247" w14:textId="77777777" w:rsidR="00D179AD" w:rsidRDefault="00D179AD" w:rsidP="00D179AD">
      <w:pPr>
        <w:jc w:val="both"/>
        <w:rPr>
          <w:rFonts w:ascii="Calibri" w:hAnsi="Calibri"/>
          <w:rtl/>
          <w:lang w:bidi="ar-EG"/>
        </w:rPr>
      </w:pPr>
      <w:r w:rsidRPr="00D179AD">
        <w:rPr>
          <w:rFonts w:ascii="Calibri" w:hAnsi="Calibri"/>
          <w:rtl/>
          <w:lang w:bidi="ar-EG"/>
        </w:rPr>
        <w:t>ومنذ ذلك الحين، قدم مكتب إسرائيل للبراءات خدمات بحث وفحص عالية الجودة في جميع المجالات التقنية، بما في ذلك التكنولوجيات الناشئة.</w:t>
      </w:r>
    </w:p>
    <w:p w14:paraId="08896BA0" w14:textId="77777777" w:rsidR="004C500F" w:rsidRDefault="004C500F" w:rsidP="00D179AD">
      <w:pPr>
        <w:jc w:val="both"/>
        <w:rPr>
          <w:rFonts w:ascii="Calibri" w:hAnsi="Calibri"/>
          <w:rtl/>
          <w:lang w:bidi="ar-EG"/>
        </w:rPr>
      </w:pPr>
    </w:p>
    <w:p w14:paraId="6D560305" w14:textId="02CCDEBB" w:rsidR="00D179AD" w:rsidRPr="00D179AD" w:rsidRDefault="00D179AD" w:rsidP="00D179AD">
      <w:pPr>
        <w:jc w:val="both"/>
        <w:rPr>
          <w:rFonts w:ascii="Calibri" w:hAnsi="Calibri"/>
          <w:bCs/>
          <w:rtl/>
          <w:lang w:bidi="ar-EG"/>
        </w:rPr>
      </w:pPr>
      <w:r w:rsidRPr="00D179AD">
        <w:rPr>
          <w:rFonts w:ascii="Calibri" w:hAnsi="Calibri"/>
          <w:rtl/>
          <w:lang w:bidi="ar-EG"/>
        </w:rPr>
        <w:lastRenderedPageBreak/>
        <w:t>وحالياً، يعمل مكتب إسرائيل للبراءات باللغة الإنكليزية فيما يخص طلبات معاهدة البراءات</w:t>
      </w:r>
      <w:r>
        <w:rPr>
          <w:rFonts w:ascii="Calibri" w:hAnsi="Calibri"/>
          <w:rtl/>
          <w:lang w:bidi="ar-EG"/>
        </w:rPr>
        <w:t xml:space="preserve">. </w:t>
      </w:r>
      <w:r w:rsidRPr="00D179AD">
        <w:rPr>
          <w:rFonts w:ascii="Calibri" w:hAnsi="Calibri"/>
          <w:rtl/>
          <w:lang w:bidi="ar-EG"/>
        </w:rPr>
        <w:t>ويجيد جميع الفاحصين اللغتين الإنجليزية والعبرية ويمتلكون مهارات لغوية إضافية باللغات العربية والروسية واللغات الأوروبية الرئيسية</w:t>
      </w:r>
      <w:r>
        <w:rPr>
          <w:rFonts w:ascii="Calibri" w:hAnsi="Calibri"/>
          <w:rtl/>
          <w:lang w:bidi="ar-EG"/>
        </w:rPr>
        <w:t xml:space="preserve">. </w:t>
      </w:r>
      <w:r w:rsidRPr="00D179AD">
        <w:rPr>
          <w:rFonts w:ascii="Calibri" w:hAnsi="Calibri"/>
          <w:rtl/>
          <w:lang w:bidi="ar-EG"/>
        </w:rPr>
        <w:t>وعلاوة على ذلك، يتمتع جميع الفاحصين بإمكانية الوصول إلى أدوات آلية ومدعومة بالذكاء الاصطناعي تساعد في فهم النصوص غير الإنكليزية، وصياغتها</w:t>
      </w:r>
      <w:r>
        <w:rPr>
          <w:rFonts w:ascii="Calibri" w:hAnsi="Calibri"/>
          <w:rtl/>
          <w:lang w:bidi="ar-EG"/>
        </w:rPr>
        <w:t xml:space="preserve">. </w:t>
      </w:r>
      <w:r w:rsidRPr="00D179AD">
        <w:rPr>
          <w:rFonts w:ascii="Calibri" w:hAnsi="Calibri"/>
          <w:rtl/>
          <w:lang w:bidi="ar-EG"/>
        </w:rPr>
        <w:t>كما أن الإدماج الناجح للذكاء الاصطناعي في عملية الفحص يمكّن مكتب إسرائيل للبراءات من إدارة حجم أكبر من طلبات البراءات دون زيادة أعداد الفاحصين، إضافة إلى إجراء تحليلات أكثر شمولاً وتعمقاً، ممّا يؤدي في نهاية المطاف إلى تعزيز جودة عمليات البحث والفحص الدولية، وكفاءتها.</w:t>
      </w:r>
    </w:p>
    <w:p w14:paraId="17BEBFDE" w14:textId="77777777" w:rsidR="00D179AD" w:rsidRPr="00D179AD" w:rsidRDefault="00D179AD" w:rsidP="00D179AD">
      <w:pPr>
        <w:jc w:val="both"/>
        <w:rPr>
          <w:rFonts w:ascii="Calibri" w:hAnsi="Calibri"/>
          <w:bCs/>
          <w:lang w:bidi="ar-EG"/>
        </w:rPr>
      </w:pPr>
    </w:p>
    <w:p w14:paraId="0BD3749A" w14:textId="77777777" w:rsidR="00D179AD" w:rsidRPr="00D179AD" w:rsidRDefault="00D179AD" w:rsidP="00D179AD">
      <w:pPr>
        <w:jc w:val="both"/>
        <w:rPr>
          <w:rFonts w:ascii="Calibri" w:hAnsi="Calibri"/>
          <w:bCs/>
          <w:rtl/>
          <w:lang w:bidi="ar-EG"/>
        </w:rPr>
      </w:pPr>
      <w:r w:rsidRPr="00D179AD">
        <w:rPr>
          <w:rFonts w:ascii="Calibri" w:hAnsi="Calibri"/>
          <w:rtl/>
          <w:lang w:bidi="ar-EG"/>
        </w:rPr>
        <w:t>وفي ضوء ما سبق، يعتزم مكتب إسرائيل للبراءات إجراء التمديدات التالية لنطاق عمله كإدارة للفحص الدولي/الفحص التمهيدي الدولي:</w:t>
      </w:r>
    </w:p>
    <w:p w14:paraId="4A2D0053" w14:textId="77777777" w:rsidR="00D179AD" w:rsidRPr="00D179AD" w:rsidRDefault="00D179AD" w:rsidP="00D179AD">
      <w:pPr>
        <w:jc w:val="both"/>
        <w:rPr>
          <w:rFonts w:ascii="Calibri" w:hAnsi="Calibri"/>
          <w:bCs/>
          <w:lang w:bidi="ar-EG"/>
        </w:rPr>
      </w:pPr>
    </w:p>
    <w:p w14:paraId="3B725BD3" w14:textId="77777777" w:rsidR="00D179AD" w:rsidRPr="00D179AD" w:rsidRDefault="00D179AD" w:rsidP="004C500F">
      <w:pPr>
        <w:numPr>
          <w:ilvl w:val="0"/>
          <w:numId w:val="34"/>
        </w:numPr>
        <w:ind w:left="708" w:hanging="567"/>
        <w:contextualSpacing/>
        <w:jc w:val="both"/>
        <w:rPr>
          <w:rFonts w:ascii="Calibri" w:hAnsi="Calibri"/>
          <w:b/>
          <w:rtl/>
          <w:lang w:bidi="ar-EG"/>
        </w:rPr>
      </w:pPr>
      <w:r w:rsidRPr="00D179AD">
        <w:rPr>
          <w:rFonts w:ascii="Calibri" w:hAnsi="Calibri"/>
          <w:b/>
          <w:bCs/>
          <w:rtl/>
          <w:lang w:bidi="ar-EG"/>
        </w:rPr>
        <w:t>توسيع نطاق الاختصاص ليشمل مكاتب تسلّم طلبات إضافية</w:t>
      </w:r>
    </w:p>
    <w:p w14:paraId="2D39882B" w14:textId="77777777" w:rsidR="00D179AD" w:rsidRPr="00D179AD" w:rsidRDefault="00D179AD" w:rsidP="004C500F">
      <w:pPr>
        <w:spacing w:after="120"/>
        <w:ind w:left="708"/>
        <w:jc w:val="both"/>
        <w:rPr>
          <w:rFonts w:ascii="Calibri" w:hAnsi="Calibri"/>
          <w:bCs/>
          <w:rtl/>
          <w:lang w:bidi="ar-EG"/>
        </w:rPr>
      </w:pPr>
      <w:r w:rsidRPr="00D179AD">
        <w:rPr>
          <w:rFonts w:ascii="Calibri" w:hAnsi="Calibri"/>
          <w:rtl/>
          <w:lang w:bidi="ar-EG"/>
        </w:rPr>
        <w:t>مكتب إسرائيل للبراءات منفتح على توسيع نطاق اختصاصه لتلقي طلبات معاهدة البراءات الصادرة عن مكاتب تسلّم إضافية خارج نطاق عمله الحالي، وإجراء عمليات البحث والفحص الخاصة بها.</w:t>
      </w:r>
    </w:p>
    <w:p w14:paraId="13299D49" w14:textId="77777777" w:rsidR="00D179AD" w:rsidRPr="00D179AD" w:rsidRDefault="00D179AD" w:rsidP="004C500F">
      <w:pPr>
        <w:numPr>
          <w:ilvl w:val="0"/>
          <w:numId w:val="34"/>
        </w:numPr>
        <w:ind w:left="708" w:hanging="567"/>
        <w:contextualSpacing/>
        <w:jc w:val="both"/>
        <w:rPr>
          <w:rFonts w:ascii="Calibri" w:hAnsi="Calibri"/>
          <w:b/>
          <w:rtl/>
          <w:lang w:bidi="ar-EG"/>
        </w:rPr>
      </w:pPr>
      <w:r w:rsidRPr="00D179AD">
        <w:rPr>
          <w:rFonts w:ascii="Calibri" w:hAnsi="Calibri"/>
          <w:b/>
          <w:bCs/>
          <w:rtl/>
          <w:lang w:bidi="ar-EG"/>
        </w:rPr>
        <w:t>التوسّع في اللغات المقدمة</w:t>
      </w:r>
    </w:p>
    <w:p w14:paraId="3E83ADD2" w14:textId="2F1B51EF" w:rsidR="00D179AD" w:rsidRPr="00D179AD" w:rsidRDefault="00D179AD" w:rsidP="004C500F">
      <w:pPr>
        <w:spacing w:after="120"/>
        <w:ind w:left="708"/>
        <w:jc w:val="both"/>
        <w:rPr>
          <w:rFonts w:ascii="Calibri" w:hAnsi="Calibri"/>
          <w:bCs/>
          <w:rtl/>
          <w:lang w:bidi="ar-EG"/>
        </w:rPr>
      </w:pPr>
      <w:bookmarkStart w:id="6" w:name="_Hlk212659811"/>
      <w:r w:rsidRPr="00D179AD">
        <w:rPr>
          <w:rFonts w:ascii="Calibri" w:hAnsi="Calibri"/>
          <w:rtl/>
          <w:lang w:bidi="ar-EG"/>
        </w:rPr>
        <w:t>في البداية، سينطوي توسيع نطاق عمليات مكتب إسرائيل للبراءات ليشمل مكاتب تسلّم طلبات إضافية على إجراء عمليات بحث وفحص باللغة الإنكليزية، على النحو المعمول به حالياً</w:t>
      </w:r>
      <w:r>
        <w:rPr>
          <w:rFonts w:ascii="Calibri" w:hAnsi="Calibri"/>
          <w:rtl/>
          <w:lang w:bidi="ar-EG"/>
        </w:rPr>
        <w:t xml:space="preserve">. </w:t>
      </w:r>
      <w:r w:rsidRPr="00D179AD">
        <w:rPr>
          <w:rFonts w:ascii="Calibri" w:hAnsi="Calibri"/>
          <w:rtl/>
          <w:lang w:bidi="ar-EG"/>
        </w:rPr>
        <w:t>وفي وقت لاحق، يهدف مكتب إسرائيل للبراءات إلى تقديم خدمات البحث والفحص بلغات إضافية، مع إيلاء الأولوية للغات التي يتمتع فيها الفاحصون بالكفاءة، مثل العربية والروسية والفرنسية والإسبانية</w:t>
      </w:r>
      <w:r>
        <w:rPr>
          <w:rFonts w:ascii="Calibri" w:hAnsi="Calibri"/>
          <w:rtl/>
          <w:lang w:bidi="ar-EG"/>
        </w:rPr>
        <w:t xml:space="preserve">. </w:t>
      </w:r>
      <w:r w:rsidRPr="00D179AD">
        <w:rPr>
          <w:rFonts w:ascii="Calibri" w:hAnsi="Calibri"/>
          <w:rtl/>
          <w:lang w:bidi="ar-EG"/>
        </w:rPr>
        <w:t>وسيجري دعم هذه القدرة متعدّدة اللغات من خلال الترجمة المستندة إلى الذكاء الاصطناعي وأدوات التحليل من أجل ضمان الجودة والاتساق.</w:t>
      </w:r>
    </w:p>
    <w:bookmarkEnd w:id="6"/>
    <w:p w14:paraId="5CB022E2" w14:textId="77777777" w:rsidR="00D179AD" w:rsidRPr="00D179AD" w:rsidRDefault="00D179AD" w:rsidP="004C500F">
      <w:pPr>
        <w:numPr>
          <w:ilvl w:val="0"/>
          <w:numId w:val="34"/>
        </w:numPr>
        <w:ind w:left="708" w:hanging="567"/>
        <w:contextualSpacing/>
        <w:jc w:val="both"/>
        <w:rPr>
          <w:rFonts w:ascii="Calibri" w:hAnsi="Calibri"/>
          <w:b/>
          <w:rtl/>
          <w:lang w:bidi="ar-EG"/>
        </w:rPr>
      </w:pPr>
      <w:r w:rsidRPr="00D179AD">
        <w:rPr>
          <w:rFonts w:ascii="Calibri" w:hAnsi="Calibri"/>
          <w:b/>
          <w:bCs/>
          <w:rtl/>
          <w:lang w:bidi="ar-EG"/>
        </w:rPr>
        <w:t>توفير قوائم شاملة لتدوين حالة التقنية الصناعية السابقة</w:t>
      </w:r>
    </w:p>
    <w:p w14:paraId="6C3730E2" w14:textId="553DD837" w:rsidR="00D179AD" w:rsidRPr="00D179AD" w:rsidRDefault="00D179AD" w:rsidP="004C500F">
      <w:pPr>
        <w:spacing w:after="120"/>
        <w:ind w:left="708"/>
        <w:jc w:val="both"/>
        <w:rPr>
          <w:rFonts w:ascii="Calibri" w:hAnsi="Calibri"/>
          <w:bCs/>
          <w:rtl/>
          <w:lang w:bidi="ar-EG"/>
        </w:rPr>
      </w:pPr>
      <w:r w:rsidRPr="00D179AD">
        <w:rPr>
          <w:rFonts w:ascii="Calibri" w:hAnsi="Calibri"/>
          <w:rtl/>
          <w:lang w:bidi="ar-EG"/>
        </w:rPr>
        <w:t>يعتزم مكتب إسرائيل للبراءات تحسين المعلومات الواردة في تقرير استراتيجية البحث من خلال توفير قائمة شاملة بوثائق حالة التقنية الصناعية السابقة ذات الصلة، بخلاف تلك المذكورة في تقرير البحث الدولي، مرتبةً وفقاً لارتباطها بالاختراع المطالب بحمايته</w:t>
      </w:r>
      <w:r>
        <w:rPr>
          <w:rFonts w:ascii="Calibri" w:hAnsi="Calibri"/>
          <w:rtl/>
          <w:lang w:bidi="ar-EG"/>
        </w:rPr>
        <w:t xml:space="preserve">. </w:t>
      </w:r>
      <w:r w:rsidRPr="00D179AD">
        <w:rPr>
          <w:rFonts w:ascii="Calibri" w:hAnsi="Calibri"/>
          <w:rtl/>
          <w:lang w:bidi="ar-EG"/>
        </w:rPr>
        <w:t>وسيجري توليد هذه القائمة باستخدام أدوات البحث المستندة إلى الذكاء الاصطناعي المتوفرة في مكتب إسرائيل للبراءات.</w:t>
      </w:r>
    </w:p>
    <w:p w14:paraId="1C5B46D0" w14:textId="77777777" w:rsidR="00D179AD" w:rsidRPr="00D179AD" w:rsidRDefault="00D179AD" w:rsidP="004C500F">
      <w:pPr>
        <w:numPr>
          <w:ilvl w:val="0"/>
          <w:numId w:val="34"/>
        </w:numPr>
        <w:ind w:left="708" w:hanging="567"/>
        <w:contextualSpacing/>
        <w:jc w:val="both"/>
        <w:rPr>
          <w:rFonts w:ascii="Calibri" w:hAnsi="Calibri"/>
          <w:b/>
          <w:rtl/>
          <w:lang w:bidi="ar-EG"/>
        </w:rPr>
      </w:pPr>
      <w:r w:rsidRPr="00D179AD">
        <w:rPr>
          <w:rFonts w:ascii="Calibri" w:hAnsi="Calibri"/>
          <w:b/>
          <w:bCs/>
          <w:rtl/>
          <w:lang w:bidi="ar-EG"/>
        </w:rPr>
        <w:t>استحداث تقارير بشأن تحليل مشهد البراءات</w:t>
      </w:r>
    </w:p>
    <w:p w14:paraId="74B86503" w14:textId="39FBC8F8" w:rsidR="00D179AD" w:rsidRPr="00D179AD" w:rsidRDefault="00D179AD" w:rsidP="004C500F">
      <w:pPr>
        <w:ind w:left="708"/>
        <w:jc w:val="both"/>
        <w:rPr>
          <w:rFonts w:ascii="Calibri" w:hAnsi="Calibri"/>
          <w:bCs/>
          <w:rtl/>
          <w:lang w:bidi="ar-EG"/>
        </w:rPr>
      </w:pPr>
      <w:r w:rsidRPr="00D179AD">
        <w:rPr>
          <w:rFonts w:ascii="Calibri" w:hAnsi="Calibri"/>
          <w:rtl/>
          <w:lang w:bidi="ar-EG"/>
        </w:rPr>
        <w:t xml:space="preserve">يخطط مكتب إسرائيل للبراءات استحداث تقارير </w:t>
      </w:r>
      <w:r w:rsidR="003C5227" w:rsidRPr="00D179AD">
        <w:rPr>
          <w:rFonts w:ascii="Calibri" w:hAnsi="Calibri" w:hint="cs"/>
          <w:rtl/>
          <w:lang w:bidi="ar-EG"/>
        </w:rPr>
        <w:t>بشأن</w:t>
      </w:r>
      <w:r w:rsidRPr="00D179AD">
        <w:rPr>
          <w:rFonts w:ascii="Calibri" w:hAnsi="Calibri"/>
          <w:rtl/>
          <w:lang w:bidi="ar-EG"/>
        </w:rPr>
        <w:t xml:space="preserve"> تحليل المشهد، بما في ذلك مؤشرات الابتكار والخرائط المرئية لمشهد البراءات، من أجل تزويد مودعي الطلبات برؤى أعمق في المجال التكنولوجي لاختراعاتهم المطالب بحمايتها كمعلومات إضافية مرفقة بتقارير البحث.</w:t>
      </w:r>
    </w:p>
    <w:p w14:paraId="0FE3C8E4" w14:textId="77777777" w:rsidR="00D179AD" w:rsidRPr="00D179AD" w:rsidRDefault="00D179AD" w:rsidP="00D179AD">
      <w:pPr>
        <w:spacing w:after="220"/>
        <w:rPr>
          <w:rFonts w:ascii="Calibri" w:hAnsi="Calibri"/>
          <w:lang w:bidi="ar-EG"/>
        </w:rPr>
      </w:pPr>
    </w:p>
    <w:p w14:paraId="309E8D6C" w14:textId="77777777" w:rsidR="00D179AD" w:rsidRPr="00D179AD" w:rsidRDefault="00D179AD" w:rsidP="00D179AD">
      <w:pPr>
        <w:keepNext/>
        <w:keepLines/>
        <w:pBdr>
          <w:top w:val="single" w:sz="4" w:space="1" w:color="auto"/>
        </w:pBdr>
        <w:spacing w:before="360" w:after="200" w:line="480" w:lineRule="auto"/>
        <w:outlineLvl w:val="2"/>
        <w:rPr>
          <w:rFonts w:ascii="Calibri" w:eastAsia="Times New Roman" w:hAnsi="Calibri"/>
          <w:b/>
          <w:bCs/>
          <w:caps/>
          <w:rtl/>
          <w:lang w:val="fr-CH" w:bidi="ar-EG"/>
        </w:rPr>
      </w:pPr>
      <w:r w:rsidRPr="00D179AD">
        <w:rPr>
          <w:rFonts w:ascii="Calibri" w:eastAsia="Times New Roman" w:hAnsi="Calibri"/>
          <w:b/>
          <w:bCs/>
          <w:caps/>
          <w:lang w:val="fr-CH" w:bidi="ar-EG"/>
        </w:rPr>
        <w:t>‎4</w:t>
      </w:r>
      <w:r w:rsidRPr="00D179AD">
        <w:rPr>
          <w:rFonts w:ascii="Calibri" w:eastAsia="Times New Roman" w:hAnsi="Calibri"/>
          <w:b/>
          <w:bCs/>
          <w:caps/>
          <w:rtl/>
          <w:lang w:val="fr-CH" w:bidi="ar-EG"/>
        </w:rPr>
        <w:t>- معلومات أخرى</w:t>
      </w:r>
    </w:p>
    <w:p w14:paraId="4DA443B9" w14:textId="77777777" w:rsidR="00D179AD" w:rsidRPr="00D179AD" w:rsidRDefault="00D179AD" w:rsidP="00D179AD">
      <w:pPr>
        <w:rPr>
          <w:rFonts w:ascii="Calibri" w:hAnsi="Calibri"/>
          <w:rtl/>
          <w:lang w:bidi="ar-EG"/>
        </w:rPr>
      </w:pPr>
      <w:r w:rsidRPr="00D179AD">
        <w:rPr>
          <w:rFonts w:ascii="Calibri" w:hAnsi="Calibri"/>
          <w:rtl/>
          <w:lang w:bidi="ar-EG"/>
        </w:rPr>
        <w:t xml:space="preserve">أية معلومات إضافية تتعلق بتمديد التعيين كإدارة للبحث الدولي والفحص التمهيدي الدولي:  </w:t>
      </w:r>
    </w:p>
    <w:p w14:paraId="31C6E1BB" w14:textId="77777777" w:rsidR="00D179AD" w:rsidRPr="00D179AD" w:rsidRDefault="00D179AD" w:rsidP="00D179AD">
      <w:pPr>
        <w:rPr>
          <w:rFonts w:ascii="Calibri" w:hAnsi="Calibri"/>
          <w:lang w:bidi="ar-EG"/>
        </w:rPr>
      </w:pPr>
    </w:p>
    <w:p w14:paraId="35CE8E63" w14:textId="6C0904D2" w:rsidR="00D179AD" w:rsidRPr="00D179AD" w:rsidRDefault="00D179AD" w:rsidP="00D179AD">
      <w:pPr>
        <w:spacing w:after="120"/>
        <w:jc w:val="both"/>
        <w:rPr>
          <w:rFonts w:ascii="Calibri" w:eastAsia="Calibri" w:hAnsi="Calibri"/>
          <w:b/>
          <w:rtl/>
          <w:lang w:bidi="ar-EG"/>
        </w:rPr>
      </w:pPr>
      <w:r w:rsidRPr="00D179AD">
        <w:rPr>
          <w:rFonts w:ascii="Calibri" w:hAnsi="Calibri"/>
          <w:rtl/>
          <w:lang w:bidi="ar-EG"/>
        </w:rPr>
        <w:t>يعمل مكتب إسرائيل للبراءات كإدارة للبحث الدولي والفحص التمهيدي الدولي في إطار معاهدة البراءات منذ 1 يونيو 2012، بعد تعيينه في أكتوبر 2009</w:t>
      </w:r>
      <w:r>
        <w:rPr>
          <w:rFonts w:ascii="Calibri" w:hAnsi="Calibri"/>
          <w:rtl/>
          <w:lang w:bidi="ar-EG"/>
        </w:rPr>
        <w:t xml:space="preserve">. </w:t>
      </w:r>
      <w:r w:rsidRPr="00D179AD">
        <w:rPr>
          <w:rFonts w:ascii="Calibri" w:hAnsi="Calibri"/>
          <w:rtl/>
          <w:lang w:bidi="ar-EG"/>
        </w:rPr>
        <w:t>وبناءً على أكثر من عقد من الخدمة الناجحة، يرغب مكتب إسرائيل للبراءات في تمديد تعيينه كإدارة للفحص الدولي والفحص التمهيدي الدولي</w:t>
      </w:r>
      <w:r>
        <w:rPr>
          <w:rFonts w:ascii="Calibri" w:hAnsi="Calibri"/>
          <w:rtl/>
          <w:lang w:bidi="ar-EG"/>
        </w:rPr>
        <w:t xml:space="preserve">. </w:t>
      </w:r>
      <w:r w:rsidRPr="00D179AD">
        <w:rPr>
          <w:rFonts w:ascii="Calibri" w:hAnsi="Calibri"/>
          <w:rtl/>
          <w:lang w:bidi="ar-EG"/>
        </w:rPr>
        <w:t>ويسلّط هذا البيان الضوء على القدرات المؤكدة لمكتب إسرائيل للبراءات وإنجازاته المهمة ورؤيته الاستراتيجية لمواصلة المساهمة في نظام معاهدة البراءات، ويؤكّد مجدداً التزام المكتب بدعم الابتكار العالمي وتنمية الملكية الفكرية.</w:t>
      </w:r>
      <w:bookmarkStart w:id="7" w:name="_Hlk209637017"/>
    </w:p>
    <w:p w14:paraId="5039426E" w14:textId="77777777" w:rsidR="00D179AD" w:rsidRPr="00D179AD" w:rsidRDefault="00D179AD" w:rsidP="00D179AD">
      <w:pPr>
        <w:spacing w:after="120"/>
        <w:jc w:val="both"/>
        <w:rPr>
          <w:rFonts w:ascii="Calibri" w:eastAsia="Calibri" w:hAnsi="Calibri"/>
          <w:b/>
          <w:lang w:bidi="he-IL"/>
        </w:rPr>
      </w:pPr>
    </w:p>
    <w:p w14:paraId="3FB66754" w14:textId="77777777" w:rsidR="00D179AD" w:rsidRPr="00D179AD" w:rsidRDefault="00D179AD" w:rsidP="00D179AD">
      <w:pPr>
        <w:numPr>
          <w:ilvl w:val="0"/>
          <w:numId w:val="35"/>
        </w:numPr>
        <w:spacing w:after="120"/>
        <w:ind w:left="357" w:hanging="357"/>
        <w:jc w:val="both"/>
        <w:rPr>
          <w:rFonts w:ascii="Calibri" w:eastAsia="Calibri" w:hAnsi="Calibri"/>
          <w:b/>
          <w:rtl/>
          <w:lang w:bidi="ar-EG"/>
        </w:rPr>
      </w:pPr>
      <w:r w:rsidRPr="00D179AD">
        <w:rPr>
          <w:rFonts w:ascii="Calibri" w:hAnsi="Calibri"/>
          <w:b/>
          <w:bCs/>
          <w:rtl/>
          <w:lang w:bidi="ar-EG"/>
        </w:rPr>
        <w:t>الالتزام بالجودة: الخبرة والمعايير الدولية وممارسات الفحص المتقدمة</w:t>
      </w:r>
    </w:p>
    <w:p w14:paraId="53A6D489" w14:textId="5DF004A4" w:rsidR="00D179AD" w:rsidRPr="00D179AD" w:rsidRDefault="00D179AD" w:rsidP="00D179AD">
      <w:pPr>
        <w:spacing w:after="120"/>
        <w:ind w:left="357"/>
        <w:jc w:val="both"/>
        <w:rPr>
          <w:rFonts w:ascii="Calibri" w:eastAsia="Calibri" w:hAnsi="Calibri"/>
          <w:bCs/>
          <w:rtl/>
          <w:lang w:bidi="ar-EG"/>
        </w:rPr>
      </w:pPr>
      <w:r w:rsidRPr="00D179AD">
        <w:rPr>
          <w:rFonts w:ascii="Calibri" w:hAnsi="Calibri"/>
          <w:rtl/>
          <w:lang w:bidi="ar-EG"/>
        </w:rPr>
        <w:t>يقدّم مكتب إسرائيل للبراءات باستمرار خدمات بحث وفحص دولية عالية الجودة بما يتوافق تماماً مع النصوص القانونية والمعايير الدولية الخاصة بمعاهدة البراءات. ويجرِي فريقه المكون من فاحصين ذوي خبرة عالية عمليات بحث دقيقة وشاملة عن حالة التقنية الصناعية السابقة، وتقييمات أهلية الحصول على حماية بموجب براءة في جميع المجالات التقنية، بما في ذلك التكنولوجيات المتطورة مثل الذكاء الاصطناعي، والحوسبة الكمية، والمعلوماتية الإحيائية، والتكنولوجيا الإحيائية، وتكنولوجيا الأغذية، والأمن السيبراني والرعاية الصحية، والتكنولوجيات المستدامة</w:t>
      </w:r>
      <w:r>
        <w:rPr>
          <w:rFonts w:ascii="Calibri" w:hAnsi="Calibri"/>
          <w:rtl/>
          <w:lang w:bidi="ar-EG"/>
        </w:rPr>
        <w:t xml:space="preserve">. </w:t>
      </w:r>
      <w:r w:rsidRPr="00D179AD">
        <w:rPr>
          <w:rFonts w:ascii="Calibri" w:hAnsi="Calibri"/>
          <w:rtl/>
          <w:lang w:bidi="ar-EG"/>
        </w:rPr>
        <w:t>ويضمن التطوير المهني المستمر، بما في ذلك الدورات المهنية في التكنولوجيات الناشئة وبرامج التدريب المدعومة بالذكاء الاصطناعي، أن يبقى الفاحصون متفقين مع أحدث المتطلبات القانونية والتقنية</w:t>
      </w:r>
      <w:r>
        <w:rPr>
          <w:rFonts w:ascii="Calibri" w:hAnsi="Calibri"/>
          <w:rtl/>
          <w:lang w:bidi="ar-EG"/>
        </w:rPr>
        <w:t xml:space="preserve">. </w:t>
      </w:r>
      <w:r w:rsidRPr="00D179AD">
        <w:rPr>
          <w:rFonts w:ascii="Calibri" w:hAnsi="Calibri"/>
          <w:rtl/>
          <w:lang w:bidi="ar-EG"/>
        </w:rPr>
        <w:t>وتغطي المبادئ التوجيهية لفحص طلبات البراءات جميع المجالات التقنية، بما في ذلك الحالات الخاصة مثل الاختراعات المتعلقة بالأجسام المضادة، والمجموعات الفرعية، وتعدّدية الأشكال، ونسبة التجانس، التي لا تغطيها المبادئ التوجيهية لمعاهدة التعاون بشأن البراءات للبحث الدولي والفحص التمهيدي الدولي.</w:t>
      </w:r>
    </w:p>
    <w:p w14:paraId="42346F80" w14:textId="77777777" w:rsidR="00D179AD" w:rsidRPr="00D179AD" w:rsidRDefault="00D179AD" w:rsidP="00D179AD">
      <w:pPr>
        <w:spacing w:after="240"/>
        <w:ind w:left="357"/>
        <w:jc w:val="both"/>
        <w:rPr>
          <w:rFonts w:ascii="Calibri" w:eastAsia="Calibri" w:hAnsi="Calibri"/>
          <w:bCs/>
          <w:rtl/>
          <w:lang w:bidi="ar-EG"/>
        </w:rPr>
      </w:pPr>
      <w:r w:rsidRPr="00D179AD">
        <w:rPr>
          <w:rFonts w:ascii="Calibri" w:hAnsi="Calibri"/>
          <w:rtl/>
          <w:lang w:bidi="ar-EG"/>
        </w:rPr>
        <w:lastRenderedPageBreak/>
        <w:t xml:space="preserve">وهذا الالتزام بالتميّز يتعزّز بنظام إدارة جودة قوي معتمد بموجب المعيار </w:t>
      </w:r>
      <w:r w:rsidRPr="00D179AD">
        <w:rPr>
          <w:rFonts w:ascii="Calibri" w:hAnsi="Calibri"/>
          <w:lang w:bidi="ar-EG"/>
        </w:rPr>
        <w:t>ISO 9001:2015</w:t>
      </w:r>
      <w:r w:rsidRPr="00D179AD">
        <w:rPr>
          <w:rFonts w:ascii="Calibri" w:hAnsi="Calibri"/>
          <w:rtl/>
          <w:lang w:bidi="ar-EG"/>
        </w:rPr>
        <w:t xml:space="preserve"> منذ عام 2016 بعد الحصول على شهادة </w:t>
      </w:r>
      <w:r w:rsidRPr="00D179AD">
        <w:rPr>
          <w:rFonts w:ascii="Calibri" w:hAnsi="Calibri"/>
          <w:lang w:bidi="ar-EG"/>
        </w:rPr>
        <w:t>ISO 9001:2008</w:t>
      </w:r>
      <w:r w:rsidRPr="00D179AD">
        <w:rPr>
          <w:rFonts w:ascii="Calibri" w:hAnsi="Calibri"/>
          <w:rtl/>
          <w:lang w:bidi="ar-EG"/>
        </w:rPr>
        <w:t xml:space="preserve"> منذ عام 2010، وهو يغطي جميع خدمات مكتب إسرائيل للبراءات، إضافة إلى اعتماد الممارسات المتقدمة القائمة على المخاطر وفقاً للمعيارين </w:t>
      </w:r>
      <w:r w:rsidRPr="00D179AD">
        <w:rPr>
          <w:rFonts w:ascii="Calibri" w:hAnsi="Calibri"/>
          <w:lang w:bidi="ar-EG"/>
        </w:rPr>
        <w:t>ISO 31000:2018</w:t>
      </w:r>
      <w:r w:rsidRPr="00D179AD">
        <w:rPr>
          <w:rFonts w:ascii="Calibri" w:hAnsi="Calibri"/>
          <w:rtl/>
          <w:lang w:bidi="ar-EG"/>
        </w:rPr>
        <w:t xml:space="preserve"> و</w:t>
      </w:r>
      <w:r w:rsidRPr="00D179AD">
        <w:rPr>
          <w:rFonts w:ascii="Calibri" w:hAnsi="Calibri"/>
          <w:lang w:bidi="ar-EG"/>
        </w:rPr>
        <w:t>ISO/IEC 23894:2023</w:t>
      </w:r>
      <w:r w:rsidRPr="00D179AD">
        <w:rPr>
          <w:rFonts w:ascii="Calibri" w:hAnsi="Calibri"/>
          <w:rtl/>
          <w:lang w:bidi="ar-EG"/>
        </w:rPr>
        <w:t xml:space="preserve"> لإدارة مخاطر الذكاء الاصطناعي.</w:t>
      </w:r>
    </w:p>
    <w:bookmarkEnd w:id="7"/>
    <w:p w14:paraId="70A65245" w14:textId="77777777" w:rsidR="00D179AD" w:rsidRPr="00D179AD" w:rsidRDefault="00D179AD" w:rsidP="00D179AD">
      <w:pPr>
        <w:numPr>
          <w:ilvl w:val="0"/>
          <w:numId w:val="35"/>
        </w:numPr>
        <w:spacing w:after="120"/>
        <w:ind w:left="357" w:hanging="357"/>
        <w:jc w:val="both"/>
        <w:rPr>
          <w:rFonts w:ascii="Calibri" w:eastAsia="Calibri" w:hAnsi="Calibri"/>
          <w:b/>
          <w:rtl/>
          <w:lang w:bidi="ar-EG"/>
        </w:rPr>
      </w:pPr>
      <w:r w:rsidRPr="00D179AD">
        <w:rPr>
          <w:rFonts w:ascii="Calibri" w:hAnsi="Calibri"/>
          <w:b/>
          <w:bCs/>
          <w:rtl/>
          <w:lang w:bidi="ar-EG"/>
        </w:rPr>
        <w:t>تسخير التكنولوجيات المتقدمة من أجل الجودة والكفاءة في فحص البراءات</w:t>
      </w:r>
    </w:p>
    <w:p w14:paraId="37AF19ED" w14:textId="3266DC3D" w:rsidR="00D179AD" w:rsidRPr="00D179AD" w:rsidRDefault="00D179AD" w:rsidP="00D179AD">
      <w:pPr>
        <w:spacing w:after="120"/>
        <w:ind w:left="357"/>
        <w:jc w:val="both"/>
        <w:rPr>
          <w:rFonts w:ascii="Calibri" w:eastAsia="Calibri" w:hAnsi="Calibri"/>
          <w:bCs/>
          <w:rtl/>
          <w:lang w:bidi="ar-EG"/>
        </w:rPr>
      </w:pPr>
      <w:r w:rsidRPr="00D179AD">
        <w:rPr>
          <w:rFonts w:ascii="Calibri" w:hAnsi="Calibri"/>
          <w:rtl/>
          <w:lang w:bidi="ar-EG"/>
        </w:rPr>
        <w:t>كمكتب براءات معاصر، يركّز مكتب إسرائيل للبراءات تركيزاً قوياً على إدماج نظم تكنولوجيا المعلومات المتقدمة من أجل تعزيز إمكانية الوصول وتحسين تجربة المستخدم لمودعي الطلبات المحليين والدوليين على السواء</w:t>
      </w:r>
      <w:r>
        <w:rPr>
          <w:rFonts w:ascii="Calibri" w:hAnsi="Calibri"/>
          <w:rtl/>
          <w:lang w:bidi="ar-EG"/>
        </w:rPr>
        <w:t xml:space="preserve">. </w:t>
      </w:r>
      <w:r w:rsidRPr="00D179AD">
        <w:rPr>
          <w:rFonts w:ascii="Calibri" w:hAnsi="Calibri"/>
          <w:rtl/>
          <w:lang w:bidi="ar-EG"/>
        </w:rPr>
        <w:t>وتتيح الخدمات الإلكترونية القوية لدى مكتب إسرائيل للبراءات، والمتاحة باللغة الإنكليزية بالكامل، إمكانية الإيداع السلس، وتتبّع الطلبات في الوقت الحقيقي، والمراسلات الرقمية، والمدفوعات الإلكترونية الآمنة، وتوفر بالتالي فوائد كبيرة للمستخدمين الدوليين.</w:t>
      </w:r>
    </w:p>
    <w:p w14:paraId="5382727C" w14:textId="40797A0F" w:rsidR="00D179AD" w:rsidRPr="00D179AD" w:rsidRDefault="00D179AD" w:rsidP="00D179AD">
      <w:pPr>
        <w:spacing w:after="120"/>
        <w:ind w:left="357"/>
        <w:jc w:val="both"/>
        <w:rPr>
          <w:rFonts w:ascii="Calibri" w:eastAsia="Calibri" w:hAnsi="Calibri"/>
          <w:bCs/>
          <w:rtl/>
          <w:lang w:bidi="ar-EG"/>
        </w:rPr>
      </w:pPr>
      <w:r w:rsidRPr="00D179AD">
        <w:rPr>
          <w:rFonts w:ascii="Calibri" w:hAnsi="Calibri"/>
          <w:rtl/>
          <w:lang w:bidi="ar-EG"/>
        </w:rPr>
        <w:t>ويلتزم مكتب إسرائيل للبراءات باستثمارات كبيرة ومستمرة في نظم تكنولوجيا المعلومات والأدوات الرقمية الرائدة، بما يتماشى مع سياسته لتزويد أصحاب المصلحة بعمليات بحث وفحص حديثة وعالية الجودة وفعالة</w:t>
      </w:r>
      <w:r>
        <w:rPr>
          <w:rFonts w:ascii="Calibri" w:hAnsi="Calibri"/>
          <w:rtl/>
          <w:lang w:bidi="ar-EG"/>
        </w:rPr>
        <w:t xml:space="preserve">. </w:t>
      </w:r>
      <w:r w:rsidRPr="00D179AD">
        <w:rPr>
          <w:rFonts w:ascii="Calibri" w:hAnsi="Calibri"/>
          <w:rtl/>
          <w:lang w:bidi="ar-EG"/>
        </w:rPr>
        <w:t>وتوفر النظم الآلية المتقدمة للطلبات الوطنية والدولية منصات منظمة لتدفق العمل مزودة بآليات مدمجة لمراقبة الجودة</w:t>
      </w:r>
      <w:r>
        <w:rPr>
          <w:rFonts w:ascii="Calibri" w:hAnsi="Calibri"/>
          <w:rtl/>
          <w:lang w:bidi="ar-EG"/>
        </w:rPr>
        <w:t xml:space="preserve">. </w:t>
      </w:r>
      <w:r w:rsidRPr="00D179AD">
        <w:rPr>
          <w:rFonts w:ascii="Calibri" w:hAnsi="Calibri"/>
          <w:rtl/>
          <w:lang w:bidi="ar-EG"/>
        </w:rPr>
        <w:t xml:space="preserve">وتدعم هذه المنصات توثيق البيانات المنظّمة، التي يقدمها الفاحص، وتقديم التقارير الوطنية وتقارير معاهدة البراءات التي يتم إنشاؤها تلقائياً بأنساق </w:t>
      </w:r>
      <w:r w:rsidRPr="00D179AD">
        <w:rPr>
          <w:rFonts w:ascii="Calibri" w:hAnsi="Calibri"/>
          <w:lang w:bidi="ar-EG"/>
        </w:rPr>
        <w:t>PDF</w:t>
      </w:r>
      <w:r>
        <w:rPr>
          <w:rFonts w:ascii="Calibri" w:hAnsi="Calibri"/>
          <w:rtl/>
          <w:lang w:bidi="ar-EG"/>
        </w:rPr>
        <w:t xml:space="preserve">. </w:t>
      </w:r>
      <w:r w:rsidRPr="00D179AD">
        <w:rPr>
          <w:rFonts w:ascii="Calibri" w:hAnsi="Calibri"/>
          <w:rtl/>
          <w:lang w:bidi="ar-EG"/>
        </w:rPr>
        <w:t xml:space="preserve">ويتم كذلك توليد تقارير معاهدة البراءات تلقائياً بنسيق </w:t>
      </w:r>
      <w:r w:rsidRPr="00D179AD">
        <w:rPr>
          <w:rFonts w:ascii="Calibri" w:hAnsi="Calibri"/>
          <w:lang w:bidi="ar-EG"/>
        </w:rPr>
        <w:t>XML</w:t>
      </w:r>
      <w:r w:rsidRPr="00D179AD">
        <w:rPr>
          <w:rFonts w:ascii="Calibri" w:hAnsi="Calibri"/>
          <w:rtl/>
          <w:lang w:bidi="ar-EG"/>
        </w:rPr>
        <w:t xml:space="preserve"> وفقاً لمعيار الويبو </w:t>
      </w:r>
      <w:r w:rsidRPr="00D179AD">
        <w:rPr>
          <w:rFonts w:ascii="Calibri" w:hAnsi="Calibri"/>
          <w:lang w:bidi="ar-EG"/>
        </w:rPr>
        <w:t>ST.96</w:t>
      </w:r>
      <w:r w:rsidRPr="00D179AD">
        <w:rPr>
          <w:rFonts w:ascii="Calibri" w:hAnsi="Calibri"/>
          <w:rtl/>
          <w:lang w:bidi="ar-EG"/>
        </w:rPr>
        <w:t xml:space="preserve">. </w:t>
      </w:r>
    </w:p>
    <w:p w14:paraId="4E6EF3A2" w14:textId="7F21E58E" w:rsidR="00D179AD" w:rsidRPr="00D179AD" w:rsidRDefault="00D179AD" w:rsidP="00D179AD">
      <w:pPr>
        <w:spacing w:after="120"/>
        <w:ind w:left="357"/>
        <w:jc w:val="both"/>
        <w:rPr>
          <w:rFonts w:ascii="Calibri" w:eastAsia="Calibri" w:hAnsi="Calibri"/>
          <w:bCs/>
          <w:rtl/>
          <w:lang w:bidi="ar-EG"/>
        </w:rPr>
      </w:pPr>
      <w:r w:rsidRPr="00D179AD">
        <w:rPr>
          <w:rFonts w:ascii="Calibri" w:hAnsi="Calibri"/>
          <w:rtl/>
          <w:lang w:bidi="ar-EG"/>
        </w:rPr>
        <w:t>ويستخدم مكتب إسرائيل للبراءات نظاماً متطوراً للمعلومات التجارية كأداة استراتيجية لمراقبة الأداء وتحسين مقاييس الجودة</w:t>
      </w:r>
      <w:r>
        <w:rPr>
          <w:rFonts w:ascii="Calibri" w:hAnsi="Calibri"/>
          <w:rtl/>
          <w:lang w:bidi="ar-EG"/>
        </w:rPr>
        <w:t xml:space="preserve">. </w:t>
      </w:r>
      <w:r w:rsidRPr="00D179AD">
        <w:rPr>
          <w:rFonts w:ascii="Calibri" w:hAnsi="Calibri"/>
          <w:rtl/>
          <w:lang w:bidi="ar-EG"/>
        </w:rPr>
        <w:t>وإضافة إلى ذلك، تعمل آلية رسم الخرائط القائمة على الروبوت الإلكتروني على تحسين تخصيص طلبات البراءات من خلال تحليل معلّمات متعددة، وضمان توازن أعباء العمل، والمعالجة في الوقت المناسب.</w:t>
      </w:r>
    </w:p>
    <w:p w14:paraId="11857FF8" w14:textId="2DCB681C" w:rsidR="00D179AD" w:rsidRPr="00D179AD" w:rsidRDefault="00D179AD" w:rsidP="00D179AD">
      <w:pPr>
        <w:spacing w:after="240"/>
        <w:ind w:left="357"/>
        <w:jc w:val="both"/>
        <w:rPr>
          <w:rFonts w:ascii="Calibri" w:eastAsia="Calibri" w:hAnsi="Calibri"/>
          <w:bCs/>
          <w:rtl/>
          <w:lang w:bidi="ar-EG"/>
        </w:rPr>
      </w:pPr>
      <w:r w:rsidRPr="00D179AD">
        <w:rPr>
          <w:rFonts w:ascii="Calibri" w:hAnsi="Calibri"/>
          <w:rtl/>
          <w:lang w:bidi="ar-EG"/>
        </w:rPr>
        <w:t>ولتعزيز الدقة والكفاءة، يستخدم مكتب إسرائيل للبراءات أدوات بحث تجارية متقدّمة قائمة على الذكاء الاصطناعي أثبتت فعاليتها العالية في تحديد حالة التقنية الصناعية السابقة ذات الصلة</w:t>
      </w:r>
      <w:r>
        <w:rPr>
          <w:rFonts w:ascii="Calibri" w:hAnsi="Calibri"/>
          <w:rtl/>
          <w:lang w:bidi="ar-EG"/>
        </w:rPr>
        <w:t xml:space="preserve">. </w:t>
      </w:r>
      <w:r w:rsidRPr="00D179AD">
        <w:rPr>
          <w:rFonts w:ascii="Calibri" w:hAnsi="Calibri"/>
          <w:rtl/>
          <w:lang w:bidi="ar-EG"/>
        </w:rPr>
        <w:t>وبعد نجاح التجربة في عام 2024، أظهر الإدماج الشامل الأخير لحلول الذكاء الاصطناعي على مستوى عملية الفحص بالكامل تحسينات قابلة للقياس من حيث الاتساق والكفاءة والجودة الإجمالية لعملية الفحص</w:t>
      </w:r>
      <w:r>
        <w:rPr>
          <w:rFonts w:ascii="Calibri" w:hAnsi="Calibri"/>
          <w:rtl/>
          <w:lang w:bidi="ar-EG"/>
        </w:rPr>
        <w:t xml:space="preserve">. </w:t>
      </w:r>
      <w:r w:rsidRPr="00D179AD">
        <w:rPr>
          <w:rFonts w:ascii="Calibri" w:hAnsi="Calibri"/>
          <w:rtl/>
          <w:lang w:bidi="ar-EG"/>
        </w:rPr>
        <w:t>ويتجلّى هذا الالتزام الاستراتيجي من خلال إنشاء منصب إداري جديد، وهو مدير استراتيجية الذكاء الاصطناعي وعملياته، وهو منصب مكرّس للإشراف على التكامل المسؤول والاستراتيجي للذكاء الاصطناعي داخل مكتب إسرائيل للبراءات.</w:t>
      </w:r>
    </w:p>
    <w:p w14:paraId="498B1912" w14:textId="77777777" w:rsidR="00D179AD" w:rsidRPr="00D179AD" w:rsidRDefault="00D179AD" w:rsidP="00D179AD">
      <w:pPr>
        <w:numPr>
          <w:ilvl w:val="0"/>
          <w:numId w:val="35"/>
        </w:numPr>
        <w:spacing w:after="120"/>
        <w:ind w:left="357" w:hanging="357"/>
        <w:jc w:val="both"/>
        <w:rPr>
          <w:rFonts w:ascii="Calibri" w:eastAsia="Calibri" w:hAnsi="Calibri"/>
          <w:b/>
          <w:rtl/>
          <w:lang w:bidi="ar-EG"/>
        </w:rPr>
      </w:pPr>
      <w:r w:rsidRPr="00D179AD">
        <w:rPr>
          <w:rFonts w:ascii="Calibri" w:hAnsi="Calibri"/>
          <w:b/>
          <w:bCs/>
          <w:rtl/>
          <w:lang w:bidi="ar-EG"/>
        </w:rPr>
        <w:t>دفع عجلة الابتكار في نظام معاهدة البراءات: دور مكتب إسرائيل للبراءات</w:t>
      </w:r>
    </w:p>
    <w:p w14:paraId="784DA86B" w14:textId="77777777" w:rsidR="00D179AD" w:rsidRPr="00D179AD" w:rsidRDefault="00D179AD" w:rsidP="00D179AD">
      <w:pPr>
        <w:spacing w:after="120"/>
        <w:ind w:left="357"/>
        <w:jc w:val="both"/>
        <w:rPr>
          <w:rFonts w:ascii="Calibri" w:eastAsia="Calibri" w:hAnsi="Calibri"/>
          <w:bCs/>
          <w:rtl/>
          <w:lang w:bidi="ar-EG"/>
        </w:rPr>
      </w:pPr>
      <w:r w:rsidRPr="00D179AD">
        <w:rPr>
          <w:rFonts w:ascii="Calibri" w:hAnsi="Calibri"/>
          <w:rtl/>
          <w:lang w:bidi="ar-EG"/>
        </w:rPr>
        <w:t>يتمتّع مكتب إسرائيل للبراءات بسجل حافل من الطلبات والأنشطة والمبادرات المبتكرة خلال فترة عمله كإدارة للفحص الدولي/الفحص التمهيدي الدولي، وهو رائد في اعتماد أحدث التكنولوجيات، فضلاً السياسات التي تركّز على العملاء ويدفعها الابتكار.</w:t>
      </w:r>
    </w:p>
    <w:p w14:paraId="56430BC1" w14:textId="2FBCF1B0" w:rsidR="00D179AD" w:rsidRPr="00D179AD" w:rsidRDefault="00D179AD" w:rsidP="00D179AD">
      <w:pPr>
        <w:spacing w:after="120"/>
        <w:ind w:left="357"/>
        <w:jc w:val="both"/>
        <w:rPr>
          <w:rFonts w:ascii="Calibri" w:eastAsia="Calibri" w:hAnsi="Calibri"/>
          <w:bCs/>
          <w:rtl/>
          <w:lang w:bidi="ar-EG"/>
        </w:rPr>
      </w:pPr>
      <w:r w:rsidRPr="00D179AD">
        <w:rPr>
          <w:rFonts w:ascii="Calibri" w:hAnsi="Calibri"/>
          <w:rtl/>
          <w:lang w:bidi="ar-EG"/>
        </w:rPr>
        <w:t>ومنذ عام 2010، كان المكتب من أوائل الوحدات داخل وزارة العدل التي تنفّذ مبدأ العمل عن بُعد من أجل ضمان نفس بيئة العمل في المكتب</w:t>
      </w:r>
      <w:r>
        <w:rPr>
          <w:rFonts w:ascii="Calibri" w:hAnsi="Calibri"/>
          <w:rtl/>
          <w:lang w:bidi="ar-EG"/>
        </w:rPr>
        <w:t xml:space="preserve">. </w:t>
      </w:r>
      <w:r w:rsidRPr="00D179AD">
        <w:rPr>
          <w:rFonts w:ascii="Calibri" w:hAnsi="Calibri"/>
          <w:rtl/>
          <w:lang w:bidi="ar-EG"/>
        </w:rPr>
        <w:t>وقد جرى توسيع هذه المبادرة لاحقاً لكي تشمل جميع القائمين على الفحص الموضوعي وفحص الإجراءات الشكلية، ممّا سمح لهم بالعمل عن بُعد بنسبة تصل إلى 50% من ساعات عملهم.</w:t>
      </w:r>
    </w:p>
    <w:p w14:paraId="6526C0C1" w14:textId="5C1EA701" w:rsidR="00D179AD" w:rsidRPr="00D179AD" w:rsidRDefault="00D179AD" w:rsidP="00D179AD">
      <w:pPr>
        <w:spacing w:after="120"/>
        <w:ind w:left="357"/>
        <w:jc w:val="both"/>
        <w:rPr>
          <w:rFonts w:ascii="Calibri" w:eastAsia="Calibri" w:hAnsi="Calibri"/>
          <w:bCs/>
          <w:rtl/>
          <w:lang w:bidi="ar-EG"/>
        </w:rPr>
      </w:pPr>
      <w:r w:rsidRPr="00D179AD">
        <w:rPr>
          <w:rFonts w:ascii="Calibri" w:hAnsi="Calibri"/>
          <w:rtl/>
          <w:lang w:bidi="ar-EG"/>
        </w:rPr>
        <w:t>وفي عام 2012، أنشأ المكتب بيئة عمل خالية تماماً من الورق من أجل الفحص الموضوعي وفحص الإجراءات الشكلية لطلبات البراءات الوطنية والدولية</w:t>
      </w:r>
      <w:r>
        <w:rPr>
          <w:rFonts w:ascii="Calibri" w:hAnsi="Calibri"/>
          <w:rtl/>
          <w:lang w:bidi="ar-EG"/>
        </w:rPr>
        <w:t xml:space="preserve">. </w:t>
      </w:r>
      <w:r w:rsidRPr="00D179AD">
        <w:rPr>
          <w:rFonts w:ascii="Calibri" w:hAnsi="Calibri"/>
          <w:rtl/>
          <w:lang w:bidi="ar-EG"/>
        </w:rPr>
        <w:t>وفي العام نفسه، تم إطلاق نظام الإيداع الإلكتروني لمعاهدة البراءات، ممّا أتاح إيداع جميع طلبات معاهدة البراءات لدى مكتب تسلّم الطلبات في إسرائيل. وفي عام 2015، تم إدخال نظام الإيداع الإلكتروني لطلبات البراءات الوطنية، الأمر الذي أدّى إلى إيداع كل الطلبات الوطنية تقريباً (&gt;99%) بشكل إلكتروني.</w:t>
      </w:r>
    </w:p>
    <w:p w14:paraId="1ABD9D8F" w14:textId="77777777" w:rsidR="00D179AD" w:rsidRPr="00D179AD" w:rsidRDefault="00D179AD" w:rsidP="00D179AD">
      <w:pPr>
        <w:spacing w:after="120"/>
        <w:ind w:left="357"/>
        <w:jc w:val="both"/>
        <w:rPr>
          <w:rFonts w:ascii="Calibri" w:eastAsia="Calibri" w:hAnsi="Calibri"/>
          <w:bCs/>
          <w:rtl/>
          <w:lang w:bidi="ar-EG"/>
        </w:rPr>
      </w:pPr>
      <w:r w:rsidRPr="00D179AD">
        <w:rPr>
          <w:rFonts w:ascii="Calibri" w:hAnsi="Calibri"/>
          <w:rtl/>
          <w:lang w:bidi="ar-EG"/>
        </w:rPr>
        <w:t>وفي عام 2024، أُطلق برنامج تجريبي من أجل تمكين الإرسال الآلي لبيانات البراءات الشهرية إلى الويبو، لكي يحل محل الإرسال اليدوي السابق الذي بدأه الموظفون.</w:t>
      </w:r>
    </w:p>
    <w:p w14:paraId="77522A92" w14:textId="2319B771" w:rsidR="00D179AD" w:rsidRDefault="00D179AD" w:rsidP="00D179AD">
      <w:pPr>
        <w:ind w:left="357"/>
        <w:jc w:val="both"/>
        <w:rPr>
          <w:rFonts w:ascii="Calibri" w:hAnsi="Calibri"/>
          <w:rtl/>
          <w:lang w:bidi="ar-EG"/>
        </w:rPr>
      </w:pPr>
      <w:r w:rsidRPr="00D179AD">
        <w:rPr>
          <w:rFonts w:ascii="Calibri" w:hAnsi="Calibri"/>
          <w:rtl/>
          <w:lang w:bidi="ar-EG"/>
        </w:rPr>
        <w:t>وكإدارة للفحص الدولي/الفحص التمهيدي الدولي، قام المكتب باستمرار بأخذ زمام المبادرة في تنفيذ المشاريع والمبادرات الدولية لصالح نظام البراءات ككل</w:t>
      </w:r>
      <w:r>
        <w:rPr>
          <w:rFonts w:ascii="Calibri" w:hAnsi="Calibri"/>
          <w:rtl/>
          <w:lang w:bidi="ar-EG"/>
        </w:rPr>
        <w:t xml:space="preserve">. </w:t>
      </w:r>
      <w:r w:rsidRPr="00D179AD">
        <w:rPr>
          <w:rFonts w:ascii="Calibri" w:hAnsi="Calibri"/>
          <w:rtl/>
          <w:lang w:bidi="ar-EG"/>
        </w:rPr>
        <w:t xml:space="preserve">وعلى سبيل المثال، كان المكتب من بين المكاتب الأولى التي قامت بما يلي: </w:t>
      </w:r>
    </w:p>
    <w:p w14:paraId="0AA71BAE" w14:textId="77777777" w:rsidR="003C5227" w:rsidRPr="00D179AD" w:rsidRDefault="003C5227" w:rsidP="00D179AD">
      <w:pPr>
        <w:ind w:left="357"/>
        <w:jc w:val="both"/>
        <w:rPr>
          <w:rFonts w:ascii="Calibri" w:eastAsia="Calibri" w:hAnsi="Calibri"/>
          <w:bCs/>
          <w:rtl/>
          <w:lang w:bidi="ar-EG"/>
        </w:rPr>
      </w:pPr>
    </w:p>
    <w:p w14:paraId="26382903" w14:textId="6DCD5C24" w:rsidR="00D179AD" w:rsidRPr="00650F5B" w:rsidRDefault="00D179AD" w:rsidP="00650F5B">
      <w:pPr>
        <w:pStyle w:val="ListParagraph"/>
        <w:numPr>
          <w:ilvl w:val="0"/>
          <w:numId w:val="37"/>
        </w:numPr>
        <w:jc w:val="both"/>
        <w:rPr>
          <w:rFonts w:ascii="Calibri" w:eastAsia="Calibri" w:hAnsi="Calibri"/>
          <w:bCs/>
          <w:rtl/>
          <w:lang w:bidi="ar-EG"/>
        </w:rPr>
      </w:pPr>
      <w:r w:rsidRPr="00650F5B">
        <w:rPr>
          <w:rFonts w:ascii="Calibri" w:hAnsi="Calibri"/>
          <w:rtl/>
          <w:lang w:bidi="ar-EG"/>
        </w:rPr>
        <w:t xml:space="preserve">إصدار تقرير عن استراتيجية البحث إلى جانب تقرير البحث الدولي؛ </w:t>
      </w:r>
    </w:p>
    <w:p w14:paraId="538A293C" w14:textId="0844141F" w:rsidR="00D179AD" w:rsidRPr="00650F5B" w:rsidRDefault="00D179AD" w:rsidP="00650F5B">
      <w:pPr>
        <w:pStyle w:val="ListParagraph"/>
        <w:numPr>
          <w:ilvl w:val="0"/>
          <w:numId w:val="37"/>
        </w:numPr>
        <w:jc w:val="both"/>
        <w:rPr>
          <w:rFonts w:ascii="Calibri" w:eastAsia="Calibri" w:hAnsi="Calibri"/>
          <w:bCs/>
          <w:rtl/>
          <w:lang w:bidi="ar-EG"/>
        </w:rPr>
      </w:pPr>
      <w:r w:rsidRPr="00650F5B">
        <w:rPr>
          <w:rFonts w:ascii="Calibri" w:hAnsi="Calibri"/>
          <w:rtl/>
          <w:lang w:bidi="ar-EG"/>
        </w:rPr>
        <w:t xml:space="preserve">وإصدار تقارير معاهدة البراءات بنسق </w:t>
      </w:r>
      <w:r w:rsidRPr="00650F5B">
        <w:rPr>
          <w:rFonts w:ascii="Calibri" w:hAnsi="Calibri"/>
          <w:lang w:bidi="ar-EG"/>
        </w:rPr>
        <w:t>XML</w:t>
      </w:r>
      <w:r w:rsidRPr="00650F5B">
        <w:rPr>
          <w:rFonts w:ascii="Calibri" w:hAnsi="Calibri"/>
          <w:rtl/>
          <w:lang w:bidi="ar-EG"/>
        </w:rPr>
        <w:t xml:space="preserve"> وفقاً لمعيار الويبو </w:t>
      </w:r>
      <w:r w:rsidRPr="00650F5B">
        <w:rPr>
          <w:rFonts w:ascii="Calibri" w:hAnsi="Calibri"/>
          <w:lang w:bidi="ar-EG"/>
        </w:rPr>
        <w:t>ST.96</w:t>
      </w:r>
      <w:r w:rsidRPr="00650F5B">
        <w:rPr>
          <w:rFonts w:ascii="Calibri" w:hAnsi="Calibri"/>
          <w:rtl/>
          <w:lang w:bidi="ar-EG"/>
        </w:rPr>
        <w:t xml:space="preserve">؛ </w:t>
      </w:r>
    </w:p>
    <w:p w14:paraId="765CD822" w14:textId="218157CB" w:rsidR="00D179AD" w:rsidRPr="00650F5B" w:rsidRDefault="00D179AD" w:rsidP="00650F5B">
      <w:pPr>
        <w:pStyle w:val="ListParagraph"/>
        <w:numPr>
          <w:ilvl w:val="0"/>
          <w:numId w:val="37"/>
        </w:numPr>
        <w:jc w:val="both"/>
        <w:rPr>
          <w:rFonts w:ascii="Calibri" w:eastAsia="Calibri" w:hAnsi="Calibri"/>
          <w:bCs/>
          <w:rtl/>
          <w:lang w:bidi="ar-EG"/>
        </w:rPr>
      </w:pPr>
      <w:r w:rsidRPr="00650F5B">
        <w:rPr>
          <w:rFonts w:ascii="Calibri" w:hAnsi="Calibri"/>
          <w:rtl/>
          <w:lang w:bidi="ar-EG"/>
        </w:rPr>
        <w:t>وتنفيذ خدمة "</w:t>
      </w:r>
      <w:r w:rsidRPr="00650F5B">
        <w:rPr>
          <w:rFonts w:ascii="Calibri" w:hAnsi="Calibri"/>
          <w:lang w:bidi="ar-EG"/>
        </w:rPr>
        <w:t>PCT Direct"</w:t>
      </w:r>
      <w:r w:rsidRPr="00650F5B">
        <w:rPr>
          <w:rFonts w:ascii="Calibri" w:hAnsi="Calibri"/>
          <w:rtl/>
          <w:lang w:bidi="ar-EG"/>
        </w:rPr>
        <w:t xml:space="preserve">، بعد المكتب الأوروبي للبراءات؛ </w:t>
      </w:r>
    </w:p>
    <w:p w14:paraId="62DC7B6C" w14:textId="51C2D8C7" w:rsidR="00D179AD" w:rsidRPr="00650F5B" w:rsidRDefault="00D179AD" w:rsidP="00650F5B">
      <w:pPr>
        <w:pStyle w:val="ListParagraph"/>
        <w:numPr>
          <w:ilvl w:val="0"/>
          <w:numId w:val="37"/>
        </w:numPr>
        <w:spacing w:after="120"/>
        <w:jc w:val="both"/>
        <w:rPr>
          <w:rFonts w:ascii="Calibri" w:eastAsia="Calibri" w:hAnsi="Calibri"/>
          <w:bCs/>
          <w:rtl/>
          <w:lang w:bidi="ar-EG"/>
        </w:rPr>
      </w:pPr>
      <w:r w:rsidRPr="00650F5B">
        <w:rPr>
          <w:rFonts w:ascii="Calibri" w:hAnsi="Calibri"/>
          <w:rtl/>
          <w:lang w:bidi="ar-EG"/>
        </w:rPr>
        <w:t xml:space="preserve">والمشاركة في نظام </w:t>
      </w:r>
      <w:r w:rsidRPr="00650F5B">
        <w:rPr>
          <w:rFonts w:ascii="Calibri" w:hAnsi="Calibri"/>
          <w:lang w:bidi="ar-EG"/>
        </w:rPr>
        <w:t>WIPO CASE</w:t>
      </w:r>
      <w:r w:rsidRPr="00650F5B">
        <w:rPr>
          <w:rFonts w:ascii="Calibri" w:hAnsi="Calibri"/>
          <w:rtl/>
          <w:lang w:bidi="ar-EG"/>
        </w:rPr>
        <w:t xml:space="preserve"> كمكتب نفاذ وتوفير، بعد مكاتب الكومنولث.</w:t>
      </w:r>
    </w:p>
    <w:p w14:paraId="3F77CDCE" w14:textId="7369E59A" w:rsidR="00D179AD" w:rsidRPr="00D179AD" w:rsidRDefault="00D179AD" w:rsidP="00D179AD">
      <w:pPr>
        <w:spacing w:after="120"/>
        <w:ind w:left="357"/>
        <w:jc w:val="both"/>
        <w:rPr>
          <w:rFonts w:ascii="Calibri" w:eastAsia="Calibri" w:hAnsi="Calibri"/>
          <w:bCs/>
          <w:rtl/>
          <w:lang w:bidi="ar-EG"/>
        </w:rPr>
      </w:pPr>
      <w:r w:rsidRPr="00D179AD">
        <w:rPr>
          <w:rFonts w:ascii="Calibri" w:hAnsi="Calibri"/>
          <w:rtl/>
          <w:lang w:bidi="ar-EG"/>
        </w:rPr>
        <w:t>ويواصل المكتب الاضطلاع بدور ريادي في ابتكار موارده وخدماته، وتحسينها، لفائدة أصحاب المصلحة ونظام معاهدة البراءات بأكمله</w:t>
      </w:r>
      <w:r>
        <w:rPr>
          <w:rFonts w:ascii="Calibri" w:hAnsi="Calibri"/>
          <w:rtl/>
          <w:lang w:bidi="ar-EG"/>
        </w:rPr>
        <w:t xml:space="preserve">. </w:t>
      </w:r>
      <w:r w:rsidRPr="00D179AD">
        <w:rPr>
          <w:rFonts w:ascii="Calibri" w:hAnsi="Calibri"/>
          <w:rtl/>
          <w:lang w:bidi="ar-EG"/>
        </w:rPr>
        <w:t>ويتجلّى هذا الالتزام في القوائم المستفيضة للتغييرات والتحسينات الموثّقة في التقارير السنوية لنظام إدارة الجودة، فضلاً عن المبادرات التي اقترحها المكتب في المنتديات الدولية، مثل الاجتماعات السنوية للإدارات الدولية.</w:t>
      </w:r>
    </w:p>
    <w:p w14:paraId="721F1D11" w14:textId="01FB1213" w:rsidR="00D179AD" w:rsidRPr="00D179AD" w:rsidRDefault="00D179AD" w:rsidP="00D179AD">
      <w:pPr>
        <w:spacing w:after="120"/>
        <w:ind w:left="357"/>
        <w:jc w:val="both"/>
        <w:rPr>
          <w:rFonts w:ascii="Calibri" w:eastAsia="Calibri" w:hAnsi="Calibri"/>
          <w:bCs/>
          <w:rtl/>
          <w:lang w:bidi="ar-EG"/>
        </w:rPr>
      </w:pPr>
      <w:r w:rsidRPr="00D179AD">
        <w:rPr>
          <w:rFonts w:ascii="Calibri" w:hAnsi="Calibri"/>
          <w:rtl/>
          <w:lang w:bidi="ar-EG"/>
        </w:rPr>
        <w:t>وبغية زيادة تعزيز النهج القائم على الابتكار، أنشأت الرابطة مركزاً للابتكار في عام 2024 من أجل قيادة تطوير مبادرات جديدة وتنفيذها</w:t>
      </w:r>
      <w:r>
        <w:rPr>
          <w:rFonts w:ascii="Calibri" w:hAnsi="Calibri"/>
          <w:rtl/>
          <w:lang w:bidi="ar-EG"/>
        </w:rPr>
        <w:t xml:space="preserve">. </w:t>
      </w:r>
      <w:r w:rsidRPr="00D179AD">
        <w:rPr>
          <w:rFonts w:ascii="Calibri" w:hAnsi="Calibri"/>
          <w:rtl/>
          <w:lang w:bidi="ar-EG"/>
        </w:rPr>
        <w:t xml:space="preserve">وإضافة إلى ذلك، أدّى سعي المكتب إلى إتاحة أحدث التكنولوجيات، وخاصة الحلول القائمة على الذكاء الاصطناعي </w:t>
      </w:r>
      <w:r w:rsidRPr="00D179AD">
        <w:rPr>
          <w:rFonts w:ascii="Calibri" w:hAnsi="Calibri"/>
          <w:rtl/>
          <w:lang w:bidi="ar-EG"/>
        </w:rPr>
        <w:lastRenderedPageBreak/>
        <w:t>والهادفة إلى تعزيز جودة عمليات البحث والفحص وكفاءتها، وكذلك العمليات المكتبية وبرامج التدريب، إلى تشكيل فريق تنفيذ الذكاء الاصطناعي في عام 2024</w:t>
      </w:r>
      <w:r>
        <w:rPr>
          <w:rFonts w:ascii="Calibri" w:hAnsi="Calibri"/>
          <w:rtl/>
          <w:lang w:bidi="ar-EG"/>
        </w:rPr>
        <w:t xml:space="preserve">. </w:t>
      </w:r>
      <w:r w:rsidRPr="00D179AD">
        <w:rPr>
          <w:rFonts w:ascii="Calibri" w:hAnsi="Calibri"/>
          <w:rtl/>
          <w:lang w:bidi="ar-EG"/>
        </w:rPr>
        <w:t>وسيجري قريباً تعيين مدير لاستراتيجية الذكاء الاصطناعي وعملياته للإشراف على هذه الجهود وضمان الإدماج الفعّال للذكاء الاصطناعي في شتى موارد المكتب وخدماته.</w:t>
      </w:r>
    </w:p>
    <w:p w14:paraId="2EAB0F16" w14:textId="19026140" w:rsidR="00D179AD" w:rsidRPr="00D179AD" w:rsidRDefault="00D179AD" w:rsidP="00D179AD">
      <w:pPr>
        <w:ind w:left="357"/>
        <w:jc w:val="both"/>
        <w:rPr>
          <w:rFonts w:ascii="Calibri" w:eastAsia="Calibri" w:hAnsi="Calibri"/>
          <w:bCs/>
          <w:rtl/>
          <w:lang w:bidi="ar-EG"/>
        </w:rPr>
      </w:pPr>
      <w:r w:rsidRPr="00D179AD">
        <w:rPr>
          <w:rFonts w:ascii="Calibri" w:hAnsi="Calibri"/>
          <w:rtl/>
          <w:lang w:bidi="ar-EG"/>
        </w:rPr>
        <w:t xml:space="preserve">وتجري الاستعدادات حالياً لضمان الامتثال للمعيار </w:t>
      </w:r>
      <w:r w:rsidRPr="00D179AD">
        <w:rPr>
          <w:rFonts w:ascii="Calibri" w:hAnsi="Calibri"/>
          <w:lang w:bidi="ar-EG"/>
        </w:rPr>
        <w:t>ISO 56001:2024</w:t>
      </w:r>
      <w:r w:rsidRPr="00D179AD">
        <w:rPr>
          <w:rFonts w:ascii="Calibri" w:hAnsi="Calibri"/>
          <w:rtl/>
          <w:lang w:bidi="ar-EG"/>
        </w:rPr>
        <w:t>، وهو المعيار المدرج حديثاً في نظم إدارة الابتكار</w:t>
      </w:r>
      <w:r>
        <w:rPr>
          <w:rFonts w:ascii="Calibri" w:hAnsi="Calibri"/>
          <w:rtl/>
          <w:lang w:bidi="ar-EG"/>
        </w:rPr>
        <w:t xml:space="preserve">. </w:t>
      </w:r>
      <w:r w:rsidRPr="00D179AD">
        <w:rPr>
          <w:rFonts w:ascii="Calibri" w:hAnsi="Calibri"/>
          <w:rtl/>
          <w:lang w:bidi="ar-EG"/>
        </w:rPr>
        <w:t>وتعكس هذه المبادرة التزام المكتب المتواصل بتعزيز ثقافة التحسين والابتكار المستمرين.</w:t>
      </w:r>
    </w:p>
    <w:p w14:paraId="736E86D8" w14:textId="77777777" w:rsidR="00D179AD" w:rsidRPr="00D179AD" w:rsidRDefault="00D179AD" w:rsidP="00D179AD">
      <w:pPr>
        <w:ind w:left="357"/>
        <w:jc w:val="both"/>
        <w:rPr>
          <w:rFonts w:ascii="Calibri" w:eastAsia="Calibri" w:hAnsi="Calibri"/>
          <w:bCs/>
          <w:lang w:bidi="he-IL"/>
        </w:rPr>
      </w:pPr>
    </w:p>
    <w:p w14:paraId="72381416" w14:textId="77777777" w:rsidR="00D179AD" w:rsidRPr="00D179AD" w:rsidRDefault="00D179AD" w:rsidP="00D179AD">
      <w:pPr>
        <w:numPr>
          <w:ilvl w:val="0"/>
          <w:numId w:val="35"/>
        </w:numPr>
        <w:spacing w:after="120"/>
        <w:ind w:left="357" w:hanging="357"/>
        <w:jc w:val="both"/>
        <w:rPr>
          <w:rFonts w:ascii="Calibri" w:eastAsia="Calibri" w:hAnsi="Calibri"/>
          <w:b/>
          <w:rtl/>
          <w:lang w:bidi="ar-EG"/>
        </w:rPr>
      </w:pPr>
      <w:r w:rsidRPr="00D179AD">
        <w:rPr>
          <w:rFonts w:ascii="Calibri" w:hAnsi="Calibri"/>
          <w:b/>
          <w:bCs/>
          <w:rtl/>
          <w:lang w:bidi="ar-EG"/>
        </w:rPr>
        <w:t>الالتزام بالتعاون والتنسيق العالميين</w:t>
      </w:r>
    </w:p>
    <w:p w14:paraId="6C678780" w14:textId="045140E7" w:rsidR="00D179AD" w:rsidRPr="00D179AD" w:rsidRDefault="00D179AD" w:rsidP="00650F5B">
      <w:pPr>
        <w:spacing w:after="160"/>
        <w:ind w:left="360"/>
        <w:contextualSpacing/>
        <w:jc w:val="both"/>
        <w:rPr>
          <w:rFonts w:ascii="Calibri" w:eastAsia="Calibri" w:hAnsi="Calibri"/>
          <w:b/>
          <w:rtl/>
          <w:lang w:bidi="ar-EG"/>
        </w:rPr>
      </w:pPr>
      <w:r w:rsidRPr="00D179AD">
        <w:rPr>
          <w:rFonts w:ascii="Calibri" w:hAnsi="Calibri"/>
          <w:rtl/>
          <w:lang w:bidi="ar-EG"/>
        </w:rPr>
        <w:t>يشارك المكتب بنشاط في المنتديات الدولية للملكية الفكرية، إضافة إلى تبادل المعلومات والتعاون مع المكاتب الأخرى، الأمر الذي يبرهن على التزامه بتعزيز نظام دولي متناسق وفعّال للملكية الفكرية</w:t>
      </w:r>
      <w:r>
        <w:rPr>
          <w:rFonts w:ascii="Calibri" w:hAnsi="Calibri"/>
          <w:rtl/>
          <w:lang w:bidi="ar-EG"/>
        </w:rPr>
        <w:t xml:space="preserve">. </w:t>
      </w:r>
      <w:r w:rsidRPr="00D179AD">
        <w:rPr>
          <w:rFonts w:ascii="Calibri" w:hAnsi="Calibri"/>
          <w:rtl/>
          <w:lang w:bidi="ar-EG"/>
        </w:rPr>
        <w:t>وتتضمّن الأمثلة على هذا التعاون العالمي ما يلي:</w:t>
      </w:r>
    </w:p>
    <w:p w14:paraId="5AC62EE9" w14:textId="77777777" w:rsidR="00D179AD" w:rsidRPr="00D179AD" w:rsidRDefault="00D179AD" w:rsidP="00D179AD">
      <w:pPr>
        <w:numPr>
          <w:ilvl w:val="0"/>
          <w:numId w:val="36"/>
        </w:numPr>
        <w:spacing w:after="160"/>
        <w:contextualSpacing/>
        <w:jc w:val="both"/>
        <w:rPr>
          <w:rFonts w:ascii="Calibri" w:eastAsia="Calibri" w:hAnsi="Calibri"/>
          <w:bCs/>
          <w:rtl/>
          <w:lang w:bidi="ar-EG"/>
        </w:rPr>
      </w:pPr>
      <w:r w:rsidRPr="00D179AD">
        <w:rPr>
          <w:rFonts w:ascii="Calibri" w:hAnsi="Calibri"/>
          <w:rtl/>
          <w:lang w:bidi="ar-EG"/>
        </w:rPr>
        <w:t>المشاركة في نظم الويبو، مثل نظام النفاذ المركزي إلى نتائج البحث والفحص (</w:t>
      </w:r>
      <w:r w:rsidRPr="00D179AD">
        <w:rPr>
          <w:rFonts w:ascii="Calibri" w:hAnsi="Calibri"/>
          <w:lang w:bidi="ar-EG"/>
        </w:rPr>
        <w:t>CASE</w:t>
      </w:r>
      <w:r w:rsidRPr="00D179AD">
        <w:rPr>
          <w:rFonts w:ascii="Calibri" w:hAnsi="Calibri"/>
          <w:rtl/>
          <w:lang w:bidi="ar-EG"/>
        </w:rPr>
        <w:t>) وخدمة النفاذ الرقمي (</w:t>
      </w:r>
      <w:r w:rsidRPr="00D179AD">
        <w:rPr>
          <w:rFonts w:ascii="Calibri" w:hAnsi="Calibri"/>
          <w:lang w:bidi="ar-EG"/>
        </w:rPr>
        <w:t>DAS)</w:t>
      </w:r>
      <w:r w:rsidRPr="00D179AD">
        <w:rPr>
          <w:rFonts w:ascii="Calibri" w:hAnsi="Calibri"/>
          <w:rtl/>
          <w:lang w:bidi="ar-EG"/>
        </w:rPr>
        <w:t>؛</w:t>
      </w:r>
    </w:p>
    <w:p w14:paraId="000292C4" w14:textId="77777777" w:rsidR="00D179AD" w:rsidRPr="00D179AD" w:rsidRDefault="00D179AD" w:rsidP="00D179AD">
      <w:pPr>
        <w:numPr>
          <w:ilvl w:val="0"/>
          <w:numId w:val="36"/>
        </w:numPr>
        <w:contextualSpacing/>
        <w:jc w:val="both"/>
        <w:rPr>
          <w:rFonts w:ascii="Calibri" w:eastAsia="Calibri" w:hAnsi="Calibri"/>
          <w:bCs/>
          <w:rtl/>
          <w:lang w:bidi="ar-EG"/>
        </w:rPr>
      </w:pPr>
      <w:r w:rsidRPr="00D179AD">
        <w:rPr>
          <w:rFonts w:ascii="Calibri" w:hAnsi="Calibri"/>
          <w:rtl/>
          <w:lang w:bidi="ar-EG"/>
        </w:rPr>
        <w:t>وترتيبات المسار السريع لمعالجة البراءات (</w:t>
      </w:r>
      <w:r w:rsidRPr="00D179AD">
        <w:rPr>
          <w:rFonts w:ascii="Calibri" w:hAnsi="Calibri"/>
          <w:lang w:bidi="ar-EG"/>
        </w:rPr>
        <w:t>PPH)</w:t>
      </w:r>
      <w:r w:rsidRPr="00D179AD">
        <w:rPr>
          <w:rFonts w:ascii="Calibri" w:hAnsi="Calibri"/>
          <w:rtl/>
          <w:lang w:bidi="ar-EG"/>
        </w:rPr>
        <w:t>، بما في ذلك المسار السريع لمعالجة البراءات بناءً على معاهدة البراءات (</w:t>
      </w:r>
      <w:r w:rsidRPr="00D179AD">
        <w:rPr>
          <w:rFonts w:ascii="Calibri" w:hAnsi="Calibri"/>
          <w:lang w:bidi="ar-EG"/>
        </w:rPr>
        <w:t>PCT-PPH</w:t>
      </w:r>
      <w:r w:rsidRPr="00D179AD">
        <w:rPr>
          <w:rFonts w:ascii="Calibri" w:hAnsi="Calibri"/>
          <w:rtl/>
          <w:lang w:bidi="ar-EG"/>
        </w:rPr>
        <w:t>) والترتيبات العالمية للمسار السريع لمعالجة البراءات؛</w:t>
      </w:r>
    </w:p>
    <w:p w14:paraId="7DC50ED0" w14:textId="77777777" w:rsidR="00D179AD" w:rsidRPr="00D179AD" w:rsidRDefault="00D179AD" w:rsidP="00D179AD">
      <w:pPr>
        <w:numPr>
          <w:ilvl w:val="0"/>
          <w:numId w:val="36"/>
        </w:numPr>
        <w:contextualSpacing/>
        <w:jc w:val="both"/>
        <w:rPr>
          <w:rFonts w:ascii="Calibri" w:eastAsia="Calibri" w:hAnsi="Calibri"/>
          <w:bCs/>
          <w:rtl/>
          <w:lang w:bidi="ar-EG"/>
        </w:rPr>
      </w:pPr>
      <w:r w:rsidRPr="00D179AD">
        <w:rPr>
          <w:rFonts w:ascii="Calibri" w:hAnsi="Calibri"/>
          <w:rtl/>
          <w:lang w:bidi="ar-EG"/>
        </w:rPr>
        <w:t>وتنفيذ نظام التصنيف التعاوني للبراءات (</w:t>
      </w:r>
      <w:r w:rsidRPr="00D179AD">
        <w:rPr>
          <w:rFonts w:ascii="Calibri" w:hAnsi="Calibri"/>
          <w:lang w:bidi="ar-EG"/>
        </w:rPr>
        <w:t>CPC</w:t>
      </w:r>
      <w:r w:rsidRPr="00D179AD">
        <w:rPr>
          <w:rFonts w:ascii="Calibri" w:hAnsi="Calibri"/>
          <w:rtl/>
          <w:lang w:bidi="ar-EG"/>
        </w:rPr>
        <w:t>) بالنسبة إلى الطلبات الوطنية وطلبات معاهدة البراءات.</w:t>
      </w:r>
    </w:p>
    <w:p w14:paraId="0BD648D0" w14:textId="77777777" w:rsidR="00D179AD" w:rsidRPr="00D179AD" w:rsidRDefault="00D179AD" w:rsidP="00D179AD">
      <w:pPr>
        <w:numPr>
          <w:ilvl w:val="0"/>
          <w:numId w:val="36"/>
        </w:numPr>
        <w:spacing w:after="240"/>
        <w:ind w:left="1077" w:hanging="357"/>
        <w:jc w:val="both"/>
        <w:rPr>
          <w:rFonts w:ascii="Calibri" w:eastAsia="Calibri" w:hAnsi="Calibri"/>
          <w:bCs/>
          <w:rtl/>
          <w:lang w:bidi="ar-EG"/>
        </w:rPr>
      </w:pPr>
      <w:r w:rsidRPr="00D179AD">
        <w:rPr>
          <w:rFonts w:ascii="Calibri" w:hAnsi="Calibri"/>
          <w:rtl/>
          <w:lang w:bidi="ar-EG"/>
        </w:rPr>
        <w:t>والمشاركة في المشروع الرائد للتعقيب على تقرير البحث الدولي في إطار معاهدة البراءات، وهو جهد تعاوني يشارك فيه مكتب المملكة المتحدة للملكية الفكرية والعديد من إدارات البحث الدولي، حيث يقدم فيه كل مكتب مشارك تعقيبات على تقارير البحث الدولي الخاصة بالطلبات التي دخلت المرحلة الوطنية في مكتب آخر.</w:t>
      </w:r>
    </w:p>
    <w:p w14:paraId="36B40F95" w14:textId="77777777" w:rsidR="00D179AD" w:rsidRPr="00D179AD" w:rsidRDefault="00D179AD" w:rsidP="00D179AD">
      <w:pPr>
        <w:numPr>
          <w:ilvl w:val="0"/>
          <w:numId w:val="35"/>
        </w:numPr>
        <w:spacing w:after="120"/>
        <w:ind w:left="357" w:hanging="357"/>
        <w:jc w:val="both"/>
        <w:rPr>
          <w:rFonts w:ascii="Calibri" w:eastAsia="Calibri" w:hAnsi="Calibri"/>
          <w:b/>
          <w:rtl/>
          <w:lang w:bidi="ar-EG"/>
        </w:rPr>
      </w:pPr>
      <w:r w:rsidRPr="00D179AD">
        <w:rPr>
          <w:rFonts w:ascii="Calibri" w:hAnsi="Calibri"/>
          <w:b/>
          <w:bCs/>
          <w:rtl/>
          <w:lang w:bidi="ar-EG"/>
        </w:rPr>
        <w:t>الالتزام بالتحسين المستمر والاستجابة لأصحاب المصلحة</w:t>
      </w:r>
    </w:p>
    <w:p w14:paraId="34C68D90" w14:textId="76DDD82D" w:rsidR="00D179AD" w:rsidRPr="00D179AD" w:rsidRDefault="00D179AD" w:rsidP="00650F5B">
      <w:pPr>
        <w:spacing w:after="120"/>
        <w:ind w:left="357"/>
        <w:jc w:val="both"/>
        <w:rPr>
          <w:rFonts w:ascii="Calibri" w:eastAsia="Calibri" w:hAnsi="Calibri"/>
          <w:bCs/>
          <w:rtl/>
          <w:lang w:bidi="ar-EG"/>
        </w:rPr>
      </w:pPr>
      <w:r w:rsidRPr="00D179AD">
        <w:rPr>
          <w:rFonts w:ascii="Calibri" w:hAnsi="Calibri"/>
          <w:rtl/>
          <w:lang w:bidi="ar-EG"/>
        </w:rPr>
        <w:t>يبقى المكتب ملتزماً بالتحسين المستمر لخدماته من أجل تلبية احتياجات أصحاب المصلحة وتوقعاتهم بشكل أفضل</w:t>
      </w:r>
      <w:r>
        <w:rPr>
          <w:rFonts w:ascii="Calibri" w:hAnsi="Calibri"/>
          <w:rtl/>
          <w:lang w:bidi="ar-EG"/>
        </w:rPr>
        <w:t xml:space="preserve">. </w:t>
      </w:r>
      <w:r w:rsidRPr="00D179AD">
        <w:rPr>
          <w:rFonts w:ascii="Calibri" w:hAnsi="Calibri"/>
          <w:rtl/>
          <w:lang w:bidi="ar-EG"/>
        </w:rPr>
        <w:t>وما فتئ المكتب يبادر باستمرار في تقديم الخدمات لفائدة أصحاب المصلحة</w:t>
      </w:r>
      <w:r>
        <w:rPr>
          <w:rFonts w:ascii="Calibri" w:hAnsi="Calibri"/>
          <w:rtl/>
          <w:lang w:bidi="ar-EG"/>
        </w:rPr>
        <w:t xml:space="preserve">. </w:t>
      </w:r>
      <w:r w:rsidRPr="00D179AD">
        <w:rPr>
          <w:rFonts w:ascii="Calibri" w:hAnsi="Calibri"/>
          <w:rtl/>
          <w:lang w:bidi="ar-EG"/>
        </w:rPr>
        <w:t xml:space="preserve">وعلى سبيل المثال، كان المكتب من أوائل الإدارات الدولية التي أصدرت تقريراً عن استراتيجية البحث، وأدخلت مسار </w:t>
      </w:r>
      <w:r w:rsidRPr="00D179AD">
        <w:rPr>
          <w:rFonts w:ascii="Calibri" w:hAnsi="Calibri"/>
          <w:lang w:bidi="ar-EG"/>
        </w:rPr>
        <w:t>PCT Direct</w:t>
      </w:r>
      <w:r w:rsidRPr="00D179AD">
        <w:rPr>
          <w:rFonts w:ascii="Calibri" w:hAnsi="Calibri"/>
          <w:rtl/>
          <w:lang w:bidi="ar-EG"/>
        </w:rPr>
        <w:t>، وذلك بعد تنفيذه في المكتب الأوروبي للبراءات</w:t>
      </w:r>
      <w:r>
        <w:rPr>
          <w:rFonts w:ascii="Calibri" w:hAnsi="Calibri"/>
          <w:rtl/>
          <w:lang w:bidi="ar-EG"/>
        </w:rPr>
        <w:t xml:space="preserve">. </w:t>
      </w:r>
      <w:r w:rsidRPr="00D179AD">
        <w:rPr>
          <w:rFonts w:ascii="Calibri" w:hAnsi="Calibri"/>
          <w:rtl/>
          <w:lang w:bidi="ar-EG"/>
        </w:rPr>
        <w:t>وإضافة إلى ذلك، في الحالات التي تُستخدم فيها نتائج بحث سابق، يسمح المكتب باسترداد 50% من رسوم البحث</w:t>
      </w:r>
      <w:r>
        <w:rPr>
          <w:rFonts w:ascii="Calibri" w:hAnsi="Calibri"/>
          <w:rtl/>
          <w:lang w:bidi="ar-EG"/>
        </w:rPr>
        <w:t xml:space="preserve">. </w:t>
      </w:r>
      <w:r w:rsidRPr="00D179AD">
        <w:rPr>
          <w:rFonts w:ascii="Calibri" w:hAnsi="Calibri"/>
          <w:rtl/>
          <w:lang w:bidi="ar-EG"/>
        </w:rPr>
        <w:t>ويقدّم المكتب تقرير بحث جزئي للطلبات التي يُثار بشأنها اعتراض على وحدة الاختراع، من أجل تسهيل اتخاذ القرار المناسب لدى مودعي الطلبات.</w:t>
      </w:r>
    </w:p>
    <w:p w14:paraId="37C2C110" w14:textId="77777777" w:rsidR="00650F5B" w:rsidRDefault="00D179AD" w:rsidP="00650F5B">
      <w:pPr>
        <w:spacing w:after="120"/>
        <w:ind w:left="357"/>
        <w:jc w:val="both"/>
        <w:rPr>
          <w:rFonts w:ascii="Calibri" w:eastAsia="Calibri" w:hAnsi="Calibri"/>
          <w:bCs/>
          <w:rtl/>
          <w:lang w:bidi="ar-EG"/>
        </w:rPr>
      </w:pPr>
      <w:r w:rsidRPr="00D179AD">
        <w:rPr>
          <w:rFonts w:ascii="Calibri" w:hAnsi="Calibri"/>
          <w:rtl/>
          <w:lang w:bidi="ar-EG"/>
        </w:rPr>
        <w:t>وفي إطار مبادرة حديثة من المكتب، بالتعاون مع إدارة الابتكار الإسرائيلية، تُقدم خدمة للبحث التمهيدي لرواد الأعمال.</w:t>
      </w:r>
    </w:p>
    <w:p w14:paraId="4A6AE5E9" w14:textId="001B70CB" w:rsidR="00D179AD" w:rsidRPr="00D179AD" w:rsidRDefault="00D179AD" w:rsidP="00650F5B">
      <w:pPr>
        <w:spacing w:after="120"/>
        <w:ind w:left="357"/>
        <w:jc w:val="both"/>
        <w:rPr>
          <w:rFonts w:ascii="Calibri" w:eastAsia="Calibri" w:hAnsi="Calibri"/>
          <w:bCs/>
          <w:rtl/>
          <w:lang w:bidi="ar-EG"/>
        </w:rPr>
      </w:pPr>
      <w:r w:rsidRPr="00D179AD">
        <w:rPr>
          <w:rFonts w:ascii="Calibri" w:hAnsi="Calibri"/>
          <w:rtl/>
          <w:lang w:bidi="ar-EG"/>
        </w:rPr>
        <w:t>وتجدر الإشارة إلى أنه بالإضافة إلى التعقيبات المنتظمة المجمعة من أصحاب المصلحة، ما فتئ المكتب يتواصل بشكل مستمر مع أصحاب المصلحة ويعمل بشكل تعاوني معهم من أجل توفير مجموعة واسعة من الآليات لتلبية احتياجاتهم وتوقعاتهم</w:t>
      </w:r>
      <w:r>
        <w:rPr>
          <w:rFonts w:ascii="Calibri" w:hAnsi="Calibri"/>
          <w:rtl/>
          <w:lang w:bidi="ar-EG"/>
        </w:rPr>
        <w:t xml:space="preserve">. </w:t>
      </w:r>
      <w:r w:rsidRPr="00D179AD">
        <w:rPr>
          <w:rFonts w:ascii="Calibri" w:hAnsi="Calibri"/>
          <w:rtl/>
          <w:lang w:bidi="ar-EG"/>
        </w:rPr>
        <w:t>وتوفّر اجتماعات الموائد المستديرة والندوات الإلكترونية فرصةً فعالةً لهم لتقديم تعقيبات بناءة بشأن الخدمات الحالية والجديدة التي يقدمها مكتب إسرائيل للبراءات</w:t>
      </w:r>
      <w:r>
        <w:rPr>
          <w:rFonts w:ascii="Calibri" w:hAnsi="Calibri"/>
          <w:rtl/>
          <w:lang w:bidi="ar-EG"/>
        </w:rPr>
        <w:t xml:space="preserve">. </w:t>
      </w:r>
      <w:r w:rsidRPr="00D179AD">
        <w:rPr>
          <w:rFonts w:ascii="Calibri" w:hAnsi="Calibri"/>
          <w:rtl/>
          <w:lang w:bidi="ar-EG"/>
        </w:rPr>
        <w:t>وإضافة إلى ذلك، فإن استشارتهم قبل بدء سريان الإجراءات الجديدة (مثل المبادئ التوجيهية للفحص والتعميمات الصادرة عن المفوض) توفّر ملاحظات قيمة</w:t>
      </w:r>
      <w:r>
        <w:rPr>
          <w:rFonts w:ascii="Calibri" w:hAnsi="Calibri"/>
          <w:rtl/>
          <w:lang w:bidi="ar-EG"/>
        </w:rPr>
        <w:t xml:space="preserve">. </w:t>
      </w:r>
      <w:r w:rsidRPr="00D179AD">
        <w:rPr>
          <w:rFonts w:ascii="Calibri" w:hAnsi="Calibri"/>
          <w:rtl/>
          <w:lang w:bidi="ar-EG"/>
        </w:rPr>
        <w:t>وتساعد الزيارات الدراسية إلى المؤسسات الصناعية والأكاديمية في جمع التعقيبات بشأن خدمات المكتب</w:t>
      </w:r>
      <w:r>
        <w:rPr>
          <w:rFonts w:ascii="Calibri" w:hAnsi="Calibri"/>
          <w:rtl/>
          <w:lang w:bidi="ar-EG"/>
        </w:rPr>
        <w:t xml:space="preserve">. </w:t>
      </w:r>
      <w:r w:rsidRPr="00D179AD">
        <w:rPr>
          <w:rFonts w:ascii="Calibri" w:hAnsi="Calibri"/>
          <w:rtl/>
          <w:lang w:bidi="ar-EG"/>
        </w:rPr>
        <w:t>ويشارك فريق مركز الابتكار التابع للمكتب في مناقشات ومقابلات مع كبار أصحاب المصلحة من أجل تحسين الجودة وتنوّع الخدمات المقدمة لمودعي الطلبات.</w:t>
      </w:r>
    </w:p>
    <w:p w14:paraId="0202FBEE" w14:textId="77777777" w:rsidR="00D179AD" w:rsidRPr="00D179AD" w:rsidRDefault="00D179AD" w:rsidP="00D179AD">
      <w:pPr>
        <w:spacing w:after="240"/>
        <w:ind w:left="357"/>
        <w:jc w:val="both"/>
        <w:rPr>
          <w:rFonts w:ascii="Calibri" w:eastAsia="Calibri" w:hAnsi="Calibri"/>
          <w:bCs/>
          <w:rtl/>
          <w:lang w:bidi="ar-EG"/>
        </w:rPr>
      </w:pPr>
      <w:r w:rsidRPr="00D179AD">
        <w:rPr>
          <w:rFonts w:ascii="Calibri" w:hAnsi="Calibri"/>
          <w:rtl/>
          <w:lang w:bidi="ar-EG"/>
        </w:rPr>
        <w:t>وكجزء من الالتزام بتحسين الخدمات المقدمة لأصحاب المصلحة، وضع المكتب اتفاق مستوى الخدمة لجميع الخدمات التي تقدمها إدارات المكتب، بما في ذلك البراءات، وإدارة البراءات، ومعاهدة البراءات، والتصاميم الصناعية، والعلامات التجارية، والإدارات القانونية.</w:t>
      </w:r>
    </w:p>
    <w:p w14:paraId="3C14D9CE" w14:textId="77777777" w:rsidR="003C5227" w:rsidRPr="003C5227" w:rsidRDefault="00D179AD" w:rsidP="00D179AD">
      <w:pPr>
        <w:numPr>
          <w:ilvl w:val="0"/>
          <w:numId w:val="35"/>
        </w:numPr>
        <w:spacing w:after="120"/>
        <w:ind w:left="357" w:hanging="357"/>
        <w:jc w:val="both"/>
        <w:rPr>
          <w:rFonts w:ascii="Calibri" w:hAnsi="Calibri"/>
          <w:b/>
          <w:lang w:bidi="ar-EG"/>
        </w:rPr>
      </w:pPr>
      <w:r w:rsidRPr="00D179AD">
        <w:rPr>
          <w:rFonts w:ascii="Calibri" w:hAnsi="Calibri"/>
          <w:b/>
          <w:bCs/>
          <w:rtl/>
          <w:lang w:bidi="ar-EG"/>
        </w:rPr>
        <w:t xml:space="preserve"> التنوع</w:t>
      </w:r>
    </w:p>
    <w:p w14:paraId="47879C99" w14:textId="06F48CC8" w:rsidR="00D179AD" w:rsidRPr="00D179AD" w:rsidRDefault="00D179AD" w:rsidP="003C5227">
      <w:pPr>
        <w:spacing w:after="120"/>
        <w:ind w:left="357"/>
        <w:jc w:val="both"/>
        <w:rPr>
          <w:rFonts w:ascii="Calibri" w:hAnsi="Calibri"/>
          <w:b/>
          <w:rtl/>
          <w:lang w:bidi="ar-EG"/>
        </w:rPr>
      </w:pPr>
      <w:r w:rsidRPr="00D179AD">
        <w:rPr>
          <w:rFonts w:ascii="Calibri" w:hAnsi="Calibri"/>
          <w:rtl/>
          <w:lang w:bidi="ar-EG"/>
        </w:rPr>
        <w:t>لقد أثبت اعتماد التنوع في مكان العمل أنّه محفّز قوي للتغيير الإيجابي، ويعزّز بيئة من الابتكار والإبداع تحفّز حل المشاكل واتخاذ القرارات بشكل أكثر فعالية</w:t>
      </w:r>
      <w:r>
        <w:rPr>
          <w:rFonts w:ascii="Calibri" w:hAnsi="Calibri"/>
          <w:rtl/>
          <w:lang w:bidi="ar-EG"/>
        </w:rPr>
        <w:t xml:space="preserve">. </w:t>
      </w:r>
      <w:r w:rsidRPr="00D179AD">
        <w:rPr>
          <w:rFonts w:ascii="Calibri" w:hAnsi="Calibri"/>
          <w:rtl/>
          <w:lang w:bidi="ar-EG"/>
        </w:rPr>
        <w:t>وقد نجح المكتب في تحقيق أهداف التنوع التي حددتها الحكومة الإسرائيلية، إذ تشكل الفاحصات والأفراد ينتمون إلى خلفيات ثقافية وعرقية واجتماعية-اقتصادية متنوعة (أشخاص من ذوي الاحتياجات الخاصة والأقليات) نسبة تزيد عن 60% من موظفيه</w:t>
      </w:r>
      <w:r>
        <w:rPr>
          <w:rFonts w:ascii="Calibri" w:hAnsi="Calibri"/>
          <w:rtl/>
          <w:lang w:bidi="ar-EG"/>
        </w:rPr>
        <w:t xml:space="preserve">. </w:t>
      </w:r>
      <w:r w:rsidRPr="00D179AD">
        <w:rPr>
          <w:rFonts w:ascii="Calibri" w:hAnsi="Calibri"/>
          <w:rtl/>
          <w:lang w:bidi="ar-EG"/>
        </w:rPr>
        <w:t>وهذا الالتزام بالشمول لا يعزّز ديناميكية مكان العمل فحسب، بل يساهم أيضاً في تحقيق نجاح تنظيمي أوسع نطاقاً</w:t>
      </w:r>
      <w:r>
        <w:rPr>
          <w:rFonts w:ascii="Calibri" w:hAnsi="Calibri"/>
          <w:rtl/>
          <w:lang w:bidi="ar-EG"/>
        </w:rPr>
        <w:t xml:space="preserve">. </w:t>
      </w:r>
      <w:r w:rsidRPr="00D179AD">
        <w:rPr>
          <w:rFonts w:ascii="Calibri" w:hAnsi="Calibri"/>
          <w:rtl/>
          <w:lang w:bidi="ar-EG"/>
        </w:rPr>
        <w:t>وعلاوة على ذلك، أطلق المكتب مبادرة جديدة تصبح بموجبها طلبات البراءات التي تتضمن 50% على الأقل من المخترعات مؤهلة للفحص المعجّل.</w:t>
      </w:r>
    </w:p>
    <w:p w14:paraId="70DBEF76" w14:textId="77777777" w:rsidR="00D179AD" w:rsidRPr="00D179AD" w:rsidRDefault="00D179AD" w:rsidP="00D179AD">
      <w:pPr>
        <w:keepNext/>
        <w:keepLines/>
        <w:pBdr>
          <w:top w:val="single" w:sz="4" w:space="1" w:color="auto"/>
        </w:pBdr>
        <w:spacing w:before="360" w:after="200" w:line="480" w:lineRule="auto"/>
        <w:outlineLvl w:val="2"/>
        <w:rPr>
          <w:rFonts w:ascii="Calibri" w:eastAsia="Times New Roman" w:hAnsi="Calibri"/>
          <w:b/>
          <w:bCs/>
          <w:caps/>
          <w:lang w:bidi="ar-EG"/>
        </w:rPr>
      </w:pPr>
    </w:p>
    <w:p w14:paraId="303278B9" w14:textId="7F0F680D" w:rsidR="00320C70" w:rsidRPr="003C5227" w:rsidRDefault="00D179AD" w:rsidP="003C5227">
      <w:pPr>
        <w:pStyle w:val="Endofdocument-Annex"/>
        <w:rPr>
          <w:b/>
          <w:bCs/>
          <w:iCs/>
          <w:caps/>
          <w:lang w:bidi="ar-EG"/>
        </w:rPr>
      </w:pPr>
      <w:r w:rsidRPr="00D179AD">
        <w:rPr>
          <w:rtl/>
          <w:lang w:bidi="ar-EG"/>
        </w:rPr>
        <w:t>[نهاية المرفق والوثيقة]</w:t>
      </w:r>
    </w:p>
    <w:sectPr w:rsidR="00320C70" w:rsidRPr="003C5227" w:rsidSect="00EC48BA">
      <w:headerReference w:type="first" r:id="rId23"/>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7FAA6" w14:textId="77777777" w:rsidR="002620EC" w:rsidRDefault="002620EC">
      <w:r>
        <w:separator/>
      </w:r>
    </w:p>
  </w:endnote>
  <w:endnote w:type="continuationSeparator" w:id="0">
    <w:p w14:paraId="22D3B272" w14:textId="77777777" w:rsidR="002620EC" w:rsidRDefault="002620EC" w:rsidP="003B38C1">
      <w:r>
        <w:separator/>
      </w:r>
    </w:p>
    <w:p w14:paraId="2E71943C" w14:textId="77777777" w:rsidR="002620EC" w:rsidRPr="003B38C1" w:rsidRDefault="002620EC" w:rsidP="003B38C1">
      <w:pPr>
        <w:spacing w:after="60"/>
        <w:rPr>
          <w:sz w:val="17"/>
        </w:rPr>
      </w:pPr>
      <w:r>
        <w:rPr>
          <w:sz w:val="17"/>
        </w:rPr>
        <w:t>[Endnote continued from previous page]</w:t>
      </w:r>
    </w:p>
  </w:endnote>
  <w:endnote w:type="continuationNotice" w:id="1">
    <w:p w14:paraId="6D640E67" w14:textId="77777777" w:rsidR="002620EC" w:rsidRPr="003B38C1" w:rsidRDefault="002620E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0A87" w14:textId="77777777" w:rsidR="00EA3245" w:rsidRDefault="00EA3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FA43" w14:textId="77777777" w:rsidR="00EA3245" w:rsidRDefault="00EA3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82AA" w14:textId="77777777" w:rsidR="00EA3245" w:rsidRDefault="00EA3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5143" w14:textId="77777777" w:rsidR="002620EC" w:rsidRDefault="002620EC">
      <w:r>
        <w:separator/>
      </w:r>
    </w:p>
  </w:footnote>
  <w:footnote w:type="continuationSeparator" w:id="0">
    <w:p w14:paraId="6BD5A2CE" w14:textId="77777777" w:rsidR="002620EC" w:rsidRDefault="002620EC" w:rsidP="008B60B2">
      <w:r>
        <w:separator/>
      </w:r>
    </w:p>
    <w:p w14:paraId="7DD3BC8E" w14:textId="77777777" w:rsidR="002620EC" w:rsidRPr="00ED77FB" w:rsidRDefault="002620EC" w:rsidP="008B60B2">
      <w:pPr>
        <w:spacing w:after="60"/>
        <w:rPr>
          <w:sz w:val="17"/>
          <w:szCs w:val="17"/>
        </w:rPr>
      </w:pPr>
      <w:r w:rsidRPr="00ED77FB">
        <w:rPr>
          <w:sz w:val="17"/>
          <w:szCs w:val="17"/>
        </w:rPr>
        <w:t>[Footnote continued from previous page]</w:t>
      </w:r>
    </w:p>
  </w:footnote>
  <w:footnote w:type="continuationNotice" w:id="1">
    <w:p w14:paraId="70166866" w14:textId="77777777" w:rsidR="002620EC" w:rsidRPr="00ED77FB" w:rsidRDefault="002620E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693E" w14:textId="77777777" w:rsidR="00EA3245" w:rsidRDefault="00EA3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40CC" w14:textId="77777777" w:rsidR="00EC48BA" w:rsidRDefault="00EC48BA" w:rsidP="00EC48BA">
    <w:pPr>
      <w:bidi w:val="0"/>
      <w:rPr>
        <w:caps/>
        <w:rtl/>
      </w:rPr>
    </w:pPr>
    <w:r>
      <w:rPr>
        <w:caps/>
      </w:rPr>
      <w:t>PCT/CTC/33/</w:t>
    </w:r>
    <w:r>
      <w:rPr>
        <w:rFonts w:hint="cs"/>
        <w:caps/>
        <w:rtl/>
      </w:rPr>
      <w:t>13</w:t>
    </w:r>
  </w:p>
  <w:p w14:paraId="4CBEBBA5" w14:textId="6D53DCFD" w:rsidR="00EC48BA" w:rsidRDefault="00EC48BA" w:rsidP="00EC48BA">
    <w:pPr>
      <w:bidi w:val="0"/>
      <w:rPr>
        <w:caps/>
        <w:lang w:val="fr-CH"/>
      </w:rPr>
    </w:pPr>
    <w:r>
      <w:rPr>
        <w:lang w:val="fr-CH"/>
      </w:rPr>
      <w:t>Annex</w:t>
    </w:r>
  </w:p>
  <w:p w14:paraId="246A0DB3" w14:textId="77777777" w:rsidR="00EC48BA" w:rsidRDefault="00EC48BA" w:rsidP="00EC48BA">
    <w:pPr>
      <w:bidi w:val="0"/>
      <w:rPr>
        <w:rtl/>
      </w:rPr>
    </w:pPr>
    <w:r>
      <w:fldChar w:fldCharType="begin"/>
    </w:r>
    <w:r>
      <w:instrText xml:space="preserve"> PAGE  \* MERGEFORMAT </w:instrText>
    </w:r>
    <w:r>
      <w:fldChar w:fldCharType="separate"/>
    </w:r>
    <w:r>
      <w:t>2</w:t>
    </w:r>
    <w:r>
      <w:fldChar w:fldCharType="end"/>
    </w:r>
  </w:p>
  <w:p w14:paraId="47B86B4B" w14:textId="77777777" w:rsidR="00EC48BA" w:rsidRDefault="00EC48BA" w:rsidP="00EC48BA">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31CA" w14:textId="0DE65671" w:rsidR="00EC48BA" w:rsidRPr="00C1107E" w:rsidRDefault="00EC48BA" w:rsidP="00C110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4F81" w14:textId="77777777" w:rsidR="00EC48BA" w:rsidRDefault="00EC48BA" w:rsidP="00EC48BA">
    <w:pPr>
      <w:bidi w:val="0"/>
      <w:rPr>
        <w:caps/>
        <w:rtl/>
      </w:rPr>
    </w:pPr>
    <w:r>
      <w:rPr>
        <w:caps/>
      </w:rPr>
      <w:t>PCT/CTC/33/</w:t>
    </w:r>
    <w:r>
      <w:rPr>
        <w:rFonts w:hint="cs"/>
        <w:caps/>
        <w:rtl/>
      </w:rPr>
      <w:t>13</w:t>
    </w:r>
  </w:p>
  <w:p w14:paraId="41DAC8D4" w14:textId="77777777" w:rsidR="00EC48BA" w:rsidRDefault="00EC48BA" w:rsidP="00EC48BA">
    <w:pPr>
      <w:bidi w:val="0"/>
      <w:rPr>
        <w:caps/>
        <w:lang w:val="fr-CH"/>
      </w:rPr>
    </w:pPr>
    <w:r>
      <w:rPr>
        <w:caps/>
        <w:lang w:val="fr-CH"/>
      </w:rPr>
      <w:t>ANNEX</w:t>
    </w:r>
  </w:p>
  <w:p w14:paraId="01573301" w14:textId="77777777" w:rsidR="00EC48BA" w:rsidRDefault="00EC48BA" w:rsidP="00EC48BA">
    <w:pPr>
      <w:bidi w:val="0"/>
      <w:rPr>
        <w:caps/>
        <w:rtl/>
      </w:rPr>
    </w:pPr>
    <w:r>
      <w:rPr>
        <w:rFonts w:hint="cs"/>
        <w:caps/>
        <w:rtl/>
      </w:rPr>
      <w:t>المرفق</w:t>
    </w:r>
  </w:p>
  <w:p w14:paraId="76F30911" w14:textId="77777777" w:rsidR="00EC48BA" w:rsidRPr="00EC48BA" w:rsidRDefault="00EC48BA" w:rsidP="00EC48BA">
    <w:pPr>
      <w:bidi w:val="0"/>
      <w:rPr>
        <w:cap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1C86B0E0"/>
    <w:lvl w:ilvl="0">
      <w:start w:val="1"/>
      <w:numFmt w:val="arabicAbjad"/>
      <w:suff w:val="space"/>
      <w:lvlText w:val="(%1)"/>
      <w:lvlJc w:val="left"/>
      <w:pPr>
        <w:ind w:left="0" w:firstLine="0"/>
      </w:pPr>
      <w:rPr>
        <w:rFonts w:hint="default"/>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6626A7"/>
    <w:multiLevelType w:val="hybridMultilevel"/>
    <w:tmpl w:val="3836C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9F5D6E"/>
    <w:multiLevelType w:val="hybridMultilevel"/>
    <w:tmpl w:val="B0F66EA4"/>
    <w:lvl w:ilvl="0" w:tplc="257A0BBE">
      <w:start w:val="1"/>
      <w:numFmt w:val="arabicAbjad"/>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603C398F"/>
    <w:multiLevelType w:val="hybridMultilevel"/>
    <w:tmpl w:val="EF8C5D1A"/>
    <w:lvl w:ilvl="0" w:tplc="36889000">
      <w:start w:val="1"/>
      <w:numFmt w:val="arabicAlpha"/>
      <w:lvlText w:val="%1."/>
      <w:lvlJc w:val="left"/>
      <w:pPr>
        <w:ind w:left="717" w:hanging="360"/>
      </w:pPr>
      <w:rPr>
        <w:rFonts w:eastAsia="SimSun"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12" w15:restartNumberingAfterBreak="0">
    <w:nsid w:val="63836E4B"/>
    <w:multiLevelType w:val="hybridMultilevel"/>
    <w:tmpl w:val="E4868F64"/>
    <w:lvl w:ilvl="0" w:tplc="63D688B2">
      <w:start w:val="1"/>
      <w:numFmt w:val="decimal"/>
      <w:lvlText w:val="&quot;%1&quot;"/>
      <w:lvlJc w:val="left"/>
      <w:pPr>
        <w:ind w:left="720" w:hanging="360"/>
      </w:pPr>
      <w:rPr>
        <w:rFonts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FAC387A"/>
    <w:multiLevelType w:val="hybridMultilevel"/>
    <w:tmpl w:val="E3943940"/>
    <w:lvl w:ilvl="0" w:tplc="7F4CF508">
      <w:start w:val="1"/>
      <w:numFmt w:val="arabicAbjad"/>
      <w:lvlText w:val="%1."/>
      <w:lvlJc w:val="left"/>
      <w:pPr>
        <w:ind w:left="1077" w:hanging="360"/>
      </w:pPr>
      <w:rPr>
        <w:rFonts w:hint="default"/>
      </w:rPr>
    </w:lvl>
    <w:lvl w:ilvl="1" w:tplc="20000019" w:tentative="1">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num w:numId="1" w16cid:durableId="36318921">
    <w:abstractNumId w:val="3"/>
  </w:num>
  <w:num w:numId="2" w16cid:durableId="1449659008">
    <w:abstractNumId w:val="7"/>
  </w:num>
  <w:num w:numId="3" w16cid:durableId="1554928416">
    <w:abstractNumId w:val="1"/>
  </w:num>
  <w:num w:numId="4" w16cid:durableId="1250307828">
    <w:abstractNumId w:val="9"/>
  </w:num>
  <w:num w:numId="5" w16cid:durableId="310136077">
    <w:abstractNumId w:val="2"/>
  </w:num>
  <w:num w:numId="6" w16cid:durableId="550701">
    <w:abstractNumId w:val="4"/>
  </w:num>
  <w:num w:numId="7" w16cid:durableId="623774633">
    <w:abstractNumId w:val="10"/>
  </w:num>
  <w:num w:numId="8" w16cid:durableId="878468255">
    <w:abstractNumId w:val="6"/>
  </w:num>
  <w:num w:numId="9" w16cid:durableId="1042556044">
    <w:abstractNumId w:val="10"/>
  </w:num>
  <w:num w:numId="10" w16cid:durableId="73743099">
    <w:abstractNumId w:val="10"/>
  </w:num>
  <w:num w:numId="11" w16cid:durableId="1413041658">
    <w:abstractNumId w:val="10"/>
  </w:num>
  <w:num w:numId="12" w16cid:durableId="522745865">
    <w:abstractNumId w:val="10"/>
  </w:num>
  <w:num w:numId="13" w16cid:durableId="594633449">
    <w:abstractNumId w:val="10"/>
  </w:num>
  <w:num w:numId="14" w16cid:durableId="157698280">
    <w:abstractNumId w:val="10"/>
  </w:num>
  <w:num w:numId="15" w16cid:durableId="669791953">
    <w:abstractNumId w:val="10"/>
  </w:num>
  <w:num w:numId="16" w16cid:durableId="2112704310">
    <w:abstractNumId w:val="10"/>
  </w:num>
  <w:num w:numId="17" w16cid:durableId="1065496818">
    <w:abstractNumId w:val="10"/>
  </w:num>
  <w:num w:numId="18" w16cid:durableId="756173138">
    <w:abstractNumId w:val="10"/>
  </w:num>
  <w:num w:numId="19" w16cid:durableId="1796094349">
    <w:abstractNumId w:val="10"/>
  </w:num>
  <w:num w:numId="20" w16cid:durableId="794909897">
    <w:abstractNumId w:val="10"/>
  </w:num>
  <w:num w:numId="21" w16cid:durableId="1481849727">
    <w:abstractNumId w:val="10"/>
  </w:num>
  <w:num w:numId="22" w16cid:durableId="2076009542">
    <w:abstractNumId w:val="10"/>
  </w:num>
  <w:num w:numId="23" w16cid:durableId="1753697539">
    <w:abstractNumId w:val="10"/>
  </w:num>
  <w:num w:numId="24" w16cid:durableId="1599633186">
    <w:abstractNumId w:val="10"/>
  </w:num>
  <w:num w:numId="25" w16cid:durableId="930940975">
    <w:abstractNumId w:val="10"/>
  </w:num>
  <w:num w:numId="26" w16cid:durableId="363141769">
    <w:abstractNumId w:val="10"/>
  </w:num>
  <w:num w:numId="27" w16cid:durableId="1096705814">
    <w:abstractNumId w:val="10"/>
  </w:num>
  <w:num w:numId="28" w16cid:durableId="1963414395">
    <w:abstractNumId w:val="10"/>
  </w:num>
  <w:num w:numId="29" w16cid:durableId="380598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84313">
    <w:abstractNumId w:val="10"/>
  </w:num>
  <w:num w:numId="31" w16cid:durableId="2060474622">
    <w:abstractNumId w:val="10"/>
  </w:num>
  <w:num w:numId="32" w16cid:durableId="1835752940">
    <w:abstractNumId w:val="13"/>
  </w:num>
  <w:num w:numId="33" w16cid:durableId="1686783144">
    <w:abstractNumId w:val="0"/>
  </w:num>
  <w:num w:numId="34" w16cid:durableId="913440804">
    <w:abstractNumId w:val="12"/>
  </w:num>
  <w:num w:numId="35" w16cid:durableId="549726978">
    <w:abstractNumId w:val="8"/>
  </w:num>
  <w:num w:numId="36" w16cid:durableId="1657224996">
    <w:abstractNumId w:val="5"/>
  </w:num>
  <w:num w:numId="37" w16cid:durableId="2088722294">
    <w:abstractNumId w:val="14"/>
  </w:num>
  <w:num w:numId="38" w16cid:durableId="6479746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86"/>
    <w:rsid w:val="0000073A"/>
    <w:rsid w:val="0000093F"/>
    <w:rsid w:val="00043CAA"/>
    <w:rsid w:val="00056816"/>
    <w:rsid w:val="00075432"/>
    <w:rsid w:val="00093892"/>
    <w:rsid w:val="000968ED"/>
    <w:rsid w:val="000A1D9D"/>
    <w:rsid w:val="000A3D97"/>
    <w:rsid w:val="000F5E56"/>
    <w:rsid w:val="001362EE"/>
    <w:rsid w:val="001406E1"/>
    <w:rsid w:val="00155D8A"/>
    <w:rsid w:val="001647D5"/>
    <w:rsid w:val="00167832"/>
    <w:rsid w:val="001832A6"/>
    <w:rsid w:val="00186746"/>
    <w:rsid w:val="0019592A"/>
    <w:rsid w:val="001B6737"/>
    <w:rsid w:val="001D4107"/>
    <w:rsid w:val="001E41FD"/>
    <w:rsid w:val="001F4309"/>
    <w:rsid w:val="00200035"/>
    <w:rsid w:val="00203D24"/>
    <w:rsid w:val="00210D5F"/>
    <w:rsid w:val="0021217E"/>
    <w:rsid w:val="00223830"/>
    <w:rsid w:val="002326AB"/>
    <w:rsid w:val="00241FCD"/>
    <w:rsid w:val="00243430"/>
    <w:rsid w:val="00250149"/>
    <w:rsid w:val="0025129C"/>
    <w:rsid w:val="002620EC"/>
    <w:rsid w:val="002634C4"/>
    <w:rsid w:val="002906BF"/>
    <w:rsid w:val="002928D3"/>
    <w:rsid w:val="00293886"/>
    <w:rsid w:val="002B3975"/>
    <w:rsid w:val="002C516E"/>
    <w:rsid w:val="002F1FE6"/>
    <w:rsid w:val="002F4E68"/>
    <w:rsid w:val="00312555"/>
    <w:rsid w:val="00312F7F"/>
    <w:rsid w:val="00320C70"/>
    <w:rsid w:val="00361450"/>
    <w:rsid w:val="003673CF"/>
    <w:rsid w:val="003845C1"/>
    <w:rsid w:val="003A6F89"/>
    <w:rsid w:val="003B243D"/>
    <w:rsid w:val="003B355C"/>
    <w:rsid w:val="003B38C1"/>
    <w:rsid w:val="003C2A9F"/>
    <w:rsid w:val="003C34E9"/>
    <w:rsid w:val="003C48E9"/>
    <w:rsid w:val="003C5227"/>
    <w:rsid w:val="003E01BA"/>
    <w:rsid w:val="003E04E5"/>
    <w:rsid w:val="00423E3E"/>
    <w:rsid w:val="00427AF4"/>
    <w:rsid w:val="0045246E"/>
    <w:rsid w:val="004647DA"/>
    <w:rsid w:val="00474062"/>
    <w:rsid w:val="00477D6B"/>
    <w:rsid w:val="004974A0"/>
    <w:rsid w:val="004C500F"/>
    <w:rsid w:val="004E0043"/>
    <w:rsid w:val="005019FF"/>
    <w:rsid w:val="00512FB0"/>
    <w:rsid w:val="0053057A"/>
    <w:rsid w:val="00556076"/>
    <w:rsid w:val="00560A29"/>
    <w:rsid w:val="005C6649"/>
    <w:rsid w:val="005E7B89"/>
    <w:rsid w:val="00605827"/>
    <w:rsid w:val="00646050"/>
    <w:rsid w:val="00650F5B"/>
    <w:rsid w:val="006713CA"/>
    <w:rsid w:val="00676C5C"/>
    <w:rsid w:val="006840CE"/>
    <w:rsid w:val="006938E1"/>
    <w:rsid w:val="006A74D7"/>
    <w:rsid w:val="006B5C12"/>
    <w:rsid w:val="00720EFD"/>
    <w:rsid w:val="007236A1"/>
    <w:rsid w:val="0074738A"/>
    <w:rsid w:val="00762189"/>
    <w:rsid w:val="00781037"/>
    <w:rsid w:val="007854AF"/>
    <w:rsid w:val="00793A7C"/>
    <w:rsid w:val="007A398A"/>
    <w:rsid w:val="007C4902"/>
    <w:rsid w:val="007D1613"/>
    <w:rsid w:val="007E4C0E"/>
    <w:rsid w:val="007E7D5E"/>
    <w:rsid w:val="007F061E"/>
    <w:rsid w:val="008A134B"/>
    <w:rsid w:val="008B2CC1"/>
    <w:rsid w:val="008B60B2"/>
    <w:rsid w:val="008D4A04"/>
    <w:rsid w:val="0090731E"/>
    <w:rsid w:val="00916EE2"/>
    <w:rsid w:val="00966A22"/>
    <w:rsid w:val="0096722F"/>
    <w:rsid w:val="009804C1"/>
    <w:rsid w:val="00980843"/>
    <w:rsid w:val="009B0855"/>
    <w:rsid w:val="009D161D"/>
    <w:rsid w:val="009E1721"/>
    <w:rsid w:val="009E2791"/>
    <w:rsid w:val="009E3F6F"/>
    <w:rsid w:val="009F499F"/>
    <w:rsid w:val="00A37342"/>
    <w:rsid w:val="00A40C85"/>
    <w:rsid w:val="00A42DAF"/>
    <w:rsid w:val="00A45BD8"/>
    <w:rsid w:val="00A869B7"/>
    <w:rsid w:val="00A90F0A"/>
    <w:rsid w:val="00AC205C"/>
    <w:rsid w:val="00AF0A6B"/>
    <w:rsid w:val="00AF3DCE"/>
    <w:rsid w:val="00AF6FC7"/>
    <w:rsid w:val="00B05A69"/>
    <w:rsid w:val="00B42CA9"/>
    <w:rsid w:val="00B51FF7"/>
    <w:rsid w:val="00B75281"/>
    <w:rsid w:val="00B92F1F"/>
    <w:rsid w:val="00B96EB2"/>
    <w:rsid w:val="00B9734B"/>
    <w:rsid w:val="00BA30E2"/>
    <w:rsid w:val="00BC76C1"/>
    <w:rsid w:val="00C04AE1"/>
    <w:rsid w:val="00C1107E"/>
    <w:rsid w:val="00C11BFE"/>
    <w:rsid w:val="00C5068F"/>
    <w:rsid w:val="00C658A3"/>
    <w:rsid w:val="00C86D74"/>
    <w:rsid w:val="00CB3DBA"/>
    <w:rsid w:val="00CC3E2D"/>
    <w:rsid w:val="00CD04F1"/>
    <w:rsid w:val="00CE19F8"/>
    <w:rsid w:val="00CF681A"/>
    <w:rsid w:val="00D07C78"/>
    <w:rsid w:val="00D116C4"/>
    <w:rsid w:val="00D179AD"/>
    <w:rsid w:val="00D45252"/>
    <w:rsid w:val="00D46AA3"/>
    <w:rsid w:val="00D60B2C"/>
    <w:rsid w:val="00D67EAE"/>
    <w:rsid w:val="00D71B4D"/>
    <w:rsid w:val="00D7745F"/>
    <w:rsid w:val="00D90B96"/>
    <w:rsid w:val="00D92FE6"/>
    <w:rsid w:val="00D93D55"/>
    <w:rsid w:val="00DB3828"/>
    <w:rsid w:val="00DD7B7F"/>
    <w:rsid w:val="00DE7836"/>
    <w:rsid w:val="00E15015"/>
    <w:rsid w:val="00E319DF"/>
    <w:rsid w:val="00E3350C"/>
    <w:rsid w:val="00E335FE"/>
    <w:rsid w:val="00E66CC5"/>
    <w:rsid w:val="00EA3245"/>
    <w:rsid w:val="00EA7D6E"/>
    <w:rsid w:val="00EB2F76"/>
    <w:rsid w:val="00EC48BA"/>
    <w:rsid w:val="00EC4E49"/>
    <w:rsid w:val="00ED77FB"/>
    <w:rsid w:val="00EE45FA"/>
    <w:rsid w:val="00F043DE"/>
    <w:rsid w:val="00F601AC"/>
    <w:rsid w:val="00F66152"/>
    <w:rsid w:val="00F729F1"/>
    <w:rsid w:val="00F76CB4"/>
    <w:rsid w:val="00F9165B"/>
    <w:rsid w:val="00F91DEF"/>
    <w:rsid w:val="00FB3FDF"/>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EE54E"/>
  <w15:docId w15:val="{D93AB70B-A8A5-4CFE-BD6F-0B1497C0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650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9443">
      <w:bodyDiv w:val="1"/>
      <w:marLeft w:val="0"/>
      <w:marRight w:val="0"/>
      <w:marTop w:val="0"/>
      <w:marBottom w:val="0"/>
      <w:divBdr>
        <w:top w:val="none" w:sz="0" w:space="0" w:color="auto"/>
        <w:left w:val="none" w:sz="0" w:space="0" w:color="auto"/>
        <w:bottom w:val="none" w:sz="0" w:space="0" w:color="auto"/>
        <w:right w:val="none" w:sz="0" w:space="0" w:color="auto"/>
      </w:divBdr>
    </w:div>
    <w:div w:id="17479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wipo.int/en/web/pct-system/quality/authorities" TargetMode="External"/><Relationship Id="rId3" Type="http://schemas.openxmlformats.org/officeDocument/2006/relationships/styles" Target="styles.xml"/><Relationship Id="rId21" Type="http://schemas.openxmlformats.org/officeDocument/2006/relationships/hyperlink" Target="file:///C:\Users\shousha\Downloads\pct_ctc_33_12.new%20draft%20IL.docx"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ipo.int/documents/d/pct-system/docs-en-official-notices-officialnotic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hyperlink" Target="https://www.wipo.int/export/sites/www/pct/en/docs/circulars/2024/167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file:///C:\Users\shousha\Downloads\pct_ctc_33_12.new%20draft%20I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PCT/CTC/33/Cover Template. (Arabic)</vt:lpstr>
    </vt:vector>
  </TitlesOfParts>
  <Company>WIPO</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PCT/CTC/33/13 (Arabic)</dc:title>
  <dc:creator>FM</dc:creator>
  <cp:keywords>PUBLIC</cp:keywords>
  <cp:lastModifiedBy>SAKR Sally</cp:lastModifiedBy>
  <cp:revision>2</cp:revision>
  <cp:lastPrinted>2025-12-05T14:09:00Z</cp:lastPrinted>
  <dcterms:created xsi:type="dcterms:W3CDTF">2026-01-09T14:01:00Z</dcterms:created>
  <dcterms:modified xsi:type="dcterms:W3CDTF">2026-01-09T14:01:00Z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2024-12-05T18:00:49Z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4c4396f8-a116-4310-b65a-3ae24077e4a8</vt:lpwstr>
  </property>
  <property fmtid="{D5CDD505-2E9C-101B-9397-08002B2CF9AE}" pid="13" name="MSIP_Label_20773ee6-353b-4fb9-a59d-0b94c8c67bea_ContentBits">
    <vt:lpwstr>0</vt:lpwstr>
  </property>
</Properties>
</file>