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3BF04650"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sidR="007E7D5E">
        <w:rPr>
          <w:rFonts w:ascii="Arial Black" w:hAnsi="Arial Black"/>
          <w:caps/>
          <w:sz w:val="15"/>
          <w:szCs w:val="15"/>
        </w:rPr>
        <w:t>CTC</w:t>
      </w:r>
      <w:r w:rsidR="00D90B96">
        <w:rPr>
          <w:rFonts w:ascii="Arial Black" w:hAnsi="Arial Black"/>
          <w:caps/>
          <w:sz w:val="15"/>
          <w:szCs w:val="15"/>
        </w:rPr>
        <w:t>/</w:t>
      </w:r>
      <w:bookmarkStart w:id="0" w:name="Code"/>
      <w:bookmarkEnd w:id="0"/>
      <w:r w:rsidR="007E7D5E">
        <w:rPr>
          <w:rFonts w:ascii="Arial Black" w:hAnsi="Arial Black"/>
          <w:caps/>
          <w:sz w:val="15"/>
          <w:szCs w:val="15"/>
        </w:rPr>
        <w:t>33</w:t>
      </w:r>
      <w:r>
        <w:rPr>
          <w:rFonts w:ascii="Arial Black" w:hAnsi="Arial Black"/>
          <w:caps/>
          <w:sz w:val="15"/>
          <w:szCs w:val="15"/>
        </w:rPr>
        <w:t>/</w:t>
      </w:r>
      <w:r w:rsidR="00F11F2B" w:rsidRPr="00F11F2B">
        <w:rPr>
          <w:rFonts w:ascii="Arial Black" w:hAnsi="Arial Black"/>
          <w:caps/>
          <w:sz w:val="15"/>
          <w:szCs w:val="15"/>
        </w:rPr>
        <w:t>11</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240EFBC5"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F11F2B">
        <w:rPr>
          <w:rFonts w:asciiTheme="minorHAnsi" w:hAnsiTheme="minorHAnsi" w:cstheme="minorHAnsi"/>
          <w:b/>
          <w:bCs/>
          <w:caps/>
          <w:sz w:val="15"/>
          <w:szCs w:val="15"/>
        </w:rPr>
        <w:t>19</w:t>
      </w:r>
      <w:r w:rsidR="009D161D">
        <w:rPr>
          <w:rFonts w:asciiTheme="minorHAnsi" w:hAnsiTheme="minorHAnsi" w:cstheme="minorHAnsi" w:hint="cs"/>
          <w:b/>
          <w:bCs/>
          <w:caps/>
          <w:sz w:val="15"/>
          <w:szCs w:val="15"/>
          <w:rtl/>
        </w:rPr>
        <w:t xml:space="preserve"> </w:t>
      </w:r>
      <w:r w:rsidR="007F061E">
        <w:rPr>
          <w:rFonts w:asciiTheme="minorHAnsi" w:hAnsiTheme="minorHAnsi" w:cstheme="minorHAnsi" w:hint="cs"/>
          <w:b/>
          <w:bCs/>
          <w:caps/>
          <w:sz w:val="15"/>
          <w:szCs w:val="15"/>
          <w:rtl/>
        </w:rPr>
        <w:t>ديسمبر</w:t>
      </w:r>
      <w:r w:rsidR="009D161D">
        <w:rPr>
          <w:rFonts w:asciiTheme="minorHAnsi" w:hAnsiTheme="minorHAnsi" w:cstheme="minorHAnsi" w:hint="cs"/>
          <w:b/>
          <w:bCs/>
          <w:caps/>
          <w:sz w:val="15"/>
          <w:szCs w:val="15"/>
          <w:rtl/>
        </w:rPr>
        <w:t xml:space="preserve"> </w:t>
      </w:r>
      <w:r w:rsidR="00093892">
        <w:rPr>
          <w:rFonts w:asciiTheme="minorHAnsi" w:hAnsiTheme="minorHAnsi" w:cstheme="minorHAnsi" w:hint="cs"/>
          <w:b/>
          <w:bCs/>
          <w:caps/>
          <w:sz w:val="15"/>
          <w:szCs w:val="15"/>
          <w:rtl/>
        </w:rPr>
        <w:t>2025</w:t>
      </w:r>
    </w:p>
    <w:bookmarkEnd w:id="2"/>
    <w:p w14:paraId="3878C95F" w14:textId="5FD7906D" w:rsidR="008B2CC1" w:rsidRPr="00D67EAE" w:rsidRDefault="007E7D5E" w:rsidP="007E7D5E">
      <w:pPr>
        <w:pStyle w:val="Heading1"/>
        <w:rPr>
          <w:rtl/>
        </w:rPr>
      </w:pPr>
      <w:r>
        <w:rPr>
          <w:rtl/>
        </w:rPr>
        <w:t>معاهدة التعاون بشأن البراءات</w:t>
      </w:r>
      <w:r>
        <w:br/>
      </w:r>
      <w:r>
        <w:rPr>
          <w:rtl/>
        </w:rPr>
        <w:t>اللجنة المعنية بالتعاون التقني</w:t>
      </w:r>
    </w:p>
    <w:p w14:paraId="0CD20626" w14:textId="06F20DFC" w:rsidR="00A90F0A" w:rsidRPr="00D67EAE" w:rsidRDefault="007E7D5E" w:rsidP="00200035">
      <w:pPr>
        <w:outlineLvl w:val="1"/>
        <w:rPr>
          <w:rFonts w:asciiTheme="minorHAnsi" w:hAnsiTheme="minorHAnsi" w:cstheme="minorHAnsi"/>
          <w:bCs/>
          <w:sz w:val="24"/>
          <w:szCs w:val="24"/>
        </w:rPr>
      </w:pPr>
      <w:r w:rsidRPr="007E7D5E">
        <w:rPr>
          <w:rFonts w:asciiTheme="minorHAnsi" w:hAnsiTheme="minorHAnsi"/>
          <w:bCs/>
          <w:sz w:val="24"/>
          <w:szCs w:val="24"/>
          <w:rtl/>
        </w:rPr>
        <w:t>الدورة الثالثة والثلاثون</w:t>
      </w:r>
    </w:p>
    <w:p w14:paraId="7042A1F7" w14:textId="24517F35"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3892">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09389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093892">
        <w:rPr>
          <w:rFonts w:asciiTheme="minorHAnsi" w:hAnsiTheme="minorHAnsi" w:cstheme="minorHAnsi" w:hint="cs"/>
          <w:bCs/>
          <w:sz w:val="24"/>
          <w:szCs w:val="24"/>
          <w:rtl/>
        </w:rPr>
        <w:t>6</w:t>
      </w:r>
    </w:p>
    <w:p w14:paraId="474C697B" w14:textId="62567911" w:rsidR="008B2CC1" w:rsidRPr="00D67EAE" w:rsidRDefault="008F19FD" w:rsidP="008F19FD">
      <w:pPr>
        <w:spacing w:after="360"/>
        <w:outlineLvl w:val="0"/>
        <w:rPr>
          <w:rFonts w:asciiTheme="minorHAnsi" w:hAnsiTheme="minorHAnsi" w:cstheme="minorHAnsi"/>
          <w:caps/>
          <w:sz w:val="24"/>
        </w:rPr>
      </w:pPr>
      <w:bookmarkStart w:id="3" w:name="TitleOfDoc"/>
      <w:r w:rsidRPr="008F19FD">
        <w:rPr>
          <w:rFonts w:asciiTheme="minorHAnsi" w:hAnsiTheme="minorHAnsi"/>
          <w:caps/>
          <w:sz w:val="28"/>
          <w:szCs w:val="24"/>
          <w:rtl/>
        </w:rPr>
        <w:t>تمديد تعيين المكتب الإسباني للبراءات والعلامات التجارية كإدارة للبحث الدولي والفحص التمهيدي الدولي بناءً على معاهدة التعاون بشأن البراءات</w:t>
      </w:r>
    </w:p>
    <w:p w14:paraId="59776B20" w14:textId="3133E461" w:rsidR="002928D3" w:rsidRDefault="007236A1" w:rsidP="001D4107">
      <w:pPr>
        <w:spacing w:after="1040"/>
        <w:rPr>
          <w:rFonts w:asciiTheme="minorHAnsi" w:hAnsiTheme="minorHAnsi" w:cstheme="minorHAnsi"/>
          <w:iCs/>
          <w:rtl/>
        </w:rPr>
      </w:pPr>
      <w:bookmarkStart w:id="4" w:name="Prepared"/>
      <w:bookmarkEnd w:id="3"/>
      <w:bookmarkEnd w:id="4"/>
      <w:r w:rsidRPr="007236A1">
        <w:rPr>
          <w:rFonts w:asciiTheme="minorHAnsi" w:hAnsiTheme="minorHAnsi"/>
          <w:iCs/>
          <w:rtl/>
        </w:rPr>
        <w:t>‏وثيقة من إعداد المكتب الدولي</w:t>
      </w:r>
    </w:p>
    <w:p w14:paraId="0BB261CA" w14:textId="77777777" w:rsidR="008F19FD" w:rsidRPr="008F19FD" w:rsidRDefault="008F19FD" w:rsidP="008F19FD">
      <w:pPr>
        <w:pStyle w:val="ONUMA"/>
        <w:rPr>
          <w:rtl/>
          <w:lang w:bidi="ar-EG"/>
        </w:rPr>
      </w:pPr>
      <w:r w:rsidRPr="008F19FD">
        <w:rPr>
          <w:rFonts w:hint="cs"/>
          <w:rtl/>
          <w:lang w:bidi="ar-EG"/>
        </w:rPr>
        <w:t xml:space="preserve">عينت جمعية معاهدة التعاون بشأن البراءات (جمعية البراءات) كل الإدارات الدولية الحالية لمدة تنتهي في 31 ديسمبر 2027. وقبل انقضاء هذه المدة، سيتعيّن على جمعية البراءات أن تبت في تمديد التعيين لكل إدارة من الإدارات الدولية الحالية التي تلتمس تمديد تعيينها، بعد استشارة هذه اللجنة (انظر المادتين 16(3)(هـ) و32(3) من معاهدة البراءات). وترد في الوثيقة </w:t>
      </w:r>
      <w:r w:rsidRPr="008F19FD">
        <w:rPr>
          <w:lang w:bidi="ar-EG"/>
        </w:rPr>
        <w:t>PCT/CTC/33/INF/1</w:t>
      </w:r>
      <w:r w:rsidRPr="008F19FD">
        <w:rPr>
          <w:rFonts w:hint="cs"/>
          <w:rtl/>
          <w:lang w:bidi="ar-EG"/>
        </w:rPr>
        <w:t xml:space="preserve"> معلومات عن هذه العملية ودور اللجنة فيها.</w:t>
      </w:r>
    </w:p>
    <w:p w14:paraId="555E3F60" w14:textId="77777777" w:rsidR="008F19FD" w:rsidRPr="008F19FD" w:rsidRDefault="008F19FD" w:rsidP="008F19FD">
      <w:pPr>
        <w:pStyle w:val="ONUMA"/>
        <w:rPr>
          <w:color w:val="000000" w:themeColor="text1"/>
          <w:rtl/>
          <w:lang w:bidi="ar-EG"/>
        </w:rPr>
      </w:pPr>
      <w:r w:rsidRPr="008F19FD">
        <w:rPr>
          <w:rFonts w:hint="cs"/>
          <w:rtl/>
          <w:lang w:bidi="ar-EG"/>
        </w:rPr>
        <w:t>وفي 18 نوفمبر 2025، تقدّم المكتب الإسباني للبراءات والعلامات التجارية بطلبه لتمديد تعيينه، ويرد طلبه في مرفق هذه الوثيقة.</w:t>
      </w:r>
    </w:p>
    <w:p w14:paraId="1BB21A2C" w14:textId="77777777" w:rsidR="008F19FD" w:rsidRPr="008F19FD" w:rsidRDefault="008F19FD" w:rsidP="008F19FD">
      <w:pPr>
        <w:pStyle w:val="ONUMA"/>
        <w:ind w:left="5527"/>
        <w:rPr>
          <w:i/>
          <w:iCs/>
          <w:color w:val="000000" w:themeColor="text1"/>
          <w:rtl/>
          <w:lang w:bidi="ar-EG"/>
        </w:rPr>
      </w:pPr>
      <w:r w:rsidRPr="008F19FD">
        <w:rPr>
          <w:rFonts w:hint="cs"/>
          <w:i/>
          <w:iCs/>
          <w:color w:val="000000" w:themeColor="text1"/>
          <w:rtl/>
          <w:lang w:bidi="ar-EG"/>
        </w:rPr>
        <w:t>إن اللجنة مدعوة إلى إسداء المشورة في هذا الأمر.</w:t>
      </w:r>
    </w:p>
    <w:p w14:paraId="0CBCD122" w14:textId="3AD8F273" w:rsidR="007F061E" w:rsidRDefault="007F061E" w:rsidP="00320C70">
      <w:pPr>
        <w:pStyle w:val="ONUMA"/>
        <w:numPr>
          <w:ilvl w:val="0"/>
          <w:numId w:val="0"/>
        </w:numPr>
        <w:rPr>
          <w:lang w:bidi="ar-EG"/>
        </w:rPr>
      </w:pPr>
    </w:p>
    <w:p w14:paraId="47C07450" w14:textId="77777777" w:rsidR="000A1D9D" w:rsidRDefault="00320C70" w:rsidP="000A1D9D">
      <w:pPr>
        <w:spacing w:before="480"/>
        <w:ind w:left="5534"/>
        <w:rPr>
          <w:lang w:bidi="ar-EG"/>
        </w:rPr>
      </w:pPr>
      <w:r>
        <w:rPr>
          <w:rtl/>
          <w:lang w:bidi="ar-EG"/>
        </w:rPr>
        <w:t>[يلي ذلك المرفق]</w:t>
      </w:r>
    </w:p>
    <w:p w14:paraId="14844909" w14:textId="77777777" w:rsidR="00331E76" w:rsidRDefault="00331E76" w:rsidP="00331E76">
      <w:pPr>
        <w:pStyle w:val="BodyText"/>
        <w:rPr>
          <w:rtl/>
          <w:lang w:bidi="ar-EG"/>
        </w:rPr>
        <w:sectPr w:rsidR="00331E76"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6D04A66C" w14:textId="77777777" w:rsidR="001E74B8" w:rsidRPr="001E74B8" w:rsidRDefault="001E74B8" w:rsidP="001E74B8">
      <w:pPr>
        <w:keepNext/>
        <w:spacing w:before="240" w:after="60"/>
        <w:jc w:val="center"/>
        <w:outlineLvl w:val="1"/>
        <w:rPr>
          <w:rFonts w:ascii="Calibri" w:hAnsi="Calibri"/>
          <w:bCs/>
          <w:i/>
          <w:caps/>
          <w:color w:val="000000" w:themeColor="text1"/>
          <w:rtl/>
          <w:lang w:bidi="ar-EG"/>
        </w:rPr>
      </w:pPr>
      <w:r w:rsidRPr="001E74B8">
        <w:rPr>
          <w:rFonts w:ascii="Calibri" w:hAnsi="Calibri" w:hint="cs"/>
          <w:bCs/>
          <w:i/>
          <w:caps/>
          <w:color w:val="000000" w:themeColor="text1"/>
          <w:rtl/>
          <w:lang w:bidi="ar-EG"/>
        </w:rPr>
        <w:lastRenderedPageBreak/>
        <w:t>طلب تمديد التعيين كإدارة للبحث الدولي والفحص التمهيدي الدولي بناءً على معاهدة التعاون بشأن البراءات</w:t>
      </w:r>
    </w:p>
    <w:p w14:paraId="66717DA9" w14:textId="5F9B92CF" w:rsidR="001E74B8" w:rsidRPr="001E74B8" w:rsidRDefault="001E74B8" w:rsidP="008B0506">
      <w:pPr>
        <w:keepNext/>
        <w:keepLines/>
        <w:pBdr>
          <w:top w:val="single" w:sz="4" w:space="1" w:color="auto"/>
        </w:pBdr>
        <w:spacing w:before="360" w:after="200"/>
        <w:outlineLvl w:val="2"/>
        <w:rPr>
          <w:rFonts w:ascii="Calibri" w:eastAsia="Times New Roman" w:hAnsi="Calibri"/>
          <w:b/>
          <w:bCs/>
          <w:caps/>
          <w:color w:val="000000" w:themeColor="text1"/>
          <w:rtl/>
          <w:lang w:bidi="ar-EG"/>
        </w:rPr>
      </w:pPr>
      <w:r w:rsidRPr="001E74B8">
        <w:rPr>
          <w:rFonts w:ascii="Calibri" w:eastAsia="Times New Roman" w:hAnsi="Calibri" w:hint="cs"/>
          <w:b/>
          <w:bCs/>
          <w:caps/>
          <w:color w:val="000000" w:themeColor="text1"/>
          <w:rtl/>
          <w:lang w:bidi="ar-EG"/>
        </w:rPr>
        <w:t>1</w:t>
      </w:r>
      <w:r>
        <w:rPr>
          <w:rFonts w:ascii="Calibri" w:eastAsia="Times New Roman" w:hAnsi="Calibri" w:hint="cs"/>
          <w:b/>
          <w:bCs/>
          <w:caps/>
          <w:color w:val="000000" w:themeColor="text1"/>
          <w:rtl/>
          <w:lang w:bidi="ar-EG"/>
        </w:rPr>
        <w:t xml:space="preserve">- </w:t>
      </w:r>
      <w:r w:rsidRPr="001E74B8">
        <w:rPr>
          <w:rFonts w:ascii="Calibri" w:eastAsia="Times New Roman" w:hAnsi="Calibri" w:hint="cs"/>
          <w:b/>
          <w:bCs/>
          <w:caps/>
          <w:color w:val="000000" w:themeColor="text1"/>
          <w:rtl/>
          <w:lang w:bidi="ar-EG"/>
        </w:rPr>
        <w:t>معلومات عامة</w:t>
      </w:r>
    </w:p>
    <w:p w14:paraId="2AEEA31F" w14:textId="77777777" w:rsidR="001E74B8" w:rsidRPr="00111341" w:rsidRDefault="001E74B8" w:rsidP="00111341">
      <w:pPr>
        <w:pStyle w:val="Heading3"/>
        <w:rPr>
          <w:rtl/>
        </w:rPr>
      </w:pPr>
      <w:r w:rsidRPr="00111341">
        <w:rPr>
          <w:rFonts w:hint="cs"/>
          <w:rtl/>
        </w:rPr>
        <w:t>(أ)</w:t>
      </w:r>
      <w:r w:rsidRPr="00111341">
        <w:rPr>
          <w:rFonts w:hint="cs"/>
          <w:rtl/>
        </w:rPr>
        <w:tab/>
        <w:t>اسم المكتب أو المنظمة الحكومية الدولية:</w:t>
      </w:r>
    </w:p>
    <w:p w14:paraId="1FF4B73A" w14:textId="77777777" w:rsidR="001E74B8" w:rsidRPr="001E74B8" w:rsidRDefault="001E74B8" w:rsidP="001E74B8">
      <w:pPr>
        <w:widowControl w:val="0"/>
        <w:jc w:val="both"/>
        <w:rPr>
          <w:rFonts w:ascii="Calibri" w:hAnsi="Calibri"/>
          <w:color w:val="000000" w:themeColor="text1"/>
          <w:rtl/>
          <w:lang w:bidi="ar-EG"/>
        </w:rPr>
      </w:pPr>
      <w:r w:rsidRPr="001E74B8">
        <w:rPr>
          <w:rFonts w:ascii="Calibri" w:hAnsi="Calibri" w:hint="cs"/>
          <w:color w:val="000000" w:themeColor="text1"/>
          <w:rtl/>
          <w:lang w:bidi="ar-EG"/>
        </w:rPr>
        <w:t>المكتب الإسباني للبراءات والعلامات التجارية (</w:t>
      </w:r>
      <w:r w:rsidRPr="001E74B8">
        <w:rPr>
          <w:rFonts w:ascii="Calibri" w:hAnsi="Calibri"/>
          <w:color w:val="000000" w:themeColor="text1"/>
          <w:lang w:bidi="ar-EG"/>
        </w:rPr>
        <w:t>SPTO</w:t>
      </w:r>
      <w:r w:rsidRPr="001E74B8">
        <w:rPr>
          <w:rFonts w:ascii="Calibri" w:hAnsi="Calibri" w:hint="cs"/>
          <w:color w:val="000000" w:themeColor="text1"/>
          <w:rtl/>
          <w:lang w:bidi="ar-EG"/>
        </w:rPr>
        <w:t>)</w:t>
      </w:r>
    </w:p>
    <w:p w14:paraId="6CEEEDA5" w14:textId="59F6348D" w:rsidR="001E74B8" w:rsidRPr="001E74B8" w:rsidRDefault="001E74B8" w:rsidP="00111341">
      <w:pPr>
        <w:pStyle w:val="Heading3"/>
        <w:rPr>
          <w:rtl/>
        </w:rPr>
      </w:pPr>
      <w:r w:rsidRPr="001E74B8">
        <w:t>‎</w:t>
      </w:r>
      <w:r w:rsidRPr="001E74B8">
        <w:rPr>
          <w:rFonts w:hint="cs"/>
          <w:rtl/>
        </w:rPr>
        <w:t>(ب)</w:t>
      </w:r>
      <w:r>
        <w:rPr>
          <w:rtl/>
        </w:rPr>
        <w:tab/>
      </w:r>
      <w:r w:rsidRPr="001E74B8">
        <w:t>‎</w:t>
      </w:r>
      <w:r w:rsidRPr="001E74B8">
        <w:rPr>
          <w:rFonts w:hint="cs"/>
          <w:rtl/>
        </w:rPr>
        <w:t>اسم المسؤول وتفاصيل الاتصال به لتقديم أي استفسارات بشأن هذا الطلب:</w:t>
      </w:r>
    </w:p>
    <w:p w14:paraId="251FCD27" w14:textId="27175AF8" w:rsidR="001E74B8" w:rsidRPr="001E74B8" w:rsidRDefault="001E74B8" w:rsidP="001E74B8">
      <w:pPr>
        <w:widowControl w:val="0"/>
        <w:jc w:val="both"/>
        <w:rPr>
          <w:rFonts w:ascii="Calibri" w:hAnsi="Calibri"/>
          <w:color w:val="000000" w:themeColor="text1"/>
          <w:rtl/>
          <w:lang w:bidi="ar-EG"/>
        </w:rPr>
      </w:pPr>
      <w:r w:rsidRPr="001E74B8">
        <w:rPr>
          <w:rFonts w:ascii="Calibri" w:hAnsi="Calibri" w:hint="cs"/>
          <w:rtl/>
          <w:lang w:bidi="ar-EG"/>
        </w:rPr>
        <w:t>راكيل سامبيدرو، نائبة المدير المساعد لإدارة البراءات والمعلومات التكنولوجية</w:t>
      </w:r>
      <w:r w:rsidR="00111341">
        <w:rPr>
          <w:rFonts w:ascii="Calibri" w:hAnsi="Calibri" w:hint="cs"/>
          <w:rtl/>
          <w:lang w:bidi="ar-EG"/>
        </w:rPr>
        <w:t>،</w:t>
      </w:r>
      <w:r w:rsidRPr="001E74B8">
        <w:rPr>
          <w:rFonts w:ascii="Calibri" w:hAnsi="Calibri" w:hint="cs"/>
          <w:rtl/>
          <w:lang w:bidi="ar-EG"/>
        </w:rPr>
        <w:t xml:space="preserve"> </w:t>
      </w:r>
      <w:hyperlink r:id="rId18" w:history="1">
        <w:r w:rsidRPr="001E74B8">
          <w:rPr>
            <w:rFonts w:ascii="Calibri" w:hAnsi="Calibri"/>
            <w:color w:val="0000FF" w:themeColor="hyperlink"/>
            <w:u w:val="single"/>
            <w:lang w:bidi="ar-EG"/>
          </w:rPr>
          <w:t>raquel.sampedro@oepm.es</w:t>
        </w:r>
      </w:hyperlink>
      <w:r w:rsidR="00111341">
        <w:rPr>
          <w:rFonts w:ascii="Calibri" w:hAnsi="Calibri" w:hint="cs"/>
          <w:rtl/>
          <w:lang w:bidi="ar-EG"/>
        </w:rPr>
        <w:t>.</w:t>
      </w:r>
    </w:p>
    <w:p w14:paraId="500E0E89" w14:textId="77777777" w:rsidR="001E74B8" w:rsidRPr="001E74B8" w:rsidRDefault="001E74B8" w:rsidP="001E74B8">
      <w:pPr>
        <w:widowControl w:val="0"/>
        <w:jc w:val="both"/>
        <w:rPr>
          <w:rFonts w:ascii="Calibri" w:hAnsi="Calibri"/>
          <w:color w:val="000000" w:themeColor="text1"/>
          <w:lang w:bidi="ar-EG"/>
        </w:rPr>
      </w:pPr>
    </w:p>
    <w:p w14:paraId="46506E8B" w14:textId="77777777" w:rsidR="001E74B8" w:rsidRPr="001E74B8" w:rsidRDefault="001E74B8" w:rsidP="00111341">
      <w:pPr>
        <w:pStyle w:val="Heading3"/>
        <w:rPr>
          <w:rtl/>
        </w:rPr>
      </w:pPr>
      <w:r w:rsidRPr="001E74B8">
        <w:t>‎</w:t>
      </w:r>
      <w:r w:rsidRPr="001E74B8">
        <w:rPr>
          <w:rFonts w:hint="cs"/>
          <w:rtl/>
        </w:rPr>
        <w:t xml:space="preserve">(ج) </w:t>
      </w:r>
      <w:r w:rsidRPr="001E74B8">
        <w:t>‎</w:t>
      </w:r>
      <w:r w:rsidRPr="001E74B8">
        <w:rPr>
          <w:rFonts w:hint="cs"/>
          <w:rtl/>
        </w:rPr>
        <w:t>التاريخ الذي تسلم فيه المدير العام طلب التعيين:</w:t>
      </w:r>
    </w:p>
    <w:p w14:paraId="16AD9CFF" w14:textId="77777777" w:rsidR="001E74B8" w:rsidRPr="001E74B8" w:rsidRDefault="001E74B8" w:rsidP="001E74B8">
      <w:pPr>
        <w:spacing w:after="220"/>
        <w:ind w:left="567"/>
        <w:rPr>
          <w:rFonts w:ascii="Calibri" w:hAnsi="Calibri"/>
          <w:i/>
          <w:color w:val="000000" w:themeColor="text1"/>
          <w:rtl/>
          <w:lang w:bidi="ar-EG"/>
        </w:rPr>
      </w:pPr>
      <w:bookmarkStart w:id="5" w:name="_Hlk215086565"/>
      <w:r w:rsidRPr="001E74B8">
        <w:rPr>
          <w:rFonts w:ascii="Calibri" w:hAnsi="Calibri" w:hint="cs"/>
          <w:color w:val="000000" w:themeColor="text1"/>
          <w:rtl/>
          <w:lang w:bidi="ar-EG"/>
        </w:rPr>
        <w:t>18 نوفمبر 2025</w:t>
      </w:r>
      <w:bookmarkEnd w:id="5"/>
    </w:p>
    <w:p w14:paraId="1D6C9597" w14:textId="1896DFA9" w:rsidR="001E74B8" w:rsidRPr="001E74B8" w:rsidRDefault="001E74B8" w:rsidP="008B0506">
      <w:pPr>
        <w:keepNext/>
        <w:keepLines/>
        <w:pBdr>
          <w:top w:val="single" w:sz="4" w:space="1" w:color="auto"/>
        </w:pBdr>
        <w:spacing w:before="360" w:after="200"/>
        <w:outlineLvl w:val="2"/>
        <w:rPr>
          <w:rFonts w:ascii="Calibri" w:eastAsia="Times New Roman" w:hAnsi="Calibri"/>
          <w:b/>
          <w:bCs/>
          <w:caps/>
          <w:color w:val="000000" w:themeColor="text1"/>
          <w:rtl/>
          <w:lang w:bidi="ar-EG"/>
        </w:rPr>
      </w:pPr>
      <w:r w:rsidRPr="001E74B8">
        <w:rPr>
          <w:rFonts w:ascii="Calibri" w:eastAsia="Times New Roman" w:hAnsi="Calibri" w:hint="cs"/>
          <w:b/>
          <w:bCs/>
          <w:caps/>
          <w:color w:val="000000" w:themeColor="text1"/>
          <w:rtl/>
          <w:lang w:bidi="ar-EG"/>
        </w:rPr>
        <w:t>2</w:t>
      </w:r>
      <w:r w:rsidR="007C203F">
        <w:rPr>
          <w:rFonts w:ascii="Calibri" w:eastAsia="Times New Roman" w:hAnsi="Calibri" w:hint="cs"/>
          <w:b/>
          <w:bCs/>
          <w:caps/>
          <w:color w:val="000000" w:themeColor="text1"/>
          <w:rtl/>
          <w:lang w:bidi="ar-EG"/>
        </w:rPr>
        <w:t>-</w:t>
      </w:r>
      <w:r w:rsidRPr="001E74B8">
        <w:rPr>
          <w:rFonts w:ascii="Calibri" w:eastAsia="Times New Roman" w:hAnsi="Calibri" w:hint="cs"/>
          <w:b/>
          <w:bCs/>
          <w:caps/>
          <w:color w:val="000000" w:themeColor="text1"/>
          <w:rtl/>
          <w:lang w:bidi="ar-EG"/>
        </w:rPr>
        <w:t xml:space="preserve"> متطلبات التعيين الدنيا</w:t>
      </w:r>
    </w:p>
    <w:p w14:paraId="7B451404" w14:textId="77777777" w:rsidR="008B0506" w:rsidRDefault="001E74B8" w:rsidP="008B0506">
      <w:pPr>
        <w:pStyle w:val="BodyText"/>
        <w:rPr>
          <w:rtl/>
          <w:lang w:bidi="ar-EG"/>
        </w:rPr>
      </w:pPr>
      <w:r w:rsidRPr="001E74B8">
        <w:rPr>
          <w:rFonts w:hint="cs"/>
          <w:rtl/>
          <w:lang w:bidi="ar-EG"/>
        </w:rPr>
        <w:t xml:space="preserve">إضافة إلى التقرير السنوي عن نظام إدارة الجودة الذي أعده المكتب أو المنظمة لعام 2025 ("تقرير نظام إدارة الجودة"، </w:t>
      </w:r>
      <w:r w:rsidRPr="001E74B8">
        <w:rPr>
          <w:color w:val="0000FF" w:themeColor="hyperlink"/>
          <w:u w:val="single"/>
          <w:lang w:bidi="ar-EG"/>
        </w:rPr>
        <w:t>https://www.wipo.int/en/web/pct-system/quality/authorities#ES</w:t>
      </w:r>
      <w:r w:rsidRPr="001E74B8">
        <w:rPr>
          <w:rFonts w:hint="cs"/>
          <w:rtl/>
          <w:lang w:bidi="ar-EG"/>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3D63A0BF" w14:textId="149A3738" w:rsidR="001E74B8" w:rsidRPr="001E74B8" w:rsidRDefault="001E74B8" w:rsidP="008B0506">
      <w:pPr>
        <w:pStyle w:val="BodyText"/>
        <w:rPr>
          <w:rFonts w:ascii="Calibri" w:hAnsi="Calibri"/>
          <w:color w:val="000000" w:themeColor="text1"/>
          <w:rtl/>
          <w:lang w:bidi="ar-EG"/>
        </w:rPr>
      </w:pPr>
      <w:r w:rsidRPr="001E74B8">
        <w:rPr>
          <w:rFonts w:ascii="Calibri" w:hAnsi="Calibri" w:hint="cs"/>
          <w:color w:val="000000" w:themeColor="text1"/>
          <w:rtl/>
          <w:lang w:bidi="ar-EG"/>
        </w:rPr>
        <w:t>ومنذ تعيين المكتب الإسباني للبراءات والعلامات التجارية (المكتب الإسباني) كإدارة للبحث الدولي والفحص التمهيدي الدولي، التزم المكتب بجميع المتطلبات الموضوعية اللازمة لكي يكون إدارة دولية بموجب معاهدة البراءات، ولا يزال يلتزم بها. وعلى سبيل المثال، يشمل ذلك تطبيق نظام إدارة الجودة وإتاحة الحد الأدنى لوثائق معاهدة البراءات للاطلاع عليها والنفاذ إليها، وفقاً للقاعدتين 34 و63 بصيغتهما المعدلة.</w:t>
      </w:r>
      <w:r w:rsidRPr="001E74B8">
        <w:rPr>
          <w:rFonts w:ascii="Calibri" w:hAnsi="Calibri" w:hint="cs"/>
          <w:rtl/>
          <w:lang w:bidi="ar-EG"/>
        </w:rPr>
        <w:t xml:space="preserve"> </w:t>
      </w:r>
    </w:p>
    <w:p w14:paraId="430A6582" w14:textId="73CA841C" w:rsidR="001E74B8" w:rsidRPr="001E74B8" w:rsidRDefault="001E74B8" w:rsidP="001E74B8">
      <w:pPr>
        <w:widowControl w:val="0"/>
        <w:ind w:right="73"/>
        <w:jc w:val="both"/>
        <w:rPr>
          <w:rFonts w:ascii="Calibri" w:hAnsi="Calibri"/>
          <w:color w:val="000000" w:themeColor="text1"/>
          <w:rtl/>
          <w:lang w:bidi="ar-EG"/>
        </w:rPr>
      </w:pPr>
      <w:r w:rsidRPr="001E74B8">
        <w:rPr>
          <w:rFonts w:ascii="Calibri" w:hAnsi="Calibri" w:hint="cs"/>
          <w:color w:val="000000" w:themeColor="text1"/>
          <w:rtl/>
          <w:lang w:bidi="ar-EG"/>
        </w:rPr>
        <w:t xml:space="preserve">ويعمل المكتب الإسباني كإدارة للبحث الدولي بموجب معاهدة البراءات منذ عام 1995. وفي سبتمبر 2001، وسّع المكتب الإسباني خدماته كإدارة للفحص التمهيدي الدولي، وأصبح أول إدارة مختصة بإجراء عمليات البحث الدولي والفحص التمهيدي الدولي باللغة الإسبانية. وقد مكًن ذلك مودعي الطلبات الناطقين بالإسبانية من أداء جميع عمليات طلبات البراءات الدولية بلغتهم، ممّا أدى إلى </w:t>
      </w:r>
      <w:r w:rsidR="006B21D1" w:rsidRPr="001E74B8">
        <w:rPr>
          <w:rFonts w:ascii="Calibri" w:hAnsi="Calibri" w:hint="cs"/>
          <w:color w:val="000000" w:themeColor="text1"/>
          <w:rtl/>
          <w:lang w:bidi="ar-EG"/>
        </w:rPr>
        <w:t>تخفيض</w:t>
      </w:r>
      <w:r w:rsidRPr="001E74B8">
        <w:rPr>
          <w:rFonts w:ascii="Calibri" w:hAnsi="Calibri" w:hint="cs"/>
          <w:color w:val="000000" w:themeColor="text1"/>
          <w:rtl/>
          <w:lang w:bidi="ar-EG"/>
        </w:rPr>
        <w:t xml:space="preserve"> التكاليف ووقت المعالجة.</w:t>
      </w:r>
    </w:p>
    <w:p w14:paraId="16885C15" w14:textId="4E401BCF" w:rsidR="001E74B8" w:rsidRPr="001E74B8" w:rsidRDefault="00022796" w:rsidP="001E74B8">
      <w:pPr>
        <w:keepNext/>
        <w:keepLines/>
        <w:pBdr>
          <w:top w:val="single" w:sz="4" w:space="1" w:color="auto"/>
        </w:pBdr>
        <w:spacing w:before="360" w:after="200" w:line="480" w:lineRule="auto"/>
        <w:outlineLvl w:val="2"/>
        <w:rPr>
          <w:rFonts w:ascii="Calibri" w:eastAsia="Times New Roman" w:hAnsi="Calibri"/>
          <w:b/>
          <w:bCs/>
          <w:caps/>
          <w:color w:val="000000" w:themeColor="text1"/>
          <w:rtl/>
          <w:lang w:bidi="ar-EG"/>
        </w:rPr>
      </w:pPr>
      <w:r>
        <w:rPr>
          <w:rFonts w:ascii="Calibri" w:eastAsia="Times New Roman" w:hAnsi="Calibri" w:hint="cs"/>
          <w:b/>
          <w:bCs/>
          <w:caps/>
          <w:color w:val="000000" w:themeColor="text1"/>
          <w:rtl/>
          <w:lang w:bidi="ar-EG"/>
        </w:rPr>
        <w:t>1.2-</w:t>
      </w:r>
      <w:r w:rsidR="001E74B8" w:rsidRPr="001E74B8">
        <w:rPr>
          <w:rFonts w:ascii="Calibri" w:eastAsia="Times New Roman" w:hAnsi="Calibri" w:hint="cs"/>
          <w:b/>
          <w:bCs/>
          <w:caps/>
          <w:color w:val="000000" w:themeColor="text1"/>
          <w:rtl/>
          <w:lang w:bidi="ar-EG"/>
        </w:rPr>
        <w:t xml:space="preserve"> القدرة على البحث والفحص</w:t>
      </w:r>
    </w:p>
    <w:p w14:paraId="08414D0D" w14:textId="77777777" w:rsidR="001E74B8" w:rsidRPr="001E74B8" w:rsidRDefault="001E74B8" w:rsidP="001E74B8">
      <w:pPr>
        <w:keepNext/>
        <w:keepLines/>
        <w:spacing w:after="240"/>
        <w:ind w:left="567" w:right="567"/>
        <w:rPr>
          <w:rFonts w:ascii="Calibri" w:hAnsi="Calibri"/>
          <w:b/>
          <w:i/>
          <w:iCs/>
          <w:color w:val="000000" w:themeColor="text1"/>
          <w:rtl/>
          <w:lang w:bidi="ar-EG"/>
        </w:rPr>
      </w:pPr>
      <w:r w:rsidRPr="001E74B8">
        <w:rPr>
          <w:rFonts w:ascii="Calibri" w:hAnsi="Calibri" w:hint="cs"/>
          <w:b/>
          <w:i/>
          <w:iCs/>
          <w:color w:val="000000" w:themeColor="text1"/>
          <w:rtl/>
          <w:lang w:bidi="ar-EG"/>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4C35A0C5" w14:textId="27AE6B17" w:rsidR="001E74B8" w:rsidRDefault="001E74B8" w:rsidP="008B0506">
      <w:pPr>
        <w:pStyle w:val="BodyText"/>
        <w:rPr>
          <w:i/>
          <w:iCs/>
          <w:rtl/>
          <w:lang w:bidi="ar-EG"/>
        </w:rPr>
      </w:pPr>
      <w:r w:rsidRPr="001E74B8">
        <w:rPr>
          <w:rFonts w:hint="cs"/>
          <w:rtl/>
          <w:lang w:bidi="ar-EG"/>
        </w:rPr>
        <w:t>يقدّم تقرير نظام إدارة الجودة معلومات من الإدارة بشأن البنية التحتية الموجودة من أجل ضمان توفير كمية كافية من الموظفين المؤهلين تقنياً بموجب الفقرة 15.21"1" من المبادئ التوجيهية، وبشأن برامج التدريب والتطوير للموظفين المعنيين في عمليات البحث والفحص بموجب الفقرة 15.21"4". وتُدرج الإدارة أيضاً المعلومات التالية عن أعداد الموظفين المؤهلين لإجراء عمليات البحث والفحص.</w:t>
      </w:r>
    </w:p>
    <w:p w14:paraId="4065967C" w14:textId="445C7D78" w:rsidR="001E74B8" w:rsidRPr="001E74B8" w:rsidRDefault="001E74B8" w:rsidP="008B0506">
      <w:pPr>
        <w:pStyle w:val="BodyText"/>
        <w:rPr>
          <w:rtl/>
          <w:lang w:bidi="ar-EG"/>
        </w:rPr>
      </w:pPr>
      <w:r w:rsidRPr="001E74B8">
        <w:rPr>
          <w:rFonts w:hint="cs"/>
          <w:rtl/>
          <w:lang w:bidi="ar-EG"/>
        </w:rPr>
        <w:t xml:space="preserve">ويتألّف الكادر الفني العامل في المكتب الإسباني من 131 فاحص براءات يعملون بدوام كامل، بمن فيهم 5 رؤساء أقسام للبراءات ونماذج المنفعة، و7 رؤساء أقسام للدائرة الفنية، وإدارة معلومات البراءات والتكنولوجيا، التي تشمل دائرة توثيق البراءات ودائرة البحث. وجميعهم من موظفي الخدمة المدنية ويتمتعون بالمؤهلات الفنية اللازمة (مثل شهادات البكالوريوس أو الدكتوراه في مجالات كالهندسة، والعمارة، والعلوم، والفيزياء، والكيمياء) من أجل تأدية عمليات البحث والفحص في مختلف المجالات التقنية وتنفيذ خدمات المعلومات التكنولوجية (انظر النقطة 4 - معلومات أخرى، الخدمات الأخرى للمكتب الإسباني). ويتعيّن على الموظفين كذلك إتقان اللغات الأجنبية بقدر يمكنهم من قراءة النصوص التقنية وفهمها، وخاصة وثائق البراءات. </w:t>
      </w:r>
    </w:p>
    <w:p w14:paraId="144AE2A0" w14:textId="77777777" w:rsidR="001E74B8" w:rsidRPr="001E74B8" w:rsidRDefault="001E74B8" w:rsidP="001E74B8">
      <w:pPr>
        <w:widowControl w:val="0"/>
        <w:ind w:right="73"/>
        <w:jc w:val="both"/>
        <w:rPr>
          <w:rFonts w:ascii="Calibri" w:hAnsi="Calibri"/>
          <w:color w:val="000000" w:themeColor="text1"/>
          <w:lang w:bidi="ar-EG"/>
        </w:rPr>
      </w:pPr>
    </w:p>
    <w:p w14:paraId="17E4C3DB" w14:textId="77777777" w:rsidR="001E74B8" w:rsidRPr="001E74B8" w:rsidRDefault="001E74B8" w:rsidP="008B0506">
      <w:pPr>
        <w:pStyle w:val="BodyText"/>
        <w:rPr>
          <w:rtl/>
          <w:lang w:bidi="ar-EG"/>
        </w:rPr>
      </w:pPr>
      <w:r w:rsidRPr="001E74B8">
        <w:rPr>
          <w:rFonts w:hint="cs"/>
          <w:rtl/>
          <w:lang w:bidi="ar-EG"/>
        </w:rPr>
        <w:t>انظر(ي) النقطة 3 من تقرير نظام إدارة الجودة للاطلاع على مزيد من التفاصيل حول الكفاءات المختلفة المطلوبة من الفاحصين.</w:t>
      </w:r>
    </w:p>
    <w:p w14:paraId="63F74841" w14:textId="77777777" w:rsidR="001E74B8" w:rsidRPr="001E74B8" w:rsidRDefault="001E74B8" w:rsidP="001E74B8">
      <w:pPr>
        <w:widowControl w:val="0"/>
        <w:ind w:right="73"/>
        <w:jc w:val="both"/>
        <w:rPr>
          <w:rFonts w:ascii="Calibri" w:hAnsi="Calibri"/>
          <w:b/>
          <w:color w:val="000000" w:themeColor="text1"/>
          <w:rtl/>
          <w:lang w:bidi="ar-EG"/>
        </w:rPr>
      </w:pPr>
      <w:r w:rsidRPr="001E74B8">
        <w:rPr>
          <w:rFonts w:ascii="Calibri" w:hAnsi="Calibri" w:hint="cs"/>
          <w:b/>
          <w:bCs/>
          <w:color w:val="000000" w:themeColor="text1"/>
          <w:rtl/>
          <w:lang w:bidi="ar-EG"/>
        </w:rPr>
        <w:lastRenderedPageBreak/>
        <w:t>الموظفون المؤهلون لإجراء البحث والفحص:</w:t>
      </w:r>
    </w:p>
    <w:p w14:paraId="209BC779" w14:textId="77777777" w:rsidR="001E74B8" w:rsidRPr="001E74B8" w:rsidRDefault="001E74B8" w:rsidP="001E74B8">
      <w:pPr>
        <w:widowControl w:val="0"/>
        <w:ind w:right="73"/>
        <w:jc w:val="both"/>
        <w:rPr>
          <w:rFonts w:ascii="Calibri" w:hAnsi="Calibri"/>
          <w:b/>
          <w:color w:val="000000" w:themeColor="text1"/>
          <w:lang w:bidi="ar-EG"/>
        </w:rPr>
      </w:pPr>
    </w:p>
    <w:p w14:paraId="134028FA" w14:textId="77777777" w:rsidR="001E74B8" w:rsidRPr="001E74B8" w:rsidRDefault="001E74B8" w:rsidP="008B0506">
      <w:pPr>
        <w:pStyle w:val="BodyText"/>
        <w:rPr>
          <w:rtl/>
          <w:lang w:bidi="ar-EG"/>
        </w:rPr>
      </w:pPr>
      <w:r w:rsidRPr="001E74B8">
        <w:rPr>
          <w:rFonts w:hint="cs"/>
          <w:rtl/>
          <w:lang w:bidi="ar-EG"/>
        </w:rPr>
        <w:t>انظر(ي) النقطة 3 من تقرير نظام إدارة الجودة للاطلاع على معلومات عن برامج التوظيف والتدريب الخاصة بالمكتب الإسباني لفائدة فاحصي البراءات والموظفين الإداريين.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379"/>
        <w:gridCol w:w="1785"/>
        <w:gridCol w:w="1921"/>
        <w:gridCol w:w="3260"/>
      </w:tblGrid>
      <w:tr w:rsidR="001E74B8" w:rsidRPr="001E74B8" w14:paraId="3F874B1A" w14:textId="77777777" w:rsidTr="008B0506">
        <w:trPr>
          <w:cantSplit/>
          <w:tblHeader/>
        </w:trPr>
        <w:tc>
          <w:tcPr>
            <w:tcW w:w="1273" w:type="pct"/>
            <w:tcBorders>
              <w:top w:val="single" w:sz="4" w:space="0" w:color="auto"/>
              <w:left w:val="single" w:sz="4" w:space="0" w:color="auto"/>
              <w:bottom w:val="single" w:sz="4" w:space="0" w:color="auto"/>
              <w:right w:val="single" w:sz="4" w:space="0" w:color="auto"/>
            </w:tcBorders>
            <w:hideMark/>
          </w:tcPr>
          <w:p w14:paraId="1F70C541" w14:textId="77777777" w:rsidR="001E74B8" w:rsidRPr="001E74B8" w:rsidRDefault="001E74B8" w:rsidP="004002DA">
            <w:pPr>
              <w:widowControl w:val="0"/>
              <w:suppressAutoHyphens/>
              <w:rPr>
                <w:rFonts w:ascii="Calibri" w:eastAsia="Times New Roman" w:hAnsi="Calibri"/>
                <w:b/>
                <w:bCs/>
                <w:color w:val="000000" w:themeColor="text1"/>
                <w:rtl/>
                <w:lang w:bidi="ar-EG"/>
              </w:rPr>
            </w:pPr>
            <w:r w:rsidRPr="001E74B8">
              <w:rPr>
                <w:rFonts w:ascii="Calibri" w:hAnsi="Calibri" w:hint="cs"/>
                <w:b/>
                <w:bCs/>
                <w:color w:val="000000" w:themeColor="text1"/>
                <w:rtl/>
                <w:lang w:bidi="ar-EG"/>
              </w:rPr>
              <w:t>المجال التقني</w:t>
            </w:r>
          </w:p>
        </w:tc>
        <w:tc>
          <w:tcPr>
            <w:tcW w:w="955" w:type="pct"/>
            <w:tcBorders>
              <w:top w:val="single" w:sz="4" w:space="0" w:color="auto"/>
              <w:left w:val="single" w:sz="4" w:space="0" w:color="auto"/>
              <w:bottom w:val="single" w:sz="4" w:space="0" w:color="auto"/>
              <w:right w:val="single" w:sz="4" w:space="0" w:color="auto"/>
            </w:tcBorders>
            <w:hideMark/>
          </w:tcPr>
          <w:p w14:paraId="444C1E90" w14:textId="77777777" w:rsidR="001E74B8" w:rsidRPr="001E74B8" w:rsidRDefault="001E74B8" w:rsidP="004002DA">
            <w:pPr>
              <w:widowControl w:val="0"/>
              <w:suppressAutoHyphens/>
              <w:rPr>
                <w:rFonts w:ascii="Calibri" w:eastAsia="Times New Roman" w:hAnsi="Calibri"/>
                <w:b/>
                <w:bCs/>
                <w:color w:val="000000" w:themeColor="text1"/>
                <w:rtl/>
                <w:lang w:bidi="ar-EG"/>
              </w:rPr>
            </w:pPr>
            <w:r w:rsidRPr="001E74B8">
              <w:rPr>
                <w:rFonts w:ascii="Calibri" w:hAnsi="Calibri" w:hint="cs"/>
                <w:b/>
                <w:bCs/>
                <w:color w:val="000000" w:themeColor="text1"/>
                <w:rtl/>
                <w:lang w:bidi="ar-EG"/>
              </w:rPr>
              <w:t>العدد (بمعادل دوام كامل)</w:t>
            </w:r>
          </w:p>
        </w:tc>
        <w:tc>
          <w:tcPr>
            <w:tcW w:w="1028" w:type="pct"/>
            <w:tcBorders>
              <w:top w:val="single" w:sz="4" w:space="0" w:color="auto"/>
              <w:left w:val="single" w:sz="4" w:space="0" w:color="auto"/>
              <w:bottom w:val="single" w:sz="4" w:space="0" w:color="auto"/>
              <w:right w:val="single" w:sz="4" w:space="0" w:color="auto"/>
            </w:tcBorders>
            <w:hideMark/>
          </w:tcPr>
          <w:p w14:paraId="373D4CE2" w14:textId="77777777" w:rsidR="001E74B8" w:rsidRPr="001E74B8" w:rsidRDefault="001E74B8" w:rsidP="004002DA">
            <w:pPr>
              <w:widowControl w:val="0"/>
              <w:suppressAutoHyphens/>
              <w:rPr>
                <w:rFonts w:ascii="Calibri" w:eastAsia="Times New Roman" w:hAnsi="Calibri"/>
                <w:b/>
                <w:bCs/>
                <w:color w:val="000000" w:themeColor="text1"/>
                <w:rtl/>
                <w:lang w:bidi="ar-EG"/>
              </w:rPr>
            </w:pPr>
            <w:r w:rsidRPr="001E74B8">
              <w:rPr>
                <w:rFonts w:ascii="Calibri" w:hAnsi="Calibri" w:hint="cs"/>
                <w:b/>
                <w:bCs/>
                <w:color w:val="000000" w:themeColor="text1"/>
                <w:rtl/>
                <w:lang w:bidi="ar-EG"/>
              </w:rPr>
              <w:t>متوسط الخبرة كفاحص (بالسنوات)</w:t>
            </w:r>
          </w:p>
        </w:tc>
        <w:tc>
          <w:tcPr>
            <w:tcW w:w="1744" w:type="pct"/>
            <w:tcBorders>
              <w:top w:val="single" w:sz="4" w:space="0" w:color="auto"/>
              <w:left w:val="single" w:sz="4" w:space="0" w:color="auto"/>
              <w:bottom w:val="single" w:sz="4" w:space="0" w:color="auto"/>
              <w:right w:val="single" w:sz="4" w:space="0" w:color="auto"/>
            </w:tcBorders>
            <w:hideMark/>
          </w:tcPr>
          <w:p w14:paraId="45BB5A62" w14:textId="77777777" w:rsidR="001E74B8" w:rsidRPr="001E74B8" w:rsidRDefault="001E74B8" w:rsidP="004002DA">
            <w:pPr>
              <w:widowControl w:val="0"/>
              <w:suppressAutoHyphens/>
              <w:rPr>
                <w:rFonts w:ascii="Calibri" w:eastAsia="Times New Roman" w:hAnsi="Calibri"/>
                <w:b/>
                <w:bCs/>
                <w:color w:val="000000" w:themeColor="text1"/>
                <w:rtl/>
                <w:lang w:bidi="ar-EG"/>
              </w:rPr>
            </w:pPr>
            <w:r w:rsidRPr="001E74B8">
              <w:rPr>
                <w:rFonts w:ascii="Calibri" w:hAnsi="Calibri" w:hint="cs"/>
                <w:b/>
                <w:bCs/>
                <w:color w:val="000000" w:themeColor="text1"/>
                <w:rtl/>
                <w:lang w:bidi="ar-EG"/>
              </w:rPr>
              <w:t>المؤهلات بالتفصيل</w:t>
            </w:r>
          </w:p>
        </w:tc>
      </w:tr>
      <w:tr w:rsidR="001E74B8" w:rsidRPr="001E74B8" w14:paraId="7DD090F8" w14:textId="77777777" w:rsidTr="008B0506">
        <w:trPr>
          <w:cantSplit/>
        </w:trPr>
        <w:tc>
          <w:tcPr>
            <w:tcW w:w="1273" w:type="pct"/>
            <w:tcBorders>
              <w:top w:val="single" w:sz="4" w:space="0" w:color="auto"/>
              <w:left w:val="single" w:sz="4" w:space="0" w:color="auto"/>
              <w:bottom w:val="single" w:sz="4" w:space="0" w:color="auto"/>
              <w:right w:val="single" w:sz="4" w:space="0" w:color="auto"/>
            </w:tcBorders>
            <w:hideMark/>
          </w:tcPr>
          <w:p w14:paraId="4458F4B2" w14:textId="77777777" w:rsidR="001E74B8" w:rsidRPr="001E74B8" w:rsidRDefault="001E74B8" w:rsidP="004002DA">
            <w:pPr>
              <w:widowControl w:val="0"/>
              <w:suppressAutoHyphens/>
              <w:rPr>
                <w:rFonts w:ascii="Calibri" w:eastAsia="Times New Roman" w:hAnsi="Calibri"/>
                <w:color w:val="000000" w:themeColor="text1"/>
                <w:rtl/>
                <w:lang w:bidi="ar-EG"/>
              </w:rPr>
            </w:pPr>
            <w:r w:rsidRPr="001E74B8">
              <w:rPr>
                <w:rFonts w:ascii="Calibri" w:hAnsi="Calibri" w:hint="cs"/>
                <w:color w:val="000000" w:themeColor="text1"/>
                <w:rtl/>
                <w:lang w:bidi="ar-EG"/>
              </w:rPr>
              <w:t>الميكانيكا</w:t>
            </w:r>
          </w:p>
        </w:tc>
        <w:tc>
          <w:tcPr>
            <w:tcW w:w="955" w:type="pct"/>
            <w:tcBorders>
              <w:top w:val="single" w:sz="4" w:space="0" w:color="auto"/>
              <w:left w:val="single" w:sz="4" w:space="0" w:color="auto"/>
              <w:bottom w:val="single" w:sz="4" w:space="0" w:color="auto"/>
              <w:right w:val="single" w:sz="4" w:space="0" w:color="auto"/>
            </w:tcBorders>
          </w:tcPr>
          <w:p w14:paraId="23B018BF" w14:textId="77777777" w:rsidR="001E74B8" w:rsidRPr="001E74B8" w:rsidRDefault="001E74B8" w:rsidP="004002DA">
            <w:pPr>
              <w:widowControl w:val="0"/>
              <w:jc w:val="both"/>
              <w:rPr>
                <w:rFonts w:ascii="Calibri" w:eastAsia="Times New Roman" w:hAnsi="Calibri"/>
                <w:color w:val="000000" w:themeColor="text1"/>
                <w:rtl/>
                <w:lang w:bidi="ar-EG"/>
              </w:rPr>
            </w:pPr>
            <w:r w:rsidRPr="001E74B8">
              <w:rPr>
                <w:rFonts w:ascii="Calibri" w:hAnsi="Calibri" w:hint="cs"/>
                <w:color w:val="000000" w:themeColor="text1"/>
                <w:rtl/>
                <w:lang w:bidi="ar-EG"/>
              </w:rPr>
              <w:t>58</w:t>
            </w:r>
          </w:p>
        </w:tc>
        <w:tc>
          <w:tcPr>
            <w:tcW w:w="1028" w:type="pct"/>
            <w:tcBorders>
              <w:top w:val="single" w:sz="4" w:space="0" w:color="auto"/>
              <w:left w:val="single" w:sz="4" w:space="0" w:color="auto"/>
              <w:bottom w:val="single" w:sz="4" w:space="0" w:color="auto"/>
              <w:right w:val="single" w:sz="4" w:space="0" w:color="auto"/>
            </w:tcBorders>
          </w:tcPr>
          <w:p w14:paraId="35B22730" w14:textId="77777777" w:rsidR="001E74B8" w:rsidRPr="001E74B8" w:rsidRDefault="001E74B8" w:rsidP="004002DA">
            <w:pPr>
              <w:widowControl w:val="0"/>
              <w:jc w:val="both"/>
              <w:rPr>
                <w:rFonts w:ascii="Calibri" w:eastAsia="Times New Roman" w:hAnsi="Calibri"/>
                <w:color w:val="000000" w:themeColor="text1"/>
                <w:rtl/>
                <w:lang w:bidi="ar-EG"/>
              </w:rPr>
            </w:pPr>
            <w:r w:rsidRPr="001E74B8">
              <w:rPr>
                <w:rFonts w:ascii="Calibri" w:hAnsi="Calibri" w:hint="cs"/>
                <w:color w:val="000000" w:themeColor="text1"/>
                <w:rtl/>
                <w:lang w:bidi="ar-EG"/>
              </w:rPr>
              <w:t>15</w:t>
            </w:r>
          </w:p>
        </w:tc>
        <w:tc>
          <w:tcPr>
            <w:tcW w:w="1744" w:type="pct"/>
            <w:tcBorders>
              <w:top w:val="single" w:sz="4" w:space="0" w:color="auto"/>
              <w:left w:val="single" w:sz="4" w:space="0" w:color="auto"/>
              <w:bottom w:val="single" w:sz="4" w:space="0" w:color="auto"/>
              <w:right w:val="single" w:sz="4" w:space="0" w:color="auto"/>
            </w:tcBorders>
          </w:tcPr>
          <w:p w14:paraId="0E962113"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31 مهندساً صناعياً</w:t>
            </w:r>
          </w:p>
          <w:p w14:paraId="307F9811"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2 من حملة الدكتوراه في الهندسة المدنية</w:t>
            </w:r>
          </w:p>
          <w:p w14:paraId="29F98690"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5 مهندسون مدنيون</w:t>
            </w:r>
          </w:p>
          <w:p w14:paraId="64AC199A"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4 مهندسون معماريون</w:t>
            </w:r>
          </w:p>
          <w:p w14:paraId="395F1A3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3 كيميائيون</w:t>
            </w:r>
          </w:p>
          <w:p w14:paraId="107E6237"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2 أخصائيان في علم الزراعة</w:t>
            </w:r>
          </w:p>
          <w:p w14:paraId="5B8A9977"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2 مهندسا طيران</w:t>
            </w:r>
          </w:p>
          <w:p w14:paraId="6F2E60F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تعدين</w:t>
            </w:r>
          </w:p>
          <w:p w14:paraId="614BC64A"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حرجي</w:t>
            </w:r>
          </w:p>
          <w:p w14:paraId="3302F2CE"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ميكانيكي</w:t>
            </w:r>
          </w:p>
          <w:p w14:paraId="13298E39"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الهندسة الميكانيكية</w:t>
            </w:r>
          </w:p>
          <w:p w14:paraId="3C41DBD3"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بحري</w:t>
            </w:r>
          </w:p>
          <w:p w14:paraId="459B138E"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خريج كيمياء</w:t>
            </w:r>
          </w:p>
          <w:p w14:paraId="694A099F"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الكيمياء</w:t>
            </w:r>
          </w:p>
          <w:p w14:paraId="58600D33"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عالم كيمياء حيوية</w:t>
            </w:r>
          </w:p>
          <w:p w14:paraId="77E741B4"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تكنولوجيا صناعية</w:t>
            </w:r>
          </w:p>
        </w:tc>
      </w:tr>
      <w:tr w:rsidR="001E74B8" w:rsidRPr="001E74B8" w14:paraId="7F614868" w14:textId="77777777" w:rsidTr="008B0506">
        <w:trPr>
          <w:cantSplit/>
        </w:trPr>
        <w:tc>
          <w:tcPr>
            <w:tcW w:w="1273" w:type="pct"/>
            <w:tcBorders>
              <w:top w:val="single" w:sz="4" w:space="0" w:color="auto"/>
              <w:left w:val="single" w:sz="4" w:space="0" w:color="auto"/>
              <w:bottom w:val="single" w:sz="4" w:space="0" w:color="auto"/>
              <w:right w:val="single" w:sz="4" w:space="0" w:color="auto"/>
            </w:tcBorders>
            <w:hideMark/>
          </w:tcPr>
          <w:p w14:paraId="45568097" w14:textId="77777777" w:rsidR="001E74B8" w:rsidRPr="001E74B8" w:rsidRDefault="001E74B8" w:rsidP="004002DA">
            <w:pPr>
              <w:widowControl w:val="0"/>
              <w:suppressAutoHyphens/>
              <w:rPr>
                <w:rFonts w:ascii="Calibri" w:eastAsia="Times New Roman" w:hAnsi="Calibri"/>
                <w:color w:val="000000" w:themeColor="text1"/>
                <w:rtl/>
                <w:lang w:bidi="ar-EG"/>
              </w:rPr>
            </w:pPr>
            <w:r w:rsidRPr="001E74B8">
              <w:rPr>
                <w:rFonts w:ascii="Calibri" w:hAnsi="Calibri" w:hint="cs"/>
                <w:color w:val="000000" w:themeColor="text1"/>
                <w:rtl/>
                <w:lang w:bidi="ar-EG"/>
              </w:rPr>
              <w:t>الكهرباء/الإلكترونيات</w:t>
            </w:r>
          </w:p>
        </w:tc>
        <w:tc>
          <w:tcPr>
            <w:tcW w:w="955" w:type="pct"/>
            <w:tcBorders>
              <w:top w:val="single" w:sz="4" w:space="0" w:color="auto"/>
              <w:left w:val="single" w:sz="4" w:space="0" w:color="auto"/>
              <w:bottom w:val="single" w:sz="4" w:space="0" w:color="auto"/>
              <w:right w:val="single" w:sz="4" w:space="0" w:color="auto"/>
            </w:tcBorders>
          </w:tcPr>
          <w:p w14:paraId="228FFC7F"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33</w:t>
            </w:r>
          </w:p>
        </w:tc>
        <w:tc>
          <w:tcPr>
            <w:tcW w:w="1028" w:type="pct"/>
            <w:tcBorders>
              <w:top w:val="single" w:sz="4" w:space="0" w:color="auto"/>
              <w:left w:val="single" w:sz="4" w:space="0" w:color="auto"/>
              <w:bottom w:val="single" w:sz="4" w:space="0" w:color="auto"/>
              <w:right w:val="single" w:sz="4" w:space="0" w:color="auto"/>
            </w:tcBorders>
          </w:tcPr>
          <w:p w14:paraId="08D64D3C"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16</w:t>
            </w:r>
          </w:p>
        </w:tc>
        <w:tc>
          <w:tcPr>
            <w:tcW w:w="1744" w:type="pct"/>
            <w:tcBorders>
              <w:top w:val="single" w:sz="4" w:space="0" w:color="auto"/>
              <w:left w:val="single" w:sz="4" w:space="0" w:color="auto"/>
              <w:bottom w:val="single" w:sz="4" w:space="0" w:color="auto"/>
              <w:right w:val="single" w:sz="4" w:space="0" w:color="auto"/>
            </w:tcBorders>
          </w:tcPr>
          <w:p w14:paraId="205DBA03"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12 مهندساً صناعياً</w:t>
            </w:r>
          </w:p>
          <w:p w14:paraId="46B5B5F1"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8 مهندسو اتصالات سلكية ولاسلكية</w:t>
            </w:r>
          </w:p>
          <w:p w14:paraId="4411C8E0"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3 خريجون في مجال فيزياء</w:t>
            </w:r>
            <w:r w:rsidRPr="001E74B8">
              <w:rPr>
                <w:rFonts w:ascii="Calibri" w:hAnsi="Calibri" w:hint="cs"/>
                <w:color w:val="000000" w:themeColor="text1"/>
                <w:rtl/>
                <w:lang w:bidi="ar-EG"/>
              </w:rPr>
              <w:cr/>
            </w:r>
            <w:r w:rsidRPr="001E74B8">
              <w:rPr>
                <w:rFonts w:ascii="Calibri" w:hAnsi="Calibri" w:hint="cs"/>
                <w:color w:val="000000" w:themeColor="text1"/>
                <w:rtl/>
                <w:lang w:bidi="ar-EG"/>
              </w:rPr>
              <w:br/>
            </w:r>
          </w:p>
          <w:p w14:paraId="7954098C"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2 من حملة الدكتوراه في الفيزياء</w:t>
            </w:r>
          </w:p>
          <w:p w14:paraId="27FF2756"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طاقة</w:t>
            </w:r>
          </w:p>
          <w:p w14:paraId="0294E23E"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إلكترونيات</w:t>
            </w:r>
          </w:p>
          <w:p w14:paraId="24B80964"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طيران</w:t>
            </w:r>
          </w:p>
          <w:p w14:paraId="434D02E5"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تعدين</w:t>
            </w:r>
          </w:p>
          <w:p w14:paraId="7C74D332"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أخصائي بصريات وأخصائي تصحيح البصر</w:t>
            </w:r>
          </w:p>
          <w:p w14:paraId="28D7145C"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طبيب بيطري ومهندس اتصالات سلكية ولاسلكية</w:t>
            </w:r>
          </w:p>
          <w:p w14:paraId="5E34D62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خريج فيزياء ومهندس صناعي</w:t>
            </w:r>
          </w:p>
          <w:p w14:paraId="2C096480"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الكيمياء</w:t>
            </w:r>
          </w:p>
        </w:tc>
      </w:tr>
      <w:tr w:rsidR="001E74B8" w:rsidRPr="001E74B8" w14:paraId="1C04A1C7" w14:textId="77777777" w:rsidTr="008B0506">
        <w:trPr>
          <w:cantSplit/>
        </w:trPr>
        <w:tc>
          <w:tcPr>
            <w:tcW w:w="1273" w:type="pct"/>
            <w:tcBorders>
              <w:top w:val="single" w:sz="4" w:space="0" w:color="auto"/>
              <w:left w:val="single" w:sz="4" w:space="0" w:color="auto"/>
              <w:bottom w:val="single" w:sz="4" w:space="0" w:color="auto"/>
              <w:right w:val="single" w:sz="4" w:space="0" w:color="auto"/>
            </w:tcBorders>
            <w:hideMark/>
          </w:tcPr>
          <w:p w14:paraId="5223A9AD" w14:textId="77777777" w:rsidR="001E74B8" w:rsidRPr="001E74B8" w:rsidRDefault="001E74B8" w:rsidP="004002DA">
            <w:pPr>
              <w:widowControl w:val="0"/>
              <w:suppressAutoHyphens/>
              <w:rPr>
                <w:rFonts w:ascii="Calibri" w:eastAsia="Times New Roman" w:hAnsi="Calibri"/>
                <w:color w:val="000000" w:themeColor="text1"/>
                <w:rtl/>
                <w:lang w:bidi="ar-EG"/>
              </w:rPr>
            </w:pPr>
            <w:r w:rsidRPr="001E74B8">
              <w:rPr>
                <w:rFonts w:ascii="Calibri" w:hAnsi="Calibri" w:hint="cs"/>
                <w:color w:val="000000" w:themeColor="text1"/>
                <w:rtl/>
                <w:lang w:bidi="ar-EG"/>
              </w:rPr>
              <w:t>الكيمياء</w:t>
            </w:r>
          </w:p>
        </w:tc>
        <w:tc>
          <w:tcPr>
            <w:tcW w:w="955" w:type="pct"/>
            <w:tcBorders>
              <w:top w:val="single" w:sz="4" w:space="0" w:color="auto"/>
              <w:left w:val="single" w:sz="4" w:space="0" w:color="auto"/>
              <w:bottom w:val="single" w:sz="4" w:space="0" w:color="auto"/>
              <w:right w:val="single" w:sz="4" w:space="0" w:color="auto"/>
            </w:tcBorders>
          </w:tcPr>
          <w:p w14:paraId="3D314144"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19</w:t>
            </w:r>
          </w:p>
        </w:tc>
        <w:tc>
          <w:tcPr>
            <w:tcW w:w="1028" w:type="pct"/>
            <w:tcBorders>
              <w:top w:val="single" w:sz="4" w:space="0" w:color="auto"/>
              <w:left w:val="single" w:sz="4" w:space="0" w:color="auto"/>
              <w:bottom w:val="single" w:sz="4" w:space="0" w:color="auto"/>
              <w:right w:val="single" w:sz="4" w:space="0" w:color="auto"/>
            </w:tcBorders>
          </w:tcPr>
          <w:p w14:paraId="25A1AB5E"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14</w:t>
            </w:r>
          </w:p>
        </w:tc>
        <w:tc>
          <w:tcPr>
            <w:tcW w:w="1744" w:type="pct"/>
            <w:tcBorders>
              <w:top w:val="single" w:sz="4" w:space="0" w:color="auto"/>
              <w:left w:val="single" w:sz="4" w:space="0" w:color="auto"/>
              <w:bottom w:val="single" w:sz="4" w:space="0" w:color="auto"/>
              <w:right w:val="single" w:sz="4" w:space="0" w:color="auto"/>
            </w:tcBorders>
          </w:tcPr>
          <w:p w14:paraId="4637EA92"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الهندسة الكيميائية</w:t>
            </w:r>
          </w:p>
          <w:p w14:paraId="6A2ED06F"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2 من حملة الدكتوراه في الكيمياء</w:t>
            </w:r>
          </w:p>
          <w:p w14:paraId="20FF13A9"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الهندسة الكيميائية</w:t>
            </w:r>
          </w:p>
          <w:p w14:paraId="74A1EBFF"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صيدلاني</w:t>
            </w:r>
          </w:p>
          <w:p w14:paraId="02E778EC"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الصيدلة</w:t>
            </w:r>
          </w:p>
          <w:p w14:paraId="05169CC7"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كيميائي</w:t>
            </w:r>
          </w:p>
          <w:p w14:paraId="4F8923C2"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خريج كيمياء</w:t>
            </w:r>
          </w:p>
          <w:p w14:paraId="5B2DB36A"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خريج كيمياء ومن حملة الدكتوراه في الفيزياء</w:t>
            </w:r>
          </w:p>
          <w:p w14:paraId="0348D449"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 خريج علوم بيئية ومن حملة الدكتوراه في الكيمياء</w:t>
            </w:r>
          </w:p>
        </w:tc>
      </w:tr>
      <w:tr w:rsidR="001E74B8" w:rsidRPr="001E74B8" w14:paraId="69235165" w14:textId="77777777" w:rsidTr="008B0506">
        <w:trPr>
          <w:cantSplit/>
        </w:trPr>
        <w:tc>
          <w:tcPr>
            <w:tcW w:w="1273" w:type="pct"/>
            <w:tcBorders>
              <w:top w:val="single" w:sz="4" w:space="0" w:color="auto"/>
              <w:left w:val="single" w:sz="4" w:space="0" w:color="auto"/>
              <w:bottom w:val="single" w:sz="4" w:space="0" w:color="auto"/>
              <w:right w:val="single" w:sz="4" w:space="0" w:color="auto"/>
            </w:tcBorders>
            <w:hideMark/>
          </w:tcPr>
          <w:p w14:paraId="78BF1E0B" w14:textId="77777777" w:rsidR="001E74B8" w:rsidRPr="001E74B8" w:rsidRDefault="001E74B8" w:rsidP="004002DA">
            <w:pPr>
              <w:widowControl w:val="0"/>
              <w:suppressAutoHyphens/>
              <w:rPr>
                <w:rFonts w:ascii="Calibri" w:eastAsia="Times New Roman" w:hAnsi="Calibri"/>
                <w:color w:val="000000" w:themeColor="text1"/>
                <w:rtl/>
                <w:lang w:bidi="ar-EG"/>
              </w:rPr>
            </w:pPr>
            <w:r w:rsidRPr="001E74B8">
              <w:rPr>
                <w:rFonts w:ascii="Calibri" w:hAnsi="Calibri" w:hint="cs"/>
                <w:color w:val="000000" w:themeColor="text1"/>
                <w:rtl/>
                <w:lang w:bidi="ar-EG"/>
              </w:rPr>
              <w:lastRenderedPageBreak/>
              <w:t>البيوتكنولوجيا</w:t>
            </w:r>
          </w:p>
        </w:tc>
        <w:tc>
          <w:tcPr>
            <w:tcW w:w="955" w:type="pct"/>
            <w:tcBorders>
              <w:top w:val="single" w:sz="4" w:space="0" w:color="auto"/>
              <w:left w:val="single" w:sz="4" w:space="0" w:color="auto"/>
              <w:bottom w:val="single" w:sz="4" w:space="0" w:color="auto"/>
              <w:right w:val="single" w:sz="4" w:space="0" w:color="auto"/>
            </w:tcBorders>
          </w:tcPr>
          <w:p w14:paraId="56F0792A"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21</w:t>
            </w:r>
          </w:p>
        </w:tc>
        <w:tc>
          <w:tcPr>
            <w:tcW w:w="1028" w:type="pct"/>
            <w:tcBorders>
              <w:top w:val="single" w:sz="4" w:space="0" w:color="auto"/>
              <w:left w:val="single" w:sz="4" w:space="0" w:color="auto"/>
              <w:bottom w:val="single" w:sz="4" w:space="0" w:color="auto"/>
              <w:right w:val="single" w:sz="4" w:space="0" w:color="auto"/>
            </w:tcBorders>
          </w:tcPr>
          <w:p w14:paraId="6265331F"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20.5</w:t>
            </w:r>
          </w:p>
        </w:tc>
        <w:tc>
          <w:tcPr>
            <w:tcW w:w="1744" w:type="pct"/>
            <w:tcBorders>
              <w:top w:val="single" w:sz="4" w:space="0" w:color="auto"/>
              <w:left w:val="single" w:sz="4" w:space="0" w:color="auto"/>
              <w:bottom w:val="single" w:sz="4" w:space="0" w:color="auto"/>
              <w:right w:val="single" w:sz="4" w:space="0" w:color="auto"/>
            </w:tcBorders>
          </w:tcPr>
          <w:p w14:paraId="5F67178F"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5 خريجون في مجال علم الأحياء</w:t>
            </w:r>
          </w:p>
          <w:p w14:paraId="10FFA6F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4 من حملة الدكتوراه في علم الأحياء</w:t>
            </w:r>
          </w:p>
          <w:p w14:paraId="3AB5E9D0"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3 خريجون في مجال الكيمياء</w:t>
            </w:r>
          </w:p>
          <w:p w14:paraId="6FD7A95A"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كيميائي</w:t>
            </w:r>
          </w:p>
          <w:p w14:paraId="3F88C4E7"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عالم أحياء</w:t>
            </w:r>
          </w:p>
          <w:p w14:paraId="7CF69846"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البيوتكنولوجيا</w:t>
            </w:r>
          </w:p>
          <w:p w14:paraId="1B3CA4C7"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صيدلاني</w:t>
            </w:r>
          </w:p>
          <w:p w14:paraId="008A16C7"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علم الأدوية</w:t>
            </w:r>
          </w:p>
          <w:p w14:paraId="4C987169"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مهندس حرجي</w:t>
            </w:r>
          </w:p>
          <w:p w14:paraId="0F43ADE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خريج في الكيمياء البيولوجية والبيولوجيا الجزيئية</w:t>
            </w:r>
          </w:p>
          <w:p w14:paraId="327427CD"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من حملة الدكتوراه في البيولوجيا الجزيئية</w:t>
            </w:r>
          </w:p>
          <w:p w14:paraId="2D27C0FC" w14:textId="77777777" w:rsidR="001E74B8" w:rsidRPr="001E74B8" w:rsidRDefault="001E74B8" w:rsidP="004002DA">
            <w:pPr>
              <w:widowControl w:val="0"/>
              <w:rPr>
                <w:rFonts w:ascii="Calibri" w:hAnsi="Calibri"/>
                <w:color w:val="000000" w:themeColor="text1"/>
                <w:rtl/>
                <w:lang w:bidi="ar-EG"/>
              </w:rPr>
            </w:pPr>
            <w:r w:rsidRPr="001E74B8">
              <w:rPr>
                <w:rFonts w:ascii="Calibri" w:hAnsi="Calibri" w:hint="cs"/>
                <w:color w:val="000000" w:themeColor="text1"/>
                <w:rtl/>
                <w:lang w:bidi="ar-EG"/>
              </w:rPr>
              <w:t>1 خريج في الكيمياء البيولوجية ومن حملة الماجستير في علم الأعصاب</w:t>
            </w:r>
            <w:r w:rsidRPr="001E74B8">
              <w:rPr>
                <w:rFonts w:ascii="Calibri" w:hAnsi="Calibri" w:hint="cs"/>
                <w:color w:val="000000" w:themeColor="text1"/>
                <w:rtl/>
                <w:lang w:bidi="ar-EG"/>
              </w:rPr>
              <w:cr/>
            </w:r>
            <w:r w:rsidRPr="001E74B8">
              <w:rPr>
                <w:rFonts w:ascii="Calibri" w:hAnsi="Calibri" w:hint="cs"/>
                <w:color w:val="000000" w:themeColor="text1"/>
                <w:rtl/>
                <w:lang w:bidi="ar-EG"/>
              </w:rPr>
              <w:br/>
            </w:r>
          </w:p>
        </w:tc>
      </w:tr>
      <w:tr w:rsidR="001E74B8" w:rsidRPr="001E74B8" w14:paraId="080E4CA1" w14:textId="77777777" w:rsidTr="008B0506">
        <w:trPr>
          <w:cantSplit/>
        </w:trPr>
        <w:tc>
          <w:tcPr>
            <w:tcW w:w="1273" w:type="pct"/>
            <w:tcBorders>
              <w:top w:val="single" w:sz="4" w:space="0" w:color="auto"/>
              <w:left w:val="single" w:sz="4" w:space="0" w:color="auto"/>
              <w:bottom w:val="single" w:sz="4" w:space="0" w:color="auto"/>
              <w:right w:val="single" w:sz="4" w:space="0" w:color="auto"/>
            </w:tcBorders>
            <w:hideMark/>
          </w:tcPr>
          <w:p w14:paraId="0AF68555" w14:textId="77777777" w:rsidR="001E74B8" w:rsidRPr="001E74B8" w:rsidRDefault="001E74B8" w:rsidP="004002DA">
            <w:pPr>
              <w:widowControl w:val="0"/>
              <w:suppressAutoHyphens/>
              <w:rPr>
                <w:rFonts w:ascii="Calibri" w:eastAsia="Times New Roman" w:hAnsi="Calibri"/>
                <w:i/>
                <w:iCs/>
                <w:color w:val="000000" w:themeColor="text1"/>
                <w:rtl/>
                <w:lang w:bidi="ar-EG"/>
              </w:rPr>
            </w:pPr>
            <w:r w:rsidRPr="001E74B8">
              <w:rPr>
                <w:rFonts w:ascii="Calibri" w:hAnsi="Calibri" w:hint="cs"/>
                <w:i/>
                <w:iCs/>
                <w:color w:val="000000" w:themeColor="text1"/>
                <w:rtl/>
                <w:lang w:bidi="ar-EG"/>
              </w:rPr>
              <w:t>المجموع</w:t>
            </w:r>
          </w:p>
        </w:tc>
        <w:tc>
          <w:tcPr>
            <w:tcW w:w="955" w:type="pct"/>
            <w:tcBorders>
              <w:top w:val="single" w:sz="4" w:space="0" w:color="auto"/>
              <w:left w:val="single" w:sz="4" w:space="0" w:color="auto"/>
              <w:bottom w:val="single" w:sz="4" w:space="0" w:color="auto"/>
              <w:right w:val="single" w:sz="4" w:space="0" w:color="auto"/>
            </w:tcBorders>
          </w:tcPr>
          <w:p w14:paraId="2E65C819"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131</w:t>
            </w:r>
          </w:p>
        </w:tc>
        <w:tc>
          <w:tcPr>
            <w:tcW w:w="1028" w:type="pct"/>
            <w:tcBorders>
              <w:top w:val="single" w:sz="4" w:space="0" w:color="auto"/>
              <w:left w:val="single" w:sz="4" w:space="0" w:color="auto"/>
              <w:bottom w:val="single" w:sz="4" w:space="0" w:color="auto"/>
              <w:right w:val="single" w:sz="4" w:space="0" w:color="auto"/>
            </w:tcBorders>
          </w:tcPr>
          <w:p w14:paraId="11BA4618" w14:textId="77777777" w:rsidR="001E74B8" w:rsidRPr="001E74B8" w:rsidRDefault="001E74B8" w:rsidP="004002DA">
            <w:pPr>
              <w:widowControl w:val="0"/>
              <w:jc w:val="both"/>
              <w:rPr>
                <w:rFonts w:ascii="Calibri" w:hAnsi="Calibri"/>
                <w:color w:val="000000" w:themeColor="text1"/>
                <w:rtl/>
                <w:lang w:bidi="ar-EG"/>
              </w:rPr>
            </w:pPr>
            <w:r w:rsidRPr="001E74B8">
              <w:rPr>
                <w:rFonts w:ascii="Calibri" w:hAnsi="Calibri" w:hint="cs"/>
                <w:color w:val="000000" w:themeColor="text1"/>
                <w:rtl/>
                <w:lang w:bidi="ar-EG"/>
              </w:rPr>
              <w:t>16.4</w:t>
            </w:r>
          </w:p>
        </w:tc>
        <w:tc>
          <w:tcPr>
            <w:tcW w:w="1744" w:type="pct"/>
            <w:tcBorders>
              <w:top w:val="single" w:sz="4" w:space="0" w:color="auto"/>
              <w:left w:val="single" w:sz="4" w:space="0" w:color="auto"/>
              <w:bottom w:val="single" w:sz="4" w:space="0" w:color="auto"/>
              <w:right w:val="single" w:sz="4" w:space="0" w:color="auto"/>
            </w:tcBorders>
          </w:tcPr>
          <w:p w14:paraId="321FC67C" w14:textId="77777777" w:rsidR="001E74B8" w:rsidRPr="001E74B8" w:rsidRDefault="001E74B8" w:rsidP="004002DA">
            <w:pPr>
              <w:widowControl w:val="0"/>
              <w:jc w:val="both"/>
              <w:rPr>
                <w:rFonts w:ascii="Calibri" w:hAnsi="Calibri"/>
                <w:color w:val="000000" w:themeColor="text1"/>
                <w:lang w:bidi="ar-EG"/>
              </w:rPr>
            </w:pPr>
          </w:p>
        </w:tc>
      </w:tr>
    </w:tbl>
    <w:p w14:paraId="279E7E34" w14:textId="77777777" w:rsidR="001E74B8" w:rsidRPr="001E74B8" w:rsidRDefault="001E74B8" w:rsidP="001E74B8">
      <w:pPr>
        <w:keepNext/>
        <w:keepLines/>
        <w:spacing w:after="240"/>
        <w:ind w:right="567"/>
        <w:rPr>
          <w:rFonts w:ascii="Calibri" w:hAnsi="Calibri"/>
          <w:bCs/>
          <w:iCs/>
          <w:color w:val="000000" w:themeColor="text1"/>
          <w:lang w:bidi="ar-EG"/>
        </w:rPr>
      </w:pPr>
    </w:p>
    <w:p w14:paraId="065C4FD6" w14:textId="77777777" w:rsidR="001E74B8" w:rsidRPr="001E74B8" w:rsidRDefault="001E74B8" w:rsidP="008B0506">
      <w:pPr>
        <w:pStyle w:val="BodyText"/>
        <w:rPr>
          <w:rtl/>
          <w:lang w:bidi="ar-EG"/>
        </w:rPr>
      </w:pPr>
      <w:r w:rsidRPr="001E74B8">
        <w:rPr>
          <w:rFonts w:hint="cs"/>
          <w:rtl/>
          <w:lang w:bidi="ar-EG"/>
        </w:rPr>
        <w:t xml:space="preserve">معلومات أخرى خلاف تقرير نظام إدارة الجودة والجدول أعلاه (اختيارية):  </w:t>
      </w:r>
    </w:p>
    <w:p w14:paraId="1E6F6809" w14:textId="77777777" w:rsidR="001E74B8" w:rsidRPr="001E74B8" w:rsidRDefault="001E74B8" w:rsidP="008B0506">
      <w:pPr>
        <w:pStyle w:val="BodyText"/>
        <w:rPr>
          <w:rtl/>
          <w:lang w:bidi="ar-EG"/>
        </w:rPr>
      </w:pPr>
      <w:r w:rsidRPr="001E74B8">
        <w:rPr>
          <w:rFonts w:hint="cs"/>
          <w:rtl/>
          <w:lang w:bidi="ar-EG"/>
        </w:rPr>
        <w:t>تشمل الاختراعات الواردة في الطلبات المودعة نطاقاً واسعاً من التكنولوجيات. وأخذاً بعين الاعتبار القطاعات التقنية التي تُودع بشأنها معظم الطلبات لدى المكتب الإسباني، يُعتبر أن هناك عدداً كافياً من الفاحصين والمجالات التقنية الموكلة إليهم من أجل تلبية متطلبات المعالجة.</w:t>
      </w:r>
    </w:p>
    <w:p w14:paraId="32F6E9F3" w14:textId="1AA9D393" w:rsidR="001E74B8" w:rsidRPr="001E74B8" w:rsidRDefault="001E74B8" w:rsidP="008B0506">
      <w:pPr>
        <w:pStyle w:val="BodyText"/>
        <w:rPr>
          <w:rtl/>
        </w:rPr>
      </w:pPr>
      <w:r w:rsidRPr="001E74B8">
        <w:rPr>
          <w:rFonts w:hint="cs"/>
          <w:rtl/>
          <w:lang w:bidi="ar-EG"/>
        </w:rPr>
        <w:t>ويبيّن الجدول أدناه تصنيف القطاعات الفرعية التقنية العشرة التي استأثرت بأكبر عدد من الطلبات في عامي 2023 و2024. ويمكن الاطلاع على هذا الجدول في كتيب "المكتب الإسباني للبراءات والعلامات التجارية بالأرقام" لعام 2024، المنشور والمتاح على الرابط التالي:</w:t>
      </w:r>
      <w:hyperlink r:id="rId19" w:history="1">
        <w:r w:rsidRPr="001E74B8">
          <w:rPr>
            <w:rFonts w:hint="cs"/>
            <w:rtl/>
            <w:lang w:bidi="ar-EG"/>
          </w:rPr>
          <w:t xml:space="preserve"> </w:t>
        </w:r>
        <w:r w:rsidRPr="001E74B8">
          <w:rPr>
            <w:iCs/>
            <w:u w:val="single"/>
            <w:lang w:bidi="ar-EG"/>
          </w:rPr>
          <w:t>La OEPM-en-cifras-2024</w:t>
        </w:r>
      </w:hyperlink>
      <w:r w:rsidR="004002DA" w:rsidRPr="00CE408E">
        <w:rPr>
          <w:rFonts w:hint="cs"/>
          <w:iCs/>
          <w:rtl/>
          <w:lang w:bidi="ar-EG"/>
        </w:rPr>
        <w:t>.</w:t>
      </w:r>
    </w:p>
    <w:p w14:paraId="05B30656" w14:textId="77777777" w:rsidR="008B0506" w:rsidRDefault="008B0506" w:rsidP="001E74B8">
      <w:pPr>
        <w:keepLines/>
        <w:spacing w:after="240"/>
        <w:ind w:right="567"/>
        <w:jc w:val="both"/>
        <w:rPr>
          <w:rFonts w:ascii="Calibri" w:hAnsi="Calibri"/>
          <w:b/>
          <w:bCs/>
          <w:color w:val="000000" w:themeColor="text1"/>
          <w:rtl/>
          <w:lang w:bidi="ar-EG"/>
        </w:rPr>
      </w:pPr>
    </w:p>
    <w:p w14:paraId="6184382F" w14:textId="77777777" w:rsidR="008B0506" w:rsidRDefault="008B0506">
      <w:pPr>
        <w:bidi w:val="0"/>
        <w:rPr>
          <w:rFonts w:ascii="Calibri" w:hAnsi="Calibri"/>
          <w:b/>
          <w:bCs/>
          <w:color w:val="000000" w:themeColor="text1"/>
          <w:rtl/>
          <w:lang w:bidi="ar-EG"/>
        </w:rPr>
      </w:pPr>
      <w:r>
        <w:rPr>
          <w:rFonts w:ascii="Calibri" w:hAnsi="Calibri"/>
          <w:b/>
          <w:bCs/>
          <w:color w:val="000000" w:themeColor="text1"/>
          <w:rtl/>
          <w:lang w:bidi="ar-EG"/>
        </w:rPr>
        <w:br w:type="page"/>
      </w:r>
    </w:p>
    <w:p w14:paraId="4579F076" w14:textId="4006D773" w:rsidR="001E74B8" w:rsidRPr="001E74B8" w:rsidRDefault="001E74B8" w:rsidP="001E74B8">
      <w:pPr>
        <w:keepLines/>
        <w:spacing w:after="240"/>
        <w:ind w:right="567"/>
        <w:jc w:val="both"/>
        <w:rPr>
          <w:rFonts w:ascii="Calibri" w:hAnsi="Calibri"/>
          <w:b/>
          <w:color w:val="000000" w:themeColor="text1"/>
          <w:rtl/>
          <w:lang w:bidi="ar-EG"/>
        </w:rPr>
      </w:pPr>
      <w:r w:rsidRPr="001E74B8">
        <w:rPr>
          <w:rFonts w:ascii="Calibri" w:hAnsi="Calibri" w:hint="cs"/>
          <w:b/>
          <w:bCs/>
          <w:color w:val="000000" w:themeColor="text1"/>
          <w:rtl/>
          <w:lang w:bidi="ar-EG"/>
        </w:rPr>
        <w:t>القطاعات الفرعية لطلبات البراءات</w:t>
      </w:r>
    </w:p>
    <w:p w14:paraId="720AA8E5" w14:textId="307A6D02" w:rsidR="001E74B8" w:rsidRPr="001E74B8" w:rsidRDefault="00A275E4" w:rsidP="00A275E4">
      <w:pPr>
        <w:spacing w:after="220"/>
        <w:rPr>
          <w:rFonts w:ascii="Calibri" w:hAnsi="Calibri"/>
          <w:color w:val="000000" w:themeColor="text1"/>
          <w:rtl/>
          <w:lang w:bidi="ar-EG"/>
        </w:rPr>
      </w:pPr>
      <w:r>
        <w:rPr>
          <w:noProof/>
        </w:rPr>
        <w:drawing>
          <wp:inline distT="0" distB="0" distL="0" distR="0" wp14:anchorId="63B4B693" wp14:editId="757E9891">
            <wp:extent cx="5940425" cy="3044825"/>
            <wp:effectExtent l="0" t="0" r="3175" b="3175"/>
            <wp:docPr id="1" name="Chart 1">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FE44B7" w14:textId="77777777" w:rsidR="001E74B8" w:rsidRPr="001E74B8" w:rsidRDefault="001E74B8" w:rsidP="001E74B8">
      <w:pPr>
        <w:keepNext/>
        <w:keepLines/>
        <w:spacing w:after="240"/>
        <w:ind w:right="567"/>
        <w:jc w:val="both"/>
        <w:rPr>
          <w:rFonts w:ascii="Calibri" w:hAnsi="Calibri"/>
          <w:b/>
          <w:bCs/>
          <w:iCs/>
          <w:color w:val="000000" w:themeColor="text1"/>
          <w:rtl/>
          <w:lang w:bidi="ar-EG"/>
        </w:rPr>
      </w:pPr>
      <w:r w:rsidRPr="001E74B8">
        <w:rPr>
          <w:rFonts w:ascii="Calibri" w:hAnsi="Calibri" w:hint="cs"/>
          <w:b/>
          <w:bCs/>
          <w:color w:val="000000" w:themeColor="text1"/>
          <w:rtl/>
          <w:lang w:bidi="ar-EG"/>
        </w:rPr>
        <w:t>القطاعات الفرعية لطلبات نماذج المنفعة</w:t>
      </w:r>
    </w:p>
    <w:p w14:paraId="3E9EED22" w14:textId="5849A2FC" w:rsidR="001E74B8" w:rsidRPr="001E74B8" w:rsidRDefault="00A275E4" w:rsidP="001E74B8">
      <w:pPr>
        <w:keepLines/>
        <w:spacing w:after="240"/>
        <w:ind w:right="567"/>
        <w:rPr>
          <w:rFonts w:ascii="Calibri" w:hAnsi="Calibri"/>
          <w:b/>
          <w:color w:val="000000" w:themeColor="text1"/>
          <w:rtl/>
          <w:lang w:bidi="ar-EG"/>
        </w:rPr>
      </w:pPr>
      <w:r>
        <w:rPr>
          <w:noProof/>
        </w:rPr>
        <w:drawing>
          <wp:inline distT="0" distB="0" distL="0" distR="0" wp14:anchorId="1BFE78E3" wp14:editId="538E4EB3">
            <wp:extent cx="5940425" cy="3773170"/>
            <wp:effectExtent l="0" t="0" r="0" b="0"/>
            <wp:docPr id="4" name="Chart 4">
              <a:extLst xmlns:a="http://schemas.openxmlformats.org/drawingml/2006/main">
                <a:ext uri="{FF2B5EF4-FFF2-40B4-BE49-F238E27FC236}">
                  <a16:creationId xmlns:a16="http://schemas.microsoft.com/office/drawing/2014/main" id="{FCE91CB4-9945-4DF7-B236-5C420AE8D0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1FC0438" w14:textId="7F17E779" w:rsidR="001E74B8" w:rsidRPr="001E74B8" w:rsidRDefault="001E74B8" w:rsidP="001E74B8">
      <w:pPr>
        <w:keepNext/>
        <w:keepLines/>
        <w:pBdr>
          <w:top w:val="single" w:sz="4" w:space="1" w:color="auto"/>
        </w:pBdr>
        <w:spacing w:before="360" w:after="200" w:line="480" w:lineRule="auto"/>
        <w:outlineLvl w:val="2"/>
        <w:rPr>
          <w:rFonts w:ascii="Calibri" w:eastAsia="Times New Roman" w:hAnsi="Calibri"/>
          <w:b/>
          <w:bCs/>
          <w:caps/>
          <w:color w:val="000000" w:themeColor="text1"/>
          <w:rtl/>
          <w:lang w:bidi="ar-EG"/>
        </w:rPr>
      </w:pPr>
      <w:r w:rsidRPr="001E74B8">
        <w:rPr>
          <w:rFonts w:ascii="Calibri" w:eastAsia="Times New Roman" w:hAnsi="Calibri" w:hint="cs"/>
          <w:b/>
          <w:bCs/>
          <w:caps/>
          <w:color w:val="000000" w:themeColor="text1"/>
          <w:rtl/>
          <w:lang w:bidi="ar-EG"/>
        </w:rPr>
        <w:t>2.2</w:t>
      </w:r>
      <w:r w:rsidR="00902170">
        <w:rPr>
          <w:rFonts w:ascii="Calibri" w:eastAsia="Times New Roman" w:hAnsi="Calibri"/>
          <w:b/>
          <w:bCs/>
          <w:caps/>
          <w:color w:val="000000" w:themeColor="text1"/>
          <w:lang w:bidi="ar-EG"/>
        </w:rPr>
        <w:t>-</w:t>
      </w:r>
      <w:r w:rsidRPr="001E74B8">
        <w:rPr>
          <w:rFonts w:ascii="Calibri" w:eastAsia="Times New Roman" w:hAnsi="Calibri" w:hint="cs"/>
          <w:b/>
          <w:bCs/>
          <w:caps/>
          <w:color w:val="000000" w:themeColor="text1"/>
          <w:rtl/>
          <w:lang w:bidi="ar-EG"/>
        </w:rPr>
        <w:t xml:space="preserve"> الحد الأدنى للوثائق ـ الإتاحة للاطلاع</w:t>
      </w:r>
    </w:p>
    <w:p w14:paraId="6C3AD47F" w14:textId="77777777" w:rsidR="001E74B8" w:rsidRPr="001E74B8" w:rsidRDefault="001E74B8" w:rsidP="001E74B8">
      <w:pPr>
        <w:keepNext/>
        <w:keepLines/>
        <w:spacing w:after="240"/>
        <w:ind w:left="567" w:right="567"/>
        <w:rPr>
          <w:rFonts w:ascii="Calibri" w:hAnsi="Calibri"/>
          <w:b/>
          <w:i/>
          <w:iCs/>
          <w:color w:val="000000" w:themeColor="text1"/>
          <w:rtl/>
          <w:lang w:bidi="ar-EG"/>
        </w:rPr>
      </w:pPr>
      <w:r w:rsidRPr="001E74B8">
        <w:rPr>
          <w:rFonts w:ascii="Calibri" w:hAnsi="Calibri" w:hint="cs"/>
          <w:b/>
          <w:i/>
          <w:iCs/>
          <w:color w:val="000000" w:themeColor="text1"/>
          <w:rtl/>
          <w:lang w:bidi="ar-EG"/>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27F70B97" w14:textId="59FE1443" w:rsidR="001E74B8" w:rsidRPr="001E74B8" w:rsidRDefault="001E74B8" w:rsidP="001E74B8">
      <w:pPr>
        <w:keepNext/>
        <w:keepLines/>
        <w:spacing w:after="240"/>
        <w:ind w:left="567" w:right="567"/>
        <w:rPr>
          <w:rFonts w:ascii="Calibri" w:hAnsi="Calibri"/>
          <w:b/>
          <w:i/>
          <w:iCs/>
          <w:color w:val="000000" w:themeColor="text1"/>
          <w:rtl/>
          <w:lang w:bidi="ar-EG"/>
        </w:rPr>
      </w:pPr>
      <w:r w:rsidRPr="001E74B8">
        <w:rPr>
          <w:rFonts w:ascii="Calibri" w:hAnsi="Calibri" w:hint="cs"/>
          <w:b/>
          <w:i/>
          <w:iCs/>
          <w:rtl/>
          <w:lang w:bidi="ar-EG"/>
        </w:rPr>
        <w:t xml:space="preserve">وترد المتطلبات المحددة في التعليمات الإدارية في </w:t>
      </w:r>
      <w:r w:rsidRPr="001E74B8">
        <w:rPr>
          <w:rFonts w:ascii="Calibri" w:hAnsi="Calibri"/>
          <w:b/>
          <w:i/>
          <w:iCs/>
          <w:lang w:bidi="ar-EG"/>
        </w:rPr>
        <w:t>‎</w:t>
      </w:r>
      <w:hyperlink r:id="rId22" w:history="1">
        <w:r w:rsidRPr="001E74B8">
          <w:rPr>
            <w:rFonts w:ascii="Calibri" w:hAnsi="Calibri" w:hint="cs"/>
            <w:b/>
            <w:i/>
            <w:iCs/>
            <w:color w:val="0000FF" w:themeColor="hyperlink"/>
            <w:u w:val="single"/>
            <w:rtl/>
            <w:lang w:bidi="ar-EG"/>
          </w:rPr>
          <w:t xml:space="preserve">التعميم </w:t>
        </w:r>
        <w:r w:rsidRPr="001E74B8">
          <w:rPr>
            <w:rFonts w:ascii="Calibri" w:hAnsi="Calibri"/>
            <w:bCs/>
            <w:i/>
            <w:iCs/>
            <w:color w:val="0000FF" w:themeColor="hyperlink"/>
            <w:u w:val="single"/>
            <w:lang w:bidi="ar-EG"/>
          </w:rPr>
          <w:t>C. PCT 1672</w:t>
        </w:r>
      </w:hyperlink>
      <w:r w:rsidRPr="001E74B8">
        <w:rPr>
          <w:rFonts w:ascii="Calibri" w:hAnsi="Calibri"/>
          <w:b/>
          <w:i/>
          <w:iCs/>
          <w:lang w:bidi="ar-EG"/>
        </w:rPr>
        <w:t>‎‎</w:t>
      </w:r>
      <w:r w:rsidRPr="001E74B8">
        <w:rPr>
          <w:rFonts w:ascii="Calibri" w:hAnsi="Calibri" w:hint="cs"/>
          <w:b/>
          <w:i/>
          <w:iCs/>
          <w:rtl/>
          <w:lang w:bidi="ar-EG"/>
        </w:rPr>
        <w:t>، المؤرخ 19 يونيو</w:t>
      </w:r>
      <w:r w:rsidR="00EA3C43">
        <w:rPr>
          <w:rFonts w:ascii="Calibri" w:hAnsi="Calibri" w:hint="cs"/>
          <w:b/>
          <w:i/>
          <w:iCs/>
          <w:rtl/>
          <w:lang w:bidi="ar-EG"/>
        </w:rPr>
        <w:t xml:space="preserve"> </w:t>
      </w:r>
      <w:r w:rsidRPr="001E74B8">
        <w:rPr>
          <w:rFonts w:ascii="Calibri" w:hAnsi="Calibri" w:hint="cs"/>
          <w:b/>
          <w:i/>
          <w:iCs/>
          <w:rtl/>
          <w:lang w:bidi="ar-EG"/>
        </w:rPr>
        <w:t>2024.</w:t>
      </w:r>
    </w:p>
    <w:p w14:paraId="4B8478A5" w14:textId="20C83438" w:rsidR="001E74B8" w:rsidRPr="001E74B8" w:rsidRDefault="001E74B8" w:rsidP="008B0506">
      <w:pPr>
        <w:pStyle w:val="BodyText"/>
        <w:rPr>
          <w:color w:val="000000" w:themeColor="text1"/>
          <w:rtl/>
          <w:lang w:bidi="ar-EG"/>
        </w:rPr>
      </w:pPr>
      <w:r w:rsidRPr="001E74B8">
        <w:rPr>
          <w:rFonts w:hint="cs"/>
          <w:rtl/>
          <w:lang w:bidi="ar-EG"/>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1E74B8">
        <w:rPr>
          <w:bCs/>
          <w:lang w:bidi="ar-EG"/>
        </w:rPr>
        <w:t>PCT/A/55/2</w:t>
      </w:r>
      <w:r w:rsidRPr="001E74B8">
        <w:rPr>
          <w:rFonts w:hint="cs"/>
          <w:rtl/>
          <w:lang w:bidi="ar-EG"/>
        </w:rPr>
        <w:t>، يكون التبليغ على النحو التالي:</w:t>
      </w:r>
      <w:r w:rsidRPr="001E74B8">
        <w:rPr>
          <w:rFonts w:hint="cs"/>
          <w:color w:val="000000" w:themeColor="text1"/>
          <w:rtl/>
          <w:lang w:bidi="ar-EG"/>
        </w:rPr>
        <w:br/>
      </w:r>
      <w:r w:rsidRPr="001E74B8">
        <w:rPr>
          <w:rFonts w:hint="cs"/>
          <w:color w:val="000000" w:themeColor="text1"/>
          <w:rtl/>
          <w:lang w:bidi="ar-EG"/>
        </w:rPr>
        <w:br/>
      </w:r>
      <w:sdt>
        <w:sdtPr>
          <w:rPr>
            <w:bCs/>
            <w:color w:val="000000" w:themeColor="text1"/>
            <w:rtl/>
          </w:rPr>
          <w:id w:val="-178122316"/>
          <w14:checkbox>
            <w14:checked w14:val="1"/>
            <w14:checkedState w14:val="2612" w14:font="MS Gothic"/>
            <w14:uncheckedState w14:val="2610" w14:font="MS Gothic"/>
          </w14:checkbox>
        </w:sdtPr>
        <w:sdtEndPr/>
        <w:sdtContent>
          <w:r w:rsidR="00902170" w:rsidRPr="00760FF7">
            <w:rPr>
              <w:rFonts w:ascii="MS Gothic" w:eastAsia="MS Gothic" w:hAnsi="MS Gothic" w:hint="eastAsia"/>
              <w:color w:val="000000" w:themeColor="text1"/>
            </w:rPr>
            <w:t>☒</w:t>
          </w:r>
        </w:sdtContent>
      </w:sdt>
      <w:r w:rsidR="00902170">
        <w:rPr>
          <w:color w:val="000000" w:themeColor="text1"/>
        </w:rPr>
        <w:t xml:space="preserve"> </w:t>
      </w:r>
      <w:r w:rsidR="00996E2A">
        <w:rPr>
          <w:rFonts w:hint="cs"/>
          <w:color w:val="000000" w:themeColor="text1"/>
          <w:rtl/>
        </w:rPr>
        <w:t xml:space="preserve">تحققت </w:t>
      </w:r>
      <w:r w:rsidRPr="001E74B8">
        <w:rPr>
          <w:rFonts w:hint="cs"/>
          <w:rtl/>
          <w:lang w:bidi="ar-EG"/>
        </w:rPr>
        <w:t xml:space="preserve">فرقة </w:t>
      </w:r>
      <w:r w:rsidRPr="008B0506">
        <w:rPr>
          <w:rFonts w:hint="cs"/>
          <w:rtl/>
          <w:lang w:bidi="ar-EG"/>
        </w:rPr>
        <w:t>العمل</w:t>
      </w:r>
      <w:r w:rsidRPr="001E74B8">
        <w:rPr>
          <w:rFonts w:hint="cs"/>
          <w:rtl/>
          <w:lang w:bidi="ar-EG"/>
        </w:rPr>
        <w:t xml:space="preserve"> المعنية بالحد الأدنى للوثائق المنصوص عليها في معاهدة البراءات من إتاحة مجموعات وثائق البراءات قبل 1 نوفمبر 2025، وتشهد بأن المتطلبات قد استوفيت.</w:t>
      </w:r>
      <w:r w:rsidRPr="001E74B8">
        <w:rPr>
          <w:rFonts w:hint="cs"/>
          <w:color w:val="000000" w:themeColor="text1"/>
          <w:rtl/>
          <w:lang w:bidi="ar-EG"/>
        </w:rPr>
        <w:t xml:space="preserve"> وجرى نشر نطاق ونسق الوثائق التي أتاحتها الإدارة للاطلاع عليها في الجريدة الرسمية لمعاهدة البراءات بتاريخ 23 أكتوبر 2025 في الرابط التالي:</w:t>
      </w:r>
      <w:hyperlink r:id="rId23" w:history="1">
        <w:r w:rsidRPr="001E74B8">
          <w:rPr>
            <w:rFonts w:hint="cs"/>
            <w:color w:val="000000" w:themeColor="text1"/>
            <w:rtl/>
            <w:lang w:bidi="ar-EG"/>
          </w:rPr>
          <w:t xml:space="preserve"> </w:t>
        </w:r>
        <w:r w:rsidRPr="001E74B8">
          <w:rPr>
            <w:bCs/>
            <w:color w:val="0000FF" w:themeColor="hyperlink"/>
            <w:u w:val="single"/>
            <w:lang w:bidi="ar-EG"/>
          </w:rPr>
          <w:t>https://www.wipo.int/documents/d/pct-system/docs-en-official-notices-officialnotices.pdf#page=192</w:t>
        </w:r>
      </w:hyperlink>
      <w:r w:rsidR="00902170">
        <w:rPr>
          <w:rFonts w:hint="cs"/>
          <w:color w:val="000000" w:themeColor="text1"/>
          <w:rtl/>
          <w:lang w:bidi="ar-EG"/>
        </w:rPr>
        <w:t>.</w:t>
      </w:r>
    </w:p>
    <w:p w14:paraId="2CA4B92A" w14:textId="2A7198AA" w:rsidR="001E74B8" w:rsidRPr="001E74B8" w:rsidRDefault="00E879EC" w:rsidP="001E74B8">
      <w:pPr>
        <w:keepLines/>
        <w:pBdr>
          <w:top w:val="single" w:sz="4" w:space="1" w:color="auto"/>
        </w:pBdr>
        <w:spacing w:before="360" w:after="200" w:line="480" w:lineRule="auto"/>
        <w:outlineLvl w:val="2"/>
        <w:rPr>
          <w:rFonts w:ascii="Calibri" w:eastAsia="Times New Roman" w:hAnsi="Calibri"/>
          <w:b/>
          <w:bCs/>
          <w:caps/>
          <w:color w:val="000000" w:themeColor="text1"/>
          <w:rtl/>
          <w:lang w:bidi="ar-EG"/>
        </w:rPr>
      </w:pPr>
      <w:r>
        <w:rPr>
          <w:rFonts w:ascii="Calibri" w:eastAsia="Times New Roman" w:hAnsi="Calibri" w:hint="cs"/>
          <w:b/>
          <w:bCs/>
          <w:caps/>
          <w:color w:val="000000" w:themeColor="text1"/>
          <w:rtl/>
          <w:lang w:bidi="ar-EG"/>
        </w:rPr>
        <w:t>3.2-</w:t>
      </w:r>
      <w:r w:rsidR="001E74B8" w:rsidRPr="001E74B8">
        <w:rPr>
          <w:rFonts w:ascii="Calibri" w:eastAsia="Times New Roman" w:hAnsi="Calibri" w:hint="cs"/>
          <w:b/>
          <w:bCs/>
          <w:caps/>
          <w:color w:val="000000" w:themeColor="text1"/>
          <w:rtl/>
          <w:lang w:bidi="ar-EG"/>
        </w:rPr>
        <w:t xml:space="preserve"> الحد الأدنى للوثائق – إمكانية النفاذ</w:t>
      </w:r>
    </w:p>
    <w:p w14:paraId="4660493D" w14:textId="77777777" w:rsidR="001E74B8" w:rsidRPr="001E74B8" w:rsidRDefault="001E74B8" w:rsidP="001E74B8">
      <w:pPr>
        <w:keepLines/>
        <w:spacing w:after="240"/>
        <w:ind w:left="567" w:right="567"/>
        <w:rPr>
          <w:rFonts w:ascii="Calibri" w:hAnsi="Calibri"/>
          <w:b/>
          <w:color w:val="000000" w:themeColor="text1"/>
          <w:rtl/>
          <w:lang w:bidi="ar-EG"/>
        </w:rPr>
      </w:pPr>
      <w:r w:rsidRPr="001E74B8">
        <w:rPr>
          <w:rFonts w:ascii="Calibri" w:hAnsi="Calibri" w:hint="cs"/>
          <w:b/>
          <w:i/>
          <w:iCs/>
          <w:color w:val="000000" w:themeColor="text1"/>
          <w:rtl/>
          <w:lang w:bidi="ar-EG"/>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76E67FD9" w14:textId="77777777" w:rsidR="001E74B8" w:rsidRPr="008B0506" w:rsidRDefault="001E74B8" w:rsidP="008B0506">
      <w:pPr>
        <w:pStyle w:val="BodyText"/>
        <w:rPr>
          <w:rtl/>
          <w:lang w:bidi="ar-EG"/>
        </w:rPr>
      </w:pPr>
      <w:r w:rsidRPr="008B0506">
        <w:rPr>
          <w:rFonts w:hint="cs"/>
          <w:rtl/>
          <w:lang w:bidi="ar-EG"/>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p>
    <w:p w14:paraId="03C3AE1C" w14:textId="77777777" w:rsidR="001E74B8" w:rsidRPr="008B0506" w:rsidRDefault="001E74B8" w:rsidP="008B0506">
      <w:pPr>
        <w:pStyle w:val="BodyText"/>
        <w:rPr>
          <w:rtl/>
          <w:lang w:bidi="ar-EG"/>
        </w:rPr>
      </w:pPr>
      <w:r w:rsidRPr="008B0506">
        <w:rPr>
          <w:rFonts w:hint="cs"/>
          <w:rtl/>
          <w:lang w:bidi="ar-EG"/>
        </w:rPr>
        <w:t xml:space="preserve">معلومات أخرى خلاف تقرير نظام إدارة الجودة (اختيارية):  </w:t>
      </w:r>
    </w:p>
    <w:p w14:paraId="04FB0878" w14:textId="77777777" w:rsidR="001E74B8" w:rsidRPr="008B0506" w:rsidRDefault="001E74B8" w:rsidP="008B0506">
      <w:pPr>
        <w:pStyle w:val="BodyText"/>
        <w:rPr>
          <w:rtl/>
          <w:lang w:bidi="ar-EG"/>
        </w:rPr>
      </w:pPr>
      <w:r w:rsidRPr="008B0506">
        <w:rPr>
          <w:rFonts w:hint="cs"/>
          <w:rtl/>
          <w:lang w:bidi="ar-EG"/>
        </w:rPr>
        <w:t xml:space="preserve">على النحو الوارد في تقرير نظام إدارة الجودة، يتقن جميع الفاحصين اللغة الإنكليزية، ويجيد العديد منهم أيضاً الفرنسية و/أو الألمانية. وعلاوة على ذلك، بغية تسهيل البحث عن حالة التقنية الصناعية السابقة وفهمها بلغات مختلفة، توجد خطة تعاون ثنائية بين المكتب الأوروبي للبراءات والدول الأعضاء في المنظمة الأوروبية للبراءات (بما فيها إسبانيا). </w:t>
      </w:r>
    </w:p>
    <w:p w14:paraId="2D80A216" w14:textId="77777777" w:rsidR="001E74B8" w:rsidRPr="008B0506" w:rsidRDefault="001E74B8" w:rsidP="008B0506">
      <w:pPr>
        <w:pStyle w:val="BodyText"/>
        <w:rPr>
          <w:rtl/>
          <w:lang w:bidi="ar-EG"/>
        </w:rPr>
      </w:pPr>
      <w:r w:rsidRPr="008B0506">
        <w:rPr>
          <w:rFonts w:hint="cs"/>
          <w:rtl/>
          <w:lang w:bidi="ar-EG"/>
        </w:rPr>
        <w:t>ويشمل ذلك مشروع التدريب اللغوي العام، الذي يوفر دعماً مالياً لتحسين المهارات اللغوية لموظفي مكاتب البراءات الوطنية في أوروبا الذين لا يتحدثون الإنكليزية أو الفرنسية أو الألمانية كلغة أم. ويتولّى تدريس الدورات المعاهد اللغوية المرموقة التالية: المجلس الثقافي البريطاني، ومعهد جوته الألماني، والمعهد الفرنسي. وتُقدم دورات اللغة لموظفي مكاتب البراءات الوطنية على شكل دورات تدريبية فردية لكبار المديرين، ودورات جماعية للموظفين العاملين في أنشطة متعلقة بالبراءات، مثل فاحصي البراءات.</w:t>
      </w:r>
    </w:p>
    <w:p w14:paraId="3AD6EC33" w14:textId="77777777" w:rsidR="001E74B8" w:rsidRPr="008B0506" w:rsidRDefault="001E74B8" w:rsidP="008B0506">
      <w:pPr>
        <w:pStyle w:val="BodyText"/>
        <w:rPr>
          <w:rtl/>
          <w:lang w:bidi="ar-EG"/>
        </w:rPr>
      </w:pPr>
      <w:r w:rsidRPr="008B0506">
        <w:rPr>
          <w:rFonts w:hint="cs"/>
          <w:rtl/>
          <w:lang w:bidi="ar-EG"/>
        </w:rPr>
        <w:t>وتجدر الإشارة، على النحو الوارد في تقرير نظام إدارة الجودة، إلى أن المكتب الإسباني لديه إمكانية نفاذ إلى مجموعة واسعة من وثائق البراءات والمؤلفات ذات الصلة تتجاوز الحد الأدنى المطلوب للوثائق بموجب القاعدة 34.</w:t>
      </w:r>
    </w:p>
    <w:p w14:paraId="623041EF" w14:textId="3B2EA45F" w:rsidR="001E74B8" w:rsidRPr="001E74B8" w:rsidRDefault="00EA3C43" w:rsidP="001E74B8">
      <w:pPr>
        <w:keepLines/>
        <w:pBdr>
          <w:top w:val="single" w:sz="4" w:space="1" w:color="auto"/>
        </w:pBdr>
        <w:spacing w:before="360" w:after="200" w:line="480" w:lineRule="auto"/>
        <w:outlineLvl w:val="2"/>
        <w:rPr>
          <w:rFonts w:ascii="Calibri" w:eastAsia="Times New Roman" w:hAnsi="Calibri"/>
          <w:b/>
          <w:bCs/>
          <w:caps/>
          <w:color w:val="000000" w:themeColor="text1"/>
          <w:rtl/>
          <w:lang w:bidi="ar-EG"/>
        </w:rPr>
      </w:pPr>
      <w:r>
        <w:rPr>
          <w:rFonts w:ascii="Calibri" w:eastAsia="Times New Roman" w:hAnsi="Calibri" w:hint="cs"/>
          <w:b/>
          <w:bCs/>
          <w:caps/>
          <w:color w:val="000000" w:themeColor="text1"/>
          <w:rtl/>
          <w:lang w:bidi="ar-EG"/>
        </w:rPr>
        <w:t>4</w:t>
      </w:r>
      <w:r w:rsidR="00E26E54">
        <w:rPr>
          <w:rFonts w:ascii="Calibri" w:eastAsia="Times New Roman" w:hAnsi="Calibri" w:hint="cs"/>
          <w:b/>
          <w:bCs/>
          <w:caps/>
          <w:color w:val="000000" w:themeColor="text1"/>
          <w:rtl/>
          <w:lang w:bidi="ar-EG"/>
        </w:rPr>
        <w:t>.</w:t>
      </w:r>
      <w:r>
        <w:rPr>
          <w:rFonts w:ascii="Calibri" w:eastAsia="Times New Roman" w:hAnsi="Calibri" w:hint="cs"/>
          <w:b/>
          <w:bCs/>
          <w:caps/>
          <w:color w:val="000000" w:themeColor="text1"/>
          <w:rtl/>
          <w:lang w:bidi="ar-EG"/>
        </w:rPr>
        <w:t>2</w:t>
      </w:r>
      <w:r w:rsidR="00E26E54">
        <w:rPr>
          <w:rFonts w:ascii="Calibri" w:eastAsia="Times New Roman" w:hAnsi="Calibri" w:hint="cs"/>
          <w:b/>
          <w:bCs/>
          <w:caps/>
          <w:color w:val="000000" w:themeColor="text1"/>
          <w:rtl/>
          <w:lang w:bidi="ar-EG"/>
        </w:rPr>
        <w:t>-</w:t>
      </w:r>
      <w:r w:rsidR="001E74B8" w:rsidRPr="001E74B8">
        <w:rPr>
          <w:rFonts w:ascii="Calibri" w:eastAsia="Times New Roman" w:hAnsi="Calibri" w:hint="cs"/>
          <w:b/>
          <w:bCs/>
          <w:caps/>
          <w:color w:val="000000" w:themeColor="text1"/>
          <w:rtl/>
          <w:lang w:bidi="ar-EG"/>
        </w:rPr>
        <w:t xml:space="preserve"> إدارة الجودة</w:t>
      </w:r>
    </w:p>
    <w:p w14:paraId="705E4CC1" w14:textId="77777777" w:rsidR="001E74B8" w:rsidRPr="001E74B8" w:rsidRDefault="001E74B8" w:rsidP="001E74B8">
      <w:pPr>
        <w:keepLines/>
        <w:spacing w:after="240"/>
        <w:ind w:left="567" w:right="567"/>
        <w:rPr>
          <w:rFonts w:ascii="Calibri" w:hAnsi="Calibri"/>
          <w:b/>
          <w:i/>
          <w:iCs/>
          <w:color w:val="000000" w:themeColor="text1"/>
          <w:rtl/>
          <w:lang w:bidi="ar-EG"/>
        </w:rPr>
      </w:pPr>
      <w:r w:rsidRPr="001E74B8">
        <w:rPr>
          <w:rFonts w:ascii="Calibri" w:hAnsi="Calibri" w:hint="cs"/>
          <w:b/>
          <w:i/>
          <w:iCs/>
          <w:color w:val="000000" w:themeColor="text1"/>
          <w:rtl/>
          <w:lang w:bidi="ar-EG"/>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6CB38DA2" w14:textId="77777777" w:rsidR="001E74B8" w:rsidRPr="001E74B8" w:rsidRDefault="001E74B8" w:rsidP="008B0506">
      <w:pPr>
        <w:pStyle w:val="BodyText"/>
        <w:rPr>
          <w:rtl/>
          <w:lang w:bidi="ar-EG"/>
        </w:rPr>
      </w:pPr>
      <w:r w:rsidRPr="001E74B8">
        <w:rPr>
          <w:rFonts w:hint="cs"/>
          <w:rtl/>
          <w:lang w:bidi="ar-EG"/>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3F4D7411" w14:textId="77777777" w:rsidR="001E74B8" w:rsidRPr="001E74B8" w:rsidRDefault="001E74B8" w:rsidP="008B0506">
      <w:pPr>
        <w:pStyle w:val="BodyText"/>
        <w:rPr>
          <w:rtl/>
          <w:lang w:bidi="ar-EG"/>
        </w:rPr>
      </w:pPr>
      <w:r w:rsidRPr="001E74B8">
        <w:rPr>
          <w:rFonts w:hint="cs"/>
          <w:rtl/>
          <w:lang w:bidi="ar-EG"/>
        </w:rPr>
        <w:t xml:space="preserve">معلومات أخرى خلاف تقرير نظام إدارة الجودة (اختيارية):  </w:t>
      </w:r>
    </w:p>
    <w:p w14:paraId="196A7F87" w14:textId="77777777" w:rsidR="001E74B8" w:rsidRPr="001E74B8" w:rsidRDefault="001E74B8" w:rsidP="008B0506">
      <w:pPr>
        <w:pStyle w:val="BodyText"/>
        <w:rPr>
          <w:rtl/>
          <w:lang w:bidi="ar-EG"/>
        </w:rPr>
      </w:pPr>
      <w:r w:rsidRPr="001E74B8">
        <w:rPr>
          <w:rFonts w:hint="cs"/>
          <w:rtl/>
          <w:lang w:bidi="ar-EG"/>
        </w:rPr>
        <w:t xml:space="preserve">لقد نال نظام إدارة الجودة في المكتب الإسباني الشهادة التالية: </w:t>
      </w:r>
      <w:r w:rsidRPr="001E74B8">
        <w:rPr>
          <w:bCs/>
          <w:lang w:bidi="ar-EG"/>
        </w:rPr>
        <w:t>ISO 9001:2015</w:t>
      </w:r>
      <w:r w:rsidRPr="001E74B8">
        <w:rPr>
          <w:rFonts w:hint="cs"/>
          <w:rtl/>
          <w:lang w:bidi="ar-EG"/>
        </w:rPr>
        <w:t>.</w:t>
      </w:r>
      <w:r w:rsidRPr="001E74B8">
        <w:rPr>
          <w:rFonts w:hint="cs"/>
          <w:i/>
          <w:iCs/>
          <w:rtl/>
          <w:lang w:bidi="ar-EG"/>
        </w:rPr>
        <w:t xml:space="preserve"> </w:t>
      </w:r>
    </w:p>
    <w:p w14:paraId="25AB1F3C" w14:textId="77777777" w:rsidR="001E74B8" w:rsidRPr="001E74B8" w:rsidRDefault="001E74B8" w:rsidP="008B0506">
      <w:pPr>
        <w:pStyle w:val="BodyText"/>
        <w:rPr>
          <w:rtl/>
          <w:lang w:bidi="ar-EG"/>
        </w:rPr>
      </w:pPr>
      <w:r w:rsidRPr="001E74B8">
        <w:rPr>
          <w:rFonts w:hint="cs"/>
          <w:rtl/>
          <w:lang w:bidi="ar-EG"/>
        </w:rPr>
        <w:t>ويشمل نطاق هذا النظام إجراءات معاهدة البراءات، وإجراءات مراقبة التكنولوجيا، والتصاميم الصناعية، والعلامات التجارية الوطنية والأسماء التجارية، والبراءات الوطنية، ونماذج المنفعة، وشهادات الحماية التكميلية، وتسجيل اتفاقيات الترخيص ونقل حقوق الملكية الصناعية، والقرارات المتعلقة باستعادة الحقوق، والطعون، والتحقق من صحة البراءات الأوروبية.</w:t>
      </w:r>
    </w:p>
    <w:p w14:paraId="30D9F553" w14:textId="77777777" w:rsidR="001E74B8" w:rsidRPr="001E74B8" w:rsidRDefault="001E74B8" w:rsidP="008B0506">
      <w:pPr>
        <w:pStyle w:val="BodyText"/>
        <w:rPr>
          <w:rtl/>
          <w:lang w:bidi="ar-EG"/>
        </w:rPr>
      </w:pPr>
      <w:r w:rsidRPr="001E74B8">
        <w:rPr>
          <w:rFonts w:hint="cs"/>
          <w:rtl/>
          <w:lang w:bidi="ar-EG"/>
        </w:rPr>
        <w:t>وأُجريت آخر عملية تدقيق خارجي في يونيو 2025، واكتملت متابعتها بنجاح.</w:t>
      </w:r>
    </w:p>
    <w:p w14:paraId="34A5314B" w14:textId="6F2F489E" w:rsidR="001E74B8" w:rsidRPr="001E74B8" w:rsidRDefault="001E74B8" w:rsidP="008B0506">
      <w:pPr>
        <w:keepNext/>
        <w:keepLines/>
        <w:pBdr>
          <w:top w:val="single" w:sz="4" w:space="1" w:color="auto"/>
        </w:pBdr>
        <w:spacing w:before="360" w:after="200"/>
        <w:outlineLvl w:val="2"/>
        <w:rPr>
          <w:rFonts w:ascii="Calibri" w:eastAsia="Times New Roman" w:hAnsi="Calibri"/>
          <w:b/>
          <w:bCs/>
          <w:caps/>
          <w:color w:val="000000" w:themeColor="text1"/>
          <w:rtl/>
          <w:lang w:bidi="ar-EG"/>
        </w:rPr>
      </w:pPr>
      <w:r w:rsidRPr="001E74B8">
        <w:rPr>
          <w:rFonts w:ascii="Calibri" w:eastAsia="Times New Roman" w:hAnsi="Calibri" w:hint="cs"/>
          <w:b/>
          <w:bCs/>
          <w:caps/>
          <w:color w:val="000000" w:themeColor="text1"/>
          <w:rtl/>
          <w:lang w:bidi="ar-EG"/>
        </w:rPr>
        <w:t>3</w:t>
      </w:r>
      <w:r w:rsidR="00E26E54">
        <w:rPr>
          <w:rFonts w:ascii="Calibri" w:eastAsia="Times New Roman" w:hAnsi="Calibri" w:hint="cs"/>
          <w:b/>
          <w:bCs/>
          <w:caps/>
          <w:color w:val="000000" w:themeColor="text1"/>
          <w:rtl/>
          <w:lang w:bidi="ar-EG"/>
        </w:rPr>
        <w:t>-</w:t>
      </w:r>
      <w:r w:rsidRPr="001E74B8">
        <w:rPr>
          <w:rFonts w:ascii="Calibri" w:eastAsia="Times New Roman" w:hAnsi="Calibri" w:hint="cs"/>
          <w:b/>
          <w:bCs/>
          <w:caps/>
          <w:color w:val="000000" w:themeColor="text1"/>
          <w:rtl/>
          <w:lang w:bidi="ar-EG"/>
        </w:rPr>
        <w:t xml:space="preserve"> نطاق التشغيل</w:t>
      </w:r>
    </w:p>
    <w:p w14:paraId="4060D04E" w14:textId="77777777" w:rsidR="001E74B8" w:rsidRPr="001E74B8" w:rsidRDefault="001E74B8" w:rsidP="008B0506">
      <w:pPr>
        <w:pStyle w:val="Heading3"/>
        <w:rPr>
          <w:rtl/>
        </w:rPr>
      </w:pPr>
      <w:r w:rsidRPr="001E74B8">
        <w:t>‎</w:t>
      </w:r>
      <w:r w:rsidRPr="001E74B8">
        <w:rPr>
          <w:rFonts w:hint="cs"/>
          <w:rtl/>
        </w:rPr>
        <w:t xml:space="preserve">(أ) </w:t>
      </w:r>
      <w:r w:rsidRPr="001E74B8">
        <w:t>‎</w:t>
      </w:r>
      <w:r w:rsidRPr="001E74B8">
        <w:rPr>
          <w:rFonts w:hint="cs"/>
          <w:rtl/>
        </w:rPr>
        <w:t>نطاق التشغيل الحالي</w:t>
      </w:r>
    </w:p>
    <w:p w14:paraId="5D2413CE" w14:textId="3E1F3333" w:rsidR="001E74B8" w:rsidRPr="001E74B8" w:rsidRDefault="001E74B8" w:rsidP="001E74B8">
      <w:pPr>
        <w:keepNext/>
        <w:keepLines/>
        <w:spacing w:after="480"/>
        <w:rPr>
          <w:rFonts w:ascii="Calibri" w:hAnsi="Calibri"/>
          <w:color w:val="000000" w:themeColor="text1"/>
          <w:rtl/>
          <w:lang w:bidi="ar-EG"/>
        </w:rPr>
      </w:pPr>
      <w:r w:rsidRPr="001E74B8">
        <w:rPr>
          <w:rFonts w:ascii="Calibri" w:hAnsi="Calibri" w:hint="cs"/>
          <w:color w:val="000000" w:themeColor="text1"/>
          <w:rtl/>
          <w:lang w:bidi="ar-EG"/>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1E74B8">
        <w:rPr>
          <w:rFonts w:ascii="Calibri" w:hAnsi="Calibri" w:hint="cs"/>
          <w:i/>
          <w:iCs/>
          <w:color w:val="000000" w:themeColor="text1"/>
          <w:rtl/>
          <w:lang w:bidi="ar-EG"/>
        </w:rPr>
        <w:t xml:space="preserve">دليل مودع الطلب بناء على معاهدة التعاون بشأن البراءات </w:t>
      </w:r>
      <w:r w:rsidRPr="001E74B8">
        <w:rPr>
          <w:rFonts w:ascii="Calibri" w:hAnsi="Calibri" w:hint="cs"/>
          <w:color w:val="000000" w:themeColor="text1"/>
          <w:rtl/>
          <w:lang w:bidi="ar-EG"/>
        </w:rPr>
        <w:t>المتاح من خلال الرابط</w:t>
      </w:r>
      <w:r w:rsidR="00D745F9">
        <w:rPr>
          <w:rFonts w:ascii="Calibri" w:hAnsi="Calibri" w:hint="cs"/>
          <w:color w:val="000000" w:themeColor="text1"/>
          <w:rtl/>
          <w:lang w:bidi="ar-EG"/>
        </w:rPr>
        <w:t>ين التاليين</w:t>
      </w:r>
      <w:r w:rsidRPr="001E74B8">
        <w:rPr>
          <w:rFonts w:ascii="Calibri" w:hAnsi="Calibri" w:hint="cs"/>
          <w:color w:val="000000" w:themeColor="text1"/>
          <w:rtl/>
          <w:lang w:bidi="ar-EG"/>
        </w:rPr>
        <w:t>:</w:t>
      </w:r>
      <w:bookmarkStart w:id="6" w:name="_Hlk215086992"/>
      <w:r w:rsidR="00D745F9">
        <w:rPr>
          <w:rFonts w:ascii="Calibri" w:hAnsi="Calibri" w:hint="cs"/>
          <w:bCs/>
          <w:color w:val="0000FF" w:themeColor="hyperlink"/>
          <w:u w:val="single"/>
          <w:rtl/>
          <w:lang w:bidi="ar-EG"/>
        </w:rPr>
        <w:t xml:space="preserve"> </w:t>
      </w:r>
      <w:hyperlink r:id="rId24" w:anchor="ISA؛" w:history="1">
        <w:r w:rsidR="00D745F9" w:rsidRPr="005370B6">
          <w:rPr>
            <w:rStyle w:val="Hyperlink"/>
          </w:rPr>
          <w:t>https://pctlegal.wipo.int/eGuide/view-doc.xhtml?doc-code=ES&amp;amp;doc-lang=en#ISA</w:t>
        </w:r>
        <w:r w:rsidR="00D745F9" w:rsidRPr="005370B6">
          <w:rPr>
            <w:rStyle w:val="Hyperlink"/>
            <w:rFonts w:ascii="Calibri" w:hAnsi="Calibri" w:hint="cs"/>
            <w:rtl/>
            <w:lang w:bidi="ar-EG"/>
          </w:rPr>
          <w:t>؛</w:t>
        </w:r>
      </w:hyperlink>
      <w:r w:rsidR="00D745F9">
        <w:rPr>
          <w:rFonts w:ascii="Calibri" w:hAnsi="Calibri" w:hint="cs"/>
          <w:rtl/>
          <w:lang w:bidi="ar-EG"/>
        </w:rPr>
        <w:t xml:space="preserve"> و</w:t>
      </w:r>
      <w:hyperlink r:id="rId25" w:anchor="#IPEA" w:history="1">
        <w:r w:rsidR="00D745F9">
          <w:rPr>
            <w:rStyle w:val="Hyperlink"/>
          </w:rPr>
          <w:t>https://pctlegal.wipo.int/eGuide/view-doc.xhtml?doc-code=ES&amp;amp;doc-lang=en#IPEA</w:t>
        </w:r>
      </w:hyperlink>
      <w:r w:rsidR="00D745F9">
        <w:rPr>
          <w:rFonts w:ascii="Calibri" w:hAnsi="Calibri" w:hint="cs"/>
          <w:rtl/>
          <w:lang w:bidi="ar-EG"/>
        </w:rPr>
        <w:t>.</w:t>
      </w:r>
    </w:p>
    <w:bookmarkEnd w:id="6"/>
    <w:p w14:paraId="4C18AD03" w14:textId="77777777" w:rsidR="001E74B8" w:rsidRPr="001E74B8" w:rsidRDefault="001E74B8" w:rsidP="008B0506">
      <w:pPr>
        <w:pStyle w:val="Heading3"/>
        <w:rPr>
          <w:rtl/>
        </w:rPr>
      </w:pPr>
      <w:r w:rsidRPr="001E74B8">
        <w:t>‎</w:t>
      </w:r>
      <w:r w:rsidRPr="001E74B8">
        <w:rPr>
          <w:rFonts w:hint="cs"/>
          <w:rtl/>
        </w:rPr>
        <w:t>(ب) التغييرات المخطط لها بشأن نطاق تشغيل الإدارة، مثل مكاتب تسلم الطلبات التي تختص الإدارة بالنظر في طلباتها واللغات المتاحة (إن وجدت):</w:t>
      </w:r>
    </w:p>
    <w:p w14:paraId="69B22A7F" w14:textId="77777777" w:rsidR="001E74B8" w:rsidRPr="001E74B8" w:rsidRDefault="001E74B8" w:rsidP="008B0506">
      <w:pPr>
        <w:pStyle w:val="BodyText"/>
        <w:rPr>
          <w:rtl/>
          <w:lang w:bidi="ar-EG"/>
        </w:rPr>
      </w:pPr>
      <w:r w:rsidRPr="001E74B8">
        <w:rPr>
          <w:rFonts w:hint="cs"/>
          <w:rtl/>
          <w:lang w:bidi="ar-EG"/>
        </w:rPr>
        <w:t>لا يعتزم المكتب تغيير نطاق عمله كإدارة دولية. وعلى وجه التحديد، سيواصل المكتب الإسباني إجراء عمليات البحث الدولية وإعداد تقارير الفحص التمهيدي باللغتين الإسبانية والإنكليزية.</w:t>
      </w:r>
    </w:p>
    <w:p w14:paraId="7315453E" w14:textId="56C1AE57" w:rsidR="001E74B8" w:rsidRPr="001E74B8" w:rsidRDefault="001E74B8" w:rsidP="008B0506">
      <w:pPr>
        <w:pStyle w:val="BodyText"/>
        <w:rPr>
          <w:rtl/>
          <w:lang w:bidi="ar-EG"/>
        </w:rPr>
      </w:pPr>
      <w:r w:rsidRPr="001E74B8">
        <w:rPr>
          <w:rFonts w:hint="cs"/>
          <w:rtl/>
          <w:lang w:bidi="ar-EG"/>
        </w:rPr>
        <w:t>وعلاوة على ذلك، سنواصل إجراء عمليات البحث الدولي والفحص التمهيدي الدولي لطلبات معاهدة البراءات المودعة لدى مكاتب تسلم الطلبات التالية:</w:t>
      </w:r>
    </w:p>
    <w:p w14:paraId="120E4613" w14:textId="77777777" w:rsidR="001E74B8" w:rsidRPr="001E74B8" w:rsidRDefault="001E74B8" w:rsidP="008B0506">
      <w:pPr>
        <w:pStyle w:val="BodyText"/>
        <w:numPr>
          <w:ilvl w:val="0"/>
          <w:numId w:val="42"/>
        </w:numPr>
        <w:spacing w:after="0"/>
        <w:rPr>
          <w:rtl/>
          <w:lang w:bidi="ar-EG"/>
        </w:rPr>
      </w:pPr>
      <w:r w:rsidRPr="001E74B8">
        <w:rPr>
          <w:lang w:bidi="ar-EG"/>
        </w:rPr>
        <w:t>ES</w:t>
      </w:r>
      <w:r w:rsidRPr="001E74B8">
        <w:rPr>
          <w:rFonts w:hint="cs"/>
          <w:rtl/>
          <w:lang w:bidi="ar-EG"/>
        </w:rPr>
        <w:t xml:space="preserve"> إسبانيا</w:t>
      </w:r>
    </w:p>
    <w:p w14:paraId="48A305C4" w14:textId="77777777" w:rsidR="001E74B8" w:rsidRPr="001E74B8" w:rsidRDefault="001E74B8" w:rsidP="008B0506">
      <w:pPr>
        <w:pStyle w:val="BodyText"/>
        <w:numPr>
          <w:ilvl w:val="0"/>
          <w:numId w:val="42"/>
        </w:numPr>
        <w:spacing w:after="0"/>
        <w:rPr>
          <w:rtl/>
          <w:lang w:bidi="ar-EG"/>
        </w:rPr>
      </w:pPr>
      <w:r w:rsidRPr="001E74B8">
        <w:rPr>
          <w:lang w:bidi="ar-EG"/>
        </w:rPr>
        <w:t>CL</w:t>
      </w:r>
      <w:r w:rsidRPr="001E74B8">
        <w:rPr>
          <w:rFonts w:hint="cs"/>
          <w:rtl/>
          <w:lang w:bidi="ar-EG"/>
        </w:rPr>
        <w:t xml:space="preserve"> شيلي</w:t>
      </w:r>
    </w:p>
    <w:p w14:paraId="31211941" w14:textId="77777777" w:rsidR="001E74B8" w:rsidRPr="001E74B8" w:rsidRDefault="001E74B8" w:rsidP="008B0506">
      <w:pPr>
        <w:pStyle w:val="BodyText"/>
        <w:numPr>
          <w:ilvl w:val="0"/>
          <w:numId w:val="42"/>
        </w:numPr>
        <w:spacing w:after="0"/>
        <w:rPr>
          <w:rtl/>
          <w:lang w:bidi="ar-EG"/>
        </w:rPr>
      </w:pPr>
      <w:r w:rsidRPr="001E74B8">
        <w:rPr>
          <w:lang w:bidi="ar-EG"/>
        </w:rPr>
        <w:t>CO</w:t>
      </w:r>
      <w:r w:rsidRPr="001E74B8">
        <w:rPr>
          <w:rFonts w:hint="cs"/>
          <w:rtl/>
          <w:lang w:bidi="ar-EG"/>
        </w:rPr>
        <w:t xml:space="preserve"> كولومبيا</w:t>
      </w:r>
    </w:p>
    <w:p w14:paraId="5DD29F6A" w14:textId="77777777" w:rsidR="001E74B8" w:rsidRPr="001E74B8" w:rsidRDefault="001E74B8" w:rsidP="008B0506">
      <w:pPr>
        <w:pStyle w:val="BodyText"/>
        <w:numPr>
          <w:ilvl w:val="0"/>
          <w:numId w:val="42"/>
        </w:numPr>
        <w:spacing w:after="0"/>
        <w:rPr>
          <w:rtl/>
          <w:lang w:bidi="ar-EG"/>
        </w:rPr>
      </w:pPr>
      <w:r w:rsidRPr="001E74B8">
        <w:rPr>
          <w:lang w:bidi="ar-EG"/>
        </w:rPr>
        <w:t>CU</w:t>
      </w:r>
      <w:r w:rsidRPr="001E74B8">
        <w:rPr>
          <w:rFonts w:hint="cs"/>
          <w:rtl/>
          <w:lang w:bidi="ar-EG"/>
        </w:rPr>
        <w:t xml:space="preserve"> كوبا</w:t>
      </w:r>
    </w:p>
    <w:p w14:paraId="743A8650" w14:textId="77777777" w:rsidR="001E74B8" w:rsidRPr="001E74B8" w:rsidRDefault="001E74B8" w:rsidP="008B0506">
      <w:pPr>
        <w:pStyle w:val="BodyText"/>
        <w:numPr>
          <w:ilvl w:val="0"/>
          <w:numId w:val="42"/>
        </w:numPr>
        <w:spacing w:after="0"/>
        <w:rPr>
          <w:rtl/>
          <w:lang w:bidi="ar-EG"/>
        </w:rPr>
      </w:pPr>
      <w:r w:rsidRPr="001E74B8">
        <w:rPr>
          <w:lang w:bidi="ar-EG"/>
        </w:rPr>
        <w:t>CR</w:t>
      </w:r>
      <w:r w:rsidRPr="001E74B8">
        <w:rPr>
          <w:rFonts w:hint="cs"/>
          <w:rtl/>
          <w:lang w:bidi="ar-EG"/>
        </w:rPr>
        <w:t xml:space="preserve"> كوستاريكا</w:t>
      </w:r>
    </w:p>
    <w:p w14:paraId="043F9EFB" w14:textId="77777777" w:rsidR="001E74B8" w:rsidRPr="001E74B8" w:rsidRDefault="001E74B8" w:rsidP="008B0506">
      <w:pPr>
        <w:pStyle w:val="BodyText"/>
        <w:numPr>
          <w:ilvl w:val="0"/>
          <w:numId w:val="42"/>
        </w:numPr>
        <w:spacing w:after="0"/>
        <w:rPr>
          <w:rtl/>
          <w:lang w:bidi="ar-EG"/>
        </w:rPr>
      </w:pPr>
      <w:r w:rsidRPr="001E74B8">
        <w:rPr>
          <w:lang w:bidi="ar-EG"/>
        </w:rPr>
        <w:t>DO</w:t>
      </w:r>
      <w:r w:rsidRPr="001E74B8">
        <w:rPr>
          <w:rFonts w:hint="cs"/>
          <w:rtl/>
          <w:lang w:bidi="ar-EG"/>
        </w:rPr>
        <w:t xml:space="preserve"> الجمهورية الدومينيكية</w:t>
      </w:r>
    </w:p>
    <w:p w14:paraId="17C2B6AA" w14:textId="77777777" w:rsidR="001E74B8" w:rsidRPr="001E74B8" w:rsidRDefault="001E74B8" w:rsidP="008B0506">
      <w:pPr>
        <w:pStyle w:val="BodyText"/>
        <w:numPr>
          <w:ilvl w:val="0"/>
          <w:numId w:val="42"/>
        </w:numPr>
        <w:spacing w:after="0"/>
        <w:rPr>
          <w:rtl/>
          <w:lang w:bidi="ar-EG"/>
        </w:rPr>
      </w:pPr>
      <w:r w:rsidRPr="001E74B8">
        <w:rPr>
          <w:lang w:bidi="ar-EG"/>
        </w:rPr>
        <w:t>EC</w:t>
      </w:r>
      <w:r w:rsidRPr="001E74B8">
        <w:rPr>
          <w:rFonts w:hint="cs"/>
          <w:rtl/>
          <w:lang w:bidi="ar-EG"/>
        </w:rPr>
        <w:t xml:space="preserve"> إكوادور</w:t>
      </w:r>
    </w:p>
    <w:p w14:paraId="23E64312" w14:textId="77777777" w:rsidR="001E74B8" w:rsidRPr="001E74B8" w:rsidRDefault="001E74B8" w:rsidP="008B0506">
      <w:pPr>
        <w:pStyle w:val="BodyText"/>
        <w:numPr>
          <w:ilvl w:val="0"/>
          <w:numId w:val="42"/>
        </w:numPr>
        <w:spacing w:after="0"/>
        <w:rPr>
          <w:rtl/>
          <w:lang w:bidi="ar-EG"/>
        </w:rPr>
      </w:pPr>
      <w:r w:rsidRPr="001E74B8">
        <w:rPr>
          <w:lang w:bidi="ar-EG"/>
        </w:rPr>
        <w:t>GT</w:t>
      </w:r>
      <w:r w:rsidRPr="001E74B8">
        <w:rPr>
          <w:rFonts w:hint="cs"/>
          <w:rtl/>
          <w:lang w:bidi="ar-EG"/>
        </w:rPr>
        <w:t xml:space="preserve"> غواتيمالا</w:t>
      </w:r>
    </w:p>
    <w:p w14:paraId="53A7BC90" w14:textId="77777777" w:rsidR="001E74B8" w:rsidRPr="001E74B8" w:rsidRDefault="001E74B8" w:rsidP="008B0506">
      <w:pPr>
        <w:pStyle w:val="BodyText"/>
        <w:numPr>
          <w:ilvl w:val="0"/>
          <w:numId w:val="42"/>
        </w:numPr>
        <w:spacing w:after="0"/>
        <w:rPr>
          <w:rtl/>
          <w:lang w:bidi="ar-EG"/>
        </w:rPr>
      </w:pPr>
      <w:r w:rsidRPr="001E74B8">
        <w:rPr>
          <w:lang w:bidi="ar-EG"/>
        </w:rPr>
        <w:t>HN</w:t>
      </w:r>
      <w:r w:rsidRPr="001E74B8">
        <w:rPr>
          <w:rFonts w:hint="cs"/>
          <w:rtl/>
          <w:lang w:bidi="ar-EG"/>
        </w:rPr>
        <w:t xml:space="preserve"> هندوراس</w:t>
      </w:r>
    </w:p>
    <w:p w14:paraId="64F9D4E6" w14:textId="77777777" w:rsidR="001E74B8" w:rsidRPr="001E74B8" w:rsidRDefault="001E74B8" w:rsidP="008B0506">
      <w:pPr>
        <w:pStyle w:val="BodyText"/>
        <w:numPr>
          <w:ilvl w:val="0"/>
          <w:numId w:val="42"/>
        </w:numPr>
        <w:spacing w:after="0"/>
        <w:rPr>
          <w:rtl/>
          <w:lang w:bidi="ar-EG"/>
        </w:rPr>
      </w:pPr>
      <w:r w:rsidRPr="001E74B8">
        <w:rPr>
          <w:lang w:bidi="ar-EG"/>
        </w:rPr>
        <w:t>MX</w:t>
      </w:r>
      <w:r w:rsidRPr="001E74B8">
        <w:rPr>
          <w:rFonts w:hint="cs"/>
          <w:rtl/>
          <w:lang w:bidi="ar-EG"/>
        </w:rPr>
        <w:t xml:space="preserve"> المكسيك</w:t>
      </w:r>
    </w:p>
    <w:p w14:paraId="5F696DAB" w14:textId="77777777" w:rsidR="001E74B8" w:rsidRPr="001E74B8" w:rsidRDefault="001E74B8" w:rsidP="008B0506">
      <w:pPr>
        <w:pStyle w:val="BodyText"/>
        <w:numPr>
          <w:ilvl w:val="0"/>
          <w:numId w:val="42"/>
        </w:numPr>
        <w:spacing w:after="0"/>
        <w:rPr>
          <w:rtl/>
          <w:lang w:bidi="ar-EG"/>
        </w:rPr>
      </w:pPr>
      <w:r w:rsidRPr="001E74B8">
        <w:rPr>
          <w:lang w:bidi="ar-EG"/>
        </w:rPr>
        <w:t>NI</w:t>
      </w:r>
      <w:r w:rsidRPr="001E74B8">
        <w:rPr>
          <w:rFonts w:hint="cs"/>
          <w:rtl/>
          <w:lang w:bidi="ar-EG"/>
        </w:rPr>
        <w:t xml:space="preserve"> نيكاراغوا</w:t>
      </w:r>
    </w:p>
    <w:p w14:paraId="6AA12B76" w14:textId="77777777" w:rsidR="001E74B8" w:rsidRPr="001E74B8" w:rsidRDefault="001E74B8" w:rsidP="008B0506">
      <w:pPr>
        <w:pStyle w:val="BodyText"/>
        <w:numPr>
          <w:ilvl w:val="0"/>
          <w:numId w:val="42"/>
        </w:numPr>
        <w:spacing w:after="0"/>
        <w:rPr>
          <w:rtl/>
          <w:lang w:bidi="ar-EG"/>
        </w:rPr>
      </w:pPr>
      <w:r w:rsidRPr="001E74B8">
        <w:rPr>
          <w:lang w:bidi="ar-EG"/>
        </w:rPr>
        <w:t>PA</w:t>
      </w:r>
      <w:r w:rsidRPr="001E74B8">
        <w:rPr>
          <w:rFonts w:hint="cs"/>
          <w:rtl/>
          <w:lang w:bidi="ar-EG"/>
        </w:rPr>
        <w:t xml:space="preserve"> بنما</w:t>
      </w:r>
    </w:p>
    <w:p w14:paraId="440D2EC0" w14:textId="77777777" w:rsidR="001E74B8" w:rsidRPr="001E74B8" w:rsidRDefault="001E74B8" w:rsidP="008B0506">
      <w:pPr>
        <w:pStyle w:val="BodyText"/>
        <w:numPr>
          <w:ilvl w:val="0"/>
          <w:numId w:val="42"/>
        </w:numPr>
        <w:spacing w:after="0"/>
        <w:rPr>
          <w:rtl/>
          <w:lang w:bidi="ar-EG"/>
        </w:rPr>
      </w:pPr>
      <w:r w:rsidRPr="001E74B8">
        <w:rPr>
          <w:lang w:bidi="ar-EG"/>
        </w:rPr>
        <w:t>PE</w:t>
      </w:r>
      <w:r w:rsidRPr="001E74B8">
        <w:rPr>
          <w:rFonts w:hint="cs"/>
          <w:rtl/>
          <w:lang w:bidi="ar-EG"/>
        </w:rPr>
        <w:t xml:space="preserve"> بيرو</w:t>
      </w:r>
    </w:p>
    <w:p w14:paraId="48C75045" w14:textId="77777777" w:rsidR="001E74B8" w:rsidRPr="001E74B8" w:rsidRDefault="001E74B8" w:rsidP="008B0506">
      <w:pPr>
        <w:pStyle w:val="BodyText"/>
        <w:numPr>
          <w:ilvl w:val="0"/>
          <w:numId w:val="42"/>
        </w:numPr>
        <w:spacing w:after="0"/>
        <w:rPr>
          <w:rtl/>
          <w:lang w:bidi="ar-EG"/>
        </w:rPr>
      </w:pPr>
      <w:r w:rsidRPr="001E74B8">
        <w:rPr>
          <w:lang w:bidi="ar-EG"/>
        </w:rPr>
        <w:t>SV</w:t>
      </w:r>
      <w:r w:rsidRPr="001E74B8">
        <w:rPr>
          <w:rFonts w:hint="cs"/>
          <w:rtl/>
          <w:lang w:bidi="ar-EG"/>
        </w:rPr>
        <w:t xml:space="preserve"> السلفادور</w:t>
      </w:r>
    </w:p>
    <w:p w14:paraId="215F3CB6" w14:textId="77777777" w:rsidR="001E74B8" w:rsidRPr="001E74B8" w:rsidRDefault="001E74B8" w:rsidP="008B0506">
      <w:pPr>
        <w:pStyle w:val="BodyText"/>
        <w:numPr>
          <w:ilvl w:val="0"/>
          <w:numId w:val="42"/>
        </w:numPr>
        <w:spacing w:after="0"/>
        <w:rPr>
          <w:rtl/>
          <w:lang w:bidi="ar-EG"/>
        </w:rPr>
      </w:pPr>
      <w:r w:rsidRPr="001E74B8">
        <w:rPr>
          <w:lang w:bidi="ar-EG"/>
        </w:rPr>
        <w:t>UY</w:t>
      </w:r>
      <w:r w:rsidRPr="001E74B8">
        <w:rPr>
          <w:rFonts w:hint="cs"/>
          <w:rtl/>
          <w:lang w:bidi="ar-EG"/>
        </w:rPr>
        <w:t xml:space="preserve"> أوروغواي (عمليات البحث الدولي)</w:t>
      </w:r>
    </w:p>
    <w:p w14:paraId="2C5A44BF" w14:textId="2B798951" w:rsidR="001E74B8" w:rsidRPr="001E74B8" w:rsidRDefault="001E74B8" w:rsidP="008B0506">
      <w:pPr>
        <w:keepNext/>
        <w:keepLines/>
        <w:pBdr>
          <w:top w:val="single" w:sz="4" w:space="1" w:color="auto"/>
        </w:pBdr>
        <w:spacing w:before="360" w:after="200"/>
        <w:outlineLvl w:val="2"/>
        <w:rPr>
          <w:rFonts w:ascii="Calibri" w:eastAsia="Times New Roman" w:hAnsi="Calibri"/>
          <w:b/>
          <w:bCs/>
          <w:caps/>
          <w:color w:val="000000" w:themeColor="text1"/>
          <w:rtl/>
          <w:lang w:bidi="ar-EG"/>
        </w:rPr>
      </w:pPr>
      <w:r w:rsidRPr="001E74B8">
        <w:rPr>
          <w:rFonts w:ascii="Calibri" w:eastAsia="Times New Roman" w:hAnsi="Calibri" w:hint="cs"/>
          <w:b/>
          <w:bCs/>
          <w:caps/>
          <w:color w:val="000000" w:themeColor="text1"/>
          <w:rtl/>
          <w:lang w:bidi="ar-EG"/>
        </w:rPr>
        <w:t>4</w:t>
      </w:r>
      <w:r w:rsidR="00E26E54">
        <w:rPr>
          <w:rFonts w:ascii="Calibri" w:eastAsia="Times New Roman" w:hAnsi="Calibri" w:hint="cs"/>
          <w:b/>
          <w:bCs/>
          <w:caps/>
          <w:color w:val="000000" w:themeColor="text1"/>
          <w:rtl/>
          <w:lang w:bidi="ar-EG"/>
        </w:rPr>
        <w:t>-</w:t>
      </w:r>
      <w:r w:rsidRPr="001E74B8">
        <w:rPr>
          <w:rFonts w:ascii="Calibri" w:eastAsia="Times New Roman" w:hAnsi="Calibri" w:hint="cs"/>
          <w:b/>
          <w:bCs/>
          <w:caps/>
          <w:color w:val="000000" w:themeColor="text1"/>
          <w:rtl/>
          <w:lang w:bidi="ar-EG"/>
        </w:rPr>
        <w:t xml:space="preserve"> معلومات أخرى</w:t>
      </w:r>
    </w:p>
    <w:p w14:paraId="1E0C11A8" w14:textId="77777777" w:rsidR="001E74B8" w:rsidRPr="001E74B8" w:rsidRDefault="001E74B8" w:rsidP="001E74B8">
      <w:pPr>
        <w:rPr>
          <w:rFonts w:ascii="Calibri" w:hAnsi="Calibri"/>
          <w:color w:val="000000" w:themeColor="text1"/>
          <w:rtl/>
          <w:lang w:bidi="ar-EG"/>
        </w:rPr>
      </w:pPr>
      <w:r w:rsidRPr="001E74B8">
        <w:rPr>
          <w:rFonts w:ascii="Calibri" w:hAnsi="Calibri" w:hint="cs"/>
          <w:color w:val="000000" w:themeColor="text1"/>
          <w:rtl/>
          <w:lang w:bidi="ar-EG"/>
        </w:rPr>
        <w:t>أية معلومات إضافية تتعلق بتمديد التعيين كإدارة للبحث الدولي والفحص التمهيدي الدولي:</w:t>
      </w:r>
      <w:r w:rsidRPr="001E74B8">
        <w:rPr>
          <w:rFonts w:ascii="Calibri" w:hAnsi="Calibri" w:hint="cs"/>
          <w:rtl/>
          <w:lang w:bidi="ar-EG"/>
        </w:rPr>
        <w:t xml:space="preserve"> </w:t>
      </w:r>
    </w:p>
    <w:p w14:paraId="500E0B55" w14:textId="77777777" w:rsidR="001E74B8" w:rsidRPr="001E74B8" w:rsidRDefault="001E74B8" w:rsidP="001E74B8">
      <w:pPr>
        <w:rPr>
          <w:rFonts w:ascii="Calibri" w:hAnsi="Calibri"/>
          <w:color w:val="000000" w:themeColor="text1"/>
          <w:lang w:bidi="ar-EG"/>
        </w:rPr>
      </w:pPr>
    </w:p>
    <w:p w14:paraId="45D5A9A6" w14:textId="77777777" w:rsidR="001E74B8" w:rsidRPr="001E74B8" w:rsidRDefault="001E74B8" w:rsidP="001E74B8">
      <w:pPr>
        <w:spacing w:after="220"/>
        <w:rPr>
          <w:rFonts w:ascii="Calibri" w:hAnsi="Calibri"/>
          <w:b/>
          <w:bCs/>
          <w:color w:val="000000" w:themeColor="text1"/>
          <w:rtl/>
          <w:lang w:bidi="ar-EG"/>
        </w:rPr>
      </w:pPr>
      <w:r w:rsidRPr="001E74B8">
        <w:rPr>
          <w:rFonts w:ascii="Calibri" w:hAnsi="Calibri" w:hint="cs"/>
          <w:b/>
          <w:bCs/>
          <w:color w:val="000000" w:themeColor="text1"/>
          <w:rtl/>
          <w:lang w:bidi="ar-EG"/>
        </w:rPr>
        <w:t>إنتاجية العمل</w:t>
      </w:r>
    </w:p>
    <w:p w14:paraId="30DA231E" w14:textId="77777777" w:rsidR="001E74B8" w:rsidRPr="001E74B8" w:rsidRDefault="001E74B8" w:rsidP="001E74B8">
      <w:pPr>
        <w:spacing w:after="220"/>
        <w:rPr>
          <w:rFonts w:ascii="Calibri" w:hAnsi="Calibri"/>
          <w:b/>
          <w:bCs/>
          <w:color w:val="000000" w:themeColor="text1"/>
          <w:rtl/>
          <w:lang w:bidi="ar-EG"/>
        </w:rPr>
      </w:pPr>
      <w:r w:rsidRPr="001E74B8">
        <w:rPr>
          <w:rFonts w:ascii="Calibri" w:hAnsi="Calibri" w:hint="cs"/>
          <w:b/>
          <w:bCs/>
          <w:color w:val="000000" w:themeColor="text1"/>
          <w:rtl/>
          <w:lang w:bidi="ar-EG"/>
        </w:rPr>
        <w:t>عدد الطلبات الوطنية (البراءات) المستلمة - بحسب المجال التقني</w:t>
      </w:r>
    </w:p>
    <w:tbl>
      <w:tblPr>
        <w:bidiVisual/>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1E74B8" w:rsidRPr="001E74B8" w14:paraId="0B9825FB" w14:textId="77777777" w:rsidTr="008C1766">
        <w:trPr>
          <w:cantSplit/>
          <w:trHeight w:val="879"/>
        </w:trPr>
        <w:tc>
          <w:tcPr>
            <w:tcW w:w="2972" w:type="dxa"/>
            <w:tcBorders>
              <w:tl2br w:val="single" w:sz="4" w:space="0" w:color="auto"/>
            </w:tcBorders>
          </w:tcPr>
          <w:p w14:paraId="494803B6" w14:textId="77777777" w:rsidR="00EC3F41" w:rsidRPr="001E74B8" w:rsidRDefault="00EC3F41" w:rsidP="00111341">
            <w:pPr>
              <w:rPr>
                <w:rFonts w:ascii="Calibri" w:hAnsi="Calibri"/>
                <w:b/>
                <w:bCs/>
                <w:color w:val="000000" w:themeColor="text1"/>
                <w:rtl/>
                <w:lang w:bidi="ar-EG"/>
              </w:rPr>
            </w:pPr>
            <w:r w:rsidRPr="001E74B8">
              <w:rPr>
                <w:rFonts w:ascii="Calibri" w:hAnsi="Calibri" w:hint="cs"/>
                <w:b/>
                <w:bCs/>
                <w:color w:val="000000" w:themeColor="text1"/>
                <w:rtl/>
                <w:lang w:bidi="ar-EG"/>
              </w:rPr>
              <w:t>السنة</w:t>
            </w:r>
          </w:p>
          <w:p w14:paraId="3B81F942" w14:textId="77777777" w:rsidR="001E74B8" w:rsidRPr="001E74B8" w:rsidRDefault="001E74B8" w:rsidP="001E74B8">
            <w:pPr>
              <w:jc w:val="right"/>
              <w:rPr>
                <w:rFonts w:ascii="Calibri" w:hAnsi="Calibri"/>
                <w:b/>
                <w:bCs/>
                <w:color w:val="000000" w:themeColor="text1"/>
                <w:lang w:bidi="ar-EG"/>
              </w:rPr>
            </w:pPr>
          </w:p>
          <w:p w14:paraId="49105A12" w14:textId="77777777" w:rsidR="001E74B8" w:rsidRPr="001E74B8" w:rsidRDefault="001E74B8" w:rsidP="00111341">
            <w:pPr>
              <w:jc w:val="right"/>
              <w:rPr>
                <w:rFonts w:ascii="Calibri" w:hAnsi="Calibri"/>
                <w:b/>
                <w:bCs/>
                <w:color w:val="000000" w:themeColor="text1"/>
                <w:rtl/>
                <w:lang w:bidi="ar-EG"/>
              </w:rPr>
            </w:pPr>
            <w:r w:rsidRPr="001E74B8">
              <w:rPr>
                <w:rFonts w:ascii="Calibri" w:hAnsi="Calibri" w:hint="cs"/>
                <w:b/>
                <w:bCs/>
                <w:color w:val="000000" w:themeColor="text1"/>
                <w:rtl/>
                <w:lang w:bidi="ar-EG"/>
              </w:rPr>
              <w:t>الطلبات</w:t>
            </w:r>
          </w:p>
        </w:tc>
        <w:tc>
          <w:tcPr>
            <w:tcW w:w="1247" w:type="dxa"/>
            <w:vAlign w:val="center"/>
          </w:tcPr>
          <w:p w14:paraId="135C3577"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2022</w:t>
            </w:r>
          </w:p>
        </w:tc>
        <w:tc>
          <w:tcPr>
            <w:tcW w:w="1248" w:type="dxa"/>
            <w:vAlign w:val="center"/>
          </w:tcPr>
          <w:p w14:paraId="537BD04D"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2023</w:t>
            </w:r>
          </w:p>
        </w:tc>
        <w:tc>
          <w:tcPr>
            <w:tcW w:w="1247" w:type="dxa"/>
            <w:vAlign w:val="center"/>
          </w:tcPr>
          <w:p w14:paraId="4FF2EB0B"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2024</w:t>
            </w:r>
          </w:p>
        </w:tc>
        <w:tc>
          <w:tcPr>
            <w:tcW w:w="1248" w:type="dxa"/>
            <w:vAlign w:val="center"/>
          </w:tcPr>
          <w:p w14:paraId="352FF35E"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2025</w:t>
            </w:r>
            <w:r w:rsidRPr="001E74B8">
              <w:rPr>
                <w:rFonts w:ascii="Calibri" w:hAnsi="Calibri"/>
                <w:color w:val="000000" w:themeColor="text1"/>
                <w:vertAlign w:val="superscript"/>
                <w:lang w:bidi="ar-EG"/>
              </w:rPr>
              <w:footnoteReference w:id="2"/>
            </w:r>
          </w:p>
        </w:tc>
      </w:tr>
      <w:tr w:rsidR="00111341" w:rsidRPr="001E74B8" w14:paraId="6FCDD89F" w14:textId="77777777" w:rsidTr="008C1766">
        <w:trPr>
          <w:cantSplit/>
          <w:trHeight w:val="879"/>
        </w:trPr>
        <w:tc>
          <w:tcPr>
            <w:tcW w:w="2972" w:type="dxa"/>
          </w:tcPr>
          <w:p w14:paraId="66F5D6F0" w14:textId="77777777" w:rsidR="00111341" w:rsidRPr="001E74B8" w:rsidRDefault="00111341" w:rsidP="00111341">
            <w:pPr>
              <w:jc w:val="center"/>
              <w:rPr>
                <w:rFonts w:ascii="Calibri" w:hAnsi="Calibri"/>
                <w:color w:val="000000" w:themeColor="text1"/>
                <w:lang w:bidi="ar-EG"/>
              </w:rPr>
            </w:pPr>
          </w:p>
          <w:p w14:paraId="00439D58" w14:textId="77777777" w:rsidR="00111341" w:rsidRPr="001E74B8" w:rsidRDefault="00111341" w:rsidP="00111341">
            <w:pPr>
              <w:jc w:val="center"/>
              <w:rPr>
                <w:rFonts w:ascii="Calibri" w:hAnsi="Calibri"/>
                <w:color w:val="000000" w:themeColor="text1"/>
                <w:rtl/>
                <w:lang w:bidi="ar-EG"/>
              </w:rPr>
            </w:pPr>
            <w:r w:rsidRPr="001E74B8">
              <w:rPr>
                <w:rFonts w:ascii="Calibri" w:hAnsi="Calibri" w:hint="cs"/>
                <w:color w:val="000000" w:themeColor="text1"/>
                <w:rtl/>
                <w:lang w:bidi="ar-EG"/>
              </w:rPr>
              <w:t>البراءات الوطنية</w:t>
            </w:r>
            <w:r w:rsidRPr="001E74B8">
              <w:rPr>
                <w:rFonts w:ascii="Calibri" w:hAnsi="Calibri" w:hint="cs"/>
                <w:rtl/>
                <w:lang w:bidi="ar-EG"/>
              </w:rPr>
              <w:t xml:space="preserve"> </w:t>
            </w:r>
          </w:p>
        </w:tc>
        <w:tc>
          <w:tcPr>
            <w:tcW w:w="1247" w:type="dxa"/>
            <w:vAlign w:val="center"/>
          </w:tcPr>
          <w:p w14:paraId="3CF7D884" w14:textId="695E477B"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1,318</w:t>
            </w:r>
          </w:p>
        </w:tc>
        <w:tc>
          <w:tcPr>
            <w:tcW w:w="1248" w:type="dxa"/>
            <w:vAlign w:val="center"/>
          </w:tcPr>
          <w:p w14:paraId="0B3A057E" w14:textId="6D111A23"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1,455</w:t>
            </w:r>
          </w:p>
        </w:tc>
        <w:tc>
          <w:tcPr>
            <w:tcW w:w="1247" w:type="dxa"/>
            <w:vAlign w:val="center"/>
          </w:tcPr>
          <w:p w14:paraId="4BF163DA" w14:textId="4B795D96"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1,296</w:t>
            </w:r>
          </w:p>
        </w:tc>
        <w:tc>
          <w:tcPr>
            <w:tcW w:w="1248" w:type="dxa"/>
            <w:vAlign w:val="center"/>
          </w:tcPr>
          <w:p w14:paraId="06907B10" w14:textId="770358E6"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1,156</w:t>
            </w:r>
          </w:p>
        </w:tc>
      </w:tr>
      <w:tr w:rsidR="00111341" w:rsidRPr="001E74B8" w14:paraId="70F9B2B6" w14:textId="77777777" w:rsidTr="008C1766">
        <w:trPr>
          <w:cantSplit/>
          <w:trHeight w:val="879"/>
        </w:trPr>
        <w:tc>
          <w:tcPr>
            <w:tcW w:w="2972" w:type="dxa"/>
          </w:tcPr>
          <w:p w14:paraId="46FC345D" w14:textId="77777777" w:rsidR="00111341" w:rsidRPr="001E74B8" w:rsidRDefault="00111341" w:rsidP="00111341">
            <w:pPr>
              <w:jc w:val="center"/>
              <w:rPr>
                <w:rFonts w:ascii="Calibri" w:hAnsi="Calibri"/>
                <w:color w:val="000000" w:themeColor="text1"/>
                <w:lang w:bidi="ar-EG"/>
              </w:rPr>
            </w:pPr>
          </w:p>
          <w:p w14:paraId="54719D24" w14:textId="77777777" w:rsidR="00111341" w:rsidRPr="001E74B8" w:rsidRDefault="00111341" w:rsidP="00111341">
            <w:pPr>
              <w:jc w:val="center"/>
              <w:rPr>
                <w:rFonts w:ascii="Calibri" w:hAnsi="Calibri"/>
                <w:color w:val="000000" w:themeColor="text1"/>
                <w:rtl/>
                <w:lang w:bidi="ar-EG"/>
              </w:rPr>
            </w:pPr>
            <w:r w:rsidRPr="001E74B8">
              <w:rPr>
                <w:rFonts w:ascii="Calibri" w:hAnsi="Calibri" w:hint="cs"/>
                <w:color w:val="000000" w:themeColor="text1"/>
                <w:rtl/>
                <w:lang w:bidi="ar-EG"/>
              </w:rPr>
              <w:t>نماذج المنفعة الوطنية</w:t>
            </w:r>
            <w:r w:rsidRPr="001E74B8">
              <w:rPr>
                <w:rFonts w:ascii="Calibri" w:hAnsi="Calibri" w:hint="cs"/>
                <w:rtl/>
                <w:lang w:bidi="ar-EG"/>
              </w:rPr>
              <w:t xml:space="preserve"> </w:t>
            </w:r>
          </w:p>
        </w:tc>
        <w:tc>
          <w:tcPr>
            <w:tcW w:w="1247" w:type="dxa"/>
            <w:vAlign w:val="center"/>
          </w:tcPr>
          <w:p w14:paraId="25A64140" w14:textId="15F57678"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2,635</w:t>
            </w:r>
          </w:p>
        </w:tc>
        <w:tc>
          <w:tcPr>
            <w:tcW w:w="1248" w:type="dxa"/>
            <w:vAlign w:val="center"/>
          </w:tcPr>
          <w:p w14:paraId="7621FF8D" w14:textId="04684D4F"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2,807</w:t>
            </w:r>
          </w:p>
        </w:tc>
        <w:tc>
          <w:tcPr>
            <w:tcW w:w="1247" w:type="dxa"/>
            <w:vAlign w:val="center"/>
          </w:tcPr>
          <w:p w14:paraId="1155B31F" w14:textId="7FEC95E3"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2,704</w:t>
            </w:r>
          </w:p>
        </w:tc>
        <w:tc>
          <w:tcPr>
            <w:tcW w:w="1248" w:type="dxa"/>
            <w:vAlign w:val="center"/>
          </w:tcPr>
          <w:p w14:paraId="1FC55925" w14:textId="3D8BEC50"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2,400</w:t>
            </w:r>
          </w:p>
        </w:tc>
      </w:tr>
    </w:tbl>
    <w:p w14:paraId="3649DAE4" w14:textId="77777777" w:rsidR="001E74B8" w:rsidRPr="001E74B8" w:rsidRDefault="001E74B8" w:rsidP="001E74B8">
      <w:pPr>
        <w:spacing w:after="220"/>
        <w:rPr>
          <w:rFonts w:ascii="Calibri" w:hAnsi="Calibri"/>
          <w:b/>
          <w:color w:val="000000" w:themeColor="text1"/>
          <w:lang w:bidi="ar-EG"/>
        </w:rPr>
      </w:pPr>
    </w:p>
    <w:p w14:paraId="4A5F3086" w14:textId="77777777" w:rsidR="001E74B8" w:rsidRPr="001E74B8" w:rsidRDefault="001E74B8" w:rsidP="001E74B8">
      <w:pPr>
        <w:spacing w:after="220"/>
        <w:rPr>
          <w:rFonts w:ascii="Calibri" w:hAnsi="Calibri"/>
          <w:b/>
          <w:bCs/>
          <w:color w:val="000000" w:themeColor="text1"/>
          <w:rtl/>
          <w:lang w:bidi="ar-EG"/>
        </w:rPr>
      </w:pPr>
      <w:r w:rsidRPr="001E74B8">
        <w:rPr>
          <w:rFonts w:ascii="Calibri" w:hAnsi="Calibri" w:hint="cs"/>
          <w:b/>
          <w:bCs/>
          <w:color w:val="000000" w:themeColor="text1"/>
          <w:rtl/>
          <w:lang w:bidi="ar-EG"/>
        </w:rPr>
        <w:t>متوسط الوقت المستغرق في معالجة البراءات ونماذج المنفعة الوطنية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322"/>
        <w:gridCol w:w="4298"/>
      </w:tblGrid>
      <w:tr w:rsidR="001E74B8" w:rsidRPr="001E74B8" w14:paraId="3A69C10C" w14:textId="77777777" w:rsidTr="008C1766">
        <w:trPr>
          <w:cantSplit/>
        </w:trPr>
        <w:tc>
          <w:tcPr>
            <w:tcW w:w="2443" w:type="dxa"/>
          </w:tcPr>
          <w:p w14:paraId="40D55A66" w14:textId="77777777" w:rsidR="001E74B8" w:rsidRPr="001E74B8" w:rsidRDefault="001E74B8" w:rsidP="001E74B8">
            <w:pPr>
              <w:rPr>
                <w:rFonts w:ascii="Calibri" w:hAnsi="Calibri"/>
                <w:b/>
                <w:bCs/>
                <w:color w:val="000000" w:themeColor="text1"/>
                <w:rtl/>
                <w:lang w:bidi="ar-EG"/>
              </w:rPr>
            </w:pPr>
            <w:r w:rsidRPr="001E74B8">
              <w:rPr>
                <w:rFonts w:ascii="Calibri" w:hAnsi="Calibri" w:hint="cs"/>
                <w:b/>
                <w:bCs/>
                <w:color w:val="000000" w:themeColor="text1"/>
                <w:rtl/>
                <w:lang w:bidi="ar-EG"/>
              </w:rPr>
              <w:t>العملية</w:t>
            </w:r>
          </w:p>
        </w:tc>
        <w:tc>
          <w:tcPr>
            <w:tcW w:w="2322" w:type="dxa"/>
          </w:tcPr>
          <w:p w14:paraId="53F9CD1A" w14:textId="77777777" w:rsidR="001E74B8" w:rsidRPr="001E74B8" w:rsidRDefault="001E74B8" w:rsidP="001E74B8">
            <w:pPr>
              <w:rPr>
                <w:rFonts w:ascii="Calibri" w:hAnsi="Calibri"/>
                <w:b/>
                <w:bCs/>
                <w:color w:val="000000" w:themeColor="text1"/>
                <w:rtl/>
                <w:lang w:bidi="ar-EG"/>
              </w:rPr>
            </w:pPr>
            <w:r w:rsidRPr="001E74B8">
              <w:rPr>
                <w:rFonts w:ascii="Calibri" w:hAnsi="Calibri" w:hint="cs"/>
                <w:b/>
                <w:bCs/>
                <w:color w:val="000000" w:themeColor="text1"/>
                <w:rtl/>
                <w:lang w:bidi="ar-EG"/>
              </w:rPr>
              <w:t>مقاسة اعتباراً من</w:t>
            </w:r>
          </w:p>
        </w:tc>
        <w:tc>
          <w:tcPr>
            <w:tcW w:w="4298" w:type="dxa"/>
          </w:tcPr>
          <w:p w14:paraId="313E3450" w14:textId="77777777" w:rsidR="001E74B8" w:rsidRPr="001E74B8" w:rsidRDefault="001E74B8" w:rsidP="001E74B8">
            <w:pPr>
              <w:rPr>
                <w:rFonts w:ascii="Calibri" w:hAnsi="Calibri"/>
                <w:b/>
                <w:bCs/>
                <w:color w:val="000000" w:themeColor="text1"/>
                <w:rtl/>
                <w:lang w:bidi="ar-EG"/>
              </w:rPr>
            </w:pPr>
            <w:r w:rsidRPr="001E74B8">
              <w:rPr>
                <w:rFonts w:ascii="Calibri" w:hAnsi="Calibri" w:hint="cs"/>
                <w:b/>
                <w:bCs/>
                <w:color w:val="000000" w:themeColor="text1"/>
                <w:rtl/>
                <w:lang w:bidi="ar-EG"/>
              </w:rPr>
              <w:t>الزمن (بالأشهر)</w:t>
            </w:r>
          </w:p>
        </w:tc>
      </w:tr>
      <w:tr w:rsidR="001E74B8" w:rsidRPr="001E74B8" w14:paraId="77430F30" w14:textId="77777777" w:rsidTr="008C1766">
        <w:trPr>
          <w:cantSplit/>
          <w:trHeight w:val="383"/>
        </w:trPr>
        <w:tc>
          <w:tcPr>
            <w:tcW w:w="2443" w:type="dxa"/>
            <w:vMerge w:val="restart"/>
          </w:tcPr>
          <w:p w14:paraId="061FB6FD" w14:textId="77777777" w:rsidR="001E74B8" w:rsidRPr="001E74B8" w:rsidRDefault="001E74B8" w:rsidP="001E74B8">
            <w:pPr>
              <w:spacing w:before="120"/>
              <w:rPr>
                <w:rFonts w:ascii="Calibri" w:hAnsi="Calibri"/>
                <w:color w:val="000000" w:themeColor="text1"/>
                <w:rtl/>
                <w:lang w:bidi="ar-EG"/>
              </w:rPr>
            </w:pPr>
            <w:bookmarkStart w:id="7" w:name="_Ref473719333"/>
            <w:r w:rsidRPr="001E74B8">
              <w:rPr>
                <w:rFonts w:ascii="Calibri" w:hAnsi="Calibri" w:hint="cs"/>
                <w:color w:val="000000" w:themeColor="text1"/>
                <w:rtl/>
                <w:lang w:bidi="ar-EG"/>
              </w:rPr>
              <w:t>لإجرء البحث والفحص الأولي.</w:t>
            </w:r>
            <w:r w:rsidRPr="001E74B8">
              <w:rPr>
                <w:rFonts w:ascii="Calibri" w:hAnsi="Calibri"/>
                <w:color w:val="000000" w:themeColor="text1"/>
                <w:vertAlign w:val="superscript"/>
                <w:lang w:bidi="ar-EG"/>
              </w:rPr>
              <w:footnoteReference w:id="3"/>
            </w:r>
            <w:bookmarkEnd w:id="7"/>
          </w:p>
          <w:p w14:paraId="09BBC248" w14:textId="77777777" w:rsidR="001E74B8" w:rsidRPr="001E74B8" w:rsidRDefault="001E74B8" w:rsidP="001E74B8">
            <w:pPr>
              <w:spacing w:before="120"/>
              <w:rPr>
                <w:rFonts w:ascii="Calibri" w:hAnsi="Calibri"/>
                <w:color w:val="000000" w:themeColor="text1"/>
                <w:highlight w:val="yellow"/>
                <w:lang w:bidi="ar-EG"/>
              </w:rPr>
            </w:pPr>
          </w:p>
        </w:tc>
        <w:tc>
          <w:tcPr>
            <w:tcW w:w="2322" w:type="dxa"/>
            <w:vMerge w:val="restart"/>
          </w:tcPr>
          <w:p w14:paraId="03190ABE" w14:textId="77777777" w:rsidR="001E74B8" w:rsidRPr="001E74B8" w:rsidRDefault="001E74B8" w:rsidP="001E74B8">
            <w:pPr>
              <w:spacing w:before="120"/>
              <w:rPr>
                <w:rFonts w:ascii="Calibri" w:hAnsi="Calibri"/>
                <w:color w:val="000000" w:themeColor="text1"/>
                <w:rtl/>
                <w:lang w:bidi="ar-EG"/>
              </w:rPr>
            </w:pPr>
            <w:r w:rsidRPr="001E74B8">
              <w:rPr>
                <w:rFonts w:ascii="Calibri" w:hAnsi="Calibri" w:hint="cs"/>
                <w:color w:val="000000" w:themeColor="text1"/>
                <w:rtl/>
                <w:lang w:bidi="ar-EG"/>
              </w:rPr>
              <w:t>منذ إيداع الطلب</w:t>
            </w:r>
          </w:p>
        </w:tc>
        <w:tc>
          <w:tcPr>
            <w:tcW w:w="4298" w:type="dxa"/>
          </w:tcPr>
          <w:p w14:paraId="72BDD28B" w14:textId="77777777" w:rsidR="001E74B8" w:rsidRPr="001E74B8" w:rsidRDefault="001E74B8" w:rsidP="001E74B8">
            <w:pPr>
              <w:spacing w:before="120" w:after="120"/>
              <w:rPr>
                <w:rFonts w:ascii="Calibri" w:hAnsi="Calibri"/>
                <w:color w:val="000000" w:themeColor="text1"/>
                <w:rtl/>
                <w:lang w:bidi="ar-EG"/>
              </w:rPr>
            </w:pPr>
            <w:r w:rsidRPr="001E74B8">
              <w:rPr>
                <w:rFonts w:ascii="Calibri" w:hAnsi="Calibri" w:hint="cs"/>
                <w:color w:val="000000" w:themeColor="text1"/>
                <w:rtl/>
                <w:lang w:bidi="ar-EG"/>
              </w:rPr>
              <w:t>7.18 شهراً للبراءات الوطنية</w:t>
            </w:r>
          </w:p>
        </w:tc>
      </w:tr>
      <w:tr w:rsidR="001E74B8" w:rsidRPr="001E74B8" w14:paraId="016326CD" w14:textId="77777777" w:rsidTr="008C1766">
        <w:trPr>
          <w:cantSplit/>
          <w:trHeight w:val="382"/>
        </w:trPr>
        <w:tc>
          <w:tcPr>
            <w:tcW w:w="2443" w:type="dxa"/>
            <w:vMerge/>
          </w:tcPr>
          <w:p w14:paraId="62AA9C8C" w14:textId="77777777" w:rsidR="001E74B8" w:rsidRPr="001E74B8" w:rsidRDefault="001E74B8" w:rsidP="001E74B8">
            <w:pPr>
              <w:spacing w:before="120"/>
              <w:rPr>
                <w:rFonts w:ascii="Calibri" w:hAnsi="Calibri"/>
                <w:color w:val="000000" w:themeColor="text1"/>
                <w:lang w:bidi="ar-EG"/>
              </w:rPr>
            </w:pPr>
          </w:p>
        </w:tc>
        <w:tc>
          <w:tcPr>
            <w:tcW w:w="2322" w:type="dxa"/>
            <w:vMerge/>
          </w:tcPr>
          <w:p w14:paraId="4644874B" w14:textId="77777777" w:rsidR="001E74B8" w:rsidRPr="001E74B8" w:rsidRDefault="001E74B8" w:rsidP="001E74B8">
            <w:pPr>
              <w:spacing w:before="120"/>
              <w:rPr>
                <w:rFonts w:ascii="Calibri" w:hAnsi="Calibri"/>
                <w:color w:val="000000" w:themeColor="text1"/>
                <w:lang w:bidi="ar-EG"/>
              </w:rPr>
            </w:pPr>
          </w:p>
        </w:tc>
        <w:tc>
          <w:tcPr>
            <w:tcW w:w="4298" w:type="dxa"/>
          </w:tcPr>
          <w:p w14:paraId="4E071951" w14:textId="77777777" w:rsidR="001E74B8" w:rsidRPr="001E74B8" w:rsidRDefault="001E74B8" w:rsidP="001E74B8">
            <w:pPr>
              <w:spacing w:before="120" w:after="120"/>
              <w:rPr>
                <w:rFonts w:ascii="Calibri" w:hAnsi="Calibri"/>
                <w:color w:val="000000" w:themeColor="text1"/>
                <w:rtl/>
                <w:lang w:bidi="ar-EG"/>
              </w:rPr>
            </w:pPr>
            <w:r w:rsidRPr="001E74B8">
              <w:rPr>
                <w:rFonts w:ascii="Calibri" w:hAnsi="Calibri" w:hint="cs"/>
                <w:color w:val="000000" w:themeColor="text1"/>
                <w:rtl/>
                <w:lang w:bidi="ar-EG"/>
              </w:rPr>
              <w:t>لا يُجرى أي بحث لنماذج المنفعة</w:t>
            </w:r>
          </w:p>
        </w:tc>
      </w:tr>
      <w:tr w:rsidR="001E74B8" w:rsidRPr="001E74B8" w14:paraId="7B3EB397" w14:textId="77777777" w:rsidTr="008C1766">
        <w:trPr>
          <w:cantSplit/>
          <w:trHeight w:val="421"/>
        </w:trPr>
        <w:tc>
          <w:tcPr>
            <w:tcW w:w="2443" w:type="dxa"/>
            <w:vMerge w:val="restart"/>
          </w:tcPr>
          <w:p w14:paraId="53D428F0" w14:textId="77777777" w:rsidR="001E74B8" w:rsidRPr="001E74B8" w:rsidRDefault="001E74B8" w:rsidP="001E74B8">
            <w:pPr>
              <w:spacing w:before="120"/>
              <w:rPr>
                <w:rFonts w:ascii="Calibri" w:hAnsi="Calibri"/>
                <w:color w:val="000000" w:themeColor="text1"/>
                <w:rtl/>
                <w:lang w:bidi="ar-EG"/>
              </w:rPr>
            </w:pPr>
            <w:bookmarkStart w:id="8" w:name="_Hlk213927243"/>
            <w:r w:rsidRPr="001E74B8">
              <w:rPr>
                <w:rFonts w:ascii="Calibri" w:hAnsi="Calibri" w:hint="cs"/>
                <w:color w:val="000000" w:themeColor="text1"/>
                <w:rtl/>
                <w:lang w:bidi="ar-EG"/>
              </w:rPr>
              <w:t>للمنح</w:t>
            </w:r>
          </w:p>
        </w:tc>
        <w:tc>
          <w:tcPr>
            <w:tcW w:w="2322" w:type="dxa"/>
            <w:vMerge w:val="restart"/>
          </w:tcPr>
          <w:p w14:paraId="0D336E50" w14:textId="77777777" w:rsidR="001E74B8" w:rsidRPr="001E74B8" w:rsidRDefault="001E74B8" w:rsidP="001E74B8">
            <w:pPr>
              <w:spacing w:before="120"/>
              <w:rPr>
                <w:rFonts w:ascii="Calibri" w:hAnsi="Calibri"/>
                <w:color w:val="000000" w:themeColor="text1"/>
                <w:rtl/>
                <w:lang w:bidi="ar-EG"/>
              </w:rPr>
            </w:pPr>
            <w:r w:rsidRPr="001E74B8">
              <w:rPr>
                <w:rFonts w:ascii="Calibri" w:hAnsi="Calibri" w:hint="cs"/>
                <w:color w:val="000000" w:themeColor="text1"/>
                <w:rtl/>
                <w:lang w:bidi="ar-EG"/>
              </w:rPr>
              <w:t>منذ إيداع الطلب</w:t>
            </w:r>
          </w:p>
        </w:tc>
        <w:tc>
          <w:tcPr>
            <w:tcW w:w="4298" w:type="dxa"/>
          </w:tcPr>
          <w:p w14:paraId="091B99F4" w14:textId="77777777" w:rsidR="001E74B8" w:rsidRPr="001E74B8" w:rsidRDefault="001E74B8" w:rsidP="001E74B8">
            <w:pPr>
              <w:spacing w:before="120" w:after="120"/>
              <w:rPr>
                <w:rFonts w:ascii="Calibri" w:hAnsi="Calibri"/>
                <w:color w:val="000000" w:themeColor="text1"/>
                <w:rtl/>
                <w:lang w:bidi="ar-EG"/>
              </w:rPr>
            </w:pPr>
            <w:r w:rsidRPr="001E74B8">
              <w:rPr>
                <w:rFonts w:ascii="Calibri" w:hAnsi="Calibri" w:hint="cs"/>
                <w:color w:val="000000" w:themeColor="text1"/>
                <w:rtl/>
                <w:lang w:bidi="ar-EG"/>
              </w:rPr>
              <w:t>14.60 شهراً إذا اختار مودع الطلب "إجراء المسار السريع" (12.5% من الطلبات)</w:t>
            </w:r>
          </w:p>
          <w:p w14:paraId="02EDE389" w14:textId="77777777" w:rsidR="001E74B8" w:rsidRPr="001E74B8" w:rsidRDefault="001E74B8" w:rsidP="001E74B8">
            <w:pPr>
              <w:spacing w:before="120" w:after="120"/>
              <w:rPr>
                <w:rFonts w:ascii="Calibri" w:hAnsi="Calibri"/>
                <w:color w:val="000000" w:themeColor="text1"/>
                <w:rtl/>
                <w:lang w:bidi="ar-EG"/>
              </w:rPr>
            </w:pPr>
            <w:r w:rsidRPr="001E74B8">
              <w:rPr>
                <w:rFonts w:ascii="Calibri" w:hAnsi="Calibri" w:hint="cs"/>
                <w:color w:val="000000" w:themeColor="text1"/>
                <w:rtl/>
                <w:lang w:bidi="ar-EG"/>
              </w:rPr>
              <w:t>21.90 شهراً للإجراء العادي</w:t>
            </w:r>
            <w:r w:rsidRPr="001E74B8">
              <w:rPr>
                <w:rFonts w:ascii="Calibri" w:hAnsi="Calibri" w:hint="cs"/>
                <w:rtl/>
                <w:lang w:bidi="ar-EG"/>
              </w:rPr>
              <w:t xml:space="preserve"> </w:t>
            </w:r>
          </w:p>
        </w:tc>
      </w:tr>
      <w:tr w:rsidR="001E74B8" w:rsidRPr="001E74B8" w14:paraId="6BA1B818" w14:textId="77777777" w:rsidTr="008C1766">
        <w:trPr>
          <w:cantSplit/>
          <w:trHeight w:val="840"/>
        </w:trPr>
        <w:tc>
          <w:tcPr>
            <w:tcW w:w="2443" w:type="dxa"/>
            <w:vMerge/>
          </w:tcPr>
          <w:p w14:paraId="2F7CAA3C" w14:textId="77777777" w:rsidR="001E74B8" w:rsidRPr="001E74B8" w:rsidRDefault="001E74B8" w:rsidP="001E74B8">
            <w:pPr>
              <w:rPr>
                <w:rFonts w:ascii="Calibri" w:hAnsi="Calibri"/>
                <w:color w:val="000000" w:themeColor="text1"/>
                <w:lang w:bidi="ar-EG"/>
              </w:rPr>
            </w:pPr>
          </w:p>
        </w:tc>
        <w:tc>
          <w:tcPr>
            <w:tcW w:w="2322" w:type="dxa"/>
            <w:vMerge/>
          </w:tcPr>
          <w:p w14:paraId="5C9B8C72" w14:textId="77777777" w:rsidR="001E74B8" w:rsidRPr="001E74B8" w:rsidRDefault="001E74B8" w:rsidP="001E74B8">
            <w:pPr>
              <w:rPr>
                <w:rFonts w:ascii="Calibri" w:hAnsi="Calibri"/>
                <w:color w:val="000000" w:themeColor="text1"/>
                <w:lang w:bidi="ar-EG"/>
              </w:rPr>
            </w:pPr>
          </w:p>
        </w:tc>
        <w:tc>
          <w:tcPr>
            <w:tcW w:w="4298" w:type="dxa"/>
          </w:tcPr>
          <w:p w14:paraId="5667EAA6" w14:textId="77777777" w:rsidR="001E74B8" w:rsidRPr="001E74B8" w:rsidRDefault="001E74B8" w:rsidP="001E74B8">
            <w:pPr>
              <w:spacing w:before="120" w:after="120"/>
              <w:rPr>
                <w:rFonts w:ascii="Calibri" w:hAnsi="Calibri"/>
                <w:color w:val="000000" w:themeColor="text1"/>
                <w:rtl/>
                <w:lang w:bidi="ar-EG"/>
              </w:rPr>
            </w:pPr>
            <w:r w:rsidRPr="001E74B8">
              <w:rPr>
                <w:rFonts w:ascii="Calibri" w:hAnsi="Calibri" w:hint="cs"/>
                <w:color w:val="000000" w:themeColor="text1"/>
                <w:rtl/>
                <w:lang w:bidi="ar-EG"/>
              </w:rPr>
              <w:t>7.62 شهور لنماذج المنفعة (13.25 شهراً في حالة الاعتراض قبل المنح؛ 1.25% من إجمالي الطلبات)</w:t>
            </w:r>
          </w:p>
        </w:tc>
      </w:tr>
      <w:bookmarkEnd w:id="8"/>
    </w:tbl>
    <w:p w14:paraId="77655B93" w14:textId="77777777" w:rsidR="00177E6C" w:rsidRDefault="00177E6C" w:rsidP="00177E6C">
      <w:pPr>
        <w:pStyle w:val="BodyText"/>
        <w:rPr>
          <w:rtl/>
          <w:lang w:bidi="ar-EG"/>
        </w:rPr>
      </w:pPr>
    </w:p>
    <w:p w14:paraId="157940D5" w14:textId="2379169D" w:rsidR="001E74B8" w:rsidRPr="001E74B8" w:rsidRDefault="001E74B8" w:rsidP="00177E6C">
      <w:pPr>
        <w:pStyle w:val="BodyText"/>
        <w:rPr>
          <w:bCs/>
          <w:rtl/>
          <w:lang w:bidi="ar-EG"/>
        </w:rPr>
      </w:pPr>
      <w:r w:rsidRPr="001E74B8">
        <w:rPr>
          <w:rFonts w:hint="cs"/>
          <w:rtl/>
          <w:lang w:bidi="ar-EG"/>
        </w:rPr>
        <w:t>وتشمل هذه الأرقام كلاً من الطلبات الوطنية المودعة لأول مرة، والطلبات المودعة بموجب اتفاقية باريس والطلبات الدولية التي دخلت المرحلة الوطنية بموجب معاهدة البراءات.</w:t>
      </w:r>
    </w:p>
    <w:tbl>
      <w:tblPr>
        <w:bidiVisual/>
        <w:tblW w:w="7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47"/>
        <w:gridCol w:w="1248"/>
        <w:gridCol w:w="1247"/>
        <w:gridCol w:w="1248"/>
      </w:tblGrid>
      <w:tr w:rsidR="001E74B8" w:rsidRPr="001E74B8" w14:paraId="6BB3CEAE" w14:textId="77777777" w:rsidTr="008C1766">
        <w:trPr>
          <w:cantSplit/>
          <w:trHeight w:val="879"/>
        </w:trPr>
        <w:tc>
          <w:tcPr>
            <w:tcW w:w="2972" w:type="dxa"/>
            <w:tcBorders>
              <w:tl2br w:val="single" w:sz="4" w:space="0" w:color="auto"/>
            </w:tcBorders>
          </w:tcPr>
          <w:p w14:paraId="3B445DFB" w14:textId="77777777" w:rsidR="001E74B8" w:rsidRPr="001E74B8" w:rsidRDefault="001E74B8" w:rsidP="00111341">
            <w:pPr>
              <w:rPr>
                <w:rFonts w:ascii="Calibri" w:hAnsi="Calibri"/>
                <w:b/>
                <w:bCs/>
                <w:color w:val="000000" w:themeColor="text1"/>
                <w:rtl/>
                <w:lang w:bidi="ar-EG"/>
              </w:rPr>
            </w:pPr>
            <w:bookmarkStart w:id="9" w:name="_Hlk213927300"/>
            <w:r w:rsidRPr="001E74B8">
              <w:rPr>
                <w:rFonts w:ascii="Calibri" w:hAnsi="Calibri" w:hint="cs"/>
                <w:b/>
                <w:bCs/>
                <w:color w:val="000000" w:themeColor="text1"/>
                <w:rtl/>
                <w:lang w:bidi="ar-EG"/>
              </w:rPr>
              <w:t>السنة</w:t>
            </w:r>
          </w:p>
          <w:p w14:paraId="515F6FE5" w14:textId="77777777" w:rsidR="00111341" w:rsidRDefault="00111341" w:rsidP="001E74B8">
            <w:pPr>
              <w:rPr>
                <w:rFonts w:ascii="Calibri" w:hAnsi="Calibri"/>
                <w:b/>
                <w:bCs/>
                <w:color w:val="000000" w:themeColor="text1"/>
                <w:rtl/>
                <w:lang w:bidi="ar-EG"/>
              </w:rPr>
            </w:pPr>
          </w:p>
          <w:p w14:paraId="48D6324F" w14:textId="48391820" w:rsidR="001E74B8" w:rsidRPr="001E74B8" w:rsidRDefault="001E74B8" w:rsidP="00111341">
            <w:pPr>
              <w:jc w:val="right"/>
              <w:rPr>
                <w:rFonts w:ascii="Calibri" w:hAnsi="Calibri"/>
                <w:b/>
                <w:bCs/>
                <w:color w:val="000000" w:themeColor="text1"/>
                <w:rtl/>
                <w:lang w:bidi="ar-EG"/>
              </w:rPr>
            </w:pPr>
            <w:r w:rsidRPr="001E74B8">
              <w:rPr>
                <w:rFonts w:ascii="Calibri" w:hAnsi="Calibri" w:hint="cs"/>
                <w:b/>
                <w:bCs/>
                <w:color w:val="000000" w:themeColor="text1"/>
                <w:rtl/>
                <w:lang w:bidi="ar-EG"/>
              </w:rPr>
              <w:t>طلبات معاهدة البراءات</w:t>
            </w:r>
            <w:r w:rsidRPr="001E74B8">
              <w:rPr>
                <w:rFonts w:ascii="Calibri" w:hAnsi="Calibri" w:hint="cs"/>
                <w:rtl/>
                <w:lang w:bidi="ar-EG"/>
              </w:rPr>
              <w:t xml:space="preserve"> </w:t>
            </w:r>
          </w:p>
        </w:tc>
        <w:tc>
          <w:tcPr>
            <w:tcW w:w="1247" w:type="dxa"/>
            <w:vAlign w:val="center"/>
          </w:tcPr>
          <w:p w14:paraId="5C54EF84"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2022</w:t>
            </w:r>
          </w:p>
        </w:tc>
        <w:tc>
          <w:tcPr>
            <w:tcW w:w="1248" w:type="dxa"/>
            <w:vAlign w:val="center"/>
          </w:tcPr>
          <w:p w14:paraId="41758D98"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2023</w:t>
            </w:r>
          </w:p>
        </w:tc>
        <w:tc>
          <w:tcPr>
            <w:tcW w:w="1247" w:type="dxa"/>
            <w:vAlign w:val="center"/>
          </w:tcPr>
          <w:p w14:paraId="55C5D69C"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2024</w:t>
            </w:r>
          </w:p>
        </w:tc>
        <w:tc>
          <w:tcPr>
            <w:tcW w:w="1248" w:type="dxa"/>
            <w:vAlign w:val="center"/>
          </w:tcPr>
          <w:p w14:paraId="21C70912" w14:textId="77777777" w:rsidR="001E74B8" w:rsidRPr="001E74B8" w:rsidRDefault="001E74B8" w:rsidP="001E74B8">
            <w:pPr>
              <w:jc w:val="center"/>
              <w:rPr>
                <w:rFonts w:ascii="Calibri" w:hAnsi="Calibri"/>
                <w:color w:val="000000" w:themeColor="text1"/>
                <w:rtl/>
                <w:lang w:bidi="ar-EG"/>
              </w:rPr>
            </w:pPr>
            <w:r w:rsidRPr="001E74B8">
              <w:rPr>
                <w:rFonts w:ascii="Calibri" w:hAnsi="Calibri" w:hint="cs"/>
                <w:color w:val="000000" w:themeColor="text1"/>
                <w:rtl/>
                <w:lang w:bidi="ar-EG"/>
              </w:rPr>
              <w:t>2025</w:t>
            </w:r>
            <w:r w:rsidRPr="001E74B8">
              <w:rPr>
                <w:rFonts w:ascii="Calibri" w:hAnsi="Calibri"/>
                <w:color w:val="000000" w:themeColor="text1"/>
                <w:vertAlign w:val="superscript"/>
                <w:lang w:val="en-GB" w:bidi="ar-EG"/>
              </w:rPr>
              <w:footnoteReference w:id="4"/>
            </w:r>
          </w:p>
        </w:tc>
      </w:tr>
      <w:bookmarkEnd w:id="9"/>
      <w:tr w:rsidR="00111341" w:rsidRPr="001E74B8" w14:paraId="7006554F" w14:textId="77777777" w:rsidTr="008C1766">
        <w:trPr>
          <w:cantSplit/>
          <w:trHeight w:val="879"/>
        </w:trPr>
        <w:tc>
          <w:tcPr>
            <w:tcW w:w="2972" w:type="dxa"/>
          </w:tcPr>
          <w:p w14:paraId="6C0CCC90" w14:textId="77777777" w:rsidR="00111341" w:rsidRPr="001E74B8" w:rsidRDefault="00111341" w:rsidP="00111341">
            <w:pPr>
              <w:jc w:val="center"/>
              <w:rPr>
                <w:rFonts w:ascii="Calibri" w:hAnsi="Calibri"/>
                <w:color w:val="000000" w:themeColor="text1"/>
                <w:lang w:val="en-GB" w:bidi="ar-EG"/>
              </w:rPr>
            </w:pPr>
          </w:p>
          <w:p w14:paraId="4210AB1F" w14:textId="77777777" w:rsidR="00111341" w:rsidRPr="001E74B8" w:rsidRDefault="00111341" w:rsidP="00111341">
            <w:pPr>
              <w:jc w:val="center"/>
              <w:rPr>
                <w:rFonts w:ascii="Calibri" w:hAnsi="Calibri"/>
                <w:color w:val="000000" w:themeColor="text1"/>
                <w:rtl/>
                <w:lang w:bidi="ar-EG"/>
              </w:rPr>
            </w:pPr>
            <w:r w:rsidRPr="001E74B8">
              <w:rPr>
                <w:rFonts w:ascii="Calibri" w:hAnsi="Calibri" w:hint="cs"/>
                <w:color w:val="000000" w:themeColor="text1"/>
                <w:rtl/>
                <w:lang w:bidi="ar-EG"/>
              </w:rPr>
              <w:t>مستلمة كمكتب تسلم طلبات</w:t>
            </w:r>
          </w:p>
        </w:tc>
        <w:tc>
          <w:tcPr>
            <w:tcW w:w="1247" w:type="dxa"/>
            <w:vAlign w:val="center"/>
          </w:tcPr>
          <w:p w14:paraId="14819304" w14:textId="3BF6C131"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893</w:t>
            </w:r>
          </w:p>
        </w:tc>
        <w:tc>
          <w:tcPr>
            <w:tcW w:w="1248" w:type="dxa"/>
            <w:vAlign w:val="center"/>
          </w:tcPr>
          <w:p w14:paraId="49F1B042" w14:textId="317A3590"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827</w:t>
            </w:r>
          </w:p>
        </w:tc>
        <w:tc>
          <w:tcPr>
            <w:tcW w:w="1247" w:type="dxa"/>
            <w:vAlign w:val="center"/>
          </w:tcPr>
          <w:p w14:paraId="5803A978" w14:textId="2BBEADBA"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832</w:t>
            </w:r>
          </w:p>
        </w:tc>
        <w:tc>
          <w:tcPr>
            <w:tcW w:w="1248" w:type="dxa"/>
            <w:vAlign w:val="center"/>
          </w:tcPr>
          <w:p w14:paraId="1F89441A" w14:textId="3376B2B8"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671</w:t>
            </w:r>
          </w:p>
        </w:tc>
      </w:tr>
      <w:tr w:rsidR="00111341" w:rsidRPr="001E74B8" w14:paraId="25D97DF8" w14:textId="77777777" w:rsidTr="008C1766">
        <w:trPr>
          <w:cantSplit/>
          <w:trHeight w:val="879"/>
        </w:trPr>
        <w:tc>
          <w:tcPr>
            <w:tcW w:w="2972" w:type="dxa"/>
          </w:tcPr>
          <w:p w14:paraId="3E03BCEC" w14:textId="77777777" w:rsidR="00111341" w:rsidRPr="001E74B8" w:rsidRDefault="00111341" w:rsidP="00111341">
            <w:pPr>
              <w:jc w:val="center"/>
              <w:rPr>
                <w:rFonts w:ascii="Calibri" w:hAnsi="Calibri"/>
                <w:color w:val="000000" w:themeColor="text1"/>
                <w:lang w:val="en-GB" w:bidi="ar-EG"/>
              </w:rPr>
            </w:pPr>
          </w:p>
          <w:p w14:paraId="30738213" w14:textId="77777777" w:rsidR="00111341" w:rsidRPr="001E74B8" w:rsidRDefault="00111341" w:rsidP="00111341">
            <w:pPr>
              <w:jc w:val="center"/>
              <w:rPr>
                <w:rFonts w:ascii="Calibri" w:hAnsi="Calibri"/>
                <w:color w:val="000000" w:themeColor="text1"/>
                <w:rtl/>
                <w:lang w:bidi="ar-EG"/>
              </w:rPr>
            </w:pPr>
            <w:r w:rsidRPr="001E74B8">
              <w:rPr>
                <w:rFonts w:ascii="Calibri" w:hAnsi="Calibri" w:hint="cs"/>
                <w:color w:val="000000" w:themeColor="text1"/>
                <w:rtl/>
                <w:lang w:bidi="ar-EG"/>
              </w:rPr>
              <w:t>تقارير البحث الدولي كإدارة بحث دولي</w:t>
            </w:r>
          </w:p>
        </w:tc>
        <w:tc>
          <w:tcPr>
            <w:tcW w:w="1247" w:type="dxa"/>
            <w:vAlign w:val="center"/>
          </w:tcPr>
          <w:p w14:paraId="5A51F2A9" w14:textId="4CA2F57A"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846</w:t>
            </w:r>
          </w:p>
        </w:tc>
        <w:tc>
          <w:tcPr>
            <w:tcW w:w="1248" w:type="dxa"/>
            <w:vAlign w:val="center"/>
          </w:tcPr>
          <w:p w14:paraId="14D71C7B" w14:textId="58AF3FAC"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695</w:t>
            </w:r>
          </w:p>
        </w:tc>
        <w:tc>
          <w:tcPr>
            <w:tcW w:w="1247" w:type="dxa"/>
            <w:vAlign w:val="center"/>
          </w:tcPr>
          <w:p w14:paraId="1B6C616B" w14:textId="38251704"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660</w:t>
            </w:r>
          </w:p>
        </w:tc>
        <w:tc>
          <w:tcPr>
            <w:tcW w:w="1248" w:type="dxa"/>
            <w:vAlign w:val="center"/>
          </w:tcPr>
          <w:p w14:paraId="27E20B55" w14:textId="0B300710"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658</w:t>
            </w:r>
          </w:p>
        </w:tc>
      </w:tr>
      <w:tr w:rsidR="00111341" w:rsidRPr="001E74B8" w14:paraId="0099A93B" w14:textId="77777777" w:rsidTr="008C1766">
        <w:trPr>
          <w:cantSplit/>
          <w:trHeight w:val="879"/>
        </w:trPr>
        <w:tc>
          <w:tcPr>
            <w:tcW w:w="2972" w:type="dxa"/>
          </w:tcPr>
          <w:p w14:paraId="23C24E84" w14:textId="77777777" w:rsidR="00111341" w:rsidRPr="001E74B8" w:rsidRDefault="00111341" w:rsidP="00111341">
            <w:pPr>
              <w:jc w:val="center"/>
              <w:rPr>
                <w:rFonts w:ascii="Calibri" w:hAnsi="Calibri"/>
                <w:color w:val="000000" w:themeColor="text1"/>
                <w:lang w:val="en-GB" w:bidi="ar-EG"/>
              </w:rPr>
            </w:pPr>
          </w:p>
          <w:p w14:paraId="704AD300" w14:textId="77777777" w:rsidR="00111341" w:rsidRPr="001E74B8" w:rsidRDefault="00111341" w:rsidP="00111341">
            <w:pPr>
              <w:jc w:val="center"/>
              <w:rPr>
                <w:rFonts w:ascii="Calibri" w:hAnsi="Calibri"/>
                <w:color w:val="000000" w:themeColor="text1"/>
                <w:rtl/>
                <w:lang w:bidi="ar-EG"/>
              </w:rPr>
            </w:pPr>
            <w:r w:rsidRPr="001E74B8">
              <w:rPr>
                <w:rFonts w:ascii="Calibri" w:hAnsi="Calibri" w:hint="cs"/>
                <w:color w:val="000000" w:themeColor="text1"/>
                <w:rtl/>
                <w:lang w:bidi="ar-EG"/>
              </w:rPr>
              <w:t>عمليات الفحص التمهيدي الدولي كإدارة للفحص التمهيدي الدولي</w:t>
            </w:r>
          </w:p>
        </w:tc>
        <w:tc>
          <w:tcPr>
            <w:tcW w:w="1247" w:type="dxa"/>
            <w:vAlign w:val="center"/>
          </w:tcPr>
          <w:p w14:paraId="018D97EC" w14:textId="262A3C88"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53</w:t>
            </w:r>
          </w:p>
        </w:tc>
        <w:tc>
          <w:tcPr>
            <w:tcW w:w="1248" w:type="dxa"/>
            <w:vAlign w:val="center"/>
          </w:tcPr>
          <w:p w14:paraId="3009E205" w14:textId="49F62062"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33</w:t>
            </w:r>
          </w:p>
        </w:tc>
        <w:tc>
          <w:tcPr>
            <w:tcW w:w="1247" w:type="dxa"/>
            <w:vAlign w:val="center"/>
          </w:tcPr>
          <w:p w14:paraId="0630B6E2" w14:textId="33817825"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33</w:t>
            </w:r>
          </w:p>
        </w:tc>
        <w:tc>
          <w:tcPr>
            <w:tcW w:w="1248" w:type="dxa"/>
            <w:vAlign w:val="center"/>
          </w:tcPr>
          <w:p w14:paraId="15E4ABA5" w14:textId="38574F1A" w:rsidR="00111341" w:rsidRPr="001E74B8" w:rsidRDefault="00111341" w:rsidP="00111341">
            <w:pPr>
              <w:jc w:val="center"/>
              <w:rPr>
                <w:rFonts w:ascii="Calibri" w:hAnsi="Calibri"/>
                <w:color w:val="000000" w:themeColor="text1"/>
                <w:rtl/>
                <w:lang w:bidi="ar-EG"/>
              </w:rPr>
            </w:pPr>
            <w:r w:rsidRPr="00111341">
              <w:rPr>
                <w:rFonts w:ascii="Calibri" w:hAnsi="Calibri"/>
                <w:color w:val="000000" w:themeColor="text1"/>
              </w:rPr>
              <w:t>37</w:t>
            </w:r>
          </w:p>
        </w:tc>
      </w:tr>
    </w:tbl>
    <w:p w14:paraId="21FDF4D2" w14:textId="77777777" w:rsidR="001E74B8" w:rsidRPr="001E74B8" w:rsidRDefault="001E74B8" w:rsidP="001E74B8">
      <w:pPr>
        <w:spacing w:after="220"/>
        <w:rPr>
          <w:rFonts w:ascii="Calibri" w:hAnsi="Calibri"/>
          <w:b/>
          <w:bCs/>
          <w:color w:val="000000" w:themeColor="text1"/>
          <w:lang w:bidi="ar-EG"/>
        </w:rPr>
      </w:pPr>
    </w:p>
    <w:p w14:paraId="59B99BD6" w14:textId="77777777" w:rsidR="008B0506" w:rsidRDefault="008B0506">
      <w:pPr>
        <w:bidi w:val="0"/>
        <w:rPr>
          <w:rFonts w:ascii="Calibri" w:hAnsi="Calibri"/>
          <w:b/>
          <w:bCs/>
          <w:color w:val="000000" w:themeColor="text1"/>
          <w:rtl/>
          <w:lang w:bidi="ar-EG"/>
        </w:rPr>
      </w:pPr>
      <w:r>
        <w:rPr>
          <w:rFonts w:ascii="Calibri" w:hAnsi="Calibri"/>
          <w:b/>
          <w:bCs/>
          <w:color w:val="000000" w:themeColor="text1"/>
          <w:rtl/>
          <w:lang w:bidi="ar-EG"/>
        </w:rPr>
        <w:br w:type="page"/>
      </w:r>
    </w:p>
    <w:p w14:paraId="26A5D6D9" w14:textId="025A3540" w:rsidR="001E74B8" w:rsidRPr="001E74B8" w:rsidRDefault="001E74B8" w:rsidP="008B0506">
      <w:pPr>
        <w:pStyle w:val="Heading3"/>
        <w:rPr>
          <w:rtl/>
        </w:rPr>
      </w:pPr>
      <w:r w:rsidRPr="001E74B8">
        <w:rPr>
          <w:rFonts w:hint="cs"/>
          <w:rtl/>
        </w:rPr>
        <w:t>التدابير الرامية إلى تحسين تقارير البحث الدولي الصادرة عن المكتب الإسباني</w:t>
      </w:r>
    </w:p>
    <w:p w14:paraId="265BB495" w14:textId="77777777" w:rsidR="001E74B8" w:rsidRPr="001E74B8" w:rsidRDefault="001E74B8" w:rsidP="00752ECF">
      <w:pPr>
        <w:pStyle w:val="BodyText"/>
        <w:rPr>
          <w:bCs/>
          <w:rtl/>
          <w:lang w:bidi="ar-EG"/>
        </w:rPr>
      </w:pPr>
      <w:r w:rsidRPr="001E74B8">
        <w:rPr>
          <w:rFonts w:hint="cs"/>
          <w:rtl/>
          <w:lang w:bidi="ar-EG"/>
        </w:rPr>
        <w:t>منذ منتصف العقد الحالي، يقدم المكتب الإسباني خدمة "</w:t>
      </w:r>
      <w:r w:rsidRPr="001E74B8">
        <w:rPr>
          <w:lang w:bidi="ar-EG"/>
        </w:rPr>
        <w:t>PCT Direct</w:t>
      </w:r>
      <w:r w:rsidRPr="001E74B8">
        <w:rPr>
          <w:rFonts w:hint="cs"/>
          <w:rtl/>
          <w:lang w:bidi="ar-EG"/>
        </w:rPr>
        <w:t>". وتتيح هذه الخدمة الاختيارية لمودعي الطلبات، عن طريق رسالة، تقديم تعليقات غير رسمية على الاعتراضات الواردة في الرأي الكتابي للطلب السابق الذي يُطالب بشأنه بالأولوية. وتساهم هذه التعليقات في تحسين تقييم الطلبات الدولية، ممّا يُضيف قيمة إلى تقرير البحث الدولي والرأي الكتابي الذي يُعدّه المكتب الإسباني بصفته الإدارة المسؤولة عن البحث. وهذا بدوره يفضي إلى إصدار منتجات ذات جودة أعلى بشكل عام من قِبل المكتب.</w:t>
      </w:r>
    </w:p>
    <w:p w14:paraId="4B6C6135" w14:textId="77777777" w:rsidR="001E74B8" w:rsidRPr="001E74B8" w:rsidRDefault="001E74B8" w:rsidP="00752ECF">
      <w:pPr>
        <w:pStyle w:val="BodyText"/>
        <w:rPr>
          <w:bCs/>
          <w:rtl/>
        </w:rPr>
      </w:pPr>
      <w:r w:rsidRPr="001E74B8">
        <w:rPr>
          <w:rFonts w:hint="cs"/>
          <w:bCs/>
          <w:rtl/>
        </w:rPr>
        <w:t>التعاون الدولي</w:t>
      </w:r>
    </w:p>
    <w:p w14:paraId="5AF4D248" w14:textId="529C2448" w:rsidR="001E74B8" w:rsidRPr="001E74B8" w:rsidRDefault="001E74B8" w:rsidP="00752ECF">
      <w:pPr>
        <w:pStyle w:val="BodyText"/>
        <w:rPr>
          <w:bCs/>
          <w:rtl/>
          <w:lang w:bidi="ar-EG"/>
        </w:rPr>
      </w:pPr>
      <w:r w:rsidRPr="001E74B8">
        <w:rPr>
          <w:rFonts w:hint="cs"/>
          <w:rtl/>
          <w:lang w:bidi="ar-EG"/>
        </w:rPr>
        <w:t>كقاعدة عامة، يستفيد المكتب الإسباني من العمل الذي تؤديه سائر مكاتب الملكية الفكرية والإدارات الدولية والمكتب الدولي، ويقدر هذا العمل تقديراً كبيراً، سواء من خلال الموارد المتاحة للدول المتعاقدة في معاهدة البراءات أو من خلال المناقشات والاجتماعات التي تعقد لتبادل أفضل الممارسات وتعميمها.</w:t>
      </w:r>
      <w:r w:rsidRPr="001E74B8">
        <w:rPr>
          <w:rFonts w:hint="cs"/>
          <w:rtl/>
          <w:lang w:bidi="ar-EG"/>
        </w:rPr>
        <w:cr/>
        <w:t>وبالتالي، أثبت التعاون بين المكتب الإسباني ومكاتب الملكية الفكرية الأخرى والمنظمات الدولية، أنه أمر ضروري من أجل تبادل المعلومات واتساق ممارسات الملكية الفكرية.</w:t>
      </w:r>
    </w:p>
    <w:p w14:paraId="4BFC0448" w14:textId="77777777" w:rsidR="001E74B8" w:rsidRPr="001E74B8" w:rsidRDefault="001E74B8" w:rsidP="00752ECF">
      <w:pPr>
        <w:pStyle w:val="BodyText"/>
        <w:rPr>
          <w:bCs/>
          <w:rtl/>
          <w:lang w:bidi="ar-EG"/>
        </w:rPr>
      </w:pPr>
      <w:r w:rsidRPr="001E74B8">
        <w:rPr>
          <w:rFonts w:hint="cs"/>
          <w:rtl/>
          <w:lang w:bidi="ar-EG"/>
        </w:rPr>
        <w:t xml:space="preserve">وإضافة إلى تعزيز العلاقات، تحمي هذه المبادرات حقوق الملكية الفكرية وتعزّزها من خلال الشراكات القائمة على تبادل المعلومات وأفضل الممارسات وأنشطة التدريب، ممّا يؤدي إلى تبادل الخبرات تحقيقاً للمنفعة المتبادلة. </w:t>
      </w:r>
    </w:p>
    <w:p w14:paraId="2B74C4CA" w14:textId="77777777" w:rsidR="001E74B8" w:rsidRPr="001E74B8" w:rsidRDefault="001E74B8" w:rsidP="00752ECF">
      <w:pPr>
        <w:pStyle w:val="BodyText"/>
        <w:rPr>
          <w:bCs/>
          <w:rtl/>
          <w:lang w:bidi="ar-EG"/>
        </w:rPr>
      </w:pPr>
      <w:r w:rsidRPr="001E74B8">
        <w:rPr>
          <w:rFonts w:hint="cs"/>
          <w:rtl/>
          <w:lang w:bidi="ar-EG"/>
        </w:rPr>
        <w:t>وفي هذا السياق، اعتمد المكتب الإسباني مؤخراً خطته الاستراتيجية للأعوام 2025-2027. وتشمل أهدافه العامة تعزيز القيادة وتحسين التعاون من جانب المكتب الإسباني على المستويين الوطني والدولي.</w:t>
      </w:r>
    </w:p>
    <w:p w14:paraId="3AE5921D" w14:textId="77777777" w:rsidR="00D953A4" w:rsidRDefault="001E74B8" w:rsidP="00752ECF">
      <w:pPr>
        <w:pStyle w:val="BodyText"/>
        <w:rPr>
          <w:rtl/>
          <w:lang w:bidi="ar-EG"/>
        </w:rPr>
      </w:pPr>
      <w:r w:rsidRPr="001E74B8">
        <w:rPr>
          <w:rFonts w:hint="cs"/>
          <w:rtl/>
          <w:lang w:bidi="ar-EG"/>
        </w:rPr>
        <w:t>ولكن هذا التعاون على المستوى الدولي ليس بالأمر الجديد، وقد كثّف المكتب الإسباني تعاونه وشراكاته على مر السنين.</w:t>
      </w:r>
    </w:p>
    <w:p w14:paraId="06221E14" w14:textId="47344270" w:rsidR="001E74B8" w:rsidRPr="001E74B8" w:rsidRDefault="001E74B8" w:rsidP="00752ECF">
      <w:pPr>
        <w:pStyle w:val="BodyText"/>
        <w:rPr>
          <w:bCs/>
          <w:rtl/>
        </w:rPr>
      </w:pPr>
      <w:r w:rsidRPr="001E74B8">
        <w:rPr>
          <w:rFonts w:hint="cs"/>
          <w:bCs/>
          <w:rtl/>
        </w:rPr>
        <w:t>التعاون على المستوى الأوروبي مع المكتب الأوروبي للبراءات</w:t>
      </w:r>
    </w:p>
    <w:p w14:paraId="2694AA12" w14:textId="77777777" w:rsidR="001E74B8" w:rsidRPr="001E74B8" w:rsidRDefault="001E74B8" w:rsidP="00752ECF">
      <w:pPr>
        <w:pStyle w:val="BodyText"/>
        <w:rPr>
          <w:bCs/>
          <w:rtl/>
          <w:lang w:bidi="ar-EG"/>
        </w:rPr>
      </w:pPr>
      <w:r w:rsidRPr="001E74B8">
        <w:rPr>
          <w:rFonts w:hint="cs"/>
          <w:rtl/>
          <w:lang w:bidi="ar-EG"/>
        </w:rPr>
        <w:t>على المستوى الأوروبي، يشارك المكتب الإسباني في أنشطة تهدف إلى مواءمة عمليات البحث في أوروبا في إطار معاهدة البراءات، وذلك وفقاً لبروتوكول مركزية نظام البراءات الأوروبي بموجب اتفاقية البراءات الأوروبية، الذي ينص على التعاون بين المكتب الأوروبي للبراءات وإدارات البحث الدولي/الفحص التمهيدي الدولي الأخرى. وقد شُكّلت لجنة دائمة معنية بتوحيد أنشطة البحث، إلى جانب ثلاث مجموعات عمل متخصصة تركّز على الجودة والأدوات والتدريب. وهناك ممثلون عن كل مكتب في هذه المجموعات، ويعقدون اجتماعات دورية لتعزيز التعاون وتوحيد معايير أنشطة البحث. وعلى وجه الخصوص، يشمل التعاون إجراءات البحث وأساليبه، والمؤهلات المطلوبة من المرشحين لتعيينهم كفاحصين وتدريبهم، والمبادئ التوجيهية لتبادل عمليات البحث وتبادل ملفات التنسيق (بهدف تعزيز تقارب ممارسات البحث بين إدارات البحث الدولي)، والخدمات الأخرى بين المكاتب، والتدابير الأخرى الضرورية لإرساء المستوى اللازم من الرقابة والإشراف.</w:t>
      </w:r>
    </w:p>
    <w:p w14:paraId="1BA8CBC2" w14:textId="77777777" w:rsidR="001E74B8" w:rsidRPr="001E74B8" w:rsidRDefault="001E74B8" w:rsidP="00752ECF">
      <w:pPr>
        <w:pStyle w:val="BodyText"/>
        <w:rPr>
          <w:bCs/>
          <w:rtl/>
          <w:lang w:bidi="ar-EG"/>
        </w:rPr>
      </w:pPr>
      <w:r w:rsidRPr="001E74B8">
        <w:rPr>
          <w:rFonts w:hint="cs"/>
          <w:rtl/>
          <w:lang w:bidi="ar-EG"/>
        </w:rPr>
        <w:t>وفيما يتعلق بعملية تنسيق الملفات، يقوم الفاحصون من إحدى إدارات البحث الدولي الأوروبية المشاركة والفاحصون من المكتب الأوروبي للبراءات بإجراء تحليل مقارن بين عمليات البحث التي أجراها كل منها على ملف الطلب نفسه.</w:t>
      </w:r>
    </w:p>
    <w:p w14:paraId="763BFF3C" w14:textId="77777777" w:rsidR="001E74B8" w:rsidRPr="001E74B8" w:rsidRDefault="001E74B8" w:rsidP="00752ECF">
      <w:pPr>
        <w:pStyle w:val="BodyText"/>
        <w:rPr>
          <w:bCs/>
          <w:rtl/>
          <w:lang w:bidi="ar-EG"/>
        </w:rPr>
      </w:pPr>
      <w:r w:rsidRPr="001E74B8">
        <w:rPr>
          <w:rFonts w:hint="cs"/>
          <w:rtl/>
          <w:lang w:bidi="ar-EG"/>
        </w:rPr>
        <w:t>ومن ثم، في اجتماع اللجنة دائمة معنية بتوحيد أنشطة البحث، تُعرض دراسة شاملة تتناول أوجه التشابه والاختلاف بين عمليات البحث التي أجراها الفاحصون من إدارات البحث الدولي الأوروبية ومكتب البراءات الأوروبي. ويُولى اهتمام خاص للحالات التي يوجد فيها تباين في قضايا رئيسية مثل تقييم الجدة، والخطوة الابتكارية، والوضوح، ووحدة الاختراع.</w:t>
      </w:r>
    </w:p>
    <w:p w14:paraId="13A9D661" w14:textId="77777777" w:rsidR="001E74B8" w:rsidRPr="001E74B8" w:rsidRDefault="001E74B8" w:rsidP="00752ECF">
      <w:pPr>
        <w:pStyle w:val="BodyText"/>
        <w:rPr>
          <w:bCs/>
          <w:rtl/>
          <w:lang w:bidi="ar-EG"/>
        </w:rPr>
      </w:pPr>
      <w:r w:rsidRPr="001E74B8">
        <w:rPr>
          <w:rFonts w:hint="cs"/>
          <w:rtl/>
          <w:lang w:bidi="ar-EG"/>
        </w:rPr>
        <w:t>ويتضمن التحليل المقارن الذي يُعرض في اجتماع لجنة دائمة معنية بتوحيد أنشطة البحث مقاييس كمية تتعلق بالتصنيف واستراتيجيات البحث، إضافة إلى مناقشة مفصّلة لتفسير الادعاءات والاستشهادات المستخدمة أثناء البحث.</w:t>
      </w:r>
    </w:p>
    <w:p w14:paraId="7C1E1238" w14:textId="77777777" w:rsidR="001E74B8" w:rsidRPr="001E74B8" w:rsidRDefault="001E74B8" w:rsidP="00D953A4">
      <w:pPr>
        <w:pStyle w:val="Heading3"/>
        <w:rPr>
          <w:rFonts w:ascii="Calibri" w:hAnsi="Calibri"/>
          <w:b/>
          <w:color w:val="000000" w:themeColor="text1"/>
          <w:rtl/>
        </w:rPr>
      </w:pPr>
      <w:r w:rsidRPr="001E74B8">
        <w:rPr>
          <w:rFonts w:hint="cs"/>
          <w:rtl/>
        </w:rPr>
        <w:t>التعاون</w:t>
      </w:r>
      <w:r w:rsidRPr="001E74B8">
        <w:rPr>
          <w:rFonts w:ascii="Calibri" w:hAnsi="Calibri" w:hint="cs"/>
          <w:b/>
          <w:color w:val="000000" w:themeColor="text1"/>
          <w:rtl/>
        </w:rPr>
        <w:t xml:space="preserve"> الدولي</w:t>
      </w:r>
    </w:p>
    <w:p w14:paraId="31FBD5BF" w14:textId="77777777" w:rsidR="001E74B8" w:rsidRPr="001E74B8" w:rsidRDefault="001E74B8" w:rsidP="00752ECF">
      <w:pPr>
        <w:pStyle w:val="BodyText"/>
        <w:rPr>
          <w:bCs/>
          <w:rtl/>
          <w:lang w:bidi="ar-EG"/>
        </w:rPr>
      </w:pPr>
      <w:r w:rsidRPr="001E74B8">
        <w:rPr>
          <w:rFonts w:hint="cs"/>
          <w:rtl/>
          <w:lang w:bidi="ar-EG"/>
        </w:rPr>
        <w:t>يتجلّى التعاون الدولي من خلال عدد من اتفاقيات المسار السريع لمعالجة البراءات التي وقعها المكتب الإسباني مع مكاتب الملكية الفكرية الأخرى (مثل مكاتب البرازيل والصين وكولومبيا وفنلندا واليابان والمكسيك والمغرب وبيرو وتركيا). وتتمثل غاية هذه الاتفاقات في تعزيز عملية تبادل العمل وتمكين مودعي طلبات البراءات من التماس المعالجة السريعة لطلباتهم. وقد وقّع هذا المكتب أيضاً عدداً من اتفاقات المسار السريع لمعالجة البراءات التي تشمل منتجات أعمال معاهدة البراءات. وفي عام 2014، انضم المكتب الإسباني إلى المشروع العالمي للمسار السريع لمعالجة البراءات الذي يسمح لمودعي طلبات البراءات بطلب إجراء فحص سريع في أي مكتب من المكاتب الـ28 المعنية.</w:t>
      </w:r>
    </w:p>
    <w:p w14:paraId="377C5037" w14:textId="77777777" w:rsidR="001E74B8" w:rsidRPr="001E74B8" w:rsidRDefault="001E74B8" w:rsidP="00752ECF">
      <w:pPr>
        <w:pStyle w:val="BodyText"/>
        <w:rPr>
          <w:bCs/>
          <w:rtl/>
          <w:lang w:bidi="ar-EG"/>
        </w:rPr>
      </w:pPr>
      <w:r w:rsidRPr="001E74B8">
        <w:rPr>
          <w:rFonts w:hint="cs"/>
          <w:rtl/>
          <w:lang w:bidi="ar-EG"/>
        </w:rPr>
        <w:t>وأقام المكتب الإسباني برامج تعاون ثنائية مع عدد من الدول (بما في ذلك الأرجنتين، والبرازيل، وشيلي، والصين، وكولومبيا، وكوستاريكا، وكوبا، وإكوادور، والسلفادور، واليونان، وإيطاليا، وجمهورية كوريا، والمكسيك، وبيرو، والبرتغال، والاتحاد الروسي، وسنغافورة، وتركيا). وتحدد مذكرات التفاهم هذه إطاراً تتقاسم داخله مكاتب الملكية الفكرية الخبرات أو البرامج التدريبية، أو تتعاون في بحث الطلبات وفحصها، أو تتبادل البيانات من أجل تحسين النظام الدولي للبراءات.</w:t>
      </w:r>
    </w:p>
    <w:p w14:paraId="1C3AC5D5" w14:textId="77777777" w:rsidR="001E74B8" w:rsidRPr="001E74B8" w:rsidRDefault="001E74B8" w:rsidP="00752ECF">
      <w:pPr>
        <w:pStyle w:val="BodyText"/>
        <w:rPr>
          <w:bCs/>
          <w:rtl/>
          <w:lang w:bidi="ar-EG"/>
        </w:rPr>
      </w:pPr>
      <w:r w:rsidRPr="001E74B8">
        <w:rPr>
          <w:rFonts w:hint="cs"/>
          <w:rtl/>
          <w:lang w:bidi="ar-EG"/>
        </w:rPr>
        <w:t xml:space="preserve">وفي إطار تلك البرامج الثنائية، يدير المكتب الإسباني برنامجاً تدريبياً حول عمليات البحث والفحص المتعلقة بالبراءات منذ عام 2002. ويكمن الهدف الرئيسي منه في تعليم فاحصي البراءات الأيبيريين-الأمريكيين أساليب البحث في قواعد بيانات مختلفة واستخدام خدمات المعلومات التكنولوجية المختلفة. </w:t>
      </w:r>
    </w:p>
    <w:p w14:paraId="24D6BA6D" w14:textId="03F7F408" w:rsidR="001E74B8" w:rsidRPr="001E74B8" w:rsidRDefault="001E74B8" w:rsidP="00752ECF">
      <w:pPr>
        <w:pStyle w:val="BodyText"/>
        <w:rPr>
          <w:bCs/>
          <w:rtl/>
          <w:lang w:bidi="ar-EG"/>
        </w:rPr>
      </w:pPr>
      <w:r w:rsidRPr="001E74B8">
        <w:rPr>
          <w:rFonts w:hint="cs"/>
          <w:rtl/>
          <w:lang w:bidi="ar-EG"/>
        </w:rPr>
        <w:t>وما فتئ المكتب الإسباني يعطي الأولوية لعلاقته مع أمريكا اللاتينية في مجال الملكية الفكرية</w:t>
      </w:r>
      <w:r w:rsidR="00111341">
        <w:rPr>
          <w:rFonts w:hint="cs"/>
          <w:rtl/>
          <w:lang w:bidi="ar-EG"/>
        </w:rPr>
        <w:t xml:space="preserve">. </w:t>
      </w:r>
      <w:r w:rsidRPr="001E74B8">
        <w:rPr>
          <w:rFonts w:hint="cs"/>
          <w:rtl/>
          <w:lang w:bidi="ar-EG"/>
        </w:rPr>
        <w:t xml:space="preserve">وبناءً على ذلك، أُنشئ الصندوق الاستئماني الإسباني في المنظمة العالمية للملكية الفكرية (الويبو) في عام 2004. ومنذ ذلك الحين، دعم الصندوق الاستئماني الإسباني العديد من المشاريع. </w:t>
      </w:r>
    </w:p>
    <w:p w14:paraId="02FD9E7A" w14:textId="06770EBE" w:rsidR="001E74B8" w:rsidRPr="001E74B8" w:rsidRDefault="001E74B8" w:rsidP="001E74B8">
      <w:pPr>
        <w:numPr>
          <w:ilvl w:val="0"/>
          <w:numId w:val="41"/>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 xml:space="preserve">أحد الأمثلة مشروع </w:t>
      </w:r>
      <w:r w:rsidRPr="001E74B8">
        <w:rPr>
          <w:rFonts w:ascii="Calibri" w:hAnsi="Calibri"/>
          <w:color w:val="000000" w:themeColor="text1"/>
          <w:lang w:bidi="ar-EG"/>
        </w:rPr>
        <w:t>LATIPAT</w:t>
      </w:r>
      <w:r w:rsidRPr="001E74B8">
        <w:rPr>
          <w:rFonts w:ascii="Calibri" w:hAnsi="Calibri" w:hint="cs"/>
          <w:color w:val="000000" w:themeColor="text1"/>
          <w:rtl/>
          <w:lang w:bidi="ar-EG"/>
        </w:rPr>
        <w:t xml:space="preserve"> لإنشاء قاعدة بيانات مجانية باللغتين الإسبانية والبرتغالية تحتوي على معلومات البراءات من جميع بلدان أمريكا اللاتينية، وستكون بمثابة أداة مرجعية عالمية.</w:t>
      </w:r>
      <w:r w:rsidRPr="001E74B8">
        <w:rPr>
          <w:rFonts w:ascii="Calibri" w:hAnsi="Calibri" w:hint="cs"/>
          <w:rtl/>
          <w:lang w:bidi="ar-EG"/>
        </w:rPr>
        <w:t xml:space="preserve"> </w:t>
      </w:r>
    </w:p>
    <w:p w14:paraId="06DD47A4" w14:textId="77777777" w:rsidR="001E74B8" w:rsidRPr="001E74B8" w:rsidRDefault="001E74B8" w:rsidP="001E74B8">
      <w:pPr>
        <w:numPr>
          <w:ilvl w:val="0"/>
          <w:numId w:val="41"/>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وموّل الصندوق الاستئماني كذلك دليلاً للبراءات لبلدان أمريكا الوسطى والجمهورية الدومينيكية يحدد المبادئ التوجيهية المشتركة لفحص طلبات الحصول على البراءات في البلدان المشاركة.</w:t>
      </w:r>
      <w:r w:rsidRPr="001E74B8">
        <w:rPr>
          <w:rFonts w:ascii="Calibri" w:hAnsi="Calibri"/>
          <w:bCs/>
          <w:color w:val="000000" w:themeColor="text1"/>
          <w:vertAlign w:val="superscript"/>
          <w:lang w:bidi="ar-EG"/>
        </w:rPr>
        <w:footnoteReference w:id="5"/>
      </w:r>
    </w:p>
    <w:p w14:paraId="3BE96223" w14:textId="77777777" w:rsidR="001E74B8" w:rsidRPr="001E74B8" w:rsidRDefault="001E74B8" w:rsidP="00752ECF">
      <w:pPr>
        <w:pStyle w:val="BodyText"/>
        <w:rPr>
          <w:bCs/>
          <w:rtl/>
          <w:lang w:bidi="ar-EG"/>
        </w:rPr>
      </w:pPr>
      <w:r w:rsidRPr="001E74B8">
        <w:rPr>
          <w:rFonts w:hint="cs"/>
          <w:rtl/>
          <w:lang w:bidi="ar-EG"/>
        </w:rPr>
        <w:t xml:space="preserve">وعلاوة على ذلك، تُنظَّم سنوياً ندوات مشتركة بين المناطق لقضاة أمريكا اللاتينية. وتهدف هذه الندوات إلى تحسين حماية الملكية الصناعية وتعزيز وجود تفسير موحّد لقانون الملكية الصناعية الحالي. </w:t>
      </w:r>
    </w:p>
    <w:p w14:paraId="131F62D1" w14:textId="77777777" w:rsidR="001E74B8" w:rsidRPr="001E74B8" w:rsidRDefault="001E74B8" w:rsidP="00752ECF">
      <w:pPr>
        <w:pStyle w:val="BodyText"/>
        <w:rPr>
          <w:bCs/>
          <w:rtl/>
          <w:lang w:bidi="ar-EG"/>
        </w:rPr>
      </w:pPr>
      <w:r w:rsidRPr="001E74B8">
        <w:rPr>
          <w:rFonts w:hint="cs"/>
          <w:rtl/>
          <w:lang w:bidi="ar-EG"/>
        </w:rPr>
        <w:t xml:space="preserve">وعلى مر عدة سنوات، وكجزء من برنامج </w:t>
      </w:r>
      <w:r w:rsidRPr="001E74B8">
        <w:rPr>
          <w:lang w:bidi="ar-EG"/>
        </w:rPr>
        <w:t>Intercoonecta</w:t>
      </w:r>
      <w:r w:rsidRPr="001E74B8">
        <w:rPr>
          <w:rFonts w:hint="cs"/>
          <w:rtl/>
          <w:lang w:bidi="ar-EG"/>
        </w:rPr>
        <w:t xml:space="preserve"> ، انضم المكتب الإسباني إلى الويبو والوكالة الإسبانية للتعاون الدولي من أجل التنمية (</w:t>
      </w:r>
      <w:r w:rsidRPr="001E74B8">
        <w:rPr>
          <w:lang w:bidi="ar-EG"/>
        </w:rPr>
        <w:t>AECID</w:t>
      </w:r>
      <w:r w:rsidRPr="001E74B8">
        <w:rPr>
          <w:rFonts w:hint="cs"/>
          <w:rtl/>
          <w:lang w:bidi="ar-EG"/>
        </w:rPr>
        <w:t>) من أجل تنظيم حلقة عمل إقليمية لتدريب المدربين حول الملكية الصناعية: صياغة طلبات البراءات في بلدان أمريكا اللاتينية، في المركز الإسباني للتدريب على التعاون في مونتيفيديو.</w:t>
      </w:r>
    </w:p>
    <w:p w14:paraId="50FB36E6" w14:textId="77777777" w:rsidR="001E74B8" w:rsidRPr="001E74B8" w:rsidRDefault="001E74B8" w:rsidP="00752ECF">
      <w:pPr>
        <w:pStyle w:val="BodyText"/>
        <w:rPr>
          <w:bCs/>
          <w:rtl/>
          <w:lang w:bidi="ar-EG"/>
        </w:rPr>
      </w:pPr>
      <w:r w:rsidRPr="001E74B8">
        <w:rPr>
          <w:rFonts w:hint="cs"/>
          <w:rtl/>
          <w:lang w:bidi="ar-EG"/>
        </w:rPr>
        <w:t>وفي عام 2020، تم التوصل إلى اتفاق بين المؤسسة الدولية والأيبيرية-الأمريكية غير الربحية المعنية بالسياسات الإدارية والعامة والمكتب الإسباني بشأن مشروع توأمة مع مصر بعنوان "دعم وتطوير القدرات المؤسسية والتقنية والتوعوية لمكتب براءات الاختراع المصري". ويهدف المشروع إلى دعم وتحسين القدرات التقنية والمؤسسية للمكتب المصري، وتعزيز حضوره. وقد نُفذ المشروع، الذي بلغت ميزانيته 1.5 مليون يورو، على فترة تزيد عن عامين. وقدّم كل من مكتب البراءات والعلامات التجارية الدنماركي (</w:t>
      </w:r>
      <w:r w:rsidRPr="001E74B8">
        <w:rPr>
          <w:lang w:bidi="ar-EG"/>
        </w:rPr>
        <w:t>DKPTO</w:t>
      </w:r>
      <w:r w:rsidRPr="001E74B8">
        <w:rPr>
          <w:rFonts w:hint="cs"/>
          <w:rtl/>
          <w:lang w:bidi="ar-EG"/>
        </w:rPr>
        <w:t>) والمؤسسة الألمانية للتعاون القانوني الدولي (</w:t>
      </w:r>
      <w:r w:rsidRPr="001E74B8">
        <w:rPr>
          <w:lang w:bidi="ar-EG"/>
        </w:rPr>
        <w:t>IRZ</w:t>
      </w:r>
      <w:r w:rsidRPr="001E74B8">
        <w:rPr>
          <w:rFonts w:hint="cs"/>
          <w:rtl/>
          <w:lang w:bidi="ar-EG"/>
        </w:rPr>
        <w:t xml:space="preserve">) الدعم للمشروع باعتبارهما شريكين ثانويين. </w:t>
      </w:r>
    </w:p>
    <w:p w14:paraId="579BC54B" w14:textId="77777777" w:rsidR="001E74B8" w:rsidRPr="001E74B8" w:rsidRDefault="001E74B8" w:rsidP="00752ECF">
      <w:pPr>
        <w:pStyle w:val="BodyText"/>
        <w:rPr>
          <w:bCs/>
          <w:rtl/>
          <w:lang w:bidi="ar-EG"/>
        </w:rPr>
      </w:pPr>
      <w:r w:rsidRPr="001E74B8">
        <w:rPr>
          <w:rFonts w:hint="cs"/>
          <w:rtl/>
          <w:lang w:bidi="ar-EG"/>
        </w:rPr>
        <w:t>وقد تم تنظيم المشروع حول خمسة مكونات:</w:t>
      </w:r>
    </w:p>
    <w:p w14:paraId="4C85D3D1"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المكون 1: وضع خطة استراتيجية للملكية الفكرية للبحث العلمي في مصر.</w:t>
      </w:r>
    </w:p>
    <w:p w14:paraId="451BD90F"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المكون 2: التعاون والتنسيق المستدام مع أصحاب الحقوق والشركات والمؤسسات الصغيرة والمتوسطة، مع التركيز على المؤسسات.</w:t>
      </w:r>
    </w:p>
    <w:p w14:paraId="5862F003"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المكون 3: استعراض وتحديث نظم المكتب المصري وإجراءاته بما يتماشى مع معايير الاتحاد الأوروبي.</w:t>
      </w:r>
    </w:p>
    <w:p w14:paraId="669E7B94"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المكون 4: بناء مهارات موظفي المكتب المصري في منح البراءات ونشر المعلومات.</w:t>
      </w:r>
    </w:p>
    <w:p w14:paraId="68F7CA75" w14:textId="77777777" w:rsidR="001E74B8" w:rsidRPr="0085177D" w:rsidRDefault="001E74B8" w:rsidP="001E74B8">
      <w:pPr>
        <w:numPr>
          <w:ilvl w:val="0"/>
          <w:numId w:val="32"/>
        </w:numPr>
        <w:contextualSpacing/>
        <w:jc w:val="both"/>
        <w:rPr>
          <w:rFonts w:ascii="Calibri" w:hAnsi="Calibri"/>
          <w:bCs/>
          <w:color w:val="000000" w:themeColor="text1"/>
          <w:lang w:bidi="ar-EG"/>
        </w:rPr>
      </w:pPr>
      <w:r w:rsidRPr="001E74B8">
        <w:rPr>
          <w:rFonts w:ascii="Calibri" w:hAnsi="Calibri" w:hint="cs"/>
          <w:color w:val="000000" w:themeColor="text1"/>
          <w:rtl/>
          <w:lang w:bidi="ar-EG"/>
        </w:rPr>
        <w:t>المكون 5: تدريب وبناء المهارات التنظيمية لموظفي المكتب المصري.</w:t>
      </w:r>
    </w:p>
    <w:p w14:paraId="3BCA623E" w14:textId="77777777" w:rsidR="0085177D" w:rsidRPr="001E74B8" w:rsidRDefault="0085177D" w:rsidP="0085177D">
      <w:pPr>
        <w:contextualSpacing/>
        <w:jc w:val="both"/>
        <w:rPr>
          <w:rFonts w:ascii="Calibri" w:hAnsi="Calibri"/>
          <w:bCs/>
          <w:color w:val="000000" w:themeColor="text1"/>
          <w:rtl/>
          <w:lang w:bidi="ar-EG"/>
        </w:rPr>
      </w:pPr>
    </w:p>
    <w:p w14:paraId="2BC06E13" w14:textId="77777777" w:rsidR="0085177D" w:rsidRDefault="001E74B8" w:rsidP="00752ECF">
      <w:pPr>
        <w:pStyle w:val="BodyText"/>
        <w:rPr>
          <w:rtl/>
          <w:lang w:bidi="ar-EG"/>
        </w:rPr>
      </w:pPr>
      <w:r w:rsidRPr="001E74B8">
        <w:rPr>
          <w:rFonts w:hint="cs"/>
          <w:rtl/>
          <w:lang w:bidi="ar-EG"/>
        </w:rPr>
        <w:t>وتطابقت مكونات المشروع مع النتائج المتوقعة منه، وتم التخطيط لسلسلة من الأنشطة طوال فترة المشروع، بما في ذلك حلقات العمل والدورات التدريبية وبعثات الخبراء والزيارات الدراسية والاستشارات. وأُرسل كذلك خبراء فاحصون وموظفون آخرون من المكتب الإسباني إلى المكتب المصري.</w:t>
      </w:r>
    </w:p>
    <w:p w14:paraId="0267B107" w14:textId="104B8993" w:rsidR="001E74B8" w:rsidRPr="001E74B8" w:rsidRDefault="0085177D" w:rsidP="00752ECF">
      <w:pPr>
        <w:pStyle w:val="BodyText"/>
        <w:rPr>
          <w:bCs/>
          <w:rtl/>
          <w:lang w:bidi="ar-EG"/>
        </w:rPr>
      </w:pPr>
      <w:r>
        <w:rPr>
          <w:rFonts w:hint="cs"/>
          <w:rtl/>
          <w:lang w:bidi="ar-EG"/>
        </w:rPr>
        <w:t>و</w:t>
      </w:r>
      <w:r w:rsidR="001E74B8" w:rsidRPr="001E74B8">
        <w:rPr>
          <w:rFonts w:hint="cs"/>
          <w:rtl/>
          <w:lang w:bidi="ar-EG"/>
        </w:rPr>
        <w:t xml:space="preserve">من بين النجاحات حصول المكتب المصري على الشهادة </w:t>
      </w:r>
      <w:r w:rsidR="001E74B8" w:rsidRPr="001E74B8">
        <w:rPr>
          <w:lang w:bidi="ar-EG"/>
        </w:rPr>
        <w:t>ISO 9001</w:t>
      </w:r>
      <w:r w:rsidR="001E74B8" w:rsidRPr="001E74B8">
        <w:rPr>
          <w:rFonts w:hint="cs"/>
          <w:rtl/>
          <w:lang w:bidi="ar-EG"/>
        </w:rPr>
        <w:t xml:space="preserve">، وهي ثمرة الجهود المشتركة والدعم المقدم من خبراء الجودة من المكتبين الإسباني والمصري في إطار المكون 3. </w:t>
      </w:r>
    </w:p>
    <w:p w14:paraId="7B63B650" w14:textId="77777777" w:rsidR="001E74B8" w:rsidRPr="001E74B8" w:rsidRDefault="001E74B8" w:rsidP="00752ECF">
      <w:pPr>
        <w:pStyle w:val="BodyText"/>
        <w:rPr>
          <w:bCs/>
          <w:rtl/>
          <w:lang w:bidi="ar-EG"/>
        </w:rPr>
      </w:pPr>
      <w:r w:rsidRPr="001E74B8">
        <w:rPr>
          <w:rFonts w:hint="cs"/>
          <w:rtl/>
          <w:lang w:bidi="ar-EG"/>
        </w:rPr>
        <w:t>ووقّع المكتب الإسباني أيضاً مذكرة تفاهم مع الويبو بشأن التعاون في نشر المعلومات المتعلقة بالملكية الفكرية. وشارك خبراء المكتب الإسباني في فعاليات متنوّعة في جمهورية مولدوفا وأوزبكستان وسلوفينيا وأوكرانيا، بهدف تلبية الاحتياجات الأكاديمية في المنطقة ورفع مستوى كفاءات المتخصصين في مجال الملكية الفكرية.</w:t>
      </w:r>
    </w:p>
    <w:p w14:paraId="7066BCA0" w14:textId="77777777" w:rsidR="001E74B8" w:rsidRPr="001E74B8" w:rsidRDefault="001E74B8" w:rsidP="00752ECF">
      <w:pPr>
        <w:pStyle w:val="BodyText"/>
        <w:rPr>
          <w:bCs/>
          <w:rtl/>
          <w:lang w:bidi="ar-EG"/>
        </w:rPr>
      </w:pPr>
      <w:r w:rsidRPr="001E74B8">
        <w:rPr>
          <w:rFonts w:hint="cs"/>
          <w:rtl/>
          <w:lang w:bidi="ar-EG"/>
        </w:rPr>
        <w:t xml:space="preserve">وينظّم المكتب الإسباني وأكاديمية الويبو دورات صيفية سنوية في قانون الملكية الفكرية. وتُدرَّس هذه الدورات باللغة الإسبانية، وتتيح لطلاب السنوات النهائية والمهنيين الشباب فرصة تعميق معرفتهم بالملكية الصناعية والتعرّف على دور الويبو ووظائفها في الإدارة العالمية للملكية الفكرية. ويتضمّن البرنامج محاضرات ومناقشات على هيئة مائدة مستديرة يديرها خبراء من الويبو والمكتب الإسباني، إضافة إلى نخبة من المهنيين البارزين في مجال الملكية الصناعية والفكرية. </w:t>
      </w:r>
    </w:p>
    <w:p w14:paraId="4E45A270" w14:textId="77777777" w:rsidR="001E74B8" w:rsidRPr="001E74B8" w:rsidRDefault="001E74B8" w:rsidP="00752ECF">
      <w:pPr>
        <w:pStyle w:val="BodyText"/>
        <w:rPr>
          <w:bCs/>
          <w:rtl/>
          <w:lang w:bidi="ar-EG"/>
        </w:rPr>
      </w:pPr>
      <w:r w:rsidRPr="001E74B8">
        <w:rPr>
          <w:rFonts w:hint="cs"/>
          <w:rtl/>
          <w:lang w:bidi="ar-EG"/>
        </w:rPr>
        <w:t>وفي إطار التعاون التدريبي مع الويبو، يشارك المكتب الإسباني منذ عام 2020 في دورات تدريبية إلكترونية متقدمة بشأن فحص الاختراعات المنفذة بالحاسوب، ومسألة الذكاء الاصطناعي، والبيوتكنولوجيا، والمنتجات الكيميائية والصيدلانية، التي تُعقد لفائدة الفاحصين من أمريكا اللاتينية. ويجري التعاون مع الويبو والمكاتب الوطنية وفقاً للأُسس التالية:</w:t>
      </w:r>
    </w:p>
    <w:p w14:paraId="161D39E2" w14:textId="77777777" w:rsidR="001E74B8" w:rsidRPr="001E74B8" w:rsidRDefault="001E74B8" w:rsidP="001E74B8">
      <w:pPr>
        <w:ind w:left="567"/>
        <w:jc w:val="both"/>
        <w:rPr>
          <w:rFonts w:ascii="Calibri" w:hAnsi="Calibri"/>
          <w:bCs/>
          <w:color w:val="000000" w:themeColor="text1"/>
          <w:rtl/>
          <w:lang w:bidi="ar-EG"/>
        </w:rPr>
      </w:pPr>
      <w:r w:rsidRPr="001E74B8">
        <w:rPr>
          <w:rFonts w:ascii="Calibri" w:hAnsi="Calibri" w:hint="cs"/>
          <w:color w:val="000000" w:themeColor="text1"/>
          <w:rtl/>
          <w:lang w:bidi="ar-EG"/>
        </w:rPr>
        <w:t>1. المرحلة 1: النظرية، قانون البراءات في القطاعات التكنولوجية المختارة، مع التركيز على الجوانب الدولية والولايات القضائية المختلفة.</w:t>
      </w:r>
    </w:p>
    <w:p w14:paraId="5B585069" w14:textId="77777777" w:rsidR="001E74B8" w:rsidRPr="001E74B8" w:rsidRDefault="001E74B8" w:rsidP="001E74B8">
      <w:pPr>
        <w:ind w:left="567"/>
        <w:jc w:val="both"/>
        <w:rPr>
          <w:rFonts w:ascii="Calibri" w:hAnsi="Calibri"/>
          <w:bCs/>
          <w:color w:val="000000" w:themeColor="text1"/>
          <w:rtl/>
          <w:lang w:bidi="ar-EG"/>
        </w:rPr>
      </w:pPr>
      <w:r w:rsidRPr="001E74B8">
        <w:rPr>
          <w:rFonts w:ascii="Calibri" w:hAnsi="Calibri" w:hint="cs"/>
          <w:color w:val="000000" w:themeColor="text1"/>
          <w:rtl/>
          <w:lang w:bidi="ar-EG"/>
        </w:rPr>
        <w:t>2. المرحلة 2: كيفية عمل المكاتب الأخرى: عروض تقديمية حول النظرية والممارسة من قبل المكاتب الدولية وبعض المكاتب المشاركة، مع أمثلة محدّدة للفحص، وتفسير متطلّبات أهلية الحصول على البراءة، واستخدام قواعد البيانات في القطاع المعني.</w:t>
      </w:r>
    </w:p>
    <w:p w14:paraId="50BFE7B2" w14:textId="77777777" w:rsidR="001E74B8" w:rsidRDefault="001E74B8" w:rsidP="001E74B8">
      <w:pPr>
        <w:ind w:left="567"/>
        <w:jc w:val="both"/>
        <w:rPr>
          <w:rFonts w:ascii="Calibri" w:hAnsi="Calibri"/>
          <w:color w:val="000000" w:themeColor="text1"/>
          <w:rtl/>
          <w:lang w:bidi="ar-EG"/>
        </w:rPr>
      </w:pPr>
      <w:r w:rsidRPr="001E74B8">
        <w:rPr>
          <w:rFonts w:ascii="Calibri" w:hAnsi="Calibri" w:hint="cs"/>
          <w:color w:val="000000" w:themeColor="text1"/>
          <w:rtl/>
          <w:lang w:bidi="ar-EG"/>
        </w:rPr>
        <w:t>3. المرحلة 3: التدريب من خلال فحص الطلبات المحددة من قبل المكاتب المشاركة، بدعم من مدرّبين إقليميين ودوليين، بناءً على استعراض الحالات الحقيقية التي تتم معالجتها في كل مكتب من المكاتب.</w:t>
      </w:r>
    </w:p>
    <w:p w14:paraId="66263D89" w14:textId="77777777" w:rsidR="0085177D" w:rsidRPr="001E74B8" w:rsidRDefault="0085177D" w:rsidP="0085177D">
      <w:pPr>
        <w:jc w:val="both"/>
        <w:rPr>
          <w:rFonts w:ascii="Calibri" w:hAnsi="Calibri"/>
          <w:bCs/>
          <w:color w:val="000000" w:themeColor="text1"/>
          <w:rtl/>
          <w:lang w:bidi="ar-EG"/>
        </w:rPr>
      </w:pPr>
    </w:p>
    <w:p w14:paraId="1C46A835" w14:textId="77777777" w:rsidR="00D953A4" w:rsidRDefault="001E74B8" w:rsidP="00752ECF">
      <w:pPr>
        <w:pStyle w:val="BodyText"/>
        <w:rPr>
          <w:bCs/>
          <w:rtl/>
          <w:lang w:bidi="ar-EG"/>
        </w:rPr>
      </w:pPr>
      <w:r w:rsidRPr="001E74B8">
        <w:rPr>
          <w:rFonts w:hint="cs"/>
          <w:rtl/>
          <w:lang w:bidi="ar-EG"/>
        </w:rPr>
        <w:t xml:space="preserve">وأخيراً وليس آخراً، يعمل المكتب الإسباني بشكل وثيق مع مكتب الاتحاد الأوروبي للملكية الفكرية والمكتب الأوروبي للبراءات، ممّا يساعد مكتبنا على مواكبة أحدث الأدوات وقواعد البيانات المتعلقة بالملكية الفكرية، ومواصلة تنسيق الإجراءات وزيادة القدرة على التنبؤ للمستخدمين. </w:t>
      </w:r>
    </w:p>
    <w:p w14:paraId="5D255D38" w14:textId="27C3C419" w:rsidR="001E74B8" w:rsidRPr="001E74B8" w:rsidRDefault="001E74B8" w:rsidP="00D953A4">
      <w:pPr>
        <w:pStyle w:val="Heading3"/>
        <w:rPr>
          <w:rFonts w:ascii="Calibri" w:hAnsi="Calibri"/>
          <w:color w:val="000000" w:themeColor="text1"/>
          <w:rtl/>
        </w:rPr>
      </w:pPr>
      <w:r w:rsidRPr="001E74B8">
        <w:rPr>
          <w:rFonts w:ascii="Calibri" w:hAnsi="Calibri" w:hint="cs"/>
          <w:b/>
          <w:color w:val="000000" w:themeColor="text1"/>
          <w:rtl/>
        </w:rPr>
        <w:t>الخدمات الأخرى للمكتب الإسباني</w:t>
      </w:r>
    </w:p>
    <w:p w14:paraId="380EF8EE" w14:textId="77777777" w:rsidR="001E74B8" w:rsidRPr="001E74B8" w:rsidRDefault="001E74B8" w:rsidP="00D953A4">
      <w:pPr>
        <w:pStyle w:val="Heading3"/>
        <w:rPr>
          <w:rFonts w:ascii="Calibri" w:hAnsi="Calibri"/>
          <w:b/>
          <w:color w:val="000000" w:themeColor="text1"/>
          <w:rtl/>
        </w:rPr>
      </w:pPr>
      <w:r w:rsidRPr="001E74B8">
        <w:rPr>
          <w:rFonts w:ascii="Calibri" w:hAnsi="Calibri" w:hint="cs"/>
          <w:b/>
          <w:color w:val="000000" w:themeColor="text1"/>
          <w:rtl/>
        </w:rPr>
        <w:t>تقارير تكنولوجيا البراءات</w:t>
      </w:r>
    </w:p>
    <w:p w14:paraId="48BE80EB" w14:textId="77777777" w:rsidR="001E74B8" w:rsidRPr="001E74B8" w:rsidRDefault="001E74B8" w:rsidP="00752ECF">
      <w:pPr>
        <w:pStyle w:val="BodyText"/>
        <w:rPr>
          <w:bCs/>
          <w:rtl/>
          <w:lang w:bidi="ar-EG"/>
        </w:rPr>
      </w:pPr>
      <w:r w:rsidRPr="001E74B8">
        <w:rPr>
          <w:rFonts w:hint="cs"/>
          <w:rtl/>
          <w:lang w:bidi="ar-EG"/>
        </w:rPr>
        <w:t>إدراكاً من المكتب الإسباني بأن الشركات ومراكز البحوث العامة بحاجة إلى مواكبة التكنولوجيا، قام المكتب بتوسيع وتنويع نطاق خدمات المعلومات التكنولوجية التي يقدمها، واعتمد أدوات تكنولوجيا المعلومات الجديدة، وصمّم خدمات جديدة، وحسّن النسق والمحتوى في الخدمات التي يقدمها منذ أكثر من 30 عاماً.</w:t>
      </w:r>
    </w:p>
    <w:p w14:paraId="6273BBA5" w14:textId="77777777" w:rsidR="001E74B8" w:rsidRPr="001E74B8" w:rsidRDefault="001E74B8" w:rsidP="00752ECF">
      <w:pPr>
        <w:pStyle w:val="BodyText"/>
        <w:rPr>
          <w:bCs/>
          <w:rtl/>
          <w:lang w:bidi="ar-EG"/>
        </w:rPr>
      </w:pPr>
      <w:r w:rsidRPr="001E74B8">
        <w:rPr>
          <w:rFonts w:hint="cs"/>
          <w:rtl/>
          <w:lang w:bidi="ar-EG"/>
        </w:rPr>
        <w:t>ويمكن أن تكون تقارير تكنولوجيا البراءات مفيدة لما يلي:</w:t>
      </w:r>
    </w:p>
    <w:p w14:paraId="5380CB6D"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تخطيط البحث والتطوير</w:t>
      </w:r>
      <w:r w:rsidRPr="001E74B8">
        <w:rPr>
          <w:rFonts w:ascii="Calibri" w:hAnsi="Calibri" w:hint="cs"/>
          <w:rtl/>
          <w:lang w:bidi="ar-EG"/>
        </w:rPr>
        <w:t xml:space="preserve"> </w:t>
      </w:r>
    </w:p>
    <w:p w14:paraId="0F08E3CD"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تحليل أهلية الحصول على البراءة من النتائج المتحصّل عليها</w:t>
      </w:r>
      <w:r w:rsidRPr="001E74B8">
        <w:rPr>
          <w:rFonts w:ascii="Calibri" w:hAnsi="Calibri" w:hint="cs"/>
          <w:rtl/>
          <w:lang w:bidi="ar-EG"/>
        </w:rPr>
        <w:t xml:space="preserve"> </w:t>
      </w:r>
    </w:p>
    <w:p w14:paraId="6317E2B9"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صياغة البراءات</w:t>
      </w:r>
      <w:r w:rsidRPr="001E74B8">
        <w:rPr>
          <w:rFonts w:ascii="Calibri" w:hAnsi="Calibri" w:hint="cs"/>
          <w:rtl/>
          <w:lang w:bidi="ar-EG"/>
        </w:rPr>
        <w:t xml:space="preserve"> </w:t>
      </w:r>
    </w:p>
    <w:p w14:paraId="2661B657"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حل المشاكل التقنية المحددة</w:t>
      </w:r>
      <w:r w:rsidRPr="001E74B8">
        <w:rPr>
          <w:rFonts w:ascii="Calibri" w:hAnsi="Calibri" w:hint="cs"/>
          <w:rtl/>
          <w:lang w:bidi="ar-EG"/>
        </w:rPr>
        <w:t xml:space="preserve"> </w:t>
      </w:r>
    </w:p>
    <w:p w14:paraId="0D9CE700"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التعرّف على منتجات أو مجالات بحثية جديدة</w:t>
      </w:r>
      <w:r w:rsidRPr="001E74B8">
        <w:rPr>
          <w:rFonts w:ascii="Calibri" w:hAnsi="Calibri" w:hint="cs"/>
          <w:rtl/>
          <w:lang w:bidi="ar-EG"/>
        </w:rPr>
        <w:t xml:space="preserve"> </w:t>
      </w:r>
    </w:p>
    <w:p w14:paraId="575691BD"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تقييم اتفاقات الترخيص</w:t>
      </w:r>
    </w:p>
    <w:p w14:paraId="2F21D5FB"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العثور على التكنولوجيات في المجال العام</w:t>
      </w:r>
      <w:r w:rsidRPr="001E74B8">
        <w:rPr>
          <w:rFonts w:ascii="Calibri" w:hAnsi="Calibri" w:hint="cs"/>
          <w:rtl/>
          <w:lang w:bidi="ar-EG"/>
        </w:rPr>
        <w:t xml:space="preserve"> </w:t>
      </w:r>
    </w:p>
    <w:p w14:paraId="401ABB40" w14:textId="77777777" w:rsidR="001E74B8" w:rsidRPr="001E74B8" w:rsidRDefault="001E74B8" w:rsidP="001E74B8">
      <w:pPr>
        <w:numPr>
          <w:ilvl w:val="0"/>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منع الانتهاكات المحتملة</w:t>
      </w:r>
    </w:p>
    <w:p w14:paraId="5C8E6183" w14:textId="77777777" w:rsidR="001E74B8" w:rsidRPr="001E74B8" w:rsidRDefault="001E74B8" w:rsidP="001E74B8">
      <w:pPr>
        <w:jc w:val="both"/>
        <w:rPr>
          <w:rFonts w:ascii="Calibri" w:hAnsi="Calibri"/>
          <w:bCs/>
          <w:color w:val="000000" w:themeColor="text1"/>
          <w:lang w:bidi="ar-EG"/>
        </w:rPr>
      </w:pPr>
    </w:p>
    <w:p w14:paraId="5D3FC192" w14:textId="77777777" w:rsidR="001E74B8" w:rsidRPr="001E74B8" w:rsidRDefault="001E74B8" w:rsidP="0085177D">
      <w:pPr>
        <w:pStyle w:val="BodyText"/>
        <w:rPr>
          <w:bCs/>
          <w:rtl/>
          <w:lang w:bidi="ar-EG"/>
        </w:rPr>
      </w:pPr>
      <w:r w:rsidRPr="001E74B8">
        <w:rPr>
          <w:rFonts w:hint="cs"/>
          <w:rtl/>
          <w:lang w:bidi="ar-EG"/>
        </w:rPr>
        <w:t xml:space="preserve">يحتوي تقرير تكنولوجيا البراءات على العناصر الرئيسية التالية: </w:t>
      </w:r>
    </w:p>
    <w:p w14:paraId="65A607E6" w14:textId="77777777" w:rsidR="001E74B8" w:rsidRPr="001E74B8" w:rsidRDefault="001E74B8" w:rsidP="001E74B8">
      <w:pPr>
        <w:numPr>
          <w:ilvl w:val="0"/>
          <w:numId w:val="33"/>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الغرض: وصف تفصيلي للمشكلة التقنية التي يتناولها التقرير.</w:t>
      </w:r>
      <w:r w:rsidRPr="001E74B8">
        <w:rPr>
          <w:rFonts w:ascii="Calibri" w:hAnsi="Calibri" w:hint="cs"/>
          <w:rtl/>
          <w:lang w:bidi="ar-EG"/>
        </w:rPr>
        <w:t xml:space="preserve"> </w:t>
      </w:r>
    </w:p>
    <w:p w14:paraId="2D89FE90" w14:textId="77777777" w:rsidR="001E74B8" w:rsidRPr="001E74B8" w:rsidRDefault="001E74B8" w:rsidP="001E74B8">
      <w:pPr>
        <w:numPr>
          <w:ilvl w:val="0"/>
          <w:numId w:val="33"/>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استراتيجية البحث: قائمة بمعايير البحث من أجل استخراج المعلومات.</w:t>
      </w:r>
      <w:r w:rsidRPr="001E74B8">
        <w:rPr>
          <w:rFonts w:ascii="Calibri" w:hAnsi="Calibri" w:hint="cs"/>
          <w:rtl/>
          <w:lang w:bidi="ar-EG"/>
        </w:rPr>
        <w:t xml:space="preserve"> </w:t>
      </w:r>
    </w:p>
    <w:p w14:paraId="21F7A565" w14:textId="77777777" w:rsidR="001E74B8" w:rsidRPr="001E74B8" w:rsidRDefault="001E74B8" w:rsidP="001E74B8">
      <w:pPr>
        <w:numPr>
          <w:ilvl w:val="1"/>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التصنيف الدولي للبراءات</w:t>
      </w:r>
      <w:r w:rsidRPr="001E74B8">
        <w:rPr>
          <w:rFonts w:ascii="Calibri" w:hAnsi="Calibri" w:hint="cs"/>
          <w:rtl/>
          <w:lang w:bidi="ar-EG"/>
        </w:rPr>
        <w:t xml:space="preserve"> </w:t>
      </w:r>
    </w:p>
    <w:p w14:paraId="3490C751" w14:textId="77777777" w:rsidR="001E74B8" w:rsidRPr="001E74B8" w:rsidRDefault="001E74B8" w:rsidP="001E74B8">
      <w:pPr>
        <w:numPr>
          <w:ilvl w:val="1"/>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الكلمات المفتاحية</w:t>
      </w:r>
      <w:r w:rsidRPr="001E74B8">
        <w:rPr>
          <w:rFonts w:ascii="Calibri" w:hAnsi="Calibri" w:hint="cs"/>
          <w:rtl/>
          <w:lang w:bidi="ar-EG"/>
        </w:rPr>
        <w:t xml:space="preserve"> </w:t>
      </w:r>
    </w:p>
    <w:p w14:paraId="313B4E09" w14:textId="77777777" w:rsidR="001E74B8" w:rsidRPr="001E74B8" w:rsidRDefault="001E74B8" w:rsidP="001E74B8">
      <w:pPr>
        <w:numPr>
          <w:ilvl w:val="1"/>
          <w:numId w:val="32"/>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الشركات ذات الصلة</w:t>
      </w:r>
      <w:r w:rsidRPr="001E74B8">
        <w:rPr>
          <w:rFonts w:ascii="Calibri" w:hAnsi="Calibri" w:hint="cs"/>
          <w:rtl/>
          <w:lang w:bidi="ar-EG"/>
        </w:rPr>
        <w:t xml:space="preserve"> </w:t>
      </w:r>
    </w:p>
    <w:p w14:paraId="4B2D806B" w14:textId="77777777" w:rsidR="001E74B8" w:rsidRPr="001E74B8" w:rsidRDefault="001E74B8" w:rsidP="001E74B8">
      <w:pPr>
        <w:numPr>
          <w:ilvl w:val="0"/>
          <w:numId w:val="33"/>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تحليل النتائج: استرجاع معظم الوثائق ذات الصلة ووصف موجز لمحتواها مقارنة بموضوع التقرير.</w:t>
      </w:r>
      <w:r w:rsidRPr="001E74B8">
        <w:rPr>
          <w:rFonts w:ascii="Calibri" w:hAnsi="Calibri" w:hint="cs"/>
          <w:rtl/>
          <w:lang w:bidi="ar-EG"/>
        </w:rPr>
        <w:t xml:space="preserve"> </w:t>
      </w:r>
    </w:p>
    <w:p w14:paraId="2BA457D9" w14:textId="77777777" w:rsidR="001E74B8" w:rsidRPr="001E74B8" w:rsidRDefault="001E74B8" w:rsidP="001E74B8">
      <w:pPr>
        <w:numPr>
          <w:ilvl w:val="0"/>
          <w:numId w:val="33"/>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الخلاصة: تعليقات نهائية على الغرض من التقرير والوثائق المستخرجة.</w:t>
      </w:r>
      <w:r w:rsidRPr="001E74B8">
        <w:rPr>
          <w:rFonts w:ascii="Calibri" w:hAnsi="Calibri" w:hint="cs"/>
          <w:rtl/>
          <w:lang w:bidi="ar-EG"/>
        </w:rPr>
        <w:t xml:space="preserve"> </w:t>
      </w:r>
    </w:p>
    <w:p w14:paraId="5ACAE48A" w14:textId="77777777" w:rsidR="001E74B8" w:rsidRPr="001E74B8" w:rsidRDefault="001E74B8" w:rsidP="001E74B8">
      <w:pPr>
        <w:numPr>
          <w:ilvl w:val="0"/>
          <w:numId w:val="33"/>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قائمة المراجع: المراجع الببليوغرافية للوثائق التي تم استخراجها فيما يتعلق بموضوع البحث، بما في ذلك روابط الويب، ملحقة في مرفق.</w:t>
      </w:r>
    </w:p>
    <w:p w14:paraId="2349EBC1" w14:textId="77777777" w:rsidR="001E74B8" w:rsidRPr="001E74B8" w:rsidRDefault="001E74B8" w:rsidP="00D953A4">
      <w:pPr>
        <w:pStyle w:val="Heading3"/>
        <w:rPr>
          <w:rFonts w:ascii="Calibri" w:hAnsi="Calibri"/>
          <w:b/>
          <w:color w:val="000000" w:themeColor="text1"/>
          <w:rtl/>
        </w:rPr>
      </w:pPr>
      <w:r w:rsidRPr="001E74B8">
        <w:rPr>
          <w:rFonts w:ascii="Calibri" w:hAnsi="Calibri" w:hint="cs"/>
          <w:b/>
          <w:color w:val="000000" w:themeColor="text1"/>
          <w:rtl/>
        </w:rPr>
        <w:t>نشرات رصد التكنولوجيا</w:t>
      </w:r>
    </w:p>
    <w:p w14:paraId="48D11A10" w14:textId="77777777" w:rsidR="001E74B8" w:rsidRPr="001E74B8" w:rsidRDefault="001E74B8" w:rsidP="00752ECF">
      <w:pPr>
        <w:pStyle w:val="BodyText"/>
        <w:rPr>
          <w:bCs/>
          <w:rtl/>
          <w:lang w:bidi="ar-EG"/>
        </w:rPr>
      </w:pPr>
      <w:r w:rsidRPr="001E74B8">
        <w:rPr>
          <w:rFonts w:hint="cs"/>
          <w:rtl/>
          <w:lang w:bidi="ar-EG"/>
        </w:rPr>
        <w:t>توفّر النشرات الفصلية لرصد التكنولوجيا معلومات عن البراءات المنشورة البارزة وأحدث التطورات في مختلف القطاعات التكنولوجية.</w:t>
      </w:r>
    </w:p>
    <w:p w14:paraId="26017E7D" w14:textId="77777777" w:rsidR="001E74B8" w:rsidRPr="001E74B8" w:rsidRDefault="001E74B8" w:rsidP="00752ECF">
      <w:pPr>
        <w:pStyle w:val="BodyText"/>
        <w:rPr>
          <w:bCs/>
          <w:rtl/>
          <w:lang w:bidi="ar-EG"/>
        </w:rPr>
      </w:pPr>
      <w:r w:rsidRPr="001E74B8">
        <w:rPr>
          <w:rFonts w:hint="cs"/>
          <w:rtl/>
          <w:lang w:bidi="ar-EG"/>
        </w:rPr>
        <w:t>ومن خلال خدمة المعلومات التقنية المجانية هذه، يساعد المكتب الإسباني في استرعاء انتباه الجمهور إلى المعلومات التقنية الواردة في وثائق البراءات.</w:t>
      </w:r>
    </w:p>
    <w:p w14:paraId="14D1C69D" w14:textId="77777777" w:rsidR="001E74B8" w:rsidRPr="001E74B8" w:rsidRDefault="001E74B8" w:rsidP="00752ECF">
      <w:pPr>
        <w:pStyle w:val="BodyText"/>
        <w:rPr>
          <w:bCs/>
          <w:rtl/>
          <w:lang w:bidi="ar-EG"/>
        </w:rPr>
      </w:pPr>
      <w:r w:rsidRPr="001E74B8">
        <w:rPr>
          <w:rFonts w:hint="cs"/>
          <w:rtl/>
          <w:lang w:bidi="ar-EG"/>
        </w:rPr>
        <w:t xml:space="preserve">ويصدِر المكتب الإسباني نشرات، ويتم ذلك أحياناً بالتنسيق مع مؤسسات وطنية أخرى مثل مركزي التكنولوجيا </w:t>
      </w:r>
      <w:r w:rsidRPr="001E74B8">
        <w:rPr>
          <w:lang w:bidi="ar-EG"/>
        </w:rPr>
        <w:t>ITECAM</w:t>
      </w:r>
      <w:r w:rsidRPr="001E74B8">
        <w:rPr>
          <w:rFonts w:hint="cs"/>
          <w:rtl/>
          <w:lang w:bidi="ar-EG"/>
        </w:rPr>
        <w:t xml:space="preserve"> و</w:t>
      </w:r>
      <w:r w:rsidRPr="001E74B8">
        <w:rPr>
          <w:lang w:bidi="ar-EG"/>
        </w:rPr>
        <w:t>INESCOP</w:t>
      </w:r>
      <w:r w:rsidRPr="001E74B8">
        <w:rPr>
          <w:rFonts w:hint="cs"/>
          <w:rtl/>
          <w:lang w:bidi="ar-EG"/>
        </w:rPr>
        <w:t xml:space="preserve">، ومنصات التكنولوجيا مثل </w:t>
      </w:r>
      <w:r w:rsidRPr="001E74B8">
        <w:rPr>
          <w:lang w:bidi="ar-EG"/>
        </w:rPr>
        <w:t>VET+i</w:t>
      </w:r>
      <w:r w:rsidRPr="001E74B8">
        <w:rPr>
          <w:rFonts w:hint="cs"/>
          <w:rtl/>
          <w:lang w:bidi="ar-EG"/>
        </w:rPr>
        <w:t xml:space="preserve"> و</w:t>
      </w:r>
      <w:r w:rsidRPr="001E74B8">
        <w:rPr>
          <w:lang w:bidi="ar-EG"/>
        </w:rPr>
        <w:t>Food For Life Spain PTF4LS</w:t>
      </w:r>
      <w:r w:rsidRPr="001E74B8">
        <w:rPr>
          <w:rFonts w:hint="cs"/>
          <w:rtl/>
          <w:lang w:bidi="ar-EG"/>
        </w:rPr>
        <w:t xml:space="preserve"> و</w:t>
      </w:r>
      <w:r w:rsidRPr="001E74B8">
        <w:rPr>
          <w:lang w:bidi="ar-EG"/>
        </w:rPr>
        <w:t>BIOPLAT</w:t>
      </w:r>
      <w:r w:rsidRPr="001E74B8">
        <w:rPr>
          <w:rFonts w:hint="cs"/>
          <w:rtl/>
          <w:lang w:bidi="ar-EG"/>
        </w:rPr>
        <w:t xml:space="preserve"> و</w:t>
      </w:r>
      <w:r w:rsidRPr="001E74B8">
        <w:rPr>
          <w:lang w:bidi="ar-EG"/>
        </w:rPr>
        <w:t>PTEPA</w:t>
      </w:r>
      <w:r w:rsidRPr="001E74B8">
        <w:rPr>
          <w:rFonts w:hint="cs"/>
          <w:rtl/>
          <w:lang w:bidi="ar-EG"/>
        </w:rPr>
        <w:t xml:space="preserve"> و</w:t>
      </w:r>
      <w:r w:rsidRPr="001E74B8">
        <w:rPr>
          <w:lang w:bidi="ar-EG"/>
        </w:rPr>
        <w:t>ASEBIO</w:t>
      </w:r>
      <w:r w:rsidRPr="001E74B8">
        <w:rPr>
          <w:rFonts w:hint="cs"/>
          <w:rtl/>
          <w:lang w:bidi="ar-EG"/>
        </w:rPr>
        <w:t xml:space="preserve"> و</w:t>
      </w:r>
      <w:r w:rsidRPr="001E74B8">
        <w:rPr>
          <w:lang w:bidi="ar-EG"/>
        </w:rPr>
        <w:t>ITEMAS</w:t>
      </w:r>
      <w:r w:rsidRPr="001E74B8">
        <w:rPr>
          <w:rFonts w:hint="cs"/>
          <w:rtl/>
          <w:lang w:bidi="ar-EG"/>
        </w:rPr>
        <w:t>، أو منظمات دولية مثل المعهد الوطني للملكية الصناعية في البرتغال.</w:t>
      </w:r>
    </w:p>
    <w:p w14:paraId="4871EAA7" w14:textId="77777777" w:rsidR="001E74B8" w:rsidRPr="001E74B8" w:rsidRDefault="001E74B8" w:rsidP="00752ECF">
      <w:pPr>
        <w:pStyle w:val="BodyText"/>
        <w:rPr>
          <w:bCs/>
          <w:rtl/>
          <w:lang w:bidi="ar-EG"/>
        </w:rPr>
      </w:pPr>
      <w:r w:rsidRPr="001E74B8">
        <w:rPr>
          <w:rFonts w:hint="cs"/>
          <w:rtl/>
          <w:lang w:bidi="ar-EG"/>
        </w:rPr>
        <w:t>وتغطي النشرات القطاعات التالية:</w:t>
      </w:r>
    </w:p>
    <w:p w14:paraId="27051608" w14:textId="77777777" w:rsidR="001E74B8" w:rsidRPr="001E74B8" w:rsidRDefault="001E74B8" w:rsidP="001E74B8">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البيوتكنولوجيا والصحة:</w:t>
      </w:r>
      <w:r w:rsidRPr="001E74B8">
        <w:rPr>
          <w:rFonts w:ascii="Calibri" w:hAnsi="Calibri" w:hint="cs"/>
          <w:rtl/>
          <w:lang w:bidi="ar-EG"/>
        </w:rPr>
        <w:t xml:space="preserve"> </w:t>
      </w:r>
    </w:p>
    <w:p w14:paraId="092AF9BD"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فيروس كورونا: التشخيص والعلاج للبشر</w:t>
      </w:r>
    </w:p>
    <w:p w14:paraId="50BB906A"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البيوتكنولوجيا الصحية</w:t>
      </w:r>
    </w:p>
    <w:p w14:paraId="46A01AA8"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الأجهزة الطبية</w:t>
      </w:r>
    </w:p>
    <w:p w14:paraId="072B8B4E"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صحة الحيوان</w:t>
      </w:r>
    </w:p>
    <w:p w14:paraId="2C8BF4DF" w14:textId="4051E06E" w:rsidR="001E74B8" w:rsidRPr="001E74B8" w:rsidRDefault="001E74B8" w:rsidP="0085177D">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الأغذية:</w:t>
      </w:r>
      <w:r w:rsidRPr="001E74B8">
        <w:rPr>
          <w:rFonts w:ascii="Calibri" w:hAnsi="Calibri" w:hint="cs"/>
          <w:rtl/>
          <w:lang w:bidi="ar-EG"/>
        </w:rPr>
        <w:t xml:space="preserve"> </w:t>
      </w:r>
    </w:p>
    <w:p w14:paraId="103DD812"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قطاع الزراعة-الأغذية</w:t>
      </w:r>
      <w:r w:rsidRPr="001E74B8">
        <w:rPr>
          <w:rFonts w:ascii="Calibri" w:hAnsi="Calibri" w:hint="cs"/>
          <w:rtl/>
          <w:lang w:bidi="ar-EG"/>
        </w:rPr>
        <w:t xml:space="preserve"> </w:t>
      </w:r>
    </w:p>
    <w:p w14:paraId="2F96E1D6" w14:textId="77777777" w:rsidR="001E74B8" w:rsidRPr="001E74B8" w:rsidRDefault="001E74B8" w:rsidP="001E74B8">
      <w:pPr>
        <w:numPr>
          <w:ilvl w:val="0"/>
          <w:numId w:val="35"/>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مصايد الأسماك والاستزراع المائي</w:t>
      </w:r>
    </w:p>
    <w:p w14:paraId="4A62AA87" w14:textId="61B3AD43" w:rsidR="001E74B8" w:rsidRPr="001E74B8" w:rsidRDefault="001E74B8" w:rsidP="0085177D">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والاستدامة:</w:t>
      </w:r>
      <w:r w:rsidRPr="001E74B8">
        <w:rPr>
          <w:rFonts w:ascii="Calibri" w:hAnsi="Calibri" w:hint="cs"/>
          <w:rtl/>
          <w:lang w:bidi="ar-EG"/>
        </w:rPr>
        <w:t xml:space="preserve"> </w:t>
      </w:r>
    </w:p>
    <w:p w14:paraId="4634EA70" w14:textId="77777777" w:rsidR="001E74B8" w:rsidRPr="001E74B8" w:rsidRDefault="001E74B8" w:rsidP="001E74B8">
      <w:pPr>
        <w:numPr>
          <w:ilvl w:val="1"/>
          <w:numId w:val="36"/>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الكتلة الحيوية</w:t>
      </w:r>
    </w:p>
    <w:p w14:paraId="7712AC04" w14:textId="77777777" w:rsidR="001E74B8" w:rsidRPr="001E74B8" w:rsidRDefault="001E74B8" w:rsidP="001E74B8">
      <w:pPr>
        <w:numPr>
          <w:ilvl w:val="1"/>
          <w:numId w:val="36"/>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طاقة المحيط</w:t>
      </w:r>
    </w:p>
    <w:p w14:paraId="225E13C9" w14:textId="4BF3923F" w:rsidR="001E74B8" w:rsidRPr="001E74B8" w:rsidRDefault="001E74B8" w:rsidP="0085177D">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التنقل:</w:t>
      </w:r>
      <w:r w:rsidRPr="001E74B8">
        <w:rPr>
          <w:rFonts w:ascii="Calibri" w:hAnsi="Calibri" w:hint="cs"/>
          <w:rtl/>
          <w:lang w:bidi="ar-EG"/>
        </w:rPr>
        <w:t xml:space="preserve"> </w:t>
      </w:r>
    </w:p>
    <w:p w14:paraId="0E29C317" w14:textId="77777777" w:rsidR="001E74B8" w:rsidRPr="001E74B8" w:rsidRDefault="001E74B8" w:rsidP="001E74B8">
      <w:pPr>
        <w:numPr>
          <w:ilvl w:val="0"/>
          <w:numId w:val="37"/>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المركبات الكهربائية</w:t>
      </w:r>
    </w:p>
    <w:p w14:paraId="732DFE41" w14:textId="77777777" w:rsidR="001E74B8" w:rsidRPr="001E74B8" w:rsidRDefault="001E74B8" w:rsidP="001E74B8">
      <w:pPr>
        <w:numPr>
          <w:ilvl w:val="0"/>
          <w:numId w:val="37"/>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المركبات الذكية</w:t>
      </w:r>
    </w:p>
    <w:p w14:paraId="467FE698" w14:textId="0EFC59C7" w:rsidR="001E74B8" w:rsidRPr="001E74B8" w:rsidRDefault="001E74B8" w:rsidP="0085177D">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تكنولوجيا المعلومات والاتصالات:</w:t>
      </w:r>
      <w:r w:rsidRPr="001E74B8">
        <w:rPr>
          <w:rFonts w:ascii="Calibri" w:hAnsi="Calibri" w:hint="cs"/>
          <w:rtl/>
          <w:lang w:bidi="ar-EG"/>
        </w:rPr>
        <w:t xml:space="preserve"> </w:t>
      </w:r>
    </w:p>
    <w:p w14:paraId="33BE2D1C" w14:textId="77777777" w:rsidR="001E74B8" w:rsidRPr="001E74B8" w:rsidRDefault="001E74B8" w:rsidP="001E74B8">
      <w:pPr>
        <w:numPr>
          <w:ilvl w:val="0"/>
          <w:numId w:val="38"/>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الاعتماد الإلكتروني</w:t>
      </w:r>
      <w:r w:rsidRPr="001E74B8">
        <w:rPr>
          <w:rFonts w:ascii="Calibri" w:hAnsi="Calibri" w:hint="cs"/>
          <w:rtl/>
          <w:lang w:bidi="ar-EG"/>
        </w:rPr>
        <w:t xml:space="preserve"> </w:t>
      </w:r>
    </w:p>
    <w:p w14:paraId="21D5677C" w14:textId="77777777" w:rsidR="001E74B8" w:rsidRPr="001E74B8" w:rsidRDefault="001E74B8" w:rsidP="001E74B8">
      <w:pPr>
        <w:numPr>
          <w:ilvl w:val="0"/>
          <w:numId w:val="38"/>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الخدمات والواجهات المتنقلة المتقدمة</w:t>
      </w:r>
      <w:r w:rsidRPr="001E74B8">
        <w:rPr>
          <w:rFonts w:ascii="Calibri" w:hAnsi="Calibri" w:hint="cs"/>
          <w:rtl/>
          <w:lang w:bidi="ar-EG"/>
        </w:rPr>
        <w:t xml:space="preserve"> </w:t>
      </w:r>
    </w:p>
    <w:p w14:paraId="12EFD17F" w14:textId="77777777" w:rsidR="001E74B8" w:rsidRPr="001E74B8" w:rsidRDefault="001E74B8" w:rsidP="001E74B8">
      <w:pPr>
        <w:numPr>
          <w:ilvl w:val="0"/>
          <w:numId w:val="38"/>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شبكات الاستشعار اللاسلكية</w:t>
      </w:r>
    </w:p>
    <w:p w14:paraId="1544B9A0" w14:textId="0D5BF9C2" w:rsidR="001E74B8" w:rsidRPr="001E74B8" w:rsidRDefault="001E74B8" w:rsidP="0085177D">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الصناعة:</w:t>
      </w:r>
      <w:r w:rsidRPr="001E74B8">
        <w:rPr>
          <w:rFonts w:ascii="Calibri" w:hAnsi="Calibri" w:hint="cs"/>
          <w:rtl/>
          <w:lang w:bidi="ar-EG"/>
        </w:rPr>
        <w:t xml:space="preserve"> </w:t>
      </w:r>
    </w:p>
    <w:p w14:paraId="0891E35B" w14:textId="77777777" w:rsidR="001E74B8" w:rsidRPr="001E74B8" w:rsidRDefault="001E74B8" w:rsidP="001E74B8">
      <w:pPr>
        <w:numPr>
          <w:ilvl w:val="0"/>
          <w:numId w:val="39"/>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الأعمال المعدنية</w:t>
      </w:r>
    </w:p>
    <w:p w14:paraId="5FCBBE53" w14:textId="77777777" w:rsidR="001E74B8" w:rsidRPr="001E74B8" w:rsidRDefault="001E74B8" w:rsidP="001E74B8">
      <w:pPr>
        <w:numPr>
          <w:ilvl w:val="0"/>
          <w:numId w:val="39"/>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المعالجة البلاستيكية</w:t>
      </w:r>
    </w:p>
    <w:p w14:paraId="26514CB2" w14:textId="77777777" w:rsidR="001E74B8" w:rsidRPr="001E74B8" w:rsidRDefault="001E74B8" w:rsidP="001E74B8">
      <w:pPr>
        <w:numPr>
          <w:ilvl w:val="0"/>
          <w:numId w:val="39"/>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الطباعة ثلاثية الأبعاد</w:t>
      </w:r>
    </w:p>
    <w:p w14:paraId="17F81AA3" w14:textId="77777777" w:rsidR="001E74B8" w:rsidRPr="001E74B8" w:rsidRDefault="001E74B8" w:rsidP="001E74B8">
      <w:pPr>
        <w:numPr>
          <w:ilvl w:val="0"/>
          <w:numId w:val="39"/>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الأحذية</w:t>
      </w:r>
    </w:p>
    <w:p w14:paraId="617E72A3" w14:textId="77777777" w:rsidR="001E74B8" w:rsidRPr="001E74B8" w:rsidRDefault="001E74B8" w:rsidP="00D953A4">
      <w:pPr>
        <w:pStyle w:val="Heading3"/>
        <w:rPr>
          <w:rFonts w:ascii="Calibri" w:hAnsi="Calibri"/>
          <w:b/>
          <w:color w:val="000000" w:themeColor="text1"/>
          <w:rtl/>
        </w:rPr>
      </w:pPr>
      <w:r w:rsidRPr="001E74B8">
        <w:rPr>
          <w:rFonts w:hint="cs"/>
          <w:rtl/>
        </w:rPr>
        <w:t>التنبيهات</w:t>
      </w:r>
      <w:r w:rsidRPr="001E74B8">
        <w:rPr>
          <w:rFonts w:ascii="Calibri" w:hAnsi="Calibri" w:hint="cs"/>
          <w:b/>
          <w:color w:val="000000" w:themeColor="text1"/>
          <w:rtl/>
        </w:rPr>
        <w:t xml:space="preserve"> المتعلقة بالتكنولوجيا</w:t>
      </w:r>
    </w:p>
    <w:p w14:paraId="78720B44" w14:textId="77777777" w:rsidR="001E74B8" w:rsidRPr="001E74B8" w:rsidRDefault="001E74B8" w:rsidP="00752ECF">
      <w:pPr>
        <w:pStyle w:val="BodyText"/>
        <w:rPr>
          <w:bCs/>
          <w:rtl/>
          <w:lang w:bidi="ar-EG"/>
        </w:rPr>
      </w:pPr>
      <w:r w:rsidRPr="001E74B8">
        <w:rPr>
          <w:rFonts w:hint="cs"/>
          <w:rtl/>
          <w:lang w:bidi="ar-EG"/>
        </w:rPr>
        <w:t>توفر تنبيهات التكنولوجيا معلومات محدثة عن أحدث البراءات المنشورة في جميع أنحاء العالم في مجال تقني محدد.</w:t>
      </w:r>
    </w:p>
    <w:p w14:paraId="5C9966B3" w14:textId="77777777" w:rsidR="001E74B8" w:rsidRPr="001E74B8" w:rsidRDefault="001E74B8" w:rsidP="00752ECF">
      <w:pPr>
        <w:pStyle w:val="BodyText"/>
        <w:rPr>
          <w:bCs/>
          <w:rtl/>
          <w:lang w:bidi="ar-EG"/>
        </w:rPr>
      </w:pPr>
      <w:r w:rsidRPr="001E74B8">
        <w:rPr>
          <w:rFonts w:hint="cs"/>
          <w:rtl/>
          <w:lang w:bidi="ar-EG"/>
        </w:rPr>
        <w:t>وتُحدّد مواضيع كل تنبيه بالاشتراك مع منصات التكنولوجيا والمؤسسات أو المنظمات الأخرى، ويتم تصميمها خصيصاً لتلبية الاحتياجات المعلوماتية المحددة للشركات ومنظمات البحث العامة في مختلف قطاعات التكنولوجيا.</w:t>
      </w:r>
    </w:p>
    <w:p w14:paraId="6C3A78AB" w14:textId="77777777" w:rsidR="001E74B8" w:rsidRPr="001E74B8" w:rsidRDefault="001E74B8" w:rsidP="00752ECF">
      <w:pPr>
        <w:pStyle w:val="BodyText"/>
        <w:rPr>
          <w:bCs/>
          <w:rtl/>
          <w:lang w:bidi="ar-EG"/>
        </w:rPr>
      </w:pPr>
      <w:r w:rsidRPr="001E74B8">
        <w:rPr>
          <w:rFonts w:hint="cs"/>
          <w:rtl/>
          <w:lang w:bidi="ar-EG"/>
        </w:rPr>
        <w:t>وبهذه الطريقة، يحافظ المكتب الإسباني على الالتزام الذي قطعه في عام 2012 بالعمل مع المنصات المذكورة أعلاه من أجل تقديم معلومات البراءات للشركات والباحثين ومديري البحث والتطوير، لكي يساعدهم بالتالي على إنتاج تكنولوجيا ذات قيمة مضافة، والحصول على عائد مالي، والتحلي بقدر أكبر من التنافسية، والتوسّع في الخارج.</w:t>
      </w:r>
    </w:p>
    <w:p w14:paraId="60533A9E" w14:textId="77777777" w:rsidR="001E74B8" w:rsidRPr="001E74B8" w:rsidRDefault="001E74B8" w:rsidP="00752ECF">
      <w:pPr>
        <w:pStyle w:val="BodyText"/>
        <w:rPr>
          <w:bCs/>
          <w:rtl/>
          <w:lang w:bidi="ar-EG"/>
        </w:rPr>
      </w:pPr>
      <w:r w:rsidRPr="001E74B8">
        <w:rPr>
          <w:rFonts w:hint="cs"/>
          <w:rtl/>
          <w:lang w:bidi="ar-EG"/>
        </w:rPr>
        <w:t>وبمجرد تحديد موضوع ذي أهمية، يقوم فاحصو البراءات بوضع استراتيجية بحث تمكّن المستخدمين من تحديد أحدث البراءات المنشورة بشأن هذا الموضوع في أي مكان في العالم عندما يقرؤون التنبيه.</w:t>
      </w:r>
    </w:p>
    <w:p w14:paraId="41AB6FFD" w14:textId="77777777" w:rsidR="001E74B8" w:rsidRPr="001E74B8" w:rsidRDefault="001E74B8" w:rsidP="00752ECF">
      <w:pPr>
        <w:pStyle w:val="BodyText"/>
        <w:rPr>
          <w:bCs/>
          <w:rtl/>
          <w:lang w:bidi="ar-EG"/>
        </w:rPr>
      </w:pPr>
      <w:r w:rsidRPr="001E74B8">
        <w:rPr>
          <w:rFonts w:hint="cs"/>
          <w:rtl/>
          <w:lang w:bidi="ar-EG"/>
        </w:rPr>
        <w:t>ويرد فيما يلي المجالات التقنية المحددة:</w:t>
      </w:r>
    </w:p>
    <w:p w14:paraId="77C04DEB" w14:textId="77777777" w:rsidR="001E74B8" w:rsidRPr="001E74B8" w:rsidRDefault="001E74B8" w:rsidP="002635B0">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علوم الحياة والأغذية:</w:t>
      </w:r>
    </w:p>
    <w:p w14:paraId="277A2749"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الأورام الدموية: اللوكيميا، والأورام اللمفاوية، والأورام النخاعية المتعددة</w:t>
      </w:r>
    </w:p>
    <w:p w14:paraId="1441D930"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المبيدات الحيوية ومنظمات نمو النبات ذات الأصل البيولوجي</w:t>
      </w:r>
      <w:r w:rsidRPr="001E74B8">
        <w:rPr>
          <w:rFonts w:ascii="Calibri" w:hAnsi="Calibri" w:hint="cs"/>
          <w:color w:val="000000" w:themeColor="text1"/>
          <w:rtl/>
          <w:lang w:bidi="ar-EG"/>
        </w:rPr>
        <w:cr/>
      </w:r>
      <w:r w:rsidRPr="001E74B8">
        <w:rPr>
          <w:rFonts w:ascii="Calibri" w:hAnsi="Calibri" w:hint="cs"/>
          <w:color w:val="000000" w:themeColor="text1"/>
          <w:rtl/>
          <w:lang w:bidi="ar-EG"/>
        </w:rPr>
        <w:br/>
      </w:r>
    </w:p>
    <w:p w14:paraId="3D35CCB9"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الأدوية النانوية</w:t>
      </w:r>
    </w:p>
    <w:p w14:paraId="53FB9738"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تكنولوجيا الرصد والضبط لمرض السكري</w:t>
      </w:r>
    </w:p>
    <w:p w14:paraId="75E51A27"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زراعة العنب وصناعة النبيذ</w:t>
      </w:r>
    </w:p>
    <w:p w14:paraId="71295010"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فيروس كورونا: التشخيص والعلاج للبشر</w:t>
      </w:r>
    </w:p>
    <w:p w14:paraId="58F1666E"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الطباعة البيولوجية ثلاثية الأبعاد</w:t>
      </w:r>
      <w:r w:rsidRPr="001E74B8">
        <w:rPr>
          <w:rFonts w:ascii="Calibri" w:hAnsi="Calibri" w:hint="cs"/>
          <w:rtl/>
          <w:lang w:bidi="ar-EG"/>
        </w:rPr>
        <w:t xml:space="preserve"> </w:t>
      </w:r>
    </w:p>
    <w:p w14:paraId="3FF3641A"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السالمونيلا</w:t>
      </w:r>
    </w:p>
    <w:p w14:paraId="775400A0"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المؤشرات البيولوجية لتشخيص الخرف</w:t>
      </w:r>
    </w:p>
    <w:p w14:paraId="6CA8E964"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الطحالب الدقيقة: الزراعة والاستخدامات</w:t>
      </w:r>
    </w:p>
    <w:p w14:paraId="270E977E"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المؤشرات البيولوجية لتشخيص مرض التهاب الأمعاء.</w:t>
      </w:r>
    </w:p>
    <w:p w14:paraId="75D6817B"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علاج مرض الزهايمر، ومرض باركنسون، ومرض هنتنغتون، والتصلب الجانبي الضموري</w:t>
      </w:r>
    </w:p>
    <w:p w14:paraId="41323B2D" w14:textId="77777777" w:rsidR="001E74B8" w:rsidRPr="001E74B8" w:rsidRDefault="001E74B8" w:rsidP="001E74B8">
      <w:pPr>
        <w:ind w:left="927"/>
        <w:contextualSpacing/>
        <w:jc w:val="both"/>
        <w:rPr>
          <w:rFonts w:ascii="Calibri" w:hAnsi="Calibri"/>
          <w:bCs/>
          <w:color w:val="000000" w:themeColor="text1"/>
          <w:lang w:bidi="ar-EG"/>
        </w:rPr>
      </w:pPr>
    </w:p>
    <w:p w14:paraId="3F1511FA" w14:textId="77777777" w:rsidR="001E74B8" w:rsidRPr="001E74B8" w:rsidRDefault="001E74B8" w:rsidP="001E74B8">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والاستدامة:</w:t>
      </w:r>
    </w:p>
    <w:p w14:paraId="265F7B7D"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الحرارية الأرضية</w:t>
      </w:r>
    </w:p>
    <w:p w14:paraId="381131D1"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الشمسية المركزة</w:t>
      </w:r>
    </w:p>
    <w:p w14:paraId="06B0FCBD"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خلايا الوقود</w:t>
      </w:r>
    </w:p>
    <w:p w14:paraId="4EDCA205"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الشمسية الكهروضوئية</w:t>
      </w:r>
    </w:p>
    <w:p w14:paraId="01407EF9"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الهيدروجين الإلكتروليتي</w:t>
      </w:r>
    </w:p>
    <w:p w14:paraId="2253D22D"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طاقة الرياح</w:t>
      </w:r>
    </w:p>
    <w:p w14:paraId="04B2D946"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تخزين البطاريات</w:t>
      </w:r>
    </w:p>
    <w:p w14:paraId="5C461800"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طاقات المحيط</w:t>
      </w:r>
    </w:p>
    <w:p w14:paraId="081397BA"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الطاقة الشمسية ذات درجة الحرارة المنخفضة</w:t>
      </w:r>
    </w:p>
    <w:p w14:paraId="72B05C96"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طاقة الرياح العائمة</w:t>
      </w:r>
    </w:p>
    <w:p w14:paraId="72DCD229"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مركبات التنقل الشخصي</w:t>
      </w:r>
    </w:p>
    <w:p w14:paraId="1C776FD9"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الوقود الحيوي والطاقة الحيوية والمنتجات الحيوية</w:t>
      </w:r>
    </w:p>
    <w:p w14:paraId="2D0AA289" w14:textId="77777777" w:rsidR="001E74B8" w:rsidRPr="001E74B8" w:rsidRDefault="001E74B8" w:rsidP="001E74B8">
      <w:pPr>
        <w:jc w:val="both"/>
        <w:rPr>
          <w:rFonts w:ascii="Calibri" w:hAnsi="Calibri"/>
          <w:bCs/>
          <w:color w:val="000000" w:themeColor="text1"/>
          <w:lang w:bidi="ar-EG"/>
        </w:rPr>
      </w:pPr>
    </w:p>
    <w:p w14:paraId="0C0A3F49" w14:textId="77777777" w:rsidR="001E74B8" w:rsidRPr="001E74B8" w:rsidRDefault="001E74B8" w:rsidP="001E74B8">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المواد وتطبيقاتها:</w:t>
      </w:r>
    </w:p>
    <w:p w14:paraId="002A7B03"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المواد البلاستيكية ومواد التغليف القابلة للتحلل الحيوي</w:t>
      </w:r>
    </w:p>
    <w:p w14:paraId="78BDCAFF"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ماسحات الأكسجين في التركيبات البلاستيكية</w:t>
      </w:r>
    </w:p>
    <w:p w14:paraId="24219F96"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أحبار الأمان</w:t>
      </w:r>
    </w:p>
    <w:p w14:paraId="38F4049A"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المواد النانوية الكربونية</w:t>
      </w:r>
    </w:p>
    <w:p w14:paraId="046149E3"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أحبار وطلاءات ذات خصائص كهربائية</w:t>
      </w:r>
    </w:p>
    <w:p w14:paraId="235C36F3" w14:textId="77777777" w:rsidR="001E74B8" w:rsidRPr="001E74B8" w:rsidRDefault="001E74B8" w:rsidP="001E74B8">
      <w:pPr>
        <w:numPr>
          <w:ilvl w:val="1"/>
          <w:numId w:val="40"/>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أنواع الورنيش والمنسوجات ذات الطلاءات النانوية الوظيفية</w:t>
      </w:r>
    </w:p>
    <w:p w14:paraId="49DE7966" w14:textId="77777777" w:rsidR="002635B0" w:rsidRPr="002635B0" w:rsidRDefault="002635B0" w:rsidP="002635B0">
      <w:pPr>
        <w:ind w:left="927"/>
        <w:contextualSpacing/>
        <w:jc w:val="both"/>
        <w:rPr>
          <w:rFonts w:ascii="Calibri" w:hAnsi="Calibri"/>
          <w:bCs/>
          <w:color w:val="000000" w:themeColor="text1"/>
          <w:lang w:bidi="ar-EG"/>
        </w:rPr>
      </w:pPr>
    </w:p>
    <w:p w14:paraId="690C3BD7" w14:textId="53A707AE" w:rsidR="001E74B8" w:rsidRPr="001E74B8" w:rsidRDefault="001E74B8" w:rsidP="001E74B8">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الذكاء الاصطناعي وسلاسل الكتل:</w:t>
      </w:r>
    </w:p>
    <w:p w14:paraId="1560A417"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تعلّم الآلة</w:t>
      </w:r>
    </w:p>
    <w:p w14:paraId="3783B8EF"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الشبكات العصبية</w:t>
      </w:r>
    </w:p>
    <w:p w14:paraId="535A739A"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المنطق الضبابي</w:t>
      </w:r>
    </w:p>
    <w:p w14:paraId="5011BF6C"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سلاسل الكتل</w:t>
      </w:r>
    </w:p>
    <w:p w14:paraId="53E98254" w14:textId="77777777" w:rsidR="001E74B8" w:rsidRPr="001E74B8" w:rsidRDefault="001E74B8" w:rsidP="001E74B8">
      <w:pPr>
        <w:jc w:val="both"/>
        <w:rPr>
          <w:rFonts w:ascii="Calibri" w:hAnsi="Calibri"/>
          <w:bCs/>
          <w:color w:val="000000" w:themeColor="text1"/>
          <w:lang w:bidi="ar-EG"/>
        </w:rPr>
      </w:pPr>
    </w:p>
    <w:p w14:paraId="4039A02A" w14:textId="77777777" w:rsidR="001E74B8" w:rsidRPr="001E74B8" w:rsidRDefault="001E74B8" w:rsidP="001E74B8">
      <w:pPr>
        <w:numPr>
          <w:ilvl w:val="0"/>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متنوعة:</w:t>
      </w:r>
    </w:p>
    <w:p w14:paraId="7DC24851"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العمليات اللوجستية: أنظمة إدارة الجودة</w:t>
      </w:r>
    </w:p>
    <w:p w14:paraId="215D3C32" w14:textId="77777777" w:rsidR="001E74B8" w:rsidRPr="001E74B8" w:rsidRDefault="001E74B8" w:rsidP="001E74B8">
      <w:pPr>
        <w:numPr>
          <w:ilvl w:val="1"/>
          <w:numId w:val="34"/>
        </w:numPr>
        <w:contextualSpacing/>
        <w:jc w:val="both"/>
        <w:rPr>
          <w:rFonts w:ascii="Calibri" w:hAnsi="Calibri"/>
          <w:bCs/>
          <w:color w:val="000000" w:themeColor="text1"/>
          <w:rtl/>
          <w:lang w:bidi="ar-EG"/>
        </w:rPr>
      </w:pPr>
      <w:r w:rsidRPr="001E74B8">
        <w:rPr>
          <w:rFonts w:ascii="Calibri" w:hAnsi="Calibri" w:hint="cs"/>
          <w:color w:val="000000" w:themeColor="text1"/>
          <w:rtl/>
          <w:lang w:bidi="ar-EG"/>
        </w:rPr>
        <w:t>السلامة الطرقية</w:t>
      </w:r>
    </w:p>
    <w:p w14:paraId="10DB0BE1" w14:textId="77777777" w:rsidR="001E74B8" w:rsidRPr="001E74B8" w:rsidRDefault="001E74B8" w:rsidP="001E74B8">
      <w:pPr>
        <w:jc w:val="both"/>
        <w:rPr>
          <w:rFonts w:ascii="Calibri" w:hAnsi="Calibri"/>
          <w:bCs/>
          <w:color w:val="000000" w:themeColor="text1"/>
          <w:lang w:bidi="ar-EG"/>
        </w:rPr>
      </w:pPr>
    </w:p>
    <w:p w14:paraId="3E6375AE" w14:textId="77777777" w:rsidR="001E74B8" w:rsidRPr="001E74B8" w:rsidRDefault="001E74B8" w:rsidP="00D953A4">
      <w:pPr>
        <w:pStyle w:val="Heading3"/>
        <w:rPr>
          <w:rFonts w:ascii="Calibri" w:hAnsi="Calibri"/>
          <w:b/>
          <w:color w:val="000000" w:themeColor="text1"/>
          <w:rtl/>
        </w:rPr>
      </w:pPr>
      <w:r w:rsidRPr="001E74B8">
        <w:rPr>
          <w:rFonts w:ascii="Calibri" w:hAnsi="Calibri" w:hint="cs"/>
          <w:b/>
          <w:color w:val="000000" w:themeColor="text1"/>
          <w:rtl/>
        </w:rPr>
        <w:t>عمليات البحث بأثر رجعي</w:t>
      </w:r>
    </w:p>
    <w:p w14:paraId="716BD654" w14:textId="77777777" w:rsidR="001E74B8" w:rsidRPr="001E74B8" w:rsidRDefault="001E74B8" w:rsidP="00752ECF">
      <w:pPr>
        <w:pStyle w:val="BodyText"/>
        <w:rPr>
          <w:bCs/>
          <w:rtl/>
          <w:lang w:bidi="ar-EG"/>
        </w:rPr>
      </w:pPr>
      <w:r w:rsidRPr="001E74B8">
        <w:rPr>
          <w:rFonts w:hint="cs"/>
          <w:rtl/>
          <w:lang w:bidi="ar-EG"/>
        </w:rPr>
        <w:t>توفّر هذه الخدمة للمستخدمين مراجع ببليوغرافية تتعلّق بالبراءات ونماذج المنفعة المنشورة في إسبانيا (بحث وطني) ومراجع باللغة الإنكليزية تتعلّق بالبراءات المنشورة في أماكن أخرى (بحث دولي)، بشأن موضوع معين.</w:t>
      </w:r>
    </w:p>
    <w:p w14:paraId="0FBADE22" w14:textId="77777777" w:rsidR="001E74B8" w:rsidRPr="001E74B8" w:rsidRDefault="001E74B8" w:rsidP="00752ECF">
      <w:pPr>
        <w:pStyle w:val="BodyText"/>
        <w:rPr>
          <w:rtl/>
          <w:lang w:bidi="ar-EG"/>
        </w:rPr>
      </w:pPr>
      <w:r w:rsidRPr="001E74B8">
        <w:rPr>
          <w:rFonts w:hint="cs"/>
          <w:rtl/>
          <w:lang w:bidi="ar-EG"/>
        </w:rPr>
        <w:t xml:space="preserve">ويتضمّن كل مرجع رابطاً إلى قاعدة البيانات </w:t>
      </w:r>
      <w:r w:rsidRPr="001E74B8">
        <w:rPr>
          <w:lang w:bidi="ar-EG"/>
        </w:rPr>
        <w:t>INVENES</w:t>
      </w:r>
      <w:r w:rsidRPr="001E74B8">
        <w:rPr>
          <w:rFonts w:hint="cs"/>
          <w:rtl/>
          <w:lang w:bidi="ar-EG"/>
        </w:rPr>
        <w:t xml:space="preserve"> (قاعدة بيانات للاختراعات في إسبانيا) وقاعدة البيانات </w:t>
      </w:r>
      <w:r w:rsidRPr="001E74B8">
        <w:rPr>
          <w:lang w:bidi="ar-EG"/>
        </w:rPr>
        <w:t>Espacenet</w:t>
      </w:r>
      <w:r w:rsidRPr="001E74B8">
        <w:rPr>
          <w:rFonts w:hint="cs"/>
          <w:rtl/>
          <w:lang w:bidi="ar-EG"/>
        </w:rPr>
        <w:t xml:space="preserve"> للاطلاع على الوثيقة الكاملة.</w:t>
      </w:r>
    </w:p>
    <w:p w14:paraId="0EE88A7B" w14:textId="3E5659A6" w:rsidR="001E74B8" w:rsidRPr="001E74B8" w:rsidRDefault="001E74B8" w:rsidP="001E74B8">
      <w:pPr>
        <w:rPr>
          <w:rFonts w:ascii="Calibri" w:hAnsi="Calibri"/>
          <w:color w:val="000000" w:themeColor="text1"/>
          <w:rtl/>
          <w:lang w:bidi="ar-EG"/>
        </w:rPr>
      </w:pPr>
    </w:p>
    <w:p w14:paraId="0A155925" w14:textId="77777777" w:rsidR="001E74B8" w:rsidRPr="001E74B8" w:rsidRDefault="001E74B8" w:rsidP="00D953A4">
      <w:pPr>
        <w:pStyle w:val="Heading3"/>
        <w:rPr>
          <w:rFonts w:ascii="Calibri" w:eastAsia="Times New Roman" w:hAnsi="Calibri"/>
          <w:color w:val="000000" w:themeColor="text1"/>
          <w:rtl/>
        </w:rPr>
      </w:pPr>
      <w:r w:rsidRPr="001E74B8">
        <w:rPr>
          <w:rFonts w:ascii="Calibri" w:hAnsi="Calibri" w:hint="cs"/>
          <w:b/>
          <w:color w:val="000000" w:themeColor="text1"/>
          <w:rtl/>
        </w:rPr>
        <w:t xml:space="preserve">تقارير </w:t>
      </w:r>
      <w:r w:rsidRPr="001E74B8">
        <w:rPr>
          <w:rFonts w:hint="cs"/>
          <w:rtl/>
        </w:rPr>
        <w:t>رصد</w:t>
      </w:r>
      <w:r w:rsidRPr="001E74B8">
        <w:rPr>
          <w:rFonts w:ascii="Calibri" w:hAnsi="Calibri" w:hint="cs"/>
          <w:b/>
          <w:color w:val="000000" w:themeColor="text1"/>
          <w:rtl/>
        </w:rPr>
        <w:t xml:space="preserve"> التكنولوجيا المعدة حسب الاحتياجات</w:t>
      </w:r>
    </w:p>
    <w:p w14:paraId="38742774" w14:textId="77777777" w:rsidR="001E74B8" w:rsidRPr="001E74B8" w:rsidRDefault="001E74B8" w:rsidP="00752ECF">
      <w:pPr>
        <w:pStyle w:val="BodyText"/>
        <w:rPr>
          <w:bCs/>
          <w:rtl/>
          <w:lang w:bidi="ar-EG"/>
        </w:rPr>
      </w:pPr>
      <w:r w:rsidRPr="001E74B8">
        <w:rPr>
          <w:rFonts w:hint="cs"/>
          <w:rtl/>
          <w:lang w:bidi="ar-EG"/>
        </w:rPr>
        <w:t>يمكن للمستخدمين تلقي هذه التقارير بشكل دوري حسب رغبتهم. وهي توفر مراجع ببليوغرافية تتعلّق بالبراءات ونماذج المنفعة المنشورة في إسبانيا (بحث وطني) ومراجع باللغة الإنكليزية تتعلّق بالبراءات المنشورة في أماكن أخرى (بحث دولي)، بشأن موضوع معين.</w:t>
      </w:r>
    </w:p>
    <w:p w14:paraId="1BABE25D" w14:textId="11861049" w:rsidR="001E74B8" w:rsidRPr="001E74B8" w:rsidRDefault="001E74B8" w:rsidP="00752ECF">
      <w:pPr>
        <w:pStyle w:val="BodyText"/>
        <w:rPr>
          <w:bCs/>
          <w:rtl/>
          <w:lang w:bidi="ar-EG"/>
        </w:rPr>
      </w:pPr>
      <w:r w:rsidRPr="001E74B8">
        <w:rPr>
          <w:rFonts w:hint="cs"/>
          <w:rtl/>
          <w:lang w:bidi="ar-EG"/>
        </w:rPr>
        <w:t xml:space="preserve">ومرّة أخرى، يتضمّن كل مرجع رابطاً إلى قاعدة البيانات </w:t>
      </w:r>
      <w:r w:rsidRPr="001E74B8">
        <w:rPr>
          <w:lang w:bidi="ar-EG"/>
        </w:rPr>
        <w:t>INVENES</w:t>
      </w:r>
      <w:r w:rsidRPr="001E74B8">
        <w:rPr>
          <w:rFonts w:hint="cs"/>
          <w:rtl/>
          <w:lang w:bidi="ar-EG"/>
        </w:rPr>
        <w:t xml:space="preserve"> وقاعدة البيانات </w:t>
      </w:r>
      <w:r w:rsidRPr="001E74B8">
        <w:rPr>
          <w:lang w:bidi="ar-EG"/>
        </w:rPr>
        <w:t>Espacenet</w:t>
      </w:r>
      <w:r w:rsidRPr="001E74B8">
        <w:rPr>
          <w:rFonts w:hint="cs"/>
          <w:rtl/>
          <w:lang w:bidi="ar-EG"/>
        </w:rPr>
        <w:t xml:space="preserve"> للاطلاع على الوثيقة الكاملة.</w:t>
      </w:r>
    </w:p>
    <w:p w14:paraId="26937BB4" w14:textId="77777777" w:rsidR="001E74B8" w:rsidRPr="001E74B8" w:rsidRDefault="001E74B8" w:rsidP="00D953A4">
      <w:pPr>
        <w:pStyle w:val="Heading3"/>
        <w:rPr>
          <w:rFonts w:ascii="Calibri" w:hAnsi="Calibri"/>
          <w:b/>
          <w:color w:val="000000" w:themeColor="text1"/>
          <w:rtl/>
        </w:rPr>
      </w:pPr>
      <w:r w:rsidRPr="001E74B8">
        <w:rPr>
          <w:rFonts w:ascii="Calibri" w:hAnsi="Calibri" w:hint="cs"/>
          <w:b/>
          <w:color w:val="000000" w:themeColor="text1"/>
          <w:rtl/>
        </w:rPr>
        <w:t xml:space="preserve">فاحص </w:t>
      </w:r>
      <w:r w:rsidRPr="001E74B8">
        <w:rPr>
          <w:rFonts w:hint="cs"/>
          <w:rtl/>
        </w:rPr>
        <w:t>تحت</w:t>
      </w:r>
      <w:r w:rsidRPr="001E74B8">
        <w:rPr>
          <w:rFonts w:ascii="Calibri" w:hAnsi="Calibri" w:hint="cs"/>
          <w:b/>
          <w:color w:val="000000" w:themeColor="text1"/>
          <w:rtl/>
        </w:rPr>
        <w:t xml:space="preserve"> الطلب</w:t>
      </w:r>
    </w:p>
    <w:p w14:paraId="4E2FD482" w14:textId="77777777" w:rsidR="001E74B8" w:rsidRPr="001E74B8" w:rsidRDefault="001E74B8" w:rsidP="00752ECF">
      <w:pPr>
        <w:pStyle w:val="BodyText"/>
        <w:rPr>
          <w:bCs/>
          <w:rtl/>
          <w:lang w:bidi="ar-EG"/>
        </w:rPr>
      </w:pPr>
      <w:r w:rsidRPr="001E74B8">
        <w:rPr>
          <w:rFonts w:hint="cs"/>
          <w:rtl/>
          <w:lang w:bidi="ar-EG"/>
        </w:rPr>
        <w:t xml:space="preserve">أولاً، يوجد لدى المكتب الإسباني </w:t>
      </w:r>
      <w:r w:rsidRPr="001E74B8">
        <w:rPr>
          <w:rFonts w:hint="cs"/>
          <w:b/>
          <w:bCs/>
          <w:rtl/>
          <w:lang w:bidi="ar-EG"/>
        </w:rPr>
        <w:t>خدمة تقديم المعلومات</w:t>
      </w:r>
      <w:r w:rsidRPr="001E74B8">
        <w:rPr>
          <w:rFonts w:hint="cs"/>
          <w:rtl/>
          <w:lang w:bidi="ar-EG"/>
        </w:rPr>
        <w:t xml:space="preserve"> من أجل طرح الاستفسارات العامة. ويمكن للمستخدمين التواصل مع المكتب الإسباني عبر الهاتف أو البريد الإلكتروني (يوجد عنوان بريد إلكتروني مخصّص للمعلومات)، أو زيارة مقرّه الرئيسي بشكل شخصي.</w:t>
      </w:r>
    </w:p>
    <w:p w14:paraId="21A0484D" w14:textId="3D2B17F6" w:rsidR="001E74B8" w:rsidRDefault="001E74B8" w:rsidP="00752ECF">
      <w:pPr>
        <w:pStyle w:val="BodyText"/>
        <w:rPr>
          <w:rtl/>
        </w:rPr>
      </w:pPr>
      <w:r w:rsidRPr="001E74B8">
        <w:rPr>
          <w:rFonts w:hint="cs"/>
          <w:rtl/>
          <w:lang w:bidi="ar-EG"/>
        </w:rPr>
        <w:t xml:space="preserve">وأما الاستفسارات الأكثر تحديداً حول الاختراعات، والتي لا يمكن معالجتها من قبل خدمة تقديم المعلومات العامة، فتُحال إلى </w:t>
      </w:r>
      <w:r w:rsidRPr="001E74B8">
        <w:rPr>
          <w:rFonts w:hint="cs"/>
          <w:b/>
          <w:bCs/>
          <w:rtl/>
          <w:lang w:bidi="ar-EG"/>
        </w:rPr>
        <w:t>خدمة الفاحص تحت الطلب</w:t>
      </w:r>
      <w:r w:rsidRPr="001E74B8">
        <w:rPr>
          <w:rFonts w:hint="cs"/>
          <w:rtl/>
          <w:lang w:bidi="ar-EG"/>
        </w:rPr>
        <w:t>.</w:t>
      </w:r>
    </w:p>
    <w:p w14:paraId="02A3FFCE" w14:textId="22928E34" w:rsidR="001E74B8" w:rsidRPr="001E74B8" w:rsidRDefault="00752ECF" w:rsidP="00752ECF">
      <w:pPr>
        <w:jc w:val="both"/>
        <w:rPr>
          <w:rFonts w:ascii="Calibri" w:hAnsi="Calibri"/>
          <w:bCs/>
          <w:color w:val="000000" w:themeColor="text1"/>
          <w:rtl/>
          <w:lang w:bidi="ar-EG"/>
        </w:rPr>
      </w:pPr>
      <w:r>
        <w:rPr>
          <w:rFonts w:ascii="Calibri" w:hAnsi="Calibri" w:hint="cs"/>
          <w:color w:val="000000" w:themeColor="text1"/>
          <w:rtl/>
        </w:rPr>
        <w:t>و</w:t>
      </w:r>
      <w:r w:rsidR="001E74B8" w:rsidRPr="001E74B8">
        <w:rPr>
          <w:rFonts w:ascii="Calibri" w:hAnsi="Calibri" w:hint="cs"/>
          <w:color w:val="000000" w:themeColor="text1"/>
          <w:rtl/>
          <w:lang w:bidi="ar-EG"/>
        </w:rPr>
        <w:t>تستقبل هذه الخدمة استفسارات حول ما يلي:</w:t>
      </w:r>
      <w:r w:rsidR="001E74B8" w:rsidRPr="001E74B8">
        <w:rPr>
          <w:rFonts w:ascii="Calibri" w:hAnsi="Calibri" w:hint="cs"/>
          <w:rtl/>
          <w:lang w:bidi="ar-EG"/>
        </w:rPr>
        <w:t xml:space="preserve"> </w:t>
      </w:r>
    </w:p>
    <w:p w14:paraId="68992340" w14:textId="4DA4F02B" w:rsidR="001E74B8" w:rsidRPr="00752ECF" w:rsidRDefault="001E74B8" w:rsidP="00752ECF">
      <w:pPr>
        <w:pStyle w:val="ListParagraph"/>
        <w:numPr>
          <w:ilvl w:val="0"/>
          <w:numId w:val="43"/>
        </w:numPr>
        <w:jc w:val="both"/>
        <w:rPr>
          <w:rFonts w:ascii="Calibri" w:hAnsi="Calibri"/>
          <w:bCs/>
          <w:color w:val="000000" w:themeColor="text1"/>
          <w:rtl/>
          <w:lang w:bidi="ar-EG"/>
        </w:rPr>
      </w:pPr>
      <w:r w:rsidRPr="00752ECF">
        <w:rPr>
          <w:rFonts w:ascii="Calibri" w:hAnsi="Calibri" w:hint="cs"/>
          <w:color w:val="000000" w:themeColor="text1"/>
          <w:rtl/>
          <w:lang w:bidi="ar-EG"/>
        </w:rPr>
        <w:t>أهلية الحصول على براءة، والجدة، والخطوة الابتكارية، ووحدة الاختراع</w:t>
      </w:r>
      <w:r w:rsidR="002635B0">
        <w:rPr>
          <w:rFonts w:ascii="Calibri" w:hAnsi="Calibri" w:hint="cs"/>
          <w:rtl/>
          <w:lang w:bidi="ar-EG"/>
        </w:rPr>
        <w:t>.</w:t>
      </w:r>
    </w:p>
    <w:p w14:paraId="55EA4EE7" w14:textId="4A90D269" w:rsidR="001E74B8" w:rsidRPr="00752ECF" w:rsidRDefault="001E74B8" w:rsidP="00752ECF">
      <w:pPr>
        <w:pStyle w:val="ListParagraph"/>
        <w:numPr>
          <w:ilvl w:val="0"/>
          <w:numId w:val="43"/>
        </w:numPr>
        <w:jc w:val="both"/>
        <w:rPr>
          <w:rFonts w:ascii="Calibri" w:hAnsi="Calibri"/>
          <w:bCs/>
          <w:color w:val="000000" w:themeColor="text1"/>
          <w:rtl/>
          <w:lang w:bidi="ar-EG"/>
        </w:rPr>
      </w:pPr>
      <w:r w:rsidRPr="00752ECF">
        <w:rPr>
          <w:rFonts w:ascii="Calibri" w:hAnsi="Calibri" w:hint="cs"/>
          <w:color w:val="000000" w:themeColor="text1"/>
          <w:rtl/>
          <w:lang w:bidi="ar-EG"/>
        </w:rPr>
        <w:t>نطاق المطالبات ومحتواها</w:t>
      </w:r>
      <w:r w:rsidR="002635B0">
        <w:rPr>
          <w:rFonts w:ascii="Calibri" w:hAnsi="Calibri" w:hint="cs"/>
          <w:rtl/>
          <w:lang w:bidi="ar-EG"/>
        </w:rPr>
        <w:t>.</w:t>
      </w:r>
    </w:p>
    <w:p w14:paraId="18E1E00B" w14:textId="77777777" w:rsidR="001E74B8" w:rsidRPr="00752ECF" w:rsidRDefault="001E74B8" w:rsidP="00752ECF">
      <w:pPr>
        <w:pStyle w:val="ListParagraph"/>
        <w:numPr>
          <w:ilvl w:val="0"/>
          <w:numId w:val="43"/>
        </w:numPr>
        <w:jc w:val="both"/>
        <w:rPr>
          <w:rFonts w:ascii="Calibri" w:hAnsi="Calibri"/>
          <w:bCs/>
          <w:color w:val="000000" w:themeColor="text1"/>
          <w:rtl/>
          <w:lang w:bidi="ar-EG"/>
        </w:rPr>
      </w:pPr>
      <w:r w:rsidRPr="00752ECF">
        <w:rPr>
          <w:rFonts w:ascii="Calibri" w:hAnsi="Calibri" w:hint="cs"/>
          <w:color w:val="000000" w:themeColor="text1"/>
          <w:rtl/>
          <w:lang w:bidi="ar-EG"/>
        </w:rPr>
        <w:t>صياغة البراءات وطلبات معاهدة البراءات أو نموذج المنفعة (ولكن لا يشمل هذا عموماً اقتراحاً لنص محدد أو تصحيحه).</w:t>
      </w:r>
      <w:r w:rsidRPr="00752ECF">
        <w:rPr>
          <w:rFonts w:ascii="Calibri" w:hAnsi="Calibri" w:hint="cs"/>
          <w:rtl/>
          <w:lang w:bidi="ar-EG"/>
        </w:rPr>
        <w:t xml:space="preserve"> </w:t>
      </w:r>
    </w:p>
    <w:p w14:paraId="2C5CBD98" w14:textId="6D97A365" w:rsidR="001E74B8" w:rsidRPr="002635B0" w:rsidRDefault="001E74B8" w:rsidP="00752ECF">
      <w:pPr>
        <w:pStyle w:val="ListParagraph"/>
        <w:numPr>
          <w:ilvl w:val="0"/>
          <w:numId w:val="43"/>
        </w:numPr>
        <w:jc w:val="both"/>
        <w:rPr>
          <w:rFonts w:ascii="Calibri" w:hAnsi="Calibri"/>
          <w:bCs/>
          <w:color w:val="000000" w:themeColor="text1"/>
          <w:lang w:bidi="ar-EG"/>
        </w:rPr>
      </w:pPr>
      <w:r w:rsidRPr="00752ECF">
        <w:rPr>
          <w:rFonts w:ascii="Calibri" w:hAnsi="Calibri" w:hint="cs"/>
          <w:color w:val="000000" w:themeColor="text1"/>
          <w:rtl/>
          <w:lang w:bidi="ar-EG"/>
        </w:rPr>
        <w:t xml:space="preserve">قاعدتا البيانات </w:t>
      </w:r>
      <w:r w:rsidRPr="00752ECF">
        <w:rPr>
          <w:rFonts w:ascii="Calibri" w:hAnsi="Calibri"/>
          <w:color w:val="000000" w:themeColor="text1"/>
          <w:lang w:bidi="ar-EG"/>
        </w:rPr>
        <w:t>Espacenet</w:t>
      </w:r>
      <w:r w:rsidRPr="00752ECF">
        <w:rPr>
          <w:rFonts w:ascii="Calibri" w:hAnsi="Calibri" w:hint="cs"/>
          <w:color w:val="000000" w:themeColor="text1"/>
          <w:rtl/>
          <w:lang w:bidi="ar-EG"/>
        </w:rPr>
        <w:t xml:space="preserve"> و</w:t>
      </w:r>
      <w:r w:rsidRPr="00752ECF">
        <w:rPr>
          <w:rFonts w:ascii="Calibri" w:hAnsi="Calibri"/>
          <w:color w:val="000000" w:themeColor="text1"/>
          <w:lang w:bidi="ar-EG"/>
        </w:rPr>
        <w:t>INVENES</w:t>
      </w:r>
      <w:r w:rsidRPr="00752ECF">
        <w:rPr>
          <w:rFonts w:ascii="Calibri" w:hAnsi="Calibri" w:hint="cs"/>
          <w:color w:val="000000" w:themeColor="text1"/>
          <w:rtl/>
          <w:lang w:bidi="ar-EG"/>
        </w:rPr>
        <w:t xml:space="preserve"> المجانيتان؛ وخدمات المعلومات التكنولوجية للمكتب الإسباني</w:t>
      </w:r>
      <w:r w:rsidR="002635B0">
        <w:rPr>
          <w:rFonts w:ascii="Calibri" w:hAnsi="Calibri" w:hint="cs"/>
          <w:color w:val="000000" w:themeColor="text1"/>
          <w:rtl/>
          <w:lang w:bidi="ar-EG"/>
        </w:rPr>
        <w:t>.</w:t>
      </w:r>
    </w:p>
    <w:p w14:paraId="18A5BE8B" w14:textId="77777777" w:rsidR="002635B0" w:rsidRPr="002635B0" w:rsidRDefault="002635B0" w:rsidP="002635B0">
      <w:pPr>
        <w:jc w:val="both"/>
        <w:rPr>
          <w:rFonts w:ascii="Calibri" w:hAnsi="Calibri"/>
          <w:bCs/>
          <w:color w:val="000000" w:themeColor="text1"/>
          <w:rtl/>
          <w:lang w:bidi="ar-EG"/>
        </w:rPr>
      </w:pPr>
    </w:p>
    <w:p w14:paraId="0EF841DE" w14:textId="77777777" w:rsidR="001E74B8" w:rsidRPr="001E74B8" w:rsidRDefault="001E74B8" w:rsidP="00752ECF">
      <w:pPr>
        <w:pStyle w:val="BodyText"/>
        <w:rPr>
          <w:bCs/>
          <w:rtl/>
          <w:lang w:bidi="ar-EG"/>
        </w:rPr>
      </w:pPr>
      <w:r w:rsidRPr="001E74B8">
        <w:rPr>
          <w:rFonts w:hint="cs"/>
          <w:rtl/>
          <w:lang w:bidi="ar-EG"/>
        </w:rPr>
        <w:t>وأما الاستفسارات المتعلقة بالطلبات التي تجري معالجتها حالياً، مثل الاستفسارات المتعلقة بتعليق الطلب أو الاعتراضات على قبول المعالجة، فتُحال إلى الفاحص الذي ينظر في الطلب أو، عند الاقتضاء، إلى رئيس الدائرة أو رئيس القسم.</w:t>
      </w:r>
    </w:p>
    <w:p w14:paraId="56D5AEC7" w14:textId="77777777" w:rsidR="001E74B8" w:rsidRPr="001E74B8" w:rsidRDefault="001E74B8" w:rsidP="00752ECF">
      <w:pPr>
        <w:pStyle w:val="Heading3"/>
        <w:rPr>
          <w:rFonts w:ascii="Calibri" w:hAnsi="Calibri"/>
          <w:b/>
          <w:color w:val="000000" w:themeColor="text1"/>
          <w:rtl/>
        </w:rPr>
      </w:pPr>
      <w:r w:rsidRPr="001E74B8">
        <w:rPr>
          <w:rFonts w:ascii="Calibri" w:hAnsi="Calibri" w:hint="cs"/>
          <w:b/>
          <w:color w:val="000000" w:themeColor="text1"/>
          <w:rtl/>
        </w:rPr>
        <w:t>كتيبات المعلومات بشأن معاهدة البراءات</w:t>
      </w:r>
    </w:p>
    <w:p w14:paraId="10E5BD8F" w14:textId="77777777" w:rsidR="001E74B8" w:rsidRPr="001E74B8" w:rsidRDefault="001E74B8" w:rsidP="00752ECF">
      <w:pPr>
        <w:pStyle w:val="BodyText"/>
        <w:rPr>
          <w:bCs/>
          <w:rtl/>
          <w:lang w:bidi="ar-EG"/>
        </w:rPr>
      </w:pPr>
      <w:r w:rsidRPr="001E74B8">
        <w:rPr>
          <w:rFonts w:hint="cs"/>
          <w:rtl/>
          <w:lang w:bidi="ar-EG"/>
        </w:rPr>
        <w:t xml:space="preserve">يحتوي موقع المكتب الإسباني على العديد من الكتيبات حول إجراءات معاهدة البراءات ومزاياها المحتملة. وبعضها عام، والبعض الآخر يشرح كيفية تقديم هذا الطلب إلى المكتب. وتتضمّن الكتيبات الأكثر تحديداً تفاصيل عن المراحل المختلفة لإجراء معاهدة البراءات. </w:t>
      </w:r>
    </w:p>
    <w:p w14:paraId="6EDFE066" w14:textId="77777777" w:rsidR="001E74B8" w:rsidRPr="001E74B8" w:rsidRDefault="001E74B8" w:rsidP="00752ECF">
      <w:pPr>
        <w:pStyle w:val="Heading3"/>
        <w:rPr>
          <w:rFonts w:ascii="Calibri" w:hAnsi="Calibri"/>
          <w:b/>
          <w:color w:val="000000" w:themeColor="text1"/>
          <w:rtl/>
        </w:rPr>
      </w:pPr>
      <w:r w:rsidRPr="001E74B8">
        <w:rPr>
          <w:rFonts w:hint="cs"/>
          <w:rtl/>
        </w:rPr>
        <w:t>صندوق</w:t>
      </w:r>
      <w:r w:rsidRPr="001E74B8">
        <w:rPr>
          <w:rFonts w:ascii="Calibri" w:hAnsi="Calibri" w:hint="cs"/>
          <w:b/>
          <w:color w:val="000000" w:themeColor="text1"/>
          <w:rtl/>
        </w:rPr>
        <w:t xml:space="preserve"> بريد معاهدة البراءات</w:t>
      </w:r>
    </w:p>
    <w:p w14:paraId="1ECD2529" w14:textId="1CCC9010" w:rsidR="001E74B8" w:rsidRPr="001E74B8" w:rsidRDefault="001E74B8" w:rsidP="00752ECF">
      <w:pPr>
        <w:pStyle w:val="BodyText"/>
        <w:rPr>
          <w:lang w:bidi="ar-EG"/>
        </w:rPr>
      </w:pPr>
      <w:r w:rsidRPr="001E74B8">
        <w:rPr>
          <w:rFonts w:hint="cs"/>
          <w:rtl/>
          <w:lang w:bidi="ar-EG"/>
        </w:rPr>
        <w:t>يوجد لدى المكتب الإسباني صندوق بريد مخصّص لاستقبال الاستفسارات عبر البريد الإلكتروني، سواء كانت عامة أو مخصّصة. ويتولّى موظفو مكتب تسلم الطلبات في المكتب الإسباني إدارة هذا الصندوق. وعند الحاجة، يحيلون الاستفسارات إلى الفاحصين القائمين على البحث الدولي أو الفحص الدولي المعني.</w:t>
      </w:r>
      <w:r w:rsidRPr="001E74B8">
        <w:rPr>
          <w:rFonts w:hint="cs"/>
          <w:rtl/>
          <w:lang w:bidi="ar-EG"/>
        </w:rPr>
        <w:cr/>
      </w:r>
    </w:p>
    <w:p w14:paraId="3F17683E" w14:textId="77777777" w:rsidR="001E74B8" w:rsidRPr="001E74B8" w:rsidRDefault="001E74B8" w:rsidP="001E74B8">
      <w:pPr>
        <w:keepNext/>
        <w:keepLines/>
        <w:pBdr>
          <w:top w:val="single" w:sz="4" w:space="1" w:color="auto"/>
        </w:pBdr>
        <w:spacing w:before="360" w:after="200" w:line="480" w:lineRule="auto"/>
        <w:outlineLvl w:val="2"/>
        <w:rPr>
          <w:rFonts w:ascii="Calibri" w:eastAsia="Times New Roman" w:hAnsi="Calibri"/>
          <w:b/>
          <w:bCs/>
          <w:caps/>
          <w:rtl/>
          <w:lang w:bidi="ar-EG"/>
        </w:rPr>
      </w:pPr>
      <w:bookmarkStart w:id="10" w:name="_Hlk216885187"/>
    </w:p>
    <w:bookmarkEnd w:id="10"/>
    <w:p w14:paraId="227BB66B" w14:textId="77777777" w:rsidR="001E74B8" w:rsidRPr="001E74B8" w:rsidRDefault="001E74B8" w:rsidP="00111341">
      <w:pPr>
        <w:pStyle w:val="Endofdocument-Annex"/>
        <w:rPr>
          <w:bCs/>
          <w:rtl/>
          <w:lang w:bidi="ar-EG"/>
        </w:rPr>
      </w:pPr>
      <w:r w:rsidRPr="001E74B8">
        <w:rPr>
          <w:rFonts w:hint="cs"/>
          <w:rtl/>
          <w:lang w:bidi="ar-EG"/>
        </w:rPr>
        <w:t>[نهاية المرفق والوثيقة]</w:t>
      </w:r>
    </w:p>
    <w:sectPr w:rsidR="001E74B8" w:rsidRPr="001E74B8" w:rsidSect="004002DA">
      <w:headerReference w:type="first" r:id="rId2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765D" w14:textId="77777777" w:rsidR="003E608A" w:rsidRDefault="003E608A">
      <w:r>
        <w:separator/>
      </w:r>
    </w:p>
  </w:endnote>
  <w:endnote w:type="continuationSeparator" w:id="0">
    <w:p w14:paraId="166679E7" w14:textId="77777777" w:rsidR="003E608A" w:rsidRDefault="003E608A" w:rsidP="003B38C1">
      <w:r>
        <w:separator/>
      </w:r>
    </w:p>
    <w:p w14:paraId="745F5C1F" w14:textId="77777777" w:rsidR="003E608A" w:rsidRPr="003B38C1" w:rsidRDefault="003E608A" w:rsidP="003B38C1">
      <w:pPr>
        <w:spacing w:after="60"/>
        <w:rPr>
          <w:sz w:val="17"/>
        </w:rPr>
      </w:pPr>
      <w:r>
        <w:rPr>
          <w:sz w:val="17"/>
        </w:rPr>
        <w:t>[Endnote continued from previous page]</w:t>
      </w:r>
    </w:p>
  </w:endnote>
  <w:endnote w:type="continuationNotice" w:id="1">
    <w:p w14:paraId="75BA5777" w14:textId="77777777" w:rsidR="003E608A" w:rsidRPr="003B38C1" w:rsidRDefault="003E60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1BBD" w14:textId="77777777" w:rsidR="00331E76" w:rsidRDefault="0033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03B8" w14:textId="77777777" w:rsidR="00331E76" w:rsidRDefault="0033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B79" w14:textId="77777777" w:rsidR="00331E76" w:rsidRDefault="0033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B2E4" w14:textId="77777777" w:rsidR="003E608A" w:rsidRDefault="003E608A">
      <w:r>
        <w:separator/>
      </w:r>
    </w:p>
  </w:footnote>
  <w:footnote w:type="continuationSeparator" w:id="0">
    <w:p w14:paraId="31532017" w14:textId="77777777" w:rsidR="003E608A" w:rsidRDefault="003E608A" w:rsidP="008B60B2">
      <w:r>
        <w:separator/>
      </w:r>
    </w:p>
    <w:p w14:paraId="5D02EC91" w14:textId="77777777" w:rsidR="003E608A" w:rsidRPr="00ED77FB" w:rsidRDefault="003E608A" w:rsidP="008B60B2">
      <w:pPr>
        <w:spacing w:after="60"/>
        <w:rPr>
          <w:sz w:val="17"/>
          <w:szCs w:val="17"/>
        </w:rPr>
      </w:pPr>
      <w:r w:rsidRPr="00ED77FB">
        <w:rPr>
          <w:sz w:val="17"/>
          <w:szCs w:val="17"/>
        </w:rPr>
        <w:t>[Footnote continued from previous page]</w:t>
      </w:r>
    </w:p>
  </w:footnote>
  <w:footnote w:type="continuationNotice" w:id="1">
    <w:p w14:paraId="602EFB95" w14:textId="77777777" w:rsidR="003E608A" w:rsidRPr="00ED77FB" w:rsidRDefault="003E608A" w:rsidP="008B60B2">
      <w:pPr>
        <w:spacing w:before="60"/>
        <w:jc w:val="right"/>
        <w:rPr>
          <w:sz w:val="17"/>
          <w:szCs w:val="17"/>
        </w:rPr>
      </w:pPr>
      <w:r w:rsidRPr="00ED77FB">
        <w:rPr>
          <w:sz w:val="17"/>
          <w:szCs w:val="17"/>
        </w:rPr>
        <w:t>[Footnote continued on next page]</w:t>
      </w:r>
    </w:p>
  </w:footnote>
  <w:footnote w:id="2">
    <w:p w14:paraId="30C21E2F" w14:textId="77777777" w:rsidR="001E74B8" w:rsidRPr="00683D0F" w:rsidRDefault="001E74B8" w:rsidP="001E74B8">
      <w:pPr>
        <w:pStyle w:val="FootnoteText"/>
        <w:rPr>
          <w:rtl/>
        </w:rPr>
      </w:pPr>
      <w:r>
        <w:rPr>
          <w:rStyle w:val="FootnoteReference"/>
        </w:rPr>
        <w:footnoteRef/>
      </w:r>
      <w:r>
        <w:rPr>
          <w:rFonts w:hint="cs"/>
          <w:rtl/>
        </w:rPr>
        <w:t xml:space="preserve"> محدثة حتى تاريخ 31 أكتوبر 2025. </w:t>
      </w:r>
    </w:p>
  </w:footnote>
  <w:footnote w:id="3">
    <w:p w14:paraId="220CBD21" w14:textId="77777777" w:rsidR="001E74B8" w:rsidRPr="008614D6" w:rsidRDefault="001E74B8" w:rsidP="001E74B8">
      <w:pPr>
        <w:pStyle w:val="FootnoteText"/>
        <w:rPr>
          <w:rtl/>
        </w:rPr>
      </w:pPr>
      <w:r>
        <w:rPr>
          <w:rStyle w:val="FootnoteReference"/>
        </w:rPr>
        <w:footnoteRef/>
      </w:r>
      <w:r>
        <w:rPr>
          <w:rFonts w:hint="cs"/>
          <w:rtl/>
        </w:rPr>
        <w:t xml:space="preserve"> يتضمن الإجراء الوطني الإسباني رأياً كتابياً مصحوباً بنتائج البحث؛ وبالتالي، يجري الفحص الأول في هذه المرحلة.</w:t>
      </w:r>
    </w:p>
  </w:footnote>
  <w:footnote w:id="4">
    <w:p w14:paraId="5DC05C79" w14:textId="77777777" w:rsidR="001E74B8" w:rsidRPr="00683D0F" w:rsidRDefault="001E74B8" w:rsidP="001E74B8">
      <w:pPr>
        <w:pStyle w:val="FootnoteText"/>
        <w:rPr>
          <w:rtl/>
        </w:rPr>
      </w:pPr>
      <w:r>
        <w:rPr>
          <w:rStyle w:val="FootnoteReference"/>
        </w:rPr>
        <w:footnoteRef/>
      </w:r>
      <w:r>
        <w:rPr>
          <w:rFonts w:hint="cs"/>
          <w:rtl/>
        </w:rPr>
        <w:t xml:space="preserve"> محدثة حتى تاريخ 31 أكتوبر 2025. </w:t>
      </w:r>
    </w:p>
  </w:footnote>
  <w:footnote w:id="5">
    <w:p w14:paraId="37A884B8" w14:textId="77777777" w:rsidR="001E74B8" w:rsidRDefault="001E74B8" w:rsidP="001E74B8">
      <w:pPr>
        <w:pStyle w:val="FootnoteText"/>
        <w:rPr>
          <w:rtl/>
        </w:rPr>
      </w:pPr>
      <w:r>
        <w:rPr>
          <w:rStyle w:val="FootnoteReference"/>
        </w:rPr>
        <w:footnoteRef/>
      </w:r>
      <w:r>
        <w:rPr>
          <w:rFonts w:hint="cs"/>
          <w:rtl/>
        </w:rPr>
        <w:t xml:space="preserve"> لقد مكّن الصندوق أيضاً إنشاء دليل موحد لمعايير تسجيل العلامات المميزة في بلدان أمريكا الوسطى والجمهورية الدومينيكية. ويُعدّ هذا الدليل أيضاً مرجعاً مشتركاً للإدارة المؤسسية والتقنية لإجراءات منح العلامات التجارية.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43B" w14:textId="77777777" w:rsidR="00331E76" w:rsidRDefault="0033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04D66FFC" w:rsidR="00D07C78" w:rsidRDefault="004E0043" w:rsidP="00B96EB2">
    <w:pPr>
      <w:bidi w:val="0"/>
      <w:rPr>
        <w:caps/>
        <w:lang w:val="fr-CH"/>
      </w:rPr>
    </w:pPr>
    <w:r>
      <w:rPr>
        <w:caps/>
      </w:rPr>
      <w:t>PCT</w:t>
    </w:r>
    <w:r w:rsidR="00250149">
      <w:rPr>
        <w:caps/>
      </w:rPr>
      <w:t>/</w:t>
    </w:r>
    <w:r w:rsidR="00320C70">
      <w:rPr>
        <w:caps/>
      </w:rPr>
      <w:t>CTC</w:t>
    </w:r>
    <w:r w:rsidR="00250149">
      <w:rPr>
        <w:caps/>
      </w:rPr>
      <w:t>/</w:t>
    </w:r>
    <w:r w:rsidR="00320C70">
      <w:rPr>
        <w:caps/>
      </w:rPr>
      <w:t>33</w:t>
    </w:r>
    <w:r>
      <w:rPr>
        <w:caps/>
      </w:rPr>
      <w:t>/</w:t>
    </w:r>
    <w:r w:rsidR="004002DA">
      <w:rPr>
        <w:caps/>
        <w:lang w:val="fr-CH"/>
      </w:rPr>
      <w:t>11</w:t>
    </w:r>
  </w:p>
  <w:p w14:paraId="650CF47E" w14:textId="569945E7" w:rsidR="004002DA" w:rsidRPr="004002DA" w:rsidRDefault="004002DA" w:rsidP="004002DA">
    <w:pPr>
      <w:bidi w:val="0"/>
      <w:rPr>
        <w:caps/>
        <w:lang w:val="fr-CH"/>
      </w:rPr>
    </w:pPr>
    <w:r>
      <w:rPr>
        <w:caps/>
        <w:lang w:val="fr-CH"/>
      </w:rPr>
      <w:t>A</w:t>
    </w:r>
    <w:r>
      <w:rPr>
        <w:lang w:val="fr-CH"/>
      </w:rPr>
      <w:t>nnex</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2C4F3247"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28F9" w14:textId="77777777" w:rsidR="00331E76" w:rsidRDefault="00331E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77E" w14:textId="77777777" w:rsidR="001E74B8" w:rsidRDefault="001E74B8" w:rsidP="001E74B8">
    <w:pPr>
      <w:pStyle w:val="Header"/>
      <w:bidi w:val="0"/>
    </w:pPr>
    <w:r>
      <w:t>PCT/CTC/33/11</w:t>
    </w:r>
  </w:p>
  <w:p w14:paraId="00039000" w14:textId="02B5A5D5" w:rsidR="00331E76" w:rsidRDefault="001E74B8" w:rsidP="001E74B8">
    <w:pPr>
      <w:pStyle w:val="Header"/>
      <w:bidi w:val="0"/>
      <w:rPr>
        <w:rtl/>
      </w:rPr>
    </w:pPr>
    <w:r>
      <w:t>ANNEX</w:t>
    </w:r>
  </w:p>
  <w:p w14:paraId="70D92FA2" w14:textId="4FAD768D" w:rsidR="001E74B8" w:rsidRDefault="001E74B8" w:rsidP="001E74B8">
    <w:pPr>
      <w:pStyle w:val="Header"/>
      <w:jc w:val="right"/>
      <w:rPr>
        <w:rtl/>
      </w:rPr>
    </w:pPr>
    <w:r>
      <w:rPr>
        <w:rFonts w:hint="cs"/>
        <w:rtl/>
      </w:rPr>
      <w:t>المرفق</w:t>
    </w:r>
  </w:p>
  <w:p w14:paraId="03FD9598" w14:textId="77777777" w:rsidR="001E74B8" w:rsidRDefault="001E74B8" w:rsidP="001E74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38529C"/>
    <w:multiLevelType w:val="hybridMultilevel"/>
    <w:tmpl w:val="CFBE59C2"/>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4" w15:restartNumberingAfterBreak="0">
    <w:nsid w:val="1DCB3259"/>
    <w:multiLevelType w:val="hybridMultilevel"/>
    <w:tmpl w:val="70F6E9D4"/>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321D6"/>
    <w:multiLevelType w:val="hybridMultilevel"/>
    <w:tmpl w:val="AA609502"/>
    <w:lvl w:ilvl="0" w:tplc="DC02F770">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4532E"/>
    <w:multiLevelType w:val="hybridMultilevel"/>
    <w:tmpl w:val="91E46456"/>
    <w:lvl w:ilvl="0" w:tplc="C5E09714">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40A24400"/>
    <w:multiLevelType w:val="hybridMultilevel"/>
    <w:tmpl w:val="CB701E0E"/>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0" w15:restartNumberingAfterBreak="0">
    <w:nsid w:val="41150817"/>
    <w:multiLevelType w:val="hybridMultilevel"/>
    <w:tmpl w:val="33CA12FC"/>
    <w:lvl w:ilvl="0" w:tplc="B16E5712">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393D3B"/>
    <w:multiLevelType w:val="hybridMultilevel"/>
    <w:tmpl w:val="174C14D0"/>
    <w:lvl w:ilvl="0" w:tplc="24321704">
      <w:numFmt w:val="bullet"/>
      <w:lvlText w:val="•"/>
      <w:lvlJc w:val="left"/>
      <w:pPr>
        <w:ind w:left="795" w:hanging="435"/>
      </w:pPr>
      <w:rPr>
        <w:rFonts w:ascii="Arial" w:eastAsia="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DCFC45D2">
      <w:start w:val="5"/>
      <w:numFmt w:val="bullet"/>
      <w:lvlText w:val="-"/>
      <w:lvlJc w:val="left"/>
      <w:pPr>
        <w:ind w:left="2160" w:hanging="360"/>
      </w:pPr>
      <w:rPr>
        <w:rFonts w:ascii="Arial" w:eastAsia="SimSu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703A6D"/>
    <w:multiLevelType w:val="hybridMultilevel"/>
    <w:tmpl w:val="5F800F2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6E5682"/>
    <w:multiLevelType w:val="hybridMultilevel"/>
    <w:tmpl w:val="0A76CCA6"/>
    <w:lvl w:ilvl="0" w:tplc="0C0A0003">
      <w:start w:val="1"/>
      <w:numFmt w:val="bullet"/>
      <w:lvlText w:val="o"/>
      <w:lvlJc w:val="left"/>
      <w:pPr>
        <w:ind w:left="1494" w:hanging="360"/>
      </w:pPr>
      <w:rPr>
        <w:rFonts w:ascii="Courier New" w:hAnsi="Courier New" w:cs="Courier New" w:hint="default"/>
      </w:rPr>
    </w:lvl>
    <w:lvl w:ilvl="1" w:tplc="0C0A0003">
      <w:start w:val="1"/>
      <w:numFmt w:val="bullet"/>
      <w:lvlText w:val="o"/>
      <w:lvlJc w:val="left"/>
      <w:pPr>
        <w:ind w:left="2214" w:hanging="360"/>
      </w:pPr>
      <w:rPr>
        <w:rFonts w:ascii="Courier New" w:hAnsi="Courier New" w:cs="Courier New" w:hint="default"/>
      </w:rPr>
    </w:lvl>
    <w:lvl w:ilvl="2" w:tplc="0C0A0005">
      <w:start w:val="1"/>
      <w:numFmt w:val="bullet"/>
      <w:lvlText w:val=""/>
      <w:lvlJc w:val="left"/>
      <w:pPr>
        <w:ind w:left="2934" w:hanging="360"/>
      </w:pPr>
      <w:rPr>
        <w:rFonts w:ascii="Wingdings" w:hAnsi="Wingdings" w:hint="default"/>
      </w:rPr>
    </w:lvl>
    <w:lvl w:ilvl="3" w:tplc="0C0A000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AB0490E"/>
    <w:multiLevelType w:val="hybridMultilevel"/>
    <w:tmpl w:val="B8F654AA"/>
    <w:lvl w:ilvl="0" w:tplc="B16E5712">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D6F4485"/>
    <w:multiLevelType w:val="hybridMultilevel"/>
    <w:tmpl w:val="DF98723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D8F5539"/>
    <w:multiLevelType w:val="hybridMultilevel"/>
    <w:tmpl w:val="7EBEAE52"/>
    <w:lvl w:ilvl="0" w:tplc="C5E09714">
      <w:numFmt w:val="bullet"/>
      <w:lvlText w:val="-"/>
      <w:lvlJc w:val="left"/>
      <w:pPr>
        <w:ind w:left="927" w:hanging="360"/>
      </w:pPr>
      <w:rPr>
        <w:rFonts w:ascii="Arial" w:eastAsia="SimSun"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start w:val="1"/>
      <w:numFmt w:val="bullet"/>
      <w:lvlText w:val=""/>
      <w:lvlJc w:val="left"/>
      <w:pPr>
        <w:ind w:left="2367" w:hanging="360"/>
      </w:pPr>
      <w:rPr>
        <w:rFonts w:ascii="Wingdings" w:hAnsi="Wingdings" w:hint="default"/>
      </w:rPr>
    </w:lvl>
    <w:lvl w:ilvl="3" w:tplc="DC5E96C6">
      <w:start w:val="5"/>
      <w:numFmt w:val="bullet"/>
      <w:lvlText w:val=""/>
      <w:lvlJc w:val="left"/>
      <w:pPr>
        <w:ind w:left="3087" w:hanging="360"/>
      </w:pPr>
      <w:rPr>
        <w:rFonts w:ascii="Symbol" w:eastAsia="SimSun" w:hAnsi="Symbol" w:cs="Aria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16cid:durableId="36318921">
    <w:abstractNumId w:val="2"/>
  </w:num>
  <w:num w:numId="2" w16cid:durableId="1449659008">
    <w:abstractNumId w:val="11"/>
  </w:num>
  <w:num w:numId="3" w16cid:durableId="1554928416">
    <w:abstractNumId w:val="0"/>
  </w:num>
  <w:num w:numId="4" w16cid:durableId="1250307828">
    <w:abstractNumId w:val="12"/>
  </w:num>
  <w:num w:numId="5" w16cid:durableId="310136077">
    <w:abstractNumId w:val="1"/>
  </w:num>
  <w:num w:numId="6" w16cid:durableId="550701">
    <w:abstractNumId w:val="5"/>
  </w:num>
  <w:num w:numId="7" w16cid:durableId="623774633">
    <w:abstractNumId w:val="16"/>
  </w:num>
  <w:num w:numId="8" w16cid:durableId="878468255">
    <w:abstractNumId w:val="8"/>
  </w:num>
  <w:num w:numId="9" w16cid:durableId="1042556044">
    <w:abstractNumId w:val="16"/>
  </w:num>
  <w:num w:numId="10" w16cid:durableId="73743099">
    <w:abstractNumId w:val="16"/>
  </w:num>
  <w:num w:numId="11" w16cid:durableId="1413041658">
    <w:abstractNumId w:val="16"/>
  </w:num>
  <w:num w:numId="12" w16cid:durableId="522745865">
    <w:abstractNumId w:val="16"/>
  </w:num>
  <w:num w:numId="13" w16cid:durableId="594633449">
    <w:abstractNumId w:val="16"/>
  </w:num>
  <w:num w:numId="14" w16cid:durableId="157698280">
    <w:abstractNumId w:val="16"/>
  </w:num>
  <w:num w:numId="15" w16cid:durableId="669791953">
    <w:abstractNumId w:val="16"/>
  </w:num>
  <w:num w:numId="16" w16cid:durableId="2112704310">
    <w:abstractNumId w:val="16"/>
  </w:num>
  <w:num w:numId="17" w16cid:durableId="1065496818">
    <w:abstractNumId w:val="16"/>
  </w:num>
  <w:num w:numId="18" w16cid:durableId="756173138">
    <w:abstractNumId w:val="16"/>
  </w:num>
  <w:num w:numId="19" w16cid:durableId="1796094349">
    <w:abstractNumId w:val="16"/>
  </w:num>
  <w:num w:numId="20" w16cid:durableId="794909897">
    <w:abstractNumId w:val="16"/>
  </w:num>
  <w:num w:numId="21" w16cid:durableId="1481849727">
    <w:abstractNumId w:val="16"/>
  </w:num>
  <w:num w:numId="22" w16cid:durableId="2076009542">
    <w:abstractNumId w:val="16"/>
  </w:num>
  <w:num w:numId="23" w16cid:durableId="1753697539">
    <w:abstractNumId w:val="16"/>
  </w:num>
  <w:num w:numId="24" w16cid:durableId="1599633186">
    <w:abstractNumId w:val="16"/>
  </w:num>
  <w:num w:numId="25" w16cid:durableId="930940975">
    <w:abstractNumId w:val="16"/>
  </w:num>
  <w:num w:numId="26" w16cid:durableId="363141769">
    <w:abstractNumId w:val="16"/>
  </w:num>
  <w:num w:numId="27" w16cid:durableId="1096705814">
    <w:abstractNumId w:val="16"/>
  </w:num>
  <w:num w:numId="28" w16cid:durableId="1963414395">
    <w:abstractNumId w:val="16"/>
  </w:num>
  <w:num w:numId="29" w16cid:durableId="380598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16"/>
  </w:num>
  <w:num w:numId="31" w16cid:durableId="2060474622">
    <w:abstractNumId w:val="16"/>
  </w:num>
  <w:num w:numId="32" w16cid:durableId="177037685">
    <w:abstractNumId w:val="13"/>
  </w:num>
  <w:num w:numId="33" w16cid:durableId="1804811460">
    <w:abstractNumId w:val="6"/>
  </w:num>
  <w:num w:numId="34" w16cid:durableId="1102453420">
    <w:abstractNumId w:val="19"/>
  </w:num>
  <w:num w:numId="35" w16cid:durableId="1766271237">
    <w:abstractNumId w:val="15"/>
  </w:num>
  <w:num w:numId="36" w16cid:durableId="1170757169">
    <w:abstractNumId w:val="18"/>
  </w:num>
  <w:num w:numId="37" w16cid:durableId="1271084123">
    <w:abstractNumId w:val="9"/>
  </w:num>
  <w:num w:numId="38" w16cid:durableId="1790778429">
    <w:abstractNumId w:val="4"/>
  </w:num>
  <w:num w:numId="39" w16cid:durableId="1514415830">
    <w:abstractNumId w:val="3"/>
  </w:num>
  <w:num w:numId="40" w16cid:durableId="586815161">
    <w:abstractNumId w:val="14"/>
  </w:num>
  <w:num w:numId="41" w16cid:durableId="1690259370">
    <w:abstractNumId w:val="7"/>
  </w:num>
  <w:num w:numId="42" w16cid:durableId="2089182400">
    <w:abstractNumId w:val="17"/>
  </w:num>
  <w:num w:numId="43" w16cid:durableId="54769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93F"/>
    <w:rsid w:val="0001606E"/>
    <w:rsid w:val="00022796"/>
    <w:rsid w:val="00043CAA"/>
    <w:rsid w:val="00056816"/>
    <w:rsid w:val="00075432"/>
    <w:rsid w:val="00093892"/>
    <w:rsid w:val="000968ED"/>
    <w:rsid w:val="000A1D9D"/>
    <w:rsid w:val="000A3D97"/>
    <w:rsid w:val="000F5E56"/>
    <w:rsid w:val="00111341"/>
    <w:rsid w:val="001362EE"/>
    <w:rsid w:val="001406E1"/>
    <w:rsid w:val="00155D8A"/>
    <w:rsid w:val="001647D5"/>
    <w:rsid w:val="00167832"/>
    <w:rsid w:val="00177E6C"/>
    <w:rsid w:val="001832A6"/>
    <w:rsid w:val="0019592A"/>
    <w:rsid w:val="001B6737"/>
    <w:rsid w:val="001D4107"/>
    <w:rsid w:val="001E41FD"/>
    <w:rsid w:val="001E74B8"/>
    <w:rsid w:val="001F4309"/>
    <w:rsid w:val="00200035"/>
    <w:rsid w:val="00203D24"/>
    <w:rsid w:val="00210D5F"/>
    <w:rsid w:val="0021217E"/>
    <w:rsid w:val="002326AB"/>
    <w:rsid w:val="00243430"/>
    <w:rsid w:val="00250149"/>
    <w:rsid w:val="002634C4"/>
    <w:rsid w:val="002635B0"/>
    <w:rsid w:val="002906BF"/>
    <w:rsid w:val="002928D3"/>
    <w:rsid w:val="00292B21"/>
    <w:rsid w:val="00293886"/>
    <w:rsid w:val="002C516E"/>
    <w:rsid w:val="002F1FE6"/>
    <w:rsid w:val="002F4E68"/>
    <w:rsid w:val="002F68CC"/>
    <w:rsid w:val="00312F7F"/>
    <w:rsid w:val="00320C70"/>
    <w:rsid w:val="00331E76"/>
    <w:rsid w:val="00361450"/>
    <w:rsid w:val="003673CF"/>
    <w:rsid w:val="003845C1"/>
    <w:rsid w:val="003A6F89"/>
    <w:rsid w:val="003B243D"/>
    <w:rsid w:val="003B355C"/>
    <w:rsid w:val="003B38C1"/>
    <w:rsid w:val="003C2A9F"/>
    <w:rsid w:val="003C34E9"/>
    <w:rsid w:val="003C48E9"/>
    <w:rsid w:val="003E01BA"/>
    <w:rsid w:val="003E608A"/>
    <w:rsid w:val="004002DA"/>
    <w:rsid w:val="00423E3E"/>
    <w:rsid w:val="00427AF4"/>
    <w:rsid w:val="0045246E"/>
    <w:rsid w:val="004647DA"/>
    <w:rsid w:val="004730FA"/>
    <w:rsid w:val="00474062"/>
    <w:rsid w:val="00477D6B"/>
    <w:rsid w:val="004E0043"/>
    <w:rsid w:val="005019FF"/>
    <w:rsid w:val="00512FB0"/>
    <w:rsid w:val="0053057A"/>
    <w:rsid w:val="00556076"/>
    <w:rsid w:val="00560A29"/>
    <w:rsid w:val="0056468B"/>
    <w:rsid w:val="005C6649"/>
    <w:rsid w:val="005E7B89"/>
    <w:rsid w:val="00605827"/>
    <w:rsid w:val="00646050"/>
    <w:rsid w:val="006653CA"/>
    <w:rsid w:val="006713CA"/>
    <w:rsid w:val="00676C5C"/>
    <w:rsid w:val="006840CE"/>
    <w:rsid w:val="006938E1"/>
    <w:rsid w:val="006B21D1"/>
    <w:rsid w:val="006B5C12"/>
    <w:rsid w:val="00720EFD"/>
    <w:rsid w:val="007236A1"/>
    <w:rsid w:val="0074738A"/>
    <w:rsid w:val="00752ECF"/>
    <w:rsid w:val="00762189"/>
    <w:rsid w:val="00781037"/>
    <w:rsid w:val="007854AF"/>
    <w:rsid w:val="00793A7C"/>
    <w:rsid w:val="007A398A"/>
    <w:rsid w:val="007C203F"/>
    <w:rsid w:val="007C4902"/>
    <w:rsid w:val="007D1613"/>
    <w:rsid w:val="007E4C0E"/>
    <w:rsid w:val="007E7D5E"/>
    <w:rsid w:val="007F061E"/>
    <w:rsid w:val="0085177D"/>
    <w:rsid w:val="008A134B"/>
    <w:rsid w:val="008B0506"/>
    <w:rsid w:val="008B2CC1"/>
    <w:rsid w:val="008B60B2"/>
    <w:rsid w:val="008F19FD"/>
    <w:rsid w:val="00902170"/>
    <w:rsid w:val="0090731E"/>
    <w:rsid w:val="00916EE2"/>
    <w:rsid w:val="00966A22"/>
    <w:rsid w:val="0096722F"/>
    <w:rsid w:val="00980843"/>
    <w:rsid w:val="00994696"/>
    <w:rsid w:val="00996E2A"/>
    <w:rsid w:val="009B0855"/>
    <w:rsid w:val="009D161D"/>
    <w:rsid w:val="009E1721"/>
    <w:rsid w:val="009E2791"/>
    <w:rsid w:val="009E3F6F"/>
    <w:rsid w:val="009F499F"/>
    <w:rsid w:val="00A275E4"/>
    <w:rsid w:val="00A37342"/>
    <w:rsid w:val="00A40C85"/>
    <w:rsid w:val="00A42DAF"/>
    <w:rsid w:val="00A45BD8"/>
    <w:rsid w:val="00A841DF"/>
    <w:rsid w:val="00A869B7"/>
    <w:rsid w:val="00A90F0A"/>
    <w:rsid w:val="00AC205C"/>
    <w:rsid w:val="00AF0A6B"/>
    <w:rsid w:val="00AF3DCE"/>
    <w:rsid w:val="00B05A69"/>
    <w:rsid w:val="00B42CA9"/>
    <w:rsid w:val="00B51FF7"/>
    <w:rsid w:val="00B75281"/>
    <w:rsid w:val="00B92F1F"/>
    <w:rsid w:val="00B96EB2"/>
    <w:rsid w:val="00B9734B"/>
    <w:rsid w:val="00BA30E2"/>
    <w:rsid w:val="00BC76C1"/>
    <w:rsid w:val="00C04AE1"/>
    <w:rsid w:val="00C11BFE"/>
    <w:rsid w:val="00C5068F"/>
    <w:rsid w:val="00C86D74"/>
    <w:rsid w:val="00CB3DBA"/>
    <w:rsid w:val="00CC3E2D"/>
    <w:rsid w:val="00CD04F1"/>
    <w:rsid w:val="00CE19F8"/>
    <w:rsid w:val="00CE408E"/>
    <w:rsid w:val="00CF681A"/>
    <w:rsid w:val="00D07C78"/>
    <w:rsid w:val="00D45252"/>
    <w:rsid w:val="00D46AA3"/>
    <w:rsid w:val="00D60B2C"/>
    <w:rsid w:val="00D67EAE"/>
    <w:rsid w:val="00D713B3"/>
    <w:rsid w:val="00D71B4D"/>
    <w:rsid w:val="00D745F9"/>
    <w:rsid w:val="00D7745F"/>
    <w:rsid w:val="00D90B96"/>
    <w:rsid w:val="00D9160E"/>
    <w:rsid w:val="00D92FE6"/>
    <w:rsid w:val="00D93D55"/>
    <w:rsid w:val="00D953A4"/>
    <w:rsid w:val="00DD7B7F"/>
    <w:rsid w:val="00E15015"/>
    <w:rsid w:val="00E26E54"/>
    <w:rsid w:val="00E319DF"/>
    <w:rsid w:val="00E335FE"/>
    <w:rsid w:val="00E66CC5"/>
    <w:rsid w:val="00E879EC"/>
    <w:rsid w:val="00EA3C43"/>
    <w:rsid w:val="00EA7D6E"/>
    <w:rsid w:val="00EB2F76"/>
    <w:rsid w:val="00EC3F41"/>
    <w:rsid w:val="00EC4E49"/>
    <w:rsid w:val="00ED77FB"/>
    <w:rsid w:val="00EE45FA"/>
    <w:rsid w:val="00F043DE"/>
    <w:rsid w:val="00F11F2B"/>
    <w:rsid w:val="00F46D2A"/>
    <w:rsid w:val="00F66152"/>
    <w:rsid w:val="00F76CB4"/>
    <w:rsid w:val="00F9165B"/>
    <w:rsid w:val="00F91DEF"/>
    <w:rsid w:val="00FB3FDF"/>
    <w:rsid w:val="00FC482F"/>
    <w:rsid w:val="00FD7D9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11341"/>
    <w:pPr>
      <w:keepNext/>
      <w:spacing w:before="240" w:after="60"/>
      <w:outlineLvl w:val="2"/>
    </w:pPr>
    <w:rPr>
      <w:bCs/>
      <w:lang w:bidi="ar-EG"/>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FootnoteReference">
    <w:name w:val="footnote reference"/>
    <w:basedOn w:val="DefaultParagraphFont"/>
    <w:semiHidden/>
    <w:rsid w:val="001E74B8"/>
    <w:rPr>
      <w:vertAlign w:val="superscript"/>
    </w:rPr>
  </w:style>
  <w:style w:type="paragraph" w:styleId="ListParagraph">
    <w:name w:val="List Paragraph"/>
    <w:basedOn w:val="Normal"/>
    <w:uiPriority w:val="34"/>
    <w:qFormat/>
    <w:rsid w:val="00752ECF"/>
    <w:pPr>
      <w:ind w:left="720"/>
      <w:contextualSpacing/>
    </w:pPr>
  </w:style>
  <w:style w:type="character" w:styleId="Hyperlink">
    <w:name w:val="Hyperlink"/>
    <w:basedOn w:val="DefaultParagraphFont"/>
    <w:uiPriority w:val="99"/>
    <w:unhideWhenUsed/>
    <w:rsid w:val="00D745F9"/>
    <w:rPr>
      <w:color w:val="0000FF" w:themeColor="hyperlink"/>
      <w:u w:val="single"/>
    </w:rPr>
  </w:style>
  <w:style w:type="character" w:styleId="UnresolvedMention">
    <w:name w:val="Unresolved Mention"/>
    <w:basedOn w:val="DefaultParagraphFont"/>
    <w:uiPriority w:val="99"/>
    <w:semiHidden/>
    <w:unhideWhenUsed/>
    <w:rsid w:val="00D7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mailto:Raquel.sampedro@oepm.e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ctlegal.wipo.int/eGuide/view-doc.xhtml?doc-code=ES&amp;amp;doc-lang=en"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ctlegal.wipo.int/eGuide/view-doc.xhtml?doc-code=ES&amp;amp;doc-lang=en"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ipo.int/documents/d/pct-system/docs-en-official-notices-officialnotices.pdf%23page=192"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oepm.es/export/sites/portal/comun/documentos_relacionados/sobre_oepm/Estadisticas/Estadisticas-de-Propiedad-Industrial/OEPM-en-cifras-202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wipo.int/export/sites/www/pct/en/docs/circulars/2024/1672.pdf"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mad\Downloads\ar-EG\pct_ctc_33_11_figs_298844_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hmad\Downloads\ar-EG\pct_ctc_33_11_figs_298844_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7217490529707942"/>
          <c:y val="0.13154578946324078"/>
          <c:w val="0.47754489631599428"/>
          <c:h val="0.80701466362666563"/>
        </c:manualLayout>
      </c:layout>
      <c:barChart>
        <c:barDir val="bar"/>
        <c:grouping val="clustered"/>
        <c:varyColors val="0"/>
        <c:ser>
          <c:idx val="4"/>
          <c:order val="4"/>
          <c:tx>
            <c:strRef>
              <c:f>Patentes!$B$1:$C$1</c:f>
              <c:strCache>
                <c:ptCount val="1"/>
                <c:pt idx="0">
                  <c:v>2024</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Patentes!$B$3:$B$12</c:f>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f>Patentes!$C$3:$C$12</c:f>
              <c:numCache>
                <c:formatCode>General</c:formatCode>
                <c:ptCount val="10"/>
                <c:pt idx="0">
                  <c:v>88</c:v>
                </c:pt>
                <c:pt idx="1">
                  <c:v>88</c:v>
                </c:pt>
                <c:pt idx="2">
                  <c:v>67</c:v>
                </c:pt>
                <c:pt idx="3">
                  <c:v>66</c:v>
                </c:pt>
                <c:pt idx="4">
                  <c:v>55</c:v>
                </c:pt>
                <c:pt idx="5">
                  <c:v>50</c:v>
                </c:pt>
                <c:pt idx="6">
                  <c:v>42</c:v>
                </c:pt>
                <c:pt idx="7">
                  <c:v>41</c:v>
                </c:pt>
                <c:pt idx="8">
                  <c:v>39</c:v>
                </c:pt>
                <c:pt idx="9">
                  <c:v>37</c:v>
                </c:pt>
              </c:numCache>
            </c:numRef>
          </c:val>
          <c:extLst>
            <c:ext xmlns:c16="http://schemas.microsoft.com/office/drawing/2014/chart" uri="{C3380CC4-5D6E-409C-BE32-E72D297353CC}">
              <c16:uniqueId val="{00000000-6CE4-4F45-9E98-9364BA9572EC}"/>
            </c:ext>
          </c:extLst>
        </c:ser>
        <c:ser>
          <c:idx val="5"/>
          <c:order val="5"/>
          <c:tx>
            <c:strRef>
              <c:f>Patentes!$D$1</c:f>
              <c:strCache>
                <c:ptCount val="1"/>
                <c:pt idx="0">
                  <c:v>2023</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Patentes!$B$3:$B$12</c:f>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f>Patentes!$E$3:$E$12</c:f>
              <c:numCache>
                <c:formatCode>General</c:formatCode>
                <c:ptCount val="10"/>
                <c:pt idx="0">
                  <c:v>70</c:v>
                </c:pt>
                <c:pt idx="1">
                  <c:v>58</c:v>
                </c:pt>
                <c:pt idx="2">
                  <c:v>68</c:v>
                </c:pt>
                <c:pt idx="3">
                  <c:v>73</c:v>
                </c:pt>
                <c:pt idx="4">
                  <c:v>61</c:v>
                </c:pt>
                <c:pt idx="5">
                  <c:v>36</c:v>
                </c:pt>
                <c:pt idx="6">
                  <c:v>30</c:v>
                </c:pt>
                <c:pt idx="7">
                  <c:v>51</c:v>
                </c:pt>
                <c:pt idx="8">
                  <c:v>72</c:v>
                </c:pt>
                <c:pt idx="9">
                  <c:v>28</c:v>
                </c:pt>
              </c:numCache>
            </c:numRef>
          </c:val>
          <c:extLst>
            <c:ext xmlns:c16="http://schemas.microsoft.com/office/drawing/2014/chart" uri="{C3380CC4-5D6E-409C-BE32-E72D297353CC}">
              <c16:uniqueId val="{00000001-6CE4-4F45-9E98-9364BA9572EC}"/>
            </c:ext>
          </c:extLst>
        </c:ser>
        <c:dLbls>
          <c:dLblPos val="outEnd"/>
          <c:showLegendKey val="0"/>
          <c:showVal val="1"/>
          <c:showCatName val="0"/>
          <c:showSerName val="0"/>
          <c:showPercent val="0"/>
          <c:showBubbleSize val="0"/>
        </c:dLbls>
        <c:gapWidth val="100"/>
        <c:axId val="408364544"/>
        <c:axId val="408366080"/>
        <c:extLst>
          <c:ext xmlns:c15="http://schemas.microsoft.com/office/drawing/2012/chart" uri="{02D57815-91ED-43cb-92C2-25804820EDAC}">
            <c15:filteredBarSeries>
              <c15:ser>
                <c:idx val="1"/>
                <c:order val="0"/>
                <c:spPr>
                  <a:solidFill>
                    <a:srgbClr val="FF0000"/>
                  </a:solidFill>
                </c:spPr>
                <c:invertIfNegative val="0"/>
                <c:dLbls>
                  <c:spPr>
                    <a:noFill/>
                    <a:ln>
                      <a:noFill/>
                    </a:ln>
                    <a:effectLst/>
                  </c:spPr>
                  <c:txPr>
                    <a:bodyPr/>
                    <a:lstStyle/>
                    <a:p>
                      <a:pPr>
                        <a:defRPr>
                          <a:solidFill>
                            <a:srgbClr val="FF0000"/>
                          </a:solidFill>
                        </a:defRPr>
                      </a:pPr>
                      <a:endParaRPr lang="en-CH"/>
                    </a:p>
                  </c:txPr>
                  <c:dLblPos val="outEnd"/>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Patentes!$B$3:$B$12</c15:sqref>
                        </c15:formulaRef>
                      </c:ext>
                    </c:extLst>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extLst>
                      <c:ext uri="{02D57815-91ED-43cb-92C2-25804820EDAC}">
                        <c15:formulaRef>
                          <c15:sqref>Patentes!$B$1</c15:sqref>
                        </c15:formulaRef>
                      </c:ext>
                    </c:extLst>
                    <c:numCache>
                      <c:formatCode>General</c:formatCode>
                      <c:ptCount val="1"/>
                      <c:pt idx="0">
                        <c:v>2024</c:v>
                      </c:pt>
                    </c:numCache>
                  </c:numRef>
                </c:val>
                <c:extLst>
                  <c:ext xmlns:c16="http://schemas.microsoft.com/office/drawing/2014/chart" uri="{C3380CC4-5D6E-409C-BE32-E72D297353CC}">
                    <c16:uniqueId val="{00000002-6CE4-4F45-9E98-9364BA9572EC}"/>
                  </c:ext>
                </c:extLst>
              </c15:ser>
            </c15:filteredBarSeries>
            <c15:filteredBarSeries>
              <c15:ser>
                <c:idx val="0"/>
                <c:order val="1"/>
                <c:spPr>
                  <a:solidFill>
                    <a:srgbClr val="3366FF"/>
                  </a:solidFill>
                </c:spPr>
                <c:invertIfNegative val="0"/>
                <c:dLbls>
                  <c:spPr>
                    <a:noFill/>
                    <a:ln>
                      <a:noFill/>
                    </a:ln>
                    <a:effectLst/>
                  </c:spPr>
                  <c:txPr>
                    <a:bodyPr/>
                    <a:lstStyle/>
                    <a:p>
                      <a:pPr>
                        <a:defRPr>
                          <a:solidFill>
                            <a:srgbClr val="0000FF"/>
                          </a:solidFill>
                        </a:defRPr>
                      </a:pPr>
                      <a:endParaRPr lang="en-CH"/>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Patentes!$B$3:$B$12</c15:sqref>
                        </c15:formulaRef>
                      </c:ext>
                    </c:extLst>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extLst xmlns:c15="http://schemas.microsoft.com/office/drawing/2012/chart">
                      <c:ext xmlns:c15="http://schemas.microsoft.com/office/drawing/2012/chart" uri="{02D57815-91ED-43cb-92C2-25804820EDAC}">
                        <c15:formulaRef>
                          <c15:sqref>Patentes!$C$1</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3-6CE4-4F45-9E98-9364BA9572EC}"/>
                  </c:ext>
                </c:extLst>
              </c15:ser>
            </c15:filteredBarSeries>
            <c15:filteredBarSeries>
              <c15:ser>
                <c:idx val="2"/>
                <c:order val="2"/>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Patentes!$B$3:$B$12</c15:sqref>
                        </c15:formulaRef>
                      </c:ext>
                    </c:extLst>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extLst xmlns:c15="http://schemas.microsoft.com/office/drawing/2012/chart">
                      <c:ext xmlns:c15="http://schemas.microsoft.com/office/drawing/2012/chart" uri="{02D57815-91ED-43cb-92C2-25804820EDAC}">
                        <c15:formulaRef>
                          <c15:sqref>Patentes!$D$1</c15:sqref>
                        </c15:formulaRef>
                      </c:ext>
                    </c:extLst>
                    <c:numCache>
                      <c:formatCode>General</c:formatCode>
                      <c:ptCount val="1"/>
                      <c:pt idx="0">
                        <c:v>2023</c:v>
                      </c:pt>
                    </c:numCache>
                  </c:numRef>
                </c:val>
                <c:extLst xmlns:c15="http://schemas.microsoft.com/office/drawing/2012/chart">
                  <c:ext xmlns:c16="http://schemas.microsoft.com/office/drawing/2014/chart" uri="{C3380CC4-5D6E-409C-BE32-E72D297353CC}">
                    <c16:uniqueId val="{00000004-6CE4-4F45-9E98-9364BA9572EC}"/>
                  </c:ext>
                </c:extLst>
              </c15:ser>
            </c15:filteredBarSeries>
            <c15:filteredBarSeries>
              <c15:ser>
                <c:idx val="3"/>
                <c:order val="3"/>
                <c:invertIfNegative val="0"/>
                <c:dLbls>
                  <c:spPr>
                    <a:noFill/>
                    <a:ln>
                      <a:noFill/>
                    </a:ln>
                    <a:effectLst/>
                  </c:sp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ext>
                  </c:extLst>
                </c:dLbls>
                <c:cat>
                  <c:strRef>
                    <c:extLst xmlns:c15="http://schemas.microsoft.com/office/drawing/2012/chart">
                      <c:ext xmlns:c15="http://schemas.microsoft.com/office/drawing/2012/chart" uri="{02D57815-91ED-43cb-92C2-25804820EDAC}">
                        <c15:formulaRef>
                          <c15:sqref>Patentes!$B$3:$B$12</c15:sqref>
                        </c15:formulaRef>
                      </c:ext>
                    </c:extLst>
                    <c:strCache>
                      <c:ptCount val="10"/>
                      <c:pt idx="0">
                        <c:v>الهندسة المدنية</c:v>
                      </c:pt>
                      <c:pt idx="1">
                        <c:v>الآليات الخاصة الأخرى</c:v>
                      </c:pt>
                      <c:pt idx="2">
                        <c:v>النقل</c:v>
                      </c:pt>
                      <c:pt idx="3">
                        <c:v>التكنولوجيا الطبية</c:v>
                      </c:pt>
                      <c:pt idx="4">
                        <c:v>القياس</c:v>
                      </c:pt>
                      <c:pt idx="5">
                        <c:v>البيوتكنولوجيا</c:v>
                      </c:pt>
                      <c:pt idx="6">
                        <c:v>الآليات والأجهزة والطاقة الكهربائية</c:v>
                      </c:pt>
                      <c:pt idx="7">
                        <c:v>المناولة</c:v>
                      </c:pt>
                      <c:pt idx="8">
                        <c:v>الأثاث والألعاب</c:v>
                      </c:pt>
                      <c:pt idx="9">
                        <c:v>كيمياء المواد الأساسية</c:v>
                      </c:pt>
                    </c:strCache>
                  </c:strRef>
                </c:cat>
                <c:val>
                  <c:numRef>
                    <c:extLst xmlns:c15="http://schemas.microsoft.com/office/drawing/2012/chart">
                      <c:ext xmlns:c15="http://schemas.microsoft.com/office/drawing/2012/chart" uri="{02D57815-91ED-43cb-92C2-25804820EDAC}">
                        <c15:formulaRef>
                          <c15:sqref>Patentes!$B$3:$B$12</c15:sqref>
                        </c15:formulaRef>
                      </c:ext>
                    </c:extLst>
                    <c:numCache>
                      <c:formatCode>General</c:formatCode>
                      <c:ptCount val="10"/>
                      <c:pt idx="0">
                        <c:v>0</c:v>
                      </c:pt>
                      <c:pt idx="1">
                        <c:v>0</c:v>
                      </c:pt>
                      <c:pt idx="2">
                        <c:v>0</c:v>
                      </c:pt>
                      <c:pt idx="3">
                        <c:v>0</c:v>
                      </c:pt>
                      <c:pt idx="4">
                        <c:v>0</c:v>
                      </c:pt>
                      <c:pt idx="5">
                        <c:v>0</c:v>
                      </c:pt>
                      <c:pt idx="6">
                        <c:v>0</c:v>
                      </c:pt>
                      <c:pt idx="7">
                        <c:v>0</c:v>
                      </c:pt>
                      <c:pt idx="8">
                        <c:v>0</c:v>
                      </c:pt>
                      <c:pt idx="9">
                        <c:v>0</c:v>
                      </c:pt>
                    </c:numCache>
                  </c:numRef>
                </c:val>
                <c:extLst xmlns:c15="http://schemas.microsoft.com/office/drawing/2012/chart">
                  <c:ext xmlns:c16="http://schemas.microsoft.com/office/drawing/2014/chart" uri="{C3380CC4-5D6E-409C-BE32-E72D297353CC}">
                    <c16:uniqueId val="{00000005-6CE4-4F45-9E98-9364BA9572EC}"/>
                  </c:ext>
                </c:extLst>
              </c15:ser>
            </c15:filteredBarSeries>
          </c:ext>
        </c:extLst>
      </c:barChart>
      <c:catAx>
        <c:axId val="408364544"/>
        <c:scaling>
          <c:orientation val="maxMin"/>
        </c:scaling>
        <c:delete val="0"/>
        <c:axPos val="l"/>
        <c:numFmt formatCode="General" sourceLinked="1"/>
        <c:majorTickMark val="out"/>
        <c:minorTickMark val="none"/>
        <c:tickLblPos val="nextTo"/>
        <c:spPr>
          <a:ln>
            <a:noFill/>
          </a:ln>
        </c:spPr>
        <c:txPr>
          <a:bodyPr/>
          <a:lstStyle/>
          <a:p>
            <a:pPr>
              <a:defRPr sz="900" baseline="0">
                <a:latin typeface="Calibri" panose="020F0502020204030204" pitchFamily="34" charset="0"/>
                <a:cs typeface="Calibri" panose="020F0502020204030204" pitchFamily="34" charset="0"/>
              </a:defRPr>
            </a:pPr>
            <a:endParaRPr lang="en-CH"/>
          </a:p>
        </c:txPr>
        <c:crossAx val="408366080"/>
        <c:crosses val="autoZero"/>
        <c:auto val="1"/>
        <c:lblAlgn val="ctr"/>
        <c:lblOffset val="100"/>
        <c:noMultiLvlLbl val="0"/>
      </c:catAx>
      <c:valAx>
        <c:axId val="408366080"/>
        <c:scaling>
          <c:orientation val="minMax"/>
        </c:scaling>
        <c:delete val="1"/>
        <c:axPos val="t"/>
        <c:numFmt formatCode="General" sourceLinked="1"/>
        <c:majorTickMark val="out"/>
        <c:minorTickMark val="none"/>
        <c:tickLblPos val="none"/>
        <c:crossAx val="408364544"/>
        <c:crosses val="autoZero"/>
        <c:crossBetween val="between"/>
      </c:valAx>
      <c:spPr>
        <a:noFill/>
        <a:ln w="25400">
          <a:noFill/>
        </a:ln>
      </c:spPr>
    </c:plotArea>
    <c:legend>
      <c:legendPos val="r"/>
      <c:layout>
        <c:manualLayout>
          <c:xMode val="edge"/>
          <c:yMode val="edge"/>
          <c:x val="0.29913465865423511"/>
          <c:y val="2.9167377164654134E-3"/>
          <c:w val="0.37778835020427148"/>
          <c:h val="0.12652768545512597"/>
        </c:manualLayout>
      </c:layout>
      <c:overlay val="0"/>
    </c:legend>
    <c:plotVisOnly val="1"/>
    <c:dispBlanksAs val="gap"/>
    <c:showDLblsOverMax val="0"/>
  </c:chart>
  <c:spPr>
    <a:noFill/>
    <a:ln>
      <a:solidFill>
        <a:srgbClr val="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645648612978281"/>
          <c:y val="5.9096785554855466E-2"/>
          <c:w val="0.57188217395824392"/>
          <c:h val="0.81786027351219281"/>
        </c:manualLayout>
      </c:layout>
      <c:barChart>
        <c:barDir val="bar"/>
        <c:grouping val="clustered"/>
        <c:varyColors val="0"/>
        <c:ser>
          <c:idx val="5"/>
          <c:order val="5"/>
          <c:tx>
            <c:strRef>
              <c:f>'Modelos de Utilidad'!$K$3:$L$3</c:f>
              <c:strCache>
                <c:ptCount val="1"/>
                <c:pt idx="0">
                  <c:v>2024</c:v>
                </c:pt>
              </c:strCache>
            </c:strRef>
          </c:tx>
          <c:spPr>
            <a:solidFill>
              <a:schemeClr val="accent5">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'Modelos de Utilidad'!$K$5:$K$14</c:f>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f>'Modelos de Utilidad'!$L$5:$L$14</c:f>
              <c:numCache>
                <c:formatCode>#,##0</c:formatCode>
                <c:ptCount val="10"/>
                <c:pt idx="0">
                  <c:v>317</c:v>
                </c:pt>
                <c:pt idx="1">
                  <c:v>261</c:v>
                </c:pt>
                <c:pt idx="2">
                  <c:v>211</c:v>
                </c:pt>
                <c:pt idx="3">
                  <c:v>190</c:v>
                </c:pt>
                <c:pt idx="4">
                  <c:v>181</c:v>
                </c:pt>
                <c:pt idx="5">
                  <c:v>179</c:v>
                </c:pt>
                <c:pt idx="6">
                  <c:v>178</c:v>
                </c:pt>
                <c:pt idx="7">
                  <c:v>89</c:v>
                </c:pt>
                <c:pt idx="8">
                  <c:v>71</c:v>
                </c:pt>
                <c:pt idx="9">
                  <c:v>64</c:v>
                </c:pt>
              </c:numCache>
            </c:numRef>
          </c:val>
          <c:extLst>
            <c:ext xmlns:c16="http://schemas.microsoft.com/office/drawing/2014/chart" uri="{C3380CC4-5D6E-409C-BE32-E72D297353CC}">
              <c16:uniqueId val="{00000000-F892-4794-BAC1-103FCEB3E97B}"/>
            </c:ext>
          </c:extLst>
        </c:ser>
        <c:ser>
          <c:idx val="6"/>
          <c:order val="6"/>
          <c:tx>
            <c:strRef>
              <c:f>'Modelos de Utilidad'!$M$3:$N$3</c:f>
              <c:strCache>
                <c:ptCount val="1"/>
                <c:pt idx="0">
                  <c:v>2023</c:v>
                </c:pt>
              </c:strCache>
            </c:strRef>
          </c:tx>
          <c:spPr>
            <a:solidFill>
              <a:schemeClr val="accent6">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'Modelos de Utilidad'!$K$5:$K$14</c:f>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f>'Modelos de Utilidad'!$N$5:$N$14</c:f>
              <c:numCache>
                <c:formatCode>#,##0</c:formatCode>
                <c:ptCount val="10"/>
                <c:pt idx="0">
                  <c:v>343</c:v>
                </c:pt>
                <c:pt idx="1">
                  <c:v>251</c:v>
                </c:pt>
                <c:pt idx="2">
                  <c:v>204</c:v>
                </c:pt>
                <c:pt idx="3">
                  <c:v>185</c:v>
                </c:pt>
                <c:pt idx="4">
                  <c:v>209</c:v>
                </c:pt>
                <c:pt idx="5">
                  <c:v>169</c:v>
                </c:pt>
                <c:pt idx="6">
                  <c:v>174</c:v>
                </c:pt>
                <c:pt idx="7">
                  <c:v>105</c:v>
                </c:pt>
                <c:pt idx="8">
                  <c:v>56</c:v>
                </c:pt>
                <c:pt idx="9">
                  <c:v>45</c:v>
                </c:pt>
              </c:numCache>
            </c:numRef>
          </c:val>
          <c:extLst>
            <c:ext xmlns:c16="http://schemas.microsoft.com/office/drawing/2014/chart" uri="{C3380CC4-5D6E-409C-BE32-E72D297353CC}">
              <c16:uniqueId val="{00000001-F892-4794-BAC1-103FCEB3E97B}"/>
            </c:ext>
          </c:extLst>
        </c:ser>
        <c:dLbls>
          <c:showLegendKey val="0"/>
          <c:showVal val="0"/>
          <c:showCatName val="0"/>
          <c:showSerName val="0"/>
          <c:showPercent val="0"/>
          <c:showBubbleSize val="0"/>
        </c:dLbls>
        <c:gapWidth val="150"/>
        <c:axId val="424832000"/>
        <c:axId val="424837888"/>
        <c:extLst>
          <c:ext xmlns:c15="http://schemas.microsoft.com/office/drawing/2012/chart" uri="{02D57815-91ED-43cb-92C2-25804820EDAC}">
            <c15:filteredBarSeries>
              <c15:ser>
                <c:idx val="0"/>
                <c:order val="0"/>
                <c:spPr>
                  <a:solidFill>
                    <a:srgbClr val="C00000"/>
                  </a:solidFill>
                </c:spPr>
                <c:invertIfNegative val="0"/>
                <c:dLbls>
                  <c:dLbl>
                    <c:idx val="5"/>
                    <c:layout>
                      <c:manualLayout>
                        <c:x val="3.2755554581199615E-3"/>
                        <c:y val="-6.130268199233721E-3"/>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2-F892-4794-BAC1-103FCEB3E97B}"/>
                      </c:ext>
                    </c:extLst>
                  </c:dLbl>
                  <c:dLbl>
                    <c:idx val="9"/>
                    <c:layout>
                      <c:manualLayout>
                        <c:x val="-1.6954897753942487E-3"/>
                        <c:y val="-6.173846849204162E-3"/>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3-F892-4794-BAC1-103FCEB3E97B}"/>
                      </c:ext>
                    </c:extLst>
                  </c:dLbl>
                  <c:spPr>
                    <a:noFill/>
                    <a:ln>
                      <a:noFill/>
                    </a:ln>
                    <a:effectLst/>
                  </c:spPr>
                  <c:txPr>
                    <a:bodyPr/>
                    <a:lstStyle/>
                    <a:p>
                      <a:pPr>
                        <a:defRPr>
                          <a:solidFill>
                            <a:srgbClr val="FF0000"/>
                          </a:solidFill>
                        </a:defRPr>
                      </a:pPr>
                      <a:endParaRPr lang="en-CH"/>
                    </a:p>
                  </c:txPr>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'Modelos de Utilidad'!$K$5:$K$14</c15:sqref>
                        </c15:formulaRef>
                      </c:ext>
                    </c:extLst>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extLst>
                      <c:ext uri="{02D57815-91ED-43cb-92C2-25804820EDAC}">
                        <c15:formulaRef>
                          <c15:sqref>'Modelos de Utilidad'!$K$3</c15:sqref>
                        </c15:formulaRef>
                      </c:ext>
                    </c:extLst>
                    <c:numCache>
                      <c:formatCode>General</c:formatCode>
                      <c:ptCount val="1"/>
                      <c:pt idx="0">
                        <c:v>2024</c:v>
                      </c:pt>
                    </c:numCache>
                  </c:numRef>
                </c:val>
                <c:extLst>
                  <c:ext xmlns:c16="http://schemas.microsoft.com/office/drawing/2014/chart" uri="{C3380CC4-5D6E-409C-BE32-E72D297353CC}">
                    <c16:uniqueId val="{00000004-F892-4794-BAC1-103FCEB3E97B}"/>
                  </c:ext>
                </c:extLst>
              </c15:ser>
            </c15:filteredBarSeries>
            <c15:filteredBarSeries>
              <c15:ser>
                <c:idx val="1"/>
                <c:order val="1"/>
                <c:spPr>
                  <a:solidFill>
                    <a:schemeClr val="tx1">
                      <a:lumMod val="65000"/>
                      <a:lumOff val="35000"/>
                    </a:schemeClr>
                  </a:solidFill>
                </c:spPr>
                <c:invertIfNegative val="0"/>
                <c:dLbls>
                  <c:dLbl>
                    <c:idx val="0"/>
                    <c:layout>
                      <c:manualLayout>
                        <c:x val="1.6570003961144254E-3"/>
                        <c:y val="-6.0422960725075529E-3"/>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5-F892-4794-BAC1-103FCEB3E97B}"/>
                      </c:ext>
                    </c:extLst>
                  </c:dLbl>
                  <c:dLbl>
                    <c:idx val="1"/>
                    <c:layout>
                      <c:manualLayout>
                        <c:x val="0"/>
                        <c:y val="-6.0422960725075529E-3"/>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6-F892-4794-BAC1-103FCEB3E97B}"/>
                      </c:ext>
                    </c:extLst>
                  </c:dLbl>
                  <c:dLbl>
                    <c:idx val="2"/>
                    <c:layout>
                      <c:manualLayout>
                        <c:x val="0"/>
                        <c:y val="-6.0422960725075529E-3"/>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7-F892-4794-BAC1-103FCEB3E97B}"/>
                      </c:ext>
                    </c:extLst>
                  </c:dLbl>
                  <c:dLbl>
                    <c:idx val="5"/>
                    <c:layout>
                      <c:manualLayout>
                        <c:x val="0"/>
                        <c:y val="-1.2084592145015106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8-F892-4794-BAC1-103FCEB3E97B}"/>
                      </c:ext>
                    </c:extLst>
                  </c:dLbl>
                  <c:dLbl>
                    <c:idx val="6"/>
                    <c:layout>
                      <c:manualLayout>
                        <c:x val="0"/>
                        <c:y val="-1.2084592145015106E-2"/>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9-F892-4794-BAC1-103FCEB3E97B}"/>
                      </c:ext>
                    </c:extLst>
                  </c:dLbl>
                  <c:dLbl>
                    <c:idx val="7"/>
                    <c:layout>
                      <c:manualLayout>
                        <c:x val="4.9710011883433367E-3"/>
                        <c:y val="-3.0211480362536658E-3"/>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A-F892-4794-BAC1-103FCEB3E97B}"/>
                      </c:ext>
                    </c:extLst>
                  </c:dLbl>
                  <c:dLbl>
                    <c:idx val="9"/>
                    <c:layout>
                      <c:manualLayout>
                        <c:x val="-1.6570003961144254E-3"/>
                        <c:y val="-6.0422960725074418E-3"/>
                      </c:manualLayout>
                    </c:layout>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B-F892-4794-BAC1-103FCEB3E97B}"/>
                      </c:ext>
                    </c:extLst>
                  </c:dLbl>
                  <c:spPr>
                    <a:noFill/>
                  </c:spPr>
                  <c:txPr>
                    <a:bodyPr/>
                    <a:lstStyle/>
                    <a:p>
                      <a:pPr>
                        <a:defRPr>
                          <a:solidFill>
                            <a:srgbClr val="0000FF"/>
                          </a:solidFill>
                        </a:defRPr>
                      </a:pPr>
                      <a:endParaRPr lang="en-CH"/>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'Modelos de Utilidad'!$K$5:$K$14</c15:sqref>
                        </c15:formulaRef>
                      </c:ext>
                    </c:extLst>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extLst xmlns:c15="http://schemas.microsoft.com/office/drawing/2012/chart">
                      <c:ext xmlns:c15="http://schemas.microsoft.com/office/drawing/2012/chart" uri="{02D57815-91ED-43cb-92C2-25804820EDAC}">
                        <c15:formulaRef>
                          <c15:sqref>'Modelos de Utilidad'!$L$3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F892-4794-BAC1-103FCEB3E97B}"/>
                  </c:ext>
                </c:extLst>
              </c15:ser>
            </c15:filteredBarSeries>
            <c15:filteredBarSeries>
              <c15:ser>
                <c:idx val="2"/>
                <c:order val="2"/>
                <c:invertIfNegative val="0"/>
                <c:cat>
                  <c:strRef>
                    <c:extLst xmlns:c15="http://schemas.microsoft.com/office/drawing/2012/chart">
                      <c:ext xmlns:c15="http://schemas.microsoft.com/office/drawing/2012/chart" uri="{02D57815-91ED-43cb-92C2-25804820EDAC}">
                        <c15:formulaRef>
                          <c15:sqref>'Modelos de Utilidad'!$K$5:$K$14</c15:sqref>
                        </c15:formulaRef>
                      </c:ext>
                    </c:extLst>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extLst xmlns:c15="http://schemas.microsoft.com/office/drawing/2012/chart">
                      <c:ext xmlns:c15="http://schemas.microsoft.com/office/drawing/2012/chart" uri="{02D57815-91ED-43cb-92C2-25804820EDAC}">
                        <c15:formulaRef>
                          <c15:sqref>'Modelos de Utilidad'!$M$3</c15:sqref>
                        </c15:formulaRef>
                      </c:ext>
                    </c:extLst>
                    <c:numCache>
                      <c:formatCode>General</c:formatCode>
                      <c:ptCount val="1"/>
                      <c:pt idx="0">
                        <c:v>2023</c:v>
                      </c:pt>
                    </c:numCache>
                  </c:numRef>
                </c:val>
                <c:extLst xmlns:c15="http://schemas.microsoft.com/office/drawing/2012/chart">
                  <c:ext xmlns:c16="http://schemas.microsoft.com/office/drawing/2014/chart" uri="{C3380CC4-5D6E-409C-BE32-E72D297353CC}">
                    <c16:uniqueId val="{0000000D-F892-4794-BAC1-103FCEB3E97B}"/>
                  </c:ext>
                </c:extLst>
              </c15:ser>
            </c15:filteredBarSeries>
            <c15:filteredBarSeries>
              <c15:ser>
                <c:idx val="3"/>
                <c:order val="3"/>
                <c:invertIfNegative val="0"/>
                <c:cat>
                  <c:strRef>
                    <c:extLst xmlns:c15="http://schemas.microsoft.com/office/drawing/2012/chart">
                      <c:ext xmlns:c15="http://schemas.microsoft.com/office/drawing/2012/chart" uri="{02D57815-91ED-43cb-92C2-25804820EDAC}">
                        <c15:formulaRef>
                          <c15:sqref>'Modelos de Utilidad'!$K$5:$K$14</c15:sqref>
                        </c15:formulaRef>
                      </c:ext>
                    </c:extLst>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extLst xmlns:c15="http://schemas.microsoft.com/office/drawing/2012/chart">
                      <c:ext xmlns:c15="http://schemas.microsoft.com/office/drawing/2012/chart" uri="{02D57815-91ED-43cb-92C2-25804820EDAC}">
                        <c15:formulaRef>
                          <c15:sqref>'Modelos de Utilidad'!$N$3</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E-F892-4794-BAC1-103FCEB3E97B}"/>
                  </c:ext>
                </c:extLst>
              </c15:ser>
            </c15:filteredBarSeries>
            <c15:filteredBarSeries>
              <c15:ser>
                <c:idx val="4"/>
                <c:order val="4"/>
                <c:invertIfNegative val="0"/>
                <c:cat>
                  <c:strRef>
                    <c:extLst xmlns:c15="http://schemas.microsoft.com/office/drawing/2012/chart">
                      <c:ext xmlns:c15="http://schemas.microsoft.com/office/drawing/2012/chart" uri="{02D57815-91ED-43cb-92C2-25804820EDAC}">
                        <c15:formulaRef>
                          <c15:sqref>'Modelos de Utilidad'!$K$5:$K$14</c15:sqref>
                        </c15:formulaRef>
                      </c:ext>
                    </c:extLst>
                    <c:strCache>
                      <c:ptCount val="10"/>
                      <c:pt idx="0">
                        <c:v>الأثاث والألعاب</c:v>
                      </c:pt>
                      <c:pt idx="1">
                        <c:v>الهندسة المدنية</c:v>
                      </c:pt>
                      <c:pt idx="2">
                        <c:v>السلع الاستهلاكية الأخرى</c:v>
                      </c:pt>
                      <c:pt idx="3">
                        <c:v>النقل</c:v>
                      </c:pt>
                      <c:pt idx="4">
                        <c:v>المناولة</c:v>
                      </c:pt>
                      <c:pt idx="5">
                        <c:v>الآليات الخاصة الأخرى</c:v>
                      </c:pt>
                      <c:pt idx="6">
                        <c:v>التكنولوجيا الطبية</c:v>
                      </c:pt>
                      <c:pt idx="7">
                        <c:v>الآليات والأجهزة والطاقة الكهربائية</c:v>
                      </c:pt>
                      <c:pt idx="8">
                        <c:v>العمليات والأجهزة الحرارية</c:v>
                      </c:pt>
                      <c:pt idx="9">
                        <c:v>التكنولوجيا البيئية</c:v>
                      </c:pt>
                    </c:strCache>
                  </c:strRef>
                </c:cat>
                <c:val>
                  <c:numRef>
                    <c:extLst xmlns:c15="http://schemas.microsoft.com/office/drawing/2012/chart">
                      <c:ext xmlns:c15="http://schemas.microsoft.com/office/drawing/2012/chart" uri="{02D57815-91ED-43cb-92C2-25804820EDAC}">
                        <c15:formulaRef>
                          <c15:sqref>'Modelos de Utilidad'!$K$5:$K$14</c15:sqref>
                        </c15:formulaRef>
                      </c:ext>
                    </c:extLst>
                    <c:numCache>
                      <c:formatCode>General</c:formatCode>
                      <c:ptCount val="10"/>
                      <c:pt idx="0">
                        <c:v>0</c:v>
                      </c:pt>
                      <c:pt idx="1">
                        <c:v>0</c:v>
                      </c:pt>
                      <c:pt idx="2">
                        <c:v>0</c:v>
                      </c:pt>
                      <c:pt idx="3">
                        <c:v>0</c:v>
                      </c:pt>
                      <c:pt idx="4">
                        <c:v>0</c:v>
                      </c:pt>
                      <c:pt idx="5">
                        <c:v>0</c:v>
                      </c:pt>
                      <c:pt idx="6">
                        <c:v>0</c:v>
                      </c:pt>
                      <c:pt idx="7">
                        <c:v>0</c:v>
                      </c:pt>
                      <c:pt idx="8">
                        <c:v>0</c:v>
                      </c:pt>
                      <c:pt idx="9">
                        <c:v>0</c:v>
                      </c:pt>
                    </c:numCache>
                  </c:numRef>
                </c:val>
                <c:extLst xmlns:c15="http://schemas.microsoft.com/office/drawing/2012/chart">
                  <c:ext xmlns:c16="http://schemas.microsoft.com/office/drawing/2014/chart" uri="{C3380CC4-5D6E-409C-BE32-E72D297353CC}">
                    <c16:uniqueId val="{0000000F-F892-4794-BAC1-103FCEB3E97B}"/>
                  </c:ext>
                </c:extLst>
              </c15:ser>
            </c15:filteredBarSeries>
          </c:ext>
        </c:extLst>
      </c:barChart>
      <c:catAx>
        <c:axId val="424832000"/>
        <c:scaling>
          <c:orientation val="maxMin"/>
        </c:scaling>
        <c:delete val="0"/>
        <c:axPos val="l"/>
        <c:numFmt formatCode="General" sourceLinked="1"/>
        <c:majorTickMark val="out"/>
        <c:minorTickMark val="none"/>
        <c:tickLblPos val="nextTo"/>
        <c:spPr>
          <a:ln>
            <a:noFill/>
          </a:ln>
        </c:spPr>
        <c:txPr>
          <a:bodyPr/>
          <a:lstStyle/>
          <a:p>
            <a:pPr>
              <a:defRPr sz="900" baseline="0">
                <a:latin typeface="Calibri" panose="020F0502020204030204" pitchFamily="34" charset="0"/>
                <a:cs typeface="Calibri" panose="020F0502020204030204" pitchFamily="34" charset="0"/>
              </a:defRPr>
            </a:pPr>
            <a:endParaRPr lang="en-CH"/>
          </a:p>
        </c:txPr>
        <c:crossAx val="424837888"/>
        <c:crosses val="autoZero"/>
        <c:auto val="1"/>
        <c:lblAlgn val="ctr"/>
        <c:lblOffset val="100"/>
        <c:noMultiLvlLbl val="0"/>
      </c:catAx>
      <c:valAx>
        <c:axId val="424837888"/>
        <c:scaling>
          <c:orientation val="minMax"/>
        </c:scaling>
        <c:delete val="1"/>
        <c:axPos val="t"/>
        <c:numFmt formatCode="#,##0" sourceLinked="1"/>
        <c:majorTickMark val="out"/>
        <c:minorTickMark val="none"/>
        <c:tickLblPos val="none"/>
        <c:crossAx val="424832000"/>
        <c:crosses val="autoZero"/>
        <c:crossBetween val="between"/>
      </c:valAx>
      <c:spPr>
        <a:noFill/>
        <a:ln w="25400">
          <a:noFill/>
        </a:ln>
      </c:spPr>
    </c:plotArea>
    <c:legend>
      <c:legendPos val="b"/>
      <c:layout>
        <c:manualLayout>
          <c:xMode val="edge"/>
          <c:yMode val="edge"/>
          <c:x val="0.47417730090730242"/>
          <c:y val="7.7658811549221676E-3"/>
          <c:w val="0.1488575919757901"/>
          <c:h val="5.6947393812299824E-2"/>
        </c:manualLayout>
      </c:layout>
      <c:overlay val="0"/>
      <c:txPr>
        <a:bodyPr/>
        <a:lstStyle/>
        <a:p>
          <a:pPr>
            <a:defRPr sz="1100"/>
          </a:pPr>
          <a:endParaRPr lang="en-CH"/>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4270</Words>
  <Characters>24342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PCT/CTC/33/Cover Template. (Arabic)</vt:lpstr>
    </vt:vector>
  </TitlesOfParts>
  <Company>WIPO</Company>
  <LinksUpToDate>false</LinksUpToDate>
  <CharactersWithSpaces>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PCT/CTC/33/11 (Arabic)</dc:title>
  <dc:subject>xtension of Appointment of the Spanish Patent and Trademark Office as an International Searching and Preliminary Examining Authority Under the PCT</dc:subject>
  <dc:creator>FM</dc:creator>
  <cp:keywords>PUBLIC</cp:keywords>
  <cp:lastModifiedBy>MARLOW Thomas</cp:lastModifiedBy>
  <cp:revision>2</cp:revision>
  <cp:lastPrinted>2025-12-05T14:09:00Z</cp:lastPrinted>
  <dcterms:created xsi:type="dcterms:W3CDTF">2026-01-13T12:00:00Z</dcterms:created>
  <dcterms:modified xsi:type="dcterms:W3CDTF">2026-01-13T12:00:00Z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