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8572A4" w:rsidRPr="008572A4" w:rsidTr="00B6101C">
        <w:tc>
          <w:tcPr>
            <w:tcW w:w="4843" w:type="dxa"/>
            <w:tcBorders>
              <w:bottom w:val="single" w:sz="4" w:space="0" w:color="auto"/>
            </w:tcBorders>
          </w:tcPr>
          <w:p w:rsidR="001667B6" w:rsidRPr="008572A4"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8572A4" w:rsidRDefault="009C0CED" w:rsidP="00237419">
            <w:pPr>
              <w:bidi/>
              <w:spacing w:after="20"/>
              <w:rPr>
                <w:rFonts w:ascii="Arabic Typesetting" w:hAnsi="Arabic Typesetting" w:cs="Arabic Typesetting"/>
                <w:sz w:val="36"/>
                <w:szCs w:val="36"/>
                <w:rtl/>
              </w:rPr>
            </w:pPr>
            <w:r w:rsidRPr="008572A4">
              <w:rPr>
                <w:noProof/>
              </w:rPr>
              <w:drawing>
                <wp:inline distT="0" distB="0" distL="0" distR="0" wp14:anchorId="2BAF28C4" wp14:editId="79BBC3BD">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8572A4" w:rsidRDefault="001667B6" w:rsidP="001667B6">
            <w:pPr>
              <w:rPr>
                <w:b/>
                <w:bCs/>
                <w:sz w:val="40"/>
                <w:szCs w:val="40"/>
              </w:rPr>
            </w:pPr>
            <w:r w:rsidRPr="008572A4">
              <w:rPr>
                <w:b/>
                <w:bCs/>
                <w:sz w:val="40"/>
                <w:szCs w:val="40"/>
              </w:rPr>
              <w:t>A</w:t>
            </w:r>
          </w:p>
        </w:tc>
      </w:tr>
      <w:tr w:rsidR="008572A4" w:rsidRPr="008572A4" w:rsidTr="00B6101C">
        <w:trPr>
          <w:trHeight w:val="333"/>
        </w:trPr>
        <w:tc>
          <w:tcPr>
            <w:tcW w:w="9571" w:type="dxa"/>
            <w:gridSpan w:val="3"/>
            <w:tcBorders>
              <w:top w:val="single" w:sz="4" w:space="0" w:color="auto"/>
            </w:tcBorders>
            <w:vAlign w:val="bottom"/>
          </w:tcPr>
          <w:p w:rsidR="00B6101C" w:rsidRPr="008572A4" w:rsidRDefault="0057160F" w:rsidP="00465AC3">
            <w:pPr>
              <w:pStyle w:val="DocumentCodeAR"/>
              <w:bidi/>
              <w:rPr>
                <w:rtl/>
              </w:rPr>
            </w:pPr>
            <w:r w:rsidRPr="008572A4">
              <w:t>PCT/CTC/30/</w:t>
            </w:r>
            <w:r w:rsidR="00465AC3" w:rsidRPr="008572A4">
              <w:t>5</w:t>
            </w:r>
          </w:p>
        </w:tc>
      </w:tr>
      <w:tr w:rsidR="008572A4" w:rsidRPr="008572A4" w:rsidTr="00BF164F">
        <w:tc>
          <w:tcPr>
            <w:tcW w:w="9571" w:type="dxa"/>
            <w:gridSpan w:val="3"/>
          </w:tcPr>
          <w:p w:rsidR="001667B6" w:rsidRPr="008572A4" w:rsidRDefault="00B6101C" w:rsidP="00C80F23">
            <w:pPr>
              <w:pStyle w:val="DocumentLanguageAR"/>
              <w:bidi/>
              <w:rPr>
                <w:rtl/>
              </w:rPr>
            </w:pPr>
            <w:r w:rsidRPr="008572A4">
              <w:rPr>
                <w:rFonts w:hint="cs"/>
                <w:rtl/>
              </w:rPr>
              <w:t xml:space="preserve">الأصل: </w:t>
            </w:r>
            <w:proofErr w:type="gramStart"/>
            <w:r w:rsidR="00C80F23" w:rsidRPr="008572A4">
              <w:rPr>
                <w:rFonts w:hint="cs"/>
                <w:rtl/>
              </w:rPr>
              <w:t>بالإنكليزية</w:t>
            </w:r>
            <w:proofErr w:type="gramEnd"/>
          </w:p>
        </w:tc>
      </w:tr>
      <w:tr w:rsidR="001667B6" w:rsidRPr="008572A4" w:rsidTr="00BF164F">
        <w:tc>
          <w:tcPr>
            <w:tcW w:w="9571" w:type="dxa"/>
            <w:gridSpan w:val="3"/>
          </w:tcPr>
          <w:p w:rsidR="001667B6" w:rsidRPr="008572A4" w:rsidRDefault="00B6101C" w:rsidP="00465AC3">
            <w:pPr>
              <w:pStyle w:val="DocumentDateAR"/>
              <w:bidi/>
              <w:rPr>
                <w:rtl/>
              </w:rPr>
            </w:pPr>
            <w:r w:rsidRPr="008572A4">
              <w:rPr>
                <w:rFonts w:hint="cs"/>
                <w:rtl/>
              </w:rPr>
              <w:t xml:space="preserve">التاريخ: </w:t>
            </w:r>
            <w:r w:rsidR="00465AC3" w:rsidRPr="008572A4">
              <w:rPr>
                <w:rtl/>
              </w:rPr>
              <w:t>16</w:t>
            </w:r>
            <w:r w:rsidR="00465AC3" w:rsidRPr="008572A4">
              <w:rPr>
                <w:rFonts w:hint="cs"/>
                <w:rtl/>
              </w:rPr>
              <w:t xml:space="preserve"> مارس</w:t>
            </w:r>
            <w:r w:rsidRPr="008572A4">
              <w:rPr>
                <w:rFonts w:hint="cs"/>
                <w:rtl/>
              </w:rPr>
              <w:t xml:space="preserve"> </w:t>
            </w:r>
            <w:r w:rsidR="008D5779" w:rsidRPr="008572A4">
              <w:rPr>
                <w:rFonts w:hint="cs"/>
                <w:rtl/>
              </w:rPr>
              <w:t>201</w:t>
            </w:r>
            <w:r w:rsidR="00240911" w:rsidRPr="008572A4">
              <w:rPr>
                <w:rFonts w:hint="cs"/>
                <w:rtl/>
              </w:rPr>
              <w:t>7</w:t>
            </w:r>
          </w:p>
        </w:tc>
      </w:tr>
    </w:tbl>
    <w:p w:rsidR="000F5E56" w:rsidRPr="008572A4" w:rsidRDefault="000F5E56" w:rsidP="001667B6">
      <w:pPr>
        <w:bidi/>
        <w:spacing w:line="360" w:lineRule="exact"/>
        <w:rPr>
          <w:rFonts w:ascii="Arabic Typesetting" w:hAnsi="Arabic Typesetting" w:cs="Arabic Typesetting"/>
          <w:sz w:val="36"/>
          <w:szCs w:val="36"/>
          <w:rtl/>
        </w:rPr>
      </w:pPr>
    </w:p>
    <w:p w:rsidR="001667B6" w:rsidRPr="008572A4" w:rsidRDefault="001667B6" w:rsidP="001667B6">
      <w:pPr>
        <w:bidi/>
        <w:spacing w:line="360" w:lineRule="exact"/>
        <w:rPr>
          <w:rFonts w:ascii="Arabic Typesetting" w:hAnsi="Arabic Typesetting" w:cs="Arabic Typesetting"/>
          <w:sz w:val="36"/>
          <w:szCs w:val="36"/>
          <w:rtl/>
        </w:rPr>
      </w:pPr>
    </w:p>
    <w:p w:rsidR="00F27305" w:rsidRPr="008572A4" w:rsidRDefault="00F27305" w:rsidP="00F27305">
      <w:pPr>
        <w:bidi/>
        <w:spacing w:line="360" w:lineRule="exact"/>
        <w:rPr>
          <w:rFonts w:ascii="Arabic Typesetting" w:hAnsi="Arabic Typesetting" w:cs="Arabic Typesetting"/>
          <w:sz w:val="36"/>
          <w:szCs w:val="36"/>
          <w:rtl/>
        </w:rPr>
      </w:pPr>
    </w:p>
    <w:p w:rsidR="0057160F" w:rsidRPr="008572A4" w:rsidRDefault="0057160F" w:rsidP="0057160F">
      <w:pPr>
        <w:pStyle w:val="MeetingTitleAR"/>
        <w:bidi/>
        <w:ind w:right="550"/>
        <w:rPr>
          <w:rtl/>
        </w:rPr>
      </w:pPr>
      <w:r w:rsidRPr="008572A4">
        <w:rPr>
          <w:rFonts w:hint="cs"/>
          <w:rtl/>
        </w:rPr>
        <w:t>معاهدة التعاون بشأن البراءات</w:t>
      </w:r>
    </w:p>
    <w:p w:rsidR="0057160F" w:rsidRPr="008572A4" w:rsidRDefault="0057160F" w:rsidP="0057160F">
      <w:pPr>
        <w:pStyle w:val="MeetingTitleAR"/>
        <w:bidi/>
        <w:ind w:right="550"/>
        <w:rPr>
          <w:rtl/>
        </w:rPr>
      </w:pPr>
      <w:proofErr w:type="gramStart"/>
      <w:r w:rsidRPr="008572A4">
        <w:rPr>
          <w:rFonts w:hint="cs"/>
          <w:rtl/>
        </w:rPr>
        <w:t>لجنة</w:t>
      </w:r>
      <w:proofErr w:type="gramEnd"/>
      <w:r w:rsidRPr="008572A4">
        <w:rPr>
          <w:rFonts w:hint="cs"/>
          <w:rtl/>
        </w:rPr>
        <w:t xml:space="preserve"> التعاون التقني</w:t>
      </w:r>
    </w:p>
    <w:p w:rsidR="0057160F" w:rsidRPr="008572A4" w:rsidRDefault="0057160F" w:rsidP="0057160F">
      <w:pPr>
        <w:bidi/>
        <w:spacing w:line="360" w:lineRule="exact"/>
        <w:rPr>
          <w:rFonts w:ascii="Arabic Typesetting" w:hAnsi="Arabic Typesetting" w:cs="Arabic Typesetting"/>
          <w:sz w:val="36"/>
          <w:szCs w:val="36"/>
          <w:rtl/>
        </w:rPr>
      </w:pPr>
    </w:p>
    <w:p w:rsidR="0057160F" w:rsidRPr="008572A4" w:rsidRDefault="0057160F" w:rsidP="0057160F">
      <w:pPr>
        <w:pStyle w:val="MeetingSessionAR"/>
        <w:bidi/>
        <w:rPr>
          <w:rFonts w:ascii="Cambria Math" w:hAnsi="Cambria Math"/>
          <w:rtl/>
        </w:rPr>
      </w:pPr>
      <w:proofErr w:type="gramStart"/>
      <w:r w:rsidRPr="008572A4">
        <w:rPr>
          <w:rFonts w:ascii="Cambria Math" w:hAnsi="Cambria Math"/>
          <w:rtl/>
        </w:rPr>
        <w:t>الدورة</w:t>
      </w:r>
      <w:proofErr w:type="gramEnd"/>
      <w:r w:rsidRPr="008572A4">
        <w:rPr>
          <w:rFonts w:ascii="Cambria Math" w:hAnsi="Cambria Math"/>
          <w:rtl/>
        </w:rPr>
        <w:t xml:space="preserve"> </w:t>
      </w:r>
      <w:r w:rsidRPr="008572A4">
        <w:rPr>
          <w:rFonts w:ascii="Cambria Math" w:hAnsi="Cambria Math" w:hint="cs"/>
          <w:rtl/>
        </w:rPr>
        <w:t>الثلاثون</w:t>
      </w:r>
    </w:p>
    <w:p w:rsidR="0057160F" w:rsidRPr="008572A4" w:rsidRDefault="0057160F" w:rsidP="0057160F">
      <w:pPr>
        <w:pStyle w:val="MeetingDatesAR"/>
        <w:bidi/>
        <w:rPr>
          <w:rtl/>
        </w:rPr>
      </w:pPr>
      <w:r w:rsidRPr="008572A4">
        <w:rPr>
          <w:rFonts w:hint="cs"/>
          <w:rtl/>
        </w:rPr>
        <w:t xml:space="preserve">جنيف، </w:t>
      </w:r>
      <w:proofErr w:type="gramStart"/>
      <w:r w:rsidRPr="008572A4">
        <w:rPr>
          <w:rFonts w:hint="cs"/>
          <w:rtl/>
        </w:rPr>
        <w:t>من</w:t>
      </w:r>
      <w:proofErr w:type="gramEnd"/>
      <w:r w:rsidRPr="008572A4">
        <w:rPr>
          <w:rFonts w:hint="cs"/>
          <w:rtl/>
        </w:rPr>
        <w:t xml:space="preserve"> 8 إلى 12 مايو 2017</w:t>
      </w:r>
    </w:p>
    <w:p w:rsidR="0057160F" w:rsidRPr="008572A4" w:rsidRDefault="0057160F" w:rsidP="0057160F">
      <w:pPr>
        <w:bidi/>
        <w:spacing w:line="360" w:lineRule="exact"/>
        <w:rPr>
          <w:rFonts w:ascii="Arabic Typesetting" w:hAnsi="Arabic Typesetting" w:cs="Arabic Typesetting"/>
          <w:sz w:val="36"/>
          <w:szCs w:val="36"/>
          <w:rtl/>
        </w:rPr>
      </w:pPr>
    </w:p>
    <w:p w:rsidR="0057160F" w:rsidRPr="008572A4" w:rsidRDefault="0057160F" w:rsidP="0057160F">
      <w:pPr>
        <w:bidi/>
        <w:spacing w:line="360" w:lineRule="exact"/>
        <w:rPr>
          <w:rFonts w:ascii="Arabic Typesetting" w:hAnsi="Arabic Typesetting" w:cs="Arabic Typesetting"/>
          <w:sz w:val="36"/>
          <w:szCs w:val="36"/>
          <w:rtl/>
        </w:rPr>
      </w:pPr>
    </w:p>
    <w:p w:rsidR="0057160F" w:rsidRPr="008572A4" w:rsidRDefault="00C80F23" w:rsidP="00812635">
      <w:pPr>
        <w:pStyle w:val="DocumentTitleAR"/>
        <w:bidi/>
        <w:rPr>
          <w:rtl/>
        </w:rPr>
      </w:pPr>
      <w:r w:rsidRPr="008572A4">
        <w:rPr>
          <w:rFonts w:hint="cs"/>
          <w:rtl/>
        </w:rPr>
        <w:t xml:space="preserve">تمديد تعيين </w:t>
      </w:r>
      <w:r w:rsidR="00465AC3" w:rsidRPr="008572A4">
        <w:rPr>
          <w:rtl/>
        </w:rPr>
        <w:t>المعهد الوطني للملكية الصناعية في البرازيل</w:t>
      </w:r>
      <w:r w:rsidRPr="008572A4">
        <w:rPr>
          <w:rFonts w:hint="cs"/>
          <w:rtl/>
        </w:rPr>
        <w:t xml:space="preserve"> كإدارة للبحث الدولي وإدارة للفحص التمهيدي الدولي </w:t>
      </w:r>
      <w:r w:rsidR="00812635" w:rsidRPr="008572A4">
        <w:rPr>
          <w:rFonts w:hint="cs"/>
          <w:rtl/>
        </w:rPr>
        <w:t>في إطار</w:t>
      </w:r>
      <w:r w:rsidRPr="008572A4">
        <w:rPr>
          <w:rFonts w:hint="cs"/>
          <w:rtl/>
        </w:rPr>
        <w:t xml:space="preserve"> معاهدة التعاون بشأن البراءات</w:t>
      </w:r>
    </w:p>
    <w:p w:rsidR="0057160F" w:rsidRPr="008572A4" w:rsidRDefault="00C80F23" w:rsidP="0057160F">
      <w:pPr>
        <w:pStyle w:val="PreparedbyAR"/>
        <w:bidi/>
        <w:rPr>
          <w:rtl/>
        </w:rPr>
      </w:pPr>
      <w:proofErr w:type="gramStart"/>
      <w:r w:rsidRPr="008572A4">
        <w:rPr>
          <w:rFonts w:hint="cs"/>
          <w:rtl/>
        </w:rPr>
        <w:t>وثيقة</w:t>
      </w:r>
      <w:proofErr w:type="gramEnd"/>
      <w:r w:rsidRPr="008572A4">
        <w:rPr>
          <w:rFonts w:hint="cs"/>
          <w:rtl/>
        </w:rPr>
        <w:t xml:space="preserve"> </w:t>
      </w:r>
      <w:r w:rsidR="0057160F" w:rsidRPr="008572A4">
        <w:rPr>
          <w:rFonts w:hint="cs"/>
          <w:rtl/>
        </w:rPr>
        <w:t>من إعداد</w:t>
      </w:r>
      <w:r w:rsidRPr="008572A4">
        <w:rPr>
          <w:rFonts w:hint="cs"/>
          <w:rtl/>
        </w:rPr>
        <w:t xml:space="preserve"> المكتب الدولي</w:t>
      </w:r>
    </w:p>
    <w:p w:rsidR="005B6E8A" w:rsidRPr="008572A4" w:rsidRDefault="00C80F23" w:rsidP="00C80F23">
      <w:pPr>
        <w:pStyle w:val="NumberedParaAR"/>
      </w:pPr>
      <w:r w:rsidRPr="008572A4">
        <w:rPr>
          <w:rFonts w:hint="cs"/>
          <w:rtl/>
        </w:rPr>
        <w:t>عينت جمعية معاهدة التعاون بشأن البراءات (جمعية البراءات) كل الإدارات الدولية الحالية لمدة تنتهي في 31 ديسمبر</w:t>
      </w:r>
      <w:r w:rsidRPr="008572A4">
        <w:rPr>
          <w:rFonts w:hint="eastAsia"/>
          <w:rtl/>
        </w:rPr>
        <w:t> </w:t>
      </w:r>
      <w:r w:rsidRPr="008572A4">
        <w:rPr>
          <w:rFonts w:hint="cs"/>
          <w:rtl/>
        </w:rPr>
        <w:t>2017. إذن ستعيّن إذن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و32(3) من معاهدة البراءات). ترد في الوثيقة </w:t>
      </w:r>
      <w:r w:rsidRPr="008572A4">
        <w:t>PCT/CTC/30/INF/1</w:t>
      </w:r>
      <w:r w:rsidRPr="008572A4">
        <w:rPr>
          <w:rFonts w:hint="cs"/>
          <w:rtl/>
          <w:lang w:bidi="ar-EG"/>
        </w:rPr>
        <w:t xml:space="preserve"> معلومات عن هذا الإجراء ودور اللجنة فيه.</w:t>
      </w:r>
    </w:p>
    <w:p w:rsidR="00C80F23" w:rsidRPr="008572A4" w:rsidRDefault="00C80F23" w:rsidP="00812635">
      <w:pPr>
        <w:pStyle w:val="NumberedParaAR"/>
        <w:rPr>
          <w:rtl/>
        </w:rPr>
      </w:pPr>
      <w:r w:rsidRPr="008572A4">
        <w:rPr>
          <w:rFonts w:hint="cs"/>
          <w:rtl/>
          <w:lang w:bidi="ar-EG"/>
        </w:rPr>
        <w:t xml:space="preserve">وفي </w:t>
      </w:r>
      <w:r w:rsidR="00465AC3" w:rsidRPr="008572A4">
        <w:rPr>
          <w:rtl/>
          <w:lang w:bidi="ar-EG"/>
        </w:rPr>
        <w:t>8</w:t>
      </w:r>
      <w:r w:rsidRPr="008572A4">
        <w:rPr>
          <w:rFonts w:hint="cs"/>
          <w:rtl/>
          <w:lang w:bidi="ar-EG"/>
        </w:rPr>
        <w:t xml:space="preserve"> مارس 2017، تقدم </w:t>
      </w:r>
      <w:r w:rsidR="00465AC3" w:rsidRPr="008572A4">
        <w:rPr>
          <w:rtl/>
          <w:lang w:bidi="ar-EG"/>
        </w:rPr>
        <w:t>المعهد الوطني للملكية الصناعية في البرازيل</w:t>
      </w:r>
      <w:r w:rsidRPr="008572A4">
        <w:rPr>
          <w:rFonts w:hint="cs"/>
          <w:rtl/>
          <w:lang w:bidi="ar-EG"/>
        </w:rPr>
        <w:t xml:space="preserve"> بطلبه لتمديد تعيينه </w:t>
      </w:r>
      <w:r w:rsidRPr="008572A4">
        <w:rPr>
          <w:rtl/>
          <w:lang w:bidi="ar-EG"/>
        </w:rPr>
        <w:t xml:space="preserve">كإدارة للبحث الدولي وإدارة للفحص التمهيدي الدولي </w:t>
      </w:r>
      <w:r w:rsidR="00812635" w:rsidRPr="008572A4">
        <w:rPr>
          <w:rFonts w:hint="cs"/>
          <w:rtl/>
          <w:lang w:bidi="ar-EG"/>
        </w:rPr>
        <w:t xml:space="preserve">في إطار </w:t>
      </w:r>
      <w:r w:rsidRPr="008572A4">
        <w:rPr>
          <w:rFonts w:hint="cs"/>
          <w:rtl/>
          <w:lang w:bidi="ar-EG"/>
        </w:rPr>
        <w:t>معاهدة</w:t>
      </w:r>
      <w:r w:rsidRPr="008572A4">
        <w:rPr>
          <w:rtl/>
          <w:lang w:bidi="ar-EG"/>
        </w:rPr>
        <w:t xml:space="preserve"> التعاون بشأن البراءات</w:t>
      </w:r>
      <w:r w:rsidRPr="008572A4">
        <w:rPr>
          <w:rFonts w:hint="cs"/>
          <w:rtl/>
          <w:lang w:bidi="ar-EG"/>
        </w:rPr>
        <w:t>. ويرد الطلب في مرفق هذه الوثيقة.</w:t>
      </w:r>
    </w:p>
    <w:p w:rsidR="005B6E8A" w:rsidRPr="008572A4" w:rsidRDefault="00AA2810" w:rsidP="009916C1">
      <w:pPr>
        <w:pStyle w:val="DecisionParaAR"/>
        <w:rPr>
          <w:rtl/>
        </w:rPr>
      </w:pPr>
      <w:r w:rsidRPr="008572A4">
        <w:rPr>
          <w:rFonts w:hint="cs"/>
          <w:rtl/>
        </w:rPr>
        <w:t>إن اللجنة مدعوة إلى إسداء مشورتها في هذا ا</w:t>
      </w:r>
      <w:r w:rsidR="009916C1" w:rsidRPr="008572A4">
        <w:rPr>
          <w:rFonts w:hint="cs"/>
          <w:rtl/>
          <w:lang w:val="fr-FR" w:bidi="ar-EG"/>
        </w:rPr>
        <w:t>لأمر</w:t>
      </w:r>
      <w:r w:rsidRPr="008572A4">
        <w:rPr>
          <w:rFonts w:hint="cs"/>
          <w:rtl/>
        </w:rPr>
        <w:t>.</w:t>
      </w:r>
    </w:p>
    <w:p w:rsidR="005B6E8A" w:rsidRPr="008572A4" w:rsidRDefault="00AA2810" w:rsidP="00AA2810">
      <w:pPr>
        <w:pStyle w:val="EndofDocumentAR"/>
        <w:rPr>
          <w:rtl/>
        </w:rPr>
      </w:pPr>
      <w:r w:rsidRPr="008572A4">
        <w:rPr>
          <w:rFonts w:hint="cs"/>
          <w:rtl/>
        </w:rPr>
        <w:t xml:space="preserve">[يلي ذلك </w:t>
      </w:r>
      <w:proofErr w:type="gramStart"/>
      <w:r w:rsidRPr="008572A4">
        <w:rPr>
          <w:rFonts w:hint="cs"/>
          <w:rtl/>
        </w:rPr>
        <w:t>المرفق</w:t>
      </w:r>
      <w:proofErr w:type="gramEnd"/>
      <w:r w:rsidRPr="008572A4">
        <w:rPr>
          <w:rFonts w:hint="cs"/>
          <w:rtl/>
        </w:rPr>
        <w:t>]</w:t>
      </w:r>
    </w:p>
    <w:p w:rsidR="005B6E8A" w:rsidRPr="008572A4" w:rsidRDefault="005B6E8A" w:rsidP="005B6E8A">
      <w:pPr>
        <w:pStyle w:val="NormalParaAR"/>
      </w:pPr>
    </w:p>
    <w:p w:rsidR="00DB1BAA" w:rsidRPr="008572A4" w:rsidRDefault="00DB1BAA" w:rsidP="005B6E8A">
      <w:pPr>
        <w:pStyle w:val="NormalParaAR"/>
        <w:rPr>
          <w:rtl/>
        </w:rPr>
        <w:sectPr w:rsidR="00DB1BAA" w:rsidRPr="008572A4" w:rsidSect="00EB7752">
          <w:headerReference w:type="default" r:id="rId10"/>
          <w:pgSz w:w="11907" w:h="16840" w:code="9"/>
          <w:pgMar w:top="567" w:right="1418" w:bottom="1418" w:left="1134" w:header="510" w:footer="1021" w:gutter="0"/>
          <w:cols w:space="720"/>
          <w:titlePg/>
          <w:docGrid w:linePitch="299"/>
        </w:sectPr>
      </w:pPr>
    </w:p>
    <w:p w:rsidR="00B852C0" w:rsidRPr="008572A4" w:rsidRDefault="00B852C0" w:rsidP="00B852C0">
      <w:pPr>
        <w:pStyle w:val="Heading2"/>
        <w:jc w:val="center"/>
        <w:rPr>
          <w:rtl/>
        </w:rPr>
      </w:pPr>
      <w:r w:rsidRPr="008572A4">
        <w:rPr>
          <w:rtl/>
        </w:rPr>
        <w:lastRenderedPageBreak/>
        <w:t>طلب</w:t>
      </w:r>
      <w:r w:rsidRPr="008572A4">
        <w:rPr>
          <w:rtl/>
          <w:lang w:bidi="ar-EG"/>
        </w:rPr>
        <w:t xml:space="preserve"> المعهد الوطني للملكية الصناعية في البرازيل</w:t>
      </w:r>
      <w:r w:rsidRPr="008572A4">
        <w:rPr>
          <w:rFonts w:hint="cs"/>
          <w:rtl/>
          <w:lang w:bidi="ar-EG"/>
        </w:rPr>
        <w:t xml:space="preserve"> </w:t>
      </w:r>
      <w:r w:rsidRPr="008572A4">
        <w:rPr>
          <w:rtl/>
        </w:rPr>
        <w:t>لتمديد تعيينه</w:t>
      </w:r>
      <w:r w:rsidRPr="008572A4">
        <w:rPr>
          <w:rtl/>
        </w:rPr>
        <w:br/>
        <w:t>كإدارة للبحث الدولي و</w:t>
      </w:r>
      <w:r w:rsidR="009916C1" w:rsidRPr="008572A4">
        <w:rPr>
          <w:rFonts w:hint="cs"/>
          <w:rtl/>
        </w:rPr>
        <w:t>إدارة لل</w:t>
      </w:r>
      <w:r w:rsidRPr="008572A4">
        <w:rPr>
          <w:rtl/>
        </w:rPr>
        <w:t>فحص التمهيدي الدولي</w:t>
      </w:r>
      <w:r w:rsidRPr="008572A4">
        <w:rPr>
          <w:rtl/>
        </w:rPr>
        <w:br/>
        <w:t>في إطار معاهدة التعاون بشأن البراءات</w:t>
      </w:r>
    </w:p>
    <w:p w:rsidR="00B852C0" w:rsidRPr="008572A4" w:rsidRDefault="00B852C0" w:rsidP="009916C1">
      <w:pPr>
        <w:pStyle w:val="NormalParaAR"/>
        <w:ind w:left="566" w:hanging="567"/>
        <w:rPr>
          <w:b/>
          <w:bCs/>
          <w:rtl/>
        </w:rPr>
      </w:pPr>
      <w:r w:rsidRPr="008572A4">
        <w:rPr>
          <w:rFonts w:hint="cs"/>
          <w:b/>
          <w:bCs/>
          <w:rtl/>
        </w:rPr>
        <w:t>طلب تمديد التعيين</w:t>
      </w:r>
    </w:p>
    <w:p w:rsidR="00B852C0" w:rsidRPr="008572A4" w:rsidRDefault="00B852C0" w:rsidP="009916C1">
      <w:pPr>
        <w:pStyle w:val="NormalParaAR"/>
        <w:rPr>
          <w:rtl/>
        </w:rPr>
      </w:pPr>
      <w:r w:rsidRPr="008572A4">
        <w:rPr>
          <w:rFonts w:hint="cs"/>
          <w:rtl/>
        </w:rPr>
        <w:t xml:space="preserve">عُيّن </w:t>
      </w:r>
      <w:r w:rsidRPr="008572A4">
        <w:rPr>
          <w:rtl/>
          <w:lang w:bidi="ar-EG"/>
        </w:rPr>
        <w:t>المعهد الوطني للملكية الصناعية في البرازيل</w:t>
      </w:r>
      <w:r w:rsidRPr="008572A4">
        <w:rPr>
          <w:rFonts w:hint="cs"/>
          <w:rtl/>
          <w:lang w:bidi="ar-EG"/>
        </w:rPr>
        <w:t xml:space="preserve"> </w:t>
      </w:r>
      <w:r w:rsidRPr="008572A4">
        <w:rPr>
          <w:rtl/>
        </w:rPr>
        <w:t>كإدارة للبحث الدولي و</w:t>
      </w:r>
      <w:r w:rsidR="009916C1" w:rsidRPr="008572A4">
        <w:rPr>
          <w:rFonts w:hint="cs"/>
          <w:rtl/>
        </w:rPr>
        <w:t>إدارة لل</w:t>
      </w:r>
      <w:r w:rsidRPr="008572A4">
        <w:rPr>
          <w:rtl/>
        </w:rPr>
        <w:t>فحص التمهيدي الدولي</w:t>
      </w:r>
      <w:r w:rsidRPr="008572A4">
        <w:rPr>
          <w:rFonts w:hint="cs"/>
          <w:rtl/>
        </w:rPr>
        <w:t xml:space="preserve"> </w:t>
      </w:r>
      <w:r w:rsidRPr="008572A4">
        <w:rPr>
          <w:rtl/>
        </w:rPr>
        <w:t>في إطار معاهدة التعاون بشأن البراءات</w:t>
      </w:r>
      <w:r w:rsidRPr="008572A4">
        <w:rPr>
          <w:rFonts w:hint="cs"/>
          <w:rtl/>
        </w:rPr>
        <w:t xml:space="preserve"> خلال الدورة السادسة والثلاثين لجمعية البراءات في الفترة </w:t>
      </w:r>
      <w:r w:rsidR="009916C1" w:rsidRPr="008572A4">
        <w:rPr>
          <w:rFonts w:hint="cs"/>
          <w:rtl/>
        </w:rPr>
        <w:t xml:space="preserve">من </w:t>
      </w:r>
      <w:r w:rsidRPr="008572A4">
        <w:rPr>
          <w:rFonts w:hint="cs"/>
          <w:rtl/>
        </w:rPr>
        <w:t>سبتمبر</w:t>
      </w:r>
      <w:r w:rsidR="009916C1" w:rsidRPr="008572A4">
        <w:rPr>
          <w:rFonts w:hint="cs"/>
          <w:rtl/>
        </w:rPr>
        <w:t xml:space="preserve"> إلى</w:t>
      </w:r>
      <w:r w:rsidR="00FD1ED0" w:rsidRPr="008572A4">
        <w:rPr>
          <w:rFonts w:hint="cs"/>
          <w:rtl/>
        </w:rPr>
        <w:t xml:space="preserve"> </w:t>
      </w:r>
      <w:r w:rsidRPr="008572A4">
        <w:rPr>
          <w:rFonts w:hint="cs"/>
          <w:rtl/>
        </w:rPr>
        <w:t xml:space="preserve">أكتوبر </w:t>
      </w:r>
      <w:r w:rsidRPr="008572A4">
        <w:rPr>
          <w:rtl/>
        </w:rPr>
        <w:t>2007</w:t>
      </w:r>
      <w:r w:rsidR="00FD4037" w:rsidRPr="008572A4">
        <w:rPr>
          <w:rFonts w:hint="cs"/>
          <w:rtl/>
        </w:rPr>
        <w:t xml:space="preserve">، وذلك إلى غاية </w:t>
      </w:r>
      <w:r w:rsidR="00FD4037" w:rsidRPr="008572A4">
        <w:rPr>
          <w:rtl/>
        </w:rPr>
        <w:t>31</w:t>
      </w:r>
      <w:r w:rsidR="00FD4037" w:rsidRPr="008572A4">
        <w:rPr>
          <w:rFonts w:hint="cs"/>
          <w:rtl/>
        </w:rPr>
        <w:t xml:space="preserve"> ديسمبر </w:t>
      </w:r>
      <w:r w:rsidR="00FD4037" w:rsidRPr="008572A4">
        <w:rPr>
          <w:rtl/>
        </w:rPr>
        <w:t>2017</w:t>
      </w:r>
      <w:r w:rsidR="00FD4037" w:rsidRPr="008572A4">
        <w:rPr>
          <w:rFonts w:hint="cs"/>
          <w:rtl/>
        </w:rPr>
        <w:t xml:space="preserve">، وهي الدورة ذاتها </w:t>
      </w:r>
      <w:r w:rsidR="009916C1" w:rsidRPr="008572A4">
        <w:rPr>
          <w:rFonts w:hint="cs"/>
          <w:rtl/>
        </w:rPr>
        <w:t>ا</w:t>
      </w:r>
      <w:r w:rsidR="00FD4037" w:rsidRPr="008572A4">
        <w:rPr>
          <w:rFonts w:hint="cs"/>
          <w:rtl/>
        </w:rPr>
        <w:t xml:space="preserve">لتي أُضيفت </w:t>
      </w:r>
      <w:r w:rsidR="009916C1" w:rsidRPr="008572A4">
        <w:rPr>
          <w:rFonts w:hint="cs"/>
          <w:rtl/>
        </w:rPr>
        <w:t>خلالها اللغة البرتغالية كلغة نشر</w:t>
      </w:r>
      <w:r w:rsidR="00FD4037" w:rsidRPr="008572A4">
        <w:rPr>
          <w:rFonts w:hint="cs"/>
          <w:rtl/>
        </w:rPr>
        <w:t xml:space="preserve">. وقد اضطلع </w:t>
      </w:r>
      <w:r w:rsidR="009916C1" w:rsidRPr="008572A4">
        <w:rPr>
          <w:rFonts w:hint="cs"/>
          <w:rtl/>
        </w:rPr>
        <w:t xml:space="preserve">المعهد </w:t>
      </w:r>
      <w:r w:rsidR="00FD4037" w:rsidRPr="008572A4">
        <w:rPr>
          <w:rFonts w:hint="cs"/>
          <w:rtl/>
        </w:rPr>
        <w:t>بدور فعال في تعزيز نفاذ دول أمريكا اللاتينية والبحر الكاريبي إلى نظام معاهدة البراءات، ولا سيما تلك التي تودع طلباتها باللغة البرتغالية.</w:t>
      </w:r>
    </w:p>
    <w:p w:rsidR="00FD4037" w:rsidRPr="008572A4" w:rsidRDefault="0046250B" w:rsidP="00646E90">
      <w:pPr>
        <w:pStyle w:val="NormalParaAR"/>
        <w:rPr>
          <w:rtl/>
        </w:rPr>
      </w:pPr>
      <w:r w:rsidRPr="008572A4">
        <w:rPr>
          <w:rFonts w:hint="cs"/>
          <w:rtl/>
        </w:rPr>
        <w:t>ويسعى المعهد الوطني للملكية الصناعية في</w:t>
      </w:r>
      <w:r w:rsidR="00646E90" w:rsidRPr="008572A4">
        <w:rPr>
          <w:rFonts w:hint="cs"/>
          <w:rtl/>
        </w:rPr>
        <w:t xml:space="preserve"> البرازيل حاليا</w:t>
      </w:r>
      <w:r w:rsidRPr="008572A4">
        <w:rPr>
          <w:rFonts w:hint="cs"/>
          <w:rtl/>
        </w:rPr>
        <w:t xml:space="preserve"> إلى تمديد تعيينه. وكما أُشير إليه أعلاه، سيتيح ذلك تعزيز نظام معاهدة التعاون بشأن البراءات برمته، إضافة إلى تعزيز مكانة المكتب بغية رفد الابتكار ودعم جودة البراءات في البرازيل وفي</w:t>
      </w:r>
      <w:r w:rsidR="00646E90" w:rsidRPr="008572A4">
        <w:rPr>
          <w:rFonts w:hint="eastAsia"/>
          <w:rtl/>
        </w:rPr>
        <w:t> </w:t>
      </w:r>
      <w:r w:rsidRPr="008572A4">
        <w:rPr>
          <w:rFonts w:hint="cs"/>
          <w:rtl/>
        </w:rPr>
        <w:t>المنطقة.</w:t>
      </w:r>
    </w:p>
    <w:p w:rsidR="0046250B" w:rsidRPr="008572A4" w:rsidRDefault="0046250B" w:rsidP="00646E90">
      <w:pPr>
        <w:pStyle w:val="NormalParaAR"/>
        <w:ind w:left="566" w:hanging="567"/>
        <w:rPr>
          <w:b/>
          <w:bCs/>
          <w:rtl/>
        </w:rPr>
      </w:pPr>
      <w:proofErr w:type="gramStart"/>
      <w:r w:rsidRPr="008572A4">
        <w:rPr>
          <w:rFonts w:hint="cs"/>
          <w:b/>
          <w:bCs/>
          <w:rtl/>
        </w:rPr>
        <w:t>معلومات</w:t>
      </w:r>
      <w:proofErr w:type="gramEnd"/>
      <w:r w:rsidRPr="008572A4">
        <w:rPr>
          <w:rFonts w:hint="cs"/>
          <w:b/>
          <w:bCs/>
          <w:rtl/>
        </w:rPr>
        <w:t xml:space="preserve"> أساسية</w:t>
      </w:r>
    </w:p>
    <w:p w:rsidR="0046250B" w:rsidRPr="008572A4" w:rsidRDefault="0046250B" w:rsidP="00646E90">
      <w:pPr>
        <w:pStyle w:val="NormalParaAR"/>
      </w:pPr>
      <w:r w:rsidRPr="008572A4">
        <w:rPr>
          <w:rFonts w:hint="cs"/>
          <w:rtl/>
          <w:lang w:val="fr-CH"/>
        </w:rPr>
        <w:t xml:space="preserve">الابتكار والملكية الفكرية هما مفهومان رئيسيان في القرن الحادي والعشرين، ويساهم الإلمام بهما في </w:t>
      </w:r>
      <w:r w:rsidR="007356AB" w:rsidRPr="008572A4">
        <w:rPr>
          <w:rFonts w:hint="cs"/>
          <w:rtl/>
        </w:rPr>
        <w:t>تجهيز</w:t>
      </w:r>
      <w:r w:rsidR="00104FAB" w:rsidRPr="008572A4">
        <w:rPr>
          <w:rFonts w:hint="cs"/>
          <w:rtl/>
        </w:rPr>
        <w:t xml:space="preserve"> البلدان على نحو أمثل لتعزيز اقتصاداتها وتطوير تكنولوجياتها ومجتمعاتها بصفة عامة.</w:t>
      </w:r>
      <w:r w:rsidR="00A82657" w:rsidRPr="008572A4">
        <w:rPr>
          <w:rFonts w:hint="cs"/>
          <w:rtl/>
        </w:rPr>
        <w:t xml:space="preserve"> وتواصل حكومة البرازيل الاستثمار في تحسين الخدمات المقدمة من خلال مكتبها للبراءات والعلامات التجارية، </w:t>
      </w:r>
      <w:r w:rsidR="00646E90" w:rsidRPr="008572A4">
        <w:rPr>
          <w:rFonts w:hint="cs"/>
          <w:rtl/>
        </w:rPr>
        <w:t>أي المعهد الوطني للملكية الصناعية في البرازيل</w:t>
      </w:r>
      <w:r w:rsidR="00A82657" w:rsidRPr="008572A4">
        <w:rPr>
          <w:rFonts w:hint="cs"/>
          <w:rtl/>
        </w:rPr>
        <w:t>. ويؤكد ذلك على الأهمية التي تكتسيها حماية حقوق الملكية ا</w:t>
      </w:r>
      <w:r w:rsidR="007356AB" w:rsidRPr="008572A4">
        <w:rPr>
          <w:rFonts w:hint="cs"/>
          <w:rtl/>
        </w:rPr>
        <w:t>لفكرية وتعزيزها في البرازيل كمكان</w:t>
      </w:r>
      <w:r w:rsidR="00A82657" w:rsidRPr="008572A4">
        <w:rPr>
          <w:rFonts w:hint="cs"/>
          <w:rtl/>
        </w:rPr>
        <w:t xml:space="preserve"> لتحقيق المزيد من التنمية الاجتماعية والاقتصادية، مع احترام التوازن </w:t>
      </w:r>
      <w:r w:rsidR="007356AB" w:rsidRPr="008572A4">
        <w:rPr>
          <w:rFonts w:hint="cs"/>
          <w:rtl/>
        </w:rPr>
        <w:t>في</w:t>
      </w:r>
      <w:r w:rsidR="00A82657" w:rsidRPr="008572A4">
        <w:rPr>
          <w:rFonts w:hint="cs"/>
          <w:rtl/>
        </w:rPr>
        <w:t xml:space="preserve"> الحقوق والواجبات بين المنتجين ومستخدمي التكنولوجيا.</w:t>
      </w:r>
    </w:p>
    <w:p w:rsidR="00B960D7" w:rsidRPr="008572A4" w:rsidRDefault="00B960D7" w:rsidP="00646E90">
      <w:pPr>
        <w:pStyle w:val="NormalParaAR"/>
        <w:rPr>
          <w:rtl/>
        </w:rPr>
      </w:pPr>
      <w:r w:rsidRPr="008572A4">
        <w:rPr>
          <w:rFonts w:hint="cs"/>
          <w:rtl/>
        </w:rPr>
        <w:t>و</w:t>
      </w:r>
      <w:r w:rsidRPr="008572A4">
        <w:rPr>
          <w:rtl/>
          <w:lang w:bidi="ar-EG"/>
        </w:rPr>
        <w:t>المعهد الوطني للملكية الصناعية في البرازيل</w:t>
      </w:r>
      <w:r w:rsidRPr="008572A4">
        <w:rPr>
          <w:rFonts w:hint="cs"/>
          <w:rtl/>
          <w:lang w:bidi="ar-EG"/>
        </w:rPr>
        <w:t xml:space="preserve"> هو هيئة ف</w:t>
      </w:r>
      <w:r w:rsidR="00646E90" w:rsidRPr="008572A4">
        <w:rPr>
          <w:rFonts w:hint="cs"/>
          <w:rtl/>
          <w:lang w:bidi="ar-EG"/>
        </w:rPr>
        <w:t>يدرالية تتمتع بالسلطة الكاملة، أ</w:t>
      </w:r>
      <w:r w:rsidRPr="008572A4">
        <w:rPr>
          <w:rFonts w:hint="cs"/>
          <w:rtl/>
          <w:lang w:bidi="ar-EG"/>
        </w:rPr>
        <w:t xml:space="preserve">نشئ عام </w:t>
      </w:r>
      <w:r w:rsidRPr="008572A4">
        <w:rPr>
          <w:rtl/>
          <w:lang w:bidi="ar-EG"/>
        </w:rPr>
        <w:t>1970</w:t>
      </w:r>
      <w:r w:rsidRPr="008572A4">
        <w:rPr>
          <w:rFonts w:hint="cs"/>
          <w:rtl/>
        </w:rPr>
        <w:t>، وهو اليوم تابع لوزارة الص</w:t>
      </w:r>
      <w:r w:rsidR="00646E90" w:rsidRPr="008572A4">
        <w:rPr>
          <w:rFonts w:hint="cs"/>
          <w:rtl/>
        </w:rPr>
        <w:t>ناعة والتجارة الخارجية والخدمات</w:t>
      </w:r>
      <w:r w:rsidRPr="008572A4">
        <w:rPr>
          <w:rFonts w:hint="cs"/>
          <w:rtl/>
        </w:rPr>
        <w:t>.</w:t>
      </w:r>
      <w:r w:rsidR="00646E90" w:rsidRPr="008572A4">
        <w:rPr>
          <w:rFonts w:hint="cs"/>
          <w:rtl/>
        </w:rPr>
        <w:t xml:space="preserve"> </w:t>
      </w:r>
      <w:r w:rsidRPr="008572A4">
        <w:rPr>
          <w:rFonts w:hint="cs"/>
          <w:rtl/>
        </w:rPr>
        <w:t xml:space="preserve">ويحظى المكتب بدعم قانون الملكية الصناعية </w:t>
      </w:r>
      <w:proofErr w:type="gramStart"/>
      <w:r w:rsidRPr="008572A4">
        <w:rPr>
          <w:rFonts w:hint="cs"/>
          <w:rtl/>
        </w:rPr>
        <w:t>رقم</w:t>
      </w:r>
      <w:proofErr w:type="gramEnd"/>
      <w:r w:rsidRPr="008572A4">
        <w:t> </w:t>
      </w:r>
      <w:r w:rsidR="00646E90" w:rsidRPr="008572A4">
        <w:rPr>
          <w:rFonts w:hint="cs"/>
          <w:rtl/>
        </w:rPr>
        <w:t>9.279</w:t>
      </w:r>
      <w:r w:rsidRPr="008572A4">
        <w:rPr>
          <w:rFonts w:hint="cs"/>
          <w:rtl/>
        </w:rPr>
        <w:t>/</w:t>
      </w:r>
      <w:r w:rsidRPr="008572A4">
        <w:rPr>
          <w:rtl/>
        </w:rPr>
        <w:t>96</w:t>
      </w:r>
      <w:r w:rsidRPr="008572A4">
        <w:rPr>
          <w:rFonts w:hint="cs"/>
          <w:rtl/>
        </w:rPr>
        <w:t>، ويتمثل هد</w:t>
      </w:r>
      <w:r w:rsidR="004574FC" w:rsidRPr="008572A4">
        <w:rPr>
          <w:rFonts w:hint="cs"/>
          <w:rtl/>
        </w:rPr>
        <w:t xml:space="preserve">فه الرئيسي في تطبيق المعايير التي تُنظم الملكية الصناعية في البرازيل، مع </w:t>
      </w:r>
      <w:r w:rsidR="00646E90" w:rsidRPr="008572A4">
        <w:rPr>
          <w:rFonts w:hint="cs"/>
          <w:rtl/>
        </w:rPr>
        <w:t>مراعاة</w:t>
      </w:r>
      <w:r w:rsidR="004574FC" w:rsidRPr="008572A4">
        <w:rPr>
          <w:rFonts w:hint="cs"/>
          <w:rtl/>
        </w:rPr>
        <w:t xml:space="preserve"> </w:t>
      </w:r>
      <w:r w:rsidR="007356AB" w:rsidRPr="008572A4">
        <w:rPr>
          <w:rFonts w:hint="cs"/>
          <w:rtl/>
        </w:rPr>
        <w:t>مهامه</w:t>
      </w:r>
      <w:r w:rsidR="004574FC" w:rsidRPr="008572A4">
        <w:rPr>
          <w:rFonts w:hint="cs"/>
          <w:rtl/>
        </w:rPr>
        <w:t xml:space="preserve"> الاجتماعية والاقتصادية </w:t>
      </w:r>
      <w:proofErr w:type="gramStart"/>
      <w:r w:rsidR="004574FC" w:rsidRPr="008572A4">
        <w:rPr>
          <w:rFonts w:hint="cs"/>
          <w:rtl/>
        </w:rPr>
        <w:t>والتقنية</w:t>
      </w:r>
      <w:proofErr w:type="gramEnd"/>
      <w:r w:rsidR="004574FC" w:rsidRPr="008572A4">
        <w:rPr>
          <w:rFonts w:hint="cs"/>
          <w:rtl/>
        </w:rPr>
        <w:t xml:space="preserve">. </w:t>
      </w:r>
      <w:proofErr w:type="gramStart"/>
      <w:r w:rsidR="004574FC" w:rsidRPr="008572A4">
        <w:rPr>
          <w:rFonts w:hint="cs"/>
          <w:rtl/>
        </w:rPr>
        <w:t>ومن</w:t>
      </w:r>
      <w:proofErr w:type="gramEnd"/>
      <w:r w:rsidR="004574FC" w:rsidRPr="008572A4">
        <w:rPr>
          <w:rFonts w:hint="cs"/>
          <w:rtl/>
        </w:rPr>
        <w:t xml:space="preserve"> </w:t>
      </w:r>
      <w:r w:rsidR="007356AB" w:rsidRPr="008572A4">
        <w:rPr>
          <w:rFonts w:hint="cs"/>
          <w:rtl/>
        </w:rPr>
        <w:t>مهام</w:t>
      </w:r>
      <w:r w:rsidR="004574FC" w:rsidRPr="008572A4">
        <w:rPr>
          <w:rFonts w:hint="cs"/>
          <w:rtl/>
        </w:rPr>
        <w:t xml:space="preserve"> المعهد أيضاً تقييم التكاليف المنبثقة عن تطوير الاتفاقيات والمعاهدات ذات الصلة بمسائل الملكية الصناعية والتصديق عليها، إضافة إلى</w:t>
      </w:r>
      <w:r w:rsidR="007356AB" w:rsidRPr="008572A4">
        <w:rPr>
          <w:rFonts w:hint="cs"/>
          <w:rtl/>
        </w:rPr>
        <w:t xml:space="preserve"> تقييم</w:t>
      </w:r>
      <w:r w:rsidR="004574FC" w:rsidRPr="008572A4">
        <w:rPr>
          <w:rFonts w:hint="cs"/>
          <w:rtl/>
        </w:rPr>
        <w:t xml:space="preserve"> الأرباح التي تذرها.</w:t>
      </w:r>
    </w:p>
    <w:p w:rsidR="004574FC" w:rsidRPr="008572A4" w:rsidRDefault="007356AB" w:rsidP="00646E90">
      <w:pPr>
        <w:pStyle w:val="NormalParaAR"/>
        <w:rPr>
          <w:rtl/>
        </w:rPr>
      </w:pPr>
      <w:r w:rsidRPr="008572A4">
        <w:rPr>
          <w:rFonts w:hint="cs"/>
          <w:rtl/>
        </w:rPr>
        <w:t>ويضطلع</w:t>
      </w:r>
      <w:r w:rsidR="004574FC" w:rsidRPr="008572A4">
        <w:rPr>
          <w:rFonts w:hint="cs"/>
          <w:rtl/>
        </w:rPr>
        <w:t xml:space="preserve"> </w:t>
      </w:r>
      <w:r w:rsidR="00646E90" w:rsidRPr="008572A4">
        <w:rPr>
          <w:rtl/>
          <w:lang w:bidi="ar-EG"/>
        </w:rPr>
        <w:t>المعهد الوطني للملكية الصناعية في البرازيل</w:t>
      </w:r>
      <w:r w:rsidR="00646E90" w:rsidRPr="008572A4">
        <w:rPr>
          <w:rFonts w:hint="cs"/>
          <w:rtl/>
          <w:lang w:bidi="ar-EG"/>
        </w:rPr>
        <w:t xml:space="preserve"> </w:t>
      </w:r>
      <w:r w:rsidR="004574FC" w:rsidRPr="008572A4">
        <w:rPr>
          <w:rFonts w:hint="cs"/>
          <w:rtl/>
        </w:rPr>
        <w:t>ب</w:t>
      </w:r>
      <w:r w:rsidR="00646E90" w:rsidRPr="008572A4">
        <w:rPr>
          <w:rFonts w:hint="cs"/>
          <w:rtl/>
        </w:rPr>
        <w:t>دور وجيه واستراتيجي كواحد من أص</w:t>
      </w:r>
      <w:r w:rsidR="004574FC" w:rsidRPr="008572A4">
        <w:rPr>
          <w:rFonts w:hint="cs"/>
          <w:rtl/>
        </w:rPr>
        <w:t>ح</w:t>
      </w:r>
      <w:r w:rsidR="00646E90" w:rsidRPr="008572A4">
        <w:rPr>
          <w:rFonts w:hint="cs"/>
          <w:rtl/>
        </w:rPr>
        <w:t>ا</w:t>
      </w:r>
      <w:r w:rsidR="004574FC" w:rsidRPr="008572A4">
        <w:rPr>
          <w:rFonts w:hint="cs"/>
          <w:rtl/>
        </w:rPr>
        <w:t>ب المصلحة فيما يعرف بالنظام البرازيلي للابتكار، وهو يتفاعل مع الدوائر الأكاديمية ومراكز البحث العامة في البرازيل أو خارجها، إضافة إلي القطاع الص</w:t>
      </w:r>
      <w:r w:rsidRPr="008572A4">
        <w:rPr>
          <w:rFonts w:hint="cs"/>
          <w:rtl/>
        </w:rPr>
        <w:t>ناعي. وتجدر الإشارة إلى أن</w:t>
      </w:r>
      <w:r w:rsidR="004574FC" w:rsidRPr="008572A4">
        <w:rPr>
          <w:rFonts w:hint="cs"/>
          <w:rtl/>
        </w:rPr>
        <w:t xml:space="preserve"> المعهد الوطني البرازيلي للملكية الصناعية ووزارة الصناعة والتجارة الخارجية والخدمات </w:t>
      </w:r>
      <w:r w:rsidR="00646E90" w:rsidRPr="008572A4">
        <w:rPr>
          <w:rFonts w:hint="cs"/>
          <w:rtl/>
        </w:rPr>
        <w:t xml:space="preserve">أعّدا </w:t>
      </w:r>
      <w:r w:rsidR="004574FC" w:rsidRPr="008572A4">
        <w:rPr>
          <w:rFonts w:hint="cs"/>
          <w:rtl/>
        </w:rPr>
        <w:t>معاً مشروع</w:t>
      </w:r>
      <w:r w:rsidR="00646E90" w:rsidRPr="008572A4">
        <w:rPr>
          <w:rFonts w:hint="cs"/>
          <w:rtl/>
        </w:rPr>
        <w:t>ا</w:t>
      </w:r>
      <w:r w:rsidR="004574FC" w:rsidRPr="008572A4">
        <w:rPr>
          <w:rFonts w:hint="cs"/>
          <w:rtl/>
        </w:rPr>
        <w:t xml:space="preserve"> يهدف إلى ما يلي: أ) </w:t>
      </w:r>
      <w:r w:rsidRPr="008572A4">
        <w:rPr>
          <w:rFonts w:hint="cs"/>
          <w:rtl/>
        </w:rPr>
        <w:t>تخفيف عبء</w:t>
      </w:r>
      <w:r w:rsidR="004574FC" w:rsidRPr="008572A4">
        <w:rPr>
          <w:rFonts w:hint="cs"/>
          <w:rtl/>
        </w:rPr>
        <w:t xml:space="preserve"> تراكم العمل في مجال </w:t>
      </w:r>
      <w:r w:rsidR="0089492F" w:rsidRPr="008572A4">
        <w:rPr>
          <w:rFonts w:hint="cs"/>
          <w:rtl/>
        </w:rPr>
        <w:t>البراءات؛ ب)</w:t>
      </w:r>
      <w:r w:rsidR="00646E90" w:rsidRPr="008572A4">
        <w:rPr>
          <w:rFonts w:hint="cs"/>
          <w:rtl/>
        </w:rPr>
        <w:t xml:space="preserve"> </w:t>
      </w:r>
      <w:r w:rsidR="0089492F" w:rsidRPr="008572A4">
        <w:rPr>
          <w:rFonts w:hint="cs"/>
          <w:rtl/>
        </w:rPr>
        <w:t>تحس</w:t>
      </w:r>
      <w:r w:rsidR="00FD1ED0" w:rsidRPr="008572A4">
        <w:rPr>
          <w:rFonts w:hint="cs"/>
          <w:rtl/>
        </w:rPr>
        <w:t>ين الإطار التنظيمي وإحكامه؛ ج)</w:t>
      </w:r>
      <w:r w:rsidR="00646E90" w:rsidRPr="008572A4">
        <w:rPr>
          <w:rFonts w:hint="eastAsia"/>
          <w:rtl/>
        </w:rPr>
        <w:t> </w:t>
      </w:r>
      <w:r w:rsidR="00FD1ED0" w:rsidRPr="008572A4">
        <w:rPr>
          <w:rFonts w:hint="cs"/>
          <w:rtl/>
        </w:rPr>
        <w:t>تب</w:t>
      </w:r>
      <w:r w:rsidR="0089492F" w:rsidRPr="008572A4">
        <w:rPr>
          <w:rFonts w:hint="cs"/>
          <w:rtl/>
        </w:rPr>
        <w:t xml:space="preserve">سيط وتقليص البيروقراطية التي </w:t>
      </w:r>
      <w:r w:rsidR="0089492F" w:rsidRPr="008572A4">
        <w:rPr>
          <w:rtl/>
        </w:rPr>
        <w:t>لا لزوم لها</w:t>
      </w:r>
      <w:r w:rsidR="0089492F" w:rsidRPr="008572A4">
        <w:rPr>
          <w:rFonts w:hint="cs"/>
          <w:rtl/>
        </w:rPr>
        <w:t xml:space="preserve"> دون الإخلال بالجودة؛ د) زيادة الكفاءة التشغيلية من خلال إدارة الموارد البشرية. وسوف تخضع الإجراءات المتخذة أكثر إلى </w:t>
      </w:r>
      <w:r w:rsidRPr="008572A4">
        <w:rPr>
          <w:rFonts w:hint="cs"/>
          <w:rtl/>
        </w:rPr>
        <w:t>مفهوم</w:t>
      </w:r>
      <w:r w:rsidR="0089492F" w:rsidRPr="008572A4">
        <w:rPr>
          <w:rFonts w:hint="cs"/>
          <w:rtl/>
        </w:rPr>
        <w:t xml:space="preserve"> "السعي إلى تحقيق </w:t>
      </w:r>
      <w:r w:rsidRPr="008572A4">
        <w:rPr>
          <w:rFonts w:hint="cs"/>
          <w:rtl/>
        </w:rPr>
        <w:t>الامتياز</w:t>
      </w:r>
      <w:r w:rsidR="0089492F" w:rsidRPr="008572A4">
        <w:rPr>
          <w:rFonts w:hint="cs"/>
          <w:rtl/>
        </w:rPr>
        <w:t xml:space="preserve"> في تقديم الخدمات"</w:t>
      </w:r>
      <w:r w:rsidR="004C0AC3" w:rsidRPr="008572A4">
        <w:rPr>
          <w:rFonts w:hint="cs"/>
          <w:rtl/>
        </w:rPr>
        <w:t>.</w:t>
      </w:r>
    </w:p>
    <w:p w:rsidR="00AE6CC2" w:rsidRPr="008572A4" w:rsidRDefault="00F77827" w:rsidP="00F77827">
      <w:pPr>
        <w:pStyle w:val="NormalParaAR"/>
        <w:rPr>
          <w:rtl/>
        </w:rPr>
      </w:pPr>
      <w:r w:rsidRPr="008572A4">
        <w:rPr>
          <w:rFonts w:hint="cs"/>
          <w:rtl/>
        </w:rPr>
        <w:t xml:space="preserve">ومنذ مباشرة </w:t>
      </w:r>
      <w:r w:rsidR="004C0AC3" w:rsidRPr="008572A4">
        <w:rPr>
          <w:rFonts w:hint="cs"/>
          <w:rtl/>
        </w:rPr>
        <w:t xml:space="preserve">أنشطته </w:t>
      </w:r>
      <w:r w:rsidR="004C0AC3" w:rsidRPr="008572A4">
        <w:rPr>
          <w:rtl/>
        </w:rPr>
        <w:t>كإدارة للبحث الدولي و</w:t>
      </w:r>
      <w:r w:rsidR="00904624" w:rsidRPr="008572A4">
        <w:rPr>
          <w:rFonts w:hint="cs"/>
          <w:rtl/>
        </w:rPr>
        <w:t xml:space="preserve">إدارة </w:t>
      </w:r>
      <w:r w:rsidRPr="008572A4">
        <w:rPr>
          <w:rFonts w:hint="cs"/>
          <w:rtl/>
        </w:rPr>
        <w:t>لل</w:t>
      </w:r>
      <w:r w:rsidR="004C0AC3" w:rsidRPr="008572A4">
        <w:rPr>
          <w:rtl/>
        </w:rPr>
        <w:t>فحص التمهيدي الدولي</w:t>
      </w:r>
      <w:r w:rsidR="004C0AC3" w:rsidRPr="008572A4">
        <w:rPr>
          <w:rFonts w:hint="cs"/>
          <w:rtl/>
        </w:rPr>
        <w:t xml:space="preserve"> </w:t>
      </w:r>
      <w:r w:rsidR="004C0AC3" w:rsidRPr="008572A4">
        <w:rPr>
          <w:rtl/>
        </w:rPr>
        <w:t xml:space="preserve">في إطار معاهدة </w:t>
      </w:r>
      <w:r w:rsidRPr="008572A4">
        <w:rPr>
          <w:rFonts w:hint="cs"/>
          <w:rtl/>
        </w:rPr>
        <w:t xml:space="preserve">التعاون بشأن </w:t>
      </w:r>
      <w:r w:rsidR="004C0AC3" w:rsidRPr="008572A4">
        <w:rPr>
          <w:rtl/>
        </w:rPr>
        <w:t>البراءات</w:t>
      </w:r>
      <w:r w:rsidR="004C0AC3" w:rsidRPr="008572A4">
        <w:rPr>
          <w:rFonts w:hint="cs"/>
          <w:rtl/>
        </w:rPr>
        <w:t xml:space="preserve"> في عام</w:t>
      </w:r>
      <w:r w:rsidRPr="008572A4">
        <w:rPr>
          <w:rFonts w:hint="eastAsia"/>
          <w:rtl/>
        </w:rPr>
        <w:t> </w:t>
      </w:r>
      <w:r w:rsidR="004C0AC3" w:rsidRPr="008572A4">
        <w:rPr>
          <w:rtl/>
        </w:rPr>
        <w:t>2009</w:t>
      </w:r>
      <w:r w:rsidR="004C0AC3" w:rsidRPr="008572A4">
        <w:rPr>
          <w:rFonts w:hint="cs"/>
          <w:rtl/>
        </w:rPr>
        <w:t xml:space="preserve">، حقق </w:t>
      </w:r>
      <w:r w:rsidRPr="008572A4">
        <w:rPr>
          <w:rtl/>
          <w:lang w:bidi="ar-EG"/>
        </w:rPr>
        <w:t>المعهد الوطني للملكية الصناعية في البرازيل</w:t>
      </w:r>
      <w:r w:rsidRPr="008572A4">
        <w:rPr>
          <w:rFonts w:hint="cs"/>
          <w:rtl/>
          <w:lang w:bidi="ar-EG"/>
        </w:rPr>
        <w:t xml:space="preserve"> </w:t>
      </w:r>
      <w:r w:rsidR="004C0AC3" w:rsidRPr="008572A4">
        <w:rPr>
          <w:rFonts w:hint="cs"/>
          <w:rtl/>
        </w:rPr>
        <w:t xml:space="preserve">نتائج إيجابية وهو متأهب للمضي قدماً في </w:t>
      </w:r>
      <w:r w:rsidR="007356AB" w:rsidRPr="008572A4">
        <w:rPr>
          <w:rFonts w:hint="cs"/>
          <w:rtl/>
        </w:rPr>
        <w:t>المهام</w:t>
      </w:r>
      <w:r w:rsidR="004C0AC3" w:rsidRPr="008572A4">
        <w:rPr>
          <w:rFonts w:hint="cs"/>
          <w:rtl/>
        </w:rPr>
        <w:t xml:space="preserve"> المسندة إليه. ويوضح الجدول </w:t>
      </w:r>
      <w:r w:rsidR="004C0AC3" w:rsidRPr="008572A4">
        <w:rPr>
          <w:rtl/>
        </w:rPr>
        <w:t>1</w:t>
      </w:r>
      <w:r w:rsidR="004C0AC3" w:rsidRPr="008572A4">
        <w:rPr>
          <w:rFonts w:hint="cs"/>
          <w:rtl/>
        </w:rPr>
        <w:t xml:space="preserve"> أدناه عدد الطلبات </w:t>
      </w:r>
      <w:r w:rsidR="004C0AC3" w:rsidRPr="008572A4">
        <w:rPr>
          <w:rtl/>
        </w:rPr>
        <w:t xml:space="preserve">في إطار معاهدة </w:t>
      </w:r>
      <w:r w:rsidRPr="008572A4">
        <w:rPr>
          <w:rFonts w:hint="cs"/>
          <w:rtl/>
        </w:rPr>
        <w:t xml:space="preserve">التعاون بشأن </w:t>
      </w:r>
      <w:r w:rsidR="004C0AC3" w:rsidRPr="008572A4">
        <w:rPr>
          <w:rtl/>
        </w:rPr>
        <w:t>البراءات</w:t>
      </w:r>
      <w:r w:rsidR="004C0AC3" w:rsidRPr="008572A4">
        <w:rPr>
          <w:rFonts w:hint="cs"/>
          <w:rtl/>
        </w:rPr>
        <w:t xml:space="preserve"> ذات الصلة بأنشطة المعهد، ويوضح الجدول </w:t>
      </w:r>
      <w:r w:rsidR="004C0AC3" w:rsidRPr="008572A4">
        <w:rPr>
          <w:rtl/>
        </w:rPr>
        <w:t>2</w:t>
      </w:r>
      <w:r w:rsidR="004C0AC3" w:rsidRPr="008572A4">
        <w:rPr>
          <w:rFonts w:hint="cs"/>
          <w:rtl/>
        </w:rPr>
        <w:t xml:space="preserve"> عدد الطلبات حسب المسار.</w:t>
      </w:r>
    </w:p>
    <w:p w:rsidR="00AE6CC2" w:rsidRPr="008572A4" w:rsidRDefault="00AE6CC2" w:rsidP="00904624">
      <w:pPr>
        <w:pStyle w:val="NormalParaAR"/>
        <w:rPr>
          <w:i/>
          <w:iCs/>
          <w:rtl/>
        </w:rPr>
      </w:pPr>
      <w:r w:rsidRPr="008572A4">
        <w:rPr>
          <w:rFonts w:hint="cs"/>
          <w:i/>
          <w:iCs/>
          <w:rtl/>
        </w:rPr>
        <w:lastRenderedPageBreak/>
        <w:t xml:space="preserve">الجدول </w:t>
      </w:r>
      <w:r w:rsidRPr="008572A4">
        <w:rPr>
          <w:i/>
          <w:iCs/>
          <w:rtl/>
        </w:rPr>
        <w:t>1</w:t>
      </w:r>
      <w:r w:rsidRPr="008572A4">
        <w:rPr>
          <w:rFonts w:hint="cs"/>
          <w:i/>
          <w:iCs/>
          <w:rtl/>
        </w:rPr>
        <w:t>: أنشطة</w:t>
      </w:r>
      <w:r w:rsidR="00904624" w:rsidRPr="008572A4">
        <w:rPr>
          <w:i/>
          <w:iCs/>
          <w:rtl/>
          <w:lang w:bidi="ar-EG"/>
        </w:rPr>
        <w:t xml:space="preserve"> المعهد الوطني للملكية الصناعية في البرازيل</w:t>
      </w:r>
      <w:r w:rsidR="00904624" w:rsidRPr="008572A4">
        <w:rPr>
          <w:rFonts w:hint="cs"/>
          <w:i/>
          <w:iCs/>
          <w:rtl/>
          <w:lang w:bidi="ar-EG"/>
        </w:rPr>
        <w:t xml:space="preserve"> </w:t>
      </w:r>
      <w:r w:rsidRPr="008572A4">
        <w:rPr>
          <w:i/>
          <w:iCs/>
          <w:rtl/>
        </w:rPr>
        <w:t>في إطار معاهدة التعاون بشأن البراءات</w:t>
      </w:r>
      <w:r w:rsidRPr="008572A4">
        <w:rPr>
          <w:rFonts w:hint="cs"/>
          <w:i/>
          <w:iCs/>
          <w:rtl/>
        </w:rPr>
        <w:t xml:space="preserve"> </w:t>
      </w:r>
      <w:r w:rsidR="00026D61" w:rsidRPr="008572A4">
        <w:rPr>
          <w:rFonts w:hint="cs"/>
          <w:i/>
          <w:iCs/>
          <w:rtl/>
        </w:rPr>
        <w:t>كمكتب لتسلم الطلبات</w:t>
      </w:r>
      <w:r w:rsidR="00026D61" w:rsidRPr="008572A4">
        <w:rPr>
          <w:i/>
          <w:iCs/>
        </w:rPr>
        <w:t xml:space="preserve"> </w:t>
      </w:r>
      <w:r w:rsidR="00026D61" w:rsidRPr="008572A4">
        <w:rPr>
          <w:rFonts w:hint="cs"/>
          <w:i/>
          <w:iCs/>
          <w:rtl/>
        </w:rPr>
        <w:t>و</w:t>
      </w:r>
      <w:r w:rsidR="00026D61" w:rsidRPr="008572A4">
        <w:rPr>
          <w:i/>
          <w:iCs/>
          <w:rtl/>
        </w:rPr>
        <w:t xml:space="preserve">كإدارة للبحث الدولي </w:t>
      </w:r>
      <w:r w:rsidR="00904624" w:rsidRPr="008572A4">
        <w:rPr>
          <w:rFonts w:hint="cs"/>
          <w:i/>
          <w:iCs/>
          <w:rtl/>
        </w:rPr>
        <w:t>وإ</w:t>
      </w:r>
      <w:r w:rsidR="00026D61" w:rsidRPr="008572A4">
        <w:rPr>
          <w:rFonts w:hint="cs"/>
          <w:i/>
          <w:iCs/>
          <w:rtl/>
        </w:rPr>
        <w:t>دارة ل</w:t>
      </w:r>
      <w:r w:rsidR="00026D61" w:rsidRPr="008572A4">
        <w:rPr>
          <w:i/>
          <w:iCs/>
          <w:rtl/>
        </w:rPr>
        <w:t>لفحص التمهيدي الدولي</w:t>
      </w:r>
    </w:p>
    <w:tbl>
      <w:tblPr>
        <w:tblW w:w="5000" w:type="pct"/>
        <w:tblCellMar>
          <w:left w:w="0" w:type="dxa"/>
          <w:right w:w="0" w:type="dxa"/>
        </w:tblCellMar>
        <w:tblLook w:val="04A0" w:firstRow="1" w:lastRow="0" w:firstColumn="1" w:lastColumn="0" w:noHBand="0" w:noVBand="1"/>
      </w:tblPr>
      <w:tblGrid>
        <w:gridCol w:w="1050"/>
        <w:gridCol w:w="892"/>
        <w:gridCol w:w="892"/>
        <w:gridCol w:w="892"/>
        <w:gridCol w:w="1071"/>
        <w:gridCol w:w="1071"/>
        <w:gridCol w:w="1071"/>
        <w:gridCol w:w="928"/>
        <w:gridCol w:w="1628"/>
      </w:tblGrid>
      <w:tr w:rsidR="008572A4" w:rsidRPr="008572A4" w:rsidTr="00220534">
        <w:trPr>
          <w:cantSplit/>
          <w:trHeight w:val="288"/>
        </w:trPr>
        <w:tc>
          <w:tcPr>
            <w:tcW w:w="105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b/>
                <w:bCs/>
                <w:lang w:val="en-GB"/>
              </w:rPr>
            </w:pPr>
            <w:r w:rsidRPr="008572A4">
              <w:rPr>
                <w:b/>
                <w:bCs/>
                <w:rtl/>
                <w:lang w:val="en-GB"/>
              </w:rPr>
              <w:t>2016</w:t>
            </w:r>
          </w:p>
        </w:tc>
        <w:tc>
          <w:tcPr>
            <w:tcW w:w="8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b/>
                <w:bCs/>
                <w:rtl/>
                <w:lang w:val="en-GB"/>
              </w:rPr>
              <w:t>2015</w:t>
            </w:r>
          </w:p>
        </w:tc>
        <w:tc>
          <w:tcPr>
            <w:tcW w:w="8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b/>
                <w:bCs/>
                <w:rtl/>
                <w:lang w:val="en-GB"/>
              </w:rPr>
              <w:t>2014</w:t>
            </w:r>
          </w:p>
        </w:tc>
        <w:tc>
          <w:tcPr>
            <w:tcW w:w="8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b/>
                <w:bCs/>
                <w:rtl/>
                <w:lang w:val="en-GB"/>
              </w:rPr>
              <w:t>2013</w:t>
            </w:r>
          </w:p>
        </w:tc>
        <w:tc>
          <w:tcPr>
            <w:tcW w:w="107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b/>
                <w:bCs/>
                <w:rtl/>
                <w:lang w:val="en-GB"/>
              </w:rPr>
              <w:t>2012</w:t>
            </w:r>
          </w:p>
        </w:tc>
        <w:tc>
          <w:tcPr>
            <w:tcW w:w="107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b/>
                <w:bCs/>
                <w:rtl/>
                <w:lang w:val="en-GB"/>
              </w:rPr>
              <w:t>2011</w:t>
            </w:r>
          </w:p>
        </w:tc>
        <w:tc>
          <w:tcPr>
            <w:tcW w:w="107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b/>
                <w:bCs/>
                <w:rtl/>
                <w:lang w:val="en-GB"/>
              </w:rPr>
              <w:t>2010</w:t>
            </w:r>
          </w:p>
        </w:tc>
        <w:tc>
          <w:tcPr>
            <w:tcW w:w="92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b/>
                <w:bCs/>
                <w:rtl/>
                <w:lang w:val="en-GB"/>
              </w:rPr>
              <w:t>2009</w:t>
            </w:r>
          </w:p>
        </w:tc>
        <w:tc>
          <w:tcPr>
            <w:tcW w:w="162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lang w:val="en-GB"/>
              </w:rPr>
              <w:t> </w:t>
            </w:r>
          </w:p>
        </w:tc>
      </w:tr>
      <w:tr w:rsidR="008572A4" w:rsidRPr="008572A4" w:rsidTr="00220534">
        <w:trPr>
          <w:cantSplit/>
          <w:trHeight w:val="288"/>
        </w:trPr>
        <w:tc>
          <w:tcPr>
            <w:tcW w:w="10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528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481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513</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617</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rtl/>
                <w:lang w:val="en-GB"/>
              </w:rPr>
              <w:t>561</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519</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447</w:t>
            </w:r>
          </w:p>
        </w:tc>
        <w:tc>
          <w:tcPr>
            <w:tcW w:w="9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442</w:t>
            </w:r>
          </w:p>
        </w:tc>
        <w:tc>
          <w:tcPr>
            <w:tcW w:w="16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b/>
                <w:bCs/>
                <w:lang w:val="en-GB"/>
              </w:rPr>
            </w:pPr>
            <w:proofErr w:type="gramStart"/>
            <w:r w:rsidRPr="008572A4">
              <w:rPr>
                <w:rFonts w:hint="cs"/>
                <w:b/>
                <w:bCs/>
                <w:rtl/>
                <w:lang w:val="en-GB"/>
              </w:rPr>
              <w:t>مكتب</w:t>
            </w:r>
            <w:proofErr w:type="gramEnd"/>
            <w:r w:rsidRPr="008572A4">
              <w:rPr>
                <w:rFonts w:hint="cs"/>
                <w:b/>
                <w:bCs/>
                <w:rtl/>
                <w:lang w:val="en-GB"/>
              </w:rPr>
              <w:t xml:space="preserve"> تسلم الطلبات/البرازيل</w:t>
            </w:r>
          </w:p>
        </w:tc>
      </w:tr>
      <w:tr w:rsidR="008572A4" w:rsidRPr="008572A4" w:rsidTr="00220534">
        <w:trPr>
          <w:cantSplit/>
          <w:trHeight w:val="288"/>
        </w:trPr>
        <w:tc>
          <w:tcPr>
            <w:tcW w:w="10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lang w:val="en-GB"/>
              </w:rPr>
            </w:pPr>
            <w:r w:rsidRPr="008572A4">
              <w:rPr>
                <w:rtl/>
                <w:lang w:val="en-GB"/>
              </w:rPr>
              <w:t>433</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026D61">
            <w:pPr>
              <w:pStyle w:val="NormalParaAR"/>
              <w:rPr>
                <w:lang w:val="en-GB"/>
              </w:rPr>
            </w:pPr>
            <w:r w:rsidRPr="008572A4">
              <w:rPr>
                <w:rtl/>
                <w:lang w:val="en-GB"/>
              </w:rPr>
              <w:t>438</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lang w:val="en-GB"/>
              </w:rPr>
            </w:pPr>
            <w:r w:rsidRPr="008572A4">
              <w:rPr>
                <w:rtl/>
                <w:lang w:val="en-GB"/>
              </w:rPr>
              <w:t>444</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lang w:val="en-GB"/>
              </w:rPr>
            </w:pPr>
            <w:r w:rsidRPr="008572A4">
              <w:rPr>
                <w:rtl/>
                <w:lang w:val="en-GB"/>
              </w:rPr>
              <w:t>504</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rtl/>
                <w:lang w:val="en-GB"/>
              </w:rPr>
              <w:t>424</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424</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tl/>
                <w:lang w:val="en-GB"/>
              </w:rPr>
              <w:t>331</w:t>
            </w:r>
          </w:p>
        </w:tc>
        <w:tc>
          <w:tcPr>
            <w:tcW w:w="9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Style w:val="FootnoteReference"/>
                <w:lang w:val="en-GB"/>
              </w:rPr>
              <w:footnoteReference w:id="1"/>
            </w:r>
            <w:r w:rsidRPr="008572A4">
              <w:rPr>
                <w:lang w:val="en-GB"/>
              </w:rPr>
              <w:t>*65</w:t>
            </w:r>
          </w:p>
        </w:tc>
        <w:tc>
          <w:tcPr>
            <w:tcW w:w="16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b/>
                <w:bCs/>
                <w:lang w:val="en-GB"/>
              </w:rPr>
            </w:pPr>
            <w:proofErr w:type="gramStart"/>
            <w:r w:rsidRPr="008572A4">
              <w:rPr>
                <w:b/>
                <w:bCs/>
                <w:rtl/>
              </w:rPr>
              <w:t>إدارة</w:t>
            </w:r>
            <w:proofErr w:type="gramEnd"/>
            <w:r w:rsidRPr="008572A4">
              <w:rPr>
                <w:b/>
                <w:bCs/>
                <w:rtl/>
              </w:rPr>
              <w:t xml:space="preserve"> للبحث الدولي</w:t>
            </w:r>
            <w:r w:rsidRPr="008572A4">
              <w:rPr>
                <w:rFonts w:hint="cs"/>
                <w:b/>
                <w:bCs/>
                <w:rtl/>
                <w:lang w:val="en-GB"/>
              </w:rPr>
              <w:t>/البرازيل</w:t>
            </w:r>
          </w:p>
        </w:tc>
      </w:tr>
      <w:tr w:rsidR="008572A4" w:rsidRPr="008572A4" w:rsidTr="00220534">
        <w:trPr>
          <w:cantSplit/>
          <w:trHeight w:val="288"/>
        </w:trPr>
        <w:tc>
          <w:tcPr>
            <w:tcW w:w="10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rtl/>
                <w:lang w:val="en-GB"/>
              </w:rPr>
            </w:pPr>
            <w:r w:rsidRPr="008572A4">
              <w:rPr>
                <w:rtl/>
                <w:lang w:val="en-GB"/>
              </w:rPr>
              <w:t>46</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lang w:val="en-GB"/>
              </w:rPr>
            </w:pPr>
            <w:r w:rsidRPr="008572A4">
              <w:rPr>
                <w:rtl/>
                <w:lang w:val="en-GB"/>
              </w:rPr>
              <w:t>44</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lang w:val="en-GB"/>
              </w:rPr>
            </w:pPr>
            <w:r w:rsidRPr="008572A4">
              <w:rPr>
                <w:rtl/>
                <w:lang w:val="en-GB"/>
              </w:rPr>
              <w:t>51</w:t>
            </w:r>
          </w:p>
        </w:tc>
        <w:tc>
          <w:tcPr>
            <w:tcW w:w="8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lang w:val="en-GB"/>
              </w:rPr>
            </w:pPr>
            <w:r w:rsidRPr="008572A4">
              <w:rPr>
                <w:rtl/>
                <w:lang w:val="en-GB"/>
              </w:rPr>
              <w:t>41</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AE6CC2" w:rsidP="00AE6CC2">
            <w:pPr>
              <w:pStyle w:val="NormalParaAR"/>
              <w:rPr>
                <w:lang w:val="en-GB"/>
              </w:rPr>
            </w:pPr>
            <w:r w:rsidRPr="008572A4">
              <w:rPr>
                <w:rtl/>
                <w:lang w:val="en-GB"/>
              </w:rPr>
              <w:t>48</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lang w:val="en-GB"/>
              </w:rPr>
            </w:pPr>
            <w:r w:rsidRPr="008572A4">
              <w:rPr>
                <w:rtl/>
                <w:lang w:val="en-GB"/>
              </w:rPr>
              <w:t>22</w:t>
            </w:r>
          </w:p>
        </w:tc>
        <w:tc>
          <w:tcPr>
            <w:tcW w:w="10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6F3D2C" w:rsidP="00AE6CC2">
            <w:pPr>
              <w:pStyle w:val="NormalParaAR"/>
              <w:rPr>
                <w:lang w:val="en-GB"/>
              </w:rPr>
            </w:pPr>
            <w:r w:rsidRPr="008572A4">
              <w:rPr>
                <w:rtl/>
                <w:lang w:val="en-GB"/>
              </w:rPr>
              <w:t>15</w:t>
            </w:r>
          </w:p>
        </w:tc>
        <w:tc>
          <w:tcPr>
            <w:tcW w:w="9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lang w:val="en-GB"/>
              </w:rPr>
            </w:pPr>
            <w:r w:rsidRPr="008572A4">
              <w:rPr>
                <w:rStyle w:val="FootnoteReference"/>
              </w:rPr>
              <w:footnoteReference w:id="2"/>
            </w:r>
            <w:r w:rsidRPr="008572A4">
              <w:t>*7</w:t>
            </w:r>
          </w:p>
        </w:tc>
        <w:tc>
          <w:tcPr>
            <w:tcW w:w="16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6CC2" w:rsidRPr="008572A4" w:rsidRDefault="00026D61" w:rsidP="00AE6CC2">
            <w:pPr>
              <w:pStyle w:val="NormalParaAR"/>
              <w:rPr>
                <w:b/>
                <w:bCs/>
                <w:lang w:val="en-GB"/>
              </w:rPr>
            </w:pPr>
            <w:proofErr w:type="gramStart"/>
            <w:r w:rsidRPr="008572A4">
              <w:rPr>
                <w:rFonts w:hint="cs"/>
                <w:b/>
                <w:bCs/>
                <w:rtl/>
              </w:rPr>
              <w:t>إدارة</w:t>
            </w:r>
            <w:proofErr w:type="gramEnd"/>
            <w:r w:rsidRPr="008572A4">
              <w:rPr>
                <w:rFonts w:hint="cs"/>
                <w:b/>
                <w:bCs/>
                <w:rtl/>
              </w:rPr>
              <w:t xml:space="preserve"> ل</w:t>
            </w:r>
            <w:r w:rsidRPr="008572A4">
              <w:rPr>
                <w:b/>
                <w:bCs/>
                <w:rtl/>
              </w:rPr>
              <w:t>لفحص التمهيدي الدولي</w:t>
            </w:r>
            <w:r w:rsidRPr="008572A4">
              <w:rPr>
                <w:rFonts w:hint="cs"/>
                <w:b/>
                <w:bCs/>
                <w:rtl/>
                <w:lang w:val="en-GB"/>
              </w:rPr>
              <w:t>/البرازيل</w:t>
            </w:r>
          </w:p>
        </w:tc>
      </w:tr>
    </w:tbl>
    <w:p w:rsidR="00AE6CC2" w:rsidRPr="008572A4" w:rsidRDefault="006F3D2C" w:rsidP="00904624">
      <w:pPr>
        <w:pStyle w:val="NormalParaAR"/>
        <w:spacing w:before="240"/>
        <w:rPr>
          <w:i/>
          <w:iCs/>
          <w:rtl/>
        </w:rPr>
      </w:pPr>
      <w:r w:rsidRPr="008572A4">
        <w:rPr>
          <w:rFonts w:hint="cs"/>
          <w:i/>
          <w:iCs/>
          <w:rtl/>
        </w:rPr>
        <w:t xml:space="preserve">الجدول </w:t>
      </w:r>
      <w:r w:rsidRPr="008572A4">
        <w:rPr>
          <w:i/>
          <w:iCs/>
          <w:rtl/>
        </w:rPr>
        <w:t>2</w:t>
      </w:r>
      <w:r w:rsidRPr="008572A4">
        <w:rPr>
          <w:rFonts w:hint="cs"/>
          <w:i/>
          <w:iCs/>
          <w:rtl/>
        </w:rPr>
        <w:t>:</w:t>
      </w:r>
      <w:r w:rsidR="00DE1D95">
        <w:rPr>
          <w:rFonts w:hint="cs"/>
          <w:i/>
          <w:iCs/>
          <w:rtl/>
        </w:rPr>
        <w:t xml:space="preserve"> عدد</w:t>
      </w:r>
      <w:r w:rsidRPr="008572A4">
        <w:rPr>
          <w:rFonts w:hint="cs"/>
          <w:i/>
          <w:iCs/>
          <w:rtl/>
        </w:rPr>
        <w:t xml:space="preserve"> الطلبات</w:t>
      </w:r>
      <w:r w:rsidR="00DE1D95">
        <w:rPr>
          <w:rFonts w:hint="cs"/>
          <w:i/>
          <w:iCs/>
          <w:rtl/>
        </w:rPr>
        <w:t>-</w:t>
      </w:r>
      <w:r w:rsidRPr="008572A4">
        <w:rPr>
          <w:rFonts w:hint="cs"/>
          <w:i/>
          <w:iCs/>
          <w:rtl/>
        </w:rPr>
        <w:t xml:space="preserve"> </w:t>
      </w:r>
      <w:r w:rsidR="00DE1D95">
        <w:rPr>
          <w:rFonts w:hint="cs"/>
          <w:i/>
          <w:iCs/>
          <w:rtl/>
        </w:rPr>
        <w:t>ب</w:t>
      </w:r>
      <w:r w:rsidRPr="008572A4">
        <w:rPr>
          <w:rFonts w:hint="cs"/>
          <w:i/>
          <w:iCs/>
          <w:rtl/>
        </w:rPr>
        <w:t>حسب المسار</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350"/>
        <w:gridCol w:w="1350"/>
        <w:gridCol w:w="1350"/>
        <w:gridCol w:w="2426"/>
      </w:tblGrid>
      <w:tr w:rsidR="008572A4" w:rsidRPr="008572A4" w:rsidTr="00220534">
        <w:trPr>
          <w:cantSplit/>
        </w:trPr>
        <w:tc>
          <w:tcPr>
            <w:tcW w:w="1440" w:type="dxa"/>
            <w:tcBorders>
              <w:top w:val="single" w:sz="4" w:space="0" w:color="auto"/>
              <w:left w:val="single" w:sz="4" w:space="0" w:color="auto"/>
              <w:bottom w:val="single" w:sz="4" w:space="0" w:color="auto"/>
              <w:right w:val="single" w:sz="4" w:space="0" w:color="auto"/>
            </w:tcBorders>
            <w:vAlign w:val="center"/>
            <w:hideMark/>
          </w:tcPr>
          <w:p w:rsidR="006F3D2C" w:rsidRPr="008572A4" w:rsidRDefault="006F3D2C" w:rsidP="006F3D2C">
            <w:pPr>
              <w:pStyle w:val="NormalParaAR"/>
              <w:jc w:val="center"/>
              <w:rPr>
                <w:b/>
                <w:bCs/>
              </w:rPr>
            </w:pPr>
            <w:r w:rsidRPr="008572A4">
              <w:rPr>
                <w:b/>
                <w:bCs/>
                <w:rtl/>
              </w:rPr>
              <w:t>2015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6F3D2C" w:rsidRPr="008572A4" w:rsidRDefault="006F3D2C" w:rsidP="006F3D2C">
            <w:pPr>
              <w:pStyle w:val="NormalParaAR"/>
              <w:jc w:val="center"/>
              <w:rPr>
                <w:b/>
                <w:bCs/>
              </w:rPr>
            </w:pPr>
            <w:r w:rsidRPr="008572A4">
              <w:rPr>
                <w:b/>
                <w:bCs/>
                <w:rtl/>
              </w:rPr>
              <w:t>2014</w:t>
            </w:r>
          </w:p>
        </w:tc>
        <w:tc>
          <w:tcPr>
            <w:tcW w:w="1350" w:type="dxa"/>
            <w:tcBorders>
              <w:top w:val="single" w:sz="4" w:space="0" w:color="auto"/>
              <w:left w:val="single" w:sz="4" w:space="0" w:color="auto"/>
              <w:bottom w:val="single" w:sz="4" w:space="0" w:color="auto"/>
              <w:right w:val="single" w:sz="4" w:space="0" w:color="auto"/>
            </w:tcBorders>
            <w:vAlign w:val="center"/>
            <w:hideMark/>
          </w:tcPr>
          <w:p w:rsidR="006F3D2C" w:rsidRPr="008572A4" w:rsidRDefault="006F3D2C" w:rsidP="006F3D2C">
            <w:pPr>
              <w:pStyle w:val="NormalParaAR"/>
              <w:jc w:val="center"/>
              <w:rPr>
                <w:b/>
                <w:bCs/>
              </w:rPr>
            </w:pPr>
            <w:r w:rsidRPr="008572A4">
              <w:rPr>
                <w:b/>
                <w:bCs/>
                <w:rtl/>
              </w:rPr>
              <w:t>2013</w:t>
            </w:r>
          </w:p>
        </w:tc>
        <w:tc>
          <w:tcPr>
            <w:tcW w:w="1350" w:type="dxa"/>
            <w:tcBorders>
              <w:top w:val="single" w:sz="4" w:space="0" w:color="auto"/>
              <w:left w:val="single" w:sz="4" w:space="0" w:color="auto"/>
              <w:bottom w:val="single" w:sz="4" w:space="0" w:color="auto"/>
              <w:right w:val="single" w:sz="4" w:space="0" w:color="auto"/>
            </w:tcBorders>
            <w:vAlign w:val="center"/>
            <w:hideMark/>
          </w:tcPr>
          <w:p w:rsidR="006F3D2C" w:rsidRPr="008572A4" w:rsidRDefault="006F3D2C" w:rsidP="006F3D2C">
            <w:pPr>
              <w:pStyle w:val="NormalParaAR"/>
              <w:jc w:val="center"/>
              <w:rPr>
                <w:b/>
                <w:bCs/>
              </w:rPr>
            </w:pPr>
            <w:r w:rsidRPr="008572A4">
              <w:rPr>
                <w:b/>
                <w:bCs/>
                <w:rtl/>
              </w:rPr>
              <w:t>2012</w:t>
            </w:r>
          </w:p>
        </w:tc>
        <w:tc>
          <w:tcPr>
            <w:tcW w:w="1350" w:type="dxa"/>
            <w:tcBorders>
              <w:top w:val="single" w:sz="4" w:space="0" w:color="auto"/>
              <w:left w:val="single" w:sz="4" w:space="0" w:color="auto"/>
              <w:bottom w:val="single" w:sz="4" w:space="0" w:color="auto"/>
              <w:right w:val="single" w:sz="4" w:space="0" w:color="auto"/>
            </w:tcBorders>
            <w:vAlign w:val="center"/>
            <w:hideMark/>
          </w:tcPr>
          <w:p w:rsidR="006F3D2C" w:rsidRPr="008572A4" w:rsidRDefault="006F3D2C" w:rsidP="006F3D2C">
            <w:pPr>
              <w:pStyle w:val="NormalParaAR"/>
              <w:jc w:val="center"/>
              <w:rPr>
                <w:b/>
                <w:bCs/>
              </w:rPr>
            </w:pPr>
            <w:r w:rsidRPr="008572A4">
              <w:rPr>
                <w:b/>
                <w:bCs/>
                <w:rtl/>
              </w:rPr>
              <w:t>2011</w:t>
            </w:r>
          </w:p>
        </w:tc>
        <w:tc>
          <w:tcPr>
            <w:tcW w:w="2426" w:type="dxa"/>
            <w:tcBorders>
              <w:top w:val="single" w:sz="4" w:space="0" w:color="auto"/>
              <w:left w:val="single" w:sz="4" w:space="0" w:color="auto"/>
              <w:bottom w:val="single" w:sz="4" w:space="0" w:color="auto"/>
              <w:right w:val="single" w:sz="4" w:space="0" w:color="auto"/>
            </w:tcBorders>
          </w:tcPr>
          <w:p w:rsidR="006F3D2C" w:rsidRPr="008572A4" w:rsidRDefault="006F3D2C" w:rsidP="006F3D2C">
            <w:pPr>
              <w:pStyle w:val="NormalParaAR"/>
              <w:jc w:val="right"/>
              <w:rPr>
                <w:b/>
                <w:bCs/>
                <w:rtl/>
              </w:rPr>
            </w:pPr>
            <w:r w:rsidRPr="008572A4">
              <w:rPr>
                <w:rFonts w:hint="cs"/>
                <w:b/>
                <w:bCs/>
                <w:noProof/>
                <w:rtl/>
              </w:rPr>
              <mc:AlternateContent>
                <mc:Choice Requires="wps">
                  <w:drawing>
                    <wp:anchor distT="0" distB="0" distL="114300" distR="114300" simplePos="0" relativeHeight="251659264" behindDoc="0" locked="0" layoutInCell="1" allowOverlap="1" wp14:anchorId="6E8E8353" wp14:editId="6C510AE0">
                      <wp:simplePos x="0" y="0"/>
                      <wp:positionH relativeFrom="column">
                        <wp:posOffset>-58420</wp:posOffset>
                      </wp:positionH>
                      <wp:positionV relativeFrom="paragraph">
                        <wp:posOffset>-1270</wp:posOffset>
                      </wp:positionV>
                      <wp:extent cx="1574800" cy="749300"/>
                      <wp:effectExtent l="0" t="0" r="25400" b="31750"/>
                      <wp:wrapNone/>
                      <wp:docPr id="4" name="Connecteur droit 4"/>
                      <wp:cNvGraphicFramePr/>
                      <a:graphic xmlns:a="http://schemas.openxmlformats.org/drawingml/2006/main">
                        <a:graphicData uri="http://schemas.microsoft.com/office/word/2010/wordprocessingShape">
                          <wps:wsp>
                            <wps:cNvCnPr/>
                            <wps:spPr>
                              <a:xfrm flipH="1">
                                <a:off x="0" y="0"/>
                                <a:ext cx="1574800" cy="749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6pt,-.1pt" to="119.4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" strokecolor="black [3213]"/>
                  </w:pict>
                </mc:Fallback>
              </mc:AlternateContent>
            </w:r>
            <w:r w:rsidRPr="008572A4">
              <w:rPr>
                <w:rFonts w:hint="cs"/>
                <w:b/>
                <w:bCs/>
                <w:rtl/>
              </w:rPr>
              <w:t>السنة</w:t>
            </w:r>
          </w:p>
          <w:p w:rsidR="006F3D2C" w:rsidRPr="008572A4" w:rsidRDefault="006F3D2C" w:rsidP="006F3D2C">
            <w:pPr>
              <w:pStyle w:val="NormalParaAR"/>
              <w:rPr>
                <w:b/>
                <w:bCs/>
              </w:rPr>
            </w:pPr>
            <w:r w:rsidRPr="008572A4">
              <w:rPr>
                <w:rFonts w:hint="cs"/>
                <w:b/>
                <w:bCs/>
                <w:rtl/>
              </w:rPr>
              <w:t>المسار</w:t>
            </w:r>
          </w:p>
        </w:tc>
      </w:tr>
      <w:tr w:rsidR="008572A4" w:rsidRPr="008572A4" w:rsidTr="00220534">
        <w:trPr>
          <w:cantSplit/>
        </w:trPr>
        <w:tc>
          <w:tcPr>
            <w:tcW w:w="1440" w:type="dxa"/>
            <w:tcBorders>
              <w:top w:val="single" w:sz="4" w:space="0" w:color="auto"/>
              <w:left w:val="single" w:sz="4" w:space="0" w:color="auto"/>
              <w:bottom w:val="single" w:sz="4" w:space="0" w:color="auto"/>
              <w:right w:val="single" w:sz="4" w:space="0" w:color="auto"/>
            </w:tcBorders>
          </w:tcPr>
          <w:p w:rsidR="006F3D2C" w:rsidRPr="008572A4" w:rsidRDefault="0033719D" w:rsidP="0033719D">
            <w:pPr>
              <w:pStyle w:val="NormalParaAR"/>
            </w:pPr>
            <w:r w:rsidRPr="008572A4">
              <w:rPr>
                <w:rFonts w:hint="cs"/>
                <w:rtl/>
              </w:rPr>
              <w:t>467 22</w:t>
            </w:r>
          </w:p>
        </w:tc>
        <w:tc>
          <w:tcPr>
            <w:tcW w:w="1350" w:type="dxa"/>
            <w:tcBorders>
              <w:top w:val="single" w:sz="4" w:space="0" w:color="auto"/>
              <w:left w:val="single" w:sz="4" w:space="0" w:color="auto"/>
              <w:bottom w:val="single" w:sz="4" w:space="0" w:color="auto"/>
              <w:right w:val="single" w:sz="4" w:space="0" w:color="auto"/>
            </w:tcBorders>
          </w:tcPr>
          <w:p w:rsidR="006F3D2C" w:rsidRPr="008572A4" w:rsidRDefault="0033719D" w:rsidP="0033719D">
            <w:pPr>
              <w:pStyle w:val="NormalParaAR"/>
            </w:pPr>
            <w:r w:rsidRPr="008572A4">
              <w:rPr>
                <w:rFonts w:hint="cs"/>
                <w:rtl/>
              </w:rPr>
              <w:t>642 22</w:t>
            </w:r>
            <w:r w:rsidR="006F3D2C" w:rsidRPr="008572A4">
              <w:t> </w:t>
            </w:r>
          </w:p>
        </w:tc>
        <w:tc>
          <w:tcPr>
            <w:tcW w:w="1350" w:type="dxa"/>
            <w:tcBorders>
              <w:top w:val="single" w:sz="4" w:space="0" w:color="auto"/>
              <w:left w:val="single" w:sz="4" w:space="0" w:color="auto"/>
              <w:bottom w:val="single" w:sz="4" w:space="0" w:color="auto"/>
              <w:right w:val="single" w:sz="4" w:space="0" w:color="auto"/>
            </w:tcBorders>
          </w:tcPr>
          <w:p w:rsidR="006F3D2C" w:rsidRPr="008572A4" w:rsidRDefault="0033719D" w:rsidP="006F3D2C">
            <w:pPr>
              <w:pStyle w:val="NormalParaAR"/>
            </w:pPr>
            <w:r w:rsidRPr="008572A4">
              <w:rPr>
                <w:rFonts w:hint="cs"/>
                <w:rtl/>
              </w:rPr>
              <w:t>610 22</w:t>
            </w:r>
          </w:p>
        </w:tc>
        <w:tc>
          <w:tcPr>
            <w:tcW w:w="1350" w:type="dxa"/>
            <w:tcBorders>
              <w:top w:val="single" w:sz="4" w:space="0" w:color="auto"/>
              <w:left w:val="single" w:sz="4" w:space="0" w:color="auto"/>
              <w:bottom w:val="single" w:sz="4" w:space="0" w:color="auto"/>
              <w:right w:val="single" w:sz="4" w:space="0" w:color="auto"/>
            </w:tcBorders>
          </w:tcPr>
          <w:p w:rsidR="006F3D2C" w:rsidRPr="008572A4" w:rsidRDefault="0033719D" w:rsidP="006F3D2C">
            <w:pPr>
              <w:pStyle w:val="NormalParaAR"/>
            </w:pPr>
            <w:r w:rsidRPr="008572A4">
              <w:rPr>
                <w:rFonts w:hint="cs"/>
                <w:rtl/>
              </w:rPr>
              <w:t>658 22</w:t>
            </w:r>
          </w:p>
        </w:tc>
        <w:tc>
          <w:tcPr>
            <w:tcW w:w="1350" w:type="dxa"/>
            <w:tcBorders>
              <w:top w:val="single" w:sz="4" w:space="0" w:color="auto"/>
              <w:left w:val="single" w:sz="4" w:space="0" w:color="auto"/>
              <w:bottom w:val="single" w:sz="4" w:space="0" w:color="auto"/>
              <w:right w:val="single" w:sz="4" w:space="0" w:color="auto"/>
            </w:tcBorders>
          </w:tcPr>
          <w:p w:rsidR="006F3D2C" w:rsidRPr="008572A4" w:rsidRDefault="0033719D" w:rsidP="006F3D2C">
            <w:pPr>
              <w:pStyle w:val="NormalParaAR"/>
            </w:pPr>
            <w:r w:rsidRPr="008572A4">
              <w:rPr>
                <w:rFonts w:hint="cs"/>
                <w:rtl/>
              </w:rPr>
              <w:t>341 21</w:t>
            </w:r>
          </w:p>
        </w:tc>
        <w:tc>
          <w:tcPr>
            <w:tcW w:w="2426" w:type="dxa"/>
            <w:tcBorders>
              <w:top w:val="single" w:sz="4" w:space="0" w:color="auto"/>
              <w:left w:val="single" w:sz="4" w:space="0" w:color="auto"/>
              <w:bottom w:val="single" w:sz="4" w:space="0" w:color="auto"/>
              <w:right w:val="single" w:sz="4" w:space="0" w:color="auto"/>
            </w:tcBorders>
          </w:tcPr>
          <w:p w:rsidR="006F3D2C" w:rsidRPr="008572A4" w:rsidRDefault="006F3D2C" w:rsidP="00DE1D95">
            <w:pPr>
              <w:pStyle w:val="NormalParaAR"/>
              <w:rPr>
                <w:b/>
                <w:bCs/>
              </w:rPr>
            </w:pPr>
            <w:r w:rsidRPr="008572A4">
              <w:rPr>
                <w:b/>
                <w:bCs/>
                <w:rtl/>
              </w:rPr>
              <w:t xml:space="preserve">دخول المرحلة الوطنية </w:t>
            </w:r>
            <w:r w:rsidR="00220534" w:rsidRPr="008572A4">
              <w:rPr>
                <w:rFonts w:hint="cs"/>
                <w:b/>
                <w:bCs/>
                <w:rtl/>
              </w:rPr>
              <w:t>في إطار</w:t>
            </w:r>
            <w:r w:rsidRPr="008572A4">
              <w:rPr>
                <w:b/>
                <w:bCs/>
                <w:rtl/>
              </w:rPr>
              <w:t xml:space="preserve"> معاهدة التعاون بشأن</w:t>
            </w:r>
            <w:r w:rsidR="00DE1D95">
              <w:rPr>
                <w:rFonts w:hint="cs"/>
                <w:b/>
                <w:bCs/>
                <w:rtl/>
              </w:rPr>
              <w:t> </w:t>
            </w:r>
            <w:r w:rsidRPr="008572A4">
              <w:rPr>
                <w:b/>
                <w:bCs/>
                <w:rtl/>
              </w:rPr>
              <w:t>البراءات</w:t>
            </w:r>
          </w:p>
        </w:tc>
      </w:tr>
      <w:tr w:rsidR="008572A4" w:rsidRPr="008572A4" w:rsidTr="00220534">
        <w:trPr>
          <w:cantSplit/>
        </w:trPr>
        <w:tc>
          <w:tcPr>
            <w:tcW w:w="1440" w:type="dxa"/>
            <w:tcBorders>
              <w:top w:val="single" w:sz="4" w:space="0" w:color="auto"/>
              <w:left w:val="single" w:sz="4" w:space="0" w:color="auto"/>
              <w:bottom w:val="single" w:sz="4" w:space="0" w:color="auto"/>
              <w:right w:val="single" w:sz="4" w:space="0" w:color="auto"/>
            </w:tcBorders>
          </w:tcPr>
          <w:p w:rsidR="006F3D2C" w:rsidRPr="008572A4" w:rsidRDefault="0033719D" w:rsidP="0033719D">
            <w:pPr>
              <w:pStyle w:val="NormalParaAR"/>
            </w:pPr>
            <w:r w:rsidRPr="008572A4">
              <w:rPr>
                <w:rFonts w:hint="cs"/>
                <w:rtl/>
              </w:rPr>
              <w:t>750 7</w:t>
            </w:r>
            <w:r w:rsidR="006F3D2C" w:rsidRPr="008572A4">
              <w:t> </w:t>
            </w:r>
          </w:p>
        </w:tc>
        <w:tc>
          <w:tcPr>
            <w:tcW w:w="1350" w:type="dxa"/>
            <w:tcBorders>
              <w:top w:val="single" w:sz="4" w:space="0" w:color="auto"/>
              <w:left w:val="single" w:sz="4" w:space="0" w:color="auto"/>
              <w:bottom w:val="single" w:sz="4" w:space="0" w:color="auto"/>
              <w:right w:val="single" w:sz="4" w:space="0" w:color="auto"/>
            </w:tcBorders>
          </w:tcPr>
          <w:p w:rsidR="006F3D2C" w:rsidRPr="008572A4" w:rsidRDefault="0033719D" w:rsidP="006F3D2C">
            <w:pPr>
              <w:pStyle w:val="NormalParaAR"/>
            </w:pPr>
            <w:r w:rsidRPr="008572A4">
              <w:rPr>
                <w:rFonts w:hint="cs"/>
                <w:rtl/>
              </w:rPr>
              <w:t>699 7</w:t>
            </w:r>
          </w:p>
        </w:tc>
        <w:tc>
          <w:tcPr>
            <w:tcW w:w="1350" w:type="dxa"/>
            <w:tcBorders>
              <w:top w:val="single" w:sz="4" w:space="0" w:color="auto"/>
              <w:left w:val="single" w:sz="4" w:space="0" w:color="auto"/>
              <w:bottom w:val="single" w:sz="4" w:space="0" w:color="auto"/>
              <w:right w:val="single" w:sz="4" w:space="0" w:color="auto"/>
            </w:tcBorders>
          </w:tcPr>
          <w:p w:rsidR="006F3D2C" w:rsidRPr="008572A4" w:rsidRDefault="006F3D2C" w:rsidP="006F3D2C">
            <w:pPr>
              <w:pStyle w:val="NormalParaAR"/>
            </w:pPr>
            <w:r w:rsidRPr="008572A4">
              <w:rPr>
                <w:rtl/>
              </w:rPr>
              <w:t>8</w:t>
            </w:r>
            <w:r w:rsidRPr="008572A4">
              <w:t> 267</w:t>
            </w:r>
          </w:p>
        </w:tc>
        <w:tc>
          <w:tcPr>
            <w:tcW w:w="1350" w:type="dxa"/>
            <w:tcBorders>
              <w:top w:val="single" w:sz="4" w:space="0" w:color="auto"/>
              <w:left w:val="single" w:sz="4" w:space="0" w:color="auto"/>
              <w:bottom w:val="single" w:sz="4" w:space="0" w:color="auto"/>
              <w:right w:val="single" w:sz="4" w:space="0" w:color="auto"/>
            </w:tcBorders>
          </w:tcPr>
          <w:p w:rsidR="006F3D2C" w:rsidRPr="008572A4" w:rsidRDefault="0033719D" w:rsidP="0033719D">
            <w:pPr>
              <w:pStyle w:val="NormalParaAR"/>
            </w:pPr>
            <w:r w:rsidRPr="008572A4">
              <w:rPr>
                <w:rFonts w:hint="cs"/>
                <w:rtl/>
              </w:rPr>
              <w:t>777 7</w:t>
            </w:r>
          </w:p>
        </w:tc>
        <w:tc>
          <w:tcPr>
            <w:tcW w:w="1350" w:type="dxa"/>
            <w:tcBorders>
              <w:top w:val="single" w:sz="4" w:space="0" w:color="auto"/>
              <w:left w:val="single" w:sz="4" w:space="0" w:color="auto"/>
              <w:bottom w:val="single" w:sz="4" w:space="0" w:color="auto"/>
              <w:right w:val="single" w:sz="4" w:space="0" w:color="auto"/>
            </w:tcBorders>
          </w:tcPr>
          <w:p w:rsidR="006F3D2C" w:rsidRPr="008572A4" w:rsidRDefault="0033719D" w:rsidP="0033719D">
            <w:pPr>
              <w:pStyle w:val="NormalParaAR"/>
            </w:pPr>
            <w:r w:rsidRPr="008572A4">
              <w:rPr>
                <w:rFonts w:hint="cs"/>
                <w:rtl/>
              </w:rPr>
              <w:t>317 7</w:t>
            </w:r>
          </w:p>
        </w:tc>
        <w:tc>
          <w:tcPr>
            <w:tcW w:w="2426" w:type="dxa"/>
            <w:tcBorders>
              <w:top w:val="single" w:sz="4" w:space="0" w:color="auto"/>
              <w:left w:val="single" w:sz="4" w:space="0" w:color="auto"/>
              <w:bottom w:val="single" w:sz="4" w:space="0" w:color="auto"/>
              <w:right w:val="single" w:sz="4" w:space="0" w:color="auto"/>
            </w:tcBorders>
          </w:tcPr>
          <w:p w:rsidR="006F3D2C" w:rsidRPr="008572A4" w:rsidRDefault="006F3D2C" w:rsidP="006F3D2C">
            <w:pPr>
              <w:pStyle w:val="NormalParaAR"/>
              <w:rPr>
                <w:b/>
                <w:bCs/>
              </w:rPr>
            </w:pPr>
            <w:r w:rsidRPr="008572A4">
              <w:rPr>
                <w:rFonts w:hint="cs"/>
                <w:b/>
                <w:bCs/>
                <w:rtl/>
              </w:rPr>
              <w:t>الإيداع المباشر</w:t>
            </w:r>
          </w:p>
        </w:tc>
      </w:tr>
      <w:tr w:rsidR="008572A4" w:rsidRPr="008572A4" w:rsidTr="00220534">
        <w:trPr>
          <w:cantSplit/>
        </w:trPr>
        <w:tc>
          <w:tcPr>
            <w:tcW w:w="1440" w:type="dxa"/>
            <w:tcBorders>
              <w:top w:val="single" w:sz="4" w:space="0" w:color="auto"/>
              <w:left w:val="single" w:sz="4" w:space="0" w:color="auto"/>
              <w:bottom w:val="single" w:sz="4" w:space="0" w:color="auto"/>
              <w:right w:val="single" w:sz="4" w:space="0" w:color="auto"/>
            </w:tcBorders>
            <w:hideMark/>
          </w:tcPr>
          <w:p w:rsidR="006F3D2C" w:rsidRPr="008572A4" w:rsidRDefault="0033719D" w:rsidP="006F3D2C">
            <w:pPr>
              <w:pStyle w:val="NormalParaAR"/>
              <w:rPr>
                <w:b/>
                <w:bCs/>
                <w:rtl/>
              </w:rPr>
            </w:pPr>
            <w:r w:rsidRPr="008572A4">
              <w:rPr>
                <w:rFonts w:hint="cs"/>
                <w:b/>
                <w:bCs/>
                <w:rtl/>
              </w:rPr>
              <w:t>217 30</w:t>
            </w:r>
          </w:p>
        </w:tc>
        <w:tc>
          <w:tcPr>
            <w:tcW w:w="1350" w:type="dxa"/>
            <w:tcBorders>
              <w:top w:val="single" w:sz="4" w:space="0" w:color="auto"/>
              <w:left w:val="single" w:sz="4" w:space="0" w:color="auto"/>
              <w:bottom w:val="single" w:sz="4" w:space="0" w:color="auto"/>
              <w:right w:val="single" w:sz="4" w:space="0" w:color="auto"/>
            </w:tcBorders>
            <w:hideMark/>
          </w:tcPr>
          <w:p w:rsidR="006F3D2C" w:rsidRPr="008572A4" w:rsidRDefault="0033719D" w:rsidP="0033719D">
            <w:pPr>
              <w:pStyle w:val="NormalParaAR"/>
              <w:rPr>
                <w:b/>
                <w:bCs/>
              </w:rPr>
            </w:pPr>
            <w:r w:rsidRPr="008572A4">
              <w:rPr>
                <w:rFonts w:hint="cs"/>
                <w:b/>
                <w:bCs/>
                <w:rtl/>
              </w:rPr>
              <w:t>341 30</w:t>
            </w:r>
          </w:p>
        </w:tc>
        <w:tc>
          <w:tcPr>
            <w:tcW w:w="1350" w:type="dxa"/>
            <w:tcBorders>
              <w:top w:val="single" w:sz="4" w:space="0" w:color="auto"/>
              <w:left w:val="single" w:sz="4" w:space="0" w:color="auto"/>
              <w:bottom w:val="single" w:sz="4" w:space="0" w:color="auto"/>
              <w:right w:val="single" w:sz="4" w:space="0" w:color="auto"/>
            </w:tcBorders>
            <w:hideMark/>
          </w:tcPr>
          <w:p w:rsidR="006F3D2C" w:rsidRPr="008572A4" w:rsidRDefault="0033719D" w:rsidP="00FD1ED0">
            <w:pPr>
              <w:pStyle w:val="NormalParaAR"/>
              <w:rPr>
                <w:b/>
                <w:bCs/>
              </w:rPr>
            </w:pPr>
            <w:r w:rsidRPr="008572A4">
              <w:rPr>
                <w:rFonts w:hint="cs"/>
                <w:b/>
                <w:bCs/>
                <w:rtl/>
              </w:rPr>
              <w:t>877 30</w:t>
            </w:r>
          </w:p>
        </w:tc>
        <w:tc>
          <w:tcPr>
            <w:tcW w:w="1350" w:type="dxa"/>
            <w:tcBorders>
              <w:top w:val="single" w:sz="4" w:space="0" w:color="auto"/>
              <w:left w:val="single" w:sz="4" w:space="0" w:color="auto"/>
              <w:bottom w:val="single" w:sz="4" w:space="0" w:color="auto"/>
              <w:right w:val="single" w:sz="4" w:space="0" w:color="auto"/>
            </w:tcBorders>
            <w:hideMark/>
          </w:tcPr>
          <w:p w:rsidR="006F3D2C" w:rsidRPr="008572A4" w:rsidRDefault="0033719D" w:rsidP="0033719D">
            <w:pPr>
              <w:pStyle w:val="NormalParaAR"/>
              <w:rPr>
                <w:b/>
                <w:bCs/>
              </w:rPr>
            </w:pPr>
            <w:r w:rsidRPr="008572A4">
              <w:rPr>
                <w:rFonts w:hint="cs"/>
                <w:b/>
                <w:bCs/>
                <w:rtl/>
              </w:rPr>
              <w:t>435 30</w:t>
            </w:r>
          </w:p>
        </w:tc>
        <w:tc>
          <w:tcPr>
            <w:tcW w:w="1350" w:type="dxa"/>
            <w:tcBorders>
              <w:top w:val="single" w:sz="4" w:space="0" w:color="auto"/>
              <w:left w:val="single" w:sz="4" w:space="0" w:color="auto"/>
              <w:bottom w:val="single" w:sz="4" w:space="0" w:color="auto"/>
              <w:right w:val="single" w:sz="4" w:space="0" w:color="auto"/>
            </w:tcBorders>
            <w:hideMark/>
          </w:tcPr>
          <w:p w:rsidR="006F3D2C" w:rsidRPr="008572A4" w:rsidRDefault="0033719D" w:rsidP="006F3D2C">
            <w:pPr>
              <w:pStyle w:val="NormalParaAR"/>
              <w:rPr>
                <w:b/>
                <w:bCs/>
              </w:rPr>
            </w:pPr>
            <w:r w:rsidRPr="008572A4">
              <w:rPr>
                <w:rFonts w:hint="cs"/>
                <w:b/>
                <w:bCs/>
                <w:rtl/>
              </w:rPr>
              <w:t>658 27</w:t>
            </w:r>
          </w:p>
        </w:tc>
        <w:tc>
          <w:tcPr>
            <w:tcW w:w="2426" w:type="dxa"/>
            <w:tcBorders>
              <w:top w:val="single" w:sz="4" w:space="0" w:color="auto"/>
              <w:left w:val="single" w:sz="4" w:space="0" w:color="auto"/>
              <w:bottom w:val="single" w:sz="4" w:space="0" w:color="auto"/>
              <w:right w:val="single" w:sz="4" w:space="0" w:color="auto"/>
            </w:tcBorders>
          </w:tcPr>
          <w:p w:rsidR="006F3D2C" w:rsidRPr="008572A4" w:rsidRDefault="006F3D2C" w:rsidP="006F3D2C">
            <w:pPr>
              <w:pStyle w:val="NormalParaAR"/>
              <w:rPr>
                <w:b/>
                <w:bCs/>
              </w:rPr>
            </w:pPr>
            <w:r w:rsidRPr="008572A4">
              <w:rPr>
                <w:rFonts w:hint="cs"/>
                <w:b/>
                <w:bCs/>
                <w:rtl/>
              </w:rPr>
              <w:t>المجموع</w:t>
            </w:r>
          </w:p>
        </w:tc>
      </w:tr>
    </w:tbl>
    <w:p w:rsidR="00883125" w:rsidRPr="008572A4" w:rsidRDefault="00883125" w:rsidP="00424036">
      <w:pPr>
        <w:pStyle w:val="NormalParaAR"/>
        <w:rPr>
          <w:rtl/>
        </w:rPr>
      </w:pPr>
      <w:r w:rsidRPr="008572A4">
        <w:rPr>
          <w:rFonts w:hint="cs"/>
          <w:rtl/>
        </w:rPr>
        <w:t xml:space="preserve">المصدر: </w:t>
      </w:r>
      <w:proofErr w:type="spellStart"/>
      <w:r w:rsidRPr="008572A4">
        <w:t>Badepi</w:t>
      </w:r>
      <w:proofErr w:type="spellEnd"/>
      <w:r w:rsidRPr="008572A4">
        <w:t xml:space="preserve"> v3.0</w:t>
      </w:r>
      <w:r w:rsidRPr="008572A4">
        <w:rPr>
          <w:rFonts w:hint="cs"/>
          <w:rtl/>
        </w:rPr>
        <w:t>، "</w:t>
      </w:r>
      <w:r w:rsidRPr="008572A4">
        <w:rPr>
          <w:rFonts w:hint="cs"/>
          <w:i/>
          <w:iCs/>
          <w:rtl/>
        </w:rPr>
        <w:t>الكتاب السنوي لإحصاء الملكية الصناعية</w:t>
      </w:r>
      <w:r w:rsidRPr="008572A4">
        <w:rPr>
          <w:rFonts w:hint="cs"/>
          <w:rtl/>
        </w:rPr>
        <w:t xml:space="preserve">" </w:t>
      </w:r>
    </w:p>
    <w:p w:rsidR="00EE7075" w:rsidRPr="008572A4" w:rsidRDefault="00230366" w:rsidP="001122E3">
      <w:pPr>
        <w:pStyle w:val="NormalParaAR"/>
        <w:rPr>
          <w:rtl/>
          <w:lang w:val="fr-CH"/>
        </w:rPr>
      </w:pPr>
      <w:r w:rsidRPr="008572A4">
        <w:rPr>
          <w:rFonts w:hint="cs"/>
          <w:rtl/>
          <w:lang w:val="fr-CH"/>
        </w:rPr>
        <w:t xml:space="preserve">في الوقت نفسه الذي عُين فيه </w:t>
      </w:r>
      <w:r w:rsidR="00220534" w:rsidRPr="008572A4">
        <w:rPr>
          <w:rtl/>
          <w:lang w:bidi="ar-EG"/>
        </w:rPr>
        <w:t>المعهد الوطني للملكية الصناعية في البرازيل</w:t>
      </w:r>
      <w:r w:rsidR="00220534" w:rsidRPr="008572A4">
        <w:rPr>
          <w:rFonts w:hint="cs"/>
          <w:rtl/>
          <w:lang w:bidi="ar-EG"/>
        </w:rPr>
        <w:t xml:space="preserve"> </w:t>
      </w:r>
      <w:r w:rsidR="00EE7075" w:rsidRPr="008572A4">
        <w:rPr>
          <w:rtl/>
          <w:lang w:val="fr-CH"/>
        </w:rPr>
        <w:t>كإدارة للبحث الدولي و</w:t>
      </w:r>
      <w:r w:rsidR="00EE7075" w:rsidRPr="008572A4">
        <w:rPr>
          <w:rFonts w:hint="cs"/>
          <w:rtl/>
          <w:lang w:val="fr-CH"/>
        </w:rPr>
        <w:t>إدارة ل</w:t>
      </w:r>
      <w:r w:rsidR="00EE7075" w:rsidRPr="008572A4">
        <w:rPr>
          <w:rtl/>
          <w:lang w:val="fr-CH"/>
        </w:rPr>
        <w:t>لفحص التمهيدي الدولي</w:t>
      </w:r>
      <w:r w:rsidRPr="008572A4">
        <w:rPr>
          <w:rFonts w:hint="cs"/>
          <w:rtl/>
          <w:lang w:val="fr-CH"/>
        </w:rPr>
        <w:t xml:space="preserve">، واقفت جمعية </w:t>
      </w:r>
      <w:r w:rsidRPr="008572A4">
        <w:rPr>
          <w:rtl/>
          <w:lang w:val="fr-CH"/>
        </w:rPr>
        <w:t>معاهدة التعاون بشأن البراءات</w:t>
      </w:r>
      <w:r w:rsidRPr="008572A4">
        <w:rPr>
          <w:rFonts w:hint="cs"/>
          <w:rtl/>
          <w:lang w:val="fr-CH"/>
        </w:rPr>
        <w:t xml:space="preserve"> على تعديل القاعدة</w:t>
      </w:r>
      <w:r w:rsidR="00220534" w:rsidRPr="008572A4">
        <w:rPr>
          <w:rFonts w:hint="cs"/>
          <w:rtl/>
          <w:lang w:val="fr-CH"/>
        </w:rPr>
        <w:t xml:space="preserve"> 3.48</w:t>
      </w:r>
      <w:r w:rsidR="00FD1ED0" w:rsidRPr="008572A4">
        <w:rPr>
          <w:lang w:val="fr-CH"/>
        </w:rPr>
        <w:t xml:space="preserve"> </w:t>
      </w:r>
      <w:r w:rsidRPr="008572A4">
        <w:rPr>
          <w:rFonts w:hint="cs"/>
          <w:rtl/>
          <w:lang w:val="fr-CH"/>
        </w:rPr>
        <w:t xml:space="preserve">من المعاهدة، مضيفة بذلك </w:t>
      </w:r>
      <w:proofErr w:type="gramStart"/>
      <w:r w:rsidRPr="008572A4">
        <w:rPr>
          <w:rFonts w:hint="cs"/>
          <w:rtl/>
          <w:lang w:val="fr-CH"/>
        </w:rPr>
        <w:t>اللغة</w:t>
      </w:r>
      <w:proofErr w:type="gramEnd"/>
      <w:r w:rsidRPr="008572A4">
        <w:rPr>
          <w:rFonts w:hint="cs"/>
          <w:rtl/>
          <w:lang w:val="fr-CH"/>
        </w:rPr>
        <w:t xml:space="preserve"> البرتغالية كلغة للنشر. </w:t>
      </w:r>
      <w:proofErr w:type="gramStart"/>
      <w:r w:rsidRPr="008572A4">
        <w:rPr>
          <w:rFonts w:hint="cs"/>
          <w:rtl/>
          <w:lang w:val="fr-CH"/>
        </w:rPr>
        <w:t>وجراء</w:t>
      </w:r>
      <w:proofErr w:type="gramEnd"/>
      <w:r w:rsidRPr="008572A4">
        <w:rPr>
          <w:rFonts w:hint="cs"/>
          <w:rtl/>
          <w:lang w:val="fr-CH"/>
        </w:rPr>
        <w:t xml:space="preserve"> ذلك التغيير، ارتفع عدد الطلبات المودعة </w:t>
      </w:r>
      <w:r w:rsidR="00220534" w:rsidRPr="008572A4">
        <w:rPr>
          <w:rFonts w:hint="cs"/>
          <w:rtl/>
          <w:lang w:val="fr-CH"/>
        </w:rPr>
        <w:t>ب</w:t>
      </w:r>
      <w:r w:rsidRPr="008572A4">
        <w:rPr>
          <w:rFonts w:hint="cs"/>
          <w:rtl/>
          <w:lang w:val="fr-CH"/>
        </w:rPr>
        <w:t xml:space="preserve">اللغة البرتغالية من حوالي أقل من </w:t>
      </w:r>
      <w:r w:rsidRPr="008572A4">
        <w:rPr>
          <w:rtl/>
          <w:lang w:val="fr-CH"/>
        </w:rPr>
        <w:t>30</w:t>
      </w:r>
      <w:r w:rsidRPr="008572A4">
        <w:rPr>
          <w:rFonts w:hint="cs"/>
          <w:rtl/>
          <w:lang w:val="fr-CH"/>
        </w:rPr>
        <w:t xml:space="preserve"> طلب في السنة إلى حوالي </w:t>
      </w:r>
      <w:r w:rsidRPr="008572A4">
        <w:rPr>
          <w:rtl/>
          <w:lang w:val="fr-CH"/>
        </w:rPr>
        <w:t>500</w:t>
      </w:r>
      <w:r w:rsidRPr="008572A4">
        <w:rPr>
          <w:rFonts w:hint="cs"/>
          <w:rtl/>
          <w:lang w:val="fr-CH"/>
        </w:rPr>
        <w:t xml:space="preserve"> طلب في السنة. ويتكفل المعهد ببحث معظم تلك </w:t>
      </w:r>
      <w:proofErr w:type="gramStart"/>
      <w:r w:rsidRPr="008572A4">
        <w:rPr>
          <w:rFonts w:hint="cs"/>
          <w:rtl/>
          <w:lang w:val="fr-CH"/>
        </w:rPr>
        <w:t>الطلبات</w:t>
      </w:r>
      <w:proofErr w:type="gramEnd"/>
      <w:r w:rsidRPr="008572A4">
        <w:rPr>
          <w:rFonts w:hint="cs"/>
          <w:rtl/>
          <w:lang w:val="fr-CH"/>
        </w:rPr>
        <w:t xml:space="preserve"> الدولية</w:t>
      </w:r>
      <w:r w:rsidR="00220534" w:rsidRPr="008572A4">
        <w:rPr>
          <w:rFonts w:hint="cs"/>
          <w:rtl/>
          <w:lang w:val="fr-CH"/>
        </w:rPr>
        <w:t xml:space="preserve"> </w:t>
      </w:r>
      <w:r w:rsidR="001122E3" w:rsidRPr="008572A4">
        <w:rPr>
          <w:rFonts w:hint="cs"/>
          <w:rtl/>
          <w:lang w:val="fr-CH"/>
        </w:rPr>
        <w:t xml:space="preserve">وفحصها دون الحاجة إلى الترجمة لأغراض البحث الدولي </w:t>
      </w:r>
      <w:r w:rsidR="00220534" w:rsidRPr="008572A4">
        <w:rPr>
          <w:rFonts w:hint="cs"/>
          <w:rtl/>
          <w:lang w:val="fr-CH"/>
        </w:rPr>
        <w:t>بصفته</w:t>
      </w:r>
      <w:r w:rsidRPr="008572A4">
        <w:rPr>
          <w:rFonts w:hint="cs"/>
          <w:rtl/>
          <w:lang w:val="fr-CH"/>
        </w:rPr>
        <w:t xml:space="preserve"> </w:t>
      </w:r>
      <w:r w:rsidRPr="008572A4">
        <w:rPr>
          <w:rtl/>
          <w:lang w:val="fr-CH"/>
        </w:rPr>
        <w:t xml:space="preserve">إدارة </w:t>
      </w:r>
      <w:r w:rsidR="001122E3" w:rsidRPr="008572A4">
        <w:rPr>
          <w:rFonts w:hint="cs"/>
          <w:rtl/>
          <w:lang w:val="fr-CH"/>
        </w:rPr>
        <w:t>لل</w:t>
      </w:r>
      <w:r w:rsidRPr="008572A4">
        <w:rPr>
          <w:rtl/>
          <w:lang w:val="fr-CH"/>
        </w:rPr>
        <w:t>بحث الدولي</w:t>
      </w:r>
      <w:r w:rsidRPr="008572A4">
        <w:rPr>
          <w:rFonts w:hint="cs"/>
          <w:rtl/>
          <w:lang w:val="fr-CH"/>
        </w:rPr>
        <w:t xml:space="preserve"> و</w:t>
      </w:r>
      <w:r w:rsidR="00220534" w:rsidRPr="008572A4">
        <w:rPr>
          <w:rFonts w:hint="cs"/>
          <w:rtl/>
          <w:lang w:val="fr-CH"/>
        </w:rPr>
        <w:t>إدارة لل</w:t>
      </w:r>
      <w:r w:rsidRPr="008572A4">
        <w:rPr>
          <w:rtl/>
          <w:lang w:val="fr-CH"/>
        </w:rPr>
        <w:t>فحص التمهيدي الدول</w:t>
      </w:r>
      <w:r w:rsidRPr="008572A4">
        <w:rPr>
          <w:rFonts w:hint="cs"/>
          <w:rtl/>
          <w:lang w:val="fr-CH"/>
        </w:rPr>
        <w:t>ي. ويساهم ذلك في منح مزايا كبيرة لمودعي الطلبات في المنطقة فيما يخص النفاذ الفعال إلى نظام معاهدة التعاون بشأن البراءات.</w:t>
      </w:r>
    </w:p>
    <w:p w:rsidR="00230366" w:rsidRPr="008572A4" w:rsidRDefault="00230366" w:rsidP="001122E3">
      <w:pPr>
        <w:pStyle w:val="Heading1"/>
        <w:rPr>
          <w:sz w:val="36"/>
          <w:szCs w:val="36"/>
          <w:rtl/>
        </w:rPr>
      </w:pPr>
      <w:r w:rsidRPr="008572A4">
        <w:rPr>
          <w:rFonts w:hint="cs"/>
          <w:sz w:val="36"/>
          <w:szCs w:val="36"/>
          <w:rtl/>
        </w:rPr>
        <w:lastRenderedPageBreak/>
        <w:t xml:space="preserve">الامتثال إلى </w:t>
      </w:r>
      <w:r w:rsidR="001122E3" w:rsidRPr="008572A4">
        <w:rPr>
          <w:b/>
          <w:rtl/>
        </w:rPr>
        <w:t>الحد الأدنى من متطلبات التعيين</w:t>
      </w:r>
    </w:p>
    <w:p w:rsidR="00883125" w:rsidRPr="008572A4" w:rsidRDefault="00230366" w:rsidP="001122E3">
      <w:pPr>
        <w:pStyle w:val="NormalParaAR"/>
        <w:rPr>
          <w:rtl/>
        </w:rPr>
      </w:pPr>
      <w:proofErr w:type="gramStart"/>
      <w:r w:rsidRPr="008572A4">
        <w:rPr>
          <w:rFonts w:hint="cs"/>
          <w:rtl/>
        </w:rPr>
        <w:t>يمتثل</w:t>
      </w:r>
      <w:proofErr w:type="gramEnd"/>
      <w:r w:rsidRPr="008572A4">
        <w:rPr>
          <w:rFonts w:hint="cs"/>
          <w:rtl/>
        </w:rPr>
        <w:t xml:space="preserve"> </w:t>
      </w:r>
      <w:r w:rsidR="001122E3" w:rsidRPr="008572A4">
        <w:rPr>
          <w:rtl/>
          <w:lang w:bidi="ar-EG"/>
        </w:rPr>
        <w:t>المعهد الوطني للملكية الصناعية في البرازيل</w:t>
      </w:r>
      <w:r w:rsidR="001122E3" w:rsidRPr="008572A4">
        <w:rPr>
          <w:rFonts w:hint="cs"/>
          <w:rtl/>
          <w:lang w:bidi="ar-EG"/>
        </w:rPr>
        <w:t xml:space="preserve"> </w:t>
      </w:r>
      <w:r w:rsidRPr="008572A4">
        <w:rPr>
          <w:rFonts w:hint="cs"/>
          <w:rtl/>
        </w:rPr>
        <w:t>امتثالاً تاماً للحد الأدنى من متطلبات</w:t>
      </w:r>
      <w:r w:rsidR="00FD1ED0" w:rsidRPr="008572A4">
        <w:rPr>
          <w:rFonts w:hint="cs"/>
          <w:rtl/>
        </w:rPr>
        <w:t xml:space="preserve"> التعيين الواردة في القاعدتين </w:t>
      </w:r>
      <w:r w:rsidR="001122E3" w:rsidRPr="008572A4">
        <w:rPr>
          <w:rFonts w:hint="cs"/>
          <w:rtl/>
        </w:rPr>
        <w:t xml:space="preserve">1.36 </w:t>
      </w:r>
      <w:r w:rsidR="00424036" w:rsidRPr="008572A4">
        <w:rPr>
          <w:rFonts w:hint="cs"/>
          <w:rtl/>
        </w:rPr>
        <w:t>و</w:t>
      </w:r>
      <w:r w:rsidR="001122E3" w:rsidRPr="008572A4">
        <w:rPr>
          <w:rFonts w:hint="cs"/>
          <w:rtl/>
        </w:rPr>
        <w:t>1.63</w:t>
      </w:r>
      <w:r w:rsidR="00424036" w:rsidRPr="008572A4">
        <w:rPr>
          <w:rFonts w:hint="cs"/>
          <w:rtl/>
        </w:rPr>
        <w:t xml:space="preserve"> </w:t>
      </w:r>
      <w:r w:rsidR="0009408C" w:rsidRPr="008572A4">
        <w:rPr>
          <w:rFonts w:hint="cs"/>
          <w:rtl/>
        </w:rPr>
        <w:t xml:space="preserve">من معاهدة التعاون بشأن البراءات. </w:t>
      </w:r>
      <w:r w:rsidR="0068330C" w:rsidRPr="008572A4">
        <w:rPr>
          <w:rFonts w:hint="cs"/>
          <w:rtl/>
        </w:rPr>
        <w:t xml:space="preserve">وتقتضي هاتان القاعدتان </w:t>
      </w:r>
      <w:r w:rsidR="0004799D" w:rsidRPr="008572A4">
        <w:rPr>
          <w:rFonts w:hint="cs"/>
          <w:rtl/>
        </w:rPr>
        <w:t>(في الجزء ذي الصلة) ما يلي:</w:t>
      </w:r>
    </w:p>
    <w:p w:rsidR="0004799D" w:rsidRPr="008572A4" w:rsidRDefault="0004799D" w:rsidP="00AD7ED2">
      <w:pPr>
        <w:pStyle w:val="NormalParaAR"/>
        <w:ind w:left="1133" w:hanging="566"/>
        <w:rPr>
          <w:rtl/>
        </w:rPr>
      </w:pPr>
      <w:r w:rsidRPr="008572A4">
        <w:rPr>
          <w:rFonts w:hint="cs"/>
          <w:rtl/>
        </w:rPr>
        <w:t>"</w:t>
      </w:r>
      <w:r w:rsidRPr="008572A4">
        <w:rPr>
          <w:rtl/>
        </w:rPr>
        <w:t>1</w:t>
      </w:r>
      <w:r w:rsidRPr="008572A4">
        <w:rPr>
          <w:rFonts w:hint="cs"/>
          <w:rtl/>
        </w:rPr>
        <w:t>"</w:t>
      </w:r>
      <w:r w:rsidRPr="008572A4">
        <w:rPr>
          <w:rFonts w:hint="cs"/>
          <w:rtl/>
        </w:rPr>
        <w:tab/>
      </w:r>
      <w:r w:rsidRPr="008572A4">
        <w:rPr>
          <w:rtl/>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p>
    <w:p w:rsidR="0004799D" w:rsidRPr="008572A4" w:rsidRDefault="0004799D" w:rsidP="00AD7ED2">
      <w:pPr>
        <w:pStyle w:val="NormalParaAR"/>
        <w:ind w:left="1133" w:hanging="566"/>
        <w:rPr>
          <w:rtl/>
        </w:rPr>
      </w:pPr>
      <w:r w:rsidRPr="008572A4">
        <w:rPr>
          <w:rFonts w:hint="cs"/>
          <w:rtl/>
        </w:rPr>
        <w:t>"</w:t>
      </w:r>
      <w:r w:rsidRPr="008572A4">
        <w:rPr>
          <w:rtl/>
        </w:rPr>
        <w:t>2</w:t>
      </w:r>
      <w:r w:rsidRPr="008572A4">
        <w:rPr>
          <w:rFonts w:hint="cs"/>
          <w:rtl/>
        </w:rPr>
        <w:t>"</w:t>
      </w:r>
      <w:r w:rsidRPr="008572A4">
        <w:rPr>
          <w:rFonts w:hint="cs"/>
          <w:rtl/>
        </w:rPr>
        <w:tab/>
      </w:r>
      <w:r w:rsidRPr="008572A4">
        <w:rPr>
          <w:rtl/>
        </w:rPr>
        <w:t>يجب أن يكون في حوزة المكتب أو المنظمة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04799D" w:rsidRPr="008572A4" w:rsidRDefault="0004799D" w:rsidP="00AD7ED2">
      <w:pPr>
        <w:pStyle w:val="NormalParaAR"/>
        <w:ind w:left="1133" w:hanging="566"/>
        <w:rPr>
          <w:rtl/>
        </w:rPr>
      </w:pPr>
      <w:r w:rsidRPr="008572A4">
        <w:rPr>
          <w:rFonts w:hint="cs"/>
          <w:rtl/>
        </w:rPr>
        <w:t>"</w:t>
      </w:r>
      <w:r w:rsidRPr="008572A4">
        <w:rPr>
          <w:rtl/>
        </w:rPr>
        <w:t>3</w:t>
      </w:r>
      <w:r w:rsidRPr="008572A4">
        <w:rPr>
          <w:rFonts w:hint="cs"/>
          <w:rtl/>
        </w:rPr>
        <w:t>"</w:t>
      </w:r>
      <w:r w:rsidRPr="008572A4">
        <w:rPr>
          <w:rFonts w:hint="cs"/>
          <w:rtl/>
        </w:rPr>
        <w:tab/>
      </w:r>
      <w:proofErr w:type="gramStart"/>
      <w:r w:rsidRPr="008572A4">
        <w:rPr>
          <w:rtl/>
        </w:rPr>
        <w:t>يجب</w:t>
      </w:r>
      <w:proofErr w:type="gramEnd"/>
      <w:r w:rsidRPr="008572A4">
        <w:rPr>
          <w:rtl/>
        </w:rPr>
        <w:t xml:space="preserve"> أن يكون تحت تصرف المكتب أو المنظمة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04799D" w:rsidRPr="008572A4" w:rsidRDefault="0004799D" w:rsidP="00AD7ED2">
      <w:pPr>
        <w:pStyle w:val="NormalParaAR"/>
        <w:ind w:left="1133" w:hanging="566"/>
        <w:rPr>
          <w:rtl/>
        </w:rPr>
      </w:pPr>
      <w:r w:rsidRPr="008572A4">
        <w:rPr>
          <w:rFonts w:hint="cs"/>
          <w:rtl/>
        </w:rPr>
        <w:t>"</w:t>
      </w:r>
      <w:r w:rsidRPr="008572A4">
        <w:rPr>
          <w:rtl/>
        </w:rPr>
        <w:t>4</w:t>
      </w:r>
      <w:r w:rsidRPr="008572A4">
        <w:rPr>
          <w:rFonts w:hint="cs"/>
          <w:rtl/>
        </w:rPr>
        <w:t>"</w:t>
      </w:r>
      <w:r w:rsidRPr="008572A4">
        <w:rPr>
          <w:rFonts w:hint="cs"/>
          <w:rtl/>
        </w:rPr>
        <w:tab/>
      </w:r>
      <w:r w:rsidRPr="008572A4">
        <w:rPr>
          <w:rtl/>
        </w:rPr>
        <w:t>يجب أن يكون لدى المكتب الوطني أو المنظمة الحكومية الدولية نظام لإدارة الجودة وترتيبات داخلية للمراجعة وفقا لقواعد البحث الدولي المشتركة؛</w:t>
      </w:r>
    </w:p>
    <w:p w:rsidR="0004799D" w:rsidRPr="008572A4" w:rsidRDefault="0004799D" w:rsidP="00AD7ED2">
      <w:pPr>
        <w:pStyle w:val="Heading2"/>
        <w:spacing w:after="60" w:line="360" w:lineRule="exact"/>
        <w:rPr>
          <w:i/>
          <w:iCs/>
          <w:rtl/>
        </w:rPr>
      </w:pPr>
      <w:r w:rsidRPr="008572A4">
        <w:rPr>
          <w:rFonts w:hint="cs"/>
          <w:i/>
          <w:iCs/>
          <w:sz w:val="36"/>
          <w:szCs w:val="36"/>
          <w:rtl/>
        </w:rPr>
        <w:t xml:space="preserve">سياسة الموارد البشرية مع التركيز على </w:t>
      </w:r>
      <w:r w:rsidR="00424036" w:rsidRPr="008572A4">
        <w:rPr>
          <w:rFonts w:hint="cs"/>
          <w:i/>
          <w:iCs/>
          <w:sz w:val="36"/>
          <w:szCs w:val="36"/>
          <w:rtl/>
        </w:rPr>
        <w:t>مهام المعهد</w:t>
      </w:r>
      <w:r w:rsidR="002F3AB9" w:rsidRPr="008572A4">
        <w:rPr>
          <w:rFonts w:hint="cs"/>
          <w:i/>
          <w:iCs/>
          <w:sz w:val="36"/>
          <w:szCs w:val="36"/>
          <w:rtl/>
        </w:rPr>
        <w:t xml:space="preserve"> </w:t>
      </w:r>
      <w:r w:rsidR="002F3AB9" w:rsidRPr="008572A4">
        <w:rPr>
          <w:i/>
          <w:iCs/>
          <w:sz w:val="36"/>
          <w:szCs w:val="36"/>
          <w:rtl/>
        </w:rPr>
        <w:t xml:space="preserve">كإدارة للبحث الدولي </w:t>
      </w:r>
      <w:proofErr w:type="gramStart"/>
      <w:r w:rsidR="002F3AB9" w:rsidRPr="008572A4">
        <w:rPr>
          <w:i/>
          <w:iCs/>
          <w:sz w:val="36"/>
          <w:szCs w:val="36"/>
          <w:rtl/>
        </w:rPr>
        <w:t>و</w:t>
      </w:r>
      <w:r w:rsidR="002F3AB9" w:rsidRPr="008572A4">
        <w:rPr>
          <w:rFonts w:hint="cs"/>
          <w:i/>
          <w:iCs/>
          <w:sz w:val="36"/>
          <w:szCs w:val="36"/>
          <w:rtl/>
        </w:rPr>
        <w:t>إدارة</w:t>
      </w:r>
      <w:proofErr w:type="gramEnd"/>
      <w:r w:rsidR="002F3AB9" w:rsidRPr="008572A4">
        <w:rPr>
          <w:rFonts w:hint="cs"/>
          <w:i/>
          <w:iCs/>
          <w:sz w:val="36"/>
          <w:szCs w:val="36"/>
          <w:rtl/>
        </w:rPr>
        <w:t xml:space="preserve"> ل</w:t>
      </w:r>
      <w:r w:rsidR="002F3AB9" w:rsidRPr="008572A4">
        <w:rPr>
          <w:i/>
          <w:iCs/>
          <w:sz w:val="36"/>
          <w:szCs w:val="36"/>
          <w:rtl/>
        </w:rPr>
        <w:t>لفحص التمهيدي الدولي</w:t>
      </w:r>
    </w:p>
    <w:p w:rsidR="002F3AB9" w:rsidRPr="008572A4" w:rsidRDefault="002F3AB9" w:rsidP="00AD7ED2">
      <w:pPr>
        <w:pStyle w:val="NormalParaAR"/>
        <w:spacing w:after="60"/>
        <w:rPr>
          <w:rtl/>
        </w:rPr>
      </w:pPr>
      <w:proofErr w:type="gramStart"/>
      <w:r w:rsidRPr="008572A4">
        <w:rPr>
          <w:rFonts w:hint="cs"/>
          <w:rtl/>
          <w:lang w:val="fr-CH"/>
        </w:rPr>
        <w:t>استجابة</w:t>
      </w:r>
      <w:proofErr w:type="gramEnd"/>
      <w:r w:rsidRPr="008572A4">
        <w:rPr>
          <w:rFonts w:hint="cs"/>
          <w:rtl/>
          <w:lang w:val="fr-CH"/>
        </w:rPr>
        <w:t xml:space="preserve"> للطلب المتزايد في مجال حقوق الملكية الصناعية، استغل </w:t>
      </w:r>
      <w:r w:rsidRPr="008572A4">
        <w:rPr>
          <w:rFonts w:hint="cs"/>
          <w:rtl/>
        </w:rPr>
        <w:t xml:space="preserve">المعهد الوطني للملكية الصناعية </w:t>
      </w:r>
      <w:r w:rsidR="001122E3" w:rsidRPr="008572A4">
        <w:rPr>
          <w:rFonts w:hint="cs"/>
          <w:rtl/>
        </w:rPr>
        <w:t xml:space="preserve">في البرازيل </w:t>
      </w:r>
      <w:r w:rsidRPr="008572A4">
        <w:rPr>
          <w:rFonts w:hint="cs"/>
          <w:rtl/>
        </w:rPr>
        <w:t xml:space="preserve">الظروف الوطنية </w:t>
      </w:r>
      <w:r w:rsidR="00424036" w:rsidRPr="008572A4">
        <w:rPr>
          <w:rFonts w:hint="cs"/>
          <w:rtl/>
        </w:rPr>
        <w:t>الملائمة</w:t>
      </w:r>
      <w:r w:rsidRPr="008572A4">
        <w:rPr>
          <w:rFonts w:hint="cs"/>
          <w:rtl/>
        </w:rPr>
        <w:t xml:space="preserve"> من أجل وضع برنامج مستمر لتوظيف فاحصين جدد في السنوات الأخيرة، ومواصلة النظر في تلك المسألة خلال السنوات المقبلة. </w:t>
      </w:r>
      <w:r w:rsidR="00424036" w:rsidRPr="008572A4">
        <w:rPr>
          <w:rFonts w:hint="cs"/>
          <w:rtl/>
        </w:rPr>
        <w:t>و</w:t>
      </w:r>
      <w:r w:rsidRPr="008572A4">
        <w:rPr>
          <w:rFonts w:hint="cs"/>
          <w:rtl/>
        </w:rPr>
        <w:t xml:space="preserve">في شهر سبتمبر </w:t>
      </w:r>
      <w:r w:rsidRPr="008572A4">
        <w:rPr>
          <w:rtl/>
        </w:rPr>
        <w:t>2016</w:t>
      </w:r>
      <w:r w:rsidRPr="008572A4">
        <w:rPr>
          <w:rFonts w:hint="cs"/>
          <w:rtl/>
        </w:rPr>
        <w:t xml:space="preserve">، كانت مديرية البراءات تضم </w:t>
      </w:r>
      <w:r w:rsidRPr="008572A4">
        <w:rPr>
          <w:rtl/>
        </w:rPr>
        <w:t>68</w:t>
      </w:r>
      <w:r w:rsidRPr="008572A4">
        <w:rPr>
          <w:rFonts w:hint="cs"/>
          <w:rtl/>
        </w:rPr>
        <w:t xml:space="preserve"> فاحصاً في مجال الميكانيك</w:t>
      </w:r>
      <w:r w:rsidR="001122E3" w:rsidRPr="008572A4">
        <w:rPr>
          <w:rFonts w:hint="cs"/>
          <w:rtl/>
        </w:rPr>
        <w:t>ا</w:t>
      </w:r>
      <w:r w:rsidRPr="008572A4">
        <w:rPr>
          <w:rFonts w:hint="cs"/>
          <w:rtl/>
        </w:rPr>
        <w:t xml:space="preserve"> و</w:t>
      </w:r>
      <w:r w:rsidR="00424036" w:rsidRPr="008572A4">
        <w:rPr>
          <w:rtl/>
        </w:rPr>
        <w:t>72</w:t>
      </w:r>
      <w:r w:rsidR="00424036" w:rsidRPr="008572A4">
        <w:rPr>
          <w:rFonts w:hint="cs"/>
          <w:rtl/>
        </w:rPr>
        <w:t xml:space="preserve"> فاحصاً في مجالي الكهرباء والإلكترونيات و</w:t>
      </w:r>
      <w:r w:rsidRPr="008572A4">
        <w:rPr>
          <w:rtl/>
        </w:rPr>
        <w:t>61</w:t>
      </w:r>
      <w:r w:rsidRPr="008572A4">
        <w:rPr>
          <w:rFonts w:hint="cs"/>
          <w:rtl/>
        </w:rPr>
        <w:t xml:space="preserve"> فاحصاً في مجال الكيمياء و</w:t>
      </w:r>
      <w:r w:rsidRPr="008572A4">
        <w:rPr>
          <w:rtl/>
        </w:rPr>
        <w:t>59</w:t>
      </w:r>
      <w:r w:rsidRPr="008572A4">
        <w:rPr>
          <w:rFonts w:hint="cs"/>
          <w:rtl/>
        </w:rPr>
        <w:t xml:space="preserve"> فاحصاً في مجال </w:t>
      </w:r>
      <w:proofErr w:type="spellStart"/>
      <w:r w:rsidRPr="008572A4">
        <w:rPr>
          <w:rFonts w:hint="cs"/>
          <w:rtl/>
        </w:rPr>
        <w:t>البيوتكنولوجيا</w:t>
      </w:r>
      <w:proofErr w:type="spellEnd"/>
      <w:r w:rsidRPr="008572A4">
        <w:rPr>
          <w:rFonts w:hint="cs"/>
          <w:rtl/>
        </w:rPr>
        <w:t xml:space="preserve">، </w:t>
      </w:r>
      <w:r w:rsidR="006F1A08" w:rsidRPr="008572A4">
        <w:rPr>
          <w:rFonts w:hint="cs"/>
          <w:rtl/>
        </w:rPr>
        <w:t>من مجموع</w:t>
      </w:r>
      <w:r w:rsidR="00F54FFD" w:rsidRPr="008572A4">
        <w:rPr>
          <w:rFonts w:hint="cs"/>
          <w:rtl/>
        </w:rPr>
        <w:t xml:space="preserve"> </w:t>
      </w:r>
      <w:r w:rsidR="00F54FFD" w:rsidRPr="008572A4">
        <w:rPr>
          <w:rtl/>
        </w:rPr>
        <w:t>260</w:t>
      </w:r>
      <w:r w:rsidR="00F54FFD" w:rsidRPr="008572A4">
        <w:rPr>
          <w:rFonts w:hint="cs"/>
          <w:rtl/>
        </w:rPr>
        <w:t xml:space="preserve"> فاحصاً يشغلون وظائف بدوام كامل. أماّ فيما يخص الخلفية التعليمية، يجدر التأكيد على أن جميع الفاحصين حاصلون عل</w:t>
      </w:r>
      <w:r w:rsidR="006F1A08" w:rsidRPr="008572A4">
        <w:rPr>
          <w:rFonts w:hint="cs"/>
          <w:rtl/>
        </w:rPr>
        <w:t>ى درجة الما</w:t>
      </w:r>
      <w:r w:rsidR="00475B57" w:rsidRPr="008572A4">
        <w:rPr>
          <w:rFonts w:hint="cs"/>
          <w:rtl/>
        </w:rPr>
        <w:t>ج</w:t>
      </w:r>
      <w:r w:rsidR="006F1A08" w:rsidRPr="008572A4">
        <w:rPr>
          <w:rFonts w:hint="cs"/>
          <w:rtl/>
        </w:rPr>
        <w:t>ست</w:t>
      </w:r>
      <w:r w:rsidR="00475B57" w:rsidRPr="008572A4">
        <w:rPr>
          <w:rFonts w:hint="cs"/>
          <w:rtl/>
        </w:rPr>
        <w:t>ي</w:t>
      </w:r>
      <w:r w:rsidR="006F1A08" w:rsidRPr="008572A4">
        <w:rPr>
          <w:rFonts w:hint="cs"/>
          <w:rtl/>
        </w:rPr>
        <w:t>ر على الأقل، وأغلبيت</w:t>
      </w:r>
      <w:r w:rsidR="00F54FFD" w:rsidRPr="008572A4">
        <w:rPr>
          <w:rFonts w:hint="cs"/>
          <w:rtl/>
        </w:rPr>
        <w:t>هم</w:t>
      </w:r>
      <w:r w:rsidR="006F1A08" w:rsidRPr="008572A4">
        <w:rPr>
          <w:rFonts w:hint="cs"/>
          <w:rtl/>
        </w:rPr>
        <w:t xml:space="preserve"> الساحقة</w:t>
      </w:r>
      <w:r w:rsidR="00F54FFD" w:rsidRPr="008572A4">
        <w:rPr>
          <w:rFonts w:hint="cs"/>
          <w:rtl/>
        </w:rPr>
        <w:t xml:space="preserve"> </w:t>
      </w:r>
      <w:r w:rsidR="00753741" w:rsidRPr="008572A4">
        <w:rPr>
          <w:rFonts w:hint="cs"/>
          <w:rtl/>
        </w:rPr>
        <w:t>حاصلون</w:t>
      </w:r>
      <w:r w:rsidR="00F54FFD" w:rsidRPr="008572A4">
        <w:rPr>
          <w:rFonts w:hint="cs"/>
          <w:rtl/>
        </w:rPr>
        <w:t xml:space="preserve"> على درجة الدكتوراه. </w:t>
      </w:r>
      <w:proofErr w:type="gramStart"/>
      <w:r w:rsidR="00F54FFD" w:rsidRPr="008572A4">
        <w:rPr>
          <w:rFonts w:hint="cs"/>
          <w:rtl/>
        </w:rPr>
        <w:t>وبعبارة</w:t>
      </w:r>
      <w:proofErr w:type="gramEnd"/>
      <w:r w:rsidR="00F54FFD" w:rsidRPr="008572A4">
        <w:rPr>
          <w:rFonts w:hint="cs"/>
          <w:rtl/>
        </w:rPr>
        <w:t xml:space="preserve"> أخرى، يتمتع جميع الفاحصين بالمؤهلات التقنية اللازمة لإجراء البحوث والفحوص الدولية عملاً بمقتضيات القاعدتين </w:t>
      </w:r>
      <w:r w:rsidR="00475B57" w:rsidRPr="008572A4">
        <w:rPr>
          <w:rtl/>
          <w:lang w:val="en-GB"/>
        </w:rPr>
        <w:t>1.36"1" و1.63"1"</w:t>
      </w:r>
      <w:r w:rsidR="00F54FFD" w:rsidRPr="008572A4">
        <w:rPr>
          <w:rFonts w:hint="cs"/>
          <w:rtl/>
        </w:rPr>
        <w:t>.</w:t>
      </w:r>
    </w:p>
    <w:p w:rsidR="00F54FFD" w:rsidRPr="008572A4" w:rsidRDefault="00F54FFD" w:rsidP="00475B57">
      <w:pPr>
        <w:pStyle w:val="NormalParaAR"/>
        <w:rPr>
          <w:rtl/>
        </w:rPr>
      </w:pPr>
      <w:r w:rsidRPr="008572A4">
        <w:rPr>
          <w:rFonts w:hint="cs"/>
          <w:rtl/>
        </w:rPr>
        <w:t xml:space="preserve">وفي الوقت الذي سجل فيه عدد الموظفين في مجال فحص البراءات في </w:t>
      </w:r>
      <w:r w:rsidR="00475B57" w:rsidRPr="008572A4">
        <w:rPr>
          <w:rFonts w:hint="cs"/>
          <w:rtl/>
        </w:rPr>
        <w:t xml:space="preserve">المعهد الوطني للملكية الصناعية في البرازيل </w:t>
      </w:r>
      <w:r w:rsidRPr="008572A4">
        <w:rPr>
          <w:rFonts w:hint="cs"/>
          <w:rtl/>
        </w:rPr>
        <w:t>ارتفاعاً كبيراً خلال السنوات الأخيرة، فإن تدفق طلبات البراءات والالتزام الجاري الذي عقده المعهد للحفاظ على مستويات الخدمات وتحسينها</w:t>
      </w:r>
      <w:r w:rsidR="006F1A08" w:rsidRPr="008572A4">
        <w:rPr>
          <w:rFonts w:hint="cs"/>
          <w:rtl/>
        </w:rPr>
        <w:t>،</w:t>
      </w:r>
      <w:r w:rsidR="00F3343B" w:rsidRPr="008572A4">
        <w:rPr>
          <w:rFonts w:hint="cs"/>
          <w:rtl/>
        </w:rPr>
        <w:t xml:space="preserve"> اقتضى توظيفاً </w:t>
      </w:r>
      <w:r w:rsidR="002A7CA8" w:rsidRPr="008572A4">
        <w:rPr>
          <w:rFonts w:hint="cs"/>
          <w:rtl/>
        </w:rPr>
        <w:t xml:space="preserve">مكثفاً للمزيد من الموظفين. إذ وظف المعهد في الآونة الأخيرة </w:t>
      </w:r>
      <w:r w:rsidR="002A7CA8" w:rsidRPr="008572A4">
        <w:rPr>
          <w:rtl/>
        </w:rPr>
        <w:t>100</w:t>
      </w:r>
      <w:r w:rsidR="002A7CA8" w:rsidRPr="008572A4">
        <w:rPr>
          <w:rFonts w:hint="cs"/>
          <w:rtl/>
        </w:rPr>
        <w:t xml:space="preserve"> فاحص براءات جديد خلال سنتي </w:t>
      </w:r>
      <w:r w:rsidR="002A7CA8" w:rsidRPr="008572A4">
        <w:rPr>
          <w:rtl/>
        </w:rPr>
        <w:t>2016</w:t>
      </w:r>
      <w:r w:rsidR="002A7CA8" w:rsidRPr="008572A4">
        <w:rPr>
          <w:rFonts w:hint="cs"/>
          <w:rtl/>
        </w:rPr>
        <w:t xml:space="preserve"> و</w:t>
      </w:r>
      <w:r w:rsidR="002A7CA8" w:rsidRPr="008572A4">
        <w:rPr>
          <w:rtl/>
        </w:rPr>
        <w:t>2017</w:t>
      </w:r>
      <w:r w:rsidR="002A7CA8" w:rsidRPr="008572A4">
        <w:rPr>
          <w:rFonts w:hint="cs"/>
          <w:rtl/>
        </w:rPr>
        <w:t xml:space="preserve"> </w:t>
      </w:r>
      <w:proofErr w:type="gramStart"/>
      <w:r w:rsidR="002A7CA8" w:rsidRPr="008572A4">
        <w:rPr>
          <w:rFonts w:hint="cs"/>
          <w:rtl/>
        </w:rPr>
        <w:t>وهم</w:t>
      </w:r>
      <w:proofErr w:type="gramEnd"/>
      <w:r w:rsidR="002A7CA8" w:rsidRPr="008572A4">
        <w:rPr>
          <w:rFonts w:hint="cs"/>
          <w:rtl/>
        </w:rPr>
        <w:t xml:space="preserve"> يخضعون </w:t>
      </w:r>
      <w:r w:rsidR="00475B57" w:rsidRPr="008572A4">
        <w:rPr>
          <w:rFonts w:hint="cs"/>
          <w:rtl/>
        </w:rPr>
        <w:t>حاليا للتدريب</w:t>
      </w:r>
      <w:r w:rsidR="002A7CA8" w:rsidRPr="008572A4">
        <w:rPr>
          <w:rFonts w:hint="cs"/>
          <w:rtl/>
        </w:rPr>
        <w:t>.</w:t>
      </w:r>
    </w:p>
    <w:p w:rsidR="002A7CA8" w:rsidRPr="008572A4" w:rsidRDefault="002A7CA8" w:rsidP="002A7CA8">
      <w:pPr>
        <w:pStyle w:val="NormalParaAR"/>
        <w:rPr>
          <w:rtl/>
        </w:rPr>
      </w:pPr>
      <w:r w:rsidRPr="008572A4">
        <w:rPr>
          <w:rFonts w:hint="cs"/>
          <w:rtl/>
        </w:rPr>
        <w:t xml:space="preserve">ولا تقتصر الجهود المبذولة في مجال التدريب على تعليم </w:t>
      </w:r>
      <w:r w:rsidR="00475B57" w:rsidRPr="008572A4">
        <w:rPr>
          <w:rFonts w:hint="cs"/>
          <w:rtl/>
        </w:rPr>
        <w:t>ال</w:t>
      </w:r>
      <w:r w:rsidRPr="008572A4">
        <w:rPr>
          <w:rFonts w:hint="cs"/>
          <w:rtl/>
        </w:rPr>
        <w:t xml:space="preserve">فاحصين الجدد. </w:t>
      </w:r>
      <w:proofErr w:type="gramStart"/>
      <w:r w:rsidRPr="008572A4">
        <w:rPr>
          <w:rFonts w:hint="cs"/>
          <w:rtl/>
        </w:rPr>
        <w:t>فالفاحصون</w:t>
      </w:r>
      <w:proofErr w:type="gramEnd"/>
      <w:r w:rsidRPr="008572A4">
        <w:rPr>
          <w:rFonts w:hint="cs"/>
          <w:rtl/>
        </w:rPr>
        <w:t xml:space="preserve"> المتمرسون يُشجعون على مواكبة التطور التكنولوجي في مجال اختصاصهم وذلك من خلال</w:t>
      </w:r>
      <w:r w:rsidR="006F1A08" w:rsidRPr="008572A4">
        <w:rPr>
          <w:rFonts w:hint="cs"/>
          <w:rtl/>
        </w:rPr>
        <w:t xml:space="preserve"> حثهم على</w:t>
      </w:r>
      <w:r w:rsidRPr="008572A4">
        <w:rPr>
          <w:rFonts w:hint="cs"/>
          <w:rtl/>
        </w:rPr>
        <w:t xml:space="preserve"> مراجعة الدوريات التقنية وحضور المؤتمرات والمشاركة في التظاهرات التقنية.</w:t>
      </w:r>
    </w:p>
    <w:p w:rsidR="002A7CA8" w:rsidRPr="008572A4" w:rsidRDefault="00475B57" w:rsidP="002A7CA8">
      <w:pPr>
        <w:pStyle w:val="NormalParaAR"/>
        <w:rPr>
          <w:rtl/>
        </w:rPr>
      </w:pPr>
      <w:r w:rsidRPr="008572A4">
        <w:rPr>
          <w:rFonts w:hint="cs"/>
          <w:rtl/>
        </w:rPr>
        <w:t>ويتمتع فاحصونا أيضا بمستوى عال</w:t>
      </w:r>
      <w:r w:rsidR="002A7CA8" w:rsidRPr="008572A4">
        <w:rPr>
          <w:rFonts w:hint="cs"/>
          <w:rtl/>
        </w:rPr>
        <w:t xml:space="preserve"> من المعارف في مجال اللغات الأجنبية. إذ إن عدداً كبيراً من الفاحصين قادرون على إنجاز عملهم باللغتين الإنكليزية والإسبانية، فضلاً عن اللغة البرتغالية.</w:t>
      </w:r>
    </w:p>
    <w:p w:rsidR="002A7CA8" w:rsidRPr="008572A4" w:rsidRDefault="002A7CA8" w:rsidP="00475B57">
      <w:pPr>
        <w:pStyle w:val="NormalParaAR"/>
        <w:rPr>
          <w:i/>
          <w:iCs/>
          <w:rtl/>
        </w:rPr>
      </w:pPr>
      <w:r w:rsidRPr="008572A4">
        <w:rPr>
          <w:rFonts w:hint="cs"/>
          <w:rtl/>
        </w:rPr>
        <w:lastRenderedPageBreak/>
        <w:t>وعلى وجه الخصوص،</w:t>
      </w:r>
      <w:r w:rsidR="00D82D7B" w:rsidRPr="008572A4">
        <w:rPr>
          <w:rFonts w:hint="cs"/>
          <w:rtl/>
        </w:rPr>
        <w:t xml:space="preserve"> تجدر الإشارة إلى أنه </w:t>
      </w:r>
      <w:r w:rsidRPr="008572A4">
        <w:rPr>
          <w:rFonts w:hint="cs"/>
          <w:rtl/>
        </w:rPr>
        <w:t xml:space="preserve">في عام </w:t>
      </w:r>
      <w:r w:rsidRPr="008572A4">
        <w:rPr>
          <w:rtl/>
        </w:rPr>
        <w:t>2010</w:t>
      </w:r>
      <w:r w:rsidR="00D82D7B" w:rsidRPr="008572A4">
        <w:rPr>
          <w:rFonts w:hint="cs"/>
          <w:rtl/>
        </w:rPr>
        <w:t xml:space="preserve">، قدم المعهد تدريباً داخلياً إلى جميع الفاحصين بشأن مسائل معاهدة التعاون بشأن البراءات، شمل ذلك المبادئ التوجيهية للبحث والفحص، إضافة إلى الاستعمال السليم </w:t>
      </w:r>
      <w:r w:rsidR="006F1A08" w:rsidRPr="008572A4">
        <w:rPr>
          <w:rFonts w:hint="cs"/>
          <w:rtl/>
        </w:rPr>
        <w:t>ل</w:t>
      </w:r>
      <w:r w:rsidR="00D82D7B" w:rsidRPr="008572A4">
        <w:rPr>
          <w:rFonts w:hint="cs"/>
          <w:rtl/>
        </w:rPr>
        <w:t xml:space="preserve">أشكال </w:t>
      </w:r>
      <w:r w:rsidR="00D82D7B" w:rsidRPr="008572A4">
        <w:rPr>
          <w:rtl/>
        </w:rPr>
        <w:t>إدارة</w:t>
      </w:r>
      <w:r w:rsidR="00D82D7B" w:rsidRPr="008572A4">
        <w:rPr>
          <w:rFonts w:hint="cs"/>
          <w:rtl/>
        </w:rPr>
        <w:t xml:space="preserve"> </w:t>
      </w:r>
      <w:r w:rsidR="00475B57" w:rsidRPr="008572A4">
        <w:rPr>
          <w:rFonts w:hint="cs"/>
          <w:rtl/>
        </w:rPr>
        <w:t>ل</w:t>
      </w:r>
      <w:r w:rsidR="00D82D7B" w:rsidRPr="008572A4">
        <w:rPr>
          <w:rtl/>
        </w:rPr>
        <w:t>لبحث الدولي و</w:t>
      </w:r>
      <w:r w:rsidR="00D82D7B" w:rsidRPr="008572A4">
        <w:rPr>
          <w:rFonts w:hint="cs"/>
          <w:rtl/>
        </w:rPr>
        <w:t>إدارة</w:t>
      </w:r>
      <w:r w:rsidR="00475B57" w:rsidRPr="008572A4">
        <w:rPr>
          <w:rFonts w:hint="cs"/>
          <w:rtl/>
        </w:rPr>
        <w:t xml:space="preserve"> ل</w:t>
      </w:r>
      <w:r w:rsidR="00D82D7B" w:rsidRPr="008572A4">
        <w:rPr>
          <w:rtl/>
        </w:rPr>
        <w:t>لفحص التمهيدي الدولي</w:t>
      </w:r>
      <w:r w:rsidR="00D82D7B" w:rsidRPr="008572A4">
        <w:rPr>
          <w:rFonts w:hint="cs"/>
          <w:rtl/>
        </w:rPr>
        <w:t xml:space="preserve"> مقارنة بعمليات البحث والفحص على الصعيد </w:t>
      </w:r>
      <w:r w:rsidR="006F1A08" w:rsidRPr="008572A4">
        <w:rPr>
          <w:rFonts w:hint="cs"/>
          <w:rtl/>
        </w:rPr>
        <w:t>الوطني</w:t>
      </w:r>
      <w:r w:rsidR="00D82D7B" w:rsidRPr="008572A4">
        <w:rPr>
          <w:rFonts w:hint="cs"/>
          <w:rtl/>
        </w:rPr>
        <w:t>.</w:t>
      </w:r>
    </w:p>
    <w:p w:rsidR="00D82D7B" w:rsidRPr="008572A4" w:rsidRDefault="00D82D7B" w:rsidP="006F1A08">
      <w:pPr>
        <w:pStyle w:val="NormalParaAR"/>
        <w:rPr>
          <w:rtl/>
        </w:rPr>
      </w:pPr>
      <w:r w:rsidRPr="008572A4">
        <w:rPr>
          <w:rFonts w:hint="cs"/>
          <w:rtl/>
        </w:rPr>
        <w:t xml:space="preserve">فعلى سبيل المثال، استفاد </w:t>
      </w:r>
      <w:r w:rsidRPr="008572A4">
        <w:rPr>
          <w:rtl/>
        </w:rPr>
        <w:t>250</w:t>
      </w:r>
      <w:r w:rsidRPr="008572A4">
        <w:rPr>
          <w:rFonts w:hint="cs"/>
          <w:rtl/>
        </w:rPr>
        <w:t xml:space="preserve"> من الفاحصين لدينا خلال عام </w:t>
      </w:r>
      <w:r w:rsidRPr="008572A4">
        <w:rPr>
          <w:rtl/>
        </w:rPr>
        <w:t>2010</w:t>
      </w:r>
      <w:r w:rsidRPr="008572A4">
        <w:rPr>
          <w:rFonts w:hint="cs"/>
          <w:rtl/>
        </w:rPr>
        <w:t xml:space="preserve"> من تدريب كامل في جميع المواد الدراسية المذكورة آنفاً، ومنذ عام </w:t>
      </w:r>
      <w:r w:rsidRPr="008572A4">
        <w:rPr>
          <w:rtl/>
        </w:rPr>
        <w:t>2011</w:t>
      </w:r>
      <w:r w:rsidRPr="008572A4">
        <w:rPr>
          <w:rFonts w:hint="cs"/>
          <w:rtl/>
        </w:rPr>
        <w:t xml:space="preserve"> ونحن نقدم تدريبات أساسية </w:t>
      </w:r>
      <w:r w:rsidR="00F65DD5" w:rsidRPr="008572A4">
        <w:rPr>
          <w:rFonts w:hint="cs"/>
          <w:rtl/>
        </w:rPr>
        <w:t xml:space="preserve">للفاحصين الجدد. ويشارك الفاحصون المتمرسون باستمرار في دورات تدريبية لكي يبقوا مطلعين على المستجدات، </w:t>
      </w:r>
      <w:r w:rsidR="006F1A08" w:rsidRPr="008572A4">
        <w:rPr>
          <w:rFonts w:hint="cs"/>
          <w:rtl/>
        </w:rPr>
        <w:t>ويشاركون</w:t>
      </w:r>
      <w:r w:rsidR="00F65DD5" w:rsidRPr="008572A4">
        <w:rPr>
          <w:rFonts w:hint="cs"/>
          <w:rtl/>
        </w:rPr>
        <w:t xml:space="preserve"> </w:t>
      </w:r>
      <w:r w:rsidR="006F1A08" w:rsidRPr="008572A4">
        <w:rPr>
          <w:rFonts w:hint="cs"/>
          <w:rtl/>
        </w:rPr>
        <w:t>أحياناً في</w:t>
      </w:r>
      <w:r w:rsidR="00F65DD5" w:rsidRPr="008572A4">
        <w:rPr>
          <w:rFonts w:hint="cs"/>
          <w:rtl/>
        </w:rPr>
        <w:t xml:space="preserve"> مبادرات لإعادة التدريب </w:t>
      </w:r>
      <w:proofErr w:type="gramStart"/>
      <w:r w:rsidR="00F65DD5" w:rsidRPr="008572A4">
        <w:rPr>
          <w:rFonts w:hint="cs"/>
          <w:rtl/>
        </w:rPr>
        <w:t>والتكوين</w:t>
      </w:r>
      <w:proofErr w:type="gramEnd"/>
      <w:r w:rsidR="00F65DD5" w:rsidRPr="008572A4">
        <w:rPr>
          <w:rFonts w:hint="cs"/>
          <w:rtl/>
        </w:rPr>
        <w:t>.</w:t>
      </w:r>
    </w:p>
    <w:p w:rsidR="00F65DD5" w:rsidRPr="008572A4" w:rsidRDefault="00F65DD5" w:rsidP="00AD7ED2">
      <w:pPr>
        <w:pStyle w:val="Heading2"/>
        <w:spacing w:after="60" w:line="360" w:lineRule="exact"/>
        <w:rPr>
          <w:i/>
          <w:iCs/>
          <w:sz w:val="36"/>
          <w:szCs w:val="36"/>
          <w:rtl/>
        </w:rPr>
      </w:pPr>
      <w:r w:rsidRPr="008572A4">
        <w:rPr>
          <w:rFonts w:hint="cs"/>
          <w:i/>
          <w:iCs/>
          <w:sz w:val="36"/>
          <w:szCs w:val="36"/>
          <w:rtl/>
        </w:rPr>
        <w:t>المعلومات التكنولوجية والنفاذ إلى الوثائق المرتبطة بالبراءات وغير المرتبطة بها</w:t>
      </w:r>
    </w:p>
    <w:p w:rsidR="00F65DD5" w:rsidRPr="008572A4" w:rsidRDefault="002A34FF" w:rsidP="00475B57">
      <w:pPr>
        <w:pStyle w:val="NormalParaAR"/>
        <w:spacing w:after="0"/>
        <w:rPr>
          <w:rtl/>
        </w:rPr>
      </w:pPr>
      <w:r w:rsidRPr="008572A4">
        <w:rPr>
          <w:rFonts w:hint="cs"/>
          <w:rtl/>
        </w:rPr>
        <w:t xml:space="preserve">يواصل المعهد الوطني للملكية الصناعية </w:t>
      </w:r>
      <w:r w:rsidR="00475B57" w:rsidRPr="008572A4">
        <w:rPr>
          <w:rFonts w:hint="cs"/>
          <w:rtl/>
        </w:rPr>
        <w:t xml:space="preserve">في البرازيل </w:t>
      </w:r>
      <w:r w:rsidRPr="008572A4">
        <w:rPr>
          <w:rFonts w:hint="cs"/>
          <w:rtl/>
        </w:rPr>
        <w:t xml:space="preserve">تطوير الحلول ذات الصلة بالمعلومات التكنولوجية بغية استيفاء متطلبات عمليات الحماية بالبراءات التي يقوم بها في البرازيل </w:t>
      </w:r>
      <w:r w:rsidR="006F1A08" w:rsidRPr="008572A4">
        <w:rPr>
          <w:rFonts w:hint="cs"/>
          <w:rtl/>
        </w:rPr>
        <w:t>من أجل تحسين النفاذ إلى ما ي</w:t>
      </w:r>
      <w:r w:rsidRPr="008572A4">
        <w:rPr>
          <w:rFonts w:hint="cs"/>
          <w:rtl/>
        </w:rPr>
        <w:t xml:space="preserve">زخر به من بيانات في مجال البراءات و </w:t>
      </w:r>
      <w:r w:rsidRPr="008572A4">
        <w:rPr>
          <w:rtl/>
        </w:rPr>
        <w:t xml:space="preserve">تحقيق </w:t>
      </w:r>
      <w:r w:rsidRPr="008572A4">
        <w:rPr>
          <w:rFonts w:hint="cs"/>
          <w:rtl/>
        </w:rPr>
        <w:t>مكاسب</w:t>
      </w:r>
      <w:r w:rsidRPr="008572A4">
        <w:rPr>
          <w:rtl/>
        </w:rPr>
        <w:t xml:space="preserve"> أكبر من حيث الكفاءة في </w:t>
      </w:r>
      <w:r w:rsidRPr="008572A4">
        <w:rPr>
          <w:rFonts w:hint="cs"/>
          <w:rtl/>
        </w:rPr>
        <w:t xml:space="preserve">تقديم السلع والخدمات في مجال البراءات. وقد استُهل هذا المسار من خلال بوابة </w:t>
      </w:r>
      <w:r w:rsidRPr="008572A4">
        <w:t>CAPES</w:t>
      </w:r>
      <w:r w:rsidRPr="008572A4">
        <w:rPr>
          <w:rStyle w:val="FootnoteReference"/>
        </w:rPr>
        <w:footnoteReference w:id="3"/>
      </w:r>
      <w:r w:rsidR="000705E1" w:rsidRPr="008572A4">
        <w:rPr>
          <w:rFonts w:hint="cs"/>
          <w:rtl/>
        </w:rPr>
        <w:t xml:space="preserve">، وهي قاعدة بيانات وطنية مشهورة تُعنى بالوثائق غير المرتبطة بالبراءات، ونظام قاعدة البيانات </w:t>
      </w:r>
      <w:r w:rsidR="000705E1" w:rsidRPr="008572A4">
        <w:rPr>
          <w:rStyle w:val="FootnoteReference"/>
          <w:rtl/>
        </w:rPr>
        <w:footnoteReference w:id="4"/>
      </w:r>
      <w:r w:rsidR="000705E1" w:rsidRPr="008572A4">
        <w:t>DIALOG</w:t>
      </w:r>
      <w:r w:rsidR="000705E1" w:rsidRPr="008572A4">
        <w:rPr>
          <w:rFonts w:hint="cs"/>
          <w:rtl/>
        </w:rPr>
        <w:t>.</w:t>
      </w:r>
    </w:p>
    <w:p w:rsidR="00AC57E0" w:rsidRPr="008572A4" w:rsidRDefault="000705E1" w:rsidP="0019492E">
      <w:pPr>
        <w:pStyle w:val="NormalParaAR"/>
        <w:rPr>
          <w:rtl/>
        </w:rPr>
      </w:pPr>
      <w:r w:rsidRPr="008572A4">
        <w:rPr>
          <w:rFonts w:hint="cs"/>
          <w:rtl/>
        </w:rPr>
        <w:t xml:space="preserve">ويتجسد التزام المعهد </w:t>
      </w:r>
      <w:r w:rsidR="0019492E" w:rsidRPr="008572A4">
        <w:rPr>
          <w:rFonts w:hint="cs"/>
          <w:rtl/>
        </w:rPr>
        <w:t>بالحفاظ على مستوى عال</w:t>
      </w:r>
      <w:r w:rsidRPr="008572A4">
        <w:rPr>
          <w:rFonts w:hint="cs"/>
          <w:rtl/>
        </w:rPr>
        <w:t xml:space="preserve"> فيما يتعلق بالنفاذ إلى الوثائق المرتبطة بالبراءات وغير المرتبطة بها، بصرف النظر عن الاتفاق الجاري مع المكتب الأوروبي للبراءات فيما يخص النفاذ الكامل لنظام قاعدة البيانات </w:t>
      </w:r>
      <w:r w:rsidRPr="008572A4">
        <w:t>EPOQUE</w:t>
      </w:r>
      <w:r w:rsidRPr="008572A4">
        <w:rPr>
          <w:rFonts w:hint="cs"/>
          <w:rtl/>
        </w:rPr>
        <w:t>، م</w:t>
      </w:r>
      <w:r w:rsidR="00AC57E0" w:rsidRPr="008572A4">
        <w:rPr>
          <w:rFonts w:hint="cs"/>
          <w:rtl/>
        </w:rPr>
        <w:t>ن خلال قراره الأخير باقتناء أداتين</w:t>
      </w:r>
      <w:r w:rsidRPr="008572A4">
        <w:rPr>
          <w:rFonts w:hint="cs"/>
          <w:rtl/>
        </w:rPr>
        <w:t xml:space="preserve"> من </w:t>
      </w:r>
      <w:r w:rsidR="00AC57E0" w:rsidRPr="008572A4">
        <w:rPr>
          <w:rFonts w:hint="cs"/>
          <w:rtl/>
        </w:rPr>
        <w:t xml:space="preserve">الأدوات الرئيسية المتاحة ويتعلق الأمر بكل من </w:t>
      </w:r>
      <w:r w:rsidR="00AC57E0" w:rsidRPr="008572A4">
        <w:t xml:space="preserve">IEEE </w:t>
      </w:r>
      <w:proofErr w:type="spellStart"/>
      <w:r w:rsidR="00AC57E0" w:rsidRPr="008572A4">
        <w:t>Xplore</w:t>
      </w:r>
      <w:proofErr w:type="spellEnd"/>
      <w:r w:rsidR="00AC57E0" w:rsidRPr="008572A4">
        <w:rPr>
          <w:rStyle w:val="FootnoteReference"/>
        </w:rPr>
        <w:footnoteReference w:id="5"/>
      </w:r>
      <w:r w:rsidR="00AC57E0" w:rsidRPr="008572A4">
        <w:rPr>
          <w:rFonts w:hint="cs"/>
          <w:rtl/>
        </w:rPr>
        <w:t xml:space="preserve"> </w:t>
      </w:r>
      <w:r w:rsidR="0019492E" w:rsidRPr="008572A4">
        <w:rPr>
          <w:rtl/>
        </w:rPr>
        <w:br/>
      </w:r>
      <w:r w:rsidR="00AC57E0" w:rsidRPr="008572A4">
        <w:rPr>
          <w:rFonts w:hint="cs"/>
          <w:rtl/>
        </w:rPr>
        <w:t>و</w:t>
      </w:r>
      <w:r w:rsidR="00AC57E0" w:rsidRPr="008572A4">
        <w:t>THOMSON INNOVATION</w:t>
      </w:r>
      <w:r w:rsidR="00AC57E0" w:rsidRPr="008572A4">
        <w:rPr>
          <w:rFonts w:hint="cs"/>
          <w:rtl/>
        </w:rPr>
        <w:t xml:space="preserve">، وسيتيح ذلك النفاذ إلى </w:t>
      </w:r>
      <w:r w:rsidR="00AC57E0" w:rsidRPr="008572A4">
        <w:rPr>
          <w:rtl/>
        </w:rPr>
        <w:t xml:space="preserve">مؤشر البراءات العالمي </w:t>
      </w:r>
      <w:proofErr w:type="spellStart"/>
      <w:r w:rsidR="00AC57E0" w:rsidRPr="008572A4">
        <w:rPr>
          <w:rtl/>
        </w:rPr>
        <w:t>ديرونت</w:t>
      </w:r>
      <w:proofErr w:type="spellEnd"/>
      <w:r w:rsidR="00AC57E0" w:rsidRPr="008572A4">
        <w:rPr>
          <w:rtl/>
        </w:rPr>
        <w:t xml:space="preserve"> (</w:t>
      </w:r>
      <w:r w:rsidR="00AC57E0" w:rsidRPr="008572A4">
        <w:t>DWPI</w:t>
      </w:r>
      <w:r w:rsidR="00AC57E0" w:rsidRPr="008572A4">
        <w:rPr>
          <w:rtl/>
        </w:rPr>
        <w:t>)</w:t>
      </w:r>
      <w:r w:rsidR="00AC57E0" w:rsidRPr="008572A4">
        <w:rPr>
          <w:rFonts w:hint="cs"/>
          <w:rtl/>
        </w:rPr>
        <w:t xml:space="preserve"> و</w:t>
      </w:r>
      <w:r w:rsidR="00AC57E0" w:rsidRPr="008572A4">
        <w:t>GENESEQ</w:t>
      </w:r>
      <w:r w:rsidR="00AC57E0" w:rsidRPr="008572A4">
        <w:rPr>
          <w:rStyle w:val="FootnoteReference"/>
        </w:rPr>
        <w:footnoteReference w:id="6"/>
      </w:r>
      <w:r w:rsidR="00C61588" w:rsidRPr="008572A4">
        <w:rPr>
          <w:rFonts w:hint="cs"/>
          <w:rtl/>
        </w:rPr>
        <w:t xml:space="preserve">. ومن خلال هذه الإجراءات، يضمن المعهد للفاحصين في البرازيل النفاذ إلى كم هائل من الوثائق المرتبطة بالبراءات، إضافة إلى عدد كبير من الوثائق غير المرتبطة بالبراءات. ويستفيد الفاحصون أيضاً من النفاذ إلى طائفة كبيرة من قواعد البيانات الأخرى على الورق ومن خلال منصات للنفاذ إلى مجموعات متخصصة من </w:t>
      </w:r>
      <w:r w:rsidR="00C61588" w:rsidRPr="008572A4">
        <w:rPr>
          <w:rtl/>
        </w:rPr>
        <w:t>الحد الأدنى من وثائق معاهدة التعاون بشأن البراءا</w:t>
      </w:r>
      <w:r w:rsidR="00C61588" w:rsidRPr="008572A4">
        <w:rPr>
          <w:rFonts w:hint="cs"/>
          <w:rtl/>
        </w:rPr>
        <w:t xml:space="preserve">ت، بل وأكثر، وهي وثائق ذات صلة بمجالات تكنولوجية، </w:t>
      </w:r>
      <w:r w:rsidR="0019492E" w:rsidRPr="008572A4">
        <w:rPr>
          <w:rFonts w:hint="cs"/>
          <w:rtl/>
        </w:rPr>
        <w:t>وي</w:t>
      </w:r>
      <w:r w:rsidR="00C61588" w:rsidRPr="008572A4">
        <w:rPr>
          <w:rFonts w:hint="cs"/>
          <w:rtl/>
        </w:rPr>
        <w:t>شمل ذلك قواعد بيانات خاصة بالمعارف</w:t>
      </w:r>
      <w:r w:rsidR="0019492E" w:rsidRPr="008572A4">
        <w:rPr>
          <w:rFonts w:hint="eastAsia"/>
          <w:rtl/>
        </w:rPr>
        <w:t> </w:t>
      </w:r>
      <w:r w:rsidR="00C61588" w:rsidRPr="008572A4">
        <w:rPr>
          <w:rFonts w:hint="cs"/>
          <w:rtl/>
        </w:rPr>
        <w:t>التقليدية.</w:t>
      </w:r>
    </w:p>
    <w:p w:rsidR="00DD1EF5" w:rsidRPr="008572A4" w:rsidRDefault="00DD1EF5" w:rsidP="0019492E">
      <w:pPr>
        <w:pStyle w:val="NormalParaAR"/>
        <w:rPr>
          <w:rtl/>
        </w:rPr>
      </w:pPr>
      <w:r w:rsidRPr="008572A4">
        <w:rPr>
          <w:rFonts w:hint="cs"/>
          <w:rtl/>
        </w:rPr>
        <w:t xml:space="preserve">وبغية دعم هذه الأنظمة، يستخدم المعهد الوطني للملكية الصناعية </w:t>
      </w:r>
      <w:r w:rsidR="0019492E" w:rsidRPr="008572A4">
        <w:rPr>
          <w:rFonts w:hint="cs"/>
          <w:rtl/>
        </w:rPr>
        <w:t xml:space="preserve">في البرازيل </w:t>
      </w:r>
      <w:r w:rsidRPr="008572A4">
        <w:rPr>
          <w:rFonts w:hint="cs"/>
          <w:rtl/>
        </w:rPr>
        <w:t xml:space="preserve">محطات عمل </w:t>
      </w:r>
      <w:r w:rsidR="007D2DEB" w:rsidRPr="008572A4">
        <w:rPr>
          <w:rFonts w:hint="cs"/>
          <w:rtl/>
        </w:rPr>
        <w:t xml:space="preserve">بمعالج </w:t>
      </w:r>
      <w:r w:rsidR="007D2DEB" w:rsidRPr="008572A4">
        <w:rPr>
          <w:rtl/>
        </w:rPr>
        <w:t>بنتيوم</w:t>
      </w:r>
      <w:r w:rsidR="007D2DEB" w:rsidRPr="008572A4">
        <w:rPr>
          <w:rFonts w:hint="cs"/>
          <w:rtl/>
        </w:rPr>
        <w:t xml:space="preserve">، يحتوي على قارئ أقراص </w:t>
      </w:r>
      <w:r w:rsidR="007D2DEB" w:rsidRPr="008572A4">
        <w:t>CD/DVD-ROM</w:t>
      </w:r>
      <w:r w:rsidR="007D2DEB" w:rsidRPr="008572A4">
        <w:rPr>
          <w:rFonts w:hint="cs"/>
          <w:rtl/>
        </w:rPr>
        <w:t xml:space="preserve"> واتصال بشبكة الإنترنت من خلال اتصال ذي سرعة فائقة. ويتيح ذلك النفاذ إلى نظام قاعدة البيانات </w:t>
      </w:r>
      <w:r w:rsidR="007D2DEB" w:rsidRPr="008572A4">
        <w:t>EPOQUE</w:t>
      </w:r>
      <w:r w:rsidR="007D2DEB" w:rsidRPr="008572A4">
        <w:rPr>
          <w:rFonts w:hint="cs"/>
          <w:rtl/>
        </w:rPr>
        <w:t xml:space="preserve"> ويوفر لفاحصي البراءات التسهيلات اللازمة للاضطلاع بوظائفهم في مجالي البحث والفحص.</w:t>
      </w:r>
    </w:p>
    <w:p w:rsidR="007D2DEB" w:rsidRPr="008572A4" w:rsidRDefault="007D2DEB" w:rsidP="0019492E">
      <w:pPr>
        <w:pStyle w:val="NormalParaAR"/>
        <w:rPr>
          <w:rtl/>
        </w:rPr>
      </w:pPr>
      <w:r w:rsidRPr="008572A4">
        <w:rPr>
          <w:rFonts w:hint="cs"/>
          <w:rtl/>
        </w:rPr>
        <w:t xml:space="preserve">وكما أُشير إليه سابقاً، يتمتع الفاحصون في </w:t>
      </w:r>
      <w:r w:rsidR="0019492E" w:rsidRPr="008572A4">
        <w:rPr>
          <w:rFonts w:hint="cs"/>
          <w:rtl/>
        </w:rPr>
        <w:t>المعهد الوطني للملكية الصناعية في البرازيل</w:t>
      </w:r>
      <w:r w:rsidRPr="008572A4">
        <w:rPr>
          <w:rFonts w:hint="cs"/>
          <w:rtl/>
        </w:rPr>
        <w:t xml:space="preserve"> بمهارات لغوية ممتازة. وعلاوة على ذلك، تتيح العديد من قواعد البيانات </w:t>
      </w:r>
      <w:r w:rsidR="006F1A08" w:rsidRPr="008572A4">
        <w:rPr>
          <w:rFonts w:hint="cs"/>
          <w:rtl/>
        </w:rPr>
        <w:t>المتاحة</w:t>
      </w:r>
      <w:r w:rsidRPr="008572A4">
        <w:rPr>
          <w:rFonts w:hint="cs"/>
          <w:rtl/>
        </w:rPr>
        <w:t xml:space="preserve"> للفاحصين إمكانية البحث المباشر عن الملخصات وتوفر لهم الترجمة الآلية وغيرها من الأدوات التي تساعد على البحث عن الوثائق باللغات ا</w:t>
      </w:r>
      <w:r w:rsidR="00A3416B" w:rsidRPr="008572A4">
        <w:rPr>
          <w:rFonts w:hint="cs"/>
          <w:rtl/>
        </w:rPr>
        <w:t xml:space="preserve">لتي لا يتقنها الفاحص جيداً. </w:t>
      </w:r>
      <w:proofErr w:type="gramStart"/>
      <w:r w:rsidR="00A3416B" w:rsidRPr="008572A4">
        <w:rPr>
          <w:rFonts w:hint="cs"/>
          <w:rtl/>
        </w:rPr>
        <w:t>و</w:t>
      </w:r>
      <w:r w:rsidR="0019492E" w:rsidRPr="008572A4">
        <w:rPr>
          <w:rFonts w:hint="cs"/>
          <w:rtl/>
        </w:rPr>
        <w:t>إ</w:t>
      </w:r>
      <w:r w:rsidRPr="008572A4">
        <w:rPr>
          <w:rFonts w:hint="cs"/>
          <w:rtl/>
        </w:rPr>
        <w:t>ضافة</w:t>
      </w:r>
      <w:proofErr w:type="gramEnd"/>
      <w:r w:rsidRPr="008572A4">
        <w:rPr>
          <w:rFonts w:hint="cs"/>
          <w:rtl/>
        </w:rPr>
        <w:t xml:space="preserve"> إلى ذلك، يمكن للفاحصين النفاذ إلى طائفة متنوعة من أدوات الترجمة الآلية للمساعدة على فهم الوثائق في </w:t>
      </w:r>
      <w:r w:rsidR="00580471" w:rsidRPr="008572A4">
        <w:rPr>
          <w:rFonts w:hint="cs"/>
          <w:rtl/>
        </w:rPr>
        <w:t>ا</w:t>
      </w:r>
      <w:r w:rsidRPr="008572A4">
        <w:rPr>
          <w:rFonts w:hint="cs"/>
          <w:rtl/>
        </w:rPr>
        <w:t xml:space="preserve">لحالات التي </w:t>
      </w:r>
      <w:r w:rsidR="00580471" w:rsidRPr="008572A4">
        <w:rPr>
          <w:rFonts w:hint="cs"/>
          <w:rtl/>
        </w:rPr>
        <w:t>لا ت</w:t>
      </w:r>
      <w:r w:rsidR="00A3416B" w:rsidRPr="008572A4">
        <w:rPr>
          <w:rFonts w:hint="cs"/>
          <w:rtl/>
        </w:rPr>
        <w:t>كون فيها متوفرة مباشرة لدى البحث في قواعد البيانات ذات الصلة.</w:t>
      </w:r>
    </w:p>
    <w:p w:rsidR="00A3416B" w:rsidRPr="008572A4" w:rsidRDefault="00A3416B" w:rsidP="00FF6AA6">
      <w:pPr>
        <w:pStyle w:val="NormalParaAR"/>
        <w:rPr>
          <w:rtl/>
        </w:rPr>
      </w:pPr>
      <w:r w:rsidRPr="008572A4">
        <w:rPr>
          <w:rFonts w:hint="cs"/>
          <w:rtl/>
        </w:rPr>
        <w:lastRenderedPageBreak/>
        <w:t xml:space="preserve">وبذلك يمتثل في المعهد الوطني البرازيلي للملكية الصناعية إلى المتطلبات الواردة في القواعد </w:t>
      </w:r>
      <w:r w:rsidR="00FF6AA6" w:rsidRPr="008572A4">
        <w:rPr>
          <w:rtl/>
          <w:lang w:val="en-GB"/>
        </w:rPr>
        <w:t>1.36"</w:t>
      </w:r>
      <w:r w:rsidR="00FF6AA6" w:rsidRPr="008572A4">
        <w:rPr>
          <w:rFonts w:hint="cs"/>
          <w:rtl/>
          <w:lang w:val="en-GB"/>
        </w:rPr>
        <w:t>2</w:t>
      </w:r>
      <w:r w:rsidR="00FF6AA6" w:rsidRPr="008572A4">
        <w:rPr>
          <w:rtl/>
          <w:lang w:val="en-GB"/>
        </w:rPr>
        <w:t>"</w:t>
      </w:r>
      <w:r w:rsidR="00FF6AA6" w:rsidRPr="008572A4">
        <w:rPr>
          <w:rFonts w:hint="cs"/>
          <w:rtl/>
          <w:lang w:val="en-GB"/>
        </w:rPr>
        <w:t>و</w:t>
      </w:r>
      <w:r w:rsidRPr="008572A4">
        <w:rPr>
          <w:rFonts w:hint="cs"/>
          <w:rtl/>
        </w:rPr>
        <w:t>"</w:t>
      </w:r>
      <w:r w:rsidR="00FF6AA6" w:rsidRPr="008572A4">
        <w:rPr>
          <w:rFonts w:hint="cs"/>
          <w:rtl/>
        </w:rPr>
        <w:t>3</w:t>
      </w:r>
      <w:r w:rsidRPr="008572A4">
        <w:rPr>
          <w:rFonts w:hint="cs"/>
          <w:rtl/>
        </w:rPr>
        <w:t xml:space="preserve"> </w:t>
      </w:r>
      <w:r w:rsidR="00FF6AA6" w:rsidRPr="008572A4">
        <w:rPr>
          <w:rFonts w:hint="cs"/>
          <w:rtl/>
        </w:rPr>
        <w:t xml:space="preserve">" </w:t>
      </w:r>
      <w:r w:rsidRPr="008572A4">
        <w:rPr>
          <w:rFonts w:hint="cs"/>
          <w:rtl/>
        </w:rPr>
        <w:t>و</w:t>
      </w:r>
      <w:r w:rsidR="00FF6AA6" w:rsidRPr="008572A4">
        <w:rPr>
          <w:rtl/>
          <w:lang w:val="en-GB"/>
        </w:rPr>
        <w:t>1.</w:t>
      </w:r>
      <w:r w:rsidR="00FF6AA6" w:rsidRPr="008572A4">
        <w:rPr>
          <w:rFonts w:hint="cs"/>
          <w:rtl/>
          <w:lang w:val="en-GB"/>
        </w:rPr>
        <w:t>63</w:t>
      </w:r>
      <w:r w:rsidR="00FF6AA6" w:rsidRPr="008572A4">
        <w:rPr>
          <w:rtl/>
          <w:lang w:val="en-GB"/>
        </w:rPr>
        <w:t>"</w:t>
      </w:r>
      <w:r w:rsidR="00FF6AA6" w:rsidRPr="008572A4">
        <w:rPr>
          <w:rFonts w:hint="cs"/>
          <w:rtl/>
          <w:lang w:val="en-GB"/>
        </w:rPr>
        <w:t>2</w:t>
      </w:r>
      <w:r w:rsidR="00FF6AA6" w:rsidRPr="008572A4">
        <w:rPr>
          <w:rtl/>
          <w:lang w:val="en-GB"/>
        </w:rPr>
        <w:t>"</w:t>
      </w:r>
      <w:r w:rsidR="00FF6AA6" w:rsidRPr="008572A4">
        <w:rPr>
          <w:rFonts w:hint="cs"/>
          <w:rtl/>
          <w:lang w:val="en-GB"/>
        </w:rPr>
        <w:t>و</w:t>
      </w:r>
      <w:r w:rsidR="00FF6AA6" w:rsidRPr="008572A4">
        <w:rPr>
          <w:rFonts w:hint="cs"/>
          <w:rtl/>
        </w:rPr>
        <w:t xml:space="preserve">"3. </w:t>
      </w:r>
    </w:p>
    <w:p w:rsidR="00A3416B" w:rsidRPr="008572A4" w:rsidRDefault="00EE0F80" w:rsidP="00AD7ED2">
      <w:pPr>
        <w:pStyle w:val="Heading2"/>
        <w:spacing w:after="60" w:line="360" w:lineRule="exact"/>
        <w:rPr>
          <w:i/>
          <w:iCs/>
          <w:sz w:val="36"/>
          <w:szCs w:val="36"/>
          <w:rtl/>
        </w:rPr>
      </w:pPr>
      <w:r w:rsidRPr="008572A4">
        <w:rPr>
          <w:rFonts w:hint="cs"/>
          <w:i/>
          <w:iCs/>
          <w:sz w:val="36"/>
          <w:szCs w:val="36"/>
          <w:rtl/>
        </w:rPr>
        <w:t>السعي</w:t>
      </w:r>
      <w:r w:rsidR="006F1A08" w:rsidRPr="008572A4">
        <w:rPr>
          <w:rFonts w:hint="cs"/>
          <w:i/>
          <w:iCs/>
          <w:sz w:val="36"/>
          <w:szCs w:val="36"/>
          <w:rtl/>
        </w:rPr>
        <w:t xml:space="preserve"> إلى تحقيق الامتياز </w:t>
      </w:r>
      <w:proofErr w:type="gramStart"/>
      <w:r w:rsidR="006F1A08" w:rsidRPr="008572A4">
        <w:rPr>
          <w:rFonts w:hint="cs"/>
          <w:i/>
          <w:iCs/>
          <w:sz w:val="36"/>
          <w:szCs w:val="36"/>
          <w:rtl/>
        </w:rPr>
        <w:t>وجودة</w:t>
      </w:r>
      <w:proofErr w:type="gramEnd"/>
      <w:r w:rsidR="006F1A08" w:rsidRPr="008572A4">
        <w:rPr>
          <w:rFonts w:hint="cs"/>
          <w:i/>
          <w:iCs/>
          <w:sz w:val="36"/>
          <w:szCs w:val="36"/>
          <w:rtl/>
        </w:rPr>
        <w:t xml:space="preserve"> الخدمات</w:t>
      </w:r>
      <w:r w:rsidRPr="008572A4">
        <w:rPr>
          <w:rFonts w:hint="cs"/>
          <w:i/>
          <w:iCs/>
          <w:sz w:val="36"/>
          <w:szCs w:val="36"/>
          <w:rtl/>
        </w:rPr>
        <w:t xml:space="preserve"> المقدمة</w:t>
      </w:r>
    </w:p>
    <w:p w:rsidR="00EE0F80" w:rsidRPr="008572A4" w:rsidRDefault="00EE0F80" w:rsidP="00FF6AA6">
      <w:pPr>
        <w:pStyle w:val="NormalParaAR"/>
        <w:rPr>
          <w:rtl/>
        </w:rPr>
      </w:pPr>
      <w:r w:rsidRPr="008572A4">
        <w:rPr>
          <w:rFonts w:hint="cs"/>
          <w:rtl/>
        </w:rPr>
        <w:t xml:space="preserve">المعهد الوطني للملكية الصناعية </w:t>
      </w:r>
      <w:r w:rsidR="00FF6AA6" w:rsidRPr="008572A4">
        <w:rPr>
          <w:rFonts w:hint="cs"/>
          <w:rtl/>
        </w:rPr>
        <w:t xml:space="preserve">في البرازيل </w:t>
      </w:r>
      <w:r w:rsidRPr="008572A4">
        <w:rPr>
          <w:rFonts w:hint="cs"/>
          <w:rtl/>
        </w:rPr>
        <w:t xml:space="preserve">على دراية </w:t>
      </w:r>
      <w:r w:rsidR="00FD10F0" w:rsidRPr="008572A4">
        <w:rPr>
          <w:rFonts w:hint="cs"/>
          <w:rtl/>
        </w:rPr>
        <w:t xml:space="preserve">بالأهمية المتعاظمة والعميقة للتعاون الدولي بوصفه </w:t>
      </w:r>
      <w:proofErr w:type="gramStart"/>
      <w:r w:rsidR="00FD10F0" w:rsidRPr="008572A4">
        <w:rPr>
          <w:rFonts w:hint="cs"/>
          <w:rtl/>
        </w:rPr>
        <w:t>عماد</w:t>
      </w:r>
      <w:r w:rsidR="00FF6AA6" w:rsidRPr="008572A4">
        <w:rPr>
          <w:rFonts w:hint="cs"/>
          <w:rtl/>
        </w:rPr>
        <w:t>ا</w:t>
      </w:r>
      <w:proofErr w:type="gramEnd"/>
      <w:r w:rsidR="00FD10F0" w:rsidRPr="008572A4">
        <w:rPr>
          <w:rFonts w:hint="cs"/>
          <w:rtl/>
        </w:rPr>
        <w:t xml:space="preserve"> من الأعمدة الرئيسية للاضطلاع </w:t>
      </w:r>
      <w:r w:rsidR="006F1A08" w:rsidRPr="008572A4">
        <w:rPr>
          <w:rFonts w:hint="cs"/>
          <w:rtl/>
        </w:rPr>
        <w:t>بمهامه</w:t>
      </w:r>
      <w:r w:rsidR="00FD10F0" w:rsidRPr="008572A4">
        <w:rPr>
          <w:rFonts w:hint="cs"/>
          <w:rtl/>
        </w:rPr>
        <w:t xml:space="preserve"> </w:t>
      </w:r>
      <w:r w:rsidR="00FD10F0" w:rsidRPr="008572A4">
        <w:rPr>
          <w:rtl/>
        </w:rPr>
        <w:t>كإدارة للبحث الدولي و</w:t>
      </w:r>
      <w:r w:rsidR="00FF6AA6" w:rsidRPr="008572A4">
        <w:rPr>
          <w:rFonts w:hint="cs"/>
          <w:rtl/>
        </w:rPr>
        <w:t>إدارة لل</w:t>
      </w:r>
      <w:r w:rsidR="00FD10F0" w:rsidRPr="008572A4">
        <w:rPr>
          <w:rtl/>
        </w:rPr>
        <w:t>فحص التمهيدي الدولي</w:t>
      </w:r>
      <w:r w:rsidR="00FD10F0" w:rsidRPr="008572A4">
        <w:rPr>
          <w:rFonts w:hint="cs"/>
          <w:rtl/>
        </w:rPr>
        <w:t xml:space="preserve">. وفي سياق المهام الموكلة إليه في مجال المساعدة على تسريع وتيرة النمو الاقتصادي في البرازيل، ينصب اهتمام المعهد صوب الحفاظ </w:t>
      </w:r>
      <w:r w:rsidR="006F1A08" w:rsidRPr="008572A4">
        <w:rPr>
          <w:rFonts w:hint="cs"/>
          <w:rtl/>
        </w:rPr>
        <w:t xml:space="preserve">على </w:t>
      </w:r>
      <w:r w:rsidR="00FD10F0" w:rsidRPr="008572A4">
        <w:rPr>
          <w:rFonts w:hint="cs"/>
          <w:rtl/>
        </w:rPr>
        <w:t>الشراكات المثمرة</w:t>
      </w:r>
      <w:r w:rsidR="006F1A08" w:rsidRPr="008572A4">
        <w:rPr>
          <w:rFonts w:hint="cs"/>
          <w:rtl/>
        </w:rPr>
        <w:t xml:space="preserve"> وتعزيز أواصرها، وهي شراكات </w:t>
      </w:r>
      <w:r w:rsidR="009E73FC" w:rsidRPr="008572A4">
        <w:rPr>
          <w:rFonts w:hint="cs"/>
          <w:rtl/>
        </w:rPr>
        <w:t>ينسجها</w:t>
      </w:r>
      <w:r w:rsidR="00FD10F0" w:rsidRPr="008572A4">
        <w:rPr>
          <w:rFonts w:hint="cs"/>
          <w:rtl/>
        </w:rPr>
        <w:t xml:space="preserve"> مع أهم أصحاب المصلحة في نظام الابتكار البرازيلي، ومع مكاتب الملكية الفكرية التي تضم أكبر عدد من طلبات البراءات قيد النظر في العالم</w:t>
      </w:r>
      <w:r w:rsidR="003945A9" w:rsidRPr="008572A4">
        <w:rPr>
          <w:rFonts w:hint="cs"/>
          <w:rtl/>
        </w:rPr>
        <w:t xml:space="preserve"> أيضاً، وذلك بغية المساعدة في تحسين قدرة إدارة المكتب للقيام بعمله </w:t>
      </w:r>
      <w:r w:rsidR="003945A9" w:rsidRPr="008572A4">
        <w:rPr>
          <w:rtl/>
        </w:rPr>
        <w:t xml:space="preserve">كإدارة للبحث الدولي </w:t>
      </w:r>
      <w:r w:rsidR="00FF6AA6" w:rsidRPr="008572A4">
        <w:rPr>
          <w:rtl/>
        </w:rPr>
        <w:t>و</w:t>
      </w:r>
      <w:r w:rsidR="00FF6AA6" w:rsidRPr="008572A4">
        <w:rPr>
          <w:rFonts w:hint="cs"/>
          <w:rtl/>
        </w:rPr>
        <w:t>إدارة لل</w:t>
      </w:r>
      <w:r w:rsidR="00FF6AA6" w:rsidRPr="008572A4">
        <w:rPr>
          <w:rtl/>
        </w:rPr>
        <w:t>فحص</w:t>
      </w:r>
      <w:r w:rsidR="003945A9" w:rsidRPr="008572A4">
        <w:rPr>
          <w:rtl/>
        </w:rPr>
        <w:t xml:space="preserve"> التمهيدي الدولي</w:t>
      </w:r>
      <w:r w:rsidR="003945A9" w:rsidRPr="008572A4">
        <w:rPr>
          <w:rFonts w:hint="cs"/>
          <w:rtl/>
        </w:rPr>
        <w:t>. ويكمن الهدف المرجو من ذلك في توفير أفضل تدريب لموظفيه التقنيين، وأحسن المعارف والأنظمة المستجدة من أجل إجراء البحوث في مجال البراءات.</w:t>
      </w:r>
    </w:p>
    <w:p w:rsidR="003945A9" w:rsidRPr="008572A4" w:rsidRDefault="003945A9" w:rsidP="007570A7">
      <w:pPr>
        <w:pStyle w:val="NormalParaAR"/>
        <w:rPr>
          <w:rtl/>
        </w:rPr>
      </w:pPr>
      <w:r w:rsidRPr="008572A4">
        <w:rPr>
          <w:rFonts w:hint="cs"/>
          <w:rtl/>
        </w:rPr>
        <w:t xml:space="preserve">ويُفهم التعاون الدولي </w:t>
      </w:r>
      <w:proofErr w:type="gramStart"/>
      <w:r w:rsidR="00335FEB" w:rsidRPr="008572A4">
        <w:rPr>
          <w:rFonts w:hint="cs"/>
          <w:rtl/>
        </w:rPr>
        <w:t>فهماً</w:t>
      </w:r>
      <w:proofErr w:type="gramEnd"/>
      <w:r w:rsidR="00335FEB" w:rsidRPr="008572A4">
        <w:rPr>
          <w:rFonts w:hint="cs"/>
          <w:rtl/>
        </w:rPr>
        <w:t xml:space="preserve"> تاماً على أنه أداة أساسية للتحسين. وفي هذا السياق، يعمل </w:t>
      </w:r>
      <w:r w:rsidR="00FF6AA6" w:rsidRPr="008572A4">
        <w:rPr>
          <w:rFonts w:hint="cs"/>
          <w:rtl/>
        </w:rPr>
        <w:t>المعهد الوطني للملكية الصناعية في البرازيل</w:t>
      </w:r>
      <w:r w:rsidR="00335FEB" w:rsidRPr="008572A4">
        <w:rPr>
          <w:rFonts w:hint="cs"/>
          <w:rtl/>
        </w:rPr>
        <w:t xml:space="preserve"> على تطوير اتفاق تقني جديد مع المنظمة العالمية للملكية الفكرية (الويبو) على أساس صندوق</w:t>
      </w:r>
      <w:r w:rsidR="00335FEB" w:rsidRPr="008572A4">
        <w:rPr>
          <w:rtl/>
        </w:rPr>
        <w:t xml:space="preserve"> استئماني</w:t>
      </w:r>
      <w:r w:rsidR="00335FEB" w:rsidRPr="008572A4">
        <w:rPr>
          <w:rFonts w:hint="cs"/>
          <w:rtl/>
        </w:rPr>
        <w:t xml:space="preserve"> يجري تحضيره</w:t>
      </w:r>
      <w:r w:rsidR="009E73FC" w:rsidRPr="008572A4">
        <w:rPr>
          <w:rFonts w:hint="cs"/>
          <w:rtl/>
        </w:rPr>
        <w:t>،</w:t>
      </w:r>
      <w:r w:rsidR="00335FEB" w:rsidRPr="008572A4">
        <w:rPr>
          <w:rFonts w:hint="cs"/>
          <w:rtl/>
        </w:rPr>
        <w:t xml:space="preserve"> بغية تمكين الفاحصين من بناء قدراتهم واغتنام فرص التدريب. </w:t>
      </w:r>
      <w:r w:rsidR="009E73FC" w:rsidRPr="008572A4">
        <w:rPr>
          <w:rFonts w:hint="cs"/>
          <w:rtl/>
        </w:rPr>
        <w:t>وتشمل</w:t>
      </w:r>
      <w:r w:rsidR="00335FEB" w:rsidRPr="008572A4">
        <w:rPr>
          <w:rFonts w:hint="cs"/>
          <w:rtl/>
        </w:rPr>
        <w:t xml:space="preserve"> إجراءات تعاونية أخرى التقدم المحرز في </w:t>
      </w:r>
      <w:r w:rsidR="00FF6AA6" w:rsidRPr="008572A4">
        <w:rPr>
          <w:rFonts w:hint="cs"/>
          <w:rtl/>
        </w:rPr>
        <w:t>بلدان</w:t>
      </w:r>
      <w:r w:rsidR="00335FEB" w:rsidRPr="008572A4">
        <w:rPr>
          <w:rFonts w:hint="cs"/>
          <w:rtl/>
        </w:rPr>
        <w:t xml:space="preserve"> </w:t>
      </w:r>
      <w:proofErr w:type="spellStart"/>
      <w:r w:rsidR="00E049DD">
        <w:rPr>
          <w:rtl/>
        </w:rPr>
        <w:t>بروسور</w:t>
      </w:r>
      <w:proofErr w:type="spellEnd"/>
      <w:r w:rsidR="007E7135" w:rsidRPr="008572A4">
        <w:rPr>
          <w:rtl/>
        </w:rPr>
        <w:t>(نظام التعاون الإقليمي بشأن الملكية الفكرية</w:t>
      </w:r>
      <w:r w:rsidR="007E7135" w:rsidRPr="008572A4">
        <w:t>(</w:t>
      </w:r>
      <w:r w:rsidR="007E7135" w:rsidRPr="008572A4">
        <w:rPr>
          <w:rFonts w:hint="cs"/>
          <w:rtl/>
        </w:rPr>
        <w:t>، وهو مشروع يضم تسعة مكاتب للملكية الفكرية في أمريكا الجنوبية بغية إقامة مبادرات من بينها المشروع الرائد ل</w:t>
      </w:r>
      <w:r w:rsidR="007E7135" w:rsidRPr="008572A4">
        <w:rPr>
          <w:rtl/>
        </w:rPr>
        <w:t>لمسار السريع لمعالجة البراءات</w:t>
      </w:r>
      <w:r w:rsidR="007E7135" w:rsidRPr="008572A4">
        <w:rPr>
          <w:rFonts w:hint="cs"/>
          <w:rtl/>
        </w:rPr>
        <w:t xml:space="preserve">. ويحظى هذا المشروع بقدر وافر من الأهمية بالنسبة إلى </w:t>
      </w:r>
      <w:r w:rsidR="00FF6AA6" w:rsidRPr="008572A4">
        <w:rPr>
          <w:rFonts w:hint="cs"/>
          <w:rtl/>
        </w:rPr>
        <w:t>المعهد</w:t>
      </w:r>
      <w:r w:rsidR="007E7135" w:rsidRPr="008572A4">
        <w:rPr>
          <w:rFonts w:hint="cs"/>
          <w:rtl/>
        </w:rPr>
        <w:t>،</w:t>
      </w:r>
      <w:r w:rsidR="009E73FC" w:rsidRPr="008572A4">
        <w:rPr>
          <w:rFonts w:hint="cs"/>
          <w:rtl/>
        </w:rPr>
        <w:t xml:space="preserve"> إذ من شأنه أن يتيح له </w:t>
      </w:r>
      <w:r w:rsidR="00FF6AA6" w:rsidRPr="008572A4">
        <w:rPr>
          <w:rFonts w:hint="cs"/>
          <w:rtl/>
        </w:rPr>
        <w:t>مراعاة</w:t>
      </w:r>
      <w:r w:rsidR="007E7135" w:rsidRPr="008572A4">
        <w:rPr>
          <w:rFonts w:hint="cs"/>
          <w:rtl/>
        </w:rPr>
        <w:t xml:space="preserve"> </w:t>
      </w:r>
      <w:r w:rsidR="00FF6AA6" w:rsidRPr="008572A4">
        <w:rPr>
          <w:rFonts w:hint="cs"/>
          <w:rtl/>
        </w:rPr>
        <w:t xml:space="preserve">عالية </w:t>
      </w:r>
      <w:r w:rsidR="007E7135" w:rsidRPr="008572A4">
        <w:rPr>
          <w:rFonts w:hint="cs"/>
          <w:rtl/>
        </w:rPr>
        <w:t xml:space="preserve">نتائج معاهدة التعاون بشأن البراءات. </w:t>
      </w:r>
      <w:r w:rsidR="007570A7" w:rsidRPr="008572A4">
        <w:rPr>
          <w:rFonts w:hint="cs"/>
          <w:rtl/>
        </w:rPr>
        <w:t>وهناك مشاريع تجريبية أخرى قيد الإنجاز تتعلق بم</w:t>
      </w:r>
      <w:r w:rsidR="007E7135" w:rsidRPr="008572A4">
        <w:rPr>
          <w:rtl/>
        </w:rPr>
        <w:t>سار سريع لمعالجة البراءات</w:t>
      </w:r>
      <w:r w:rsidR="007E7135" w:rsidRPr="008572A4">
        <w:rPr>
          <w:rFonts w:hint="cs"/>
          <w:rtl/>
        </w:rPr>
        <w:t xml:space="preserve"> </w:t>
      </w:r>
      <w:r w:rsidR="009F6E00" w:rsidRPr="008572A4">
        <w:rPr>
          <w:rFonts w:hint="cs"/>
          <w:rtl/>
        </w:rPr>
        <w:t xml:space="preserve">بالتعاون مع مكاتب الملكية الفكرية المعروفة باسم </w:t>
      </w:r>
      <w:r w:rsidR="009F6E00" w:rsidRPr="008572A4">
        <w:rPr>
          <w:rtl/>
        </w:rPr>
        <w:t>المكاتب الثلاثية</w:t>
      </w:r>
      <w:r w:rsidR="009F6E00" w:rsidRPr="008572A4">
        <w:rPr>
          <w:rFonts w:hint="cs"/>
          <w:rtl/>
        </w:rPr>
        <w:t xml:space="preserve"> (</w:t>
      </w:r>
      <w:r w:rsidR="00762AA6" w:rsidRPr="008572A4">
        <w:rPr>
          <w:rFonts w:hint="cs"/>
          <w:rtl/>
        </w:rPr>
        <w:t>ال</w:t>
      </w:r>
      <w:r w:rsidR="009F6E00" w:rsidRPr="008572A4">
        <w:rPr>
          <w:rtl/>
        </w:rPr>
        <w:t>مكتب الأوروبي للبراءات، والمكتب الياباني للبراءات، ومكتب الولايات المتحدة للبراءات والعلامات التجارية</w:t>
      </w:r>
      <w:r w:rsidR="00762AA6" w:rsidRPr="008572A4">
        <w:rPr>
          <w:rFonts w:hint="cs"/>
          <w:rtl/>
        </w:rPr>
        <w:t>)</w:t>
      </w:r>
      <w:r w:rsidR="009E73FC" w:rsidRPr="008572A4">
        <w:rPr>
          <w:rFonts w:hint="cs"/>
          <w:rtl/>
        </w:rPr>
        <w:t>، وهو مشروع</w:t>
      </w:r>
      <w:r w:rsidR="00762AA6" w:rsidRPr="008572A4">
        <w:rPr>
          <w:rFonts w:hint="cs"/>
          <w:rtl/>
        </w:rPr>
        <w:t xml:space="preserve"> يعرض آفاق مماثلة بالنسبة إلى </w:t>
      </w:r>
      <w:r w:rsidR="007570A7" w:rsidRPr="008572A4">
        <w:rPr>
          <w:rFonts w:hint="cs"/>
          <w:rtl/>
        </w:rPr>
        <w:t>المعهد، وهو مفتوح للنقاش وفقا</w:t>
      </w:r>
      <w:r w:rsidR="00762AA6" w:rsidRPr="008572A4">
        <w:rPr>
          <w:rFonts w:hint="cs"/>
          <w:rtl/>
        </w:rPr>
        <w:t xml:space="preserve"> لمصالح مشتركة بغية تشاطر المعلومات في الوقت الحقيقي بشأن عمليات الفحص والقرارات الأخيرة المتعلقة بطلبات البراءات.</w:t>
      </w:r>
    </w:p>
    <w:p w:rsidR="00762AA6" w:rsidRPr="008572A4" w:rsidRDefault="00762AA6" w:rsidP="007570A7">
      <w:pPr>
        <w:pStyle w:val="NormalParaAR"/>
        <w:rPr>
          <w:rtl/>
        </w:rPr>
      </w:pPr>
      <w:r w:rsidRPr="008572A4">
        <w:rPr>
          <w:rFonts w:hint="cs"/>
          <w:rtl/>
        </w:rPr>
        <w:t xml:space="preserve">وطبق المعهد الوطني للملكية الصناعية </w:t>
      </w:r>
      <w:r w:rsidR="007570A7" w:rsidRPr="008572A4">
        <w:rPr>
          <w:rFonts w:hint="cs"/>
          <w:rtl/>
        </w:rPr>
        <w:t xml:space="preserve">في البرازيل </w:t>
      </w:r>
      <w:r w:rsidRPr="008572A4">
        <w:rPr>
          <w:rFonts w:hint="cs"/>
          <w:rtl/>
        </w:rPr>
        <w:t xml:space="preserve">سياسة بشأن نظام إدارة الجودة تستند إلى أنسب الأنماط المتاحة، وتمتثل </w:t>
      </w:r>
      <w:r w:rsidR="007570A7" w:rsidRPr="008572A4">
        <w:rPr>
          <w:rFonts w:hint="cs"/>
          <w:rtl/>
        </w:rPr>
        <w:t>للفصل</w:t>
      </w:r>
      <w:r w:rsidR="00EB333C" w:rsidRPr="008572A4">
        <w:rPr>
          <w:rFonts w:hint="cs"/>
          <w:rtl/>
        </w:rPr>
        <w:t xml:space="preserve"> </w:t>
      </w:r>
      <w:r w:rsidR="00EB333C" w:rsidRPr="008572A4">
        <w:rPr>
          <w:rtl/>
        </w:rPr>
        <w:t>21</w:t>
      </w:r>
      <w:r w:rsidR="00EB333C" w:rsidRPr="008572A4">
        <w:rPr>
          <w:rFonts w:hint="cs"/>
          <w:rtl/>
        </w:rPr>
        <w:t xml:space="preserve"> من </w:t>
      </w:r>
      <w:r w:rsidR="00EB333C" w:rsidRPr="008572A4">
        <w:rPr>
          <w:rtl/>
        </w:rPr>
        <w:t xml:space="preserve">المبادئ التوجيهية الخاصة بالفحص الدولي والبحث التمهيدي الدولي </w:t>
      </w:r>
      <w:r w:rsidR="00812635" w:rsidRPr="008572A4">
        <w:rPr>
          <w:rFonts w:hint="cs"/>
          <w:rtl/>
        </w:rPr>
        <w:t xml:space="preserve">في إطار </w:t>
      </w:r>
      <w:r w:rsidR="00EB333C" w:rsidRPr="008572A4">
        <w:rPr>
          <w:rFonts w:hint="cs"/>
          <w:rtl/>
        </w:rPr>
        <w:t xml:space="preserve">معاهدة التعاون بشأن البراءات. ويمكن الاطلاع على تقاريره السنوية المتعلقة بنظام إدارة الجودة منذ عام </w:t>
      </w:r>
      <w:r w:rsidR="00EB333C" w:rsidRPr="008572A4">
        <w:rPr>
          <w:rtl/>
        </w:rPr>
        <w:t>2007</w:t>
      </w:r>
      <w:r w:rsidR="00EB333C" w:rsidRPr="008572A4">
        <w:rPr>
          <w:rFonts w:hint="cs"/>
          <w:rtl/>
        </w:rPr>
        <w:t xml:space="preserve"> على موقع الويبو الإلكتروني على الرابط: </w:t>
      </w:r>
      <w:r w:rsidR="00EB333C" w:rsidRPr="008572A4">
        <w:t>http://www.wipo.int/pct/en/quality/authorities.html</w:t>
      </w:r>
      <w:r w:rsidR="00EB333C" w:rsidRPr="008572A4">
        <w:rPr>
          <w:rFonts w:hint="cs"/>
          <w:rtl/>
        </w:rPr>
        <w:t xml:space="preserve">. وبذلك، يمكن القول إن </w:t>
      </w:r>
      <w:r w:rsidR="007570A7" w:rsidRPr="008572A4">
        <w:rPr>
          <w:rFonts w:hint="cs"/>
          <w:rtl/>
        </w:rPr>
        <w:t xml:space="preserve">المعهد </w:t>
      </w:r>
      <w:r w:rsidR="00EB333C" w:rsidRPr="008572A4">
        <w:rPr>
          <w:rFonts w:hint="cs"/>
          <w:rtl/>
        </w:rPr>
        <w:t>يمتثل للقاعدتين</w:t>
      </w:r>
      <w:r w:rsidR="007570A7" w:rsidRPr="008572A4">
        <w:rPr>
          <w:rFonts w:hint="eastAsia"/>
          <w:rtl/>
        </w:rPr>
        <w:t> </w:t>
      </w:r>
      <w:r w:rsidR="007570A7" w:rsidRPr="008572A4">
        <w:rPr>
          <w:rtl/>
        </w:rPr>
        <w:t>1.36"</w:t>
      </w:r>
      <w:r w:rsidR="007570A7" w:rsidRPr="008572A4">
        <w:rPr>
          <w:rFonts w:hint="cs"/>
          <w:rtl/>
        </w:rPr>
        <w:t>4</w:t>
      </w:r>
      <w:r w:rsidR="007570A7" w:rsidRPr="008572A4">
        <w:rPr>
          <w:rtl/>
        </w:rPr>
        <w:t>" و1.63"</w:t>
      </w:r>
      <w:r w:rsidR="007570A7" w:rsidRPr="008572A4">
        <w:rPr>
          <w:rFonts w:hint="cs"/>
          <w:rtl/>
        </w:rPr>
        <w:t>4</w:t>
      </w:r>
      <w:r w:rsidR="007570A7" w:rsidRPr="008572A4">
        <w:rPr>
          <w:rtl/>
        </w:rPr>
        <w:t>"</w:t>
      </w:r>
      <w:r w:rsidR="007570A7" w:rsidRPr="008572A4">
        <w:rPr>
          <w:rFonts w:hint="cs"/>
          <w:rtl/>
        </w:rPr>
        <w:t>.</w:t>
      </w:r>
    </w:p>
    <w:p w:rsidR="00EB333C" w:rsidRPr="008572A4" w:rsidRDefault="00D50289" w:rsidP="007570A7">
      <w:pPr>
        <w:pStyle w:val="NormalParaAR"/>
        <w:rPr>
          <w:rtl/>
        </w:rPr>
      </w:pPr>
      <w:r w:rsidRPr="008572A4">
        <w:rPr>
          <w:rFonts w:hint="cs"/>
          <w:rtl/>
        </w:rPr>
        <w:t>ومن بين النتائج المحققة منذ تعيين</w:t>
      </w:r>
      <w:r w:rsidR="007570A7" w:rsidRPr="008572A4">
        <w:rPr>
          <w:rFonts w:hint="cs"/>
          <w:rtl/>
        </w:rPr>
        <w:t xml:space="preserve"> المعهد كإدارة للبحث الدولي وإدارة للفحص التمهيدي الدولي</w:t>
      </w:r>
      <w:r w:rsidR="006F641C" w:rsidRPr="008572A4">
        <w:rPr>
          <w:rFonts w:hint="cs"/>
          <w:rtl/>
        </w:rPr>
        <w:t>، إعداد دليل لمودعي طلبات البراءات</w:t>
      </w:r>
      <w:r w:rsidRPr="008572A4">
        <w:rPr>
          <w:rFonts w:hint="cs"/>
          <w:rtl/>
        </w:rPr>
        <w:t xml:space="preserve"> وتبادل التجارب بين مختلف مكاتب الملكية الفكرية في العالم واعتماد ممارسات حميدة تماشيا مع نظامه لإدارة الجودة. وعلاوة على ذلك، </w:t>
      </w:r>
      <w:r w:rsidR="007570A7" w:rsidRPr="008572A4">
        <w:rPr>
          <w:rFonts w:hint="cs"/>
          <w:rtl/>
        </w:rPr>
        <w:t>ما انفك</w:t>
      </w:r>
      <w:r w:rsidRPr="008572A4">
        <w:rPr>
          <w:rFonts w:hint="cs"/>
          <w:rtl/>
        </w:rPr>
        <w:t xml:space="preserve"> المعهد الوطني للملكية الصناعية </w:t>
      </w:r>
      <w:r w:rsidR="007570A7" w:rsidRPr="008572A4">
        <w:rPr>
          <w:rFonts w:hint="cs"/>
          <w:rtl/>
        </w:rPr>
        <w:t xml:space="preserve">في البرازيل </w:t>
      </w:r>
      <w:r w:rsidRPr="008572A4">
        <w:rPr>
          <w:rFonts w:hint="cs"/>
          <w:rtl/>
        </w:rPr>
        <w:t xml:space="preserve">منذ تعيينه يدعو إلى ضرورة تحسين جودة عمليتي البحث والفحص الدوليين، واضطلع بدور حاسم في </w:t>
      </w:r>
      <w:r w:rsidR="006F641C" w:rsidRPr="008572A4">
        <w:rPr>
          <w:rFonts w:hint="cs"/>
          <w:rtl/>
        </w:rPr>
        <w:t>الدعوة إلى إنشاء فريق فرعي معني</w:t>
      </w:r>
      <w:r w:rsidRPr="008572A4">
        <w:rPr>
          <w:rFonts w:hint="cs"/>
          <w:rtl/>
        </w:rPr>
        <w:t xml:space="preserve"> بالجودة </w:t>
      </w:r>
      <w:r w:rsidR="00450E37" w:rsidRPr="008572A4">
        <w:rPr>
          <w:rFonts w:hint="cs"/>
          <w:rtl/>
        </w:rPr>
        <w:t xml:space="preserve">خلال </w:t>
      </w:r>
      <w:r w:rsidR="00450E37" w:rsidRPr="008572A4">
        <w:rPr>
          <w:rtl/>
        </w:rPr>
        <w:t>اجتماع الإدارات الدولية العاملة في ظل معاهدة البراءات</w:t>
      </w:r>
      <w:r w:rsidR="00450E37" w:rsidRPr="008572A4">
        <w:rPr>
          <w:rFonts w:hint="cs"/>
          <w:rtl/>
        </w:rPr>
        <w:t xml:space="preserve"> بغية التشجيع على بلوغ ذلك الهدف.</w:t>
      </w:r>
    </w:p>
    <w:p w:rsidR="00450E37" w:rsidRPr="0047242A" w:rsidRDefault="00450E37" w:rsidP="00450E37">
      <w:pPr>
        <w:pStyle w:val="Heading1"/>
        <w:rPr>
          <w:sz w:val="36"/>
          <w:szCs w:val="36"/>
          <w:rtl/>
        </w:rPr>
      </w:pPr>
      <w:r w:rsidRPr="0047242A">
        <w:rPr>
          <w:rFonts w:hint="cs"/>
          <w:sz w:val="36"/>
          <w:szCs w:val="36"/>
          <w:rtl/>
        </w:rPr>
        <w:lastRenderedPageBreak/>
        <w:t>خاتمة</w:t>
      </w:r>
    </w:p>
    <w:p w:rsidR="00450E37" w:rsidRPr="008572A4" w:rsidRDefault="007570A7" w:rsidP="002B47A9">
      <w:pPr>
        <w:pStyle w:val="NormalParaAR"/>
        <w:keepNext/>
        <w:keepLines/>
        <w:rPr>
          <w:rtl/>
        </w:rPr>
      </w:pPr>
      <w:r w:rsidRPr="008572A4">
        <w:rPr>
          <w:rFonts w:hint="cs"/>
          <w:rtl/>
          <w:lang w:val="fr-CH"/>
        </w:rPr>
        <w:t>أثبت</w:t>
      </w:r>
      <w:r w:rsidR="00450E37" w:rsidRPr="008572A4">
        <w:rPr>
          <w:rFonts w:hint="cs"/>
          <w:rtl/>
          <w:lang w:val="fr-CH"/>
        </w:rPr>
        <w:t xml:space="preserve"> </w:t>
      </w:r>
      <w:r w:rsidR="00450E37" w:rsidRPr="008572A4">
        <w:rPr>
          <w:rFonts w:hint="cs"/>
          <w:rtl/>
        </w:rPr>
        <w:t>المعهد الوطني البرازيلي للملكية الصناعية أنه لا يزال يم</w:t>
      </w:r>
      <w:r w:rsidRPr="008572A4">
        <w:rPr>
          <w:rFonts w:hint="cs"/>
          <w:rtl/>
        </w:rPr>
        <w:t>ت</w:t>
      </w:r>
      <w:r w:rsidR="00450E37" w:rsidRPr="008572A4">
        <w:rPr>
          <w:rFonts w:hint="cs"/>
          <w:rtl/>
        </w:rPr>
        <w:t xml:space="preserve">ثل للمتطلبات بما يتيح له مواصلة الاضطلاع بمهامه </w:t>
      </w:r>
      <w:r w:rsidR="00450E37" w:rsidRPr="008572A4">
        <w:rPr>
          <w:rtl/>
        </w:rPr>
        <w:t>كإدارة للبحث الدولي و</w:t>
      </w:r>
      <w:r w:rsidRPr="008572A4">
        <w:rPr>
          <w:rFonts w:hint="cs"/>
          <w:rtl/>
        </w:rPr>
        <w:t>إدارة لل</w:t>
      </w:r>
      <w:r w:rsidR="00450E37" w:rsidRPr="008572A4">
        <w:rPr>
          <w:rtl/>
        </w:rPr>
        <w:t>فحص التمهيدي الدولي</w:t>
      </w:r>
      <w:r w:rsidR="00450E37" w:rsidRPr="008572A4">
        <w:rPr>
          <w:rFonts w:hint="cs"/>
          <w:rtl/>
        </w:rPr>
        <w:t xml:space="preserve"> </w:t>
      </w:r>
      <w:r w:rsidR="00450E37" w:rsidRPr="008572A4">
        <w:rPr>
          <w:rtl/>
        </w:rPr>
        <w:t>في إطار معاهدة التعاون بشأن البراءات</w:t>
      </w:r>
      <w:r w:rsidR="00450E37" w:rsidRPr="008572A4">
        <w:rPr>
          <w:rFonts w:hint="cs"/>
          <w:rtl/>
        </w:rPr>
        <w:t xml:space="preserve">، وذلك بناء على الخصائص التالية: </w:t>
      </w:r>
    </w:p>
    <w:p w:rsidR="00450E37" w:rsidRPr="008572A4" w:rsidRDefault="00450E37" w:rsidP="007570A7">
      <w:pPr>
        <w:pStyle w:val="NormalParaAR"/>
        <w:numPr>
          <w:ilvl w:val="0"/>
          <w:numId w:val="24"/>
        </w:numPr>
        <w:ind w:left="566" w:hanging="567"/>
        <w:rPr>
          <w:lang w:val="fr-CH"/>
        </w:rPr>
      </w:pPr>
      <w:r w:rsidRPr="008572A4">
        <w:rPr>
          <w:rFonts w:hint="cs"/>
          <w:rtl/>
          <w:lang w:val="fr-CH"/>
        </w:rPr>
        <w:t xml:space="preserve">جهاز من الفاحصين في مجال البراءات يتمتع بقدر وافر من المهارة والكفاءة ولا ينفك يتزايد، وذلك في جميع التخصصات، ويزخر </w:t>
      </w:r>
      <w:r w:rsidR="007570A7" w:rsidRPr="008572A4">
        <w:rPr>
          <w:rFonts w:hint="cs"/>
          <w:rtl/>
          <w:lang w:val="fr-CH"/>
        </w:rPr>
        <w:t>بفاحصين يتقنون</w:t>
      </w:r>
      <w:r w:rsidRPr="008572A4">
        <w:rPr>
          <w:rFonts w:hint="cs"/>
          <w:rtl/>
          <w:lang w:val="fr-CH"/>
        </w:rPr>
        <w:t xml:space="preserve"> لغتين بل العديد من اللغات في بعض الأحيان؛</w:t>
      </w:r>
    </w:p>
    <w:p w:rsidR="00450E37" w:rsidRPr="008572A4" w:rsidRDefault="000D512B" w:rsidP="007570A7">
      <w:pPr>
        <w:pStyle w:val="NormalParaAR"/>
        <w:numPr>
          <w:ilvl w:val="0"/>
          <w:numId w:val="24"/>
        </w:numPr>
        <w:ind w:left="566" w:hanging="567"/>
        <w:rPr>
          <w:lang w:val="fr-CH"/>
        </w:rPr>
      </w:pPr>
      <w:r w:rsidRPr="008572A4">
        <w:rPr>
          <w:rFonts w:hint="cs"/>
          <w:rtl/>
          <w:lang w:val="fr-CH"/>
        </w:rPr>
        <w:t>و</w:t>
      </w:r>
      <w:r w:rsidR="00450E37" w:rsidRPr="008572A4">
        <w:rPr>
          <w:rFonts w:hint="cs"/>
          <w:rtl/>
          <w:lang w:val="fr-CH"/>
        </w:rPr>
        <w:t xml:space="preserve">مشروع من أجل إقامة نظام معالجة براءات </w:t>
      </w:r>
      <w:r w:rsidR="008067F3" w:rsidRPr="008572A4">
        <w:rPr>
          <w:rFonts w:hint="cs"/>
          <w:rtl/>
          <w:lang w:val="fr-CH"/>
        </w:rPr>
        <w:t xml:space="preserve">عصري وفعال وآلي، مدعوم ببنية تحتية تكنولوجية </w:t>
      </w:r>
      <w:r w:rsidRPr="008572A4">
        <w:rPr>
          <w:rFonts w:hint="cs"/>
          <w:rtl/>
          <w:lang w:val="fr-CH"/>
        </w:rPr>
        <w:t>تتسم بشموليتها وبعد</w:t>
      </w:r>
      <w:r w:rsidR="007570A7" w:rsidRPr="008572A4">
        <w:rPr>
          <w:rFonts w:hint="eastAsia"/>
          <w:rtl/>
          <w:lang w:val="fr-CH"/>
        </w:rPr>
        <w:t> </w:t>
      </w:r>
      <w:r w:rsidRPr="008572A4">
        <w:rPr>
          <w:rFonts w:hint="cs"/>
          <w:rtl/>
          <w:lang w:val="fr-CH"/>
        </w:rPr>
        <w:t>نظرها؛</w:t>
      </w:r>
    </w:p>
    <w:p w:rsidR="008067F3" w:rsidRPr="008572A4" w:rsidRDefault="000D512B" w:rsidP="007570A7">
      <w:pPr>
        <w:pStyle w:val="NormalParaAR"/>
        <w:numPr>
          <w:ilvl w:val="0"/>
          <w:numId w:val="24"/>
        </w:numPr>
        <w:ind w:left="566" w:hanging="567"/>
        <w:rPr>
          <w:lang w:val="fr-CH"/>
        </w:rPr>
      </w:pPr>
      <w:r w:rsidRPr="008572A4">
        <w:rPr>
          <w:rFonts w:hint="cs"/>
          <w:rtl/>
          <w:lang w:val="fr-CH"/>
        </w:rPr>
        <w:t>ومجموعة كبيرة من الوثائق المرتبطة بالبراءات والموارد الموجودة على شبكة الإنترنت التي تتيح للمعهد الامتثال للحد الأدنى من مجموعة الوثائق المطلوبة؛</w:t>
      </w:r>
    </w:p>
    <w:p w:rsidR="000D512B" w:rsidRPr="008572A4" w:rsidRDefault="000D512B" w:rsidP="007570A7">
      <w:pPr>
        <w:pStyle w:val="NormalParaAR"/>
        <w:numPr>
          <w:ilvl w:val="0"/>
          <w:numId w:val="24"/>
        </w:numPr>
        <w:ind w:left="566" w:hanging="567"/>
        <w:rPr>
          <w:lang w:val="fr-CH"/>
        </w:rPr>
      </w:pPr>
      <w:proofErr w:type="gramStart"/>
      <w:r w:rsidRPr="008572A4">
        <w:rPr>
          <w:rFonts w:hint="cs"/>
          <w:rtl/>
          <w:lang w:val="fr-CH"/>
        </w:rPr>
        <w:t>والتزام</w:t>
      </w:r>
      <w:proofErr w:type="gramEnd"/>
      <w:r w:rsidRPr="008572A4">
        <w:rPr>
          <w:rFonts w:hint="cs"/>
          <w:rtl/>
          <w:lang w:val="fr-CH"/>
        </w:rPr>
        <w:t xml:space="preserve"> تنظيمي بالسعي إلى تحقيق الامتياز في العلاقات مع العملاء وفي الخدمات المقدمة؛</w:t>
      </w:r>
    </w:p>
    <w:p w:rsidR="000D512B" w:rsidRPr="008572A4" w:rsidRDefault="000D512B" w:rsidP="007570A7">
      <w:pPr>
        <w:pStyle w:val="NormalParaAR"/>
        <w:numPr>
          <w:ilvl w:val="0"/>
          <w:numId w:val="24"/>
        </w:numPr>
        <w:ind w:left="566" w:hanging="567"/>
        <w:rPr>
          <w:lang w:val="fr-CH"/>
        </w:rPr>
      </w:pPr>
      <w:proofErr w:type="gramStart"/>
      <w:r w:rsidRPr="008572A4">
        <w:rPr>
          <w:rFonts w:hint="cs"/>
          <w:rtl/>
          <w:lang w:val="fr-CH"/>
        </w:rPr>
        <w:t>وقدرة</w:t>
      </w:r>
      <w:proofErr w:type="gramEnd"/>
      <w:r w:rsidRPr="008572A4">
        <w:rPr>
          <w:rFonts w:hint="cs"/>
          <w:rtl/>
          <w:lang w:val="fr-CH"/>
        </w:rPr>
        <w:t xml:space="preserve"> على الفحص لإدارة التدفق العالمي</w:t>
      </w:r>
      <w:r w:rsidR="006F641C" w:rsidRPr="008572A4">
        <w:rPr>
          <w:rFonts w:hint="cs"/>
          <w:rtl/>
          <w:lang w:val="fr-CH"/>
        </w:rPr>
        <w:t xml:space="preserve"> من</w:t>
      </w:r>
      <w:r w:rsidRPr="008572A4">
        <w:rPr>
          <w:rFonts w:hint="cs"/>
          <w:rtl/>
          <w:lang w:val="fr-CH"/>
        </w:rPr>
        <w:t xml:space="preserve"> شأنها أن تجعل</w:t>
      </w:r>
      <w:r w:rsidR="007570A7" w:rsidRPr="008572A4">
        <w:rPr>
          <w:rFonts w:hint="cs"/>
          <w:rtl/>
          <w:lang w:val="fr-CH"/>
        </w:rPr>
        <w:t xml:space="preserve"> المعهد</w:t>
      </w:r>
      <w:r w:rsidRPr="008572A4">
        <w:rPr>
          <w:rFonts w:hint="cs"/>
          <w:rtl/>
          <w:lang w:val="fr-CH"/>
        </w:rPr>
        <w:t xml:space="preserve"> يحتل مكانة تخول له تقديم خدماته </w:t>
      </w:r>
      <w:r w:rsidR="00DA52C9" w:rsidRPr="008572A4">
        <w:rPr>
          <w:rFonts w:hint="cs"/>
          <w:rtl/>
          <w:lang w:val="fr-CH"/>
        </w:rPr>
        <w:t>في مجال إيداع الطلبات من خلال مكاتب أخرى</w:t>
      </w:r>
      <w:r w:rsidR="00753741" w:rsidRPr="008572A4">
        <w:rPr>
          <w:rFonts w:hint="cs"/>
          <w:rtl/>
          <w:lang w:val="fr-CH"/>
        </w:rPr>
        <w:t xml:space="preserve"> </w:t>
      </w:r>
      <w:r w:rsidR="00DA52C9" w:rsidRPr="008572A4">
        <w:rPr>
          <w:rFonts w:hint="cs"/>
          <w:rtl/>
          <w:lang w:val="fr-CH"/>
        </w:rPr>
        <w:t>لتسلم الطلبات.</w:t>
      </w:r>
    </w:p>
    <w:p w:rsidR="00DA52C9" w:rsidRPr="008572A4" w:rsidRDefault="00DA52C9" w:rsidP="007570A7">
      <w:pPr>
        <w:pStyle w:val="NormalParaAR"/>
        <w:rPr>
          <w:rtl/>
        </w:rPr>
      </w:pPr>
      <w:proofErr w:type="gramStart"/>
      <w:r w:rsidRPr="008572A4">
        <w:rPr>
          <w:rFonts w:hint="cs"/>
          <w:rtl/>
          <w:lang w:val="fr-CH"/>
        </w:rPr>
        <w:t>وعلاوة</w:t>
      </w:r>
      <w:proofErr w:type="gramEnd"/>
      <w:r w:rsidRPr="008572A4">
        <w:rPr>
          <w:rFonts w:hint="cs"/>
          <w:rtl/>
          <w:lang w:val="fr-CH"/>
        </w:rPr>
        <w:t xml:space="preserve"> على ذلك، من المهم التأكيد على أن الأنشطة التي يضطلع بها </w:t>
      </w:r>
      <w:r w:rsidRPr="008572A4">
        <w:rPr>
          <w:rFonts w:hint="cs"/>
          <w:rtl/>
        </w:rPr>
        <w:t xml:space="preserve">المعهد الوطني البرازيلي للملكية الصناعية </w:t>
      </w:r>
      <w:r w:rsidRPr="008572A4">
        <w:rPr>
          <w:rtl/>
        </w:rPr>
        <w:t>كإدارة للبحث الدولي و</w:t>
      </w:r>
      <w:r w:rsidR="007570A7" w:rsidRPr="008572A4">
        <w:rPr>
          <w:rFonts w:hint="cs"/>
          <w:rtl/>
        </w:rPr>
        <w:t>إدارة لل</w:t>
      </w:r>
      <w:r w:rsidRPr="008572A4">
        <w:rPr>
          <w:rtl/>
        </w:rPr>
        <w:t>فحص التمهيدي الدولي</w:t>
      </w:r>
      <w:r w:rsidRPr="008572A4">
        <w:rPr>
          <w:rFonts w:hint="cs"/>
          <w:rtl/>
        </w:rPr>
        <w:t xml:space="preserve"> تعود بالمنافع التالية: </w:t>
      </w:r>
    </w:p>
    <w:p w:rsidR="00DA52C9" w:rsidRPr="008572A4" w:rsidRDefault="00DA52C9" w:rsidP="00F25DBA">
      <w:pPr>
        <w:pStyle w:val="NormalParaAR"/>
        <w:numPr>
          <w:ilvl w:val="0"/>
          <w:numId w:val="24"/>
        </w:numPr>
        <w:ind w:left="566" w:hanging="567"/>
        <w:rPr>
          <w:lang w:val="fr-CH"/>
        </w:rPr>
      </w:pPr>
      <w:proofErr w:type="gramStart"/>
      <w:r w:rsidRPr="008572A4">
        <w:rPr>
          <w:rFonts w:hint="cs"/>
          <w:rtl/>
          <w:lang w:val="fr-CH"/>
        </w:rPr>
        <w:t>ضمان</w:t>
      </w:r>
      <w:proofErr w:type="gramEnd"/>
      <w:r w:rsidRPr="008572A4">
        <w:rPr>
          <w:rFonts w:hint="cs"/>
          <w:rtl/>
          <w:lang w:val="fr-CH"/>
        </w:rPr>
        <w:t xml:space="preserve"> وجود </w:t>
      </w:r>
      <w:r w:rsidRPr="008572A4">
        <w:rPr>
          <w:rtl/>
          <w:lang w:val="fr-CH"/>
        </w:rPr>
        <w:t xml:space="preserve">إدارة للبحث الدولي </w:t>
      </w:r>
      <w:r w:rsidR="007570A7" w:rsidRPr="008572A4">
        <w:rPr>
          <w:rtl/>
          <w:lang w:val="fr-CH"/>
        </w:rPr>
        <w:t>و</w:t>
      </w:r>
      <w:r w:rsidR="007570A7" w:rsidRPr="008572A4">
        <w:rPr>
          <w:rFonts w:hint="cs"/>
          <w:rtl/>
          <w:lang w:val="fr-CH"/>
        </w:rPr>
        <w:t>إدارة لل</w:t>
      </w:r>
      <w:r w:rsidR="007570A7" w:rsidRPr="008572A4">
        <w:rPr>
          <w:rtl/>
          <w:lang w:val="fr-CH"/>
        </w:rPr>
        <w:t>فحص</w:t>
      </w:r>
      <w:r w:rsidRPr="008572A4">
        <w:rPr>
          <w:rtl/>
          <w:lang w:val="fr-CH"/>
        </w:rPr>
        <w:t xml:space="preserve"> التمهيدي الدولي</w:t>
      </w:r>
      <w:r w:rsidRPr="008572A4">
        <w:rPr>
          <w:rFonts w:hint="cs"/>
          <w:rtl/>
          <w:lang w:val="fr-CH"/>
        </w:rPr>
        <w:t xml:space="preserve"> لبحث الطلبات الدولية المودعة باللغة البرتغالية</w:t>
      </w:r>
      <w:r w:rsidR="00F25DBA" w:rsidRPr="008572A4">
        <w:rPr>
          <w:rFonts w:hint="eastAsia"/>
          <w:rtl/>
          <w:lang w:val="fr-CH"/>
        </w:rPr>
        <w:t> </w:t>
      </w:r>
      <w:r w:rsidRPr="008572A4">
        <w:rPr>
          <w:rFonts w:hint="cs"/>
          <w:rtl/>
          <w:lang w:val="fr-CH"/>
        </w:rPr>
        <w:t>وفحصها؛</w:t>
      </w:r>
    </w:p>
    <w:p w:rsidR="00DA52C9" w:rsidRPr="008572A4" w:rsidRDefault="00032602" w:rsidP="00F25DBA">
      <w:pPr>
        <w:pStyle w:val="NormalParaAR"/>
        <w:numPr>
          <w:ilvl w:val="0"/>
          <w:numId w:val="24"/>
        </w:numPr>
        <w:ind w:left="566" w:hanging="567"/>
        <w:rPr>
          <w:lang w:val="fr-CH"/>
        </w:rPr>
      </w:pPr>
      <w:r w:rsidRPr="008572A4">
        <w:rPr>
          <w:rFonts w:hint="cs"/>
          <w:rtl/>
          <w:lang w:val="fr-CH"/>
        </w:rPr>
        <w:t>و</w:t>
      </w:r>
      <w:r w:rsidR="00DA52C9" w:rsidRPr="008572A4">
        <w:rPr>
          <w:rFonts w:hint="cs"/>
          <w:rtl/>
          <w:lang w:val="fr-CH"/>
        </w:rPr>
        <w:t xml:space="preserve">تيسير تتبع الطلبات الدولية في إطار معاهدة </w:t>
      </w:r>
      <w:r w:rsidR="00C85A35" w:rsidRPr="008572A4">
        <w:rPr>
          <w:rFonts w:hint="cs"/>
          <w:rtl/>
          <w:lang w:val="fr-CH"/>
        </w:rPr>
        <w:t>التعاون بشأن البراءات بالنسبة إلى مودعي</w:t>
      </w:r>
      <w:r w:rsidR="00DA52C9" w:rsidRPr="008572A4">
        <w:rPr>
          <w:rFonts w:hint="cs"/>
          <w:rtl/>
          <w:lang w:val="fr-CH"/>
        </w:rPr>
        <w:t xml:space="preserve"> الطلبات من البرازيل والمنطقة، مما يتيح لهم أن يكونوا أكثر إنتاجية وتنافسية في الاقتصاد القائم على المعرفة؛</w:t>
      </w:r>
    </w:p>
    <w:p w:rsidR="00DA52C9" w:rsidRPr="008572A4" w:rsidRDefault="00032602" w:rsidP="00F25DBA">
      <w:pPr>
        <w:pStyle w:val="NormalParaAR"/>
        <w:numPr>
          <w:ilvl w:val="0"/>
          <w:numId w:val="24"/>
        </w:numPr>
        <w:ind w:left="566" w:hanging="567"/>
        <w:rPr>
          <w:lang w:val="fr-CH"/>
        </w:rPr>
      </w:pPr>
      <w:proofErr w:type="gramStart"/>
      <w:r w:rsidRPr="008572A4">
        <w:rPr>
          <w:rFonts w:hint="cs"/>
          <w:rtl/>
          <w:lang w:val="fr-CH"/>
        </w:rPr>
        <w:t>و</w:t>
      </w:r>
      <w:r w:rsidR="00DA52C9" w:rsidRPr="008572A4">
        <w:rPr>
          <w:rFonts w:hint="cs"/>
          <w:rtl/>
          <w:lang w:val="fr-CH"/>
        </w:rPr>
        <w:t>تعزيز</w:t>
      </w:r>
      <w:proofErr w:type="gramEnd"/>
      <w:r w:rsidR="00DA52C9" w:rsidRPr="008572A4">
        <w:rPr>
          <w:rFonts w:hint="cs"/>
          <w:rtl/>
          <w:lang w:val="fr-CH"/>
        </w:rPr>
        <w:t xml:space="preserve"> سمعته الدولية كمكتب متوسط الحجم للملكية الفكرية من خلال تكفله بقسط من عبء العمل الدولي؛</w:t>
      </w:r>
    </w:p>
    <w:p w:rsidR="00DA52C9" w:rsidRPr="008572A4" w:rsidRDefault="00032602" w:rsidP="00F25DBA">
      <w:pPr>
        <w:pStyle w:val="NormalParaAR"/>
        <w:numPr>
          <w:ilvl w:val="0"/>
          <w:numId w:val="24"/>
        </w:numPr>
        <w:ind w:left="566" w:hanging="567"/>
        <w:rPr>
          <w:lang w:val="fr-CH"/>
        </w:rPr>
      </w:pPr>
      <w:r w:rsidRPr="008572A4">
        <w:rPr>
          <w:rFonts w:hint="cs"/>
          <w:rtl/>
          <w:lang w:val="fr-CH"/>
        </w:rPr>
        <w:t>و</w:t>
      </w:r>
      <w:r w:rsidR="00DA52C9" w:rsidRPr="008572A4">
        <w:rPr>
          <w:rFonts w:hint="cs"/>
          <w:rtl/>
          <w:lang w:val="fr-CH"/>
        </w:rPr>
        <w:t xml:space="preserve">توطيد التزامه بالبحث المتواصل عن الامتياز في مجالي العلاقات مع العملاء </w:t>
      </w:r>
      <w:proofErr w:type="gramStart"/>
      <w:r w:rsidR="00DA52C9" w:rsidRPr="008572A4">
        <w:rPr>
          <w:rFonts w:hint="cs"/>
          <w:rtl/>
          <w:lang w:val="fr-CH"/>
        </w:rPr>
        <w:t>وتقديم</w:t>
      </w:r>
      <w:proofErr w:type="gramEnd"/>
      <w:r w:rsidR="00DA52C9" w:rsidRPr="008572A4">
        <w:rPr>
          <w:rFonts w:hint="cs"/>
          <w:rtl/>
          <w:lang w:val="fr-CH"/>
        </w:rPr>
        <w:t xml:space="preserve"> الخدمات؛</w:t>
      </w:r>
    </w:p>
    <w:p w:rsidR="00DA52C9" w:rsidRPr="008572A4" w:rsidRDefault="00032602" w:rsidP="00F25DBA">
      <w:pPr>
        <w:pStyle w:val="NormalParaAR"/>
        <w:numPr>
          <w:ilvl w:val="0"/>
          <w:numId w:val="24"/>
        </w:numPr>
        <w:ind w:left="566" w:hanging="567"/>
        <w:rPr>
          <w:lang w:val="fr-CH"/>
        </w:rPr>
      </w:pPr>
      <w:r w:rsidRPr="008572A4">
        <w:rPr>
          <w:rFonts w:hint="cs"/>
          <w:rtl/>
          <w:lang w:val="fr-CH"/>
        </w:rPr>
        <w:t>و</w:t>
      </w:r>
      <w:r w:rsidR="00DA52C9" w:rsidRPr="008572A4">
        <w:rPr>
          <w:rFonts w:hint="cs"/>
          <w:rtl/>
          <w:lang w:val="fr-CH"/>
        </w:rPr>
        <w:t xml:space="preserve">تكريس </w:t>
      </w:r>
      <w:r w:rsidRPr="008572A4">
        <w:rPr>
          <w:rFonts w:hint="cs"/>
          <w:rtl/>
          <w:lang w:val="fr-CH"/>
        </w:rPr>
        <w:t xml:space="preserve">جودة البحث الوطني والفحص الوطني في البرازيل من خلال زيادة العمل بنظام معاهدة التعاون بشأن البراءات والنفاذ إلى أدوات بحث إضافية؛ </w:t>
      </w:r>
    </w:p>
    <w:p w:rsidR="00032602" w:rsidRPr="008572A4" w:rsidRDefault="00032602" w:rsidP="00F25DBA">
      <w:pPr>
        <w:pStyle w:val="NormalParaAR"/>
        <w:numPr>
          <w:ilvl w:val="0"/>
          <w:numId w:val="24"/>
        </w:numPr>
        <w:ind w:left="566" w:hanging="567"/>
        <w:rPr>
          <w:lang w:val="fr-CH"/>
        </w:rPr>
      </w:pPr>
      <w:r w:rsidRPr="008572A4">
        <w:rPr>
          <w:rFonts w:hint="cs"/>
          <w:rtl/>
          <w:lang w:val="fr-CH"/>
        </w:rPr>
        <w:t xml:space="preserve">وزيادة جودة التدريب ونطاقه، </w:t>
      </w:r>
      <w:r w:rsidR="006F641C" w:rsidRPr="008572A4">
        <w:rPr>
          <w:rFonts w:hint="cs"/>
          <w:rtl/>
          <w:lang w:val="fr-CH"/>
        </w:rPr>
        <w:t>و</w:t>
      </w:r>
      <w:r w:rsidRPr="008572A4">
        <w:rPr>
          <w:rFonts w:hint="cs"/>
          <w:rtl/>
          <w:lang w:val="fr-CH"/>
        </w:rPr>
        <w:t>الذي أضحى بوسع المكتب تقديمه خلال السنوات الأخيرة إلى المكاتب الوطنية الأخرى، إضافة إلى استعمال نظام معاهدة البراءات في المنطقة.</w:t>
      </w:r>
    </w:p>
    <w:p w:rsidR="00545910" w:rsidRPr="008572A4" w:rsidRDefault="00545910" w:rsidP="007570A7">
      <w:pPr>
        <w:pStyle w:val="EndofDocumentAR"/>
        <w:spacing w:before="480"/>
        <w:rPr>
          <w:rtl/>
          <w:lang w:val="fr-CH"/>
        </w:rPr>
      </w:pPr>
      <w:r w:rsidRPr="008572A4">
        <w:rPr>
          <w:rtl/>
          <w:lang w:val="fr-CH"/>
        </w:rPr>
        <w:t xml:space="preserve">[‏نهاية المرفق </w:t>
      </w:r>
      <w:proofErr w:type="gramStart"/>
      <w:r w:rsidRPr="008572A4">
        <w:rPr>
          <w:rtl/>
          <w:lang w:val="fr-CH"/>
        </w:rPr>
        <w:t>والوثيقة</w:t>
      </w:r>
      <w:proofErr w:type="gramEnd"/>
      <w:r w:rsidRPr="008572A4">
        <w:rPr>
          <w:rtl/>
          <w:lang w:val="fr-CH"/>
        </w:rPr>
        <w:t>]</w:t>
      </w:r>
    </w:p>
    <w:sectPr w:rsidR="00545910" w:rsidRPr="008572A4" w:rsidSect="0035675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036" w:rsidRDefault="00424036">
      <w:r>
        <w:separator/>
      </w:r>
    </w:p>
  </w:endnote>
  <w:endnote w:type="continuationSeparator" w:id="0">
    <w:p w:rsidR="00424036" w:rsidRDefault="0042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036" w:rsidRDefault="00424036" w:rsidP="009622BF">
      <w:pPr>
        <w:bidi/>
      </w:pPr>
      <w:bookmarkStart w:id="0" w:name="OLE_LINK1"/>
      <w:bookmarkStart w:id="1" w:name="OLE_LINK2"/>
      <w:r>
        <w:separator/>
      </w:r>
      <w:bookmarkEnd w:id="0"/>
      <w:bookmarkEnd w:id="1"/>
    </w:p>
  </w:footnote>
  <w:footnote w:type="continuationSeparator" w:id="0">
    <w:p w:rsidR="00424036" w:rsidRDefault="00424036" w:rsidP="009622BF">
      <w:pPr>
        <w:bidi/>
      </w:pPr>
      <w:r>
        <w:separator/>
      </w:r>
    </w:p>
  </w:footnote>
  <w:footnote w:id="1">
    <w:p w:rsidR="00424036" w:rsidRPr="00753741" w:rsidRDefault="00424036">
      <w:pPr>
        <w:pStyle w:val="FootnoteText"/>
        <w:rPr>
          <w:rtl/>
        </w:rPr>
      </w:pPr>
      <w:r w:rsidRPr="00753741">
        <w:rPr>
          <w:rStyle w:val="FootnoteReference"/>
        </w:rPr>
        <w:footnoteRef/>
      </w:r>
      <w:r w:rsidRPr="00753741">
        <w:rPr>
          <w:rtl/>
        </w:rPr>
        <w:t xml:space="preserve"> </w:t>
      </w:r>
      <w:r>
        <w:rPr>
          <w:rFonts w:hint="cs"/>
          <w:rtl/>
        </w:rPr>
        <w:tab/>
      </w:r>
      <w:r w:rsidRPr="00753741">
        <w:rPr>
          <w:rFonts w:hint="cs"/>
          <w:rtl/>
        </w:rPr>
        <w:t xml:space="preserve">يجب اعتبار </w:t>
      </w:r>
      <w:proofErr w:type="gramStart"/>
      <w:r w:rsidRPr="00753741">
        <w:rPr>
          <w:rFonts w:hint="cs"/>
          <w:rtl/>
        </w:rPr>
        <w:t>بيانات</w:t>
      </w:r>
      <w:proofErr w:type="gramEnd"/>
      <w:r w:rsidRPr="00753741">
        <w:rPr>
          <w:rFonts w:hint="cs"/>
          <w:rtl/>
        </w:rPr>
        <w:t xml:space="preserve"> </w:t>
      </w:r>
      <w:r w:rsidRPr="00753741">
        <w:rPr>
          <w:rtl/>
        </w:rPr>
        <w:t>إدارة</w:t>
      </w:r>
      <w:r w:rsidRPr="00753741">
        <w:rPr>
          <w:rFonts w:hint="cs"/>
          <w:rtl/>
        </w:rPr>
        <w:t xml:space="preserve"> ا</w:t>
      </w:r>
      <w:r w:rsidRPr="00753741">
        <w:rPr>
          <w:rtl/>
        </w:rPr>
        <w:t>لبحث الدولي و</w:t>
      </w:r>
      <w:r w:rsidRPr="00753741">
        <w:rPr>
          <w:rFonts w:hint="cs"/>
          <w:rtl/>
        </w:rPr>
        <w:t>إدارة ا</w:t>
      </w:r>
      <w:r w:rsidRPr="00753741">
        <w:rPr>
          <w:rtl/>
        </w:rPr>
        <w:t>لفحص التمهيدي الدولي</w:t>
      </w:r>
      <w:r w:rsidRPr="00753741">
        <w:rPr>
          <w:rFonts w:hint="cs"/>
          <w:rtl/>
        </w:rPr>
        <w:t xml:space="preserve"> بعد انطلاق الأنشطة في أغسطس </w:t>
      </w:r>
      <w:r w:rsidRPr="00753741">
        <w:t>2009</w:t>
      </w:r>
      <w:r w:rsidRPr="00753741">
        <w:rPr>
          <w:rFonts w:hint="cs"/>
          <w:rtl/>
        </w:rPr>
        <w:t>.</w:t>
      </w:r>
    </w:p>
  </w:footnote>
  <w:footnote w:id="2">
    <w:p w:rsidR="00424036" w:rsidRDefault="00424036">
      <w:pPr>
        <w:pStyle w:val="FootnoteText"/>
      </w:pPr>
      <w:r>
        <w:rPr>
          <w:rStyle w:val="FootnoteReference"/>
        </w:rPr>
        <w:footnoteRef/>
      </w:r>
      <w:r>
        <w:rPr>
          <w:rtl/>
        </w:rPr>
        <w:t xml:space="preserve"> </w:t>
      </w:r>
      <w:r>
        <w:rPr>
          <w:rFonts w:hint="cs"/>
          <w:rtl/>
        </w:rPr>
        <w:tab/>
        <w:t>نفس الملاحظة</w:t>
      </w:r>
    </w:p>
  </w:footnote>
  <w:footnote w:id="3">
    <w:p w:rsidR="00424036" w:rsidRDefault="00424036" w:rsidP="00806C5F">
      <w:pPr>
        <w:pStyle w:val="FootnoteText"/>
      </w:pPr>
      <w:r>
        <w:rPr>
          <w:rStyle w:val="FootnoteReference"/>
        </w:rPr>
        <w:footnoteRef/>
      </w:r>
      <w:r>
        <w:rPr>
          <w:rtl/>
        </w:rPr>
        <w:t xml:space="preserve"> </w:t>
      </w:r>
      <w:r>
        <w:rPr>
          <w:rFonts w:hint="cs"/>
          <w:rtl/>
        </w:rPr>
        <w:tab/>
        <w:t xml:space="preserve">للمزيد من المعلومات والتفاصيل، يرجى الاطلاع على الموقعين: </w:t>
      </w:r>
      <w:r>
        <w:rPr>
          <w:lang w:val="en-GB"/>
        </w:rPr>
        <w:t>www.capes.gov.br</w:t>
      </w:r>
      <w:r>
        <w:rPr>
          <w:rFonts w:hint="cs"/>
          <w:rtl/>
          <w:lang w:val="en-GB"/>
        </w:rPr>
        <w:t xml:space="preserve"> و</w:t>
      </w:r>
      <w:r w:rsidRPr="00C61588">
        <w:rPr>
          <w:lang w:val="en-GB"/>
        </w:rPr>
        <w:t xml:space="preserve"> www.periodicos.capes.gov.br</w:t>
      </w:r>
    </w:p>
  </w:footnote>
  <w:footnote w:id="4">
    <w:p w:rsidR="00424036" w:rsidRDefault="00424036" w:rsidP="00806C5F">
      <w:pPr>
        <w:pStyle w:val="FootnoteText"/>
      </w:pPr>
      <w:r>
        <w:rPr>
          <w:rStyle w:val="FootnoteReference"/>
        </w:rPr>
        <w:footnoteRef/>
      </w:r>
      <w:r>
        <w:rPr>
          <w:rtl/>
        </w:rPr>
        <w:t xml:space="preserve"> </w:t>
      </w:r>
      <w:r>
        <w:rPr>
          <w:rFonts w:hint="cs"/>
          <w:rtl/>
        </w:rPr>
        <w:tab/>
      </w:r>
      <w:r w:rsidRPr="00806C5F">
        <w:rPr>
          <w:lang w:val="en-GB"/>
        </w:rPr>
        <w:t>DIALOG</w:t>
      </w:r>
      <w:r>
        <w:rPr>
          <w:rFonts w:hint="cs"/>
          <w:rtl/>
          <w:lang w:val="en-GB"/>
        </w:rPr>
        <w:t xml:space="preserve"> هو نظام عالمي لاسترجاع المعلومات على الإنترنت يوفر خدمات </w:t>
      </w:r>
      <w:r w:rsidR="0019492E">
        <w:rPr>
          <w:rFonts w:hint="cs"/>
          <w:rtl/>
          <w:lang w:val="en-GB"/>
        </w:rPr>
        <w:t>و</w:t>
      </w:r>
      <w:r>
        <w:rPr>
          <w:rFonts w:hint="cs"/>
          <w:rtl/>
          <w:lang w:val="en-GB"/>
        </w:rPr>
        <w:t>معلومات على الإنترنت ترتبط فيما يخصنا بالملكية الصناعية.</w:t>
      </w:r>
    </w:p>
  </w:footnote>
  <w:footnote w:id="5">
    <w:p w:rsidR="00424036" w:rsidRDefault="00424036" w:rsidP="0019492E">
      <w:pPr>
        <w:pStyle w:val="FootnoteText"/>
        <w:rPr>
          <w:rtl/>
        </w:rPr>
      </w:pPr>
      <w:r>
        <w:rPr>
          <w:rStyle w:val="FootnoteReference"/>
        </w:rPr>
        <w:footnoteRef/>
      </w:r>
      <w:r>
        <w:rPr>
          <w:rtl/>
        </w:rPr>
        <w:t xml:space="preserve"> </w:t>
      </w:r>
      <w:r>
        <w:rPr>
          <w:rFonts w:hint="cs"/>
          <w:rtl/>
        </w:rPr>
        <w:tab/>
      </w:r>
      <w:proofErr w:type="gramStart"/>
      <w:r>
        <w:rPr>
          <w:rFonts w:hint="cs"/>
          <w:rtl/>
        </w:rPr>
        <w:t>تتضمن</w:t>
      </w:r>
      <w:proofErr w:type="gramEnd"/>
      <w:r>
        <w:rPr>
          <w:rFonts w:hint="cs"/>
          <w:rtl/>
        </w:rPr>
        <w:t xml:space="preserve"> المكتبة الرقمية </w:t>
      </w:r>
      <w:r w:rsidRPr="009910D3">
        <w:t xml:space="preserve">IEEE </w:t>
      </w:r>
      <w:proofErr w:type="spellStart"/>
      <w:r w:rsidRPr="009910D3">
        <w:t>Xplore</w:t>
      </w:r>
      <w:proofErr w:type="spellEnd"/>
      <w:r>
        <w:rPr>
          <w:rFonts w:hint="cs"/>
          <w:rtl/>
        </w:rPr>
        <w:t xml:space="preserve"> أكثر من </w:t>
      </w:r>
      <w:r>
        <w:t>4</w:t>
      </w:r>
      <w:r>
        <w:rPr>
          <w:rFonts w:hint="cs"/>
          <w:rtl/>
        </w:rPr>
        <w:t xml:space="preserve"> ملايين وثيقة مما يجعل منها مصدراً زاخراً لاستكشاف </w:t>
      </w:r>
      <w:r w:rsidR="0019492E">
        <w:rPr>
          <w:rFonts w:hint="cs"/>
          <w:rtl/>
        </w:rPr>
        <w:t xml:space="preserve">والنفاذ إلى </w:t>
      </w:r>
      <w:r>
        <w:rPr>
          <w:rFonts w:hint="cs"/>
          <w:rtl/>
        </w:rPr>
        <w:t xml:space="preserve">المحتوى العلمي الذي ينشره </w:t>
      </w:r>
      <w:r w:rsidRPr="009910D3">
        <w:rPr>
          <w:rtl/>
        </w:rPr>
        <w:t>معهد المهندسين الكهربائيين والإلكترونيين (</w:t>
      </w:r>
      <w:r w:rsidRPr="009910D3">
        <w:t>IEEE</w:t>
      </w:r>
      <w:r w:rsidRPr="009910D3">
        <w:rPr>
          <w:rtl/>
        </w:rPr>
        <w:t>)</w:t>
      </w:r>
      <w:r w:rsidR="0019492E">
        <w:rPr>
          <w:rFonts w:hint="cs"/>
          <w:rtl/>
        </w:rPr>
        <w:t xml:space="preserve"> وشركاؤه من الناشرين</w:t>
      </w:r>
      <w:r>
        <w:rPr>
          <w:rFonts w:hint="cs"/>
          <w:rtl/>
        </w:rPr>
        <w:t>.</w:t>
      </w:r>
    </w:p>
  </w:footnote>
  <w:footnote w:id="6">
    <w:p w:rsidR="00424036" w:rsidRPr="00DD1EF5" w:rsidRDefault="00424036" w:rsidP="00B03DD8">
      <w:pPr>
        <w:pStyle w:val="FootnoteText"/>
        <w:rPr>
          <w:rtl/>
        </w:rPr>
      </w:pPr>
      <w:r>
        <w:rPr>
          <w:rStyle w:val="FootnoteReference"/>
        </w:rPr>
        <w:footnoteRef/>
      </w:r>
      <w:r>
        <w:rPr>
          <w:rtl/>
        </w:rPr>
        <w:t xml:space="preserve"> </w:t>
      </w:r>
      <w:r>
        <w:rPr>
          <w:rFonts w:hint="cs"/>
          <w:rtl/>
        </w:rPr>
        <w:tab/>
      </w:r>
      <w:r w:rsidRPr="00832113">
        <w:t>GENESEQ</w:t>
      </w:r>
      <w:r>
        <w:rPr>
          <w:rFonts w:hint="cs"/>
          <w:rtl/>
        </w:rPr>
        <w:t xml:space="preserve"> هي قاعدة بيانات متسلسلة للبراءات من إنتاج تومسون رويترز، تحتوي على سلاسل</w:t>
      </w:r>
      <w:r w:rsidR="0019492E" w:rsidRPr="0019492E">
        <w:rPr>
          <w:rtl/>
        </w:rPr>
        <w:t xml:space="preserve"> الحمض النووي </w:t>
      </w:r>
      <w:r>
        <w:rPr>
          <w:rFonts w:hint="cs"/>
          <w:rtl/>
        </w:rPr>
        <w:t>و</w:t>
      </w:r>
      <w:r w:rsidR="0019492E" w:rsidRPr="0019492E">
        <w:rPr>
          <w:rtl/>
        </w:rPr>
        <w:t xml:space="preserve">الحمض النووي </w:t>
      </w:r>
      <w:proofErr w:type="spellStart"/>
      <w:r w:rsidR="0019492E" w:rsidRPr="0019492E">
        <w:rPr>
          <w:rtl/>
        </w:rPr>
        <w:t>الريبي</w:t>
      </w:r>
      <w:proofErr w:type="spellEnd"/>
      <w:r>
        <w:rPr>
          <w:rFonts w:hint="cs"/>
          <w:rtl/>
        </w:rPr>
        <w:t xml:space="preserve"> والبروتين مفهرسة </w:t>
      </w:r>
      <w:r w:rsidR="00B03DD8">
        <w:rPr>
          <w:rFonts w:hint="cs"/>
          <w:rtl/>
        </w:rPr>
        <w:t>حسب</w:t>
      </w:r>
      <w:r>
        <w:rPr>
          <w:rFonts w:hint="cs"/>
          <w:rtl/>
        </w:rPr>
        <w:t xml:space="preserve"> </w:t>
      </w:r>
      <w:r>
        <w:t>52</w:t>
      </w:r>
      <w:r>
        <w:rPr>
          <w:rFonts w:hint="cs"/>
          <w:rtl/>
        </w:rPr>
        <w:t xml:space="preserve"> </w:t>
      </w:r>
      <w:r w:rsidR="00B03DD8">
        <w:rPr>
          <w:rFonts w:hint="cs"/>
          <w:rtl/>
        </w:rPr>
        <w:t>إدارة</w:t>
      </w:r>
      <w:r>
        <w:rPr>
          <w:rFonts w:hint="cs"/>
          <w:rtl/>
        </w:rPr>
        <w:t xml:space="preserve"> من ال</w:t>
      </w:r>
      <w:r w:rsidR="00B03DD8">
        <w:rPr>
          <w:rFonts w:hint="cs"/>
          <w:rtl/>
        </w:rPr>
        <w:t>إدارة</w:t>
      </w:r>
      <w:r w:rsidR="00FF6AA6">
        <w:rPr>
          <w:rFonts w:hint="cs"/>
          <w:rtl/>
        </w:rPr>
        <w:t xml:space="preserve"> </w:t>
      </w:r>
      <w:r>
        <w:rPr>
          <w:rFonts w:hint="cs"/>
          <w:rtl/>
        </w:rPr>
        <w:t>المكلفة بإصدار البراءات</w:t>
      </w:r>
      <w:r w:rsidR="00B03DD8">
        <w:rPr>
          <w:rFonts w:hint="cs"/>
          <w:rtl/>
        </w:rPr>
        <w:t xml:space="preserve"> وهي:</w:t>
      </w:r>
      <w:r>
        <w:rPr>
          <w:rFonts w:hint="cs"/>
          <w:rtl/>
        </w:rPr>
        <w:t xml:space="preserve"> الويبو/معاهدة التعاون بشأن البراءات و</w:t>
      </w:r>
      <w:r w:rsidRPr="00C612DE">
        <w:rPr>
          <w:rtl/>
        </w:rPr>
        <w:t xml:space="preserve"> مكتب الولايات المتحدة للبراءات والعلامات والمكتب الأوروبي للبراءات</w:t>
      </w:r>
      <w:r>
        <w:rPr>
          <w:rFonts w:hint="cs"/>
          <w:rtl/>
        </w:rPr>
        <w:t xml:space="preserve"> </w:t>
      </w:r>
      <w:r w:rsidRPr="00C612DE">
        <w:rPr>
          <w:rtl/>
        </w:rPr>
        <w:t>والمكتب الياباني للبراءات</w:t>
      </w:r>
      <w:r>
        <w:rPr>
          <w:rFonts w:hint="cs"/>
          <w:rtl/>
        </w:rPr>
        <w:t xml:space="preserve"> و</w:t>
      </w:r>
      <w:r w:rsidRPr="00C612DE">
        <w:rPr>
          <w:rtl/>
        </w:rPr>
        <w:t>مكتب كوريا للملكية الفكرية</w:t>
      </w:r>
      <w:r>
        <w:rPr>
          <w:rFonts w:hint="cs"/>
          <w:rtl/>
        </w:rPr>
        <w:t xml:space="preserve"> </w:t>
      </w:r>
      <w:r w:rsidRPr="00C612DE">
        <w:rPr>
          <w:rFonts w:hint="cs"/>
          <w:rtl/>
        </w:rPr>
        <w:t>و</w:t>
      </w:r>
      <w:r w:rsidRPr="00C612DE">
        <w:rPr>
          <w:rtl/>
        </w:rPr>
        <w:t>المكتب الهندي</w:t>
      </w:r>
      <w:r w:rsidRPr="00C612DE">
        <w:rPr>
          <w:rFonts w:hint="cs"/>
          <w:rtl/>
        </w:rPr>
        <w:t xml:space="preserve"> </w:t>
      </w:r>
      <w:r w:rsidRPr="00C612DE">
        <w:rPr>
          <w:rtl/>
        </w:rPr>
        <w:t>للبراءات</w:t>
      </w:r>
      <w:r>
        <w:rPr>
          <w:rFonts w:hint="cs"/>
          <w:rtl/>
        </w:rPr>
        <w:t xml:space="preserve"> ومكتب الدولة للملكية الفكرية في جمهورية الصين الشعبية. وتتضمن قاعدة البيانات أرشيفاً يعود تاريخه إلى عام </w:t>
      </w:r>
      <w:r>
        <w:t>1981</w:t>
      </w:r>
      <w:r>
        <w:rPr>
          <w:rFonts w:hint="cs"/>
          <w:rtl/>
        </w:rPr>
        <w:t xml:space="preserve"> ويتضمن كل تسجيل مصطلحات وبيانات </w:t>
      </w:r>
      <w:r>
        <w:rPr>
          <w:rtl/>
        </w:rPr>
        <w:t>ببليوغراف</w:t>
      </w:r>
      <w:r>
        <w:rPr>
          <w:rFonts w:hint="cs"/>
          <w:rtl/>
        </w:rPr>
        <w:t>ية</w:t>
      </w:r>
      <w:r>
        <w:t xml:space="preserve"> </w:t>
      </w:r>
      <w:r>
        <w:rPr>
          <w:rFonts w:hint="cs"/>
          <w:rtl/>
        </w:rPr>
        <w:t>موحدة وعناوين معززة وملخصات باللغة الإنكليزية ومعلومات تتعلق بالتسلسلات الملتقطة يدوياً.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36" w:rsidRDefault="00424036" w:rsidP="0057160F">
    <w:r>
      <w:t>PCT/CTC/30/--</w:t>
    </w:r>
  </w:p>
  <w:p w:rsidR="00424036" w:rsidRDefault="00424036" w:rsidP="00D61541">
    <w:r>
      <w:fldChar w:fldCharType="begin"/>
    </w:r>
    <w:r>
      <w:instrText xml:space="preserve"> PAGE  \* MERGEFORMAT </w:instrText>
    </w:r>
    <w:r>
      <w:fldChar w:fldCharType="separate"/>
    </w:r>
    <w:r>
      <w:rPr>
        <w:noProof/>
      </w:rPr>
      <w:t>3</w:t>
    </w:r>
    <w:r>
      <w:fldChar w:fldCharType="end"/>
    </w:r>
  </w:p>
  <w:p w:rsidR="00424036" w:rsidRDefault="0042403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36" w:rsidRDefault="00424036" w:rsidP="009916C1">
    <w:pPr>
      <w:rPr>
        <w:szCs w:val="22"/>
        <w:rtl/>
      </w:rPr>
    </w:pPr>
    <w:r>
      <w:t>PCT/</w:t>
    </w:r>
    <w:r w:rsidRPr="009916C1">
      <w:rPr>
        <w:szCs w:val="22"/>
      </w:rPr>
      <w:t>CTC/30/</w:t>
    </w:r>
    <w:r w:rsidR="009916C1" w:rsidRPr="009916C1">
      <w:rPr>
        <w:rFonts w:hint="cs"/>
        <w:szCs w:val="22"/>
        <w:rtl/>
      </w:rPr>
      <w:t>5</w:t>
    </w:r>
  </w:p>
  <w:p w:rsidR="009916C1" w:rsidRPr="009916C1" w:rsidRDefault="009916C1" w:rsidP="009916C1">
    <w:r>
      <w:rPr>
        <w:szCs w:val="22"/>
      </w:rPr>
      <w:t>Annex</w:t>
    </w:r>
  </w:p>
  <w:p w:rsidR="00424036" w:rsidRDefault="00424036" w:rsidP="00D61541">
    <w:r>
      <w:fldChar w:fldCharType="begin"/>
    </w:r>
    <w:r>
      <w:instrText xml:space="preserve"> PAGE  \* MERGEFORMAT </w:instrText>
    </w:r>
    <w:r>
      <w:fldChar w:fldCharType="separate"/>
    </w:r>
    <w:r w:rsidR="008E5016">
      <w:rPr>
        <w:noProof/>
      </w:rPr>
      <w:t>6</w:t>
    </w:r>
    <w:r>
      <w:fldChar w:fldCharType="end"/>
    </w:r>
  </w:p>
  <w:p w:rsidR="00424036" w:rsidRDefault="0042403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36" w:rsidRDefault="00424036" w:rsidP="00B852C0">
    <w:pPr>
      <w:rPr>
        <w:rtl/>
      </w:rPr>
    </w:pPr>
    <w:r>
      <w:t>PCT/CTC/30/5</w:t>
    </w:r>
  </w:p>
  <w:p w:rsidR="00424036" w:rsidRDefault="00424036" w:rsidP="00356753">
    <w:r>
      <w:t>ANNEX</w:t>
    </w:r>
  </w:p>
  <w:p w:rsidR="00424036" w:rsidRPr="00356753" w:rsidRDefault="00424036" w:rsidP="00356753">
    <w:pPr>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424036" w:rsidRDefault="00424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086A8E"/>
    <w:multiLevelType w:val="hybridMultilevel"/>
    <w:tmpl w:val="DFF2D59C"/>
    <w:lvl w:ilvl="0" w:tplc="2A0EB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80183F"/>
    <w:multiLevelType w:val="hybridMultilevel"/>
    <w:tmpl w:val="D4AA1548"/>
    <w:lvl w:ilvl="0" w:tplc="E1B80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EB3E37"/>
    <w:multiLevelType w:val="hybridMultilevel"/>
    <w:tmpl w:val="D93421A6"/>
    <w:lvl w:ilvl="0" w:tplc="2980591C">
      <w:start w:val="1"/>
      <w:numFmt w:val="bullet"/>
      <w:lvlText w:val="–"/>
      <w:lvlJc w:val="left"/>
      <w:pPr>
        <w:ind w:left="720" w:hanging="360"/>
      </w:pPr>
      <w:rPr>
        <w:rFonts w:ascii="Arabic Typesetting" w:eastAsia="Times New Roman" w:hAnsi="Arabic Typesetting" w:cs="Arabic Typesetting"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7622E6"/>
    <w:multiLevelType w:val="hybridMultilevel"/>
    <w:tmpl w:val="E2FEE902"/>
    <w:lvl w:ilvl="0" w:tplc="0316A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1"/>
  </w:num>
  <w:num w:numId="5">
    <w:abstractNumId w:val="8"/>
  </w:num>
  <w:num w:numId="6">
    <w:abstractNumId w:val="22"/>
  </w:num>
  <w:num w:numId="7">
    <w:abstractNumId w:val="15"/>
  </w:num>
  <w:num w:numId="8">
    <w:abstractNumId w:val="20"/>
  </w:num>
  <w:num w:numId="9">
    <w:abstractNumId w:val="19"/>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4"/>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D61"/>
    <w:rsid w:val="00031B2C"/>
    <w:rsid w:val="00032602"/>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4799D"/>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5E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08C"/>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12B"/>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4FAB"/>
    <w:rsid w:val="0010597B"/>
    <w:rsid w:val="00110107"/>
    <w:rsid w:val="00110531"/>
    <w:rsid w:val="00110794"/>
    <w:rsid w:val="001122E3"/>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492E"/>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534"/>
    <w:rsid w:val="0022176B"/>
    <w:rsid w:val="00222760"/>
    <w:rsid w:val="00222782"/>
    <w:rsid w:val="0022360A"/>
    <w:rsid w:val="00226B82"/>
    <w:rsid w:val="00227103"/>
    <w:rsid w:val="00230249"/>
    <w:rsid w:val="00230366"/>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4FF"/>
    <w:rsid w:val="002A3C9D"/>
    <w:rsid w:val="002A5250"/>
    <w:rsid w:val="002A5403"/>
    <w:rsid w:val="002A6C9F"/>
    <w:rsid w:val="002A77F3"/>
    <w:rsid w:val="002A7CA8"/>
    <w:rsid w:val="002B14F0"/>
    <w:rsid w:val="002B1F0F"/>
    <w:rsid w:val="002B47A9"/>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AB9"/>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5FEB"/>
    <w:rsid w:val="003365F0"/>
    <w:rsid w:val="00336C50"/>
    <w:rsid w:val="0033719D"/>
    <w:rsid w:val="00337388"/>
    <w:rsid w:val="0034007D"/>
    <w:rsid w:val="003433E5"/>
    <w:rsid w:val="00344082"/>
    <w:rsid w:val="0034582C"/>
    <w:rsid w:val="00345916"/>
    <w:rsid w:val="00345CAC"/>
    <w:rsid w:val="0034789E"/>
    <w:rsid w:val="003501DA"/>
    <w:rsid w:val="003503E2"/>
    <w:rsid w:val="00351DC1"/>
    <w:rsid w:val="003534EE"/>
    <w:rsid w:val="00356753"/>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45A9"/>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32C6"/>
    <w:rsid w:val="00424036"/>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37"/>
    <w:rsid w:val="00450EEE"/>
    <w:rsid w:val="004512B2"/>
    <w:rsid w:val="004528EE"/>
    <w:rsid w:val="00453360"/>
    <w:rsid w:val="00456409"/>
    <w:rsid w:val="004569C6"/>
    <w:rsid w:val="00456ADC"/>
    <w:rsid w:val="004574FC"/>
    <w:rsid w:val="0045768F"/>
    <w:rsid w:val="00457769"/>
    <w:rsid w:val="0046250B"/>
    <w:rsid w:val="004627AE"/>
    <w:rsid w:val="0046298E"/>
    <w:rsid w:val="004647BB"/>
    <w:rsid w:val="0046482B"/>
    <w:rsid w:val="004648E0"/>
    <w:rsid w:val="00465AC3"/>
    <w:rsid w:val="00472043"/>
    <w:rsid w:val="0047242A"/>
    <w:rsid w:val="00472F56"/>
    <w:rsid w:val="0047335E"/>
    <w:rsid w:val="00473CA1"/>
    <w:rsid w:val="0047572C"/>
    <w:rsid w:val="00475B57"/>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AC3"/>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3A63"/>
    <w:rsid w:val="00543AB5"/>
    <w:rsid w:val="005457CF"/>
    <w:rsid w:val="00545910"/>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0471"/>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6E90"/>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30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1A08"/>
    <w:rsid w:val="006F2F22"/>
    <w:rsid w:val="006F3D2C"/>
    <w:rsid w:val="006F434A"/>
    <w:rsid w:val="006F641C"/>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6AB"/>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741"/>
    <w:rsid w:val="0075458D"/>
    <w:rsid w:val="007554A9"/>
    <w:rsid w:val="007556F5"/>
    <w:rsid w:val="007570A7"/>
    <w:rsid w:val="00757105"/>
    <w:rsid w:val="00757B82"/>
    <w:rsid w:val="0076281A"/>
    <w:rsid w:val="00762AA6"/>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380A"/>
    <w:rsid w:val="007C4079"/>
    <w:rsid w:val="007C4827"/>
    <w:rsid w:val="007C4A20"/>
    <w:rsid w:val="007D0B7F"/>
    <w:rsid w:val="007D1266"/>
    <w:rsid w:val="007D1B94"/>
    <w:rsid w:val="007D2DEB"/>
    <w:rsid w:val="007D458D"/>
    <w:rsid w:val="007D4E8C"/>
    <w:rsid w:val="007D538F"/>
    <w:rsid w:val="007D668A"/>
    <w:rsid w:val="007E09E2"/>
    <w:rsid w:val="007E0FF5"/>
    <w:rsid w:val="007E1012"/>
    <w:rsid w:val="007E17CD"/>
    <w:rsid w:val="007E24ED"/>
    <w:rsid w:val="007E374B"/>
    <w:rsid w:val="007E39DE"/>
    <w:rsid w:val="007E3F53"/>
    <w:rsid w:val="007E529D"/>
    <w:rsid w:val="007E7135"/>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7F3"/>
    <w:rsid w:val="00806C5F"/>
    <w:rsid w:val="00806E68"/>
    <w:rsid w:val="00807FC3"/>
    <w:rsid w:val="00810034"/>
    <w:rsid w:val="008114CF"/>
    <w:rsid w:val="008117CC"/>
    <w:rsid w:val="00811AB3"/>
    <w:rsid w:val="00812635"/>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13"/>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2A4"/>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125"/>
    <w:rsid w:val="00884939"/>
    <w:rsid w:val="008853E0"/>
    <w:rsid w:val="00885BE2"/>
    <w:rsid w:val="00885C87"/>
    <w:rsid w:val="008863C8"/>
    <w:rsid w:val="00886D40"/>
    <w:rsid w:val="00887A0E"/>
    <w:rsid w:val="008907F3"/>
    <w:rsid w:val="008920C2"/>
    <w:rsid w:val="0089492F"/>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016"/>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24"/>
    <w:rsid w:val="00904671"/>
    <w:rsid w:val="00905BC5"/>
    <w:rsid w:val="009064AA"/>
    <w:rsid w:val="0091172E"/>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10D3"/>
    <w:rsid w:val="009916C1"/>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3FC"/>
    <w:rsid w:val="009F045D"/>
    <w:rsid w:val="009F1098"/>
    <w:rsid w:val="009F1458"/>
    <w:rsid w:val="009F1D3A"/>
    <w:rsid w:val="009F2C2E"/>
    <w:rsid w:val="009F4190"/>
    <w:rsid w:val="009F4911"/>
    <w:rsid w:val="009F513E"/>
    <w:rsid w:val="009F5241"/>
    <w:rsid w:val="009F6807"/>
    <w:rsid w:val="009F68DF"/>
    <w:rsid w:val="009F6A24"/>
    <w:rsid w:val="009F6E00"/>
    <w:rsid w:val="00A0042C"/>
    <w:rsid w:val="00A00495"/>
    <w:rsid w:val="00A01925"/>
    <w:rsid w:val="00A01DEB"/>
    <w:rsid w:val="00A06D32"/>
    <w:rsid w:val="00A07545"/>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16B"/>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657"/>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BCF"/>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7E0"/>
    <w:rsid w:val="00AC5E85"/>
    <w:rsid w:val="00AD03D8"/>
    <w:rsid w:val="00AD0D5F"/>
    <w:rsid w:val="00AD34CF"/>
    <w:rsid w:val="00AD36C8"/>
    <w:rsid w:val="00AD37C9"/>
    <w:rsid w:val="00AD47D3"/>
    <w:rsid w:val="00AD652F"/>
    <w:rsid w:val="00AD7D05"/>
    <w:rsid w:val="00AD7ED2"/>
    <w:rsid w:val="00AE01F6"/>
    <w:rsid w:val="00AE16F0"/>
    <w:rsid w:val="00AE2328"/>
    <w:rsid w:val="00AE473C"/>
    <w:rsid w:val="00AE55E7"/>
    <w:rsid w:val="00AE6363"/>
    <w:rsid w:val="00AE6CC2"/>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3DD8"/>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2C0"/>
    <w:rsid w:val="00B85B06"/>
    <w:rsid w:val="00B90558"/>
    <w:rsid w:val="00B92958"/>
    <w:rsid w:val="00B93957"/>
    <w:rsid w:val="00B9404A"/>
    <w:rsid w:val="00B94877"/>
    <w:rsid w:val="00B9491F"/>
    <w:rsid w:val="00B96043"/>
    <w:rsid w:val="00B960D7"/>
    <w:rsid w:val="00B96F5D"/>
    <w:rsid w:val="00BA02F9"/>
    <w:rsid w:val="00BA1987"/>
    <w:rsid w:val="00BA2682"/>
    <w:rsid w:val="00BA31E4"/>
    <w:rsid w:val="00BA3475"/>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2DE"/>
    <w:rsid w:val="00C61588"/>
    <w:rsid w:val="00C61640"/>
    <w:rsid w:val="00C61AA7"/>
    <w:rsid w:val="00C61B8E"/>
    <w:rsid w:val="00C668DE"/>
    <w:rsid w:val="00C7044F"/>
    <w:rsid w:val="00C720F8"/>
    <w:rsid w:val="00C7294B"/>
    <w:rsid w:val="00C75139"/>
    <w:rsid w:val="00C7525C"/>
    <w:rsid w:val="00C76CF7"/>
    <w:rsid w:val="00C80F23"/>
    <w:rsid w:val="00C83A4C"/>
    <w:rsid w:val="00C8533B"/>
    <w:rsid w:val="00C858BA"/>
    <w:rsid w:val="00C85A35"/>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289"/>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2D7B"/>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2C9"/>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1EF5"/>
    <w:rsid w:val="00DD26D0"/>
    <w:rsid w:val="00DD47D5"/>
    <w:rsid w:val="00DD6729"/>
    <w:rsid w:val="00DD7960"/>
    <w:rsid w:val="00DD7B0D"/>
    <w:rsid w:val="00DE1D95"/>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9DD"/>
    <w:rsid w:val="00E06951"/>
    <w:rsid w:val="00E10C94"/>
    <w:rsid w:val="00E10EC4"/>
    <w:rsid w:val="00E118D7"/>
    <w:rsid w:val="00E13F46"/>
    <w:rsid w:val="00E15BD4"/>
    <w:rsid w:val="00E16458"/>
    <w:rsid w:val="00E16FB6"/>
    <w:rsid w:val="00E17001"/>
    <w:rsid w:val="00E17814"/>
    <w:rsid w:val="00E17CEF"/>
    <w:rsid w:val="00E20FBC"/>
    <w:rsid w:val="00E21697"/>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33C"/>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F80"/>
    <w:rsid w:val="00EE270D"/>
    <w:rsid w:val="00EE6989"/>
    <w:rsid w:val="00EE6C77"/>
    <w:rsid w:val="00EE7075"/>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5E6"/>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DBA"/>
    <w:rsid w:val="00F25ECC"/>
    <w:rsid w:val="00F264C1"/>
    <w:rsid w:val="00F26D7F"/>
    <w:rsid w:val="00F27305"/>
    <w:rsid w:val="00F30790"/>
    <w:rsid w:val="00F31570"/>
    <w:rsid w:val="00F33355"/>
    <w:rsid w:val="00F3343B"/>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FFD"/>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D5"/>
    <w:rsid w:val="00F65DE3"/>
    <w:rsid w:val="00F67E6A"/>
    <w:rsid w:val="00F70472"/>
    <w:rsid w:val="00F71430"/>
    <w:rsid w:val="00F71A8A"/>
    <w:rsid w:val="00F75896"/>
    <w:rsid w:val="00F76666"/>
    <w:rsid w:val="00F76ECB"/>
    <w:rsid w:val="00F76EF7"/>
    <w:rsid w:val="00F776B7"/>
    <w:rsid w:val="00F77758"/>
    <w:rsid w:val="00F7782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0F0"/>
    <w:rsid w:val="00FD1E7A"/>
    <w:rsid w:val="00FD1ED0"/>
    <w:rsid w:val="00FD2672"/>
    <w:rsid w:val="00FD28F4"/>
    <w:rsid w:val="00FD2CE2"/>
    <w:rsid w:val="00FD4037"/>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AA6"/>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customStyle="1" w:styleId="Heading2Char">
    <w:name w:val="Heading 2 Char"/>
    <w:basedOn w:val="DefaultParagraphFont"/>
    <w:link w:val="Heading2"/>
    <w:rsid w:val="00B852C0"/>
    <w:rPr>
      <w:rFonts w:ascii="Arabic Typesetting" w:hAnsi="Arabic Typesetting" w:cs="Arabic Typesetting"/>
      <w:sz w:val="40"/>
      <w:szCs w:val="40"/>
      <w:lang w:val="fr-CH"/>
    </w:rPr>
  </w:style>
  <w:style w:type="character" w:styleId="Hyperlink">
    <w:name w:val="Hyperlink"/>
    <w:basedOn w:val="DefaultParagraphFont"/>
    <w:rsid w:val="00806C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customStyle="1" w:styleId="Heading2Char">
    <w:name w:val="Heading 2 Char"/>
    <w:basedOn w:val="DefaultParagraphFont"/>
    <w:link w:val="Heading2"/>
    <w:rsid w:val="00B852C0"/>
    <w:rPr>
      <w:rFonts w:ascii="Arabic Typesetting" w:hAnsi="Arabic Typesetting" w:cs="Arabic Typesetting"/>
      <w:sz w:val="40"/>
      <w:szCs w:val="40"/>
      <w:lang w:val="fr-CH"/>
    </w:rPr>
  </w:style>
  <w:style w:type="character" w:styleId="Hyperlink">
    <w:name w:val="Hyperlink"/>
    <w:basedOn w:val="DefaultParagraphFont"/>
    <w:rsid w:val="00806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7DFA-0A8B-4E52-9106-5D4C7777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817</TotalTime>
  <Pages>7</Pages>
  <Words>2461</Words>
  <Characters>13157</Characters>
  <Application>Microsoft Office Word</Application>
  <DocSecurity>0</DocSecurity>
  <Lines>109</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 (Arabic)</vt:lpstr>
      <vt:lpstr>PCT/CTC/30/-- (Arabic)</vt:lpstr>
    </vt:vector>
  </TitlesOfParts>
  <Company>World Intellectual Property Organization</Company>
  <LinksUpToDate>false</LinksUpToDate>
  <CharactersWithSpaces>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36</cp:revision>
  <cp:lastPrinted>2017-03-30T09:52:00Z</cp:lastPrinted>
  <dcterms:created xsi:type="dcterms:W3CDTF">2017-03-17T09:41:00Z</dcterms:created>
  <dcterms:modified xsi:type="dcterms:W3CDTF">2017-03-30T09:52:00Z</dcterms:modified>
</cp:coreProperties>
</file>