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57160F" w:rsidP="00AA7658">
            <w:pPr>
              <w:pStyle w:val="DocumentCodeAR"/>
              <w:bidi/>
              <w:rPr>
                <w:rtl/>
              </w:rPr>
            </w:pPr>
            <w:proofErr w:type="spellStart"/>
            <w:r>
              <w:t>PCT</w:t>
            </w:r>
            <w:proofErr w:type="spellEnd"/>
            <w:r>
              <w:t>/CTC/30</w:t>
            </w:r>
            <w:r w:rsidRPr="00B6101C">
              <w:t>/</w:t>
            </w:r>
            <w:r w:rsidR="00AA7658">
              <w:t>20</w:t>
            </w:r>
          </w:p>
        </w:tc>
      </w:tr>
      <w:tr w:rsidR="001667B6" w:rsidTr="00BF164F">
        <w:tc>
          <w:tcPr>
            <w:tcW w:w="9571" w:type="dxa"/>
            <w:gridSpan w:val="3"/>
          </w:tcPr>
          <w:p w:rsidR="001667B6" w:rsidRPr="00B6101C" w:rsidRDefault="00B6101C" w:rsidP="00C80F23">
            <w:pPr>
              <w:pStyle w:val="DocumentLanguageAR"/>
              <w:bidi/>
              <w:rPr>
                <w:rtl/>
              </w:rPr>
            </w:pPr>
            <w:r w:rsidRPr="00B6101C">
              <w:rPr>
                <w:rFonts w:hint="cs"/>
                <w:rtl/>
              </w:rPr>
              <w:t xml:space="preserve">الأصل: </w:t>
            </w:r>
            <w:r w:rsidR="00C80F23">
              <w:rPr>
                <w:rFonts w:hint="cs"/>
                <w:rtl/>
              </w:rPr>
              <w:t>بالإنكليزية</w:t>
            </w:r>
          </w:p>
        </w:tc>
      </w:tr>
      <w:tr w:rsidR="001667B6" w:rsidTr="00BF164F">
        <w:tc>
          <w:tcPr>
            <w:tcW w:w="9571" w:type="dxa"/>
            <w:gridSpan w:val="3"/>
          </w:tcPr>
          <w:p w:rsidR="001667B6" w:rsidRPr="00B6101C" w:rsidRDefault="00B6101C" w:rsidP="00AA7658">
            <w:pPr>
              <w:pStyle w:val="DocumentDateAR"/>
              <w:bidi/>
              <w:rPr>
                <w:rtl/>
              </w:rPr>
            </w:pPr>
            <w:r w:rsidRPr="00B6101C">
              <w:rPr>
                <w:rFonts w:hint="cs"/>
                <w:rtl/>
              </w:rPr>
              <w:t xml:space="preserve">التاريخ: </w:t>
            </w:r>
            <w:r w:rsidR="00AA7658">
              <w:rPr>
                <w:rFonts w:hint="cs"/>
                <w:rtl/>
                <w:lang w:bidi="ar-EG"/>
              </w:rPr>
              <w:t>16 مارس</w:t>
            </w:r>
            <w:r w:rsidRPr="00B6101C">
              <w:rPr>
                <w:rFonts w:hint="cs"/>
                <w:rtl/>
              </w:rPr>
              <w:t xml:space="preserve"> </w:t>
            </w:r>
            <w:r w:rsidR="008D5779">
              <w:rPr>
                <w:rFonts w:hint="cs"/>
                <w:rtl/>
              </w:rPr>
              <w:t>201</w:t>
            </w:r>
            <w:r w:rsidR="00240911">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57160F" w:rsidRDefault="0057160F" w:rsidP="0057160F">
      <w:pPr>
        <w:pStyle w:val="MeetingTitleAR"/>
        <w:bidi/>
        <w:ind w:right="550"/>
        <w:rPr>
          <w:rtl/>
        </w:rPr>
      </w:pPr>
      <w:r>
        <w:rPr>
          <w:rFonts w:hint="cs"/>
          <w:rtl/>
        </w:rPr>
        <w:t>معاهدة التعاون بشأن البراءات</w:t>
      </w:r>
    </w:p>
    <w:p w:rsidR="0057160F" w:rsidRPr="00AB54AE" w:rsidRDefault="0057160F" w:rsidP="0057160F">
      <w:pPr>
        <w:pStyle w:val="MeetingTitleAR"/>
        <w:bidi/>
        <w:ind w:right="550"/>
        <w:rPr>
          <w:rtl/>
        </w:rPr>
      </w:pPr>
      <w:r>
        <w:rPr>
          <w:rFonts w:hint="cs"/>
          <w:rtl/>
        </w:rPr>
        <w:t>لجنة التعاون التقني</w:t>
      </w:r>
    </w:p>
    <w:p w:rsidR="0057160F" w:rsidRDefault="0057160F" w:rsidP="0057160F">
      <w:pPr>
        <w:bidi/>
        <w:spacing w:line="360" w:lineRule="exact"/>
        <w:rPr>
          <w:rFonts w:ascii="Arabic Typesetting" w:hAnsi="Arabic Typesetting" w:cs="Arabic Typesetting"/>
          <w:sz w:val="36"/>
          <w:szCs w:val="36"/>
          <w:rtl/>
        </w:rPr>
      </w:pPr>
    </w:p>
    <w:p w:rsidR="0057160F" w:rsidRPr="00783D11" w:rsidRDefault="0057160F" w:rsidP="0057160F">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الثلاثون</w:t>
      </w:r>
    </w:p>
    <w:p w:rsidR="0057160F" w:rsidRPr="00D61541" w:rsidRDefault="0057160F" w:rsidP="0057160F">
      <w:pPr>
        <w:pStyle w:val="MeetingDatesAR"/>
        <w:bidi/>
        <w:rPr>
          <w:rtl/>
        </w:rPr>
      </w:pPr>
      <w:r w:rsidRPr="00D61541">
        <w:rPr>
          <w:rFonts w:hint="cs"/>
          <w:rtl/>
        </w:rPr>
        <w:t xml:space="preserve">جنيف، من </w:t>
      </w:r>
      <w:r>
        <w:rPr>
          <w:rFonts w:hint="cs"/>
          <w:rtl/>
        </w:rPr>
        <w:t>8 إلى 12 مايو 2017</w:t>
      </w:r>
    </w:p>
    <w:p w:rsidR="0057160F" w:rsidRDefault="0057160F" w:rsidP="0057160F">
      <w:pPr>
        <w:bidi/>
        <w:spacing w:line="360" w:lineRule="exact"/>
        <w:rPr>
          <w:rFonts w:ascii="Arabic Typesetting" w:hAnsi="Arabic Typesetting" w:cs="Arabic Typesetting"/>
          <w:sz w:val="36"/>
          <w:szCs w:val="36"/>
          <w:rtl/>
        </w:rPr>
      </w:pPr>
    </w:p>
    <w:p w:rsidR="0057160F" w:rsidRDefault="0057160F" w:rsidP="0057160F">
      <w:pPr>
        <w:bidi/>
        <w:spacing w:line="360" w:lineRule="exact"/>
        <w:rPr>
          <w:rFonts w:ascii="Arabic Typesetting" w:hAnsi="Arabic Typesetting" w:cs="Arabic Typesetting"/>
          <w:sz w:val="36"/>
          <w:szCs w:val="36"/>
          <w:rtl/>
        </w:rPr>
      </w:pPr>
    </w:p>
    <w:p w:rsidR="0057160F" w:rsidRPr="00D61541" w:rsidRDefault="00C80F23" w:rsidP="00E67286">
      <w:pPr>
        <w:pStyle w:val="DocumentTitleAR"/>
        <w:bidi/>
        <w:rPr>
          <w:rtl/>
        </w:rPr>
      </w:pPr>
      <w:r>
        <w:rPr>
          <w:rFonts w:hint="cs"/>
          <w:rtl/>
        </w:rPr>
        <w:t>تمديد تعيين</w:t>
      </w:r>
      <w:r w:rsidR="00E67286">
        <w:t xml:space="preserve"> </w:t>
      </w:r>
      <w:r w:rsidR="00E67286">
        <w:rPr>
          <w:rFonts w:hint="cs"/>
          <w:rtl/>
        </w:rPr>
        <w:t xml:space="preserve">المكتب التركي للبراءات والعلامات التجارية </w:t>
      </w:r>
      <w:r>
        <w:rPr>
          <w:rFonts w:hint="cs"/>
          <w:rtl/>
        </w:rPr>
        <w:t>كإدارة للبحث الدولي وإدارة للفحص التمهيدي الدولي بناء على معاهدة التعاون بشأن البراءات</w:t>
      </w:r>
    </w:p>
    <w:p w:rsidR="0057160F" w:rsidRPr="00D61541" w:rsidRDefault="00C80F23" w:rsidP="0057160F">
      <w:pPr>
        <w:pStyle w:val="PreparedbyAR"/>
        <w:bidi/>
        <w:rPr>
          <w:rtl/>
        </w:rPr>
      </w:pPr>
      <w:r>
        <w:rPr>
          <w:rFonts w:hint="cs"/>
          <w:rtl/>
        </w:rPr>
        <w:t xml:space="preserve">وثيقة </w:t>
      </w:r>
      <w:r w:rsidR="0057160F" w:rsidRPr="00D61541">
        <w:rPr>
          <w:rFonts w:hint="cs"/>
          <w:rtl/>
        </w:rPr>
        <w:t xml:space="preserve">من </w:t>
      </w:r>
      <w:r w:rsidR="0057160F" w:rsidRPr="00931859">
        <w:rPr>
          <w:rFonts w:hint="cs"/>
          <w:rtl/>
        </w:rPr>
        <w:t>إعداد</w:t>
      </w:r>
      <w:r>
        <w:rPr>
          <w:rFonts w:hint="cs"/>
          <w:rtl/>
        </w:rPr>
        <w:t xml:space="preserve"> المكتب الدولي</w:t>
      </w:r>
    </w:p>
    <w:p w:rsidR="005B6E8A" w:rsidRDefault="00C80F23" w:rsidP="00AD65AB">
      <w:pPr>
        <w:pStyle w:val="NumberedParaAR"/>
      </w:pPr>
      <w:r>
        <w:rPr>
          <w:rFonts w:hint="cs"/>
          <w:rtl/>
        </w:rPr>
        <w:t>عينت جمعية معاهدة التعاون بشأن البراءات (جمعية البراءات) كل الإدارات الدولية الحالية لمدة تنتهي في 31 ديسمبر</w:t>
      </w:r>
      <w:r>
        <w:rPr>
          <w:rFonts w:hint="eastAsia"/>
          <w:rtl/>
        </w:rPr>
        <w:t> </w:t>
      </w:r>
      <w:r w:rsidR="00E67286">
        <w:rPr>
          <w:rFonts w:hint="cs"/>
          <w:rtl/>
        </w:rPr>
        <w:t>2017. إذن سي</w:t>
      </w:r>
      <w:r>
        <w:rPr>
          <w:rFonts w:hint="cs"/>
          <w:rtl/>
        </w:rPr>
        <w:t>تعيّن على جمعية البراءات في 2017 أن تبت في تمديد التعيين لكل إدارة من الإدارات الدولية الحالية التي تلتمس تمديد تعيينها، بعد استشارة هذه اللجنة (انظر المادتين 16(3)(ه) و32 (3) من معاهدة البراءات).</w:t>
      </w:r>
      <w:r w:rsidR="00AD65AB">
        <w:rPr>
          <w:rFonts w:hint="cs"/>
          <w:rtl/>
        </w:rPr>
        <w:t> </w:t>
      </w:r>
      <w:r w:rsidR="00AD65AB">
        <w:rPr>
          <w:rFonts w:hint="cs"/>
          <w:rtl/>
          <w:lang w:val="fr-FR"/>
        </w:rPr>
        <w:t>و</w:t>
      </w:r>
      <w:r>
        <w:rPr>
          <w:rFonts w:hint="cs"/>
          <w:rtl/>
        </w:rPr>
        <w:t>ترد في الوثيقة </w:t>
      </w:r>
      <w:proofErr w:type="spellStart"/>
      <w:r w:rsidRPr="00C80F23">
        <w:t>PCT</w:t>
      </w:r>
      <w:proofErr w:type="spellEnd"/>
      <w:r w:rsidRPr="00C80F23">
        <w:t>/CTC/30/INF/1</w:t>
      </w:r>
      <w:r>
        <w:rPr>
          <w:rFonts w:hint="cs"/>
          <w:rtl/>
          <w:lang w:bidi="ar-EG"/>
        </w:rPr>
        <w:t xml:space="preserve"> معلومات عن هذا الإجراء ودور اللجنة فيه.</w:t>
      </w:r>
    </w:p>
    <w:p w:rsidR="00C80F23" w:rsidRDefault="00AD65AB" w:rsidP="00E67286">
      <w:pPr>
        <w:pStyle w:val="NumberedParaAR"/>
        <w:rPr>
          <w:rtl/>
        </w:rPr>
      </w:pPr>
      <w:r>
        <w:rPr>
          <w:rFonts w:hint="cs"/>
          <w:rtl/>
          <w:lang w:bidi="ar-EG"/>
        </w:rPr>
        <w:t>وفي 6</w:t>
      </w:r>
      <w:r w:rsidR="00C80F23">
        <w:rPr>
          <w:rFonts w:hint="cs"/>
          <w:rtl/>
          <w:lang w:bidi="ar-EG"/>
        </w:rPr>
        <w:t xml:space="preserve"> مارس 2017، تقدم</w:t>
      </w:r>
      <w:r w:rsidR="00E67286">
        <w:rPr>
          <w:rFonts w:hint="cs"/>
          <w:rtl/>
          <w:lang w:bidi="ar-EG"/>
        </w:rPr>
        <w:t xml:space="preserve"> المكتب التركي للبراءات والعلامات التجارية </w:t>
      </w:r>
      <w:r w:rsidR="00C80F23">
        <w:rPr>
          <w:rFonts w:hint="cs"/>
          <w:rtl/>
          <w:lang w:bidi="ar-EG"/>
        </w:rPr>
        <w:t xml:space="preserve">بطلبه لتمديد تعيينه </w:t>
      </w:r>
      <w:r w:rsidR="00C80F23" w:rsidRPr="00C80F23">
        <w:rPr>
          <w:rtl/>
          <w:lang w:bidi="ar-EG"/>
        </w:rPr>
        <w:t xml:space="preserve">كإدارة للبحث الدولي وإدارة للفحص التمهيدي الدولي بناء على </w:t>
      </w:r>
      <w:r w:rsidR="00C80F23">
        <w:rPr>
          <w:rFonts w:hint="cs"/>
          <w:rtl/>
          <w:lang w:bidi="ar-EG"/>
        </w:rPr>
        <w:t>معاهدة</w:t>
      </w:r>
      <w:r w:rsidR="00C80F23" w:rsidRPr="00C80F23">
        <w:rPr>
          <w:rtl/>
          <w:lang w:bidi="ar-EG"/>
        </w:rPr>
        <w:t xml:space="preserve"> التعاون بشأن البراءات</w:t>
      </w:r>
      <w:r w:rsidR="00C80F23">
        <w:rPr>
          <w:rFonts w:hint="cs"/>
          <w:rtl/>
          <w:lang w:bidi="ar-EG"/>
        </w:rPr>
        <w:t>. ويرد الطلب في مرفق هذه الوثيقة.</w:t>
      </w:r>
    </w:p>
    <w:p w:rsidR="005B6E8A" w:rsidRDefault="00AA2810" w:rsidP="00AA2810">
      <w:pPr>
        <w:pStyle w:val="DecisionParaAR"/>
        <w:rPr>
          <w:rtl/>
        </w:rPr>
      </w:pPr>
      <w:r>
        <w:rPr>
          <w:rFonts w:hint="cs"/>
          <w:rtl/>
        </w:rPr>
        <w:t>إن اللجنة مدعوة إلى إسداء مشورتها في هذا الشأن.</w:t>
      </w:r>
    </w:p>
    <w:p w:rsidR="005B6E8A" w:rsidRDefault="00AA2810" w:rsidP="00AA2810">
      <w:pPr>
        <w:pStyle w:val="EndofDocumentAR"/>
        <w:rPr>
          <w:rtl/>
        </w:rPr>
      </w:pPr>
      <w:r>
        <w:rPr>
          <w:rFonts w:hint="cs"/>
          <w:rtl/>
        </w:rPr>
        <w:t>[يلي ذلك المرفق]</w:t>
      </w:r>
    </w:p>
    <w:p w:rsidR="005B6E8A" w:rsidRDefault="005B6E8A" w:rsidP="005B6E8A">
      <w:pPr>
        <w:pStyle w:val="NormalParaAR"/>
      </w:pPr>
    </w:p>
    <w:p w:rsidR="00DB1BAA" w:rsidRDefault="00DB1BAA" w:rsidP="005B6E8A">
      <w:pPr>
        <w:pStyle w:val="NormalParaAR"/>
        <w:rPr>
          <w:rtl/>
        </w:rPr>
        <w:sectPr w:rsidR="00DB1BAA" w:rsidSect="00EB7752">
          <w:headerReference w:type="default" r:id="rId10"/>
          <w:pgSz w:w="11907" w:h="16840" w:code="9"/>
          <w:pgMar w:top="567" w:right="1418" w:bottom="1418" w:left="1134" w:header="510" w:footer="1021" w:gutter="0"/>
          <w:cols w:space="720"/>
          <w:titlePg/>
          <w:docGrid w:linePitch="299"/>
        </w:sectPr>
      </w:pPr>
    </w:p>
    <w:p w:rsidR="005B6E8A" w:rsidRDefault="00356753" w:rsidP="009744FF">
      <w:pPr>
        <w:pStyle w:val="Heading2"/>
        <w:jc w:val="center"/>
        <w:rPr>
          <w:rtl/>
        </w:rPr>
      </w:pPr>
      <w:r>
        <w:rPr>
          <w:rFonts w:hint="cs"/>
          <w:rtl/>
        </w:rPr>
        <w:lastRenderedPageBreak/>
        <w:t>طلب</w:t>
      </w:r>
      <w:r w:rsidR="00E67286">
        <w:rPr>
          <w:rFonts w:hint="cs"/>
          <w:rtl/>
        </w:rPr>
        <w:t xml:space="preserve"> المكتب التركي للبراءات والعلامات التجارية</w:t>
      </w:r>
      <w:r w:rsidR="009744FF">
        <w:rPr>
          <w:rtl/>
        </w:rPr>
        <w:br/>
      </w:r>
      <w:r>
        <w:rPr>
          <w:rFonts w:hint="cs"/>
          <w:rtl/>
        </w:rPr>
        <w:t xml:space="preserve">لتمديد تعيينه </w:t>
      </w:r>
      <w:r w:rsidRPr="00356753">
        <w:rPr>
          <w:rtl/>
        </w:rPr>
        <w:t>كإدارة للبحث الدولي وإدارة للفحص التمهيدي الدولي</w:t>
      </w:r>
      <w:r w:rsidR="009744FF">
        <w:rPr>
          <w:rFonts w:hint="cs"/>
          <w:rtl/>
        </w:rPr>
        <w:br/>
        <w:t xml:space="preserve">في إطار </w:t>
      </w:r>
      <w:r w:rsidRPr="00356753">
        <w:rPr>
          <w:rtl/>
        </w:rPr>
        <w:t>معاهدة التعاون بشأن</w:t>
      </w:r>
      <w:r>
        <w:rPr>
          <w:rFonts w:hint="cs"/>
          <w:rtl/>
        </w:rPr>
        <w:t> </w:t>
      </w:r>
      <w:r w:rsidRPr="00356753">
        <w:rPr>
          <w:rtl/>
        </w:rPr>
        <w:t>البراءات</w:t>
      </w:r>
    </w:p>
    <w:p w:rsidR="00291E59" w:rsidRDefault="00B264D8" w:rsidP="007F2563">
      <w:pPr>
        <w:pStyle w:val="NormalParaAR"/>
        <w:rPr>
          <w:rtl/>
        </w:rPr>
      </w:pPr>
      <w:r w:rsidRPr="00B264D8">
        <w:rPr>
          <w:rtl/>
        </w:rPr>
        <w:t xml:space="preserve">يعتزم </w:t>
      </w:r>
      <w:r>
        <w:rPr>
          <w:rFonts w:hint="cs"/>
          <w:rtl/>
        </w:rPr>
        <w:t xml:space="preserve">المكتب التركي للبراءات والعلامات التجارية </w:t>
      </w:r>
      <w:r w:rsidRPr="00B264D8">
        <w:rPr>
          <w:rtl/>
        </w:rPr>
        <w:t>تقديم طلبه إلى جمعية الاتحاد الدولي للتعاون بشأن البراءات في دورته ال</w:t>
      </w:r>
      <w:r>
        <w:rPr>
          <w:rFonts w:hint="cs"/>
          <w:rtl/>
        </w:rPr>
        <w:t xml:space="preserve">تاسعة </w:t>
      </w:r>
      <w:r w:rsidRPr="00B264D8">
        <w:rPr>
          <w:rtl/>
        </w:rPr>
        <w:t xml:space="preserve">والأربعين بغية </w:t>
      </w:r>
      <w:r w:rsidR="007F2563">
        <w:rPr>
          <w:rFonts w:hint="cs"/>
          <w:rtl/>
        </w:rPr>
        <w:t xml:space="preserve">تمديد </w:t>
      </w:r>
      <w:r w:rsidRPr="00B264D8">
        <w:rPr>
          <w:rtl/>
        </w:rPr>
        <w:t>تعيينه كإدارة للبحث الدولي والفحص التمهيدي الدولي بناء على معاهدة التعاون بشأن البراءات.</w:t>
      </w:r>
      <w:r>
        <w:rPr>
          <w:rFonts w:hint="cs"/>
          <w:rtl/>
        </w:rPr>
        <w:t xml:space="preserve"> وكان </w:t>
      </w:r>
      <w:r w:rsidR="00640E2C">
        <w:rPr>
          <w:rFonts w:hint="cs"/>
          <w:rtl/>
        </w:rPr>
        <w:t>المكتب قد ع</w:t>
      </w:r>
      <w:r w:rsidR="002E1C6D">
        <w:rPr>
          <w:rFonts w:hint="cs"/>
          <w:rtl/>
        </w:rPr>
        <w:t>ُ</w:t>
      </w:r>
      <w:r w:rsidR="00640E2C">
        <w:rPr>
          <w:rFonts w:hint="cs"/>
          <w:rtl/>
        </w:rPr>
        <w:t>ي</w:t>
      </w:r>
      <w:r w:rsidR="002E1C6D">
        <w:rPr>
          <w:rFonts w:hint="cs"/>
          <w:rtl/>
        </w:rPr>
        <w:t>ّ</w:t>
      </w:r>
      <w:r w:rsidR="00640E2C">
        <w:rPr>
          <w:rFonts w:hint="cs"/>
          <w:rtl/>
        </w:rPr>
        <w:t xml:space="preserve">ن خلال الدورة الثامنة والأربعين </w:t>
      </w:r>
      <w:r w:rsidR="007F2563">
        <w:rPr>
          <w:rFonts w:hint="cs"/>
          <w:rtl/>
        </w:rPr>
        <w:t>ل</w:t>
      </w:r>
      <w:r w:rsidR="007F2563">
        <w:rPr>
          <w:rtl/>
        </w:rPr>
        <w:t>جمعية</w:t>
      </w:r>
      <w:r w:rsidR="007F2563" w:rsidRPr="007F2563">
        <w:rPr>
          <w:rtl/>
        </w:rPr>
        <w:t xml:space="preserve"> معاهدة التعاون بشأن البراءات</w:t>
      </w:r>
      <w:r w:rsidR="00865078">
        <w:rPr>
          <w:rFonts w:hint="cs"/>
          <w:rtl/>
        </w:rPr>
        <w:t xml:space="preserve"> في 2016</w:t>
      </w:r>
      <w:r w:rsidR="007F2563" w:rsidRPr="007F2563">
        <w:rPr>
          <w:rFonts w:hint="cs"/>
          <w:rtl/>
        </w:rPr>
        <w:t xml:space="preserve"> </w:t>
      </w:r>
      <w:r w:rsidR="00640E2C">
        <w:rPr>
          <w:rFonts w:hint="cs"/>
          <w:rtl/>
        </w:rPr>
        <w:t>وباشر عمله كإدارة دولية في مارس 2017.</w:t>
      </w:r>
    </w:p>
    <w:p w:rsidR="004E38A9" w:rsidRDefault="001400C4" w:rsidP="00865078">
      <w:pPr>
        <w:pStyle w:val="NormalParaAR"/>
        <w:rPr>
          <w:rtl/>
        </w:rPr>
      </w:pPr>
      <w:r>
        <w:rPr>
          <w:rFonts w:hint="cs"/>
          <w:rtl/>
        </w:rPr>
        <w:t>ويستوفي المكتب التركي للبراءات والعلامات التجارية</w:t>
      </w:r>
      <w:r w:rsidR="00291E59" w:rsidRPr="00291E59">
        <w:rPr>
          <w:rtl/>
        </w:rPr>
        <w:t xml:space="preserve"> الشروط الدنيا ل</w:t>
      </w:r>
      <w:r w:rsidR="00865078">
        <w:rPr>
          <w:rFonts w:hint="cs"/>
          <w:rtl/>
        </w:rPr>
        <w:t xml:space="preserve">تمديد </w:t>
      </w:r>
      <w:r w:rsidR="00291E59" w:rsidRPr="00291E59">
        <w:rPr>
          <w:rtl/>
        </w:rPr>
        <w:t>تعيين</w:t>
      </w:r>
      <w:r w:rsidR="00865078">
        <w:rPr>
          <w:rFonts w:hint="cs"/>
          <w:rtl/>
        </w:rPr>
        <w:t>ه</w:t>
      </w:r>
      <w:r w:rsidR="00291E59" w:rsidRPr="00291E59">
        <w:rPr>
          <w:rtl/>
        </w:rPr>
        <w:t xml:space="preserve"> كإدارة دولية</w:t>
      </w:r>
      <w:r w:rsidR="00291E59">
        <w:rPr>
          <w:rFonts w:hint="cs"/>
          <w:rtl/>
        </w:rPr>
        <w:t xml:space="preserve">. </w:t>
      </w:r>
      <w:r w:rsidR="00291E59">
        <w:rPr>
          <w:rtl/>
        </w:rPr>
        <w:t>وقد قدم مكتب كوريا للملكية الفكرية ومكتب إسبانيا للبراءات والعلامات التجارية المساعدة للم</w:t>
      </w:r>
      <w:r w:rsidR="00291E59">
        <w:rPr>
          <w:rFonts w:hint="cs"/>
          <w:rtl/>
        </w:rPr>
        <w:t xml:space="preserve">كتب </w:t>
      </w:r>
      <w:r w:rsidR="00291E59">
        <w:rPr>
          <w:rtl/>
        </w:rPr>
        <w:t>في تق</w:t>
      </w:r>
      <w:bookmarkStart w:id="2" w:name="_GoBack"/>
      <w:bookmarkEnd w:id="2"/>
      <w:r w:rsidR="00291E59">
        <w:rPr>
          <w:rtl/>
        </w:rPr>
        <w:t>ييم مدى استيفائه لمعايير التعيين كإدارة دولية</w:t>
      </w:r>
      <w:r w:rsidR="00291E59">
        <w:rPr>
          <w:rFonts w:hint="cs"/>
          <w:rtl/>
        </w:rPr>
        <w:t xml:space="preserve"> في 2016</w:t>
      </w:r>
      <w:r w:rsidR="00291E59">
        <w:rPr>
          <w:rtl/>
        </w:rPr>
        <w:t>.</w:t>
      </w:r>
    </w:p>
    <w:p w:rsidR="0005368C" w:rsidRDefault="00C8726E" w:rsidP="009744FF">
      <w:pPr>
        <w:pStyle w:val="NormalParaAR"/>
        <w:rPr>
          <w:rtl/>
        </w:rPr>
      </w:pPr>
      <w:r>
        <w:rPr>
          <w:rtl/>
        </w:rPr>
        <w:t>واللجنة مدعوة إلى إسداء المشورة</w:t>
      </w:r>
      <w:r w:rsidR="00865078">
        <w:rPr>
          <w:rFonts w:hint="cs"/>
          <w:rtl/>
        </w:rPr>
        <w:t xml:space="preserve"> </w:t>
      </w:r>
      <w:r w:rsidR="00291E59">
        <w:rPr>
          <w:rtl/>
        </w:rPr>
        <w:t xml:space="preserve">لجمعية معاهدة التعاون بشأن البراءات فيما يخص </w:t>
      </w:r>
      <w:r w:rsidR="0005368C">
        <w:rPr>
          <w:rFonts w:hint="cs"/>
          <w:rtl/>
        </w:rPr>
        <w:t xml:space="preserve">تمديد </w:t>
      </w:r>
      <w:r w:rsidR="00291E59">
        <w:rPr>
          <w:rtl/>
        </w:rPr>
        <w:t>التعيين المقترح للم</w:t>
      </w:r>
      <w:r w:rsidR="0005368C">
        <w:rPr>
          <w:rFonts w:hint="cs"/>
          <w:rtl/>
        </w:rPr>
        <w:t xml:space="preserve">كتب </w:t>
      </w:r>
      <w:r w:rsidR="00291E59">
        <w:rPr>
          <w:rtl/>
        </w:rPr>
        <w:t>كإدارة</w:t>
      </w:r>
      <w:r w:rsidR="009744FF">
        <w:rPr>
          <w:rFonts w:hint="cs"/>
          <w:rtl/>
        </w:rPr>
        <w:t> </w:t>
      </w:r>
      <w:r w:rsidR="00291E59">
        <w:rPr>
          <w:rtl/>
        </w:rPr>
        <w:t>دولية.</w:t>
      </w:r>
    </w:p>
    <w:p w:rsidR="0005368C" w:rsidRPr="00465A1F" w:rsidRDefault="0005368C" w:rsidP="009744FF">
      <w:pPr>
        <w:pStyle w:val="Heading1"/>
        <w:spacing w:after="0"/>
        <w:rPr>
          <w:rtl/>
        </w:rPr>
      </w:pPr>
      <w:r w:rsidRPr="00465A1F">
        <w:rPr>
          <w:rtl/>
        </w:rPr>
        <w:t>أولاً.</w:t>
      </w:r>
      <w:r w:rsidR="009744FF">
        <w:rPr>
          <w:rFonts w:hint="cs"/>
          <w:rtl/>
        </w:rPr>
        <w:tab/>
      </w:r>
      <w:r w:rsidRPr="00465A1F">
        <w:rPr>
          <w:rFonts w:hint="cs"/>
          <w:rtl/>
        </w:rPr>
        <w:t xml:space="preserve">المكتب التركي </w:t>
      </w:r>
      <w:r w:rsidRPr="00465A1F">
        <w:rPr>
          <w:rtl/>
        </w:rPr>
        <w:t>للبراءات</w:t>
      </w:r>
      <w:r w:rsidRPr="00465A1F">
        <w:rPr>
          <w:rFonts w:hint="cs"/>
          <w:rtl/>
        </w:rPr>
        <w:t xml:space="preserve"> والعلامات التجارية</w:t>
      </w:r>
    </w:p>
    <w:p w:rsidR="00E71F1D" w:rsidRDefault="0005368C" w:rsidP="009744FF">
      <w:pPr>
        <w:pStyle w:val="NumberedParaAR"/>
        <w:numPr>
          <w:ilvl w:val="0"/>
          <w:numId w:val="7"/>
        </w:numPr>
      </w:pPr>
      <w:r>
        <w:rPr>
          <w:rtl/>
        </w:rPr>
        <w:t xml:space="preserve">يعمل </w:t>
      </w:r>
      <w:r>
        <w:rPr>
          <w:rFonts w:hint="cs"/>
          <w:rtl/>
        </w:rPr>
        <w:t>المكتب التركي</w:t>
      </w:r>
      <w:r>
        <w:rPr>
          <w:rtl/>
        </w:rPr>
        <w:t xml:space="preserve"> للبراءات</w:t>
      </w:r>
      <w:r>
        <w:rPr>
          <w:rFonts w:hint="cs"/>
          <w:rtl/>
        </w:rPr>
        <w:t xml:space="preserve"> والعلامات التجارية</w:t>
      </w:r>
      <w:r>
        <w:rPr>
          <w:rtl/>
        </w:rPr>
        <w:t xml:space="preserve"> كمؤسسة عامة مسؤولة عن إدارة حقوق الملكية الصناعية تحت إشراف وزارة العلوم والصناعة والتكنولوجيا.</w:t>
      </w:r>
      <w:r>
        <w:rPr>
          <w:rFonts w:hint="cs"/>
          <w:rtl/>
        </w:rPr>
        <w:t xml:space="preserve"> </w:t>
      </w:r>
      <w:r>
        <w:rPr>
          <w:rtl/>
        </w:rPr>
        <w:t>وقد أنشئ الم</w:t>
      </w:r>
      <w:r w:rsidR="00E71F1D">
        <w:rPr>
          <w:rFonts w:hint="cs"/>
          <w:rtl/>
        </w:rPr>
        <w:t xml:space="preserve">كتب </w:t>
      </w:r>
      <w:r>
        <w:rPr>
          <w:rtl/>
        </w:rPr>
        <w:t>بهدف دعم التطوير التكنولوجي في تركيا من خلال حماية وتعزيز حقوق الملكية الصناعية بغية تيسير تطوير أنشطة البحث والتطوير.</w:t>
      </w:r>
      <w:r w:rsidR="00E71F1D">
        <w:rPr>
          <w:rFonts w:hint="cs"/>
          <w:rtl/>
        </w:rPr>
        <w:t xml:space="preserve"> </w:t>
      </w:r>
      <w:r>
        <w:rPr>
          <w:rtl/>
        </w:rPr>
        <w:t>ويوفر الم</w:t>
      </w:r>
      <w:r w:rsidR="00E71F1D">
        <w:rPr>
          <w:rFonts w:hint="cs"/>
          <w:rtl/>
        </w:rPr>
        <w:t xml:space="preserve">كتب </w:t>
      </w:r>
      <w:r>
        <w:rPr>
          <w:rtl/>
        </w:rPr>
        <w:t>حماية فعالة لحقوق الملكية الصناعية واستخداماً واسع النطاق لها بحيث يكفل أداء الصناعة والتكنولوجيا في تركيا دوراً رائداً في المنافسة العالمية.</w:t>
      </w:r>
    </w:p>
    <w:p w:rsidR="00465A1F" w:rsidRDefault="0005368C" w:rsidP="009744FF">
      <w:pPr>
        <w:pStyle w:val="NumberedParaAR"/>
        <w:numPr>
          <w:ilvl w:val="0"/>
          <w:numId w:val="7"/>
        </w:numPr>
      </w:pPr>
      <w:r>
        <w:rPr>
          <w:rtl/>
        </w:rPr>
        <w:t>ويهدف الم</w:t>
      </w:r>
      <w:r w:rsidR="00E71F1D">
        <w:rPr>
          <w:rFonts w:hint="cs"/>
          <w:rtl/>
        </w:rPr>
        <w:t xml:space="preserve">كتب </w:t>
      </w:r>
      <w:r>
        <w:rPr>
          <w:rtl/>
        </w:rPr>
        <w:t>إلى نشر الوعي والمعرفة بشأن حقوق الملكية الصناعية عبر البلاد فضلاً عن المنطقة، وإلى التعاون مع الأطراف المعنية.</w:t>
      </w:r>
      <w:r w:rsidR="00E71F1D">
        <w:rPr>
          <w:rFonts w:hint="cs"/>
          <w:rtl/>
        </w:rPr>
        <w:t xml:space="preserve"> </w:t>
      </w:r>
      <w:r>
        <w:rPr>
          <w:rtl/>
        </w:rPr>
        <w:t>ويهدف الم</w:t>
      </w:r>
      <w:r w:rsidR="00E71F1D">
        <w:rPr>
          <w:rFonts w:hint="cs"/>
          <w:rtl/>
        </w:rPr>
        <w:t xml:space="preserve">كتب </w:t>
      </w:r>
      <w:r>
        <w:rPr>
          <w:rtl/>
        </w:rPr>
        <w:t>أيضاً إلى توفير خدمات موجهة نحو العملاء ومناسبة وعالية الجودة لل</w:t>
      </w:r>
      <w:r w:rsidR="00995813">
        <w:rPr>
          <w:rFonts w:hint="cs"/>
          <w:rtl/>
        </w:rPr>
        <w:t xml:space="preserve">مساهمة </w:t>
      </w:r>
      <w:r>
        <w:rPr>
          <w:rtl/>
        </w:rPr>
        <w:t>في نظام فعال للملكية الصناعية عن طريق تعزيز البنية القانونية والتقنية والبشرية.</w:t>
      </w:r>
    </w:p>
    <w:p w:rsidR="00465A1F" w:rsidRPr="009744FF" w:rsidRDefault="00465A1F" w:rsidP="009744FF">
      <w:pPr>
        <w:pStyle w:val="NumberedParaAR"/>
        <w:numPr>
          <w:ilvl w:val="0"/>
          <w:numId w:val="7"/>
        </w:numPr>
      </w:pPr>
      <w:r>
        <w:rPr>
          <w:rtl/>
        </w:rPr>
        <w:t>وينفِّذ الم</w:t>
      </w:r>
      <w:r>
        <w:rPr>
          <w:rFonts w:hint="cs"/>
          <w:rtl/>
        </w:rPr>
        <w:t xml:space="preserve">كتب </w:t>
      </w:r>
      <w:r>
        <w:rPr>
          <w:rtl/>
        </w:rPr>
        <w:t>برامج تعاون وثيقة مع المنظمة العالمية للملكية الفكرية (</w:t>
      </w:r>
      <w:proofErr w:type="spellStart"/>
      <w:r>
        <w:rPr>
          <w:rtl/>
        </w:rPr>
        <w:t>الويبو</w:t>
      </w:r>
      <w:proofErr w:type="spellEnd"/>
      <w:r>
        <w:rPr>
          <w:rtl/>
        </w:rPr>
        <w:t xml:space="preserve">) والمكتب الأوروبي للبراءات </w:t>
      </w:r>
      <w:r w:rsidR="000C6823" w:rsidRPr="000C6823">
        <w:rPr>
          <w:rtl/>
        </w:rPr>
        <w:t xml:space="preserve">ومكتب الاتحاد </w:t>
      </w:r>
      <w:r w:rsidR="000C6823" w:rsidRPr="000C6823">
        <w:rPr>
          <w:rFonts w:hint="cs"/>
          <w:rtl/>
        </w:rPr>
        <w:t>الأوروبي</w:t>
      </w:r>
      <w:r w:rsidR="000C6823" w:rsidRPr="000C6823">
        <w:rPr>
          <w:rtl/>
        </w:rPr>
        <w:t xml:space="preserve"> للملكية الفكرية</w:t>
      </w:r>
      <w:r>
        <w:rPr>
          <w:rtl/>
        </w:rPr>
        <w:t>.</w:t>
      </w:r>
      <w:r>
        <w:rPr>
          <w:rFonts w:hint="cs"/>
          <w:rtl/>
        </w:rPr>
        <w:t xml:space="preserve"> </w:t>
      </w:r>
      <w:r>
        <w:rPr>
          <w:rtl/>
        </w:rPr>
        <w:t>وفضلاً عن ذلك، يحافظ الم</w:t>
      </w:r>
      <w:r>
        <w:rPr>
          <w:rFonts w:hint="cs"/>
          <w:rtl/>
        </w:rPr>
        <w:t xml:space="preserve">كتب </w:t>
      </w:r>
      <w:r w:rsidRPr="00465A1F">
        <w:rPr>
          <w:rtl/>
        </w:rPr>
        <w:t>على علاقاته مع منظمة التجارة العالمية ومنظمة التعاون والتنمية في الميدان الاقتصادي ولجنة الأمم المتحدة الاقتصادية لأوروبا.</w:t>
      </w:r>
    </w:p>
    <w:p w:rsidR="00465A1F" w:rsidRPr="00465A1F" w:rsidRDefault="009744FF" w:rsidP="009744FF">
      <w:pPr>
        <w:pStyle w:val="Heading1"/>
      </w:pPr>
      <w:r>
        <w:rPr>
          <w:rtl/>
        </w:rPr>
        <w:t>ثانياً.</w:t>
      </w:r>
      <w:r>
        <w:rPr>
          <w:rFonts w:hint="cs"/>
          <w:rtl/>
        </w:rPr>
        <w:tab/>
      </w:r>
      <w:r w:rsidR="00465A1F" w:rsidRPr="00465A1F">
        <w:rPr>
          <w:rtl/>
        </w:rPr>
        <w:t>معلومات أساسية</w:t>
      </w:r>
    </w:p>
    <w:p w:rsidR="00465A1F" w:rsidRDefault="00465A1F" w:rsidP="009744FF">
      <w:pPr>
        <w:pStyle w:val="Heading2"/>
        <w:spacing w:after="0"/>
      </w:pPr>
      <w:r>
        <w:rPr>
          <w:rtl/>
        </w:rPr>
        <w:t>1. معلومات عن البلد</w:t>
      </w:r>
    </w:p>
    <w:p w:rsidR="000C6823" w:rsidRDefault="00465A1F" w:rsidP="009744FF">
      <w:pPr>
        <w:pStyle w:val="NumberedParaAR"/>
        <w:numPr>
          <w:ilvl w:val="0"/>
          <w:numId w:val="7"/>
        </w:numPr>
      </w:pPr>
      <w:r>
        <w:rPr>
          <w:rtl/>
        </w:rPr>
        <w:t>تعدُّ تركيا، بعدد سكانها الكبير وخلفيتها التاريخية الواسعة وموقعها الجغرافي المتميز وتنميتها الاقتصادية، بلداً متقدماً في المنطقة</w:t>
      </w:r>
      <w:r>
        <w:rPr>
          <w:rFonts w:hint="cs"/>
          <w:rtl/>
        </w:rPr>
        <w:t>،</w:t>
      </w:r>
      <w:r>
        <w:rPr>
          <w:rtl/>
        </w:rPr>
        <w:t xml:space="preserve"> وتضم البلدان المجاورة مجموعة من البلدان ذات خلفيات اجتماعية وثقافية مختلفة من أوروبا وآسيا والشرق الأوسط.</w:t>
      </w:r>
      <w:r>
        <w:rPr>
          <w:rFonts w:hint="cs"/>
          <w:rtl/>
        </w:rPr>
        <w:t xml:space="preserve"> </w:t>
      </w:r>
      <w:r>
        <w:rPr>
          <w:rtl/>
        </w:rPr>
        <w:t>ويعدُّ موقع تركيا الجغرافي وقدراتها اللوجستية وموقعها الفريد عند تقاطع ثلاث قارات عوامل رئيسية تس</w:t>
      </w:r>
      <w:r w:rsidR="000C6823">
        <w:rPr>
          <w:rFonts w:hint="cs"/>
          <w:rtl/>
        </w:rPr>
        <w:t>ا</w:t>
      </w:r>
      <w:r>
        <w:rPr>
          <w:rtl/>
        </w:rPr>
        <w:t>هم في أهمية تركيا الاستراتيجية والإقليمية.</w:t>
      </w:r>
    </w:p>
    <w:p w:rsidR="00641AA7" w:rsidRDefault="009744FF" w:rsidP="009744FF">
      <w:pPr>
        <w:pStyle w:val="NormalParaAR"/>
        <w:spacing w:line="240" w:lineRule="auto"/>
        <w:jc w:val="center"/>
        <w:rPr>
          <w:rtl/>
        </w:rPr>
      </w:pPr>
      <w:r w:rsidRPr="005A769E">
        <w:rPr>
          <w:rFonts w:ascii="Times New Roman" w:hAnsi="Times New Roman"/>
          <w:noProof/>
          <w:sz w:val="24"/>
          <w:szCs w:val="24"/>
        </w:rPr>
        <w:lastRenderedPageBreak/>
        <w:drawing>
          <wp:inline distT="0" distB="0" distL="0" distR="0" wp14:anchorId="5A21272B" wp14:editId="44E88DC3">
            <wp:extent cx="4898004" cy="3057689"/>
            <wp:effectExtent l="0" t="0" r="0" b="9525"/>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1" cstate="print">
                      <a:extLst>
                        <a:ext uri="{28A0092B-C50C-407E-A947-70E740481C1C}">
                          <a14:useLocalDpi xmlns:a14="http://schemas.microsoft.com/office/drawing/2010/main" val="0"/>
                        </a:ext>
                      </a:extLst>
                    </a:blip>
                    <a:srcRect r="5977"/>
                    <a:stretch>
                      <a:fillRect/>
                    </a:stretch>
                  </pic:blipFill>
                  <pic:spPr bwMode="auto">
                    <a:xfrm>
                      <a:off x="0" y="0"/>
                      <a:ext cx="4902794" cy="3060679"/>
                    </a:xfrm>
                    <a:prstGeom prst="rect">
                      <a:avLst/>
                    </a:prstGeom>
                    <a:noFill/>
                    <a:ln>
                      <a:noFill/>
                    </a:ln>
                  </pic:spPr>
                </pic:pic>
              </a:graphicData>
            </a:graphic>
          </wp:inline>
        </w:drawing>
      </w:r>
    </w:p>
    <w:p w:rsidR="001C4780" w:rsidRDefault="00465A1F" w:rsidP="009744FF">
      <w:pPr>
        <w:pStyle w:val="NumberedParaAR"/>
        <w:numPr>
          <w:ilvl w:val="0"/>
          <w:numId w:val="7"/>
        </w:numPr>
      </w:pPr>
      <w:r>
        <w:rPr>
          <w:rtl/>
        </w:rPr>
        <w:t>وسجلت تركيا أداءً اقتصادياً ملحوظاً بفضل نموها المطرد على مدى العقد الماضي.</w:t>
      </w:r>
      <w:r w:rsidR="00956F8B">
        <w:rPr>
          <w:rFonts w:hint="cs"/>
          <w:rtl/>
        </w:rPr>
        <w:t xml:space="preserve"> </w:t>
      </w:r>
      <w:r>
        <w:rPr>
          <w:rtl/>
        </w:rPr>
        <w:t>وأدى اعتماد استراتيجية اقتصادية كلية محكمة إضافة إلى إصلاحات هيكلية كبرى إلى معدل نمو سنوي حقيقي لإجمالي الناتج المحلي قدره 4.7 بالمئة منذ عام 2000.</w:t>
      </w:r>
      <w:r w:rsidR="00CD089A">
        <w:rPr>
          <w:rFonts w:hint="cs"/>
          <w:rtl/>
        </w:rPr>
        <w:t xml:space="preserve"> </w:t>
      </w:r>
      <w:r>
        <w:rPr>
          <w:rtl/>
        </w:rPr>
        <w:t>وتركيا بلد ذو كثافة سكانية عالية (إذ يبلغ عدد السكان فيها نحو 78 مليون نسمة، وتحتل المرتبة الثامنة عشرة في العالم) وتتمتع باقتصاد كبير والتزام راسخ بالابتكار.</w:t>
      </w:r>
      <w:r w:rsidR="00CD089A">
        <w:rPr>
          <w:rFonts w:hint="cs"/>
          <w:rtl/>
        </w:rPr>
        <w:t xml:space="preserve"> </w:t>
      </w:r>
      <w:r>
        <w:rPr>
          <w:rtl/>
        </w:rPr>
        <w:t>ويبلغ</w:t>
      </w:r>
      <w:r w:rsidR="009B48BE">
        <w:rPr>
          <w:rtl/>
        </w:rPr>
        <w:t xml:space="preserve"> مجموع عدد الجامعات في تركيا 1</w:t>
      </w:r>
      <w:r w:rsidR="009B48BE">
        <w:rPr>
          <w:rFonts w:hint="cs"/>
          <w:rtl/>
        </w:rPr>
        <w:t>83</w:t>
      </w:r>
      <w:r w:rsidR="00627362">
        <w:rPr>
          <w:rtl/>
        </w:rPr>
        <w:t xml:space="preserve"> جامعة منها</w:t>
      </w:r>
      <w:r w:rsidR="00627362">
        <w:rPr>
          <w:rFonts w:hint="cs"/>
          <w:rtl/>
        </w:rPr>
        <w:t xml:space="preserve"> 118 </w:t>
      </w:r>
      <w:r>
        <w:rPr>
          <w:rtl/>
        </w:rPr>
        <w:t>جامعة عامة و</w:t>
      </w:r>
      <w:r w:rsidR="00627362">
        <w:rPr>
          <w:rFonts w:hint="cs"/>
          <w:rtl/>
        </w:rPr>
        <w:t>65</w:t>
      </w:r>
      <w:r>
        <w:rPr>
          <w:rtl/>
        </w:rPr>
        <w:t xml:space="preserve"> جامعة خاصة.</w:t>
      </w:r>
      <w:r w:rsidR="001C4780">
        <w:t xml:space="preserve"> </w:t>
      </w:r>
      <w:r>
        <w:rPr>
          <w:rtl/>
        </w:rPr>
        <w:t>وارتفع إنفاق تركيا على البحث والتطوير بنسبة 1</w:t>
      </w:r>
      <w:r w:rsidR="001C4780">
        <w:rPr>
          <w:rFonts w:hint="cs"/>
          <w:rtl/>
        </w:rPr>
        <w:t>7</w:t>
      </w:r>
      <w:r>
        <w:rPr>
          <w:rtl/>
        </w:rPr>
        <w:t>.</w:t>
      </w:r>
      <w:r w:rsidR="001C4780">
        <w:rPr>
          <w:rFonts w:hint="cs"/>
          <w:rtl/>
        </w:rPr>
        <w:t>1</w:t>
      </w:r>
      <w:r>
        <w:rPr>
          <w:rtl/>
        </w:rPr>
        <w:t xml:space="preserve"> بالمئة في عام 201</w:t>
      </w:r>
      <w:r w:rsidR="001C4780">
        <w:rPr>
          <w:rFonts w:hint="cs"/>
          <w:rtl/>
        </w:rPr>
        <w:t>5</w:t>
      </w:r>
      <w:r>
        <w:rPr>
          <w:rtl/>
        </w:rPr>
        <w:t xml:space="preserve"> ليبلغ </w:t>
      </w:r>
      <w:r w:rsidR="001C4780">
        <w:rPr>
          <w:rFonts w:hint="cs"/>
          <w:rtl/>
        </w:rPr>
        <w:t>20</w:t>
      </w:r>
      <w:r>
        <w:rPr>
          <w:rtl/>
        </w:rPr>
        <w:t>.6 مليار ليرة تركية (6.1 مليار دولار أمريكي).</w:t>
      </w:r>
      <w:r w:rsidR="001C4780">
        <w:rPr>
          <w:rFonts w:hint="cs"/>
          <w:rtl/>
        </w:rPr>
        <w:t xml:space="preserve"> </w:t>
      </w:r>
      <w:r>
        <w:rPr>
          <w:rtl/>
        </w:rPr>
        <w:t>ويُتوقع أن يبلغ إنفاق تركيا على البحث والتطوير 3 بالمئة من إجمالي الناتج المحلي في البلد بحلول عام 2023 أي بعد مرور 100 سنة على قيام الجمهورية.</w:t>
      </w:r>
    </w:p>
    <w:p w:rsidR="001C4780" w:rsidRDefault="00465A1F" w:rsidP="009744FF">
      <w:pPr>
        <w:pStyle w:val="NumberedParaAR"/>
        <w:numPr>
          <w:ilvl w:val="0"/>
          <w:numId w:val="7"/>
        </w:numPr>
      </w:pPr>
      <w:r>
        <w:rPr>
          <w:rtl/>
        </w:rPr>
        <w:t>وتعدُّ تركيا عضواً في 17 معاهدة دولية بشأن حقوق الملكية الفكرية، وفي العديد من المعاهدات التي تدعم التجارة والابتكار والحماية القانونية الدولية، وفي أكثر من 30 منظمة إقليمية منها المكتب الأوروبي للبراءات، ومنظمة التعاون الاقتصادي في منطقة البحر الأسود، ومنظمة البلدان النامية الثمانية للتعاون الاقتصادي، واتحاد الأمم الصناعية العشرين من أجل المتوسط، ومنظمة التعاون الإسلامي، ومجلس التعاون للدول الناطقة بالتركية.</w:t>
      </w:r>
    </w:p>
    <w:p w:rsidR="00E71F1D" w:rsidRDefault="00465A1F" w:rsidP="009744FF">
      <w:pPr>
        <w:pStyle w:val="NumberedParaAR"/>
        <w:numPr>
          <w:ilvl w:val="0"/>
          <w:numId w:val="7"/>
        </w:numPr>
        <w:rPr>
          <w:rtl/>
        </w:rPr>
      </w:pPr>
      <w:r>
        <w:rPr>
          <w:rtl/>
        </w:rPr>
        <w:t>ويلي بيان القطاعات الرئيسية للصناعات المحلية الأساسية: الآلات والمعدات، وصناعة السيارات، والأجهزة المنزلية، والمنسوجات، والمواد الغذائية والمشروبات، والمعادن والمنتجات المعدنية، وغيرها من السلع الاستهلاكية والمنتجات الكيماوية.</w:t>
      </w:r>
      <w:r w:rsidR="001C4780">
        <w:rPr>
          <w:rFonts w:hint="cs"/>
          <w:rtl/>
        </w:rPr>
        <w:t xml:space="preserve"> </w:t>
      </w:r>
      <w:r>
        <w:rPr>
          <w:rtl/>
        </w:rPr>
        <w:t>وتشمل الدول الشريكة التجارية لتركيا الدول التالية: الاتحاد الأوروبي (ألمانيا، والمملكة المتحدة، وفرنسا، وإيطاليا، وإسبانيا، ورومانيا)، وروسيا، والولايات المتحدة الأمريكية، والإمارات العربية المتحدة، والمملكة العربية السعودية والعراق.</w:t>
      </w:r>
    </w:p>
    <w:p w:rsidR="00523959" w:rsidRDefault="00523959" w:rsidP="009744FF">
      <w:pPr>
        <w:pStyle w:val="Heading2"/>
        <w:spacing w:after="0"/>
      </w:pPr>
      <w:r>
        <w:rPr>
          <w:rtl/>
        </w:rPr>
        <w:t>2. نظام الملكية الفكرية في تركيا</w:t>
      </w:r>
    </w:p>
    <w:p w:rsidR="00244B47" w:rsidRDefault="00523959" w:rsidP="009744FF">
      <w:pPr>
        <w:pStyle w:val="NumberedParaAR"/>
        <w:numPr>
          <w:ilvl w:val="0"/>
          <w:numId w:val="7"/>
        </w:numPr>
      </w:pPr>
      <w:r>
        <w:rPr>
          <w:rtl/>
        </w:rPr>
        <w:t>تتمتع تركيا بنظام ملكية فكرية يعمل عملاً جيداً بفضل تشريعاتها الحديثة، وهيئتها الإدارية، ومحاكمها المتخصصة في مجال الملكية الفكرية البالغ عددها 23 محكمة، وهيئات الإنفاذ (أي الشرطة والجمارك)، ونظام المحاماة المؤسسي (يضم نحو 1000 محامٍ مسجل في مجال الملكية الفكرية)، وغيرها من الأطراف المعنية.</w:t>
      </w:r>
      <w:r w:rsidR="000B4F16">
        <w:rPr>
          <w:rFonts w:hint="cs"/>
          <w:rtl/>
        </w:rPr>
        <w:t xml:space="preserve"> </w:t>
      </w:r>
      <w:r>
        <w:rPr>
          <w:rtl/>
        </w:rPr>
        <w:t>وتمتلك تركيا، بفضل نظام الملكية الفكرية المتطور والراسخ فيها، القدرة على أن تكون أكثر نشاطاً في المنطقة من خلال ال</w:t>
      </w:r>
      <w:r w:rsidR="00472093" w:rsidRPr="009744FF">
        <w:rPr>
          <w:rFonts w:hint="cs"/>
          <w:rtl/>
        </w:rPr>
        <w:t xml:space="preserve">مساهمة </w:t>
      </w:r>
      <w:r>
        <w:rPr>
          <w:rtl/>
        </w:rPr>
        <w:t>في تحسين نظام الملكية الفكرية.</w:t>
      </w:r>
      <w:r w:rsidR="00472093">
        <w:rPr>
          <w:rFonts w:hint="cs"/>
          <w:rtl/>
        </w:rPr>
        <w:t xml:space="preserve"> </w:t>
      </w:r>
      <w:r>
        <w:rPr>
          <w:rtl/>
        </w:rPr>
        <w:t xml:space="preserve">وتركيا بلد مرشح للانضمام إلى الاتحاد الأوروبي وتتماشى تشريعاته في مجال الملكية الفكرية مع </w:t>
      </w:r>
      <w:r w:rsidRPr="00F74D2A">
        <w:rPr>
          <w:rtl/>
        </w:rPr>
        <w:t>تشريعات الاتحاد الأوروبي</w:t>
      </w:r>
      <w:r>
        <w:rPr>
          <w:rtl/>
        </w:rPr>
        <w:t xml:space="preserve"> </w:t>
      </w:r>
      <w:proofErr w:type="spellStart"/>
      <w:r>
        <w:rPr>
          <w:rtl/>
        </w:rPr>
        <w:t>وتتواءم</w:t>
      </w:r>
      <w:proofErr w:type="spellEnd"/>
      <w:r>
        <w:rPr>
          <w:rtl/>
        </w:rPr>
        <w:t xml:space="preserve"> مع اتفاق </w:t>
      </w:r>
      <w:proofErr w:type="spellStart"/>
      <w:r>
        <w:rPr>
          <w:rtl/>
        </w:rPr>
        <w:t>تريبس</w:t>
      </w:r>
      <w:proofErr w:type="spellEnd"/>
      <w:r>
        <w:rPr>
          <w:rtl/>
        </w:rPr>
        <w:t xml:space="preserve"> لمنظمة التجارة العالمية.</w:t>
      </w:r>
      <w:r w:rsidR="00472093">
        <w:rPr>
          <w:rFonts w:hint="cs"/>
          <w:rtl/>
        </w:rPr>
        <w:t xml:space="preserve"> ومنذ انعقاد الجمعية العامة </w:t>
      </w:r>
      <w:proofErr w:type="spellStart"/>
      <w:r w:rsidR="00472093">
        <w:rPr>
          <w:rFonts w:hint="cs"/>
          <w:rtl/>
        </w:rPr>
        <w:t>للويبو</w:t>
      </w:r>
      <w:proofErr w:type="spellEnd"/>
      <w:r w:rsidR="00472093">
        <w:rPr>
          <w:rFonts w:hint="cs"/>
          <w:rtl/>
        </w:rPr>
        <w:t xml:space="preserve"> في أكتوبر 2016، </w:t>
      </w:r>
      <w:r w:rsidR="00F74D2A">
        <w:rPr>
          <w:rFonts w:hint="cs"/>
          <w:rtl/>
        </w:rPr>
        <w:t>شهد</w:t>
      </w:r>
      <w:r w:rsidR="00B64E6B">
        <w:rPr>
          <w:rFonts w:hint="cs"/>
          <w:rtl/>
        </w:rPr>
        <w:t xml:space="preserve"> المكتب التر</w:t>
      </w:r>
      <w:r w:rsidR="00F74D2A">
        <w:rPr>
          <w:rFonts w:hint="cs"/>
          <w:rtl/>
        </w:rPr>
        <w:t>كي للبراءات والعلامات التجارية تغييراً</w:t>
      </w:r>
      <w:r w:rsidR="00B64E6B">
        <w:rPr>
          <w:rFonts w:hint="cs"/>
          <w:rtl/>
        </w:rPr>
        <w:t xml:space="preserve"> هيكلي</w:t>
      </w:r>
      <w:r w:rsidR="00F74D2A">
        <w:rPr>
          <w:rFonts w:hint="cs"/>
          <w:rtl/>
        </w:rPr>
        <w:t>اً</w:t>
      </w:r>
      <w:r w:rsidR="00B64E6B">
        <w:rPr>
          <w:rFonts w:hint="cs"/>
          <w:rtl/>
        </w:rPr>
        <w:t xml:space="preserve">. فقد دخل "قانون الملكية الصناعية" الجديد حيز النفاذ في 10 يناير 2017 </w:t>
      </w:r>
      <w:r w:rsidR="002D0036">
        <w:rPr>
          <w:rFonts w:hint="cs"/>
          <w:rtl/>
        </w:rPr>
        <w:t>حيث</w:t>
      </w:r>
      <w:r w:rsidR="00681FA3">
        <w:t xml:space="preserve"> </w:t>
      </w:r>
      <w:r w:rsidR="00681FA3">
        <w:rPr>
          <w:rFonts w:hint="cs"/>
          <w:rtl/>
        </w:rPr>
        <w:t>نسخ ال</w:t>
      </w:r>
      <w:r w:rsidR="000F5FF0">
        <w:rPr>
          <w:rFonts w:hint="cs"/>
          <w:rtl/>
        </w:rPr>
        <w:t xml:space="preserve">تشريعات </w:t>
      </w:r>
      <w:r w:rsidR="00681FA3">
        <w:rPr>
          <w:rFonts w:hint="cs"/>
          <w:rtl/>
        </w:rPr>
        <w:lastRenderedPageBreak/>
        <w:t>السابقة المتعلقة ب</w:t>
      </w:r>
      <w:r w:rsidR="00E01C95">
        <w:rPr>
          <w:rFonts w:hint="cs"/>
          <w:rtl/>
        </w:rPr>
        <w:t xml:space="preserve">البراءات. أولا، تغير الاسم من </w:t>
      </w:r>
      <w:r w:rsidR="005A1416">
        <w:rPr>
          <w:rFonts w:hint="cs"/>
          <w:rtl/>
        </w:rPr>
        <w:t>م</w:t>
      </w:r>
      <w:r w:rsidR="00E01C95">
        <w:rPr>
          <w:rFonts w:hint="cs"/>
          <w:rtl/>
        </w:rPr>
        <w:t>عهد البراءات التركي إلى "المكتب التركي للبراءات والعلامات التجارية"</w:t>
      </w:r>
      <w:r w:rsidR="004205E4">
        <w:rPr>
          <w:rFonts w:hint="cs"/>
          <w:rtl/>
        </w:rPr>
        <w:t xml:space="preserve">. ثانياً، ستتحسن قدرة المكتب المؤسسية بتوظيف </w:t>
      </w:r>
      <w:r w:rsidR="00197877">
        <w:rPr>
          <w:rFonts w:hint="cs"/>
          <w:rtl/>
        </w:rPr>
        <w:t xml:space="preserve">50 </w:t>
      </w:r>
      <w:r w:rsidR="00E82100">
        <w:rPr>
          <w:rtl/>
        </w:rPr>
        <w:t>فاحص براءات جديد</w:t>
      </w:r>
      <w:r w:rsidR="00522CAF">
        <w:rPr>
          <w:rFonts w:hint="cs"/>
          <w:rtl/>
        </w:rPr>
        <w:t xml:space="preserve">اً </w:t>
      </w:r>
      <w:r w:rsidR="00E82100">
        <w:rPr>
          <w:rFonts w:hint="cs"/>
          <w:rtl/>
        </w:rPr>
        <w:t>ل</w:t>
      </w:r>
      <w:r w:rsidR="00197877">
        <w:rPr>
          <w:rFonts w:hint="cs"/>
          <w:rtl/>
        </w:rPr>
        <w:t xml:space="preserve">تعزيز </w:t>
      </w:r>
      <w:r w:rsidR="00455DEB">
        <w:rPr>
          <w:rFonts w:hint="cs"/>
          <w:rtl/>
        </w:rPr>
        <w:t>ال</w:t>
      </w:r>
      <w:r w:rsidR="00E82100">
        <w:rPr>
          <w:rFonts w:hint="cs"/>
          <w:rtl/>
        </w:rPr>
        <w:t xml:space="preserve">كفاءة </w:t>
      </w:r>
      <w:r w:rsidR="00455DEB">
        <w:rPr>
          <w:rFonts w:hint="cs"/>
          <w:rtl/>
        </w:rPr>
        <w:t xml:space="preserve">وفق </w:t>
      </w:r>
      <w:r w:rsidR="005B4B57">
        <w:rPr>
          <w:rFonts w:hint="cs"/>
          <w:rtl/>
        </w:rPr>
        <w:t xml:space="preserve">الهدف الذي نسعى إليه لنصبح مكتباً ريادياً في المنطقة ونضطلع بدورنا </w:t>
      </w:r>
      <w:r w:rsidR="005A1416">
        <w:rPr>
          <w:rFonts w:hint="cs"/>
          <w:rtl/>
        </w:rPr>
        <w:t xml:space="preserve">كهمزة </w:t>
      </w:r>
      <w:r w:rsidR="00C53EF1">
        <w:rPr>
          <w:rFonts w:hint="cs"/>
          <w:rtl/>
        </w:rPr>
        <w:t>وصل لنقل المعارف والمعلومات في مجال الملكية الفكرية بين أوروبا وآسيا</w:t>
      </w:r>
      <w:r w:rsidR="00E82100">
        <w:rPr>
          <w:rFonts w:hint="cs"/>
          <w:rtl/>
        </w:rPr>
        <w:t xml:space="preserve">. </w:t>
      </w:r>
      <w:r w:rsidR="00DD6218">
        <w:rPr>
          <w:rFonts w:hint="cs"/>
          <w:rtl/>
        </w:rPr>
        <w:t>و</w:t>
      </w:r>
      <w:r w:rsidR="00522CAF">
        <w:rPr>
          <w:rFonts w:hint="cs"/>
          <w:rtl/>
        </w:rPr>
        <w:t xml:space="preserve">في الوقت الحالي، </w:t>
      </w:r>
      <w:r w:rsidR="00854DF6">
        <w:rPr>
          <w:rFonts w:hint="cs"/>
          <w:rtl/>
        </w:rPr>
        <w:t xml:space="preserve">اختُصرت فترة </w:t>
      </w:r>
      <w:r w:rsidR="00E82100">
        <w:rPr>
          <w:rtl/>
        </w:rPr>
        <w:t>منح البراءات</w:t>
      </w:r>
      <w:r w:rsidR="00522CAF">
        <w:rPr>
          <w:rFonts w:hint="cs"/>
          <w:rtl/>
        </w:rPr>
        <w:t xml:space="preserve"> وبس</w:t>
      </w:r>
      <w:r w:rsidR="0085416D">
        <w:rPr>
          <w:rFonts w:hint="cs"/>
          <w:rtl/>
        </w:rPr>
        <w:t>ّ</w:t>
      </w:r>
      <w:r w:rsidR="00522CAF">
        <w:rPr>
          <w:rFonts w:hint="cs"/>
          <w:rtl/>
        </w:rPr>
        <w:t>طت إجراءاتها</w:t>
      </w:r>
      <w:r w:rsidR="00DD6218">
        <w:rPr>
          <w:rFonts w:hint="cs"/>
          <w:rtl/>
        </w:rPr>
        <w:t xml:space="preserve">. </w:t>
      </w:r>
      <w:r w:rsidR="00E82100">
        <w:rPr>
          <w:rtl/>
        </w:rPr>
        <w:t xml:space="preserve">وأدرجت إجراءات الاعتراض اللاحقة لمنح البراءة بغية </w:t>
      </w:r>
      <w:r w:rsidR="00854DF6">
        <w:rPr>
          <w:rFonts w:hint="cs"/>
          <w:rtl/>
        </w:rPr>
        <w:t>جعل نظام البراءات أكثر موثوقية</w:t>
      </w:r>
      <w:r w:rsidR="00E82100">
        <w:rPr>
          <w:rtl/>
        </w:rPr>
        <w:t>.</w:t>
      </w:r>
      <w:r w:rsidR="002D120E">
        <w:rPr>
          <w:rFonts w:hint="cs"/>
          <w:rtl/>
        </w:rPr>
        <w:t xml:space="preserve"> وأ</w:t>
      </w:r>
      <w:r w:rsidR="0085416D">
        <w:rPr>
          <w:rFonts w:hint="cs"/>
          <w:rtl/>
        </w:rPr>
        <w:t>لغي</w:t>
      </w:r>
      <w:r w:rsidR="00854DF6">
        <w:rPr>
          <w:rFonts w:hint="cs"/>
          <w:rtl/>
        </w:rPr>
        <w:t xml:space="preserve"> نظام الإجراءات المتعلقة ب</w:t>
      </w:r>
      <w:r w:rsidR="00426F37">
        <w:rPr>
          <w:rFonts w:hint="cs"/>
          <w:rtl/>
        </w:rPr>
        <w:t>البراءات</w:t>
      </w:r>
      <w:r w:rsidR="00854DF6">
        <w:rPr>
          <w:rFonts w:hint="cs"/>
          <w:rtl/>
        </w:rPr>
        <w:t xml:space="preserve"> غير الخاضعة ل</w:t>
      </w:r>
      <w:r w:rsidR="00426F37">
        <w:rPr>
          <w:rFonts w:hint="cs"/>
          <w:rtl/>
        </w:rPr>
        <w:t>لفحص، وكذلك فيما يخص نماذج المنفعة</w:t>
      </w:r>
      <w:r w:rsidR="00854DF6">
        <w:rPr>
          <w:rFonts w:hint="cs"/>
          <w:rtl/>
        </w:rPr>
        <w:t xml:space="preserve"> حيث </w:t>
      </w:r>
      <w:r w:rsidR="00426F37">
        <w:rPr>
          <w:rFonts w:hint="cs"/>
          <w:rtl/>
        </w:rPr>
        <w:t>أضح</w:t>
      </w:r>
      <w:r w:rsidR="00854DF6">
        <w:rPr>
          <w:rFonts w:hint="cs"/>
          <w:rtl/>
        </w:rPr>
        <w:t xml:space="preserve">ى إعداد </w:t>
      </w:r>
      <w:r w:rsidR="00426F37">
        <w:rPr>
          <w:rFonts w:hint="cs"/>
          <w:rtl/>
        </w:rPr>
        <w:t xml:space="preserve">تقارير البحث حالياً </w:t>
      </w:r>
      <w:r w:rsidR="005D2573">
        <w:rPr>
          <w:rFonts w:hint="cs"/>
          <w:rtl/>
        </w:rPr>
        <w:t>من الشروط المطلوبة</w:t>
      </w:r>
      <w:r w:rsidR="0085416D">
        <w:rPr>
          <w:rFonts w:hint="cs"/>
          <w:rtl/>
        </w:rPr>
        <w:t xml:space="preserve"> سعياً إلى ج</w:t>
      </w:r>
      <w:r w:rsidR="00854DF6">
        <w:rPr>
          <w:rFonts w:hint="cs"/>
          <w:rtl/>
        </w:rPr>
        <w:t>عل النظام أكثر متانة. كما أدر</w:t>
      </w:r>
      <w:r w:rsidR="005D2573">
        <w:rPr>
          <w:rFonts w:hint="cs"/>
          <w:rtl/>
        </w:rPr>
        <w:t>ج مفهوم "</w:t>
      </w:r>
      <w:r w:rsidR="00E82100">
        <w:rPr>
          <w:rtl/>
        </w:rPr>
        <w:t>ردّ الحقوق</w:t>
      </w:r>
      <w:r w:rsidR="005D2573">
        <w:rPr>
          <w:rFonts w:hint="cs"/>
          <w:rtl/>
        </w:rPr>
        <w:t xml:space="preserve">" في القانون الجديد. </w:t>
      </w:r>
      <w:r w:rsidR="00E82100">
        <w:rPr>
          <w:rtl/>
        </w:rPr>
        <w:t>وأعطيت ملكية الاختراعات التي تنتجها الجامعات إلى الجامعات نفسها بدلا من الأكاديميين، مع ضمان حصول الأكاديميين</w:t>
      </w:r>
      <w:r w:rsidR="00854DF6">
        <w:rPr>
          <w:rFonts w:hint="cs"/>
          <w:rtl/>
        </w:rPr>
        <w:t xml:space="preserve"> على</w:t>
      </w:r>
      <w:r w:rsidR="00E82100">
        <w:rPr>
          <w:rtl/>
        </w:rPr>
        <w:t xml:space="preserve"> ما لا يقل عن 30 </w:t>
      </w:r>
      <w:r w:rsidR="000D6B12">
        <w:rPr>
          <w:rFonts w:hint="cs"/>
          <w:rtl/>
        </w:rPr>
        <w:t xml:space="preserve">بالمئة </w:t>
      </w:r>
      <w:r w:rsidR="00E82100">
        <w:rPr>
          <w:rtl/>
        </w:rPr>
        <w:t>من الدخل المولّد من تسويق الاختراع.</w:t>
      </w:r>
      <w:r w:rsidR="005D2573">
        <w:rPr>
          <w:rFonts w:hint="cs"/>
          <w:rtl/>
        </w:rPr>
        <w:t xml:space="preserve"> وخول للمؤسسات العامة حق </w:t>
      </w:r>
      <w:r w:rsidR="00E82100">
        <w:rPr>
          <w:rtl/>
        </w:rPr>
        <w:t xml:space="preserve">استخدام الاختراعات التي تمولها الدولة </w:t>
      </w:r>
      <w:r w:rsidR="00244B47">
        <w:rPr>
          <w:rFonts w:hint="cs"/>
          <w:rtl/>
        </w:rPr>
        <w:t xml:space="preserve">لتلبية احتياجاتها دون أداء أي </w:t>
      </w:r>
      <w:r w:rsidR="004A1FDB">
        <w:rPr>
          <w:rFonts w:hint="cs"/>
          <w:rtl/>
        </w:rPr>
        <w:t>إ</w:t>
      </w:r>
      <w:r w:rsidR="00244B47">
        <w:rPr>
          <w:rFonts w:hint="cs"/>
          <w:rtl/>
        </w:rPr>
        <w:t>تاوات وفق بعض الشروط</w:t>
      </w:r>
      <w:r w:rsidR="00E82100">
        <w:rPr>
          <w:rtl/>
        </w:rPr>
        <w:t>.</w:t>
      </w:r>
    </w:p>
    <w:p w:rsidR="00244B47" w:rsidRDefault="00523959" w:rsidP="009744FF">
      <w:pPr>
        <w:pStyle w:val="NumberedParaAR"/>
        <w:numPr>
          <w:ilvl w:val="0"/>
          <w:numId w:val="7"/>
        </w:numPr>
      </w:pPr>
      <w:r>
        <w:rPr>
          <w:rtl/>
        </w:rPr>
        <w:t>وفيما يخص الأداء الاقتصادي، شهد نظام الملكية الفكرية في تركيا تطوراً كبيراً على مدى السنوات الخمس عشرة الماضية.</w:t>
      </w:r>
      <w:r w:rsidR="00244B47">
        <w:rPr>
          <w:rFonts w:hint="cs"/>
          <w:rtl/>
        </w:rPr>
        <w:t xml:space="preserve"> </w:t>
      </w:r>
      <w:r>
        <w:rPr>
          <w:rtl/>
        </w:rPr>
        <w:t xml:space="preserve">ووفقاً لمؤشرات الملكية الفكرية التي نشرتها </w:t>
      </w:r>
      <w:proofErr w:type="spellStart"/>
      <w:r>
        <w:rPr>
          <w:rtl/>
        </w:rPr>
        <w:t>الويبو</w:t>
      </w:r>
      <w:proofErr w:type="spellEnd"/>
      <w:r>
        <w:rPr>
          <w:rtl/>
        </w:rPr>
        <w:t xml:space="preserve">، </w:t>
      </w:r>
      <w:r w:rsidR="00854DF6">
        <w:rPr>
          <w:rFonts w:hint="cs"/>
          <w:rtl/>
        </w:rPr>
        <w:t xml:space="preserve">حلت </w:t>
      </w:r>
      <w:r>
        <w:rPr>
          <w:rtl/>
        </w:rPr>
        <w:t xml:space="preserve">تركيا </w:t>
      </w:r>
      <w:r w:rsidR="00854DF6">
        <w:rPr>
          <w:rFonts w:hint="cs"/>
          <w:rtl/>
        </w:rPr>
        <w:t xml:space="preserve">في </w:t>
      </w:r>
      <w:r>
        <w:rPr>
          <w:rtl/>
        </w:rPr>
        <w:t>المرتبة الرابعة من حيث إيداع المقيمين فيها للتصاميم الصناعية و</w:t>
      </w:r>
      <w:r w:rsidR="00854DF6">
        <w:rPr>
          <w:rFonts w:hint="cs"/>
          <w:rtl/>
        </w:rPr>
        <w:t xml:space="preserve">في </w:t>
      </w:r>
      <w:r>
        <w:rPr>
          <w:rtl/>
        </w:rPr>
        <w:t>المرتبة السادسة من حيث إيداع المقيمين للعلامات التجارية.</w:t>
      </w:r>
      <w:r w:rsidR="00244B47">
        <w:rPr>
          <w:rFonts w:hint="cs"/>
          <w:rtl/>
        </w:rPr>
        <w:t xml:space="preserve"> </w:t>
      </w:r>
      <w:r>
        <w:rPr>
          <w:rtl/>
        </w:rPr>
        <w:t xml:space="preserve">وفضلاً عن ذلك، </w:t>
      </w:r>
      <w:r w:rsidR="00854DF6">
        <w:rPr>
          <w:rFonts w:hint="cs"/>
          <w:rtl/>
        </w:rPr>
        <w:t xml:space="preserve">ازداد عدد </w:t>
      </w:r>
      <w:r>
        <w:rPr>
          <w:rtl/>
        </w:rPr>
        <w:t xml:space="preserve">طلبات البراءات للمقيمين </w:t>
      </w:r>
      <w:r w:rsidR="00854DF6">
        <w:rPr>
          <w:rFonts w:hint="cs"/>
          <w:rtl/>
        </w:rPr>
        <w:t xml:space="preserve">بحوالي </w:t>
      </w:r>
      <w:r>
        <w:rPr>
          <w:rtl/>
        </w:rPr>
        <w:t>20 ضعفاً على مدى السنوات الخمس عشرة الماضية، وارت</w:t>
      </w:r>
      <w:r w:rsidR="00244B47">
        <w:rPr>
          <w:rFonts w:hint="cs"/>
          <w:rtl/>
        </w:rPr>
        <w:t xml:space="preserve">قت </w:t>
      </w:r>
      <w:r>
        <w:rPr>
          <w:rtl/>
        </w:rPr>
        <w:t>تركيا من المرتبة الخامسة والأربعين إلى المرتبة الخامسة عشرة خلال هذه الفترة.</w:t>
      </w:r>
    </w:p>
    <w:p w:rsidR="001B635E" w:rsidRDefault="00523959" w:rsidP="009744FF">
      <w:pPr>
        <w:pStyle w:val="NumberedParaAR"/>
        <w:numPr>
          <w:ilvl w:val="0"/>
          <w:numId w:val="7"/>
        </w:numPr>
      </w:pPr>
      <w:r>
        <w:rPr>
          <w:rtl/>
        </w:rPr>
        <w:t xml:space="preserve">وتركيا دولة متعاقدة في معاهدة التعاون بشأن البراءات منذ 1 يناير 1996 ويعمل </w:t>
      </w:r>
      <w:r w:rsidR="000E2264">
        <w:rPr>
          <w:rFonts w:hint="cs"/>
          <w:rtl/>
        </w:rPr>
        <w:t xml:space="preserve">المكتب التركي للبراءات والعلامات التجارية </w:t>
      </w:r>
      <w:r>
        <w:rPr>
          <w:rtl/>
        </w:rPr>
        <w:t>كمكتب لتلقي البراءات بناء على المعاهدة.</w:t>
      </w:r>
      <w:r w:rsidR="001B635E">
        <w:rPr>
          <w:rFonts w:hint="cs"/>
          <w:rtl/>
        </w:rPr>
        <w:t xml:space="preserve"> </w:t>
      </w:r>
      <w:r>
        <w:rPr>
          <w:rtl/>
        </w:rPr>
        <w:t xml:space="preserve">وتضاعف عدد طلبات البراءات الواردة من تركيا أكثر من عشر مرات على مدى السنوات الخمس عشرة الماضية حتى بلغ </w:t>
      </w:r>
      <w:r w:rsidR="001B635E">
        <w:rPr>
          <w:rFonts w:hint="cs"/>
          <w:rtl/>
        </w:rPr>
        <w:t xml:space="preserve">1016 </w:t>
      </w:r>
      <w:r>
        <w:rPr>
          <w:rtl/>
        </w:rPr>
        <w:t>طلب</w:t>
      </w:r>
      <w:r w:rsidR="001B635E">
        <w:rPr>
          <w:rFonts w:hint="cs"/>
          <w:rtl/>
        </w:rPr>
        <w:t>اً</w:t>
      </w:r>
      <w:r>
        <w:rPr>
          <w:rtl/>
        </w:rPr>
        <w:t xml:space="preserve"> في عام 201</w:t>
      </w:r>
      <w:r w:rsidR="001B635E">
        <w:rPr>
          <w:rFonts w:hint="cs"/>
          <w:rtl/>
        </w:rPr>
        <w:t>5</w:t>
      </w:r>
      <w:r>
        <w:rPr>
          <w:rtl/>
        </w:rPr>
        <w:t>.</w:t>
      </w:r>
    </w:p>
    <w:p w:rsidR="00523959" w:rsidRDefault="001B635E" w:rsidP="009744FF">
      <w:pPr>
        <w:pStyle w:val="NumberedParaAR"/>
        <w:numPr>
          <w:ilvl w:val="0"/>
          <w:numId w:val="7"/>
        </w:numPr>
      </w:pPr>
      <w:r>
        <w:rPr>
          <w:rtl/>
        </w:rPr>
        <w:t>و</w:t>
      </w:r>
      <w:r>
        <w:rPr>
          <w:rFonts w:hint="cs"/>
          <w:rtl/>
        </w:rPr>
        <w:t>إ</w:t>
      </w:r>
      <w:r w:rsidR="00523959">
        <w:rPr>
          <w:rtl/>
        </w:rPr>
        <w:t xml:space="preserve">ضافة إلى نمو </w:t>
      </w:r>
      <w:r>
        <w:rPr>
          <w:rtl/>
        </w:rPr>
        <w:t xml:space="preserve">إيداعات الملكية الفكرية، شهدت </w:t>
      </w:r>
      <w:r w:rsidR="00523959">
        <w:rPr>
          <w:rtl/>
        </w:rPr>
        <w:t>قدرات</w:t>
      </w:r>
      <w:r>
        <w:rPr>
          <w:rFonts w:hint="cs"/>
          <w:rtl/>
        </w:rPr>
        <w:t xml:space="preserve"> المكتب</w:t>
      </w:r>
      <w:r w:rsidR="00523959">
        <w:rPr>
          <w:rtl/>
        </w:rPr>
        <w:t xml:space="preserve"> المؤسسية وغيرها من عناصر نظام الملكية الفكرية تحسناً ملحوظاً في تركيا.</w:t>
      </w:r>
      <w:r>
        <w:rPr>
          <w:rFonts w:hint="cs"/>
          <w:rtl/>
        </w:rPr>
        <w:t xml:space="preserve"> </w:t>
      </w:r>
      <w:r w:rsidR="00523959">
        <w:rPr>
          <w:rtl/>
        </w:rPr>
        <w:t>وأدت التطورات الحديثة في نظام الملكية الفكرية وزيادة عدد إيداعات الملكية الفكرية إلى زيادة الطلب على خدمات عالية الجودة ومناسبة في مجال الملكية الفكرية ولا سيما على مرافق منح البراءات.</w:t>
      </w:r>
      <w:r w:rsidR="006C09B5">
        <w:rPr>
          <w:rFonts w:hint="cs"/>
          <w:rtl/>
        </w:rPr>
        <w:t xml:space="preserve"> </w:t>
      </w:r>
      <w:r w:rsidR="00523959">
        <w:rPr>
          <w:rtl/>
        </w:rPr>
        <w:t>وكانت احتياجات المستخدمين المحليين القوة الدافعة الرئيسية لجهود تحديث الم</w:t>
      </w:r>
      <w:r w:rsidR="005A48BE">
        <w:rPr>
          <w:rFonts w:hint="cs"/>
          <w:rtl/>
        </w:rPr>
        <w:t>كتب</w:t>
      </w:r>
      <w:r w:rsidR="00523959">
        <w:rPr>
          <w:rtl/>
        </w:rPr>
        <w:t>، وأنشأ الم</w:t>
      </w:r>
      <w:r w:rsidR="005A48BE">
        <w:rPr>
          <w:rFonts w:hint="cs"/>
          <w:rtl/>
        </w:rPr>
        <w:t xml:space="preserve">كتب </w:t>
      </w:r>
      <w:r w:rsidR="00523959">
        <w:rPr>
          <w:rtl/>
        </w:rPr>
        <w:t>بنية مؤسسية متطورة ومزودة بأدوات حديثة للحفاظ على أدائه استناداً إلى آراء مستخدميه.</w:t>
      </w:r>
    </w:p>
    <w:p w:rsidR="00523959" w:rsidRDefault="00523959" w:rsidP="009744FF">
      <w:pPr>
        <w:pStyle w:val="Heading2"/>
        <w:spacing w:after="0"/>
      </w:pPr>
      <w:r>
        <w:rPr>
          <w:rtl/>
        </w:rPr>
        <w:t>3. سياسات الابتكار واستراتيجيات الملكية الفكرية</w:t>
      </w:r>
    </w:p>
    <w:p w:rsidR="005A48BE" w:rsidRDefault="00523959" w:rsidP="009744FF">
      <w:pPr>
        <w:pStyle w:val="NumberedParaAR"/>
        <w:numPr>
          <w:ilvl w:val="0"/>
          <w:numId w:val="7"/>
        </w:numPr>
      </w:pPr>
      <w:r>
        <w:rPr>
          <w:rtl/>
        </w:rPr>
        <w:t>يتولى المجلس الأعلى للعلوم والتكنولوجيا، برئاسة رئيس وزراء تركيا، وضع سياسات الابتكار على أعلى مستوى سياسي.</w:t>
      </w:r>
      <w:r w:rsidR="005A48BE">
        <w:rPr>
          <w:rFonts w:hint="cs"/>
          <w:rtl/>
        </w:rPr>
        <w:t xml:space="preserve"> </w:t>
      </w:r>
      <w:r w:rsidR="005A48BE">
        <w:rPr>
          <w:rtl/>
        </w:rPr>
        <w:t>وقد اعتم</w:t>
      </w:r>
      <w:r w:rsidR="005A48BE">
        <w:rPr>
          <w:rFonts w:hint="cs"/>
          <w:rtl/>
        </w:rPr>
        <w:t>د</w:t>
      </w:r>
      <w:r w:rsidR="005A48BE" w:rsidRPr="005A48BE">
        <w:rPr>
          <w:rtl/>
        </w:rPr>
        <w:t xml:space="preserve"> </w:t>
      </w:r>
      <w:r w:rsidR="005A48BE">
        <w:rPr>
          <w:rtl/>
        </w:rPr>
        <w:t>المجلس الأعلى للعلوم والتكنولوجيا</w:t>
      </w:r>
      <w:r>
        <w:rPr>
          <w:rtl/>
        </w:rPr>
        <w:t xml:space="preserve"> الاستراتيجية الوطنية للعلوم والتكنولوجيا والابتكار</w:t>
      </w:r>
      <w:r w:rsidR="005A48BE">
        <w:rPr>
          <w:rFonts w:hint="cs"/>
          <w:rtl/>
        </w:rPr>
        <w:t>.</w:t>
      </w:r>
    </w:p>
    <w:p w:rsidR="0029509F" w:rsidRDefault="00523959" w:rsidP="009744FF">
      <w:pPr>
        <w:pStyle w:val="NumberedParaAR"/>
        <w:numPr>
          <w:ilvl w:val="0"/>
          <w:numId w:val="7"/>
        </w:numPr>
      </w:pPr>
      <w:r>
        <w:rPr>
          <w:rtl/>
        </w:rPr>
        <w:t>وتهدف الاستراتيجية الوطنية للعلوم والتكنولوجيا والابتكار إلى ال</w:t>
      </w:r>
      <w:r w:rsidR="005A48BE">
        <w:rPr>
          <w:rFonts w:hint="cs"/>
          <w:rtl/>
        </w:rPr>
        <w:t xml:space="preserve">مساهمة </w:t>
      </w:r>
      <w:r>
        <w:rPr>
          <w:rtl/>
        </w:rPr>
        <w:t>في توليد معارف جديدة واستحداث تكنولوجيات ابتكارية للارتقاء بمستوى المعيشة من خلال تحويل المعارف إلى منتجات وعمليات وخدمات لصالح البلد</w:t>
      </w:r>
      <w:r w:rsidR="005A48BE">
        <w:rPr>
          <w:rFonts w:hint="cs"/>
          <w:rtl/>
        </w:rPr>
        <w:t xml:space="preserve"> و</w:t>
      </w:r>
      <w:r>
        <w:rPr>
          <w:rtl/>
        </w:rPr>
        <w:t>الإنسانية جمعاء.</w:t>
      </w:r>
    </w:p>
    <w:p w:rsidR="00B11127" w:rsidRDefault="0029509F" w:rsidP="009744FF">
      <w:pPr>
        <w:pStyle w:val="NumberedParaAR"/>
        <w:numPr>
          <w:ilvl w:val="0"/>
          <w:numId w:val="7"/>
        </w:numPr>
      </w:pPr>
      <w:r>
        <w:rPr>
          <w:rFonts w:hint="cs"/>
          <w:rtl/>
        </w:rPr>
        <w:t>و</w:t>
      </w:r>
      <w:r>
        <w:rPr>
          <w:rtl/>
        </w:rPr>
        <w:t>تماشيا</w:t>
      </w:r>
      <w:r>
        <w:rPr>
          <w:rFonts w:hint="cs"/>
          <w:rtl/>
        </w:rPr>
        <w:t>ً</w:t>
      </w:r>
      <w:r>
        <w:rPr>
          <w:rtl/>
        </w:rPr>
        <w:t xml:space="preserve"> مع سياسة الابتكار،</w:t>
      </w:r>
      <w:r w:rsidR="00854DF6">
        <w:rPr>
          <w:rFonts w:hint="cs"/>
          <w:rtl/>
        </w:rPr>
        <w:t xml:space="preserve"> اعتمد </w:t>
      </w:r>
      <w:r>
        <w:rPr>
          <w:rtl/>
        </w:rPr>
        <w:t>المجلس الأعلى للتخطيط التركي بقيادة رئيس الوزراء</w:t>
      </w:r>
      <w:r w:rsidR="009744FF">
        <w:rPr>
          <w:rFonts w:hint="cs"/>
          <w:rtl/>
        </w:rPr>
        <w:t xml:space="preserve"> </w:t>
      </w:r>
      <w:r w:rsidR="00B11127">
        <w:rPr>
          <w:rtl/>
        </w:rPr>
        <w:t>"الاستراتيجية الوطنية ل</w:t>
      </w:r>
      <w:r w:rsidR="00854DF6">
        <w:rPr>
          <w:rFonts w:hint="cs"/>
          <w:rtl/>
        </w:rPr>
        <w:t>حقوق ا</w:t>
      </w:r>
      <w:r w:rsidR="00B11127">
        <w:rPr>
          <w:rtl/>
        </w:rPr>
        <w:t xml:space="preserve">لملكية الفكرية وخطة </w:t>
      </w:r>
      <w:r w:rsidR="00854DF6">
        <w:rPr>
          <w:rFonts w:hint="cs"/>
          <w:rtl/>
        </w:rPr>
        <w:t>ال</w:t>
      </w:r>
      <w:r w:rsidR="00854DF6">
        <w:rPr>
          <w:rtl/>
        </w:rPr>
        <w:t>عمل</w:t>
      </w:r>
      <w:r w:rsidR="00B11127">
        <w:rPr>
          <w:rtl/>
        </w:rPr>
        <w:t xml:space="preserve"> للفترة 2015-2018".</w:t>
      </w:r>
      <w:r w:rsidR="00B11127">
        <w:rPr>
          <w:rFonts w:hint="cs"/>
          <w:rtl/>
        </w:rPr>
        <w:t xml:space="preserve"> </w:t>
      </w:r>
      <w:r>
        <w:rPr>
          <w:rtl/>
        </w:rPr>
        <w:t>والهدف ال</w:t>
      </w:r>
      <w:r w:rsidR="00B11127">
        <w:rPr>
          <w:rFonts w:hint="cs"/>
          <w:rtl/>
        </w:rPr>
        <w:t xml:space="preserve">أساسي </w:t>
      </w:r>
      <w:r>
        <w:rPr>
          <w:rtl/>
        </w:rPr>
        <w:t>من هذه الاستراتيجية هو المساهمة في عملية تنمية حقوق الملكية الفكرية والمنتجات ذات الصلة وحماية واستخدام حقوق ال</w:t>
      </w:r>
      <w:r w:rsidR="00B11127">
        <w:rPr>
          <w:rtl/>
        </w:rPr>
        <w:t xml:space="preserve">ملكية الفكرية عن طريق نظام </w:t>
      </w:r>
      <w:r w:rsidR="00B11127">
        <w:rPr>
          <w:rFonts w:hint="cs"/>
          <w:rtl/>
        </w:rPr>
        <w:t>ف</w:t>
      </w:r>
      <w:r w:rsidR="00B11127">
        <w:rPr>
          <w:rtl/>
        </w:rPr>
        <w:t>عال وشامل لحقوق الملكية الفكرية يعتمده المجتمع.</w:t>
      </w:r>
    </w:p>
    <w:p w:rsidR="00523959" w:rsidRDefault="00523959" w:rsidP="009744FF">
      <w:pPr>
        <w:pStyle w:val="NumberedParaAR"/>
        <w:keepNext/>
        <w:numPr>
          <w:ilvl w:val="0"/>
          <w:numId w:val="7"/>
        </w:numPr>
      </w:pPr>
      <w:r>
        <w:rPr>
          <w:rtl/>
        </w:rPr>
        <w:lastRenderedPageBreak/>
        <w:t>وفيما يلي الغايات المحددة في الاستراتيجية:</w:t>
      </w:r>
    </w:p>
    <w:p w:rsidR="00523959" w:rsidRDefault="00523959" w:rsidP="009744FF">
      <w:pPr>
        <w:pStyle w:val="NormalParaAR"/>
        <w:numPr>
          <w:ilvl w:val="0"/>
          <w:numId w:val="8"/>
        </w:numPr>
        <w:ind w:left="850" w:hanging="284"/>
      </w:pPr>
      <w:r>
        <w:rPr>
          <w:rtl/>
        </w:rPr>
        <w:t>تنفيذ حقوق الملكية الفكرية تنفيذاً فعالاً من خلال تحسين التشريعات والممارسات، بما يتماشى مع احتياجات البلد؛</w:t>
      </w:r>
    </w:p>
    <w:p w:rsidR="00523959" w:rsidRDefault="00523959" w:rsidP="009744FF">
      <w:pPr>
        <w:pStyle w:val="NormalParaAR"/>
        <w:numPr>
          <w:ilvl w:val="0"/>
          <w:numId w:val="8"/>
        </w:numPr>
        <w:ind w:left="850" w:hanging="284"/>
      </w:pPr>
      <w:r>
        <w:rPr>
          <w:rtl/>
        </w:rPr>
        <w:t>حماية ومراقبة حقوق الملكية الفكرية بفعالية، وبناء قدرات مؤسسية وبشرية كافية في الإدارات المعنية وبخاصة القضاء والجمارك والشرطة؛</w:t>
      </w:r>
    </w:p>
    <w:p w:rsidR="00523959" w:rsidRDefault="00523959" w:rsidP="009744FF">
      <w:pPr>
        <w:pStyle w:val="NormalParaAR"/>
        <w:numPr>
          <w:ilvl w:val="0"/>
          <w:numId w:val="8"/>
        </w:numPr>
        <w:ind w:left="850" w:hanging="284"/>
      </w:pPr>
      <w:r>
        <w:rPr>
          <w:rtl/>
        </w:rPr>
        <w:t>تعزيز فعالية آليات تسويق الملكية الفكرية م</w:t>
      </w:r>
      <w:r w:rsidR="00B11127">
        <w:rPr>
          <w:rtl/>
        </w:rPr>
        <w:t>ن حيث إدراك السوق لقيمة التحويل</w:t>
      </w:r>
      <w:r w:rsidR="003F2913">
        <w:rPr>
          <w:rtl/>
        </w:rPr>
        <w:t xml:space="preserve"> وتحسين البن</w:t>
      </w:r>
      <w:r w:rsidR="003F2913">
        <w:rPr>
          <w:rFonts w:hint="cs"/>
          <w:rtl/>
        </w:rPr>
        <w:t>ى</w:t>
      </w:r>
      <w:r>
        <w:rPr>
          <w:rtl/>
        </w:rPr>
        <w:t xml:space="preserve"> التحتية؛</w:t>
      </w:r>
    </w:p>
    <w:p w:rsidR="00523959" w:rsidRDefault="00B11127" w:rsidP="009744FF">
      <w:pPr>
        <w:pStyle w:val="NormalParaAR"/>
        <w:numPr>
          <w:ilvl w:val="0"/>
          <w:numId w:val="8"/>
        </w:numPr>
        <w:ind w:left="850" w:hanging="284"/>
      </w:pPr>
      <w:r>
        <w:rPr>
          <w:rtl/>
        </w:rPr>
        <w:t>إ</w:t>
      </w:r>
      <w:r>
        <w:rPr>
          <w:rFonts w:hint="cs"/>
          <w:rtl/>
        </w:rPr>
        <w:t>ذ</w:t>
      </w:r>
      <w:r w:rsidR="00523959">
        <w:rPr>
          <w:rtl/>
        </w:rPr>
        <w:t>كاء الوعي العام بنظام حقوق الملكية الفكرية بغية ال</w:t>
      </w:r>
      <w:r w:rsidR="00765A11">
        <w:rPr>
          <w:rFonts w:hint="cs"/>
          <w:rtl/>
        </w:rPr>
        <w:t xml:space="preserve">مساهمة </w:t>
      </w:r>
      <w:r w:rsidR="00523959">
        <w:rPr>
          <w:rtl/>
        </w:rPr>
        <w:t>في إقامة مجتمع معرفة أكثر احتراماً لهذه الحقوق.</w:t>
      </w:r>
    </w:p>
    <w:p w:rsidR="009815DD" w:rsidRDefault="00765A11" w:rsidP="009744FF">
      <w:pPr>
        <w:pStyle w:val="NumberedParaAR"/>
        <w:numPr>
          <w:ilvl w:val="0"/>
          <w:numId w:val="7"/>
        </w:numPr>
      </w:pPr>
      <w:r>
        <w:rPr>
          <w:rtl/>
        </w:rPr>
        <w:t>و</w:t>
      </w:r>
      <w:r>
        <w:rPr>
          <w:rFonts w:hint="cs"/>
          <w:rtl/>
        </w:rPr>
        <w:t>إ</w:t>
      </w:r>
      <w:r w:rsidR="00523959">
        <w:rPr>
          <w:rtl/>
        </w:rPr>
        <w:t xml:space="preserve">ضافة إلى البنية المؤسسية المتطورة </w:t>
      </w:r>
      <w:r w:rsidR="00327289">
        <w:rPr>
          <w:rFonts w:hint="cs"/>
          <w:rtl/>
        </w:rPr>
        <w:t>للمكتب التركي للبراءات والعلامات التجارية،</w:t>
      </w:r>
      <w:r w:rsidR="00523959">
        <w:rPr>
          <w:rtl/>
        </w:rPr>
        <w:t xml:space="preserve"> توجد عناصر أخرى تس</w:t>
      </w:r>
      <w:r w:rsidR="009A28EB">
        <w:rPr>
          <w:rFonts w:hint="cs"/>
          <w:rtl/>
        </w:rPr>
        <w:t>ا</w:t>
      </w:r>
      <w:r w:rsidR="00523959">
        <w:rPr>
          <w:rtl/>
        </w:rPr>
        <w:t xml:space="preserve">هم في تحقيق </w:t>
      </w:r>
      <w:r w:rsidR="009A28EB">
        <w:rPr>
          <w:rtl/>
        </w:rPr>
        <w:t>الغايات المحددة في الاستراتيجية</w:t>
      </w:r>
      <w:r w:rsidR="009A28EB">
        <w:rPr>
          <w:rFonts w:hint="cs"/>
          <w:rtl/>
        </w:rPr>
        <w:t xml:space="preserve"> </w:t>
      </w:r>
      <w:r w:rsidR="00523959">
        <w:rPr>
          <w:rtl/>
        </w:rPr>
        <w:t>إذ تؤدي وحدات المعلومات والوثائق دور مكاتب استشارة لمقدمي الطلبات أو المستخدمين المحتملين لنظام الملكية الفكرية في الأقاليم المعنية.</w:t>
      </w:r>
      <w:r w:rsidR="009815DD">
        <w:rPr>
          <w:rFonts w:hint="cs"/>
          <w:rtl/>
        </w:rPr>
        <w:t xml:space="preserve"> </w:t>
      </w:r>
      <w:r w:rsidR="00523959">
        <w:rPr>
          <w:rtl/>
        </w:rPr>
        <w:t>وتوجد</w:t>
      </w:r>
      <w:r w:rsidR="009815DD">
        <w:rPr>
          <w:rFonts w:hint="cs"/>
          <w:rtl/>
        </w:rPr>
        <w:t xml:space="preserve"> 100</w:t>
      </w:r>
      <w:r w:rsidR="00523959">
        <w:rPr>
          <w:rtl/>
        </w:rPr>
        <w:t xml:space="preserve"> وحدة في أقاليم مختلفة من تركيا تغطي كامل المنطقة الجغرافية تقريباً.</w:t>
      </w:r>
      <w:r w:rsidR="009815DD">
        <w:rPr>
          <w:rFonts w:hint="cs"/>
          <w:rtl/>
        </w:rPr>
        <w:t xml:space="preserve"> </w:t>
      </w:r>
      <w:r w:rsidR="00523959">
        <w:rPr>
          <w:rtl/>
        </w:rPr>
        <w:t>وتقع هذه الوحدات في الجامعات أو غرف الصناعة والتجارة أو الحدائق التكنولوجية أو الوكالات التابعة للإقليم المعني.</w:t>
      </w:r>
    </w:p>
    <w:p w:rsidR="00B41155" w:rsidRDefault="00523959" w:rsidP="009744FF">
      <w:pPr>
        <w:pStyle w:val="NumberedParaAR"/>
        <w:numPr>
          <w:ilvl w:val="0"/>
          <w:numId w:val="7"/>
        </w:numPr>
      </w:pPr>
      <w:r>
        <w:rPr>
          <w:rtl/>
        </w:rPr>
        <w:t xml:space="preserve">ويرد التوزيع الجغرافي لوحدات المعلومات والوثائق أدناه مبيناً موقع كل </w:t>
      </w:r>
      <w:r w:rsidR="006650C1">
        <w:rPr>
          <w:rFonts w:hint="cs"/>
          <w:rtl/>
        </w:rPr>
        <w:t xml:space="preserve">وحدة </w:t>
      </w:r>
      <w:r>
        <w:rPr>
          <w:rtl/>
        </w:rPr>
        <w:t>من هذه الوحدات.</w:t>
      </w:r>
      <w:r w:rsidR="006650C1">
        <w:rPr>
          <w:rFonts w:hint="cs"/>
          <w:rtl/>
        </w:rPr>
        <w:t xml:space="preserve"> </w:t>
      </w:r>
      <w:r>
        <w:rPr>
          <w:rtl/>
        </w:rPr>
        <w:t>ولهذه الوحدات صلة عضوية</w:t>
      </w:r>
      <w:r w:rsidR="00B41155">
        <w:rPr>
          <w:rFonts w:hint="cs"/>
          <w:rtl/>
        </w:rPr>
        <w:t xml:space="preserve"> بالمكتب التركي لل</w:t>
      </w:r>
      <w:r>
        <w:rPr>
          <w:rtl/>
        </w:rPr>
        <w:t>براءات</w:t>
      </w:r>
      <w:r w:rsidR="00B41155">
        <w:rPr>
          <w:rFonts w:hint="cs"/>
          <w:rtl/>
        </w:rPr>
        <w:t xml:space="preserve"> والعلامات التجارية </w:t>
      </w:r>
      <w:r>
        <w:rPr>
          <w:rtl/>
        </w:rPr>
        <w:t>إذ يدرِّب الم</w:t>
      </w:r>
      <w:r w:rsidR="00B41155">
        <w:rPr>
          <w:rFonts w:hint="cs"/>
          <w:rtl/>
        </w:rPr>
        <w:t xml:space="preserve">كتب </w:t>
      </w:r>
      <w:r>
        <w:rPr>
          <w:rtl/>
        </w:rPr>
        <w:t xml:space="preserve">موظفي هذه الوحدات ويوفر لهم </w:t>
      </w:r>
      <w:r w:rsidR="00B41155">
        <w:rPr>
          <w:rFonts w:hint="cs"/>
          <w:rtl/>
        </w:rPr>
        <w:t>الوثائق المتعلقة ب</w:t>
      </w:r>
      <w:r>
        <w:rPr>
          <w:rtl/>
        </w:rPr>
        <w:t>خدمات الملكية الفكرية.</w:t>
      </w:r>
    </w:p>
    <w:p w:rsidR="00B41155" w:rsidRDefault="00523959" w:rsidP="009744FF">
      <w:pPr>
        <w:pStyle w:val="NumberedParaAR"/>
        <w:numPr>
          <w:ilvl w:val="0"/>
          <w:numId w:val="7"/>
        </w:numPr>
      </w:pPr>
      <w:r>
        <w:rPr>
          <w:rtl/>
        </w:rPr>
        <w:t>وفضلاً عن ذلك، لفروع وزارة العلوم والصناعة والتكنولوجيا الواقعة في 81 مدينة في جميع أنحاء تركيا ممثل مختص في شؤون الملكية الفكرية يؤدي دور استشاري في مجال الملكية الفكرية.</w:t>
      </w:r>
      <w:r w:rsidR="00B41155">
        <w:rPr>
          <w:rFonts w:hint="cs"/>
          <w:rtl/>
        </w:rPr>
        <w:t xml:space="preserve"> </w:t>
      </w:r>
      <w:r>
        <w:rPr>
          <w:rtl/>
        </w:rPr>
        <w:t>ويدرب الم</w:t>
      </w:r>
      <w:r w:rsidR="00B41155">
        <w:rPr>
          <w:rFonts w:hint="cs"/>
          <w:rtl/>
        </w:rPr>
        <w:t xml:space="preserve">كتب </w:t>
      </w:r>
      <w:r>
        <w:rPr>
          <w:rtl/>
        </w:rPr>
        <w:t>أيضاً هؤلاء الاستشاريين.</w:t>
      </w:r>
    </w:p>
    <w:p w:rsidR="00B41155" w:rsidRDefault="00523959" w:rsidP="009744FF">
      <w:pPr>
        <w:pStyle w:val="NumberedParaAR"/>
        <w:numPr>
          <w:ilvl w:val="0"/>
          <w:numId w:val="7"/>
        </w:numPr>
      </w:pPr>
      <w:r>
        <w:rPr>
          <w:rtl/>
        </w:rPr>
        <w:t>وتركيا هي أيضاً أحد البلدان المشاركة في الشبكة الأوروبية للبراءات التي تهدف إلى تعزيز نظام البراءات الأوروبي من خلال أنشطة تعاون ثنائية أو متعددة الأطراف.</w:t>
      </w:r>
      <w:r w:rsidR="00B41155">
        <w:rPr>
          <w:rFonts w:hint="cs"/>
          <w:rtl/>
        </w:rPr>
        <w:t xml:space="preserve"> </w:t>
      </w:r>
      <w:r>
        <w:rPr>
          <w:rtl/>
        </w:rPr>
        <w:t>وتؤدي الشبكة أيضاً دور منصة يتفاعل عبرها فاحصو المكاتب الوطنية للبراءات بشأن قضايا البراءات.</w:t>
      </w:r>
    </w:p>
    <w:p w:rsidR="00B41155" w:rsidRDefault="00523959" w:rsidP="009744FF">
      <w:pPr>
        <w:pStyle w:val="NumberedParaAR"/>
        <w:numPr>
          <w:ilvl w:val="0"/>
          <w:numId w:val="7"/>
        </w:numPr>
      </w:pPr>
      <w:r>
        <w:rPr>
          <w:rtl/>
        </w:rPr>
        <w:t>ويدير الم</w:t>
      </w:r>
      <w:r w:rsidR="00B41155">
        <w:rPr>
          <w:rFonts w:hint="cs"/>
          <w:rtl/>
        </w:rPr>
        <w:t xml:space="preserve">كتب </w:t>
      </w:r>
      <w:r>
        <w:rPr>
          <w:rtl/>
        </w:rPr>
        <w:t>منصة نقل التكنولوجيا على شبكة الإنترنت لتيسير عملية تسويق البراءات، وهي منصة مفتوحة لأصحاب البراءات الوطنيين والأجانب.</w:t>
      </w:r>
    </w:p>
    <w:p w:rsidR="00523959" w:rsidRDefault="00B41155" w:rsidP="009744FF">
      <w:pPr>
        <w:pStyle w:val="NumberedParaAR"/>
        <w:numPr>
          <w:ilvl w:val="0"/>
          <w:numId w:val="7"/>
        </w:numPr>
      </w:pPr>
      <w:r>
        <w:rPr>
          <w:rtl/>
        </w:rPr>
        <w:t>ويؤدي الم</w:t>
      </w:r>
      <w:r>
        <w:rPr>
          <w:rFonts w:hint="cs"/>
          <w:rtl/>
        </w:rPr>
        <w:t xml:space="preserve">كتب </w:t>
      </w:r>
      <w:r w:rsidR="00523959">
        <w:rPr>
          <w:rtl/>
        </w:rPr>
        <w:t>دور أمانة مجلس التنسيق الوطني لحقوق الملكية الفكرية والصناعية، وهو أعلى هيئة لتنسيق عملية صنع القرار بشأن الملكية الفكرية في تركيا.</w:t>
      </w:r>
      <w:r>
        <w:rPr>
          <w:rFonts w:hint="cs"/>
          <w:rtl/>
        </w:rPr>
        <w:t xml:space="preserve"> </w:t>
      </w:r>
      <w:r w:rsidR="00523959">
        <w:rPr>
          <w:rtl/>
        </w:rPr>
        <w:t>وفضلاً عن ذلك، يتولى الم</w:t>
      </w:r>
      <w:r w:rsidR="00394301">
        <w:rPr>
          <w:rFonts w:hint="cs"/>
          <w:rtl/>
        </w:rPr>
        <w:t xml:space="preserve">كتب </w:t>
      </w:r>
      <w:r w:rsidR="00523959">
        <w:rPr>
          <w:rtl/>
        </w:rPr>
        <w:t>رئاسة لجنة الملكية الفكرية والبحث والتطوير التابعة لمجلس التنسيق الوطني لتحسين بيئة الاستثمار.</w:t>
      </w:r>
    </w:p>
    <w:p w:rsidR="00523959" w:rsidRPr="009744FF" w:rsidRDefault="00523959" w:rsidP="009744FF">
      <w:pPr>
        <w:pStyle w:val="Heading1"/>
      </w:pPr>
      <w:r w:rsidRPr="009744FF">
        <w:rPr>
          <w:rtl/>
        </w:rPr>
        <w:t xml:space="preserve">ثالثاً. </w:t>
      </w:r>
      <w:r w:rsidR="006F5AA6" w:rsidRPr="009744FF">
        <w:rPr>
          <w:rFonts w:hint="cs"/>
          <w:rtl/>
        </w:rPr>
        <w:t xml:space="preserve">المكتب التركي </w:t>
      </w:r>
      <w:r w:rsidRPr="009744FF">
        <w:rPr>
          <w:rtl/>
        </w:rPr>
        <w:t>للبراءات</w:t>
      </w:r>
      <w:r w:rsidR="006F5AA6" w:rsidRPr="009744FF">
        <w:rPr>
          <w:rFonts w:hint="cs"/>
          <w:rtl/>
        </w:rPr>
        <w:t xml:space="preserve"> والعلامات التجارية </w:t>
      </w:r>
      <w:r w:rsidRPr="009744FF">
        <w:rPr>
          <w:rtl/>
        </w:rPr>
        <w:t>كإدارة للبحث الدولي والفحص التمهيدي الدولي بناء على معاهدة التعاون بشأن البراءات</w:t>
      </w:r>
    </w:p>
    <w:p w:rsidR="00282CFC" w:rsidRDefault="00523959" w:rsidP="009744FF">
      <w:pPr>
        <w:pStyle w:val="NumberedParaAR"/>
        <w:numPr>
          <w:ilvl w:val="0"/>
          <w:numId w:val="7"/>
        </w:numPr>
      </w:pPr>
      <w:r>
        <w:rPr>
          <w:rtl/>
        </w:rPr>
        <w:t xml:space="preserve">شهد عدد طلبات البراءات بناء على المعاهدة زيادة منتظمة خلال السنوات الأخيرة إذ أُودع </w:t>
      </w:r>
      <w:r w:rsidR="00F350E5">
        <w:rPr>
          <w:rFonts w:hint="cs"/>
          <w:rtl/>
        </w:rPr>
        <w:t>3</w:t>
      </w:r>
      <w:r>
        <w:rPr>
          <w:rtl/>
        </w:rPr>
        <w:t>00 21</w:t>
      </w:r>
      <w:r w:rsidR="00F350E5">
        <w:rPr>
          <w:rFonts w:hint="cs"/>
          <w:rtl/>
        </w:rPr>
        <w:t>7</w:t>
      </w:r>
      <w:r>
        <w:rPr>
          <w:rtl/>
        </w:rPr>
        <w:t xml:space="preserve"> طلب في عام 201</w:t>
      </w:r>
      <w:r w:rsidR="00F350E5">
        <w:rPr>
          <w:rFonts w:hint="cs"/>
          <w:rtl/>
        </w:rPr>
        <w:t>5</w:t>
      </w:r>
      <w:r>
        <w:rPr>
          <w:rtl/>
        </w:rPr>
        <w:t xml:space="preserve"> أي بزيادة قدرها </w:t>
      </w:r>
      <w:r w:rsidR="00F350E5">
        <w:rPr>
          <w:rFonts w:hint="cs"/>
          <w:rtl/>
        </w:rPr>
        <w:t>1</w:t>
      </w:r>
      <w:r>
        <w:rPr>
          <w:rtl/>
        </w:rPr>
        <w:t>.</w:t>
      </w:r>
      <w:r w:rsidR="00F27B42">
        <w:rPr>
          <w:rFonts w:hint="cs"/>
          <w:rtl/>
        </w:rPr>
        <w:t xml:space="preserve">4 </w:t>
      </w:r>
      <w:r>
        <w:rPr>
          <w:rtl/>
        </w:rPr>
        <w:t>بالمئة مقارنة بعام 201</w:t>
      </w:r>
      <w:r w:rsidR="00F350E5">
        <w:rPr>
          <w:rFonts w:hint="cs"/>
          <w:rtl/>
        </w:rPr>
        <w:t>4</w:t>
      </w:r>
      <w:r>
        <w:rPr>
          <w:rtl/>
        </w:rPr>
        <w:t xml:space="preserve"> وسجل السنة الخامسة على التوالي من النمو.</w:t>
      </w:r>
      <w:r w:rsidR="00F350E5">
        <w:rPr>
          <w:rFonts w:hint="cs"/>
          <w:rtl/>
        </w:rPr>
        <w:t xml:space="preserve"> </w:t>
      </w:r>
      <w:r>
        <w:rPr>
          <w:rtl/>
        </w:rPr>
        <w:t>وإضافة إلى نمو عدد الطلبات بناء على المعاهدة، ازداد عبء أنشطة البحث والفحص سنوياً.</w:t>
      </w:r>
      <w:r w:rsidR="00A31DEB">
        <w:rPr>
          <w:rFonts w:hint="cs"/>
          <w:rtl/>
        </w:rPr>
        <w:t xml:space="preserve"> </w:t>
      </w:r>
      <w:r w:rsidR="00A31DEB" w:rsidRPr="00A31DEB">
        <w:rPr>
          <w:rFonts w:hint="cs"/>
          <w:rtl/>
        </w:rPr>
        <w:t xml:space="preserve">وسيواصل المكتب التركي </w:t>
      </w:r>
      <w:r w:rsidR="00A31DEB" w:rsidRPr="00A31DEB">
        <w:rPr>
          <w:rtl/>
        </w:rPr>
        <w:t>للبراءات</w:t>
      </w:r>
      <w:r w:rsidR="00A31DEB" w:rsidRPr="00A31DEB">
        <w:rPr>
          <w:rFonts w:hint="cs"/>
          <w:rtl/>
        </w:rPr>
        <w:t xml:space="preserve"> والعلامات التجارية</w:t>
      </w:r>
      <w:r w:rsidR="00A31DEB" w:rsidRPr="00A31DEB">
        <w:rPr>
          <w:rtl/>
        </w:rPr>
        <w:t xml:space="preserve"> بفضل موارده الواسعة المخصصة للبحث والفحص</w:t>
      </w:r>
      <w:r w:rsidR="00A31DEB" w:rsidRPr="00A31DEB">
        <w:rPr>
          <w:rFonts w:hint="cs"/>
          <w:rtl/>
        </w:rPr>
        <w:t xml:space="preserve"> مساهمته في </w:t>
      </w:r>
      <w:r w:rsidR="00A31DEB" w:rsidRPr="00A31DEB">
        <w:rPr>
          <w:rtl/>
        </w:rPr>
        <w:t>تقاس</w:t>
      </w:r>
      <w:r w:rsidR="00A31DEB">
        <w:rPr>
          <w:rtl/>
        </w:rPr>
        <w:t>م عبء العمل.</w:t>
      </w:r>
    </w:p>
    <w:p w:rsidR="00523959" w:rsidRDefault="00282CFC" w:rsidP="009744FF">
      <w:pPr>
        <w:pStyle w:val="NumberedParaAR"/>
        <w:numPr>
          <w:ilvl w:val="0"/>
          <w:numId w:val="7"/>
        </w:numPr>
      </w:pPr>
      <w:r>
        <w:rPr>
          <w:rtl/>
        </w:rPr>
        <w:lastRenderedPageBreak/>
        <w:t>و</w:t>
      </w:r>
      <w:r>
        <w:rPr>
          <w:rFonts w:hint="cs"/>
          <w:rtl/>
        </w:rPr>
        <w:t>إ</w:t>
      </w:r>
      <w:r w:rsidR="00523959">
        <w:rPr>
          <w:rtl/>
        </w:rPr>
        <w:t>ضافة إلى ذلك، أدت زيادة عدد طلبات البراءات الصادرة من تركيا إلى تمتع الم</w:t>
      </w:r>
      <w:r>
        <w:rPr>
          <w:rFonts w:hint="cs"/>
          <w:rtl/>
        </w:rPr>
        <w:t xml:space="preserve">كتب </w:t>
      </w:r>
      <w:r w:rsidR="00523959">
        <w:rPr>
          <w:rtl/>
        </w:rPr>
        <w:t>بمكانة تمكنه من توفير خدماته بما يمتثل للمعايير الدولية.</w:t>
      </w:r>
      <w:r>
        <w:rPr>
          <w:rFonts w:hint="cs"/>
          <w:rtl/>
        </w:rPr>
        <w:t xml:space="preserve"> </w:t>
      </w:r>
      <w:r w:rsidR="00523959">
        <w:rPr>
          <w:rtl/>
        </w:rPr>
        <w:t>و</w:t>
      </w:r>
      <w:r w:rsidR="001A190F">
        <w:rPr>
          <w:rFonts w:hint="cs"/>
          <w:rtl/>
        </w:rPr>
        <w:t>يمكن ل</w:t>
      </w:r>
      <w:r w:rsidR="00523959">
        <w:rPr>
          <w:rtl/>
        </w:rPr>
        <w:t xml:space="preserve">لمستخدمين المحليين </w:t>
      </w:r>
      <w:r w:rsidR="001A190F">
        <w:rPr>
          <w:rFonts w:hint="cs"/>
          <w:rtl/>
        </w:rPr>
        <w:t xml:space="preserve">الذين </w:t>
      </w:r>
      <w:r w:rsidR="00523959">
        <w:rPr>
          <w:rtl/>
        </w:rPr>
        <w:t>يستفيدون من خدمات الم</w:t>
      </w:r>
      <w:r w:rsidR="001A190F">
        <w:rPr>
          <w:rFonts w:hint="cs"/>
          <w:rtl/>
        </w:rPr>
        <w:t xml:space="preserve">كتب </w:t>
      </w:r>
      <w:r w:rsidR="00523959">
        <w:rPr>
          <w:rtl/>
        </w:rPr>
        <w:t xml:space="preserve">باعتباره إدارة </w:t>
      </w:r>
      <w:r w:rsidR="001A190F" w:rsidRPr="001A190F">
        <w:rPr>
          <w:rtl/>
        </w:rPr>
        <w:t>للبحث الدولي والفحص التمهيدي الدولي</w:t>
      </w:r>
      <w:r w:rsidR="00523959">
        <w:rPr>
          <w:rtl/>
        </w:rPr>
        <w:t xml:space="preserve"> أن يتفاعلوا مع الم</w:t>
      </w:r>
      <w:r w:rsidR="001A190F">
        <w:rPr>
          <w:rFonts w:hint="cs"/>
          <w:rtl/>
        </w:rPr>
        <w:t xml:space="preserve">كتب </w:t>
      </w:r>
      <w:r w:rsidR="00523959">
        <w:rPr>
          <w:rtl/>
        </w:rPr>
        <w:t>من أجل تعزيز نظام البراءات على الصعيدين الوطني والدولي.</w:t>
      </w:r>
    </w:p>
    <w:p w:rsidR="00423944" w:rsidRDefault="005211B5" w:rsidP="009744FF">
      <w:pPr>
        <w:pStyle w:val="NumberedParaAR"/>
        <w:numPr>
          <w:ilvl w:val="0"/>
          <w:numId w:val="7"/>
        </w:numPr>
      </w:pPr>
      <w:r>
        <w:rPr>
          <w:rFonts w:hint="cs"/>
          <w:rtl/>
        </w:rPr>
        <w:t xml:space="preserve">ووصلت </w:t>
      </w:r>
      <w:r w:rsidR="00B1447C">
        <w:rPr>
          <w:rFonts w:hint="cs"/>
          <w:rtl/>
        </w:rPr>
        <w:t>الزيادة الملحوظ</w:t>
      </w:r>
      <w:r>
        <w:rPr>
          <w:rFonts w:hint="cs"/>
          <w:rtl/>
        </w:rPr>
        <w:t>ة في عدد الطلبات الدولية المودعة باللغة التركية إلى 170 طلباً في 2015 و324 طلباً في 2016</w:t>
      </w:r>
      <w:r w:rsidR="00B1447C">
        <w:rPr>
          <w:rFonts w:hint="cs"/>
          <w:rtl/>
        </w:rPr>
        <w:t xml:space="preserve"> </w:t>
      </w:r>
      <w:r w:rsidR="00F27B42">
        <w:rPr>
          <w:rFonts w:hint="cs"/>
          <w:rtl/>
        </w:rPr>
        <w:t xml:space="preserve">بحيث </w:t>
      </w:r>
      <w:r w:rsidR="00B1447C">
        <w:rPr>
          <w:rFonts w:hint="cs"/>
          <w:rtl/>
        </w:rPr>
        <w:t>زادت عما كانت عليه في</w:t>
      </w:r>
      <w:r w:rsidR="00F27B42">
        <w:rPr>
          <w:rFonts w:hint="cs"/>
          <w:rtl/>
        </w:rPr>
        <w:t xml:space="preserve"> عام </w:t>
      </w:r>
      <w:r w:rsidR="009D7F4A">
        <w:rPr>
          <w:rFonts w:hint="cs"/>
          <w:rtl/>
        </w:rPr>
        <w:t xml:space="preserve">2006 </w:t>
      </w:r>
      <w:r w:rsidR="00F27B42">
        <w:rPr>
          <w:rFonts w:hint="cs"/>
          <w:rtl/>
        </w:rPr>
        <w:t xml:space="preserve">الذي </w:t>
      </w:r>
      <w:r w:rsidR="00B1447C">
        <w:rPr>
          <w:rFonts w:hint="cs"/>
          <w:rtl/>
        </w:rPr>
        <w:t>س</w:t>
      </w:r>
      <w:r w:rsidR="005142B9">
        <w:rPr>
          <w:rFonts w:hint="cs"/>
          <w:rtl/>
        </w:rPr>
        <w:t>ُ</w:t>
      </w:r>
      <w:r w:rsidR="00B1447C">
        <w:rPr>
          <w:rFonts w:hint="cs"/>
          <w:rtl/>
        </w:rPr>
        <w:t xml:space="preserve">جل </w:t>
      </w:r>
      <w:r w:rsidR="009D7F4A">
        <w:rPr>
          <w:rFonts w:hint="cs"/>
          <w:rtl/>
        </w:rPr>
        <w:t xml:space="preserve">خلاله </w:t>
      </w:r>
      <w:r w:rsidR="00B1447C">
        <w:rPr>
          <w:rFonts w:hint="cs"/>
          <w:rtl/>
        </w:rPr>
        <w:t xml:space="preserve">17 طلباً، وهو ما من شأنه أن يتيح خدمة مفيدة </w:t>
      </w:r>
      <w:r w:rsidR="00B74201">
        <w:rPr>
          <w:rFonts w:hint="cs"/>
          <w:rtl/>
        </w:rPr>
        <w:t>بإجراء</w:t>
      </w:r>
      <w:r w:rsidR="00B74201">
        <w:rPr>
          <w:rtl/>
        </w:rPr>
        <w:t xml:space="preserve"> البحث</w:t>
      </w:r>
      <w:r w:rsidR="00B74201" w:rsidRPr="00B74201">
        <w:rPr>
          <w:rtl/>
        </w:rPr>
        <w:t xml:space="preserve"> على أساس الطلب الدولي كما أودع </w:t>
      </w:r>
      <w:r w:rsidR="00B74201">
        <w:rPr>
          <w:rFonts w:hint="cs"/>
          <w:rtl/>
        </w:rPr>
        <w:t xml:space="preserve">على الرغم من </w:t>
      </w:r>
      <w:r w:rsidR="00D1793A">
        <w:rPr>
          <w:rFonts w:hint="cs"/>
          <w:rtl/>
        </w:rPr>
        <w:t>ضرورة تقديم ترجمة من أجل النشر الدولي.</w:t>
      </w:r>
    </w:p>
    <w:p w:rsidR="00A46A06" w:rsidRDefault="00523959" w:rsidP="009744FF">
      <w:pPr>
        <w:pStyle w:val="NumberedParaAR"/>
        <w:numPr>
          <w:ilvl w:val="0"/>
          <w:numId w:val="7"/>
        </w:numPr>
      </w:pPr>
      <w:r>
        <w:rPr>
          <w:rtl/>
        </w:rPr>
        <w:t>و</w:t>
      </w:r>
      <w:r w:rsidR="00A46A06">
        <w:rPr>
          <w:rFonts w:hint="cs"/>
          <w:rtl/>
        </w:rPr>
        <w:t xml:space="preserve">لن </w:t>
      </w:r>
      <w:r>
        <w:rPr>
          <w:rtl/>
        </w:rPr>
        <w:t>يس</w:t>
      </w:r>
      <w:r w:rsidR="00162BC5">
        <w:rPr>
          <w:rFonts w:hint="cs"/>
          <w:rtl/>
        </w:rPr>
        <w:t>ا</w:t>
      </w:r>
      <w:r>
        <w:rPr>
          <w:rtl/>
        </w:rPr>
        <w:t xml:space="preserve">هم </w:t>
      </w:r>
      <w:r w:rsidR="00423944">
        <w:rPr>
          <w:rFonts w:hint="cs"/>
          <w:rtl/>
        </w:rPr>
        <w:t xml:space="preserve">تمديد </w:t>
      </w:r>
      <w:r>
        <w:rPr>
          <w:rtl/>
        </w:rPr>
        <w:t>تعيين الم</w:t>
      </w:r>
      <w:r w:rsidR="00423944">
        <w:rPr>
          <w:rFonts w:hint="cs"/>
          <w:rtl/>
        </w:rPr>
        <w:t xml:space="preserve">كتب </w:t>
      </w:r>
      <w:r w:rsidR="00423944" w:rsidRPr="00423944">
        <w:rPr>
          <w:rtl/>
        </w:rPr>
        <w:t>كإدارة للبحث الدولي والفحص التمهيدي الدولي</w:t>
      </w:r>
      <w:r w:rsidR="00423944" w:rsidRPr="009744FF">
        <w:rPr>
          <w:rtl/>
        </w:rPr>
        <w:t xml:space="preserve"> </w:t>
      </w:r>
      <w:r>
        <w:rPr>
          <w:rtl/>
        </w:rPr>
        <w:t>في</w:t>
      </w:r>
      <w:r w:rsidR="005142B9">
        <w:rPr>
          <w:rFonts w:hint="cs"/>
          <w:rtl/>
        </w:rPr>
        <w:t xml:space="preserve"> الاستجابة ل</w:t>
      </w:r>
      <w:r>
        <w:rPr>
          <w:rtl/>
        </w:rPr>
        <w:t>لزيادة المستمرة في الطلب المحلي على أنشطة البحث والفحص ب</w:t>
      </w:r>
      <w:r w:rsidR="00162BC5">
        <w:rPr>
          <w:rtl/>
        </w:rPr>
        <w:t>ناء على المعاهدة</w:t>
      </w:r>
      <w:r w:rsidR="00A46A06">
        <w:rPr>
          <w:rFonts w:hint="cs"/>
          <w:rtl/>
        </w:rPr>
        <w:t xml:space="preserve"> فحسب،</w:t>
      </w:r>
      <w:r w:rsidR="00162BC5">
        <w:rPr>
          <w:rtl/>
        </w:rPr>
        <w:t xml:space="preserve"> بل سيؤدي إلى إ</w:t>
      </w:r>
      <w:r w:rsidR="00162BC5">
        <w:rPr>
          <w:rFonts w:hint="cs"/>
          <w:rtl/>
        </w:rPr>
        <w:t>ذ</w:t>
      </w:r>
      <w:r>
        <w:rPr>
          <w:rtl/>
        </w:rPr>
        <w:t>كاء الوعي بنظام معاهدة التعاون بشأن البراءات في تركيا وإلى زيادة عدد الطلبات التي يودعها مقدمو الطلبات في تركيا.</w:t>
      </w:r>
    </w:p>
    <w:p w:rsidR="00F55D4B" w:rsidRDefault="00523959" w:rsidP="009744FF">
      <w:pPr>
        <w:pStyle w:val="NumberedParaAR"/>
        <w:numPr>
          <w:ilvl w:val="0"/>
          <w:numId w:val="7"/>
        </w:numPr>
      </w:pPr>
      <w:r>
        <w:rPr>
          <w:rtl/>
        </w:rPr>
        <w:t>و</w:t>
      </w:r>
      <w:r w:rsidR="00A46A06">
        <w:rPr>
          <w:rFonts w:hint="cs"/>
          <w:rtl/>
        </w:rPr>
        <w:t xml:space="preserve">اضطلع </w:t>
      </w:r>
      <w:r>
        <w:rPr>
          <w:rtl/>
        </w:rPr>
        <w:t>الم</w:t>
      </w:r>
      <w:r w:rsidR="00A46A06">
        <w:rPr>
          <w:rFonts w:hint="cs"/>
          <w:rtl/>
        </w:rPr>
        <w:t>كتب</w:t>
      </w:r>
      <w:r w:rsidR="005142B9">
        <w:rPr>
          <w:rFonts w:hint="cs"/>
          <w:rtl/>
        </w:rPr>
        <w:t xml:space="preserve"> التركي للبراءات والعلامات التجارية</w:t>
      </w:r>
      <w:r>
        <w:rPr>
          <w:rtl/>
        </w:rPr>
        <w:t xml:space="preserve">، بفضل موقعه الفريد عند تقاطع ثلاث قارات، </w:t>
      </w:r>
      <w:r w:rsidR="00A46A06">
        <w:rPr>
          <w:rFonts w:hint="cs"/>
          <w:rtl/>
        </w:rPr>
        <w:t>ب</w:t>
      </w:r>
      <w:r>
        <w:rPr>
          <w:rtl/>
        </w:rPr>
        <w:t>دور همزة الوصل لنقل المعارف والمعلومات الخاصة بالملكية الفكرية عبر القارات.</w:t>
      </w:r>
      <w:r w:rsidR="00A46A06">
        <w:rPr>
          <w:rFonts w:hint="cs"/>
          <w:rtl/>
        </w:rPr>
        <w:t xml:space="preserve"> </w:t>
      </w:r>
      <w:r>
        <w:rPr>
          <w:rtl/>
        </w:rPr>
        <w:t>ويعدُّ المكتب من أ</w:t>
      </w:r>
      <w:r w:rsidR="00F55D4B">
        <w:rPr>
          <w:rFonts w:hint="cs"/>
          <w:rtl/>
        </w:rPr>
        <w:t xml:space="preserve">كثر </w:t>
      </w:r>
      <w:r>
        <w:rPr>
          <w:rtl/>
        </w:rPr>
        <w:t>المكاتب</w:t>
      </w:r>
      <w:r w:rsidR="00F55D4B">
        <w:rPr>
          <w:rFonts w:hint="cs"/>
          <w:rtl/>
        </w:rPr>
        <w:t xml:space="preserve"> قدرة</w:t>
      </w:r>
      <w:r>
        <w:rPr>
          <w:rtl/>
        </w:rPr>
        <w:t xml:space="preserve"> على أداء دور إدارة دولية بناء على المعاهدة في منطقة البلقان والدول الناطقة بالتركية في آسيا.</w:t>
      </w:r>
      <w:r w:rsidR="00F55D4B">
        <w:rPr>
          <w:rFonts w:hint="cs"/>
          <w:rtl/>
        </w:rPr>
        <w:t xml:space="preserve"> </w:t>
      </w:r>
      <w:r>
        <w:rPr>
          <w:rtl/>
        </w:rPr>
        <w:t xml:space="preserve">وسيكون </w:t>
      </w:r>
      <w:r w:rsidR="00F55D4B">
        <w:rPr>
          <w:rFonts w:hint="cs"/>
          <w:rtl/>
        </w:rPr>
        <w:t xml:space="preserve">تمديد </w:t>
      </w:r>
      <w:r>
        <w:rPr>
          <w:rtl/>
        </w:rPr>
        <w:t>تعيين الم</w:t>
      </w:r>
      <w:r w:rsidR="00F55D4B">
        <w:rPr>
          <w:rFonts w:hint="cs"/>
          <w:rtl/>
        </w:rPr>
        <w:t xml:space="preserve">كتب </w:t>
      </w:r>
      <w:r w:rsidR="00F55D4B" w:rsidRPr="00423944">
        <w:rPr>
          <w:rtl/>
        </w:rPr>
        <w:t>كإدارة للبحث الدولي والفحص التمهيدي الدولي</w:t>
      </w:r>
      <w:r>
        <w:rPr>
          <w:rtl/>
        </w:rPr>
        <w:t xml:space="preserve"> مفيداً للمستخدمين المحليين ونظام معاهدة التعاون بشأن البراءات ككل.</w:t>
      </w:r>
    </w:p>
    <w:p w:rsidR="000D59BF" w:rsidRDefault="00523959" w:rsidP="009744FF">
      <w:pPr>
        <w:pStyle w:val="NumberedParaAR"/>
        <w:numPr>
          <w:ilvl w:val="0"/>
          <w:numId w:val="7"/>
        </w:numPr>
      </w:pPr>
      <w:r>
        <w:rPr>
          <w:rtl/>
        </w:rPr>
        <w:t>ويوظِّف الم</w:t>
      </w:r>
      <w:r w:rsidR="00F55D4B">
        <w:rPr>
          <w:rFonts w:hint="cs"/>
          <w:rtl/>
        </w:rPr>
        <w:t>كتب،</w:t>
      </w:r>
      <w:r>
        <w:rPr>
          <w:rtl/>
        </w:rPr>
        <w:t xml:space="preserve"> بوصفه مكتباً وطنياً للبراءات عضواً في اتفاقية البراءات الأوروبية، </w:t>
      </w:r>
      <w:r w:rsidR="005142B9">
        <w:rPr>
          <w:rFonts w:hint="cs"/>
          <w:rtl/>
        </w:rPr>
        <w:t xml:space="preserve">فاحصي براءات </w:t>
      </w:r>
      <w:r>
        <w:rPr>
          <w:rtl/>
        </w:rPr>
        <w:t xml:space="preserve">مدرِّبين تلقوا تدريباً جيداً واستفادوا من التدريب على البحث والفحص الذي وفره المكتب الأوروبي للبراءات فضلاً عن تدريب مخصص على معاهدة التعاون بشأن البراءات وفرته </w:t>
      </w:r>
      <w:proofErr w:type="spellStart"/>
      <w:r>
        <w:rPr>
          <w:rtl/>
        </w:rPr>
        <w:t>الويبو</w:t>
      </w:r>
      <w:proofErr w:type="spellEnd"/>
      <w:r>
        <w:rPr>
          <w:rtl/>
        </w:rPr>
        <w:t>.</w:t>
      </w:r>
      <w:r w:rsidR="000D59BF">
        <w:rPr>
          <w:rFonts w:hint="cs"/>
          <w:rtl/>
        </w:rPr>
        <w:t xml:space="preserve"> </w:t>
      </w:r>
      <w:r>
        <w:rPr>
          <w:rtl/>
        </w:rPr>
        <w:t>ونتيجة لذلك، يتمتع الم</w:t>
      </w:r>
      <w:r w:rsidR="000D59BF">
        <w:rPr>
          <w:rFonts w:hint="cs"/>
          <w:rtl/>
        </w:rPr>
        <w:t xml:space="preserve">كتب </w:t>
      </w:r>
      <w:r>
        <w:rPr>
          <w:rtl/>
        </w:rPr>
        <w:t>بوضع جيد لإذكاء الوعي بالمعاهدة وتعزيز استخدامها على نطاق أوسع وبخاصة في الشرق الأوسط والدول الناطقة بالتركية فضلاً عن آسيا والبلقان.</w:t>
      </w:r>
    </w:p>
    <w:p w:rsidR="000D59BF" w:rsidRDefault="00523959" w:rsidP="009744FF">
      <w:pPr>
        <w:pStyle w:val="NumberedParaAR"/>
        <w:numPr>
          <w:ilvl w:val="0"/>
          <w:numId w:val="7"/>
        </w:numPr>
      </w:pPr>
      <w:r>
        <w:rPr>
          <w:rtl/>
        </w:rPr>
        <w:t>وفي هذا السياق، أنشأت تركيا برامج تعاون مع عدد من البلدان.</w:t>
      </w:r>
      <w:r w:rsidR="000D59BF">
        <w:rPr>
          <w:rFonts w:hint="cs"/>
          <w:rtl/>
        </w:rPr>
        <w:t xml:space="preserve"> </w:t>
      </w:r>
      <w:r>
        <w:rPr>
          <w:rtl/>
        </w:rPr>
        <w:t xml:space="preserve">فعلى سبيل المثال، أبرمت تركيا وباكستان برنامج تعاون ثنائي يرمي إلى تبسيط أنظمة الملكية الفكرية في كلا البلدين وتبادل الخبرات، ولا سيما بهدف دعم باكستان في تقييم الانضمام إلى بعض المعاهدات التي تديرها </w:t>
      </w:r>
      <w:proofErr w:type="spellStart"/>
      <w:r>
        <w:rPr>
          <w:rtl/>
        </w:rPr>
        <w:t>الويبو</w:t>
      </w:r>
      <w:proofErr w:type="spellEnd"/>
      <w:r>
        <w:rPr>
          <w:rtl/>
        </w:rPr>
        <w:t>، مثل بروتوكول مدريد للعلامات التجارية، ومعاهدة التعاون بشأن البراءات والبيانات الجغرافية، وتحقيق هدف التنمية الاقتصادية في المنطقة الآسيوية في نهاية المطاف.</w:t>
      </w:r>
    </w:p>
    <w:p w:rsidR="000D59BF" w:rsidRDefault="00523959" w:rsidP="009744FF">
      <w:pPr>
        <w:pStyle w:val="NumberedParaAR"/>
        <w:numPr>
          <w:ilvl w:val="0"/>
          <w:numId w:val="7"/>
        </w:numPr>
      </w:pPr>
      <w:r>
        <w:rPr>
          <w:rtl/>
        </w:rPr>
        <w:t xml:space="preserve">واستهل </w:t>
      </w:r>
      <w:r w:rsidR="000D59BF">
        <w:rPr>
          <w:rFonts w:hint="cs"/>
          <w:rtl/>
        </w:rPr>
        <w:t>المكتب التركي</w:t>
      </w:r>
      <w:r>
        <w:rPr>
          <w:rtl/>
        </w:rPr>
        <w:t xml:space="preserve"> للبراءات</w:t>
      </w:r>
      <w:r w:rsidR="000D59BF">
        <w:rPr>
          <w:rFonts w:hint="cs"/>
          <w:rtl/>
        </w:rPr>
        <w:t xml:space="preserve"> والعلامات التجارية</w:t>
      </w:r>
      <w:r>
        <w:rPr>
          <w:rtl/>
        </w:rPr>
        <w:t xml:space="preserve"> مفاوضات مع معهد الملكية الفكرية في البوسنة والهرسك بغية ضمان الحماية الفعالة لحقوق الملكية الصناعية وفقاً للمعايير الدولية، بما في ذلك التعاون على بحث وفحص طلبات البراءات في جميع المجالات التقنية.</w:t>
      </w:r>
      <w:r w:rsidR="000D59BF">
        <w:rPr>
          <w:rFonts w:hint="cs"/>
          <w:rtl/>
        </w:rPr>
        <w:t xml:space="preserve"> </w:t>
      </w:r>
      <w:r>
        <w:rPr>
          <w:rtl/>
        </w:rPr>
        <w:t>وفي إطار هذا التعاون، فإن الم</w:t>
      </w:r>
      <w:r w:rsidR="000D59BF">
        <w:rPr>
          <w:rFonts w:hint="cs"/>
          <w:rtl/>
        </w:rPr>
        <w:t xml:space="preserve">كتب </w:t>
      </w:r>
      <w:r>
        <w:rPr>
          <w:rtl/>
        </w:rPr>
        <w:t>مستعد لإعداد تقارير البحث والفحص الخاصة بطلبات البراءات المودعة في البوسنة والهرسك بناء على طلب معهد الملكية الفكرية في البوسنة والهرسك.</w:t>
      </w:r>
    </w:p>
    <w:p w:rsidR="00BA56D3" w:rsidRDefault="00523959" w:rsidP="009744FF">
      <w:pPr>
        <w:pStyle w:val="NumberedParaAR"/>
        <w:numPr>
          <w:ilvl w:val="0"/>
          <w:numId w:val="7"/>
        </w:numPr>
      </w:pPr>
      <w:r>
        <w:rPr>
          <w:rtl/>
        </w:rPr>
        <w:t>وفضلاً عن ذلك، أبرم الم</w:t>
      </w:r>
      <w:r w:rsidR="000D59BF">
        <w:rPr>
          <w:rFonts w:hint="cs"/>
          <w:rtl/>
        </w:rPr>
        <w:t xml:space="preserve">كتب </w:t>
      </w:r>
      <w:r>
        <w:rPr>
          <w:rtl/>
        </w:rPr>
        <w:t xml:space="preserve">اتفاقات تبادل بيانات مع </w:t>
      </w:r>
      <w:r w:rsidR="000D59BF" w:rsidRPr="000D59BF">
        <w:rPr>
          <w:rtl/>
        </w:rPr>
        <w:t xml:space="preserve">المكتب الحكومي للملكية الفكرية </w:t>
      </w:r>
      <w:r>
        <w:rPr>
          <w:rtl/>
        </w:rPr>
        <w:t>في جمهورية الصين الشعبية ومكتب كوريا للملكية الفكرية تنص على تبادل البيانات المتاحة عن الملكية الصناعية بين فاحصي البراءات والجمهور بغية تعزيز نظام البراءات الدولي.</w:t>
      </w:r>
    </w:p>
    <w:p w:rsidR="0071744B" w:rsidRDefault="00523959" w:rsidP="009744FF">
      <w:pPr>
        <w:pStyle w:val="NumberedParaAR"/>
        <w:numPr>
          <w:ilvl w:val="0"/>
          <w:numId w:val="7"/>
        </w:numPr>
      </w:pPr>
      <w:r>
        <w:rPr>
          <w:rtl/>
        </w:rPr>
        <w:t>وتعتزم تركيا تعزيز التعاون مع البلدان الأخرى في المنطقة</w:t>
      </w:r>
      <w:r w:rsidR="00084B4E">
        <w:rPr>
          <w:rFonts w:hint="cs"/>
          <w:rtl/>
        </w:rPr>
        <w:t xml:space="preserve"> </w:t>
      </w:r>
      <w:r w:rsidR="00084B4E" w:rsidRPr="00423944">
        <w:rPr>
          <w:rtl/>
        </w:rPr>
        <w:t>كإدارة للبحث الدولي والفحص التمهيدي الدولي</w:t>
      </w:r>
      <w:r w:rsidR="00084B4E">
        <w:rPr>
          <w:rtl/>
        </w:rPr>
        <w:t xml:space="preserve"> </w:t>
      </w:r>
      <w:r>
        <w:rPr>
          <w:rtl/>
        </w:rPr>
        <w:t>بغية تشجيع الابتكار وزيادة نشر المعرفة ونقل التكنولوجيا في المنطقة.</w:t>
      </w:r>
    </w:p>
    <w:p w:rsidR="00242B5F" w:rsidRDefault="00523959" w:rsidP="009744FF">
      <w:pPr>
        <w:pStyle w:val="NumberedParaAR"/>
        <w:numPr>
          <w:ilvl w:val="0"/>
          <w:numId w:val="7"/>
        </w:numPr>
      </w:pPr>
      <w:r>
        <w:rPr>
          <w:rtl/>
        </w:rPr>
        <w:t xml:space="preserve">وتهدف تركيا إلى تحويل البلد إلى مركز لنشر المعارف والمعلومات المتعلقة بالملكية الفكرية في المنطقة من خلال تقاسم وتبادل خبراتها </w:t>
      </w:r>
      <w:r w:rsidR="002B5E34">
        <w:rPr>
          <w:rFonts w:hint="cs"/>
          <w:rtl/>
        </w:rPr>
        <w:t xml:space="preserve">موازاة مع سعيها إلى أن تصبح </w:t>
      </w:r>
      <w:r>
        <w:rPr>
          <w:rtl/>
        </w:rPr>
        <w:t>إدارة للبحث الدولي والفحص التمهيدي الدولي.</w:t>
      </w:r>
      <w:r w:rsidR="005B627F">
        <w:rPr>
          <w:rFonts w:hint="cs"/>
          <w:rtl/>
        </w:rPr>
        <w:t xml:space="preserve"> </w:t>
      </w:r>
      <w:r>
        <w:rPr>
          <w:rtl/>
        </w:rPr>
        <w:t xml:space="preserve">وتحقيقاً لهذا الهدف، </w:t>
      </w:r>
      <w:r w:rsidR="005B627F">
        <w:rPr>
          <w:rFonts w:hint="cs"/>
          <w:rtl/>
        </w:rPr>
        <w:t xml:space="preserve">أطلقت </w:t>
      </w:r>
      <w:r>
        <w:rPr>
          <w:rtl/>
        </w:rPr>
        <w:t xml:space="preserve">تركيا برنامج ماجستير دولي في مجال الملكية الفكرية في أنقرة بالتعاون مع أكاديمية </w:t>
      </w:r>
      <w:proofErr w:type="spellStart"/>
      <w:r>
        <w:rPr>
          <w:rtl/>
        </w:rPr>
        <w:t>الوي</w:t>
      </w:r>
      <w:r w:rsidR="005B627F">
        <w:rPr>
          <w:rtl/>
        </w:rPr>
        <w:t>بو</w:t>
      </w:r>
      <w:proofErr w:type="spellEnd"/>
      <w:r w:rsidR="005B627F">
        <w:rPr>
          <w:rtl/>
        </w:rPr>
        <w:t xml:space="preserve"> خلال العام الدراسي 2016-2017</w:t>
      </w:r>
      <w:r w:rsidR="005B627F">
        <w:rPr>
          <w:rFonts w:hint="cs"/>
          <w:rtl/>
        </w:rPr>
        <w:t xml:space="preserve"> </w:t>
      </w:r>
      <w:r w:rsidR="005B627F">
        <w:rPr>
          <w:rFonts w:hint="cs"/>
          <w:rtl/>
        </w:rPr>
        <w:lastRenderedPageBreak/>
        <w:t xml:space="preserve">حيث استفاد منه 11 طالباً دولياً. </w:t>
      </w:r>
      <w:r>
        <w:rPr>
          <w:rtl/>
        </w:rPr>
        <w:t xml:space="preserve">وفضلاً عن ذلك، </w:t>
      </w:r>
      <w:r w:rsidR="00242B5F">
        <w:rPr>
          <w:rFonts w:hint="cs"/>
          <w:rtl/>
        </w:rPr>
        <w:t>تباشر</w:t>
      </w:r>
      <w:r>
        <w:rPr>
          <w:rtl/>
        </w:rPr>
        <w:t xml:space="preserve"> الأكاديمية التركية للملكية الفكرية، التي</w:t>
      </w:r>
      <w:r w:rsidR="00242B5F">
        <w:rPr>
          <w:rFonts w:hint="cs"/>
          <w:rtl/>
        </w:rPr>
        <w:t xml:space="preserve"> أنشئت </w:t>
      </w:r>
      <w:r>
        <w:rPr>
          <w:rtl/>
        </w:rPr>
        <w:t xml:space="preserve">بالتعاون مع </w:t>
      </w:r>
      <w:proofErr w:type="spellStart"/>
      <w:r>
        <w:rPr>
          <w:rtl/>
        </w:rPr>
        <w:t>الويبو</w:t>
      </w:r>
      <w:proofErr w:type="spellEnd"/>
      <w:r>
        <w:rPr>
          <w:rtl/>
        </w:rPr>
        <w:t xml:space="preserve">، </w:t>
      </w:r>
      <w:r w:rsidR="00242B5F">
        <w:rPr>
          <w:rFonts w:hint="cs"/>
          <w:rtl/>
        </w:rPr>
        <w:t>كامل وظائفها</w:t>
      </w:r>
      <w:r>
        <w:rPr>
          <w:rtl/>
        </w:rPr>
        <w:t xml:space="preserve"> في عام 2017.</w:t>
      </w:r>
      <w:r w:rsidR="00242B5F">
        <w:rPr>
          <w:rFonts w:hint="cs"/>
          <w:rtl/>
        </w:rPr>
        <w:t xml:space="preserve"> </w:t>
      </w:r>
      <w:r>
        <w:rPr>
          <w:rtl/>
        </w:rPr>
        <w:t>ويؤمن الم</w:t>
      </w:r>
      <w:r w:rsidR="00242B5F">
        <w:rPr>
          <w:rFonts w:hint="cs"/>
          <w:rtl/>
        </w:rPr>
        <w:t xml:space="preserve">كتب </w:t>
      </w:r>
      <w:r>
        <w:rPr>
          <w:rtl/>
        </w:rPr>
        <w:t xml:space="preserve">إيماناً راسخاً بأن الأكاديمية التركية للملكية الفكرية ستستجيب للاحتياجات التعليمية والأكاديمية في المنطقة وسترتقي بنوعية وعدد </w:t>
      </w:r>
      <w:proofErr w:type="spellStart"/>
      <w:r>
        <w:rPr>
          <w:rtl/>
        </w:rPr>
        <w:t>مهنيي</w:t>
      </w:r>
      <w:proofErr w:type="spellEnd"/>
      <w:r>
        <w:rPr>
          <w:rtl/>
        </w:rPr>
        <w:t xml:space="preserve"> الملكية الفكرية في المنطقة.</w:t>
      </w:r>
    </w:p>
    <w:p w:rsidR="00523959" w:rsidRDefault="00523959" w:rsidP="009744FF">
      <w:pPr>
        <w:pStyle w:val="NumberedParaAR"/>
        <w:numPr>
          <w:ilvl w:val="0"/>
          <w:numId w:val="7"/>
        </w:numPr>
      </w:pPr>
      <w:r>
        <w:rPr>
          <w:rtl/>
        </w:rPr>
        <w:t>وأخيراً وتماشياً مع تقرير الأمين العام للأمم المتحدة إلى الجمعية العامة في دورتها السابعة والستين بشأن تحسين اقتصادات البلدان الأقل نمواً، استُهلت دراسات عن إنشاء بنك للتكنولوجيا في تركيا مخصص للبلدان الأقل نمواً وحق</w:t>
      </w:r>
      <w:r w:rsidR="003F0A29">
        <w:rPr>
          <w:rFonts w:hint="cs"/>
          <w:rtl/>
        </w:rPr>
        <w:t>ق</w:t>
      </w:r>
      <w:r>
        <w:rPr>
          <w:rtl/>
        </w:rPr>
        <w:t>ت تقدم</w:t>
      </w:r>
      <w:r w:rsidR="003F0A29">
        <w:rPr>
          <w:rFonts w:hint="cs"/>
          <w:rtl/>
        </w:rPr>
        <w:t>اً</w:t>
      </w:r>
      <w:r>
        <w:rPr>
          <w:rtl/>
        </w:rPr>
        <w:t xml:space="preserve"> ملحوظ</w:t>
      </w:r>
      <w:r w:rsidR="003F0A29">
        <w:rPr>
          <w:rFonts w:hint="cs"/>
          <w:rtl/>
        </w:rPr>
        <w:t>اً</w:t>
      </w:r>
      <w:r>
        <w:rPr>
          <w:rtl/>
        </w:rPr>
        <w:t xml:space="preserve"> في هذا الصدد.</w:t>
      </w:r>
      <w:r w:rsidR="003F0A29">
        <w:rPr>
          <w:rFonts w:hint="cs"/>
          <w:rtl/>
        </w:rPr>
        <w:t xml:space="preserve"> </w:t>
      </w:r>
      <w:r>
        <w:rPr>
          <w:rtl/>
        </w:rPr>
        <w:t xml:space="preserve">وسيهدف بنك التكنولوجيا إلى دعم التطوير التكنولوجي للبلدان الأقل نمواً من خلال إنشاء بنك للبراءات، ومرفق لإيداع العلوم والتكنولوجيا، وآلية لدعم </w:t>
      </w:r>
      <w:r w:rsidR="003F0A29">
        <w:rPr>
          <w:rtl/>
        </w:rPr>
        <w:t xml:space="preserve">العلوم والتكنولوجيا </w:t>
      </w:r>
      <w:r w:rsidR="003F0A29">
        <w:rPr>
          <w:rFonts w:hint="cs"/>
          <w:rtl/>
        </w:rPr>
        <w:t>و</w:t>
      </w:r>
      <w:r w:rsidR="003F0A29">
        <w:rPr>
          <w:rtl/>
        </w:rPr>
        <w:t>الابتكار</w:t>
      </w:r>
      <w:r w:rsidR="003F0A29">
        <w:rPr>
          <w:rFonts w:hint="cs"/>
          <w:rtl/>
        </w:rPr>
        <w:t>،</w:t>
      </w:r>
      <w:r>
        <w:rPr>
          <w:rtl/>
        </w:rPr>
        <w:t xml:space="preserve"> وتشجيع الابتكار، ونشر المعارف ونقل التكنولوجيا في البلدان الأقل نمواً.</w:t>
      </w:r>
    </w:p>
    <w:p w:rsidR="003F0A29" w:rsidRPr="009744FF" w:rsidRDefault="00523959" w:rsidP="009744FF">
      <w:pPr>
        <w:pStyle w:val="Heading1"/>
        <w:rPr>
          <w:rtl/>
        </w:rPr>
      </w:pPr>
      <w:r w:rsidRPr="009744FF">
        <w:rPr>
          <w:rtl/>
        </w:rPr>
        <w:t>رابعاً. شروط التعيين كإدارة للبحث الدولي وإدارة للفحص التمهيدي الدولي</w:t>
      </w:r>
    </w:p>
    <w:p w:rsidR="00523959" w:rsidRDefault="00523959" w:rsidP="009744FF">
      <w:pPr>
        <w:pStyle w:val="Heading2"/>
        <w:spacing w:after="0"/>
        <w:rPr>
          <w:rtl/>
        </w:rPr>
      </w:pPr>
      <w:r>
        <w:rPr>
          <w:rtl/>
        </w:rPr>
        <w:t>القدرة على البحث والفحص</w:t>
      </w:r>
    </w:p>
    <w:p w:rsidR="00715BB6" w:rsidRDefault="00523959" w:rsidP="009744FF">
      <w:pPr>
        <w:pStyle w:val="NumberedParaAR"/>
        <w:numPr>
          <w:ilvl w:val="0"/>
          <w:numId w:val="7"/>
        </w:numPr>
      </w:pPr>
      <w:r>
        <w:rPr>
          <w:rtl/>
        </w:rPr>
        <w:t xml:space="preserve">أنشئ </w:t>
      </w:r>
      <w:r w:rsidR="003F0A29">
        <w:rPr>
          <w:rFonts w:hint="cs"/>
          <w:rtl/>
        </w:rPr>
        <w:t xml:space="preserve">المكتب التركي </w:t>
      </w:r>
      <w:r>
        <w:rPr>
          <w:rtl/>
        </w:rPr>
        <w:t>للبراءات</w:t>
      </w:r>
      <w:r w:rsidR="003F0A29">
        <w:rPr>
          <w:rFonts w:hint="cs"/>
          <w:rtl/>
        </w:rPr>
        <w:t xml:space="preserve"> والعلامات التجارية</w:t>
      </w:r>
      <w:r>
        <w:rPr>
          <w:rtl/>
        </w:rPr>
        <w:t xml:space="preserve"> في عام 1994.</w:t>
      </w:r>
      <w:r w:rsidR="003F0A29">
        <w:rPr>
          <w:rFonts w:hint="cs"/>
          <w:rtl/>
        </w:rPr>
        <w:t xml:space="preserve"> </w:t>
      </w:r>
      <w:r>
        <w:rPr>
          <w:rtl/>
        </w:rPr>
        <w:t>وبين عامي 1994 و2005، لجأ الم</w:t>
      </w:r>
      <w:r w:rsidR="003F0A29">
        <w:rPr>
          <w:rFonts w:hint="cs"/>
          <w:rtl/>
        </w:rPr>
        <w:t xml:space="preserve">كتب </w:t>
      </w:r>
      <w:r>
        <w:rPr>
          <w:rtl/>
        </w:rPr>
        <w:t>إلى مكاتب شريكة تتمتع بصفة</w:t>
      </w:r>
      <w:r w:rsidR="003F0A29">
        <w:rPr>
          <w:rFonts w:hint="cs"/>
          <w:rtl/>
        </w:rPr>
        <w:t xml:space="preserve"> </w:t>
      </w:r>
      <w:r w:rsidR="003F0A29" w:rsidRPr="00423944">
        <w:rPr>
          <w:rtl/>
        </w:rPr>
        <w:t>إدارة للبحث الدولي والفحص التمهيدي الدولي</w:t>
      </w:r>
      <w:r>
        <w:rPr>
          <w:rtl/>
        </w:rPr>
        <w:t xml:space="preserve"> لإعداد جميع تقارير البحث والفحص.</w:t>
      </w:r>
      <w:r w:rsidR="003F0A29">
        <w:rPr>
          <w:rFonts w:hint="cs"/>
          <w:rtl/>
        </w:rPr>
        <w:t xml:space="preserve"> </w:t>
      </w:r>
      <w:r>
        <w:rPr>
          <w:rtl/>
        </w:rPr>
        <w:t>وفي عام 2005، شرع الم</w:t>
      </w:r>
      <w:r w:rsidR="00C023E9">
        <w:rPr>
          <w:rFonts w:hint="cs"/>
          <w:rtl/>
        </w:rPr>
        <w:t xml:space="preserve">كتب </w:t>
      </w:r>
      <w:r>
        <w:rPr>
          <w:rtl/>
        </w:rPr>
        <w:t xml:space="preserve">في إعداد تقارير البحث والفحص بفضل </w:t>
      </w:r>
      <w:r w:rsidR="00C023E9">
        <w:rPr>
          <w:rFonts w:hint="cs"/>
          <w:rtl/>
        </w:rPr>
        <w:t xml:space="preserve">حوالي </w:t>
      </w:r>
      <w:r>
        <w:rPr>
          <w:rtl/>
        </w:rPr>
        <w:t>عشرة فاحصين وفي بعض المجالات التقنية فقط؛ وكان لابد من تكليف المكاتب الشريكة نفسها بإعداد غالبية التقارير.</w:t>
      </w:r>
      <w:r w:rsidR="00C023E9">
        <w:rPr>
          <w:rFonts w:hint="cs"/>
          <w:rtl/>
        </w:rPr>
        <w:t xml:space="preserve"> </w:t>
      </w:r>
      <w:r>
        <w:rPr>
          <w:rtl/>
        </w:rPr>
        <w:t>و</w:t>
      </w:r>
      <w:r w:rsidR="00C023E9">
        <w:rPr>
          <w:rFonts w:hint="cs"/>
          <w:rtl/>
        </w:rPr>
        <w:t>ساه</w:t>
      </w:r>
      <w:r>
        <w:rPr>
          <w:rtl/>
        </w:rPr>
        <w:t xml:space="preserve">مت هذه الشراكة مع مكاتب إدارة البحث الدولي والفحص التمهيدي الدولي </w:t>
      </w:r>
      <w:r w:rsidR="00C023E9">
        <w:rPr>
          <w:rFonts w:hint="cs"/>
          <w:rtl/>
        </w:rPr>
        <w:t xml:space="preserve">مساهمة </w:t>
      </w:r>
      <w:r>
        <w:rPr>
          <w:rtl/>
        </w:rPr>
        <w:t>جليل</w:t>
      </w:r>
      <w:r w:rsidR="00C023E9">
        <w:rPr>
          <w:rFonts w:hint="cs"/>
          <w:rtl/>
        </w:rPr>
        <w:t>ة</w:t>
      </w:r>
      <w:r>
        <w:rPr>
          <w:rtl/>
        </w:rPr>
        <w:t xml:space="preserve"> في جودة البراءات التي أصدرها الم</w:t>
      </w:r>
      <w:r w:rsidR="00C023E9">
        <w:rPr>
          <w:rFonts w:hint="cs"/>
          <w:rtl/>
        </w:rPr>
        <w:t xml:space="preserve">كتب </w:t>
      </w:r>
      <w:r w:rsidR="00865078">
        <w:rPr>
          <w:rFonts w:hint="cs"/>
          <w:rtl/>
        </w:rPr>
        <w:t>بال</w:t>
      </w:r>
      <w:r>
        <w:rPr>
          <w:rtl/>
        </w:rPr>
        <w:t>نظر إلى الجودة العالية لتقارير البحث والفحص التي أعدتها المكاتب الشريكة.</w:t>
      </w:r>
      <w:r w:rsidR="00715BB6">
        <w:rPr>
          <w:rFonts w:hint="cs"/>
          <w:rtl/>
        </w:rPr>
        <w:t xml:space="preserve"> </w:t>
      </w:r>
      <w:r w:rsidR="00715BB6">
        <w:rPr>
          <w:rtl/>
        </w:rPr>
        <w:t>و</w:t>
      </w:r>
      <w:r w:rsidR="00715BB6">
        <w:rPr>
          <w:rFonts w:hint="cs"/>
          <w:rtl/>
        </w:rPr>
        <w:t xml:space="preserve">ساهمت </w:t>
      </w:r>
      <w:r>
        <w:rPr>
          <w:rtl/>
        </w:rPr>
        <w:t xml:space="preserve">هذه الشراكة أيضاً مع مرور الوقت </w:t>
      </w:r>
      <w:r w:rsidR="00715BB6">
        <w:rPr>
          <w:rFonts w:hint="cs"/>
          <w:rtl/>
        </w:rPr>
        <w:t>مساهمة جليلة</w:t>
      </w:r>
      <w:r>
        <w:rPr>
          <w:rtl/>
        </w:rPr>
        <w:t xml:space="preserve"> في تحسين خبرة فاحصي الم</w:t>
      </w:r>
      <w:r w:rsidR="00715BB6">
        <w:rPr>
          <w:rFonts w:hint="cs"/>
          <w:rtl/>
        </w:rPr>
        <w:t xml:space="preserve">كتب </w:t>
      </w:r>
      <w:r>
        <w:rPr>
          <w:rtl/>
        </w:rPr>
        <w:t xml:space="preserve">في مجال البحث والفحص وتحسين جودة عمل البحث والفحص في </w:t>
      </w:r>
      <w:r w:rsidR="00715BB6">
        <w:rPr>
          <w:rFonts w:hint="cs"/>
          <w:rtl/>
        </w:rPr>
        <w:t>المكتب التركي</w:t>
      </w:r>
      <w:r>
        <w:rPr>
          <w:rtl/>
        </w:rPr>
        <w:t xml:space="preserve"> للبراءات</w:t>
      </w:r>
      <w:r w:rsidR="00715BB6">
        <w:rPr>
          <w:rFonts w:hint="cs"/>
          <w:rtl/>
        </w:rPr>
        <w:t xml:space="preserve"> والعلامات التجارية</w:t>
      </w:r>
      <w:r>
        <w:rPr>
          <w:rtl/>
        </w:rPr>
        <w:t>.</w:t>
      </w:r>
    </w:p>
    <w:p w:rsidR="003E39ED" w:rsidRDefault="00523959" w:rsidP="009744FF">
      <w:pPr>
        <w:pStyle w:val="NumberedParaAR"/>
        <w:numPr>
          <w:ilvl w:val="0"/>
          <w:numId w:val="7"/>
        </w:numPr>
      </w:pPr>
      <w:r>
        <w:rPr>
          <w:rtl/>
        </w:rPr>
        <w:t>ومنذ عام 2005، عُززت قدرات الم</w:t>
      </w:r>
      <w:r w:rsidR="00715BB6">
        <w:rPr>
          <w:rFonts w:hint="cs"/>
          <w:rtl/>
        </w:rPr>
        <w:t xml:space="preserve">كتب </w:t>
      </w:r>
      <w:r>
        <w:rPr>
          <w:rtl/>
        </w:rPr>
        <w:t>على البحث والفحص بانتظام نتيجة التخطيط الاستراتيجي للموارد البشرية والاستثمار في البنية التحتية التقنية اللازمة.</w:t>
      </w:r>
      <w:r w:rsidR="00715BB6">
        <w:rPr>
          <w:rFonts w:hint="cs"/>
          <w:rtl/>
        </w:rPr>
        <w:t xml:space="preserve"> </w:t>
      </w:r>
      <w:r>
        <w:rPr>
          <w:rtl/>
        </w:rPr>
        <w:t>وازدادت قدرات الم</w:t>
      </w:r>
      <w:r w:rsidR="00715BB6">
        <w:rPr>
          <w:rFonts w:hint="cs"/>
          <w:rtl/>
        </w:rPr>
        <w:t xml:space="preserve">كتب </w:t>
      </w:r>
      <w:r>
        <w:rPr>
          <w:rtl/>
        </w:rPr>
        <w:t>على البحث والفحص، من حيث الموارد البشرية، أكثر من عشر مرات منذ عام 2005؛ وفضلاً عن ذلك، ازداد عدد تقارير البحث والفحص التي أعدها الم</w:t>
      </w:r>
      <w:r w:rsidR="00715BB6">
        <w:rPr>
          <w:rFonts w:hint="cs"/>
          <w:rtl/>
        </w:rPr>
        <w:t xml:space="preserve">كتب </w:t>
      </w:r>
      <w:r>
        <w:rPr>
          <w:rtl/>
        </w:rPr>
        <w:t>أكثر من عشر مرات منذ عام 2010.</w:t>
      </w:r>
      <w:r w:rsidR="00715BB6">
        <w:rPr>
          <w:rFonts w:hint="cs"/>
          <w:rtl/>
        </w:rPr>
        <w:t xml:space="preserve"> </w:t>
      </w:r>
      <w:r>
        <w:rPr>
          <w:rtl/>
        </w:rPr>
        <w:t>وتغطي قدرة الم</w:t>
      </w:r>
      <w:r w:rsidR="00CB3655">
        <w:rPr>
          <w:rFonts w:hint="cs"/>
          <w:rtl/>
        </w:rPr>
        <w:t xml:space="preserve">كتب </w:t>
      </w:r>
      <w:r>
        <w:rPr>
          <w:rtl/>
        </w:rPr>
        <w:t>على البحث والفحص جميع المجالات التقنية بفضل فاحصي براءات مدرَّبين تدريباً جيداً في جميع المجالات.</w:t>
      </w:r>
      <w:r w:rsidR="00CB3655">
        <w:rPr>
          <w:rFonts w:hint="cs"/>
          <w:rtl/>
        </w:rPr>
        <w:t xml:space="preserve"> </w:t>
      </w:r>
      <w:r>
        <w:rPr>
          <w:rtl/>
        </w:rPr>
        <w:t>ونظراً إلى تعزيز قدرات الم</w:t>
      </w:r>
      <w:r w:rsidR="003E39ED">
        <w:rPr>
          <w:rFonts w:hint="cs"/>
          <w:rtl/>
        </w:rPr>
        <w:t xml:space="preserve">كتب </w:t>
      </w:r>
      <w:r>
        <w:rPr>
          <w:rtl/>
        </w:rPr>
        <w:t>على البحث والفحص، قل عدد الطلبات المعدَّة خارجياً خلال السنوات الأخيرة؛ ففي نهاية عام 2015، أصبح الم</w:t>
      </w:r>
      <w:r w:rsidR="003E39ED">
        <w:rPr>
          <w:rFonts w:hint="cs"/>
          <w:rtl/>
        </w:rPr>
        <w:t xml:space="preserve">كتب يتولى إعداد </w:t>
      </w:r>
      <w:r>
        <w:rPr>
          <w:rtl/>
        </w:rPr>
        <w:t>جميع أعمال البحث والفحص لجميع الطلبات المحلية.</w:t>
      </w:r>
    </w:p>
    <w:p w:rsidR="00523959" w:rsidRDefault="003E39ED" w:rsidP="009744FF">
      <w:pPr>
        <w:pStyle w:val="NumberedParaAR"/>
        <w:numPr>
          <w:ilvl w:val="0"/>
          <w:numId w:val="7"/>
        </w:numPr>
      </w:pPr>
      <w:r>
        <w:rPr>
          <w:rFonts w:hint="cs"/>
          <w:rtl/>
        </w:rPr>
        <w:t>و</w:t>
      </w:r>
      <w:r w:rsidR="00523959">
        <w:rPr>
          <w:rtl/>
        </w:rPr>
        <w:t>نتيجة لتطور الم</w:t>
      </w:r>
      <w:r>
        <w:rPr>
          <w:rFonts w:hint="cs"/>
          <w:rtl/>
        </w:rPr>
        <w:t xml:space="preserve">كتب </w:t>
      </w:r>
      <w:r w:rsidR="00523959">
        <w:rPr>
          <w:rtl/>
        </w:rPr>
        <w:t>منذ عام 2005 والانتقال من عدد قليل للغاية من الفاحصين الداخل</w:t>
      </w:r>
      <w:r w:rsidR="00865078">
        <w:rPr>
          <w:rFonts w:hint="cs"/>
          <w:rtl/>
        </w:rPr>
        <w:t>ي</w:t>
      </w:r>
      <w:r w:rsidR="00523959">
        <w:rPr>
          <w:rtl/>
        </w:rPr>
        <w:t xml:space="preserve">ين الذين يغطون عدداً محدوداً من المجالات التقنية إلى توظيف أكثر من 100 فاحص قادرين </w:t>
      </w:r>
      <w:r>
        <w:rPr>
          <w:rtl/>
        </w:rPr>
        <w:t>على تغطية جميع المجالات التقنية</w:t>
      </w:r>
      <w:r w:rsidR="00523959">
        <w:rPr>
          <w:rtl/>
        </w:rPr>
        <w:t>،</w:t>
      </w:r>
      <w:r>
        <w:rPr>
          <w:rFonts w:hint="cs"/>
          <w:rtl/>
        </w:rPr>
        <w:t xml:space="preserve"> يباشر </w:t>
      </w:r>
      <w:r w:rsidR="00523959">
        <w:rPr>
          <w:rtl/>
        </w:rPr>
        <w:t>الم</w:t>
      </w:r>
      <w:r>
        <w:rPr>
          <w:rFonts w:hint="cs"/>
          <w:rtl/>
        </w:rPr>
        <w:t xml:space="preserve">كتب حالياً وظائفه </w:t>
      </w:r>
      <w:r w:rsidRPr="00423944">
        <w:rPr>
          <w:rtl/>
        </w:rPr>
        <w:t>كإدارة للبحث الدولي والفحص التمهيدي الدولي</w:t>
      </w:r>
      <w:r>
        <w:rPr>
          <w:rtl/>
        </w:rPr>
        <w:t xml:space="preserve"> </w:t>
      </w:r>
      <w:r w:rsidR="009241D5">
        <w:rPr>
          <w:rtl/>
        </w:rPr>
        <w:t>لفائدة المنطقة بأكملها</w:t>
      </w:r>
      <w:r w:rsidR="00523959">
        <w:rPr>
          <w:rtl/>
        </w:rPr>
        <w:t>.</w:t>
      </w:r>
    </w:p>
    <w:p w:rsidR="00523959" w:rsidRDefault="00523959" w:rsidP="009744FF">
      <w:pPr>
        <w:pStyle w:val="Heading2"/>
      </w:pPr>
      <w:r w:rsidRPr="009744FF">
        <w:rPr>
          <w:rtl/>
        </w:rPr>
        <w:t>الفاحصون</w:t>
      </w:r>
    </w:p>
    <w:p w:rsidR="00523959" w:rsidRPr="00F323C1" w:rsidRDefault="00523959" w:rsidP="009744FF">
      <w:pPr>
        <w:pStyle w:val="Heading3"/>
      </w:pPr>
      <w:r w:rsidRPr="00F323C1">
        <w:rPr>
          <w:rtl/>
        </w:rPr>
        <w:t>سمات الفاحصين</w:t>
      </w:r>
    </w:p>
    <w:p w:rsidR="00655F58" w:rsidRDefault="00523959" w:rsidP="009744FF">
      <w:pPr>
        <w:pStyle w:val="NumberedParaAR"/>
        <w:numPr>
          <w:ilvl w:val="0"/>
          <w:numId w:val="7"/>
        </w:numPr>
      </w:pPr>
      <w:r>
        <w:rPr>
          <w:rtl/>
        </w:rPr>
        <w:t>يعمل حالياً 1</w:t>
      </w:r>
      <w:r w:rsidR="00F323C1">
        <w:rPr>
          <w:rFonts w:hint="cs"/>
          <w:rtl/>
        </w:rPr>
        <w:t>12</w:t>
      </w:r>
      <w:r>
        <w:rPr>
          <w:rtl/>
        </w:rPr>
        <w:t xml:space="preserve"> فاحص</w:t>
      </w:r>
      <w:r w:rsidR="00F323C1">
        <w:rPr>
          <w:rFonts w:hint="cs"/>
          <w:rtl/>
        </w:rPr>
        <w:t xml:space="preserve">اً </w:t>
      </w:r>
      <w:r>
        <w:rPr>
          <w:rtl/>
        </w:rPr>
        <w:t>بدوام كامل في الم</w:t>
      </w:r>
      <w:r w:rsidR="00F323C1">
        <w:rPr>
          <w:rFonts w:hint="cs"/>
          <w:rtl/>
        </w:rPr>
        <w:t xml:space="preserve">كتب </w:t>
      </w:r>
      <w:r>
        <w:rPr>
          <w:rtl/>
        </w:rPr>
        <w:t>ويضطلعون بمهام البحث والفحص.</w:t>
      </w:r>
      <w:r w:rsidR="00F323C1">
        <w:rPr>
          <w:rFonts w:hint="cs"/>
          <w:rtl/>
        </w:rPr>
        <w:t xml:space="preserve"> </w:t>
      </w:r>
      <w:r>
        <w:rPr>
          <w:rtl/>
        </w:rPr>
        <w:t>ويمتلك جميع فاحصي البراءات درجة البكالوريوس على الأ</w:t>
      </w:r>
      <w:r w:rsidR="00F323C1">
        <w:rPr>
          <w:rtl/>
        </w:rPr>
        <w:t>قل؛ و47 بالمئة من الفاحصين حاصل</w:t>
      </w:r>
      <w:r w:rsidR="00F323C1">
        <w:rPr>
          <w:rFonts w:hint="cs"/>
          <w:rtl/>
        </w:rPr>
        <w:t>و</w:t>
      </w:r>
      <w:r>
        <w:rPr>
          <w:rtl/>
        </w:rPr>
        <w:t>ن على درجة الماجستير أو الدكتوراه أو</w:t>
      </w:r>
      <w:r w:rsidR="00F323C1">
        <w:rPr>
          <w:rFonts w:hint="cs"/>
          <w:rtl/>
        </w:rPr>
        <w:t xml:space="preserve"> لا يزالوا يدرسون من أجل نيلها</w:t>
      </w:r>
      <w:r>
        <w:rPr>
          <w:rtl/>
        </w:rPr>
        <w:t>.</w:t>
      </w:r>
      <w:r w:rsidR="00545A2E">
        <w:rPr>
          <w:rFonts w:hint="cs"/>
          <w:rtl/>
        </w:rPr>
        <w:t xml:space="preserve"> </w:t>
      </w:r>
      <w:r>
        <w:rPr>
          <w:rtl/>
        </w:rPr>
        <w:t>و</w:t>
      </w:r>
      <w:r w:rsidR="00655F58">
        <w:rPr>
          <w:rFonts w:hint="cs"/>
          <w:rtl/>
        </w:rPr>
        <w:t>إ</w:t>
      </w:r>
      <w:r>
        <w:rPr>
          <w:rtl/>
        </w:rPr>
        <w:t>ضافة إلى ذلك، يُزمع تعيين 50 فاحصاً إضافياً بحلول نهاية عام 2019.</w:t>
      </w:r>
    </w:p>
    <w:p w:rsidR="00523959" w:rsidRDefault="00523959" w:rsidP="009744FF">
      <w:pPr>
        <w:pStyle w:val="NumberedParaAR"/>
        <w:numPr>
          <w:ilvl w:val="0"/>
          <w:numId w:val="7"/>
        </w:numPr>
      </w:pPr>
      <w:r>
        <w:rPr>
          <w:rtl/>
        </w:rPr>
        <w:lastRenderedPageBreak/>
        <w:t>وعليه، يستوفي الم</w:t>
      </w:r>
      <w:r w:rsidR="00655F58">
        <w:rPr>
          <w:rFonts w:hint="cs"/>
          <w:rtl/>
        </w:rPr>
        <w:t xml:space="preserve">كتب </w:t>
      </w:r>
      <w:r>
        <w:rPr>
          <w:rtl/>
        </w:rPr>
        <w:t>مجموعة الشروط المنصوص عليها في القاعدتين 1.36"1" و1.63"1" من لائحة المعاهدة اللتين تنصان على أنه "يجب أن يضم المكتب الوطني أو المنظمة الحكومية الدولية مائة موظف على الأقل يشتغلون طوال ساعات الدوام العادية، ويملكون المؤهلات التقنية اللازمة لإجراء البحوث</w:t>
      </w:r>
      <w:r w:rsidR="00865078">
        <w:rPr>
          <w:rFonts w:hint="cs"/>
          <w:rtl/>
        </w:rPr>
        <w:t xml:space="preserve"> والفحوص</w:t>
      </w:r>
      <w:r>
        <w:rPr>
          <w:rtl/>
        </w:rPr>
        <w:t>".</w:t>
      </w:r>
    </w:p>
    <w:p w:rsidR="00523959" w:rsidRPr="00865078" w:rsidRDefault="00523959" w:rsidP="009744FF">
      <w:pPr>
        <w:pStyle w:val="NormalParaAR"/>
        <w:keepNext/>
        <w:rPr>
          <w:u w:val="single"/>
        </w:rPr>
      </w:pPr>
      <w:r w:rsidRPr="00865078">
        <w:rPr>
          <w:u w:val="single"/>
          <w:rtl/>
        </w:rPr>
        <w:t>توزيع فاحصي البراءات بحسب مجالاتهم التقنية</w:t>
      </w:r>
    </w:p>
    <w:tbl>
      <w:tblPr>
        <w:bidiVisual/>
        <w:tblW w:w="5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3676"/>
      </w:tblGrid>
      <w:tr w:rsidR="00453BA8" w:rsidRPr="00E54B54" w:rsidTr="00453BA8">
        <w:trPr>
          <w:cantSplit/>
        </w:trPr>
        <w:tc>
          <w:tcPr>
            <w:tcW w:w="2269" w:type="dxa"/>
          </w:tcPr>
          <w:p w:rsidR="00453BA8" w:rsidRPr="00453BA8" w:rsidRDefault="00453BA8" w:rsidP="009744FF">
            <w:pPr>
              <w:pStyle w:val="NormalParaAR"/>
              <w:spacing w:after="0"/>
              <w:jc w:val="center"/>
              <w:rPr>
                <w:b/>
                <w:bCs/>
              </w:rPr>
            </w:pPr>
            <w:r w:rsidRPr="00453BA8">
              <w:rPr>
                <w:b/>
                <w:bCs/>
                <w:rtl/>
              </w:rPr>
              <w:t>المجال التقني</w:t>
            </w:r>
          </w:p>
        </w:tc>
        <w:tc>
          <w:tcPr>
            <w:tcW w:w="3676" w:type="dxa"/>
          </w:tcPr>
          <w:p w:rsidR="00453BA8" w:rsidRPr="00453BA8" w:rsidRDefault="00453BA8" w:rsidP="009744FF">
            <w:pPr>
              <w:pStyle w:val="NormalParaAR"/>
              <w:spacing w:after="0"/>
              <w:jc w:val="center"/>
              <w:rPr>
                <w:b/>
                <w:bCs/>
              </w:rPr>
            </w:pPr>
            <w:r w:rsidRPr="00453BA8">
              <w:rPr>
                <w:b/>
                <w:bCs/>
                <w:rtl/>
              </w:rPr>
              <w:t>عدد الفاحصين (دوام كامل)</w:t>
            </w:r>
          </w:p>
        </w:tc>
      </w:tr>
      <w:tr w:rsidR="00453BA8" w:rsidRPr="00E54B54" w:rsidTr="00453BA8">
        <w:trPr>
          <w:cantSplit/>
        </w:trPr>
        <w:tc>
          <w:tcPr>
            <w:tcW w:w="2269" w:type="dxa"/>
          </w:tcPr>
          <w:p w:rsidR="00453BA8" w:rsidRPr="00453BA8" w:rsidRDefault="00453BA8" w:rsidP="009744FF">
            <w:pPr>
              <w:pStyle w:val="NormalParaAR"/>
              <w:spacing w:after="0"/>
              <w:jc w:val="center"/>
            </w:pPr>
            <w:r>
              <w:rPr>
                <w:rtl/>
              </w:rPr>
              <w:t>الميكانيكا</w:t>
            </w:r>
          </w:p>
        </w:tc>
        <w:tc>
          <w:tcPr>
            <w:tcW w:w="3676" w:type="dxa"/>
          </w:tcPr>
          <w:p w:rsidR="00453BA8" w:rsidRPr="00E54B54" w:rsidRDefault="00453BA8" w:rsidP="009744FF">
            <w:pPr>
              <w:pStyle w:val="NormalParaAR"/>
              <w:spacing w:after="0"/>
              <w:jc w:val="center"/>
              <w:rPr>
                <w:szCs w:val="22"/>
              </w:rPr>
            </w:pPr>
            <w:r>
              <w:rPr>
                <w:rFonts w:hint="cs"/>
                <w:rtl/>
              </w:rPr>
              <w:t>49</w:t>
            </w:r>
          </w:p>
        </w:tc>
      </w:tr>
      <w:tr w:rsidR="00453BA8" w:rsidRPr="00E54B54" w:rsidTr="00453BA8">
        <w:trPr>
          <w:cantSplit/>
        </w:trPr>
        <w:tc>
          <w:tcPr>
            <w:tcW w:w="2269" w:type="dxa"/>
          </w:tcPr>
          <w:p w:rsidR="00453BA8" w:rsidRPr="00453BA8" w:rsidRDefault="00453BA8" w:rsidP="009744FF">
            <w:pPr>
              <w:pStyle w:val="NormalParaAR"/>
              <w:spacing w:after="0"/>
              <w:jc w:val="center"/>
            </w:pPr>
            <w:r>
              <w:rPr>
                <w:rtl/>
              </w:rPr>
              <w:t>الكهرباء والإلكترونيات</w:t>
            </w:r>
          </w:p>
        </w:tc>
        <w:tc>
          <w:tcPr>
            <w:tcW w:w="3676" w:type="dxa"/>
          </w:tcPr>
          <w:p w:rsidR="00453BA8" w:rsidRPr="00453BA8" w:rsidRDefault="00453BA8" w:rsidP="009744FF">
            <w:pPr>
              <w:pStyle w:val="NormalParaAR"/>
              <w:spacing w:after="0"/>
              <w:jc w:val="center"/>
            </w:pPr>
            <w:r>
              <w:rPr>
                <w:rFonts w:hint="cs"/>
                <w:rtl/>
              </w:rPr>
              <w:t>33</w:t>
            </w:r>
          </w:p>
        </w:tc>
      </w:tr>
      <w:tr w:rsidR="00453BA8" w:rsidRPr="00E54B54" w:rsidTr="00453BA8">
        <w:trPr>
          <w:cantSplit/>
        </w:trPr>
        <w:tc>
          <w:tcPr>
            <w:tcW w:w="2269" w:type="dxa"/>
          </w:tcPr>
          <w:p w:rsidR="00453BA8" w:rsidRPr="00453BA8" w:rsidRDefault="00453BA8" w:rsidP="009744FF">
            <w:pPr>
              <w:pStyle w:val="NormalParaAR"/>
              <w:spacing w:after="0"/>
              <w:jc w:val="center"/>
            </w:pPr>
            <w:r>
              <w:rPr>
                <w:rtl/>
              </w:rPr>
              <w:t>الكيمياء</w:t>
            </w:r>
          </w:p>
        </w:tc>
        <w:tc>
          <w:tcPr>
            <w:tcW w:w="3676" w:type="dxa"/>
          </w:tcPr>
          <w:p w:rsidR="00453BA8" w:rsidRPr="00453BA8" w:rsidRDefault="00453BA8" w:rsidP="009744FF">
            <w:pPr>
              <w:pStyle w:val="NormalParaAR"/>
              <w:spacing w:after="0"/>
              <w:jc w:val="center"/>
            </w:pPr>
            <w:r w:rsidRPr="00453BA8">
              <w:t>24</w:t>
            </w:r>
          </w:p>
        </w:tc>
      </w:tr>
      <w:tr w:rsidR="00453BA8" w:rsidRPr="00E54B54" w:rsidTr="00453BA8">
        <w:trPr>
          <w:cantSplit/>
        </w:trPr>
        <w:tc>
          <w:tcPr>
            <w:tcW w:w="2269" w:type="dxa"/>
          </w:tcPr>
          <w:p w:rsidR="00453BA8" w:rsidRPr="00453BA8" w:rsidRDefault="00453BA8" w:rsidP="009744FF">
            <w:pPr>
              <w:pStyle w:val="NormalParaAR"/>
              <w:spacing w:after="0"/>
              <w:jc w:val="center"/>
            </w:pPr>
            <w:r>
              <w:rPr>
                <w:rtl/>
              </w:rPr>
              <w:t>التكنولوجيا الحيوية</w:t>
            </w:r>
          </w:p>
        </w:tc>
        <w:tc>
          <w:tcPr>
            <w:tcW w:w="3676" w:type="dxa"/>
          </w:tcPr>
          <w:p w:rsidR="00453BA8" w:rsidRPr="00453BA8" w:rsidRDefault="00453BA8" w:rsidP="009744FF">
            <w:pPr>
              <w:pStyle w:val="NormalParaAR"/>
              <w:spacing w:after="0"/>
              <w:jc w:val="center"/>
            </w:pPr>
            <w:r w:rsidRPr="00453BA8">
              <w:t>6</w:t>
            </w:r>
          </w:p>
        </w:tc>
      </w:tr>
      <w:tr w:rsidR="00453BA8" w:rsidRPr="00E54B54" w:rsidTr="00453BA8">
        <w:trPr>
          <w:cantSplit/>
        </w:trPr>
        <w:tc>
          <w:tcPr>
            <w:tcW w:w="2269" w:type="dxa"/>
          </w:tcPr>
          <w:p w:rsidR="00453BA8" w:rsidRPr="00453BA8" w:rsidRDefault="00453BA8" w:rsidP="009744FF">
            <w:pPr>
              <w:pStyle w:val="NormalParaAR"/>
              <w:spacing w:after="0"/>
              <w:jc w:val="center"/>
              <w:rPr>
                <w:i/>
                <w:iCs/>
              </w:rPr>
            </w:pPr>
            <w:r w:rsidRPr="00453BA8">
              <w:rPr>
                <w:i/>
                <w:iCs/>
                <w:rtl/>
              </w:rPr>
              <w:t xml:space="preserve"> المجموع</w:t>
            </w:r>
          </w:p>
        </w:tc>
        <w:tc>
          <w:tcPr>
            <w:tcW w:w="3676" w:type="dxa"/>
          </w:tcPr>
          <w:p w:rsidR="00453BA8" w:rsidRPr="00453BA8" w:rsidRDefault="00453BA8" w:rsidP="009744FF">
            <w:pPr>
              <w:pStyle w:val="NormalParaAR"/>
              <w:spacing w:after="0"/>
              <w:jc w:val="center"/>
              <w:rPr>
                <w:i/>
                <w:iCs/>
              </w:rPr>
            </w:pPr>
            <w:r w:rsidRPr="00453BA8">
              <w:rPr>
                <w:i/>
                <w:iCs/>
              </w:rPr>
              <w:t>112</w:t>
            </w:r>
          </w:p>
        </w:tc>
      </w:tr>
    </w:tbl>
    <w:p w:rsidR="00453BA8" w:rsidRDefault="00453BA8" w:rsidP="00523959">
      <w:pPr>
        <w:pStyle w:val="NormalParaAR"/>
        <w:rPr>
          <w:rtl/>
        </w:rPr>
      </w:pPr>
    </w:p>
    <w:p w:rsidR="00523959" w:rsidRPr="00453BA8" w:rsidRDefault="00523959" w:rsidP="009744FF">
      <w:pPr>
        <w:pStyle w:val="NormalParaAR"/>
        <w:keepNext/>
        <w:spacing w:after="0"/>
        <w:rPr>
          <w:u w:val="single"/>
        </w:rPr>
      </w:pPr>
      <w:r w:rsidRPr="00453BA8">
        <w:rPr>
          <w:u w:val="single"/>
          <w:rtl/>
        </w:rPr>
        <w:t>مسار التعيين</w:t>
      </w:r>
    </w:p>
    <w:p w:rsidR="00523959" w:rsidRDefault="00523959" w:rsidP="009744FF">
      <w:pPr>
        <w:pStyle w:val="NumberedParaAR"/>
        <w:numPr>
          <w:ilvl w:val="0"/>
          <w:numId w:val="7"/>
        </w:numPr>
      </w:pPr>
      <w:r>
        <w:rPr>
          <w:rtl/>
        </w:rPr>
        <w:t>يجب استيفاء الشروط التالية للانضمام كفاحص براءات مبتدئ:</w:t>
      </w:r>
    </w:p>
    <w:p w:rsidR="00523959" w:rsidRDefault="00523959" w:rsidP="009744FF">
      <w:pPr>
        <w:pStyle w:val="NormalParaAR"/>
        <w:numPr>
          <w:ilvl w:val="0"/>
          <w:numId w:val="8"/>
        </w:numPr>
        <w:ind w:left="850" w:hanging="284"/>
      </w:pPr>
      <w:r>
        <w:rPr>
          <w:rtl/>
        </w:rPr>
        <w:t>امتلاك درجة بكالوريوس على الأقل في المجال المعني (يفضل امتلاك درجة ماجستير أو دكتوراه)؛</w:t>
      </w:r>
    </w:p>
    <w:p w:rsidR="00523959" w:rsidRDefault="00523959" w:rsidP="009744FF">
      <w:pPr>
        <w:pStyle w:val="NormalParaAR"/>
        <w:numPr>
          <w:ilvl w:val="0"/>
          <w:numId w:val="8"/>
        </w:numPr>
        <w:ind w:left="850" w:hanging="284"/>
      </w:pPr>
      <w:r>
        <w:rPr>
          <w:rtl/>
        </w:rPr>
        <w:t>إتقان لغة أجنبية (لغة واحدة على الأقل ويحبذ أن تكون الإنكليزية)؛</w:t>
      </w:r>
    </w:p>
    <w:p w:rsidR="00523959" w:rsidRDefault="00523959" w:rsidP="009744FF">
      <w:pPr>
        <w:pStyle w:val="NormalParaAR"/>
        <w:numPr>
          <w:ilvl w:val="0"/>
          <w:numId w:val="8"/>
        </w:numPr>
        <w:ind w:left="850" w:hanging="284"/>
      </w:pPr>
      <w:r>
        <w:rPr>
          <w:rtl/>
        </w:rPr>
        <w:t>الحصول على درجة عالية في امتحان اختيار الموظفين العامين؛</w:t>
      </w:r>
    </w:p>
    <w:p w:rsidR="00523959" w:rsidRDefault="00523959" w:rsidP="009744FF">
      <w:pPr>
        <w:pStyle w:val="NormalParaAR"/>
        <w:numPr>
          <w:ilvl w:val="0"/>
          <w:numId w:val="8"/>
        </w:numPr>
        <w:ind w:left="850" w:hanging="284"/>
      </w:pPr>
      <w:r>
        <w:rPr>
          <w:rtl/>
        </w:rPr>
        <w:t xml:space="preserve">اجتياز الاختبار الخاص (الكتابي والشفهي) </w:t>
      </w:r>
      <w:r w:rsidR="0012039C">
        <w:rPr>
          <w:rFonts w:hint="cs"/>
          <w:rtl/>
        </w:rPr>
        <w:t>للمكتب التركي</w:t>
      </w:r>
      <w:r>
        <w:rPr>
          <w:rtl/>
        </w:rPr>
        <w:t xml:space="preserve"> للبراءات</w:t>
      </w:r>
      <w:r w:rsidR="0012039C">
        <w:rPr>
          <w:rFonts w:hint="cs"/>
          <w:rtl/>
        </w:rPr>
        <w:t xml:space="preserve"> والعلامات التجارية</w:t>
      </w:r>
      <w:r>
        <w:rPr>
          <w:rtl/>
        </w:rPr>
        <w:t>.</w:t>
      </w:r>
    </w:p>
    <w:p w:rsidR="00523959" w:rsidRDefault="00523959" w:rsidP="009744FF">
      <w:pPr>
        <w:pStyle w:val="NumberedParaAR"/>
        <w:numPr>
          <w:ilvl w:val="0"/>
          <w:numId w:val="7"/>
        </w:numPr>
      </w:pPr>
      <w:r>
        <w:rPr>
          <w:rtl/>
        </w:rPr>
        <w:t>وبعد اختيار فاحصي البراءات المبتدئين، يجب استيفاء الشروط التالية للانضمام كفاحص براءات:</w:t>
      </w:r>
    </w:p>
    <w:p w:rsidR="00523959" w:rsidRDefault="00523959" w:rsidP="009744FF">
      <w:pPr>
        <w:pStyle w:val="NormalParaAR"/>
        <w:numPr>
          <w:ilvl w:val="0"/>
          <w:numId w:val="8"/>
        </w:numPr>
        <w:ind w:left="850" w:hanging="284"/>
      </w:pPr>
      <w:r>
        <w:rPr>
          <w:rtl/>
        </w:rPr>
        <w:t>- اجتياز اختبار الخدمة المدنية للمرشحين؛</w:t>
      </w:r>
    </w:p>
    <w:p w:rsidR="00523959" w:rsidRDefault="00523959" w:rsidP="009744FF">
      <w:pPr>
        <w:pStyle w:val="NormalParaAR"/>
        <w:numPr>
          <w:ilvl w:val="0"/>
          <w:numId w:val="8"/>
        </w:numPr>
        <w:ind w:left="850" w:hanging="284"/>
      </w:pPr>
      <w:r>
        <w:rPr>
          <w:rtl/>
        </w:rPr>
        <w:t>- تقديم أطروحة في المجال التقني المعني توافق عليها لجنة التحكيم؛</w:t>
      </w:r>
    </w:p>
    <w:p w:rsidR="00523959" w:rsidRDefault="00523959" w:rsidP="009744FF">
      <w:pPr>
        <w:pStyle w:val="NormalParaAR"/>
        <w:numPr>
          <w:ilvl w:val="0"/>
          <w:numId w:val="8"/>
        </w:numPr>
        <w:ind w:left="850" w:hanging="284"/>
      </w:pPr>
      <w:r>
        <w:rPr>
          <w:rtl/>
        </w:rPr>
        <w:t>- اجتياز اختبار الإتقان الكتابي.</w:t>
      </w:r>
    </w:p>
    <w:p w:rsidR="00523959" w:rsidRPr="00AC2AD5" w:rsidRDefault="00523959" w:rsidP="009744FF">
      <w:pPr>
        <w:pStyle w:val="NormalParaAR"/>
        <w:keepNext/>
        <w:spacing w:after="0"/>
        <w:rPr>
          <w:u w:val="single"/>
        </w:rPr>
      </w:pPr>
      <w:r w:rsidRPr="00AC2AD5">
        <w:rPr>
          <w:u w:val="single"/>
          <w:rtl/>
        </w:rPr>
        <w:t>برامج التدريب</w:t>
      </w:r>
    </w:p>
    <w:p w:rsidR="00AC2AD5" w:rsidRDefault="00523959" w:rsidP="009744FF">
      <w:pPr>
        <w:pStyle w:val="NumberedParaAR"/>
        <w:numPr>
          <w:ilvl w:val="0"/>
          <w:numId w:val="7"/>
        </w:numPr>
      </w:pPr>
      <w:r>
        <w:rPr>
          <w:rtl/>
        </w:rPr>
        <w:t>يوفر الم</w:t>
      </w:r>
      <w:r w:rsidR="00AC2AD5">
        <w:rPr>
          <w:rFonts w:hint="cs"/>
          <w:rtl/>
        </w:rPr>
        <w:t xml:space="preserve">كتب </w:t>
      </w:r>
      <w:r>
        <w:rPr>
          <w:rtl/>
        </w:rPr>
        <w:t>تدريباً في مجال قانون البراءات والفحص الشكلي والفحص الموضوعي والجدة والنشاط الابتكاري والتطبيق الصناعي والوحدة والوضوح وقواعد البيانات (</w:t>
      </w:r>
      <w:proofErr w:type="spellStart"/>
      <w:r>
        <w:t>EPOQUENET</w:t>
      </w:r>
      <w:proofErr w:type="spellEnd"/>
      <w:r>
        <w:rPr>
          <w:rtl/>
        </w:rPr>
        <w:t>، و</w:t>
      </w:r>
      <w:proofErr w:type="spellStart"/>
      <w:r>
        <w:t>ESPACENET</w:t>
      </w:r>
      <w:proofErr w:type="spellEnd"/>
      <w:r>
        <w:rPr>
          <w:rtl/>
        </w:rPr>
        <w:t>، وغيرهما) ونظامَي التصنيف (التصنيف الدولي للبراءات والتصنيف التعاوني للبراءات) والدورات اللغوية.</w:t>
      </w:r>
      <w:r w:rsidR="00AC2AD5">
        <w:rPr>
          <w:rFonts w:hint="cs"/>
          <w:rtl/>
        </w:rPr>
        <w:t xml:space="preserve"> </w:t>
      </w:r>
      <w:r>
        <w:rPr>
          <w:rtl/>
        </w:rPr>
        <w:t xml:space="preserve">وفضلاً عن ذلك، ينبغي للفاحصين أن يلتحقوا بدورات التعلّم عن بعد </w:t>
      </w:r>
      <w:proofErr w:type="spellStart"/>
      <w:r>
        <w:rPr>
          <w:rtl/>
        </w:rPr>
        <w:t>للويبو</w:t>
      </w:r>
      <w:proofErr w:type="spellEnd"/>
      <w:r>
        <w:rPr>
          <w:rtl/>
        </w:rPr>
        <w:t xml:space="preserve"> والمكتب الأوروبي للبراءات.</w:t>
      </w:r>
    </w:p>
    <w:p w:rsidR="00523959" w:rsidRDefault="00523959" w:rsidP="009744FF">
      <w:pPr>
        <w:pStyle w:val="NumberedParaAR"/>
        <w:numPr>
          <w:ilvl w:val="0"/>
          <w:numId w:val="7"/>
        </w:numPr>
      </w:pPr>
      <w:r>
        <w:rPr>
          <w:rtl/>
        </w:rPr>
        <w:t>ويعرض الجدول التالي ملخصاً لبرامج التدريب المقدمة للفاحصين الجدد وأنشطة التدريب الجارية للفاحصين الحاليين بما في ذلك المدة المتوسطة لكل تدريب:</w:t>
      </w:r>
    </w:p>
    <w:tbl>
      <w:tblPr>
        <w:bidiVisual/>
        <w:tblW w:w="9284" w:type="dxa"/>
        <w:tblCellMar>
          <w:left w:w="0" w:type="dxa"/>
          <w:right w:w="0" w:type="dxa"/>
        </w:tblCellMar>
        <w:tblLook w:val="00A0" w:firstRow="1" w:lastRow="0" w:firstColumn="1" w:lastColumn="0" w:noHBand="0" w:noVBand="0"/>
      </w:tblPr>
      <w:tblGrid>
        <w:gridCol w:w="1975"/>
        <w:gridCol w:w="1984"/>
        <w:gridCol w:w="3969"/>
        <w:gridCol w:w="1356"/>
      </w:tblGrid>
      <w:tr w:rsidR="009E65E4" w:rsidRPr="00AF1C58" w:rsidTr="009E65E4">
        <w:trPr>
          <w:trHeight w:val="420"/>
          <w:tblHeader/>
        </w:trPr>
        <w:tc>
          <w:tcPr>
            <w:tcW w:w="3959"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tcPr>
          <w:p w:rsidR="009E65E4" w:rsidRPr="00A30F49" w:rsidRDefault="009E65E4" w:rsidP="009744FF">
            <w:pPr>
              <w:keepNext/>
              <w:spacing w:line="360" w:lineRule="exact"/>
              <w:jc w:val="center"/>
              <w:rPr>
                <w:color w:val="222222"/>
                <w:szCs w:val="22"/>
                <w:lang w:eastAsia="tr-TR"/>
              </w:rPr>
            </w:pPr>
            <w:r w:rsidRPr="00A30F49">
              <w:rPr>
                <w:bCs/>
                <w:color w:val="000000"/>
                <w:szCs w:val="22"/>
                <w:lang w:eastAsia="tr-TR"/>
              </w:rPr>
              <w:lastRenderedPageBreak/>
              <w:t> </w:t>
            </w:r>
          </w:p>
        </w:tc>
        <w:tc>
          <w:tcPr>
            <w:tcW w:w="3969"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9E65E4" w:rsidRDefault="009E65E4" w:rsidP="009744FF">
            <w:pPr>
              <w:pStyle w:val="NormalParaAR"/>
              <w:keepNext/>
              <w:spacing w:after="0"/>
              <w:jc w:val="center"/>
              <w:rPr>
                <w:b/>
                <w:bCs/>
              </w:rPr>
            </w:pPr>
            <w:r w:rsidRPr="009E65E4">
              <w:rPr>
                <w:rFonts w:hint="cs"/>
                <w:b/>
                <w:bCs/>
                <w:rtl/>
              </w:rPr>
              <w:t>الموضوع</w:t>
            </w:r>
          </w:p>
        </w:tc>
        <w:tc>
          <w:tcPr>
            <w:tcW w:w="135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9E65E4" w:rsidRDefault="009E65E4" w:rsidP="009744FF">
            <w:pPr>
              <w:pStyle w:val="NormalParaAR"/>
              <w:keepNext/>
              <w:spacing w:after="0"/>
              <w:jc w:val="center"/>
              <w:rPr>
                <w:b/>
                <w:bCs/>
              </w:rPr>
            </w:pPr>
            <w:r w:rsidRPr="009E65E4">
              <w:rPr>
                <w:rFonts w:hint="cs"/>
                <w:b/>
                <w:bCs/>
                <w:rtl/>
              </w:rPr>
              <w:t>المدة</w:t>
            </w:r>
          </w:p>
        </w:tc>
      </w:tr>
      <w:tr w:rsidR="009E65E4" w:rsidRPr="00AF1C58" w:rsidTr="009E65E4">
        <w:trPr>
          <w:trHeight w:val="300"/>
        </w:trPr>
        <w:tc>
          <w:tcPr>
            <w:tcW w:w="1975" w:type="dxa"/>
            <w:vMerge w:val="restart"/>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Default="009E65E4" w:rsidP="009744FF">
            <w:pPr>
              <w:pStyle w:val="NormalParaAR"/>
              <w:spacing w:after="0"/>
              <w:rPr>
                <w:rtl/>
              </w:rPr>
            </w:pPr>
          </w:p>
          <w:p w:rsidR="009E65E4" w:rsidRPr="00401728" w:rsidRDefault="009E65E4" w:rsidP="009744FF">
            <w:pPr>
              <w:pStyle w:val="NormalParaAR"/>
              <w:spacing w:after="0"/>
              <w:jc w:val="center"/>
              <w:rPr>
                <w:b/>
                <w:bCs/>
              </w:rPr>
            </w:pPr>
            <w:r w:rsidRPr="009E65E4">
              <w:rPr>
                <w:b/>
                <w:bCs/>
                <w:rtl/>
              </w:rPr>
              <w:t>التدريب الأساسي</w:t>
            </w:r>
          </w:p>
        </w:tc>
        <w:tc>
          <w:tcPr>
            <w:tcW w:w="1984"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401728" w:rsidRDefault="009E65E4" w:rsidP="009744FF">
            <w:pPr>
              <w:pStyle w:val="NormalParaAR"/>
              <w:spacing w:after="0"/>
              <w:jc w:val="center"/>
            </w:pPr>
            <w:r>
              <w:rPr>
                <w:rtl/>
              </w:rPr>
              <w:t>مقدمة عامة</w:t>
            </w: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A30F49" w:rsidRDefault="009E65E4" w:rsidP="009744FF">
            <w:pPr>
              <w:pStyle w:val="NormalParaAR"/>
              <w:numPr>
                <w:ilvl w:val="0"/>
                <w:numId w:val="4"/>
              </w:numPr>
              <w:spacing w:after="0"/>
              <w:rPr>
                <w:bCs/>
                <w:color w:val="000000"/>
                <w:szCs w:val="22"/>
                <w:lang w:eastAsia="tr-TR"/>
              </w:rPr>
            </w:pPr>
            <w:r w:rsidRPr="009E65E4">
              <w:rPr>
                <w:rFonts w:hint="cs"/>
                <w:rtl/>
              </w:rPr>
              <w:t>مقدمة</w:t>
            </w:r>
          </w:p>
        </w:tc>
        <w:tc>
          <w:tcPr>
            <w:tcW w:w="1356"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9E65E4" w:rsidRPr="00A30F49" w:rsidRDefault="009E65E4" w:rsidP="009744FF">
            <w:pPr>
              <w:pStyle w:val="NormalParaAR"/>
              <w:spacing w:after="0"/>
              <w:jc w:val="center"/>
              <w:rPr>
                <w:color w:val="222222"/>
                <w:szCs w:val="22"/>
                <w:lang w:eastAsia="tr-TR"/>
              </w:rPr>
            </w:pPr>
            <w:r w:rsidRPr="009E65E4">
              <w:rPr>
                <w:rFonts w:hint="cs"/>
                <w:rtl/>
              </w:rPr>
              <w:t>أسبوعان</w:t>
            </w:r>
          </w:p>
        </w:tc>
      </w:tr>
      <w:tr w:rsidR="009E65E4" w:rsidRPr="00AF1C58" w:rsidTr="009E65E4">
        <w:trPr>
          <w:trHeight w:val="300"/>
        </w:trPr>
        <w:tc>
          <w:tcPr>
            <w:tcW w:w="1975" w:type="dxa"/>
            <w:vMerge/>
            <w:tcBorders>
              <w:top w:val="nil"/>
              <w:left w:val="single" w:sz="8" w:space="0" w:color="auto"/>
              <w:bottom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nil"/>
              <w:left w:val="nil"/>
              <w:bottom w:val="single" w:sz="8" w:space="0" w:color="auto"/>
              <w:right w:val="single" w:sz="8" w:space="0" w:color="auto"/>
            </w:tcBorders>
            <w:shd w:val="clear" w:color="auto" w:fill="auto"/>
            <w:vAlign w:val="center"/>
          </w:tcPr>
          <w:p w:rsidR="009E65E4" w:rsidRPr="00A30F49" w:rsidRDefault="009E65E4" w:rsidP="009744FF">
            <w:pPr>
              <w:spacing w:line="360" w:lineRule="exact"/>
              <w:rPr>
                <w:bCs/>
                <w:color w:val="000000"/>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9E65E4" w:rsidRDefault="009E65E4" w:rsidP="009744FF">
            <w:pPr>
              <w:pStyle w:val="NormalParaAR"/>
              <w:numPr>
                <w:ilvl w:val="0"/>
                <w:numId w:val="4"/>
              </w:numPr>
              <w:spacing w:after="0"/>
            </w:pPr>
            <w:r>
              <w:rPr>
                <w:rtl/>
              </w:rPr>
              <w:t>قانون البراءات</w:t>
            </w:r>
          </w:p>
        </w:tc>
        <w:tc>
          <w:tcPr>
            <w:tcW w:w="1356"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nil"/>
              <w:left w:val="single" w:sz="8" w:space="0" w:color="auto"/>
              <w:bottom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nil"/>
              <w:left w:val="nil"/>
              <w:bottom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A30F49" w:rsidRDefault="009E65E4" w:rsidP="009744FF">
            <w:pPr>
              <w:pStyle w:val="NormalParaAR"/>
              <w:numPr>
                <w:ilvl w:val="0"/>
                <w:numId w:val="4"/>
              </w:numPr>
              <w:spacing w:after="0"/>
              <w:rPr>
                <w:color w:val="222222"/>
                <w:szCs w:val="22"/>
                <w:lang w:eastAsia="tr-TR"/>
              </w:rPr>
            </w:pPr>
            <w:r>
              <w:rPr>
                <w:rtl/>
              </w:rPr>
              <w:t>إجراءات المنح</w:t>
            </w:r>
            <w:r w:rsidRPr="00A30F49">
              <w:rPr>
                <w:bCs/>
                <w:color w:val="000000"/>
                <w:szCs w:val="22"/>
                <w:lang w:eastAsia="tr-TR"/>
              </w:rPr>
              <w:t xml:space="preserve"> </w:t>
            </w:r>
          </w:p>
        </w:tc>
        <w:tc>
          <w:tcPr>
            <w:tcW w:w="1356"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nil"/>
              <w:left w:val="single" w:sz="8" w:space="0" w:color="auto"/>
              <w:bottom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nil"/>
              <w:left w:val="nil"/>
              <w:bottom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9E65E4" w:rsidRDefault="009E65E4" w:rsidP="009744FF">
            <w:pPr>
              <w:pStyle w:val="NormalParaAR"/>
              <w:numPr>
                <w:ilvl w:val="0"/>
                <w:numId w:val="4"/>
              </w:numPr>
              <w:spacing w:after="0"/>
            </w:pPr>
            <w:r>
              <w:rPr>
                <w:rtl/>
              </w:rPr>
              <w:t>برمجية الم</w:t>
            </w:r>
            <w:r>
              <w:rPr>
                <w:rFonts w:hint="cs"/>
                <w:rtl/>
              </w:rPr>
              <w:t xml:space="preserve">كتب </w:t>
            </w:r>
            <w:r>
              <w:rPr>
                <w:rtl/>
              </w:rPr>
              <w:t>للبراءات</w:t>
            </w:r>
          </w:p>
        </w:tc>
        <w:tc>
          <w:tcPr>
            <w:tcW w:w="1356"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nil"/>
              <w:left w:val="single" w:sz="8" w:space="0" w:color="auto"/>
              <w:bottom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nil"/>
              <w:left w:val="nil"/>
              <w:bottom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9E65E4" w:rsidRDefault="009E65E4" w:rsidP="009744FF">
            <w:pPr>
              <w:pStyle w:val="NormalParaAR"/>
              <w:numPr>
                <w:ilvl w:val="0"/>
                <w:numId w:val="4"/>
              </w:numPr>
              <w:spacing w:after="0"/>
            </w:pPr>
            <w:r>
              <w:rPr>
                <w:rtl/>
              </w:rPr>
              <w:t>قواعد البيانات</w:t>
            </w:r>
            <w:r w:rsidRPr="009E65E4">
              <w:t xml:space="preserve"> </w:t>
            </w:r>
          </w:p>
        </w:tc>
        <w:tc>
          <w:tcPr>
            <w:tcW w:w="1356"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nil"/>
              <w:left w:val="single" w:sz="8" w:space="0" w:color="auto"/>
              <w:bottom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nil"/>
              <w:left w:val="nil"/>
              <w:bottom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9E65E4" w:rsidRDefault="009E65E4" w:rsidP="009744FF">
            <w:pPr>
              <w:pStyle w:val="NormalParaAR"/>
              <w:numPr>
                <w:ilvl w:val="0"/>
                <w:numId w:val="4"/>
              </w:numPr>
              <w:spacing w:after="0"/>
            </w:pPr>
            <w:r>
              <w:rPr>
                <w:rtl/>
              </w:rPr>
              <w:t>الاتفاقات الدولية</w:t>
            </w:r>
            <w:r w:rsidRPr="009E65E4">
              <w:t xml:space="preserve"> </w:t>
            </w:r>
          </w:p>
        </w:tc>
        <w:tc>
          <w:tcPr>
            <w:tcW w:w="1356"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nil"/>
              <w:left w:val="single" w:sz="8" w:space="0" w:color="auto"/>
              <w:bottom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401728" w:rsidRDefault="009E65E4" w:rsidP="009744FF">
            <w:pPr>
              <w:pStyle w:val="NormalParaAR"/>
              <w:spacing w:after="0"/>
              <w:jc w:val="center"/>
            </w:pPr>
            <w:r>
              <w:rPr>
                <w:rtl/>
              </w:rPr>
              <w:t>مصادر خارجية</w:t>
            </w: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9E65E4" w:rsidRDefault="009E65E4" w:rsidP="009744FF">
            <w:pPr>
              <w:pStyle w:val="NormalParaAR"/>
              <w:numPr>
                <w:ilvl w:val="0"/>
                <w:numId w:val="4"/>
              </w:numPr>
              <w:spacing w:after="0"/>
            </w:pPr>
            <w:r>
              <w:rPr>
                <w:rtl/>
              </w:rPr>
              <w:t>دورات تعلّم عن بعد</w:t>
            </w:r>
          </w:p>
        </w:tc>
        <w:tc>
          <w:tcPr>
            <w:tcW w:w="1356"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nil"/>
              <w:left w:val="single" w:sz="8" w:space="0" w:color="auto"/>
              <w:bottom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nil"/>
              <w:left w:val="nil"/>
              <w:bottom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A30F49" w:rsidRDefault="009E65E4" w:rsidP="009744FF">
            <w:pPr>
              <w:pStyle w:val="NormalParaAR"/>
              <w:numPr>
                <w:ilvl w:val="0"/>
                <w:numId w:val="4"/>
              </w:numPr>
              <w:spacing w:after="0"/>
              <w:rPr>
                <w:color w:val="222222"/>
                <w:szCs w:val="22"/>
                <w:lang w:eastAsia="tr-TR"/>
              </w:rPr>
            </w:pPr>
            <w:r>
              <w:rPr>
                <w:rtl/>
              </w:rPr>
              <w:t xml:space="preserve">ندوات </w:t>
            </w:r>
            <w:r w:rsidR="00455355">
              <w:rPr>
                <w:rFonts w:hint="cs"/>
                <w:rtl/>
              </w:rPr>
              <w:t>ي</w:t>
            </w:r>
            <w:r>
              <w:rPr>
                <w:rtl/>
              </w:rPr>
              <w:t>نظمها المكتب الأوروبي للبراءات</w:t>
            </w:r>
          </w:p>
        </w:tc>
        <w:tc>
          <w:tcPr>
            <w:tcW w:w="1356" w:type="dxa"/>
            <w:vMerge/>
            <w:tcBorders>
              <w:top w:val="nil"/>
              <w:left w:val="nil"/>
              <w:bottom w:val="single" w:sz="8" w:space="0" w:color="auto"/>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val="restart"/>
            <w:tcBorders>
              <w:top w:val="single" w:sz="4" w:space="0" w:color="auto"/>
              <w:left w:val="single" w:sz="8" w:space="0" w:color="auto"/>
              <w:right w:val="single" w:sz="8" w:space="0" w:color="auto"/>
            </w:tcBorders>
            <w:shd w:val="clear" w:color="auto" w:fill="auto"/>
            <w:tcMar>
              <w:top w:w="0" w:type="dxa"/>
              <w:left w:w="70" w:type="dxa"/>
              <w:bottom w:w="0" w:type="dxa"/>
              <w:right w:w="70" w:type="dxa"/>
            </w:tcMar>
            <w:vAlign w:val="center"/>
          </w:tcPr>
          <w:p w:rsidR="009E65E4" w:rsidRPr="00A30F49" w:rsidRDefault="009E65E4" w:rsidP="009744FF">
            <w:pPr>
              <w:spacing w:line="360" w:lineRule="exact"/>
              <w:jc w:val="center"/>
              <w:rPr>
                <w:bCs/>
                <w:color w:val="000000"/>
                <w:szCs w:val="22"/>
                <w:lang w:eastAsia="tr-TR"/>
              </w:rPr>
            </w:pPr>
          </w:p>
          <w:p w:rsidR="009E65E4" w:rsidRPr="00A30F49" w:rsidRDefault="009E65E4" w:rsidP="009744FF">
            <w:pPr>
              <w:spacing w:line="360" w:lineRule="exact"/>
              <w:jc w:val="center"/>
              <w:rPr>
                <w:bCs/>
                <w:color w:val="000000"/>
                <w:szCs w:val="22"/>
                <w:lang w:eastAsia="tr-TR"/>
              </w:rPr>
            </w:pPr>
          </w:p>
          <w:p w:rsidR="009E65E4" w:rsidRPr="00A30F49" w:rsidRDefault="009E65E4" w:rsidP="009744FF">
            <w:pPr>
              <w:spacing w:line="360" w:lineRule="exact"/>
              <w:jc w:val="center"/>
              <w:rPr>
                <w:bCs/>
                <w:color w:val="000000"/>
                <w:szCs w:val="22"/>
                <w:lang w:eastAsia="tr-TR"/>
              </w:rPr>
            </w:pPr>
          </w:p>
          <w:p w:rsidR="009E65E4" w:rsidRPr="00A30F49" w:rsidRDefault="009E65E4" w:rsidP="009744FF">
            <w:pPr>
              <w:spacing w:line="360" w:lineRule="exact"/>
              <w:jc w:val="center"/>
              <w:rPr>
                <w:bCs/>
                <w:color w:val="000000"/>
                <w:szCs w:val="22"/>
                <w:lang w:eastAsia="tr-TR"/>
              </w:rPr>
            </w:pPr>
          </w:p>
          <w:p w:rsidR="009E65E4" w:rsidRPr="00A30F49" w:rsidRDefault="009E65E4" w:rsidP="009744FF">
            <w:pPr>
              <w:spacing w:line="360" w:lineRule="exact"/>
              <w:jc w:val="center"/>
              <w:rPr>
                <w:bCs/>
                <w:color w:val="000000"/>
                <w:szCs w:val="22"/>
                <w:lang w:eastAsia="tr-TR"/>
              </w:rPr>
            </w:pPr>
          </w:p>
          <w:p w:rsidR="009E65E4" w:rsidRPr="00A30F49" w:rsidRDefault="009E65E4" w:rsidP="009744FF">
            <w:pPr>
              <w:spacing w:line="360" w:lineRule="exact"/>
              <w:jc w:val="center"/>
              <w:rPr>
                <w:bCs/>
                <w:color w:val="000000"/>
                <w:szCs w:val="22"/>
                <w:lang w:eastAsia="tr-TR"/>
              </w:rPr>
            </w:pPr>
          </w:p>
          <w:p w:rsidR="009E65E4" w:rsidRPr="00401728" w:rsidRDefault="00A51024" w:rsidP="009744FF">
            <w:pPr>
              <w:pStyle w:val="NormalParaAR"/>
              <w:spacing w:after="0"/>
              <w:jc w:val="center"/>
              <w:rPr>
                <w:b/>
                <w:bCs/>
              </w:rPr>
            </w:pPr>
            <w:r w:rsidRPr="00A51024">
              <w:rPr>
                <w:b/>
                <w:bCs/>
                <w:rtl/>
              </w:rPr>
              <w:t>التدريب على البحث والفحص</w:t>
            </w:r>
          </w:p>
        </w:tc>
        <w:tc>
          <w:tcPr>
            <w:tcW w:w="1984" w:type="dxa"/>
            <w:vMerge w:val="restart"/>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A30F49" w:rsidRDefault="009E65E4" w:rsidP="009744FF">
            <w:pPr>
              <w:pStyle w:val="NormalParaAR"/>
              <w:spacing w:after="0"/>
              <w:jc w:val="center"/>
              <w:rPr>
                <w:color w:val="222222"/>
                <w:szCs w:val="22"/>
                <w:lang w:eastAsia="tr-TR"/>
              </w:rPr>
            </w:pPr>
            <w:r>
              <w:rPr>
                <w:rtl/>
              </w:rPr>
              <w:t>مقدمة عن البحث</w:t>
            </w:r>
          </w:p>
        </w:tc>
        <w:tc>
          <w:tcPr>
            <w:tcW w:w="3969" w:type="dxa"/>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44EAC" w:rsidRDefault="009E65E4" w:rsidP="009744FF">
            <w:pPr>
              <w:pStyle w:val="NormalParaAR"/>
              <w:numPr>
                <w:ilvl w:val="0"/>
                <w:numId w:val="4"/>
              </w:numPr>
              <w:spacing w:after="0"/>
            </w:pPr>
            <w:r>
              <w:rPr>
                <w:rtl/>
              </w:rPr>
              <w:t>المفاهيم الأساسية</w:t>
            </w:r>
          </w:p>
        </w:tc>
        <w:tc>
          <w:tcPr>
            <w:tcW w:w="1356" w:type="dxa"/>
            <w:vMerge w:val="restart"/>
            <w:tcBorders>
              <w:top w:val="single" w:sz="8" w:space="0" w:color="auto"/>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9E65E4" w:rsidRPr="00A30F49" w:rsidRDefault="00A51024" w:rsidP="009744FF">
            <w:pPr>
              <w:pStyle w:val="NormalParaAR"/>
              <w:spacing w:after="0"/>
              <w:jc w:val="center"/>
              <w:rPr>
                <w:bCs/>
                <w:color w:val="000000"/>
                <w:szCs w:val="22"/>
                <w:lang w:eastAsia="tr-TR"/>
              </w:rPr>
            </w:pPr>
            <w:r w:rsidRPr="00044EAC">
              <w:rPr>
                <w:rFonts w:hint="cs"/>
                <w:rtl/>
              </w:rPr>
              <w:t>أسبوع</w:t>
            </w:r>
          </w:p>
        </w:tc>
      </w:tr>
      <w:tr w:rsidR="009E65E4" w:rsidRPr="00AF1C58" w:rsidTr="009E65E4">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single" w:sz="8" w:space="0" w:color="auto"/>
              <w:left w:val="nil"/>
              <w:bottom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44EAC" w:rsidRDefault="00A51024" w:rsidP="009744FF">
            <w:pPr>
              <w:pStyle w:val="NormalParaAR"/>
              <w:numPr>
                <w:ilvl w:val="0"/>
                <w:numId w:val="4"/>
              </w:numPr>
              <w:spacing w:after="0"/>
            </w:pPr>
            <w:r>
              <w:rPr>
                <w:rtl/>
              </w:rPr>
              <w:t>التصنيف</w:t>
            </w:r>
          </w:p>
        </w:tc>
        <w:tc>
          <w:tcPr>
            <w:tcW w:w="1356" w:type="dxa"/>
            <w:vMerge/>
            <w:tcBorders>
              <w:top w:val="single" w:sz="8" w:space="0" w:color="auto"/>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single" w:sz="8" w:space="0" w:color="auto"/>
              <w:left w:val="nil"/>
              <w:bottom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44EAC" w:rsidRDefault="00A51024" w:rsidP="009744FF">
            <w:pPr>
              <w:pStyle w:val="NormalParaAR"/>
              <w:numPr>
                <w:ilvl w:val="0"/>
                <w:numId w:val="4"/>
              </w:numPr>
              <w:spacing w:after="0"/>
            </w:pPr>
            <w:r>
              <w:rPr>
                <w:rtl/>
              </w:rPr>
              <w:t>نطاق البراءات</w:t>
            </w:r>
          </w:p>
        </w:tc>
        <w:tc>
          <w:tcPr>
            <w:tcW w:w="1356" w:type="dxa"/>
            <w:vMerge/>
            <w:tcBorders>
              <w:top w:val="single" w:sz="8" w:space="0" w:color="auto"/>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single" w:sz="8" w:space="0" w:color="auto"/>
              <w:left w:val="nil"/>
              <w:bottom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44EAC" w:rsidRDefault="00A51024" w:rsidP="009744FF">
            <w:pPr>
              <w:pStyle w:val="NormalParaAR"/>
              <w:numPr>
                <w:ilvl w:val="0"/>
                <w:numId w:val="4"/>
              </w:numPr>
              <w:spacing w:after="0"/>
            </w:pPr>
            <w:r>
              <w:rPr>
                <w:rtl/>
              </w:rPr>
              <w:t>استراتيجيات البحث</w:t>
            </w:r>
          </w:p>
        </w:tc>
        <w:tc>
          <w:tcPr>
            <w:tcW w:w="1356" w:type="dxa"/>
            <w:vMerge/>
            <w:tcBorders>
              <w:top w:val="single" w:sz="8" w:space="0" w:color="auto"/>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single" w:sz="8" w:space="0" w:color="auto"/>
              <w:left w:val="nil"/>
              <w:bottom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44EAC" w:rsidRDefault="00A51024" w:rsidP="009744FF">
            <w:pPr>
              <w:pStyle w:val="NormalParaAR"/>
              <w:numPr>
                <w:ilvl w:val="0"/>
                <w:numId w:val="4"/>
              </w:numPr>
              <w:spacing w:after="0"/>
            </w:pPr>
            <w:r>
              <w:rPr>
                <w:rtl/>
              </w:rPr>
              <w:t>دراسات إفرادية</w:t>
            </w:r>
          </w:p>
        </w:tc>
        <w:tc>
          <w:tcPr>
            <w:tcW w:w="1356" w:type="dxa"/>
            <w:vMerge/>
            <w:tcBorders>
              <w:top w:val="single" w:sz="8" w:space="0" w:color="auto"/>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9E65E4" w:rsidRPr="00401728" w:rsidRDefault="00A51024" w:rsidP="009744FF">
            <w:pPr>
              <w:pStyle w:val="NormalParaAR"/>
              <w:spacing w:after="0"/>
              <w:jc w:val="center"/>
            </w:pPr>
            <w:r>
              <w:rPr>
                <w:rtl/>
              </w:rPr>
              <w:t>الوضوح/الوحدة</w:t>
            </w: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44EAC" w:rsidRDefault="00A51024" w:rsidP="009744FF">
            <w:pPr>
              <w:pStyle w:val="NormalParaAR"/>
              <w:numPr>
                <w:ilvl w:val="0"/>
                <w:numId w:val="4"/>
              </w:numPr>
              <w:spacing w:after="0"/>
            </w:pPr>
            <w:r>
              <w:rPr>
                <w:rtl/>
              </w:rPr>
              <w:t>المفاهيم الأساسية</w:t>
            </w:r>
          </w:p>
        </w:tc>
        <w:tc>
          <w:tcPr>
            <w:tcW w:w="1356"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9E65E4" w:rsidRPr="00401728" w:rsidRDefault="00A51024" w:rsidP="009744FF">
            <w:pPr>
              <w:pStyle w:val="NormalParaAR"/>
              <w:spacing w:after="0"/>
              <w:jc w:val="center"/>
            </w:pPr>
            <w:r>
              <w:rPr>
                <w:rtl/>
              </w:rPr>
              <w:t>أسبوع</w:t>
            </w:r>
          </w:p>
        </w:tc>
      </w:tr>
      <w:tr w:rsidR="009E65E4" w:rsidRPr="00AF1C58" w:rsidTr="009E65E4">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44EAC" w:rsidRDefault="00A51024" w:rsidP="009744FF">
            <w:pPr>
              <w:pStyle w:val="NormalParaAR"/>
              <w:numPr>
                <w:ilvl w:val="0"/>
                <w:numId w:val="4"/>
              </w:numPr>
              <w:spacing w:after="0"/>
            </w:pPr>
            <w:r>
              <w:rPr>
                <w:rtl/>
              </w:rPr>
              <w:t>كفاية الإفصاح</w:t>
            </w:r>
          </w:p>
        </w:tc>
        <w:tc>
          <w:tcPr>
            <w:tcW w:w="1356"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44EAC" w:rsidRDefault="00A51024" w:rsidP="009744FF">
            <w:pPr>
              <w:pStyle w:val="NormalParaAR"/>
              <w:numPr>
                <w:ilvl w:val="0"/>
                <w:numId w:val="4"/>
              </w:numPr>
              <w:spacing w:after="0"/>
            </w:pPr>
            <w:r>
              <w:rPr>
                <w:rtl/>
              </w:rPr>
              <w:t>الوحدة</w:t>
            </w:r>
          </w:p>
        </w:tc>
        <w:tc>
          <w:tcPr>
            <w:tcW w:w="1356"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44EAC" w:rsidRDefault="00A51024" w:rsidP="009744FF">
            <w:pPr>
              <w:pStyle w:val="NormalParaAR"/>
              <w:numPr>
                <w:ilvl w:val="0"/>
                <w:numId w:val="4"/>
              </w:numPr>
              <w:spacing w:after="0"/>
            </w:pPr>
            <w:r>
              <w:rPr>
                <w:rtl/>
              </w:rPr>
              <w:t>الوضوح</w:t>
            </w:r>
          </w:p>
        </w:tc>
        <w:tc>
          <w:tcPr>
            <w:tcW w:w="1356"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44EAC" w:rsidRDefault="00A51024" w:rsidP="009744FF">
            <w:pPr>
              <w:pStyle w:val="NormalParaAR"/>
              <w:numPr>
                <w:ilvl w:val="0"/>
                <w:numId w:val="4"/>
              </w:numPr>
              <w:spacing w:after="0"/>
            </w:pPr>
            <w:r>
              <w:rPr>
                <w:rtl/>
              </w:rPr>
              <w:t>حالات معقدة</w:t>
            </w:r>
          </w:p>
        </w:tc>
        <w:tc>
          <w:tcPr>
            <w:tcW w:w="1356"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44EAC" w:rsidRDefault="00A51024" w:rsidP="009744FF">
            <w:pPr>
              <w:pStyle w:val="NormalParaAR"/>
              <w:numPr>
                <w:ilvl w:val="0"/>
                <w:numId w:val="4"/>
              </w:numPr>
              <w:spacing w:after="0"/>
            </w:pPr>
            <w:r>
              <w:rPr>
                <w:rtl/>
              </w:rPr>
              <w:t>دراسات إفرادية</w:t>
            </w:r>
          </w:p>
        </w:tc>
        <w:tc>
          <w:tcPr>
            <w:tcW w:w="1356"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9E65E4" w:rsidRPr="00401728" w:rsidRDefault="00A51024" w:rsidP="009744FF">
            <w:pPr>
              <w:pStyle w:val="NormalParaAR"/>
              <w:spacing w:after="0"/>
              <w:jc w:val="center"/>
            </w:pPr>
            <w:r>
              <w:rPr>
                <w:rtl/>
              </w:rPr>
              <w:t>طريقة إعداد تقارير البحث</w:t>
            </w: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44EAC" w:rsidRDefault="00A51024" w:rsidP="009744FF">
            <w:pPr>
              <w:pStyle w:val="NormalParaAR"/>
              <w:numPr>
                <w:ilvl w:val="0"/>
                <w:numId w:val="4"/>
              </w:numPr>
              <w:spacing w:after="0"/>
            </w:pPr>
            <w:r>
              <w:rPr>
                <w:rtl/>
              </w:rPr>
              <w:t>الصيغة الأساسية</w:t>
            </w:r>
          </w:p>
        </w:tc>
        <w:tc>
          <w:tcPr>
            <w:tcW w:w="1356"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9E65E4" w:rsidRPr="00401728" w:rsidRDefault="00A51024" w:rsidP="009744FF">
            <w:pPr>
              <w:pStyle w:val="NormalParaAR"/>
              <w:spacing w:after="0"/>
              <w:jc w:val="center"/>
            </w:pPr>
            <w:r>
              <w:rPr>
                <w:rtl/>
              </w:rPr>
              <w:t>أسبوع</w:t>
            </w:r>
          </w:p>
        </w:tc>
      </w:tr>
      <w:tr w:rsidR="009E65E4" w:rsidRPr="00AF1C58" w:rsidTr="009E65E4">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44EAC" w:rsidRDefault="00A51024" w:rsidP="009744FF">
            <w:pPr>
              <w:pStyle w:val="NormalParaAR"/>
              <w:numPr>
                <w:ilvl w:val="0"/>
                <w:numId w:val="4"/>
              </w:numPr>
              <w:spacing w:after="0"/>
            </w:pPr>
            <w:r>
              <w:rPr>
                <w:rtl/>
              </w:rPr>
              <w:t>فئات الوثائق</w:t>
            </w:r>
          </w:p>
        </w:tc>
        <w:tc>
          <w:tcPr>
            <w:tcW w:w="1356"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44EAC" w:rsidRDefault="00A51024" w:rsidP="009744FF">
            <w:pPr>
              <w:pStyle w:val="NormalParaAR"/>
              <w:numPr>
                <w:ilvl w:val="0"/>
                <w:numId w:val="4"/>
              </w:numPr>
              <w:spacing w:after="0"/>
            </w:pPr>
            <w:r>
              <w:rPr>
                <w:rtl/>
              </w:rPr>
              <w:t>حالات إضافية</w:t>
            </w:r>
          </w:p>
        </w:tc>
        <w:tc>
          <w:tcPr>
            <w:tcW w:w="1356"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44EAC" w:rsidRDefault="00A51024" w:rsidP="009744FF">
            <w:pPr>
              <w:pStyle w:val="NormalParaAR"/>
              <w:numPr>
                <w:ilvl w:val="0"/>
                <w:numId w:val="4"/>
              </w:numPr>
              <w:spacing w:after="0"/>
            </w:pPr>
            <w:r>
              <w:rPr>
                <w:rtl/>
              </w:rPr>
              <w:t>تحليل المطالبات (جدول السمات)</w:t>
            </w:r>
          </w:p>
        </w:tc>
        <w:tc>
          <w:tcPr>
            <w:tcW w:w="1356"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44EAC" w:rsidRDefault="00A51024" w:rsidP="009744FF">
            <w:pPr>
              <w:pStyle w:val="NormalParaAR"/>
              <w:numPr>
                <w:ilvl w:val="0"/>
                <w:numId w:val="4"/>
              </w:numPr>
              <w:spacing w:after="0"/>
            </w:pPr>
            <w:r>
              <w:rPr>
                <w:rtl/>
              </w:rPr>
              <w:t>دراسات إفرادية</w:t>
            </w:r>
          </w:p>
        </w:tc>
        <w:tc>
          <w:tcPr>
            <w:tcW w:w="1356"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401728" w:rsidRDefault="00A51024" w:rsidP="009744FF">
            <w:pPr>
              <w:pStyle w:val="NormalParaAR"/>
              <w:spacing w:after="0"/>
              <w:jc w:val="center"/>
            </w:pPr>
            <w:proofErr w:type="spellStart"/>
            <w:r>
              <w:t>EPOQUENet</w:t>
            </w:r>
            <w:proofErr w:type="spellEnd"/>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44EAC" w:rsidRDefault="00A51024" w:rsidP="009744FF">
            <w:pPr>
              <w:pStyle w:val="NormalParaAR"/>
              <w:numPr>
                <w:ilvl w:val="0"/>
                <w:numId w:val="4"/>
              </w:numPr>
              <w:spacing w:after="0"/>
            </w:pPr>
            <w:r>
              <w:rPr>
                <w:rtl/>
              </w:rPr>
              <w:t>مقدمة</w:t>
            </w:r>
          </w:p>
        </w:tc>
        <w:tc>
          <w:tcPr>
            <w:tcW w:w="1356"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9E65E4" w:rsidRPr="00401728" w:rsidRDefault="00A51024" w:rsidP="009744FF">
            <w:pPr>
              <w:pStyle w:val="NormalParaAR"/>
              <w:spacing w:after="0"/>
              <w:jc w:val="center"/>
            </w:pPr>
            <w:r>
              <w:rPr>
                <w:rtl/>
              </w:rPr>
              <w:t>أسبوع</w:t>
            </w:r>
          </w:p>
        </w:tc>
      </w:tr>
      <w:tr w:rsidR="009E65E4" w:rsidRPr="00AF1C58" w:rsidTr="009E65E4">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nil"/>
              <w:left w:val="nil"/>
              <w:bottom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44EAC" w:rsidRDefault="00A51024" w:rsidP="009744FF">
            <w:pPr>
              <w:pStyle w:val="NormalParaAR"/>
              <w:numPr>
                <w:ilvl w:val="0"/>
                <w:numId w:val="4"/>
              </w:numPr>
              <w:spacing w:after="0"/>
            </w:pPr>
            <w:r>
              <w:rPr>
                <w:rtl/>
              </w:rPr>
              <w:t>الاستعلامات الأساسية/استراتيجيات البحث</w:t>
            </w:r>
          </w:p>
        </w:tc>
        <w:tc>
          <w:tcPr>
            <w:tcW w:w="1356"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nil"/>
              <w:left w:val="nil"/>
              <w:bottom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D1C23" w:rsidRDefault="00FA42A9" w:rsidP="009744FF">
            <w:pPr>
              <w:pStyle w:val="NormalParaAR"/>
              <w:numPr>
                <w:ilvl w:val="0"/>
                <w:numId w:val="4"/>
              </w:numPr>
              <w:spacing w:after="0"/>
            </w:pPr>
            <w:r>
              <w:rPr>
                <w:rtl/>
              </w:rPr>
              <w:t>اختيار/عرض/طباعة الوثائق</w:t>
            </w:r>
          </w:p>
        </w:tc>
        <w:tc>
          <w:tcPr>
            <w:tcW w:w="1356"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nil"/>
              <w:left w:val="nil"/>
              <w:bottom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D1C23" w:rsidRDefault="00FA42A9" w:rsidP="009744FF">
            <w:pPr>
              <w:pStyle w:val="NormalParaAR"/>
              <w:numPr>
                <w:ilvl w:val="0"/>
                <w:numId w:val="4"/>
              </w:numPr>
              <w:spacing w:after="0"/>
            </w:pPr>
            <w:r>
              <w:rPr>
                <w:rtl/>
              </w:rPr>
              <w:t>دراسات إفرادية</w:t>
            </w:r>
          </w:p>
        </w:tc>
        <w:tc>
          <w:tcPr>
            <w:tcW w:w="1356"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9E65E4" w:rsidRPr="00401728" w:rsidRDefault="00FA42A9" w:rsidP="009744FF">
            <w:pPr>
              <w:pStyle w:val="NormalParaAR"/>
              <w:spacing w:after="0"/>
              <w:jc w:val="center"/>
            </w:pPr>
            <w:r>
              <w:rPr>
                <w:rtl/>
              </w:rPr>
              <w:t>الجدة – النشاط الابتكاري</w:t>
            </w: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D1C23" w:rsidRDefault="00FA42A9" w:rsidP="009744FF">
            <w:pPr>
              <w:pStyle w:val="NormalParaAR"/>
              <w:numPr>
                <w:ilvl w:val="0"/>
                <w:numId w:val="4"/>
              </w:numPr>
              <w:spacing w:after="0"/>
            </w:pPr>
            <w:r>
              <w:rPr>
                <w:rtl/>
              </w:rPr>
              <w:t>المفاهيم الأساسية</w:t>
            </w:r>
          </w:p>
        </w:tc>
        <w:tc>
          <w:tcPr>
            <w:tcW w:w="1356"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9E65E4" w:rsidRPr="00401728" w:rsidRDefault="00FA42A9" w:rsidP="009744FF">
            <w:pPr>
              <w:pStyle w:val="NormalParaAR"/>
              <w:spacing w:after="0"/>
              <w:jc w:val="center"/>
            </w:pPr>
            <w:r>
              <w:rPr>
                <w:rtl/>
              </w:rPr>
              <w:t>أسبوع</w:t>
            </w:r>
          </w:p>
        </w:tc>
      </w:tr>
      <w:tr w:rsidR="009E65E4" w:rsidRPr="00AF1C58" w:rsidTr="009E65E4">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D1C23" w:rsidRDefault="00FA42A9" w:rsidP="009744FF">
            <w:pPr>
              <w:pStyle w:val="NormalParaAR"/>
              <w:numPr>
                <w:ilvl w:val="0"/>
                <w:numId w:val="4"/>
              </w:numPr>
              <w:spacing w:after="0"/>
            </w:pPr>
            <w:r>
              <w:rPr>
                <w:rtl/>
              </w:rPr>
              <w:t>الحالة التقنية السابقة</w:t>
            </w:r>
          </w:p>
        </w:tc>
        <w:tc>
          <w:tcPr>
            <w:tcW w:w="1356"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D1C23" w:rsidRDefault="00FA42A9" w:rsidP="009744FF">
            <w:pPr>
              <w:pStyle w:val="NormalParaAR"/>
              <w:numPr>
                <w:ilvl w:val="0"/>
                <w:numId w:val="4"/>
              </w:numPr>
              <w:spacing w:after="0"/>
            </w:pPr>
            <w:r>
              <w:rPr>
                <w:rtl/>
              </w:rPr>
              <w:t>فترة السماح</w:t>
            </w:r>
          </w:p>
        </w:tc>
        <w:tc>
          <w:tcPr>
            <w:tcW w:w="1356"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D1C23" w:rsidRDefault="00FA42A9" w:rsidP="009744FF">
            <w:pPr>
              <w:pStyle w:val="NormalParaAR"/>
              <w:numPr>
                <w:ilvl w:val="0"/>
                <w:numId w:val="4"/>
              </w:numPr>
              <w:spacing w:after="0"/>
            </w:pPr>
            <w:r>
              <w:rPr>
                <w:rtl/>
              </w:rPr>
              <w:t>التقييم</w:t>
            </w:r>
          </w:p>
        </w:tc>
        <w:tc>
          <w:tcPr>
            <w:tcW w:w="1356"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D1C23" w:rsidRDefault="00FA42A9" w:rsidP="009744FF">
            <w:pPr>
              <w:pStyle w:val="NormalParaAR"/>
              <w:numPr>
                <w:ilvl w:val="0"/>
                <w:numId w:val="4"/>
              </w:numPr>
              <w:spacing w:after="0"/>
            </w:pPr>
            <w:r>
              <w:rPr>
                <w:rtl/>
              </w:rPr>
              <w:t>تقييم النشاط الابتكاري</w:t>
            </w:r>
          </w:p>
        </w:tc>
        <w:tc>
          <w:tcPr>
            <w:tcW w:w="1356"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D1C23" w:rsidRDefault="00FA42A9" w:rsidP="009744FF">
            <w:pPr>
              <w:pStyle w:val="NormalParaAR"/>
              <w:numPr>
                <w:ilvl w:val="0"/>
                <w:numId w:val="4"/>
              </w:numPr>
              <w:spacing w:after="0"/>
            </w:pPr>
            <w:r>
              <w:rPr>
                <w:rtl/>
              </w:rPr>
              <w:t>دراسات إفرادية</w:t>
            </w:r>
          </w:p>
        </w:tc>
        <w:tc>
          <w:tcPr>
            <w:tcW w:w="1356" w:type="dxa"/>
            <w:vMerge/>
            <w:tcBorders>
              <w:top w:val="nil"/>
              <w:left w:val="nil"/>
              <w:bottom w:val="single" w:sz="8" w:space="0" w:color="000000"/>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401728" w:rsidRDefault="00FA42A9" w:rsidP="009744FF">
            <w:pPr>
              <w:pStyle w:val="NormalParaAR"/>
              <w:spacing w:after="0"/>
              <w:jc w:val="center"/>
            </w:pPr>
            <w:r>
              <w:rPr>
                <w:rtl/>
              </w:rPr>
              <w:t>مصادر خارجية</w:t>
            </w: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D1C23" w:rsidRDefault="00FA42A9" w:rsidP="009744FF">
            <w:pPr>
              <w:pStyle w:val="NormalParaAR"/>
              <w:numPr>
                <w:ilvl w:val="0"/>
                <w:numId w:val="4"/>
              </w:numPr>
              <w:spacing w:after="0"/>
            </w:pPr>
            <w:r>
              <w:rPr>
                <w:rtl/>
              </w:rPr>
              <w:t>دورات تعلّم عن بعد</w:t>
            </w:r>
          </w:p>
        </w:tc>
        <w:tc>
          <w:tcPr>
            <w:tcW w:w="1356"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nil"/>
              <w:left w:val="nil"/>
              <w:bottom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D1C23" w:rsidRDefault="00FA42A9" w:rsidP="009744FF">
            <w:pPr>
              <w:pStyle w:val="NormalParaAR"/>
              <w:numPr>
                <w:ilvl w:val="0"/>
                <w:numId w:val="4"/>
              </w:numPr>
              <w:spacing w:after="0"/>
            </w:pPr>
            <w:r>
              <w:rPr>
                <w:rtl/>
              </w:rPr>
              <w:t>ندوات ينظمها المكتب الأوروبي للبراءات</w:t>
            </w:r>
            <w:r w:rsidRPr="000D1C23">
              <w:t xml:space="preserve"> </w:t>
            </w:r>
          </w:p>
        </w:tc>
        <w:tc>
          <w:tcPr>
            <w:tcW w:w="1356" w:type="dxa"/>
            <w:vMerge/>
            <w:tcBorders>
              <w:top w:val="nil"/>
              <w:left w:val="nil"/>
              <w:bottom w:val="single" w:sz="8" w:space="0" w:color="auto"/>
              <w:right w:val="single" w:sz="8" w:space="0" w:color="auto"/>
            </w:tcBorders>
            <w:shd w:val="clear" w:color="auto" w:fill="auto"/>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tcBorders>
              <w:left w:val="single" w:sz="8" w:space="0" w:color="auto"/>
              <w:bottom w:val="single" w:sz="8" w:space="0" w:color="000000"/>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tcBorders>
              <w:top w:val="nil"/>
              <w:left w:val="nil"/>
              <w:bottom w:val="single" w:sz="8" w:space="0" w:color="auto"/>
              <w:right w:val="single" w:sz="8" w:space="0" w:color="auto"/>
            </w:tcBorders>
            <w:shd w:val="clear" w:color="auto" w:fill="auto"/>
            <w:vAlign w:val="center"/>
          </w:tcPr>
          <w:p w:rsidR="009E65E4" w:rsidRPr="00401728" w:rsidRDefault="00FA42A9" w:rsidP="009744FF">
            <w:pPr>
              <w:pStyle w:val="NormalParaAR"/>
              <w:spacing w:after="0"/>
              <w:jc w:val="center"/>
            </w:pPr>
            <w:r>
              <w:rPr>
                <w:rtl/>
              </w:rPr>
              <w:t>تدريب عملي</w:t>
            </w: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0D1C23" w:rsidRDefault="00FA42A9" w:rsidP="009744FF">
            <w:pPr>
              <w:pStyle w:val="NormalParaAR"/>
              <w:numPr>
                <w:ilvl w:val="0"/>
                <w:numId w:val="4"/>
              </w:numPr>
              <w:spacing w:after="0"/>
            </w:pPr>
            <w:r w:rsidRPr="000D1C23">
              <w:rPr>
                <w:rtl/>
              </w:rPr>
              <w:t>تدريب على أساس الكفاءة على يد فاحصين متمرسين وباستخدام أنشطة عملية</w:t>
            </w:r>
          </w:p>
        </w:tc>
        <w:tc>
          <w:tcPr>
            <w:tcW w:w="1356" w:type="dxa"/>
            <w:tcBorders>
              <w:top w:val="nil"/>
              <w:left w:val="nil"/>
              <w:bottom w:val="single" w:sz="8" w:space="0" w:color="auto"/>
              <w:right w:val="single" w:sz="8" w:space="0" w:color="auto"/>
            </w:tcBorders>
            <w:shd w:val="clear" w:color="auto" w:fill="auto"/>
            <w:vAlign w:val="center"/>
          </w:tcPr>
          <w:p w:rsidR="009E65E4" w:rsidRPr="00401728" w:rsidRDefault="00372A6F" w:rsidP="009744FF">
            <w:pPr>
              <w:pStyle w:val="NormalParaAR"/>
              <w:spacing w:after="0"/>
              <w:jc w:val="center"/>
            </w:pPr>
            <w:r w:rsidRPr="00372A6F">
              <w:rPr>
                <w:rFonts w:hint="cs"/>
                <w:rtl/>
              </w:rPr>
              <w:t xml:space="preserve">ثلاثة </w:t>
            </w:r>
            <w:r w:rsidR="00FA42A9">
              <w:rPr>
                <w:rtl/>
              </w:rPr>
              <w:t>أشهر</w:t>
            </w:r>
          </w:p>
        </w:tc>
      </w:tr>
      <w:tr w:rsidR="009E65E4" w:rsidRPr="00AF1C58" w:rsidTr="009E65E4">
        <w:trPr>
          <w:trHeight w:val="62"/>
        </w:trPr>
        <w:tc>
          <w:tcPr>
            <w:tcW w:w="1975" w:type="dxa"/>
            <w:shd w:val="clear" w:color="auto" w:fill="auto"/>
            <w:noWrap/>
            <w:tcMar>
              <w:top w:w="0" w:type="dxa"/>
              <w:left w:w="70" w:type="dxa"/>
              <w:bottom w:w="0" w:type="dxa"/>
              <w:right w:w="70" w:type="dxa"/>
            </w:tcMar>
            <w:vAlign w:val="bottom"/>
          </w:tcPr>
          <w:p w:rsidR="009E65E4" w:rsidRPr="00A30F49" w:rsidRDefault="009E65E4" w:rsidP="009744FF">
            <w:pPr>
              <w:spacing w:line="360" w:lineRule="exact"/>
              <w:rPr>
                <w:color w:val="222222"/>
                <w:szCs w:val="22"/>
                <w:lang w:eastAsia="tr-TR"/>
              </w:rPr>
            </w:pPr>
          </w:p>
        </w:tc>
        <w:tc>
          <w:tcPr>
            <w:tcW w:w="1984" w:type="dxa"/>
            <w:shd w:val="clear" w:color="auto" w:fill="auto"/>
            <w:noWrap/>
            <w:tcMar>
              <w:top w:w="0" w:type="dxa"/>
              <w:left w:w="70" w:type="dxa"/>
              <w:bottom w:w="0" w:type="dxa"/>
              <w:right w:w="70" w:type="dxa"/>
            </w:tcMar>
            <w:vAlign w:val="center"/>
          </w:tcPr>
          <w:p w:rsidR="009E65E4" w:rsidRPr="00A30F49" w:rsidRDefault="009E65E4" w:rsidP="009744FF">
            <w:pPr>
              <w:spacing w:line="360" w:lineRule="exact"/>
              <w:jc w:val="center"/>
              <w:rPr>
                <w:color w:val="222222"/>
                <w:szCs w:val="22"/>
                <w:lang w:eastAsia="tr-TR"/>
              </w:rPr>
            </w:pPr>
            <w:r w:rsidRPr="00A30F49">
              <w:rPr>
                <w:bCs/>
                <w:color w:val="000000"/>
                <w:szCs w:val="22"/>
                <w:lang w:eastAsia="tr-TR"/>
              </w:rPr>
              <w:t> </w:t>
            </w:r>
          </w:p>
        </w:tc>
        <w:tc>
          <w:tcPr>
            <w:tcW w:w="3969" w:type="dxa"/>
            <w:shd w:val="clear" w:color="auto" w:fill="auto"/>
            <w:noWrap/>
            <w:tcMar>
              <w:top w:w="0" w:type="dxa"/>
              <w:left w:w="70" w:type="dxa"/>
              <w:bottom w:w="0" w:type="dxa"/>
              <w:right w:w="70" w:type="dxa"/>
            </w:tcMar>
            <w:vAlign w:val="center"/>
          </w:tcPr>
          <w:p w:rsidR="009E65E4" w:rsidRPr="00A30F49" w:rsidRDefault="009E65E4" w:rsidP="009744FF">
            <w:pPr>
              <w:spacing w:line="360" w:lineRule="exact"/>
              <w:ind w:firstLine="1767"/>
              <w:rPr>
                <w:color w:val="222222"/>
                <w:szCs w:val="22"/>
                <w:lang w:eastAsia="tr-TR"/>
              </w:rPr>
            </w:pPr>
            <w:r w:rsidRPr="00A30F49">
              <w:rPr>
                <w:bCs/>
                <w:color w:val="000000"/>
                <w:szCs w:val="22"/>
                <w:lang w:eastAsia="tr-TR"/>
              </w:rPr>
              <w:t> </w:t>
            </w:r>
          </w:p>
        </w:tc>
        <w:tc>
          <w:tcPr>
            <w:tcW w:w="1356" w:type="dxa"/>
            <w:shd w:val="clear" w:color="auto" w:fill="auto"/>
            <w:noWrap/>
            <w:tcMar>
              <w:top w:w="0" w:type="dxa"/>
              <w:left w:w="70" w:type="dxa"/>
              <w:bottom w:w="0" w:type="dxa"/>
              <w:right w:w="70" w:type="dxa"/>
            </w:tcMar>
            <w:vAlign w:val="center"/>
          </w:tcPr>
          <w:p w:rsidR="009E65E4" w:rsidRPr="00A30F49" w:rsidRDefault="009E65E4" w:rsidP="009744FF">
            <w:pPr>
              <w:spacing w:line="360" w:lineRule="exact"/>
              <w:jc w:val="center"/>
              <w:rPr>
                <w:color w:val="222222"/>
                <w:szCs w:val="22"/>
                <w:lang w:eastAsia="tr-TR"/>
              </w:rPr>
            </w:pPr>
          </w:p>
        </w:tc>
      </w:tr>
      <w:tr w:rsidR="009E65E4" w:rsidRPr="00AF1C58" w:rsidTr="009E65E4">
        <w:trPr>
          <w:trHeight w:val="300"/>
        </w:trPr>
        <w:tc>
          <w:tcPr>
            <w:tcW w:w="1975" w:type="dxa"/>
            <w:vMerge w:val="restart"/>
            <w:tcBorders>
              <w:top w:val="single" w:sz="8" w:space="0" w:color="auto"/>
              <w:left w:val="single" w:sz="8" w:space="0" w:color="auto"/>
              <w:bottom w:val="single" w:sz="8" w:space="0" w:color="000000"/>
              <w:right w:val="single" w:sz="8" w:space="0" w:color="auto"/>
            </w:tcBorders>
            <w:shd w:val="clear" w:color="auto" w:fill="auto"/>
            <w:noWrap/>
            <w:tcMar>
              <w:top w:w="0" w:type="dxa"/>
              <w:left w:w="70" w:type="dxa"/>
              <w:bottom w:w="0" w:type="dxa"/>
              <w:right w:w="70" w:type="dxa"/>
            </w:tcMar>
            <w:vAlign w:val="center"/>
          </w:tcPr>
          <w:p w:rsidR="009E65E4" w:rsidRPr="00401728" w:rsidRDefault="00FA42A9" w:rsidP="009744FF">
            <w:pPr>
              <w:pStyle w:val="NormalParaAR"/>
              <w:spacing w:after="0"/>
              <w:jc w:val="center"/>
              <w:rPr>
                <w:b/>
                <w:bCs/>
              </w:rPr>
            </w:pPr>
            <w:r w:rsidRPr="00FA42A9">
              <w:rPr>
                <w:b/>
                <w:bCs/>
                <w:rtl/>
              </w:rPr>
              <w:t>المستوى المتوسط</w:t>
            </w:r>
          </w:p>
        </w:tc>
        <w:tc>
          <w:tcPr>
            <w:tcW w:w="1984"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3439BB" w:rsidRDefault="00FA42A9" w:rsidP="009744FF">
            <w:pPr>
              <w:pStyle w:val="NormalParaAR"/>
              <w:spacing w:after="0"/>
              <w:jc w:val="center"/>
            </w:pPr>
            <w:r>
              <w:rPr>
                <w:rtl/>
              </w:rPr>
              <w:t>الفيزياء/الميكانيكا</w:t>
            </w:r>
          </w:p>
        </w:tc>
        <w:tc>
          <w:tcPr>
            <w:tcW w:w="3969" w:type="dxa"/>
            <w:vMerge w:val="restart"/>
            <w:tcBorders>
              <w:top w:val="single" w:sz="8" w:space="0" w:color="auto"/>
              <w:left w:val="nil"/>
              <w:right w:val="single" w:sz="8" w:space="0" w:color="auto"/>
            </w:tcBorders>
            <w:shd w:val="clear" w:color="auto" w:fill="auto"/>
            <w:noWrap/>
            <w:tcMar>
              <w:top w:w="0" w:type="dxa"/>
              <w:left w:w="70" w:type="dxa"/>
              <w:bottom w:w="0" w:type="dxa"/>
              <w:right w:w="70" w:type="dxa"/>
            </w:tcMar>
            <w:vAlign w:val="center"/>
          </w:tcPr>
          <w:p w:rsidR="006D5508" w:rsidRDefault="000D1C23" w:rsidP="009744FF">
            <w:pPr>
              <w:pStyle w:val="NormalParaAR"/>
              <w:numPr>
                <w:ilvl w:val="0"/>
                <w:numId w:val="4"/>
              </w:numPr>
              <w:spacing w:after="0"/>
            </w:pPr>
            <w:r>
              <w:rPr>
                <w:rtl/>
              </w:rPr>
              <w:t>الجدة – النشاط الابتكاري</w:t>
            </w:r>
          </w:p>
          <w:p w:rsidR="006D5508" w:rsidRDefault="00FA42A9" w:rsidP="009744FF">
            <w:pPr>
              <w:pStyle w:val="NormalParaAR"/>
              <w:numPr>
                <w:ilvl w:val="0"/>
                <w:numId w:val="4"/>
              </w:numPr>
              <w:spacing w:after="0"/>
            </w:pPr>
            <w:r>
              <w:rPr>
                <w:rtl/>
              </w:rPr>
              <w:t>الوضوح</w:t>
            </w:r>
          </w:p>
          <w:p w:rsidR="009E65E4" w:rsidRPr="006D5508" w:rsidRDefault="00FA42A9" w:rsidP="009744FF">
            <w:pPr>
              <w:pStyle w:val="NormalParaAR"/>
              <w:numPr>
                <w:ilvl w:val="0"/>
                <w:numId w:val="4"/>
              </w:numPr>
              <w:spacing w:after="0"/>
            </w:pPr>
            <w:r>
              <w:rPr>
                <w:rtl/>
              </w:rPr>
              <w:t>الوحدة</w:t>
            </w:r>
          </w:p>
        </w:tc>
        <w:tc>
          <w:tcPr>
            <w:tcW w:w="135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401728" w:rsidRDefault="00FA42A9" w:rsidP="009744FF">
            <w:pPr>
              <w:pStyle w:val="NormalParaAR"/>
              <w:spacing w:after="0"/>
              <w:jc w:val="center"/>
            </w:pPr>
            <w:r>
              <w:rPr>
                <w:rtl/>
              </w:rPr>
              <w:t>أسبوعان</w:t>
            </w:r>
          </w:p>
        </w:tc>
      </w:tr>
      <w:tr w:rsidR="009E65E4" w:rsidRPr="00AF1C58" w:rsidTr="009E65E4">
        <w:trPr>
          <w:trHeight w:val="300"/>
        </w:trPr>
        <w:tc>
          <w:tcPr>
            <w:tcW w:w="19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372A6F" w:rsidRDefault="00FA42A9" w:rsidP="009744FF">
            <w:pPr>
              <w:pStyle w:val="NormalParaAR"/>
              <w:spacing w:after="0"/>
              <w:jc w:val="center"/>
            </w:pPr>
            <w:r>
              <w:rPr>
                <w:rtl/>
              </w:rPr>
              <w:t>الإلكترونيات</w:t>
            </w:r>
          </w:p>
        </w:tc>
        <w:tc>
          <w:tcPr>
            <w:tcW w:w="3969" w:type="dxa"/>
            <w:vMerge/>
            <w:tcBorders>
              <w:left w:val="nil"/>
              <w:right w:val="single" w:sz="8" w:space="0" w:color="auto"/>
            </w:tcBorders>
            <w:shd w:val="clear" w:color="auto" w:fill="auto"/>
            <w:noWrap/>
            <w:tcMar>
              <w:top w:w="0" w:type="dxa"/>
              <w:left w:w="70" w:type="dxa"/>
              <w:bottom w:w="0" w:type="dxa"/>
              <w:right w:w="70" w:type="dxa"/>
            </w:tcMar>
            <w:vAlign w:val="center"/>
          </w:tcPr>
          <w:p w:rsidR="009E65E4" w:rsidRPr="00A30F49" w:rsidRDefault="009E65E4" w:rsidP="009744FF">
            <w:pPr>
              <w:spacing w:line="360" w:lineRule="exact"/>
              <w:rPr>
                <w:color w:val="222222"/>
                <w:szCs w:val="22"/>
                <w:lang w:eastAsia="tr-TR"/>
              </w:rPr>
            </w:pPr>
          </w:p>
        </w:tc>
        <w:tc>
          <w:tcPr>
            <w:tcW w:w="135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401728" w:rsidRDefault="00FA42A9" w:rsidP="009744FF">
            <w:pPr>
              <w:pStyle w:val="NormalParaAR"/>
              <w:spacing w:after="0"/>
              <w:jc w:val="center"/>
            </w:pPr>
            <w:r>
              <w:rPr>
                <w:rtl/>
              </w:rPr>
              <w:t>أسبوعان</w:t>
            </w:r>
          </w:p>
        </w:tc>
      </w:tr>
      <w:tr w:rsidR="009E65E4" w:rsidRPr="00AF1C58" w:rsidTr="009E65E4">
        <w:trPr>
          <w:trHeight w:val="300"/>
        </w:trPr>
        <w:tc>
          <w:tcPr>
            <w:tcW w:w="19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3439BB" w:rsidRDefault="00FA42A9" w:rsidP="009744FF">
            <w:pPr>
              <w:pStyle w:val="NormalParaAR"/>
              <w:spacing w:after="0"/>
              <w:jc w:val="center"/>
            </w:pPr>
            <w:r>
              <w:rPr>
                <w:rtl/>
              </w:rPr>
              <w:t>صناعة الأدوية/الصناعات الكيماوية</w:t>
            </w:r>
          </w:p>
        </w:tc>
        <w:tc>
          <w:tcPr>
            <w:tcW w:w="3969" w:type="dxa"/>
            <w:vMerge/>
            <w:tcBorders>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A30F49" w:rsidRDefault="009E65E4" w:rsidP="009744FF">
            <w:pPr>
              <w:spacing w:line="360" w:lineRule="exact"/>
              <w:rPr>
                <w:color w:val="222222"/>
                <w:szCs w:val="22"/>
                <w:lang w:eastAsia="tr-TR"/>
              </w:rPr>
            </w:pPr>
          </w:p>
        </w:tc>
        <w:tc>
          <w:tcPr>
            <w:tcW w:w="135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3439BB" w:rsidRDefault="00FA42A9" w:rsidP="009744FF">
            <w:pPr>
              <w:pStyle w:val="NormalParaAR"/>
              <w:spacing w:after="0"/>
              <w:jc w:val="center"/>
            </w:pPr>
            <w:r>
              <w:rPr>
                <w:rtl/>
              </w:rPr>
              <w:t>أسبوعان</w:t>
            </w:r>
          </w:p>
        </w:tc>
      </w:tr>
      <w:tr w:rsidR="009E65E4" w:rsidRPr="00AF1C58" w:rsidTr="009E65E4">
        <w:trPr>
          <w:trHeight w:val="48"/>
        </w:trPr>
        <w:tc>
          <w:tcPr>
            <w:tcW w:w="1975" w:type="dxa"/>
            <w:shd w:val="clear" w:color="auto" w:fill="auto"/>
            <w:noWrap/>
            <w:tcMar>
              <w:top w:w="0" w:type="dxa"/>
              <w:left w:w="70" w:type="dxa"/>
              <w:bottom w:w="0" w:type="dxa"/>
              <w:right w:w="70" w:type="dxa"/>
            </w:tcMar>
            <w:vAlign w:val="bottom"/>
          </w:tcPr>
          <w:p w:rsidR="009E65E4" w:rsidRPr="00A30F49" w:rsidRDefault="009E65E4" w:rsidP="009744FF">
            <w:pPr>
              <w:spacing w:line="360" w:lineRule="exact"/>
              <w:rPr>
                <w:szCs w:val="22"/>
                <w:lang w:eastAsia="tr-TR"/>
              </w:rPr>
            </w:pPr>
          </w:p>
        </w:tc>
        <w:tc>
          <w:tcPr>
            <w:tcW w:w="1984" w:type="dxa"/>
            <w:shd w:val="clear" w:color="auto" w:fill="auto"/>
            <w:noWrap/>
            <w:tcMar>
              <w:top w:w="0" w:type="dxa"/>
              <w:left w:w="70" w:type="dxa"/>
              <w:bottom w:w="0" w:type="dxa"/>
              <w:right w:w="70" w:type="dxa"/>
            </w:tcMar>
            <w:vAlign w:val="bottom"/>
          </w:tcPr>
          <w:p w:rsidR="009E65E4" w:rsidRPr="00A30F49" w:rsidRDefault="009E65E4" w:rsidP="009744FF">
            <w:pPr>
              <w:spacing w:line="360" w:lineRule="exact"/>
              <w:rPr>
                <w:szCs w:val="22"/>
                <w:lang w:eastAsia="tr-TR"/>
              </w:rPr>
            </w:pPr>
          </w:p>
        </w:tc>
        <w:tc>
          <w:tcPr>
            <w:tcW w:w="3969" w:type="dxa"/>
            <w:shd w:val="clear" w:color="auto" w:fill="auto"/>
            <w:noWrap/>
            <w:tcMar>
              <w:top w:w="0" w:type="dxa"/>
              <w:left w:w="70" w:type="dxa"/>
              <w:bottom w:w="0" w:type="dxa"/>
              <w:right w:w="70" w:type="dxa"/>
            </w:tcMar>
            <w:vAlign w:val="bottom"/>
          </w:tcPr>
          <w:p w:rsidR="009E65E4" w:rsidRPr="00A30F49" w:rsidRDefault="009E65E4" w:rsidP="009744FF">
            <w:pPr>
              <w:spacing w:line="360" w:lineRule="exact"/>
              <w:rPr>
                <w:szCs w:val="22"/>
                <w:lang w:eastAsia="tr-TR"/>
              </w:rPr>
            </w:pPr>
          </w:p>
        </w:tc>
        <w:tc>
          <w:tcPr>
            <w:tcW w:w="1356" w:type="dxa"/>
            <w:tcBorders>
              <w:bottom w:val="single" w:sz="4" w:space="0" w:color="auto"/>
            </w:tcBorders>
            <w:shd w:val="clear" w:color="auto" w:fill="auto"/>
            <w:noWrap/>
            <w:tcMar>
              <w:top w:w="0" w:type="dxa"/>
              <w:left w:w="70" w:type="dxa"/>
              <w:bottom w:w="0" w:type="dxa"/>
              <w:right w:w="70" w:type="dxa"/>
            </w:tcMar>
            <w:vAlign w:val="bottom"/>
          </w:tcPr>
          <w:p w:rsidR="009E65E4" w:rsidRPr="00A30F49" w:rsidRDefault="009E65E4" w:rsidP="009744FF">
            <w:pPr>
              <w:spacing w:line="360" w:lineRule="exact"/>
              <w:jc w:val="center"/>
              <w:rPr>
                <w:szCs w:val="22"/>
                <w:lang w:eastAsia="tr-TR"/>
              </w:rPr>
            </w:pPr>
          </w:p>
        </w:tc>
      </w:tr>
      <w:tr w:rsidR="009E65E4" w:rsidRPr="00AF1C58" w:rsidTr="009E65E4">
        <w:trPr>
          <w:trHeight w:val="331"/>
        </w:trPr>
        <w:tc>
          <w:tcPr>
            <w:tcW w:w="1975" w:type="dxa"/>
            <w:vMerge w:val="restart"/>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401728" w:rsidRDefault="00FA42A9" w:rsidP="009744FF">
            <w:pPr>
              <w:pStyle w:val="NormalParaAR"/>
              <w:spacing w:after="0"/>
              <w:jc w:val="center"/>
              <w:rPr>
                <w:b/>
                <w:bCs/>
              </w:rPr>
            </w:pPr>
            <w:r w:rsidRPr="00FA42A9">
              <w:rPr>
                <w:b/>
                <w:bCs/>
                <w:rtl/>
              </w:rPr>
              <w:t>المستوى المتقدم</w:t>
            </w:r>
          </w:p>
        </w:tc>
        <w:tc>
          <w:tcPr>
            <w:tcW w:w="1984" w:type="dxa"/>
            <w:vMerge w:val="restar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401728" w:rsidRDefault="00CF352D" w:rsidP="009744FF">
            <w:pPr>
              <w:pStyle w:val="NormalParaAR"/>
              <w:spacing w:after="0"/>
              <w:jc w:val="center"/>
            </w:pPr>
            <w:r>
              <w:rPr>
                <w:rtl/>
              </w:rPr>
              <w:t>المصنفات الدورية</w:t>
            </w:r>
          </w:p>
        </w:tc>
        <w:tc>
          <w:tcPr>
            <w:tcW w:w="3969" w:type="dxa"/>
            <w:tcBorders>
              <w:top w:val="single" w:sz="8" w:space="0" w:color="auto"/>
              <w:left w:val="nil"/>
              <w:bottom w:val="single" w:sz="8" w:space="0" w:color="auto"/>
              <w:right w:val="single" w:sz="4" w:space="0" w:color="auto"/>
            </w:tcBorders>
            <w:shd w:val="clear" w:color="auto" w:fill="auto"/>
            <w:noWrap/>
            <w:tcMar>
              <w:top w:w="0" w:type="dxa"/>
              <w:left w:w="70" w:type="dxa"/>
              <w:bottom w:w="0" w:type="dxa"/>
              <w:right w:w="70" w:type="dxa"/>
            </w:tcMar>
            <w:vAlign w:val="center"/>
          </w:tcPr>
          <w:p w:rsidR="009E65E4" w:rsidRPr="006D5508" w:rsidRDefault="00CF352D" w:rsidP="009744FF">
            <w:pPr>
              <w:pStyle w:val="NormalParaAR"/>
              <w:numPr>
                <w:ilvl w:val="0"/>
                <w:numId w:val="4"/>
              </w:numPr>
              <w:spacing w:after="0"/>
            </w:pPr>
            <w:r>
              <w:rPr>
                <w:rtl/>
              </w:rPr>
              <w:t>دراسات إفرادية</w:t>
            </w:r>
          </w:p>
        </w:tc>
        <w:tc>
          <w:tcPr>
            <w:tcW w:w="135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9E65E4" w:rsidRPr="00401728" w:rsidRDefault="009E65E4" w:rsidP="009744FF">
            <w:pPr>
              <w:pStyle w:val="NormalParaAR"/>
              <w:spacing w:after="0"/>
              <w:jc w:val="center"/>
            </w:pPr>
            <w:r w:rsidRPr="00A30F49">
              <w:rPr>
                <w:bCs/>
                <w:color w:val="000000"/>
                <w:szCs w:val="22"/>
                <w:lang w:eastAsia="tr-TR"/>
              </w:rPr>
              <w:t xml:space="preserve">4 </w:t>
            </w:r>
            <w:r w:rsidR="006D5508">
              <w:rPr>
                <w:rFonts w:hint="cs"/>
                <w:bCs/>
                <w:color w:val="000000"/>
                <w:szCs w:val="22"/>
                <w:rtl/>
                <w:lang w:eastAsia="tr-TR"/>
              </w:rPr>
              <w:t xml:space="preserve"> </w:t>
            </w:r>
            <w:r w:rsidR="00CF352D">
              <w:rPr>
                <w:rtl/>
              </w:rPr>
              <w:t>مرات/السنة</w:t>
            </w:r>
          </w:p>
        </w:tc>
      </w:tr>
      <w:tr w:rsidR="009E65E4" w:rsidRPr="00AF1C58" w:rsidTr="009E65E4">
        <w:trPr>
          <w:trHeight w:val="300"/>
        </w:trPr>
        <w:tc>
          <w:tcPr>
            <w:tcW w:w="1975" w:type="dxa"/>
            <w:vMerge/>
            <w:tcBorders>
              <w:top w:val="single" w:sz="8" w:space="0" w:color="auto"/>
              <w:left w:val="single" w:sz="8" w:space="0" w:color="auto"/>
              <w:bottom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tcBorders>
              <w:top w:val="single" w:sz="8" w:space="0" w:color="auto"/>
              <w:left w:val="nil"/>
              <w:bottom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4" w:space="0" w:color="auto"/>
            </w:tcBorders>
            <w:shd w:val="clear" w:color="auto" w:fill="auto"/>
            <w:noWrap/>
            <w:tcMar>
              <w:top w:w="0" w:type="dxa"/>
              <w:left w:w="70" w:type="dxa"/>
              <w:bottom w:w="0" w:type="dxa"/>
              <w:right w:w="70" w:type="dxa"/>
            </w:tcMar>
            <w:vAlign w:val="center"/>
          </w:tcPr>
          <w:p w:rsidR="009E65E4" w:rsidRPr="006D5508" w:rsidRDefault="00CF352D" w:rsidP="009744FF">
            <w:pPr>
              <w:pStyle w:val="NormalParaAR"/>
              <w:numPr>
                <w:ilvl w:val="0"/>
                <w:numId w:val="4"/>
              </w:numPr>
              <w:spacing w:after="0"/>
            </w:pPr>
            <w:r>
              <w:rPr>
                <w:rtl/>
              </w:rPr>
              <w:t>منصات المناقشة</w:t>
            </w:r>
          </w:p>
        </w:tc>
        <w:tc>
          <w:tcPr>
            <w:tcW w:w="135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9E65E4" w:rsidRPr="006D5508" w:rsidRDefault="00CF352D" w:rsidP="009744FF">
            <w:pPr>
              <w:pStyle w:val="NormalParaAR"/>
              <w:spacing w:after="0"/>
            </w:pPr>
            <w:r>
              <w:rPr>
                <w:rtl/>
              </w:rPr>
              <w:t>مرتان/السنة</w:t>
            </w:r>
          </w:p>
        </w:tc>
      </w:tr>
      <w:tr w:rsidR="009E65E4" w:rsidRPr="00AF1C58" w:rsidTr="009E65E4">
        <w:trPr>
          <w:trHeight w:val="588"/>
        </w:trPr>
        <w:tc>
          <w:tcPr>
            <w:tcW w:w="1975" w:type="dxa"/>
            <w:vMerge/>
            <w:tcBorders>
              <w:top w:val="single" w:sz="8" w:space="0" w:color="auto"/>
              <w:left w:val="single" w:sz="8" w:space="0" w:color="auto"/>
              <w:bottom w:val="single" w:sz="8" w:space="0" w:color="auto"/>
              <w:right w:val="single" w:sz="8" w:space="0" w:color="auto"/>
            </w:tcBorders>
            <w:shd w:val="clear" w:color="auto" w:fill="auto"/>
            <w:vAlign w:val="center"/>
          </w:tcPr>
          <w:p w:rsidR="009E65E4" w:rsidRPr="00A30F49" w:rsidRDefault="009E65E4" w:rsidP="009744FF">
            <w:pPr>
              <w:spacing w:line="360" w:lineRule="exact"/>
              <w:rPr>
                <w:color w:val="222222"/>
                <w:szCs w:val="22"/>
                <w:lang w:eastAsia="tr-TR"/>
              </w:rPr>
            </w:pPr>
          </w:p>
        </w:tc>
        <w:tc>
          <w:tcPr>
            <w:tcW w:w="1984"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401728" w:rsidRDefault="00CF352D" w:rsidP="009744FF">
            <w:pPr>
              <w:pStyle w:val="NormalParaAR"/>
              <w:spacing w:after="0"/>
              <w:jc w:val="center"/>
            </w:pPr>
            <w:r>
              <w:rPr>
                <w:rtl/>
              </w:rPr>
              <w:t>دورات خاصة (غير متعلقة بالبحث والفحص)</w:t>
            </w: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6D5508" w:rsidRDefault="00CF352D" w:rsidP="009744FF">
            <w:pPr>
              <w:pStyle w:val="NormalParaAR"/>
              <w:numPr>
                <w:ilvl w:val="0"/>
                <w:numId w:val="4"/>
              </w:numPr>
              <w:spacing w:after="0"/>
            </w:pPr>
            <w:r>
              <w:rPr>
                <w:rtl/>
              </w:rPr>
              <w:t>دورات تعلّم عن بعد</w:t>
            </w:r>
          </w:p>
        </w:tc>
        <w:tc>
          <w:tcPr>
            <w:tcW w:w="1356" w:type="dxa"/>
            <w:vMerge w:val="restart"/>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tcPr>
          <w:p w:rsidR="009E65E4" w:rsidRPr="00A30F49" w:rsidRDefault="009E65E4" w:rsidP="009744FF">
            <w:pPr>
              <w:spacing w:line="360" w:lineRule="exact"/>
              <w:jc w:val="center"/>
              <w:rPr>
                <w:color w:val="222222"/>
                <w:szCs w:val="22"/>
                <w:lang w:eastAsia="tr-TR"/>
              </w:rPr>
            </w:pPr>
            <w:r w:rsidRPr="00A30F49">
              <w:rPr>
                <w:bCs/>
                <w:color w:val="000000"/>
                <w:szCs w:val="22"/>
                <w:lang w:eastAsia="tr-TR"/>
              </w:rPr>
              <w:t> </w:t>
            </w:r>
          </w:p>
        </w:tc>
      </w:tr>
      <w:tr w:rsidR="009E65E4" w:rsidRPr="00AF1C58" w:rsidTr="009E65E4">
        <w:trPr>
          <w:trHeight w:val="300"/>
        </w:trPr>
        <w:tc>
          <w:tcPr>
            <w:tcW w:w="1975"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9E65E4" w:rsidRPr="00A30F49" w:rsidRDefault="009E65E4" w:rsidP="009744FF">
            <w:pPr>
              <w:spacing w:line="360" w:lineRule="exact"/>
              <w:rPr>
                <w:color w:val="222222"/>
                <w:szCs w:val="22"/>
                <w:lang w:eastAsia="tr-TR"/>
              </w:rPr>
            </w:pPr>
          </w:p>
        </w:tc>
        <w:tc>
          <w:tcPr>
            <w:tcW w:w="1984" w:type="dxa"/>
            <w:vMerge/>
            <w:tcBorders>
              <w:top w:val="nil"/>
              <w:left w:val="nil"/>
              <w:bottom w:val="single" w:sz="8" w:space="0" w:color="auto"/>
              <w:right w:val="single" w:sz="8" w:space="0" w:color="auto"/>
            </w:tcBorders>
            <w:shd w:val="clear" w:color="auto" w:fill="FFFFFF"/>
            <w:vAlign w:val="center"/>
          </w:tcPr>
          <w:p w:rsidR="009E65E4" w:rsidRPr="00A30F49" w:rsidRDefault="009E65E4" w:rsidP="009744FF">
            <w:pPr>
              <w:spacing w:line="360" w:lineRule="exact"/>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9E65E4" w:rsidRPr="006D5508" w:rsidRDefault="00CF352D" w:rsidP="009744FF">
            <w:pPr>
              <w:pStyle w:val="NormalParaAR"/>
              <w:numPr>
                <w:ilvl w:val="0"/>
                <w:numId w:val="4"/>
              </w:numPr>
              <w:spacing w:after="0"/>
            </w:pPr>
            <w:r w:rsidRPr="006D5508">
              <w:rPr>
                <w:rtl/>
              </w:rPr>
              <w:t>ندوات ينظمها المكتب الأوروبي للبراءات</w:t>
            </w:r>
          </w:p>
        </w:tc>
        <w:tc>
          <w:tcPr>
            <w:tcW w:w="1356" w:type="dxa"/>
            <w:vMerge/>
            <w:tcBorders>
              <w:top w:val="nil"/>
              <w:left w:val="nil"/>
              <w:bottom w:val="single" w:sz="8" w:space="0" w:color="auto"/>
              <w:right w:val="single" w:sz="8" w:space="0" w:color="auto"/>
            </w:tcBorders>
            <w:shd w:val="clear" w:color="auto" w:fill="FFFFFF"/>
            <w:vAlign w:val="center"/>
          </w:tcPr>
          <w:p w:rsidR="009E65E4" w:rsidRPr="00A30F49" w:rsidRDefault="009E65E4" w:rsidP="009744FF">
            <w:pPr>
              <w:spacing w:line="360" w:lineRule="exact"/>
              <w:rPr>
                <w:color w:val="222222"/>
                <w:szCs w:val="22"/>
                <w:lang w:eastAsia="tr-TR"/>
              </w:rPr>
            </w:pPr>
          </w:p>
        </w:tc>
      </w:tr>
      <w:tr w:rsidR="009E65E4" w:rsidRPr="00AF1C58" w:rsidTr="009E65E4">
        <w:trPr>
          <w:trHeight w:val="48"/>
        </w:trPr>
        <w:tc>
          <w:tcPr>
            <w:tcW w:w="1975" w:type="dxa"/>
            <w:shd w:val="clear" w:color="auto" w:fill="FFFFFF"/>
            <w:noWrap/>
            <w:tcMar>
              <w:top w:w="0" w:type="dxa"/>
              <w:left w:w="70" w:type="dxa"/>
              <w:bottom w:w="0" w:type="dxa"/>
              <w:right w:w="70" w:type="dxa"/>
            </w:tcMar>
            <w:vAlign w:val="bottom"/>
          </w:tcPr>
          <w:p w:rsidR="009E65E4" w:rsidRPr="00A30F49" w:rsidRDefault="009E65E4" w:rsidP="009744FF">
            <w:pPr>
              <w:spacing w:line="360" w:lineRule="exact"/>
              <w:rPr>
                <w:color w:val="222222"/>
                <w:szCs w:val="22"/>
                <w:lang w:eastAsia="tr-TR"/>
              </w:rPr>
            </w:pPr>
          </w:p>
        </w:tc>
        <w:tc>
          <w:tcPr>
            <w:tcW w:w="1984" w:type="dxa"/>
            <w:shd w:val="clear" w:color="auto" w:fill="FFFFFF"/>
            <w:noWrap/>
            <w:tcMar>
              <w:top w:w="0" w:type="dxa"/>
              <w:left w:w="70" w:type="dxa"/>
              <w:bottom w:w="0" w:type="dxa"/>
              <w:right w:w="70" w:type="dxa"/>
            </w:tcMar>
            <w:vAlign w:val="bottom"/>
          </w:tcPr>
          <w:p w:rsidR="009E65E4" w:rsidRPr="00A30F49" w:rsidRDefault="009E65E4" w:rsidP="009744FF">
            <w:pPr>
              <w:spacing w:line="360" w:lineRule="exact"/>
              <w:rPr>
                <w:szCs w:val="22"/>
                <w:lang w:eastAsia="tr-TR"/>
              </w:rPr>
            </w:pPr>
          </w:p>
        </w:tc>
        <w:tc>
          <w:tcPr>
            <w:tcW w:w="3969" w:type="dxa"/>
            <w:shd w:val="clear" w:color="auto" w:fill="FFFFFF"/>
            <w:noWrap/>
            <w:tcMar>
              <w:top w:w="0" w:type="dxa"/>
              <w:left w:w="70" w:type="dxa"/>
              <w:bottom w:w="0" w:type="dxa"/>
              <w:right w:w="70" w:type="dxa"/>
            </w:tcMar>
            <w:vAlign w:val="bottom"/>
          </w:tcPr>
          <w:p w:rsidR="009E65E4" w:rsidRPr="00A30F49" w:rsidRDefault="009E65E4" w:rsidP="009744FF">
            <w:pPr>
              <w:spacing w:line="360" w:lineRule="exact"/>
              <w:rPr>
                <w:szCs w:val="22"/>
                <w:lang w:eastAsia="tr-TR"/>
              </w:rPr>
            </w:pPr>
          </w:p>
        </w:tc>
        <w:tc>
          <w:tcPr>
            <w:tcW w:w="1356" w:type="dxa"/>
            <w:shd w:val="clear" w:color="auto" w:fill="FFFFFF"/>
            <w:noWrap/>
            <w:tcMar>
              <w:top w:w="0" w:type="dxa"/>
              <w:left w:w="70" w:type="dxa"/>
              <w:bottom w:w="0" w:type="dxa"/>
              <w:right w:w="70" w:type="dxa"/>
            </w:tcMar>
            <w:vAlign w:val="bottom"/>
          </w:tcPr>
          <w:p w:rsidR="009E65E4" w:rsidRPr="00A30F49" w:rsidRDefault="009E65E4" w:rsidP="009744FF">
            <w:pPr>
              <w:spacing w:line="360" w:lineRule="exact"/>
              <w:rPr>
                <w:szCs w:val="22"/>
                <w:lang w:eastAsia="tr-TR"/>
              </w:rPr>
            </w:pPr>
          </w:p>
        </w:tc>
      </w:tr>
      <w:tr w:rsidR="009E65E4" w:rsidRPr="00AF1C58" w:rsidTr="009E65E4">
        <w:trPr>
          <w:trHeight w:val="300"/>
        </w:trPr>
        <w:tc>
          <w:tcPr>
            <w:tcW w:w="1975"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tcPr>
          <w:p w:rsidR="009E65E4" w:rsidRPr="00401728" w:rsidRDefault="00CF352D" w:rsidP="009744FF">
            <w:pPr>
              <w:pStyle w:val="NormalParaAR"/>
              <w:spacing w:after="0"/>
              <w:jc w:val="center"/>
              <w:rPr>
                <w:b/>
                <w:bCs/>
              </w:rPr>
            </w:pPr>
            <w:r w:rsidRPr="006E7461">
              <w:rPr>
                <w:b/>
                <w:bCs/>
                <w:rtl/>
              </w:rPr>
              <w:t>آخر</w:t>
            </w:r>
          </w:p>
        </w:tc>
        <w:tc>
          <w:tcPr>
            <w:tcW w:w="1984"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9E65E4" w:rsidRPr="00401728" w:rsidRDefault="006E7461" w:rsidP="009744FF">
            <w:pPr>
              <w:pStyle w:val="NormalParaAR"/>
              <w:spacing w:after="0"/>
              <w:jc w:val="center"/>
            </w:pPr>
            <w:r>
              <w:rPr>
                <w:rtl/>
              </w:rPr>
              <w:t>قضايا تتعلق بمعاهدة التعاون بشأن البراءات</w:t>
            </w:r>
          </w:p>
        </w:tc>
        <w:tc>
          <w:tcPr>
            <w:tcW w:w="3969"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9E65E4" w:rsidRPr="00A30F49" w:rsidRDefault="009E65E4" w:rsidP="009744FF">
            <w:pPr>
              <w:spacing w:line="360" w:lineRule="exact"/>
              <w:ind w:firstLine="1767"/>
              <w:rPr>
                <w:color w:val="222222"/>
                <w:szCs w:val="22"/>
                <w:lang w:eastAsia="tr-TR"/>
              </w:rPr>
            </w:pPr>
            <w:r w:rsidRPr="00A30F49">
              <w:rPr>
                <w:bCs/>
                <w:color w:val="000000"/>
                <w:szCs w:val="22"/>
                <w:lang w:eastAsia="tr-TR"/>
              </w:rPr>
              <w:t> </w:t>
            </w:r>
          </w:p>
        </w:tc>
        <w:tc>
          <w:tcPr>
            <w:tcW w:w="1356"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9E65E4" w:rsidRPr="00401728" w:rsidRDefault="006E7461" w:rsidP="009744FF">
            <w:pPr>
              <w:pStyle w:val="NormalParaAR"/>
              <w:spacing w:after="0"/>
              <w:jc w:val="center"/>
            </w:pPr>
            <w:r>
              <w:rPr>
                <w:rtl/>
              </w:rPr>
              <w:t>أسبوع</w:t>
            </w:r>
          </w:p>
        </w:tc>
      </w:tr>
      <w:tr w:rsidR="009E65E4" w:rsidRPr="00AF1C58" w:rsidTr="009E65E4">
        <w:trPr>
          <w:trHeight w:val="300"/>
        </w:trPr>
        <w:tc>
          <w:tcPr>
            <w:tcW w:w="1975"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tcPr>
          <w:p w:rsidR="009E65E4" w:rsidRPr="00A30F49" w:rsidRDefault="009E65E4" w:rsidP="009744FF">
            <w:pPr>
              <w:spacing w:line="360" w:lineRule="exact"/>
              <w:jc w:val="center"/>
              <w:rPr>
                <w:bCs/>
                <w:color w:val="000000"/>
                <w:szCs w:val="22"/>
                <w:lang w:eastAsia="tr-TR"/>
              </w:rPr>
            </w:pPr>
          </w:p>
        </w:tc>
        <w:tc>
          <w:tcPr>
            <w:tcW w:w="1984"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9E65E4" w:rsidRPr="00401728" w:rsidRDefault="006E7461" w:rsidP="009744FF">
            <w:pPr>
              <w:pStyle w:val="NormalParaAR"/>
              <w:spacing w:after="0"/>
              <w:jc w:val="center"/>
            </w:pPr>
            <w:r>
              <w:rPr>
                <w:rtl/>
              </w:rPr>
              <w:t>اللغة</w:t>
            </w:r>
          </w:p>
        </w:tc>
        <w:tc>
          <w:tcPr>
            <w:tcW w:w="3969"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9E65E4" w:rsidRPr="00BD464F" w:rsidRDefault="006E7461" w:rsidP="009744FF">
            <w:pPr>
              <w:pStyle w:val="NormalParaAR"/>
              <w:numPr>
                <w:ilvl w:val="0"/>
                <w:numId w:val="4"/>
              </w:numPr>
              <w:spacing w:after="0"/>
            </w:pPr>
            <w:r>
              <w:rPr>
                <w:rtl/>
              </w:rPr>
              <w:t>ا</w:t>
            </w:r>
            <w:r w:rsidRPr="00BD464F">
              <w:rPr>
                <w:rtl/>
              </w:rPr>
              <w:t xml:space="preserve">لفرنسية أو الألمانية </w:t>
            </w:r>
            <w:r>
              <w:rPr>
                <w:rtl/>
              </w:rPr>
              <w:t>أو غيرهما</w:t>
            </w:r>
          </w:p>
        </w:tc>
        <w:tc>
          <w:tcPr>
            <w:tcW w:w="1356"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9E65E4" w:rsidRPr="00A30F49" w:rsidRDefault="009E65E4" w:rsidP="009744FF">
            <w:pPr>
              <w:spacing w:line="360" w:lineRule="exact"/>
              <w:rPr>
                <w:bCs/>
                <w:color w:val="000000"/>
                <w:szCs w:val="22"/>
                <w:lang w:eastAsia="tr-TR"/>
              </w:rPr>
            </w:pPr>
          </w:p>
        </w:tc>
      </w:tr>
    </w:tbl>
    <w:p w:rsidR="009744FF" w:rsidRDefault="009744FF" w:rsidP="009744FF">
      <w:pPr>
        <w:pStyle w:val="NumberedParaAR"/>
        <w:numPr>
          <w:ilvl w:val="0"/>
          <w:numId w:val="0"/>
        </w:numPr>
        <w:rPr>
          <w:rFonts w:hint="cs"/>
        </w:rPr>
      </w:pPr>
    </w:p>
    <w:p w:rsidR="00523959" w:rsidRDefault="007F4AC4" w:rsidP="009744FF">
      <w:pPr>
        <w:pStyle w:val="NumberedParaAR"/>
      </w:pPr>
      <w:r>
        <w:rPr>
          <w:rFonts w:hint="cs"/>
          <w:rtl/>
        </w:rPr>
        <w:t>وي</w:t>
      </w:r>
      <w:r w:rsidR="00523959">
        <w:rPr>
          <w:rtl/>
        </w:rPr>
        <w:t xml:space="preserve">شارك الفاحصون أيضاً في دورات تدريبية على قاعدة البيانات </w:t>
      </w:r>
      <w:proofErr w:type="spellStart"/>
      <w:r w:rsidR="00523959">
        <w:t>EPOQUENet</w:t>
      </w:r>
      <w:proofErr w:type="spellEnd"/>
      <w:r w:rsidR="00523959">
        <w:rPr>
          <w:rtl/>
        </w:rPr>
        <w:t xml:space="preserve"> التي يوفرها المكتب الأوروبي للبراءات وفي ندوات وغيرها من الأنشطة التدريبية الشبكية المتعلقة بالبحث والفحص التي </w:t>
      </w:r>
      <w:r>
        <w:rPr>
          <w:rFonts w:hint="cs"/>
          <w:rtl/>
        </w:rPr>
        <w:t>ي</w:t>
      </w:r>
      <w:r w:rsidR="00523959">
        <w:rPr>
          <w:rtl/>
        </w:rPr>
        <w:t xml:space="preserve">نظمها المكتب الأوروبي للبراءات </w:t>
      </w:r>
      <w:proofErr w:type="spellStart"/>
      <w:r w:rsidR="00523959">
        <w:rPr>
          <w:rtl/>
        </w:rPr>
        <w:t>والويبو</w:t>
      </w:r>
      <w:proofErr w:type="spellEnd"/>
      <w:r w:rsidR="00523959">
        <w:rPr>
          <w:rtl/>
        </w:rPr>
        <w:t>.</w:t>
      </w:r>
      <w:r w:rsidR="002F4365">
        <w:rPr>
          <w:rFonts w:hint="cs"/>
          <w:rtl/>
        </w:rPr>
        <w:t xml:space="preserve"> </w:t>
      </w:r>
      <w:r w:rsidR="00523959">
        <w:rPr>
          <w:rtl/>
        </w:rPr>
        <w:t xml:space="preserve">وفضلاً عن ذلك، </w:t>
      </w:r>
      <w:r w:rsidR="004D757F">
        <w:rPr>
          <w:rFonts w:hint="cs"/>
          <w:rtl/>
        </w:rPr>
        <w:t xml:space="preserve">تشمل </w:t>
      </w:r>
      <w:r w:rsidR="00523959">
        <w:rPr>
          <w:rtl/>
        </w:rPr>
        <w:t>الأنشطة التدريبية تبادل الخبرات وأفضل الممارسات في مجالي البحث والفحص بين مكاتب البراءات الرائدة مثل المكتب الدانماركي للبراءات والعلامات التجارية والمكتب الألماني للبراءات والعلامات التجارية.</w:t>
      </w:r>
    </w:p>
    <w:p w:rsidR="00523959" w:rsidRPr="004D757F" w:rsidRDefault="00523959" w:rsidP="009744FF">
      <w:pPr>
        <w:pStyle w:val="NormalParaAR"/>
        <w:keepNext/>
        <w:spacing w:after="0"/>
        <w:rPr>
          <w:u w:val="single"/>
        </w:rPr>
      </w:pPr>
      <w:r w:rsidRPr="004D757F">
        <w:rPr>
          <w:u w:val="single"/>
          <w:rtl/>
        </w:rPr>
        <w:t>اللغة</w:t>
      </w:r>
    </w:p>
    <w:p w:rsidR="004D757F" w:rsidRDefault="00523959" w:rsidP="009744FF">
      <w:pPr>
        <w:pStyle w:val="NumberedParaAR"/>
      </w:pPr>
      <w:r>
        <w:rPr>
          <w:rtl/>
        </w:rPr>
        <w:t>يتقن جميع الفاحصين اللغتين التركية والإنكليزية.</w:t>
      </w:r>
      <w:r w:rsidR="004D757F">
        <w:rPr>
          <w:rFonts w:hint="cs"/>
          <w:rtl/>
        </w:rPr>
        <w:t xml:space="preserve"> </w:t>
      </w:r>
      <w:r>
        <w:rPr>
          <w:rtl/>
        </w:rPr>
        <w:t>ويلم 12 بالمئة من الفاحصين بلغة ثالثة (الفرنسية أو الألمانية).</w:t>
      </w:r>
    </w:p>
    <w:p w:rsidR="00523959" w:rsidRDefault="00523959" w:rsidP="009744FF">
      <w:pPr>
        <w:pStyle w:val="NumberedParaAR"/>
      </w:pPr>
      <w:r>
        <w:rPr>
          <w:rtl/>
        </w:rPr>
        <w:t xml:space="preserve">وعليه، يستوفي </w:t>
      </w:r>
      <w:r w:rsidR="000C4C9B">
        <w:rPr>
          <w:rFonts w:hint="cs"/>
          <w:rtl/>
        </w:rPr>
        <w:t xml:space="preserve">المكتب التركي </w:t>
      </w:r>
      <w:r>
        <w:rPr>
          <w:rtl/>
        </w:rPr>
        <w:t xml:space="preserve">للبراءات </w:t>
      </w:r>
      <w:r w:rsidR="000C4C9B">
        <w:rPr>
          <w:rFonts w:hint="cs"/>
          <w:rtl/>
        </w:rPr>
        <w:t xml:space="preserve">والعلامات التجارية </w:t>
      </w:r>
      <w:r>
        <w:rPr>
          <w:rtl/>
        </w:rPr>
        <w:t xml:space="preserve">المتطلبات المنصوص عليها في القاعدتين 1.36"3" و1.63"3" من المعاهدة اللتين تنصان على أنه "يجب أن يكون تحت تصرف </w:t>
      </w:r>
      <w:r w:rsidR="009F6F97" w:rsidRPr="009F6F97">
        <w:rPr>
          <w:rtl/>
        </w:rPr>
        <w:t>المكتب الوطني أو المنظمة الحكومية الدولية</w:t>
      </w:r>
      <w:r>
        <w:rPr>
          <w:rtl/>
        </w:rPr>
        <w:t xml:space="preserve"> موظفون قادرون على البحث والفحص في المجالات التقنية المطلوب بحثها وفحصها، وملمون باللغات الضرورية على الأقل لفهم اللغات المحرر بها أو المترجم إليها الحد الأدنى لمجموعة الوثائق المشار إليها في القاعدة 34".</w:t>
      </w:r>
      <w:r w:rsidR="009F6F97" w:rsidRPr="009F6F97">
        <w:rPr>
          <w:rtl/>
        </w:rPr>
        <w:t xml:space="preserve"> </w:t>
      </w:r>
    </w:p>
    <w:p w:rsidR="00523959" w:rsidRDefault="00523959" w:rsidP="009744FF">
      <w:pPr>
        <w:pStyle w:val="Heading2"/>
        <w:spacing w:after="0"/>
      </w:pPr>
      <w:r>
        <w:rPr>
          <w:rtl/>
        </w:rPr>
        <w:lastRenderedPageBreak/>
        <w:t>موارد البحث والفحص</w:t>
      </w:r>
    </w:p>
    <w:p w:rsidR="00523959" w:rsidRDefault="00523959" w:rsidP="009744FF">
      <w:pPr>
        <w:pStyle w:val="NumberedParaAR"/>
      </w:pPr>
      <w:r>
        <w:rPr>
          <w:rtl/>
        </w:rPr>
        <w:t xml:space="preserve">يزوَّد فاحصو البراءات في </w:t>
      </w:r>
      <w:r w:rsidR="00F63C22">
        <w:rPr>
          <w:rFonts w:hint="cs"/>
          <w:rtl/>
        </w:rPr>
        <w:t xml:space="preserve">المكتب التركي </w:t>
      </w:r>
      <w:r>
        <w:rPr>
          <w:rtl/>
        </w:rPr>
        <w:t>للبراءات</w:t>
      </w:r>
      <w:r w:rsidR="00F63C22">
        <w:rPr>
          <w:rFonts w:hint="cs"/>
          <w:rtl/>
        </w:rPr>
        <w:t xml:space="preserve"> والعلامات التجارية</w:t>
      </w:r>
      <w:r>
        <w:rPr>
          <w:rtl/>
        </w:rPr>
        <w:t xml:space="preserve"> بالمعدات التكنولوجية اللازمة مثل شاشات مزدوجة حجمها 24 بوصة في غرف فسيحة وبرمجيات للمساعدة على البحث والفحص، فضلاً عن أدوات لترجمة وثائق الحالة التقنية الصناعية السابقة إلى لغات أخرى.</w:t>
      </w:r>
      <w:r w:rsidR="00796896">
        <w:rPr>
          <w:rFonts w:hint="cs"/>
          <w:rtl/>
        </w:rPr>
        <w:t xml:space="preserve"> </w:t>
      </w:r>
      <w:r>
        <w:rPr>
          <w:rtl/>
        </w:rPr>
        <w:t xml:space="preserve">ويتمتع جميع الفاحصين بنفاذ كامل إلى قاعدة بيانات </w:t>
      </w:r>
      <w:proofErr w:type="spellStart"/>
      <w:r>
        <w:t>EPOQUENet</w:t>
      </w:r>
      <w:proofErr w:type="spellEnd"/>
      <w:r>
        <w:rPr>
          <w:rtl/>
        </w:rPr>
        <w:t xml:space="preserve"> للبحث عن الحالة التقنية الصناعية السابقة.</w:t>
      </w:r>
      <w:r w:rsidR="0092185C">
        <w:rPr>
          <w:rFonts w:hint="cs"/>
          <w:rtl/>
        </w:rPr>
        <w:t xml:space="preserve"> </w:t>
      </w:r>
      <w:r>
        <w:rPr>
          <w:rtl/>
        </w:rPr>
        <w:t xml:space="preserve">وتُستخدم خدمات الترجمة الآلية المتوفرة على </w:t>
      </w:r>
      <w:proofErr w:type="spellStart"/>
      <w:r>
        <w:t>Espacenet</w:t>
      </w:r>
      <w:proofErr w:type="spellEnd"/>
      <w:r>
        <w:rPr>
          <w:rtl/>
        </w:rPr>
        <w:t xml:space="preserve"> (خدمة ترجمة البراءات، بما في ذلك إلى التركية) ووظائف الترجمة المتاحة في نظام </w:t>
      </w:r>
      <w:proofErr w:type="spellStart"/>
      <w:r>
        <w:t>EPOQUENet</w:t>
      </w:r>
      <w:proofErr w:type="spellEnd"/>
      <w:r>
        <w:rPr>
          <w:rtl/>
        </w:rPr>
        <w:t>، ولا سيما لفهم الوثائق المحررة بلغات الشرق الأقصى.</w:t>
      </w:r>
    </w:p>
    <w:p w:rsidR="00523959" w:rsidRPr="006A159E" w:rsidRDefault="00523959" w:rsidP="009744FF">
      <w:pPr>
        <w:pStyle w:val="NormalParaAR"/>
        <w:keepNext/>
        <w:spacing w:after="0"/>
        <w:rPr>
          <w:u w:val="single"/>
        </w:rPr>
      </w:pPr>
      <w:r w:rsidRPr="006A159E">
        <w:rPr>
          <w:u w:val="single"/>
          <w:rtl/>
        </w:rPr>
        <w:t>قواعد بيانات البحث والحد الأدنى للوثائق المنصوص عليها في معاهدة التعاون بشأن البراءات</w:t>
      </w:r>
    </w:p>
    <w:p w:rsidR="00523959" w:rsidRDefault="00523959" w:rsidP="009744FF">
      <w:pPr>
        <w:pStyle w:val="NumberedParaAR"/>
      </w:pPr>
      <w:r>
        <w:rPr>
          <w:rtl/>
        </w:rPr>
        <w:t xml:space="preserve">فيما يخص الحد الأدنى للوثائق، يتمتع </w:t>
      </w:r>
      <w:r w:rsidR="00015101">
        <w:rPr>
          <w:rFonts w:hint="cs"/>
          <w:rtl/>
        </w:rPr>
        <w:t xml:space="preserve">المكتب التركي </w:t>
      </w:r>
      <w:r>
        <w:rPr>
          <w:rtl/>
        </w:rPr>
        <w:t xml:space="preserve">للبراءات </w:t>
      </w:r>
      <w:r w:rsidR="00015101">
        <w:rPr>
          <w:rFonts w:hint="cs"/>
          <w:rtl/>
        </w:rPr>
        <w:t xml:space="preserve">والعلامات التجارية </w:t>
      </w:r>
      <w:r>
        <w:rPr>
          <w:rtl/>
        </w:rPr>
        <w:t>بالحد الأدنى للوثائق المنصوص عليها في القاعدة 34 من اللائحة التنفيذية للمعاهدة.</w:t>
      </w:r>
    </w:p>
    <w:p w:rsidR="00523959" w:rsidRPr="002A749F" w:rsidRDefault="00523959" w:rsidP="009744FF">
      <w:pPr>
        <w:pStyle w:val="NormalParaAR"/>
        <w:keepNext/>
        <w:spacing w:after="0"/>
        <w:rPr>
          <w:u w:val="single"/>
        </w:rPr>
      </w:pPr>
      <w:r w:rsidRPr="002A749F">
        <w:rPr>
          <w:u w:val="single"/>
          <w:rtl/>
        </w:rPr>
        <w:t>قواعد بيانات البحث</w:t>
      </w:r>
    </w:p>
    <w:p w:rsidR="00523959" w:rsidRDefault="00523959" w:rsidP="009744FF">
      <w:pPr>
        <w:pStyle w:val="NumberedParaAR"/>
      </w:pPr>
      <w:r>
        <w:rPr>
          <w:rtl/>
        </w:rPr>
        <w:t>تشمل قواعد بيانات البحث المتاحة للفاحصين ما يلي:</w:t>
      </w:r>
    </w:p>
    <w:p w:rsidR="00523959" w:rsidRDefault="00523959" w:rsidP="009744FF">
      <w:pPr>
        <w:pStyle w:val="NormalParaAR"/>
        <w:numPr>
          <w:ilvl w:val="1"/>
          <w:numId w:val="9"/>
        </w:numPr>
        <w:ind w:left="566" w:firstLine="0"/>
      </w:pPr>
      <w:proofErr w:type="spellStart"/>
      <w:r>
        <w:t>EPOQUENet</w:t>
      </w:r>
      <w:proofErr w:type="spellEnd"/>
      <w:r>
        <w:rPr>
          <w:rtl/>
        </w:rPr>
        <w:t xml:space="preserve"> الذي يضم النفاذ إلى مؤشر البراءات العالمي (</w:t>
      </w:r>
      <w:proofErr w:type="spellStart"/>
      <w:r>
        <w:t>DWPI</w:t>
      </w:r>
      <w:proofErr w:type="spellEnd"/>
      <w:r>
        <w:rPr>
          <w:rtl/>
        </w:rPr>
        <w:t>)؛</w:t>
      </w:r>
    </w:p>
    <w:p w:rsidR="00523959" w:rsidRDefault="00523959" w:rsidP="009744FF">
      <w:pPr>
        <w:pStyle w:val="NormalParaAR"/>
        <w:numPr>
          <w:ilvl w:val="1"/>
          <w:numId w:val="9"/>
        </w:numPr>
        <w:ind w:left="566" w:firstLine="0"/>
      </w:pPr>
      <w:r>
        <w:rPr>
          <w:rtl/>
        </w:rPr>
        <w:t xml:space="preserve">قواعد بيانات تجارية مثل </w:t>
      </w:r>
      <w:r>
        <w:t xml:space="preserve">IEEE </w:t>
      </w:r>
      <w:proofErr w:type="spellStart"/>
      <w:r>
        <w:t>Xplore</w:t>
      </w:r>
      <w:proofErr w:type="spellEnd"/>
      <w:r>
        <w:rPr>
          <w:rtl/>
        </w:rPr>
        <w:t xml:space="preserve"> و</w:t>
      </w:r>
      <w:r>
        <w:t>Elsevier</w:t>
      </w:r>
      <w:r>
        <w:rPr>
          <w:rtl/>
        </w:rPr>
        <w:t xml:space="preserve"> و</w:t>
      </w:r>
      <w:r>
        <w:t>Springer</w:t>
      </w:r>
      <w:r>
        <w:rPr>
          <w:rtl/>
        </w:rPr>
        <w:t>؛</w:t>
      </w:r>
    </w:p>
    <w:p w:rsidR="00523959" w:rsidRDefault="00523959" w:rsidP="009744FF">
      <w:pPr>
        <w:pStyle w:val="NormalParaAR"/>
        <w:numPr>
          <w:ilvl w:val="1"/>
          <w:numId w:val="9"/>
        </w:numPr>
        <w:ind w:left="566" w:firstLine="0"/>
      </w:pPr>
      <w:r>
        <w:rPr>
          <w:rtl/>
        </w:rPr>
        <w:t>قاعدة بيانات البراءات الوطنية التركية (</w:t>
      </w:r>
      <w:proofErr w:type="spellStart"/>
      <w:r>
        <w:t>PATUNA</w:t>
      </w:r>
      <w:proofErr w:type="spellEnd"/>
      <w:r>
        <w:rPr>
          <w:rtl/>
        </w:rPr>
        <w:t>)، وقواعد بيانات مجلس البحوث العلمية والتكنولوجية التركية بما في</w:t>
      </w:r>
      <w:r w:rsidR="00D7042B">
        <w:rPr>
          <w:rFonts w:hint="cs"/>
          <w:rtl/>
        </w:rPr>
        <w:t xml:space="preserve"> ذلك</w:t>
      </w:r>
      <w:r>
        <w:rPr>
          <w:rtl/>
        </w:rPr>
        <w:t xml:space="preserve"> </w:t>
      </w:r>
      <w:r>
        <w:t>EBSCOhost</w:t>
      </w:r>
      <w:r w:rsidR="00DC41AA">
        <w:rPr>
          <w:rtl/>
        </w:rPr>
        <w:t xml:space="preserve"> (الت</w:t>
      </w:r>
      <w:r w:rsidR="00DC41AA">
        <w:rPr>
          <w:rFonts w:hint="cs"/>
          <w:rtl/>
        </w:rPr>
        <w:t>ي</w:t>
      </w:r>
      <w:r>
        <w:rPr>
          <w:rtl/>
        </w:rPr>
        <w:t xml:space="preserve"> تشمل 375 قاعدة بيانات وثائقية كاملة</w:t>
      </w:r>
      <w:r w:rsidR="00455355">
        <w:rPr>
          <w:rtl/>
        </w:rPr>
        <w:t>، ومجموعة من أكثر من 000 600 كت</w:t>
      </w:r>
      <w:r w:rsidR="00455355">
        <w:rPr>
          <w:rFonts w:hint="cs"/>
          <w:rtl/>
        </w:rPr>
        <w:t>اب إلكتروني</w:t>
      </w:r>
      <w:r>
        <w:rPr>
          <w:rtl/>
        </w:rPr>
        <w:t>، وفهارس الموضوعات، ومراجع طبية تخص نقطة الرعاية السريرية، ومجموعة من المحفوظات الرقمية التاريخية)؛</w:t>
      </w:r>
    </w:p>
    <w:p w:rsidR="00523959" w:rsidRDefault="00523959" w:rsidP="009744FF">
      <w:pPr>
        <w:pStyle w:val="NormalParaAR"/>
        <w:numPr>
          <w:ilvl w:val="1"/>
          <w:numId w:val="9"/>
        </w:numPr>
        <w:ind w:left="566" w:firstLine="0"/>
      </w:pPr>
      <w:r>
        <w:rPr>
          <w:rtl/>
        </w:rPr>
        <w:t xml:space="preserve">منصة </w:t>
      </w:r>
      <w:proofErr w:type="spellStart"/>
      <w:r>
        <w:t>STN</w:t>
      </w:r>
      <w:proofErr w:type="spellEnd"/>
      <w:r>
        <w:rPr>
          <w:rtl/>
        </w:rPr>
        <w:t xml:space="preserve"> التي تضم قواعد بيانات </w:t>
      </w:r>
      <w:proofErr w:type="spellStart"/>
      <w:r>
        <w:t>BIOSIS</w:t>
      </w:r>
      <w:proofErr w:type="spellEnd"/>
      <w:r>
        <w:rPr>
          <w:rtl/>
        </w:rPr>
        <w:t xml:space="preserve"> و</w:t>
      </w:r>
      <w:proofErr w:type="spellStart"/>
      <w:r>
        <w:t>CAPLUS</w:t>
      </w:r>
      <w:proofErr w:type="spellEnd"/>
      <w:r>
        <w:rPr>
          <w:rtl/>
        </w:rPr>
        <w:t xml:space="preserve"> و</w:t>
      </w:r>
      <w:proofErr w:type="spellStart"/>
      <w:r>
        <w:t>Embase</w:t>
      </w:r>
      <w:proofErr w:type="spellEnd"/>
      <w:r>
        <w:rPr>
          <w:rtl/>
        </w:rPr>
        <w:t xml:space="preserve"> و</w:t>
      </w:r>
      <w:r>
        <w:t>MEDLINE</w:t>
      </w:r>
      <w:r>
        <w:rPr>
          <w:rtl/>
        </w:rPr>
        <w:t xml:space="preserve"> وقاعدة بيانات الجمعية الكيميائية الأمريكية؛</w:t>
      </w:r>
    </w:p>
    <w:p w:rsidR="00523959" w:rsidRDefault="00523959" w:rsidP="009744FF">
      <w:pPr>
        <w:pStyle w:val="NormalParaAR"/>
        <w:numPr>
          <w:ilvl w:val="1"/>
          <w:numId w:val="9"/>
        </w:numPr>
        <w:ind w:left="566" w:firstLine="0"/>
      </w:pPr>
      <w:r>
        <w:rPr>
          <w:rtl/>
        </w:rPr>
        <w:t>قواعد بيانات مجانية مثل المختبر الأوروبي للبيولوجيا الجزيئية – المعهد الأوروبي للمعلوماتية الحيوية (</w:t>
      </w:r>
      <w:proofErr w:type="spellStart"/>
      <w:r>
        <w:t>EMBL</w:t>
      </w:r>
      <w:proofErr w:type="spellEnd"/>
      <w:r>
        <w:t xml:space="preserve"> </w:t>
      </w:r>
      <w:proofErr w:type="spellStart"/>
      <w:r>
        <w:t>EBI</w:t>
      </w:r>
      <w:proofErr w:type="spellEnd"/>
      <w:r>
        <w:rPr>
          <w:rtl/>
        </w:rPr>
        <w:t xml:space="preserve">) وواجهة </w:t>
      </w:r>
      <w:proofErr w:type="spellStart"/>
      <w:r>
        <w:t>ChEMBL</w:t>
      </w:r>
      <w:proofErr w:type="spellEnd"/>
      <w:r>
        <w:rPr>
          <w:rtl/>
        </w:rPr>
        <w:t xml:space="preserve"> التي تتيح أيضاً إجراء بحوث استناداً إلى رسم الصيغ، والمركز الوطني للمعلومات في مجال التكنولوجيا الحيوية (</w:t>
      </w:r>
      <w:proofErr w:type="spellStart"/>
      <w:r>
        <w:t>NCBI</w:t>
      </w:r>
      <w:proofErr w:type="spellEnd"/>
      <w:r>
        <w:rPr>
          <w:rtl/>
        </w:rPr>
        <w:t>).</w:t>
      </w:r>
    </w:p>
    <w:p w:rsidR="00523959" w:rsidRDefault="00523959" w:rsidP="009744FF">
      <w:pPr>
        <w:pStyle w:val="NumberedParaAR"/>
      </w:pPr>
      <w:r>
        <w:rPr>
          <w:rtl/>
        </w:rPr>
        <w:t xml:space="preserve">وعليه، يستوفي </w:t>
      </w:r>
      <w:r w:rsidR="00235360">
        <w:rPr>
          <w:rFonts w:hint="cs"/>
          <w:rtl/>
        </w:rPr>
        <w:t xml:space="preserve">المكتب التركي </w:t>
      </w:r>
      <w:r>
        <w:rPr>
          <w:rtl/>
        </w:rPr>
        <w:t>للبراءات</w:t>
      </w:r>
      <w:r w:rsidR="00235360">
        <w:rPr>
          <w:rFonts w:hint="cs"/>
          <w:rtl/>
        </w:rPr>
        <w:t xml:space="preserve"> والعلامات التجارية</w:t>
      </w:r>
      <w:r>
        <w:rPr>
          <w:rtl/>
        </w:rPr>
        <w:t xml:space="preserve"> الشروط المنصوص عليها في القاعدتين 1.36"2" و1.63"2" اللتين تنصان على أنه "يجب أن يكون في حوزة المكتب الوطني أو المنظمة الحكومية الدولية على الأقل الحد الأدنى لمجموعة الوثائق المشار إليه في القاعدة 34 أو يكون في إمكانهما الحصول عليه، على أن يكون مرتبا</w:t>
      </w:r>
      <w:r w:rsidR="00235360">
        <w:rPr>
          <w:rFonts w:hint="cs"/>
          <w:rtl/>
        </w:rPr>
        <w:t>ً</w:t>
      </w:r>
      <w:r>
        <w:rPr>
          <w:rtl/>
        </w:rPr>
        <w:t xml:space="preserve"> على الوجه السليم لأغراض البحث على ورق أو بطاقات مصغرة أو دعامة إلكترونية".</w:t>
      </w:r>
    </w:p>
    <w:p w:rsidR="00523959" w:rsidRPr="007448C1" w:rsidRDefault="00523959" w:rsidP="007C15B6">
      <w:pPr>
        <w:pStyle w:val="NormalParaAR"/>
        <w:keepNext/>
        <w:spacing w:after="0"/>
        <w:rPr>
          <w:u w:val="single"/>
        </w:rPr>
      </w:pPr>
      <w:r w:rsidRPr="007448C1">
        <w:rPr>
          <w:u w:val="single"/>
          <w:rtl/>
        </w:rPr>
        <w:t>الفترة الزمنية لإجراءات منح البراءات الوطنية</w:t>
      </w:r>
    </w:p>
    <w:p w:rsidR="007C15B6" w:rsidRDefault="00523959" w:rsidP="007C15B6">
      <w:pPr>
        <w:pStyle w:val="NumberedParaAR"/>
      </w:pPr>
      <w:r>
        <w:rPr>
          <w:rtl/>
        </w:rPr>
        <w:t>يتقدم</w:t>
      </w:r>
      <w:r w:rsidR="00F4049A">
        <w:rPr>
          <w:rFonts w:hint="cs"/>
          <w:rtl/>
        </w:rPr>
        <w:t xml:space="preserve"> المكتب التركي </w:t>
      </w:r>
      <w:r>
        <w:rPr>
          <w:rtl/>
        </w:rPr>
        <w:t>للبراءات</w:t>
      </w:r>
      <w:r w:rsidR="00F4049A">
        <w:rPr>
          <w:rFonts w:hint="cs"/>
          <w:rtl/>
        </w:rPr>
        <w:t xml:space="preserve"> والعلامات التجارية</w:t>
      </w:r>
      <w:r>
        <w:rPr>
          <w:rtl/>
        </w:rPr>
        <w:t xml:space="preserve"> بسرعة في إجراءات منح البراءات.</w:t>
      </w:r>
      <w:r w:rsidR="00F4049A">
        <w:rPr>
          <w:rFonts w:hint="cs"/>
          <w:rtl/>
        </w:rPr>
        <w:t xml:space="preserve"> </w:t>
      </w:r>
      <w:r>
        <w:rPr>
          <w:rtl/>
        </w:rPr>
        <w:t>ولدى الم</w:t>
      </w:r>
      <w:r w:rsidR="00F4049A">
        <w:rPr>
          <w:rFonts w:hint="cs"/>
          <w:rtl/>
        </w:rPr>
        <w:t xml:space="preserve">كتب </w:t>
      </w:r>
      <w:r>
        <w:rPr>
          <w:rtl/>
        </w:rPr>
        <w:t>تراكم يكاد لا يُذكر من عمل البحث والفحص في الطلبات المحلية.</w:t>
      </w:r>
      <w:r w:rsidR="00F4049A">
        <w:rPr>
          <w:rFonts w:hint="cs"/>
          <w:rtl/>
        </w:rPr>
        <w:t xml:space="preserve"> </w:t>
      </w:r>
      <w:r>
        <w:rPr>
          <w:rtl/>
        </w:rPr>
        <w:t>ويبيِّن الجدول التالي الوقت اللازم لمسارات البحث والفحص والمنح.</w:t>
      </w:r>
    </w:p>
    <w:p w:rsidR="007C15B6" w:rsidRDefault="007C15B6" w:rsidP="007C15B6">
      <w:pPr>
        <w:pStyle w:val="NumberedParaAR"/>
        <w:numPr>
          <w:ilvl w:val="0"/>
          <w:numId w:val="0"/>
        </w:num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4520"/>
        <w:gridCol w:w="2000"/>
      </w:tblGrid>
      <w:tr w:rsidR="00F4049A" w:rsidRPr="001E5781" w:rsidTr="00F4049A">
        <w:trPr>
          <w:cantSplit/>
        </w:trPr>
        <w:tc>
          <w:tcPr>
            <w:tcW w:w="2518" w:type="dxa"/>
          </w:tcPr>
          <w:p w:rsidR="00F4049A" w:rsidRPr="00045366" w:rsidRDefault="00F4049A" w:rsidP="007C15B6">
            <w:pPr>
              <w:pStyle w:val="NormalParaAR"/>
              <w:keepNext/>
              <w:spacing w:after="0"/>
            </w:pPr>
            <w:r w:rsidRPr="00045366">
              <w:rPr>
                <w:b/>
                <w:bCs/>
                <w:rtl/>
              </w:rPr>
              <w:lastRenderedPageBreak/>
              <w:t>المؤشر</w:t>
            </w:r>
          </w:p>
        </w:tc>
        <w:tc>
          <w:tcPr>
            <w:tcW w:w="4520" w:type="dxa"/>
          </w:tcPr>
          <w:p w:rsidR="00F4049A" w:rsidRPr="00045366" w:rsidRDefault="00F4049A" w:rsidP="007C15B6">
            <w:pPr>
              <w:pStyle w:val="NormalParaAR"/>
              <w:keepNext/>
              <w:spacing w:after="0"/>
              <w:rPr>
                <w:b/>
                <w:bCs/>
              </w:rPr>
            </w:pPr>
            <w:r w:rsidRPr="00045366">
              <w:rPr>
                <w:b/>
                <w:bCs/>
                <w:rtl/>
              </w:rPr>
              <w:t>بداية الفترة من</w:t>
            </w:r>
          </w:p>
        </w:tc>
        <w:tc>
          <w:tcPr>
            <w:tcW w:w="2000" w:type="dxa"/>
          </w:tcPr>
          <w:p w:rsidR="00F4049A" w:rsidRPr="00045366" w:rsidRDefault="00F4049A" w:rsidP="007C15B6">
            <w:pPr>
              <w:pStyle w:val="NormalParaAR"/>
              <w:keepNext/>
              <w:spacing w:after="0"/>
            </w:pPr>
            <w:r w:rsidRPr="00045366">
              <w:rPr>
                <w:b/>
                <w:bCs/>
                <w:rtl/>
              </w:rPr>
              <w:t>الفترة الزمنية (الأشهر)</w:t>
            </w:r>
          </w:p>
        </w:tc>
      </w:tr>
      <w:tr w:rsidR="00F4049A" w:rsidRPr="001E5781" w:rsidTr="00F4049A">
        <w:trPr>
          <w:cantSplit/>
        </w:trPr>
        <w:tc>
          <w:tcPr>
            <w:tcW w:w="2518" w:type="dxa"/>
          </w:tcPr>
          <w:p w:rsidR="00F4049A" w:rsidRPr="00045366" w:rsidRDefault="00F4049A" w:rsidP="007C15B6">
            <w:pPr>
              <w:pStyle w:val="NormalParaAR"/>
              <w:spacing w:after="0"/>
            </w:pPr>
            <w:r>
              <w:rPr>
                <w:rtl/>
              </w:rPr>
              <w:t>حتى البحث</w:t>
            </w:r>
          </w:p>
        </w:tc>
        <w:tc>
          <w:tcPr>
            <w:tcW w:w="4520" w:type="dxa"/>
          </w:tcPr>
          <w:p w:rsidR="00F4049A" w:rsidRPr="001E5781" w:rsidRDefault="00F4049A" w:rsidP="007C15B6">
            <w:pPr>
              <w:pStyle w:val="NormalParaAR"/>
              <w:spacing w:after="0"/>
              <w:rPr>
                <w:szCs w:val="22"/>
              </w:rPr>
            </w:pPr>
            <w:r>
              <w:rPr>
                <w:rtl/>
              </w:rPr>
              <w:t>من تاريخ الإيداع</w:t>
            </w:r>
          </w:p>
        </w:tc>
        <w:tc>
          <w:tcPr>
            <w:tcW w:w="2000" w:type="dxa"/>
          </w:tcPr>
          <w:p w:rsidR="00F4049A" w:rsidRPr="00045366" w:rsidRDefault="00045366" w:rsidP="007C15B6">
            <w:pPr>
              <w:pStyle w:val="NormalParaAR"/>
              <w:spacing w:after="0"/>
            </w:pPr>
            <w:r>
              <w:rPr>
                <w:rFonts w:hint="cs"/>
                <w:rtl/>
              </w:rPr>
              <w:t xml:space="preserve">6 </w:t>
            </w:r>
            <w:r w:rsidR="00F4049A">
              <w:rPr>
                <w:rtl/>
              </w:rPr>
              <w:t>أشهر*</w:t>
            </w:r>
          </w:p>
        </w:tc>
      </w:tr>
      <w:tr w:rsidR="00045366" w:rsidRPr="001E5781" w:rsidTr="00F4049A">
        <w:trPr>
          <w:cantSplit/>
        </w:trPr>
        <w:tc>
          <w:tcPr>
            <w:tcW w:w="2518" w:type="dxa"/>
          </w:tcPr>
          <w:p w:rsidR="00045366" w:rsidRPr="001E5781" w:rsidRDefault="00045366" w:rsidP="007C15B6">
            <w:pPr>
              <w:pStyle w:val="NormalParaAR"/>
              <w:spacing w:after="0"/>
              <w:rPr>
                <w:szCs w:val="22"/>
              </w:rPr>
            </w:pPr>
            <w:r>
              <w:rPr>
                <w:rtl/>
              </w:rPr>
              <w:t>حتى الفحص الأولي</w:t>
            </w:r>
          </w:p>
        </w:tc>
        <w:tc>
          <w:tcPr>
            <w:tcW w:w="4520" w:type="dxa"/>
          </w:tcPr>
          <w:p w:rsidR="00045366" w:rsidRDefault="00045366" w:rsidP="007C15B6">
            <w:pPr>
              <w:pStyle w:val="NormalParaAR"/>
              <w:spacing w:after="0"/>
            </w:pPr>
            <w:r w:rsidRPr="00E33BBB">
              <w:rPr>
                <w:rtl/>
              </w:rPr>
              <w:t>من تاريخ الإيداع</w:t>
            </w:r>
          </w:p>
        </w:tc>
        <w:tc>
          <w:tcPr>
            <w:tcW w:w="2000" w:type="dxa"/>
          </w:tcPr>
          <w:p w:rsidR="00045366" w:rsidRPr="001E5781" w:rsidRDefault="00045366" w:rsidP="007C15B6">
            <w:pPr>
              <w:pStyle w:val="NormalParaAR"/>
              <w:spacing w:after="0"/>
              <w:rPr>
                <w:szCs w:val="22"/>
              </w:rPr>
            </w:pPr>
            <w:r>
              <w:rPr>
                <w:rtl/>
              </w:rPr>
              <w:t>12 شهراً**</w:t>
            </w:r>
          </w:p>
        </w:tc>
      </w:tr>
      <w:tr w:rsidR="00045366" w:rsidRPr="001E5781" w:rsidTr="00F4049A">
        <w:trPr>
          <w:cantSplit/>
        </w:trPr>
        <w:tc>
          <w:tcPr>
            <w:tcW w:w="2518" w:type="dxa"/>
          </w:tcPr>
          <w:p w:rsidR="00045366" w:rsidRPr="00515494" w:rsidRDefault="00045366" w:rsidP="007C15B6">
            <w:pPr>
              <w:pStyle w:val="NormalParaAR"/>
              <w:spacing w:after="0"/>
            </w:pPr>
            <w:r>
              <w:rPr>
                <w:rtl/>
              </w:rPr>
              <w:t>حتى المنح</w:t>
            </w:r>
          </w:p>
        </w:tc>
        <w:tc>
          <w:tcPr>
            <w:tcW w:w="4520" w:type="dxa"/>
          </w:tcPr>
          <w:p w:rsidR="00045366" w:rsidRDefault="00045366" w:rsidP="007C15B6">
            <w:pPr>
              <w:pStyle w:val="NormalParaAR"/>
              <w:spacing w:after="0"/>
            </w:pPr>
            <w:r w:rsidRPr="00E33BBB">
              <w:rPr>
                <w:rtl/>
              </w:rPr>
              <w:t>من تاريخ الإيداع</w:t>
            </w:r>
          </w:p>
        </w:tc>
        <w:tc>
          <w:tcPr>
            <w:tcW w:w="2000" w:type="dxa"/>
          </w:tcPr>
          <w:p w:rsidR="00045366" w:rsidRPr="001E5781" w:rsidRDefault="00045366" w:rsidP="007C15B6">
            <w:pPr>
              <w:pStyle w:val="NormalParaAR"/>
              <w:spacing w:after="0"/>
              <w:rPr>
                <w:szCs w:val="22"/>
              </w:rPr>
            </w:pPr>
            <w:r w:rsidRPr="00045366">
              <w:rPr>
                <w:rFonts w:hint="cs"/>
                <w:rtl/>
              </w:rPr>
              <w:t>سنة إلى</w:t>
            </w:r>
            <w:r>
              <w:rPr>
                <w:rtl/>
              </w:rPr>
              <w:t xml:space="preserve"> سنتين </w:t>
            </w:r>
          </w:p>
        </w:tc>
      </w:tr>
    </w:tbl>
    <w:p w:rsidR="00523959" w:rsidRDefault="00523959" w:rsidP="0097273D">
      <w:pPr>
        <w:pStyle w:val="NormalParaAR"/>
      </w:pPr>
      <w:r>
        <w:rPr>
          <w:rtl/>
        </w:rPr>
        <w:t>* وفقاً لمرسوم البراءات التركي، يمكن تقديم طلب للبحث خلال 1</w:t>
      </w:r>
      <w:r w:rsidR="00E65F67">
        <w:rPr>
          <w:rFonts w:hint="cs"/>
          <w:rtl/>
        </w:rPr>
        <w:t>2</w:t>
      </w:r>
      <w:r>
        <w:rPr>
          <w:rtl/>
        </w:rPr>
        <w:t xml:space="preserve"> شهراً من تاريخ إيداع الطلب.</w:t>
      </w:r>
      <w:r w:rsidR="00E65F67">
        <w:rPr>
          <w:rFonts w:hint="cs"/>
          <w:rtl/>
        </w:rPr>
        <w:t xml:space="preserve"> </w:t>
      </w:r>
      <w:r>
        <w:rPr>
          <w:rtl/>
        </w:rPr>
        <w:t>وعلى الم</w:t>
      </w:r>
      <w:r w:rsidR="00E65F67">
        <w:rPr>
          <w:rFonts w:hint="cs"/>
          <w:rtl/>
        </w:rPr>
        <w:t xml:space="preserve">كتب </w:t>
      </w:r>
      <w:r>
        <w:rPr>
          <w:rtl/>
        </w:rPr>
        <w:t>أن ينتظر إيداع طلب البحث، ما يؤدي إلى بعض التأخير قبل بداية البحث.</w:t>
      </w:r>
      <w:r w:rsidR="00E65F67">
        <w:rPr>
          <w:rFonts w:hint="cs"/>
          <w:rtl/>
        </w:rPr>
        <w:t xml:space="preserve"> </w:t>
      </w:r>
      <w:r>
        <w:rPr>
          <w:rtl/>
        </w:rPr>
        <w:t xml:space="preserve">ولذلك، فإن متوسط المهلة الزمنية اللازمة لإصدار تقرير البحث </w:t>
      </w:r>
      <w:r w:rsidR="004D14AC">
        <w:rPr>
          <w:rFonts w:hint="cs"/>
          <w:rtl/>
        </w:rPr>
        <w:t xml:space="preserve">هو </w:t>
      </w:r>
      <w:r w:rsidR="0097273D">
        <w:rPr>
          <w:rFonts w:hint="cs"/>
          <w:rtl/>
        </w:rPr>
        <w:t xml:space="preserve">6 </w:t>
      </w:r>
      <w:r>
        <w:rPr>
          <w:rtl/>
        </w:rPr>
        <w:t>أشهر.</w:t>
      </w:r>
    </w:p>
    <w:p w:rsidR="00523959" w:rsidRDefault="00523959" w:rsidP="000A410D">
      <w:pPr>
        <w:pStyle w:val="NormalParaAR"/>
      </w:pPr>
      <w:r>
        <w:rPr>
          <w:rtl/>
        </w:rPr>
        <w:t xml:space="preserve">** وفقاً لمرسوم البراءات التركي، </w:t>
      </w:r>
      <w:r w:rsidR="00E2475B">
        <w:rPr>
          <w:rFonts w:hint="cs"/>
          <w:rtl/>
        </w:rPr>
        <w:t xml:space="preserve">لا </w:t>
      </w:r>
      <w:r>
        <w:rPr>
          <w:rtl/>
        </w:rPr>
        <w:t xml:space="preserve">يبدأ الفحص </w:t>
      </w:r>
      <w:r w:rsidR="00E2475B">
        <w:rPr>
          <w:rFonts w:hint="cs"/>
          <w:rtl/>
        </w:rPr>
        <w:t xml:space="preserve">إلا </w:t>
      </w:r>
      <w:r>
        <w:rPr>
          <w:rtl/>
        </w:rPr>
        <w:t xml:space="preserve">بعد مرور </w:t>
      </w:r>
      <w:r w:rsidR="00E2475B">
        <w:rPr>
          <w:rFonts w:hint="cs"/>
          <w:rtl/>
        </w:rPr>
        <w:t>3</w:t>
      </w:r>
      <w:r w:rsidR="00E2475B">
        <w:rPr>
          <w:rtl/>
        </w:rPr>
        <w:t xml:space="preserve"> أشهر على</w:t>
      </w:r>
      <w:r w:rsidR="000A410D">
        <w:rPr>
          <w:rFonts w:hint="cs"/>
          <w:rtl/>
        </w:rPr>
        <w:t xml:space="preserve"> الإخطار ب</w:t>
      </w:r>
      <w:r>
        <w:rPr>
          <w:rtl/>
        </w:rPr>
        <w:t>تقرير البحث</w:t>
      </w:r>
      <w:r w:rsidR="000A410D">
        <w:rPr>
          <w:rFonts w:hint="cs"/>
          <w:rtl/>
        </w:rPr>
        <w:t xml:space="preserve"> وبناء على طلب المودع</w:t>
      </w:r>
      <w:r>
        <w:rPr>
          <w:rtl/>
        </w:rPr>
        <w:t>.</w:t>
      </w:r>
      <w:r w:rsidR="000A410D">
        <w:rPr>
          <w:rFonts w:hint="cs"/>
          <w:rtl/>
        </w:rPr>
        <w:t xml:space="preserve"> ويصل </w:t>
      </w:r>
      <w:r>
        <w:rPr>
          <w:rtl/>
        </w:rPr>
        <w:t>متوسط المهلة الزمنية اللازمة لإصدار تقرير الفحص الأول</w:t>
      </w:r>
      <w:r w:rsidR="000A410D">
        <w:rPr>
          <w:rFonts w:hint="cs"/>
          <w:rtl/>
        </w:rPr>
        <w:t xml:space="preserve"> إلى</w:t>
      </w:r>
      <w:r>
        <w:rPr>
          <w:rtl/>
        </w:rPr>
        <w:t xml:space="preserve"> 12 شهراً.</w:t>
      </w:r>
    </w:p>
    <w:p w:rsidR="00523959" w:rsidRDefault="00523959" w:rsidP="007C15B6">
      <w:pPr>
        <w:pStyle w:val="NumberedParaAR"/>
      </w:pPr>
      <w:r>
        <w:rPr>
          <w:rtl/>
        </w:rPr>
        <w:t>وفضلاً عن ذلك، فإننا على ثقة تامة من أن الوقت اللازم لمعالجة طلبات البراءات سينخفض بفضل تعيين فاحصي البراءات الجدد في عام 2016.</w:t>
      </w:r>
      <w:r w:rsidR="00F34CA6">
        <w:rPr>
          <w:rFonts w:hint="cs"/>
          <w:rtl/>
        </w:rPr>
        <w:t xml:space="preserve"> </w:t>
      </w:r>
      <w:r>
        <w:rPr>
          <w:rtl/>
        </w:rPr>
        <w:t>ونتيجة لذلك، ستكون مهل معالجة البحث والفحص أقل من المهل الدنيا المنصوص عليها في القاعدتين 1.36"</w:t>
      </w:r>
      <w:r w:rsidR="00620FF3">
        <w:rPr>
          <w:rFonts w:hint="cs"/>
          <w:rtl/>
        </w:rPr>
        <w:t>2</w:t>
      </w:r>
      <w:r>
        <w:rPr>
          <w:rtl/>
        </w:rPr>
        <w:t>" و1.63"2" من اللائحة التنفيذية للمعاهدة.</w:t>
      </w:r>
      <w:r w:rsidR="00620FF3">
        <w:rPr>
          <w:rFonts w:hint="cs"/>
          <w:rtl/>
        </w:rPr>
        <w:t xml:space="preserve"> </w:t>
      </w:r>
      <w:r>
        <w:rPr>
          <w:rtl/>
        </w:rPr>
        <w:t>وستُضمن استدامة هذه المهل بفضل نظام إدارة الجودة.</w:t>
      </w:r>
    </w:p>
    <w:p w:rsidR="00523959" w:rsidRPr="005F2781" w:rsidRDefault="00523959" w:rsidP="007C15B6">
      <w:pPr>
        <w:pStyle w:val="NormalParaAR"/>
        <w:keepNext/>
        <w:spacing w:after="0"/>
        <w:rPr>
          <w:u w:val="single"/>
        </w:rPr>
      </w:pPr>
      <w:r w:rsidRPr="005F2781">
        <w:rPr>
          <w:u w:val="single"/>
          <w:rtl/>
        </w:rPr>
        <w:t>القدرات المؤسسية</w:t>
      </w:r>
    </w:p>
    <w:p w:rsidR="00EA664E" w:rsidRDefault="00523959" w:rsidP="007C15B6">
      <w:pPr>
        <w:pStyle w:val="NumberedParaAR"/>
      </w:pPr>
      <w:r>
        <w:rPr>
          <w:rtl/>
        </w:rPr>
        <w:t>حسَّن الم</w:t>
      </w:r>
      <w:r w:rsidR="007C0EFC">
        <w:rPr>
          <w:rFonts w:hint="cs"/>
          <w:rtl/>
        </w:rPr>
        <w:t xml:space="preserve">كتب </w:t>
      </w:r>
      <w:r>
        <w:rPr>
          <w:rtl/>
        </w:rPr>
        <w:t>البنية المعلوماتية من أجل تق</w:t>
      </w:r>
      <w:r w:rsidR="00D34BAC">
        <w:rPr>
          <w:rFonts w:hint="cs"/>
          <w:rtl/>
        </w:rPr>
        <w:t xml:space="preserve">ليص </w:t>
      </w:r>
      <w:r>
        <w:rPr>
          <w:rtl/>
        </w:rPr>
        <w:t xml:space="preserve">مهل الإجراءات وتقديم خدماته في غضون فترة زمنية أقصر وبحد أدنى من العيوب في إجراءات </w:t>
      </w:r>
      <w:proofErr w:type="spellStart"/>
      <w:r>
        <w:rPr>
          <w:rtl/>
        </w:rPr>
        <w:t>الأتمتة</w:t>
      </w:r>
      <w:proofErr w:type="spellEnd"/>
      <w:r>
        <w:rPr>
          <w:rtl/>
        </w:rPr>
        <w:t>.</w:t>
      </w:r>
      <w:r w:rsidR="00D34BAC">
        <w:rPr>
          <w:rFonts w:hint="cs"/>
          <w:rtl/>
        </w:rPr>
        <w:t xml:space="preserve"> </w:t>
      </w:r>
      <w:r>
        <w:rPr>
          <w:rtl/>
        </w:rPr>
        <w:t>وإضافة إلى ذلك، فإن الم</w:t>
      </w:r>
      <w:r w:rsidR="00D34BAC">
        <w:rPr>
          <w:rFonts w:hint="cs"/>
          <w:rtl/>
        </w:rPr>
        <w:t xml:space="preserve">كتب </w:t>
      </w:r>
      <w:r>
        <w:rPr>
          <w:rtl/>
        </w:rPr>
        <w:t>مكتب خالٍ من الورق إذ يتلقى</w:t>
      </w:r>
      <w:r w:rsidR="00A443C5">
        <w:rPr>
          <w:rFonts w:hint="cs"/>
          <w:rtl/>
        </w:rPr>
        <w:t xml:space="preserve"> أكثر من</w:t>
      </w:r>
      <w:r>
        <w:rPr>
          <w:rtl/>
        </w:rPr>
        <w:t xml:space="preserve"> 95 بالمئة من جميع الطلبات عبر الإنترنت.</w:t>
      </w:r>
      <w:r w:rsidR="00D34BAC">
        <w:rPr>
          <w:rFonts w:hint="cs"/>
          <w:rtl/>
        </w:rPr>
        <w:t xml:space="preserve"> </w:t>
      </w:r>
      <w:r>
        <w:rPr>
          <w:rtl/>
        </w:rPr>
        <w:t xml:space="preserve">وفضلاً عن ذلك، </w:t>
      </w:r>
      <w:proofErr w:type="spellStart"/>
      <w:r>
        <w:rPr>
          <w:rtl/>
        </w:rPr>
        <w:t>رُقمنت</w:t>
      </w:r>
      <w:proofErr w:type="spellEnd"/>
      <w:r>
        <w:rPr>
          <w:rtl/>
        </w:rPr>
        <w:t xml:space="preserve"> كامل المحفوظات وأُعدّ فهرس لها لأغراض البحث.</w:t>
      </w:r>
      <w:r w:rsidR="00EA664E">
        <w:rPr>
          <w:rFonts w:hint="cs"/>
          <w:rtl/>
        </w:rPr>
        <w:t xml:space="preserve"> </w:t>
      </w:r>
      <w:r>
        <w:rPr>
          <w:rtl/>
        </w:rPr>
        <w:t>ويمكن النفاذ أيضاً إلى الخدمات التي يقدمها الم</w:t>
      </w:r>
      <w:r w:rsidR="00EA664E">
        <w:rPr>
          <w:rFonts w:hint="cs"/>
          <w:rtl/>
        </w:rPr>
        <w:t xml:space="preserve">كتب </w:t>
      </w:r>
      <w:r>
        <w:rPr>
          <w:rtl/>
        </w:rPr>
        <w:t>من خلال وسائل إلكترونية، حيث توفَّر جميع الخدمات الشبكية للهيئات الحكومية عبر بوابة إلكترونية واحدة.</w:t>
      </w:r>
    </w:p>
    <w:p w:rsidR="00523959" w:rsidRDefault="00523959" w:rsidP="007C15B6">
      <w:pPr>
        <w:pStyle w:val="NumberedParaAR"/>
      </w:pPr>
      <w:r>
        <w:rPr>
          <w:rtl/>
        </w:rPr>
        <w:t>وبدأ الم</w:t>
      </w:r>
      <w:r w:rsidR="00EA664E">
        <w:rPr>
          <w:rFonts w:hint="cs"/>
          <w:rtl/>
        </w:rPr>
        <w:t xml:space="preserve">كتب </w:t>
      </w:r>
      <w:r>
        <w:rPr>
          <w:rtl/>
        </w:rPr>
        <w:t>في قبول الإيداعات عبر النظام الإلكتروني لمعاهدة التعاون بشأن البراءات اعتباراً من 1</w:t>
      </w:r>
      <w:r w:rsidR="00A443C5">
        <w:rPr>
          <w:rFonts w:hint="cs"/>
          <w:rtl/>
        </w:rPr>
        <w:t xml:space="preserve"> يونيو </w:t>
      </w:r>
      <w:r>
        <w:rPr>
          <w:rtl/>
        </w:rPr>
        <w:t>2015 أي أنه يمكن لمقدمي الطلبات أن يودعوا طلبات البراءا</w:t>
      </w:r>
      <w:r w:rsidR="00EA664E">
        <w:rPr>
          <w:rtl/>
        </w:rPr>
        <w:t>ت باستخدام هذا النظام لدى الم</w:t>
      </w:r>
      <w:r w:rsidR="00EA664E">
        <w:rPr>
          <w:rFonts w:hint="cs"/>
          <w:rtl/>
        </w:rPr>
        <w:t>كتب</w:t>
      </w:r>
      <w:r>
        <w:rPr>
          <w:rtl/>
        </w:rPr>
        <w:t xml:space="preserve"> كمكتب لتلقي الطلبات وأن يتمتعوا بمزايا النظام مثل الخدمة التفاعلية الحديثة والحد من الأخطاء وزيادة الفعالية.</w:t>
      </w:r>
      <w:r w:rsidR="00EA664E">
        <w:rPr>
          <w:rFonts w:hint="cs"/>
          <w:rtl/>
        </w:rPr>
        <w:t xml:space="preserve"> </w:t>
      </w:r>
      <w:r>
        <w:rPr>
          <w:rtl/>
        </w:rPr>
        <w:t>ويدرك المستخدمون المحليون فوائد النظام الإلكتروني لمعاهدة التعاون بشأن البراءات إدراك</w:t>
      </w:r>
      <w:r w:rsidR="00EA664E">
        <w:rPr>
          <w:rtl/>
        </w:rPr>
        <w:t>اً تاماً؛ ومنذ</w:t>
      </w:r>
      <w:r w:rsidR="00A443C5">
        <w:rPr>
          <w:rFonts w:hint="cs"/>
          <w:rtl/>
        </w:rPr>
        <w:t xml:space="preserve"> أن شرع </w:t>
      </w:r>
      <w:r w:rsidR="00EA664E">
        <w:rPr>
          <w:rtl/>
        </w:rPr>
        <w:t>الم</w:t>
      </w:r>
      <w:r w:rsidR="00EA664E">
        <w:rPr>
          <w:rFonts w:hint="cs"/>
          <w:rtl/>
        </w:rPr>
        <w:t>كتب</w:t>
      </w:r>
      <w:r w:rsidR="00A443C5">
        <w:rPr>
          <w:rFonts w:hint="cs"/>
          <w:rtl/>
        </w:rPr>
        <w:t xml:space="preserve"> في قبول </w:t>
      </w:r>
      <w:r w:rsidR="00A443C5">
        <w:rPr>
          <w:rtl/>
        </w:rPr>
        <w:t>هذا النوع من الإيداعات،</w:t>
      </w:r>
      <w:r w:rsidR="00A443C5">
        <w:rPr>
          <w:rFonts w:hint="cs"/>
          <w:rtl/>
        </w:rPr>
        <w:t xml:space="preserve"> </w:t>
      </w:r>
      <w:r>
        <w:rPr>
          <w:rtl/>
        </w:rPr>
        <w:t>أودعت نحو 7</w:t>
      </w:r>
      <w:r w:rsidR="00EA664E">
        <w:rPr>
          <w:rFonts w:hint="cs"/>
          <w:rtl/>
        </w:rPr>
        <w:t>5</w:t>
      </w:r>
      <w:r>
        <w:rPr>
          <w:rtl/>
        </w:rPr>
        <w:t xml:space="preserve"> بالمئة من طلبات البراءات عبر النظام الإلكتروني.</w:t>
      </w:r>
    </w:p>
    <w:p w:rsidR="00523959" w:rsidRDefault="00523959" w:rsidP="007C15B6">
      <w:pPr>
        <w:pStyle w:val="Heading2"/>
      </w:pPr>
      <w:r>
        <w:rPr>
          <w:rtl/>
        </w:rPr>
        <w:t xml:space="preserve">إدارة </w:t>
      </w:r>
      <w:r w:rsidRPr="007C15B6">
        <w:rPr>
          <w:rtl/>
        </w:rPr>
        <w:t>الجودة</w:t>
      </w:r>
    </w:p>
    <w:p w:rsidR="00523959" w:rsidRPr="00EA664E" w:rsidRDefault="00523959" w:rsidP="007C15B6">
      <w:pPr>
        <w:pStyle w:val="NormalParaAR"/>
        <w:keepNext/>
        <w:spacing w:after="0"/>
        <w:rPr>
          <w:u w:val="single"/>
        </w:rPr>
      </w:pPr>
      <w:r w:rsidRPr="00EA664E">
        <w:rPr>
          <w:u w:val="single"/>
          <w:rtl/>
        </w:rPr>
        <w:t>سياسة الجودة</w:t>
      </w:r>
    </w:p>
    <w:p w:rsidR="00355CE2" w:rsidRDefault="00523959" w:rsidP="007C15B6">
      <w:pPr>
        <w:pStyle w:val="NumberedParaAR"/>
      </w:pPr>
      <w:r>
        <w:rPr>
          <w:rtl/>
        </w:rPr>
        <w:t>يعمل الم</w:t>
      </w:r>
      <w:r w:rsidR="00685B20">
        <w:rPr>
          <w:rFonts w:hint="cs"/>
          <w:rtl/>
        </w:rPr>
        <w:t xml:space="preserve">كتب </w:t>
      </w:r>
      <w:r>
        <w:rPr>
          <w:rtl/>
        </w:rPr>
        <w:t>بجد لخدمة أصحاب المصالح والمستخدمين في تقديم منتجات وخدمات عالية الجودة في مجال البحث والفحص.</w:t>
      </w:r>
      <w:r w:rsidR="00685B20">
        <w:rPr>
          <w:rFonts w:hint="cs"/>
          <w:rtl/>
        </w:rPr>
        <w:t xml:space="preserve"> و</w:t>
      </w:r>
      <w:r w:rsidR="00685B20">
        <w:rPr>
          <w:rtl/>
        </w:rPr>
        <w:t>في هذا الصدد</w:t>
      </w:r>
      <w:r w:rsidR="00685B20">
        <w:rPr>
          <w:rFonts w:hint="cs"/>
          <w:rtl/>
        </w:rPr>
        <w:t xml:space="preserve">، </w:t>
      </w:r>
      <w:r>
        <w:rPr>
          <w:rtl/>
        </w:rPr>
        <w:t>ينتهج الم</w:t>
      </w:r>
      <w:r w:rsidR="00685B20">
        <w:rPr>
          <w:rFonts w:hint="cs"/>
          <w:rtl/>
        </w:rPr>
        <w:t xml:space="preserve">كتب </w:t>
      </w:r>
      <w:r>
        <w:rPr>
          <w:rtl/>
        </w:rPr>
        <w:t>سياسة الجودة التالية:</w:t>
      </w:r>
    </w:p>
    <w:p w:rsidR="00355CE2" w:rsidRPr="00355CE2" w:rsidRDefault="00523959" w:rsidP="007C15B6">
      <w:pPr>
        <w:pStyle w:val="NormalParaAR"/>
        <w:numPr>
          <w:ilvl w:val="0"/>
          <w:numId w:val="15"/>
        </w:numPr>
      </w:pPr>
      <w:r>
        <w:rPr>
          <w:rtl/>
        </w:rPr>
        <w:t>توفير خدمات على أعلى مستويات الجودة بما يرضي مودعي طلبات البراءات والمحامين؛</w:t>
      </w:r>
    </w:p>
    <w:p w:rsidR="00355CE2" w:rsidRDefault="0056383D" w:rsidP="007C15B6">
      <w:pPr>
        <w:pStyle w:val="NormalParaAR"/>
        <w:numPr>
          <w:ilvl w:val="0"/>
          <w:numId w:val="15"/>
        </w:numPr>
      </w:pPr>
      <w:r>
        <w:rPr>
          <w:rtl/>
        </w:rPr>
        <w:t>الالتزام بإصدار تقارير بحث وفحص موثوق بها ومتسقة ونزيهة وشفافة بناء على اللوائح والقوانين والمعاهدات؛</w:t>
      </w:r>
    </w:p>
    <w:p w:rsidR="00355CE2" w:rsidRDefault="0056383D" w:rsidP="007C15B6">
      <w:pPr>
        <w:pStyle w:val="NormalParaAR"/>
        <w:numPr>
          <w:ilvl w:val="0"/>
          <w:numId w:val="15"/>
        </w:numPr>
      </w:pPr>
      <w:r>
        <w:rPr>
          <w:rtl/>
        </w:rPr>
        <w:t>ضمان منح البراءات في الوقت المناسب لل</w:t>
      </w:r>
      <w:r>
        <w:rPr>
          <w:rFonts w:hint="cs"/>
          <w:rtl/>
        </w:rPr>
        <w:t xml:space="preserve">مساهمة </w:t>
      </w:r>
      <w:r>
        <w:rPr>
          <w:rtl/>
        </w:rPr>
        <w:t>في نظام البراءات والتطور التكنولوجي؛</w:t>
      </w:r>
    </w:p>
    <w:p w:rsidR="00355CE2" w:rsidRDefault="00523959" w:rsidP="007C15B6">
      <w:pPr>
        <w:pStyle w:val="NormalParaAR"/>
        <w:numPr>
          <w:ilvl w:val="0"/>
          <w:numId w:val="15"/>
        </w:numPr>
      </w:pPr>
      <w:r>
        <w:rPr>
          <w:rtl/>
        </w:rPr>
        <w:t>الحفاظ على علاقات تعاونية مع مودعي طلبات البراءات والمحامين للحصول على تعليقات فعالة لتعزيز جودة وفعالية مسارات إعداد تقارير البحث والفحص؛</w:t>
      </w:r>
    </w:p>
    <w:p w:rsidR="00523959" w:rsidRDefault="00523959" w:rsidP="007C15B6">
      <w:pPr>
        <w:pStyle w:val="NormalParaAR"/>
        <w:numPr>
          <w:ilvl w:val="0"/>
          <w:numId w:val="15"/>
        </w:numPr>
      </w:pPr>
      <w:r>
        <w:rPr>
          <w:rtl/>
        </w:rPr>
        <w:lastRenderedPageBreak/>
        <w:t>الالتزام بتحسين جودة الخدمات من خلال التدريب المستمر وزيادة معارف فاحصي البراءات وتعزيز قدراتهم.</w:t>
      </w:r>
    </w:p>
    <w:p w:rsidR="006D348F" w:rsidRDefault="00523959" w:rsidP="007C15B6">
      <w:pPr>
        <w:pStyle w:val="NumberedParaAR"/>
      </w:pPr>
      <w:r>
        <w:rPr>
          <w:rtl/>
        </w:rPr>
        <w:t xml:space="preserve">وسعياً إلى تعزيز فعالية نظام إدارة الجودة، </w:t>
      </w:r>
      <w:r w:rsidR="004C00E0">
        <w:rPr>
          <w:rFonts w:hint="cs"/>
          <w:rtl/>
        </w:rPr>
        <w:t xml:space="preserve">حصل </w:t>
      </w:r>
      <w:r>
        <w:rPr>
          <w:rtl/>
        </w:rPr>
        <w:t>الم</w:t>
      </w:r>
      <w:r w:rsidR="006D348F">
        <w:rPr>
          <w:rFonts w:hint="cs"/>
          <w:rtl/>
        </w:rPr>
        <w:t xml:space="preserve">كتب </w:t>
      </w:r>
      <w:r>
        <w:rPr>
          <w:rtl/>
        </w:rPr>
        <w:t xml:space="preserve">على شهادة </w:t>
      </w:r>
      <w:r>
        <w:t>ISO 9001</w:t>
      </w:r>
      <w:r>
        <w:rPr>
          <w:rtl/>
        </w:rPr>
        <w:t xml:space="preserve"> في عام 2016 كمرجع معياري لنظام إدارة الجودة فيه.</w:t>
      </w:r>
      <w:r w:rsidR="0097273D">
        <w:rPr>
          <w:rFonts w:hint="cs"/>
          <w:rtl/>
        </w:rPr>
        <w:t xml:space="preserve"> ك</w:t>
      </w:r>
      <w:r w:rsidR="0027166C">
        <w:rPr>
          <w:rFonts w:hint="cs"/>
          <w:rtl/>
        </w:rPr>
        <w:t xml:space="preserve">ما سيحصل المكتب قريباً </w:t>
      </w:r>
      <w:r w:rsidR="006D348F" w:rsidRPr="006D348F">
        <w:rPr>
          <w:rtl/>
        </w:rPr>
        <w:t xml:space="preserve">على شهادة معيار </w:t>
      </w:r>
      <w:r w:rsidR="006D348F" w:rsidRPr="006D348F">
        <w:t>ISO 27001</w:t>
      </w:r>
      <w:r w:rsidR="006D348F" w:rsidRPr="006D348F">
        <w:rPr>
          <w:rtl/>
        </w:rPr>
        <w:t xml:space="preserve"> لإدارة أمن المعلومات.</w:t>
      </w:r>
    </w:p>
    <w:p w:rsidR="00523959" w:rsidRDefault="00523959" w:rsidP="007C15B6">
      <w:pPr>
        <w:pStyle w:val="NumberedParaAR"/>
      </w:pPr>
      <w:r>
        <w:rPr>
          <w:rtl/>
        </w:rPr>
        <w:t xml:space="preserve">ويرد تقرير أولي عن </w:t>
      </w:r>
      <w:r w:rsidR="0097273D">
        <w:rPr>
          <w:rFonts w:hint="cs"/>
          <w:rtl/>
        </w:rPr>
        <w:t>أنظمة</w:t>
      </w:r>
      <w:r>
        <w:rPr>
          <w:rtl/>
        </w:rPr>
        <w:t xml:space="preserve"> إدارة الجودة بما يتفق مع الفصل 21 من المبادئ التوجيهية للبحث والفحص التمهيدي الدوليين بناء على معاهدة التعاون بشأن البراءات</w:t>
      </w:r>
      <w:r w:rsidR="004C00E0">
        <w:rPr>
          <w:rFonts w:hint="cs"/>
          <w:rtl/>
        </w:rPr>
        <w:t xml:space="preserve"> على موقع </w:t>
      </w:r>
      <w:proofErr w:type="spellStart"/>
      <w:r w:rsidR="004C00E0">
        <w:rPr>
          <w:rFonts w:hint="cs"/>
          <w:rtl/>
        </w:rPr>
        <w:t>الويبو</w:t>
      </w:r>
      <w:proofErr w:type="spellEnd"/>
      <w:r w:rsidR="004B631E">
        <w:rPr>
          <w:rFonts w:hint="cs"/>
          <w:rtl/>
        </w:rPr>
        <w:t xml:space="preserve">: </w:t>
      </w:r>
      <w:hyperlink r:id="rId12" w:history="1">
        <w:r w:rsidR="004B631E" w:rsidRPr="004B631E">
          <w:t>http://www.wipo.int/pct/en/quality/authorities.html</w:t>
        </w:r>
      </w:hyperlink>
      <w:r>
        <w:rPr>
          <w:rtl/>
        </w:rPr>
        <w:t>.</w:t>
      </w:r>
    </w:p>
    <w:p w:rsidR="00523959" w:rsidRDefault="00523959" w:rsidP="007C15B6">
      <w:pPr>
        <w:pStyle w:val="Heading2"/>
      </w:pPr>
      <w:r>
        <w:rPr>
          <w:rtl/>
        </w:rPr>
        <w:t>مسائل أخرى</w:t>
      </w:r>
    </w:p>
    <w:p w:rsidR="00523959" w:rsidRPr="00CA6F55" w:rsidRDefault="00523959" w:rsidP="007C15B6">
      <w:pPr>
        <w:pStyle w:val="NormalParaAR"/>
        <w:keepNext/>
        <w:spacing w:after="0"/>
        <w:rPr>
          <w:u w:val="single"/>
        </w:rPr>
      </w:pPr>
      <w:r w:rsidRPr="00CA6F55">
        <w:rPr>
          <w:u w:val="single"/>
          <w:rtl/>
        </w:rPr>
        <w:t>أنشطة التعاون الدولي</w:t>
      </w:r>
    </w:p>
    <w:p w:rsidR="003E18FF" w:rsidRPr="007C15B6" w:rsidRDefault="00523959" w:rsidP="007C15B6">
      <w:pPr>
        <w:pStyle w:val="NumberedParaAR"/>
      </w:pPr>
      <w:r>
        <w:rPr>
          <w:rtl/>
        </w:rPr>
        <w:t>اضطلع الم</w:t>
      </w:r>
      <w:r w:rsidR="00CA6F55">
        <w:rPr>
          <w:rFonts w:hint="cs"/>
          <w:rtl/>
        </w:rPr>
        <w:t>كتب</w:t>
      </w:r>
      <w:r w:rsidR="004B631E">
        <w:rPr>
          <w:rFonts w:hint="cs"/>
          <w:rtl/>
        </w:rPr>
        <w:t xml:space="preserve"> التركي للبراءات والعلامات التجارية</w:t>
      </w:r>
      <w:r w:rsidR="00CA6F55">
        <w:rPr>
          <w:rFonts w:hint="cs"/>
          <w:rtl/>
        </w:rPr>
        <w:t xml:space="preserve"> </w:t>
      </w:r>
      <w:r>
        <w:rPr>
          <w:rtl/>
        </w:rPr>
        <w:t>بأول مشروع دولي له في الفترة الممتدة بين عامي 1995 و1999 مع الوكالة الألمانية للتعاون التقني بغية إنشاء البنية المادية اللازمة وتطوير القدرات المؤسسية.</w:t>
      </w:r>
      <w:r w:rsidR="00CA6F55">
        <w:rPr>
          <w:rFonts w:hint="cs"/>
          <w:rtl/>
        </w:rPr>
        <w:t xml:space="preserve"> </w:t>
      </w:r>
      <w:r>
        <w:rPr>
          <w:rtl/>
        </w:rPr>
        <w:t>ونفذ المشروع الثاني مع البنك الدولي في الفترة الممتدة بين عامي 1999 و2006، وهدف إلى تحديث البنية المادية للم</w:t>
      </w:r>
      <w:r w:rsidR="00CA6F55">
        <w:rPr>
          <w:rFonts w:hint="cs"/>
          <w:rtl/>
        </w:rPr>
        <w:t>كتب،</w:t>
      </w:r>
      <w:r w:rsidR="00CA6F55">
        <w:rPr>
          <w:rtl/>
        </w:rPr>
        <w:t xml:space="preserve"> و</w:t>
      </w:r>
      <w:r w:rsidR="00372E72">
        <w:rPr>
          <w:rFonts w:hint="cs"/>
          <w:rtl/>
        </w:rPr>
        <w:t>إن</w:t>
      </w:r>
      <w:r>
        <w:rPr>
          <w:rtl/>
        </w:rPr>
        <w:t>شاء أنظمة معلوماتية حديثة، وبرمجيات خاصة بالملكية الفكرية حسب الطلب، وإعادة هندسة خدمات الملكية الفكرية</w:t>
      </w:r>
      <w:r w:rsidR="00CA6F55">
        <w:rPr>
          <w:rFonts w:hint="cs"/>
          <w:rtl/>
        </w:rPr>
        <w:t>،</w:t>
      </w:r>
      <w:r>
        <w:rPr>
          <w:rtl/>
        </w:rPr>
        <w:t xml:space="preserve"> وتدريب الفاحصين.</w:t>
      </w:r>
      <w:r w:rsidR="00CA6F55">
        <w:rPr>
          <w:rFonts w:hint="cs"/>
          <w:rtl/>
        </w:rPr>
        <w:t xml:space="preserve"> </w:t>
      </w:r>
      <w:r>
        <w:rPr>
          <w:rtl/>
        </w:rPr>
        <w:t>ونفذ المشروع الدولي الثالث في إطار منظمة التعاون الإسلامي بالتعاون مع المركز الإسلامي لتنمية التجارة، وهدف إلى تعزيز القدرات التقنية في مجال الملكية</w:t>
      </w:r>
      <w:r w:rsidR="00CA6F55">
        <w:rPr>
          <w:rtl/>
        </w:rPr>
        <w:t xml:space="preserve"> الفكرية بين أعضاء منظمة ال</w:t>
      </w:r>
      <w:r w:rsidR="00CA6F55">
        <w:rPr>
          <w:rFonts w:hint="cs"/>
          <w:rtl/>
        </w:rPr>
        <w:t>تعاون</w:t>
      </w:r>
      <w:r>
        <w:rPr>
          <w:rtl/>
        </w:rPr>
        <w:t xml:space="preserve"> الإسلامي.</w:t>
      </w:r>
      <w:r w:rsidR="003E18FF">
        <w:rPr>
          <w:rFonts w:hint="cs"/>
          <w:rtl/>
        </w:rPr>
        <w:t xml:space="preserve"> </w:t>
      </w:r>
      <w:r>
        <w:rPr>
          <w:rtl/>
        </w:rPr>
        <w:t>ونفذ مشروع التعاون الدولي الأخير في الفترة الممتدة بين عامي 2010 و2011 مع المحكمة الاتحادية الألمانية للبراءات والمؤسسة الألمانية للتعاون القانوني الدولي في إطار مشروع التوأمة الممول من الاتحاد الأوروبي، وهدف إلى وضع مبادئ توجيهية للفحص، وتعزيز القدرات التقنية للفاحصين في الم</w:t>
      </w:r>
      <w:r w:rsidR="003E18FF">
        <w:rPr>
          <w:rFonts w:hint="cs"/>
          <w:rtl/>
        </w:rPr>
        <w:t>كتب</w:t>
      </w:r>
      <w:r>
        <w:rPr>
          <w:rtl/>
        </w:rPr>
        <w:t xml:space="preserve"> والقضاة المتخصصين في مجال الملكية الفكرية، وضمان مواءمة تشريعات الملكية الفكرية في تركيا مع </w:t>
      </w:r>
      <w:r w:rsidR="00A76EF2" w:rsidRPr="00A76EF2">
        <w:rPr>
          <w:rFonts w:hint="cs"/>
          <w:rtl/>
        </w:rPr>
        <w:t>تشريعات</w:t>
      </w:r>
      <w:r w:rsidRPr="00A76EF2">
        <w:rPr>
          <w:rtl/>
        </w:rPr>
        <w:t xml:space="preserve"> الاتحاد الأوروبي.</w:t>
      </w:r>
    </w:p>
    <w:p w:rsidR="003E18FF" w:rsidRDefault="003E18FF" w:rsidP="007C15B6">
      <w:pPr>
        <w:pStyle w:val="NumberedParaAR"/>
      </w:pPr>
      <w:r>
        <w:rPr>
          <w:rFonts w:hint="cs"/>
          <w:rtl/>
        </w:rPr>
        <w:t>و</w:t>
      </w:r>
      <w:r w:rsidR="00523959">
        <w:rPr>
          <w:rtl/>
        </w:rPr>
        <w:t>يضطلع الم</w:t>
      </w:r>
      <w:r>
        <w:rPr>
          <w:rFonts w:hint="cs"/>
          <w:rtl/>
        </w:rPr>
        <w:t xml:space="preserve">كتب </w:t>
      </w:r>
      <w:r w:rsidR="00523959">
        <w:rPr>
          <w:rtl/>
        </w:rPr>
        <w:t>بأنشطة تعاون ثنائية مع مكاتب وطنية في 27 بلداً.</w:t>
      </w:r>
      <w:r>
        <w:rPr>
          <w:rFonts w:hint="cs"/>
          <w:rtl/>
        </w:rPr>
        <w:t xml:space="preserve"> </w:t>
      </w:r>
      <w:r w:rsidR="00523959">
        <w:rPr>
          <w:rtl/>
        </w:rPr>
        <w:t xml:space="preserve">وفضلاً عن ذلك، </w:t>
      </w:r>
      <w:r w:rsidR="00053065">
        <w:rPr>
          <w:rFonts w:hint="cs"/>
          <w:rtl/>
        </w:rPr>
        <w:t xml:space="preserve">أطلق </w:t>
      </w:r>
      <w:r w:rsidR="00523959">
        <w:rPr>
          <w:rtl/>
        </w:rPr>
        <w:t xml:space="preserve">المكتب، بالتعاون مع </w:t>
      </w:r>
      <w:r w:rsidRPr="000D59BF">
        <w:rPr>
          <w:rtl/>
        </w:rPr>
        <w:t xml:space="preserve">المكتب الحكومي للملكية الفكرية </w:t>
      </w:r>
      <w:r w:rsidR="00523959">
        <w:rPr>
          <w:rtl/>
        </w:rPr>
        <w:t>في جمهورية الصين الشعبية ومكتب كوريا للملكية الفكرية، أنشطة</w:t>
      </w:r>
      <w:r w:rsidR="00570F31">
        <w:rPr>
          <w:rFonts w:hint="cs"/>
          <w:rtl/>
        </w:rPr>
        <w:t xml:space="preserve"> تعاون</w:t>
      </w:r>
      <w:r w:rsidR="00523959">
        <w:rPr>
          <w:rtl/>
        </w:rPr>
        <w:t xml:space="preserve"> تهدف إلى توفير نفاذ ثنائي إلى قواعد بيانات البراءات الوطنية.</w:t>
      </w:r>
    </w:p>
    <w:p w:rsidR="008F0B3B" w:rsidRDefault="003E18FF" w:rsidP="007C15B6">
      <w:pPr>
        <w:pStyle w:val="NumberedParaAR"/>
      </w:pPr>
      <w:r>
        <w:rPr>
          <w:rtl/>
        </w:rPr>
        <w:t>ولدى الم</w:t>
      </w:r>
      <w:r>
        <w:rPr>
          <w:rFonts w:hint="cs"/>
          <w:rtl/>
        </w:rPr>
        <w:t>كتب</w:t>
      </w:r>
      <w:r w:rsidR="00523959">
        <w:rPr>
          <w:rtl/>
        </w:rPr>
        <w:t xml:space="preserve"> سجل طويل من التعاون الممتاز مع العديد من المنظمات الدولية في مجال الملكية الفكرية مثل </w:t>
      </w:r>
      <w:proofErr w:type="spellStart"/>
      <w:r w:rsidR="00523959">
        <w:rPr>
          <w:rtl/>
        </w:rPr>
        <w:t>الويبو</w:t>
      </w:r>
      <w:proofErr w:type="spellEnd"/>
      <w:r w:rsidR="00523959">
        <w:rPr>
          <w:rtl/>
        </w:rPr>
        <w:t xml:space="preserve"> والمكتب الأوروبي للبراءات ومكتب مواءمة السوق الداخلية.</w:t>
      </w:r>
      <w:r w:rsidR="008F0B3B">
        <w:rPr>
          <w:rFonts w:hint="cs"/>
          <w:rtl/>
        </w:rPr>
        <w:t xml:space="preserve"> </w:t>
      </w:r>
      <w:r w:rsidR="008F0B3B">
        <w:rPr>
          <w:rtl/>
        </w:rPr>
        <w:t>و</w:t>
      </w:r>
      <w:r w:rsidR="00911843">
        <w:rPr>
          <w:rFonts w:hint="cs"/>
          <w:rtl/>
        </w:rPr>
        <w:t>إ</w:t>
      </w:r>
      <w:r w:rsidR="00523959">
        <w:rPr>
          <w:rtl/>
        </w:rPr>
        <w:t>ضافة إل</w:t>
      </w:r>
      <w:r w:rsidR="008F0B3B">
        <w:rPr>
          <w:rtl/>
        </w:rPr>
        <w:t>ى ذلك، يحافظ الم</w:t>
      </w:r>
      <w:r w:rsidR="008F0B3B">
        <w:rPr>
          <w:rFonts w:hint="cs"/>
          <w:rtl/>
        </w:rPr>
        <w:t xml:space="preserve">كتب </w:t>
      </w:r>
      <w:r w:rsidR="00523959">
        <w:rPr>
          <w:rtl/>
        </w:rPr>
        <w:t>على علاقات وثيقة مع منظمة التجارة العالمية ومنظمة التعاون والتنمية في الميدان الاقتصادي ولجنة الأمم المتحدة الاقتصادية لأوروبا</w:t>
      </w:r>
      <w:r w:rsidR="008F0B3B">
        <w:rPr>
          <w:rFonts w:hint="cs"/>
          <w:rtl/>
        </w:rPr>
        <w:t>.</w:t>
      </w:r>
    </w:p>
    <w:p w:rsidR="006820C0" w:rsidRDefault="008F0B3B" w:rsidP="007C15B6">
      <w:pPr>
        <w:pStyle w:val="NumberedParaAR"/>
      </w:pPr>
      <w:r>
        <w:rPr>
          <w:rtl/>
        </w:rPr>
        <w:t>ونف</w:t>
      </w:r>
      <w:r w:rsidR="003F2913">
        <w:rPr>
          <w:rFonts w:hint="cs"/>
          <w:rtl/>
        </w:rPr>
        <w:t>ّ</w:t>
      </w:r>
      <w:r>
        <w:rPr>
          <w:rtl/>
        </w:rPr>
        <w:t>ذ الم</w:t>
      </w:r>
      <w:r>
        <w:rPr>
          <w:rFonts w:hint="cs"/>
          <w:rtl/>
        </w:rPr>
        <w:t>كتب</w:t>
      </w:r>
      <w:r w:rsidR="00523959">
        <w:rPr>
          <w:rtl/>
        </w:rPr>
        <w:t xml:space="preserve"> </w:t>
      </w:r>
      <w:proofErr w:type="spellStart"/>
      <w:r w:rsidR="00523959">
        <w:rPr>
          <w:rtl/>
        </w:rPr>
        <w:t>والويبو</w:t>
      </w:r>
      <w:proofErr w:type="spellEnd"/>
      <w:r w:rsidR="00523959">
        <w:rPr>
          <w:rtl/>
        </w:rPr>
        <w:t xml:space="preserve"> برنامج زمالة</w:t>
      </w:r>
      <w:r w:rsidR="006820C0">
        <w:rPr>
          <w:rtl/>
        </w:rPr>
        <w:t xml:space="preserve"> منذ عام 2012 يتيح انتداب فاحصي</w:t>
      </w:r>
      <w:r w:rsidR="006820C0">
        <w:rPr>
          <w:rFonts w:hint="cs"/>
          <w:rtl/>
        </w:rPr>
        <w:t xml:space="preserve"> المكتب</w:t>
      </w:r>
      <w:r w:rsidR="00523959">
        <w:rPr>
          <w:rtl/>
        </w:rPr>
        <w:t xml:space="preserve"> إلى </w:t>
      </w:r>
      <w:proofErr w:type="spellStart"/>
      <w:r w:rsidR="00523959">
        <w:rPr>
          <w:rtl/>
        </w:rPr>
        <w:t>الويبو</w:t>
      </w:r>
      <w:proofErr w:type="spellEnd"/>
      <w:r w:rsidR="00523959">
        <w:rPr>
          <w:rtl/>
        </w:rPr>
        <w:t xml:space="preserve"> لاكتساب خبرة في معالجة طلبات العلامات التجارية الدولية المودعة بناء على نظام مدريد.</w:t>
      </w:r>
      <w:r w:rsidR="006820C0">
        <w:rPr>
          <w:rFonts w:hint="cs"/>
          <w:rtl/>
        </w:rPr>
        <w:t xml:space="preserve"> </w:t>
      </w:r>
      <w:r w:rsidR="00523959">
        <w:rPr>
          <w:rtl/>
        </w:rPr>
        <w:t xml:space="preserve">وبفضل </w:t>
      </w:r>
      <w:r w:rsidR="006820C0">
        <w:rPr>
          <w:rtl/>
        </w:rPr>
        <w:t>هذا البرنامج، سيصبح فاحصو ال</w:t>
      </w:r>
      <w:r w:rsidR="006820C0">
        <w:rPr>
          <w:rFonts w:hint="cs"/>
          <w:rtl/>
        </w:rPr>
        <w:t>مكتب</w:t>
      </w:r>
      <w:r w:rsidR="00523959">
        <w:rPr>
          <w:rtl/>
        </w:rPr>
        <w:t xml:space="preserve"> مؤهلين للعمل كجهة الاتصال بين المكاتب ومعالجة أية مشكلات قد تطرحها طلبات العلامات التجارية الدولية.</w:t>
      </w:r>
      <w:r w:rsidR="006820C0">
        <w:rPr>
          <w:rFonts w:hint="cs"/>
          <w:rtl/>
        </w:rPr>
        <w:t xml:space="preserve"> </w:t>
      </w:r>
      <w:r w:rsidR="006820C0">
        <w:rPr>
          <w:rtl/>
        </w:rPr>
        <w:t>ويعتزم الم</w:t>
      </w:r>
      <w:r w:rsidR="006820C0">
        <w:rPr>
          <w:rFonts w:hint="cs"/>
          <w:rtl/>
        </w:rPr>
        <w:t>كتب</w:t>
      </w:r>
      <w:r w:rsidR="00523959">
        <w:rPr>
          <w:rtl/>
        </w:rPr>
        <w:t xml:space="preserve"> توسيع برنامج الزمالة لتغطية نظام معاهدة التعاون بشأن البراءات أيضاً.</w:t>
      </w:r>
    </w:p>
    <w:p w:rsidR="006820C0" w:rsidRDefault="006820C0" w:rsidP="007C15B6">
      <w:pPr>
        <w:pStyle w:val="NumberedParaAR"/>
      </w:pPr>
      <w:r>
        <w:rPr>
          <w:rtl/>
        </w:rPr>
        <w:t>وقد تعاون الم</w:t>
      </w:r>
      <w:r>
        <w:rPr>
          <w:rFonts w:hint="cs"/>
          <w:rtl/>
        </w:rPr>
        <w:t>كتب</w:t>
      </w:r>
      <w:r w:rsidR="00523959">
        <w:rPr>
          <w:rtl/>
        </w:rPr>
        <w:t xml:space="preserve"> مع أكاديمية </w:t>
      </w:r>
      <w:proofErr w:type="spellStart"/>
      <w:r w:rsidR="00523959">
        <w:rPr>
          <w:rtl/>
        </w:rPr>
        <w:t>الويبو</w:t>
      </w:r>
      <w:proofErr w:type="spellEnd"/>
      <w:r w:rsidR="00523959">
        <w:rPr>
          <w:rtl/>
        </w:rPr>
        <w:t xml:space="preserve"> تعاوناً وثيقاً، منذ عام 2014، على برنامج ماجستير دولي في مجال الملكية الفكرية.</w:t>
      </w:r>
      <w:r>
        <w:rPr>
          <w:rFonts w:hint="cs"/>
          <w:rtl/>
        </w:rPr>
        <w:t xml:space="preserve"> </w:t>
      </w:r>
      <w:r w:rsidR="00523959">
        <w:rPr>
          <w:rtl/>
        </w:rPr>
        <w:t>واستُكمل مضمون البرنامج في عام 2015، و</w:t>
      </w:r>
      <w:r>
        <w:rPr>
          <w:rFonts w:hint="cs"/>
          <w:rtl/>
        </w:rPr>
        <w:t>ا</w:t>
      </w:r>
      <w:r w:rsidR="00523959">
        <w:rPr>
          <w:rtl/>
        </w:rPr>
        <w:t>ست</w:t>
      </w:r>
      <w:r>
        <w:rPr>
          <w:rFonts w:hint="cs"/>
          <w:rtl/>
        </w:rPr>
        <w:t>ُ</w:t>
      </w:r>
      <w:r w:rsidR="00523959">
        <w:rPr>
          <w:rtl/>
        </w:rPr>
        <w:t>هل في جامعة أنقرة خلال العام الدراسي 2016 2017.</w:t>
      </w:r>
    </w:p>
    <w:p w:rsidR="00380698" w:rsidRDefault="006820C0" w:rsidP="007C15B6">
      <w:pPr>
        <w:pStyle w:val="NumberedParaAR"/>
      </w:pPr>
      <w:r>
        <w:rPr>
          <w:rtl/>
        </w:rPr>
        <w:t>وتعاون الم</w:t>
      </w:r>
      <w:r>
        <w:rPr>
          <w:rFonts w:hint="cs"/>
          <w:rtl/>
        </w:rPr>
        <w:t>كتب</w:t>
      </w:r>
      <w:r w:rsidR="00523959">
        <w:rPr>
          <w:rtl/>
        </w:rPr>
        <w:t xml:space="preserve"> </w:t>
      </w:r>
      <w:proofErr w:type="spellStart"/>
      <w:r w:rsidR="00523959">
        <w:rPr>
          <w:rtl/>
        </w:rPr>
        <w:t>والويبو</w:t>
      </w:r>
      <w:proofErr w:type="spellEnd"/>
      <w:r w:rsidR="00523959">
        <w:rPr>
          <w:rtl/>
        </w:rPr>
        <w:t xml:space="preserve"> على إنشاء أكاديمية الملكية الفكرية في تركيا منذ عام 2010.</w:t>
      </w:r>
      <w:r w:rsidR="00C004A8">
        <w:rPr>
          <w:rFonts w:hint="cs"/>
          <w:rtl/>
        </w:rPr>
        <w:t xml:space="preserve"> </w:t>
      </w:r>
      <w:r w:rsidR="00523959">
        <w:rPr>
          <w:rtl/>
        </w:rPr>
        <w:t>وقد ك</w:t>
      </w:r>
      <w:r w:rsidR="00911843">
        <w:rPr>
          <w:rFonts w:hint="cs"/>
          <w:rtl/>
        </w:rPr>
        <w:t>ُ</w:t>
      </w:r>
      <w:r w:rsidR="00523959">
        <w:rPr>
          <w:rtl/>
        </w:rPr>
        <w:t xml:space="preserve">ثفت هذه الدراسات في عام 2014، وبموجب </w:t>
      </w:r>
      <w:r w:rsidR="00C004A8">
        <w:rPr>
          <w:rtl/>
        </w:rPr>
        <w:t>مذكرة التفاهم الموقعة بين الم</w:t>
      </w:r>
      <w:r w:rsidR="00C004A8">
        <w:rPr>
          <w:rFonts w:hint="cs"/>
          <w:rtl/>
        </w:rPr>
        <w:t>كتب</w:t>
      </w:r>
      <w:r w:rsidR="00523959">
        <w:rPr>
          <w:rtl/>
        </w:rPr>
        <w:t xml:space="preserve"> </w:t>
      </w:r>
      <w:proofErr w:type="spellStart"/>
      <w:r w:rsidR="00523959">
        <w:rPr>
          <w:rtl/>
        </w:rPr>
        <w:t>والويبو</w:t>
      </w:r>
      <w:proofErr w:type="spellEnd"/>
      <w:r w:rsidR="00523959">
        <w:rPr>
          <w:rtl/>
        </w:rPr>
        <w:t>، بدأ تدريب مدربي الأكاديمية.</w:t>
      </w:r>
      <w:r w:rsidR="00C004A8">
        <w:rPr>
          <w:rFonts w:hint="cs"/>
          <w:rtl/>
        </w:rPr>
        <w:t xml:space="preserve"> </w:t>
      </w:r>
      <w:r w:rsidR="00523959">
        <w:rPr>
          <w:rtl/>
        </w:rPr>
        <w:t>و</w:t>
      </w:r>
      <w:r w:rsidR="00C004A8">
        <w:rPr>
          <w:rFonts w:hint="cs"/>
          <w:rtl/>
        </w:rPr>
        <w:t xml:space="preserve">قد باشرت </w:t>
      </w:r>
      <w:r w:rsidR="00523959">
        <w:rPr>
          <w:rtl/>
        </w:rPr>
        <w:t xml:space="preserve">الأكاديمية كامل وظائفها </w:t>
      </w:r>
      <w:r w:rsidR="00C004A8">
        <w:rPr>
          <w:rFonts w:hint="cs"/>
          <w:rtl/>
        </w:rPr>
        <w:t>منذ بداية</w:t>
      </w:r>
      <w:r w:rsidR="00523959">
        <w:rPr>
          <w:rtl/>
        </w:rPr>
        <w:t xml:space="preserve"> عام 2017.</w:t>
      </w:r>
    </w:p>
    <w:p w:rsidR="00380698" w:rsidRDefault="00380698" w:rsidP="007C15B6">
      <w:pPr>
        <w:pStyle w:val="NumberedParaAR"/>
      </w:pPr>
      <w:r>
        <w:rPr>
          <w:rtl/>
        </w:rPr>
        <w:lastRenderedPageBreak/>
        <w:t>وينظِّم الم</w:t>
      </w:r>
      <w:r>
        <w:rPr>
          <w:rFonts w:hint="cs"/>
          <w:rtl/>
        </w:rPr>
        <w:t>كتب</w:t>
      </w:r>
      <w:r w:rsidR="00523959">
        <w:rPr>
          <w:rtl/>
        </w:rPr>
        <w:t xml:space="preserve"> </w:t>
      </w:r>
      <w:proofErr w:type="spellStart"/>
      <w:r w:rsidR="00523959">
        <w:rPr>
          <w:rtl/>
        </w:rPr>
        <w:t>والويبو</w:t>
      </w:r>
      <w:proofErr w:type="spellEnd"/>
      <w:r w:rsidR="00523959">
        <w:rPr>
          <w:rtl/>
        </w:rPr>
        <w:t xml:space="preserve"> كل عام سلسلة من أنشطة التوعية والأنشطة الإعلامية، وفقاً لخطة العمل السنوية المتفق عليها.</w:t>
      </w:r>
      <w:r>
        <w:rPr>
          <w:rFonts w:hint="cs"/>
          <w:rtl/>
        </w:rPr>
        <w:t xml:space="preserve"> </w:t>
      </w:r>
      <w:r w:rsidR="00523959">
        <w:rPr>
          <w:rtl/>
        </w:rPr>
        <w:t>وتستهدف خطة العمل الجامعات، ومراكز البحث والتطوير، ومكاتب نقل التكنولوجيا، والوكالات الحكومية، والقضاء في مجال الملكية الفكرية، والمحامين المتخصصين في مجال الملكية الفكرية.</w:t>
      </w:r>
    </w:p>
    <w:p w:rsidR="00523959" w:rsidRDefault="00380698" w:rsidP="007C15B6">
      <w:pPr>
        <w:pStyle w:val="NumberedParaAR"/>
      </w:pPr>
      <w:r>
        <w:rPr>
          <w:rtl/>
        </w:rPr>
        <w:t>وبالمثل، يتعاون الم</w:t>
      </w:r>
      <w:r>
        <w:rPr>
          <w:rFonts w:hint="cs"/>
          <w:rtl/>
        </w:rPr>
        <w:t>كتب</w:t>
      </w:r>
      <w:r w:rsidR="00523959">
        <w:rPr>
          <w:rtl/>
        </w:rPr>
        <w:t xml:space="preserve"> والمكتب الأوروبي للبراءات على تنظيم برامج تدريبية سنوية تركز على البحث والفحص لفائدة فاحصي البراءات في </w:t>
      </w:r>
      <w:r>
        <w:rPr>
          <w:rFonts w:hint="cs"/>
          <w:rtl/>
        </w:rPr>
        <w:t>المكتب</w:t>
      </w:r>
      <w:r w:rsidR="00523959">
        <w:rPr>
          <w:rtl/>
        </w:rPr>
        <w:t>.</w:t>
      </w:r>
      <w:r>
        <w:rPr>
          <w:rFonts w:hint="cs"/>
          <w:rtl/>
        </w:rPr>
        <w:t xml:space="preserve"> </w:t>
      </w:r>
      <w:r w:rsidR="00523959">
        <w:rPr>
          <w:rtl/>
        </w:rPr>
        <w:t>وتتضمن هذه البرامج أنشطة للتوعية ونشر المعلومات تستهدف الجامعات، ومراكز البحث والتطوير، ومكاتب نقل التكنولوجيا، ووكلاء البراءات.</w:t>
      </w:r>
    </w:p>
    <w:p w:rsidR="00523959" w:rsidRDefault="00523959" w:rsidP="007C15B6">
      <w:pPr>
        <w:pStyle w:val="Heading2"/>
        <w:spacing w:after="0"/>
      </w:pPr>
      <w:r>
        <w:rPr>
          <w:rtl/>
        </w:rPr>
        <w:t>تقييم الإدارات الأخرى للم</w:t>
      </w:r>
      <w:r w:rsidR="00380698">
        <w:rPr>
          <w:rFonts w:hint="cs"/>
          <w:rtl/>
        </w:rPr>
        <w:t>كتب</w:t>
      </w:r>
    </w:p>
    <w:p w:rsidR="00523959" w:rsidRDefault="00DF5CC5" w:rsidP="007C15B6">
      <w:pPr>
        <w:pStyle w:val="NumberedParaAR"/>
      </w:pPr>
      <w:r>
        <w:rPr>
          <w:rFonts w:hint="cs"/>
          <w:rtl/>
        </w:rPr>
        <w:t>من غير المتوقع أن تقدم ال</w:t>
      </w:r>
      <w:r w:rsidRPr="00DF5CC5">
        <w:rPr>
          <w:rtl/>
        </w:rPr>
        <w:t>إدارات الدولية الحالية</w:t>
      </w:r>
      <w:r>
        <w:rPr>
          <w:rFonts w:hint="cs"/>
          <w:rtl/>
        </w:rPr>
        <w:t xml:space="preserve"> تقارير </w:t>
      </w:r>
      <w:r w:rsidR="00911843">
        <w:rPr>
          <w:rFonts w:hint="cs"/>
          <w:rtl/>
        </w:rPr>
        <w:t xml:space="preserve">صادرة </w:t>
      </w:r>
      <w:r w:rsidR="003F2913">
        <w:rPr>
          <w:rFonts w:hint="cs"/>
          <w:rtl/>
        </w:rPr>
        <w:t>ع</w:t>
      </w:r>
      <w:r>
        <w:rPr>
          <w:rFonts w:hint="cs"/>
          <w:rtl/>
        </w:rPr>
        <w:t xml:space="preserve">ن إدارات دولية أخرى في إطار طلبها </w:t>
      </w:r>
      <w:r w:rsidR="006D2612">
        <w:rPr>
          <w:rFonts w:hint="cs"/>
          <w:rtl/>
        </w:rPr>
        <w:t>ل</w:t>
      </w:r>
      <w:r>
        <w:rPr>
          <w:rFonts w:hint="cs"/>
          <w:rtl/>
        </w:rPr>
        <w:t>تمديد تعيين</w:t>
      </w:r>
      <w:r w:rsidR="006D2612">
        <w:rPr>
          <w:rFonts w:hint="cs"/>
          <w:rtl/>
        </w:rPr>
        <w:t>ها</w:t>
      </w:r>
      <w:r>
        <w:rPr>
          <w:rFonts w:hint="cs"/>
          <w:rtl/>
        </w:rPr>
        <w:t xml:space="preserve">. لكن، ينبغي التذكير </w:t>
      </w:r>
      <w:r w:rsidR="002374C3">
        <w:rPr>
          <w:rFonts w:hint="cs"/>
          <w:rtl/>
        </w:rPr>
        <w:t xml:space="preserve">بأن المكتب </w:t>
      </w:r>
      <w:r w:rsidR="00EC1826">
        <w:rPr>
          <w:rFonts w:hint="cs"/>
          <w:rtl/>
        </w:rPr>
        <w:t>تلقى مؤخراً تعقيبات من</w:t>
      </w:r>
      <w:r w:rsidR="002374C3">
        <w:rPr>
          <w:rFonts w:hint="cs"/>
          <w:rtl/>
        </w:rPr>
        <w:t xml:space="preserve"> </w:t>
      </w:r>
      <w:r w:rsidR="004B2C3A">
        <w:rPr>
          <w:rtl/>
        </w:rPr>
        <w:t>مكتب كوريا للملكية الفكرية ومكتب إسبانيا للبراءات والعلامات التجارية</w:t>
      </w:r>
      <w:r w:rsidR="004B2C3A">
        <w:rPr>
          <w:rFonts w:hint="cs"/>
          <w:rtl/>
        </w:rPr>
        <w:t xml:space="preserve"> في </w:t>
      </w:r>
      <w:r w:rsidR="006D2612">
        <w:rPr>
          <w:rFonts w:hint="cs"/>
          <w:rtl/>
        </w:rPr>
        <w:t>إطار تعيينه</w:t>
      </w:r>
      <w:r w:rsidR="00EC1826">
        <w:rPr>
          <w:rFonts w:hint="cs"/>
          <w:rtl/>
        </w:rPr>
        <w:t xml:space="preserve"> خلال </w:t>
      </w:r>
      <w:r w:rsidR="00523959">
        <w:rPr>
          <w:rtl/>
        </w:rPr>
        <w:t xml:space="preserve">الدورة السادسة </w:t>
      </w:r>
      <w:r w:rsidR="00C0307F">
        <w:rPr>
          <w:rtl/>
        </w:rPr>
        <w:t>والأربعين لجمعية اتحاد المعاهدة</w:t>
      </w:r>
      <w:r w:rsidR="00C0307F">
        <w:rPr>
          <w:rFonts w:hint="cs"/>
          <w:rtl/>
        </w:rPr>
        <w:t xml:space="preserve">. ويرد </w:t>
      </w:r>
      <w:r w:rsidR="00566C0D">
        <w:rPr>
          <w:rFonts w:hint="cs"/>
          <w:rtl/>
        </w:rPr>
        <w:t xml:space="preserve">تقريراهما الإيجابيان والحديثان </w:t>
      </w:r>
      <w:r w:rsidR="00C0307F">
        <w:rPr>
          <w:rFonts w:hint="cs"/>
          <w:rtl/>
        </w:rPr>
        <w:t>في المرفقين الخامس والسادس من الوثيقة</w:t>
      </w:r>
      <w:r w:rsidR="00D20669">
        <w:rPr>
          <w:rFonts w:hint="cs"/>
          <w:rtl/>
        </w:rPr>
        <w:t xml:space="preserve"> </w:t>
      </w:r>
      <w:proofErr w:type="spellStart"/>
      <w:r w:rsidR="00D20669" w:rsidRPr="001E5781">
        <w:t>PCT</w:t>
      </w:r>
      <w:proofErr w:type="spellEnd"/>
      <w:r w:rsidR="00D20669" w:rsidRPr="001E5781">
        <w:t>/CTC/29/2</w:t>
      </w:r>
      <w:r w:rsidR="00523959">
        <w:rPr>
          <w:rtl/>
        </w:rPr>
        <w:t>.</w:t>
      </w:r>
    </w:p>
    <w:p w:rsidR="00523959" w:rsidRDefault="00523959" w:rsidP="00523959">
      <w:pPr>
        <w:pStyle w:val="NormalParaAR"/>
      </w:pPr>
    </w:p>
    <w:p w:rsidR="00523959" w:rsidRDefault="00523959" w:rsidP="007C15B6">
      <w:pPr>
        <w:pStyle w:val="EndofDocumentAR"/>
      </w:pPr>
      <w:r>
        <w:rPr>
          <w:rtl/>
        </w:rPr>
        <w:t>[</w:t>
      </w:r>
      <w:r w:rsidR="00566C0D">
        <w:rPr>
          <w:rFonts w:hint="cs"/>
          <w:rtl/>
        </w:rPr>
        <w:t>نهاية</w:t>
      </w:r>
      <w:r>
        <w:rPr>
          <w:rtl/>
        </w:rPr>
        <w:t xml:space="preserve"> المرفق </w:t>
      </w:r>
      <w:r w:rsidR="00566C0D">
        <w:rPr>
          <w:rFonts w:hint="cs"/>
          <w:rtl/>
        </w:rPr>
        <w:t>والوثيقة</w:t>
      </w:r>
      <w:r>
        <w:rPr>
          <w:rtl/>
        </w:rPr>
        <w:t>]</w:t>
      </w:r>
    </w:p>
    <w:p w:rsidR="00523959" w:rsidRDefault="00523959" w:rsidP="00523959">
      <w:pPr>
        <w:pStyle w:val="NormalParaAR"/>
      </w:pPr>
    </w:p>
    <w:p w:rsidR="00523959" w:rsidRDefault="00523959" w:rsidP="00523959">
      <w:pPr>
        <w:pStyle w:val="NormalParaAR"/>
      </w:pPr>
    </w:p>
    <w:p w:rsidR="00523959" w:rsidRDefault="00523959" w:rsidP="00523959">
      <w:pPr>
        <w:pStyle w:val="NormalParaAR"/>
        <w:rPr>
          <w:rtl/>
        </w:rPr>
      </w:pPr>
    </w:p>
    <w:sectPr w:rsidR="00523959" w:rsidSect="00356753">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34E" w:rsidRDefault="00CF034E">
      <w:r>
        <w:separator/>
      </w:r>
    </w:p>
  </w:endnote>
  <w:endnote w:type="continuationSeparator" w:id="0">
    <w:p w:rsidR="00CF034E" w:rsidRDefault="00CF0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34E" w:rsidRDefault="00CF034E" w:rsidP="009622BF">
      <w:pPr>
        <w:bidi/>
      </w:pPr>
      <w:bookmarkStart w:id="0" w:name="OLE_LINK1"/>
      <w:bookmarkStart w:id="1" w:name="OLE_LINK2"/>
      <w:r>
        <w:separator/>
      </w:r>
      <w:bookmarkEnd w:id="0"/>
      <w:bookmarkEnd w:id="1"/>
    </w:p>
  </w:footnote>
  <w:footnote w:type="continuationSeparator" w:id="0">
    <w:p w:rsidR="00CF034E" w:rsidRDefault="00CF034E"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698" w:rsidRDefault="00380698" w:rsidP="0057160F">
    <w:proofErr w:type="spellStart"/>
    <w:r>
      <w:t>PCT</w:t>
    </w:r>
    <w:proofErr w:type="spellEnd"/>
    <w:r>
      <w:t>/CTC/30/--</w:t>
    </w:r>
  </w:p>
  <w:p w:rsidR="00380698" w:rsidRDefault="00A327B1" w:rsidP="00D61541">
    <w:r>
      <w:fldChar w:fldCharType="begin"/>
    </w:r>
    <w:r>
      <w:instrText xml:space="preserve"> PAGE  \* MERGEFORMAT </w:instrText>
    </w:r>
    <w:r>
      <w:fldChar w:fldCharType="separate"/>
    </w:r>
    <w:r w:rsidR="00380698">
      <w:rPr>
        <w:noProof/>
      </w:rPr>
      <w:t>3</w:t>
    </w:r>
    <w:r>
      <w:rPr>
        <w:noProof/>
      </w:rPr>
      <w:fldChar w:fldCharType="end"/>
    </w:r>
  </w:p>
  <w:p w:rsidR="00380698" w:rsidRDefault="00380698"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698" w:rsidRDefault="00380698" w:rsidP="009744FF">
    <w:proofErr w:type="spellStart"/>
    <w:r>
      <w:t>PCT</w:t>
    </w:r>
    <w:proofErr w:type="spellEnd"/>
    <w:r>
      <w:t>/CTC/30/</w:t>
    </w:r>
    <w:r w:rsidR="009744FF">
      <w:t>20</w:t>
    </w:r>
  </w:p>
  <w:p w:rsidR="009744FF" w:rsidRDefault="009744FF" w:rsidP="009744FF">
    <w:r>
      <w:t>Annex</w:t>
    </w:r>
  </w:p>
  <w:p w:rsidR="00380698" w:rsidRDefault="00A327B1" w:rsidP="00D61541">
    <w:r>
      <w:fldChar w:fldCharType="begin"/>
    </w:r>
    <w:r>
      <w:instrText xml:space="preserve"> PAGE  \* MERGEFORMAT </w:instrText>
    </w:r>
    <w:r>
      <w:fldChar w:fldCharType="separate"/>
    </w:r>
    <w:r>
      <w:rPr>
        <w:noProof/>
      </w:rPr>
      <w:t>13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698" w:rsidRDefault="00380698" w:rsidP="00AA7658">
    <w:pPr>
      <w:rPr>
        <w:rtl/>
      </w:rPr>
    </w:pPr>
    <w:proofErr w:type="spellStart"/>
    <w:r>
      <w:t>PCT</w:t>
    </w:r>
    <w:proofErr w:type="spellEnd"/>
    <w:r>
      <w:t>/CTC/30/</w:t>
    </w:r>
    <w:r w:rsidR="00AA7658">
      <w:t>20</w:t>
    </w:r>
  </w:p>
  <w:p w:rsidR="00380698" w:rsidRDefault="00380698" w:rsidP="00356753">
    <w:r>
      <w:t>ANNEX</w:t>
    </w:r>
  </w:p>
  <w:p w:rsidR="00380698" w:rsidRPr="00356753" w:rsidRDefault="00380698" w:rsidP="00356753">
    <w:pPr>
      <w:rPr>
        <w:rFonts w:ascii="Arabic Typesetting" w:hAnsi="Arabic Typesetting" w:cs="Arabic Typesetting"/>
        <w:sz w:val="40"/>
        <w:szCs w:val="40"/>
        <w:rtl/>
        <w:lang w:bidi="ar-EG"/>
      </w:rPr>
    </w:pPr>
    <w:r w:rsidRPr="00356753">
      <w:rPr>
        <w:rFonts w:ascii="Arabic Typesetting" w:hAnsi="Arabic Typesetting" w:cs="Arabic Typesetting"/>
        <w:sz w:val="40"/>
        <w:szCs w:val="40"/>
        <w:rtl/>
        <w:lang w:bidi="ar-EG"/>
      </w:rPr>
      <w:t>المرفق</w:t>
    </w:r>
  </w:p>
  <w:p w:rsidR="00380698" w:rsidRDefault="003806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08F4"/>
    <w:multiLevelType w:val="hybridMultilevel"/>
    <w:tmpl w:val="51687978"/>
    <w:lvl w:ilvl="0" w:tplc="C272343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173C2"/>
    <w:multiLevelType w:val="hybridMultilevel"/>
    <w:tmpl w:val="1BF012DA"/>
    <w:lvl w:ilvl="0" w:tplc="F806C00C">
      <w:numFmt w:val="bullet"/>
      <w:lvlText w:val="-"/>
      <w:lvlJc w:val="left"/>
      <w:pPr>
        <w:ind w:left="720" w:hanging="360"/>
      </w:pPr>
      <w:rPr>
        <w:rFonts w:ascii="Arabic Typesetting" w:eastAsia="Times New Roman" w:hAnsi="Arabic Typesetting" w:cs="Arabic Typesetting"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EC31E1"/>
    <w:multiLevelType w:val="hybridMultilevel"/>
    <w:tmpl w:val="60981036"/>
    <w:lvl w:ilvl="0" w:tplc="3A5E9E4A">
      <w:numFmt w:val="bullet"/>
      <w:lvlText w:val=""/>
      <w:lvlJc w:val="left"/>
      <w:pPr>
        <w:ind w:left="720" w:hanging="360"/>
      </w:pPr>
      <w:rPr>
        <w:rFonts w:ascii="Symbol" w:hAnsi="Symbol" w:cs="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5E87973"/>
    <w:multiLevelType w:val="hybridMultilevel"/>
    <w:tmpl w:val="149AC314"/>
    <w:lvl w:ilvl="0" w:tplc="B97427A4">
      <w:start w:val="1"/>
      <w:numFmt w:val="decimal"/>
      <w:pStyle w:val="NumberedParaAR"/>
      <w:lvlText w:val="%1."/>
      <w:lvlJc w:val="left"/>
      <w:pPr>
        <w:tabs>
          <w:tab w:val="num" w:pos="567"/>
        </w:tabs>
        <w:ind w:left="0" w:firstLine="0"/>
      </w:pPr>
      <w:rPr>
        <w:rFonts w:ascii="Arabic Typesetting" w:hAnsi="Arabic Typesetting" w:cs="Arabic Typesetting" w:hint="default"/>
        <w:b w:val="0"/>
        <w:bCs w:val="0"/>
        <w:sz w:val="36"/>
        <w:szCs w:val="36"/>
      </w:rPr>
    </w:lvl>
    <w:lvl w:ilvl="1" w:tplc="6F906FE4">
      <w:start w:val="1"/>
      <w:numFmt w:val="decimal"/>
      <w:lvlText w:val="(%2)"/>
      <w:lvlJc w:val="left"/>
      <w:pPr>
        <w:ind w:left="2820" w:hanging="17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9D7F0F"/>
    <w:multiLevelType w:val="hybridMultilevel"/>
    <w:tmpl w:val="08FCEC74"/>
    <w:lvl w:ilvl="0" w:tplc="B78C0582">
      <w:start w:val="1"/>
      <w:numFmt w:val="decimal"/>
      <w:lvlText w:val="%1."/>
      <w:lvlJc w:val="left"/>
      <w:pPr>
        <w:ind w:left="720" w:hanging="360"/>
      </w:pPr>
      <w:rPr>
        <w:rFonts w:hint="default"/>
        <w:b w:val="0"/>
        <w:bCs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05A377D"/>
    <w:multiLevelType w:val="hybridMultilevel"/>
    <w:tmpl w:val="CABC1500"/>
    <w:lvl w:ilvl="0" w:tplc="57B094DE">
      <w:start w:val="1"/>
      <w:numFmt w:val="arabicAbjad"/>
      <w:lvlText w:val="(%1)"/>
      <w:lvlJc w:val="left"/>
      <w:pPr>
        <w:ind w:left="1286" w:hanging="360"/>
      </w:pPr>
      <w:rPr>
        <w:rFonts w:hint="default"/>
      </w:rPr>
    </w:lvl>
    <w:lvl w:ilvl="1" w:tplc="57B094DE">
      <w:start w:val="1"/>
      <w:numFmt w:val="arabicAbjad"/>
      <w:lvlText w:val="(%2)"/>
      <w:lvlJc w:val="left"/>
      <w:pPr>
        <w:ind w:left="2006" w:hanging="360"/>
      </w:pPr>
      <w:rPr>
        <w:rFonts w:hint="default"/>
      </w:r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7">
    <w:nsid w:val="798128BE"/>
    <w:multiLevelType w:val="hybridMultilevel"/>
    <w:tmpl w:val="38FA4346"/>
    <w:lvl w:ilvl="0" w:tplc="498E2712">
      <w:numFmt w:val="bullet"/>
      <w:lvlText w:val=""/>
      <w:lvlJc w:val="left"/>
      <w:pPr>
        <w:ind w:left="720" w:hanging="360"/>
      </w:pPr>
      <w:rPr>
        <w:rFonts w:ascii="Symbol" w:eastAsia="Times New Roman" w:hAnsi="Symbol" w:cs="Arabic Typesetting"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5"/>
  </w:num>
  <w:num w:numId="4">
    <w:abstractNumId w:val="1"/>
  </w:num>
  <w:num w:numId="5">
    <w:abstractNumId w:val="2"/>
  </w:num>
  <w:num w:numId="6">
    <w:abstractNumId w:val="7"/>
  </w:num>
  <w:num w:numId="7">
    <w:abstractNumId w:val="4"/>
    <w:lvlOverride w:ilvl="0">
      <w:startOverride w:val="1"/>
    </w:lvlOverride>
  </w:num>
  <w:num w:numId="8">
    <w:abstractNumId w:val="0"/>
  </w:num>
  <w:num w:numId="9">
    <w:abstractNumId w:val="6"/>
  </w:num>
  <w:num w:numId="10">
    <w:abstractNumId w:val="4"/>
  </w:num>
  <w:num w:numId="11">
    <w:abstractNumId w:val="4"/>
  </w:num>
  <w:num w:numId="12">
    <w:abstractNumId w:val="4"/>
  </w:num>
  <w:num w:numId="13">
    <w:abstractNumId w:val="4"/>
  </w:num>
  <w:num w:numId="14">
    <w:abstractNumId w:val="4"/>
  </w:num>
  <w:num w:numId="15">
    <w:abstractNumId w:val="3"/>
  </w:num>
  <w:num w:numId="16">
    <w:abstractNumId w:val="4"/>
  </w:num>
  <w:num w:numId="17">
    <w:abstractNumId w:val="4"/>
  </w:num>
  <w:num w:numId="18">
    <w:abstractNumId w:val="4"/>
  </w:num>
  <w:num w:numId="19">
    <w:abstractNumId w:val="4"/>
  </w:num>
  <w:num w:numId="2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2"/>
  </w:compat>
  <w:rsids>
    <w:rsidRoot w:val="00BA3475"/>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5101"/>
    <w:rsid w:val="00015737"/>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4EAC"/>
    <w:rsid w:val="00045366"/>
    <w:rsid w:val="00045B68"/>
    <w:rsid w:val="00045E69"/>
    <w:rsid w:val="00046EDC"/>
    <w:rsid w:val="00047497"/>
    <w:rsid w:val="0004763A"/>
    <w:rsid w:val="000500C9"/>
    <w:rsid w:val="0005014C"/>
    <w:rsid w:val="000508E2"/>
    <w:rsid w:val="00050A69"/>
    <w:rsid w:val="00050C55"/>
    <w:rsid w:val="00050F28"/>
    <w:rsid w:val="00053065"/>
    <w:rsid w:val="0005368C"/>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4B4E"/>
    <w:rsid w:val="00085A0B"/>
    <w:rsid w:val="000863B7"/>
    <w:rsid w:val="00087DB6"/>
    <w:rsid w:val="00090139"/>
    <w:rsid w:val="0009024C"/>
    <w:rsid w:val="00090ADD"/>
    <w:rsid w:val="000913C0"/>
    <w:rsid w:val="00091F52"/>
    <w:rsid w:val="00092465"/>
    <w:rsid w:val="00092982"/>
    <w:rsid w:val="00092DD6"/>
    <w:rsid w:val="00094C85"/>
    <w:rsid w:val="00094D7E"/>
    <w:rsid w:val="0009517B"/>
    <w:rsid w:val="00095AE2"/>
    <w:rsid w:val="000962DF"/>
    <w:rsid w:val="0009661E"/>
    <w:rsid w:val="000A12BC"/>
    <w:rsid w:val="000A1306"/>
    <w:rsid w:val="000A1521"/>
    <w:rsid w:val="000A2FC1"/>
    <w:rsid w:val="000A3A57"/>
    <w:rsid w:val="000A410D"/>
    <w:rsid w:val="000A5408"/>
    <w:rsid w:val="000A6510"/>
    <w:rsid w:val="000B0BB4"/>
    <w:rsid w:val="000B1045"/>
    <w:rsid w:val="000B1BAE"/>
    <w:rsid w:val="000B29B3"/>
    <w:rsid w:val="000B3889"/>
    <w:rsid w:val="000B3B3B"/>
    <w:rsid w:val="000B42E7"/>
    <w:rsid w:val="000B4F16"/>
    <w:rsid w:val="000B70B7"/>
    <w:rsid w:val="000B73E6"/>
    <w:rsid w:val="000B7759"/>
    <w:rsid w:val="000C111E"/>
    <w:rsid w:val="000C1E3C"/>
    <w:rsid w:val="000C1FB4"/>
    <w:rsid w:val="000C2A3E"/>
    <w:rsid w:val="000C2CE8"/>
    <w:rsid w:val="000C335E"/>
    <w:rsid w:val="000C4651"/>
    <w:rsid w:val="000C46EC"/>
    <w:rsid w:val="000C484D"/>
    <w:rsid w:val="000C4C9B"/>
    <w:rsid w:val="000C523D"/>
    <w:rsid w:val="000C52A5"/>
    <w:rsid w:val="000C563F"/>
    <w:rsid w:val="000C5DF9"/>
    <w:rsid w:val="000C5F21"/>
    <w:rsid w:val="000C662C"/>
    <w:rsid w:val="000C6823"/>
    <w:rsid w:val="000C733A"/>
    <w:rsid w:val="000C76B0"/>
    <w:rsid w:val="000D0C07"/>
    <w:rsid w:val="000D0C7C"/>
    <w:rsid w:val="000D1A1D"/>
    <w:rsid w:val="000D1C23"/>
    <w:rsid w:val="000D59BF"/>
    <w:rsid w:val="000D5FB7"/>
    <w:rsid w:val="000D6B12"/>
    <w:rsid w:val="000E06A5"/>
    <w:rsid w:val="000E16EB"/>
    <w:rsid w:val="000E2264"/>
    <w:rsid w:val="000E591F"/>
    <w:rsid w:val="000E5A23"/>
    <w:rsid w:val="000E6045"/>
    <w:rsid w:val="000E7872"/>
    <w:rsid w:val="000F0772"/>
    <w:rsid w:val="000F0BE5"/>
    <w:rsid w:val="000F0F0D"/>
    <w:rsid w:val="000F1B52"/>
    <w:rsid w:val="000F1C70"/>
    <w:rsid w:val="000F1EAA"/>
    <w:rsid w:val="000F30D5"/>
    <w:rsid w:val="000F33C5"/>
    <w:rsid w:val="000F3ACF"/>
    <w:rsid w:val="000F3FDC"/>
    <w:rsid w:val="000F49FA"/>
    <w:rsid w:val="000F58C4"/>
    <w:rsid w:val="000F5E56"/>
    <w:rsid w:val="000F5FF0"/>
    <w:rsid w:val="000F70F9"/>
    <w:rsid w:val="00100058"/>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6D2D"/>
    <w:rsid w:val="001171EF"/>
    <w:rsid w:val="001173C5"/>
    <w:rsid w:val="0012039C"/>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0C4"/>
    <w:rsid w:val="00140A35"/>
    <w:rsid w:val="00142F4D"/>
    <w:rsid w:val="00143428"/>
    <w:rsid w:val="0014412C"/>
    <w:rsid w:val="00144713"/>
    <w:rsid w:val="00144CC3"/>
    <w:rsid w:val="001472E7"/>
    <w:rsid w:val="0015009D"/>
    <w:rsid w:val="00150C05"/>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2BC5"/>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7877"/>
    <w:rsid w:val="001A098F"/>
    <w:rsid w:val="001A10CB"/>
    <w:rsid w:val="001A110B"/>
    <w:rsid w:val="001A149A"/>
    <w:rsid w:val="001A190F"/>
    <w:rsid w:val="001A2AB7"/>
    <w:rsid w:val="001A4A9C"/>
    <w:rsid w:val="001A6B88"/>
    <w:rsid w:val="001A6C33"/>
    <w:rsid w:val="001A6E68"/>
    <w:rsid w:val="001B3131"/>
    <w:rsid w:val="001B4B2F"/>
    <w:rsid w:val="001B635E"/>
    <w:rsid w:val="001B7C00"/>
    <w:rsid w:val="001C09D2"/>
    <w:rsid w:val="001C1620"/>
    <w:rsid w:val="001C18B2"/>
    <w:rsid w:val="001C1994"/>
    <w:rsid w:val="001C2933"/>
    <w:rsid w:val="001C348F"/>
    <w:rsid w:val="001C4780"/>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778F"/>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1D04"/>
    <w:rsid w:val="00232C51"/>
    <w:rsid w:val="00233414"/>
    <w:rsid w:val="00233D69"/>
    <w:rsid w:val="00234E82"/>
    <w:rsid w:val="00235360"/>
    <w:rsid w:val="00235C9D"/>
    <w:rsid w:val="00237419"/>
    <w:rsid w:val="002374C3"/>
    <w:rsid w:val="00240911"/>
    <w:rsid w:val="002412D4"/>
    <w:rsid w:val="0024220D"/>
    <w:rsid w:val="00242B5F"/>
    <w:rsid w:val="00242BD3"/>
    <w:rsid w:val="00242C02"/>
    <w:rsid w:val="00243155"/>
    <w:rsid w:val="00244B47"/>
    <w:rsid w:val="00247783"/>
    <w:rsid w:val="0025172C"/>
    <w:rsid w:val="00252CF8"/>
    <w:rsid w:val="00252E2E"/>
    <w:rsid w:val="00253210"/>
    <w:rsid w:val="0025353E"/>
    <w:rsid w:val="00253DE1"/>
    <w:rsid w:val="0025425F"/>
    <w:rsid w:val="00254468"/>
    <w:rsid w:val="00254DE4"/>
    <w:rsid w:val="002559DA"/>
    <w:rsid w:val="00256955"/>
    <w:rsid w:val="00256FB6"/>
    <w:rsid w:val="0026049C"/>
    <w:rsid w:val="0026071A"/>
    <w:rsid w:val="00261B27"/>
    <w:rsid w:val="00262B5A"/>
    <w:rsid w:val="0026520E"/>
    <w:rsid w:val="00266486"/>
    <w:rsid w:val="00266B0A"/>
    <w:rsid w:val="00266C61"/>
    <w:rsid w:val="0026749A"/>
    <w:rsid w:val="00270E72"/>
    <w:rsid w:val="0027166C"/>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2CFC"/>
    <w:rsid w:val="0028491D"/>
    <w:rsid w:val="00286744"/>
    <w:rsid w:val="002909B9"/>
    <w:rsid w:val="00291E59"/>
    <w:rsid w:val="00292CEE"/>
    <w:rsid w:val="00292D22"/>
    <w:rsid w:val="0029470D"/>
    <w:rsid w:val="0029509F"/>
    <w:rsid w:val="00297B80"/>
    <w:rsid w:val="002A076C"/>
    <w:rsid w:val="002A1059"/>
    <w:rsid w:val="002A2503"/>
    <w:rsid w:val="002A3C9D"/>
    <w:rsid w:val="002A5250"/>
    <w:rsid w:val="002A5403"/>
    <w:rsid w:val="002A6C9F"/>
    <w:rsid w:val="002A749F"/>
    <w:rsid w:val="002A77F3"/>
    <w:rsid w:val="002B14F0"/>
    <w:rsid w:val="002B1F0F"/>
    <w:rsid w:val="002B53D3"/>
    <w:rsid w:val="002B5E34"/>
    <w:rsid w:val="002B6202"/>
    <w:rsid w:val="002C014C"/>
    <w:rsid w:val="002C060C"/>
    <w:rsid w:val="002C0BA6"/>
    <w:rsid w:val="002C12A7"/>
    <w:rsid w:val="002C2B6F"/>
    <w:rsid w:val="002C2BC4"/>
    <w:rsid w:val="002C314F"/>
    <w:rsid w:val="002C4AD1"/>
    <w:rsid w:val="002C7D29"/>
    <w:rsid w:val="002D0036"/>
    <w:rsid w:val="002D0298"/>
    <w:rsid w:val="002D120E"/>
    <w:rsid w:val="002D1662"/>
    <w:rsid w:val="002D1DE5"/>
    <w:rsid w:val="002D3506"/>
    <w:rsid w:val="002D3670"/>
    <w:rsid w:val="002D4807"/>
    <w:rsid w:val="002D5DDC"/>
    <w:rsid w:val="002D5F16"/>
    <w:rsid w:val="002D62F1"/>
    <w:rsid w:val="002D6FD8"/>
    <w:rsid w:val="002D727B"/>
    <w:rsid w:val="002D7EAD"/>
    <w:rsid w:val="002E1169"/>
    <w:rsid w:val="002E1218"/>
    <w:rsid w:val="002E1C6D"/>
    <w:rsid w:val="002E28F3"/>
    <w:rsid w:val="002E7615"/>
    <w:rsid w:val="002E7A2A"/>
    <w:rsid w:val="002E7F16"/>
    <w:rsid w:val="002F1425"/>
    <w:rsid w:val="002F2EC8"/>
    <w:rsid w:val="002F4365"/>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27289"/>
    <w:rsid w:val="00334127"/>
    <w:rsid w:val="00335CA6"/>
    <w:rsid w:val="003365F0"/>
    <w:rsid w:val="00336C50"/>
    <w:rsid w:val="00337388"/>
    <w:rsid w:val="003377F0"/>
    <w:rsid w:val="0034007D"/>
    <w:rsid w:val="003433E5"/>
    <w:rsid w:val="003439BB"/>
    <w:rsid w:val="00344082"/>
    <w:rsid w:val="0034582C"/>
    <w:rsid w:val="00345916"/>
    <w:rsid w:val="00345CAC"/>
    <w:rsid w:val="0034789E"/>
    <w:rsid w:val="003501DA"/>
    <w:rsid w:val="003503E2"/>
    <w:rsid w:val="00351DC1"/>
    <w:rsid w:val="003534EE"/>
    <w:rsid w:val="00355CE2"/>
    <w:rsid w:val="00356753"/>
    <w:rsid w:val="003576FE"/>
    <w:rsid w:val="003600A2"/>
    <w:rsid w:val="003612D8"/>
    <w:rsid w:val="003637B6"/>
    <w:rsid w:val="00363F89"/>
    <w:rsid w:val="00363FB0"/>
    <w:rsid w:val="003646D6"/>
    <w:rsid w:val="00364FC6"/>
    <w:rsid w:val="0036541D"/>
    <w:rsid w:val="00370504"/>
    <w:rsid w:val="00371814"/>
    <w:rsid w:val="00372A6F"/>
    <w:rsid w:val="00372BAE"/>
    <w:rsid w:val="00372E72"/>
    <w:rsid w:val="00372EE9"/>
    <w:rsid w:val="00373F07"/>
    <w:rsid w:val="00374A60"/>
    <w:rsid w:val="00375181"/>
    <w:rsid w:val="003764C0"/>
    <w:rsid w:val="003767A4"/>
    <w:rsid w:val="003774F6"/>
    <w:rsid w:val="00380698"/>
    <w:rsid w:val="003818B3"/>
    <w:rsid w:val="0038356A"/>
    <w:rsid w:val="0038382F"/>
    <w:rsid w:val="0038443F"/>
    <w:rsid w:val="00385427"/>
    <w:rsid w:val="00387542"/>
    <w:rsid w:val="00387C6B"/>
    <w:rsid w:val="00390FC0"/>
    <w:rsid w:val="003911B2"/>
    <w:rsid w:val="00391AFE"/>
    <w:rsid w:val="00392705"/>
    <w:rsid w:val="00393A79"/>
    <w:rsid w:val="0039419C"/>
    <w:rsid w:val="00394301"/>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7643"/>
    <w:rsid w:val="003C218D"/>
    <w:rsid w:val="003C3D89"/>
    <w:rsid w:val="003C3EE2"/>
    <w:rsid w:val="003C4224"/>
    <w:rsid w:val="003C426D"/>
    <w:rsid w:val="003C4877"/>
    <w:rsid w:val="003C4B42"/>
    <w:rsid w:val="003C4E91"/>
    <w:rsid w:val="003C6D76"/>
    <w:rsid w:val="003C72F6"/>
    <w:rsid w:val="003C7675"/>
    <w:rsid w:val="003D073C"/>
    <w:rsid w:val="003D0791"/>
    <w:rsid w:val="003D1130"/>
    <w:rsid w:val="003D37D4"/>
    <w:rsid w:val="003D47A7"/>
    <w:rsid w:val="003D56B5"/>
    <w:rsid w:val="003D5DCC"/>
    <w:rsid w:val="003D6B84"/>
    <w:rsid w:val="003E18FF"/>
    <w:rsid w:val="003E1A49"/>
    <w:rsid w:val="003E2D01"/>
    <w:rsid w:val="003E330E"/>
    <w:rsid w:val="003E39ED"/>
    <w:rsid w:val="003E3AE3"/>
    <w:rsid w:val="003E5733"/>
    <w:rsid w:val="003E5E27"/>
    <w:rsid w:val="003E6FD2"/>
    <w:rsid w:val="003E788F"/>
    <w:rsid w:val="003E7A97"/>
    <w:rsid w:val="003E7D3A"/>
    <w:rsid w:val="003F0950"/>
    <w:rsid w:val="003F09C9"/>
    <w:rsid w:val="003F0A29"/>
    <w:rsid w:val="003F2913"/>
    <w:rsid w:val="003F4C37"/>
    <w:rsid w:val="003F67AE"/>
    <w:rsid w:val="003F6BBB"/>
    <w:rsid w:val="003F6E5A"/>
    <w:rsid w:val="003F719F"/>
    <w:rsid w:val="0040005E"/>
    <w:rsid w:val="0040033D"/>
    <w:rsid w:val="004007E1"/>
    <w:rsid w:val="00400B1F"/>
    <w:rsid w:val="00401728"/>
    <w:rsid w:val="004032D2"/>
    <w:rsid w:val="00403C4F"/>
    <w:rsid w:val="004058B4"/>
    <w:rsid w:val="00405C45"/>
    <w:rsid w:val="004062EF"/>
    <w:rsid w:val="004062F0"/>
    <w:rsid w:val="00406CB5"/>
    <w:rsid w:val="004100E6"/>
    <w:rsid w:val="00410B8F"/>
    <w:rsid w:val="00412057"/>
    <w:rsid w:val="004126C1"/>
    <w:rsid w:val="00413BA5"/>
    <w:rsid w:val="00413FA6"/>
    <w:rsid w:val="00414FD0"/>
    <w:rsid w:val="00417E93"/>
    <w:rsid w:val="004205E4"/>
    <w:rsid w:val="00422A2A"/>
    <w:rsid w:val="00423944"/>
    <w:rsid w:val="00424BB4"/>
    <w:rsid w:val="004258CD"/>
    <w:rsid w:val="004261D2"/>
    <w:rsid w:val="00426F37"/>
    <w:rsid w:val="004303D1"/>
    <w:rsid w:val="00433C0A"/>
    <w:rsid w:val="004349FA"/>
    <w:rsid w:val="004406BD"/>
    <w:rsid w:val="00441F8A"/>
    <w:rsid w:val="00442FBE"/>
    <w:rsid w:val="004433B1"/>
    <w:rsid w:val="00443571"/>
    <w:rsid w:val="004444E3"/>
    <w:rsid w:val="004447FD"/>
    <w:rsid w:val="00445032"/>
    <w:rsid w:val="004450CB"/>
    <w:rsid w:val="00446967"/>
    <w:rsid w:val="00446AB6"/>
    <w:rsid w:val="00450EEE"/>
    <w:rsid w:val="004512B2"/>
    <w:rsid w:val="004528EE"/>
    <w:rsid w:val="00452952"/>
    <w:rsid w:val="00453360"/>
    <w:rsid w:val="00453BA8"/>
    <w:rsid w:val="00455355"/>
    <w:rsid w:val="00455DEB"/>
    <w:rsid w:val="00456409"/>
    <w:rsid w:val="004569C6"/>
    <w:rsid w:val="00456ADC"/>
    <w:rsid w:val="0045768F"/>
    <w:rsid w:val="00457769"/>
    <w:rsid w:val="004627AE"/>
    <w:rsid w:val="0046298E"/>
    <w:rsid w:val="004647BB"/>
    <w:rsid w:val="0046482B"/>
    <w:rsid w:val="004648E0"/>
    <w:rsid w:val="00465A1F"/>
    <w:rsid w:val="00472043"/>
    <w:rsid w:val="0047209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018"/>
    <w:rsid w:val="00490ED4"/>
    <w:rsid w:val="00491B91"/>
    <w:rsid w:val="00491C21"/>
    <w:rsid w:val="00491C66"/>
    <w:rsid w:val="004935D6"/>
    <w:rsid w:val="00494195"/>
    <w:rsid w:val="004945FB"/>
    <w:rsid w:val="00494793"/>
    <w:rsid w:val="00497356"/>
    <w:rsid w:val="004A076F"/>
    <w:rsid w:val="004A1DC1"/>
    <w:rsid w:val="004A1FDB"/>
    <w:rsid w:val="004A31A2"/>
    <w:rsid w:val="004A48A7"/>
    <w:rsid w:val="004A655D"/>
    <w:rsid w:val="004B01B1"/>
    <w:rsid w:val="004B08D1"/>
    <w:rsid w:val="004B10E6"/>
    <w:rsid w:val="004B198F"/>
    <w:rsid w:val="004B2C3A"/>
    <w:rsid w:val="004B46D0"/>
    <w:rsid w:val="004B57B0"/>
    <w:rsid w:val="004B60CE"/>
    <w:rsid w:val="004B61C9"/>
    <w:rsid w:val="004B631E"/>
    <w:rsid w:val="004C00E0"/>
    <w:rsid w:val="004C0B26"/>
    <w:rsid w:val="004C12FE"/>
    <w:rsid w:val="004C1D57"/>
    <w:rsid w:val="004C2F7C"/>
    <w:rsid w:val="004C34F8"/>
    <w:rsid w:val="004C375F"/>
    <w:rsid w:val="004C482F"/>
    <w:rsid w:val="004C49C9"/>
    <w:rsid w:val="004C627F"/>
    <w:rsid w:val="004C76C1"/>
    <w:rsid w:val="004C7DDE"/>
    <w:rsid w:val="004D0D1A"/>
    <w:rsid w:val="004D14AC"/>
    <w:rsid w:val="004D169F"/>
    <w:rsid w:val="004D18CF"/>
    <w:rsid w:val="004D30CE"/>
    <w:rsid w:val="004D4071"/>
    <w:rsid w:val="004D421A"/>
    <w:rsid w:val="004D4D0C"/>
    <w:rsid w:val="004D6144"/>
    <w:rsid w:val="004D678F"/>
    <w:rsid w:val="004D757F"/>
    <w:rsid w:val="004E1264"/>
    <w:rsid w:val="004E2CBC"/>
    <w:rsid w:val="004E38A9"/>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2B9"/>
    <w:rsid w:val="00515494"/>
    <w:rsid w:val="00516256"/>
    <w:rsid w:val="005162CF"/>
    <w:rsid w:val="00517A63"/>
    <w:rsid w:val="00517C8D"/>
    <w:rsid w:val="00517FD1"/>
    <w:rsid w:val="005211B5"/>
    <w:rsid w:val="005219E6"/>
    <w:rsid w:val="00521B4A"/>
    <w:rsid w:val="0052212E"/>
    <w:rsid w:val="00522CAF"/>
    <w:rsid w:val="00522E91"/>
    <w:rsid w:val="0052302D"/>
    <w:rsid w:val="005236A5"/>
    <w:rsid w:val="00523959"/>
    <w:rsid w:val="005266BD"/>
    <w:rsid w:val="0052772D"/>
    <w:rsid w:val="00530442"/>
    <w:rsid w:val="00534AF0"/>
    <w:rsid w:val="00535060"/>
    <w:rsid w:val="00535738"/>
    <w:rsid w:val="00537A66"/>
    <w:rsid w:val="005409EB"/>
    <w:rsid w:val="00540F30"/>
    <w:rsid w:val="00541DD2"/>
    <w:rsid w:val="00543A63"/>
    <w:rsid w:val="00543AB5"/>
    <w:rsid w:val="005457CF"/>
    <w:rsid w:val="00545976"/>
    <w:rsid w:val="00545A2E"/>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383D"/>
    <w:rsid w:val="00564985"/>
    <w:rsid w:val="00565379"/>
    <w:rsid w:val="0056602B"/>
    <w:rsid w:val="00566C0D"/>
    <w:rsid w:val="005674C3"/>
    <w:rsid w:val="00567990"/>
    <w:rsid w:val="00567C4C"/>
    <w:rsid w:val="00570F31"/>
    <w:rsid w:val="0057160F"/>
    <w:rsid w:val="005728C8"/>
    <w:rsid w:val="005733AD"/>
    <w:rsid w:val="0057381A"/>
    <w:rsid w:val="00573ABD"/>
    <w:rsid w:val="00574B91"/>
    <w:rsid w:val="00574E5C"/>
    <w:rsid w:val="005750F7"/>
    <w:rsid w:val="0057512C"/>
    <w:rsid w:val="00576319"/>
    <w:rsid w:val="0057648C"/>
    <w:rsid w:val="00576AF3"/>
    <w:rsid w:val="005815A8"/>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1416"/>
    <w:rsid w:val="005A255F"/>
    <w:rsid w:val="005A330E"/>
    <w:rsid w:val="005A48BE"/>
    <w:rsid w:val="005A5554"/>
    <w:rsid w:val="005A5651"/>
    <w:rsid w:val="005A6AFE"/>
    <w:rsid w:val="005A7BF3"/>
    <w:rsid w:val="005A7DE0"/>
    <w:rsid w:val="005B0AEF"/>
    <w:rsid w:val="005B37D9"/>
    <w:rsid w:val="005B445B"/>
    <w:rsid w:val="005B474E"/>
    <w:rsid w:val="005B489A"/>
    <w:rsid w:val="005B4B57"/>
    <w:rsid w:val="005B627F"/>
    <w:rsid w:val="005B63A6"/>
    <w:rsid w:val="005B64D1"/>
    <w:rsid w:val="005B6A88"/>
    <w:rsid w:val="005B6E05"/>
    <w:rsid w:val="005B6E8A"/>
    <w:rsid w:val="005B7F42"/>
    <w:rsid w:val="005C1D45"/>
    <w:rsid w:val="005C3C9B"/>
    <w:rsid w:val="005C42AB"/>
    <w:rsid w:val="005C45C0"/>
    <w:rsid w:val="005C5335"/>
    <w:rsid w:val="005C5D7B"/>
    <w:rsid w:val="005C5E29"/>
    <w:rsid w:val="005C6474"/>
    <w:rsid w:val="005C6A68"/>
    <w:rsid w:val="005D0AE3"/>
    <w:rsid w:val="005D1103"/>
    <w:rsid w:val="005D257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2781"/>
    <w:rsid w:val="005F32BE"/>
    <w:rsid w:val="005F34FB"/>
    <w:rsid w:val="005F39A0"/>
    <w:rsid w:val="005F6B68"/>
    <w:rsid w:val="005F6F2E"/>
    <w:rsid w:val="005F7D85"/>
    <w:rsid w:val="00601A1F"/>
    <w:rsid w:val="0060245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0FF3"/>
    <w:rsid w:val="00622558"/>
    <w:rsid w:val="00622D5F"/>
    <w:rsid w:val="00622EAE"/>
    <w:rsid w:val="0062334E"/>
    <w:rsid w:val="00623A4F"/>
    <w:rsid w:val="00624D17"/>
    <w:rsid w:val="00624F56"/>
    <w:rsid w:val="00626594"/>
    <w:rsid w:val="00627362"/>
    <w:rsid w:val="00630442"/>
    <w:rsid w:val="0063048C"/>
    <w:rsid w:val="00630FCD"/>
    <w:rsid w:val="006319C2"/>
    <w:rsid w:val="00631FF6"/>
    <w:rsid w:val="00632650"/>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E2C"/>
    <w:rsid w:val="00640F58"/>
    <w:rsid w:val="00641203"/>
    <w:rsid w:val="00641776"/>
    <w:rsid w:val="00641AA7"/>
    <w:rsid w:val="0064656E"/>
    <w:rsid w:val="00646DF5"/>
    <w:rsid w:val="00650397"/>
    <w:rsid w:val="006507E8"/>
    <w:rsid w:val="00650C73"/>
    <w:rsid w:val="00651143"/>
    <w:rsid w:val="00651959"/>
    <w:rsid w:val="00653149"/>
    <w:rsid w:val="006531E4"/>
    <w:rsid w:val="00654505"/>
    <w:rsid w:val="00655F58"/>
    <w:rsid w:val="006575ED"/>
    <w:rsid w:val="006578FD"/>
    <w:rsid w:val="00660060"/>
    <w:rsid w:val="006609AA"/>
    <w:rsid w:val="00662EDE"/>
    <w:rsid w:val="00664C9F"/>
    <w:rsid w:val="006650C1"/>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1FA3"/>
    <w:rsid w:val="00682017"/>
    <w:rsid w:val="006820C0"/>
    <w:rsid w:val="00682AAD"/>
    <w:rsid w:val="00685B20"/>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159E"/>
    <w:rsid w:val="006A20FB"/>
    <w:rsid w:val="006A339D"/>
    <w:rsid w:val="006A4462"/>
    <w:rsid w:val="006A5B59"/>
    <w:rsid w:val="006A6A14"/>
    <w:rsid w:val="006A753A"/>
    <w:rsid w:val="006A777C"/>
    <w:rsid w:val="006A7C46"/>
    <w:rsid w:val="006B0F76"/>
    <w:rsid w:val="006B1F20"/>
    <w:rsid w:val="006B2058"/>
    <w:rsid w:val="006B398A"/>
    <w:rsid w:val="006B3E04"/>
    <w:rsid w:val="006B4024"/>
    <w:rsid w:val="006B47D7"/>
    <w:rsid w:val="006B499D"/>
    <w:rsid w:val="006B5041"/>
    <w:rsid w:val="006B643D"/>
    <w:rsid w:val="006B79A4"/>
    <w:rsid w:val="006C09B5"/>
    <w:rsid w:val="006C1254"/>
    <w:rsid w:val="006C2DC5"/>
    <w:rsid w:val="006C44C7"/>
    <w:rsid w:val="006C480B"/>
    <w:rsid w:val="006C492B"/>
    <w:rsid w:val="006C570B"/>
    <w:rsid w:val="006C572E"/>
    <w:rsid w:val="006C5997"/>
    <w:rsid w:val="006C5CD2"/>
    <w:rsid w:val="006D0636"/>
    <w:rsid w:val="006D06DC"/>
    <w:rsid w:val="006D2612"/>
    <w:rsid w:val="006D348F"/>
    <w:rsid w:val="006D5508"/>
    <w:rsid w:val="006D6E46"/>
    <w:rsid w:val="006D7FA8"/>
    <w:rsid w:val="006E4601"/>
    <w:rsid w:val="006E5B86"/>
    <w:rsid w:val="006E63FF"/>
    <w:rsid w:val="006E652D"/>
    <w:rsid w:val="006E7461"/>
    <w:rsid w:val="006E7572"/>
    <w:rsid w:val="006F2F22"/>
    <w:rsid w:val="006F434A"/>
    <w:rsid w:val="006F5AA6"/>
    <w:rsid w:val="006F63C1"/>
    <w:rsid w:val="006F7974"/>
    <w:rsid w:val="00700A60"/>
    <w:rsid w:val="007029F2"/>
    <w:rsid w:val="00705027"/>
    <w:rsid w:val="00710494"/>
    <w:rsid w:val="007117BD"/>
    <w:rsid w:val="00715129"/>
    <w:rsid w:val="007154CE"/>
    <w:rsid w:val="00715B25"/>
    <w:rsid w:val="00715BB6"/>
    <w:rsid w:val="00716020"/>
    <w:rsid w:val="0071744B"/>
    <w:rsid w:val="007205B1"/>
    <w:rsid w:val="00720860"/>
    <w:rsid w:val="00721087"/>
    <w:rsid w:val="00721530"/>
    <w:rsid w:val="00722EE7"/>
    <w:rsid w:val="00723422"/>
    <w:rsid w:val="00725A1C"/>
    <w:rsid w:val="007260FE"/>
    <w:rsid w:val="00726DD6"/>
    <w:rsid w:val="0073076E"/>
    <w:rsid w:val="00732359"/>
    <w:rsid w:val="00733416"/>
    <w:rsid w:val="0073377E"/>
    <w:rsid w:val="00733E05"/>
    <w:rsid w:val="00735C8A"/>
    <w:rsid w:val="00735FE2"/>
    <w:rsid w:val="0073719A"/>
    <w:rsid w:val="00737C62"/>
    <w:rsid w:val="00737C91"/>
    <w:rsid w:val="0074130E"/>
    <w:rsid w:val="00743937"/>
    <w:rsid w:val="00744889"/>
    <w:rsid w:val="007448C1"/>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5A11"/>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896"/>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EFC"/>
    <w:rsid w:val="007C15B6"/>
    <w:rsid w:val="007C25E9"/>
    <w:rsid w:val="007C2F78"/>
    <w:rsid w:val="007C34C5"/>
    <w:rsid w:val="007C4079"/>
    <w:rsid w:val="007C4827"/>
    <w:rsid w:val="007C4A20"/>
    <w:rsid w:val="007D0B7F"/>
    <w:rsid w:val="007D1266"/>
    <w:rsid w:val="007D1B94"/>
    <w:rsid w:val="007D3B5E"/>
    <w:rsid w:val="007D458D"/>
    <w:rsid w:val="007D4E8C"/>
    <w:rsid w:val="007D538F"/>
    <w:rsid w:val="007D668A"/>
    <w:rsid w:val="007E09E2"/>
    <w:rsid w:val="007E0FF5"/>
    <w:rsid w:val="007E1012"/>
    <w:rsid w:val="007E17CD"/>
    <w:rsid w:val="007E24ED"/>
    <w:rsid w:val="007E374B"/>
    <w:rsid w:val="007E39DE"/>
    <w:rsid w:val="007E3F53"/>
    <w:rsid w:val="007E529D"/>
    <w:rsid w:val="007E5E2B"/>
    <w:rsid w:val="007E7997"/>
    <w:rsid w:val="007E7B47"/>
    <w:rsid w:val="007F04EF"/>
    <w:rsid w:val="007F2563"/>
    <w:rsid w:val="007F342F"/>
    <w:rsid w:val="007F38D1"/>
    <w:rsid w:val="007F4AC4"/>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3465"/>
    <w:rsid w:val="0085416D"/>
    <w:rsid w:val="00854DF6"/>
    <w:rsid w:val="00855CA6"/>
    <w:rsid w:val="00860323"/>
    <w:rsid w:val="00860F4F"/>
    <w:rsid w:val="008610B9"/>
    <w:rsid w:val="00862656"/>
    <w:rsid w:val="00863013"/>
    <w:rsid w:val="00863F67"/>
    <w:rsid w:val="0086483A"/>
    <w:rsid w:val="00865078"/>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3E16"/>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911"/>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B3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098C"/>
    <w:rsid w:val="00911843"/>
    <w:rsid w:val="00912257"/>
    <w:rsid w:val="00913495"/>
    <w:rsid w:val="00913874"/>
    <w:rsid w:val="009142BA"/>
    <w:rsid w:val="009163CC"/>
    <w:rsid w:val="0091674C"/>
    <w:rsid w:val="00916862"/>
    <w:rsid w:val="00916B2A"/>
    <w:rsid w:val="00916D96"/>
    <w:rsid w:val="009174F7"/>
    <w:rsid w:val="00917E76"/>
    <w:rsid w:val="00920167"/>
    <w:rsid w:val="0092185C"/>
    <w:rsid w:val="00921BB8"/>
    <w:rsid w:val="00921D28"/>
    <w:rsid w:val="00922034"/>
    <w:rsid w:val="0092266C"/>
    <w:rsid w:val="00923893"/>
    <w:rsid w:val="009241D5"/>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75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6F8B"/>
    <w:rsid w:val="00957435"/>
    <w:rsid w:val="009578D0"/>
    <w:rsid w:val="009600C6"/>
    <w:rsid w:val="00960D80"/>
    <w:rsid w:val="009621CE"/>
    <w:rsid w:val="009622BF"/>
    <w:rsid w:val="009651B8"/>
    <w:rsid w:val="009653F3"/>
    <w:rsid w:val="0096587A"/>
    <w:rsid w:val="009666E7"/>
    <w:rsid w:val="00967278"/>
    <w:rsid w:val="00971568"/>
    <w:rsid w:val="0097273D"/>
    <w:rsid w:val="009728F2"/>
    <w:rsid w:val="00972BEF"/>
    <w:rsid w:val="00973BCF"/>
    <w:rsid w:val="009744BC"/>
    <w:rsid w:val="009744FF"/>
    <w:rsid w:val="00974E60"/>
    <w:rsid w:val="00975896"/>
    <w:rsid w:val="00975DF1"/>
    <w:rsid w:val="00976AFE"/>
    <w:rsid w:val="009815DD"/>
    <w:rsid w:val="00983CEA"/>
    <w:rsid w:val="00984198"/>
    <w:rsid w:val="00984E04"/>
    <w:rsid w:val="00986194"/>
    <w:rsid w:val="009861D2"/>
    <w:rsid w:val="00986E53"/>
    <w:rsid w:val="00987CE5"/>
    <w:rsid w:val="00993CF0"/>
    <w:rsid w:val="0099428D"/>
    <w:rsid w:val="009949A7"/>
    <w:rsid w:val="00995813"/>
    <w:rsid w:val="00995CDC"/>
    <w:rsid w:val="009975CA"/>
    <w:rsid w:val="009A0C15"/>
    <w:rsid w:val="009A1088"/>
    <w:rsid w:val="009A14CB"/>
    <w:rsid w:val="009A27C7"/>
    <w:rsid w:val="009A28EB"/>
    <w:rsid w:val="009A2961"/>
    <w:rsid w:val="009A344A"/>
    <w:rsid w:val="009A41C7"/>
    <w:rsid w:val="009A4F5A"/>
    <w:rsid w:val="009A5C82"/>
    <w:rsid w:val="009B010D"/>
    <w:rsid w:val="009B0AAB"/>
    <w:rsid w:val="009B0D3E"/>
    <w:rsid w:val="009B2AD1"/>
    <w:rsid w:val="009B2BA4"/>
    <w:rsid w:val="009B3224"/>
    <w:rsid w:val="009B3A61"/>
    <w:rsid w:val="009B48BE"/>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0333"/>
    <w:rsid w:val="009D2376"/>
    <w:rsid w:val="009D2D48"/>
    <w:rsid w:val="009D3103"/>
    <w:rsid w:val="009D41B1"/>
    <w:rsid w:val="009D4409"/>
    <w:rsid w:val="009D4724"/>
    <w:rsid w:val="009D4B2F"/>
    <w:rsid w:val="009D4C1B"/>
    <w:rsid w:val="009D500A"/>
    <w:rsid w:val="009D5159"/>
    <w:rsid w:val="009D5EA5"/>
    <w:rsid w:val="009D64DA"/>
    <w:rsid w:val="009D6BEA"/>
    <w:rsid w:val="009D76A3"/>
    <w:rsid w:val="009D7F4A"/>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5E4"/>
    <w:rsid w:val="009F045D"/>
    <w:rsid w:val="009F1098"/>
    <w:rsid w:val="009F1458"/>
    <w:rsid w:val="009F1D3A"/>
    <w:rsid w:val="009F2C2E"/>
    <w:rsid w:val="009F4190"/>
    <w:rsid w:val="009F4911"/>
    <w:rsid w:val="009F513E"/>
    <w:rsid w:val="009F5241"/>
    <w:rsid w:val="009F6807"/>
    <w:rsid w:val="009F68DF"/>
    <w:rsid w:val="009F6A24"/>
    <w:rsid w:val="009F6F97"/>
    <w:rsid w:val="00A0042C"/>
    <w:rsid w:val="00A00495"/>
    <w:rsid w:val="00A01925"/>
    <w:rsid w:val="00A01DEB"/>
    <w:rsid w:val="00A06D32"/>
    <w:rsid w:val="00A07545"/>
    <w:rsid w:val="00A11FB3"/>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1DEB"/>
    <w:rsid w:val="00A320BA"/>
    <w:rsid w:val="00A32283"/>
    <w:rsid w:val="00A32342"/>
    <w:rsid w:val="00A325EC"/>
    <w:rsid w:val="00A327B1"/>
    <w:rsid w:val="00A32B81"/>
    <w:rsid w:val="00A337E5"/>
    <w:rsid w:val="00A3658D"/>
    <w:rsid w:val="00A36E51"/>
    <w:rsid w:val="00A377C5"/>
    <w:rsid w:val="00A37B2E"/>
    <w:rsid w:val="00A37D45"/>
    <w:rsid w:val="00A401FD"/>
    <w:rsid w:val="00A40558"/>
    <w:rsid w:val="00A4089F"/>
    <w:rsid w:val="00A40AF2"/>
    <w:rsid w:val="00A411DC"/>
    <w:rsid w:val="00A4145C"/>
    <w:rsid w:val="00A43904"/>
    <w:rsid w:val="00A443C5"/>
    <w:rsid w:val="00A4582E"/>
    <w:rsid w:val="00A45BD2"/>
    <w:rsid w:val="00A45DFA"/>
    <w:rsid w:val="00A46A06"/>
    <w:rsid w:val="00A46A1E"/>
    <w:rsid w:val="00A50595"/>
    <w:rsid w:val="00A50A39"/>
    <w:rsid w:val="00A51024"/>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6EF2"/>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810"/>
    <w:rsid w:val="00AA291C"/>
    <w:rsid w:val="00AA30F6"/>
    <w:rsid w:val="00AA334D"/>
    <w:rsid w:val="00AA37B1"/>
    <w:rsid w:val="00AA47B8"/>
    <w:rsid w:val="00AA550A"/>
    <w:rsid w:val="00AA5EBD"/>
    <w:rsid w:val="00AA628B"/>
    <w:rsid w:val="00AA6DB5"/>
    <w:rsid w:val="00AA6DE4"/>
    <w:rsid w:val="00AA7408"/>
    <w:rsid w:val="00AA7658"/>
    <w:rsid w:val="00AA7D1F"/>
    <w:rsid w:val="00AB02C6"/>
    <w:rsid w:val="00AB246B"/>
    <w:rsid w:val="00AB2E96"/>
    <w:rsid w:val="00AB36D4"/>
    <w:rsid w:val="00AB5500"/>
    <w:rsid w:val="00AB5564"/>
    <w:rsid w:val="00AB57FB"/>
    <w:rsid w:val="00AB7348"/>
    <w:rsid w:val="00AC13B0"/>
    <w:rsid w:val="00AC2AD5"/>
    <w:rsid w:val="00AC2FD0"/>
    <w:rsid w:val="00AC3DBD"/>
    <w:rsid w:val="00AC5E85"/>
    <w:rsid w:val="00AD03D8"/>
    <w:rsid w:val="00AD0D5F"/>
    <w:rsid w:val="00AD34CF"/>
    <w:rsid w:val="00AD36C8"/>
    <w:rsid w:val="00AD37C9"/>
    <w:rsid w:val="00AD47D3"/>
    <w:rsid w:val="00AD652F"/>
    <w:rsid w:val="00AD65AB"/>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127"/>
    <w:rsid w:val="00B1149C"/>
    <w:rsid w:val="00B11F60"/>
    <w:rsid w:val="00B121EF"/>
    <w:rsid w:val="00B127AA"/>
    <w:rsid w:val="00B130CB"/>
    <w:rsid w:val="00B1447C"/>
    <w:rsid w:val="00B14D9D"/>
    <w:rsid w:val="00B14EF5"/>
    <w:rsid w:val="00B16048"/>
    <w:rsid w:val="00B2028C"/>
    <w:rsid w:val="00B21771"/>
    <w:rsid w:val="00B2191C"/>
    <w:rsid w:val="00B21B30"/>
    <w:rsid w:val="00B2231E"/>
    <w:rsid w:val="00B22E76"/>
    <w:rsid w:val="00B23016"/>
    <w:rsid w:val="00B23771"/>
    <w:rsid w:val="00B24EA8"/>
    <w:rsid w:val="00B264D8"/>
    <w:rsid w:val="00B26625"/>
    <w:rsid w:val="00B26A5A"/>
    <w:rsid w:val="00B2713B"/>
    <w:rsid w:val="00B2769B"/>
    <w:rsid w:val="00B307D2"/>
    <w:rsid w:val="00B3398B"/>
    <w:rsid w:val="00B33B1E"/>
    <w:rsid w:val="00B362D9"/>
    <w:rsid w:val="00B36B99"/>
    <w:rsid w:val="00B36D20"/>
    <w:rsid w:val="00B36F67"/>
    <w:rsid w:val="00B400E2"/>
    <w:rsid w:val="00B40633"/>
    <w:rsid w:val="00B40B26"/>
    <w:rsid w:val="00B41155"/>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818"/>
    <w:rsid w:val="00B63A9D"/>
    <w:rsid w:val="00B64888"/>
    <w:rsid w:val="00B64E6B"/>
    <w:rsid w:val="00B6508F"/>
    <w:rsid w:val="00B672E3"/>
    <w:rsid w:val="00B675F9"/>
    <w:rsid w:val="00B70849"/>
    <w:rsid w:val="00B72C1C"/>
    <w:rsid w:val="00B73BB7"/>
    <w:rsid w:val="00B74201"/>
    <w:rsid w:val="00B751C3"/>
    <w:rsid w:val="00B76C0D"/>
    <w:rsid w:val="00B77D0D"/>
    <w:rsid w:val="00B80817"/>
    <w:rsid w:val="00B827E6"/>
    <w:rsid w:val="00B82A28"/>
    <w:rsid w:val="00B82B8D"/>
    <w:rsid w:val="00B82C97"/>
    <w:rsid w:val="00B841EC"/>
    <w:rsid w:val="00B84D6E"/>
    <w:rsid w:val="00B851D5"/>
    <w:rsid w:val="00B85B06"/>
    <w:rsid w:val="00B90558"/>
    <w:rsid w:val="00B92958"/>
    <w:rsid w:val="00B93957"/>
    <w:rsid w:val="00B9404A"/>
    <w:rsid w:val="00B94877"/>
    <w:rsid w:val="00B9491F"/>
    <w:rsid w:val="00B953B6"/>
    <w:rsid w:val="00B96043"/>
    <w:rsid w:val="00B96F5D"/>
    <w:rsid w:val="00BA02F9"/>
    <w:rsid w:val="00BA1987"/>
    <w:rsid w:val="00BA2682"/>
    <w:rsid w:val="00BA31E4"/>
    <w:rsid w:val="00BA3475"/>
    <w:rsid w:val="00BA3959"/>
    <w:rsid w:val="00BA47CC"/>
    <w:rsid w:val="00BA524B"/>
    <w:rsid w:val="00BA54F7"/>
    <w:rsid w:val="00BA56D3"/>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0D81"/>
    <w:rsid w:val="00BD2603"/>
    <w:rsid w:val="00BD464F"/>
    <w:rsid w:val="00BD4EEC"/>
    <w:rsid w:val="00BD4F34"/>
    <w:rsid w:val="00BD537C"/>
    <w:rsid w:val="00BD57F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04A8"/>
    <w:rsid w:val="00C01804"/>
    <w:rsid w:val="00C023E9"/>
    <w:rsid w:val="00C026BC"/>
    <w:rsid w:val="00C02AD4"/>
    <w:rsid w:val="00C0307F"/>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3EF1"/>
    <w:rsid w:val="00C54C1B"/>
    <w:rsid w:val="00C54DBA"/>
    <w:rsid w:val="00C56787"/>
    <w:rsid w:val="00C57ED3"/>
    <w:rsid w:val="00C61640"/>
    <w:rsid w:val="00C61AA7"/>
    <w:rsid w:val="00C61B8E"/>
    <w:rsid w:val="00C62488"/>
    <w:rsid w:val="00C66603"/>
    <w:rsid w:val="00C668DE"/>
    <w:rsid w:val="00C7044F"/>
    <w:rsid w:val="00C720F8"/>
    <w:rsid w:val="00C7294B"/>
    <w:rsid w:val="00C75139"/>
    <w:rsid w:val="00C7525C"/>
    <w:rsid w:val="00C76CF7"/>
    <w:rsid w:val="00C80F23"/>
    <w:rsid w:val="00C83382"/>
    <w:rsid w:val="00C83A4C"/>
    <w:rsid w:val="00C8533B"/>
    <w:rsid w:val="00C858BA"/>
    <w:rsid w:val="00C86977"/>
    <w:rsid w:val="00C8726E"/>
    <w:rsid w:val="00C916C8"/>
    <w:rsid w:val="00C9398D"/>
    <w:rsid w:val="00C939EE"/>
    <w:rsid w:val="00C93C6E"/>
    <w:rsid w:val="00C93F93"/>
    <w:rsid w:val="00C94D44"/>
    <w:rsid w:val="00C95EEE"/>
    <w:rsid w:val="00C974CB"/>
    <w:rsid w:val="00C97709"/>
    <w:rsid w:val="00C97929"/>
    <w:rsid w:val="00CA0049"/>
    <w:rsid w:val="00CA0980"/>
    <w:rsid w:val="00CA2A98"/>
    <w:rsid w:val="00CA2BAE"/>
    <w:rsid w:val="00CA34BA"/>
    <w:rsid w:val="00CA4503"/>
    <w:rsid w:val="00CA5A66"/>
    <w:rsid w:val="00CA651B"/>
    <w:rsid w:val="00CA6F55"/>
    <w:rsid w:val="00CA796A"/>
    <w:rsid w:val="00CB2575"/>
    <w:rsid w:val="00CB3655"/>
    <w:rsid w:val="00CB3677"/>
    <w:rsid w:val="00CB368F"/>
    <w:rsid w:val="00CB4C42"/>
    <w:rsid w:val="00CB4DFA"/>
    <w:rsid w:val="00CB7BD7"/>
    <w:rsid w:val="00CC3D15"/>
    <w:rsid w:val="00CC4CB6"/>
    <w:rsid w:val="00CC4DB0"/>
    <w:rsid w:val="00CC5038"/>
    <w:rsid w:val="00CC5326"/>
    <w:rsid w:val="00CC6D0E"/>
    <w:rsid w:val="00CC7426"/>
    <w:rsid w:val="00CC7910"/>
    <w:rsid w:val="00CD089A"/>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34E"/>
    <w:rsid w:val="00CF0B9B"/>
    <w:rsid w:val="00CF0F7C"/>
    <w:rsid w:val="00CF13B8"/>
    <w:rsid w:val="00CF285E"/>
    <w:rsid w:val="00CF352D"/>
    <w:rsid w:val="00CF3739"/>
    <w:rsid w:val="00CF5597"/>
    <w:rsid w:val="00CF57B4"/>
    <w:rsid w:val="00CF5CA5"/>
    <w:rsid w:val="00CF658A"/>
    <w:rsid w:val="00CF66B6"/>
    <w:rsid w:val="00CF79DF"/>
    <w:rsid w:val="00D007D6"/>
    <w:rsid w:val="00D01A9F"/>
    <w:rsid w:val="00D01CED"/>
    <w:rsid w:val="00D01E38"/>
    <w:rsid w:val="00D022B5"/>
    <w:rsid w:val="00D02854"/>
    <w:rsid w:val="00D039B5"/>
    <w:rsid w:val="00D04AA9"/>
    <w:rsid w:val="00D04F76"/>
    <w:rsid w:val="00D053D2"/>
    <w:rsid w:val="00D07D07"/>
    <w:rsid w:val="00D10F87"/>
    <w:rsid w:val="00D1149D"/>
    <w:rsid w:val="00D11B8E"/>
    <w:rsid w:val="00D11CB6"/>
    <w:rsid w:val="00D11D8D"/>
    <w:rsid w:val="00D122CF"/>
    <w:rsid w:val="00D12B12"/>
    <w:rsid w:val="00D12DD7"/>
    <w:rsid w:val="00D13A8C"/>
    <w:rsid w:val="00D149E1"/>
    <w:rsid w:val="00D14A44"/>
    <w:rsid w:val="00D15BCC"/>
    <w:rsid w:val="00D1628F"/>
    <w:rsid w:val="00D1793A"/>
    <w:rsid w:val="00D20669"/>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4BAC"/>
    <w:rsid w:val="00D3664C"/>
    <w:rsid w:val="00D3683A"/>
    <w:rsid w:val="00D3773C"/>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42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5FF7"/>
    <w:rsid w:val="00D97426"/>
    <w:rsid w:val="00D97568"/>
    <w:rsid w:val="00D97953"/>
    <w:rsid w:val="00DA06B0"/>
    <w:rsid w:val="00DA29BA"/>
    <w:rsid w:val="00DA3249"/>
    <w:rsid w:val="00DA38CE"/>
    <w:rsid w:val="00DA4B01"/>
    <w:rsid w:val="00DA5322"/>
    <w:rsid w:val="00DA55AC"/>
    <w:rsid w:val="00DA5600"/>
    <w:rsid w:val="00DA608B"/>
    <w:rsid w:val="00DA7413"/>
    <w:rsid w:val="00DB0066"/>
    <w:rsid w:val="00DB0F9E"/>
    <w:rsid w:val="00DB1307"/>
    <w:rsid w:val="00DB1BAA"/>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41AA"/>
    <w:rsid w:val="00DC7481"/>
    <w:rsid w:val="00DC7591"/>
    <w:rsid w:val="00DD0839"/>
    <w:rsid w:val="00DD26D0"/>
    <w:rsid w:val="00DD3081"/>
    <w:rsid w:val="00DD47D5"/>
    <w:rsid w:val="00DD6218"/>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5CC5"/>
    <w:rsid w:val="00DF71D8"/>
    <w:rsid w:val="00E00CCA"/>
    <w:rsid w:val="00E01623"/>
    <w:rsid w:val="00E01C95"/>
    <w:rsid w:val="00E03B8E"/>
    <w:rsid w:val="00E03FE3"/>
    <w:rsid w:val="00E05021"/>
    <w:rsid w:val="00E06951"/>
    <w:rsid w:val="00E10C94"/>
    <w:rsid w:val="00E10EC4"/>
    <w:rsid w:val="00E118D7"/>
    <w:rsid w:val="00E13F46"/>
    <w:rsid w:val="00E15BD4"/>
    <w:rsid w:val="00E16458"/>
    <w:rsid w:val="00E16FB6"/>
    <w:rsid w:val="00E17001"/>
    <w:rsid w:val="00E17814"/>
    <w:rsid w:val="00E17CEF"/>
    <w:rsid w:val="00E20FBC"/>
    <w:rsid w:val="00E212C7"/>
    <w:rsid w:val="00E244CA"/>
    <w:rsid w:val="00E2475B"/>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22B"/>
    <w:rsid w:val="00E5091C"/>
    <w:rsid w:val="00E50B22"/>
    <w:rsid w:val="00E50E42"/>
    <w:rsid w:val="00E51009"/>
    <w:rsid w:val="00E511AB"/>
    <w:rsid w:val="00E51350"/>
    <w:rsid w:val="00E51AE2"/>
    <w:rsid w:val="00E51C5E"/>
    <w:rsid w:val="00E523FB"/>
    <w:rsid w:val="00E528AF"/>
    <w:rsid w:val="00E53629"/>
    <w:rsid w:val="00E5372C"/>
    <w:rsid w:val="00E537A9"/>
    <w:rsid w:val="00E541BF"/>
    <w:rsid w:val="00E541C7"/>
    <w:rsid w:val="00E5480C"/>
    <w:rsid w:val="00E54AB7"/>
    <w:rsid w:val="00E55131"/>
    <w:rsid w:val="00E55F3E"/>
    <w:rsid w:val="00E56392"/>
    <w:rsid w:val="00E5685F"/>
    <w:rsid w:val="00E5712F"/>
    <w:rsid w:val="00E601DA"/>
    <w:rsid w:val="00E60547"/>
    <w:rsid w:val="00E609FF"/>
    <w:rsid w:val="00E61AA8"/>
    <w:rsid w:val="00E6247F"/>
    <w:rsid w:val="00E62E59"/>
    <w:rsid w:val="00E63E99"/>
    <w:rsid w:val="00E6454D"/>
    <w:rsid w:val="00E65301"/>
    <w:rsid w:val="00E6598A"/>
    <w:rsid w:val="00E65F67"/>
    <w:rsid w:val="00E667A7"/>
    <w:rsid w:val="00E67286"/>
    <w:rsid w:val="00E679B3"/>
    <w:rsid w:val="00E7190A"/>
    <w:rsid w:val="00E71E5C"/>
    <w:rsid w:val="00E71F1D"/>
    <w:rsid w:val="00E7245E"/>
    <w:rsid w:val="00E73831"/>
    <w:rsid w:val="00E73B66"/>
    <w:rsid w:val="00E7498E"/>
    <w:rsid w:val="00E74BB9"/>
    <w:rsid w:val="00E74FF5"/>
    <w:rsid w:val="00E7584A"/>
    <w:rsid w:val="00E760D0"/>
    <w:rsid w:val="00E76D85"/>
    <w:rsid w:val="00E77C2E"/>
    <w:rsid w:val="00E80A1A"/>
    <w:rsid w:val="00E82100"/>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664E"/>
    <w:rsid w:val="00EB2857"/>
    <w:rsid w:val="00EB30B7"/>
    <w:rsid w:val="00EB3F8A"/>
    <w:rsid w:val="00EB416F"/>
    <w:rsid w:val="00EB43B9"/>
    <w:rsid w:val="00EB4482"/>
    <w:rsid w:val="00EB4C01"/>
    <w:rsid w:val="00EB4D59"/>
    <w:rsid w:val="00EB4E58"/>
    <w:rsid w:val="00EB573D"/>
    <w:rsid w:val="00EB583A"/>
    <w:rsid w:val="00EB6442"/>
    <w:rsid w:val="00EB7752"/>
    <w:rsid w:val="00EC0725"/>
    <w:rsid w:val="00EC0889"/>
    <w:rsid w:val="00EC0C13"/>
    <w:rsid w:val="00EC148C"/>
    <w:rsid w:val="00EC1826"/>
    <w:rsid w:val="00EC254D"/>
    <w:rsid w:val="00EC2D7D"/>
    <w:rsid w:val="00EC36AD"/>
    <w:rsid w:val="00EC3865"/>
    <w:rsid w:val="00EC3BCF"/>
    <w:rsid w:val="00EC56B1"/>
    <w:rsid w:val="00EC664F"/>
    <w:rsid w:val="00EC6749"/>
    <w:rsid w:val="00EC72F5"/>
    <w:rsid w:val="00EC7334"/>
    <w:rsid w:val="00EC75B5"/>
    <w:rsid w:val="00ED1877"/>
    <w:rsid w:val="00ED247F"/>
    <w:rsid w:val="00ED27E4"/>
    <w:rsid w:val="00ED2F27"/>
    <w:rsid w:val="00ED3370"/>
    <w:rsid w:val="00ED4D96"/>
    <w:rsid w:val="00ED5A40"/>
    <w:rsid w:val="00ED5F21"/>
    <w:rsid w:val="00ED602C"/>
    <w:rsid w:val="00ED62B5"/>
    <w:rsid w:val="00ED6DDB"/>
    <w:rsid w:val="00ED700C"/>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31F"/>
    <w:rsid w:val="00F15FCF"/>
    <w:rsid w:val="00F16613"/>
    <w:rsid w:val="00F20706"/>
    <w:rsid w:val="00F21496"/>
    <w:rsid w:val="00F21E77"/>
    <w:rsid w:val="00F21FCB"/>
    <w:rsid w:val="00F21FD5"/>
    <w:rsid w:val="00F24D27"/>
    <w:rsid w:val="00F2520C"/>
    <w:rsid w:val="00F25A5C"/>
    <w:rsid w:val="00F25BCB"/>
    <w:rsid w:val="00F25ECC"/>
    <w:rsid w:val="00F264C1"/>
    <w:rsid w:val="00F26D7F"/>
    <w:rsid w:val="00F27305"/>
    <w:rsid w:val="00F27B42"/>
    <w:rsid w:val="00F30790"/>
    <w:rsid w:val="00F31570"/>
    <w:rsid w:val="00F323C1"/>
    <w:rsid w:val="00F33355"/>
    <w:rsid w:val="00F34363"/>
    <w:rsid w:val="00F34CA6"/>
    <w:rsid w:val="00F34CE9"/>
    <w:rsid w:val="00F350E5"/>
    <w:rsid w:val="00F354B9"/>
    <w:rsid w:val="00F35705"/>
    <w:rsid w:val="00F35B93"/>
    <w:rsid w:val="00F37CFD"/>
    <w:rsid w:val="00F37D33"/>
    <w:rsid w:val="00F40178"/>
    <w:rsid w:val="00F4049A"/>
    <w:rsid w:val="00F40DB9"/>
    <w:rsid w:val="00F40ED1"/>
    <w:rsid w:val="00F415A3"/>
    <w:rsid w:val="00F41778"/>
    <w:rsid w:val="00F41B3E"/>
    <w:rsid w:val="00F421D1"/>
    <w:rsid w:val="00F4323B"/>
    <w:rsid w:val="00F43B8E"/>
    <w:rsid w:val="00F45196"/>
    <w:rsid w:val="00F45D51"/>
    <w:rsid w:val="00F46842"/>
    <w:rsid w:val="00F475A9"/>
    <w:rsid w:val="00F4765F"/>
    <w:rsid w:val="00F479B5"/>
    <w:rsid w:val="00F47A1B"/>
    <w:rsid w:val="00F47C4B"/>
    <w:rsid w:val="00F53775"/>
    <w:rsid w:val="00F539A6"/>
    <w:rsid w:val="00F55D4B"/>
    <w:rsid w:val="00F55E0E"/>
    <w:rsid w:val="00F5611D"/>
    <w:rsid w:val="00F56E3E"/>
    <w:rsid w:val="00F578A8"/>
    <w:rsid w:val="00F57EEB"/>
    <w:rsid w:val="00F57F67"/>
    <w:rsid w:val="00F60996"/>
    <w:rsid w:val="00F60B5D"/>
    <w:rsid w:val="00F611E4"/>
    <w:rsid w:val="00F613D4"/>
    <w:rsid w:val="00F61FE7"/>
    <w:rsid w:val="00F62AFE"/>
    <w:rsid w:val="00F633E5"/>
    <w:rsid w:val="00F63C22"/>
    <w:rsid w:val="00F64A3A"/>
    <w:rsid w:val="00F64F35"/>
    <w:rsid w:val="00F64FC4"/>
    <w:rsid w:val="00F65DE3"/>
    <w:rsid w:val="00F67E6A"/>
    <w:rsid w:val="00F70472"/>
    <w:rsid w:val="00F71430"/>
    <w:rsid w:val="00F71A8A"/>
    <w:rsid w:val="00F74034"/>
    <w:rsid w:val="00F74D2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3BE5"/>
    <w:rsid w:val="00FA42A9"/>
    <w:rsid w:val="00FA5CC6"/>
    <w:rsid w:val="00FA64D5"/>
    <w:rsid w:val="00FA6760"/>
    <w:rsid w:val="00FA70F6"/>
    <w:rsid w:val="00FA7420"/>
    <w:rsid w:val="00FA756C"/>
    <w:rsid w:val="00FA75E4"/>
    <w:rsid w:val="00FA776B"/>
    <w:rsid w:val="00FB0AB1"/>
    <w:rsid w:val="00FB2BEF"/>
    <w:rsid w:val="00FB36CA"/>
    <w:rsid w:val="00FB4B65"/>
    <w:rsid w:val="00FB72AC"/>
    <w:rsid w:val="00FB7706"/>
    <w:rsid w:val="00FB7EC9"/>
    <w:rsid w:val="00FB7F82"/>
    <w:rsid w:val="00FC0DAF"/>
    <w:rsid w:val="00FC11F5"/>
    <w:rsid w:val="00FC126D"/>
    <w:rsid w:val="00FC16D6"/>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787"/>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uiPriority w:val="99"/>
    <w:rsid w:val="00DB1BAA"/>
    <w:rPr>
      <w:rFonts w:ascii="Arial" w:hAnsi="Arial" w:cs="Arial"/>
      <w:sz w:val="22"/>
    </w:rPr>
  </w:style>
  <w:style w:type="paragraph" w:styleId="ListParagraph">
    <w:name w:val="List Paragraph"/>
    <w:basedOn w:val="Normal"/>
    <w:uiPriority w:val="99"/>
    <w:qFormat/>
    <w:rsid w:val="009E65E4"/>
    <w:pPr>
      <w:ind w:left="720"/>
      <w:contextualSpacing/>
    </w:pPr>
    <w:rPr>
      <w:rFonts w:eastAsia="SimSun"/>
      <w:lang w:eastAsia="zh-CN"/>
    </w:rPr>
  </w:style>
  <w:style w:type="paragraph" w:customStyle="1" w:styleId="ONUME">
    <w:name w:val="ONUM E"/>
    <w:basedOn w:val="BodyText"/>
    <w:link w:val="ONUMEChar"/>
    <w:uiPriority w:val="99"/>
    <w:rsid w:val="00F4049A"/>
    <w:pPr>
      <w:numPr>
        <w:numId w:val="5"/>
      </w:numPr>
      <w:tabs>
        <w:tab w:val="clear" w:pos="567"/>
      </w:tabs>
    </w:pPr>
  </w:style>
  <w:style w:type="character" w:customStyle="1" w:styleId="ONUMEChar">
    <w:name w:val="ONUM E Char"/>
    <w:basedOn w:val="DefaultParagraphFont"/>
    <w:link w:val="ONUME"/>
    <w:uiPriority w:val="99"/>
    <w:locked/>
    <w:rsid w:val="00F4049A"/>
    <w:rPr>
      <w:rFonts w:ascii="Arial" w:hAnsi="Arial" w:cs="Arial"/>
      <w:sz w:val="22"/>
    </w:rPr>
  </w:style>
  <w:style w:type="paragraph" w:styleId="BodyText">
    <w:name w:val="Body Text"/>
    <w:basedOn w:val="Normal"/>
    <w:link w:val="BodyTextChar"/>
    <w:rsid w:val="00F4049A"/>
    <w:pPr>
      <w:spacing w:after="120"/>
    </w:pPr>
  </w:style>
  <w:style w:type="character" w:customStyle="1" w:styleId="BodyTextChar">
    <w:name w:val="Body Text Char"/>
    <w:basedOn w:val="DefaultParagraphFont"/>
    <w:link w:val="BodyText"/>
    <w:rsid w:val="00F4049A"/>
    <w:rPr>
      <w:rFonts w:ascii="Arial" w:hAnsi="Arial" w:cs="Arial"/>
      <w:sz w:val="22"/>
    </w:rPr>
  </w:style>
  <w:style w:type="character" w:styleId="Hyperlink">
    <w:name w:val="Hyperlink"/>
    <w:basedOn w:val="DefaultParagraphFont"/>
    <w:rsid w:val="004B63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160F"/>
    <w:rPr>
      <w:rFonts w:ascii="Tahoma" w:hAnsi="Tahoma" w:cs="Tahoma"/>
      <w:sz w:val="16"/>
      <w:szCs w:val="16"/>
    </w:rPr>
  </w:style>
  <w:style w:type="character" w:customStyle="1" w:styleId="BalloonTextChar">
    <w:name w:val="Balloon Text Char"/>
    <w:basedOn w:val="DefaultParagraphFont"/>
    <w:link w:val="BalloonText"/>
    <w:rsid w:val="0057160F"/>
    <w:rPr>
      <w:rFonts w:ascii="Tahoma" w:hAnsi="Tahoma" w:cs="Tahoma"/>
      <w:sz w:val="16"/>
      <w:szCs w:val="16"/>
    </w:rPr>
  </w:style>
  <w:style w:type="character" w:customStyle="1" w:styleId="HeaderChar">
    <w:name w:val="Header Char"/>
    <w:basedOn w:val="DefaultParagraphFont"/>
    <w:link w:val="Header"/>
    <w:uiPriority w:val="99"/>
    <w:rsid w:val="00DB1BAA"/>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pct/en/quality/authoritie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CTC_30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0672-49BD-43D5-BF41-EAFACF876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PCT_CTC_30_AR.dotx</Template>
  <TotalTime>162</TotalTime>
  <Pages>14</Pages>
  <Words>4756</Words>
  <Characters>25848</Characters>
  <Application>Microsoft Office Word</Application>
  <DocSecurity>0</DocSecurity>
  <Lines>215</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PCT/CTC/30/-- (Arabic)</vt:lpstr>
      <vt:lpstr>PCT/CTC/30/-- (Arabic)</vt:lpstr>
    </vt:vector>
  </TitlesOfParts>
  <Company>World Intellectual Property Organization</Company>
  <LinksUpToDate>false</LinksUpToDate>
  <CharactersWithSpaces>30543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 (Arabic)</dc:title>
  <dc:creator>CHADAREVIAN Diane</dc:creator>
  <cp:lastModifiedBy>AHMIDOUCH Noureddine</cp:lastModifiedBy>
  <cp:revision>18</cp:revision>
  <cp:lastPrinted>2017-04-03T06:43:00Z</cp:lastPrinted>
  <dcterms:created xsi:type="dcterms:W3CDTF">2017-03-29T05:42:00Z</dcterms:created>
  <dcterms:modified xsi:type="dcterms:W3CDTF">2017-04-03T06:43:00Z</dcterms:modified>
</cp:coreProperties>
</file>