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C138A1" w:rsidRPr="00C138A1" w:rsidTr="00B6101C">
        <w:tc>
          <w:tcPr>
            <w:tcW w:w="4843" w:type="dxa"/>
            <w:tcBorders>
              <w:bottom w:val="single" w:sz="4" w:space="0" w:color="auto"/>
            </w:tcBorders>
          </w:tcPr>
          <w:p w:rsidR="001667B6" w:rsidRPr="00C138A1" w:rsidRDefault="001667B6" w:rsidP="001667B6">
            <w:pPr>
              <w:bidi/>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tcPr>
          <w:p w:rsidR="001667B6" w:rsidRPr="00C138A1" w:rsidRDefault="009C0CED" w:rsidP="00237419">
            <w:pPr>
              <w:bidi/>
              <w:spacing w:after="20"/>
              <w:rPr>
                <w:rFonts w:ascii="Arabic Typesetting" w:hAnsi="Arabic Typesetting" w:cs="Arabic Typesetting"/>
                <w:sz w:val="36"/>
                <w:szCs w:val="36"/>
                <w:rtl/>
              </w:rPr>
            </w:pPr>
            <w:r w:rsidRPr="00C138A1">
              <w:rPr>
                <w:noProof/>
              </w:rPr>
              <w:drawing>
                <wp:inline distT="0" distB="0" distL="0" distR="0" wp14:anchorId="2736991D" wp14:editId="749CBF6E">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C138A1" w:rsidRDefault="001667B6" w:rsidP="001667B6">
            <w:pPr>
              <w:rPr>
                <w:b/>
                <w:bCs/>
                <w:sz w:val="40"/>
                <w:szCs w:val="40"/>
              </w:rPr>
            </w:pPr>
            <w:r w:rsidRPr="00C138A1">
              <w:rPr>
                <w:b/>
                <w:bCs/>
                <w:sz w:val="40"/>
                <w:szCs w:val="40"/>
              </w:rPr>
              <w:t>A</w:t>
            </w:r>
          </w:p>
        </w:tc>
      </w:tr>
      <w:tr w:rsidR="00C138A1" w:rsidRPr="00C138A1" w:rsidTr="00B6101C">
        <w:trPr>
          <w:trHeight w:val="333"/>
        </w:trPr>
        <w:tc>
          <w:tcPr>
            <w:tcW w:w="9571" w:type="dxa"/>
            <w:gridSpan w:val="3"/>
            <w:tcBorders>
              <w:top w:val="single" w:sz="4" w:space="0" w:color="auto"/>
            </w:tcBorders>
            <w:vAlign w:val="bottom"/>
          </w:tcPr>
          <w:p w:rsidR="00B6101C" w:rsidRPr="00C138A1" w:rsidRDefault="0057160F" w:rsidP="005A31CC">
            <w:pPr>
              <w:pStyle w:val="DocumentCodeAR"/>
              <w:bidi/>
              <w:rPr>
                <w:rtl/>
              </w:rPr>
            </w:pPr>
            <w:r w:rsidRPr="00C138A1">
              <w:t>PCT/CTC/30/</w:t>
            </w:r>
            <w:r w:rsidR="005A31CC" w:rsidRPr="00C138A1">
              <w:t>17</w:t>
            </w:r>
          </w:p>
        </w:tc>
      </w:tr>
      <w:tr w:rsidR="00C138A1" w:rsidRPr="00C138A1" w:rsidTr="00BF164F">
        <w:tc>
          <w:tcPr>
            <w:tcW w:w="9571" w:type="dxa"/>
            <w:gridSpan w:val="3"/>
          </w:tcPr>
          <w:p w:rsidR="001667B6" w:rsidRPr="00C138A1" w:rsidRDefault="00B6101C" w:rsidP="00C80F23">
            <w:pPr>
              <w:pStyle w:val="DocumentLanguageAR"/>
              <w:bidi/>
              <w:rPr>
                <w:rtl/>
              </w:rPr>
            </w:pPr>
            <w:r w:rsidRPr="00C138A1">
              <w:rPr>
                <w:rFonts w:hint="cs"/>
                <w:rtl/>
              </w:rPr>
              <w:t xml:space="preserve">الأصل: </w:t>
            </w:r>
            <w:r w:rsidR="00C80F23" w:rsidRPr="00C138A1">
              <w:rPr>
                <w:rFonts w:hint="cs"/>
                <w:rtl/>
              </w:rPr>
              <w:t>بالإنكليزية</w:t>
            </w:r>
          </w:p>
        </w:tc>
      </w:tr>
      <w:tr w:rsidR="001667B6" w:rsidRPr="00C138A1" w:rsidTr="00BF164F">
        <w:tc>
          <w:tcPr>
            <w:tcW w:w="9571" w:type="dxa"/>
            <w:gridSpan w:val="3"/>
          </w:tcPr>
          <w:p w:rsidR="001667B6" w:rsidRPr="00C138A1" w:rsidRDefault="00B6101C" w:rsidP="005A31CC">
            <w:pPr>
              <w:pStyle w:val="DocumentDateAR"/>
              <w:bidi/>
              <w:rPr>
                <w:rtl/>
              </w:rPr>
            </w:pPr>
            <w:r w:rsidRPr="00C138A1">
              <w:rPr>
                <w:rFonts w:hint="cs"/>
                <w:rtl/>
              </w:rPr>
              <w:t xml:space="preserve">التاريخ: </w:t>
            </w:r>
            <w:r w:rsidR="005A31CC" w:rsidRPr="00C138A1">
              <w:rPr>
                <w:rFonts w:hint="cs"/>
                <w:rtl/>
              </w:rPr>
              <w:t>16 مارس</w:t>
            </w:r>
            <w:r w:rsidRPr="00C138A1">
              <w:rPr>
                <w:rFonts w:hint="cs"/>
                <w:rtl/>
              </w:rPr>
              <w:t xml:space="preserve"> </w:t>
            </w:r>
            <w:r w:rsidR="008D5779" w:rsidRPr="00C138A1">
              <w:rPr>
                <w:rFonts w:hint="cs"/>
                <w:rtl/>
              </w:rPr>
              <w:t>201</w:t>
            </w:r>
            <w:r w:rsidR="00240911" w:rsidRPr="00C138A1">
              <w:rPr>
                <w:rFonts w:hint="cs"/>
                <w:rtl/>
              </w:rPr>
              <w:t>7</w:t>
            </w:r>
          </w:p>
        </w:tc>
      </w:tr>
    </w:tbl>
    <w:p w:rsidR="000F5E56" w:rsidRPr="00C138A1" w:rsidRDefault="000F5E56" w:rsidP="001667B6">
      <w:pPr>
        <w:bidi/>
        <w:spacing w:line="360" w:lineRule="exact"/>
        <w:rPr>
          <w:rFonts w:ascii="Arabic Typesetting" w:hAnsi="Arabic Typesetting" w:cs="Arabic Typesetting"/>
          <w:sz w:val="36"/>
          <w:szCs w:val="36"/>
          <w:rtl/>
        </w:rPr>
      </w:pPr>
    </w:p>
    <w:p w:rsidR="001667B6" w:rsidRPr="00C138A1" w:rsidRDefault="001667B6" w:rsidP="001667B6">
      <w:pPr>
        <w:bidi/>
        <w:spacing w:line="360" w:lineRule="exact"/>
        <w:rPr>
          <w:rFonts w:ascii="Arabic Typesetting" w:hAnsi="Arabic Typesetting" w:cs="Arabic Typesetting"/>
          <w:sz w:val="36"/>
          <w:szCs w:val="36"/>
          <w:rtl/>
        </w:rPr>
      </w:pPr>
    </w:p>
    <w:p w:rsidR="00F27305" w:rsidRPr="00C138A1" w:rsidRDefault="00F27305" w:rsidP="00F27305">
      <w:pPr>
        <w:bidi/>
        <w:spacing w:line="360" w:lineRule="exact"/>
        <w:rPr>
          <w:rFonts w:ascii="Arabic Typesetting" w:hAnsi="Arabic Typesetting" w:cs="Arabic Typesetting"/>
          <w:sz w:val="36"/>
          <w:szCs w:val="36"/>
          <w:rtl/>
        </w:rPr>
      </w:pPr>
    </w:p>
    <w:p w:rsidR="0057160F" w:rsidRPr="00C138A1" w:rsidRDefault="0057160F" w:rsidP="0057160F">
      <w:pPr>
        <w:pStyle w:val="MeetingTitleAR"/>
        <w:bidi/>
        <w:ind w:right="550"/>
        <w:rPr>
          <w:rtl/>
        </w:rPr>
      </w:pPr>
      <w:r w:rsidRPr="00C138A1">
        <w:rPr>
          <w:rFonts w:hint="cs"/>
          <w:rtl/>
        </w:rPr>
        <w:t>معاهدة التعاون بشأن البراءات</w:t>
      </w:r>
    </w:p>
    <w:p w:rsidR="0057160F" w:rsidRPr="00C138A1" w:rsidRDefault="0057160F" w:rsidP="0057160F">
      <w:pPr>
        <w:pStyle w:val="MeetingTitleAR"/>
        <w:bidi/>
        <w:ind w:right="550"/>
        <w:rPr>
          <w:rtl/>
        </w:rPr>
      </w:pPr>
      <w:r w:rsidRPr="00C138A1">
        <w:rPr>
          <w:rFonts w:hint="cs"/>
          <w:rtl/>
        </w:rPr>
        <w:t>لجنة التعاون التقني</w:t>
      </w:r>
    </w:p>
    <w:p w:rsidR="0057160F" w:rsidRPr="00C138A1" w:rsidRDefault="0057160F" w:rsidP="0057160F">
      <w:pPr>
        <w:bidi/>
        <w:spacing w:line="360" w:lineRule="exact"/>
        <w:rPr>
          <w:rFonts w:ascii="Arabic Typesetting" w:hAnsi="Arabic Typesetting" w:cs="Arabic Typesetting"/>
          <w:sz w:val="36"/>
          <w:szCs w:val="36"/>
          <w:rtl/>
        </w:rPr>
      </w:pPr>
    </w:p>
    <w:p w:rsidR="0057160F" w:rsidRPr="00C138A1" w:rsidRDefault="0057160F" w:rsidP="0057160F">
      <w:pPr>
        <w:pStyle w:val="MeetingSessionAR"/>
        <w:bidi/>
        <w:rPr>
          <w:rFonts w:ascii="Cambria Math" w:hAnsi="Cambria Math"/>
          <w:rtl/>
        </w:rPr>
      </w:pPr>
      <w:r w:rsidRPr="00C138A1">
        <w:rPr>
          <w:rFonts w:ascii="Cambria Math" w:hAnsi="Cambria Math"/>
          <w:rtl/>
        </w:rPr>
        <w:t xml:space="preserve">الدورة </w:t>
      </w:r>
      <w:r w:rsidRPr="00C138A1">
        <w:rPr>
          <w:rFonts w:ascii="Cambria Math" w:hAnsi="Cambria Math" w:hint="cs"/>
          <w:rtl/>
        </w:rPr>
        <w:t>الثلاثون</w:t>
      </w:r>
    </w:p>
    <w:p w:rsidR="0057160F" w:rsidRPr="00C138A1" w:rsidRDefault="0057160F" w:rsidP="0057160F">
      <w:pPr>
        <w:pStyle w:val="MeetingDatesAR"/>
        <w:bidi/>
        <w:rPr>
          <w:rtl/>
        </w:rPr>
      </w:pPr>
      <w:r w:rsidRPr="00C138A1">
        <w:rPr>
          <w:rFonts w:hint="cs"/>
          <w:rtl/>
        </w:rPr>
        <w:t>جنيف، من 8 إلى 12 مايو 2017</w:t>
      </w:r>
    </w:p>
    <w:p w:rsidR="0057160F" w:rsidRPr="00C138A1" w:rsidRDefault="0057160F" w:rsidP="0057160F">
      <w:pPr>
        <w:bidi/>
        <w:spacing w:line="360" w:lineRule="exact"/>
        <w:rPr>
          <w:rFonts w:ascii="Arabic Typesetting" w:hAnsi="Arabic Typesetting" w:cs="Arabic Typesetting"/>
          <w:sz w:val="36"/>
          <w:szCs w:val="36"/>
          <w:rtl/>
        </w:rPr>
      </w:pPr>
    </w:p>
    <w:p w:rsidR="0057160F" w:rsidRPr="00C138A1" w:rsidRDefault="0057160F" w:rsidP="0057160F">
      <w:pPr>
        <w:bidi/>
        <w:spacing w:line="360" w:lineRule="exact"/>
        <w:rPr>
          <w:rFonts w:ascii="Arabic Typesetting" w:hAnsi="Arabic Typesetting" w:cs="Arabic Typesetting"/>
          <w:sz w:val="36"/>
          <w:szCs w:val="36"/>
          <w:rtl/>
        </w:rPr>
      </w:pPr>
    </w:p>
    <w:p w:rsidR="0057160F" w:rsidRPr="00C138A1" w:rsidRDefault="00C80F23" w:rsidP="006E6FB9">
      <w:pPr>
        <w:pStyle w:val="DocumentTitleAR"/>
        <w:bidi/>
        <w:rPr>
          <w:rtl/>
        </w:rPr>
      </w:pPr>
      <w:r w:rsidRPr="00C138A1">
        <w:rPr>
          <w:rFonts w:hint="cs"/>
          <w:rtl/>
        </w:rPr>
        <w:t xml:space="preserve">تمديد تعيين </w:t>
      </w:r>
      <w:r w:rsidR="002275AA" w:rsidRPr="00C138A1">
        <w:rPr>
          <w:rtl/>
        </w:rPr>
        <w:t>الدائرة الاتحادية الروسية للملكية الفكرية</w:t>
      </w:r>
      <w:r w:rsidR="002275AA" w:rsidRPr="00C138A1">
        <w:rPr>
          <w:rFonts w:hint="cs"/>
          <w:rtl/>
        </w:rPr>
        <w:t xml:space="preserve"> </w:t>
      </w:r>
      <w:r w:rsidRPr="00C138A1">
        <w:rPr>
          <w:rFonts w:hint="cs"/>
          <w:rtl/>
        </w:rPr>
        <w:t xml:space="preserve">كإدارة للبحث الدولي </w:t>
      </w:r>
      <w:r w:rsidR="003B713D" w:rsidRPr="00C138A1">
        <w:rPr>
          <w:rFonts w:hint="cs"/>
          <w:rtl/>
        </w:rPr>
        <w:t>وا</w:t>
      </w:r>
      <w:r w:rsidRPr="00C138A1">
        <w:rPr>
          <w:rFonts w:hint="cs"/>
          <w:rtl/>
        </w:rPr>
        <w:t xml:space="preserve">لفحص التمهيدي الدولي </w:t>
      </w:r>
      <w:r w:rsidR="006E6FB9">
        <w:rPr>
          <w:rFonts w:hint="cs"/>
          <w:rtl/>
        </w:rPr>
        <w:t>في إطار</w:t>
      </w:r>
      <w:r w:rsidRPr="00C138A1">
        <w:rPr>
          <w:rFonts w:hint="cs"/>
          <w:rtl/>
        </w:rPr>
        <w:t xml:space="preserve"> معاهدة التعاون بشأن البراءات</w:t>
      </w:r>
    </w:p>
    <w:p w:rsidR="0057160F" w:rsidRPr="00C138A1" w:rsidRDefault="00C80F23" w:rsidP="0057160F">
      <w:pPr>
        <w:pStyle w:val="PreparedbyAR"/>
        <w:bidi/>
        <w:rPr>
          <w:rtl/>
        </w:rPr>
      </w:pPr>
      <w:r w:rsidRPr="00C138A1">
        <w:rPr>
          <w:rFonts w:hint="cs"/>
          <w:rtl/>
        </w:rPr>
        <w:t xml:space="preserve">وثيقة </w:t>
      </w:r>
      <w:r w:rsidR="0057160F" w:rsidRPr="00C138A1">
        <w:rPr>
          <w:rFonts w:hint="cs"/>
          <w:rtl/>
        </w:rPr>
        <w:t>من إعداد</w:t>
      </w:r>
      <w:r w:rsidRPr="00C138A1">
        <w:rPr>
          <w:rFonts w:hint="cs"/>
          <w:rtl/>
        </w:rPr>
        <w:t xml:space="preserve"> المكتب الدولي</w:t>
      </w:r>
    </w:p>
    <w:p w:rsidR="005B6E8A" w:rsidRPr="00C138A1" w:rsidRDefault="00C80F23" w:rsidP="00D937FB">
      <w:pPr>
        <w:pStyle w:val="NumberedParaAR"/>
      </w:pPr>
      <w:r w:rsidRPr="00C138A1">
        <w:rPr>
          <w:rFonts w:hint="cs"/>
          <w:rtl/>
        </w:rPr>
        <w:t>عينت جمعية معاهدة التعاون بشأن البراءات (جمعية البراءات) كل الإدارات الدولية الحالية لمدة تنتهي في</w:t>
      </w:r>
      <w:r w:rsidR="00D937FB" w:rsidRPr="00C138A1">
        <w:rPr>
          <w:rFonts w:hint="eastAsia"/>
        </w:rPr>
        <w:t> </w:t>
      </w:r>
      <w:r w:rsidRPr="00C138A1">
        <w:rPr>
          <w:rFonts w:hint="cs"/>
          <w:rtl/>
        </w:rPr>
        <w:t>31</w:t>
      </w:r>
      <w:r w:rsidR="00D937FB" w:rsidRPr="00C138A1">
        <w:rPr>
          <w:rFonts w:hint="eastAsia"/>
        </w:rPr>
        <w:t> </w:t>
      </w:r>
      <w:r w:rsidRPr="00C138A1">
        <w:rPr>
          <w:rFonts w:hint="cs"/>
          <w:rtl/>
        </w:rPr>
        <w:t>ديسمبر</w:t>
      </w:r>
      <w:r w:rsidRPr="00C138A1">
        <w:rPr>
          <w:rFonts w:hint="eastAsia"/>
          <w:rtl/>
        </w:rPr>
        <w:t> </w:t>
      </w:r>
      <w:r w:rsidRPr="00C138A1">
        <w:rPr>
          <w:rFonts w:hint="cs"/>
          <w:rtl/>
        </w:rPr>
        <w:t>2017. س</w:t>
      </w:r>
      <w:r w:rsidR="003B713D" w:rsidRPr="00C138A1">
        <w:rPr>
          <w:rFonts w:hint="cs"/>
          <w:rtl/>
        </w:rPr>
        <w:t>ي</w:t>
      </w:r>
      <w:r w:rsidRPr="00C138A1">
        <w:rPr>
          <w:rFonts w:hint="cs"/>
          <w:rtl/>
        </w:rPr>
        <w:t>تعيّن إذن على جمعية البراءات في 2017 أن تبت في تمديد التعيين لكل إدارة من الإدارات الدولية الحالية التي تلتمس تمديد تعيينها، بعد استشارة هذه الل</w:t>
      </w:r>
      <w:r w:rsidR="006E6FB9">
        <w:rPr>
          <w:rFonts w:hint="cs"/>
          <w:rtl/>
        </w:rPr>
        <w:t>جنة (انظر المادتين 16(3)(ه) و32</w:t>
      </w:r>
      <w:r w:rsidRPr="00C138A1">
        <w:rPr>
          <w:rFonts w:hint="cs"/>
          <w:rtl/>
        </w:rPr>
        <w:t>(3) من معاهدة البراءات). ترد في الوثيقة </w:t>
      </w:r>
      <w:r w:rsidRPr="00C138A1">
        <w:t>PCT/CTC/30/INF/1</w:t>
      </w:r>
      <w:r w:rsidRPr="00C138A1">
        <w:rPr>
          <w:rFonts w:hint="cs"/>
          <w:rtl/>
        </w:rPr>
        <w:t xml:space="preserve"> معلومات عن هذا الإجراء ودور اللجنة فيه.</w:t>
      </w:r>
    </w:p>
    <w:p w:rsidR="00C80F23" w:rsidRPr="00C138A1" w:rsidRDefault="00C80F23" w:rsidP="006E6FB9">
      <w:pPr>
        <w:pStyle w:val="NumberedParaAR"/>
        <w:rPr>
          <w:rtl/>
        </w:rPr>
      </w:pPr>
      <w:r w:rsidRPr="00C138A1">
        <w:rPr>
          <w:rFonts w:hint="cs"/>
          <w:rtl/>
          <w:lang w:bidi="ar-EG"/>
        </w:rPr>
        <w:t xml:space="preserve">وفي </w:t>
      </w:r>
      <w:r w:rsidR="005B3219" w:rsidRPr="00C138A1">
        <w:rPr>
          <w:rFonts w:hint="cs"/>
          <w:rtl/>
          <w:lang w:bidi="ar-EG"/>
        </w:rPr>
        <w:t>7</w:t>
      </w:r>
      <w:r w:rsidRPr="00C138A1">
        <w:rPr>
          <w:rFonts w:hint="cs"/>
          <w:rtl/>
          <w:lang w:bidi="ar-EG"/>
        </w:rPr>
        <w:t xml:space="preserve"> مارس 2017، تقدم</w:t>
      </w:r>
      <w:r w:rsidR="00F1712E" w:rsidRPr="00C138A1">
        <w:rPr>
          <w:rFonts w:hint="cs"/>
          <w:rtl/>
          <w:lang w:bidi="ar-EG"/>
        </w:rPr>
        <w:t>ت</w:t>
      </w:r>
      <w:r w:rsidRPr="00C138A1">
        <w:rPr>
          <w:rFonts w:hint="cs"/>
          <w:rtl/>
          <w:lang w:bidi="ar-EG"/>
        </w:rPr>
        <w:t xml:space="preserve"> </w:t>
      </w:r>
      <w:r w:rsidR="00F1712E" w:rsidRPr="00C138A1">
        <w:rPr>
          <w:rtl/>
          <w:lang w:bidi="ar-EG"/>
        </w:rPr>
        <w:t>الدائرة الاتحادية الروسية للملكية الفكرية</w:t>
      </w:r>
      <w:r w:rsidR="00F1712E" w:rsidRPr="00C138A1">
        <w:rPr>
          <w:rFonts w:hint="cs"/>
          <w:rtl/>
          <w:lang w:bidi="ar-EG"/>
        </w:rPr>
        <w:t xml:space="preserve"> </w:t>
      </w:r>
      <w:r w:rsidRPr="00C138A1">
        <w:rPr>
          <w:rFonts w:hint="cs"/>
          <w:rtl/>
          <w:lang w:bidi="ar-EG"/>
        </w:rPr>
        <w:t>بطلبه</w:t>
      </w:r>
      <w:r w:rsidR="005B3219" w:rsidRPr="00C138A1">
        <w:rPr>
          <w:rFonts w:hint="cs"/>
          <w:rtl/>
          <w:lang w:bidi="ar-EG"/>
        </w:rPr>
        <w:t>ا</w:t>
      </w:r>
      <w:r w:rsidRPr="00C138A1">
        <w:rPr>
          <w:rFonts w:hint="cs"/>
          <w:rtl/>
          <w:lang w:bidi="ar-EG"/>
        </w:rPr>
        <w:t xml:space="preserve"> لتمديد تعيينه</w:t>
      </w:r>
      <w:r w:rsidR="00F1712E" w:rsidRPr="00C138A1">
        <w:rPr>
          <w:rFonts w:hint="cs"/>
          <w:rtl/>
          <w:lang w:bidi="ar-EG"/>
        </w:rPr>
        <w:t>ا</w:t>
      </w:r>
      <w:r w:rsidRPr="00C138A1">
        <w:rPr>
          <w:rFonts w:hint="cs"/>
          <w:rtl/>
          <w:lang w:bidi="ar-EG"/>
        </w:rPr>
        <w:t xml:space="preserve"> </w:t>
      </w:r>
      <w:r w:rsidRPr="00C138A1">
        <w:rPr>
          <w:rtl/>
          <w:lang w:bidi="ar-EG"/>
        </w:rPr>
        <w:t xml:space="preserve">كإدارة للبحث الدولي </w:t>
      </w:r>
      <w:r w:rsidR="004A5E92" w:rsidRPr="00C138A1">
        <w:rPr>
          <w:rFonts w:hint="cs"/>
          <w:rtl/>
          <w:lang w:bidi="ar-EG"/>
        </w:rPr>
        <w:t>وا</w:t>
      </w:r>
      <w:r w:rsidRPr="00C138A1">
        <w:rPr>
          <w:rtl/>
          <w:lang w:bidi="ar-EG"/>
        </w:rPr>
        <w:t xml:space="preserve">لفحص التمهيدي الدولي </w:t>
      </w:r>
      <w:r w:rsidR="006E6FB9">
        <w:rPr>
          <w:rFonts w:hint="cs"/>
          <w:rtl/>
          <w:lang w:bidi="ar-EG"/>
        </w:rPr>
        <w:t>في إطار</w:t>
      </w:r>
      <w:r w:rsidRPr="00C138A1">
        <w:rPr>
          <w:rtl/>
          <w:lang w:bidi="ar-EG"/>
        </w:rPr>
        <w:t xml:space="preserve"> </w:t>
      </w:r>
      <w:r w:rsidRPr="00C138A1">
        <w:rPr>
          <w:rFonts w:hint="cs"/>
          <w:rtl/>
          <w:lang w:bidi="ar-EG"/>
        </w:rPr>
        <w:t>معاهدة</w:t>
      </w:r>
      <w:r w:rsidRPr="00C138A1">
        <w:rPr>
          <w:rtl/>
          <w:lang w:bidi="ar-EG"/>
        </w:rPr>
        <w:t xml:space="preserve"> التعاون بشأن البراءات</w:t>
      </w:r>
      <w:r w:rsidRPr="00C138A1">
        <w:rPr>
          <w:rFonts w:hint="cs"/>
          <w:rtl/>
          <w:lang w:bidi="ar-EG"/>
        </w:rPr>
        <w:t>. ويرد الطلب في مرفق هذه الوثيقة.</w:t>
      </w:r>
    </w:p>
    <w:p w:rsidR="005B6E8A" w:rsidRPr="00C138A1" w:rsidRDefault="00AA2810" w:rsidP="00D937FB">
      <w:pPr>
        <w:pStyle w:val="DecisionParaAR"/>
        <w:rPr>
          <w:rtl/>
        </w:rPr>
      </w:pPr>
      <w:r w:rsidRPr="00C138A1">
        <w:rPr>
          <w:rFonts w:hint="cs"/>
          <w:rtl/>
        </w:rPr>
        <w:t>إن اللجنة مدعوة إلى إسداء مشورتها في هذا ال</w:t>
      </w:r>
      <w:r w:rsidR="00D937FB" w:rsidRPr="00C138A1">
        <w:rPr>
          <w:rFonts w:hint="cs"/>
          <w:rtl/>
          <w:lang w:val="fr-FR" w:bidi="ar-EG"/>
        </w:rPr>
        <w:t>أمر</w:t>
      </w:r>
      <w:r w:rsidRPr="00C138A1">
        <w:rPr>
          <w:rFonts w:hint="cs"/>
          <w:rtl/>
        </w:rPr>
        <w:t>.</w:t>
      </w:r>
    </w:p>
    <w:p w:rsidR="005B6E8A" w:rsidRPr="00C138A1" w:rsidRDefault="00AA2810" w:rsidP="00AA2810">
      <w:pPr>
        <w:pStyle w:val="EndofDocumentAR"/>
        <w:rPr>
          <w:rtl/>
        </w:rPr>
      </w:pPr>
      <w:r w:rsidRPr="00C138A1">
        <w:rPr>
          <w:rFonts w:hint="cs"/>
          <w:rtl/>
        </w:rPr>
        <w:t>[يلي ذلك المرفق]</w:t>
      </w:r>
    </w:p>
    <w:p w:rsidR="005B6E8A" w:rsidRPr="00C138A1" w:rsidRDefault="005B6E8A" w:rsidP="005B6E8A">
      <w:pPr>
        <w:pStyle w:val="NormalParaAR"/>
      </w:pPr>
    </w:p>
    <w:p w:rsidR="00DB1BAA" w:rsidRPr="00C138A1" w:rsidRDefault="00DB1BAA" w:rsidP="005B6E8A">
      <w:pPr>
        <w:pStyle w:val="NormalParaAR"/>
        <w:rPr>
          <w:rtl/>
        </w:rPr>
        <w:sectPr w:rsidR="00DB1BAA" w:rsidRPr="00C138A1" w:rsidSect="00EB7752">
          <w:headerReference w:type="default" r:id="rId10"/>
          <w:headerReference w:type="first" r:id="rId11"/>
          <w:pgSz w:w="11907" w:h="16840" w:code="9"/>
          <w:pgMar w:top="567" w:right="1418" w:bottom="1418" w:left="1134" w:header="510" w:footer="1021" w:gutter="0"/>
          <w:cols w:space="720"/>
          <w:titlePg/>
          <w:docGrid w:linePitch="299"/>
        </w:sectPr>
      </w:pPr>
    </w:p>
    <w:p w:rsidR="007037A9" w:rsidRPr="00C138A1" w:rsidRDefault="00356753" w:rsidP="00D937FB">
      <w:pPr>
        <w:pStyle w:val="NormalParaAR"/>
        <w:jc w:val="center"/>
        <w:rPr>
          <w:sz w:val="40"/>
          <w:szCs w:val="40"/>
          <w:rtl/>
        </w:rPr>
      </w:pPr>
      <w:r w:rsidRPr="00C138A1">
        <w:rPr>
          <w:rFonts w:hint="cs"/>
          <w:sz w:val="40"/>
          <w:szCs w:val="40"/>
          <w:rtl/>
        </w:rPr>
        <w:lastRenderedPageBreak/>
        <w:t xml:space="preserve">طلب </w:t>
      </w:r>
      <w:r w:rsidR="00F1712E" w:rsidRPr="00C138A1">
        <w:rPr>
          <w:sz w:val="40"/>
          <w:szCs w:val="40"/>
          <w:rtl/>
        </w:rPr>
        <w:t>الدائرة الاتحادية الروسية للملكية الفكرية</w:t>
      </w:r>
    </w:p>
    <w:p w:rsidR="005B6E8A" w:rsidRPr="00C138A1" w:rsidRDefault="00356753" w:rsidP="00D937FB">
      <w:pPr>
        <w:pStyle w:val="NormalParaAR"/>
        <w:spacing w:after="480"/>
        <w:jc w:val="center"/>
        <w:rPr>
          <w:sz w:val="40"/>
          <w:szCs w:val="40"/>
          <w:rtl/>
        </w:rPr>
      </w:pPr>
      <w:r w:rsidRPr="00C138A1">
        <w:rPr>
          <w:rFonts w:hint="cs"/>
          <w:sz w:val="40"/>
          <w:szCs w:val="40"/>
          <w:rtl/>
        </w:rPr>
        <w:t>لتمديد تعيينه</w:t>
      </w:r>
      <w:r w:rsidR="00F1712E" w:rsidRPr="00C138A1">
        <w:rPr>
          <w:rFonts w:hint="cs"/>
          <w:sz w:val="40"/>
          <w:szCs w:val="40"/>
          <w:rtl/>
          <w:lang w:bidi="ar-EG"/>
        </w:rPr>
        <w:t>ا</w:t>
      </w:r>
      <w:r w:rsidRPr="00C138A1">
        <w:rPr>
          <w:rFonts w:hint="cs"/>
          <w:sz w:val="40"/>
          <w:szCs w:val="40"/>
          <w:rtl/>
        </w:rPr>
        <w:t xml:space="preserve"> </w:t>
      </w:r>
      <w:r w:rsidR="007037A9" w:rsidRPr="00C138A1">
        <w:rPr>
          <w:rFonts w:hint="cs"/>
          <w:sz w:val="40"/>
          <w:szCs w:val="40"/>
          <w:rtl/>
        </w:rPr>
        <w:t>ك</w:t>
      </w:r>
      <w:r w:rsidRPr="00C138A1">
        <w:rPr>
          <w:sz w:val="40"/>
          <w:szCs w:val="40"/>
          <w:rtl/>
        </w:rPr>
        <w:t xml:space="preserve">إدارة للبحث الدولي </w:t>
      </w:r>
      <w:r w:rsidR="007037A9" w:rsidRPr="00C138A1">
        <w:rPr>
          <w:rFonts w:hint="cs"/>
          <w:sz w:val="40"/>
          <w:szCs w:val="40"/>
          <w:rtl/>
        </w:rPr>
        <w:t>وا</w:t>
      </w:r>
      <w:r w:rsidRPr="00C138A1">
        <w:rPr>
          <w:sz w:val="40"/>
          <w:szCs w:val="40"/>
          <w:rtl/>
        </w:rPr>
        <w:t>لفحص التمهيدي الدولي بناء على معاهدة التعاون بشأن</w:t>
      </w:r>
      <w:r w:rsidRPr="00C138A1">
        <w:rPr>
          <w:rFonts w:hint="cs"/>
          <w:sz w:val="40"/>
          <w:szCs w:val="40"/>
          <w:rtl/>
        </w:rPr>
        <w:t> </w:t>
      </w:r>
      <w:r w:rsidRPr="00C138A1">
        <w:rPr>
          <w:sz w:val="40"/>
          <w:szCs w:val="40"/>
          <w:rtl/>
        </w:rPr>
        <w:t>البراءات</w:t>
      </w:r>
    </w:p>
    <w:p w:rsidR="00A95EF7" w:rsidRPr="00C138A1" w:rsidRDefault="00A95EF7" w:rsidP="00A95EF7">
      <w:pPr>
        <w:pStyle w:val="SectionHeading"/>
        <w:bidi/>
        <w:rPr>
          <w:rFonts w:ascii="Arabic Typesetting" w:hAnsi="Arabic Typesetting" w:cs="Arabic Typesetting"/>
          <w:sz w:val="40"/>
          <w:szCs w:val="40"/>
          <w:lang w:val="en-GB"/>
        </w:rPr>
      </w:pPr>
      <w:r w:rsidRPr="00C138A1">
        <w:rPr>
          <w:rFonts w:ascii="Arabic Typesetting" w:hAnsi="Arabic Typesetting" w:cs="Arabic Typesetting"/>
          <w:sz w:val="40"/>
          <w:szCs w:val="40"/>
          <w:rtl/>
          <w:lang w:val="en-GB"/>
        </w:rPr>
        <w:t>1</w:t>
      </w:r>
      <w:r w:rsidRPr="00C138A1">
        <w:rPr>
          <w:rFonts w:ascii="Arabic Typesetting" w:hAnsi="Arabic Typesetting" w:cs="Arabic Typesetting" w:hint="cs"/>
          <w:sz w:val="40"/>
          <w:szCs w:val="40"/>
          <w:rtl/>
          <w:lang w:val="en-GB"/>
        </w:rPr>
        <w:t xml:space="preserve"> </w:t>
      </w:r>
      <w:r w:rsidRPr="00C138A1">
        <w:rPr>
          <w:rFonts w:ascii="Arabic Typesetting" w:hAnsi="Arabic Typesetting" w:cs="Arabic Typesetting"/>
          <w:sz w:val="40"/>
          <w:szCs w:val="40"/>
          <w:rtl/>
          <w:lang w:val="en-GB"/>
        </w:rPr>
        <w:t>- معلومات عامة</w:t>
      </w:r>
    </w:p>
    <w:p w:rsidR="00A95EF7" w:rsidRPr="00C138A1" w:rsidRDefault="00C64780" w:rsidP="00A95EF7">
      <w:pPr>
        <w:pStyle w:val="NormalParaAR"/>
        <w:tabs>
          <w:tab w:val="left" w:pos="355"/>
        </w:tabs>
        <w:spacing w:after="60"/>
        <w:ind w:left="-6"/>
        <w:rPr>
          <w:rtl/>
        </w:rPr>
      </w:pPr>
      <w:r w:rsidRPr="00C138A1">
        <w:rPr>
          <w:b/>
          <w:bCs/>
          <w:rtl/>
        </w:rPr>
        <w:t>اسم المكتب</w:t>
      </w:r>
      <w:r w:rsidRPr="00C138A1">
        <w:rPr>
          <w:rFonts w:hint="cs"/>
          <w:b/>
          <w:bCs/>
          <w:rtl/>
        </w:rPr>
        <w:t xml:space="preserve"> الوطني</w:t>
      </w:r>
      <w:r w:rsidRPr="00C138A1">
        <w:rPr>
          <w:b/>
          <w:bCs/>
          <w:rtl/>
        </w:rPr>
        <w:t xml:space="preserve"> أو </w:t>
      </w:r>
      <w:r w:rsidRPr="00C138A1">
        <w:rPr>
          <w:rFonts w:hint="cs"/>
          <w:b/>
          <w:bCs/>
          <w:rtl/>
        </w:rPr>
        <w:t>المنظمة</w:t>
      </w:r>
      <w:r w:rsidRPr="00C138A1">
        <w:rPr>
          <w:b/>
          <w:bCs/>
          <w:rtl/>
        </w:rPr>
        <w:t xml:space="preserve"> الحكومية الدولية</w:t>
      </w:r>
      <w:r w:rsidR="00540712" w:rsidRPr="00C138A1">
        <w:rPr>
          <w:rFonts w:hint="cs"/>
          <w:rtl/>
        </w:rPr>
        <w:t xml:space="preserve">: </w:t>
      </w:r>
    </w:p>
    <w:p w:rsidR="0062153C" w:rsidRPr="00C138A1" w:rsidRDefault="00F1712E" w:rsidP="00A95EF7">
      <w:pPr>
        <w:pStyle w:val="NormalParaAR"/>
        <w:tabs>
          <w:tab w:val="left" w:pos="355"/>
        </w:tabs>
        <w:ind w:left="-6"/>
        <w:rPr>
          <w:rtl/>
          <w:lang w:bidi="ar-EG"/>
        </w:rPr>
      </w:pPr>
      <w:r w:rsidRPr="00C138A1">
        <w:rPr>
          <w:rtl/>
          <w:lang w:bidi="ar-EG"/>
        </w:rPr>
        <w:t>الدائرة الاتحادية الروسية للملكية الفكرية</w:t>
      </w:r>
      <w:r w:rsidR="00F911C4" w:rsidRPr="00C138A1">
        <w:rPr>
          <w:rFonts w:hint="cs"/>
          <w:rtl/>
          <w:lang w:bidi="ar-EG"/>
        </w:rPr>
        <w:t xml:space="preserve"> (</w:t>
      </w:r>
      <w:proofErr w:type="spellStart"/>
      <w:r w:rsidR="00F911C4" w:rsidRPr="00C138A1">
        <w:rPr>
          <w:rFonts w:ascii="Arial" w:hAnsi="Arial" w:cs="Arial"/>
          <w:sz w:val="22"/>
          <w:szCs w:val="22"/>
        </w:rPr>
        <w:t>Rospatent</w:t>
      </w:r>
      <w:proofErr w:type="spellEnd"/>
      <w:r w:rsidR="00F911C4" w:rsidRPr="00C138A1">
        <w:rPr>
          <w:rFonts w:hint="cs"/>
          <w:rtl/>
          <w:lang w:bidi="ar-EG"/>
        </w:rPr>
        <w:t>)</w:t>
      </w:r>
    </w:p>
    <w:p w:rsidR="00A95EF7" w:rsidRPr="00C138A1" w:rsidRDefault="00540712" w:rsidP="00A95EF7">
      <w:pPr>
        <w:pStyle w:val="NormalParaAR"/>
        <w:tabs>
          <w:tab w:val="left" w:pos="355"/>
        </w:tabs>
        <w:spacing w:after="60"/>
        <w:ind w:left="-5"/>
        <w:rPr>
          <w:rtl/>
        </w:rPr>
      </w:pPr>
      <w:r w:rsidRPr="00C138A1">
        <w:rPr>
          <w:b/>
          <w:bCs/>
          <w:rtl/>
        </w:rPr>
        <w:t xml:space="preserve">دورة الجمعية التي </w:t>
      </w:r>
      <w:r w:rsidRPr="00C138A1">
        <w:rPr>
          <w:rFonts w:hint="cs"/>
          <w:b/>
          <w:bCs/>
          <w:rtl/>
        </w:rPr>
        <w:t xml:space="preserve">يُلتمس </w:t>
      </w:r>
      <w:r w:rsidR="00C03BF8" w:rsidRPr="00C138A1">
        <w:rPr>
          <w:rFonts w:hint="cs"/>
          <w:b/>
          <w:bCs/>
          <w:rtl/>
        </w:rPr>
        <w:t>فيها</w:t>
      </w:r>
      <w:r w:rsidR="00C03BF8" w:rsidRPr="00C138A1">
        <w:rPr>
          <w:b/>
          <w:bCs/>
          <w:rtl/>
        </w:rPr>
        <w:t xml:space="preserve"> </w:t>
      </w:r>
      <w:r w:rsidR="00D937FB" w:rsidRPr="00C138A1">
        <w:rPr>
          <w:rFonts w:hint="cs"/>
          <w:b/>
          <w:bCs/>
          <w:rtl/>
          <w:lang w:val="fr-FR" w:bidi="ar-EG"/>
        </w:rPr>
        <w:t xml:space="preserve">إعادة </w:t>
      </w:r>
      <w:r w:rsidRPr="00C138A1">
        <w:rPr>
          <w:b/>
          <w:bCs/>
          <w:rtl/>
        </w:rPr>
        <w:t>التعيين</w:t>
      </w:r>
      <w:r w:rsidR="00B078C6" w:rsidRPr="00C138A1">
        <w:rPr>
          <w:rFonts w:hint="cs"/>
          <w:rtl/>
        </w:rPr>
        <w:t xml:space="preserve">: </w:t>
      </w:r>
    </w:p>
    <w:p w:rsidR="00B078C6" w:rsidRPr="00C138A1" w:rsidRDefault="00B078C6" w:rsidP="00A95EF7">
      <w:pPr>
        <w:pStyle w:val="NormalParaAR"/>
        <w:tabs>
          <w:tab w:val="left" w:pos="355"/>
        </w:tabs>
        <w:ind w:left="-6"/>
        <w:rPr>
          <w:lang w:bidi="ar-EG"/>
        </w:rPr>
      </w:pPr>
      <w:r w:rsidRPr="00C138A1">
        <w:rPr>
          <w:lang w:bidi="ar-EG"/>
        </w:rPr>
        <w:t>PCT/A/49</w:t>
      </w:r>
    </w:p>
    <w:p w:rsidR="00A95EF7" w:rsidRPr="00C138A1" w:rsidRDefault="00B078C6" w:rsidP="00A95EF7">
      <w:pPr>
        <w:pStyle w:val="NormalParaAR"/>
        <w:tabs>
          <w:tab w:val="left" w:pos="355"/>
        </w:tabs>
        <w:spacing w:after="60"/>
        <w:ind w:left="-6"/>
        <w:rPr>
          <w:rtl/>
        </w:rPr>
      </w:pPr>
      <w:r w:rsidRPr="00C138A1">
        <w:rPr>
          <w:rFonts w:hint="cs"/>
          <w:b/>
          <w:bCs/>
          <w:rtl/>
        </w:rPr>
        <w:t>معلومات عن العمل</w:t>
      </w:r>
      <w:r w:rsidRPr="00C138A1">
        <w:rPr>
          <w:rFonts w:ascii="Arial" w:hAnsi="Arial" w:cs="Arial"/>
          <w:b/>
          <w:bCs/>
          <w:sz w:val="22"/>
          <w:szCs w:val="20"/>
          <w:rtl/>
        </w:rPr>
        <w:t xml:space="preserve"> </w:t>
      </w:r>
      <w:r w:rsidRPr="00C138A1">
        <w:rPr>
          <w:b/>
          <w:bCs/>
          <w:rtl/>
        </w:rPr>
        <w:t xml:space="preserve">كإدارة للبحث </w:t>
      </w:r>
      <w:r w:rsidR="00BF243C" w:rsidRPr="00C138A1">
        <w:rPr>
          <w:rFonts w:hint="cs"/>
          <w:b/>
          <w:bCs/>
          <w:rtl/>
        </w:rPr>
        <w:t>وا</w:t>
      </w:r>
      <w:r w:rsidRPr="00C138A1">
        <w:rPr>
          <w:b/>
          <w:bCs/>
          <w:rtl/>
        </w:rPr>
        <w:t>لفحص</w:t>
      </w:r>
      <w:r w:rsidRPr="00C138A1">
        <w:rPr>
          <w:rFonts w:hint="cs"/>
          <w:rtl/>
        </w:rPr>
        <w:t xml:space="preserve">: </w:t>
      </w:r>
    </w:p>
    <w:p w:rsidR="00540712" w:rsidRPr="00C138A1" w:rsidRDefault="00B078C6" w:rsidP="00A95EF7">
      <w:pPr>
        <w:pStyle w:val="NormalParaAR"/>
        <w:tabs>
          <w:tab w:val="left" w:pos="355"/>
        </w:tabs>
        <w:ind w:left="-6"/>
      </w:pPr>
      <w:r w:rsidRPr="00C138A1">
        <w:rPr>
          <w:rFonts w:hint="cs"/>
          <w:rtl/>
        </w:rPr>
        <w:t>منذ 1978</w:t>
      </w:r>
    </w:p>
    <w:p w:rsidR="00A95EF7" w:rsidRPr="00C138A1" w:rsidRDefault="00A95EF7" w:rsidP="00A95EF7">
      <w:pPr>
        <w:pStyle w:val="SectionHeading"/>
        <w:bidi/>
        <w:rPr>
          <w:rFonts w:ascii="Arabic Typesetting" w:hAnsi="Arabic Typesetting" w:cs="Arabic Typesetting"/>
          <w:sz w:val="40"/>
          <w:szCs w:val="40"/>
          <w:lang w:val="en-GB"/>
        </w:rPr>
      </w:pPr>
      <w:r w:rsidRPr="00C138A1">
        <w:rPr>
          <w:rFonts w:ascii="Arabic Typesetting" w:hAnsi="Arabic Typesetting" w:cs="Arabic Typesetting" w:hint="cs"/>
          <w:sz w:val="40"/>
          <w:szCs w:val="40"/>
          <w:rtl/>
          <w:lang w:val="en-GB"/>
        </w:rPr>
        <w:t>2 - ال</w:t>
      </w:r>
      <w:r w:rsidRPr="00C138A1">
        <w:rPr>
          <w:rFonts w:ascii="Arabic Typesetting" w:hAnsi="Arabic Typesetting" w:cs="Arabic Typesetting"/>
          <w:sz w:val="40"/>
          <w:szCs w:val="40"/>
          <w:rtl/>
          <w:lang w:val="en-GB"/>
        </w:rPr>
        <w:t>معايير الموضوعية</w:t>
      </w:r>
      <w:r w:rsidRPr="00C138A1">
        <w:rPr>
          <w:rFonts w:ascii="Arabic Typesetting" w:hAnsi="Arabic Typesetting" w:cs="Arabic Typesetting" w:hint="cs"/>
          <w:sz w:val="40"/>
          <w:szCs w:val="40"/>
          <w:rtl/>
          <w:lang w:val="en-GB"/>
        </w:rPr>
        <w:t xml:space="preserve">: </w:t>
      </w:r>
      <w:r w:rsidRPr="00C138A1">
        <w:rPr>
          <w:rFonts w:ascii="Arabic Typesetting" w:hAnsi="Arabic Typesetting" w:cs="Arabic Typesetting"/>
          <w:sz w:val="40"/>
          <w:szCs w:val="40"/>
          <w:rtl/>
          <w:lang w:val="en-GB"/>
        </w:rPr>
        <w:t>الحد الأدنى من متطلبات التعيين</w:t>
      </w:r>
    </w:p>
    <w:p w:rsidR="007E424C" w:rsidRPr="00C138A1" w:rsidRDefault="007E424C" w:rsidP="007E424C">
      <w:pPr>
        <w:pStyle w:val="NormalParaAR"/>
        <w:tabs>
          <w:tab w:val="left" w:pos="355"/>
        </w:tabs>
        <w:ind w:left="715"/>
        <w:rPr>
          <w:b/>
          <w:bCs/>
          <w:i/>
          <w:iCs/>
          <w:lang w:val="en-GB"/>
        </w:rPr>
      </w:pPr>
    </w:p>
    <w:p w:rsidR="00A95EF7" w:rsidRPr="00C138A1" w:rsidRDefault="00A95EF7" w:rsidP="00A95EF7">
      <w:pPr>
        <w:pStyle w:val="SectionHeading"/>
        <w:bidi/>
        <w:rPr>
          <w:rFonts w:ascii="Arabic Typesetting" w:hAnsi="Arabic Typesetting" w:cs="Arabic Typesetting"/>
          <w:sz w:val="40"/>
          <w:szCs w:val="40"/>
          <w:lang w:val="en-GB"/>
        </w:rPr>
      </w:pPr>
      <w:r w:rsidRPr="00C138A1">
        <w:rPr>
          <w:rFonts w:ascii="Arabic Typesetting" w:hAnsi="Arabic Typesetting" w:cs="Arabic Typesetting" w:hint="cs"/>
          <w:sz w:val="40"/>
          <w:szCs w:val="40"/>
          <w:rtl/>
          <w:lang w:val="en-GB"/>
        </w:rPr>
        <w:t>1.2</w:t>
      </w:r>
      <w:r w:rsidRPr="00C138A1">
        <w:rPr>
          <w:rFonts w:ascii="Arabic Typesetting" w:hAnsi="Arabic Typesetting" w:cs="Arabic Typesetting"/>
          <w:sz w:val="40"/>
          <w:szCs w:val="40"/>
          <w:rtl/>
          <w:lang w:val="en-GB"/>
        </w:rPr>
        <w:t xml:space="preserve">- </w:t>
      </w:r>
      <w:r w:rsidRPr="00C138A1">
        <w:rPr>
          <w:rFonts w:ascii="Arabic Typesetting" w:hAnsi="Arabic Typesetting" w:cs="Arabic Typesetting"/>
          <w:sz w:val="40"/>
          <w:szCs w:val="40"/>
          <w:rtl/>
        </w:rPr>
        <w:t>القدرة على البحث والفحص</w:t>
      </w:r>
    </w:p>
    <w:p w:rsidR="00A95EF7" w:rsidRPr="00C138A1" w:rsidRDefault="00A95EF7" w:rsidP="00A95EF7">
      <w:pPr>
        <w:pStyle w:val="NormalParaAR"/>
        <w:rPr>
          <w:b/>
          <w:bCs/>
          <w:rtl/>
          <w:lang w:val="en-GB"/>
        </w:rPr>
      </w:pPr>
      <w:r w:rsidRPr="00C138A1">
        <w:rPr>
          <w:rFonts w:hint="cs"/>
          <w:b/>
          <w:bCs/>
          <w:rtl/>
          <w:lang w:val="en-GB"/>
        </w:rPr>
        <w:t xml:space="preserve">تنص </w:t>
      </w:r>
      <w:r w:rsidRPr="00C138A1">
        <w:rPr>
          <w:b/>
          <w:bCs/>
          <w:rtl/>
          <w:lang w:val="en-GB"/>
        </w:rPr>
        <w:t>القاعدت</w:t>
      </w:r>
      <w:r w:rsidRPr="00C138A1">
        <w:rPr>
          <w:rFonts w:hint="cs"/>
          <w:b/>
          <w:bCs/>
          <w:rtl/>
          <w:lang w:val="en-GB"/>
        </w:rPr>
        <w:t>ا</w:t>
      </w:r>
      <w:r w:rsidRPr="00C138A1">
        <w:rPr>
          <w:b/>
          <w:bCs/>
          <w:rtl/>
          <w:lang w:val="en-GB"/>
        </w:rPr>
        <w:t>ن 1.36"1" و1.63"1"،</w:t>
      </w:r>
      <w:r w:rsidRPr="00C138A1">
        <w:rPr>
          <w:rFonts w:hint="cs"/>
          <w:b/>
          <w:bCs/>
          <w:rtl/>
          <w:lang w:val="en-GB"/>
        </w:rPr>
        <w:t xml:space="preserve"> على </w:t>
      </w:r>
      <w:r w:rsidRPr="00C138A1">
        <w:rPr>
          <w:b/>
          <w:bCs/>
          <w:rtl/>
          <w:lang w:val="en-GB"/>
        </w:rPr>
        <w:t>أنه</w:t>
      </w:r>
      <w:r w:rsidRPr="00C138A1">
        <w:rPr>
          <w:rFonts w:hint="cs"/>
          <w:b/>
          <w:bCs/>
          <w:rtl/>
          <w:lang w:val="en-GB"/>
        </w:rPr>
        <w:t xml:space="preserve">: </w:t>
      </w:r>
      <w:r w:rsidRPr="00C138A1">
        <w:rPr>
          <w:b/>
          <w:bCs/>
          <w:rtl/>
          <w:lang w:val="en-GB"/>
        </w:rPr>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r w:rsidRPr="00C138A1">
        <w:rPr>
          <w:rFonts w:hint="cs"/>
          <w:b/>
          <w:bCs/>
          <w:rtl/>
          <w:lang w:val="en-GB"/>
        </w:rPr>
        <w:t>.</w:t>
      </w:r>
    </w:p>
    <w:p w:rsidR="0095214C" w:rsidRPr="00C138A1" w:rsidRDefault="00A24428" w:rsidP="007362E3">
      <w:pPr>
        <w:pStyle w:val="NormalParaAR"/>
        <w:tabs>
          <w:tab w:val="left" w:pos="355"/>
        </w:tabs>
        <w:spacing w:after="60"/>
        <w:ind w:left="-6"/>
        <w:rPr>
          <w:rtl/>
        </w:rPr>
      </w:pPr>
      <w:r w:rsidRPr="00C138A1">
        <w:rPr>
          <w:rFonts w:hint="cs"/>
          <w:rtl/>
          <w:lang w:bidi="ar-EG"/>
        </w:rPr>
        <w:t>يتوافر</w:t>
      </w:r>
      <w:r w:rsidR="0066499C" w:rsidRPr="00C138A1">
        <w:rPr>
          <w:rtl/>
        </w:rPr>
        <w:t xml:space="preserve"> </w:t>
      </w:r>
      <w:r w:rsidR="0019109D" w:rsidRPr="00C138A1">
        <w:rPr>
          <w:rtl/>
        </w:rPr>
        <w:t>لد</w:t>
      </w:r>
      <w:r w:rsidR="0019109D" w:rsidRPr="00C138A1">
        <w:rPr>
          <w:rFonts w:hint="cs"/>
          <w:rtl/>
        </w:rPr>
        <w:t>ى</w:t>
      </w:r>
      <w:r w:rsidR="0019109D" w:rsidRPr="00C138A1">
        <w:t xml:space="preserve"> </w:t>
      </w:r>
      <w:r w:rsidR="00A95EF7" w:rsidRPr="00C138A1">
        <w:rPr>
          <w:rtl/>
          <w:lang w:bidi="ar-EG"/>
        </w:rPr>
        <w:t>الدائرة الاتحادية الروسية للملكية الفكرية</w:t>
      </w:r>
      <w:r w:rsidR="0019109D" w:rsidRPr="00C138A1">
        <w:t xml:space="preserve"> </w:t>
      </w:r>
      <w:r w:rsidR="0066499C" w:rsidRPr="00C138A1">
        <w:rPr>
          <w:rtl/>
        </w:rPr>
        <w:t xml:space="preserve">عدد كاف من الموظفين من </w:t>
      </w:r>
      <w:r w:rsidR="005B4821" w:rsidRPr="00C138A1">
        <w:rPr>
          <w:rFonts w:hint="cs"/>
          <w:rtl/>
        </w:rPr>
        <w:t>الفاحصين</w:t>
      </w:r>
      <w:r w:rsidR="0066499C" w:rsidRPr="00C138A1">
        <w:rPr>
          <w:rtl/>
        </w:rPr>
        <w:t xml:space="preserve"> المؤهلين </w:t>
      </w:r>
      <w:r w:rsidR="005B4821" w:rsidRPr="00C138A1">
        <w:rPr>
          <w:rFonts w:hint="cs"/>
          <w:rtl/>
        </w:rPr>
        <w:t>للاضطلاع بمهام</w:t>
      </w:r>
      <w:r w:rsidR="0066499C" w:rsidRPr="00C138A1">
        <w:rPr>
          <w:rtl/>
        </w:rPr>
        <w:t xml:space="preserve"> البحث والفحص، </w:t>
      </w:r>
      <w:r w:rsidR="00402A40" w:rsidRPr="00C138A1">
        <w:rPr>
          <w:rFonts w:hint="cs"/>
          <w:rtl/>
        </w:rPr>
        <w:t>كما أن لديها</w:t>
      </w:r>
      <w:r w:rsidR="0066499C" w:rsidRPr="00C138A1">
        <w:rPr>
          <w:rtl/>
        </w:rPr>
        <w:t xml:space="preserve"> </w:t>
      </w:r>
      <w:r w:rsidR="00757EDB" w:rsidRPr="00C138A1">
        <w:rPr>
          <w:rFonts w:hint="cs"/>
          <w:rtl/>
        </w:rPr>
        <w:t>عدد</w:t>
      </w:r>
      <w:r w:rsidR="00757EDB" w:rsidRPr="00C138A1">
        <w:rPr>
          <w:rtl/>
        </w:rPr>
        <w:t xml:space="preserve"> كاف</w:t>
      </w:r>
      <w:r w:rsidR="0066499C" w:rsidRPr="00C138A1">
        <w:rPr>
          <w:rtl/>
        </w:rPr>
        <w:t xml:space="preserve"> من الوظائف الشاغرة </w:t>
      </w:r>
      <w:r w:rsidR="00757EDB" w:rsidRPr="00C138A1">
        <w:rPr>
          <w:rFonts w:hint="cs"/>
          <w:rtl/>
        </w:rPr>
        <w:t>لسد النقص</w:t>
      </w:r>
      <w:r w:rsidR="002E1B80" w:rsidRPr="00C138A1">
        <w:rPr>
          <w:rFonts w:hint="cs"/>
          <w:rtl/>
        </w:rPr>
        <w:t xml:space="preserve"> </w:t>
      </w:r>
      <w:r w:rsidR="00757EDB" w:rsidRPr="00C138A1">
        <w:rPr>
          <w:rFonts w:hint="cs"/>
          <w:rtl/>
        </w:rPr>
        <w:t>في</w:t>
      </w:r>
      <w:r w:rsidR="0066499C" w:rsidRPr="00C138A1">
        <w:rPr>
          <w:rtl/>
        </w:rPr>
        <w:t xml:space="preserve"> عدد </w:t>
      </w:r>
      <w:r w:rsidR="00E413B8" w:rsidRPr="00C138A1">
        <w:rPr>
          <w:rFonts w:hint="cs"/>
          <w:rtl/>
        </w:rPr>
        <w:t>الفاحصين</w:t>
      </w:r>
      <w:r w:rsidR="007311F2" w:rsidRPr="00C138A1">
        <w:rPr>
          <w:rFonts w:hint="cs"/>
          <w:rtl/>
        </w:rPr>
        <w:t>،</w:t>
      </w:r>
      <w:r w:rsidR="0066499C" w:rsidRPr="00C138A1">
        <w:rPr>
          <w:rtl/>
        </w:rPr>
        <w:t xml:space="preserve"> تبعا للتغيرات في حجم العمل</w:t>
      </w:r>
      <w:r w:rsidR="00757EDB" w:rsidRPr="00C138A1">
        <w:rPr>
          <w:rFonts w:hint="cs"/>
          <w:rtl/>
        </w:rPr>
        <w:t>،</w:t>
      </w:r>
      <w:r w:rsidR="0066499C" w:rsidRPr="00C138A1">
        <w:rPr>
          <w:rtl/>
        </w:rPr>
        <w:t xml:space="preserve"> </w:t>
      </w:r>
      <w:r w:rsidR="00E413B8" w:rsidRPr="00C138A1">
        <w:rPr>
          <w:rFonts w:hint="cs"/>
          <w:rtl/>
        </w:rPr>
        <w:t>وموضوعات</w:t>
      </w:r>
      <w:r w:rsidR="0066499C" w:rsidRPr="00C138A1">
        <w:rPr>
          <w:rtl/>
        </w:rPr>
        <w:t xml:space="preserve"> الطلبات الم</w:t>
      </w:r>
      <w:r w:rsidR="007311F2" w:rsidRPr="00C138A1">
        <w:rPr>
          <w:rFonts w:hint="cs"/>
          <w:rtl/>
        </w:rPr>
        <w:t>ُ</w:t>
      </w:r>
      <w:r w:rsidR="0066499C" w:rsidRPr="00C138A1">
        <w:rPr>
          <w:rtl/>
        </w:rPr>
        <w:t>ودعة.</w:t>
      </w:r>
      <w:r w:rsidR="0066499C" w:rsidRPr="00C138A1">
        <w:rPr>
          <w:rFonts w:hint="cs"/>
          <w:rtl/>
        </w:rPr>
        <w:t xml:space="preserve"> </w:t>
      </w:r>
      <w:r w:rsidR="007311F2" w:rsidRPr="00C138A1">
        <w:rPr>
          <w:rFonts w:hint="cs"/>
          <w:rtl/>
        </w:rPr>
        <w:t>و</w:t>
      </w:r>
      <w:r w:rsidR="00A51BAA" w:rsidRPr="00C138A1">
        <w:rPr>
          <w:rFonts w:hint="cs"/>
          <w:rtl/>
        </w:rPr>
        <w:t>يحمل</w:t>
      </w:r>
      <w:r w:rsidR="00332721" w:rsidRPr="00C138A1">
        <w:rPr>
          <w:rFonts w:hint="cs"/>
          <w:rtl/>
        </w:rPr>
        <w:t xml:space="preserve"> </w:t>
      </w:r>
      <w:r w:rsidR="0066499C" w:rsidRPr="00C138A1">
        <w:rPr>
          <w:rtl/>
        </w:rPr>
        <w:t xml:space="preserve">جميع </w:t>
      </w:r>
      <w:r w:rsidR="00E75744" w:rsidRPr="00C138A1">
        <w:rPr>
          <w:rFonts w:hint="cs"/>
          <w:rtl/>
        </w:rPr>
        <w:t>الفاحصين</w:t>
      </w:r>
      <w:r w:rsidR="00A51BAA" w:rsidRPr="00C138A1">
        <w:rPr>
          <w:rFonts w:hint="cs"/>
          <w:rtl/>
        </w:rPr>
        <w:t xml:space="preserve"> مؤهلات عليا</w:t>
      </w:r>
      <w:r w:rsidR="0066499C" w:rsidRPr="00C138A1">
        <w:rPr>
          <w:rtl/>
        </w:rPr>
        <w:t xml:space="preserve"> (</w:t>
      </w:r>
      <w:r w:rsidR="00BB7822" w:rsidRPr="00C138A1">
        <w:rPr>
          <w:rFonts w:hint="cs"/>
          <w:rtl/>
          <w:lang w:bidi="ar-EG"/>
        </w:rPr>
        <w:t>يعد الحصول على</w:t>
      </w:r>
      <w:r w:rsidR="00A51BAA" w:rsidRPr="00C138A1">
        <w:t> </w:t>
      </w:r>
      <w:r w:rsidR="00A51BAA" w:rsidRPr="00C138A1">
        <w:rPr>
          <w:rtl/>
        </w:rPr>
        <w:t>شهاد</w:t>
      </w:r>
      <w:r w:rsidR="009E4AC2" w:rsidRPr="00C138A1">
        <w:rPr>
          <w:rFonts w:hint="cs"/>
          <w:rtl/>
        </w:rPr>
        <w:t>ات</w:t>
      </w:r>
      <w:r w:rsidR="00A51BAA" w:rsidRPr="00C138A1">
        <w:rPr>
          <w:rtl/>
        </w:rPr>
        <w:t xml:space="preserve"> </w:t>
      </w:r>
      <w:r w:rsidR="009E4AC2" w:rsidRPr="00C138A1">
        <w:rPr>
          <w:rFonts w:hint="cs"/>
          <w:rtl/>
        </w:rPr>
        <w:t>ا</w:t>
      </w:r>
      <w:r w:rsidR="00A51BAA" w:rsidRPr="00C138A1">
        <w:rPr>
          <w:rtl/>
        </w:rPr>
        <w:t>لدراسات العليا</w:t>
      </w:r>
      <w:r w:rsidR="00BB7822" w:rsidRPr="00C138A1">
        <w:t xml:space="preserve"> </w:t>
      </w:r>
      <w:r w:rsidR="0066499C" w:rsidRPr="00C138A1">
        <w:rPr>
          <w:rtl/>
        </w:rPr>
        <w:t>ميزة</w:t>
      </w:r>
      <w:r w:rsidR="00A95EF7" w:rsidRPr="00C138A1">
        <w:rPr>
          <w:rFonts w:hint="cs"/>
          <w:rtl/>
        </w:rPr>
        <w:t> </w:t>
      </w:r>
      <w:r w:rsidR="0066499C" w:rsidRPr="00C138A1">
        <w:rPr>
          <w:rtl/>
        </w:rPr>
        <w:t>كبيرة).</w:t>
      </w:r>
      <w:r w:rsidR="0066499C" w:rsidRPr="00C138A1">
        <w:rPr>
          <w:rFonts w:hint="cs"/>
          <w:rtl/>
        </w:rPr>
        <w:t xml:space="preserve"> </w:t>
      </w:r>
    </w:p>
    <w:p w:rsidR="00A81775" w:rsidRPr="00C138A1" w:rsidRDefault="0066499C" w:rsidP="007362E3">
      <w:pPr>
        <w:pStyle w:val="NormalParaAR"/>
        <w:tabs>
          <w:tab w:val="left" w:pos="355"/>
        </w:tabs>
        <w:spacing w:after="60"/>
        <w:ind w:left="-6"/>
        <w:rPr>
          <w:rtl/>
        </w:rPr>
      </w:pPr>
      <w:r w:rsidRPr="00C138A1">
        <w:rPr>
          <w:rtl/>
        </w:rPr>
        <w:t xml:space="preserve">وبحلول نهاية عام 2016 بلغ عدد </w:t>
      </w:r>
      <w:r w:rsidR="006D0466" w:rsidRPr="00C138A1">
        <w:rPr>
          <w:rFonts w:hint="cs"/>
          <w:rtl/>
        </w:rPr>
        <w:t xml:space="preserve">الفاحصين </w:t>
      </w:r>
      <w:r w:rsidR="00254542" w:rsidRPr="00C138A1">
        <w:rPr>
          <w:rFonts w:hint="cs"/>
          <w:rtl/>
        </w:rPr>
        <w:t>القائمين</w:t>
      </w:r>
      <w:r w:rsidRPr="00C138A1">
        <w:rPr>
          <w:rtl/>
        </w:rPr>
        <w:t xml:space="preserve"> </w:t>
      </w:r>
      <w:r w:rsidR="00A23419" w:rsidRPr="00C138A1">
        <w:rPr>
          <w:rFonts w:hint="cs"/>
          <w:rtl/>
        </w:rPr>
        <w:t xml:space="preserve">بالأعمال </w:t>
      </w:r>
      <w:r w:rsidR="00A23419" w:rsidRPr="00C138A1">
        <w:rPr>
          <w:rtl/>
        </w:rPr>
        <w:t xml:space="preserve">ذات الصلة </w:t>
      </w:r>
      <w:r w:rsidR="00254542" w:rsidRPr="00C138A1">
        <w:rPr>
          <w:rFonts w:hint="cs"/>
          <w:rtl/>
        </w:rPr>
        <w:t>ب</w:t>
      </w:r>
      <w:r w:rsidRPr="00C138A1">
        <w:rPr>
          <w:rtl/>
        </w:rPr>
        <w:t xml:space="preserve">البحث </w:t>
      </w:r>
      <w:r w:rsidR="009E4AC2" w:rsidRPr="00C138A1">
        <w:rPr>
          <w:rFonts w:hint="cs"/>
          <w:rtl/>
        </w:rPr>
        <w:t>و</w:t>
      </w:r>
      <w:r w:rsidR="009E4AC2" w:rsidRPr="00C138A1">
        <w:rPr>
          <w:rtl/>
        </w:rPr>
        <w:t xml:space="preserve">الفحص </w:t>
      </w:r>
      <w:r w:rsidRPr="00C138A1">
        <w:rPr>
          <w:rtl/>
        </w:rPr>
        <w:t>489</w:t>
      </w:r>
      <w:r w:rsidR="00A81775" w:rsidRPr="00C138A1">
        <w:rPr>
          <w:rFonts w:hint="cs"/>
          <w:rtl/>
        </w:rPr>
        <w:t xml:space="preserve"> موظف</w:t>
      </w:r>
      <w:r w:rsidR="00240582" w:rsidRPr="00C138A1">
        <w:rPr>
          <w:rFonts w:hint="cs"/>
          <w:rtl/>
        </w:rPr>
        <w:t>ً</w:t>
      </w:r>
      <w:r w:rsidR="00A81775" w:rsidRPr="00C138A1">
        <w:rPr>
          <w:rFonts w:hint="cs"/>
          <w:rtl/>
        </w:rPr>
        <w:t>ا</w:t>
      </w:r>
      <w:r w:rsidRPr="00C138A1">
        <w:rPr>
          <w:rtl/>
        </w:rPr>
        <w:t>.</w:t>
      </w:r>
      <w:r w:rsidRPr="00C138A1">
        <w:rPr>
          <w:rFonts w:hint="cs"/>
          <w:rtl/>
        </w:rPr>
        <w:t xml:space="preserve"> </w:t>
      </w:r>
    </w:p>
    <w:p w:rsidR="0066499C" w:rsidRPr="00C138A1" w:rsidRDefault="00A23419" w:rsidP="007362E3">
      <w:pPr>
        <w:pStyle w:val="NormalParaAR"/>
        <w:tabs>
          <w:tab w:val="left" w:pos="355"/>
        </w:tabs>
        <w:ind w:left="-5"/>
        <w:rPr>
          <w:rtl/>
        </w:rPr>
      </w:pPr>
      <w:r w:rsidRPr="00C138A1">
        <w:rPr>
          <w:rFonts w:hint="cs"/>
          <w:rtl/>
        </w:rPr>
        <w:t>ت</w:t>
      </w:r>
      <w:r w:rsidR="008167B3" w:rsidRPr="00C138A1">
        <w:rPr>
          <w:rFonts w:hint="cs"/>
          <w:rtl/>
        </w:rPr>
        <w:t>خضع</w:t>
      </w:r>
      <w:r w:rsidR="0066499C" w:rsidRPr="00C138A1">
        <w:rPr>
          <w:rtl/>
        </w:rPr>
        <w:t xml:space="preserve"> </w:t>
      </w:r>
      <w:r w:rsidRPr="00C138A1">
        <w:rPr>
          <w:rFonts w:hint="cs"/>
          <w:rtl/>
        </w:rPr>
        <w:t xml:space="preserve">الأعمال </w:t>
      </w:r>
      <w:r w:rsidRPr="00C138A1">
        <w:rPr>
          <w:rtl/>
        </w:rPr>
        <w:t xml:space="preserve">ذات الصلة </w:t>
      </w:r>
      <w:r w:rsidRPr="00C138A1">
        <w:rPr>
          <w:rFonts w:hint="cs"/>
          <w:rtl/>
        </w:rPr>
        <w:t>ب</w:t>
      </w:r>
      <w:r w:rsidRPr="00C138A1">
        <w:rPr>
          <w:rtl/>
        </w:rPr>
        <w:t xml:space="preserve">البحث </w:t>
      </w:r>
      <w:r w:rsidRPr="00C138A1">
        <w:rPr>
          <w:rFonts w:hint="cs"/>
          <w:rtl/>
        </w:rPr>
        <w:t>و</w:t>
      </w:r>
      <w:r w:rsidRPr="00C138A1">
        <w:rPr>
          <w:rtl/>
        </w:rPr>
        <w:t xml:space="preserve">الفحص </w:t>
      </w:r>
      <w:r w:rsidR="00624E35" w:rsidRPr="00C138A1">
        <w:rPr>
          <w:rFonts w:hint="cs"/>
          <w:rtl/>
        </w:rPr>
        <w:t xml:space="preserve">للإشراف، كما </w:t>
      </w:r>
      <w:r w:rsidR="007362E3" w:rsidRPr="00C138A1">
        <w:rPr>
          <w:rFonts w:hint="cs"/>
          <w:rtl/>
        </w:rPr>
        <w:t>يتحقق</w:t>
      </w:r>
      <w:r w:rsidR="00624E35" w:rsidRPr="00C138A1">
        <w:rPr>
          <w:rFonts w:hint="cs"/>
          <w:rtl/>
        </w:rPr>
        <w:t xml:space="preserve"> الفاحصون</w:t>
      </w:r>
      <w:r w:rsidR="0066499C" w:rsidRPr="00C138A1">
        <w:rPr>
          <w:rtl/>
        </w:rPr>
        <w:t xml:space="preserve"> في شعبة التعاون الدولي بشأن ال</w:t>
      </w:r>
      <w:r w:rsidR="007362E3" w:rsidRPr="00C138A1">
        <w:rPr>
          <w:rFonts w:hint="cs"/>
          <w:rtl/>
        </w:rPr>
        <w:t>ب</w:t>
      </w:r>
      <w:r w:rsidR="0066499C" w:rsidRPr="00C138A1">
        <w:rPr>
          <w:rtl/>
        </w:rPr>
        <w:t>راءات</w:t>
      </w:r>
      <w:r w:rsidR="00196795" w:rsidRPr="00C138A1">
        <w:rPr>
          <w:rFonts w:hint="cs"/>
          <w:rtl/>
        </w:rPr>
        <w:t xml:space="preserve"> </w:t>
      </w:r>
      <w:r w:rsidR="00D14D2B" w:rsidRPr="00C138A1">
        <w:rPr>
          <w:rtl/>
        </w:rPr>
        <w:t xml:space="preserve">من </w:t>
      </w:r>
      <w:r w:rsidR="00D14D2B" w:rsidRPr="00C138A1">
        <w:rPr>
          <w:rFonts w:hint="cs"/>
          <w:rtl/>
        </w:rPr>
        <w:t>جودة</w:t>
      </w:r>
      <w:r w:rsidR="00D14D2B" w:rsidRPr="00C138A1">
        <w:rPr>
          <w:rtl/>
        </w:rPr>
        <w:t xml:space="preserve"> التقارير </w:t>
      </w:r>
      <w:r w:rsidR="0066499C" w:rsidRPr="00C138A1">
        <w:rPr>
          <w:rtl/>
        </w:rPr>
        <w:t xml:space="preserve">(عدد الموظفين 12 </w:t>
      </w:r>
      <w:r w:rsidR="00613E7B" w:rsidRPr="00C138A1">
        <w:rPr>
          <w:rFonts w:hint="cs"/>
          <w:rtl/>
        </w:rPr>
        <w:t>فاحصا</w:t>
      </w:r>
      <w:r w:rsidR="0066499C" w:rsidRPr="00C138A1">
        <w:rPr>
          <w:rtl/>
        </w:rPr>
        <w:t>).</w:t>
      </w:r>
    </w:p>
    <w:p w:rsidR="002773A2" w:rsidRPr="00C138A1" w:rsidRDefault="002773A2" w:rsidP="007362E3">
      <w:pPr>
        <w:pStyle w:val="NormalParaAR"/>
        <w:keepNext/>
        <w:keepLines/>
        <w:tabs>
          <w:tab w:val="left" w:pos="355"/>
        </w:tabs>
        <w:ind w:left="-5"/>
        <w:rPr>
          <w:b/>
          <w:bCs/>
          <w:rtl/>
          <w:lang w:bidi="ar-EG"/>
        </w:rPr>
      </w:pPr>
      <w:r w:rsidRPr="00C138A1">
        <w:rPr>
          <w:rFonts w:hint="cs"/>
          <w:b/>
          <w:bCs/>
          <w:rtl/>
          <w:lang w:bidi="ar-EG"/>
        </w:rPr>
        <w:lastRenderedPageBreak/>
        <w:t xml:space="preserve">الموظفون المؤهلون </w:t>
      </w:r>
      <w:r w:rsidR="007362E3" w:rsidRPr="00C138A1">
        <w:rPr>
          <w:rFonts w:hint="cs"/>
          <w:b/>
          <w:bCs/>
          <w:rtl/>
          <w:lang w:bidi="ar-EG"/>
        </w:rPr>
        <w:t>لتنفيذ</w:t>
      </w:r>
      <w:r w:rsidRPr="00C138A1">
        <w:rPr>
          <w:rFonts w:hint="cs"/>
          <w:b/>
          <w:bCs/>
          <w:rtl/>
          <w:lang w:bidi="ar-EG"/>
        </w:rPr>
        <w:t xml:space="preserve"> البحث والفحص:</w:t>
      </w:r>
    </w:p>
    <w:tbl>
      <w:tblPr>
        <w:tblStyle w:val="TableGrid"/>
        <w:bidiVisual/>
        <w:tblW w:w="0" w:type="auto"/>
        <w:tblInd w:w="103" w:type="dxa"/>
        <w:tblLook w:val="04A0" w:firstRow="1" w:lastRow="0" w:firstColumn="1" w:lastColumn="0" w:noHBand="0" w:noVBand="1"/>
      </w:tblPr>
      <w:tblGrid>
        <w:gridCol w:w="6120"/>
        <w:gridCol w:w="3343"/>
      </w:tblGrid>
      <w:tr w:rsidR="00C138A1" w:rsidRPr="006121E6" w:rsidTr="00F1223D">
        <w:tc>
          <w:tcPr>
            <w:tcW w:w="6120" w:type="dxa"/>
          </w:tcPr>
          <w:p w:rsidR="003E2F1B" w:rsidRPr="006121E6" w:rsidRDefault="003E2F1B" w:rsidP="007362E3">
            <w:pPr>
              <w:pStyle w:val="NormalParaAR"/>
              <w:keepNext/>
              <w:keepLines/>
              <w:tabs>
                <w:tab w:val="left" w:pos="355"/>
              </w:tabs>
              <w:spacing w:after="120" w:line="240" w:lineRule="exact"/>
              <w:rPr>
                <w:b/>
                <w:bCs/>
                <w:rtl/>
                <w:lang w:bidi="ar-EG"/>
              </w:rPr>
            </w:pPr>
            <w:r w:rsidRPr="006121E6">
              <w:rPr>
                <w:b/>
                <w:bCs/>
                <w:rtl/>
                <w:lang w:bidi="ar-EG"/>
              </w:rPr>
              <w:t>المجال التقني</w:t>
            </w:r>
          </w:p>
        </w:tc>
        <w:tc>
          <w:tcPr>
            <w:tcW w:w="3343" w:type="dxa"/>
          </w:tcPr>
          <w:p w:rsidR="003E2F1B" w:rsidRPr="006121E6" w:rsidRDefault="003E2F1B" w:rsidP="006121E6">
            <w:pPr>
              <w:pStyle w:val="NormalParaAR"/>
              <w:tabs>
                <w:tab w:val="left" w:pos="355"/>
              </w:tabs>
              <w:spacing w:after="120" w:line="240" w:lineRule="exact"/>
              <w:rPr>
                <w:b/>
                <w:bCs/>
                <w:rtl/>
                <w:lang w:bidi="ar-EG"/>
              </w:rPr>
            </w:pPr>
            <w:r w:rsidRPr="006121E6">
              <w:rPr>
                <w:b/>
                <w:bCs/>
                <w:rtl/>
                <w:lang w:bidi="ar-EG"/>
              </w:rPr>
              <w:t>العدد (</w:t>
            </w:r>
            <w:r w:rsidR="006121E6" w:rsidRPr="006121E6">
              <w:rPr>
                <w:b/>
                <w:bCs/>
                <w:rtl/>
              </w:rPr>
              <w:t xml:space="preserve">دوام </w:t>
            </w:r>
            <w:r w:rsidRPr="006121E6">
              <w:rPr>
                <w:b/>
                <w:bCs/>
                <w:rtl/>
              </w:rPr>
              <w:t>كامل</w:t>
            </w:r>
            <w:r w:rsidRPr="006121E6">
              <w:rPr>
                <w:b/>
                <w:bCs/>
                <w:rtl/>
                <w:lang w:bidi="ar-EG"/>
              </w:rPr>
              <w:t>)</w:t>
            </w:r>
          </w:p>
        </w:tc>
      </w:tr>
      <w:tr w:rsidR="00C138A1" w:rsidRPr="006121E6" w:rsidTr="00F1223D">
        <w:tc>
          <w:tcPr>
            <w:tcW w:w="6120" w:type="dxa"/>
          </w:tcPr>
          <w:p w:rsidR="00564993" w:rsidRPr="006121E6" w:rsidRDefault="00564993" w:rsidP="007362E3">
            <w:pPr>
              <w:pStyle w:val="NormalParaAR"/>
              <w:keepNext/>
              <w:keepLines/>
              <w:spacing w:after="120" w:line="240" w:lineRule="exact"/>
              <w:rPr>
                <w:rtl/>
                <w:lang w:bidi="ar-EG"/>
              </w:rPr>
            </w:pPr>
            <w:r w:rsidRPr="006121E6">
              <w:rPr>
                <w:rtl/>
                <w:lang w:bidi="ar-EG"/>
              </w:rPr>
              <w:t>الميكانيكا (محركات، أدوات الآلات، النقل، الهندسة المدنية، وغيرها)</w:t>
            </w:r>
          </w:p>
        </w:tc>
        <w:tc>
          <w:tcPr>
            <w:tcW w:w="3343" w:type="dxa"/>
          </w:tcPr>
          <w:p w:rsidR="00564993" w:rsidRPr="006121E6" w:rsidRDefault="00564993" w:rsidP="007362E3">
            <w:pPr>
              <w:keepNext/>
              <w:keepLines/>
              <w:spacing w:after="120" w:line="240" w:lineRule="exact"/>
              <w:jc w:val="center"/>
              <w:rPr>
                <w:rFonts w:ascii="Arabic Typesetting" w:hAnsi="Arabic Typesetting" w:cs="Arabic Typesetting"/>
                <w:sz w:val="36"/>
                <w:szCs w:val="36"/>
              </w:rPr>
            </w:pPr>
            <w:r w:rsidRPr="006121E6">
              <w:rPr>
                <w:rFonts w:ascii="Arabic Typesetting" w:hAnsi="Arabic Typesetting" w:cs="Arabic Typesetting"/>
                <w:sz w:val="36"/>
                <w:szCs w:val="36"/>
              </w:rPr>
              <w:t>179</w:t>
            </w:r>
          </w:p>
        </w:tc>
      </w:tr>
      <w:tr w:rsidR="00C138A1" w:rsidRPr="006121E6" w:rsidTr="00F1223D">
        <w:tc>
          <w:tcPr>
            <w:tcW w:w="6120" w:type="dxa"/>
          </w:tcPr>
          <w:p w:rsidR="00564993" w:rsidRPr="006121E6" w:rsidRDefault="00564993" w:rsidP="007362E3">
            <w:pPr>
              <w:pStyle w:val="NormalParaAR"/>
              <w:keepNext/>
              <w:keepLines/>
              <w:spacing w:after="120" w:line="240" w:lineRule="exact"/>
              <w:rPr>
                <w:rtl/>
                <w:lang w:bidi="ar-EG"/>
              </w:rPr>
            </w:pPr>
            <w:r w:rsidRPr="006121E6">
              <w:rPr>
                <w:rtl/>
                <w:lang w:bidi="ar-EG"/>
              </w:rPr>
              <w:t>الكهرباء، الإلكترونيات، القياس</w:t>
            </w:r>
          </w:p>
        </w:tc>
        <w:tc>
          <w:tcPr>
            <w:tcW w:w="3343" w:type="dxa"/>
          </w:tcPr>
          <w:p w:rsidR="00564993" w:rsidRPr="006121E6" w:rsidRDefault="00564993" w:rsidP="007362E3">
            <w:pPr>
              <w:keepNext/>
              <w:keepLines/>
              <w:spacing w:after="120" w:line="240" w:lineRule="exact"/>
              <w:jc w:val="center"/>
              <w:rPr>
                <w:rFonts w:ascii="Arabic Typesetting" w:hAnsi="Arabic Typesetting" w:cs="Arabic Typesetting"/>
                <w:sz w:val="36"/>
                <w:szCs w:val="36"/>
              </w:rPr>
            </w:pPr>
            <w:r w:rsidRPr="006121E6">
              <w:rPr>
                <w:rFonts w:ascii="Arabic Typesetting" w:hAnsi="Arabic Typesetting" w:cs="Arabic Typesetting"/>
                <w:sz w:val="36"/>
                <w:szCs w:val="36"/>
                <w:lang w:val="ru-RU"/>
              </w:rPr>
              <w:t>9</w:t>
            </w:r>
            <w:r w:rsidRPr="006121E6">
              <w:rPr>
                <w:rFonts w:ascii="Arabic Typesetting" w:hAnsi="Arabic Typesetting" w:cs="Arabic Typesetting"/>
                <w:sz w:val="36"/>
                <w:szCs w:val="36"/>
              </w:rPr>
              <w:t>8</w:t>
            </w:r>
          </w:p>
        </w:tc>
      </w:tr>
      <w:tr w:rsidR="00C138A1" w:rsidRPr="006121E6" w:rsidTr="00F1223D">
        <w:tc>
          <w:tcPr>
            <w:tcW w:w="6120" w:type="dxa"/>
          </w:tcPr>
          <w:p w:rsidR="00564993" w:rsidRPr="006121E6" w:rsidRDefault="00564993" w:rsidP="007362E3">
            <w:pPr>
              <w:pStyle w:val="NormalParaAR"/>
              <w:keepNext/>
              <w:keepLines/>
              <w:spacing w:after="120" w:line="240" w:lineRule="exact"/>
              <w:rPr>
                <w:rtl/>
                <w:lang w:bidi="ar-EG"/>
              </w:rPr>
            </w:pPr>
            <w:r w:rsidRPr="006121E6">
              <w:rPr>
                <w:rtl/>
                <w:lang w:bidi="ar-EG"/>
              </w:rPr>
              <w:t>الكيمياء، المواد، التعدين</w:t>
            </w:r>
          </w:p>
        </w:tc>
        <w:tc>
          <w:tcPr>
            <w:tcW w:w="3343" w:type="dxa"/>
          </w:tcPr>
          <w:p w:rsidR="00564993" w:rsidRPr="006121E6" w:rsidRDefault="00564993" w:rsidP="00564993">
            <w:pPr>
              <w:keepNext/>
              <w:keepLines/>
              <w:spacing w:after="120" w:line="240" w:lineRule="exact"/>
              <w:jc w:val="center"/>
              <w:rPr>
                <w:rFonts w:ascii="Arabic Typesetting" w:hAnsi="Arabic Typesetting" w:cs="Arabic Typesetting"/>
                <w:sz w:val="36"/>
                <w:szCs w:val="36"/>
                <w:lang w:val="ru-RU"/>
              </w:rPr>
            </w:pPr>
            <w:r w:rsidRPr="006121E6">
              <w:rPr>
                <w:rFonts w:ascii="Arabic Typesetting" w:hAnsi="Arabic Typesetting" w:cs="Arabic Typesetting"/>
                <w:sz w:val="36"/>
                <w:szCs w:val="36"/>
              </w:rPr>
              <w:t>122</w:t>
            </w:r>
          </w:p>
        </w:tc>
      </w:tr>
      <w:tr w:rsidR="00C138A1" w:rsidRPr="006121E6" w:rsidTr="00F1223D">
        <w:tc>
          <w:tcPr>
            <w:tcW w:w="6120" w:type="dxa"/>
          </w:tcPr>
          <w:p w:rsidR="00564993" w:rsidRPr="006121E6" w:rsidRDefault="00564993" w:rsidP="006E3D0E">
            <w:pPr>
              <w:pStyle w:val="NormalParaAR"/>
              <w:spacing w:after="120" w:line="240" w:lineRule="exact"/>
              <w:rPr>
                <w:rtl/>
              </w:rPr>
            </w:pPr>
            <w:r w:rsidRPr="006121E6">
              <w:rPr>
                <w:rtl/>
              </w:rPr>
              <w:t xml:space="preserve">التكنولوجيا الطبية، </w:t>
            </w:r>
            <w:r w:rsidR="006E3D0E" w:rsidRPr="006121E6">
              <w:rPr>
                <w:rtl/>
              </w:rPr>
              <w:t xml:space="preserve">المستحضرات </w:t>
            </w:r>
            <w:r w:rsidRPr="006121E6">
              <w:rPr>
                <w:rtl/>
              </w:rPr>
              <w:t>الصيدل</w:t>
            </w:r>
            <w:r w:rsidR="006E3D0E" w:rsidRPr="006121E6">
              <w:rPr>
                <w:rtl/>
              </w:rPr>
              <w:t>انية</w:t>
            </w:r>
            <w:r w:rsidRPr="006121E6">
              <w:rPr>
                <w:rtl/>
              </w:rPr>
              <w:t>، التكنولوجيا الحيوية</w:t>
            </w:r>
          </w:p>
        </w:tc>
        <w:tc>
          <w:tcPr>
            <w:tcW w:w="3343" w:type="dxa"/>
          </w:tcPr>
          <w:p w:rsidR="00564993" w:rsidRPr="006121E6" w:rsidRDefault="00564993" w:rsidP="00564993">
            <w:pPr>
              <w:keepNext/>
              <w:keepLines/>
              <w:spacing w:after="120" w:line="240" w:lineRule="exact"/>
              <w:jc w:val="center"/>
              <w:rPr>
                <w:rFonts w:ascii="Arabic Typesetting" w:hAnsi="Arabic Typesetting" w:cs="Arabic Typesetting"/>
                <w:sz w:val="36"/>
                <w:szCs w:val="36"/>
              </w:rPr>
            </w:pPr>
            <w:r w:rsidRPr="006121E6">
              <w:rPr>
                <w:rFonts w:ascii="Arabic Typesetting" w:hAnsi="Arabic Typesetting" w:cs="Arabic Typesetting"/>
                <w:sz w:val="36"/>
                <w:szCs w:val="36"/>
              </w:rPr>
              <w:t>90</w:t>
            </w:r>
          </w:p>
        </w:tc>
      </w:tr>
      <w:tr w:rsidR="00C138A1" w:rsidRPr="006121E6" w:rsidTr="00F1223D">
        <w:tc>
          <w:tcPr>
            <w:tcW w:w="6120" w:type="dxa"/>
          </w:tcPr>
          <w:p w:rsidR="00564993" w:rsidRPr="006121E6" w:rsidRDefault="00564993" w:rsidP="00564993">
            <w:pPr>
              <w:pStyle w:val="NormalParaAR"/>
              <w:spacing w:after="120" w:line="240" w:lineRule="exact"/>
              <w:rPr>
                <w:rtl/>
                <w:lang w:bidi="ar-EG"/>
              </w:rPr>
            </w:pPr>
            <w:r w:rsidRPr="006121E6">
              <w:rPr>
                <w:rtl/>
                <w:lang w:bidi="ar-EG"/>
              </w:rPr>
              <w:t>مجالات أخرى</w:t>
            </w:r>
          </w:p>
        </w:tc>
        <w:tc>
          <w:tcPr>
            <w:tcW w:w="3343" w:type="dxa"/>
          </w:tcPr>
          <w:p w:rsidR="00564993" w:rsidRPr="006121E6" w:rsidRDefault="00564993" w:rsidP="00564993">
            <w:pPr>
              <w:keepNext/>
              <w:keepLines/>
              <w:spacing w:after="120" w:line="240" w:lineRule="exact"/>
              <w:jc w:val="center"/>
              <w:rPr>
                <w:rFonts w:ascii="Arabic Typesetting" w:hAnsi="Arabic Typesetting" w:cs="Arabic Typesetting"/>
                <w:sz w:val="36"/>
                <w:szCs w:val="36"/>
                <w:lang w:val="ru-RU"/>
              </w:rPr>
            </w:pPr>
            <w:r w:rsidRPr="006121E6">
              <w:rPr>
                <w:rFonts w:ascii="Arabic Typesetting" w:hAnsi="Arabic Typesetting" w:cs="Arabic Typesetting"/>
                <w:sz w:val="36"/>
                <w:szCs w:val="36"/>
              </w:rPr>
              <w:t>12</w:t>
            </w:r>
          </w:p>
        </w:tc>
      </w:tr>
      <w:tr w:rsidR="00C138A1" w:rsidRPr="006121E6" w:rsidTr="00F1223D">
        <w:tc>
          <w:tcPr>
            <w:tcW w:w="6120" w:type="dxa"/>
          </w:tcPr>
          <w:p w:rsidR="00564993" w:rsidRPr="006121E6" w:rsidRDefault="00564993" w:rsidP="00564993">
            <w:pPr>
              <w:pStyle w:val="NormalParaAR"/>
              <w:spacing w:after="120" w:line="240" w:lineRule="exact"/>
              <w:rPr>
                <w:rtl/>
                <w:lang w:bidi="ar-EG"/>
              </w:rPr>
            </w:pPr>
            <w:r w:rsidRPr="006121E6">
              <w:rPr>
                <w:rtl/>
                <w:lang w:bidi="ar-EG"/>
              </w:rPr>
              <w:t>المجموع</w:t>
            </w:r>
          </w:p>
        </w:tc>
        <w:tc>
          <w:tcPr>
            <w:tcW w:w="3343" w:type="dxa"/>
          </w:tcPr>
          <w:p w:rsidR="00564993" w:rsidRPr="006121E6" w:rsidRDefault="00564993" w:rsidP="00564993">
            <w:pPr>
              <w:keepNext/>
              <w:keepLines/>
              <w:spacing w:after="120" w:line="240" w:lineRule="exact"/>
              <w:jc w:val="center"/>
              <w:rPr>
                <w:rFonts w:ascii="Arabic Typesetting" w:hAnsi="Arabic Typesetting" w:cs="Arabic Typesetting"/>
                <w:sz w:val="36"/>
                <w:szCs w:val="36"/>
                <w:lang w:val="ru-RU"/>
              </w:rPr>
            </w:pPr>
            <w:r w:rsidRPr="006121E6">
              <w:rPr>
                <w:rFonts w:ascii="Arabic Typesetting" w:hAnsi="Arabic Typesetting" w:cs="Arabic Typesetting"/>
                <w:sz w:val="36"/>
                <w:szCs w:val="36"/>
              </w:rPr>
              <w:t>501</w:t>
            </w:r>
          </w:p>
        </w:tc>
      </w:tr>
    </w:tbl>
    <w:p w:rsidR="007362E3" w:rsidRPr="00C138A1" w:rsidRDefault="007362E3" w:rsidP="007362E3">
      <w:pPr>
        <w:pStyle w:val="NormalParaAR"/>
        <w:spacing w:before="240"/>
        <w:rPr>
          <w:b/>
          <w:bCs/>
          <w:rtl/>
          <w:lang w:val="en-GB"/>
        </w:rPr>
      </w:pPr>
      <w:r w:rsidRPr="00C138A1">
        <w:rPr>
          <w:rFonts w:hint="cs"/>
          <w:b/>
          <w:bCs/>
          <w:rtl/>
          <w:lang w:val="en-GB"/>
        </w:rPr>
        <w:t xml:space="preserve">وتنص </w:t>
      </w:r>
      <w:r w:rsidRPr="00C138A1">
        <w:rPr>
          <w:b/>
          <w:bCs/>
          <w:rtl/>
          <w:lang w:val="en-GB"/>
        </w:rPr>
        <w:t>القاعد</w:t>
      </w:r>
      <w:r w:rsidRPr="00C138A1">
        <w:rPr>
          <w:rFonts w:hint="cs"/>
          <w:b/>
          <w:bCs/>
          <w:rtl/>
          <w:lang w:val="en-GB"/>
        </w:rPr>
        <w:t>ة</w:t>
      </w:r>
      <w:r w:rsidRPr="00C138A1">
        <w:rPr>
          <w:b/>
          <w:bCs/>
          <w:rtl/>
          <w:lang w:val="en-GB"/>
        </w:rPr>
        <w:t> 1.36"</w:t>
      </w:r>
      <w:r w:rsidRPr="00C138A1">
        <w:rPr>
          <w:rFonts w:hint="cs"/>
          <w:b/>
          <w:bCs/>
          <w:rtl/>
          <w:lang w:val="en-GB"/>
        </w:rPr>
        <w:t>2</w:t>
      </w:r>
      <w:r w:rsidRPr="00C138A1">
        <w:rPr>
          <w:b/>
          <w:bCs/>
          <w:rtl/>
          <w:lang w:val="en-GB"/>
        </w:rPr>
        <w:t>"،</w:t>
      </w:r>
      <w:r w:rsidRPr="00C138A1">
        <w:rPr>
          <w:rFonts w:hint="cs"/>
          <w:b/>
          <w:bCs/>
          <w:rtl/>
          <w:lang w:val="en-GB"/>
        </w:rPr>
        <w:t xml:space="preserve"> على </w:t>
      </w:r>
      <w:r w:rsidRPr="00C138A1">
        <w:rPr>
          <w:b/>
          <w:bCs/>
          <w:rtl/>
          <w:lang w:val="en-GB"/>
        </w:rPr>
        <w:t>أنه</w:t>
      </w:r>
      <w:r w:rsidRPr="00C138A1">
        <w:rPr>
          <w:rFonts w:hint="cs"/>
          <w:b/>
          <w:bCs/>
          <w:rtl/>
          <w:lang w:val="en-GB"/>
        </w:rPr>
        <w:t xml:space="preserve">: </w:t>
      </w:r>
      <w:r w:rsidRPr="00C138A1">
        <w:rPr>
          <w:b/>
          <w:bCs/>
          <w:rtl/>
          <w:lang w:val="en-GB"/>
        </w:rPr>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r w:rsidRPr="00C138A1">
        <w:rPr>
          <w:rFonts w:hint="cs"/>
          <w:b/>
          <w:bCs/>
          <w:rtl/>
          <w:lang w:val="en-GB"/>
        </w:rPr>
        <w:t>.</w:t>
      </w:r>
    </w:p>
    <w:p w:rsidR="00801895" w:rsidRPr="00C138A1" w:rsidRDefault="007362E3" w:rsidP="007362E3">
      <w:pPr>
        <w:pStyle w:val="NormalParaAR"/>
        <w:tabs>
          <w:tab w:val="left" w:pos="355"/>
        </w:tabs>
        <w:rPr>
          <w:b/>
          <w:bCs/>
          <w:i/>
          <w:iCs/>
          <w:rtl/>
        </w:rPr>
      </w:pPr>
      <w:r w:rsidRPr="00C138A1">
        <w:rPr>
          <w:rFonts w:hint="cs"/>
          <w:b/>
          <w:bCs/>
          <w:i/>
          <w:iCs/>
          <w:rtl/>
        </w:rPr>
        <w:t>النفاذ إلى الحد الأدنى من الوثائق لأغراض البحث:</w:t>
      </w:r>
    </w:p>
    <w:p w:rsidR="007362E3" w:rsidRPr="00C138A1" w:rsidRDefault="007362E3" w:rsidP="007362E3">
      <w:pPr>
        <w:bidi/>
        <w:spacing w:after="240" w:line="360" w:lineRule="exact"/>
        <w:rPr>
          <w:rFonts w:ascii="Arabic Typesetting" w:hAnsi="Arabic Typesetting" w:cs="Arabic Typesetting"/>
          <w:sz w:val="36"/>
          <w:szCs w:val="36"/>
        </w:rPr>
      </w:pPr>
      <w:r w:rsidRPr="00C138A1">
        <w:rPr>
          <w:rFonts w:ascii="Arabic Typesetting" w:hAnsi="Arabic Typesetting" w:cs="Arabic Typesetting"/>
          <w:sz w:val="36"/>
          <w:szCs w:val="36"/>
        </w:rPr>
        <w:t>(</w:t>
      </w:r>
      <w:r w:rsidRPr="00C138A1">
        <w:rPr>
          <w:sz w:val="20"/>
        </w:rPr>
        <w:t>X</w:t>
      </w:r>
      <w:r w:rsidRPr="00C138A1">
        <w:rPr>
          <w:rFonts w:ascii="Arabic Typesetting" w:hAnsi="Arabic Typesetting" w:cs="Arabic Typesetting"/>
          <w:sz w:val="36"/>
          <w:szCs w:val="36"/>
        </w:rPr>
        <w:t>)</w:t>
      </w:r>
      <w:r w:rsidRPr="00C138A1">
        <w:rPr>
          <w:rFonts w:ascii="Arabic Typesetting" w:hAnsi="Arabic Typesetting" w:cs="Arabic Typesetting"/>
          <w:sz w:val="36"/>
          <w:szCs w:val="36"/>
        </w:rPr>
        <w:tab/>
      </w:r>
      <w:r w:rsidRPr="00C138A1">
        <w:rPr>
          <w:rFonts w:ascii="Arabic Typesetting" w:hAnsi="Arabic Typesetting" w:cs="Arabic Typesetting"/>
          <w:sz w:val="36"/>
          <w:szCs w:val="36"/>
          <w:rtl/>
        </w:rPr>
        <w:t>نفاذ كامل</w:t>
      </w:r>
    </w:p>
    <w:p w:rsidR="00A46F01" w:rsidRPr="00C138A1" w:rsidRDefault="007362E3" w:rsidP="00A97F90">
      <w:pPr>
        <w:pStyle w:val="NormalParaAR"/>
        <w:tabs>
          <w:tab w:val="left" w:pos="355"/>
        </w:tabs>
        <w:spacing w:after="60"/>
        <w:rPr>
          <w:b/>
          <w:bCs/>
          <w:rtl/>
        </w:rPr>
      </w:pPr>
      <w:r w:rsidRPr="00C138A1">
        <w:rPr>
          <w:rFonts w:hint="cs"/>
          <w:b/>
          <w:bCs/>
          <w:rtl/>
        </w:rPr>
        <w:t>أ</w:t>
      </w:r>
      <w:r w:rsidR="00A46F01" w:rsidRPr="00C138A1">
        <w:rPr>
          <w:rFonts w:hint="cs"/>
          <w:b/>
          <w:bCs/>
          <w:rtl/>
        </w:rPr>
        <w:t>نظم</w:t>
      </w:r>
      <w:r w:rsidRPr="00C138A1">
        <w:rPr>
          <w:rFonts w:hint="cs"/>
          <w:b/>
          <w:bCs/>
          <w:rtl/>
        </w:rPr>
        <w:t>ة</w:t>
      </w:r>
      <w:r w:rsidR="00A46F01" w:rsidRPr="00C138A1">
        <w:rPr>
          <w:rFonts w:hint="cs"/>
          <w:b/>
          <w:bCs/>
          <w:rtl/>
        </w:rPr>
        <w:t xml:space="preserve"> البحث:</w:t>
      </w:r>
    </w:p>
    <w:p w:rsidR="004C292B" w:rsidRPr="00C138A1" w:rsidRDefault="00BC6911" w:rsidP="00A97F90">
      <w:pPr>
        <w:pStyle w:val="NormalParaAR"/>
        <w:tabs>
          <w:tab w:val="left" w:pos="355"/>
        </w:tabs>
        <w:rPr>
          <w:i/>
          <w:iCs/>
          <w:rtl/>
          <w:lang w:bidi="ar-EG"/>
        </w:rPr>
      </w:pPr>
      <w:r w:rsidRPr="00C138A1">
        <w:rPr>
          <w:rFonts w:hint="cs"/>
          <w:i/>
          <w:iCs/>
          <w:rtl/>
          <w:lang w:bidi="ar-EG"/>
        </w:rPr>
        <w:t>[</w:t>
      </w:r>
      <w:r w:rsidR="00A41EC2" w:rsidRPr="00C138A1">
        <w:rPr>
          <w:rFonts w:hint="cs"/>
          <w:i/>
          <w:iCs/>
          <w:rtl/>
          <w:lang w:bidi="ar-EG"/>
        </w:rPr>
        <w:t>اذكر</w:t>
      </w:r>
      <w:r w:rsidR="00156A97" w:rsidRPr="00C138A1">
        <w:rPr>
          <w:i/>
          <w:iCs/>
          <w:rtl/>
          <w:lang w:bidi="ar-EG"/>
        </w:rPr>
        <w:t xml:space="preserve"> </w:t>
      </w:r>
      <w:r w:rsidR="00F0465E" w:rsidRPr="00C138A1">
        <w:rPr>
          <w:rFonts w:hint="cs"/>
          <w:i/>
          <w:iCs/>
          <w:rtl/>
          <w:lang w:bidi="ar-EG"/>
        </w:rPr>
        <w:t>نظم</w:t>
      </w:r>
      <w:r w:rsidR="00156A97" w:rsidRPr="00C138A1">
        <w:rPr>
          <w:i/>
          <w:iCs/>
          <w:rtl/>
          <w:lang w:bidi="ar-EG"/>
        </w:rPr>
        <w:t xml:space="preserve"> تكنولوجيا المعلومات أو </w:t>
      </w:r>
      <w:r w:rsidRPr="00C138A1">
        <w:rPr>
          <w:rFonts w:hint="cs"/>
          <w:i/>
          <w:iCs/>
          <w:rtl/>
          <w:lang w:bidi="ar-EG"/>
        </w:rPr>
        <w:t>ال</w:t>
      </w:r>
      <w:r w:rsidR="00156A97" w:rsidRPr="00C138A1">
        <w:rPr>
          <w:i/>
          <w:iCs/>
          <w:rtl/>
          <w:lang w:bidi="ar-EG"/>
        </w:rPr>
        <w:t>مجموعات الورق</w:t>
      </w:r>
      <w:r w:rsidRPr="00C138A1">
        <w:rPr>
          <w:rFonts w:hint="cs"/>
          <w:i/>
          <w:iCs/>
          <w:rtl/>
          <w:lang w:bidi="ar-EG"/>
        </w:rPr>
        <w:t>ية</w:t>
      </w:r>
      <w:r w:rsidR="00F0465E" w:rsidRPr="00C138A1">
        <w:rPr>
          <w:i/>
          <w:iCs/>
          <w:rtl/>
          <w:lang w:bidi="ar-EG"/>
        </w:rPr>
        <w:t xml:space="preserve"> المستخدمة </w:t>
      </w:r>
      <w:r w:rsidR="00F0465E" w:rsidRPr="00C138A1">
        <w:rPr>
          <w:rFonts w:hint="cs"/>
          <w:i/>
          <w:iCs/>
          <w:rtl/>
          <w:lang w:bidi="ar-EG"/>
        </w:rPr>
        <w:t>في ا</w:t>
      </w:r>
      <w:r w:rsidR="00156A97" w:rsidRPr="00C138A1">
        <w:rPr>
          <w:i/>
          <w:iCs/>
          <w:rtl/>
          <w:lang w:bidi="ar-EG"/>
        </w:rPr>
        <w:t>لبحث عن أشكال مختلفة من التقنية الصناعية السابقة</w:t>
      </w:r>
      <w:r w:rsidR="00F0465E" w:rsidRPr="00C138A1">
        <w:rPr>
          <w:rFonts w:hint="cs"/>
          <w:i/>
          <w:iCs/>
          <w:rtl/>
          <w:lang w:bidi="ar-EG"/>
        </w:rPr>
        <w:t>]</w:t>
      </w:r>
    </w:p>
    <w:p w:rsidR="00B45002" w:rsidRPr="00C138A1" w:rsidRDefault="002C7197" w:rsidP="004420EC">
      <w:pPr>
        <w:pStyle w:val="NormalParaAR"/>
        <w:rPr>
          <w:rtl/>
        </w:rPr>
      </w:pPr>
      <w:r w:rsidRPr="00C138A1">
        <w:rPr>
          <w:rFonts w:hint="cs"/>
          <w:rtl/>
        </w:rPr>
        <w:t>يُتاح</w:t>
      </w:r>
      <w:r w:rsidR="002225CF" w:rsidRPr="00C138A1">
        <w:rPr>
          <w:rtl/>
        </w:rPr>
        <w:t xml:space="preserve"> </w:t>
      </w:r>
      <w:r w:rsidR="00B12DBE" w:rsidRPr="00C138A1">
        <w:rPr>
          <w:rFonts w:hint="cs"/>
          <w:rtl/>
        </w:rPr>
        <w:t>ل</w:t>
      </w:r>
      <w:r w:rsidRPr="00C138A1">
        <w:rPr>
          <w:rFonts w:hint="cs"/>
          <w:rtl/>
        </w:rPr>
        <w:t>جميع</w:t>
      </w:r>
      <w:r w:rsidR="008303FB" w:rsidRPr="00C138A1">
        <w:rPr>
          <w:rFonts w:hint="cs"/>
          <w:rtl/>
        </w:rPr>
        <w:t xml:space="preserve"> </w:t>
      </w:r>
      <w:r w:rsidRPr="00C138A1">
        <w:rPr>
          <w:rFonts w:hint="cs"/>
          <w:rtl/>
        </w:rPr>
        <w:t>ال</w:t>
      </w:r>
      <w:r w:rsidR="00621ED6" w:rsidRPr="00C138A1">
        <w:rPr>
          <w:rtl/>
        </w:rPr>
        <w:t>فاحص</w:t>
      </w:r>
      <w:r w:rsidRPr="00C138A1">
        <w:rPr>
          <w:rFonts w:hint="cs"/>
          <w:rtl/>
        </w:rPr>
        <w:t>ين</w:t>
      </w:r>
      <w:r w:rsidR="00621ED6" w:rsidRPr="00C138A1">
        <w:rPr>
          <w:rtl/>
        </w:rPr>
        <w:t xml:space="preserve"> الوصول </w:t>
      </w:r>
      <w:r w:rsidR="00B12DBE" w:rsidRPr="00C138A1">
        <w:rPr>
          <w:rFonts w:hint="cs"/>
          <w:rtl/>
        </w:rPr>
        <w:t>بلا قيود</w:t>
      </w:r>
      <w:r w:rsidR="00621ED6" w:rsidRPr="00C138A1">
        <w:rPr>
          <w:rtl/>
        </w:rPr>
        <w:t xml:space="preserve"> من </w:t>
      </w:r>
      <w:r w:rsidR="008362C7" w:rsidRPr="00C138A1">
        <w:rPr>
          <w:rFonts w:hint="cs"/>
          <w:rtl/>
        </w:rPr>
        <w:t>مكان</w:t>
      </w:r>
      <w:r w:rsidR="008362C7" w:rsidRPr="00C138A1">
        <w:rPr>
          <w:rtl/>
        </w:rPr>
        <w:t xml:space="preserve"> </w:t>
      </w:r>
      <w:r w:rsidR="00621ED6" w:rsidRPr="00C138A1">
        <w:rPr>
          <w:rtl/>
        </w:rPr>
        <w:t>عمل</w:t>
      </w:r>
      <w:r w:rsidR="008362C7" w:rsidRPr="00C138A1">
        <w:rPr>
          <w:rFonts w:hint="cs"/>
          <w:rtl/>
        </w:rPr>
        <w:t>ه</w:t>
      </w:r>
      <w:r w:rsidRPr="00C138A1">
        <w:rPr>
          <w:rFonts w:hint="cs"/>
          <w:rtl/>
        </w:rPr>
        <w:t>م</w:t>
      </w:r>
      <w:r w:rsidR="00621ED6" w:rsidRPr="00C138A1">
        <w:rPr>
          <w:rtl/>
        </w:rPr>
        <w:t xml:space="preserve"> إلى نظام البحث الداخلي </w:t>
      </w:r>
      <w:r w:rsidR="00A97F90" w:rsidRPr="00C138A1">
        <w:t>(</w:t>
      </w:r>
      <w:proofErr w:type="spellStart"/>
      <w:r w:rsidR="00A97F90" w:rsidRPr="00C138A1">
        <w:t>PatSearch</w:t>
      </w:r>
      <w:proofErr w:type="spellEnd"/>
      <w:r w:rsidR="00A97F90" w:rsidRPr="00C138A1">
        <w:t>)</w:t>
      </w:r>
      <w:r w:rsidR="00621ED6" w:rsidRPr="00C138A1">
        <w:rPr>
          <w:rtl/>
        </w:rPr>
        <w:t xml:space="preserve">. </w:t>
      </w:r>
      <w:r w:rsidR="00A97F90" w:rsidRPr="00C138A1">
        <w:rPr>
          <w:rFonts w:hint="cs"/>
          <w:rtl/>
        </w:rPr>
        <w:t>وحُملت</w:t>
      </w:r>
      <w:r w:rsidR="00621ED6" w:rsidRPr="00C138A1">
        <w:rPr>
          <w:rtl/>
        </w:rPr>
        <w:t xml:space="preserve"> النصوص الكاملة لجميع وثائق براءات </w:t>
      </w:r>
      <w:r w:rsidR="00961E52" w:rsidRPr="00C138A1">
        <w:rPr>
          <w:rtl/>
        </w:rPr>
        <w:t xml:space="preserve">اتحاد الجمهوريات الاشتراكية السوفياتية </w:t>
      </w:r>
      <w:r w:rsidR="00621ED6" w:rsidRPr="00C138A1">
        <w:rPr>
          <w:rtl/>
        </w:rPr>
        <w:t xml:space="preserve">وروسيا منذ 1924، </w:t>
      </w:r>
      <w:r w:rsidR="00002E1F" w:rsidRPr="00C138A1">
        <w:rPr>
          <w:rFonts w:hint="cs"/>
          <w:rtl/>
        </w:rPr>
        <w:t xml:space="preserve">فضلا عن </w:t>
      </w:r>
      <w:r w:rsidR="00621ED6" w:rsidRPr="00C138A1">
        <w:rPr>
          <w:rtl/>
        </w:rPr>
        <w:t>وثائق براءات بلدان رابطة الدول المستقلة</w:t>
      </w:r>
      <w:r w:rsidR="00002E1F" w:rsidRPr="00C138A1">
        <w:t>(</w:t>
      </w:r>
      <w:r w:rsidR="008A1C93" w:rsidRPr="00C138A1">
        <w:t>CIS</w:t>
      </w:r>
      <w:r w:rsidR="00002E1F" w:rsidRPr="00C138A1">
        <w:t>)</w:t>
      </w:r>
      <w:r w:rsidR="008A1C93" w:rsidRPr="00C138A1">
        <w:t xml:space="preserve"> </w:t>
      </w:r>
      <w:r w:rsidR="00621ED6" w:rsidRPr="00C138A1">
        <w:rPr>
          <w:rtl/>
        </w:rPr>
        <w:t xml:space="preserve">، </w:t>
      </w:r>
      <w:r w:rsidR="008A1C93" w:rsidRPr="00C138A1">
        <w:rPr>
          <w:rFonts w:hint="cs"/>
          <w:rtl/>
        </w:rPr>
        <w:t>و</w:t>
      </w:r>
      <w:r w:rsidR="00621ED6" w:rsidRPr="00C138A1">
        <w:rPr>
          <w:rtl/>
        </w:rPr>
        <w:t xml:space="preserve">وثائق براءات </w:t>
      </w:r>
      <w:r w:rsidR="00A97F90" w:rsidRPr="00C138A1">
        <w:rPr>
          <w:rFonts w:hint="cs"/>
          <w:rtl/>
        </w:rPr>
        <w:t>بلدان</w:t>
      </w:r>
      <w:r w:rsidR="00621ED6" w:rsidRPr="00C138A1">
        <w:rPr>
          <w:rtl/>
        </w:rPr>
        <w:t xml:space="preserve"> </w:t>
      </w:r>
      <w:r w:rsidR="00A97F90" w:rsidRPr="00C138A1">
        <w:rPr>
          <w:rFonts w:hint="cs"/>
          <w:rtl/>
        </w:rPr>
        <w:t>أ</w:t>
      </w:r>
      <w:r w:rsidR="00621ED6" w:rsidRPr="00C138A1">
        <w:rPr>
          <w:rtl/>
        </w:rPr>
        <w:t xml:space="preserve">جنبية </w:t>
      </w:r>
      <w:r w:rsidR="00A97F90" w:rsidRPr="00C138A1">
        <w:rPr>
          <w:rFonts w:hint="cs"/>
          <w:rtl/>
        </w:rPr>
        <w:t>ومنظمات دولية</w:t>
      </w:r>
      <w:r w:rsidR="00621ED6" w:rsidRPr="00C138A1">
        <w:rPr>
          <w:rtl/>
        </w:rPr>
        <w:t xml:space="preserve"> </w:t>
      </w:r>
      <w:r w:rsidR="00841387" w:rsidRPr="00C138A1">
        <w:rPr>
          <w:rFonts w:hint="cs"/>
          <w:rtl/>
        </w:rPr>
        <w:t xml:space="preserve">التي </w:t>
      </w:r>
      <w:r w:rsidR="002D61BB" w:rsidRPr="00C138A1">
        <w:rPr>
          <w:rFonts w:hint="cs"/>
          <w:rtl/>
        </w:rPr>
        <w:t>تشكل</w:t>
      </w:r>
      <w:r w:rsidR="00841387" w:rsidRPr="00C138A1">
        <w:rPr>
          <w:rFonts w:hint="cs"/>
          <w:rtl/>
        </w:rPr>
        <w:t xml:space="preserve"> جزء</w:t>
      </w:r>
      <w:r w:rsidR="002D61BB" w:rsidRPr="00C138A1">
        <w:rPr>
          <w:rFonts w:hint="cs"/>
          <w:rtl/>
        </w:rPr>
        <w:t>ا</w:t>
      </w:r>
      <w:r w:rsidR="00841387" w:rsidRPr="00C138A1">
        <w:rPr>
          <w:rFonts w:hint="cs"/>
          <w:rtl/>
        </w:rPr>
        <w:t xml:space="preserve"> من</w:t>
      </w:r>
      <w:r w:rsidR="00621ED6" w:rsidRPr="00C138A1">
        <w:rPr>
          <w:rtl/>
        </w:rPr>
        <w:t xml:space="preserve"> الحد الأدنى</w:t>
      </w:r>
      <w:r w:rsidR="00C5082E" w:rsidRPr="00C138A1">
        <w:rPr>
          <w:rFonts w:hint="cs"/>
          <w:rtl/>
        </w:rPr>
        <w:t xml:space="preserve"> من الوثائق</w:t>
      </w:r>
      <w:r w:rsidR="00841387" w:rsidRPr="00C138A1">
        <w:rPr>
          <w:rtl/>
        </w:rPr>
        <w:t xml:space="preserve"> المطلوبة بناء على معاهدة </w:t>
      </w:r>
      <w:r w:rsidR="002D61BB" w:rsidRPr="00C138A1">
        <w:rPr>
          <w:rFonts w:hint="cs"/>
          <w:rtl/>
        </w:rPr>
        <w:t>التعاون</w:t>
      </w:r>
      <w:r w:rsidR="00475C10" w:rsidRPr="00C138A1">
        <w:rPr>
          <w:rFonts w:hint="cs"/>
          <w:rtl/>
        </w:rPr>
        <w:t>.</w:t>
      </w:r>
      <w:r w:rsidR="00621ED6" w:rsidRPr="00C138A1">
        <w:rPr>
          <w:rtl/>
        </w:rPr>
        <w:t xml:space="preserve"> </w:t>
      </w:r>
      <w:r w:rsidR="00316527" w:rsidRPr="00C138A1">
        <w:rPr>
          <w:rFonts w:hint="cs"/>
          <w:rtl/>
        </w:rPr>
        <w:t xml:space="preserve">كما </w:t>
      </w:r>
      <w:r w:rsidR="00A97F90" w:rsidRPr="00C138A1">
        <w:rPr>
          <w:rFonts w:hint="cs"/>
          <w:rtl/>
        </w:rPr>
        <w:t>حملت</w:t>
      </w:r>
      <w:r w:rsidR="00E67931" w:rsidRPr="00C138A1">
        <w:rPr>
          <w:rFonts w:hint="cs"/>
          <w:rtl/>
        </w:rPr>
        <w:t xml:space="preserve"> </w:t>
      </w:r>
      <w:r w:rsidR="00621ED6" w:rsidRPr="00C138A1">
        <w:rPr>
          <w:rtl/>
        </w:rPr>
        <w:t>قاعدة بيانات دوبي</w:t>
      </w:r>
      <w:r w:rsidR="00841387" w:rsidRPr="00C138A1">
        <w:rPr>
          <w:rFonts w:hint="cs"/>
          <w:rtl/>
        </w:rPr>
        <w:t xml:space="preserve"> </w:t>
      </w:r>
      <w:r w:rsidR="00475C10" w:rsidRPr="00C138A1">
        <w:rPr>
          <w:rFonts w:hint="cs"/>
          <w:rtl/>
        </w:rPr>
        <w:t>(</w:t>
      </w:r>
      <w:r w:rsidR="00841387" w:rsidRPr="00C138A1">
        <w:t>DWPI</w:t>
      </w:r>
      <w:r w:rsidR="00475C10" w:rsidRPr="00C138A1">
        <w:rPr>
          <w:rFonts w:hint="cs"/>
          <w:rtl/>
        </w:rPr>
        <w:t>)</w:t>
      </w:r>
      <w:r w:rsidR="00621ED6" w:rsidRPr="00C138A1">
        <w:rPr>
          <w:rtl/>
        </w:rPr>
        <w:t xml:space="preserve"> </w:t>
      </w:r>
      <w:r w:rsidR="00316527" w:rsidRPr="00C138A1">
        <w:rPr>
          <w:rFonts w:hint="cs"/>
          <w:rtl/>
        </w:rPr>
        <w:t xml:space="preserve">في </w:t>
      </w:r>
      <w:r w:rsidR="00316527" w:rsidRPr="00C138A1">
        <w:rPr>
          <w:rtl/>
        </w:rPr>
        <w:t>النظام.</w:t>
      </w:r>
      <w:r w:rsidR="00316527" w:rsidRPr="00C138A1">
        <w:rPr>
          <w:rFonts w:hint="cs"/>
          <w:rtl/>
        </w:rPr>
        <w:t xml:space="preserve"> </w:t>
      </w:r>
      <w:r w:rsidR="003D0D67" w:rsidRPr="00C138A1">
        <w:rPr>
          <w:rFonts w:hint="cs"/>
          <w:rtl/>
        </w:rPr>
        <w:t>و</w:t>
      </w:r>
      <w:r w:rsidR="004D1859" w:rsidRPr="00C138A1">
        <w:rPr>
          <w:rFonts w:hint="cs"/>
          <w:rtl/>
        </w:rPr>
        <w:t>يتاح</w:t>
      </w:r>
      <w:r w:rsidR="00621ED6" w:rsidRPr="00C138A1">
        <w:rPr>
          <w:rtl/>
        </w:rPr>
        <w:t xml:space="preserve"> </w:t>
      </w:r>
      <w:r w:rsidR="004D1859" w:rsidRPr="00C138A1">
        <w:rPr>
          <w:rFonts w:hint="cs"/>
          <w:rtl/>
        </w:rPr>
        <w:t>للفاحصين</w:t>
      </w:r>
      <w:r w:rsidR="00621ED6" w:rsidRPr="00C138A1">
        <w:rPr>
          <w:rtl/>
        </w:rPr>
        <w:t xml:space="preserve"> الوصول من خلال نظام </w:t>
      </w:r>
      <w:proofErr w:type="spellStart"/>
      <w:r w:rsidR="004D1859" w:rsidRPr="00C138A1">
        <w:t>PatSearch</w:t>
      </w:r>
      <w:proofErr w:type="spellEnd"/>
      <w:r w:rsidR="004D1859" w:rsidRPr="00C138A1">
        <w:rPr>
          <w:rtl/>
        </w:rPr>
        <w:t xml:space="preserve"> </w:t>
      </w:r>
      <w:r w:rsidR="00621ED6" w:rsidRPr="00C138A1">
        <w:rPr>
          <w:rtl/>
        </w:rPr>
        <w:t xml:space="preserve">إلى المكتبة الإلكترونية العلمية </w:t>
      </w:r>
      <w:r w:rsidR="00621ED6" w:rsidRPr="00C138A1">
        <w:t>eLibrary.ru</w:t>
      </w:r>
      <w:r w:rsidR="006121E6">
        <w:rPr>
          <w:rFonts w:hint="cs"/>
          <w:rtl/>
        </w:rPr>
        <w:t xml:space="preserve">، </w:t>
      </w:r>
      <w:r w:rsidR="001F214F" w:rsidRPr="00C138A1">
        <w:rPr>
          <w:rFonts w:hint="cs"/>
          <w:rtl/>
        </w:rPr>
        <w:t>و</w:t>
      </w:r>
      <w:r w:rsidR="006121E6">
        <w:rPr>
          <w:rFonts w:hint="cs"/>
          <w:rtl/>
        </w:rPr>
        <w:t>إ</w:t>
      </w:r>
      <w:r w:rsidR="00DC084F" w:rsidRPr="00C138A1">
        <w:rPr>
          <w:rFonts w:hint="cs"/>
          <w:rtl/>
        </w:rPr>
        <w:t xml:space="preserve">لى </w:t>
      </w:r>
      <w:r w:rsidR="002F180B" w:rsidRPr="00C138A1">
        <w:rPr>
          <w:rFonts w:hint="cs"/>
          <w:rtl/>
        </w:rPr>
        <w:t>قاعدة بيانات</w:t>
      </w:r>
      <w:r w:rsidR="001F214F" w:rsidRPr="00C138A1">
        <w:t xml:space="preserve">EPO </w:t>
      </w:r>
      <w:proofErr w:type="spellStart"/>
      <w:r w:rsidR="001F214F" w:rsidRPr="00C138A1">
        <w:t>Espacenet</w:t>
      </w:r>
      <w:proofErr w:type="spellEnd"/>
      <w:r w:rsidR="001F214F" w:rsidRPr="00C138A1">
        <w:t xml:space="preserve"> </w:t>
      </w:r>
      <w:r w:rsidR="00316527" w:rsidRPr="00C138A1">
        <w:rPr>
          <w:rFonts w:hint="cs"/>
          <w:rtl/>
        </w:rPr>
        <w:t>،</w:t>
      </w:r>
      <w:r w:rsidR="001F214F" w:rsidRPr="00C138A1">
        <w:rPr>
          <w:rFonts w:hint="cs"/>
          <w:rtl/>
        </w:rPr>
        <w:t xml:space="preserve"> </w:t>
      </w:r>
      <w:r w:rsidR="00DC084F" w:rsidRPr="00C138A1">
        <w:rPr>
          <w:rFonts w:hint="cs"/>
          <w:rtl/>
        </w:rPr>
        <w:t>و</w:t>
      </w:r>
      <w:r w:rsidR="002F180B" w:rsidRPr="00C138A1">
        <w:rPr>
          <w:rFonts w:hint="cs"/>
          <w:rtl/>
        </w:rPr>
        <w:t>إ</w:t>
      </w:r>
      <w:r w:rsidR="00ED785D" w:rsidRPr="00C138A1">
        <w:rPr>
          <w:rFonts w:hint="cs"/>
          <w:rtl/>
        </w:rPr>
        <w:t>لى</w:t>
      </w:r>
      <w:r w:rsidR="00F3549E" w:rsidRPr="00C138A1">
        <w:rPr>
          <w:rFonts w:hint="cs"/>
          <w:rtl/>
        </w:rPr>
        <w:t xml:space="preserve"> </w:t>
      </w:r>
      <w:r w:rsidR="00A97F90" w:rsidRPr="00C138A1">
        <w:rPr>
          <w:rFonts w:hint="cs"/>
          <w:rtl/>
        </w:rPr>
        <w:t>قاعدة</w:t>
      </w:r>
      <w:r w:rsidR="00F3549E" w:rsidRPr="00C138A1">
        <w:rPr>
          <w:rFonts w:hint="cs"/>
          <w:rtl/>
        </w:rPr>
        <w:t xml:space="preserve"> بيانا</w:t>
      </w:r>
      <w:r w:rsidR="00F3549E" w:rsidRPr="00C138A1">
        <w:rPr>
          <w:rFonts w:hint="eastAsia"/>
          <w:rtl/>
        </w:rPr>
        <w:t>ت</w:t>
      </w:r>
      <w:r w:rsidR="004420EC">
        <w:rPr>
          <w:rFonts w:hint="eastAsia"/>
        </w:rPr>
        <w:t> </w:t>
      </w:r>
      <w:r w:rsidR="00A97B4A" w:rsidRPr="00C138A1">
        <w:rPr>
          <w:rtl/>
        </w:rPr>
        <w:t>المختبر الأوروبي للبيولوجيا الجزيئية</w:t>
      </w:r>
      <w:r w:rsidR="00A97B4A" w:rsidRPr="00C138A1">
        <w:rPr>
          <w:rFonts w:hint="cs"/>
          <w:rtl/>
        </w:rPr>
        <w:t> </w:t>
      </w:r>
      <w:r w:rsidR="00ED785D" w:rsidRPr="00C138A1">
        <w:t>EMBL</w:t>
      </w:r>
      <w:r w:rsidR="00817F5C" w:rsidRPr="00C138A1">
        <w:t>)</w:t>
      </w:r>
      <w:r w:rsidR="00817F5C" w:rsidRPr="00C138A1">
        <w:rPr>
          <w:rFonts w:hint="cs"/>
          <w:rtl/>
        </w:rPr>
        <w:t>).</w:t>
      </w:r>
      <w:r w:rsidR="00ED785D" w:rsidRPr="00C138A1">
        <w:rPr>
          <w:rtl/>
        </w:rPr>
        <w:t xml:space="preserve"> </w:t>
      </w:r>
    </w:p>
    <w:p w:rsidR="002773A2" w:rsidRPr="00C138A1" w:rsidRDefault="009670C9" w:rsidP="002F180B">
      <w:pPr>
        <w:pStyle w:val="NormalParaAR"/>
        <w:rPr>
          <w:rtl/>
        </w:rPr>
      </w:pPr>
      <w:r w:rsidRPr="00C138A1">
        <w:rPr>
          <w:rFonts w:hint="cs"/>
          <w:rtl/>
        </w:rPr>
        <w:t>ويمكن</w:t>
      </w:r>
      <w:r w:rsidR="00C63DA2" w:rsidRPr="00C138A1">
        <w:rPr>
          <w:rtl/>
        </w:rPr>
        <w:t xml:space="preserve"> </w:t>
      </w:r>
      <w:r w:rsidR="003B5BB8" w:rsidRPr="00C138A1">
        <w:rPr>
          <w:rFonts w:hint="cs"/>
          <w:rtl/>
        </w:rPr>
        <w:t>للفاحصين</w:t>
      </w:r>
      <w:r w:rsidR="00C63DA2" w:rsidRPr="00C138A1">
        <w:rPr>
          <w:rtl/>
        </w:rPr>
        <w:t xml:space="preserve"> الوصول عبر الإنترنت إلى </w:t>
      </w:r>
      <w:r w:rsidR="00F92D3B" w:rsidRPr="00C138A1">
        <w:rPr>
          <w:rFonts w:hint="cs"/>
          <w:rtl/>
        </w:rPr>
        <w:t>موارد</w:t>
      </w:r>
      <w:r w:rsidR="00817F5C" w:rsidRPr="00C138A1">
        <w:rPr>
          <w:rtl/>
        </w:rPr>
        <w:t xml:space="preserve"> </w:t>
      </w:r>
      <w:r w:rsidR="003D0D67" w:rsidRPr="00C138A1">
        <w:rPr>
          <w:rFonts w:hint="cs"/>
          <w:rtl/>
        </w:rPr>
        <w:t>ال</w:t>
      </w:r>
      <w:r w:rsidR="00C63DA2" w:rsidRPr="00C138A1">
        <w:rPr>
          <w:rtl/>
        </w:rPr>
        <w:t>بحث</w:t>
      </w:r>
      <w:r w:rsidR="00A254F3" w:rsidRPr="00C138A1">
        <w:rPr>
          <w:rFonts w:hint="cs"/>
          <w:rtl/>
        </w:rPr>
        <w:t xml:space="preserve"> </w:t>
      </w:r>
      <w:r w:rsidR="003D0D67" w:rsidRPr="00C138A1">
        <w:rPr>
          <w:rFonts w:hint="cs"/>
          <w:rtl/>
        </w:rPr>
        <w:t>ال</w:t>
      </w:r>
      <w:r w:rsidR="00F92D3B" w:rsidRPr="00C138A1">
        <w:rPr>
          <w:rFonts w:hint="cs"/>
          <w:rtl/>
        </w:rPr>
        <w:t>م</w:t>
      </w:r>
      <w:r w:rsidR="00817F5C" w:rsidRPr="00C138A1">
        <w:rPr>
          <w:rFonts w:hint="cs"/>
          <w:rtl/>
        </w:rPr>
        <w:t>ُ</w:t>
      </w:r>
      <w:r w:rsidR="00F92D3B" w:rsidRPr="00C138A1">
        <w:rPr>
          <w:rFonts w:hint="cs"/>
          <w:rtl/>
        </w:rPr>
        <w:t>حد</w:t>
      </w:r>
      <w:r w:rsidR="005F0CE0" w:rsidRPr="00C138A1">
        <w:rPr>
          <w:rFonts w:hint="cs"/>
          <w:rtl/>
        </w:rPr>
        <w:t>َّ</w:t>
      </w:r>
      <w:r w:rsidR="00F92D3B" w:rsidRPr="00C138A1">
        <w:rPr>
          <w:rFonts w:hint="cs"/>
          <w:rtl/>
        </w:rPr>
        <w:t>ثة</w:t>
      </w:r>
      <w:r w:rsidR="00C63DA2" w:rsidRPr="00C138A1">
        <w:rPr>
          <w:rtl/>
        </w:rPr>
        <w:t>، بما في ذلك المواقع الشبكية لمكاتب البراءات الأجنبية (المكتب الأوروبي للبراءات و</w:t>
      </w:r>
      <w:r w:rsidR="007154BA" w:rsidRPr="00C138A1">
        <w:rPr>
          <w:rFonts w:hint="cs"/>
          <w:rtl/>
        </w:rPr>
        <w:t xml:space="preserve">مكاتب </w:t>
      </w:r>
      <w:r w:rsidR="00C63DA2" w:rsidRPr="00C138A1">
        <w:rPr>
          <w:rtl/>
        </w:rPr>
        <w:t>الولايات المتحدة واليابان وكوريا والويبو وألمانيا وغيرها)</w:t>
      </w:r>
      <w:r w:rsidR="003C2977" w:rsidRPr="00C138A1">
        <w:rPr>
          <w:rFonts w:hint="cs"/>
          <w:rtl/>
        </w:rPr>
        <w:t>،</w:t>
      </w:r>
      <w:r w:rsidR="003B5BB8" w:rsidRPr="00C138A1">
        <w:rPr>
          <w:rFonts w:hint="cs"/>
          <w:rtl/>
        </w:rPr>
        <w:t xml:space="preserve"> </w:t>
      </w:r>
      <w:r w:rsidR="003C2977" w:rsidRPr="00C138A1">
        <w:rPr>
          <w:rFonts w:hint="cs"/>
          <w:rtl/>
        </w:rPr>
        <w:t>فضلا عن إمكانية</w:t>
      </w:r>
      <w:r w:rsidR="009A4B2E" w:rsidRPr="00C138A1">
        <w:rPr>
          <w:rFonts w:hint="cs"/>
          <w:rtl/>
        </w:rPr>
        <w:t xml:space="preserve"> الوصول إلى </w:t>
      </w:r>
      <w:r w:rsidR="00C63DA2" w:rsidRPr="00C138A1">
        <w:rPr>
          <w:rtl/>
        </w:rPr>
        <w:t xml:space="preserve">المواقع التي تحتوي </w:t>
      </w:r>
      <w:r w:rsidR="005F0CE0" w:rsidRPr="00C138A1">
        <w:rPr>
          <w:rFonts w:hint="cs"/>
          <w:rtl/>
        </w:rPr>
        <w:t>وثائق</w:t>
      </w:r>
      <w:r w:rsidR="00C63DA2" w:rsidRPr="00C138A1">
        <w:rPr>
          <w:rtl/>
        </w:rPr>
        <w:t xml:space="preserve"> غير متعلقة ب</w:t>
      </w:r>
      <w:r w:rsidR="005A6943" w:rsidRPr="00C138A1">
        <w:rPr>
          <w:rtl/>
        </w:rPr>
        <w:t>البراءات</w:t>
      </w:r>
      <w:r w:rsidR="005A6943" w:rsidRPr="00C138A1">
        <w:rPr>
          <w:rFonts w:hint="cs"/>
          <w:rtl/>
        </w:rPr>
        <w:t>؛</w:t>
      </w:r>
      <w:r w:rsidR="005A6943" w:rsidRPr="00C138A1">
        <w:rPr>
          <w:rtl/>
        </w:rPr>
        <w:t xml:space="preserve"> </w:t>
      </w:r>
      <w:r w:rsidR="00C63DA2" w:rsidRPr="00C138A1">
        <w:rPr>
          <w:rtl/>
        </w:rPr>
        <w:t>لا سيما قاعدة بيانات</w:t>
      </w:r>
      <w:r w:rsidR="008879CF" w:rsidRPr="00C138A1">
        <w:t xml:space="preserve">Science Direct </w:t>
      </w:r>
      <w:r w:rsidR="008879CF" w:rsidRPr="00C138A1">
        <w:rPr>
          <w:rFonts w:hint="cs"/>
          <w:rtl/>
        </w:rPr>
        <w:t xml:space="preserve"> </w:t>
      </w:r>
      <w:r w:rsidR="00C63DA2" w:rsidRPr="00C138A1">
        <w:rPr>
          <w:rtl/>
        </w:rPr>
        <w:t>متعددة الاختصاصات، و</w:t>
      </w:r>
      <w:r w:rsidR="005A6943" w:rsidRPr="00C138A1">
        <w:rPr>
          <w:rFonts w:hint="cs"/>
          <w:rtl/>
        </w:rPr>
        <w:t xml:space="preserve">قواعد البيانات </w:t>
      </w:r>
      <w:r w:rsidR="00C63DA2" w:rsidRPr="00C138A1">
        <w:rPr>
          <w:rtl/>
        </w:rPr>
        <w:t>المتعلقة بالطب و</w:t>
      </w:r>
      <w:r w:rsidR="00505483" w:rsidRPr="00C138A1">
        <w:rPr>
          <w:rFonts w:hint="cs"/>
          <w:rtl/>
        </w:rPr>
        <w:t xml:space="preserve">المستحضرات </w:t>
      </w:r>
      <w:r w:rsidR="00C63DA2" w:rsidRPr="00C138A1">
        <w:rPr>
          <w:rtl/>
        </w:rPr>
        <w:t>الصيدل</w:t>
      </w:r>
      <w:r w:rsidR="00505483" w:rsidRPr="00C138A1">
        <w:rPr>
          <w:rFonts w:hint="cs"/>
          <w:rtl/>
        </w:rPr>
        <w:t>انية</w:t>
      </w:r>
      <w:r w:rsidR="00C63DA2" w:rsidRPr="00C138A1">
        <w:rPr>
          <w:rtl/>
        </w:rPr>
        <w:t xml:space="preserve"> والكيمياء والتكنولوجيا الحيوية (</w:t>
      </w:r>
      <w:r w:rsidR="00856A0E" w:rsidRPr="00C138A1">
        <w:rPr>
          <w:rFonts w:hint="cs"/>
          <w:rtl/>
        </w:rPr>
        <w:t>مثل</w:t>
      </w:r>
      <w:r w:rsidR="00C63DA2" w:rsidRPr="00C138A1">
        <w:rPr>
          <w:rtl/>
        </w:rPr>
        <w:t xml:space="preserve">، قاعدة بيانات </w:t>
      </w:r>
      <w:r w:rsidR="00505483" w:rsidRPr="00C138A1">
        <w:t>MEDLINE</w:t>
      </w:r>
      <w:r w:rsidR="00505483" w:rsidRPr="00C138A1">
        <w:rPr>
          <w:rtl/>
        </w:rPr>
        <w:t xml:space="preserve"> </w:t>
      </w:r>
      <w:r w:rsidR="00C63DA2" w:rsidRPr="00C138A1">
        <w:rPr>
          <w:rtl/>
        </w:rPr>
        <w:t xml:space="preserve">وقواعد البيانات المتعلقة بالتكنولوجيا الحيوية </w:t>
      </w:r>
      <w:r w:rsidR="00FE4BB6" w:rsidRPr="00C138A1">
        <w:rPr>
          <w:rFonts w:hint="cs"/>
          <w:rtl/>
        </w:rPr>
        <w:t>ال</w:t>
      </w:r>
      <w:r w:rsidR="00FE4BB6" w:rsidRPr="00C138A1">
        <w:rPr>
          <w:rtl/>
        </w:rPr>
        <w:t xml:space="preserve">تابعة </w:t>
      </w:r>
      <w:r w:rsidR="00C63DA2" w:rsidRPr="00C138A1">
        <w:rPr>
          <w:rtl/>
        </w:rPr>
        <w:t>للمكتبة الوطنية الطب</w:t>
      </w:r>
      <w:r w:rsidR="00FE4BB6" w:rsidRPr="00C138A1">
        <w:rPr>
          <w:rFonts w:hint="cs"/>
          <w:rtl/>
        </w:rPr>
        <w:t>ية</w:t>
      </w:r>
      <w:r w:rsidR="00C63DA2" w:rsidRPr="00C138A1">
        <w:rPr>
          <w:rtl/>
        </w:rPr>
        <w:t xml:space="preserve"> </w:t>
      </w:r>
      <w:r w:rsidR="00A91F62" w:rsidRPr="00C138A1">
        <w:rPr>
          <w:rtl/>
        </w:rPr>
        <w:t>الأمريكية</w:t>
      </w:r>
      <w:r w:rsidR="00505483" w:rsidRPr="00C138A1">
        <w:rPr>
          <w:rFonts w:hint="cs"/>
          <w:rtl/>
        </w:rPr>
        <w:t>،</w:t>
      </w:r>
      <w:r w:rsidR="00C63DA2" w:rsidRPr="00C138A1">
        <w:rPr>
          <w:rtl/>
        </w:rPr>
        <w:t xml:space="preserve"> والمعهد الأوروبي للمعلوماتية الحيوية</w:t>
      </w:r>
      <w:r w:rsidR="002F180B" w:rsidRPr="00C138A1">
        <w:rPr>
          <w:rFonts w:hint="cs"/>
          <w:rtl/>
        </w:rPr>
        <w:t> </w:t>
      </w:r>
      <w:r w:rsidR="005D57CB" w:rsidRPr="00C138A1">
        <w:t>EBI</w:t>
      </w:r>
      <w:r w:rsidR="00C63DA2" w:rsidRPr="00C138A1">
        <w:rPr>
          <w:rtl/>
        </w:rPr>
        <w:t>)</w:t>
      </w:r>
      <w:r w:rsidR="005D57CB" w:rsidRPr="00C138A1">
        <w:rPr>
          <w:rFonts w:hint="cs"/>
          <w:rtl/>
        </w:rPr>
        <w:t>.</w:t>
      </w:r>
    </w:p>
    <w:p w:rsidR="00FE4BB6" w:rsidRPr="00C138A1" w:rsidRDefault="00FE4BB6" w:rsidP="0008509D">
      <w:pPr>
        <w:pStyle w:val="NormalParaAR"/>
        <w:rPr>
          <w:rtl/>
        </w:rPr>
      </w:pPr>
      <w:r w:rsidRPr="00C138A1">
        <w:rPr>
          <w:rtl/>
        </w:rPr>
        <w:t>وإلى جانب قواعد البيانات</w:t>
      </w:r>
      <w:r w:rsidR="00CF6A7B" w:rsidRPr="00C138A1">
        <w:rPr>
          <w:rFonts w:hint="cs"/>
          <w:rtl/>
        </w:rPr>
        <w:t xml:space="preserve"> آنفة الذكر المتاحة دون قيود</w:t>
      </w:r>
      <w:r w:rsidRPr="00C138A1">
        <w:rPr>
          <w:rtl/>
        </w:rPr>
        <w:t xml:space="preserve">، </w:t>
      </w:r>
      <w:r w:rsidR="00B4198A" w:rsidRPr="00C138A1">
        <w:rPr>
          <w:rFonts w:hint="cs"/>
          <w:rtl/>
        </w:rPr>
        <w:t>ي</w:t>
      </w:r>
      <w:r w:rsidR="001E23E7" w:rsidRPr="00C138A1">
        <w:rPr>
          <w:rFonts w:hint="cs"/>
          <w:rtl/>
        </w:rPr>
        <w:t>ُ</w:t>
      </w:r>
      <w:r w:rsidR="00B4198A" w:rsidRPr="00C138A1">
        <w:rPr>
          <w:rFonts w:hint="cs"/>
          <w:rtl/>
        </w:rPr>
        <w:t>تاح</w:t>
      </w:r>
      <w:r w:rsidRPr="00C138A1">
        <w:rPr>
          <w:rtl/>
        </w:rPr>
        <w:t xml:space="preserve"> </w:t>
      </w:r>
      <w:r w:rsidR="000810B1" w:rsidRPr="00C138A1">
        <w:rPr>
          <w:rFonts w:hint="cs"/>
          <w:rtl/>
        </w:rPr>
        <w:t>للفاحصين</w:t>
      </w:r>
      <w:r w:rsidRPr="00C138A1">
        <w:rPr>
          <w:rtl/>
        </w:rPr>
        <w:t xml:space="preserve"> الوصول إلى قواعد البيانات التجارية</w:t>
      </w:r>
      <w:r w:rsidR="001D7444" w:rsidRPr="00C138A1">
        <w:rPr>
          <w:rFonts w:hint="cs"/>
          <w:rtl/>
        </w:rPr>
        <w:t>،</w:t>
      </w:r>
      <w:r w:rsidR="00E733DC">
        <w:rPr>
          <w:rtl/>
        </w:rPr>
        <w:t xml:space="preserve"> التي توفرها شبكة</w:t>
      </w:r>
      <w:r w:rsidR="00D1266E" w:rsidRPr="00C138A1">
        <w:t xml:space="preserve">STN </w:t>
      </w:r>
      <w:r w:rsidR="00D1266E" w:rsidRPr="00C138A1">
        <w:rPr>
          <w:rFonts w:hint="cs"/>
          <w:rtl/>
        </w:rPr>
        <w:t xml:space="preserve"> </w:t>
      </w:r>
      <w:r w:rsidRPr="00C138A1">
        <w:rPr>
          <w:rtl/>
        </w:rPr>
        <w:t xml:space="preserve">الدولية، </w:t>
      </w:r>
      <w:r w:rsidR="001D7444" w:rsidRPr="00C138A1">
        <w:rPr>
          <w:rFonts w:hint="cs"/>
          <w:rtl/>
        </w:rPr>
        <w:t>وتضم</w:t>
      </w:r>
      <w:r w:rsidRPr="00C138A1">
        <w:rPr>
          <w:rtl/>
        </w:rPr>
        <w:t xml:space="preserve"> </w:t>
      </w:r>
      <w:r w:rsidR="001E23E7" w:rsidRPr="00C138A1">
        <w:rPr>
          <w:rFonts w:hint="cs"/>
          <w:rtl/>
        </w:rPr>
        <w:t xml:space="preserve">كلا من </w:t>
      </w:r>
      <w:r w:rsidR="0009490E" w:rsidRPr="00C138A1">
        <w:rPr>
          <w:rFonts w:hint="cs"/>
          <w:rtl/>
        </w:rPr>
        <w:t>الوثائق المتعلقة بال</w:t>
      </w:r>
      <w:r w:rsidRPr="00C138A1">
        <w:rPr>
          <w:rtl/>
        </w:rPr>
        <w:t>براءات و</w:t>
      </w:r>
      <w:r w:rsidR="00006988" w:rsidRPr="00C138A1">
        <w:rPr>
          <w:rFonts w:hint="cs"/>
          <w:rtl/>
        </w:rPr>
        <w:t xml:space="preserve">الوثائق </w:t>
      </w:r>
      <w:r w:rsidRPr="00C138A1">
        <w:rPr>
          <w:rtl/>
        </w:rPr>
        <w:t xml:space="preserve">غير </w:t>
      </w:r>
      <w:r w:rsidR="00006988" w:rsidRPr="00C138A1">
        <w:rPr>
          <w:rFonts w:hint="cs"/>
          <w:rtl/>
        </w:rPr>
        <w:t xml:space="preserve">المتعلقة </w:t>
      </w:r>
      <w:r w:rsidR="001D7444" w:rsidRPr="00C138A1">
        <w:rPr>
          <w:rFonts w:hint="cs"/>
          <w:rtl/>
        </w:rPr>
        <w:t>بها</w:t>
      </w:r>
      <w:r w:rsidRPr="00C138A1">
        <w:rPr>
          <w:rtl/>
        </w:rPr>
        <w:t>؛</w:t>
      </w:r>
      <w:r w:rsidR="00006988" w:rsidRPr="00C138A1">
        <w:rPr>
          <w:rFonts w:hint="cs"/>
          <w:rtl/>
        </w:rPr>
        <w:t xml:space="preserve"> </w:t>
      </w:r>
      <w:r w:rsidR="00B4198A" w:rsidRPr="00C138A1">
        <w:rPr>
          <w:rFonts w:hint="cs"/>
          <w:rtl/>
        </w:rPr>
        <w:t xml:space="preserve">وإلى </w:t>
      </w:r>
      <w:r w:rsidRPr="00C138A1">
        <w:rPr>
          <w:rtl/>
        </w:rPr>
        <w:t>قاعدة بيانات الملخصات</w:t>
      </w:r>
      <w:r w:rsidR="0008509D" w:rsidRPr="00C138A1">
        <w:rPr>
          <w:rFonts w:hint="cs"/>
          <w:rtl/>
        </w:rPr>
        <w:t> </w:t>
      </w:r>
      <w:r w:rsidR="00006988" w:rsidRPr="00C138A1">
        <w:t>«RZ VINITI»</w:t>
      </w:r>
      <w:r w:rsidRPr="00C138A1">
        <w:rPr>
          <w:rtl/>
        </w:rPr>
        <w:t>.</w:t>
      </w:r>
    </w:p>
    <w:p w:rsidR="00672058" w:rsidRPr="00C138A1" w:rsidRDefault="001A6C38" w:rsidP="00BE7404">
      <w:pPr>
        <w:pStyle w:val="NormalParaAR"/>
        <w:rPr>
          <w:rtl/>
        </w:rPr>
      </w:pPr>
      <w:r w:rsidRPr="00606DFF">
        <w:rPr>
          <w:rFonts w:hint="cs"/>
          <w:rtl/>
        </w:rPr>
        <w:lastRenderedPageBreak/>
        <w:t>وحيثما يلزم</w:t>
      </w:r>
      <w:r w:rsidR="00672058" w:rsidRPr="00606DFF">
        <w:rPr>
          <w:rtl/>
        </w:rPr>
        <w:t xml:space="preserve">، يمكن </w:t>
      </w:r>
      <w:r w:rsidR="008D34CC" w:rsidRPr="00606DFF">
        <w:rPr>
          <w:rFonts w:hint="cs"/>
          <w:rtl/>
        </w:rPr>
        <w:t>ا</w:t>
      </w:r>
      <w:r w:rsidR="00672058" w:rsidRPr="00606DFF">
        <w:rPr>
          <w:rtl/>
        </w:rPr>
        <w:t>ستكم</w:t>
      </w:r>
      <w:r w:rsidR="008D34CC" w:rsidRPr="00606DFF">
        <w:rPr>
          <w:rFonts w:hint="cs"/>
          <w:rtl/>
        </w:rPr>
        <w:t>ا</w:t>
      </w:r>
      <w:r w:rsidR="00672058" w:rsidRPr="00606DFF">
        <w:rPr>
          <w:rtl/>
        </w:rPr>
        <w:t xml:space="preserve">ل البحث الآلي بالبحث التقليدي في مجموعات البراءات الورقية أو </w:t>
      </w:r>
      <w:r w:rsidR="00740705" w:rsidRPr="00606DFF">
        <w:rPr>
          <w:rFonts w:hint="cs"/>
          <w:rtl/>
        </w:rPr>
        <w:t>في</w:t>
      </w:r>
      <w:r w:rsidRPr="00606DFF">
        <w:rPr>
          <w:rFonts w:hint="cs"/>
          <w:rtl/>
        </w:rPr>
        <w:t xml:space="preserve"> </w:t>
      </w:r>
      <w:r w:rsidR="004171B2" w:rsidRPr="00606DFF">
        <w:rPr>
          <w:rFonts w:hint="cs"/>
          <w:rtl/>
        </w:rPr>
        <w:t>الأقراص الضوئية</w:t>
      </w:r>
      <w:r w:rsidR="00672058" w:rsidRPr="00606DFF">
        <w:rPr>
          <w:rtl/>
        </w:rPr>
        <w:t xml:space="preserve"> المتاحة </w:t>
      </w:r>
      <w:r w:rsidR="00740705" w:rsidRPr="00606DFF">
        <w:rPr>
          <w:rFonts w:hint="cs"/>
          <w:rtl/>
        </w:rPr>
        <w:t>في</w:t>
      </w:r>
      <w:r w:rsidR="00672058" w:rsidRPr="00606DFF">
        <w:rPr>
          <w:rtl/>
        </w:rPr>
        <w:t xml:space="preserve"> </w:t>
      </w:r>
      <w:r w:rsidR="00E3507F" w:rsidRPr="00606DFF">
        <w:rPr>
          <w:rFonts w:hint="cs"/>
          <w:rtl/>
        </w:rPr>
        <w:t>جم</w:t>
      </w:r>
      <w:r w:rsidR="00BE7404" w:rsidRPr="00606DFF">
        <w:rPr>
          <w:rFonts w:hint="cs"/>
          <w:rtl/>
        </w:rPr>
        <w:t>يع م</w:t>
      </w:r>
      <w:r w:rsidR="00672058" w:rsidRPr="00606DFF">
        <w:rPr>
          <w:rtl/>
        </w:rPr>
        <w:t>جموع</w:t>
      </w:r>
      <w:r w:rsidR="00457565" w:rsidRPr="00606DFF">
        <w:rPr>
          <w:rFonts w:hint="cs"/>
          <w:rtl/>
        </w:rPr>
        <w:t>ات</w:t>
      </w:r>
      <w:r w:rsidR="00672058" w:rsidRPr="00606DFF">
        <w:rPr>
          <w:rtl/>
        </w:rPr>
        <w:t xml:space="preserve"> </w:t>
      </w:r>
      <w:r w:rsidR="00BE7404" w:rsidRPr="00606DFF">
        <w:rPr>
          <w:rFonts w:hint="cs"/>
          <w:rtl/>
        </w:rPr>
        <w:t>المكتبة الروسية لل</w:t>
      </w:r>
      <w:r w:rsidR="00F2320D" w:rsidRPr="00606DFF">
        <w:rPr>
          <w:rtl/>
        </w:rPr>
        <w:t xml:space="preserve">براءات </w:t>
      </w:r>
      <w:r w:rsidR="00853064" w:rsidRPr="00606DFF">
        <w:rPr>
          <w:rFonts w:hint="cs"/>
          <w:rtl/>
        </w:rPr>
        <w:t>والعلوم</w:t>
      </w:r>
      <w:r w:rsidR="005E76CF" w:rsidRPr="00606DFF">
        <w:rPr>
          <w:rFonts w:hint="cs"/>
          <w:rtl/>
        </w:rPr>
        <w:t xml:space="preserve"> التقنية</w:t>
      </w:r>
      <w:r w:rsidR="00672058" w:rsidRPr="00606DFF">
        <w:rPr>
          <w:rtl/>
        </w:rPr>
        <w:t xml:space="preserve">. </w:t>
      </w:r>
      <w:r w:rsidR="00287E0C" w:rsidRPr="00606DFF">
        <w:rPr>
          <w:rFonts w:hint="cs"/>
          <w:rtl/>
        </w:rPr>
        <w:t>ومن خلال</w:t>
      </w:r>
      <w:r w:rsidR="00672058" w:rsidRPr="00606DFF">
        <w:rPr>
          <w:rtl/>
        </w:rPr>
        <w:t xml:space="preserve"> </w:t>
      </w:r>
      <w:r w:rsidR="001178A3" w:rsidRPr="00606DFF">
        <w:rPr>
          <w:rFonts w:hint="cs"/>
          <w:rtl/>
        </w:rPr>
        <w:t>الاشتراك</w:t>
      </w:r>
      <w:r w:rsidR="00672058" w:rsidRPr="00606DFF">
        <w:rPr>
          <w:rtl/>
        </w:rPr>
        <w:t xml:space="preserve"> بين المكتبات </w:t>
      </w:r>
      <w:r w:rsidR="00287E0C" w:rsidRPr="00606DFF">
        <w:rPr>
          <w:rFonts w:hint="cs"/>
          <w:rtl/>
        </w:rPr>
        <w:t>وإرسال</w:t>
      </w:r>
      <w:r w:rsidR="00287E0C" w:rsidRPr="00606DFF">
        <w:rPr>
          <w:rtl/>
        </w:rPr>
        <w:t xml:space="preserve"> الوثائق </w:t>
      </w:r>
      <w:r w:rsidR="00672058" w:rsidRPr="00606DFF">
        <w:rPr>
          <w:rtl/>
        </w:rPr>
        <w:t>إلكتروني</w:t>
      </w:r>
      <w:r w:rsidR="00287E0C" w:rsidRPr="00606DFF">
        <w:rPr>
          <w:rFonts w:hint="cs"/>
          <w:rtl/>
        </w:rPr>
        <w:t>ا</w:t>
      </w:r>
      <w:r w:rsidR="00672058" w:rsidRPr="00606DFF">
        <w:rPr>
          <w:rtl/>
        </w:rPr>
        <w:t xml:space="preserve">، </w:t>
      </w:r>
      <w:r w:rsidR="00287E0C" w:rsidRPr="00606DFF">
        <w:rPr>
          <w:rFonts w:hint="cs"/>
          <w:rtl/>
        </w:rPr>
        <w:t>يمكن</w:t>
      </w:r>
      <w:r w:rsidR="001178A3" w:rsidRPr="00606DFF">
        <w:rPr>
          <w:rFonts w:hint="cs"/>
          <w:rtl/>
        </w:rPr>
        <w:t xml:space="preserve"> </w:t>
      </w:r>
      <w:r w:rsidR="00287E0C" w:rsidRPr="00606DFF">
        <w:rPr>
          <w:rFonts w:hint="cs"/>
          <w:rtl/>
        </w:rPr>
        <w:t>ل</w:t>
      </w:r>
      <w:r w:rsidR="001178A3" w:rsidRPr="00606DFF">
        <w:rPr>
          <w:rtl/>
        </w:rPr>
        <w:t>ل</w:t>
      </w:r>
      <w:r w:rsidR="00672058" w:rsidRPr="00606DFF">
        <w:rPr>
          <w:rtl/>
        </w:rPr>
        <w:t>فاحص</w:t>
      </w:r>
      <w:r w:rsidR="00287E0C" w:rsidRPr="00606DFF">
        <w:rPr>
          <w:rFonts w:hint="cs"/>
          <w:rtl/>
        </w:rPr>
        <w:t>ي</w:t>
      </w:r>
      <w:r w:rsidR="00672058" w:rsidRPr="00606DFF">
        <w:rPr>
          <w:rtl/>
        </w:rPr>
        <w:t xml:space="preserve">ن </w:t>
      </w:r>
      <w:r w:rsidR="00287E0C" w:rsidRPr="00606DFF">
        <w:rPr>
          <w:rFonts w:hint="cs"/>
          <w:rtl/>
        </w:rPr>
        <w:t xml:space="preserve">الحصول </w:t>
      </w:r>
      <w:r w:rsidR="00672058" w:rsidRPr="00606DFF">
        <w:rPr>
          <w:rtl/>
        </w:rPr>
        <w:t>على المواد اللازمة بشأن الوثائق غير</w:t>
      </w:r>
      <w:r w:rsidR="00672058" w:rsidRPr="00C138A1">
        <w:rPr>
          <w:rtl/>
        </w:rPr>
        <w:t xml:space="preserve"> المتعلقة بالبراءات من </w:t>
      </w:r>
      <w:r w:rsidR="00336596" w:rsidRPr="00C138A1">
        <w:rPr>
          <w:rtl/>
        </w:rPr>
        <w:t xml:space="preserve">أكبر </w:t>
      </w:r>
      <w:r w:rsidR="00672058" w:rsidRPr="00C138A1">
        <w:rPr>
          <w:rtl/>
        </w:rPr>
        <w:t>ثماني مكتبات في موسكو</w:t>
      </w:r>
      <w:r w:rsidR="000E1DDE" w:rsidRPr="00C138A1">
        <w:rPr>
          <w:rFonts w:hint="cs"/>
          <w:rtl/>
        </w:rPr>
        <w:t>.</w:t>
      </w:r>
    </w:p>
    <w:p w:rsidR="00CB23B2" w:rsidRPr="00C138A1" w:rsidRDefault="00CB23B2" w:rsidP="00CB23B2">
      <w:pPr>
        <w:pStyle w:val="NormalParaAR"/>
        <w:rPr>
          <w:b/>
          <w:bCs/>
          <w:rtl/>
          <w:lang w:val="en-GB"/>
        </w:rPr>
      </w:pPr>
      <w:r w:rsidRPr="00C138A1">
        <w:rPr>
          <w:rFonts w:hint="cs"/>
          <w:b/>
          <w:bCs/>
          <w:rtl/>
          <w:lang w:val="en-GB"/>
        </w:rPr>
        <w:t xml:space="preserve">وتنص </w:t>
      </w:r>
      <w:r w:rsidRPr="00C138A1">
        <w:rPr>
          <w:b/>
          <w:bCs/>
          <w:rtl/>
          <w:lang w:val="en-GB"/>
        </w:rPr>
        <w:t>القاعد</w:t>
      </w:r>
      <w:r w:rsidRPr="00C138A1">
        <w:rPr>
          <w:rFonts w:hint="cs"/>
          <w:b/>
          <w:bCs/>
          <w:rtl/>
          <w:lang w:val="en-GB"/>
        </w:rPr>
        <w:t>ة</w:t>
      </w:r>
      <w:r w:rsidRPr="00C138A1">
        <w:rPr>
          <w:b/>
          <w:bCs/>
          <w:rtl/>
          <w:lang w:val="en-GB"/>
        </w:rPr>
        <w:t> 1.36"</w:t>
      </w:r>
      <w:r w:rsidRPr="00C138A1">
        <w:rPr>
          <w:rFonts w:hint="cs"/>
          <w:b/>
          <w:bCs/>
          <w:rtl/>
          <w:lang w:val="en-GB"/>
        </w:rPr>
        <w:t>3</w:t>
      </w:r>
      <w:r w:rsidRPr="00C138A1">
        <w:rPr>
          <w:b/>
          <w:bCs/>
          <w:rtl/>
          <w:lang w:val="en-GB"/>
        </w:rPr>
        <w:t>"،</w:t>
      </w:r>
      <w:r w:rsidRPr="00C138A1">
        <w:rPr>
          <w:rFonts w:hint="cs"/>
          <w:b/>
          <w:bCs/>
          <w:rtl/>
          <w:lang w:val="en-GB"/>
        </w:rPr>
        <w:t xml:space="preserve"> على </w:t>
      </w:r>
      <w:r w:rsidRPr="00C138A1">
        <w:rPr>
          <w:b/>
          <w:bCs/>
          <w:rtl/>
          <w:lang w:val="en-GB"/>
        </w:rPr>
        <w:t>أنه</w:t>
      </w:r>
      <w:r w:rsidRPr="00C138A1">
        <w:rPr>
          <w:rFonts w:hint="cs"/>
          <w:b/>
          <w:bCs/>
          <w:rtl/>
          <w:lang w:val="en-GB"/>
        </w:rPr>
        <w:t xml:space="preserve">: </w:t>
      </w:r>
      <w:r w:rsidRPr="00C138A1">
        <w:rPr>
          <w:b/>
          <w:bCs/>
          <w:rtl/>
          <w:lang w:val="en-GB"/>
        </w:rPr>
        <w:t>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r w:rsidRPr="00C138A1">
        <w:rPr>
          <w:rFonts w:hint="cs"/>
          <w:b/>
          <w:bCs/>
          <w:rtl/>
          <w:lang w:val="en-GB"/>
        </w:rPr>
        <w:t>.</w:t>
      </w:r>
    </w:p>
    <w:p w:rsidR="00CB23B2" w:rsidRPr="00C138A1" w:rsidRDefault="00CB23B2" w:rsidP="00776B83">
      <w:pPr>
        <w:pStyle w:val="NormalParaAR"/>
        <w:tabs>
          <w:tab w:val="left" w:pos="355"/>
        </w:tabs>
        <w:rPr>
          <w:b/>
          <w:bCs/>
          <w:rtl/>
        </w:rPr>
      </w:pPr>
      <w:r w:rsidRPr="00C138A1">
        <w:rPr>
          <w:b/>
          <w:bCs/>
          <w:rtl/>
        </w:rPr>
        <w:t>اللغة(اللغات) التي يمكن بها إيداع الطلبات ال</w:t>
      </w:r>
      <w:r w:rsidRPr="00C138A1">
        <w:rPr>
          <w:rFonts w:hint="cs"/>
          <w:b/>
          <w:bCs/>
          <w:rtl/>
        </w:rPr>
        <w:t>وطنية</w:t>
      </w:r>
      <w:r w:rsidRPr="00C138A1">
        <w:rPr>
          <w:b/>
          <w:bCs/>
          <w:rtl/>
        </w:rPr>
        <w:t xml:space="preserve"> ومعالجتها:</w:t>
      </w:r>
    </w:p>
    <w:p w:rsidR="00776B83" w:rsidRPr="00C138A1" w:rsidRDefault="00776B83" w:rsidP="00776B83">
      <w:pPr>
        <w:pStyle w:val="NormalParaAR"/>
        <w:tabs>
          <w:tab w:val="left" w:pos="355"/>
        </w:tabs>
        <w:rPr>
          <w:b/>
          <w:bCs/>
          <w:rtl/>
        </w:rPr>
      </w:pPr>
      <w:r w:rsidRPr="00C138A1">
        <w:rPr>
          <w:rFonts w:hint="cs"/>
          <w:rtl/>
        </w:rPr>
        <w:t>الروسية</w:t>
      </w:r>
    </w:p>
    <w:p w:rsidR="00776B83" w:rsidRPr="00C138A1" w:rsidRDefault="00CB23B2" w:rsidP="00CB23B2">
      <w:pPr>
        <w:pStyle w:val="NormalParaAR"/>
        <w:tabs>
          <w:tab w:val="left" w:pos="355"/>
        </w:tabs>
        <w:rPr>
          <w:b/>
          <w:bCs/>
          <w:rtl/>
        </w:rPr>
      </w:pPr>
      <w:r w:rsidRPr="00C138A1">
        <w:rPr>
          <w:b/>
          <w:bCs/>
          <w:rtl/>
        </w:rPr>
        <w:t>اللغات الأخرى التي يتقنها عدد كبير من الفاحصين الخدمات المتاحة للمساعدة في البحث أو فهم حالة التقنية السابقة بلغات</w:t>
      </w:r>
      <w:r w:rsidRPr="00C138A1">
        <w:rPr>
          <w:rFonts w:hint="cs"/>
          <w:b/>
          <w:bCs/>
          <w:rtl/>
        </w:rPr>
        <w:t> </w:t>
      </w:r>
      <w:r w:rsidRPr="00C138A1">
        <w:rPr>
          <w:b/>
          <w:bCs/>
          <w:rtl/>
        </w:rPr>
        <w:t>أخرى</w:t>
      </w:r>
      <w:r w:rsidR="004E5E3F" w:rsidRPr="00C138A1">
        <w:rPr>
          <w:b/>
          <w:bCs/>
          <w:rtl/>
        </w:rPr>
        <w:t>:</w:t>
      </w:r>
    </w:p>
    <w:p w:rsidR="00776B83" w:rsidRPr="00C138A1" w:rsidRDefault="003B21C3" w:rsidP="00FA366A">
      <w:pPr>
        <w:pStyle w:val="NormalParaAR"/>
        <w:rPr>
          <w:rtl/>
        </w:rPr>
      </w:pPr>
      <w:r w:rsidRPr="00C138A1">
        <w:rPr>
          <w:rFonts w:hint="cs"/>
          <w:rtl/>
        </w:rPr>
        <w:t xml:space="preserve">يمتع </w:t>
      </w:r>
      <w:r w:rsidR="004E5E3F" w:rsidRPr="00C138A1">
        <w:rPr>
          <w:rtl/>
        </w:rPr>
        <w:t xml:space="preserve">جميع الفاحصين </w:t>
      </w:r>
      <w:r w:rsidR="00F06C33" w:rsidRPr="00C138A1">
        <w:rPr>
          <w:rFonts w:hint="cs"/>
          <w:rtl/>
        </w:rPr>
        <w:t>بم</w:t>
      </w:r>
      <w:r w:rsidR="004E5E3F" w:rsidRPr="00C138A1">
        <w:rPr>
          <w:rtl/>
        </w:rPr>
        <w:t xml:space="preserve">هارات لغوية كافية </w:t>
      </w:r>
      <w:r w:rsidR="00F06C33" w:rsidRPr="00C138A1">
        <w:rPr>
          <w:rFonts w:hint="cs"/>
          <w:rtl/>
        </w:rPr>
        <w:t>للاضطلاع</w:t>
      </w:r>
      <w:r w:rsidR="004E5E3F" w:rsidRPr="00C138A1">
        <w:rPr>
          <w:rtl/>
        </w:rPr>
        <w:t xml:space="preserve"> </w:t>
      </w:r>
      <w:r w:rsidR="00F06C33" w:rsidRPr="00C138A1">
        <w:rPr>
          <w:rFonts w:hint="cs"/>
          <w:rtl/>
        </w:rPr>
        <w:t>ب</w:t>
      </w:r>
      <w:r w:rsidR="004E5E3F" w:rsidRPr="00C138A1">
        <w:rPr>
          <w:rtl/>
        </w:rPr>
        <w:t xml:space="preserve">البحث والفحص، </w:t>
      </w:r>
      <w:r w:rsidR="00B23E44" w:rsidRPr="00C138A1">
        <w:rPr>
          <w:rFonts w:hint="cs"/>
          <w:rtl/>
        </w:rPr>
        <w:t>وتأتي اللغة</w:t>
      </w:r>
      <w:r w:rsidR="00B23E44" w:rsidRPr="00C138A1">
        <w:rPr>
          <w:rtl/>
        </w:rPr>
        <w:t xml:space="preserve"> الإنجليزية</w:t>
      </w:r>
      <w:r w:rsidR="00B23E44" w:rsidRPr="00C138A1">
        <w:rPr>
          <w:rFonts w:hint="cs"/>
          <w:rtl/>
        </w:rPr>
        <w:t xml:space="preserve"> </w:t>
      </w:r>
      <w:r w:rsidR="00F06C33" w:rsidRPr="00C138A1">
        <w:rPr>
          <w:rFonts w:hint="cs"/>
          <w:rtl/>
        </w:rPr>
        <w:t>في المقام الأول</w:t>
      </w:r>
      <w:r w:rsidR="004E5E3F" w:rsidRPr="00C138A1">
        <w:rPr>
          <w:rtl/>
        </w:rPr>
        <w:t xml:space="preserve">. ويتاح </w:t>
      </w:r>
      <w:r w:rsidR="006F1065" w:rsidRPr="00C138A1">
        <w:rPr>
          <w:rFonts w:hint="cs"/>
          <w:rtl/>
        </w:rPr>
        <w:t>للفاحصين</w:t>
      </w:r>
      <w:r w:rsidR="004E5E3F" w:rsidRPr="00C138A1">
        <w:rPr>
          <w:rtl/>
        </w:rPr>
        <w:t xml:space="preserve"> الوصول إلى نظام الترجمة الآلية (</w:t>
      </w:r>
      <w:r w:rsidR="006F1065" w:rsidRPr="00C138A1">
        <w:t>PROMT Professional 11.0</w:t>
      </w:r>
      <w:r w:rsidR="004E5E3F" w:rsidRPr="00C138A1">
        <w:rPr>
          <w:rtl/>
        </w:rPr>
        <w:t>)</w:t>
      </w:r>
      <w:r w:rsidR="00FA366A" w:rsidRPr="00C138A1">
        <w:rPr>
          <w:rFonts w:hint="cs"/>
          <w:rtl/>
        </w:rPr>
        <w:t>.</w:t>
      </w:r>
      <w:r w:rsidR="00606DFF">
        <w:rPr>
          <w:rFonts w:hint="cs"/>
          <w:rtl/>
        </w:rPr>
        <w:t xml:space="preserve"> </w:t>
      </w:r>
      <w:r w:rsidR="00CB23B2" w:rsidRPr="00C138A1">
        <w:rPr>
          <w:rFonts w:hint="cs"/>
          <w:rtl/>
        </w:rPr>
        <w:t>و</w:t>
      </w:r>
      <w:r w:rsidR="004E5E3F" w:rsidRPr="00C138A1">
        <w:rPr>
          <w:rtl/>
        </w:rPr>
        <w:t>يو</w:t>
      </w:r>
      <w:r w:rsidR="00CB23B2" w:rsidRPr="00C138A1">
        <w:rPr>
          <w:rFonts w:hint="cs"/>
          <w:rtl/>
        </w:rPr>
        <w:t>ج</w:t>
      </w:r>
      <w:r w:rsidR="00CB23B2" w:rsidRPr="00C138A1">
        <w:rPr>
          <w:rtl/>
        </w:rPr>
        <w:t>د في المكتب مجموعة من</w:t>
      </w:r>
      <w:r w:rsidR="00CB23B2" w:rsidRPr="00C138A1">
        <w:rPr>
          <w:rFonts w:hint="cs"/>
          <w:rtl/>
        </w:rPr>
        <w:t xml:space="preserve"> </w:t>
      </w:r>
      <w:r w:rsidR="003D6365" w:rsidRPr="00C138A1">
        <w:rPr>
          <w:rtl/>
        </w:rPr>
        <w:t>المترجمين</w:t>
      </w:r>
      <w:r w:rsidR="004E5E3F" w:rsidRPr="00C138A1">
        <w:rPr>
          <w:rtl/>
        </w:rPr>
        <w:t xml:space="preserve"> للغات الأوروبية</w:t>
      </w:r>
      <w:r w:rsidR="00314CCE" w:rsidRPr="00C138A1">
        <w:rPr>
          <w:rFonts w:hint="cs"/>
          <w:rtl/>
        </w:rPr>
        <w:t>،</w:t>
      </w:r>
      <w:r w:rsidR="00CB23B2" w:rsidRPr="00C138A1">
        <w:rPr>
          <w:rFonts w:hint="cs"/>
          <w:rtl/>
        </w:rPr>
        <w:t xml:space="preserve"> الذين </w:t>
      </w:r>
      <w:r w:rsidR="00314CCE" w:rsidRPr="00C138A1">
        <w:rPr>
          <w:rFonts w:hint="cs"/>
          <w:rtl/>
        </w:rPr>
        <w:t>يمكنهم مساعدة</w:t>
      </w:r>
      <w:r w:rsidR="004E5E3F" w:rsidRPr="00C138A1">
        <w:rPr>
          <w:rtl/>
        </w:rPr>
        <w:t xml:space="preserve"> الفاحصين </w:t>
      </w:r>
      <w:r w:rsidR="00B32EC6" w:rsidRPr="00C138A1">
        <w:rPr>
          <w:rFonts w:hint="cs"/>
          <w:rtl/>
        </w:rPr>
        <w:t>في</w:t>
      </w:r>
      <w:r w:rsidR="004E5E3F" w:rsidRPr="00C138A1">
        <w:rPr>
          <w:rtl/>
        </w:rPr>
        <w:t xml:space="preserve"> فهم الوثائق </w:t>
      </w:r>
      <w:r w:rsidR="00CB23B2" w:rsidRPr="00C138A1">
        <w:rPr>
          <w:rFonts w:hint="cs"/>
          <w:rtl/>
        </w:rPr>
        <w:t>الم</w:t>
      </w:r>
      <w:r w:rsidR="00B23E44" w:rsidRPr="00C138A1">
        <w:rPr>
          <w:rFonts w:hint="cs"/>
          <w:rtl/>
        </w:rPr>
        <w:t>ستردة</w:t>
      </w:r>
      <w:r w:rsidR="004E5E3F" w:rsidRPr="00C138A1">
        <w:rPr>
          <w:rtl/>
        </w:rPr>
        <w:t xml:space="preserve">. إلى جانب ذلك، </w:t>
      </w:r>
      <w:r w:rsidR="00470D99" w:rsidRPr="00C138A1">
        <w:rPr>
          <w:rFonts w:hint="cs"/>
          <w:rtl/>
        </w:rPr>
        <w:t>تستعين</w:t>
      </w:r>
      <w:r w:rsidR="00CB23B2" w:rsidRPr="00C138A1">
        <w:rPr>
          <w:rFonts w:hint="cs"/>
          <w:rtl/>
        </w:rPr>
        <w:t xml:space="preserve"> الدائرة الروسية</w:t>
      </w:r>
      <w:r w:rsidR="00EC0D1C" w:rsidRPr="00C138A1">
        <w:t xml:space="preserve"> </w:t>
      </w:r>
      <w:r w:rsidR="00470D99" w:rsidRPr="00C138A1">
        <w:rPr>
          <w:rFonts w:hint="cs"/>
          <w:rtl/>
        </w:rPr>
        <w:t>ب</w:t>
      </w:r>
      <w:r w:rsidR="004E5E3F" w:rsidRPr="00C138A1">
        <w:rPr>
          <w:rtl/>
        </w:rPr>
        <w:t xml:space="preserve">خدمات </w:t>
      </w:r>
      <w:r w:rsidR="00EF2EB5" w:rsidRPr="00C138A1">
        <w:rPr>
          <w:rFonts w:hint="cs"/>
          <w:rtl/>
        </w:rPr>
        <w:t>ال</w:t>
      </w:r>
      <w:r w:rsidR="004E5E3F" w:rsidRPr="00C138A1">
        <w:rPr>
          <w:rtl/>
        </w:rPr>
        <w:t xml:space="preserve">مصادر </w:t>
      </w:r>
      <w:r w:rsidR="00EF2EB5" w:rsidRPr="00C138A1">
        <w:rPr>
          <w:rFonts w:hint="cs"/>
          <w:rtl/>
        </w:rPr>
        <w:t>ال</w:t>
      </w:r>
      <w:r w:rsidR="00EF2EB5" w:rsidRPr="00C138A1">
        <w:rPr>
          <w:rtl/>
        </w:rPr>
        <w:t xml:space="preserve">خارجية </w:t>
      </w:r>
      <w:r w:rsidR="00EF2EB5" w:rsidRPr="00C138A1">
        <w:rPr>
          <w:rFonts w:hint="cs"/>
          <w:rtl/>
        </w:rPr>
        <w:t xml:space="preserve">في </w:t>
      </w:r>
      <w:r w:rsidR="004E5E3F" w:rsidRPr="00C138A1">
        <w:rPr>
          <w:rtl/>
        </w:rPr>
        <w:t>ترجمة الآراء المكتوبة إلى اللغة الإنجليزية.</w:t>
      </w:r>
    </w:p>
    <w:p w:rsidR="00FA366A" w:rsidRPr="00C138A1" w:rsidRDefault="00FA366A" w:rsidP="00FA366A">
      <w:pPr>
        <w:pStyle w:val="SectionHeading"/>
        <w:bidi/>
        <w:rPr>
          <w:rFonts w:ascii="Arabic Typesetting" w:hAnsi="Arabic Typesetting" w:cs="Arabic Typesetting"/>
          <w:sz w:val="40"/>
          <w:szCs w:val="40"/>
          <w:lang w:val="en-GB"/>
        </w:rPr>
      </w:pPr>
      <w:r w:rsidRPr="00C138A1">
        <w:rPr>
          <w:rFonts w:ascii="Arabic Typesetting" w:hAnsi="Arabic Typesetting" w:cs="Arabic Typesetting" w:hint="cs"/>
          <w:sz w:val="40"/>
          <w:szCs w:val="40"/>
          <w:rtl/>
          <w:lang w:val="en-GB"/>
        </w:rPr>
        <w:t xml:space="preserve">2.2 </w:t>
      </w:r>
      <w:r w:rsidRPr="00C138A1">
        <w:rPr>
          <w:rFonts w:ascii="Arabic Typesetting" w:hAnsi="Arabic Typesetting" w:cs="Arabic Typesetting"/>
          <w:sz w:val="40"/>
          <w:szCs w:val="40"/>
          <w:rtl/>
          <w:lang w:val="en-GB"/>
        </w:rPr>
        <w:t xml:space="preserve">- </w:t>
      </w:r>
      <w:r w:rsidRPr="00C138A1">
        <w:rPr>
          <w:rFonts w:ascii="Arabic Typesetting" w:hAnsi="Arabic Typesetting" w:cs="Arabic Typesetting"/>
          <w:sz w:val="40"/>
          <w:szCs w:val="40"/>
          <w:rtl/>
        </w:rPr>
        <w:t>إدارة الجودة</w:t>
      </w:r>
    </w:p>
    <w:p w:rsidR="00FA366A" w:rsidRPr="00C138A1" w:rsidRDefault="00FA366A" w:rsidP="00FA366A">
      <w:pPr>
        <w:pStyle w:val="NormalParaAR"/>
        <w:rPr>
          <w:b/>
          <w:bCs/>
          <w:rtl/>
        </w:rPr>
      </w:pPr>
      <w:r w:rsidRPr="00C138A1">
        <w:rPr>
          <w:b/>
          <w:bCs/>
          <w:rtl/>
        </w:rPr>
        <w:t>وتنص القاعدتان 1.36"</w:t>
      </w:r>
      <w:r w:rsidRPr="00C138A1">
        <w:rPr>
          <w:rFonts w:hint="cs"/>
          <w:b/>
          <w:bCs/>
          <w:rtl/>
        </w:rPr>
        <w:t>4</w:t>
      </w:r>
      <w:r w:rsidRPr="00C138A1">
        <w:rPr>
          <w:b/>
          <w:bCs/>
          <w:rtl/>
        </w:rPr>
        <w:t>" و1.63"</w:t>
      </w:r>
      <w:r w:rsidRPr="00C138A1">
        <w:rPr>
          <w:rFonts w:hint="cs"/>
          <w:b/>
          <w:bCs/>
          <w:rtl/>
        </w:rPr>
        <w:t>4</w:t>
      </w:r>
      <w:r w:rsidRPr="00C138A1">
        <w:rPr>
          <w:b/>
          <w:bCs/>
          <w:rtl/>
        </w:rPr>
        <w:t>"، على أنه:</w:t>
      </w:r>
      <w:r w:rsidRPr="00C138A1">
        <w:rPr>
          <w:rFonts w:hint="cs"/>
          <w:b/>
          <w:bCs/>
          <w:rtl/>
        </w:rPr>
        <w:t xml:space="preserve"> </w:t>
      </w:r>
      <w:r w:rsidRPr="00C138A1">
        <w:rPr>
          <w:b/>
          <w:bCs/>
          <w:rtl/>
        </w:rPr>
        <w:t>يجب أن يكون لدى المكتب الوطني أو المنظمة الحكومية الدولية نظام لإدارة الجودة وترتيبات داخلية للمراجعة وفقا لقواعد البحث الدولي المشتركة</w:t>
      </w:r>
      <w:r w:rsidRPr="00C138A1">
        <w:rPr>
          <w:rFonts w:hint="cs"/>
          <w:b/>
          <w:bCs/>
          <w:rtl/>
        </w:rPr>
        <w:t>.</w:t>
      </w:r>
    </w:p>
    <w:p w:rsidR="00450CC9" w:rsidRPr="00C138A1" w:rsidRDefault="00DD14C7" w:rsidP="003C2955">
      <w:pPr>
        <w:pStyle w:val="NormalParaAR"/>
        <w:spacing w:after="60"/>
        <w:rPr>
          <w:rtl/>
        </w:rPr>
      </w:pPr>
      <w:r w:rsidRPr="00C138A1">
        <w:rPr>
          <w:rtl/>
        </w:rPr>
        <w:t>و</w:t>
      </w:r>
      <w:r w:rsidR="00450CC9" w:rsidRPr="00C138A1">
        <w:rPr>
          <w:rtl/>
        </w:rPr>
        <w:t>يمكن الاطلاع على تقرير نظام إدارة الجودة</w:t>
      </w:r>
      <w:r w:rsidR="005C6A9C" w:rsidRPr="00C138A1">
        <w:rPr>
          <w:rtl/>
        </w:rPr>
        <w:t xml:space="preserve">، الذي قدمته </w:t>
      </w:r>
      <w:r w:rsidR="003C2955" w:rsidRPr="00C138A1">
        <w:rPr>
          <w:rFonts w:hint="cs"/>
          <w:rtl/>
        </w:rPr>
        <w:t>الدائرة الاتحادية</w:t>
      </w:r>
      <w:r w:rsidR="00450CC9" w:rsidRPr="00C138A1">
        <w:rPr>
          <w:rtl/>
        </w:rPr>
        <w:t xml:space="preserve"> </w:t>
      </w:r>
      <w:r w:rsidR="005C6A9C" w:rsidRPr="00C138A1">
        <w:rPr>
          <w:rtl/>
        </w:rPr>
        <w:t xml:space="preserve">إلى الويبو </w:t>
      </w:r>
      <w:r w:rsidR="00450CC9" w:rsidRPr="00C138A1">
        <w:rPr>
          <w:rtl/>
        </w:rPr>
        <w:t>عام 2016</w:t>
      </w:r>
      <w:r w:rsidR="005C6A9C" w:rsidRPr="00C138A1">
        <w:rPr>
          <w:rtl/>
        </w:rPr>
        <w:t xml:space="preserve">، </w:t>
      </w:r>
      <w:r w:rsidR="005824C5" w:rsidRPr="00C138A1">
        <w:rPr>
          <w:rtl/>
        </w:rPr>
        <w:t xml:space="preserve">على </w:t>
      </w:r>
      <w:r w:rsidRPr="00C138A1">
        <w:rPr>
          <w:rtl/>
        </w:rPr>
        <w:t xml:space="preserve">الموقع </w:t>
      </w:r>
      <w:r w:rsidR="005C6A9C" w:rsidRPr="00C138A1">
        <w:rPr>
          <w:rtl/>
        </w:rPr>
        <w:t>الإلكتروني</w:t>
      </w:r>
      <w:r w:rsidR="005824C5" w:rsidRPr="00C138A1">
        <w:rPr>
          <w:rtl/>
        </w:rPr>
        <w:t>:</w:t>
      </w:r>
    </w:p>
    <w:p w:rsidR="005824C5" w:rsidRPr="00C138A1" w:rsidRDefault="008E0D0A" w:rsidP="003C2955">
      <w:pPr>
        <w:pStyle w:val="NormalParaAR"/>
        <w:spacing w:after="60"/>
        <w:rPr>
          <w:rtl/>
        </w:rPr>
      </w:pPr>
      <w:hyperlink r:id="rId12" w:history="1">
        <w:r w:rsidR="005824C5" w:rsidRPr="00C138A1">
          <w:t>http://www.wipo.int/pct/en/quality/authorities.html</w:t>
        </w:r>
      </w:hyperlink>
      <w:r w:rsidR="005824C5" w:rsidRPr="00C138A1">
        <w:t>.</w:t>
      </w:r>
    </w:p>
    <w:p w:rsidR="003C2955" w:rsidRPr="00C138A1" w:rsidRDefault="003C2955" w:rsidP="003C2955">
      <w:pPr>
        <w:pStyle w:val="SectionHeading"/>
        <w:bidi/>
        <w:rPr>
          <w:rFonts w:ascii="Arabic Typesetting" w:hAnsi="Arabic Typesetting" w:cs="Arabic Typesetting"/>
          <w:sz w:val="40"/>
          <w:szCs w:val="40"/>
        </w:rPr>
      </w:pPr>
      <w:r w:rsidRPr="00C138A1">
        <w:rPr>
          <w:rFonts w:ascii="Arabic Typesetting" w:hAnsi="Arabic Typesetting" w:cs="Arabic Typesetting" w:hint="cs"/>
          <w:sz w:val="40"/>
          <w:szCs w:val="40"/>
          <w:rtl/>
        </w:rPr>
        <w:t xml:space="preserve">3 - </w:t>
      </w:r>
      <w:r w:rsidRPr="00C138A1">
        <w:rPr>
          <w:rFonts w:ascii="Arabic Typesetting" w:hAnsi="Arabic Typesetting" w:cs="Arabic Typesetting"/>
          <w:sz w:val="40"/>
          <w:szCs w:val="40"/>
          <w:rtl/>
        </w:rPr>
        <w:t>التقييم من إدارات أخرى</w:t>
      </w:r>
    </w:p>
    <w:p w:rsidR="00427237" w:rsidRPr="00C138A1" w:rsidRDefault="00D86928" w:rsidP="003C2955">
      <w:pPr>
        <w:pStyle w:val="NormalParaAR"/>
        <w:rPr>
          <w:lang w:val="fr-CH"/>
        </w:rPr>
      </w:pPr>
      <w:r w:rsidRPr="00C138A1">
        <w:rPr>
          <w:rFonts w:hint="cs"/>
          <w:rtl/>
          <w:lang w:val="fr-CH"/>
        </w:rPr>
        <w:t>يجري</w:t>
      </w:r>
      <w:r w:rsidR="00427237" w:rsidRPr="00C138A1">
        <w:rPr>
          <w:rtl/>
          <w:lang w:val="fr-CH"/>
        </w:rPr>
        <w:t xml:space="preserve"> النظر في إمكانية التقييم من </w:t>
      </w:r>
      <w:r w:rsidRPr="00C138A1">
        <w:rPr>
          <w:rFonts w:hint="cs"/>
          <w:rtl/>
          <w:lang w:val="fr-CH"/>
        </w:rPr>
        <w:t>جانب</w:t>
      </w:r>
      <w:r w:rsidRPr="00C138A1">
        <w:rPr>
          <w:rtl/>
          <w:lang w:val="fr-CH"/>
        </w:rPr>
        <w:t xml:space="preserve"> إدارات </w:t>
      </w:r>
      <w:r w:rsidR="00427237" w:rsidRPr="00C138A1">
        <w:rPr>
          <w:rtl/>
          <w:lang w:val="fr-CH"/>
        </w:rPr>
        <w:t>أخرى</w:t>
      </w:r>
      <w:r w:rsidRPr="00C138A1">
        <w:rPr>
          <w:rFonts w:hint="cs"/>
          <w:rtl/>
          <w:lang w:val="fr-CH"/>
        </w:rPr>
        <w:t>.</w:t>
      </w:r>
    </w:p>
    <w:p w:rsidR="0062153C" w:rsidRPr="00C138A1" w:rsidRDefault="003C2955" w:rsidP="003C2955">
      <w:pPr>
        <w:pStyle w:val="SectionHeading"/>
        <w:bidi/>
        <w:rPr>
          <w:rFonts w:ascii="Arabic Typesetting" w:hAnsi="Arabic Typesetting" w:cs="Arabic Typesetting"/>
          <w:sz w:val="40"/>
          <w:szCs w:val="40"/>
        </w:rPr>
      </w:pPr>
      <w:r w:rsidRPr="00C138A1">
        <w:rPr>
          <w:rFonts w:ascii="Arabic Typesetting" w:hAnsi="Arabic Typesetting" w:cs="Arabic Typesetting" w:hint="cs"/>
          <w:sz w:val="40"/>
          <w:szCs w:val="40"/>
          <w:rtl/>
        </w:rPr>
        <w:t xml:space="preserve">4 - </w:t>
      </w:r>
      <w:r w:rsidR="00255C9F" w:rsidRPr="00C138A1">
        <w:rPr>
          <w:rFonts w:ascii="Arabic Typesetting" w:hAnsi="Arabic Typesetting" w:cs="Arabic Typesetting" w:hint="cs"/>
          <w:sz w:val="40"/>
          <w:szCs w:val="40"/>
          <w:rtl/>
        </w:rPr>
        <w:t>دوافع الطلب</w:t>
      </w:r>
    </w:p>
    <w:p w:rsidR="00D86928" w:rsidRPr="00C138A1" w:rsidRDefault="003C2955" w:rsidP="00511917">
      <w:pPr>
        <w:pStyle w:val="NormalParaAR"/>
        <w:rPr>
          <w:rtl/>
          <w:lang w:val="fr-CH"/>
        </w:rPr>
      </w:pPr>
      <w:r w:rsidRPr="00C138A1">
        <w:rPr>
          <w:rFonts w:hint="cs"/>
          <w:rtl/>
          <w:lang w:val="fr-CH"/>
        </w:rPr>
        <w:t>عيّن</w:t>
      </w:r>
      <w:r w:rsidR="00255C9F" w:rsidRPr="00C138A1">
        <w:rPr>
          <w:lang w:val="fr-CH"/>
        </w:rPr>
        <w:t xml:space="preserve"> </w:t>
      </w:r>
      <w:r w:rsidR="00AA000C" w:rsidRPr="00C138A1">
        <w:rPr>
          <w:rtl/>
          <w:lang w:val="fr-CH"/>
        </w:rPr>
        <w:t xml:space="preserve">32 مكتب </w:t>
      </w:r>
      <w:r w:rsidRPr="00C138A1">
        <w:rPr>
          <w:rFonts w:hint="cs"/>
          <w:rtl/>
          <w:lang w:val="fr-CH"/>
        </w:rPr>
        <w:t>تسلم</w:t>
      </w:r>
      <w:r w:rsidR="00AA000C" w:rsidRPr="00C138A1">
        <w:rPr>
          <w:rtl/>
          <w:lang w:val="fr-CH"/>
        </w:rPr>
        <w:t xml:space="preserve"> </w:t>
      </w:r>
      <w:r w:rsidR="003D301C" w:rsidRPr="00C138A1">
        <w:rPr>
          <w:rFonts w:hint="cs"/>
          <w:rtl/>
          <w:lang w:val="fr-CH"/>
        </w:rPr>
        <w:t xml:space="preserve">في </w:t>
      </w:r>
      <w:r w:rsidR="00AA000C" w:rsidRPr="00C138A1">
        <w:rPr>
          <w:rtl/>
          <w:lang w:val="fr-CH"/>
        </w:rPr>
        <w:t>الدول والمنظمات المتعاقدة</w:t>
      </w:r>
      <w:r w:rsidR="00A22991" w:rsidRPr="00C138A1">
        <w:rPr>
          <w:rFonts w:hint="cs"/>
          <w:rtl/>
          <w:lang w:val="fr-CH"/>
        </w:rPr>
        <w:t xml:space="preserve"> بتعيين</w:t>
      </w:r>
      <w:r w:rsidR="00AA000C" w:rsidRPr="00C138A1">
        <w:rPr>
          <w:rtl/>
          <w:lang w:val="fr-CH"/>
        </w:rPr>
        <w:t xml:space="preserve"> </w:t>
      </w:r>
      <w:r w:rsidR="00E733DC">
        <w:rPr>
          <w:rFonts w:hint="cs"/>
          <w:rtl/>
          <w:lang w:val="fr-CH"/>
        </w:rPr>
        <w:t>الدائرة الاتحادية</w:t>
      </w:r>
      <w:r w:rsidR="00255C9F" w:rsidRPr="00C138A1">
        <w:rPr>
          <w:rFonts w:hint="cs"/>
          <w:rtl/>
          <w:lang w:val="fr-CH"/>
        </w:rPr>
        <w:t xml:space="preserve"> </w:t>
      </w:r>
      <w:r w:rsidR="00953E26" w:rsidRPr="00C138A1">
        <w:rPr>
          <w:rFonts w:hint="cs"/>
          <w:rtl/>
          <w:lang w:val="fr-CH"/>
        </w:rPr>
        <w:t>كإدارة</w:t>
      </w:r>
      <w:r w:rsidR="003D301C" w:rsidRPr="00C138A1">
        <w:rPr>
          <w:rFonts w:hint="cs"/>
          <w:rtl/>
          <w:lang w:val="fr-CH"/>
        </w:rPr>
        <w:t xml:space="preserve"> </w:t>
      </w:r>
      <w:r w:rsidR="00953E26" w:rsidRPr="00C138A1">
        <w:rPr>
          <w:rFonts w:hint="cs"/>
          <w:rtl/>
          <w:lang w:val="fr-CH"/>
        </w:rPr>
        <w:t>مختصة للبحث والفحص</w:t>
      </w:r>
      <w:r w:rsidR="00D86928" w:rsidRPr="00C138A1">
        <w:rPr>
          <w:rtl/>
          <w:lang w:val="fr-CH"/>
        </w:rPr>
        <w:t>(</w:t>
      </w:r>
      <w:r w:rsidR="00646203" w:rsidRPr="00C138A1">
        <w:rPr>
          <w:rFonts w:hint="cs"/>
          <w:rtl/>
          <w:lang w:val="fr-CH"/>
        </w:rPr>
        <w:t xml:space="preserve">تعد من </w:t>
      </w:r>
      <w:r w:rsidR="00D86928" w:rsidRPr="00C138A1">
        <w:rPr>
          <w:rtl/>
          <w:lang w:val="fr-CH"/>
        </w:rPr>
        <w:t>أعلى</w:t>
      </w:r>
      <w:r w:rsidR="00646203" w:rsidRPr="00C138A1">
        <w:rPr>
          <w:rFonts w:hint="cs"/>
          <w:rtl/>
          <w:lang w:val="fr-CH"/>
        </w:rPr>
        <w:t xml:space="preserve"> النسب</w:t>
      </w:r>
      <w:r w:rsidR="00D86928" w:rsidRPr="00C138A1">
        <w:rPr>
          <w:rtl/>
          <w:lang w:val="fr-CH"/>
        </w:rPr>
        <w:t xml:space="preserve"> </w:t>
      </w:r>
      <w:r w:rsidR="00953E26" w:rsidRPr="00C138A1">
        <w:rPr>
          <w:rFonts w:hint="cs"/>
          <w:rtl/>
          <w:lang w:val="fr-CH"/>
        </w:rPr>
        <w:t xml:space="preserve">التي حصلت عليها </w:t>
      </w:r>
      <w:r w:rsidR="00D86928" w:rsidRPr="00C138A1">
        <w:rPr>
          <w:rtl/>
          <w:lang w:val="fr-CH"/>
        </w:rPr>
        <w:t>أي</w:t>
      </w:r>
      <w:r w:rsidR="00953E26" w:rsidRPr="00C138A1">
        <w:rPr>
          <w:rFonts w:hint="cs"/>
          <w:rtl/>
          <w:lang w:val="fr-CH"/>
        </w:rPr>
        <w:t>ة</w:t>
      </w:r>
      <w:r w:rsidR="00B82244" w:rsidRPr="00C138A1">
        <w:rPr>
          <w:rFonts w:hint="cs"/>
          <w:rtl/>
          <w:lang w:val="fr-CH"/>
        </w:rPr>
        <w:t xml:space="preserve"> </w:t>
      </w:r>
      <w:r w:rsidR="00953E26" w:rsidRPr="00C138A1">
        <w:rPr>
          <w:rFonts w:hint="cs"/>
          <w:rtl/>
          <w:lang w:val="fr-CH"/>
        </w:rPr>
        <w:t>إدارة</w:t>
      </w:r>
      <w:r w:rsidR="00B82244" w:rsidRPr="00C138A1">
        <w:rPr>
          <w:rFonts w:hint="cs"/>
          <w:rtl/>
          <w:lang w:val="fr-CH"/>
        </w:rPr>
        <w:t xml:space="preserve"> للبحث والفحص</w:t>
      </w:r>
      <w:r w:rsidR="00D86928" w:rsidRPr="00C138A1">
        <w:rPr>
          <w:rtl/>
          <w:lang w:val="fr-CH"/>
        </w:rPr>
        <w:t xml:space="preserve">). </w:t>
      </w:r>
      <w:r w:rsidR="00394556" w:rsidRPr="00C138A1">
        <w:rPr>
          <w:rFonts w:hint="cs"/>
          <w:rtl/>
          <w:lang w:val="fr-CH"/>
        </w:rPr>
        <w:t>و</w:t>
      </w:r>
      <w:r w:rsidR="00D86928" w:rsidRPr="00C138A1">
        <w:rPr>
          <w:rtl/>
          <w:lang w:val="fr-CH"/>
        </w:rPr>
        <w:t xml:space="preserve">تقبل </w:t>
      </w:r>
      <w:r w:rsidR="00B07D07" w:rsidRPr="00C138A1">
        <w:rPr>
          <w:rFonts w:hint="cs"/>
          <w:rtl/>
          <w:lang w:val="fr-CH"/>
        </w:rPr>
        <w:t>الإدارة تقديم الطلبات</w:t>
      </w:r>
      <w:r w:rsidR="00D86928" w:rsidRPr="00C138A1">
        <w:rPr>
          <w:rtl/>
          <w:lang w:val="fr-CH"/>
        </w:rPr>
        <w:t xml:space="preserve"> </w:t>
      </w:r>
      <w:r w:rsidR="00B07D07" w:rsidRPr="00C138A1">
        <w:rPr>
          <w:rFonts w:hint="cs"/>
          <w:rtl/>
          <w:lang w:val="fr-CH"/>
        </w:rPr>
        <w:t>بال</w:t>
      </w:r>
      <w:r w:rsidR="00D86928" w:rsidRPr="00C138A1">
        <w:rPr>
          <w:rtl/>
          <w:lang w:val="fr-CH"/>
        </w:rPr>
        <w:t>لغتين: الإن</w:t>
      </w:r>
      <w:r w:rsidR="00511917">
        <w:rPr>
          <w:rFonts w:hint="cs"/>
          <w:rtl/>
          <w:lang w:val="fr-CH"/>
        </w:rPr>
        <w:t>ك</w:t>
      </w:r>
      <w:r w:rsidR="00D86928" w:rsidRPr="00C138A1">
        <w:rPr>
          <w:rtl/>
          <w:lang w:val="fr-CH"/>
        </w:rPr>
        <w:t>ليزية والروسية</w:t>
      </w:r>
      <w:r w:rsidR="00511917">
        <w:rPr>
          <w:rFonts w:hint="cs"/>
          <w:rtl/>
          <w:lang w:val="fr-CH"/>
        </w:rPr>
        <w:t xml:space="preserve">. </w:t>
      </w:r>
      <w:r w:rsidR="00D86928" w:rsidRPr="00C138A1">
        <w:rPr>
          <w:rtl/>
          <w:lang w:val="fr-CH"/>
        </w:rPr>
        <w:t>ويأتي أكبر عدد من الطلبات الدولية من الولايات المتحدة الأمريكية (بالإنكليزية) و</w:t>
      </w:r>
      <w:r w:rsidR="00F8088A" w:rsidRPr="00C138A1">
        <w:rPr>
          <w:rFonts w:hint="cs"/>
          <w:rtl/>
          <w:lang w:val="fr-CH"/>
        </w:rPr>
        <w:t xml:space="preserve">من </w:t>
      </w:r>
      <w:r w:rsidR="00D86928" w:rsidRPr="00C138A1">
        <w:rPr>
          <w:rtl/>
          <w:lang w:val="fr-CH"/>
        </w:rPr>
        <w:t>الاتحاد الروسي (باللغة الروسية).</w:t>
      </w:r>
    </w:p>
    <w:p w:rsidR="00D86928" w:rsidRPr="00C138A1" w:rsidRDefault="00D86928" w:rsidP="003C2955">
      <w:pPr>
        <w:pStyle w:val="NormalParaAR"/>
        <w:keepNext/>
        <w:keepLines/>
        <w:rPr>
          <w:rtl/>
          <w:lang w:val="fr-CH"/>
        </w:rPr>
      </w:pPr>
      <w:r w:rsidRPr="00C138A1">
        <w:rPr>
          <w:rtl/>
          <w:lang w:val="fr-CH"/>
        </w:rPr>
        <w:lastRenderedPageBreak/>
        <w:t xml:space="preserve">ويرد في الجدول أدناه </w:t>
      </w:r>
      <w:r w:rsidR="00F8088A" w:rsidRPr="00C138A1">
        <w:rPr>
          <w:rFonts w:hint="cs"/>
          <w:rtl/>
          <w:lang w:val="fr-CH"/>
        </w:rPr>
        <w:t>مجموع</w:t>
      </w:r>
      <w:r w:rsidRPr="00C138A1">
        <w:rPr>
          <w:rtl/>
          <w:lang w:val="fr-CH"/>
        </w:rPr>
        <w:t xml:space="preserve"> الطلبات الدولية التي أ</w:t>
      </w:r>
      <w:r w:rsidR="00394556" w:rsidRPr="00C138A1">
        <w:rPr>
          <w:rFonts w:hint="cs"/>
          <w:rtl/>
          <w:lang w:val="fr-CH"/>
        </w:rPr>
        <w:t>ُ</w:t>
      </w:r>
      <w:r w:rsidRPr="00C138A1">
        <w:rPr>
          <w:rtl/>
          <w:lang w:val="fr-CH"/>
        </w:rPr>
        <w:t xml:space="preserve">عدت </w:t>
      </w:r>
      <w:r w:rsidR="00394556" w:rsidRPr="00C138A1">
        <w:rPr>
          <w:rFonts w:hint="cs"/>
          <w:rtl/>
          <w:lang w:val="fr-CH"/>
        </w:rPr>
        <w:t>بشأنها</w:t>
      </w:r>
      <w:r w:rsidR="00114AC0" w:rsidRPr="00C138A1">
        <w:rPr>
          <w:rtl/>
          <w:lang w:val="fr-CH"/>
        </w:rPr>
        <w:t xml:space="preserve"> تقارير بحث </w:t>
      </w:r>
      <w:r w:rsidRPr="00C138A1">
        <w:rPr>
          <w:rtl/>
          <w:lang w:val="fr-CH"/>
        </w:rPr>
        <w:t>دولي</w:t>
      </w:r>
      <w:r w:rsidR="00114AC0" w:rsidRPr="00C138A1">
        <w:rPr>
          <w:rFonts w:hint="cs"/>
          <w:rtl/>
          <w:lang w:val="fr-CH"/>
        </w:rPr>
        <w:t>ة</w:t>
      </w:r>
      <w:r w:rsidRPr="00C138A1">
        <w:rPr>
          <w:rtl/>
          <w:lang w:val="fr-CH"/>
        </w:rPr>
        <w:t xml:space="preserve"> في الفترة 2012-2016</w:t>
      </w:r>
      <w:r w:rsidR="003C2955" w:rsidRPr="00C138A1">
        <w:rPr>
          <w:rFonts w:hint="cs"/>
          <w:rtl/>
          <w:lang w:val="fr-CH"/>
        </w:rPr>
        <w:t>:</w:t>
      </w:r>
    </w:p>
    <w:tbl>
      <w:tblPr>
        <w:tblStyle w:val="TableGrid"/>
        <w:bidiVisual/>
        <w:tblW w:w="0" w:type="auto"/>
        <w:tblInd w:w="103" w:type="dxa"/>
        <w:tblLook w:val="04A0" w:firstRow="1" w:lastRow="0" w:firstColumn="1" w:lastColumn="0" w:noHBand="0" w:noVBand="1"/>
      </w:tblPr>
      <w:tblGrid>
        <w:gridCol w:w="2520"/>
        <w:gridCol w:w="1440"/>
        <w:gridCol w:w="1440"/>
        <w:gridCol w:w="1350"/>
        <w:gridCol w:w="1350"/>
        <w:gridCol w:w="1260"/>
      </w:tblGrid>
      <w:tr w:rsidR="00C138A1" w:rsidRPr="00C138A1" w:rsidTr="00AB4D6D">
        <w:tc>
          <w:tcPr>
            <w:tcW w:w="2520" w:type="dxa"/>
          </w:tcPr>
          <w:p w:rsidR="007A5F76" w:rsidRPr="00C138A1" w:rsidRDefault="007A5F76" w:rsidP="003C2955">
            <w:pPr>
              <w:pStyle w:val="NormalParaAR"/>
              <w:keepNext/>
              <w:keepLines/>
              <w:tabs>
                <w:tab w:val="left" w:pos="355"/>
              </w:tabs>
              <w:spacing w:after="120" w:line="240" w:lineRule="exact"/>
              <w:rPr>
                <w:rtl/>
              </w:rPr>
            </w:pPr>
            <w:r w:rsidRPr="00C138A1">
              <w:rPr>
                <w:rtl/>
              </w:rPr>
              <w:t>السنة</w:t>
            </w:r>
          </w:p>
        </w:tc>
        <w:tc>
          <w:tcPr>
            <w:tcW w:w="1440" w:type="dxa"/>
          </w:tcPr>
          <w:p w:rsidR="007A5F76" w:rsidRPr="00C138A1" w:rsidRDefault="00F1176D" w:rsidP="002C7D0C">
            <w:pPr>
              <w:pStyle w:val="NormalParaAR"/>
              <w:tabs>
                <w:tab w:val="left" w:pos="355"/>
              </w:tabs>
              <w:spacing w:after="120" w:line="240" w:lineRule="exact"/>
              <w:jc w:val="center"/>
              <w:rPr>
                <w:rtl/>
              </w:rPr>
            </w:pPr>
            <w:r w:rsidRPr="00C138A1">
              <w:rPr>
                <w:rtl/>
              </w:rPr>
              <w:t>2012</w:t>
            </w:r>
          </w:p>
        </w:tc>
        <w:tc>
          <w:tcPr>
            <w:tcW w:w="1440" w:type="dxa"/>
          </w:tcPr>
          <w:p w:rsidR="007A5F76" w:rsidRPr="00C138A1" w:rsidRDefault="00F1176D" w:rsidP="002C7D0C">
            <w:pPr>
              <w:pStyle w:val="NormalParaAR"/>
              <w:tabs>
                <w:tab w:val="left" w:pos="355"/>
              </w:tabs>
              <w:spacing w:after="120" w:line="240" w:lineRule="exact"/>
              <w:jc w:val="center"/>
              <w:rPr>
                <w:rtl/>
              </w:rPr>
            </w:pPr>
            <w:r w:rsidRPr="00C138A1">
              <w:rPr>
                <w:rtl/>
              </w:rPr>
              <w:t>2013</w:t>
            </w:r>
          </w:p>
        </w:tc>
        <w:tc>
          <w:tcPr>
            <w:tcW w:w="1350" w:type="dxa"/>
          </w:tcPr>
          <w:p w:rsidR="007A5F76" w:rsidRPr="00C138A1" w:rsidRDefault="00F1176D" w:rsidP="002C7D0C">
            <w:pPr>
              <w:pStyle w:val="NormalParaAR"/>
              <w:tabs>
                <w:tab w:val="left" w:pos="355"/>
              </w:tabs>
              <w:spacing w:after="120" w:line="240" w:lineRule="exact"/>
              <w:jc w:val="center"/>
              <w:rPr>
                <w:rtl/>
              </w:rPr>
            </w:pPr>
            <w:r w:rsidRPr="00C138A1">
              <w:rPr>
                <w:rtl/>
              </w:rPr>
              <w:t>2014</w:t>
            </w:r>
          </w:p>
        </w:tc>
        <w:tc>
          <w:tcPr>
            <w:tcW w:w="1350" w:type="dxa"/>
          </w:tcPr>
          <w:p w:rsidR="007A5F76" w:rsidRPr="00C138A1" w:rsidRDefault="00F1176D" w:rsidP="002C7D0C">
            <w:pPr>
              <w:pStyle w:val="NormalParaAR"/>
              <w:tabs>
                <w:tab w:val="left" w:pos="355"/>
              </w:tabs>
              <w:spacing w:after="120" w:line="240" w:lineRule="exact"/>
              <w:jc w:val="center"/>
              <w:rPr>
                <w:rtl/>
              </w:rPr>
            </w:pPr>
            <w:r w:rsidRPr="00C138A1">
              <w:rPr>
                <w:rtl/>
              </w:rPr>
              <w:t>2015</w:t>
            </w:r>
          </w:p>
        </w:tc>
        <w:tc>
          <w:tcPr>
            <w:tcW w:w="1260" w:type="dxa"/>
          </w:tcPr>
          <w:p w:rsidR="007A5F76" w:rsidRPr="00C138A1" w:rsidRDefault="00F1176D" w:rsidP="002C7D0C">
            <w:pPr>
              <w:pStyle w:val="NormalParaAR"/>
              <w:tabs>
                <w:tab w:val="left" w:pos="355"/>
              </w:tabs>
              <w:spacing w:after="120" w:line="240" w:lineRule="exact"/>
              <w:jc w:val="center"/>
              <w:rPr>
                <w:rtl/>
              </w:rPr>
            </w:pPr>
            <w:r w:rsidRPr="00C138A1">
              <w:rPr>
                <w:rtl/>
              </w:rPr>
              <w:t>2016</w:t>
            </w:r>
          </w:p>
        </w:tc>
      </w:tr>
      <w:tr w:rsidR="00C138A1" w:rsidRPr="00C138A1" w:rsidTr="00AB4D6D">
        <w:tc>
          <w:tcPr>
            <w:tcW w:w="2520" w:type="dxa"/>
          </w:tcPr>
          <w:p w:rsidR="003C2955" w:rsidRPr="00C138A1" w:rsidRDefault="003C2955" w:rsidP="002C7D0C">
            <w:pPr>
              <w:pStyle w:val="NormalParaAR"/>
              <w:tabs>
                <w:tab w:val="left" w:pos="355"/>
              </w:tabs>
              <w:spacing w:after="120" w:line="240" w:lineRule="exact"/>
              <w:rPr>
                <w:rtl/>
              </w:rPr>
            </w:pPr>
            <w:r w:rsidRPr="00C138A1">
              <w:rPr>
                <w:rtl/>
              </w:rPr>
              <w:t>عدد تقارير البحث الدولية</w:t>
            </w:r>
          </w:p>
        </w:tc>
        <w:tc>
          <w:tcPr>
            <w:tcW w:w="1440" w:type="dxa"/>
          </w:tcPr>
          <w:p w:rsidR="003C2955" w:rsidRPr="00C138A1" w:rsidRDefault="003C2955" w:rsidP="003C2955">
            <w:pPr>
              <w:spacing w:after="120" w:line="240" w:lineRule="exact"/>
              <w:jc w:val="center"/>
              <w:rPr>
                <w:rFonts w:ascii="Arabic Typesetting" w:hAnsi="Arabic Typesetting" w:cs="Arabic Typesetting"/>
                <w:sz w:val="36"/>
                <w:szCs w:val="36"/>
              </w:rPr>
            </w:pPr>
            <w:r w:rsidRPr="00C138A1">
              <w:rPr>
                <w:rFonts w:ascii="Arabic Typesetting" w:eastAsia="SimSun" w:hAnsi="Arabic Typesetting" w:cs="Arabic Typesetting" w:hint="cs"/>
                <w:sz w:val="36"/>
                <w:szCs w:val="36"/>
                <w:rtl/>
                <w:lang w:val="fr-FR" w:eastAsia="zh-CN"/>
              </w:rPr>
              <w:t>904</w:t>
            </w:r>
            <w:r w:rsidRPr="00C138A1">
              <w:rPr>
                <w:rFonts w:ascii="Arabic Typesetting" w:hAnsi="Arabic Typesetting" w:cs="Arabic Typesetting"/>
                <w:sz w:val="36"/>
                <w:szCs w:val="36"/>
                <w:rtl/>
              </w:rPr>
              <w:t xml:space="preserve"> </w:t>
            </w:r>
            <w:r w:rsidRPr="00C138A1">
              <w:rPr>
                <w:rFonts w:ascii="Arabic Typesetting" w:eastAsia="SimSun" w:hAnsi="Arabic Typesetting" w:cs="Arabic Typesetting"/>
                <w:sz w:val="36"/>
                <w:szCs w:val="36"/>
                <w:rtl/>
                <w:lang w:val="fr-FR" w:eastAsia="zh-CN"/>
              </w:rPr>
              <w:t>1٫</w:t>
            </w:r>
          </w:p>
        </w:tc>
        <w:tc>
          <w:tcPr>
            <w:tcW w:w="1440" w:type="dxa"/>
          </w:tcPr>
          <w:p w:rsidR="003C2955" w:rsidRPr="00C138A1" w:rsidRDefault="003C2955" w:rsidP="003C2955">
            <w:pPr>
              <w:jc w:val="center"/>
            </w:pPr>
            <w:r w:rsidRPr="00C138A1">
              <w:rPr>
                <w:rFonts w:ascii="Arabic Typesetting" w:eastAsia="SimSun" w:hAnsi="Arabic Typesetting" w:cs="Arabic Typesetting" w:hint="cs"/>
                <w:sz w:val="36"/>
                <w:szCs w:val="36"/>
                <w:rtl/>
                <w:lang w:val="fr-FR" w:eastAsia="zh-CN"/>
              </w:rPr>
              <w:t>980</w:t>
            </w:r>
            <w:r w:rsidRPr="00C138A1">
              <w:rPr>
                <w:rtl/>
              </w:rPr>
              <w:t xml:space="preserve"> </w:t>
            </w:r>
            <w:r w:rsidRPr="00C138A1">
              <w:rPr>
                <w:rFonts w:ascii="Arabic Typesetting" w:eastAsia="SimSun" w:hAnsi="Arabic Typesetting" w:cs="Arabic Typesetting" w:hint="cs"/>
                <w:sz w:val="36"/>
                <w:szCs w:val="36"/>
                <w:rtl/>
                <w:lang w:val="fr-FR" w:eastAsia="zh-CN"/>
              </w:rPr>
              <w:t>2</w:t>
            </w:r>
            <w:r w:rsidRPr="00C138A1">
              <w:rPr>
                <w:rFonts w:ascii="Arabic Typesetting" w:eastAsia="SimSun" w:hAnsi="Arabic Typesetting" w:cs="Arabic Typesetting"/>
                <w:sz w:val="36"/>
                <w:szCs w:val="36"/>
                <w:rtl/>
                <w:lang w:val="fr-FR" w:eastAsia="zh-CN"/>
              </w:rPr>
              <w:t>٫</w:t>
            </w:r>
          </w:p>
        </w:tc>
        <w:tc>
          <w:tcPr>
            <w:tcW w:w="1350" w:type="dxa"/>
          </w:tcPr>
          <w:p w:rsidR="003C2955" w:rsidRPr="00C138A1" w:rsidRDefault="003C2955" w:rsidP="003C2955">
            <w:pPr>
              <w:jc w:val="center"/>
            </w:pPr>
            <w:r w:rsidRPr="00C138A1">
              <w:rPr>
                <w:rFonts w:ascii="Arabic Typesetting" w:eastAsia="SimSun" w:hAnsi="Arabic Typesetting" w:cs="Arabic Typesetting" w:hint="cs"/>
                <w:sz w:val="36"/>
                <w:szCs w:val="36"/>
                <w:rtl/>
                <w:lang w:val="fr-FR" w:eastAsia="zh-CN"/>
              </w:rPr>
              <w:t>006</w:t>
            </w:r>
            <w:r w:rsidRPr="00C138A1">
              <w:rPr>
                <w:rtl/>
              </w:rPr>
              <w:t xml:space="preserve"> </w:t>
            </w:r>
            <w:r w:rsidRPr="00C138A1">
              <w:rPr>
                <w:rFonts w:ascii="Arabic Typesetting" w:eastAsia="SimSun" w:hAnsi="Arabic Typesetting" w:cs="Arabic Typesetting" w:hint="cs"/>
                <w:sz w:val="36"/>
                <w:szCs w:val="36"/>
                <w:rtl/>
                <w:lang w:val="fr-FR" w:eastAsia="zh-CN"/>
              </w:rPr>
              <w:t>3</w:t>
            </w:r>
            <w:r w:rsidRPr="00C138A1">
              <w:rPr>
                <w:rFonts w:ascii="Arabic Typesetting" w:eastAsia="SimSun" w:hAnsi="Arabic Typesetting" w:cs="Arabic Typesetting"/>
                <w:sz w:val="36"/>
                <w:szCs w:val="36"/>
                <w:rtl/>
                <w:lang w:val="fr-FR" w:eastAsia="zh-CN"/>
              </w:rPr>
              <w:t>٫</w:t>
            </w:r>
          </w:p>
        </w:tc>
        <w:tc>
          <w:tcPr>
            <w:tcW w:w="1350" w:type="dxa"/>
          </w:tcPr>
          <w:p w:rsidR="003C2955" w:rsidRPr="00C138A1" w:rsidRDefault="003C2955" w:rsidP="003C2955">
            <w:pPr>
              <w:jc w:val="center"/>
            </w:pPr>
            <w:r w:rsidRPr="00C138A1">
              <w:rPr>
                <w:rFonts w:ascii="Arabic Typesetting" w:eastAsia="SimSun" w:hAnsi="Arabic Typesetting" w:cs="Arabic Typesetting" w:hint="cs"/>
                <w:sz w:val="36"/>
                <w:szCs w:val="36"/>
                <w:rtl/>
                <w:lang w:val="fr-FR" w:eastAsia="zh-CN"/>
              </w:rPr>
              <w:t>447</w:t>
            </w:r>
            <w:r w:rsidRPr="00C138A1">
              <w:rPr>
                <w:rtl/>
              </w:rPr>
              <w:t xml:space="preserve"> </w:t>
            </w:r>
            <w:r w:rsidRPr="00C138A1">
              <w:rPr>
                <w:rFonts w:ascii="Arabic Typesetting" w:eastAsia="SimSun" w:hAnsi="Arabic Typesetting" w:cs="Arabic Typesetting" w:hint="cs"/>
                <w:sz w:val="36"/>
                <w:szCs w:val="36"/>
                <w:rtl/>
                <w:lang w:val="fr-FR" w:eastAsia="zh-CN"/>
              </w:rPr>
              <w:t>2</w:t>
            </w:r>
            <w:r w:rsidRPr="00C138A1">
              <w:rPr>
                <w:rFonts w:ascii="Arabic Typesetting" w:eastAsia="SimSun" w:hAnsi="Arabic Typesetting" w:cs="Arabic Typesetting"/>
                <w:sz w:val="36"/>
                <w:szCs w:val="36"/>
                <w:rtl/>
                <w:lang w:val="fr-FR" w:eastAsia="zh-CN"/>
              </w:rPr>
              <w:t>٫</w:t>
            </w:r>
          </w:p>
        </w:tc>
        <w:tc>
          <w:tcPr>
            <w:tcW w:w="1260" w:type="dxa"/>
          </w:tcPr>
          <w:p w:rsidR="003C2955" w:rsidRPr="00C138A1" w:rsidRDefault="003C2955" w:rsidP="003C2955">
            <w:pPr>
              <w:jc w:val="center"/>
            </w:pPr>
            <w:r w:rsidRPr="00C138A1">
              <w:rPr>
                <w:rFonts w:ascii="Arabic Typesetting" w:eastAsia="SimSun" w:hAnsi="Arabic Typesetting" w:cs="Arabic Typesetting" w:hint="cs"/>
                <w:sz w:val="36"/>
                <w:szCs w:val="36"/>
                <w:rtl/>
                <w:lang w:val="fr-FR" w:eastAsia="zh-CN"/>
              </w:rPr>
              <w:t>903</w:t>
            </w:r>
            <w:r w:rsidRPr="00C138A1">
              <w:rPr>
                <w:rtl/>
              </w:rPr>
              <w:t xml:space="preserve"> </w:t>
            </w:r>
            <w:r w:rsidRPr="00C138A1">
              <w:rPr>
                <w:rFonts w:ascii="Arabic Typesetting" w:eastAsia="SimSun" w:hAnsi="Arabic Typesetting" w:cs="Arabic Typesetting" w:hint="cs"/>
                <w:sz w:val="36"/>
                <w:szCs w:val="36"/>
                <w:rtl/>
                <w:lang w:val="fr-FR" w:eastAsia="zh-CN"/>
              </w:rPr>
              <w:t>2</w:t>
            </w:r>
            <w:r w:rsidRPr="00C138A1">
              <w:rPr>
                <w:rFonts w:ascii="Arabic Typesetting" w:eastAsia="SimSun" w:hAnsi="Arabic Typesetting" w:cs="Arabic Typesetting"/>
                <w:sz w:val="36"/>
                <w:szCs w:val="36"/>
                <w:rtl/>
                <w:lang w:val="fr-FR" w:eastAsia="zh-CN"/>
              </w:rPr>
              <w:t>٫</w:t>
            </w:r>
          </w:p>
        </w:tc>
      </w:tr>
    </w:tbl>
    <w:p w:rsidR="00D86928" w:rsidRPr="00C138A1" w:rsidRDefault="003C2955" w:rsidP="0027103C">
      <w:pPr>
        <w:pStyle w:val="SectionHeading"/>
        <w:bidi/>
        <w:rPr>
          <w:rFonts w:ascii="Arabic Typesetting" w:hAnsi="Arabic Typesetting" w:cs="Arabic Typesetting"/>
          <w:sz w:val="40"/>
          <w:szCs w:val="40"/>
        </w:rPr>
      </w:pPr>
      <w:r w:rsidRPr="00C138A1">
        <w:rPr>
          <w:rFonts w:ascii="Arabic Typesetting" w:hAnsi="Arabic Typesetting" w:cs="Arabic Typesetting" w:hint="cs"/>
          <w:sz w:val="40"/>
          <w:szCs w:val="40"/>
          <w:rtl/>
        </w:rPr>
        <w:t xml:space="preserve">5 - </w:t>
      </w:r>
      <w:r w:rsidR="00D937FB" w:rsidRPr="00C138A1">
        <w:rPr>
          <w:rFonts w:ascii="Arabic Typesetting" w:hAnsi="Arabic Typesetting" w:cs="Arabic Typesetting" w:hint="cs"/>
          <w:sz w:val="40"/>
          <w:szCs w:val="40"/>
          <w:rtl/>
        </w:rPr>
        <w:t>ال</w:t>
      </w:r>
      <w:r w:rsidR="00711DC9" w:rsidRPr="00C138A1">
        <w:rPr>
          <w:rFonts w:ascii="Arabic Typesetting" w:hAnsi="Arabic Typesetting" w:cs="Arabic Typesetting" w:hint="cs"/>
          <w:sz w:val="40"/>
          <w:szCs w:val="40"/>
          <w:rtl/>
        </w:rPr>
        <w:t>دول (ة)</w:t>
      </w:r>
      <w:r w:rsidR="000F57E4" w:rsidRPr="00C138A1">
        <w:rPr>
          <w:rFonts w:ascii="Arabic Typesetting" w:hAnsi="Arabic Typesetting" w:cs="Arabic Typesetting" w:hint="cs"/>
          <w:sz w:val="40"/>
          <w:szCs w:val="40"/>
          <w:rtl/>
        </w:rPr>
        <w:t xml:space="preserve"> </w:t>
      </w:r>
      <w:r w:rsidR="00D937FB" w:rsidRPr="00C138A1">
        <w:rPr>
          <w:rFonts w:ascii="Arabic Typesetting" w:hAnsi="Arabic Typesetting" w:cs="Arabic Typesetting" w:hint="cs"/>
          <w:sz w:val="40"/>
          <w:szCs w:val="40"/>
          <w:rtl/>
        </w:rPr>
        <w:t>مقدّمة</w:t>
      </w:r>
      <w:r w:rsidR="000F57E4" w:rsidRPr="00C138A1">
        <w:rPr>
          <w:rFonts w:ascii="Arabic Typesetting" w:hAnsi="Arabic Typesetting" w:cs="Arabic Typesetting" w:hint="cs"/>
          <w:sz w:val="40"/>
          <w:szCs w:val="40"/>
          <w:rtl/>
        </w:rPr>
        <w:t xml:space="preserve"> الطلب</w:t>
      </w:r>
    </w:p>
    <w:p w:rsidR="000F57E4" w:rsidRPr="00C138A1" w:rsidRDefault="00CC39E1" w:rsidP="000F57E4">
      <w:pPr>
        <w:pStyle w:val="NormalParaAR"/>
        <w:tabs>
          <w:tab w:val="left" w:pos="355"/>
        </w:tabs>
        <w:ind w:left="-5"/>
        <w:rPr>
          <w:rtl/>
        </w:rPr>
      </w:pPr>
      <w:r w:rsidRPr="00C138A1">
        <w:rPr>
          <w:rFonts w:hint="cs"/>
          <w:rtl/>
        </w:rPr>
        <w:t>الاتحاد الروسي</w:t>
      </w:r>
    </w:p>
    <w:p w:rsidR="00CC39E1" w:rsidRPr="00C138A1" w:rsidRDefault="00CC39E1" w:rsidP="00634DCD">
      <w:pPr>
        <w:pStyle w:val="NormalParaAR"/>
        <w:tabs>
          <w:tab w:val="left" w:pos="355"/>
        </w:tabs>
        <w:spacing w:after="60"/>
        <w:ind w:left="-5"/>
        <w:rPr>
          <w:b/>
          <w:bCs/>
        </w:rPr>
      </w:pPr>
      <w:r w:rsidRPr="00C138A1">
        <w:rPr>
          <w:rFonts w:hint="cs"/>
          <w:b/>
          <w:bCs/>
          <w:rtl/>
        </w:rPr>
        <w:t xml:space="preserve">عدد السكان: </w:t>
      </w:r>
    </w:p>
    <w:p w:rsidR="00192DC0" w:rsidRPr="00C138A1" w:rsidRDefault="00634DCD" w:rsidP="00634DCD">
      <w:pPr>
        <w:pStyle w:val="NormalParaAR"/>
        <w:tabs>
          <w:tab w:val="left" w:pos="355"/>
        </w:tabs>
        <w:rPr>
          <w:rtl/>
          <w:lang w:bidi="ar-EG"/>
        </w:rPr>
      </w:pPr>
      <w:r w:rsidRPr="00C138A1">
        <w:rPr>
          <w:lang w:bidi="ar-EG"/>
        </w:rPr>
        <w:t>993</w:t>
      </w:r>
      <w:r w:rsidRPr="00C138A1">
        <w:rPr>
          <w:rFonts w:eastAsia="SimSun"/>
          <w:rtl/>
          <w:lang w:val="fr-FR" w:eastAsia="zh-CN"/>
        </w:rPr>
        <w:t>٫</w:t>
      </w:r>
      <w:r w:rsidRPr="00C138A1">
        <w:rPr>
          <w:rFonts w:eastAsia="SimSun"/>
          <w:lang w:val="fr-FR" w:eastAsia="zh-CN"/>
        </w:rPr>
        <w:t>838</w:t>
      </w:r>
      <w:r w:rsidRPr="00C138A1">
        <w:rPr>
          <w:rFonts w:eastAsia="SimSun"/>
          <w:rtl/>
          <w:lang w:val="fr-FR" w:eastAsia="zh-CN"/>
        </w:rPr>
        <w:t>٫</w:t>
      </w:r>
      <w:r w:rsidRPr="00C138A1">
        <w:rPr>
          <w:rFonts w:eastAsia="SimSun"/>
          <w:lang w:val="fr-FR" w:eastAsia="zh-CN"/>
        </w:rPr>
        <w:t>146</w:t>
      </w:r>
      <w:r w:rsidR="00192DC0" w:rsidRPr="00C138A1">
        <w:rPr>
          <w:rFonts w:hint="cs"/>
          <w:rtl/>
          <w:lang w:bidi="ar-EG"/>
        </w:rPr>
        <w:t xml:space="preserve"> (</w:t>
      </w:r>
      <w:r w:rsidRPr="00C138A1">
        <w:rPr>
          <w:rFonts w:hint="cs"/>
          <w:rtl/>
          <w:lang w:bidi="ar-EG"/>
        </w:rPr>
        <w:t>في</w:t>
      </w:r>
      <w:r w:rsidR="00192DC0" w:rsidRPr="00C138A1">
        <w:rPr>
          <w:rFonts w:hint="cs"/>
          <w:rtl/>
          <w:lang w:bidi="ar-EG"/>
        </w:rPr>
        <w:t xml:space="preserve"> 2016)</w:t>
      </w:r>
    </w:p>
    <w:p w:rsidR="000F1743" w:rsidRPr="00C138A1" w:rsidRDefault="00711DC9" w:rsidP="00634DCD">
      <w:pPr>
        <w:pStyle w:val="NormalParaAR"/>
        <w:tabs>
          <w:tab w:val="left" w:pos="355"/>
        </w:tabs>
        <w:spacing w:after="60"/>
        <w:rPr>
          <w:b/>
          <w:bCs/>
          <w:rtl/>
          <w:lang w:bidi="ar-EG"/>
        </w:rPr>
      </w:pPr>
      <w:r w:rsidRPr="00C138A1">
        <w:rPr>
          <w:rFonts w:hint="cs"/>
          <w:b/>
          <w:bCs/>
          <w:rtl/>
          <w:lang w:bidi="ar-EG"/>
        </w:rPr>
        <w:t>نصيب ا</w:t>
      </w:r>
      <w:r w:rsidRPr="00C138A1">
        <w:rPr>
          <w:b/>
          <w:bCs/>
          <w:rtl/>
          <w:lang w:bidi="ar-EG"/>
        </w:rPr>
        <w:t xml:space="preserve">لفرد </w:t>
      </w:r>
      <w:r w:rsidRPr="00C138A1">
        <w:rPr>
          <w:rFonts w:hint="cs"/>
          <w:b/>
          <w:bCs/>
          <w:rtl/>
          <w:lang w:bidi="ar-EG"/>
        </w:rPr>
        <w:t xml:space="preserve">من </w:t>
      </w:r>
      <w:r w:rsidR="008B4D51" w:rsidRPr="00C138A1">
        <w:rPr>
          <w:b/>
          <w:bCs/>
          <w:rtl/>
          <w:lang w:bidi="ar-EG"/>
        </w:rPr>
        <w:t>الناتج المحلي الإجمالي:</w:t>
      </w:r>
    </w:p>
    <w:p w:rsidR="008B4D51" w:rsidRPr="00C138A1" w:rsidRDefault="00634DCD" w:rsidP="00E733DC">
      <w:pPr>
        <w:pStyle w:val="NormalParaAR"/>
        <w:tabs>
          <w:tab w:val="left" w:pos="0"/>
          <w:tab w:val="left" w:pos="355"/>
        </w:tabs>
        <w:rPr>
          <w:rtl/>
          <w:lang w:bidi="ar-EG"/>
        </w:rPr>
      </w:pPr>
      <w:r w:rsidRPr="00C138A1">
        <w:rPr>
          <w:lang w:bidi="ar-EG"/>
        </w:rPr>
        <w:t>058.26</w:t>
      </w:r>
      <w:r w:rsidRPr="00C138A1">
        <w:rPr>
          <w:rFonts w:eastAsia="SimSun"/>
          <w:rtl/>
          <w:lang w:val="fr-FR" w:eastAsia="zh-CN"/>
        </w:rPr>
        <w:t xml:space="preserve"> ٫</w:t>
      </w:r>
      <w:r w:rsidRPr="00C138A1">
        <w:rPr>
          <w:rFonts w:eastAsia="SimSun"/>
          <w:lang w:val="fr-FR" w:eastAsia="zh-CN"/>
        </w:rPr>
        <w:t>8</w:t>
      </w:r>
      <w:r w:rsidRPr="00C138A1">
        <w:rPr>
          <w:rFonts w:eastAsia="SimSun" w:hint="cs"/>
          <w:rtl/>
          <w:lang w:val="fr-FR" w:eastAsia="zh-CN"/>
        </w:rPr>
        <w:t xml:space="preserve"> د</w:t>
      </w:r>
      <w:r w:rsidR="008B4D51" w:rsidRPr="00C138A1">
        <w:rPr>
          <w:rtl/>
          <w:lang w:bidi="ar-EG"/>
        </w:rPr>
        <w:t>ولار</w:t>
      </w:r>
      <w:r w:rsidR="004B1A20" w:rsidRPr="00C138A1">
        <w:rPr>
          <w:rFonts w:hint="cs"/>
          <w:rtl/>
          <w:lang w:bidi="ar-EG"/>
        </w:rPr>
        <w:t>ً</w:t>
      </w:r>
      <w:r w:rsidR="008B4D51" w:rsidRPr="00C138A1">
        <w:rPr>
          <w:rtl/>
          <w:lang w:bidi="ar-EG"/>
        </w:rPr>
        <w:t>ا</w:t>
      </w:r>
      <w:r w:rsidR="008B4D51" w:rsidRPr="00C138A1">
        <w:rPr>
          <w:rFonts w:hint="cs"/>
          <w:rtl/>
          <w:lang w:bidi="ar-EG"/>
        </w:rPr>
        <w:t xml:space="preserve"> أمريكي</w:t>
      </w:r>
      <w:r w:rsidR="004B1A20" w:rsidRPr="00C138A1">
        <w:rPr>
          <w:rFonts w:hint="cs"/>
          <w:rtl/>
          <w:lang w:bidi="ar-EG"/>
        </w:rPr>
        <w:t>ً</w:t>
      </w:r>
      <w:r w:rsidR="008B4D51" w:rsidRPr="00C138A1">
        <w:rPr>
          <w:rFonts w:hint="cs"/>
          <w:rtl/>
          <w:lang w:bidi="ar-EG"/>
        </w:rPr>
        <w:t>ا</w:t>
      </w:r>
      <w:r w:rsidR="002F43EA" w:rsidRPr="00C138A1">
        <w:rPr>
          <w:rFonts w:hint="cs"/>
          <w:rtl/>
          <w:lang w:bidi="ar-EG"/>
        </w:rPr>
        <w:t xml:space="preserve"> (</w:t>
      </w:r>
      <w:r w:rsidRPr="00C138A1">
        <w:rPr>
          <w:rFonts w:hint="cs"/>
          <w:rtl/>
          <w:lang w:bidi="ar-EG"/>
        </w:rPr>
        <w:t>في</w:t>
      </w:r>
      <w:r w:rsidR="002F43EA" w:rsidRPr="00C138A1">
        <w:rPr>
          <w:rFonts w:hint="cs"/>
          <w:rtl/>
          <w:lang w:bidi="ar-EG"/>
        </w:rPr>
        <w:t xml:space="preserve"> 2016</w:t>
      </w:r>
      <w:r w:rsidR="00511917">
        <w:rPr>
          <w:rFonts w:hint="cs"/>
          <w:rtl/>
          <w:lang w:bidi="ar-EG"/>
        </w:rPr>
        <w:t>)</w:t>
      </w:r>
      <w:r w:rsidR="00511917" w:rsidRPr="00C138A1">
        <w:rPr>
          <w:rFonts w:hint="eastAsia"/>
          <w:rtl/>
          <w:lang w:bidi="ar-EG"/>
        </w:rPr>
        <w:t>؛</w:t>
      </w:r>
      <w:r w:rsidRPr="00C138A1">
        <w:rPr>
          <w:bCs/>
          <w:szCs w:val="22"/>
        </w:rPr>
        <w:t xml:space="preserve">8,447.42 </w:t>
      </w:r>
      <w:r w:rsidRPr="00C138A1">
        <w:rPr>
          <w:rFonts w:hint="cs"/>
          <w:bCs/>
          <w:szCs w:val="22"/>
          <w:rtl/>
        </w:rPr>
        <w:t xml:space="preserve"> </w:t>
      </w:r>
      <w:r w:rsidR="002F43EA" w:rsidRPr="00C138A1">
        <w:rPr>
          <w:rtl/>
          <w:lang w:bidi="ar-EG"/>
        </w:rPr>
        <w:t>دولار</w:t>
      </w:r>
      <w:r w:rsidR="004B1A20" w:rsidRPr="00C138A1">
        <w:rPr>
          <w:rFonts w:hint="cs"/>
          <w:rtl/>
          <w:lang w:bidi="ar-EG"/>
        </w:rPr>
        <w:t>ً</w:t>
      </w:r>
      <w:r w:rsidR="002F43EA" w:rsidRPr="00C138A1">
        <w:rPr>
          <w:rtl/>
          <w:lang w:bidi="ar-EG"/>
        </w:rPr>
        <w:t>ا</w:t>
      </w:r>
      <w:r w:rsidR="002F43EA" w:rsidRPr="00C138A1">
        <w:rPr>
          <w:rFonts w:hint="cs"/>
          <w:rtl/>
          <w:lang w:bidi="ar-EG"/>
        </w:rPr>
        <w:t xml:space="preserve"> أمريكي</w:t>
      </w:r>
      <w:r w:rsidR="004B1A20" w:rsidRPr="00C138A1">
        <w:rPr>
          <w:rFonts w:hint="cs"/>
          <w:rtl/>
          <w:lang w:bidi="ar-EG"/>
        </w:rPr>
        <w:t>ً</w:t>
      </w:r>
      <w:r w:rsidR="002F43EA" w:rsidRPr="00C138A1">
        <w:rPr>
          <w:rFonts w:hint="cs"/>
          <w:rtl/>
          <w:lang w:bidi="ar-EG"/>
        </w:rPr>
        <w:t>ا</w:t>
      </w:r>
      <w:r w:rsidR="00D40545" w:rsidRPr="00C138A1">
        <w:rPr>
          <w:rFonts w:hint="cs"/>
          <w:rtl/>
          <w:lang w:bidi="ar-EG"/>
        </w:rPr>
        <w:t xml:space="preserve"> (</w:t>
      </w:r>
      <w:r w:rsidRPr="00C138A1">
        <w:rPr>
          <w:rFonts w:hint="cs"/>
          <w:rtl/>
          <w:lang w:bidi="ar-EG"/>
        </w:rPr>
        <w:t>في</w:t>
      </w:r>
      <w:r w:rsidR="00D40545" w:rsidRPr="00C138A1">
        <w:rPr>
          <w:rFonts w:hint="cs"/>
          <w:rtl/>
          <w:lang w:bidi="ar-EG"/>
        </w:rPr>
        <w:t xml:space="preserve"> 2015).</w:t>
      </w:r>
    </w:p>
    <w:p w:rsidR="00267EC9" w:rsidRPr="00C138A1" w:rsidRDefault="004B1A20" w:rsidP="00634DCD">
      <w:pPr>
        <w:pStyle w:val="NormalParaAR"/>
        <w:tabs>
          <w:tab w:val="left" w:pos="355"/>
        </w:tabs>
        <w:spacing w:after="60"/>
        <w:rPr>
          <w:b/>
          <w:bCs/>
          <w:rtl/>
          <w:lang w:bidi="ar-EG"/>
        </w:rPr>
      </w:pPr>
      <w:r w:rsidRPr="00C138A1">
        <w:rPr>
          <w:rFonts w:hint="cs"/>
          <w:b/>
          <w:bCs/>
          <w:rtl/>
          <w:lang w:bidi="ar-EG"/>
        </w:rPr>
        <w:t xml:space="preserve">الإنفاق الوطني المقدر على البحث والتطوير </w:t>
      </w:r>
      <w:r w:rsidR="00D40545" w:rsidRPr="00C138A1">
        <w:rPr>
          <w:rFonts w:hint="cs"/>
          <w:b/>
          <w:bCs/>
          <w:rtl/>
          <w:lang w:bidi="ar-EG"/>
        </w:rPr>
        <w:t>(</w:t>
      </w:r>
      <w:r w:rsidRPr="00C138A1">
        <w:rPr>
          <w:rFonts w:hint="cs"/>
          <w:b/>
          <w:bCs/>
          <w:rtl/>
          <w:lang w:bidi="ar-EG"/>
        </w:rPr>
        <w:t>%</w:t>
      </w:r>
      <w:r w:rsidR="00D40545" w:rsidRPr="00C138A1">
        <w:rPr>
          <w:rFonts w:hint="cs"/>
          <w:b/>
          <w:bCs/>
          <w:rtl/>
          <w:lang w:bidi="ar-EG"/>
        </w:rPr>
        <w:t xml:space="preserve"> من </w:t>
      </w:r>
      <w:r w:rsidR="00D40545" w:rsidRPr="00C138A1">
        <w:rPr>
          <w:b/>
          <w:bCs/>
          <w:rtl/>
          <w:lang w:bidi="ar-EG"/>
        </w:rPr>
        <w:t>الناتج المحلي الإجمالي</w:t>
      </w:r>
      <w:r w:rsidR="00267EC9" w:rsidRPr="00C138A1">
        <w:rPr>
          <w:rFonts w:hint="cs"/>
          <w:b/>
          <w:bCs/>
          <w:rtl/>
          <w:lang w:bidi="ar-EG"/>
        </w:rPr>
        <w:t>):</w:t>
      </w:r>
    </w:p>
    <w:p w:rsidR="00D40545" w:rsidRPr="00C138A1" w:rsidRDefault="00634DCD" w:rsidP="00634DCD">
      <w:pPr>
        <w:pStyle w:val="NormalParaAR"/>
        <w:tabs>
          <w:tab w:val="left" w:pos="355"/>
        </w:tabs>
        <w:rPr>
          <w:b/>
          <w:bCs/>
          <w:rtl/>
          <w:lang w:bidi="ar-EG"/>
        </w:rPr>
      </w:pPr>
      <w:r w:rsidRPr="00C138A1">
        <w:rPr>
          <w:rFonts w:hint="cs"/>
          <w:rtl/>
          <w:lang w:bidi="ar-EG"/>
        </w:rPr>
        <w:t>0.54</w:t>
      </w:r>
      <w:r w:rsidR="00D40545" w:rsidRPr="00C138A1">
        <w:rPr>
          <w:rFonts w:hint="cs"/>
          <w:rtl/>
          <w:lang w:bidi="ar-EG"/>
        </w:rPr>
        <w:t>%</w:t>
      </w:r>
      <w:r w:rsidR="000F1743" w:rsidRPr="00C138A1">
        <w:rPr>
          <w:rFonts w:hint="cs"/>
          <w:rtl/>
          <w:lang w:bidi="ar-EG"/>
        </w:rPr>
        <w:t xml:space="preserve"> (عام 2015)</w:t>
      </w:r>
    </w:p>
    <w:p w:rsidR="00F55FF1" w:rsidRPr="00C138A1" w:rsidRDefault="00267EC9" w:rsidP="00634DCD">
      <w:pPr>
        <w:pStyle w:val="NormalParaAR"/>
        <w:tabs>
          <w:tab w:val="left" w:pos="355"/>
        </w:tabs>
        <w:spacing w:after="60"/>
        <w:rPr>
          <w:rtl/>
          <w:lang w:bidi="ar-EG"/>
        </w:rPr>
      </w:pPr>
      <w:r w:rsidRPr="00C138A1">
        <w:rPr>
          <w:rFonts w:hint="cs"/>
          <w:b/>
          <w:bCs/>
          <w:rtl/>
          <w:lang w:bidi="ar-EG"/>
        </w:rPr>
        <w:t xml:space="preserve">عدد </w:t>
      </w:r>
      <w:r w:rsidR="004B1A20" w:rsidRPr="00C138A1">
        <w:rPr>
          <w:b/>
          <w:bCs/>
          <w:rtl/>
          <w:lang w:bidi="ar-EG"/>
        </w:rPr>
        <w:t>جامعات البحث</w:t>
      </w:r>
      <w:r w:rsidRPr="00C138A1">
        <w:rPr>
          <w:rFonts w:hint="cs"/>
          <w:b/>
          <w:bCs/>
          <w:rtl/>
          <w:lang w:bidi="ar-EG"/>
        </w:rPr>
        <w:t xml:space="preserve">: </w:t>
      </w:r>
    </w:p>
    <w:p w:rsidR="008B4D51" w:rsidRPr="00C138A1" w:rsidRDefault="00634DCD" w:rsidP="00E733DC">
      <w:pPr>
        <w:pStyle w:val="NormalParaAR"/>
        <w:tabs>
          <w:tab w:val="left" w:pos="355"/>
        </w:tabs>
        <w:rPr>
          <w:bCs/>
          <w:rtl/>
          <w:lang w:bidi="ar-EG"/>
        </w:rPr>
      </w:pPr>
      <w:r w:rsidRPr="00C138A1">
        <w:rPr>
          <w:rFonts w:eastAsia="SimSun" w:hint="cs"/>
          <w:rtl/>
          <w:lang w:val="fr-FR" w:eastAsia="zh-CN"/>
        </w:rPr>
        <w:t>040</w:t>
      </w:r>
      <w:r w:rsidRPr="00C138A1">
        <w:rPr>
          <w:rtl/>
        </w:rPr>
        <w:t xml:space="preserve"> </w:t>
      </w:r>
      <w:r w:rsidRPr="00C138A1">
        <w:rPr>
          <w:rFonts w:eastAsia="SimSun"/>
          <w:rtl/>
          <w:lang w:val="fr-FR" w:eastAsia="zh-CN"/>
        </w:rPr>
        <w:t>1٫</w:t>
      </w:r>
      <w:r w:rsidR="00F55FF1" w:rsidRPr="00C138A1">
        <w:rPr>
          <w:rFonts w:hint="cs"/>
          <w:bCs/>
          <w:rtl/>
          <w:lang w:bidi="ar-EG"/>
        </w:rPr>
        <w:t xml:space="preserve"> </w:t>
      </w:r>
      <w:r w:rsidR="00267EC9" w:rsidRPr="00C138A1">
        <w:rPr>
          <w:rFonts w:hint="cs"/>
          <w:rtl/>
          <w:lang w:bidi="ar-EG"/>
        </w:rPr>
        <w:t>جامعة</w:t>
      </w:r>
    </w:p>
    <w:p w:rsidR="00D937FB" w:rsidRPr="00C138A1" w:rsidRDefault="00D937FB" w:rsidP="00634DCD">
      <w:pPr>
        <w:bidi/>
        <w:spacing w:after="60" w:line="360" w:lineRule="exact"/>
        <w:rPr>
          <w:rFonts w:ascii="Arabic Typesetting" w:hAnsi="Arabic Typesetting" w:cs="Arabic Typesetting"/>
          <w:b/>
          <w:bCs/>
          <w:sz w:val="36"/>
          <w:szCs w:val="36"/>
        </w:rPr>
      </w:pPr>
      <w:r w:rsidRPr="00C138A1">
        <w:rPr>
          <w:rFonts w:ascii="Arabic Typesetting" w:hAnsi="Arabic Typesetting" w:cs="Arabic Typesetting"/>
          <w:b/>
          <w:bCs/>
          <w:sz w:val="36"/>
          <w:szCs w:val="36"/>
          <w:rtl/>
        </w:rPr>
        <w:t xml:space="preserve">موجز عن الشبكة الوطنية للمعلومات المتعلقة بالبراءات </w:t>
      </w:r>
      <w:r w:rsidRPr="00C138A1">
        <w:rPr>
          <w:rFonts w:ascii="Arabic Typesetting" w:hAnsi="Arabic Typesetting" w:cs="Arabic Typesetting" w:hint="cs"/>
          <w:b/>
          <w:bCs/>
          <w:sz w:val="36"/>
          <w:szCs w:val="36"/>
          <w:rtl/>
        </w:rPr>
        <w:t>(</w:t>
      </w:r>
      <w:r w:rsidRPr="00C138A1">
        <w:rPr>
          <w:rFonts w:ascii="Arabic Typesetting" w:hAnsi="Arabic Typesetting" w:cs="Arabic Typesetting"/>
          <w:b/>
          <w:bCs/>
          <w:sz w:val="36"/>
          <w:szCs w:val="36"/>
          <w:rtl/>
        </w:rPr>
        <w:t>مثلا، مكتبات البراءات ومراكز دعم التكنولوجيا والابتكار</w:t>
      </w:r>
      <w:r w:rsidRPr="00C138A1">
        <w:rPr>
          <w:rFonts w:ascii="Arabic Typesetting" w:hAnsi="Arabic Typesetting" w:cs="Arabic Typesetting" w:hint="cs"/>
          <w:b/>
          <w:bCs/>
          <w:sz w:val="36"/>
          <w:szCs w:val="36"/>
          <w:rtl/>
        </w:rPr>
        <w:t>):</w:t>
      </w:r>
      <w:r w:rsidRPr="00C138A1">
        <w:rPr>
          <w:rFonts w:ascii="Arabic Typesetting" w:hAnsi="Arabic Typesetting" w:cs="Arabic Typesetting"/>
          <w:b/>
          <w:bCs/>
          <w:sz w:val="36"/>
          <w:szCs w:val="36"/>
          <w:rtl/>
        </w:rPr>
        <w:t xml:space="preserve"> </w:t>
      </w:r>
    </w:p>
    <w:p w:rsidR="009F5CD2" w:rsidRPr="00C138A1" w:rsidRDefault="00152DFA" w:rsidP="00634DCD">
      <w:pPr>
        <w:pStyle w:val="NormalParaAR"/>
        <w:tabs>
          <w:tab w:val="left" w:pos="355"/>
        </w:tabs>
        <w:rPr>
          <w:b/>
          <w:rtl/>
          <w:lang w:bidi="ar-EG"/>
        </w:rPr>
      </w:pPr>
      <w:r w:rsidRPr="00C138A1">
        <w:rPr>
          <w:b/>
          <w:rtl/>
          <w:lang w:bidi="ar-EG"/>
        </w:rPr>
        <w:t xml:space="preserve">في نهاية عام 2016، تم إنشاء 140 مركزا لدعم التكنولوجيا والابتكار في 65 منطقة </w:t>
      </w:r>
      <w:r w:rsidR="00255008" w:rsidRPr="00C138A1">
        <w:rPr>
          <w:rFonts w:hint="cs"/>
          <w:b/>
          <w:rtl/>
          <w:lang w:bidi="ar-EG"/>
        </w:rPr>
        <w:t>في</w:t>
      </w:r>
      <w:r w:rsidRPr="00C138A1">
        <w:rPr>
          <w:b/>
          <w:rtl/>
          <w:lang w:bidi="ar-EG"/>
        </w:rPr>
        <w:t xml:space="preserve"> الاتحاد الروسي.</w:t>
      </w:r>
    </w:p>
    <w:p w:rsidR="00D937FB" w:rsidRPr="00C138A1" w:rsidRDefault="00D937FB" w:rsidP="0027103C">
      <w:pPr>
        <w:pStyle w:val="NormalParaAR"/>
        <w:tabs>
          <w:tab w:val="left" w:pos="355"/>
        </w:tabs>
        <w:spacing w:after="200"/>
        <w:rPr>
          <w:b/>
          <w:bCs/>
          <w:rtl/>
        </w:rPr>
      </w:pPr>
      <w:r w:rsidRPr="00C138A1">
        <w:rPr>
          <w:b/>
          <w:bCs/>
          <w:rtl/>
        </w:rPr>
        <w:t>الصناعات المحلية الكبرى</w:t>
      </w:r>
      <w:r w:rsidRPr="00C138A1">
        <w:rPr>
          <w:rFonts w:hint="cs"/>
          <w:b/>
          <w:bCs/>
          <w:rtl/>
        </w:rPr>
        <w:t>:</w:t>
      </w:r>
    </w:p>
    <w:p w:rsidR="00152DFA" w:rsidRPr="00C138A1" w:rsidRDefault="00152DFA" w:rsidP="0027103C">
      <w:pPr>
        <w:pStyle w:val="NormalParaAR"/>
        <w:tabs>
          <w:tab w:val="left" w:pos="355"/>
        </w:tabs>
        <w:spacing w:after="200"/>
        <w:rPr>
          <w:b/>
          <w:rtl/>
          <w:lang w:bidi="ar-EG"/>
        </w:rPr>
      </w:pPr>
      <w:r w:rsidRPr="00C138A1">
        <w:rPr>
          <w:b/>
          <w:rtl/>
          <w:lang w:bidi="ar-EG"/>
        </w:rPr>
        <w:t xml:space="preserve">في الوقت الحاضر، </w:t>
      </w:r>
      <w:r w:rsidR="00A102C0" w:rsidRPr="00C138A1">
        <w:rPr>
          <w:rFonts w:hint="cs"/>
          <w:b/>
          <w:rtl/>
          <w:lang w:bidi="ar-EG"/>
        </w:rPr>
        <w:t>يش</w:t>
      </w:r>
      <w:r w:rsidR="00870A6F" w:rsidRPr="00C138A1">
        <w:rPr>
          <w:rFonts w:hint="cs"/>
          <w:b/>
          <w:rtl/>
          <w:lang w:bidi="ar-EG"/>
        </w:rPr>
        <w:t>مل</w:t>
      </w:r>
      <w:r w:rsidRPr="00C138A1">
        <w:rPr>
          <w:b/>
          <w:rtl/>
          <w:lang w:bidi="ar-EG"/>
        </w:rPr>
        <w:t xml:space="preserve"> القطاع الصناعي في روسيا المجالات التنافسية التالية: صناعة النفط والغاز، التعدين، </w:t>
      </w:r>
      <w:r w:rsidR="00BD6D05" w:rsidRPr="00C138A1">
        <w:rPr>
          <w:rFonts w:hint="cs"/>
          <w:b/>
          <w:rtl/>
          <w:lang w:bidi="ar-EG"/>
        </w:rPr>
        <w:t>تصنيع</w:t>
      </w:r>
      <w:r w:rsidRPr="00C138A1">
        <w:rPr>
          <w:b/>
          <w:rtl/>
          <w:lang w:bidi="ar-EG"/>
        </w:rPr>
        <w:t xml:space="preserve"> الأحجار الكريمة والمعادن، هندسة الطائرات، إنتاج الصواريخ</w:t>
      </w:r>
      <w:r w:rsidR="00971861" w:rsidRPr="00C138A1">
        <w:rPr>
          <w:rFonts w:hint="cs"/>
          <w:b/>
          <w:rtl/>
          <w:lang w:bidi="ar-EG"/>
        </w:rPr>
        <w:t>،</w:t>
      </w:r>
      <w:r w:rsidRPr="00C138A1">
        <w:rPr>
          <w:b/>
          <w:rtl/>
          <w:lang w:bidi="ar-EG"/>
        </w:rPr>
        <w:t xml:space="preserve"> المركبات الفضائية، الصناعة النووية، إنتاج الأسلحة والمعدات العسكرية، التكنولوجيا الكهربائية، صناعة الورق </w:t>
      </w:r>
      <w:r w:rsidR="00547BA4" w:rsidRPr="00C138A1">
        <w:rPr>
          <w:rFonts w:hint="cs"/>
          <w:b/>
          <w:rtl/>
          <w:lang w:bidi="ar-EG"/>
        </w:rPr>
        <w:t xml:space="preserve">والورق </w:t>
      </w:r>
      <w:r w:rsidRPr="00C138A1">
        <w:rPr>
          <w:b/>
          <w:rtl/>
          <w:lang w:bidi="ar-EG"/>
        </w:rPr>
        <w:t>المقوى، صناعة السيارات، النقل، الطرق والآلات الزراعية، الصناع</w:t>
      </w:r>
      <w:r w:rsidR="00024934" w:rsidRPr="00C138A1">
        <w:rPr>
          <w:rFonts w:hint="cs"/>
          <w:b/>
          <w:rtl/>
          <w:lang w:bidi="ar-EG"/>
        </w:rPr>
        <w:t>ات</w:t>
      </w:r>
      <w:r w:rsidRPr="00C138A1">
        <w:rPr>
          <w:b/>
          <w:rtl/>
          <w:lang w:bidi="ar-EG"/>
        </w:rPr>
        <w:t xml:space="preserve"> الاستهلاكية، صناعة الأغذية، مجمع بناء الماكينات، صناعة الكيماويات والبتروكيماويات، مجمع الوقود والطاقة، مجمع المعادن، مجمع زراعي.</w:t>
      </w:r>
    </w:p>
    <w:p w:rsidR="00D937FB" w:rsidRPr="00C138A1" w:rsidRDefault="00D937FB" w:rsidP="0027103C">
      <w:pPr>
        <w:pStyle w:val="NormalParaAR"/>
        <w:tabs>
          <w:tab w:val="left" w:pos="355"/>
        </w:tabs>
        <w:spacing w:after="200"/>
        <w:rPr>
          <w:b/>
          <w:bCs/>
          <w:rtl/>
        </w:rPr>
      </w:pPr>
      <w:r w:rsidRPr="00C138A1">
        <w:rPr>
          <w:b/>
          <w:bCs/>
          <w:rtl/>
        </w:rPr>
        <w:t>أكبر الشركاء التجاريين من الدول</w:t>
      </w:r>
      <w:r w:rsidRPr="00C138A1">
        <w:rPr>
          <w:rFonts w:hint="cs"/>
          <w:b/>
          <w:bCs/>
          <w:rtl/>
        </w:rPr>
        <w:t xml:space="preserve">: </w:t>
      </w:r>
    </w:p>
    <w:p w:rsidR="002A29BC" w:rsidRPr="00C138A1" w:rsidRDefault="0085612B" w:rsidP="0027103C">
      <w:pPr>
        <w:pStyle w:val="NormalParaAR"/>
        <w:tabs>
          <w:tab w:val="left" w:pos="355"/>
        </w:tabs>
        <w:spacing w:after="200"/>
        <w:rPr>
          <w:b/>
          <w:rtl/>
          <w:lang w:bidi="ar-EG"/>
        </w:rPr>
      </w:pPr>
      <w:r w:rsidRPr="00C138A1">
        <w:rPr>
          <w:rFonts w:hint="cs"/>
          <w:b/>
          <w:rtl/>
          <w:lang w:bidi="ar-EG"/>
        </w:rPr>
        <w:t>في</w:t>
      </w:r>
      <w:r w:rsidR="002A29BC" w:rsidRPr="00C138A1">
        <w:rPr>
          <w:b/>
          <w:rtl/>
          <w:lang w:bidi="ar-EG"/>
        </w:rPr>
        <w:t xml:space="preserve"> 22 أغسطس 2013، أصبح الاتحاد الروسي عضوا في منظمة التجارة العالمية. </w:t>
      </w:r>
      <w:r w:rsidRPr="00C138A1">
        <w:rPr>
          <w:rFonts w:hint="cs"/>
          <w:b/>
          <w:rtl/>
          <w:lang w:bidi="ar-EG"/>
        </w:rPr>
        <w:t xml:space="preserve">كما </w:t>
      </w:r>
      <w:r w:rsidR="00672C1D" w:rsidRPr="00C138A1">
        <w:rPr>
          <w:rFonts w:hint="cs"/>
          <w:b/>
          <w:rtl/>
          <w:lang w:bidi="ar-EG"/>
        </w:rPr>
        <w:t>أصبح</w:t>
      </w:r>
      <w:r w:rsidR="002A29BC" w:rsidRPr="00C138A1">
        <w:rPr>
          <w:b/>
          <w:rtl/>
          <w:lang w:bidi="ar-EG"/>
        </w:rPr>
        <w:t xml:space="preserve"> عضو</w:t>
      </w:r>
      <w:r w:rsidR="007B7C07" w:rsidRPr="00C138A1">
        <w:rPr>
          <w:rFonts w:hint="cs"/>
          <w:b/>
          <w:rtl/>
          <w:lang w:bidi="ar-EG"/>
        </w:rPr>
        <w:t>ا</w:t>
      </w:r>
      <w:r w:rsidR="002A29BC" w:rsidRPr="00C138A1">
        <w:rPr>
          <w:b/>
          <w:rtl/>
          <w:lang w:bidi="ar-EG"/>
        </w:rPr>
        <w:t xml:space="preserve"> </w:t>
      </w:r>
      <w:r w:rsidR="007B7C07" w:rsidRPr="00C138A1">
        <w:rPr>
          <w:rFonts w:hint="cs"/>
          <w:b/>
          <w:rtl/>
          <w:lang w:bidi="ar-EG"/>
        </w:rPr>
        <w:t xml:space="preserve">في </w:t>
      </w:r>
      <w:r w:rsidR="0027103C" w:rsidRPr="00C138A1">
        <w:rPr>
          <w:b/>
          <w:rtl/>
          <w:lang w:bidi="ar-EG"/>
        </w:rPr>
        <w:t>اتفاق منطقة التجارة الحرة ل</w:t>
      </w:r>
      <w:r w:rsidR="0027103C" w:rsidRPr="00C138A1">
        <w:rPr>
          <w:rFonts w:hint="cs"/>
          <w:b/>
          <w:rtl/>
          <w:lang w:bidi="ar-EG"/>
        </w:rPr>
        <w:t>رابطة</w:t>
      </w:r>
      <w:r w:rsidR="00672C1D" w:rsidRPr="00C138A1">
        <w:rPr>
          <w:b/>
          <w:rtl/>
          <w:lang w:bidi="ar-EG"/>
        </w:rPr>
        <w:t xml:space="preserve"> الدول المستقلة</w:t>
      </w:r>
      <w:r w:rsidR="002A29BC" w:rsidRPr="00C138A1">
        <w:rPr>
          <w:b/>
          <w:rtl/>
          <w:lang w:bidi="ar-EG"/>
        </w:rPr>
        <w:t>، و</w:t>
      </w:r>
      <w:r w:rsidR="00672C1D" w:rsidRPr="00C138A1">
        <w:rPr>
          <w:rFonts w:hint="cs"/>
          <w:b/>
          <w:rtl/>
          <w:lang w:bidi="ar-EG"/>
        </w:rPr>
        <w:t xml:space="preserve">في </w:t>
      </w:r>
      <w:r w:rsidR="00FE109F" w:rsidRPr="00C138A1">
        <w:rPr>
          <w:b/>
          <w:rtl/>
          <w:lang w:bidi="ar-EG"/>
        </w:rPr>
        <w:t>الاتحاد الجمركي للجماعة الاقتصادية للمنطقة الأوروبية الآسيوية</w:t>
      </w:r>
      <w:r w:rsidR="002A29BC" w:rsidRPr="00C138A1">
        <w:rPr>
          <w:b/>
          <w:rtl/>
          <w:lang w:bidi="ar-EG"/>
        </w:rPr>
        <w:t>، فضلا عن الاتحاد الاقتصادي للمنطقة الأوروبية الآسيوية.</w:t>
      </w:r>
    </w:p>
    <w:p w:rsidR="003D1028" w:rsidRPr="00C138A1" w:rsidRDefault="005755F1" w:rsidP="0027103C">
      <w:pPr>
        <w:pStyle w:val="NormalParaAR"/>
        <w:tabs>
          <w:tab w:val="left" w:pos="355"/>
        </w:tabs>
        <w:spacing w:after="200"/>
        <w:rPr>
          <w:b/>
          <w:rtl/>
          <w:lang w:bidi="ar-EG"/>
        </w:rPr>
      </w:pPr>
      <w:r w:rsidRPr="00C138A1">
        <w:rPr>
          <w:b/>
          <w:rtl/>
          <w:lang w:bidi="ar-EG"/>
        </w:rPr>
        <w:t>البلدان غير الأعضاء في رابطة الدول المستقلة: ألمانيا وإيطاليا والصين وهولندا والولايات المتحدة الأمريكية والمملكة المتحدة وبولندا وفرنسا وفنلندا وتركيا واليابان والبرازيل والهند وجنوب أفريقيا</w:t>
      </w:r>
      <w:r w:rsidR="003D1028" w:rsidRPr="00C138A1">
        <w:rPr>
          <w:rFonts w:hint="cs"/>
          <w:b/>
          <w:rtl/>
          <w:lang w:bidi="ar-EG"/>
        </w:rPr>
        <w:t>.</w:t>
      </w:r>
    </w:p>
    <w:p w:rsidR="005261AF" w:rsidRPr="00C138A1" w:rsidRDefault="003D1028" w:rsidP="003D1028">
      <w:pPr>
        <w:pStyle w:val="NormalParaAR"/>
        <w:tabs>
          <w:tab w:val="left" w:pos="355"/>
        </w:tabs>
        <w:rPr>
          <w:b/>
          <w:rtl/>
          <w:lang w:bidi="ar-EG"/>
        </w:rPr>
      </w:pPr>
      <w:r w:rsidRPr="00C138A1">
        <w:rPr>
          <w:b/>
          <w:rtl/>
          <w:lang w:bidi="ar-EG"/>
        </w:rPr>
        <w:t>البلدان الأعضاء في رابطة الدول المستقلة:</w:t>
      </w:r>
      <w:r w:rsidRPr="00C138A1">
        <w:rPr>
          <w:rtl/>
        </w:rPr>
        <w:t xml:space="preserve"> </w:t>
      </w:r>
      <w:r w:rsidRPr="00C138A1">
        <w:rPr>
          <w:b/>
          <w:rtl/>
          <w:lang w:bidi="ar-EG"/>
        </w:rPr>
        <w:t>بيلاروس، كازاخستان</w:t>
      </w:r>
      <w:r w:rsidR="0027103C" w:rsidRPr="00C138A1">
        <w:rPr>
          <w:rFonts w:hint="cs"/>
          <w:b/>
          <w:rtl/>
          <w:lang w:bidi="ar-EG"/>
        </w:rPr>
        <w:t>.</w:t>
      </w:r>
    </w:p>
    <w:p w:rsidR="009A22AA" w:rsidRPr="00C138A1" w:rsidRDefault="0027103C" w:rsidP="0027103C">
      <w:pPr>
        <w:pStyle w:val="NormalParaAR"/>
        <w:pBdr>
          <w:top w:val="single" w:sz="4" w:space="1" w:color="auto"/>
          <w:bottom w:val="single" w:sz="4" w:space="1" w:color="auto"/>
        </w:pBdr>
        <w:tabs>
          <w:tab w:val="left" w:pos="355"/>
        </w:tabs>
        <w:rPr>
          <w:b/>
          <w:bCs/>
          <w:caps/>
          <w:kern w:val="32"/>
          <w:sz w:val="40"/>
          <w:szCs w:val="40"/>
          <w:lang w:eastAsia="zh-CN"/>
        </w:rPr>
      </w:pPr>
      <w:r w:rsidRPr="00C138A1">
        <w:rPr>
          <w:rFonts w:hint="cs"/>
          <w:b/>
          <w:bCs/>
          <w:rtl/>
          <w:lang w:bidi="ar-EG"/>
        </w:rPr>
        <w:lastRenderedPageBreak/>
        <w:t>6</w:t>
      </w:r>
      <w:r w:rsidRPr="00C138A1">
        <w:rPr>
          <w:rFonts w:hint="cs"/>
          <w:b/>
          <w:bCs/>
          <w:caps/>
          <w:kern w:val="32"/>
          <w:sz w:val="40"/>
          <w:szCs w:val="40"/>
          <w:rtl/>
          <w:lang w:eastAsia="zh-CN"/>
        </w:rPr>
        <w:t xml:space="preserve">- </w:t>
      </w:r>
      <w:r w:rsidR="00B578A2" w:rsidRPr="00C138A1">
        <w:rPr>
          <w:rFonts w:hint="cs"/>
          <w:b/>
          <w:bCs/>
          <w:caps/>
          <w:kern w:val="32"/>
          <w:sz w:val="40"/>
          <w:szCs w:val="40"/>
          <w:rtl/>
          <w:lang w:eastAsia="zh-CN"/>
        </w:rPr>
        <w:t>نوعية</w:t>
      </w:r>
      <w:r w:rsidR="00D937FB" w:rsidRPr="00C138A1">
        <w:rPr>
          <w:rFonts w:hint="cs"/>
          <w:b/>
          <w:bCs/>
          <w:caps/>
          <w:kern w:val="32"/>
          <w:sz w:val="40"/>
          <w:szCs w:val="40"/>
          <w:rtl/>
          <w:lang w:eastAsia="zh-CN"/>
        </w:rPr>
        <w:t xml:space="preserve"> طلبات البراءات</w:t>
      </w:r>
    </w:p>
    <w:p w:rsidR="00D937FB" w:rsidRPr="00C138A1" w:rsidRDefault="00D937FB" w:rsidP="00D937FB">
      <w:pPr>
        <w:pStyle w:val="NormalParaAR"/>
        <w:keepNext/>
        <w:spacing w:before="240"/>
        <w:rPr>
          <w:b/>
          <w:bCs/>
        </w:rPr>
      </w:pPr>
      <w:r w:rsidRPr="00C138A1">
        <w:rPr>
          <w:b/>
          <w:bCs/>
          <w:rtl/>
        </w:rPr>
        <w:t xml:space="preserve">عدد الطلبات الوطنية المستلمة </w:t>
      </w:r>
      <w:r w:rsidRPr="00C138A1">
        <w:rPr>
          <w:b/>
          <w:bCs/>
        </w:rPr>
        <w:t>-</w:t>
      </w:r>
      <w:r w:rsidRPr="00C138A1">
        <w:rPr>
          <w:b/>
          <w:bCs/>
          <w:rtl/>
        </w:rPr>
        <w:t xml:space="preserve"> بحسب المسار</w:t>
      </w:r>
    </w:p>
    <w:tbl>
      <w:tblPr>
        <w:tblStyle w:val="TableGrid"/>
        <w:bidiVisual/>
        <w:tblW w:w="5000" w:type="pct"/>
        <w:tblLook w:val="04A0" w:firstRow="1" w:lastRow="0" w:firstColumn="1" w:lastColumn="0" w:noHBand="0" w:noVBand="1"/>
      </w:tblPr>
      <w:tblGrid>
        <w:gridCol w:w="2022"/>
        <w:gridCol w:w="1470"/>
        <w:gridCol w:w="1470"/>
        <w:gridCol w:w="1562"/>
        <w:gridCol w:w="1562"/>
        <w:gridCol w:w="1485"/>
      </w:tblGrid>
      <w:tr w:rsidR="00C138A1" w:rsidRPr="00C138A1" w:rsidTr="00BC1D01">
        <w:trPr>
          <w:cantSplit/>
          <w:trHeight w:val="584"/>
        </w:trPr>
        <w:tc>
          <w:tcPr>
            <w:tcW w:w="1056" w:type="pct"/>
            <w:tcBorders>
              <w:tl2br w:val="single" w:sz="4" w:space="0" w:color="auto"/>
            </w:tcBorders>
            <w:vAlign w:val="center"/>
          </w:tcPr>
          <w:p w:rsidR="00A7456D" w:rsidRPr="00C138A1" w:rsidRDefault="00A7456D" w:rsidP="00911361">
            <w:pPr>
              <w:pStyle w:val="NormalParaAR"/>
              <w:tabs>
                <w:tab w:val="left" w:pos="715"/>
              </w:tabs>
              <w:spacing w:after="120" w:line="240" w:lineRule="exact"/>
              <w:rPr>
                <w:b/>
                <w:bCs/>
                <w:rtl/>
                <w:lang w:val="fr-CH" w:bidi="ar-EG"/>
              </w:rPr>
            </w:pPr>
            <w:r w:rsidRPr="00C138A1">
              <w:rPr>
                <w:b/>
                <w:bCs/>
                <w:rtl/>
                <w:lang w:val="fr-CH" w:bidi="ar-EG"/>
              </w:rPr>
              <w:t>السنة</w:t>
            </w:r>
          </w:p>
          <w:p w:rsidR="00A7456D" w:rsidRPr="00C138A1" w:rsidRDefault="0030612C" w:rsidP="00D937FB">
            <w:pPr>
              <w:pStyle w:val="NormalParaAR"/>
              <w:tabs>
                <w:tab w:val="left" w:pos="355"/>
              </w:tabs>
              <w:spacing w:after="120" w:line="240" w:lineRule="exact"/>
              <w:jc w:val="right"/>
              <w:rPr>
                <w:b/>
                <w:bCs/>
                <w:rtl/>
                <w:lang w:val="fr-CH" w:bidi="ar-EG"/>
              </w:rPr>
            </w:pPr>
            <w:r w:rsidRPr="00C138A1">
              <w:rPr>
                <w:rFonts w:hint="cs"/>
                <w:b/>
                <w:bCs/>
                <w:rtl/>
                <w:lang w:val="fr-CH" w:bidi="ar-EG"/>
              </w:rPr>
              <w:t>المسار</w:t>
            </w:r>
          </w:p>
        </w:tc>
        <w:tc>
          <w:tcPr>
            <w:tcW w:w="768" w:type="pct"/>
            <w:vAlign w:val="center"/>
          </w:tcPr>
          <w:p w:rsidR="00A7456D" w:rsidRPr="00C138A1" w:rsidRDefault="00A7456D" w:rsidP="00911361">
            <w:pPr>
              <w:spacing w:after="120" w:line="240" w:lineRule="exact"/>
              <w:jc w:val="center"/>
              <w:rPr>
                <w:rFonts w:ascii="Arabic Typesetting" w:hAnsi="Arabic Typesetting" w:cs="Arabic Typesetting"/>
                <w:sz w:val="36"/>
                <w:szCs w:val="36"/>
              </w:rPr>
            </w:pPr>
            <w:r w:rsidRPr="00C138A1">
              <w:rPr>
                <w:rFonts w:ascii="Arabic Typesetting" w:hAnsi="Arabic Typesetting" w:cs="Arabic Typesetting"/>
                <w:sz w:val="36"/>
                <w:szCs w:val="36"/>
              </w:rPr>
              <w:t>2012</w:t>
            </w:r>
          </w:p>
        </w:tc>
        <w:tc>
          <w:tcPr>
            <w:tcW w:w="768" w:type="pct"/>
            <w:vAlign w:val="center"/>
          </w:tcPr>
          <w:p w:rsidR="00A7456D" w:rsidRPr="00C138A1" w:rsidRDefault="00D046A1" w:rsidP="00911361">
            <w:pPr>
              <w:spacing w:after="120" w:line="240" w:lineRule="exact"/>
              <w:jc w:val="center"/>
              <w:rPr>
                <w:rFonts w:ascii="Arabic Typesetting" w:hAnsi="Arabic Typesetting" w:cs="Arabic Typesetting"/>
                <w:sz w:val="36"/>
                <w:szCs w:val="36"/>
                <w:rtl/>
              </w:rPr>
            </w:pPr>
            <w:r w:rsidRPr="00C138A1">
              <w:rPr>
                <w:rFonts w:ascii="Arabic Typesetting" w:hAnsi="Arabic Typesetting" w:cs="Arabic Typesetting"/>
                <w:sz w:val="36"/>
                <w:szCs w:val="36"/>
              </w:rPr>
              <w:t>2013</w:t>
            </w:r>
          </w:p>
        </w:tc>
        <w:tc>
          <w:tcPr>
            <w:tcW w:w="816" w:type="pct"/>
            <w:vAlign w:val="center"/>
          </w:tcPr>
          <w:p w:rsidR="00A7456D" w:rsidRPr="00C138A1" w:rsidRDefault="00D046A1" w:rsidP="00911361">
            <w:pPr>
              <w:spacing w:after="120" w:line="240" w:lineRule="exact"/>
              <w:jc w:val="center"/>
              <w:rPr>
                <w:rFonts w:ascii="Arabic Typesetting" w:hAnsi="Arabic Typesetting" w:cs="Arabic Typesetting"/>
                <w:sz w:val="36"/>
                <w:szCs w:val="36"/>
              </w:rPr>
            </w:pPr>
            <w:r w:rsidRPr="00C138A1">
              <w:rPr>
                <w:rFonts w:ascii="Arabic Typesetting" w:hAnsi="Arabic Typesetting" w:cs="Arabic Typesetting"/>
                <w:sz w:val="36"/>
                <w:szCs w:val="36"/>
              </w:rPr>
              <w:t>2014</w:t>
            </w:r>
          </w:p>
        </w:tc>
        <w:tc>
          <w:tcPr>
            <w:tcW w:w="816" w:type="pct"/>
            <w:vAlign w:val="center"/>
          </w:tcPr>
          <w:p w:rsidR="00A7456D" w:rsidRPr="00C138A1" w:rsidRDefault="00D046A1" w:rsidP="00911361">
            <w:pPr>
              <w:spacing w:after="120" w:line="240" w:lineRule="exact"/>
              <w:jc w:val="center"/>
              <w:rPr>
                <w:rFonts w:ascii="Arabic Typesetting" w:hAnsi="Arabic Typesetting" w:cs="Arabic Typesetting"/>
                <w:sz w:val="36"/>
                <w:szCs w:val="36"/>
                <w:rtl/>
              </w:rPr>
            </w:pPr>
            <w:r w:rsidRPr="00C138A1">
              <w:rPr>
                <w:rFonts w:ascii="Arabic Typesetting" w:hAnsi="Arabic Typesetting" w:cs="Arabic Typesetting"/>
                <w:sz w:val="36"/>
                <w:szCs w:val="36"/>
              </w:rPr>
              <w:t>2015</w:t>
            </w:r>
          </w:p>
        </w:tc>
        <w:tc>
          <w:tcPr>
            <w:tcW w:w="776" w:type="pct"/>
            <w:vAlign w:val="center"/>
          </w:tcPr>
          <w:p w:rsidR="00A7456D" w:rsidRPr="00C138A1" w:rsidRDefault="00D046A1" w:rsidP="00911361">
            <w:pPr>
              <w:spacing w:after="120" w:line="240" w:lineRule="exact"/>
              <w:jc w:val="center"/>
              <w:rPr>
                <w:rFonts w:ascii="Arabic Typesetting" w:hAnsi="Arabic Typesetting" w:cs="Arabic Typesetting"/>
                <w:sz w:val="36"/>
                <w:szCs w:val="36"/>
                <w:rtl/>
              </w:rPr>
            </w:pPr>
            <w:r w:rsidRPr="00C138A1">
              <w:rPr>
                <w:rFonts w:ascii="Arabic Typesetting" w:hAnsi="Arabic Typesetting" w:cs="Arabic Typesetting"/>
                <w:sz w:val="36"/>
                <w:szCs w:val="36"/>
              </w:rPr>
              <w:t>2016</w:t>
            </w:r>
          </w:p>
        </w:tc>
      </w:tr>
      <w:tr w:rsidR="00C138A1" w:rsidRPr="00C138A1" w:rsidTr="005817E6">
        <w:trPr>
          <w:trHeight w:val="494"/>
        </w:trPr>
        <w:tc>
          <w:tcPr>
            <w:tcW w:w="1056" w:type="pct"/>
            <w:vAlign w:val="center"/>
          </w:tcPr>
          <w:p w:rsidR="005817E6" w:rsidRPr="00EC170E" w:rsidRDefault="005817E6" w:rsidP="00280E26">
            <w:pPr>
              <w:pStyle w:val="NormalParaAR"/>
              <w:tabs>
                <w:tab w:val="left" w:pos="715"/>
              </w:tabs>
              <w:spacing w:after="120" w:line="240" w:lineRule="exact"/>
              <w:jc w:val="center"/>
              <w:rPr>
                <w:rtl/>
                <w:lang w:val="fr-CH" w:bidi="ar-EG"/>
              </w:rPr>
            </w:pPr>
            <w:r w:rsidRPr="00EC170E">
              <w:rPr>
                <w:rtl/>
                <w:lang w:val="fr-CH" w:bidi="ar-EG"/>
              </w:rPr>
              <w:t xml:space="preserve">الإيداع الأول الوطني/ </w:t>
            </w:r>
            <w:r w:rsidRPr="00EC170E">
              <w:rPr>
                <w:rFonts w:hint="cs"/>
                <w:rtl/>
                <w:lang w:val="fr-CH" w:bidi="ar-EG"/>
              </w:rPr>
              <w:t>ال</w:t>
            </w:r>
            <w:r w:rsidRPr="00EC170E">
              <w:rPr>
                <w:rtl/>
                <w:lang w:val="fr-CH" w:bidi="ar-EG"/>
              </w:rPr>
              <w:t>أولوية</w:t>
            </w:r>
            <w:r w:rsidRPr="00EC170E">
              <w:rPr>
                <w:rFonts w:hint="cs"/>
                <w:rtl/>
                <w:lang w:val="fr-CH" w:bidi="ar-EG"/>
              </w:rPr>
              <w:t xml:space="preserve"> ال</w:t>
            </w:r>
            <w:r w:rsidRPr="00EC170E">
              <w:rPr>
                <w:rtl/>
                <w:lang w:val="fr-CH" w:bidi="ar-EG"/>
              </w:rPr>
              <w:t>داخلي</w:t>
            </w:r>
            <w:r w:rsidRPr="00EC170E">
              <w:rPr>
                <w:rFonts w:hint="cs"/>
                <w:rtl/>
                <w:lang w:val="fr-CH" w:bidi="ar-EG"/>
              </w:rPr>
              <w:t>ة</w:t>
            </w:r>
          </w:p>
        </w:tc>
        <w:tc>
          <w:tcPr>
            <w:tcW w:w="768" w:type="pct"/>
          </w:tcPr>
          <w:p w:rsidR="005817E6" w:rsidRPr="00C138A1" w:rsidRDefault="005817E6" w:rsidP="00911361">
            <w:pPr>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28</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w:t>
            </w:r>
            <w:r w:rsidRPr="00C138A1">
              <w:rPr>
                <w:rFonts w:ascii="Arabic Typesetting" w:hAnsi="Arabic Typesetting" w:cs="Arabic Typesetting"/>
                <w:sz w:val="36"/>
                <w:szCs w:val="36"/>
                <w:lang w:val="ru-RU"/>
              </w:rPr>
              <w:t>646</w:t>
            </w:r>
          </w:p>
        </w:tc>
        <w:tc>
          <w:tcPr>
            <w:tcW w:w="768" w:type="pct"/>
          </w:tcPr>
          <w:p w:rsidR="005817E6" w:rsidRPr="00C138A1" w:rsidRDefault="005817E6" w:rsidP="00911361">
            <w:pPr>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28</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w:t>
            </w:r>
            <w:r w:rsidRPr="00C138A1">
              <w:rPr>
                <w:rFonts w:ascii="Arabic Typesetting" w:hAnsi="Arabic Typesetting" w:cs="Arabic Typesetting"/>
                <w:sz w:val="36"/>
                <w:szCs w:val="36"/>
                <w:lang w:val="ru-RU"/>
              </w:rPr>
              <w:t>682</w:t>
            </w:r>
          </w:p>
        </w:tc>
        <w:tc>
          <w:tcPr>
            <w:tcW w:w="816" w:type="pct"/>
          </w:tcPr>
          <w:p w:rsidR="005817E6" w:rsidRPr="00C138A1" w:rsidRDefault="005817E6" w:rsidP="00911361">
            <w:pPr>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23</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w:t>
            </w:r>
            <w:r w:rsidRPr="00C138A1">
              <w:rPr>
                <w:rFonts w:ascii="Arabic Typesetting" w:hAnsi="Arabic Typesetting" w:cs="Arabic Typesetting"/>
                <w:sz w:val="36"/>
                <w:szCs w:val="36"/>
                <w:lang w:val="ru-RU"/>
              </w:rPr>
              <w:t>984</w:t>
            </w:r>
          </w:p>
        </w:tc>
        <w:tc>
          <w:tcPr>
            <w:tcW w:w="816" w:type="pct"/>
          </w:tcPr>
          <w:p w:rsidR="005817E6" w:rsidRPr="00C138A1" w:rsidRDefault="005817E6" w:rsidP="00911361">
            <w:pPr>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29</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w:t>
            </w:r>
            <w:r w:rsidRPr="00C138A1">
              <w:rPr>
                <w:rFonts w:ascii="Arabic Typesetting" w:hAnsi="Arabic Typesetting" w:cs="Arabic Typesetting"/>
                <w:sz w:val="36"/>
                <w:szCs w:val="36"/>
                <w:lang w:val="ru-RU"/>
              </w:rPr>
              <w:t>194</w:t>
            </w:r>
          </w:p>
        </w:tc>
        <w:tc>
          <w:tcPr>
            <w:tcW w:w="776" w:type="pct"/>
          </w:tcPr>
          <w:p w:rsidR="005817E6" w:rsidRPr="00C138A1" w:rsidRDefault="005817E6" w:rsidP="00911361">
            <w:pPr>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26</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w:t>
            </w:r>
            <w:r w:rsidRPr="00C138A1">
              <w:rPr>
                <w:rFonts w:ascii="Arabic Typesetting" w:hAnsi="Arabic Typesetting" w:cs="Arabic Typesetting"/>
                <w:sz w:val="36"/>
                <w:szCs w:val="36"/>
                <w:lang w:val="ru-RU"/>
              </w:rPr>
              <w:t>909</w:t>
            </w:r>
          </w:p>
        </w:tc>
      </w:tr>
      <w:tr w:rsidR="00C138A1" w:rsidRPr="00C138A1" w:rsidTr="00604AF1">
        <w:trPr>
          <w:trHeight w:val="323"/>
        </w:trPr>
        <w:tc>
          <w:tcPr>
            <w:tcW w:w="1056" w:type="pct"/>
            <w:vAlign w:val="center"/>
          </w:tcPr>
          <w:p w:rsidR="005817E6" w:rsidRPr="00EC170E" w:rsidRDefault="005817E6" w:rsidP="00280E26">
            <w:pPr>
              <w:pStyle w:val="NormalParaAR"/>
              <w:tabs>
                <w:tab w:val="left" w:pos="715"/>
              </w:tabs>
              <w:spacing w:after="120" w:line="240" w:lineRule="exact"/>
              <w:jc w:val="center"/>
              <w:rPr>
                <w:rtl/>
                <w:lang w:val="fr-CH" w:bidi="ar-EG"/>
              </w:rPr>
            </w:pPr>
            <w:r w:rsidRPr="00EC170E">
              <w:rPr>
                <w:rFonts w:hint="cs"/>
                <w:rtl/>
                <w:lang w:val="fr-CH" w:bidi="ar-EG"/>
              </w:rPr>
              <w:t>ال</w:t>
            </w:r>
            <w:r w:rsidRPr="00EC170E">
              <w:rPr>
                <w:rtl/>
                <w:lang w:val="fr-CH" w:bidi="ar-EG"/>
              </w:rPr>
              <w:t>أولوية</w:t>
            </w:r>
            <w:r w:rsidRPr="00EC170E">
              <w:rPr>
                <w:rFonts w:hint="cs"/>
                <w:rtl/>
                <w:lang w:val="fr-CH" w:bidi="ar-EG"/>
              </w:rPr>
              <w:t xml:space="preserve"> بناء على نظام</w:t>
            </w:r>
            <w:r w:rsidRPr="00EC170E">
              <w:rPr>
                <w:rtl/>
                <w:lang w:val="fr-CH" w:bidi="ar-EG"/>
              </w:rPr>
              <w:t xml:space="preserve"> باريس</w:t>
            </w:r>
          </w:p>
        </w:tc>
        <w:tc>
          <w:tcPr>
            <w:tcW w:w="768" w:type="pct"/>
          </w:tcPr>
          <w:p w:rsidR="005817E6" w:rsidRPr="00C138A1" w:rsidRDefault="005817E6" w:rsidP="00911361">
            <w:pPr>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2</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w:t>
            </w:r>
            <w:r w:rsidRPr="00C138A1">
              <w:rPr>
                <w:rFonts w:ascii="Arabic Typesetting" w:hAnsi="Arabic Typesetting" w:cs="Arabic Typesetting"/>
                <w:sz w:val="36"/>
                <w:szCs w:val="36"/>
                <w:lang w:val="ru-RU"/>
              </w:rPr>
              <w:t>971</w:t>
            </w:r>
          </w:p>
        </w:tc>
        <w:tc>
          <w:tcPr>
            <w:tcW w:w="768" w:type="pct"/>
          </w:tcPr>
          <w:p w:rsidR="005817E6" w:rsidRPr="00C138A1" w:rsidRDefault="005817E6" w:rsidP="00911361">
            <w:pPr>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3</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w:t>
            </w:r>
            <w:r w:rsidRPr="00C138A1">
              <w:rPr>
                <w:rFonts w:ascii="Arabic Typesetting" w:hAnsi="Arabic Typesetting" w:cs="Arabic Typesetting"/>
                <w:sz w:val="36"/>
                <w:szCs w:val="36"/>
                <w:lang w:val="ru-RU"/>
              </w:rPr>
              <w:t>117</w:t>
            </w:r>
          </w:p>
        </w:tc>
        <w:tc>
          <w:tcPr>
            <w:tcW w:w="816" w:type="pct"/>
          </w:tcPr>
          <w:p w:rsidR="005817E6" w:rsidRPr="00C138A1" w:rsidRDefault="005817E6" w:rsidP="00911361">
            <w:pPr>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2</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w:t>
            </w:r>
            <w:r w:rsidRPr="00C138A1">
              <w:rPr>
                <w:rFonts w:ascii="Arabic Typesetting" w:hAnsi="Arabic Typesetting" w:cs="Arabic Typesetting"/>
                <w:sz w:val="36"/>
                <w:szCs w:val="36"/>
                <w:lang w:val="ru-RU"/>
              </w:rPr>
              <w:t>873</w:t>
            </w:r>
          </w:p>
        </w:tc>
        <w:tc>
          <w:tcPr>
            <w:tcW w:w="816" w:type="pct"/>
          </w:tcPr>
          <w:p w:rsidR="005817E6" w:rsidRPr="00C138A1" w:rsidRDefault="005817E6" w:rsidP="00911361">
            <w:pPr>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3</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w:t>
            </w:r>
            <w:r w:rsidRPr="00C138A1">
              <w:rPr>
                <w:rFonts w:ascii="Arabic Typesetting" w:hAnsi="Arabic Typesetting" w:cs="Arabic Typesetting"/>
                <w:sz w:val="36"/>
                <w:szCs w:val="36"/>
                <w:lang w:val="ru-RU"/>
              </w:rPr>
              <w:t>372</w:t>
            </w:r>
          </w:p>
        </w:tc>
        <w:tc>
          <w:tcPr>
            <w:tcW w:w="776" w:type="pct"/>
          </w:tcPr>
          <w:p w:rsidR="005817E6" w:rsidRPr="00C138A1" w:rsidRDefault="005817E6" w:rsidP="00911361">
            <w:pPr>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rPr>
              <w:t>2</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966</w:t>
            </w:r>
          </w:p>
        </w:tc>
      </w:tr>
      <w:tr w:rsidR="00C138A1" w:rsidRPr="00C138A1" w:rsidTr="00604AF1">
        <w:trPr>
          <w:trHeight w:val="485"/>
        </w:trPr>
        <w:tc>
          <w:tcPr>
            <w:tcW w:w="1056" w:type="pct"/>
            <w:vAlign w:val="center"/>
          </w:tcPr>
          <w:p w:rsidR="005817E6" w:rsidRPr="00EC170E" w:rsidRDefault="005817E6" w:rsidP="00280E26">
            <w:pPr>
              <w:pStyle w:val="NormalParaAR"/>
              <w:tabs>
                <w:tab w:val="left" w:pos="715"/>
              </w:tabs>
              <w:spacing w:after="120" w:line="240" w:lineRule="exact"/>
              <w:jc w:val="center"/>
              <w:rPr>
                <w:rtl/>
                <w:lang w:val="fr-CH" w:bidi="ar-EG"/>
              </w:rPr>
            </w:pPr>
            <w:r w:rsidRPr="00EC170E">
              <w:rPr>
                <w:rtl/>
                <w:lang w:val="fr-CH" w:bidi="ar-EG"/>
              </w:rPr>
              <w:t xml:space="preserve">دخول المرحلة الوطنية </w:t>
            </w:r>
            <w:r w:rsidRPr="00EC170E">
              <w:rPr>
                <w:rFonts w:hint="cs"/>
                <w:rtl/>
                <w:lang w:val="fr-CH" w:bidi="ar-EG"/>
              </w:rPr>
              <w:t>وفقا ل</w:t>
            </w:r>
            <w:r w:rsidRPr="00EC170E">
              <w:rPr>
                <w:rtl/>
                <w:lang w:val="fr-CH" w:bidi="ar-EG"/>
              </w:rPr>
              <w:t>معاهدة التعاون بشأن البراءات</w:t>
            </w:r>
          </w:p>
        </w:tc>
        <w:tc>
          <w:tcPr>
            <w:tcW w:w="768" w:type="pct"/>
          </w:tcPr>
          <w:p w:rsidR="005817E6" w:rsidRPr="00C138A1" w:rsidRDefault="005817E6" w:rsidP="00911361">
            <w:pPr>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12</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w:t>
            </w:r>
            <w:r w:rsidRPr="00C138A1">
              <w:rPr>
                <w:rFonts w:ascii="Arabic Typesetting" w:hAnsi="Arabic Typesetting" w:cs="Arabic Typesetting"/>
                <w:sz w:val="36"/>
                <w:szCs w:val="36"/>
                <w:lang w:val="ru-RU"/>
              </w:rPr>
              <w:t>594</w:t>
            </w:r>
          </w:p>
        </w:tc>
        <w:tc>
          <w:tcPr>
            <w:tcW w:w="768" w:type="pct"/>
          </w:tcPr>
          <w:p w:rsidR="005817E6" w:rsidRPr="00C138A1" w:rsidRDefault="005817E6" w:rsidP="00911361">
            <w:pPr>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13</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w:t>
            </w:r>
            <w:r w:rsidRPr="00C138A1">
              <w:rPr>
                <w:rFonts w:ascii="Arabic Typesetting" w:hAnsi="Arabic Typesetting" w:cs="Arabic Typesetting"/>
                <w:sz w:val="36"/>
                <w:szCs w:val="36"/>
                <w:lang w:val="ru-RU"/>
              </w:rPr>
              <w:t>115</w:t>
            </w:r>
          </w:p>
        </w:tc>
        <w:tc>
          <w:tcPr>
            <w:tcW w:w="816" w:type="pct"/>
          </w:tcPr>
          <w:p w:rsidR="005817E6" w:rsidRPr="00C138A1" w:rsidRDefault="005817E6" w:rsidP="00911361">
            <w:pPr>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13</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w:t>
            </w:r>
            <w:r w:rsidRPr="00C138A1">
              <w:rPr>
                <w:rFonts w:ascii="Arabic Typesetting" w:hAnsi="Arabic Typesetting" w:cs="Arabic Typesetting"/>
                <w:sz w:val="36"/>
                <w:szCs w:val="36"/>
                <w:lang w:val="ru-RU"/>
              </w:rPr>
              <w:t>451</w:t>
            </w:r>
          </w:p>
        </w:tc>
        <w:tc>
          <w:tcPr>
            <w:tcW w:w="816" w:type="pct"/>
          </w:tcPr>
          <w:p w:rsidR="005817E6" w:rsidRPr="00C138A1" w:rsidRDefault="005817E6" w:rsidP="00911361">
            <w:pPr>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12</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w:t>
            </w:r>
            <w:r w:rsidRPr="00C138A1">
              <w:rPr>
                <w:rFonts w:ascii="Arabic Typesetting" w:hAnsi="Arabic Typesetting" w:cs="Arabic Typesetting"/>
                <w:sz w:val="36"/>
                <w:szCs w:val="36"/>
                <w:lang w:val="ru-RU"/>
              </w:rPr>
              <w:t>951</w:t>
            </w:r>
          </w:p>
        </w:tc>
        <w:tc>
          <w:tcPr>
            <w:tcW w:w="776" w:type="pct"/>
          </w:tcPr>
          <w:p w:rsidR="005817E6" w:rsidRPr="00C138A1" w:rsidRDefault="005817E6" w:rsidP="00911361">
            <w:pPr>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rPr>
              <w:t>11</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w:t>
            </w:r>
            <w:r w:rsidRPr="00C138A1">
              <w:rPr>
                <w:rFonts w:ascii="Arabic Typesetting" w:hAnsi="Arabic Typesetting" w:cs="Arabic Typesetting"/>
                <w:sz w:val="36"/>
                <w:szCs w:val="36"/>
                <w:lang w:val="ru-RU"/>
              </w:rPr>
              <w:t>712</w:t>
            </w:r>
          </w:p>
        </w:tc>
      </w:tr>
    </w:tbl>
    <w:p w:rsidR="00D937FB" w:rsidRPr="00C138A1" w:rsidRDefault="00E733DC" w:rsidP="00C310C5">
      <w:pPr>
        <w:pStyle w:val="NormalParaAR"/>
        <w:keepNext/>
        <w:spacing w:before="240"/>
        <w:rPr>
          <w:b/>
          <w:bCs/>
        </w:rPr>
      </w:pPr>
      <w:r>
        <w:rPr>
          <w:b/>
          <w:bCs/>
          <w:rtl/>
        </w:rPr>
        <w:t>عدد الطلبات الوطنية المستلمة</w:t>
      </w:r>
      <w:r w:rsidR="00C310C5" w:rsidRPr="00C138A1">
        <w:rPr>
          <w:b/>
          <w:bCs/>
          <w:rtl/>
        </w:rPr>
        <w:t xml:space="preserve"> </w:t>
      </w:r>
      <w:r w:rsidR="00C310C5" w:rsidRPr="00C138A1">
        <w:rPr>
          <w:b/>
          <w:bCs/>
        </w:rPr>
        <w:t>-</w:t>
      </w:r>
      <w:r w:rsidR="00C310C5" w:rsidRPr="00C138A1">
        <w:rPr>
          <w:b/>
          <w:bCs/>
          <w:rtl/>
        </w:rPr>
        <w:t xml:space="preserve"> </w:t>
      </w:r>
      <w:r w:rsidR="00D937FB" w:rsidRPr="00C138A1">
        <w:rPr>
          <w:b/>
          <w:bCs/>
          <w:rtl/>
        </w:rPr>
        <w:t>بحسب المجال التقني</w:t>
      </w:r>
    </w:p>
    <w:tbl>
      <w:tblPr>
        <w:tblStyle w:val="TableGrid"/>
        <w:bidiVisual/>
        <w:tblW w:w="0" w:type="auto"/>
        <w:tblInd w:w="-5" w:type="dxa"/>
        <w:tblLook w:val="04A0" w:firstRow="1" w:lastRow="0" w:firstColumn="1" w:lastColumn="0" w:noHBand="0" w:noVBand="1"/>
      </w:tblPr>
      <w:tblGrid>
        <w:gridCol w:w="3978"/>
        <w:gridCol w:w="1080"/>
        <w:gridCol w:w="1080"/>
        <w:gridCol w:w="1170"/>
        <w:gridCol w:w="1080"/>
        <w:gridCol w:w="1183"/>
      </w:tblGrid>
      <w:tr w:rsidR="00C138A1" w:rsidRPr="00C138A1" w:rsidTr="00644F8E">
        <w:tc>
          <w:tcPr>
            <w:tcW w:w="3978" w:type="dxa"/>
            <w:vMerge w:val="restart"/>
          </w:tcPr>
          <w:p w:rsidR="00216737" w:rsidRPr="00EC170E" w:rsidRDefault="00216737" w:rsidP="00DB7309">
            <w:pPr>
              <w:pStyle w:val="NormalParaAR"/>
              <w:tabs>
                <w:tab w:val="left" w:pos="355"/>
              </w:tabs>
              <w:spacing w:after="120" w:line="240" w:lineRule="exact"/>
              <w:rPr>
                <w:rtl/>
                <w:lang w:bidi="ar-EG"/>
              </w:rPr>
            </w:pPr>
            <w:r w:rsidRPr="00EC170E">
              <w:rPr>
                <w:rtl/>
                <w:lang w:bidi="ar-EG"/>
              </w:rPr>
              <w:t>توزيع الطلبات الوطنية وفقا للأ</w:t>
            </w:r>
            <w:r w:rsidR="00AA2521" w:rsidRPr="00EC170E">
              <w:rPr>
                <w:rtl/>
                <w:lang w:bidi="ar-EG"/>
              </w:rPr>
              <w:t>قسام</w:t>
            </w:r>
            <w:r w:rsidRPr="00EC170E">
              <w:rPr>
                <w:rtl/>
                <w:lang w:bidi="ar-EG"/>
              </w:rPr>
              <w:t xml:space="preserve"> الثمانية </w:t>
            </w:r>
            <w:r w:rsidR="00DB7309" w:rsidRPr="00EC170E">
              <w:rPr>
                <w:rtl/>
                <w:lang w:bidi="ar-EG"/>
              </w:rPr>
              <w:t>ل</w:t>
            </w:r>
            <w:r w:rsidRPr="00EC170E">
              <w:rPr>
                <w:rtl/>
                <w:lang w:bidi="ar-EG"/>
              </w:rPr>
              <w:t>لتصنيف الدولي للبراءات (</w:t>
            </w:r>
            <w:r w:rsidR="00094C2B" w:rsidRPr="00EC170E">
              <w:rPr>
                <w:rtl/>
                <w:lang w:bidi="ar-EG"/>
              </w:rPr>
              <w:t>%</w:t>
            </w:r>
            <w:r w:rsidRPr="00EC170E">
              <w:rPr>
                <w:rtl/>
                <w:lang w:bidi="ar-EG"/>
              </w:rPr>
              <w:t xml:space="preserve"> من إجمالي عدد الطلبات)</w:t>
            </w:r>
          </w:p>
        </w:tc>
        <w:tc>
          <w:tcPr>
            <w:tcW w:w="5593" w:type="dxa"/>
            <w:gridSpan w:val="5"/>
          </w:tcPr>
          <w:p w:rsidR="00216737" w:rsidRPr="00C138A1" w:rsidRDefault="00216737" w:rsidP="00644F8E">
            <w:pPr>
              <w:pStyle w:val="NormalParaAR"/>
              <w:tabs>
                <w:tab w:val="left" w:pos="355"/>
              </w:tabs>
              <w:spacing w:after="120" w:line="240" w:lineRule="exact"/>
              <w:jc w:val="center"/>
              <w:rPr>
                <w:b/>
                <w:bCs/>
                <w:rtl/>
                <w:lang w:bidi="ar-EG"/>
              </w:rPr>
            </w:pPr>
            <w:r w:rsidRPr="00C138A1">
              <w:rPr>
                <w:b/>
                <w:bCs/>
                <w:rtl/>
                <w:lang w:bidi="ar-EG"/>
              </w:rPr>
              <w:t>السنة</w:t>
            </w:r>
          </w:p>
        </w:tc>
      </w:tr>
      <w:tr w:rsidR="00C138A1" w:rsidRPr="00C138A1" w:rsidTr="00911361">
        <w:trPr>
          <w:trHeight w:val="566"/>
        </w:trPr>
        <w:tc>
          <w:tcPr>
            <w:tcW w:w="3978" w:type="dxa"/>
            <w:vMerge/>
          </w:tcPr>
          <w:p w:rsidR="00216737" w:rsidRPr="00EC170E" w:rsidRDefault="00216737" w:rsidP="00644F8E">
            <w:pPr>
              <w:pStyle w:val="NormalParaAR"/>
              <w:tabs>
                <w:tab w:val="left" w:pos="355"/>
              </w:tabs>
              <w:spacing w:after="120" w:line="240" w:lineRule="exact"/>
              <w:rPr>
                <w:rtl/>
                <w:lang w:bidi="ar-EG"/>
              </w:rPr>
            </w:pPr>
          </w:p>
        </w:tc>
        <w:tc>
          <w:tcPr>
            <w:tcW w:w="1080" w:type="dxa"/>
          </w:tcPr>
          <w:p w:rsidR="00216737" w:rsidRPr="00C138A1" w:rsidRDefault="00216737" w:rsidP="00644F8E">
            <w:pPr>
              <w:keepNext/>
              <w:spacing w:after="120" w:line="240" w:lineRule="exact"/>
              <w:jc w:val="center"/>
              <w:rPr>
                <w:rFonts w:ascii="Arabic Typesetting" w:hAnsi="Arabic Typesetting" w:cs="Arabic Typesetting"/>
                <w:sz w:val="36"/>
                <w:szCs w:val="36"/>
              </w:rPr>
            </w:pPr>
            <w:r w:rsidRPr="00C138A1">
              <w:rPr>
                <w:rFonts w:ascii="Arabic Typesetting" w:hAnsi="Arabic Typesetting" w:cs="Arabic Typesetting"/>
                <w:sz w:val="36"/>
                <w:szCs w:val="36"/>
              </w:rPr>
              <w:t>2012</w:t>
            </w:r>
          </w:p>
        </w:tc>
        <w:tc>
          <w:tcPr>
            <w:tcW w:w="1080" w:type="dxa"/>
          </w:tcPr>
          <w:p w:rsidR="00216737" w:rsidRPr="00C138A1" w:rsidRDefault="00216737" w:rsidP="00644F8E">
            <w:pPr>
              <w:keepNext/>
              <w:spacing w:after="120" w:line="240" w:lineRule="exact"/>
              <w:jc w:val="center"/>
              <w:rPr>
                <w:rFonts w:ascii="Arabic Typesetting" w:hAnsi="Arabic Typesetting" w:cs="Arabic Typesetting"/>
                <w:sz w:val="36"/>
                <w:szCs w:val="36"/>
              </w:rPr>
            </w:pPr>
            <w:r w:rsidRPr="00C138A1">
              <w:rPr>
                <w:rFonts w:ascii="Arabic Typesetting" w:hAnsi="Arabic Typesetting" w:cs="Arabic Typesetting"/>
                <w:sz w:val="36"/>
                <w:szCs w:val="36"/>
              </w:rPr>
              <w:t>2013</w:t>
            </w:r>
          </w:p>
        </w:tc>
        <w:tc>
          <w:tcPr>
            <w:tcW w:w="1170" w:type="dxa"/>
          </w:tcPr>
          <w:p w:rsidR="00216737" w:rsidRPr="00C138A1" w:rsidRDefault="00216737" w:rsidP="00644F8E">
            <w:pPr>
              <w:keepNext/>
              <w:spacing w:after="120" w:line="240" w:lineRule="exact"/>
              <w:jc w:val="center"/>
              <w:rPr>
                <w:rFonts w:ascii="Arabic Typesetting" w:hAnsi="Arabic Typesetting" w:cs="Arabic Typesetting"/>
                <w:sz w:val="36"/>
                <w:szCs w:val="36"/>
              </w:rPr>
            </w:pPr>
            <w:r w:rsidRPr="00C138A1">
              <w:rPr>
                <w:rFonts w:ascii="Arabic Typesetting" w:hAnsi="Arabic Typesetting" w:cs="Arabic Typesetting"/>
                <w:sz w:val="36"/>
                <w:szCs w:val="36"/>
              </w:rPr>
              <w:t>2014</w:t>
            </w:r>
          </w:p>
        </w:tc>
        <w:tc>
          <w:tcPr>
            <w:tcW w:w="1080" w:type="dxa"/>
          </w:tcPr>
          <w:p w:rsidR="00216737" w:rsidRPr="00C138A1" w:rsidRDefault="00216737" w:rsidP="00644F8E">
            <w:pPr>
              <w:keepNext/>
              <w:spacing w:after="120" w:line="240" w:lineRule="exact"/>
              <w:jc w:val="center"/>
              <w:rPr>
                <w:rFonts w:ascii="Arabic Typesetting" w:hAnsi="Arabic Typesetting" w:cs="Arabic Typesetting"/>
                <w:sz w:val="36"/>
                <w:szCs w:val="36"/>
              </w:rPr>
            </w:pPr>
            <w:r w:rsidRPr="00C138A1">
              <w:rPr>
                <w:rFonts w:ascii="Arabic Typesetting" w:hAnsi="Arabic Typesetting" w:cs="Arabic Typesetting"/>
                <w:sz w:val="36"/>
                <w:szCs w:val="36"/>
              </w:rPr>
              <w:t>2015</w:t>
            </w:r>
          </w:p>
        </w:tc>
        <w:tc>
          <w:tcPr>
            <w:tcW w:w="1183" w:type="dxa"/>
          </w:tcPr>
          <w:p w:rsidR="00216737" w:rsidRPr="00C138A1" w:rsidRDefault="00216737" w:rsidP="00644F8E">
            <w:pPr>
              <w:keepNext/>
              <w:spacing w:after="120" w:line="240" w:lineRule="exact"/>
              <w:jc w:val="center"/>
              <w:rPr>
                <w:rFonts w:ascii="Arabic Typesetting" w:hAnsi="Arabic Typesetting" w:cs="Arabic Typesetting"/>
                <w:sz w:val="36"/>
                <w:szCs w:val="36"/>
              </w:rPr>
            </w:pPr>
            <w:r w:rsidRPr="00C138A1">
              <w:rPr>
                <w:rFonts w:ascii="Arabic Typesetting" w:hAnsi="Arabic Typesetting" w:cs="Arabic Typesetting"/>
                <w:sz w:val="36"/>
                <w:szCs w:val="36"/>
              </w:rPr>
              <w:t>2016</w:t>
            </w:r>
          </w:p>
        </w:tc>
      </w:tr>
      <w:tr w:rsidR="00C138A1" w:rsidRPr="00C138A1" w:rsidTr="00644F8E">
        <w:tc>
          <w:tcPr>
            <w:tcW w:w="3978" w:type="dxa"/>
          </w:tcPr>
          <w:p w:rsidR="00094C2B" w:rsidRPr="00EC170E" w:rsidRDefault="00F208E3" w:rsidP="00644F8E">
            <w:pPr>
              <w:pStyle w:val="NormalParaAR"/>
              <w:tabs>
                <w:tab w:val="left" w:pos="355"/>
              </w:tabs>
              <w:spacing w:after="120" w:line="240" w:lineRule="exact"/>
              <w:rPr>
                <w:rtl/>
                <w:lang w:bidi="ar-EG"/>
              </w:rPr>
            </w:pPr>
            <w:r w:rsidRPr="00EC170E">
              <w:rPr>
                <w:rtl/>
                <w:lang w:bidi="ar-EG"/>
              </w:rPr>
              <w:t xml:space="preserve">أ- </w:t>
            </w:r>
            <w:r w:rsidR="00AA2521" w:rsidRPr="00EC170E">
              <w:rPr>
                <w:rtl/>
                <w:lang w:bidi="ar-EG"/>
              </w:rPr>
              <w:t>الضرورات الإنسانية (</w:t>
            </w:r>
            <w:r w:rsidRPr="00EC170E">
              <w:rPr>
                <w:rtl/>
                <w:lang w:bidi="ar-EG"/>
              </w:rPr>
              <w:t>الزراعة، المواد الغذائية، المواد الشخصية أو المنزلية، الصحة، إنقاذ الحياة ، التسلية.</w:t>
            </w:r>
          </w:p>
        </w:tc>
        <w:tc>
          <w:tcPr>
            <w:tcW w:w="1080" w:type="dxa"/>
          </w:tcPr>
          <w:p w:rsidR="00094C2B" w:rsidRPr="00C138A1" w:rsidRDefault="00094C2B" w:rsidP="00911361">
            <w:pPr>
              <w:keepNext/>
              <w:spacing w:after="120"/>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24</w:t>
            </w:r>
            <w:r w:rsidRPr="00C138A1">
              <w:rPr>
                <w:rFonts w:ascii="Arabic Typesetting" w:hAnsi="Arabic Typesetting" w:cs="Arabic Typesetting"/>
                <w:sz w:val="36"/>
                <w:szCs w:val="36"/>
              </w:rPr>
              <w:t>.</w:t>
            </w:r>
            <w:r w:rsidRPr="00C138A1">
              <w:rPr>
                <w:rFonts w:ascii="Arabic Typesetting" w:hAnsi="Arabic Typesetting" w:cs="Arabic Typesetting"/>
                <w:sz w:val="36"/>
                <w:szCs w:val="36"/>
                <w:lang w:val="ru-RU"/>
              </w:rPr>
              <w:t>5</w:t>
            </w:r>
          </w:p>
        </w:tc>
        <w:tc>
          <w:tcPr>
            <w:tcW w:w="1080" w:type="dxa"/>
          </w:tcPr>
          <w:p w:rsidR="00094C2B" w:rsidRPr="00C138A1" w:rsidRDefault="00094C2B"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27.1</w:t>
            </w:r>
          </w:p>
        </w:tc>
        <w:tc>
          <w:tcPr>
            <w:tcW w:w="1170" w:type="dxa"/>
          </w:tcPr>
          <w:p w:rsidR="00094C2B" w:rsidRPr="00C138A1" w:rsidRDefault="00094C2B"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22.1</w:t>
            </w:r>
          </w:p>
        </w:tc>
        <w:tc>
          <w:tcPr>
            <w:tcW w:w="1080" w:type="dxa"/>
          </w:tcPr>
          <w:p w:rsidR="00094C2B" w:rsidRPr="00C138A1" w:rsidRDefault="00094C2B"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17.4</w:t>
            </w:r>
          </w:p>
        </w:tc>
        <w:tc>
          <w:tcPr>
            <w:tcW w:w="1183" w:type="dxa"/>
          </w:tcPr>
          <w:p w:rsidR="00094C2B" w:rsidRPr="00C138A1" w:rsidRDefault="00094C2B"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22.1</w:t>
            </w:r>
          </w:p>
        </w:tc>
      </w:tr>
      <w:tr w:rsidR="00C138A1" w:rsidRPr="00C138A1" w:rsidTr="00644F8E">
        <w:trPr>
          <w:trHeight w:val="386"/>
        </w:trPr>
        <w:tc>
          <w:tcPr>
            <w:tcW w:w="3978" w:type="dxa"/>
          </w:tcPr>
          <w:p w:rsidR="008024D1" w:rsidRPr="00EC170E" w:rsidRDefault="0003278E" w:rsidP="00644F8E">
            <w:pPr>
              <w:pStyle w:val="NormalParaAR"/>
              <w:tabs>
                <w:tab w:val="left" w:pos="355"/>
              </w:tabs>
              <w:spacing w:after="120" w:line="240" w:lineRule="exact"/>
              <w:rPr>
                <w:rtl/>
                <w:lang w:bidi="ar-EG"/>
              </w:rPr>
            </w:pPr>
            <w:r w:rsidRPr="00EC170E">
              <w:rPr>
                <w:rtl/>
                <w:lang w:bidi="ar-EG"/>
              </w:rPr>
              <w:t>ب-</w:t>
            </w:r>
            <w:r w:rsidRPr="00EC170E">
              <w:rPr>
                <w:rtl/>
              </w:rPr>
              <w:t xml:space="preserve"> </w:t>
            </w:r>
            <w:r w:rsidRPr="00EC170E">
              <w:rPr>
                <w:rtl/>
                <w:lang w:bidi="ar-EG"/>
              </w:rPr>
              <w:t>أداء العمليات؛ النقل؛ الفصل؛ الخلط</w:t>
            </w:r>
          </w:p>
        </w:tc>
        <w:tc>
          <w:tcPr>
            <w:tcW w:w="1080"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12.2</w:t>
            </w:r>
          </w:p>
        </w:tc>
        <w:tc>
          <w:tcPr>
            <w:tcW w:w="1080"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13.2</w:t>
            </w:r>
          </w:p>
        </w:tc>
        <w:tc>
          <w:tcPr>
            <w:tcW w:w="1170"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13.9</w:t>
            </w:r>
          </w:p>
        </w:tc>
        <w:tc>
          <w:tcPr>
            <w:tcW w:w="1080"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11.1</w:t>
            </w:r>
          </w:p>
        </w:tc>
        <w:tc>
          <w:tcPr>
            <w:tcW w:w="1183"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14.1</w:t>
            </w:r>
          </w:p>
        </w:tc>
      </w:tr>
      <w:tr w:rsidR="00C138A1" w:rsidRPr="00C138A1" w:rsidTr="00911361">
        <w:trPr>
          <w:trHeight w:val="438"/>
        </w:trPr>
        <w:tc>
          <w:tcPr>
            <w:tcW w:w="3978" w:type="dxa"/>
          </w:tcPr>
          <w:p w:rsidR="008024D1" w:rsidRPr="00EC170E" w:rsidRDefault="009D18F1" w:rsidP="00644F8E">
            <w:pPr>
              <w:pStyle w:val="NormalParaAR"/>
              <w:tabs>
                <w:tab w:val="left" w:pos="355"/>
              </w:tabs>
              <w:spacing w:after="120" w:line="240" w:lineRule="exact"/>
              <w:rPr>
                <w:rtl/>
                <w:lang w:bidi="ar-EG"/>
              </w:rPr>
            </w:pPr>
            <w:r w:rsidRPr="00EC170E">
              <w:rPr>
                <w:rtl/>
                <w:lang w:bidi="ar-EG"/>
              </w:rPr>
              <w:t xml:space="preserve">ج- الكيمياء؛ </w:t>
            </w:r>
            <w:r w:rsidR="00F17230" w:rsidRPr="00EC170E">
              <w:rPr>
                <w:rtl/>
                <w:lang w:bidi="ar-EG"/>
              </w:rPr>
              <w:t>علم المعادن</w:t>
            </w:r>
          </w:p>
        </w:tc>
        <w:tc>
          <w:tcPr>
            <w:tcW w:w="1080"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15</w:t>
            </w:r>
          </w:p>
        </w:tc>
        <w:tc>
          <w:tcPr>
            <w:tcW w:w="1080"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13.5</w:t>
            </w:r>
          </w:p>
        </w:tc>
        <w:tc>
          <w:tcPr>
            <w:tcW w:w="1170"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14</w:t>
            </w:r>
          </w:p>
        </w:tc>
        <w:tc>
          <w:tcPr>
            <w:tcW w:w="1080"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19.2</w:t>
            </w:r>
          </w:p>
        </w:tc>
        <w:tc>
          <w:tcPr>
            <w:tcW w:w="1183"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16.5</w:t>
            </w:r>
          </w:p>
        </w:tc>
      </w:tr>
      <w:tr w:rsidR="00C138A1" w:rsidRPr="00C138A1" w:rsidTr="00644F8E">
        <w:tc>
          <w:tcPr>
            <w:tcW w:w="3978" w:type="dxa"/>
          </w:tcPr>
          <w:p w:rsidR="008024D1" w:rsidRPr="00EC170E" w:rsidRDefault="005D08AD" w:rsidP="00644F8E">
            <w:pPr>
              <w:pStyle w:val="NormalParaAR"/>
              <w:tabs>
                <w:tab w:val="left" w:pos="355"/>
              </w:tabs>
              <w:spacing w:after="120" w:line="240" w:lineRule="exact"/>
              <w:rPr>
                <w:rtl/>
                <w:lang w:bidi="ar-EG"/>
              </w:rPr>
            </w:pPr>
            <w:r w:rsidRPr="00EC170E">
              <w:rPr>
                <w:rtl/>
                <w:lang w:bidi="ar-EG"/>
              </w:rPr>
              <w:t xml:space="preserve">د- </w:t>
            </w:r>
            <w:r w:rsidR="006C7ABF" w:rsidRPr="00EC170E">
              <w:rPr>
                <w:rtl/>
                <w:lang w:bidi="ar-EG"/>
              </w:rPr>
              <w:t>النسيج</w:t>
            </w:r>
            <w:r w:rsidR="00C82DCC" w:rsidRPr="00EC170E">
              <w:rPr>
                <w:rtl/>
                <w:lang w:bidi="ar-EG"/>
              </w:rPr>
              <w:t xml:space="preserve"> ؛</w:t>
            </w:r>
            <w:r w:rsidRPr="00EC170E">
              <w:rPr>
                <w:rtl/>
                <w:lang w:bidi="ar-EG"/>
              </w:rPr>
              <w:t xml:space="preserve"> الورق</w:t>
            </w:r>
          </w:p>
        </w:tc>
        <w:tc>
          <w:tcPr>
            <w:tcW w:w="1080"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0.6</w:t>
            </w:r>
          </w:p>
        </w:tc>
        <w:tc>
          <w:tcPr>
            <w:tcW w:w="1080"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0.7</w:t>
            </w:r>
          </w:p>
        </w:tc>
        <w:tc>
          <w:tcPr>
            <w:tcW w:w="1170"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0.8</w:t>
            </w:r>
          </w:p>
        </w:tc>
        <w:tc>
          <w:tcPr>
            <w:tcW w:w="1080"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0.5</w:t>
            </w:r>
          </w:p>
        </w:tc>
        <w:tc>
          <w:tcPr>
            <w:tcW w:w="1183"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0.6</w:t>
            </w:r>
          </w:p>
        </w:tc>
      </w:tr>
      <w:tr w:rsidR="00C138A1" w:rsidRPr="00C138A1" w:rsidTr="00644F8E">
        <w:tc>
          <w:tcPr>
            <w:tcW w:w="3978" w:type="dxa"/>
          </w:tcPr>
          <w:p w:rsidR="008024D1" w:rsidRPr="00EC170E" w:rsidRDefault="00C82DCC" w:rsidP="00644F8E">
            <w:pPr>
              <w:pStyle w:val="NormalParaAR"/>
              <w:tabs>
                <w:tab w:val="left" w:pos="355"/>
              </w:tabs>
              <w:spacing w:after="120" w:line="240" w:lineRule="exact"/>
              <w:rPr>
                <w:rtl/>
                <w:lang w:bidi="ar-EG"/>
              </w:rPr>
            </w:pPr>
            <w:r w:rsidRPr="00EC170E">
              <w:rPr>
                <w:rtl/>
                <w:lang w:bidi="ar-EG"/>
              </w:rPr>
              <w:t xml:space="preserve">ه- الإنشاءات الثابتة (البناء، </w:t>
            </w:r>
            <w:r w:rsidR="006C7ABF" w:rsidRPr="00EC170E">
              <w:rPr>
                <w:rtl/>
                <w:lang w:bidi="ar-EG"/>
              </w:rPr>
              <w:t xml:space="preserve">حفر </w:t>
            </w:r>
            <w:r w:rsidRPr="00EC170E">
              <w:rPr>
                <w:rtl/>
                <w:lang w:bidi="ar-EG"/>
              </w:rPr>
              <w:t xml:space="preserve">الأرض أو </w:t>
            </w:r>
            <w:r w:rsidR="006C7ABF" w:rsidRPr="00EC170E">
              <w:rPr>
                <w:rtl/>
                <w:lang w:bidi="ar-EG"/>
              </w:rPr>
              <w:t xml:space="preserve">الصخر، </w:t>
            </w:r>
            <w:r w:rsidRPr="00EC170E">
              <w:rPr>
                <w:rtl/>
                <w:lang w:bidi="ar-EG"/>
              </w:rPr>
              <w:t>التعدين)</w:t>
            </w:r>
          </w:p>
        </w:tc>
        <w:tc>
          <w:tcPr>
            <w:tcW w:w="1080"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4.7</w:t>
            </w:r>
          </w:p>
        </w:tc>
        <w:tc>
          <w:tcPr>
            <w:tcW w:w="1080"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4.9</w:t>
            </w:r>
          </w:p>
        </w:tc>
        <w:tc>
          <w:tcPr>
            <w:tcW w:w="1170"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5.5</w:t>
            </w:r>
          </w:p>
        </w:tc>
        <w:tc>
          <w:tcPr>
            <w:tcW w:w="1080"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4.7</w:t>
            </w:r>
          </w:p>
        </w:tc>
        <w:tc>
          <w:tcPr>
            <w:tcW w:w="1183" w:type="dxa"/>
          </w:tcPr>
          <w:p w:rsidR="008024D1" w:rsidRPr="00C138A1" w:rsidRDefault="008024D1"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5.6</w:t>
            </w:r>
          </w:p>
        </w:tc>
      </w:tr>
      <w:tr w:rsidR="00C138A1" w:rsidRPr="00C138A1" w:rsidTr="00644F8E">
        <w:tc>
          <w:tcPr>
            <w:tcW w:w="3978" w:type="dxa"/>
          </w:tcPr>
          <w:p w:rsidR="00D51A82" w:rsidRPr="00EC170E" w:rsidRDefault="00AE2FDB" w:rsidP="00644F8E">
            <w:pPr>
              <w:pStyle w:val="NormalParaAR"/>
              <w:tabs>
                <w:tab w:val="left" w:pos="355"/>
              </w:tabs>
              <w:spacing w:after="120" w:line="240" w:lineRule="exact"/>
              <w:rPr>
                <w:rtl/>
                <w:lang w:bidi="ar-EG"/>
              </w:rPr>
            </w:pPr>
            <w:r w:rsidRPr="00EC170E">
              <w:rPr>
                <w:rtl/>
                <w:lang w:bidi="ar-EG"/>
              </w:rPr>
              <w:t>و- الهندسة الميكانيكية، الإضاءة؛ التدفئة؛ الأسلحة؛ النسف بالتفجير</w:t>
            </w:r>
          </w:p>
        </w:tc>
        <w:tc>
          <w:tcPr>
            <w:tcW w:w="1080"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lang w:val="ru-RU"/>
              </w:rPr>
              <w:t>9</w:t>
            </w:r>
            <w:r w:rsidRPr="00C138A1">
              <w:rPr>
                <w:rFonts w:ascii="Arabic Typesetting" w:hAnsi="Arabic Typesetting" w:cs="Arabic Typesetting"/>
                <w:sz w:val="36"/>
                <w:szCs w:val="36"/>
              </w:rPr>
              <w:t>.</w:t>
            </w:r>
            <w:r w:rsidRPr="00C138A1">
              <w:rPr>
                <w:rFonts w:ascii="Arabic Typesetting" w:hAnsi="Arabic Typesetting" w:cs="Arabic Typesetting"/>
                <w:sz w:val="36"/>
                <w:szCs w:val="36"/>
                <w:lang w:val="ru-RU"/>
              </w:rPr>
              <w:t>4</w:t>
            </w:r>
          </w:p>
        </w:tc>
        <w:tc>
          <w:tcPr>
            <w:tcW w:w="1080"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9.5</w:t>
            </w:r>
          </w:p>
        </w:tc>
        <w:tc>
          <w:tcPr>
            <w:tcW w:w="1170"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10.1</w:t>
            </w:r>
          </w:p>
        </w:tc>
        <w:tc>
          <w:tcPr>
            <w:tcW w:w="1080"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8.1</w:t>
            </w:r>
          </w:p>
        </w:tc>
        <w:tc>
          <w:tcPr>
            <w:tcW w:w="1183"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10.4</w:t>
            </w:r>
          </w:p>
        </w:tc>
      </w:tr>
      <w:tr w:rsidR="00C138A1" w:rsidRPr="00C138A1" w:rsidTr="00644F8E">
        <w:tc>
          <w:tcPr>
            <w:tcW w:w="3978" w:type="dxa"/>
          </w:tcPr>
          <w:p w:rsidR="00D51A82" w:rsidRPr="00EC170E" w:rsidRDefault="00F03D30" w:rsidP="00644F8E">
            <w:pPr>
              <w:pStyle w:val="NormalParaAR"/>
              <w:tabs>
                <w:tab w:val="left" w:pos="355"/>
              </w:tabs>
              <w:spacing w:after="120" w:line="240" w:lineRule="exact"/>
              <w:rPr>
                <w:rtl/>
                <w:lang w:bidi="ar-EG"/>
              </w:rPr>
            </w:pPr>
            <w:r w:rsidRPr="00EC170E">
              <w:rPr>
                <w:rtl/>
                <w:lang w:bidi="ar-EG"/>
              </w:rPr>
              <w:t xml:space="preserve">ز- الفيزياء؛ الأدوات؛ </w:t>
            </w:r>
            <w:proofErr w:type="spellStart"/>
            <w:r w:rsidR="00C34777" w:rsidRPr="00EC170E">
              <w:rPr>
                <w:rtl/>
                <w:lang w:bidi="ar-EG"/>
              </w:rPr>
              <w:t>ال</w:t>
            </w:r>
            <w:r w:rsidRPr="00EC170E">
              <w:rPr>
                <w:rtl/>
                <w:lang w:bidi="ar-EG"/>
              </w:rPr>
              <w:t>ن</w:t>
            </w:r>
            <w:r w:rsidR="003E3476" w:rsidRPr="00EC170E">
              <w:rPr>
                <w:rtl/>
                <w:lang w:bidi="ar-EG"/>
              </w:rPr>
              <w:t>يوكل</w:t>
            </w:r>
            <w:r w:rsidRPr="00EC170E">
              <w:rPr>
                <w:rtl/>
                <w:lang w:bidi="ar-EG"/>
              </w:rPr>
              <w:t>وني</w:t>
            </w:r>
            <w:r w:rsidR="00C34777" w:rsidRPr="00EC170E">
              <w:rPr>
                <w:rtl/>
                <w:lang w:bidi="ar-EG"/>
              </w:rPr>
              <w:t>ات</w:t>
            </w:r>
            <w:proofErr w:type="spellEnd"/>
            <w:r w:rsidR="003E3476" w:rsidRPr="00EC170E">
              <w:rPr>
                <w:rtl/>
                <w:lang w:bidi="ar-EG"/>
              </w:rPr>
              <w:t xml:space="preserve"> </w:t>
            </w:r>
          </w:p>
        </w:tc>
        <w:tc>
          <w:tcPr>
            <w:tcW w:w="1080" w:type="dxa"/>
          </w:tcPr>
          <w:p w:rsidR="00D51A82" w:rsidRPr="00C138A1" w:rsidRDefault="00D51A82" w:rsidP="00911361">
            <w:pPr>
              <w:keepNext/>
              <w:spacing w:after="120"/>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11</w:t>
            </w:r>
            <w:r w:rsidRPr="00C138A1">
              <w:rPr>
                <w:rFonts w:ascii="Arabic Typesetting" w:hAnsi="Arabic Typesetting" w:cs="Arabic Typesetting"/>
                <w:sz w:val="36"/>
                <w:szCs w:val="36"/>
              </w:rPr>
              <w:t>.</w:t>
            </w:r>
            <w:r w:rsidRPr="00C138A1">
              <w:rPr>
                <w:rFonts w:ascii="Arabic Typesetting" w:hAnsi="Arabic Typesetting" w:cs="Arabic Typesetting"/>
                <w:sz w:val="36"/>
                <w:szCs w:val="36"/>
                <w:lang w:val="ru-RU"/>
              </w:rPr>
              <w:t>7</w:t>
            </w:r>
          </w:p>
        </w:tc>
        <w:tc>
          <w:tcPr>
            <w:tcW w:w="1080"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11.5</w:t>
            </w:r>
          </w:p>
        </w:tc>
        <w:tc>
          <w:tcPr>
            <w:tcW w:w="1170"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13</w:t>
            </w:r>
          </w:p>
        </w:tc>
        <w:tc>
          <w:tcPr>
            <w:tcW w:w="1080"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9.7</w:t>
            </w:r>
          </w:p>
        </w:tc>
        <w:tc>
          <w:tcPr>
            <w:tcW w:w="1183"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13.6</w:t>
            </w:r>
          </w:p>
        </w:tc>
      </w:tr>
      <w:tr w:rsidR="00C138A1" w:rsidRPr="00C138A1" w:rsidTr="00644F8E">
        <w:tc>
          <w:tcPr>
            <w:tcW w:w="3978" w:type="dxa"/>
          </w:tcPr>
          <w:p w:rsidR="00D51A82" w:rsidRPr="00EC170E" w:rsidRDefault="001711F1" w:rsidP="00644F8E">
            <w:pPr>
              <w:pStyle w:val="NormalParaAR"/>
              <w:tabs>
                <w:tab w:val="left" w:pos="355"/>
              </w:tabs>
              <w:spacing w:after="120" w:line="240" w:lineRule="exact"/>
              <w:rPr>
                <w:rtl/>
                <w:lang w:bidi="ar-EG"/>
              </w:rPr>
            </w:pPr>
            <w:r w:rsidRPr="00EC170E">
              <w:rPr>
                <w:rtl/>
                <w:lang w:bidi="ar-EG"/>
              </w:rPr>
              <w:t>ح- الكهرباء</w:t>
            </w:r>
          </w:p>
        </w:tc>
        <w:tc>
          <w:tcPr>
            <w:tcW w:w="1080" w:type="dxa"/>
          </w:tcPr>
          <w:p w:rsidR="00D51A82" w:rsidRPr="00C138A1" w:rsidRDefault="00D51A82" w:rsidP="00911361">
            <w:pPr>
              <w:keepNext/>
              <w:spacing w:after="120"/>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8</w:t>
            </w:r>
            <w:r w:rsidRPr="00C138A1">
              <w:rPr>
                <w:rFonts w:ascii="Arabic Typesetting" w:hAnsi="Arabic Typesetting" w:cs="Arabic Typesetting"/>
                <w:sz w:val="36"/>
                <w:szCs w:val="36"/>
              </w:rPr>
              <w:t>.</w:t>
            </w:r>
            <w:r w:rsidRPr="00C138A1">
              <w:rPr>
                <w:rFonts w:ascii="Arabic Typesetting" w:hAnsi="Arabic Typesetting" w:cs="Arabic Typesetting"/>
                <w:sz w:val="36"/>
                <w:szCs w:val="36"/>
                <w:lang w:val="ru-RU"/>
              </w:rPr>
              <w:t>5</w:t>
            </w:r>
          </w:p>
        </w:tc>
        <w:tc>
          <w:tcPr>
            <w:tcW w:w="1080"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7.4</w:t>
            </w:r>
          </w:p>
        </w:tc>
        <w:tc>
          <w:tcPr>
            <w:tcW w:w="1170"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8.1</w:t>
            </w:r>
          </w:p>
        </w:tc>
        <w:tc>
          <w:tcPr>
            <w:tcW w:w="1080"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6.4</w:t>
            </w:r>
          </w:p>
        </w:tc>
        <w:tc>
          <w:tcPr>
            <w:tcW w:w="1183"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7.7</w:t>
            </w:r>
          </w:p>
        </w:tc>
      </w:tr>
      <w:tr w:rsidR="00C138A1" w:rsidRPr="00C138A1" w:rsidTr="00610F90">
        <w:trPr>
          <w:trHeight w:val="323"/>
        </w:trPr>
        <w:tc>
          <w:tcPr>
            <w:tcW w:w="3978" w:type="dxa"/>
          </w:tcPr>
          <w:p w:rsidR="00D51A82" w:rsidRPr="00EC170E" w:rsidRDefault="00D937FB" w:rsidP="00644F8E">
            <w:pPr>
              <w:pStyle w:val="NormalParaAR"/>
              <w:tabs>
                <w:tab w:val="left" w:pos="355"/>
              </w:tabs>
              <w:spacing w:after="120" w:line="240" w:lineRule="exact"/>
              <w:rPr>
                <w:rtl/>
                <w:lang w:bidi="ar-EG"/>
              </w:rPr>
            </w:pPr>
            <w:r w:rsidRPr="00EC170E">
              <w:rPr>
                <w:rtl/>
                <w:lang w:bidi="ar-EG"/>
              </w:rPr>
              <w:t xml:space="preserve">ط- </w:t>
            </w:r>
            <w:r w:rsidR="001711F1" w:rsidRPr="00EC170E">
              <w:rPr>
                <w:rtl/>
                <w:lang w:bidi="ar-EG"/>
              </w:rPr>
              <w:t>أخرى (تتعلق بعدة مجالات تكنولوجية)</w:t>
            </w:r>
          </w:p>
        </w:tc>
        <w:tc>
          <w:tcPr>
            <w:tcW w:w="1080" w:type="dxa"/>
          </w:tcPr>
          <w:p w:rsidR="00D51A82" w:rsidRPr="00C138A1" w:rsidRDefault="00D51A82" w:rsidP="00911361">
            <w:pPr>
              <w:keepNext/>
              <w:spacing w:after="120"/>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13</w:t>
            </w:r>
            <w:r w:rsidRPr="00C138A1">
              <w:rPr>
                <w:rFonts w:ascii="Arabic Typesetting" w:hAnsi="Arabic Typesetting" w:cs="Arabic Typesetting"/>
                <w:sz w:val="36"/>
                <w:szCs w:val="36"/>
              </w:rPr>
              <w:t>.</w:t>
            </w:r>
            <w:r w:rsidRPr="00C138A1">
              <w:rPr>
                <w:rFonts w:ascii="Arabic Typesetting" w:hAnsi="Arabic Typesetting" w:cs="Arabic Typesetting"/>
                <w:sz w:val="36"/>
                <w:szCs w:val="36"/>
                <w:lang w:val="ru-RU"/>
              </w:rPr>
              <w:t>4</w:t>
            </w:r>
          </w:p>
        </w:tc>
        <w:tc>
          <w:tcPr>
            <w:tcW w:w="1080"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12.2</w:t>
            </w:r>
          </w:p>
        </w:tc>
        <w:tc>
          <w:tcPr>
            <w:tcW w:w="1170"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12.5</w:t>
            </w:r>
          </w:p>
        </w:tc>
        <w:tc>
          <w:tcPr>
            <w:tcW w:w="1080"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22.9</w:t>
            </w:r>
          </w:p>
        </w:tc>
        <w:tc>
          <w:tcPr>
            <w:tcW w:w="1183" w:type="dxa"/>
          </w:tcPr>
          <w:p w:rsidR="00D51A82" w:rsidRPr="00C138A1" w:rsidRDefault="00D51A82" w:rsidP="00911361">
            <w:pPr>
              <w:keepNext/>
              <w:spacing w:after="120"/>
              <w:jc w:val="center"/>
              <w:rPr>
                <w:rFonts w:ascii="Arabic Typesetting" w:hAnsi="Arabic Typesetting" w:cs="Arabic Typesetting"/>
                <w:sz w:val="36"/>
                <w:szCs w:val="36"/>
              </w:rPr>
            </w:pPr>
            <w:r w:rsidRPr="00C138A1">
              <w:rPr>
                <w:rFonts w:ascii="Arabic Typesetting" w:hAnsi="Arabic Typesetting" w:cs="Arabic Typesetting"/>
                <w:sz w:val="36"/>
                <w:szCs w:val="36"/>
              </w:rPr>
              <w:t>9.4</w:t>
            </w:r>
          </w:p>
        </w:tc>
      </w:tr>
    </w:tbl>
    <w:p w:rsidR="00D937FB" w:rsidRPr="00C138A1" w:rsidRDefault="00D937FB" w:rsidP="00911361">
      <w:pPr>
        <w:pStyle w:val="NormalParaAR"/>
        <w:keepNext/>
        <w:spacing w:before="240"/>
        <w:rPr>
          <w:b/>
          <w:bCs/>
        </w:rPr>
      </w:pPr>
      <w:r w:rsidRPr="00C138A1">
        <w:rPr>
          <w:b/>
          <w:bCs/>
          <w:rtl/>
        </w:rPr>
        <w:t xml:space="preserve">عدد الطلبات </w:t>
      </w:r>
      <w:r w:rsidRPr="00C138A1">
        <w:rPr>
          <w:rFonts w:hint="cs"/>
          <w:b/>
          <w:bCs/>
          <w:rtl/>
        </w:rPr>
        <w:t xml:space="preserve">الدولية </w:t>
      </w:r>
      <w:r w:rsidRPr="00C138A1">
        <w:rPr>
          <w:b/>
          <w:bCs/>
          <w:rtl/>
        </w:rPr>
        <w:t>المستلمة كمكتب تسلم الطلبات</w:t>
      </w:r>
    </w:p>
    <w:tbl>
      <w:tblPr>
        <w:tblStyle w:val="TableGrid"/>
        <w:bidiVisual/>
        <w:tblW w:w="0" w:type="auto"/>
        <w:tblInd w:w="-5" w:type="dxa"/>
        <w:tblLook w:val="04A0" w:firstRow="1" w:lastRow="0" w:firstColumn="1" w:lastColumn="0" w:noHBand="0" w:noVBand="1"/>
      </w:tblPr>
      <w:tblGrid>
        <w:gridCol w:w="1728"/>
        <w:gridCol w:w="1620"/>
        <w:gridCol w:w="1530"/>
        <w:gridCol w:w="1620"/>
        <w:gridCol w:w="1620"/>
        <w:gridCol w:w="1454"/>
      </w:tblGrid>
      <w:tr w:rsidR="00C138A1" w:rsidRPr="00C138A1" w:rsidTr="00BC1C11">
        <w:tc>
          <w:tcPr>
            <w:tcW w:w="1728" w:type="dxa"/>
            <w:tcBorders>
              <w:tr2bl w:val="single" w:sz="4" w:space="0" w:color="auto"/>
            </w:tcBorders>
          </w:tcPr>
          <w:p w:rsidR="006B0FC6" w:rsidRPr="00C138A1" w:rsidRDefault="00BC1C11" w:rsidP="00D937FB">
            <w:pPr>
              <w:pStyle w:val="NormalParaAR"/>
              <w:tabs>
                <w:tab w:val="left" w:pos="355"/>
              </w:tabs>
              <w:spacing w:after="120" w:line="240" w:lineRule="exact"/>
              <w:jc w:val="right"/>
              <w:rPr>
                <w:b/>
                <w:bCs/>
                <w:rtl/>
                <w:lang w:bidi="ar-EG"/>
              </w:rPr>
            </w:pPr>
            <w:r w:rsidRPr="00C138A1">
              <w:rPr>
                <w:b/>
                <w:bCs/>
                <w:rtl/>
                <w:lang w:bidi="ar-EG"/>
              </w:rPr>
              <w:t>السنة</w:t>
            </w:r>
          </w:p>
        </w:tc>
        <w:tc>
          <w:tcPr>
            <w:tcW w:w="1620" w:type="dxa"/>
            <w:vAlign w:val="center"/>
          </w:tcPr>
          <w:p w:rsidR="006B0FC6" w:rsidRPr="00C138A1" w:rsidRDefault="006B0FC6" w:rsidP="00166915">
            <w:pPr>
              <w:keepNext/>
              <w:spacing w:after="120" w:line="240" w:lineRule="exact"/>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2012</w:t>
            </w:r>
          </w:p>
        </w:tc>
        <w:tc>
          <w:tcPr>
            <w:tcW w:w="1530" w:type="dxa"/>
            <w:vAlign w:val="center"/>
          </w:tcPr>
          <w:p w:rsidR="006B0FC6" w:rsidRPr="00C138A1" w:rsidRDefault="006B0FC6" w:rsidP="00166915">
            <w:pPr>
              <w:keepNext/>
              <w:spacing w:after="120" w:line="240" w:lineRule="exact"/>
              <w:jc w:val="center"/>
              <w:rPr>
                <w:rFonts w:ascii="Arabic Typesetting" w:hAnsi="Arabic Typesetting" w:cs="Arabic Typesetting"/>
                <w:sz w:val="36"/>
                <w:szCs w:val="36"/>
              </w:rPr>
            </w:pPr>
            <w:r w:rsidRPr="00C138A1">
              <w:rPr>
                <w:rFonts w:ascii="Arabic Typesetting" w:hAnsi="Arabic Typesetting" w:cs="Arabic Typesetting"/>
                <w:sz w:val="36"/>
                <w:szCs w:val="36"/>
                <w:lang w:val="ru-RU"/>
              </w:rPr>
              <w:t>2013</w:t>
            </w:r>
          </w:p>
        </w:tc>
        <w:tc>
          <w:tcPr>
            <w:tcW w:w="1620" w:type="dxa"/>
            <w:vAlign w:val="center"/>
          </w:tcPr>
          <w:p w:rsidR="006B0FC6" w:rsidRPr="00C138A1" w:rsidRDefault="006B0FC6" w:rsidP="00166915">
            <w:pPr>
              <w:keepNext/>
              <w:spacing w:after="120" w:line="240" w:lineRule="exact"/>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2014</w:t>
            </w:r>
          </w:p>
        </w:tc>
        <w:tc>
          <w:tcPr>
            <w:tcW w:w="1620" w:type="dxa"/>
            <w:vAlign w:val="center"/>
          </w:tcPr>
          <w:p w:rsidR="006B0FC6" w:rsidRPr="00C138A1" w:rsidRDefault="006B0FC6" w:rsidP="00166915">
            <w:pPr>
              <w:keepNext/>
              <w:spacing w:after="120" w:line="240" w:lineRule="exact"/>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2015</w:t>
            </w:r>
          </w:p>
        </w:tc>
        <w:tc>
          <w:tcPr>
            <w:tcW w:w="1454" w:type="dxa"/>
            <w:vAlign w:val="center"/>
          </w:tcPr>
          <w:p w:rsidR="006B0FC6" w:rsidRPr="00C138A1" w:rsidRDefault="006B0FC6" w:rsidP="00166915">
            <w:pPr>
              <w:keepNext/>
              <w:spacing w:after="120" w:line="240" w:lineRule="exact"/>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2016</w:t>
            </w:r>
          </w:p>
        </w:tc>
      </w:tr>
      <w:tr w:rsidR="00C138A1" w:rsidRPr="00C138A1" w:rsidTr="00BC1C11">
        <w:tc>
          <w:tcPr>
            <w:tcW w:w="1728" w:type="dxa"/>
          </w:tcPr>
          <w:p w:rsidR="00BC1C11" w:rsidRPr="00C138A1" w:rsidRDefault="00B011BE" w:rsidP="00D937FB">
            <w:pPr>
              <w:pStyle w:val="NormalParaAR"/>
              <w:tabs>
                <w:tab w:val="left" w:pos="355"/>
              </w:tabs>
              <w:spacing w:after="120" w:line="240" w:lineRule="exact"/>
              <w:rPr>
                <w:b/>
                <w:bCs/>
                <w:rtl/>
                <w:lang w:bidi="ar-EG"/>
              </w:rPr>
            </w:pPr>
            <w:r w:rsidRPr="00C138A1">
              <w:rPr>
                <w:b/>
                <w:bCs/>
                <w:rtl/>
                <w:lang w:bidi="ar-EG"/>
              </w:rPr>
              <w:t xml:space="preserve">المجموع </w:t>
            </w:r>
          </w:p>
        </w:tc>
        <w:tc>
          <w:tcPr>
            <w:tcW w:w="1620" w:type="dxa"/>
          </w:tcPr>
          <w:p w:rsidR="00BC1C11" w:rsidRPr="00C138A1" w:rsidRDefault="00BC1C11" w:rsidP="00166915">
            <w:pPr>
              <w:spacing w:after="120" w:line="240" w:lineRule="exact"/>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1</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w:t>
            </w:r>
            <w:r w:rsidRPr="00C138A1">
              <w:rPr>
                <w:rFonts w:ascii="Arabic Typesetting" w:hAnsi="Arabic Typesetting" w:cs="Arabic Typesetting"/>
                <w:sz w:val="36"/>
                <w:szCs w:val="36"/>
                <w:lang w:val="ru-RU"/>
              </w:rPr>
              <w:t>150</w:t>
            </w:r>
          </w:p>
        </w:tc>
        <w:tc>
          <w:tcPr>
            <w:tcW w:w="1530" w:type="dxa"/>
          </w:tcPr>
          <w:p w:rsidR="00BC1C11" w:rsidRPr="00C138A1" w:rsidRDefault="00BC1C11" w:rsidP="00166915">
            <w:pPr>
              <w:spacing w:after="120" w:line="240" w:lineRule="exact"/>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1</w:t>
            </w:r>
            <w:r w:rsidR="00911361" w:rsidRPr="00C138A1">
              <w:rPr>
                <w:rFonts w:ascii="Arabic Typesetting" w:eastAsia="SimSun" w:hAnsi="Arabic Typesetting" w:cs="Arabic Typesetting"/>
                <w:sz w:val="36"/>
                <w:szCs w:val="36"/>
                <w:rtl/>
                <w:lang w:val="fr-FR" w:eastAsia="zh-CN"/>
              </w:rPr>
              <w:t>٫</w:t>
            </w:r>
            <w:r w:rsidRPr="00C138A1">
              <w:rPr>
                <w:rFonts w:ascii="Arabic Typesetting" w:hAnsi="Arabic Typesetting" w:cs="Arabic Typesetting"/>
                <w:sz w:val="36"/>
                <w:szCs w:val="36"/>
              </w:rPr>
              <w:t xml:space="preserve"> </w:t>
            </w:r>
            <w:r w:rsidRPr="00C138A1">
              <w:rPr>
                <w:rFonts w:ascii="Arabic Typesetting" w:hAnsi="Arabic Typesetting" w:cs="Arabic Typesetting"/>
                <w:sz w:val="36"/>
                <w:szCs w:val="36"/>
                <w:lang w:val="ru-RU"/>
              </w:rPr>
              <w:t>190</w:t>
            </w:r>
          </w:p>
        </w:tc>
        <w:tc>
          <w:tcPr>
            <w:tcW w:w="1620" w:type="dxa"/>
          </w:tcPr>
          <w:p w:rsidR="00BC1C11" w:rsidRPr="00C138A1" w:rsidRDefault="00BC1C11" w:rsidP="00166915">
            <w:pPr>
              <w:spacing w:after="120" w:line="240" w:lineRule="exact"/>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994</w:t>
            </w:r>
          </w:p>
        </w:tc>
        <w:tc>
          <w:tcPr>
            <w:tcW w:w="1620" w:type="dxa"/>
          </w:tcPr>
          <w:p w:rsidR="00BC1C11" w:rsidRPr="00C138A1" w:rsidRDefault="00BC1C11" w:rsidP="00166915">
            <w:pPr>
              <w:spacing w:after="120" w:line="240" w:lineRule="exact"/>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950</w:t>
            </w:r>
          </w:p>
        </w:tc>
        <w:tc>
          <w:tcPr>
            <w:tcW w:w="1454" w:type="dxa"/>
          </w:tcPr>
          <w:p w:rsidR="00BC1C11" w:rsidRPr="00C138A1" w:rsidRDefault="00BC1C11" w:rsidP="00166915">
            <w:pPr>
              <w:spacing w:after="120" w:line="240" w:lineRule="exact"/>
              <w:jc w:val="center"/>
              <w:rPr>
                <w:rFonts w:ascii="Arabic Typesetting" w:hAnsi="Arabic Typesetting" w:cs="Arabic Typesetting"/>
                <w:sz w:val="36"/>
                <w:szCs w:val="36"/>
                <w:lang w:val="ru-RU"/>
              </w:rPr>
            </w:pPr>
            <w:r w:rsidRPr="00C138A1">
              <w:rPr>
                <w:rFonts w:ascii="Arabic Typesetting" w:hAnsi="Arabic Typesetting" w:cs="Arabic Typesetting"/>
                <w:sz w:val="36"/>
                <w:szCs w:val="36"/>
                <w:lang w:val="ru-RU"/>
              </w:rPr>
              <w:t>996</w:t>
            </w:r>
          </w:p>
        </w:tc>
      </w:tr>
    </w:tbl>
    <w:p w:rsidR="00D937FB" w:rsidRPr="00EC170E" w:rsidRDefault="00D937FB" w:rsidP="00BF0F13">
      <w:pPr>
        <w:pStyle w:val="NormalParaAR"/>
        <w:keepNext/>
        <w:spacing w:before="240"/>
      </w:pPr>
      <w:r w:rsidRPr="00EC170E">
        <w:rPr>
          <w:rtl/>
        </w:rPr>
        <w:lastRenderedPageBreak/>
        <w:t>المكاتب</w:t>
      </w:r>
      <w:r w:rsidRPr="00EC170E">
        <w:t>/</w:t>
      </w:r>
      <w:r w:rsidRPr="00EC170E">
        <w:rPr>
          <w:rtl/>
        </w:rPr>
        <w:t>الدول الرئيسية التي تمت فيها المطالبة بالأولوية من طلبات وطنية</w:t>
      </w:r>
      <w:r w:rsidRPr="00EC170E">
        <w:t>:</w:t>
      </w:r>
    </w:p>
    <w:p w:rsidR="004F3C9A" w:rsidRPr="00C138A1" w:rsidRDefault="00544428" w:rsidP="001B4B34">
      <w:pPr>
        <w:pStyle w:val="NormalParaAR"/>
        <w:tabs>
          <w:tab w:val="left" w:pos="355"/>
        </w:tabs>
        <w:rPr>
          <w:b/>
          <w:rtl/>
          <w:lang w:bidi="ar-EG"/>
        </w:rPr>
      </w:pPr>
      <w:r w:rsidRPr="00C138A1">
        <w:rPr>
          <w:b/>
          <w:rtl/>
          <w:lang w:bidi="ar-EG"/>
        </w:rPr>
        <w:t>الولايات المتحدة الأمريكية، المكتب الأوروبي للبراءات، اليابان، الصين، ألمانيا</w:t>
      </w:r>
      <w:r w:rsidR="009C199D" w:rsidRPr="00C138A1">
        <w:rPr>
          <w:rFonts w:hint="cs"/>
          <w:b/>
          <w:rtl/>
          <w:lang w:bidi="ar-EG"/>
        </w:rPr>
        <w:t>.</w:t>
      </w:r>
    </w:p>
    <w:p w:rsidR="009C199D" w:rsidRPr="00C138A1" w:rsidRDefault="009C199D" w:rsidP="00BF0F13">
      <w:pPr>
        <w:pStyle w:val="NormalParaAR"/>
        <w:keepNext/>
        <w:spacing w:before="240"/>
        <w:rPr>
          <w:b/>
          <w:bCs/>
          <w:rtl/>
        </w:rPr>
      </w:pPr>
      <w:r w:rsidRPr="00C138A1">
        <w:rPr>
          <w:b/>
          <w:bCs/>
          <w:rtl/>
        </w:rPr>
        <w:t>متوسط الوقت اللازم لمعالجة البراءات الوطنية</w:t>
      </w:r>
      <w:r w:rsidR="002E4C1D" w:rsidRPr="00C138A1">
        <w:rPr>
          <w:b/>
          <w:bCs/>
          <w:rtl/>
        </w:rPr>
        <w:t xml:space="preserve"> </w:t>
      </w:r>
    </w:p>
    <w:p w:rsidR="009C199D" w:rsidRPr="00C138A1" w:rsidRDefault="009C199D" w:rsidP="00C87107">
      <w:pPr>
        <w:pStyle w:val="NormalParaAR"/>
        <w:tabs>
          <w:tab w:val="left" w:pos="355"/>
        </w:tabs>
        <w:rPr>
          <w:b/>
          <w:rtl/>
          <w:lang w:bidi="ar-EG"/>
        </w:rPr>
      </w:pPr>
      <w:r w:rsidRPr="00C138A1">
        <w:rPr>
          <w:b/>
          <w:rtl/>
          <w:lang w:bidi="ar-EG"/>
        </w:rPr>
        <w:t>10.</w:t>
      </w:r>
      <w:r w:rsidR="00083C8F" w:rsidRPr="00C138A1">
        <w:rPr>
          <w:b/>
          <w:rtl/>
          <w:lang w:bidi="ar-EG"/>
        </w:rPr>
        <w:t xml:space="preserve">3 </w:t>
      </w:r>
      <w:r w:rsidR="00C87107">
        <w:rPr>
          <w:rFonts w:hint="cs"/>
          <w:b/>
          <w:rtl/>
          <w:lang w:bidi="ar-EG"/>
        </w:rPr>
        <w:t>أشهر</w:t>
      </w:r>
      <w:r w:rsidRPr="00C138A1">
        <w:rPr>
          <w:b/>
          <w:rtl/>
          <w:lang w:bidi="ar-EG"/>
        </w:rPr>
        <w:t xml:space="preserve"> -</w:t>
      </w:r>
      <w:r w:rsidR="00083C8F" w:rsidRPr="00C138A1">
        <w:rPr>
          <w:b/>
          <w:rtl/>
          <w:lang w:bidi="ar-EG"/>
        </w:rPr>
        <w:t xml:space="preserve"> </w:t>
      </w:r>
      <w:r w:rsidR="002378C1" w:rsidRPr="00C138A1">
        <w:rPr>
          <w:rFonts w:hint="cs"/>
          <w:b/>
          <w:rtl/>
          <w:lang w:bidi="ar-EG"/>
        </w:rPr>
        <w:t>اعتبارا</w:t>
      </w:r>
      <w:r w:rsidR="00083C8F" w:rsidRPr="00C138A1">
        <w:rPr>
          <w:b/>
          <w:rtl/>
          <w:lang w:bidi="ar-EG"/>
        </w:rPr>
        <w:t xml:space="preserve"> من تاريخ النظر في التماس </w:t>
      </w:r>
      <w:r w:rsidRPr="00C138A1">
        <w:rPr>
          <w:b/>
          <w:rtl/>
          <w:lang w:bidi="ar-EG"/>
        </w:rPr>
        <w:t xml:space="preserve">إجراء </w:t>
      </w:r>
      <w:r w:rsidR="00011C86" w:rsidRPr="00C138A1">
        <w:rPr>
          <w:rFonts w:hint="cs"/>
          <w:b/>
          <w:rtl/>
          <w:lang w:bidi="ar-EG"/>
        </w:rPr>
        <w:t>البحث</w:t>
      </w:r>
      <w:r w:rsidRPr="00C138A1">
        <w:rPr>
          <w:b/>
          <w:rtl/>
          <w:lang w:bidi="ar-EG"/>
        </w:rPr>
        <w:t xml:space="preserve"> والفحص الموضوعي قبل اتخاذ القرار النهائي بشأن الطلب</w:t>
      </w:r>
      <w:r w:rsidR="00011C86" w:rsidRPr="00C138A1">
        <w:rPr>
          <w:rFonts w:hint="cs"/>
          <w:b/>
          <w:rtl/>
          <w:lang w:bidi="ar-EG"/>
        </w:rPr>
        <w:t>،</w:t>
      </w:r>
      <w:r w:rsidRPr="00C138A1">
        <w:rPr>
          <w:b/>
          <w:rtl/>
          <w:lang w:bidi="ar-EG"/>
        </w:rPr>
        <w:t xml:space="preserve"> </w:t>
      </w:r>
      <w:r w:rsidR="00011C86" w:rsidRPr="00C138A1">
        <w:rPr>
          <w:rFonts w:hint="cs"/>
          <w:b/>
          <w:rtl/>
          <w:lang w:bidi="ar-EG"/>
        </w:rPr>
        <w:t>بغض</w:t>
      </w:r>
      <w:r w:rsidRPr="00C138A1">
        <w:rPr>
          <w:b/>
          <w:rtl/>
          <w:lang w:bidi="ar-EG"/>
        </w:rPr>
        <w:t xml:space="preserve"> </w:t>
      </w:r>
      <w:r w:rsidR="00011C86" w:rsidRPr="00C138A1">
        <w:rPr>
          <w:rFonts w:hint="cs"/>
          <w:b/>
          <w:rtl/>
          <w:lang w:bidi="ar-EG"/>
        </w:rPr>
        <w:t>النظر</w:t>
      </w:r>
      <w:r w:rsidRPr="00C138A1">
        <w:rPr>
          <w:b/>
          <w:rtl/>
          <w:lang w:bidi="ar-EG"/>
        </w:rPr>
        <w:t xml:space="preserve"> </w:t>
      </w:r>
      <w:r w:rsidR="00BF0F13" w:rsidRPr="00C138A1">
        <w:rPr>
          <w:rFonts w:hint="cs"/>
          <w:b/>
          <w:rtl/>
          <w:lang w:bidi="ar-EG"/>
        </w:rPr>
        <w:t xml:space="preserve">عن </w:t>
      </w:r>
      <w:r w:rsidRPr="00C138A1">
        <w:rPr>
          <w:b/>
          <w:rtl/>
          <w:lang w:bidi="ar-EG"/>
        </w:rPr>
        <w:t>الوقت الممنوح لمقدم الطلب للرد على طلبات الفاحصين.</w:t>
      </w:r>
    </w:p>
    <w:p w:rsidR="00125026" w:rsidRPr="00C138A1" w:rsidRDefault="00C138A1" w:rsidP="00BF0F13">
      <w:pPr>
        <w:pStyle w:val="NormalParaAR"/>
        <w:keepNext/>
        <w:spacing w:before="240"/>
        <w:rPr>
          <w:b/>
          <w:bCs/>
          <w:rtl/>
        </w:rPr>
      </w:pPr>
      <w:r>
        <w:rPr>
          <w:b/>
          <w:bCs/>
          <w:rtl/>
        </w:rPr>
        <w:t>ع</w:t>
      </w:r>
      <w:r>
        <w:rPr>
          <w:rFonts w:hint="cs"/>
          <w:b/>
          <w:bCs/>
          <w:rtl/>
        </w:rPr>
        <w:t>ب</w:t>
      </w:r>
      <w:r w:rsidR="00125026" w:rsidRPr="00C138A1">
        <w:rPr>
          <w:b/>
          <w:bCs/>
          <w:rtl/>
        </w:rPr>
        <w:t>ء العمل الوطني</w:t>
      </w:r>
      <w:r w:rsidR="00125026" w:rsidRPr="00C138A1">
        <w:rPr>
          <w:rFonts w:hint="cs"/>
          <w:b/>
          <w:bCs/>
          <w:rtl/>
        </w:rPr>
        <w:t>:</w:t>
      </w:r>
    </w:p>
    <w:tbl>
      <w:tblPr>
        <w:tblStyle w:val="TableGrid"/>
        <w:tblW w:w="9571" w:type="dxa"/>
        <w:tblLook w:val="04A0" w:firstRow="1" w:lastRow="0" w:firstColumn="1" w:lastColumn="0" w:noHBand="0" w:noVBand="1"/>
      </w:tblPr>
      <w:tblGrid>
        <w:gridCol w:w="2803"/>
        <w:gridCol w:w="6768"/>
      </w:tblGrid>
      <w:tr w:rsidR="00C138A1" w:rsidRPr="00C138A1" w:rsidTr="00BF0F13">
        <w:trPr>
          <w:trHeight w:val="450"/>
        </w:trPr>
        <w:tc>
          <w:tcPr>
            <w:tcW w:w="2803" w:type="dxa"/>
          </w:tcPr>
          <w:p w:rsidR="00F31C55" w:rsidRPr="00C138A1" w:rsidRDefault="00BF0F13" w:rsidP="00AF5217">
            <w:pPr>
              <w:pStyle w:val="NormalParaAR"/>
              <w:tabs>
                <w:tab w:val="left" w:pos="355"/>
              </w:tabs>
              <w:spacing w:after="120" w:line="240" w:lineRule="exact"/>
              <w:rPr>
                <w:bCs/>
                <w:rtl/>
                <w:lang w:bidi="ar-EG"/>
              </w:rPr>
            </w:pPr>
            <w:r w:rsidRPr="00C138A1">
              <w:rPr>
                <w:bCs/>
                <w:rtl/>
                <w:lang w:bidi="ar-EG"/>
              </w:rPr>
              <w:t>عدد الطلبات</w:t>
            </w:r>
          </w:p>
        </w:tc>
        <w:tc>
          <w:tcPr>
            <w:tcW w:w="6768" w:type="dxa"/>
          </w:tcPr>
          <w:p w:rsidR="00F31C55" w:rsidRPr="00C138A1" w:rsidRDefault="00BF0F13" w:rsidP="00AF5217">
            <w:pPr>
              <w:pStyle w:val="NormalParaAR"/>
              <w:tabs>
                <w:tab w:val="left" w:pos="355"/>
              </w:tabs>
              <w:spacing w:after="120" w:line="240" w:lineRule="exact"/>
              <w:rPr>
                <w:bCs/>
                <w:rtl/>
                <w:lang w:bidi="ar-EG"/>
              </w:rPr>
            </w:pPr>
            <w:r w:rsidRPr="00C138A1">
              <w:rPr>
                <w:bCs/>
                <w:rtl/>
                <w:lang w:bidi="ar-EG"/>
              </w:rPr>
              <w:t>الإجراء</w:t>
            </w:r>
          </w:p>
        </w:tc>
      </w:tr>
      <w:tr w:rsidR="00C138A1" w:rsidRPr="00C138A1" w:rsidTr="00BF0F13">
        <w:trPr>
          <w:trHeight w:val="771"/>
        </w:trPr>
        <w:tc>
          <w:tcPr>
            <w:tcW w:w="2803" w:type="dxa"/>
            <w:vAlign w:val="center"/>
          </w:tcPr>
          <w:p w:rsidR="0069356F" w:rsidRPr="00C138A1" w:rsidRDefault="00C138A1" w:rsidP="00C138A1">
            <w:pPr>
              <w:bidi/>
              <w:spacing w:after="120" w:line="240" w:lineRule="exact"/>
              <w:jc w:val="center"/>
              <w:rPr>
                <w:rFonts w:ascii="Arabic Typesetting" w:hAnsi="Arabic Typesetting" w:cs="Arabic Typesetting"/>
                <w:sz w:val="36"/>
                <w:szCs w:val="36"/>
              </w:rPr>
            </w:pPr>
            <w:r>
              <w:rPr>
                <w:rFonts w:ascii="Arabic Typesetting" w:hAnsi="Arabic Typesetting" w:cs="Arabic Typesetting" w:hint="cs"/>
                <w:sz w:val="36"/>
                <w:szCs w:val="36"/>
                <w:rtl/>
              </w:rPr>
              <w:t>45</w:t>
            </w:r>
            <w:r w:rsidRPr="00C138A1">
              <w:rPr>
                <w:rFonts w:ascii="Arabic Typesetting" w:eastAsia="SimSun" w:hAnsi="Arabic Typesetting" w:cs="Arabic Typesetting"/>
                <w:sz w:val="36"/>
                <w:szCs w:val="36"/>
                <w:rtl/>
                <w:lang w:val="fr-FR" w:eastAsia="zh-CN"/>
              </w:rPr>
              <w:t>٫</w:t>
            </w:r>
            <w:r>
              <w:rPr>
                <w:rFonts w:ascii="Arabic Typesetting" w:eastAsia="SimSun" w:hAnsi="Arabic Typesetting" w:cs="Arabic Typesetting" w:hint="cs"/>
                <w:sz w:val="36"/>
                <w:szCs w:val="36"/>
                <w:rtl/>
                <w:lang w:val="fr-FR" w:eastAsia="zh-CN"/>
              </w:rPr>
              <w:t>941</w:t>
            </w:r>
          </w:p>
        </w:tc>
        <w:tc>
          <w:tcPr>
            <w:tcW w:w="6768" w:type="dxa"/>
          </w:tcPr>
          <w:p w:rsidR="0069356F" w:rsidRPr="00C138A1" w:rsidRDefault="0069356F" w:rsidP="009F22DA">
            <w:pPr>
              <w:pStyle w:val="NormalParaAR"/>
              <w:tabs>
                <w:tab w:val="left" w:pos="355"/>
              </w:tabs>
              <w:spacing w:after="120" w:line="240" w:lineRule="exact"/>
              <w:rPr>
                <w:b/>
                <w:rtl/>
                <w:lang w:bidi="ar-EG"/>
              </w:rPr>
            </w:pPr>
            <w:r w:rsidRPr="00C138A1">
              <w:rPr>
                <w:b/>
                <w:rtl/>
                <w:lang w:bidi="ar-EG"/>
              </w:rPr>
              <w:t xml:space="preserve">بلغ مجموع </w:t>
            </w:r>
            <w:r w:rsidR="0070094B" w:rsidRPr="00C138A1">
              <w:rPr>
                <w:rFonts w:hint="cs"/>
                <w:b/>
                <w:rtl/>
                <w:lang w:bidi="ar-EG"/>
              </w:rPr>
              <w:t xml:space="preserve">الطلبات </w:t>
            </w:r>
            <w:r w:rsidRPr="00C138A1">
              <w:rPr>
                <w:b/>
                <w:rtl/>
                <w:lang w:bidi="ar-EG"/>
              </w:rPr>
              <w:t xml:space="preserve">التي </w:t>
            </w:r>
            <w:r w:rsidR="009F22DA" w:rsidRPr="00C138A1">
              <w:rPr>
                <w:rFonts w:hint="cs"/>
                <w:b/>
                <w:rtl/>
                <w:lang w:bidi="ar-EG"/>
              </w:rPr>
              <w:t>لم يُبت فيها بعد، و</w:t>
            </w:r>
            <w:r w:rsidRPr="00C138A1">
              <w:rPr>
                <w:b/>
                <w:rtl/>
                <w:lang w:bidi="ar-EG"/>
              </w:rPr>
              <w:t>ق</w:t>
            </w:r>
            <w:r w:rsidR="009F1033" w:rsidRPr="00C138A1">
              <w:rPr>
                <w:b/>
                <w:rtl/>
                <w:lang w:bidi="ar-EG"/>
              </w:rPr>
              <w:t>ُ</w:t>
            </w:r>
            <w:r w:rsidRPr="00C138A1">
              <w:rPr>
                <w:b/>
                <w:rtl/>
                <w:lang w:bidi="ar-EG"/>
              </w:rPr>
              <w:t>دم</w:t>
            </w:r>
            <w:r w:rsidR="00790AE2" w:rsidRPr="00C138A1">
              <w:rPr>
                <w:b/>
                <w:rtl/>
                <w:lang w:bidi="ar-EG"/>
              </w:rPr>
              <w:t>ت</w:t>
            </w:r>
            <w:r w:rsidRPr="00C138A1">
              <w:rPr>
                <w:b/>
                <w:rtl/>
                <w:lang w:bidi="ar-EG"/>
              </w:rPr>
              <w:t xml:space="preserve"> بشأنها التماس</w:t>
            </w:r>
            <w:r w:rsidR="00790AE2" w:rsidRPr="00C138A1">
              <w:rPr>
                <w:b/>
                <w:rtl/>
                <w:lang w:bidi="ar-EG"/>
              </w:rPr>
              <w:t>ات</w:t>
            </w:r>
            <w:r w:rsidRPr="00C138A1">
              <w:rPr>
                <w:b/>
                <w:rtl/>
                <w:lang w:bidi="ar-EG"/>
              </w:rPr>
              <w:t xml:space="preserve"> لإجراء </w:t>
            </w:r>
            <w:r w:rsidR="009F22DA" w:rsidRPr="00C138A1">
              <w:rPr>
                <w:rFonts w:hint="cs"/>
                <w:b/>
                <w:rtl/>
                <w:lang w:bidi="ar-EG"/>
              </w:rPr>
              <w:t>البحث</w:t>
            </w:r>
            <w:r w:rsidRPr="00C138A1">
              <w:rPr>
                <w:b/>
                <w:rtl/>
                <w:lang w:bidi="ar-EG"/>
              </w:rPr>
              <w:t xml:space="preserve"> والفحص الموضوعي حتى نهاية عام 2016، بما في ذلك:</w:t>
            </w:r>
          </w:p>
        </w:tc>
      </w:tr>
      <w:tr w:rsidR="00C138A1" w:rsidRPr="00C138A1" w:rsidTr="00BF0F13">
        <w:trPr>
          <w:trHeight w:val="466"/>
        </w:trPr>
        <w:tc>
          <w:tcPr>
            <w:tcW w:w="2803" w:type="dxa"/>
            <w:vAlign w:val="center"/>
          </w:tcPr>
          <w:p w:rsidR="0069356F" w:rsidRPr="00C138A1" w:rsidRDefault="00C138A1" w:rsidP="00C138A1">
            <w:pPr>
              <w:spacing w:after="120" w:line="240" w:lineRule="exact"/>
              <w:jc w:val="center"/>
              <w:rPr>
                <w:rFonts w:ascii="Arabic Typesetting" w:hAnsi="Arabic Typesetting" w:cs="Arabic Typesetting"/>
                <w:sz w:val="36"/>
                <w:szCs w:val="36"/>
              </w:rPr>
            </w:pPr>
            <w:r>
              <w:rPr>
                <w:rFonts w:ascii="Arabic Typesetting" w:hAnsi="Arabic Typesetting" w:cs="Arabic Typesetting" w:hint="cs"/>
                <w:sz w:val="36"/>
                <w:szCs w:val="36"/>
                <w:rtl/>
              </w:rPr>
              <w:t>10</w:t>
            </w:r>
            <w:r w:rsidRPr="00C138A1">
              <w:rPr>
                <w:rFonts w:ascii="Arabic Typesetting" w:eastAsia="SimSun" w:hAnsi="Arabic Typesetting" w:cs="Arabic Typesetting"/>
                <w:sz w:val="36"/>
                <w:szCs w:val="36"/>
                <w:rtl/>
                <w:lang w:val="fr-FR" w:eastAsia="zh-CN"/>
              </w:rPr>
              <w:t>٫</w:t>
            </w:r>
            <w:r>
              <w:rPr>
                <w:rFonts w:ascii="Arabic Typesetting" w:eastAsia="SimSun" w:hAnsi="Arabic Typesetting" w:cs="Arabic Typesetting" w:hint="cs"/>
                <w:sz w:val="36"/>
                <w:szCs w:val="36"/>
                <w:rtl/>
                <w:lang w:val="fr-FR" w:eastAsia="zh-CN"/>
              </w:rPr>
              <w:t>085</w:t>
            </w:r>
          </w:p>
        </w:tc>
        <w:tc>
          <w:tcPr>
            <w:tcW w:w="6768" w:type="dxa"/>
          </w:tcPr>
          <w:p w:rsidR="0069356F" w:rsidRPr="00C138A1" w:rsidRDefault="004A74D5" w:rsidP="00AF5217">
            <w:pPr>
              <w:pStyle w:val="NormalParaAR"/>
              <w:tabs>
                <w:tab w:val="left" w:pos="355"/>
              </w:tabs>
              <w:spacing w:after="120" w:line="240" w:lineRule="exact"/>
              <w:rPr>
                <w:b/>
                <w:rtl/>
                <w:lang w:bidi="ar-EG"/>
              </w:rPr>
            </w:pPr>
            <w:r w:rsidRPr="00C138A1">
              <w:rPr>
                <w:b/>
                <w:rtl/>
                <w:lang w:bidi="ar-EG"/>
              </w:rPr>
              <w:t>طلبات صدرت</w:t>
            </w:r>
            <w:r w:rsidR="00790AE2" w:rsidRPr="00C138A1">
              <w:rPr>
                <w:b/>
                <w:rtl/>
                <w:lang w:bidi="ar-EG"/>
              </w:rPr>
              <w:t xml:space="preserve"> بشأنها إجراءات المكتب الأول</w:t>
            </w:r>
          </w:p>
        </w:tc>
      </w:tr>
      <w:tr w:rsidR="00C138A1" w:rsidRPr="00C138A1" w:rsidTr="00BF0F13">
        <w:trPr>
          <w:trHeight w:val="466"/>
        </w:trPr>
        <w:tc>
          <w:tcPr>
            <w:tcW w:w="2803" w:type="dxa"/>
            <w:vAlign w:val="center"/>
          </w:tcPr>
          <w:p w:rsidR="0069356F" w:rsidRPr="00C138A1" w:rsidRDefault="00C138A1" w:rsidP="00C138A1">
            <w:pPr>
              <w:spacing w:after="120" w:line="240" w:lineRule="exact"/>
              <w:jc w:val="center"/>
              <w:rPr>
                <w:rFonts w:ascii="Arabic Typesetting" w:hAnsi="Arabic Typesetting" w:cs="Arabic Typesetting"/>
                <w:sz w:val="36"/>
                <w:szCs w:val="36"/>
                <w:lang w:val="ru-RU"/>
              </w:rPr>
            </w:pPr>
            <w:r>
              <w:rPr>
                <w:rFonts w:ascii="Arabic Typesetting" w:hAnsi="Arabic Typesetting" w:cs="Arabic Typesetting" w:hint="cs"/>
                <w:sz w:val="36"/>
                <w:szCs w:val="36"/>
                <w:rtl/>
                <w:lang w:val="ru-RU"/>
              </w:rPr>
              <w:t>35</w:t>
            </w:r>
            <w:r w:rsidRPr="00C138A1">
              <w:rPr>
                <w:rFonts w:ascii="Arabic Typesetting" w:eastAsia="SimSun" w:hAnsi="Arabic Typesetting" w:cs="Arabic Typesetting"/>
                <w:sz w:val="36"/>
                <w:szCs w:val="36"/>
                <w:rtl/>
                <w:lang w:val="fr-FR" w:eastAsia="zh-CN"/>
              </w:rPr>
              <w:t>٫</w:t>
            </w:r>
            <w:r>
              <w:rPr>
                <w:rFonts w:ascii="Arabic Typesetting" w:eastAsia="SimSun" w:hAnsi="Arabic Typesetting" w:cs="Arabic Typesetting" w:hint="cs"/>
                <w:sz w:val="36"/>
                <w:szCs w:val="36"/>
                <w:rtl/>
                <w:lang w:val="fr-FR" w:eastAsia="zh-CN"/>
              </w:rPr>
              <w:t>856</w:t>
            </w:r>
          </w:p>
        </w:tc>
        <w:tc>
          <w:tcPr>
            <w:tcW w:w="6768" w:type="dxa"/>
          </w:tcPr>
          <w:p w:rsidR="0069356F" w:rsidRPr="00C138A1" w:rsidRDefault="00EB136B" w:rsidP="00AF5217">
            <w:pPr>
              <w:pStyle w:val="NormalParaAR"/>
              <w:tabs>
                <w:tab w:val="left" w:pos="355"/>
              </w:tabs>
              <w:spacing w:after="120" w:line="240" w:lineRule="exact"/>
              <w:rPr>
                <w:b/>
                <w:rtl/>
                <w:lang w:bidi="ar-EG"/>
              </w:rPr>
            </w:pPr>
            <w:r w:rsidRPr="00C138A1">
              <w:rPr>
                <w:b/>
                <w:rtl/>
                <w:lang w:bidi="ar-EG"/>
              </w:rPr>
              <w:t>طلبات بانتظار البحث والفحص</w:t>
            </w:r>
          </w:p>
        </w:tc>
      </w:tr>
    </w:tbl>
    <w:p w:rsidR="00C60F32" w:rsidRPr="00C138A1" w:rsidRDefault="00062D59" w:rsidP="00BF0F13">
      <w:pPr>
        <w:pStyle w:val="EndofDocumentAR"/>
        <w:spacing w:before="480"/>
        <w:rPr>
          <w:rtl/>
          <w:lang w:bidi="ar-EG"/>
        </w:rPr>
      </w:pPr>
      <w:r w:rsidRPr="00C138A1">
        <w:rPr>
          <w:rFonts w:hint="cs"/>
          <w:rtl/>
          <w:lang w:bidi="ar-EG"/>
        </w:rPr>
        <w:t>[نهاية المرفق والوثيقة]</w:t>
      </w:r>
    </w:p>
    <w:sectPr w:rsidR="00C60F32" w:rsidRPr="00C138A1" w:rsidSect="00356753">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813" w:rsidRDefault="00353813">
      <w:r>
        <w:separator/>
      </w:r>
    </w:p>
  </w:endnote>
  <w:endnote w:type="continuationSeparator" w:id="0">
    <w:p w:rsidR="00353813" w:rsidRDefault="0035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813" w:rsidRDefault="00353813" w:rsidP="009622BF">
      <w:pPr>
        <w:bidi/>
      </w:pPr>
      <w:bookmarkStart w:id="0" w:name="OLE_LINK1"/>
      <w:bookmarkStart w:id="1" w:name="OLE_LINK2"/>
      <w:r>
        <w:separator/>
      </w:r>
      <w:bookmarkEnd w:id="0"/>
      <w:bookmarkEnd w:id="1"/>
    </w:p>
  </w:footnote>
  <w:footnote w:type="continuationSeparator" w:id="0">
    <w:p w:rsidR="00353813" w:rsidRDefault="0035381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57160F" w:rsidP="0057160F">
    <w:r>
      <w:t>PCT</w:t>
    </w:r>
    <w:r w:rsidR="002F77FC">
      <w:t>/</w:t>
    </w:r>
    <w:r>
      <w:t>CTC/30</w:t>
    </w:r>
    <w:r w:rsidR="002F77FC">
      <w:t>/--</w:t>
    </w:r>
  </w:p>
  <w:p w:rsidR="002F77FC" w:rsidRDefault="002F77FC" w:rsidP="00D61541">
    <w:r>
      <w:fldChar w:fldCharType="begin"/>
    </w:r>
    <w:r>
      <w:instrText xml:space="preserve"> PAGE  \* MERGEFORMAT </w:instrText>
    </w:r>
    <w:r>
      <w:fldChar w:fldCharType="separate"/>
    </w:r>
    <w:r w:rsidR="00356753">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BAA" w:rsidRDefault="00DB1BAA">
    <w:pPr>
      <w:pStyle w:val="Header"/>
    </w:pPr>
  </w:p>
  <w:p w:rsidR="00DB1BAA" w:rsidRDefault="00DB1B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53" w:rsidRDefault="00356753" w:rsidP="00441F46">
    <w:pPr>
      <w:rPr>
        <w:rtl/>
      </w:rPr>
    </w:pPr>
    <w:r>
      <w:t>PCT/CTC/30/</w:t>
    </w:r>
    <w:r w:rsidR="00441F46">
      <w:t>17</w:t>
    </w:r>
  </w:p>
  <w:p w:rsidR="00634DCD" w:rsidRDefault="00634DCD" w:rsidP="00441F46">
    <w:r>
      <w:t>Annex</w:t>
    </w:r>
  </w:p>
  <w:p w:rsidR="00356753" w:rsidRDefault="00356753" w:rsidP="00634DCD">
    <w:pPr>
      <w:rPr>
        <w:rtl/>
        <w:lang w:bidi="ar-EG"/>
      </w:rPr>
    </w:pPr>
    <w:r>
      <w:fldChar w:fldCharType="begin"/>
    </w:r>
    <w:r>
      <w:instrText xml:space="preserve"> PAGE  \* MERGEFORMAT </w:instrText>
    </w:r>
    <w:r>
      <w:fldChar w:fldCharType="separate"/>
    </w:r>
    <w:r w:rsidR="008E0D0A">
      <w:rPr>
        <w:noProof/>
      </w:rPr>
      <w:t>6</w:t>
    </w:r>
    <w:r>
      <w:fldChar w:fldCharType="end"/>
    </w:r>
    <w:r w:rsidR="00441F46">
      <w:t xml:space="preserve"> </w:t>
    </w:r>
  </w:p>
  <w:p w:rsidR="00AA08E3" w:rsidRDefault="00AA08E3" w:rsidP="00AA08E3">
    <w:pPr>
      <w:rPr>
        <w:lang w:bidi="ar-EG"/>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53" w:rsidRDefault="00356753" w:rsidP="00F1712E">
    <w:pPr>
      <w:rPr>
        <w:rtl/>
      </w:rPr>
    </w:pPr>
    <w:r>
      <w:t>PCT/CTC/30/</w:t>
    </w:r>
    <w:r w:rsidR="00F1712E">
      <w:t>17</w:t>
    </w:r>
  </w:p>
  <w:p w:rsidR="00D937FB" w:rsidRDefault="00D937FB" w:rsidP="00F1712E">
    <w:pPr>
      <w:rPr>
        <w:rtl/>
      </w:rPr>
    </w:pPr>
    <w:r>
      <w:t>ANNEX</w:t>
    </w:r>
  </w:p>
  <w:p w:rsidR="00DB1BAA" w:rsidRDefault="00356753" w:rsidP="005B39F7">
    <w:pPr>
      <w:rPr>
        <w:rFonts w:ascii="Arabic Typesetting" w:hAnsi="Arabic Typesetting" w:cs="Arabic Typesetting"/>
        <w:sz w:val="36"/>
        <w:szCs w:val="36"/>
        <w:lang w:bidi="ar-EG"/>
      </w:rPr>
    </w:pPr>
    <w:r w:rsidRPr="00D937FB">
      <w:rPr>
        <w:rFonts w:ascii="Arabic Typesetting" w:hAnsi="Arabic Typesetting" w:cs="Arabic Typesetting"/>
        <w:sz w:val="36"/>
        <w:szCs w:val="36"/>
        <w:rtl/>
        <w:lang w:bidi="ar-EG"/>
      </w:rPr>
      <w:t>المرفق</w:t>
    </w:r>
  </w:p>
  <w:p w:rsidR="00D937FB" w:rsidRPr="00D937FB" w:rsidRDefault="00D937FB" w:rsidP="005B39F7">
    <w:pPr>
      <w:rPr>
        <w:rFonts w:asciiTheme="minorBidi" w:hAnsiTheme="minorBidi" w:cstheme="minorBidi"/>
        <w:szCs w:val="22"/>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BBE267D"/>
    <w:multiLevelType w:val="hybridMultilevel"/>
    <w:tmpl w:val="78A845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76739CE"/>
    <w:multiLevelType w:val="hybridMultilevel"/>
    <w:tmpl w:val="E25ED1E0"/>
    <w:lvl w:ilvl="0" w:tplc="F6F24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88A7D4B"/>
    <w:multiLevelType w:val="hybridMultilevel"/>
    <w:tmpl w:val="F3826816"/>
    <w:lvl w:ilvl="0" w:tplc="C2EED1EA">
      <w:start w:val="1"/>
      <w:numFmt w:val="decimal"/>
      <w:lvlText w:val="%1.2"/>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0"/>
  </w:num>
  <w:num w:numId="5">
    <w:abstractNumId w:val="8"/>
  </w:num>
  <w:num w:numId="6">
    <w:abstractNumId w:val="21"/>
  </w:num>
  <w:num w:numId="7">
    <w:abstractNumId w:val="14"/>
  </w:num>
  <w:num w:numId="8">
    <w:abstractNumId w:val="19"/>
  </w:num>
  <w:num w:numId="9">
    <w:abstractNumId w:val="18"/>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75"/>
    <w:rsid w:val="00002CBE"/>
    <w:rsid w:val="00002E1F"/>
    <w:rsid w:val="00003232"/>
    <w:rsid w:val="000033DA"/>
    <w:rsid w:val="0000579F"/>
    <w:rsid w:val="00006988"/>
    <w:rsid w:val="000074D1"/>
    <w:rsid w:val="000076BD"/>
    <w:rsid w:val="00010481"/>
    <w:rsid w:val="00010671"/>
    <w:rsid w:val="000114E2"/>
    <w:rsid w:val="00011C86"/>
    <w:rsid w:val="00013347"/>
    <w:rsid w:val="00013D73"/>
    <w:rsid w:val="000142E1"/>
    <w:rsid w:val="000146BD"/>
    <w:rsid w:val="00014B68"/>
    <w:rsid w:val="0001645D"/>
    <w:rsid w:val="000170A9"/>
    <w:rsid w:val="00017A43"/>
    <w:rsid w:val="0002157B"/>
    <w:rsid w:val="00023101"/>
    <w:rsid w:val="0002407C"/>
    <w:rsid w:val="0002476F"/>
    <w:rsid w:val="00024934"/>
    <w:rsid w:val="00024E17"/>
    <w:rsid w:val="000258DB"/>
    <w:rsid w:val="000259E5"/>
    <w:rsid w:val="00031B2C"/>
    <w:rsid w:val="0003278E"/>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0DF"/>
    <w:rsid w:val="00053836"/>
    <w:rsid w:val="00054659"/>
    <w:rsid w:val="00055FA2"/>
    <w:rsid w:val="000571DD"/>
    <w:rsid w:val="00061FF5"/>
    <w:rsid w:val="00062502"/>
    <w:rsid w:val="00062D59"/>
    <w:rsid w:val="00063C91"/>
    <w:rsid w:val="000640E7"/>
    <w:rsid w:val="00066DC7"/>
    <w:rsid w:val="0006794A"/>
    <w:rsid w:val="00067F31"/>
    <w:rsid w:val="00071138"/>
    <w:rsid w:val="00071969"/>
    <w:rsid w:val="00073402"/>
    <w:rsid w:val="00075745"/>
    <w:rsid w:val="00075A04"/>
    <w:rsid w:val="00075D39"/>
    <w:rsid w:val="000760C3"/>
    <w:rsid w:val="000763A4"/>
    <w:rsid w:val="00076901"/>
    <w:rsid w:val="000810B1"/>
    <w:rsid w:val="0008237C"/>
    <w:rsid w:val="000833C3"/>
    <w:rsid w:val="00083C8F"/>
    <w:rsid w:val="0008421F"/>
    <w:rsid w:val="0008451C"/>
    <w:rsid w:val="0008509D"/>
    <w:rsid w:val="00085A0B"/>
    <w:rsid w:val="000863B7"/>
    <w:rsid w:val="00087DB6"/>
    <w:rsid w:val="00090139"/>
    <w:rsid w:val="0009024C"/>
    <w:rsid w:val="00090ADD"/>
    <w:rsid w:val="000913C0"/>
    <w:rsid w:val="00091F52"/>
    <w:rsid w:val="00092982"/>
    <w:rsid w:val="00092DD6"/>
    <w:rsid w:val="00093623"/>
    <w:rsid w:val="0009490E"/>
    <w:rsid w:val="00094C2B"/>
    <w:rsid w:val="00094C85"/>
    <w:rsid w:val="00094D7E"/>
    <w:rsid w:val="0009517B"/>
    <w:rsid w:val="00095AE2"/>
    <w:rsid w:val="000962DF"/>
    <w:rsid w:val="0009661E"/>
    <w:rsid w:val="000A12BC"/>
    <w:rsid w:val="000A1306"/>
    <w:rsid w:val="000A1521"/>
    <w:rsid w:val="000A21EB"/>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1DDE"/>
    <w:rsid w:val="000E591F"/>
    <w:rsid w:val="000E5A23"/>
    <w:rsid w:val="000E6045"/>
    <w:rsid w:val="000E7872"/>
    <w:rsid w:val="000F0772"/>
    <w:rsid w:val="000F0BE5"/>
    <w:rsid w:val="000F0F0D"/>
    <w:rsid w:val="000F1743"/>
    <w:rsid w:val="000F1B52"/>
    <w:rsid w:val="000F1C70"/>
    <w:rsid w:val="000F1EAA"/>
    <w:rsid w:val="000F30D5"/>
    <w:rsid w:val="000F33C5"/>
    <w:rsid w:val="000F3ACF"/>
    <w:rsid w:val="000F49FA"/>
    <w:rsid w:val="000F55BD"/>
    <w:rsid w:val="000F57E4"/>
    <w:rsid w:val="000F58C4"/>
    <w:rsid w:val="000F5E56"/>
    <w:rsid w:val="000F70F9"/>
    <w:rsid w:val="0010014A"/>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4AC0"/>
    <w:rsid w:val="00115266"/>
    <w:rsid w:val="001154FB"/>
    <w:rsid w:val="00115B51"/>
    <w:rsid w:val="00117120"/>
    <w:rsid w:val="001171EF"/>
    <w:rsid w:val="001173C5"/>
    <w:rsid w:val="001178A3"/>
    <w:rsid w:val="00121092"/>
    <w:rsid w:val="00121AA0"/>
    <w:rsid w:val="00121FE6"/>
    <w:rsid w:val="00123F16"/>
    <w:rsid w:val="0012405D"/>
    <w:rsid w:val="00125026"/>
    <w:rsid w:val="001252B1"/>
    <w:rsid w:val="00126897"/>
    <w:rsid w:val="0012696D"/>
    <w:rsid w:val="001276A7"/>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8E4"/>
    <w:rsid w:val="00144CC3"/>
    <w:rsid w:val="0015009D"/>
    <w:rsid w:val="001519FB"/>
    <w:rsid w:val="00151B18"/>
    <w:rsid w:val="00151BF2"/>
    <w:rsid w:val="00151C68"/>
    <w:rsid w:val="001520DD"/>
    <w:rsid w:val="00152374"/>
    <w:rsid w:val="00152DFA"/>
    <w:rsid w:val="00153A62"/>
    <w:rsid w:val="00153CD7"/>
    <w:rsid w:val="00154023"/>
    <w:rsid w:val="001550DF"/>
    <w:rsid w:val="00155CEA"/>
    <w:rsid w:val="00156153"/>
    <w:rsid w:val="001563D9"/>
    <w:rsid w:val="00156428"/>
    <w:rsid w:val="001568F4"/>
    <w:rsid w:val="00156A97"/>
    <w:rsid w:val="001572CE"/>
    <w:rsid w:val="001603F7"/>
    <w:rsid w:val="00160C95"/>
    <w:rsid w:val="00162777"/>
    <w:rsid w:val="0016337E"/>
    <w:rsid w:val="0016408D"/>
    <w:rsid w:val="00164691"/>
    <w:rsid w:val="00164BD2"/>
    <w:rsid w:val="00165AC3"/>
    <w:rsid w:val="001665F3"/>
    <w:rsid w:val="001667B6"/>
    <w:rsid w:val="001668D4"/>
    <w:rsid w:val="00166915"/>
    <w:rsid w:val="00166A09"/>
    <w:rsid w:val="00167809"/>
    <w:rsid w:val="00167F30"/>
    <w:rsid w:val="001711F1"/>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09D"/>
    <w:rsid w:val="00191E75"/>
    <w:rsid w:val="00192022"/>
    <w:rsid w:val="00192DC0"/>
    <w:rsid w:val="0019301D"/>
    <w:rsid w:val="0019454F"/>
    <w:rsid w:val="00194719"/>
    <w:rsid w:val="00194774"/>
    <w:rsid w:val="00195CE0"/>
    <w:rsid w:val="00196795"/>
    <w:rsid w:val="001A098F"/>
    <w:rsid w:val="001A10CB"/>
    <w:rsid w:val="001A110B"/>
    <w:rsid w:val="001A149A"/>
    <w:rsid w:val="001A2AB7"/>
    <w:rsid w:val="001A3D43"/>
    <w:rsid w:val="001A4A9C"/>
    <w:rsid w:val="001A6B88"/>
    <w:rsid w:val="001A6C33"/>
    <w:rsid w:val="001A6C38"/>
    <w:rsid w:val="001A6E68"/>
    <w:rsid w:val="001B3131"/>
    <w:rsid w:val="001B4B0F"/>
    <w:rsid w:val="001B4B2F"/>
    <w:rsid w:val="001B4B34"/>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7444"/>
    <w:rsid w:val="001E1043"/>
    <w:rsid w:val="001E10E1"/>
    <w:rsid w:val="001E175F"/>
    <w:rsid w:val="001E19F7"/>
    <w:rsid w:val="001E23E7"/>
    <w:rsid w:val="001E2669"/>
    <w:rsid w:val="001E3FB9"/>
    <w:rsid w:val="001E4083"/>
    <w:rsid w:val="001E5588"/>
    <w:rsid w:val="001E56CB"/>
    <w:rsid w:val="001E56FC"/>
    <w:rsid w:val="001E582D"/>
    <w:rsid w:val="001E6318"/>
    <w:rsid w:val="001F0AD5"/>
    <w:rsid w:val="001F0C0A"/>
    <w:rsid w:val="001F1509"/>
    <w:rsid w:val="001F18E7"/>
    <w:rsid w:val="001F214F"/>
    <w:rsid w:val="001F2581"/>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6737"/>
    <w:rsid w:val="00220227"/>
    <w:rsid w:val="00220FDE"/>
    <w:rsid w:val="0022176B"/>
    <w:rsid w:val="002225CF"/>
    <w:rsid w:val="00222760"/>
    <w:rsid w:val="00222782"/>
    <w:rsid w:val="0022360A"/>
    <w:rsid w:val="00226B82"/>
    <w:rsid w:val="00227103"/>
    <w:rsid w:val="002275AA"/>
    <w:rsid w:val="00230249"/>
    <w:rsid w:val="00230D5F"/>
    <w:rsid w:val="00231BE3"/>
    <w:rsid w:val="00232C51"/>
    <w:rsid w:val="00233414"/>
    <w:rsid w:val="00233D69"/>
    <w:rsid w:val="00234E82"/>
    <w:rsid w:val="00235C9D"/>
    <w:rsid w:val="00237419"/>
    <w:rsid w:val="002378C1"/>
    <w:rsid w:val="00240582"/>
    <w:rsid w:val="00240911"/>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542"/>
    <w:rsid w:val="00254DE4"/>
    <w:rsid w:val="00255008"/>
    <w:rsid w:val="002559DA"/>
    <w:rsid w:val="00255C9F"/>
    <w:rsid w:val="00256955"/>
    <w:rsid w:val="0026071A"/>
    <w:rsid w:val="00261B27"/>
    <w:rsid w:val="00262B5A"/>
    <w:rsid w:val="0026520E"/>
    <w:rsid w:val="00266486"/>
    <w:rsid w:val="00266AEC"/>
    <w:rsid w:val="00266B0A"/>
    <w:rsid w:val="00266C61"/>
    <w:rsid w:val="0026749A"/>
    <w:rsid w:val="00267EC9"/>
    <w:rsid w:val="00270E72"/>
    <w:rsid w:val="0027103C"/>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3A2"/>
    <w:rsid w:val="002806F8"/>
    <w:rsid w:val="002810B5"/>
    <w:rsid w:val="00281F4F"/>
    <w:rsid w:val="0028412F"/>
    <w:rsid w:val="0028491D"/>
    <w:rsid w:val="00286744"/>
    <w:rsid w:val="00287E0C"/>
    <w:rsid w:val="002909B9"/>
    <w:rsid w:val="00292CEE"/>
    <w:rsid w:val="00292D22"/>
    <w:rsid w:val="0029470D"/>
    <w:rsid w:val="00297B80"/>
    <w:rsid w:val="002A076C"/>
    <w:rsid w:val="002A1059"/>
    <w:rsid w:val="002A29BC"/>
    <w:rsid w:val="002A3C9D"/>
    <w:rsid w:val="002A5250"/>
    <w:rsid w:val="002A5403"/>
    <w:rsid w:val="002A6C9F"/>
    <w:rsid w:val="002A77F3"/>
    <w:rsid w:val="002B14F0"/>
    <w:rsid w:val="002B1F0F"/>
    <w:rsid w:val="002B3F52"/>
    <w:rsid w:val="002B53D3"/>
    <w:rsid w:val="002B6202"/>
    <w:rsid w:val="002C014C"/>
    <w:rsid w:val="002C060C"/>
    <w:rsid w:val="002C0BA6"/>
    <w:rsid w:val="002C12A7"/>
    <w:rsid w:val="002C2B6F"/>
    <w:rsid w:val="002C2BC4"/>
    <w:rsid w:val="002C314F"/>
    <w:rsid w:val="002C4AD1"/>
    <w:rsid w:val="002C7197"/>
    <w:rsid w:val="002C7D0C"/>
    <w:rsid w:val="002C7D29"/>
    <w:rsid w:val="002D0298"/>
    <w:rsid w:val="002D1662"/>
    <w:rsid w:val="002D1DE5"/>
    <w:rsid w:val="002D3506"/>
    <w:rsid w:val="002D3670"/>
    <w:rsid w:val="002D4807"/>
    <w:rsid w:val="002D5DDC"/>
    <w:rsid w:val="002D5F16"/>
    <w:rsid w:val="002D61BB"/>
    <w:rsid w:val="002D62F1"/>
    <w:rsid w:val="002D6FD8"/>
    <w:rsid w:val="002D727B"/>
    <w:rsid w:val="002D7EAD"/>
    <w:rsid w:val="002E1169"/>
    <w:rsid w:val="002E1218"/>
    <w:rsid w:val="002E1B80"/>
    <w:rsid w:val="002E28F3"/>
    <w:rsid w:val="002E4C1D"/>
    <w:rsid w:val="002E7615"/>
    <w:rsid w:val="002E7A2A"/>
    <w:rsid w:val="002E7F16"/>
    <w:rsid w:val="002F1425"/>
    <w:rsid w:val="002F180B"/>
    <w:rsid w:val="002F2EC8"/>
    <w:rsid w:val="002F43EA"/>
    <w:rsid w:val="002F4CE2"/>
    <w:rsid w:val="002F5F6A"/>
    <w:rsid w:val="002F60A4"/>
    <w:rsid w:val="002F6B0C"/>
    <w:rsid w:val="002F77FC"/>
    <w:rsid w:val="003004A6"/>
    <w:rsid w:val="0030129C"/>
    <w:rsid w:val="003013E2"/>
    <w:rsid w:val="00301FE4"/>
    <w:rsid w:val="00303E3A"/>
    <w:rsid w:val="00305417"/>
    <w:rsid w:val="00306127"/>
    <w:rsid w:val="0030612C"/>
    <w:rsid w:val="0030641B"/>
    <w:rsid w:val="003067C8"/>
    <w:rsid w:val="00311453"/>
    <w:rsid w:val="003114C9"/>
    <w:rsid w:val="0031229D"/>
    <w:rsid w:val="00314CCE"/>
    <w:rsid w:val="00314E12"/>
    <w:rsid w:val="00316527"/>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721"/>
    <w:rsid w:val="0033380D"/>
    <w:rsid w:val="00334127"/>
    <w:rsid w:val="00335CA6"/>
    <w:rsid w:val="00336596"/>
    <w:rsid w:val="003365F0"/>
    <w:rsid w:val="00336C50"/>
    <w:rsid w:val="00337388"/>
    <w:rsid w:val="0034007D"/>
    <w:rsid w:val="003433E5"/>
    <w:rsid w:val="00344082"/>
    <w:rsid w:val="0034487F"/>
    <w:rsid w:val="0034582C"/>
    <w:rsid w:val="00345916"/>
    <w:rsid w:val="00345CAC"/>
    <w:rsid w:val="0034789E"/>
    <w:rsid w:val="003501DA"/>
    <w:rsid w:val="003503E2"/>
    <w:rsid w:val="00351DC1"/>
    <w:rsid w:val="003534EE"/>
    <w:rsid w:val="00353813"/>
    <w:rsid w:val="00356753"/>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254"/>
    <w:rsid w:val="003818B3"/>
    <w:rsid w:val="0038356A"/>
    <w:rsid w:val="0038382F"/>
    <w:rsid w:val="0038443F"/>
    <w:rsid w:val="00385427"/>
    <w:rsid w:val="00387542"/>
    <w:rsid w:val="00387C6B"/>
    <w:rsid w:val="00390FC0"/>
    <w:rsid w:val="003911B2"/>
    <w:rsid w:val="00391AFE"/>
    <w:rsid w:val="00392705"/>
    <w:rsid w:val="00393A79"/>
    <w:rsid w:val="0039419C"/>
    <w:rsid w:val="00394556"/>
    <w:rsid w:val="00395987"/>
    <w:rsid w:val="00396375"/>
    <w:rsid w:val="00396801"/>
    <w:rsid w:val="00396E82"/>
    <w:rsid w:val="003A07FF"/>
    <w:rsid w:val="003A146E"/>
    <w:rsid w:val="003A26CD"/>
    <w:rsid w:val="003A37F7"/>
    <w:rsid w:val="003A3D95"/>
    <w:rsid w:val="003A42D5"/>
    <w:rsid w:val="003A54E9"/>
    <w:rsid w:val="003A5E7C"/>
    <w:rsid w:val="003A78C7"/>
    <w:rsid w:val="003A7E9A"/>
    <w:rsid w:val="003B049B"/>
    <w:rsid w:val="003B15FE"/>
    <w:rsid w:val="003B188E"/>
    <w:rsid w:val="003B1C41"/>
    <w:rsid w:val="003B21C3"/>
    <w:rsid w:val="003B46AD"/>
    <w:rsid w:val="003B5BB8"/>
    <w:rsid w:val="003B5C96"/>
    <w:rsid w:val="003B65FB"/>
    <w:rsid w:val="003B6A26"/>
    <w:rsid w:val="003B713D"/>
    <w:rsid w:val="003C218D"/>
    <w:rsid w:val="003C2955"/>
    <w:rsid w:val="003C2977"/>
    <w:rsid w:val="003C3D89"/>
    <w:rsid w:val="003C3EE2"/>
    <w:rsid w:val="003C4224"/>
    <w:rsid w:val="003C426D"/>
    <w:rsid w:val="003C4877"/>
    <w:rsid w:val="003C4B42"/>
    <w:rsid w:val="003C4E91"/>
    <w:rsid w:val="003C6D76"/>
    <w:rsid w:val="003C72F6"/>
    <w:rsid w:val="003D073C"/>
    <w:rsid w:val="003D0791"/>
    <w:rsid w:val="003D0D67"/>
    <w:rsid w:val="003D1028"/>
    <w:rsid w:val="003D1130"/>
    <w:rsid w:val="003D301C"/>
    <w:rsid w:val="003D37D4"/>
    <w:rsid w:val="003D47A7"/>
    <w:rsid w:val="003D549E"/>
    <w:rsid w:val="003D56B5"/>
    <w:rsid w:val="003D5DCC"/>
    <w:rsid w:val="003D6365"/>
    <w:rsid w:val="003D6B84"/>
    <w:rsid w:val="003E1A49"/>
    <w:rsid w:val="003E2D01"/>
    <w:rsid w:val="003E2F1B"/>
    <w:rsid w:val="003E330E"/>
    <w:rsid w:val="003E3476"/>
    <w:rsid w:val="003E3AE3"/>
    <w:rsid w:val="003E4DC5"/>
    <w:rsid w:val="003E5733"/>
    <w:rsid w:val="003E5E27"/>
    <w:rsid w:val="003E6FD2"/>
    <w:rsid w:val="003E788F"/>
    <w:rsid w:val="003E7A97"/>
    <w:rsid w:val="003E7D3A"/>
    <w:rsid w:val="003F0950"/>
    <w:rsid w:val="003F09C9"/>
    <w:rsid w:val="003F0D75"/>
    <w:rsid w:val="003F4C37"/>
    <w:rsid w:val="003F67AE"/>
    <w:rsid w:val="003F6BBB"/>
    <w:rsid w:val="003F719F"/>
    <w:rsid w:val="0040033D"/>
    <w:rsid w:val="004007E1"/>
    <w:rsid w:val="00400B1F"/>
    <w:rsid w:val="00402A40"/>
    <w:rsid w:val="004032D2"/>
    <w:rsid w:val="00403C4F"/>
    <w:rsid w:val="004058B4"/>
    <w:rsid w:val="00405C45"/>
    <w:rsid w:val="004062EF"/>
    <w:rsid w:val="004062F0"/>
    <w:rsid w:val="00406CB5"/>
    <w:rsid w:val="00410B8F"/>
    <w:rsid w:val="00412057"/>
    <w:rsid w:val="004126C1"/>
    <w:rsid w:val="00413BA5"/>
    <w:rsid w:val="00413FA6"/>
    <w:rsid w:val="00414FD0"/>
    <w:rsid w:val="004171B2"/>
    <w:rsid w:val="00417E93"/>
    <w:rsid w:val="00422A2A"/>
    <w:rsid w:val="00424BB4"/>
    <w:rsid w:val="004258CD"/>
    <w:rsid w:val="004261D2"/>
    <w:rsid w:val="00427237"/>
    <w:rsid w:val="004303D1"/>
    <w:rsid w:val="00433C0A"/>
    <w:rsid w:val="0043459D"/>
    <w:rsid w:val="004349FA"/>
    <w:rsid w:val="004406BD"/>
    <w:rsid w:val="00441F46"/>
    <w:rsid w:val="004420EC"/>
    <w:rsid w:val="00442FBE"/>
    <w:rsid w:val="004433B1"/>
    <w:rsid w:val="00443571"/>
    <w:rsid w:val="004444E3"/>
    <w:rsid w:val="004447FD"/>
    <w:rsid w:val="00445032"/>
    <w:rsid w:val="004450CB"/>
    <w:rsid w:val="00446967"/>
    <w:rsid w:val="00446AB6"/>
    <w:rsid w:val="00450CC9"/>
    <w:rsid w:val="00450EEE"/>
    <w:rsid w:val="004512B2"/>
    <w:rsid w:val="004528EE"/>
    <w:rsid w:val="00453360"/>
    <w:rsid w:val="00456409"/>
    <w:rsid w:val="004569C6"/>
    <w:rsid w:val="00456ADC"/>
    <w:rsid w:val="00457565"/>
    <w:rsid w:val="0045768F"/>
    <w:rsid w:val="00457769"/>
    <w:rsid w:val="004627AE"/>
    <w:rsid w:val="0046298E"/>
    <w:rsid w:val="004647BB"/>
    <w:rsid w:val="0046482B"/>
    <w:rsid w:val="004648E0"/>
    <w:rsid w:val="00464997"/>
    <w:rsid w:val="00470D99"/>
    <w:rsid w:val="00472043"/>
    <w:rsid w:val="00472F56"/>
    <w:rsid w:val="0047335E"/>
    <w:rsid w:val="00473CA1"/>
    <w:rsid w:val="00474DD4"/>
    <w:rsid w:val="0047572C"/>
    <w:rsid w:val="00475C10"/>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5E92"/>
    <w:rsid w:val="004A655D"/>
    <w:rsid w:val="004A74D5"/>
    <w:rsid w:val="004B01B1"/>
    <w:rsid w:val="004B0507"/>
    <w:rsid w:val="004B08D1"/>
    <w:rsid w:val="004B10E6"/>
    <w:rsid w:val="004B198F"/>
    <w:rsid w:val="004B1A20"/>
    <w:rsid w:val="004B46D0"/>
    <w:rsid w:val="004B57B0"/>
    <w:rsid w:val="004B60CE"/>
    <w:rsid w:val="004B61C9"/>
    <w:rsid w:val="004C0B26"/>
    <w:rsid w:val="004C12FE"/>
    <w:rsid w:val="004C1D57"/>
    <w:rsid w:val="004C292B"/>
    <w:rsid w:val="004C2F7C"/>
    <w:rsid w:val="004C34F8"/>
    <w:rsid w:val="004C375F"/>
    <w:rsid w:val="004C482F"/>
    <w:rsid w:val="004C49C9"/>
    <w:rsid w:val="004C627F"/>
    <w:rsid w:val="004C76C1"/>
    <w:rsid w:val="004C7DDE"/>
    <w:rsid w:val="004D0D1A"/>
    <w:rsid w:val="004D169F"/>
    <w:rsid w:val="004D1859"/>
    <w:rsid w:val="004D18CF"/>
    <w:rsid w:val="004D30CE"/>
    <w:rsid w:val="004D4071"/>
    <w:rsid w:val="004D421A"/>
    <w:rsid w:val="004D4D0C"/>
    <w:rsid w:val="004D6144"/>
    <w:rsid w:val="004D678F"/>
    <w:rsid w:val="004E1264"/>
    <w:rsid w:val="004E2CBC"/>
    <w:rsid w:val="004E3DD4"/>
    <w:rsid w:val="004E5C1A"/>
    <w:rsid w:val="004E5E3F"/>
    <w:rsid w:val="004E6C8C"/>
    <w:rsid w:val="004E6CC7"/>
    <w:rsid w:val="004E776F"/>
    <w:rsid w:val="004F111D"/>
    <w:rsid w:val="004F1843"/>
    <w:rsid w:val="004F1EEC"/>
    <w:rsid w:val="004F24C8"/>
    <w:rsid w:val="004F30D6"/>
    <w:rsid w:val="004F34A5"/>
    <w:rsid w:val="004F3C9A"/>
    <w:rsid w:val="004F40D6"/>
    <w:rsid w:val="004F6925"/>
    <w:rsid w:val="00503AE1"/>
    <w:rsid w:val="00503CA6"/>
    <w:rsid w:val="00503FAE"/>
    <w:rsid w:val="00504DC1"/>
    <w:rsid w:val="00505332"/>
    <w:rsid w:val="00505483"/>
    <w:rsid w:val="00505A57"/>
    <w:rsid w:val="00505D37"/>
    <w:rsid w:val="005104E8"/>
    <w:rsid w:val="005107DB"/>
    <w:rsid w:val="00510DB0"/>
    <w:rsid w:val="00511917"/>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9FB"/>
    <w:rsid w:val="005261AF"/>
    <w:rsid w:val="005266BD"/>
    <w:rsid w:val="0052772D"/>
    <w:rsid w:val="00530442"/>
    <w:rsid w:val="00534AF0"/>
    <w:rsid w:val="00535060"/>
    <w:rsid w:val="00535738"/>
    <w:rsid w:val="00537A66"/>
    <w:rsid w:val="00540712"/>
    <w:rsid w:val="005409EB"/>
    <w:rsid w:val="00540F30"/>
    <w:rsid w:val="00541DD2"/>
    <w:rsid w:val="00543A63"/>
    <w:rsid w:val="00543AB5"/>
    <w:rsid w:val="00544428"/>
    <w:rsid w:val="005457CF"/>
    <w:rsid w:val="00545976"/>
    <w:rsid w:val="0054660F"/>
    <w:rsid w:val="00547628"/>
    <w:rsid w:val="00547BA4"/>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4993"/>
    <w:rsid w:val="00565379"/>
    <w:rsid w:val="005674C3"/>
    <w:rsid w:val="00567883"/>
    <w:rsid w:val="00567990"/>
    <w:rsid w:val="00567C4C"/>
    <w:rsid w:val="005703AD"/>
    <w:rsid w:val="0057160F"/>
    <w:rsid w:val="00571C49"/>
    <w:rsid w:val="005728C8"/>
    <w:rsid w:val="005733AD"/>
    <w:rsid w:val="0057381A"/>
    <w:rsid w:val="00573ABD"/>
    <w:rsid w:val="00574B91"/>
    <w:rsid w:val="00574E5C"/>
    <w:rsid w:val="005750F7"/>
    <w:rsid w:val="0057512C"/>
    <w:rsid w:val="005755F1"/>
    <w:rsid w:val="00575AC8"/>
    <w:rsid w:val="00576319"/>
    <w:rsid w:val="0057648C"/>
    <w:rsid w:val="00576AF3"/>
    <w:rsid w:val="005817E6"/>
    <w:rsid w:val="00581FF0"/>
    <w:rsid w:val="005824C5"/>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1CC"/>
    <w:rsid w:val="005A330E"/>
    <w:rsid w:val="005A5554"/>
    <w:rsid w:val="005A5651"/>
    <w:rsid w:val="005A6943"/>
    <w:rsid w:val="005A6AFE"/>
    <w:rsid w:val="005A7BF3"/>
    <w:rsid w:val="005A7DE0"/>
    <w:rsid w:val="005B0AEF"/>
    <w:rsid w:val="005B3219"/>
    <w:rsid w:val="005B37D9"/>
    <w:rsid w:val="005B39F7"/>
    <w:rsid w:val="005B445B"/>
    <w:rsid w:val="005B474E"/>
    <w:rsid w:val="005B4821"/>
    <w:rsid w:val="005B489A"/>
    <w:rsid w:val="005B63A6"/>
    <w:rsid w:val="005B64D1"/>
    <w:rsid w:val="005B6A88"/>
    <w:rsid w:val="005B6E05"/>
    <w:rsid w:val="005B6E8A"/>
    <w:rsid w:val="005B7F42"/>
    <w:rsid w:val="005C1D45"/>
    <w:rsid w:val="005C3C9B"/>
    <w:rsid w:val="005C42AB"/>
    <w:rsid w:val="005C45C0"/>
    <w:rsid w:val="005C51AC"/>
    <w:rsid w:val="005C5335"/>
    <w:rsid w:val="005C5D7B"/>
    <w:rsid w:val="005C5E29"/>
    <w:rsid w:val="005C6474"/>
    <w:rsid w:val="005C6A68"/>
    <w:rsid w:val="005C6A9C"/>
    <w:rsid w:val="005D0762"/>
    <w:rsid w:val="005D08AD"/>
    <w:rsid w:val="005D0AE3"/>
    <w:rsid w:val="005D1103"/>
    <w:rsid w:val="005D276D"/>
    <w:rsid w:val="005D57CB"/>
    <w:rsid w:val="005D5912"/>
    <w:rsid w:val="005D794C"/>
    <w:rsid w:val="005D7A9F"/>
    <w:rsid w:val="005D7AA2"/>
    <w:rsid w:val="005E2154"/>
    <w:rsid w:val="005E2C4B"/>
    <w:rsid w:val="005E2FC7"/>
    <w:rsid w:val="005E37B9"/>
    <w:rsid w:val="005E427F"/>
    <w:rsid w:val="005E4574"/>
    <w:rsid w:val="005E4BBE"/>
    <w:rsid w:val="005E4C97"/>
    <w:rsid w:val="005E5014"/>
    <w:rsid w:val="005E684F"/>
    <w:rsid w:val="005E76CF"/>
    <w:rsid w:val="005E77BA"/>
    <w:rsid w:val="005F0112"/>
    <w:rsid w:val="005F03E3"/>
    <w:rsid w:val="005F0829"/>
    <w:rsid w:val="005F0CE0"/>
    <w:rsid w:val="005F32BE"/>
    <w:rsid w:val="005F34FB"/>
    <w:rsid w:val="005F39A0"/>
    <w:rsid w:val="005F6B68"/>
    <w:rsid w:val="005F6F2E"/>
    <w:rsid w:val="005F7D85"/>
    <w:rsid w:val="00601A1F"/>
    <w:rsid w:val="00602655"/>
    <w:rsid w:val="00603B68"/>
    <w:rsid w:val="00605297"/>
    <w:rsid w:val="00605790"/>
    <w:rsid w:val="00605CB9"/>
    <w:rsid w:val="006065BF"/>
    <w:rsid w:val="00606DFF"/>
    <w:rsid w:val="00607C00"/>
    <w:rsid w:val="00610430"/>
    <w:rsid w:val="00610F90"/>
    <w:rsid w:val="00611858"/>
    <w:rsid w:val="006121E6"/>
    <w:rsid w:val="00613E7B"/>
    <w:rsid w:val="00614EB1"/>
    <w:rsid w:val="00614F67"/>
    <w:rsid w:val="00615277"/>
    <w:rsid w:val="00615519"/>
    <w:rsid w:val="00615CED"/>
    <w:rsid w:val="00615CFC"/>
    <w:rsid w:val="00617A92"/>
    <w:rsid w:val="00620CEE"/>
    <w:rsid w:val="0062153C"/>
    <w:rsid w:val="00621ED6"/>
    <w:rsid w:val="00622558"/>
    <w:rsid w:val="00622D5F"/>
    <w:rsid w:val="00622EAE"/>
    <w:rsid w:val="0062334E"/>
    <w:rsid w:val="00623598"/>
    <w:rsid w:val="00623A4F"/>
    <w:rsid w:val="00624D17"/>
    <w:rsid w:val="00624E35"/>
    <w:rsid w:val="00624F56"/>
    <w:rsid w:val="00626594"/>
    <w:rsid w:val="00630442"/>
    <w:rsid w:val="0063048C"/>
    <w:rsid w:val="00630FCD"/>
    <w:rsid w:val="006319C2"/>
    <w:rsid w:val="00631FF6"/>
    <w:rsid w:val="006326AB"/>
    <w:rsid w:val="0063292C"/>
    <w:rsid w:val="0063312C"/>
    <w:rsid w:val="00633DBC"/>
    <w:rsid w:val="00634CA3"/>
    <w:rsid w:val="00634DCD"/>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E20"/>
    <w:rsid w:val="00644F8E"/>
    <w:rsid w:val="00646203"/>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99C"/>
    <w:rsid w:val="00664C9F"/>
    <w:rsid w:val="00666548"/>
    <w:rsid w:val="00666A71"/>
    <w:rsid w:val="00667537"/>
    <w:rsid w:val="00670865"/>
    <w:rsid w:val="00671AED"/>
    <w:rsid w:val="00672058"/>
    <w:rsid w:val="006725B5"/>
    <w:rsid w:val="00672C1D"/>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0E59"/>
    <w:rsid w:val="00691077"/>
    <w:rsid w:val="00691982"/>
    <w:rsid w:val="00691BB0"/>
    <w:rsid w:val="00692777"/>
    <w:rsid w:val="00692BE0"/>
    <w:rsid w:val="00692C2D"/>
    <w:rsid w:val="00692C98"/>
    <w:rsid w:val="0069324E"/>
    <w:rsid w:val="0069356F"/>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0FC6"/>
    <w:rsid w:val="006B1F20"/>
    <w:rsid w:val="006B398A"/>
    <w:rsid w:val="006B3E04"/>
    <w:rsid w:val="006B4024"/>
    <w:rsid w:val="006B47D7"/>
    <w:rsid w:val="006B499D"/>
    <w:rsid w:val="006B5041"/>
    <w:rsid w:val="006B643D"/>
    <w:rsid w:val="006B79A4"/>
    <w:rsid w:val="006C0796"/>
    <w:rsid w:val="006C1254"/>
    <w:rsid w:val="006C2DC5"/>
    <w:rsid w:val="006C480B"/>
    <w:rsid w:val="006C570B"/>
    <w:rsid w:val="006C572E"/>
    <w:rsid w:val="006C5997"/>
    <w:rsid w:val="006C5CD2"/>
    <w:rsid w:val="006C7ABF"/>
    <w:rsid w:val="006D0466"/>
    <w:rsid w:val="006D0636"/>
    <w:rsid w:val="006D06DC"/>
    <w:rsid w:val="006D6E46"/>
    <w:rsid w:val="006D7FA8"/>
    <w:rsid w:val="006E3D0E"/>
    <w:rsid w:val="006E4601"/>
    <w:rsid w:val="006E5B86"/>
    <w:rsid w:val="006E63FF"/>
    <w:rsid w:val="006E652D"/>
    <w:rsid w:val="006E6FB9"/>
    <w:rsid w:val="006E7572"/>
    <w:rsid w:val="006F1065"/>
    <w:rsid w:val="006F2F22"/>
    <w:rsid w:val="006F434A"/>
    <w:rsid w:val="006F7974"/>
    <w:rsid w:val="0070094B"/>
    <w:rsid w:val="00700A60"/>
    <w:rsid w:val="007037A9"/>
    <w:rsid w:val="00705027"/>
    <w:rsid w:val="00710494"/>
    <w:rsid w:val="007117BD"/>
    <w:rsid w:val="00711DC9"/>
    <w:rsid w:val="00715129"/>
    <w:rsid w:val="007154BA"/>
    <w:rsid w:val="007154CE"/>
    <w:rsid w:val="00715B25"/>
    <w:rsid w:val="00716020"/>
    <w:rsid w:val="007205B1"/>
    <w:rsid w:val="00720860"/>
    <w:rsid w:val="00721087"/>
    <w:rsid w:val="00721530"/>
    <w:rsid w:val="00723422"/>
    <w:rsid w:val="007260FE"/>
    <w:rsid w:val="00726DD6"/>
    <w:rsid w:val="0073076E"/>
    <w:rsid w:val="007311F2"/>
    <w:rsid w:val="00733416"/>
    <w:rsid w:val="0073377E"/>
    <w:rsid w:val="00733E05"/>
    <w:rsid w:val="00735C8A"/>
    <w:rsid w:val="00735FE2"/>
    <w:rsid w:val="007362E3"/>
    <w:rsid w:val="0073719A"/>
    <w:rsid w:val="00737C62"/>
    <w:rsid w:val="00737C91"/>
    <w:rsid w:val="00740705"/>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57EDB"/>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59AD"/>
    <w:rsid w:val="00776A33"/>
    <w:rsid w:val="00776B83"/>
    <w:rsid w:val="00776F15"/>
    <w:rsid w:val="007779ED"/>
    <w:rsid w:val="00780B1A"/>
    <w:rsid w:val="007810D3"/>
    <w:rsid w:val="0078264A"/>
    <w:rsid w:val="007828FF"/>
    <w:rsid w:val="00783D11"/>
    <w:rsid w:val="00785E46"/>
    <w:rsid w:val="0078640A"/>
    <w:rsid w:val="00787917"/>
    <w:rsid w:val="00790AE2"/>
    <w:rsid w:val="00790AE5"/>
    <w:rsid w:val="00791489"/>
    <w:rsid w:val="007915BE"/>
    <w:rsid w:val="00791683"/>
    <w:rsid w:val="00792F0C"/>
    <w:rsid w:val="00795460"/>
    <w:rsid w:val="00796CF7"/>
    <w:rsid w:val="007A0313"/>
    <w:rsid w:val="007A0A83"/>
    <w:rsid w:val="007A4BB3"/>
    <w:rsid w:val="007A5F76"/>
    <w:rsid w:val="007A6307"/>
    <w:rsid w:val="007A6822"/>
    <w:rsid w:val="007A724D"/>
    <w:rsid w:val="007A749D"/>
    <w:rsid w:val="007A7B37"/>
    <w:rsid w:val="007B024C"/>
    <w:rsid w:val="007B1C4C"/>
    <w:rsid w:val="007B2800"/>
    <w:rsid w:val="007B38F7"/>
    <w:rsid w:val="007B40D4"/>
    <w:rsid w:val="007B4511"/>
    <w:rsid w:val="007B5360"/>
    <w:rsid w:val="007B5C86"/>
    <w:rsid w:val="007B6071"/>
    <w:rsid w:val="007B6540"/>
    <w:rsid w:val="007B69A2"/>
    <w:rsid w:val="007B7C07"/>
    <w:rsid w:val="007C09C4"/>
    <w:rsid w:val="007C25E9"/>
    <w:rsid w:val="007C2F78"/>
    <w:rsid w:val="007C34C5"/>
    <w:rsid w:val="007C4079"/>
    <w:rsid w:val="007C4827"/>
    <w:rsid w:val="007C4A20"/>
    <w:rsid w:val="007D0B7F"/>
    <w:rsid w:val="007D0FAC"/>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424C"/>
    <w:rsid w:val="007E529D"/>
    <w:rsid w:val="007E7997"/>
    <w:rsid w:val="007E7B47"/>
    <w:rsid w:val="007F04EF"/>
    <w:rsid w:val="007F342F"/>
    <w:rsid w:val="007F38D1"/>
    <w:rsid w:val="007F56BB"/>
    <w:rsid w:val="007F63CE"/>
    <w:rsid w:val="007F6EA4"/>
    <w:rsid w:val="008002A5"/>
    <w:rsid w:val="0080050E"/>
    <w:rsid w:val="00801329"/>
    <w:rsid w:val="00801424"/>
    <w:rsid w:val="00801895"/>
    <w:rsid w:val="00801AA4"/>
    <w:rsid w:val="00801B7E"/>
    <w:rsid w:val="008021B9"/>
    <w:rsid w:val="008024D1"/>
    <w:rsid w:val="00806E68"/>
    <w:rsid w:val="00807FC3"/>
    <w:rsid w:val="00810034"/>
    <w:rsid w:val="008114CF"/>
    <w:rsid w:val="008117CC"/>
    <w:rsid w:val="00811AB3"/>
    <w:rsid w:val="0081421D"/>
    <w:rsid w:val="00814ADB"/>
    <w:rsid w:val="00815C5D"/>
    <w:rsid w:val="0081618F"/>
    <w:rsid w:val="008167B3"/>
    <w:rsid w:val="008174D1"/>
    <w:rsid w:val="008178B2"/>
    <w:rsid w:val="00817F5C"/>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3FB"/>
    <w:rsid w:val="00831EAF"/>
    <w:rsid w:val="00832288"/>
    <w:rsid w:val="008326D6"/>
    <w:rsid w:val="008337EA"/>
    <w:rsid w:val="00833839"/>
    <w:rsid w:val="00833B4A"/>
    <w:rsid w:val="00833D15"/>
    <w:rsid w:val="008344C4"/>
    <w:rsid w:val="008348DA"/>
    <w:rsid w:val="00835621"/>
    <w:rsid w:val="008362AE"/>
    <w:rsid w:val="008362C7"/>
    <w:rsid w:val="00837719"/>
    <w:rsid w:val="00840419"/>
    <w:rsid w:val="00840A24"/>
    <w:rsid w:val="00840F1B"/>
    <w:rsid w:val="0084117A"/>
    <w:rsid w:val="00841387"/>
    <w:rsid w:val="00842827"/>
    <w:rsid w:val="00842965"/>
    <w:rsid w:val="00844300"/>
    <w:rsid w:val="008458BD"/>
    <w:rsid w:val="00846956"/>
    <w:rsid w:val="00846CF1"/>
    <w:rsid w:val="00847622"/>
    <w:rsid w:val="008505B8"/>
    <w:rsid w:val="00850A3E"/>
    <w:rsid w:val="00851005"/>
    <w:rsid w:val="00851ADD"/>
    <w:rsid w:val="00853064"/>
    <w:rsid w:val="00855CA6"/>
    <w:rsid w:val="0085612B"/>
    <w:rsid w:val="00856A0E"/>
    <w:rsid w:val="00860323"/>
    <w:rsid w:val="00860F4F"/>
    <w:rsid w:val="008610B9"/>
    <w:rsid w:val="00862656"/>
    <w:rsid w:val="00863013"/>
    <w:rsid w:val="00863F67"/>
    <w:rsid w:val="0086483A"/>
    <w:rsid w:val="00867D7E"/>
    <w:rsid w:val="0087049C"/>
    <w:rsid w:val="00870A6F"/>
    <w:rsid w:val="00870AAD"/>
    <w:rsid w:val="00870EDE"/>
    <w:rsid w:val="00871DA0"/>
    <w:rsid w:val="00872030"/>
    <w:rsid w:val="00873973"/>
    <w:rsid w:val="00875C28"/>
    <w:rsid w:val="00875E75"/>
    <w:rsid w:val="0087658F"/>
    <w:rsid w:val="0087762E"/>
    <w:rsid w:val="00877823"/>
    <w:rsid w:val="008803F5"/>
    <w:rsid w:val="00880B85"/>
    <w:rsid w:val="008812BF"/>
    <w:rsid w:val="00881341"/>
    <w:rsid w:val="00882931"/>
    <w:rsid w:val="008840D2"/>
    <w:rsid w:val="00884939"/>
    <w:rsid w:val="008853E0"/>
    <w:rsid w:val="00885BE2"/>
    <w:rsid w:val="00885C87"/>
    <w:rsid w:val="008863C8"/>
    <w:rsid w:val="00886D40"/>
    <w:rsid w:val="008879CF"/>
    <w:rsid w:val="00887A0E"/>
    <w:rsid w:val="008907F3"/>
    <w:rsid w:val="008920C2"/>
    <w:rsid w:val="00892BA4"/>
    <w:rsid w:val="00895702"/>
    <w:rsid w:val="00897566"/>
    <w:rsid w:val="0089757B"/>
    <w:rsid w:val="008A1594"/>
    <w:rsid w:val="008A1757"/>
    <w:rsid w:val="008A1C93"/>
    <w:rsid w:val="008A1CE6"/>
    <w:rsid w:val="008A1F25"/>
    <w:rsid w:val="008A3102"/>
    <w:rsid w:val="008A3D66"/>
    <w:rsid w:val="008A47FB"/>
    <w:rsid w:val="008A5234"/>
    <w:rsid w:val="008A5397"/>
    <w:rsid w:val="008A56B6"/>
    <w:rsid w:val="008A6861"/>
    <w:rsid w:val="008A7522"/>
    <w:rsid w:val="008A7B55"/>
    <w:rsid w:val="008B0578"/>
    <w:rsid w:val="008B170D"/>
    <w:rsid w:val="008B4941"/>
    <w:rsid w:val="008B4984"/>
    <w:rsid w:val="008B4D51"/>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27E"/>
    <w:rsid w:val="008D311C"/>
    <w:rsid w:val="008D31D2"/>
    <w:rsid w:val="008D34CC"/>
    <w:rsid w:val="008D3CC5"/>
    <w:rsid w:val="008D564A"/>
    <w:rsid w:val="008D5779"/>
    <w:rsid w:val="008D5E47"/>
    <w:rsid w:val="008D7D8C"/>
    <w:rsid w:val="008E004E"/>
    <w:rsid w:val="008E04FB"/>
    <w:rsid w:val="008E0D0A"/>
    <w:rsid w:val="008E3E79"/>
    <w:rsid w:val="008E5282"/>
    <w:rsid w:val="008E5DEF"/>
    <w:rsid w:val="008E5E2C"/>
    <w:rsid w:val="008E78F1"/>
    <w:rsid w:val="008F03CE"/>
    <w:rsid w:val="008F075B"/>
    <w:rsid w:val="008F0B8C"/>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1361"/>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93"/>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1D55"/>
    <w:rsid w:val="0094204A"/>
    <w:rsid w:val="009443ED"/>
    <w:rsid w:val="00945DBF"/>
    <w:rsid w:val="00946042"/>
    <w:rsid w:val="00946AB3"/>
    <w:rsid w:val="00947074"/>
    <w:rsid w:val="0094752A"/>
    <w:rsid w:val="00947D01"/>
    <w:rsid w:val="009503EA"/>
    <w:rsid w:val="0095112D"/>
    <w:rsid w:val="00952124"/>
    <w:rsid w:val="0095214C"/>
    <w:rsid w:val="00953E26"/>
    <w:rsid w:val="00956244"/>
    <w:rsid w:val="00956A06"/>
    <w:rsid w:val="0095734B"/>
    <w:rsid w:val="00957435"/>
    <w:rsid w:val="009578D0"/>
    <w:rsid w:val="009600C6"/>
    <w:rsid w:val="00960D80"/>
    <w:rsid w:val="00961E52"/>
    <w:rsid w:val="009621CE"/>
    <w:rsid w:val="009622BF"/>
    <w:rsid w:val="009651B8"/>
    <w:rsid w:val="009653F3"/>
    <w:rsid w:val="0096587A"/>
    <w:rsid w:val="009666E7"/>
    <w:rsid w:val="009670C9"/>
    <w:rsid w:val="00967278"/>
    <w:rsid w:val="00971568"/>
    <w:rsid w:val="00971861"/>
    <w:rsid w:val="009728F2"/>
    <w:rsid w:val="00972BEF"/>
    <w:rsid w:val="00973BCF"/>
    <w:rsid w:val="009744BC"/>
    <w:rsid w:val="00974E60"/>
    <w:rsid w:val="00975896"/>
    <w:rsid w:val="00975DF1"/>
    <w:rsid w:val="00976794"/>
    <w:rsid w:val="00976AFE"/>
    <w:rsid w:val="00983CEA"/>
    <w:rsid w:val="00984198"/>
    <w:rsid w:val="00984E04"/>
    <w:rsid w:val="00986194"/>
    <w:rsid w:val="009861D2"/>
    <w:rsid w:val="00986E53"/>
    <w:rsid w:val="00987CE5"/>
    <w:rsid w:val="00990C11"/>
    <w:rsid w:val="00993CF0"/>
    <w:rsid w:val="0099428D"/>
    <w:rsid w:val="009949A7"/>
    <w:rsid w:val="00995CDC"/>
    <w:rsid w:val="009975CA"/>
    <w:rsid w:val="009A0C15"/>
    <w:rsid w:val="009A1088"/>
    <w:rsid w:val="009A14CB"/>
    <w:rsid w:val="009A22AA"/>
    <w:rsid w:val="009A27C7"/>
    <w:rsid w:val="009A2961"/>
    <w:rsid w:val="009A344A"/>
    <w:rsid w:val="009A41C7"/>
    <w:rsid w:val="009A4B2E"/>
    <w:rsid w:val="009A4F5A"/>
    <w:rsid w:val="009A5C82"/>
    <w:rsid w:val="009B010D"/>
    <w:rsid w:val="009B0AAB"/>
    <w:rsid w:val="009B0D3E"/>
    <w:rsid w:val="009B2AD1"/>
    <w:rsid w:val="009B3224"/>
    <w:rsid w:val="009B3A61"/>
    <w:rsid w:val="009B528E"/>
    <w:rsid w:val="009B54FE"/>
    <w:rsid w:val="009B77DD"/>
    <w:rsid w:val="009C0CED"/>
    <w:rsid w:val="009C13BF"/>
    <w:rsid w:val="009C199D"/>
    <w:rsid w:val="009C2943"/>
    <w:rsid w:val="009C4B2C"/>
    <w:rsid w:val="009C4CB3"/>
    <w:rsid w:val="009C4F15"/>
    <w:rsid w:val="009C511C"/>
    <w:rsid w:val="009C5416"/>
    <w:rsid w:val="009C587B"/>
    <w:rsid w:val="009C64C5"/>
    <w:rsid w:val="009C6F87"/>
    <w:rsid w:val="009C7166"/>
    <w:rsid w:val="009C742C"/>
    <w:rsid w:val="009D18F1"/>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AC2"/>
    <w:rsid w:val="009E4FFB"/>
    <w:rsid w:val="009F045D"/>
    <w:rsid w:val="009F1033"/>
    <w:rsid w:val="009F1098"/>
    <w:rsid w:val="009F1458"/>
    <w:rsid w:val="009F1D3A"/>
    <w:rsid w:val="009F22DA"/>
    <w:rsid w:val="009F2C2E"/>
    <w:rsid w:val="009F4190"/>
    <w:rsid w:val="009F4911"/>
    <w:rsid w:val="009F513E"/>
    <w:rsid w:val="009F5241"/>
    <w:rsid w:val="009F5CD2"/>
    <w:rsid w:val="009F6807"/>
    <w:rsid w:val="009F68DF"/>
    <w:rsid w:val="009F6A24"/>
    <w:rsid w:val="00A0042C"/>
    <w:rsid w:val="00A00495"/>
    <w:rsid w:val="00A01925"/>
    <w:rsid w:val="00A01DEB"/>
    <w:rsid w:val="00A06D32"/>
    <w:rsid w:val="00A07545"/>
    <w:rsid w:val="00A102C0"/>
    <w:rsid w:val="00A11FB3"/>
    <w:rsid w:val="00A13947"/>
    <w:rsid w:val="00A13E2B"/>
    <w:rsid w:val="00A1562A"/>
    <w:rsid w:val="00A15901"/>
    <w:rsid w:val="00A1618E"/>
    <w:rsid w:val="00A161A1"/>
    <w:rsid w:val="00A20562"/>
    <w:rsid w:val="00A20F75"/>
    <w:rsid w:val="00A212B1"/>
    <w:rsid w:val="00A22991"/>
    <w:rsid w:val="00A23419"/>
    <w:rsid w:val="00A24428"/>
    <w:rsid w:val="00A254F3"/>
    <w:rsid w:val="00A26FFF"/>
    <w:rsid w:val="00A316EC"/>
    <w:rsid w:val="00A31804"/>
    <w:rsid w:val="00A318AE"/>
    <w:rsid w:val="00A318C5"/>
    <w:rsid w:val="00A320BA"/>
    <w:rsid w:val="00A32283"/>
    <w:rsid w:val="00A32342"/>
    <w:rsid w:val="00A325EC"/>
    <w:rsid w:val="00A32B81"/>
    <w:rsid w:val="00A337E5"/>
    <w:rsid w:val="00A3658D"/>
    <w:rsid w:val="00A36E51"/>
    <w:rsid w:val="00A3718F"/>
    <w:rsid w:val="00A377C5"/>
    <w:rsid w:val="00A37B2E"/>
    <w:rsid w:val="00A37D45"/>
    <w:rsid w:val="00A401FD"/>
    <w:rsid w:val="00A40558"/>
    <w:rsid w:val="00A40AF2"/>
    <w:rsid w:val="00A411DC"/>
    <w:rsid w:val="00A41EC2"/>
    <w:rsid w:val="00A43904"/>
    <w:rsid w:val="00A44FD9"/>
    <w:rsid w:val="00A4582E"/>
    <w:rsid w:val="00A45BD2"/>
    <w:rsid w:val="00A45DFA"/>
    <w:rsid w:val="00A46A1E"/>
    <w:rsid w:val="00A46F01"/>
    <w:rsid w:val="00A50595"/>
    <w:rsid w:val="00A50A39"/>
    <w:rsid w:val="00A51BAA"/>
    <w:rsid w:val="00A51DF1"/>
    <w:rsid w:val="00A52AFB"/>
    <w:rsid w:val="00A53967"/>
    <w:rsid w:val="00A5455C"/>
    <w:rsid w:val="00A545EC"/>
    <w:rsid w:val="00A54C5F"/>
    <w:rsid w:val="00A54D3B"/>
    <w:rsid w:val="00A5578A"/>
    <w:rsid w:val="00A61365"/>
    <w:rsid w:val="00A61759"/>
    <w:rsid w:val="00A61B88"/>
    <w:rsid w:val="00A62C70"/>
    <w:rsid w:val="00A63982"/>
    <w:rsid w:val="00A6555D"/>
    <w:rsid w:val="00A65845"/>
    <w:rsid w:val="00A65A41"/>
    <w:rsid w:val="00A666AA"/>
    <w:rsid w:val="00A671FC"/>
    <w:rsid w:val="00A71670"/>
    <w:rsid w:val="00A72874"/>
    <w:rsid w:val="00A72E48"/>
    <w:rsid w:val="00A7359C"/>
    <w:rsid w:val="00A73616"/>
    <w:rsid w:val="00A7456D"/>
    <w:rsid w:val="00A76648"/>
    <w:rsid w:val="00A76D36"/>
    <w:rsid w:val="00A76DF7"/>
    <w:rsid w:val="00A77523"/>
    <w:rsid w:val="00A81775"/>
    <w:rsid w:val="00A83454"/>
    <w:rsid w:val="00A843FC"/>
    <w:rsid w:val="00A84DA5"/>
    <w:rsid w:val="00A85302"/>
    <w:rsid w:val="00A86119"/>
    <w:rsid w:val="00A8649F"/>
    <w:rsid w:val="00A86D25"/>
    <w:rsid w:val="00A877BD"/>
    <w:rsid w:val="00A8786B"/>
    <w:rsid w:val="00A903F1"/>
    <w:rsid w:val="00A905CC"/>
    <w:rsid w:val="00A90974"/>
    <w:rsid w:val="00A9197E"/>
    <w:rsid w:val="00A91F62"/>
    <w:rsid w:val="00A92065"/>
    <w:rsid w:val="00A92184"/>
    <w:rsid w:val="00A92221"/>
    <w:rsid w:val="00A9334F"/>
    <w:rsid w:val="00A93D6F"/>
    <w:rsid w:val="00A95EF7"/>
    <w:rsid w:val="00A9614E"/>
    <w:rsid w:val="00A963B5"/>
    <w:rsid w:val="00A96FA8"/>
    <w:rsid w:val="00A97665"/>
    <w:rsid w:val="00A97B4A"/>
    <w:rsid w:val="00A97F90"/>
    <w:rsid w:val="00AA000C"/>
    <w:rsid w:val="00AA0504"/>
    <w:rsid w:val="00AA08E3"/>
    <w:rsid w:val="00AA0909"/>
    <w:rsid w:val="00AA0E00"/>
    <w:rsid w:val="00AA1C72"/>
    <w:rsid w:val="00AA1E8D"/>
    <w:rsid w:val="00AA1FDE"/>
    <w:rsid w:val="00AA2521"/>
    <w:rsid w:val="00AA2810"/>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11D"/>
    <w:rsid w:val="00AB4D6D"/>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2FDB"/>
    <w:rsid w:val="00AE473C"/>
    <w:rsid w:val="00AE55E7"/>
    <w:rsid w:val="00AE6363"/>
    <w:rsid w:val="00AE6CD6"/>
    <w:rsid w:val="00AE7348"/>
    <w:rsid w:val="00AE7394"/>
    <w:rsid w:val="00AE7CD2"/>
    <w:rsid w:val="00AF0B77"/>
    <w:rsid w:val="00AF0FC4"/>
    <w:rsid w:val="00AF138B"/>
    <w:rsid w:val="00AF160F"/>
    <w:rsid w:val="00AF1919"/>
    <w:rsid w:val="00AF1B7B"/>
    <w:rsid w:val="00AF3291"/>
    <w:rsid w:val="00AF395E"/>
    <w:rsid w:val="00AF4D6A"/>
    <w:rsid w:val="00AF5217"/>
    <w:rsid w:val="00AF5D2C"/>
    <w:rsid w:val="00AF5D6E"/>
    <w:rsid w:val="00AF6318"/>
    <w:rsid w:val="00B0072E"/>
    <w:rsid w:val="00B011BE"/>
    <w:rsid w:val="00B03B63"/>
    <w:rsid w:val="00B0513A"/>
    <w:rsid w:val="00B0620B"/>
    <w:rsid w:val="00B072A3"/>
    <w:rsid w:val="00B078C6"/>
    <w:rsid w:val="00B07D07"/>
    <w:rsid w:val="00B07FCD"/>
    <w:rsid w:val="00B1149C"/>
    <w:rsid w:val="00B11F60"/>
    <w:rsid w:val="00B121EF"/>
    <w:rsid w:val="00B127AA"/>
    <w:rsid w:val="00B12DBE"/>
    <w:rsid w:val="00B130CB"/>
    <w:rsid w:val="00B14D9D"/>
    <w:rsid w:val="00B14EF5"/>
    <w:rsid w:val="00B16048"/>
    <w:rsid w:val="00B2028C"/>
    <w:rsid w:val="00B21771"/>
    <w:rsid w:val="00B2191C"/>
    <w:rsid w:val="00B21B30"/>
    <w:rsid w:val="00B2231E"/>
    <w:rsid w:val="00B22E76"/>
    <w:rsid w:val="00B23016"/>
    <w:rsid w:val="00B23771"/>
    <w:rsid w:val="00B23E44"/>
    <w:rsid w:val="00B24EA8"/>
    <w:rsid w:val="00B26625"/>
    <w:rsid w:val="00B26A5A"/>
    <w:rsid w:val="00B2713B"/>
    <w:rsid w:val="00B2769B"/>
    <w:rsid w:val="00B307D2"/>
    <w:rsid w:val="00B32EC6"/>
    <w:rsid w:val="00B3398B"/>
    <w:rsid w:val="00B33B1E"/>
    <w:rsid w:val="00B362D9"/>
    <w:rsid w:val="00B36B99"/>
    <w:rsid w:val="00B36D20"/>
    <w:rsid w:val="00B36F67"/>
    <w:rsid w:val="00B40633"/>
    <w:rsid w:val="00B4198A"/>
    <w:rsid w:val="00B44049"/>
    <w:rsid w:val="00B44318"/>
    <w:rsid w:val="00B44C4B"/>
    <w:rsid w:val="00B45002"/>
    <w:rsid w:val="00B477CB"/>
    <w:rsid w:val="00B508A7"/>
    <w:rsid w:val="00B52081"/>
    <w:rsid w:val="00B52695"/>
    <w:rsid w:val="00B545AF"/>
    <w:rsid w:val="00B55B09"/>
    <w:rsid w:val="00B56711"/>
    <w:rsid w:val="00B578A2"/>
    <w:rsid w:val="00B57EF2"/>
    <w:rsid w:val="00B604F3"/>
    <w:rsid w:val="00B6101C"/>
    <w:rsid w:val="00B615ED"/>
    <w:rsid w:val="00B63A9D"/>
    <w:rsid w:val="00B64888"/>
    <w:rsid w:val="00B672E3"/>
    <w:rsid w:val="00B675F9"/>
    <w:rsid w:val="00B7033F"/>
    <w:rsid w:val="00B70849"/>
    <w:rsid w:val="00B72C1C"/>
    <w:rsid w:val="00B73BB7"/>
    <w:rsid w:val="00B751C3"/>
    <w:rsid w:val="00B76C0D"/>
    <w:rsid w:val="00B77D0D"/>
    <w:rsid w:val="00B80817"/>
    <w:rsid w:val="00B82244"/>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1F2C"/>
    <w:rsid w:val="00BA2682"/>
    <w:rsid w:val="00BA31E4"/>
    <w:rsid w:val="00BA3475"/>
    <w:rsid w:val="00BA3959"/>
    <w:rsid w:val="00BA3FDD"/>
    <w:rsid w:val="00BA47CC"/>
    <w:rsid w:val="00BA524B"/>
    <w:rsid w:val="00BA54F7"/>
    <w:rsid w:val="00BA576C"/>
    <w:rsid w:val="00BA6205"/>
    <w:rsid w:val="00BA6CE5"/>
    <w:rsid w:val="00BA6F38"/>
    <w:rsid w:val="00BB1388"/>
    <w:rsid w:val="00BB2683"/>
    <w:rsid w:val="00BB40DF"/>
    <w:rsid w:val="00BB5E2C"/>
    <w:rsid w:val="00BB7822"/>
    <w:rsid w:val="00BB7D9E"/>
    <w:rsid w:val="00BC16AC"/>
    <w:rsid w:val="00BC1C11"/>
    <w:rsid w:val="00BC1D01"/>
    <w:rsid w:val="00BC2B7B"/>
    <w:rsid w:val="00BC3AE8"/>
    <w:rsid w:val="00BC3AF4"/>
    <w:rsid w:val="00BC43A8"/>
    <w:rsid w:val="00BC5C6D"/>
    <w:rsid w:val="00BC6911"/>
    <w:rsid w:val="00BC7120"/>
    <w:rsid w:val="00BC76A3"/>
    <w:rsid w:val="00BD00D1"/>
    <w:rsid w:val="00BD07A2"/>
    <w:rsid w:val="00BD2603"/>
    <w:rsid w:val="00BD4EEC"/>
    <w:rsid w:val="00BD4F34"/>
    <w:rsid w:val="00BD537C"/>
    <w:rsid w:val="00BD6D05"/>
    <w:rsid w:val="00BD6F5B"/>
    <w:rsid w:val="00BD7662"/>
    <w:rsid w:val="00BE05ED"/>
    <w:rsid w:val="00BE20F9"/>
    <w:rsid w:val="00BE350E"/>
    <w:rsid w:val="00BE3801"/>
    <w:rsid w:val="00BE38CF"/>
    <w:rsid w:val="00BE394B"/>
    <w:rsid w:val="00BE48A8"/>
    <w:rsid w:val="00BE528F"/>
    <w:rsid w:val="00BE5850"/>
    <w:rsid w:val="00BE58D6"/>
    <w:rsid w:val="00BE5CA6"/>
    <w:rsid w:val="00BE707F"/>
    <w:rsid w:val="00BE7404"/>
    <w:rsid w:val="00BE7F5D"/>
    <w:rsid w:val="00BF0707"/>
    <w:rsid w:val="00BF0F13"/>
    <w:rsid w:val="00BF164F"/>
    <w:rsid w:val="00BF1AAF"/>
    <w:rsid w:val="00BF243C"/>
    <w:rsid w:val="00BF268B"/>
    <w:rsid w:val="00BF4D03"/>
    <w:rsid w:val="00BF4E85"/>
    <w:rsid w:val="00BF54BD"/>
    <w:rsid w:val="00BF5892"/>
    <w:rsid w:val="00C01804"/>
    <w:rsid w:val="00C026BC"/>
    <w:rsid w:val="00C02AD4"/>
    <w:rsid w:val="00C03869"/>
    <w:rsid w:val="00C03BF8"/>
    <w:rsid w:val="00C07988"/>
    <w:rsid w:val="00C07C5E"/>
    <w:rsid w:val="00C10068"/>
    <w:rsid w:val="00C10AC5"/>
    <w:rsid w:val="00C12DAD"/>
    <w:rsid w:val="00C12E17"/>
    <w:rsid w:val="00C138A1"/>
    <w:rsid w:val="00C14741"/>
    <w:rsid w:val="00C1544B"/>
    <w:rsid w:val="00C1665A"/>
    <w:rsid w:val="00C1739F"/>
    <w:rsid w:val="00C177FF"/>
    <w:rsid w:val="00C222FF"/>
    <w:rsid w:val="00C2338E"/>
    <w:rsid w:val="00C23BE9"/>
    <w:rsid w:val="00C23FB0"/>
    <w:rsid w:val="00C24021"/>
    <w:rsid w:val="00C248AF"/>
    <w:rsid w:val="00C24B09"/>
    <w:rsid w:val="00C24BDE"/>
    <w:rsid w:val="00C24E9F"/>
    <w:rsid w:val="00C310C5"/>
    <w:rsid w:val="00C32151"/>
    <w:rsid w:val="00C3217A"/>
    <w:rsid w:val="00C33551"/>
    <w:rsid w:val="00C3357D"/>
    <w:rsid w:val="00C33BE9"/>
    <w:rsid w:val="00C33C13"/>
    <w:rsid w:val="00C34777"/>
    <w:rsid w:val="00C348C7"/>
    <w:rsid w:val="00C35B2A"/>
    <w:rsid w:val="00C35E3D"/>
    <w:rsid w:val="00C36742"/>
    <w:rsid w:val="00C374AD"/>
    <w:rsid w:val="00C40B9F"/>
    <w:rsid w:val="00C40DE4"/>
    <w:rsid w:val="00C40E63"/>
    <w:rsid w:val="00C41A06"/>
    <w:rsid w:val="00C4261B"/>
    <w:rsid w:val="00C42BFB"/>
    <w:rsid w:val="00C44DDC"/>
    <w:rsid w:val="00C5082E"/>
    <w:rsid w:val="00C5128B"/>
    <w:rsid w:val="00C51423"/>
    <w:rsid w:val="00C5294D"/>
    <w:rsid w:val="00C52F83"/>
    <w:rsid w:val="00C54C1B"/>
    <w:rsid w:val="00C54DBA"/>
    <w:rsid w:val="00C57ED3"/>
    <w:rsid w:val="00C60F32"/>
    <w:rsid w:val="00C61640"/>
    <w:rsid w:val="00C61AA7"/>
    <w:rsid w:val="00C61B8E"/>
    <w:rsid w:val="00C63DA2"/>
    <w:rsid w:val="00C64780"/>
    <w:rsid w:val="00C668DE"/>
    <w:rsid w:val="00C7044F"/>
    <w:rsid w:val="00C720F8"/>
    <w:rsid w:val="00C72732"/>
    <w:rsid w:val="00C7294B"/>
    <w:rsid w:val="00C75139"/>
    <w:rsid w:val="00C7525C"/>
    <w:rsid w:val="00C76CF7"/>
    <w:rsid w:val="00C80EA3"/>
    <w:rsid w:val="00C80F23"/>
    <w:rsid w:val="00C8277B"/>
    <w:rsid w:val="00C82DCC"/>
    <w:rsid w:val="00C83A4C"/>
    <w:rsid w:val="00C8533B"/>
    <w:rsid w:val="00C858BA"/>
    <w:rsid w:val="00C86977"/>
    <w:rsid w:val="00C8710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3B2"/>
    <w:rsid w:val="00CB2575"/>
    <w:rsid w:val="00CB3677"/>
    <w:rsid w:val="00CB368F"/>
    <w:rsid w:val="00CB4C42"/>
    <w:rsid w:val="00CB4DFA"/>
    <w:rsid w:val="00CB7BD7"/>
    <w:rsid w:val="00CC2B74"/>
    <w:rsid w:val="00CC39E1"/>
    <w:rsid w:val="00CC46F9"/>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3809"/>
    <w:rsid w:val="00CF5597"/>
    <w:rsid w:val="00CF57B4"/>
    <w:rsid w:val="00CF5CA5"/>
    <w:rsid w:val="00CF658A"/>
    <w:rsid w:val="00CF66B6"/>
    <w:rsid w:val="00CF6A7B"/>
    <w:rsid w:val="00CF79DF"/>
    <w:rsid w:val="00D007D6"/>
    <w:rsid w:val="00D01A9F"/>
    <w:rsid w:val="00D01CED"/>
    <w:rsid w:val="00D01E38"/>
    <w:rsid w:val="00D022B5"/>
    <w:rsid w:val="00D039B5"/>
    <w:rsid w:val="00D046A1"/>
    <w:rsid w:val="00D04AA9"/>
    <w:rsid w:val="00D04F76"/>
    <w:rsid w:val="00D053D2"/>
    <w:rsid w:val="00D07D07"/>
    <w:rsid w:val="00D10F87"/>
    <w:rsid w:val="00D1149D"/>
    <w:rsid w:val="00D11B8E"/>
    <w:rsid w:val="00D11CB6"/>
    <w:rsid w:val="00D11D8D"/>
    <w:rsid w:val="00D1266E"/>
    <w:rsid w:val="00D12B12"/>
    <w:rsid w:val="00D12DD7"/>
    <w:rsid w:val="00D13A8C"/>
    <w:rsid w:val="00D149E1"/>
    <w:rsid w:val="00D14A44"/>
    <w:rsid w:val="00D14D2B"/>
    <w:rsid w:val="00D15BCC"/>
    <w:rsid w:val="00D1628F"/>
    <w:rsid w:val="00D206F7"/>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45"/>
    <w:rsid w:val="00D40559"/>
    <w:rsid w:val="00D405B8"/>
    <w:rsid w:val="00D41493"/>
    <w:rsid w:val="00D41E84"/>
    <w:rsid w:val="00D4200A"/>
    <w:rsid w:val="00D4267F"/>
    <w:rsid w:val="00D441E9"/>
    <w:rsid w:val="00D44425"/>
    <w:rsid w:val="00D44FC8"/>
    <w:rsid w:val="00D45D8F"/>
    <w:rsid w:val="00D50332"/>
    <w:rsid w:val="00D51A82"/>
    <w:rsid w:val="00D52B95"/>
    <w:rsid w:val="00D5362B"/>
    <w:rsid w:val="00D53A09"/>
    <w:rsid w:val="00D54AAB"/>
    <w:rsid w:val="00D552F9"/>
    <w:rsid w:val="00D56EDF"/>
    <w:rsid w:val="00D56F08"/>
    <w:rsid w:val="00D57361"/>
    <w:rsid w:val="00D5764D"/>
    <w:rsid w:val="00D60D55"/>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13E2"/>
    <w:rsid w:val="00D81437"/>
    <w:rsid w:val="00D8269B"/>
    <w:rsid w:val="00D82A5C"/>
    <w:rsid w:val="00D82D11"/>
    <w:rsid w:val="00D83CD3"/>
    <w:rsid w:val="00D83E51"/>
    <w:rsid w:val="00D84719"/>
    <w:rsid w:val="00D856EA"/>
    <w:rsid w:val="00D85ACD"/>
    <w:rsid w:val="00D86460"/>
    <w:rsid w:val="00D86928"/>
    <w:rsid w:val="00D912D5"/>
    <w:rsid w:val="00D91AAF"/>
    <w:rsid w:val="00D937FB"/>
    <w:rsid w:val="00D94564"/>
    <w:rsid w:val="00D9536E"/>
    <w:rsid w:val="00D97426"/>
    <w:rsid w:val="00D97568"/>
    <w:rsid w:val="00DA06B0"/>
    <w:rsid w:val="00DA29BA"/>
    <w:rsid w:val="00DA3249"/>
    <w:rsid w:val="00DA38CE"/>
    <w:rsid w:val="00DA4B01"/>
    <w:rsid w:val="00DA4EA2"/>
    <w:rsid w:val="00DA5322"/>
    <w:rsid w:val="00DA55AC"/>
    <w:rsid w:val="00DA5600"/>
    <w:rsid w:val="00DA608B"/>
    <w:rsid w:val="00DA7413"/>
    <w:rsid w:val="00DA7DE7"/>
    <w:rsid w:val="00DB0066"/>
    <w:rsid w:val="00DB0F9E"/>
    <w:rsid w:val="00DB1307"/>
    <w:rsid w:val="00DB1A1E"/>
    <w:rsid w:val="00DB1BAA"/>
    <w:rsid w:val="00DB1E1A"/>
    <w:rsid w:val="00DB2AF6"/>
    <w:rsid w:val="00DB364F"/>
    <w:rsid w:val="00DB39E7"/>
    <w:rsid w:val="00DB3AAE"/>
    <w:rsid w:val="00DB3B3E"/>
    <w:rsid w:val="00DB71DB"/>
    <w:rsid w:val="00DB71E1"/>
    <w:rsid w:val="00DB7309"/>
    <w:rsid w:val="00DB7B0F"/>
    <w:rsid w:val="00DB7CB3"/>
    <w:rsid w:val="00DC084F"/>
    <w:rsid w:val="00DC0D57"/>
    <w:rsid w:val="00DC16F7"/>
    <w:rsid w:val="00DC1CA3"/>
    <w:rsid w:val="00DC2641"/>
    <w:rsid w:val="00DC2B1E"/>
    <w:rsid w:val="00DC7481"/>
    <w:rsid w:val="00DC7591"/>
    <w:rsid w:val="00DD0839"/>
    <w:rsid w:val="00DD14C7"/>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0F7E"/>
    <w:rsid w:val="00E01623"/>
    <w:rsid w:val="00E03FE3"/>
    <w:rsid w:val="00E06951"/>
    <w:rsid w:val="00E10C94"/>
    <w:rsid w:val="00E10EC4"/>
    <w:rsid w:val="00E118D7"/>
    <w:rsid w:val="00E1333A"/>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6D6B"/>
    <w:rsid w:val="00E27986"/>
    <w:rsid w:val="00E27D23"/>
    <w:rsid w:val="00E30A8A"/>
    <w:rsid w:val="00E31BC7"/>
    <w:rsid w:val="00E31E7F"/>
    <w:rsid w:val="00E3507F"/>
    <w:rsid w:val="00E363CD"/>
    <w:rsid w:val="00E365C4"/>
    <w:rsid w:val="00E36C7F"/>
    <w:rsid w:val="00E37652"/>
    <w:rsid w:val="00E3768F"/>
    <w:rsid w:val="00E402BC"/>
    <w:rsid w:val="00E413B8"/>
    <w:rsid w:val="00E41403"/>
    <w:rsid w:val="00E418C7"/>
    <w:rsid w:val="00E41BD7"/>
    <w:rsid w:val="00E428D6"/>
    <w:rsid w:val="00E43284"/>
    <w:rsid w:val="00E445C9"/>
    <w:rsid w:val="00E447C5"/>
    <w:rsid w:val="00E450C1"/>
    <w:rsid w:val="00E4547F"/>
    <w:rsid w:val="00E4574F"/>
    <w:rsid w:val="00E45AB7"/>
    <w:rsid w:val="00E46B7D"/>
    <w:rsid w:val="00E47517"/>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1AA8"/>
    <w:rsid w:val="00E6247F"/>
    <w:rsid w:val="00E62E59"/>
    <w:rsid w:val="00E6318E"/>
    <w:rsid w:val="00E63E99"/>
    <w:rsid w:val="00E6454D"/>
    <w:rsid w:val="00E65301"/>
    <w:rsid w:val="00E6598A"/>
    <w:rsid w:val="00E667A7"/>
    <w:rsid w:val="00E67931"/>
    <w:rsid w:val="00E679B3"/>
    <w:rsid w:val="00E7190A"/>
    <w:rsid w:val="00E71E5C"/>
    <w:rsid w:val="00E7245E"/>
    <w:rsid w:val="00E733DC"/>
    <w:rsid w:val="00E73831"/>
    <w:rsid w:val="00E73B66"/>
    <w:rsid w:val="00E7498E"/>
    <w:rsid w:val="00E74BB9"/>
    <w:rsid w:val="00E74FF5"/>
    <w:rsid w:val="00E75744"/>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36B"/>
    <w:rsid w:val="00EB2554"/>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0D1C"/>
    <w:rsid w:val="00EC148C"/>
    <w:rsid w:val="00EC170E"/>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85D"/>
    <w:rsid w:val="00ED7985"/>
    <w:rsid w:val="00EE270D"/>
    <w:rsid w:val="00EE5F8C"/>
    <w:rsid w:val="00EE6989"/>
    <w:rsid w:val="00EE6C77"/>
    <w:rsid w:val="00EE7604"/>
    <w:rsid w:val="00EE7912"/>
    <w:rsid w:val="00EE7915"/>
    <w:rsid w:val="00EF0465"/>
    <w:rsid w:val="00EF0ACD"/>
    <w:rsid w:val="00EF13C5"/>
    <w:rsid w:val="00EF16D8"/>
    <w:rsid w:val="00EF28EF"/>
    <w:rsid w:val="00EF2EB5"/>
    <w:rsid w:val="00EF2EB9"/>
    <w:rsid w:val="00EF40E7"/>
    <w:rsid w:val="00EF4529"/>
    <w:rsid w:val="00EF5B34"/>
    <w:rsid w:val="00EF657C"/>
    <w:rsid w:val="00F004D1"/>
    <w:rsid w:val="00F00C0D"/>
    <w:rsid w:val="00F0128B"/>
    <w:rsid w:val="00F02663"/>
    <w:rsid w:val="00F03369"/>
    <w:rsid w:val="00F03D30"/>
    <w:rsid w:val="00F0465E"/>
    <w:rsid w:val="00F04E62"/>
    <w:rsid w:val="00F050AA"/>
    <w:rsid w:val="00F05E6D"/>
    <w:rsid w:val="00F06C33"/>
    <w:rsid w:val="00F1176D"/>
    <w:rsid w:val="00F11800"/>
    <w:rsid w:val="00F11B61"/>
    <w:rsid w:val="00F1223D"/>
    <w:rsid w:val="00F135D6"/>
    <w:rsid w:val="00F13922"/>
    <w:rsid w:val="00F13DBC"/>
    <w:rsid w:val="00F15FCF"/>
    <w:rsid w:val="00F16613"/>
    <w:rsid w:val="00F1712E"/>
    <w:rsid w:val="00F17230"/>
    <w:rsid w:val="00F20706"/>
    <w:rsid w:val="00F208E3"/>
    <w:rsid w:val="00F21496"/>
    <w:rsid w:val="00F21E77"/>
    <w:rsid w:val="00F2320D"/>
    <w:rsid w:val="00F24D27"/>
    <w:rsid w:val="00F2520C"/>
    <w:rsid w:val="00F25BCB"/>
    <w:rsid w:val="00F25ECC"/>
    <w:rsid w:val="00F264C1"/>
    <w:rsid w:val="00F26D7F"/>
    <w:rsid w:val="00F27305"/>
    <w:rsid w:val="00F30790"/>
    <w:rsid w:val="00F31570"/>
    <w:rsid w:val="00F31C55"/>
    <w:rsid w:val="00F33355"/>
    <w:rsid w:val="00F34363"/>
    <w:rsid w:val="00F34CE9"/>
    <w:rsid w:val="00F3549E"/>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6F1"/>
    <w:rsid w:val="00F53775"/>
    <w:rsid w:val="00F539A6"/>
    <w:rsid w:val="00F55E0E"/>
    <w:rsid w:val="00F55FF1"/>
    <w:rsid w:val="00F5611D"/>
    <w:rsid w:val="00F56E3E"/>
    <w:rsid w:val="00F572A7"/>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88A"/>
    <w:rsid w:val="00F80C5C"/>
    <w:rsid w:val="00F818A5"/>
    <w:rsid w:val="00F8197C"/>
    <w:rsid w:val="00F8465D"/>
    <w:rsid w:val="00F848B3"/>
    <w:rsid w:val="00F85755"/>
    <w:rsid w:val="00F86A0B"/>
    <w:rsid w:val="00F87431"/>
    <w:rsid w:val="00F8765C"/>
    <w:rsid w:val="00F87A53"/>
    <w:rsid w:val="00F9031B"/>
    <w:rsid w:val="00F911C4"/>
    <w:rsid w:val="00F91DA4"/>
    <w:rsid w:val="00F92728"/>
    <w:rsid w:val="00F92D3B"/>
    <w:rsid w:val="00F937AF"/>
    <w:rsid w:val="00F94494"/>
    <w:rsid w:val="00F96483"/>
    <w:rsid w:val="00F9648C"/>
    <w:rsid w:val="00F96671"/>
    <w:rsid w:val="00F9680E"/>
    <w:rsid w:val="00F96E21"/>
    <w:rsid w:val="00FA00AF"/>
    <w:rsid w:val="00FA0A0A"/>
    <w:rsid w:val="00FA0C9D"/>
    <w:rsid w:val="00FA169B"/>
    <w:rsid w:val="00FA2C4B"/>
    <w:rsid w:val="00FA366A"/>
    <w:rsid w:val="00FA5CC6"/>
    <w:rsid w:val="00FA64D5"/>
    <w:rsid w:val="00FA6760"/>
    <w:rsid w:val="00FA70F6"/>
    <w:rsid w:val="00FA7420"/>
    <w:rsid w:val="00FA756C"/>
    <w:rsid w:val="00FA75E4"/>
    <w:rsid w:val="00FA776B"/>
    <w:rsid w:val="00FB0AB1"/>
    <w:rsid w:val="00FB2BEF"/>
    <w:rsid w:val="00FB36CA"/>
    <w:rsid w:val="00FB72AC"/>
    <w:rsid w:val="00FB7706"/>
    <w:rsid w:val="00FB77C7"/>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28A"/>
    <w:rsid w:val="00FE03BB"/>
    <w:rsid w:val="00FE0BF0"/>
    <w:rsid w:val="00FE109F"/>
    <w:rsid w:val="00FE15A2"/>
    <w:rsid w:val="00FE3B37"/>
    <w:rsid w:val="00FE4B40"/>
    <w:rsid w:val="00FE4BB6"/>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character" w:styleId="Hyperlink">
    <w:name w:val="Hyperlink"/>
    <w:basedOn w:val="DefaultParagraphFont"/>
    <w:rsid w:val="005824C5"/>
    <w:rPr>
      <w:color w:val="0000FF" w:themeColor="hyperlink"/>
      <w:u w:val="single"/>
    </w:rPr>
  </w:style>
  <w:style w:type="paragraph" w:styleId="ListParagraph">
    <w:name w:val="List Paragraph"/>
    <w:basedOn w:val="Normal"/>
    <w:uiPriority w:val="34"/>
    <w:qFormat/>
    <w:rsid w:val="005824C5"/>
    <w:pPr>
      <w:ind w:left="720"/>
      <w:contextualSpacing/>
    </w:pPr>
  </w:style>
  <w:style w:type="paragraph" w:styleId="PlainText">
    <w:name w:val="Plain Text"/>
    <w:basedOn w:val="Normal"/>
    <w:link w:val="PlainTextChar"/>
    <w:uiPriority w:val="99"/>
    <w:unhideWhenUsed/>
    <w:rsid w:val="0007196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71969"/>
    <w:rPr>
      <w:rFonts w:ascii="Consolas" w:eastAsiaTheme="minorHAnsi" w:hAnsi="Consolas" w:cstheme="minorBidi"/>
      <w:sz w:val="21"/>
      <w:szCs w:val="21"/>
    </w:rPr>
  </w:style>
  <w:style w:type="character" w:customStyle="1" w:styleId="SectionHeadingChar">
    <w:name w:val="Section Heading Char"/>
    <w:link w:val="SectionHeading"/>
    <w:locked/>
    <w:rsid w:val="00A95EF7"/>
    <w:rPr>
      <w:rFonts w:ascii="Arial" w:hAnsi="Arial" w:cs="Arial"/>
      <w:b/>
      <w:bCs/>
      <w:caps/>
      <w:kern w:val="32"/>
      <w:szCs w:val="32"/>
      <w:lang w:eastAsia="zh-CN"/>
    </w:rPr>
  </w:style>
  <w:style w:type="paragraph" w:customStyle="1" w:styleId="SectionHeading">
    <w:name w:val="Section Heading"/>
    <w:basedOn w:val="Heading1"/>
    <w:link w:val="SectionHeadingChar"/>
    <w:qFormat/>
    <w:rsid w:val="00A95EF7"/>
    <w:pPr>
      <w:pBdr>
        <w:top w:val="single" w:sz="4" w:space="1" w:color="auto"/>
        <w:bottom w:val="single" w:sz="4" w:space="1" w:color="auto"/>
      </w:pBdr>
      <w:bidi w:val="0"/>
      <w:spacing w:before="360" w:after="200" w:line="240" w:lineRule="auto"/>
    </w:pPr>
    <w:rPr>
      <w:rFonts w:ascii="Arial" w:hAnsi="Arial" w:cs="Arial"/>
      <w:b/>
      <w:caps/>
      <w:kern w:val="32"/>
      <w:sz w:val="20"/>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character" w:styleId="Hyperlink">
    <w:name w:val="Hyperlink"/>
    <w:basedOn w:val="DefaultParagraphFont"/>
    <w:rsid w:val="005824C5"/>
    <w:rPr>
      <w:color w:val="0000FF" w:themeColor="hyperlink"/>
      <w:u w:val="single"/>
    </w:rPr>
  </w:style>
  <w:style w:type="paragraph" w:styleId="ListParagraph">
    <w:name w:val="List Paragraph"/>
    <w:basedOn w:val="Normal"/>
    <w:uiPriority w:val="34"/>
    <w:qFormat/>
    <w:rsid w:val="005824C5"/>
    <w:pPr>
      <w:ind w:left="720"/>
      <w:contextualSpacing/>
    </w:pPr>
  </w:style>
  <w:style w:type="paragraph" w:styleId="PlainText">
    <w:name w:val="Plain Text"/>
    <w:basedOn w:val="Normal"/>
    <w:link w:val="PlainTextChar"/>
    <w:uiPriority w:val="99"/>
    <w:unhideWhenUsed/>
    <w:rsid w:val="0007196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71969"/>
    <w:rPr>
      <w:rFonts w:ascii="Consolas" w:eastAsiaTheme="minorHAnsi" w:hAnsi="Consolas" w:cstheme="minorBidi"/>
      <w:sz w:val="21"/>
      <w:szCs w:val="21"/>
    </w:rPr>
  </w:style>
  <w:style w:type="character" w:customStyle="1" w:styleId="SectionHeadingChar">
    <w:name w:val="Section Heading Char"/>
    <w:link w:val="SectionHeading"/>
    <w:locked/>
    <w:rsid w:val="00A95EF7"/>
    <w:rPr>
      <w:rFonts w:ascii="Arial" w:hAnsi="Arial" w:cs="Arial"/>
      <w:b/>
      <w:bCs/>
      <w:caps/>
      <w:kern w:val="32"/>
      <w:szCs w:val="32"/>
      <w:lang w:eastAsia="zh-CN"/>
    </w:rPr>
  </w:style>
  <w:style w:type="paragraph" w:customStyle="1" w:styleId="SectionHeading">
    <w:name w:val="Section Heading"/>
    <w:basedOn w:val="Heading1"/>
    <w:link w:val="SectionHeadingChar"/>
    <w:qFormat/>
    <w:rsid w:val="00A95EF7"/>
    <w:pPr>
      <w:pBdr>
        <w:top w:val="single" w:sz="4" w:space="1" w:color="auto"/>
        <w:bottom w:val="single" w:sz="4" w:space="1" w:color="auto"/>
      </w:pBdr>
      <w:bidi w:val="0"/>
      <w:spacing w:before="360" w:after="200" w:line="240" w:lineRule="auto"/>
    </w:pPr>
    <w:rPr>
      <w:rFonts w:ascii="Arial" w:hAnsi="Arial" w:cs="Arial"/>
      <w:b/>
      <w:caps/>
      <w:kern w:val="32"/>
      <w:sz w:val="20"/>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pct/en/quality/authoriti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CFE81-2E09-47C9-BC34-B8217061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PCT_CTC_30_AR.dotx</Template>
  <TotalTime>466</TotalTime>
  <Pages>7</Pages>
  <Words>1532</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PCT/CTC/30/-- (Arabic)</vt:lpstr>
    </vt:vector>
  </TitlesOfParts>
  <Company>World Intellectual Property Organization</Company>
  <LinksUpToDate>false</LinksUpToDate>
  <CharactersWithSpaces>10073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creator>CHADAREVIAN Diane</dc:creator>
  <cp:lastModifiedBy>YOUSSEF Randa</cp:lastModifiedBy>
  <cp:revision>141</cp:revision>
  <cp:lastPrinted>2017-03-29T13:19:00Z</cp:lastPrinted>
  <dcterms:created xsi:type="dcterms:W3CDTF">2017-03-17T09:41:00Z</dcterms:created>
  <dcterms:modified xsi:type="dcterms:W3CDTF">2017-03-29T13:20:00Z</dcterms:modified>
</cp:coreProperties>
</file>