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B2" w:rsidRDefault="00CC6E7E" w:rsidP="00833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 w:rsidRPr="00CC6E7E">
        <w:rPr>
          <w:rFonts w:ascii="Arial" w:hAnsi="Arial" w:cs="Arial"/>
          <w:noProof/>
          <w:sz w:val="48"/>
          <w:szCs w:val="4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.65pt;margin-top:-27.65pt;width:169.05pt;height:35.7pt;z-index:251660288" stroked="f">
            <v:textbox>
              <w:txbxContent>
                <w:p w:rsidR="00AC26F8" w:rsidRPr="00AC26F8" w:rsidRDefault="00AC26F8">
                  <w:pPr>
                    <w:rPr>
                      <w:b/>
                      <w:sz w:val="28"/>
                      <w:lang w:val="en-US"/>
                    </w:rPr>
                  </w:pPr>
                  <w:r w:rsidRPr="00AC26F8">
                    <w:rPr>
                      <w:b/>
                      <w:sz w:val="28"/>
                      <w:lang w:val="en-US"/>
                    </w:rPr>
                    <w:t>REPUBLIQUE DU BURUNDI</w:t>
                  </w:r>
                </w:p>
              </w:txbxContent>
            </v:textbox>
          </v:shape>
        </w:pict>
      </w:r>
      <w:r w:rsidR="00457622">
        <w:rPr>
          <w:rFonts w:ascii="Arial" w:hAnsi="Arial" w:cs="Arial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4494337</wp:posOffset>
            </wp:positionH>
            <wp:positionV relativeFrom="paragraph">
              <wp:posOffset>-96713</wp:posOffset>
            </wp:positionV>
            <wp:extent cx="1396282" cy="938254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82" cy="93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622">
        <w:rPr>
          <w:rFonts w:ascii="Arial" w:hAnsi="Arial" w:cs="Arial"/>
          <w:noProof/>
          <w:sz w:val="48"/>
          <w:szCs w:val="48"/>
          <w:lang w:eastAsia="fr-FR"/>
        </w:rPr>
        <w:drawing>
          <wp:inline distT="0" distB="0" distL="0" distR="0">
            <wp:extent cx="882650" cy="84264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538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 </w:t>
      </w:r>
      <w:r w:rsidR="00457622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                             </w:t>
      </w:r>
    </w:p>
    <w:p w:rsidR="00457622" w:rsidRDefault="00833FB2" w:rsidP="00833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MINISTERE DU COMMERCE, INDUSTRIE</w:t>
      </w:r>
    </w:p>
    <w:p w:rsidR="00833FB2" w:rsidRPr="00AC26F8" w:rsidRDefault="00833FB2" w:rsidP="00AC26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POSTES ET </w:t>
      </w:r>
      <w:r w:rsidR="004D4F1C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DU </w:t>
      </w: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TOURISME</w:t>
      </w:r>
    </w:p>
    <w:p w:rsidR="00AC26F8" w:rsidRDefault="00AC26F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</w:p>
    <w:p w:rsidR="00AC26F8" w:rsidRDefault="00AC26F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DIRECTION GENERALE DE </w:t>
      </w:r>
    </w:p>
    <w:p w:rsidR="00833FB2" w:rsidRDefault="00833FB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           L`INDUSTRIE</w:t>
      </w:r>
    </w:p>
    <w:p w:rsidR="00833FB2" w:rsidRDefault="00833FB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</w:p>
    <w:p w:rsidR="00833FB2" w:rsidRDefault="00833FB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DEPARTEMENT DE LA PROPRIETE</w:t>
      </w:r>
    </w:p>
    <w:p w:rsidR="00146538" w:rsidRDefault="00833FB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           INDUSTRIELLE</w:t>
      </w:r>
      <w:r w:rsidR="00146538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           </w:t>
      </w:r>
      <w:r w:rsidR="00457622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                                                                        </w:t>
      </w:r>
    </w:p>
    <w:p w:rsidR="00146538" w:rsidRDefault="0014653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           </w:t>
      </w:r>
    </w:p>
    <w:p w:rsidR="00146538" w:rsidRDefault="0014653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</w:p>
    <w:p w:rsidR="00146538" w:rsidRDefault="00C458A6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                                                                     </w:t>
      </w:r>
    </w:p>
    <w:p w:rsidR="00146538" w:rsidRPr="00D8614D" w:rsidRDefault="0014653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05D0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538" w:rsidRDefault="00C458A6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105D0" w:rsidRPr="00D8614D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8614D">
        <w:rPr>
          <w:rFonts w:ascii="Times New Roman" w:hAnsi="Times New Roman" w:cs="Times New Roman"/>
          <w:b/>
          <w:sz w:val="36"/>
          <w:szCs w:val="36"/>
        </w:rPr>
        <w:t>Séminaire régional pour certains pays africains sur la mise en œuvre et l’utilisation de plusieurs éléments de flexibilités relatifs aux brevets</w:t>
      </w:r>
    </w:p>
    <w:p w:rsidR="00D105D0" w:rsidRPr="00D8614D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05D0" w:rsidRPr="00D8614D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05D0" w:rsidRPr="00D8614D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05D0" w:rsidRPr="00D8614D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8614D">
        <w:rPr>
          <w:rFonts w:ascii="Times New Roman" w:hAnsi="Times New Roman" w:cs="Times New Roman"/>
          <w:b/>
          <w:sz w:val="36"/>
          <w:szCs w:val="36"/>
        </w:rPr>
        <w:t>Durban , Afrique du Sud, du 29 au 31 janvier 2013</w:t>
      </w:r>
      <w:r w:rsidR="00D8614D">
        <w:rPr>
          <w:rFonts w:ascii="Times New Roman" w:hAnsi="Times New Roman" w:cs="Times New Roman"/>
          <w:b/>
          <w:sz w:val="36"/>
          <w:szCs w:val="36"/>
        </w:rPr>
        <w:t>.</w:t>
      </w:r>
    </w:p>
    <w:p w:rsidR="00D105D0" w:rsidRPr="00D8614D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05D0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D0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D0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D0" w:rsidRPr="00D8614D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614D">
        <w:rPr>
          <w:rFonts w:ascii="Times New Roman" w:hAnsi="Times New Roman" w:cs="Times New Roman"/>
          <w:b/>
          <w:sz w:val="32"/>
          <w:szCs w:val="32"/>
        </w:rPr>
        <w:t>Cadre juridique actuel du Burundi en matière d’épuisement des droits du brevet</w:t>
      </w:r>
    </w:p>
    <w:p w:rsidR="00D105D0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D0" w:rsidRPr="008E7D6E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°</w:t>
      </w:r>
      <w:r w:rsidR="00430E45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LOI n°1/13 du 28 juillet 2009 relative à la propriété industrielle</w:t>
      </w:r>
    </w:p>
    <w:p w:rsidR="00430E45" w:rsidRPr="008E7D6E" w:rsidRDefault="00430E45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772" w:rsidRPr="008E7D6E" w:rsidRDefault="00C7077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772" w:rsidRPr="008E7D6E" w:rsidRDefault="00C7077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°</w:t>
      </w:r>
      <w:r w:rsidR="00831335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D61">
        <w:rPr>
          <w:rFonts w:ascii="Times New Roman" w:hAnsi="Times New Roman" w:cs="Times New Roman"/>
          <w:b/>
          <w:sz w:val="28"/>
          <w:szCs w:val="28"/>
        </w:rPr>
        <w:t>L</w:t>
      </w:r>
      <w:r w:rsidRPr="008E7D6E">
        <w:rPr>
          <w:rFonts w:ascii="Times New Roman" w:hAnsi="Times New Roman" w:cs="Times New Roman"/>
          <w:b/>
          <w:sz w:val="28"/>
          <w:szCs w:val="28"/>
        </w:rPr>
        <w:t>e brevet confère à son titulaire le droit exclusif d’exploiter l’invention brevetée ainsi que le droit d’interdire à toute personne l’exploitation de l’invention brevetée pour</w:t>
      </w:r>
      <w:r w:rsidR="0063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un produit ou un procédé.</w:t>
      </w:r>
    </w:p>
    <w:p w:rsidR="00C70772" w:rsidRPr="008E7D6E" w:rsidRDefault="00C7077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E45" w:rsidRPr="008E7D6E" w:rsidRDefault="00430E45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° </w:t>
      </w:r>
      <w:r w:rsidR="005268FF">
        <w:rPr>
          <w:rFonts w:ascii="Times New Roman" w:hAnsi="Times New Roman" w:cs="Times New Roman"/>
          <w:b/>
          <w:sz w:val="28"/>
          <w:szCs w:val="28"/>
        </w:rPr>
        <w:t>Comment la notion de l’</w:t>
      </w:r>
      <w:r w:rsidRPr="008E7D6E">
        <w:rPr>
          <w:rFonts w:ascii="Times New Roman" w:hAnsi="Times New Roman" w:cs="Times New Roman"/>
          <w:b/>
          <w:sz w:val="28"/>
          <w:szCs w:val="28"/>
        </w:rPr>
        <w:t>épuisement des droit</w:t>
      </w:r>
      <w:r w:rsidR="00402816">
        <w:rPr>
          <w:rFonts w:ascii="Times New Roman" w:hAnsi="Times New Roman" w:cs="Times New Roman"/>
          <w:b/>
          <w:sz w:val="28"/>
          <w:szCs w:val="28"/>
        </w:rPr>
        <w:t>s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du brevet</w:t>
      </w:r>
      <w:r w:rsidR="005268FF">
        <w:rPr>
          <w:rFonts w:ascii="Times New Roman" w:hAnsi="Times New Roman" w:cs="Times New Roman"/>
          <w:b/>
          <w:sz w:val="28"/>
          <w:szCs w:val="28"/>
        </w:rPr>
        <w:t xml:space="preserve"> est-elle abordée        se</w:t>
      </w:r>
      <w:r w:rsidRPr="008E7D6E">
        <w:rPr>
          <w:rFonts w:ascii="Times New Roman" w:hAnsi="Times New Roman" w:cs="Times New Roman"/>
          <w:b/>
          <w:sz w:val="28"/>
          <w:szCs w:val="28"/>
        </w:rPr>
        <w:t>lon la législation du Burundi ?</w:t>
      </w:r>
    </w:p>
    <w:p w:rsidR="00430E45" w:rsidRPr="008E7D6E" w:rsidRDefault="00430E45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5D0" w:rsidRPr="008E7D6E" w:rsidRDefault="00D105D0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Section 3 : De la limitation des droits conférés par le brevet</w:t>
      </w: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A69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Article 57 : </w:t>
      </w:r>
    </w:p>
    <w:p w:rsidR="001261AC" w:rsidRPr="008E7D6E" w:rsidRDefault="001261AC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Les droits découlant du brevet ne s’étendent pas :</w:t>
      </w: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06ECB" w:rsidRPr="008E7D6E">
        <w:rPr>
          <w:rFonts w:ascii="Times New Roman" w:hAnsi="Times New Roman" w:cs="Times New Roman"/>
          <w:b/>
          <w:sz w:val="28"/>
          <w:szCs w:val="28"/>
        </w:rPr>
        <w:t>A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ux actes relatifs </w:t>
      </w:r>
      <w:r w:rsidR="00381A69" w:rsidRPr="008E7D6E">
        <w:rPr>
          <w:rFonts w:ascii="Times New Roman" w:hAnsi="Times New Roman" w:cs="Times New Roman"/>
          <w:b/>
          <w:sz w:val="28"/>
          <w:szCs w:val="28"/>
        </w:rPr>
        <w:t xml:space="preserve">à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des objets mis dans le commerce au Burundi ou dans tout autre pays par le titulaire du brevet ou avec son consentement, avec pour conséquence </w:t>
      </w:r>
      <w:r w:rsidR="00F06ECB" w:rsidRPr="008E7D6E">
        <w:rPr>
          <w:rFonts w:ascii="Times New Roman" w:hAnsi="Times New Roman" w:cs="Times New Roman"/>
          <w:b/>
          <w:sz w:val="28"/>
          <w:szCs w:val="28"/>
        </w:rPr>
        <w:t>l’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épuisement des </w:t>
      </w:r>
      <w:r w:rsidR="00F06ECB" w:rsidRPr="008E7D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E7D6E">
        <w:rPr>
          <w:rFonts w:ascii="Times New Roman" w:hAnsi="Times New Roman" w:cs="Times New Roman"/>
          <w:b/>
          <w:sz w:val="28"/>
          <w:szCs w:val="28"/>
        </w:rPr>
        <w:t>droits du titulaire du brevet;</w:t>
      </w: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2.</w:t>
      </w:r>
      <w:r w:rsidR="001261AC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A l'utilisation d'objets à bord d'aéronefs, de véhicules terrestres ou de navires étrangers qui pénètrent temporairement ou accidentellement dans I' espace aérien, sur le territoire ou dans les eaux du Burundi ;</w:t>
      </w: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3. Aux actes relatifs </w:t>
      </w:r>
      <w:r w:rsidRPr="008E7D6E">
        <w:rPr>
          <w:rFonts w:ascii="Arial" w:hAnsi="Arial" w:cs="Arial"/>
          <w:b/>
          <w:sz w:val="28"/>
          <w:szCs w:val="28"/>
        </w:rPr>
        <w:t xml:space="preserve">a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une invention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brevetée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accomplis uniquement </w:t>
      </w:r>
      <w:r w:rsidR="00295C84" w:rsidRPr="008E7D6E">
        <w:rPr>
          <w:rFonts w:ascii="Times New Roman" w:hAnsi="Times New Roman" w:cs="Times New Roman"/>
          <w:b/>
          <w:sz w:val="28"/>
          <w:szCs w:val="28"/>
        </w:rPr>
        <w:t>à</w:t>
      </w:r>
      <w:r w:rsidRPr="008E7D6E">
        <w:rPr>
          <w:rFonts w:ascii="Arial" w:hAnsi="Arial" w:cs="Arial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des fins expérimentales dans le cas de la recherche scientifique et technique;</w:t>
      </w: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4. Aux actes effe</w:t>
      </w:r>
      <w:r w:rsidR="00B87D4E" w:rsidRPr="008E7D6E">
        <w:rPr>
          <w:rFonts w:ascii="Times New Roman" w:hAnsi="Times New Roman" w:cs="Times New Roman"/>
          <w:b/>
          <w:sz w:val="28"/>
          <w:szCs w:val="28"/>
        </w:rPr>
        <w:t>ctué</w:t>
      </w:r>
      <w:r w:rsidRPr="008E7D6E">
        <w:rPr>
          <w:rFonts w:ascii="Times New Roman" w:hAnsi="Times New Roman" w:cs="Times New Roman"/>
          <w:b/>
          <w:sz w:val="28"/>
          <w:szCs w:val="28"/>
        </w:rPr>
        <w:t>s par toute personne qui, de bonne foi,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avant la date de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dépôt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ou, lorsqu'une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priorité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est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revendiquée, à</w:t>
      </w:r>
      <w:r w:rsidRPr="008E7D6E">
        <w:rPr>
          <w:rFonts w:ascii="Arial" w:hAnsi="Arial" w:cs="Arial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la date de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priorité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de la demande sur base de laquelle l</w:t>
      </w:r>
      <w:r w:rsidR="00D67594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brevet est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délivré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et sur le territoire de l'Etat membre de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l'OMC utilisait l'invention ou faisait des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préparatifs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effectifs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et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sérieux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pour </w:t>
      </w:r>
      <w:r w:rsidR="009B2D3D">
        <w:rPr>
          <w:rFonts w:ascii="Times New Roman" w:hAnsi="Times New Roman" w:cs="Times New Roman"/>
          <w:b/>
          <w:sz w:val="28"/>
          <w:szCs w:val="28"/>
        </w:rPr>
        <w:t>l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 xml:space="preserve"> ‘utiliser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dans le cas ou les actes ne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diffèrent</w:t>
      </w: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pas dans leur nature ou leur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finalité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I ‘utilisation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antérieure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effective ou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envisagée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;</w:t>
      </w: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sz w:val="28"/>
          <w:szCs w:val="28"/>
        </w:rPr>
      </w:pPr>
    </w:p>
    <w:p w:rsidR="004F6C9B" w:rsidRPr="008E7D6E" w:rsidRDefault="004F6C9B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4F6C9B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5.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Aux actes d'une personne qui </w:t>
      </w:r>
      <w:r w:rsidRPr="008E7D6E">
        <w:rPr>
          <w:rFonts w:ascii="Times New Roman" w:hAnsi="Times New Roman" w:cs="Times New Roman"/>
          <w:b/>
          <w:sz w:val="28"/>
          <w:szCs w:val="28"/>
        </w:rPr>
        <w:t>réalise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>, fabrique, utilise ou vend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une invention </w:t>
      </w:r>
      <w:r w:rsidRPr="008E7D6E">
        <w:rPr>
          <w:rFonts w:ascii="Times New Roman" w:hAnsi="Times New Roman" w:cs="Times New Roman"/>
          <w:b/>
          <w:sz w:val="28"/>
          <w:szCs w:val="28"/>
        </w:rPr>
        <w:t>brevetée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uniquement a des fins ayant un rapport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raisonnable avec le fait de recueillir et de </w:t>
      </w:r>
      <w:r w:rsidRPr="008E7D6E">
        <w:rPr>
          <w:rFonts w:ascii="Times New Roman" w:hAnsi="Times New Roman" w:cs="Times New Roman"/>
          <w:b/>
          <w:sz w:val="28"/>
          <w:szCs w:val="28"/>
        </w:rPr>
        <w:t>communiquer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des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>informations requises en vertu d'une loi du Burundi ou d'un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pays autre que le Burundi </w:t>
      </w:r>
      <w:r w:rsidRPr="008E7D6E">
        <w:rPr>
          <w:rFonts w:ascii="Times New Roman" w:hAnsi="Times New Roman" w:cs="Times New Roman"/>
          <w:b/>
          <w:sz w:val="28"/>
          <w:szCs w:val="28"/>
        </w:rPr>
        <w:t>réglementant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la fabrication,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>l'utilisation ou la vente de tout produit.</w:t>
      </w:r>
    </w:p>
    <w:p w:rsidR="004F6C9B" w:rsidRPr="008E7D6E" w:rsidRDefault="004F6C9B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C9B" w:rsidRPr="008E7D6E" w:rsidRDefault="004F6C9B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A69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Article 58 :</w:t>
      </w:r>
    </w:p>
    <w:p w:rsidR="00A70F98" w:rsidRPr="008E7D6E" w:rsidRDefault="0073659E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 Le droit de l'utilisateur visé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784EF6" w:rsidRPr="008E7D6E">
        <w:rPr>
          <w:rFonts w:ascii="Times New Roman" w:hAnsi="Times New Roman" w:cs="Times New Roman"/>
          <w:b/>
          <w:sz w:val="28"/>
          <w:szCs w:val="28"/>
        </w:rPr>
        <w:t>l'article 57 point 4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ne peut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être transféré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ou 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>dévolu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qu'avec l'entreprise ou la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société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dans laquelle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ont eu lieu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l’utilisation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ou les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préparatifs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 xml:space="preserve"> en vue de </w:t>
      </w:r>
      <w:r w:rsidR="004F6C9B" w:rsidRPr="008E7D6E">
        <w:rPr>
          <w:rFonts w:ascii="Times New Roman" w:hAnsi="Times New Roman" w:cs="Times New Roman"/>
          <w:b/>
          <w:sz w:val="28"/>
          <w:szCs w:val="28"/>
        </w:rPr>
        <w:t>I’ utilisation</w:t>
      </w:r>
      <w:r w:rsidR="00A70F98" w:rsidRPr="008E7D6E">
        <w:rPr>
          <w:rFonts w:ascii="Times New Roman" w:hAnsi="Times New Roman" w:cs="Times New Roman"/>
          <w:b/>
          <w:sz w:val="28"/>
          <w:szCs w:val="28"/>
        </w:rPr>
        <w:t>.</w:t>
      </w:r>
    </w:p>
    <w:p w:rsidR="004F6C9B" w:rsidRPr="008E7D6E" w:rsidRDefault="004F6C9B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E21" w:rsidRPr="008E7D6E" w:rsidRDefault="00806E21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E21" w:rsidRPr="008E7D6E" w:rsidRDefault="00806E21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A69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Article 59: </w:t>
      </w:r>
    </w:p>
    <w:p w:rsidR="00806E21" w:rsidRPr="008E7D6E" w:rsidRDefault="00806E21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Sans 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>préjudice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des dispositions de l'article 57 point 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>4</w:t>
      </w:r>
      <w:r w:rsidRPr="008E7D6E">
        <w:rPr>
          <w:rFonts w:ascii="Times New Roman" w:hAnsi="Times New Roman" w:cs="Times New Roman"/>
          <w:b/>
          <w:sz w:val="28"/>
          <w:szCs w:val="28"/>
        </w:rPr>
        <w:t>, le Ministre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ayant le commerce dans ses attributions a le droit de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déclarer</w:t>
      </w:r>
      <w:r w:rsidRPr="008E7D6E">
        <w:rPr>
          <w:rFonts w:ascii="Times New Roman" w:hAnsi="Times New Roman" w:cs="Times New Roman"/>
          <w:b/>
          <w:sz w:val="28"/>
          <w:szCs w:val="28"/>
        </w:rPr>
        <w:t>, d'office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D83">
        <w:rPr>
          <w:rFonts w:ascii="Times New Roman" w:hAnsi="Times New Roman" w:cs="Times New Roman"/>
          <w:b/>
          <w:sz w:val="28"/>
          <w:szCs w:val="28"/>
        </w:rPr>
        <w:t>ou sur la demande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de toute partie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intéressée</w:t>
      </w:r>
      <w:r w:rsidRPr="008E7D6E">
        <w:rPr>
          <w:rFonts w:ascii="Times New Roman" w:hAnsi="Times New Roman" w:cs="Times New Roman"/>
          <w:b/>
          <w:sz w:val="28"/>
          <w:szCs w:val="28"/>
        </w:rPr>
        <w:t>, que les droits de brevet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sont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épuisés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et donc d'autoriser des tiers</w:t>
      </w:r>
      <w:r w:rsidR="005F4AF6" w:rsidRPr="008E7D6E">
        <w:rPr>
          <w:rFonts w:ascii="Times New Roman" w:hAnsi="Times New Roman" w:cs="Times New Roman"/>
          <w:b/>
          <w:sz w:val="28"/>
          <w:szCs w:val="28"/>
        </w:rPr>
        <w:t xml:space="preserve"> à</w:t>
      </w:r>
      <w:r w:rsidRPr="008E7D6E">
        <w:rPr>
          <w:rFonts w:ascii="Arial" w:hAnsi="Arial" w:cs="Arial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importer le produit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 xml:space="preserve"> breveté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586" w:rsidRPr="008E7D6E">
        <w:rPr>
          <w:rFonts w:ascii="Times New Roman" w:hAnsi="Times New Roman" w:cs="Times New Roman"/>
          <w:b/>
          <w:sz w:val="28"/>
          <w:szCs w:val="28"/>
        </w:rPr>
        <w:t>ou un produit fabriqué</w:t>
      </w:r>
      <w:r w:rsidR="00B87D4E" w:rsidRPr="008E7D6E">
        <w:rPr>
          <w:rFonts w:ascii="Times New Roman" w:hAnsi="Times New Roman" w:cs="Times New Roman"/>
          <w:b/>
          <w:sz w:val="28"/>
          <w:szCs w:val="28"/>
        </w:rPr>
        <w:t xml:space="preserve"> directement </w:t>
      </w:r>
      <w:r w:rsidRPr="008E7D6E">
        <w:rPr>
          <w:rFonts w:ascii="Times New Roman" w:hAnsi="Times New Roman" w:cs="Times New Roman"/>
          <w:b/>
          <w:sz w:val="28"/>
          <w:szCs w:val="28"/>
        </w:rPr>
        <w:t>ou indirectement au moyen de</w:t>
      </w:r>
      <w:r w:rsidR="00AC2CF1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l'invention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brevetée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d'un autre territoire lorsque ce produit n'est pas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disponible sur le territoire du Burundi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Ou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est disponible en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qualité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ou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en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quantité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insuffisante pour satisfaire </w:t>
      </w:r>
      <w:r w:rsidR="00341EFB" w:rsidRPr="008E7D6E">
        <w:rPr>
          <w:rFonts w:ascii="Times New Roman" w:hAnsi="Times New Roman" w:cs="Times New Roman"/>
          <w:b/>
          <w:sz w:val="28"/>
          <w:szCs w:val="28"/>
        </w:rPr>
        <w:t>à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la demande locale ou </w:t>
      </w:r>
      <w:r w:rsidR="00341EFB" w:rsidRPr="008E7D6E">
        <w:rPr>
          <w:rFonts w:ascii="Times New Roman" w:hAnsi="Times New Roman" w:cs="Times New Roman"/>
          <w:b/>
          <w:sz w:val="28"/>
          <w:szCs w:val="28"/>
        </w:rPr>
        <w:t>à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des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prix que le Ministre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considère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comme abusifs ou pour tout autre</w:t>
      </w:r>
      <w:r w:rsidR="00AC2CF1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motif d'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intérêt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public, y compris des pratiques anticoncurrentielles, </w:t>
      </w:r>
      <w:r w:rsidR="00017162" w:rsidRPr="008E7D6E">
        <w:rPr>
          <w:rFonts w:ascii="Arial" w:hAnsi="Arial" w:cs="Arial"/>
          <w:b/>
          <w:sz w:val="28"/>
          <w:szCs w:val="28"/>
        </w:rPr>
        <w:t xml:space="preserve">à </w:t>
      </w:r>
      <w:r w:rsidRPr="008E7D6E">
        <w:rPr>
          <w:rFonts w:ascii="Times New Roman" w:hAnsi="Times New Roman" w:cs="Times New Roman"/>
          <w:b/>
          <w:sz w:val="28"/>
          <w:szCs w:val="28"/>
        </w:rPr>
        <w:t>condition que:</w:t>
      </w:r>
    </w:p>
    <w:p w:rsidR="00017162" w:rsidRPr="008E7D6E" w:rsidRDefault="0001716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1</w:t>
      </w:r>
      <w:r w:rsidRPr="008E7D6E">
        <w:rPr>
          <w:rFonts w:ascii="Arial" w:hAnsi="Arial" w:cs="Arial"/>
          <w:b/>
          <w:sz w:val="28"/>
          <w:szCs w:val="28"/>
        </w:rPr>
        <w:t xml:space="preserve">°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Le produit ait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été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introduit dans les circuits commerciaux sur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le territoire d'</w:t>
      </w:r>
      <w:r w:rsidR="00B87D4E" w:rsidRPr="008E7D6E">
        <w:rPr>
          <w:rFonts w:ascii="Times New Roman" w:hAnsi="Times New Roman" w:cs="Times New Roman"/>
          <w:b/>
          <w:sz w:val="28"/>
          <w:szCs w:val="28"/>
        </w:rPr>
        <w:t>où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 xml:space="preserve"> il sera importé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par le titulaire du brevet ou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avec son consentement ;</w:t>
      </w:r>
    </w:p>
    <w:p w:rsidR="00017162" w:rsidRPr="008E7D6E" w:rsidRDefault="00017162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2° Le brevet revendiquant le produit ou le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procédé utilisé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pour sa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fabrication est en vigueur sur le territoire </w:t>
      </w:r>
      <w:r w:rsidR="00E83754" w:rsidRPr="008E7D6E">
        <w:rPr>
          <w:rFonts w:ascii="Arial" w:hAnsi="Arial" w:cs="Arial"/>
          <w:b/>
          <w:sz w:val="28"/>
          <w:szCs w:val="28"/>
        </w:rPr>
        <w:t>à</w:t>
      </w:r>
      <w:r w:rsidRPr="008E7D6E">
        <w:rPr>
          <w:rFonts w:ascii="Arial" w:hAnsi="Arial" w:cs="Arial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partir duquel le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produit sera importé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et est la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propriété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de la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même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personne</w:t>
      </w:r>
    </w:p>
    <w:p w:rsidR="00A70F98" w:rsidRPr="008E7D6E" w:rsidRDefault="00A70F98" w:rsidP="00381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qui est titulaire du brevet au Burundi ou par une personne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sous son </w:t>
      </w:r>
      <w:r w:rsidR="00E83754" w:rsidRPr="008E7D6E">
        <w:rPr>
          <w:rFonts w:ascii="Times New Roman" w:hAnsi="Times New Roman" w:cs="Times New Roman"/>
          <w:b/>
          <w:sz w:val="28"/>
          <w:szCs w:val="28"/>
        </w:rPr>
        <w:t>contrôle</w:t>
      </w:r>
      <w:r w:rsidRPr="008E7D6E">
        <w:rPr>
          <w:rFonts w:ascii="Times New Roman" w:hAnsi="Times New Roman" w:cs="Times New Roman"/>
          <w:b/>
          <w:sz w:val="28"/>
          <w:szCs w:val="28"/>
        </w:rPr>
        <w:t>.</w:t>
      </w:r>
    </w:p>
    <w:p w:rsidR="00341EFB" w:rsidRPr="008E7D6E" w:rsidRDefault="00341EFB" w:rsidP="00A70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A69" w:rsidRPr="008E7D6E" w:rsidRDefault="00A70F98" w:rsidP="00A70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Article 60: </w:t>
      </w:r>
    </w:p>
    <w:p w:rsidR="00F06ECB" w:rsidRPr="008E7D6E" w:rsidRDefault="00F06ECB" w:rsidP="00A70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0F98" w:rsidRPr="008E7D6E" w:rsidRDefault="00A70F98" w:rsidP="00A70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>Lorsque l'importateur n'atteint pas l'objectif qui avait justifi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la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décision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du Ministre ayant le commerce dans ses attributions de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 xml:space="preserve"> considérer les droits du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brevet comme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épuisés</w:t>
      </w:r>
      <w:r w:rsidRPr="008E7D6E">
        <w:rPr>
          <w:rFonts w:ascii="Times New Roman" w:hAnsi="Times New Roman" w:cs="Times New Roman"/>
          <w:b/>
          <w:sz w:val="28"/>
          <w:szCs w:val="28"/>
        </w:rPr>
        <w:t>, le Ministre annule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>l'autorisation d'office ou sur la demande du titulaire du brevet.</w:t>
      </w:r>
    </w:p>
    <w:p w:rsidR="00A70F98" w:rsidRPr="008E7D6E" w:rsidRDefault="00A70F98" w:rsidP="00A70F98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8"/>
          <w:szCs w:val="28"/>
        </w:rPr>
      </w:pPr>
    </w:p>
    <w:p w:rsidR="00381A69" w:rsidRPr="008E7D6E" w:rsidRDefault="00A70F98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Article 61: </w:t>
      </w:r>
    </w:p>
    <w:p w:rsidR="00F06ECB" w:rsidRPr="008E7D6E" w:rsidRDefault="00F06ECB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1A79" w:rsidRPr="008E7D6E" w:rsidRDefault="00A70F98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D6E">
        <w:rPr>
          <w:rFonts w:ascii="Times New Roman" w:hAnsi="Times New Roman" w:cs="Times New Roman"/>
          <w:b/>
          <w:sz w:val="28"/>
          <w:szCs w:val="28"/>
        </w:rPr>
        <w:t xml:space="preserve">Lorsque les conditions qui ont abouti </w:t>
      </w:r>
      <w:r w:rsidR="00782F3A" w:rsidRPr="008E7D6E">
        <w:rPr>
          <w:rFonts w:ascii="Arial" w:hAnsi="Arial" w:cs="Arial"/>
          <w:b/>
          <w:sz w:val="28"/>
          <w:szCs w:val="28"/>
        </w:rPr>
        <w:t>à</w:t>
      </w:r>
      <w:r w:rsidRPr="008E7D6E">
        <w:rPr>
          <w:rFonts w:ascii="Arial" w:hAnsi="Arial" w:cs="Arial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décision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du Ministre de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considérer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le brevet comme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épuisé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cessent d'exister, le Ministre peut,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A69" w:rsidRPr="008E7D6E">
        <w:rPr>
          <w:rFonts w:ascii="Times New Roman" w:hAnsi="Times New Roman" w:cs="Times New Roman"/>
          <w:b/>
          <w:sz w:val="28"/>
          <w:szCs w:val="28"/>
        </w:rPr>
        <w:t>d’office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ou sur la demande du titulaire du brevet ou du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propriétaire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la marque, annuler l'autorisation,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à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condition que les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intérêts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légitimes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de l'importateur soient sauvegard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é</w:t>
      </w:r>
      <w:r w:rsidRPr="008E7D6E">
        <w:rPr>
          <w:rFonts w:ascii="Times New Roman" w:hAnsi="Times New Roman" w:cs="Times New Roman"/>
          <w:b/>
          <w:sz w:val="28"/>
          <w:szCs w:val="28"/>
        </w:rPr>
        <w:t>s, avec notamment pour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conséquence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que l'importateur conserve le droit de commercialiser</w:t>
      </w:r>
      <w:r w:rsidR="00017162" w:rsidRPr="008E7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les produits qu'il </w:t>
      </w:r>
      <w:r w:rsidR="00782F3A" w:rsidRPr="008E7D6E">
        <w:rPr>
          <w:rFonts w:ascii="Times New Roman" w:hAnsi="Times New Roman" w:cs="Times New Roman"/>
          <w:b/>
          <w:sz w:val="28"/>
          <w:szCs w:val="28"/>
        </w:rPr>
        <w:t>détient</w:t>
      </w:r>
      <w:r w:rsidRPr="008E7D6E">
        <w:rPr>
          <w:rFonts w:ascii="Times New Roman" w:hAnsi="Times New Roman" w:cs="Times New Roman"/>
          <w:b/>
          <w:sz w:val="28"/>
          <w:szCs w:val="28"/>
        </w:rPr>
        <w:t xml:space="preserve"> en stock.</w:t>
      </w:r>
    </w:p>
    <w:p w:rsidR="00577D8D" w:rsidRDefault="00577D8D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078" w:rsidRDefault="00631078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078" w:rsidRPr="004F2FCB" w:rsidRDefault="00631078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F2FCB">
        <w:rPr>
          <w:rFonts w:ascii="Times New Roman" w:hAnsi="Times New Roman" w:cs="Times New Roman"/>
          <w:b/>
          <w:sz w:val="36"/>
          <w:szCs w:val="36"/>
        </w:rPr>
        <w:t>Quelle est la situation</w:t>
      </w:r>
      <w:r w:rsidR="00B018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F2FCB">
        <w:rPr>
          <w:rFonts w:ascii="Times New Roman" w:hAnsi="Times New Roman" w:cs="Times New Roman"/>
          <w:b/>
          <w:sz w:val="36"/>
          <w:szCs w:val="36"/>
        </w:rPr>
        <w:t>par rapport à cette flexibilité</w:t>
      </w:r>
      <w:r w:rsidR="004F2FCB" w:rsidRPr="004F2FCB">
        <w:rPr>
          <w:rFonts w:ascii="Times New Roman" w:hAnsi="Times New Roman" w:cs="Times New Roman"/>
          <w:b/>
          <w:sz w:val="36"/>
          <w:szCs w:val="36"/>
        </w:rPr>
        <w:t> ?</w:t>
      </w:r>
      <w:r w:rsidRPr="004F2FCB">
        <w:rPr>
          <w:rFonts w:ascii="Times New Roman" w:hAnsi="Times New Roman" w:cs="Times New Roman"/>
          <w:b/>
          <w:sz w:val="36"/>
          <w:szCs w:val="36"/>
        </w:rPr>
        <w:t> :</w:t>
      </w:r>
    </w:p>
    <w:p w:rsidR="00631078" w:rsidRPr="00631078" w:rsidRDefault="00631078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078" w:rsidRPr="00631078" w:rsidRDefault="00631078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1078">
        <w:rPr>
          <w:rFonts w:ascii="Times New Roman" w:hAnsi="Times New Roman" w:cs="Times New Roman"/>
          <w:b/>
          <w:sz w:val="28"/>
          <w:szCs w:val="28"/>
        </w:rPr>
        <w:t>Jusqu’aujourd’hui, pas de décision prise</w:t>
      </w:r>
      <w:r w:rsidR="004F2FCB">
        <w:rPr>
          <w:rFonts w:ascii="Times New Roman" w:hAnsi="Times New Roman" w:cs="Times New Roman"/>
          <w:b/>
          <w:sz w:val="28"/>
          <w:szCs w:val="28"/>
        </w:rPr>
        <w:t xml:space="preserve"> par les autorités</w:t>
      </w:r>
      <w:r w:rsidRPr="00631078">
        <w:rPr>
          <w:rFonts w:ascii="Times New Roman" w:hAnsi="Times New Roman" w:cs="Times New Roman"/>
          <w:b/>
          <w:sz w:val="28"/>
          <w:szCs w:val="28"/>
        </w:rPr>
        <w:t xml:space="preserve"> pour octroyer une licence obligatoire ni un cas d</w:t>
      </w:r>
      <w:r>
        <w:rPr>
          <w:rFonts w:ascii="Times New Roman" w:hAnsi="Times New Roman" w:cs="Times New Roman"/>
          <w:b/>
          <w:sz w:val="28"/>
          <w:szCs w:val="28"/>
        </w:rPr>
        <w:t>’</w:t>
      </w:r>
      <w:r w:rsidRPr="00631078">
        <w:rPr>
          <w:rFonts w:ascii="Times New Roman" w:hAnsi="Times New Roman" w:cs="Times New Roman"/>
          <w:b/>
          <w:sz w:val="28"/>
          <w:szCs w:val="28"/>
        </w:rPr>
        <w:t>épuisement du droit du titulaire du brevet</w:t>
      </w:r>
    </w:p>
    <w:p w:rsidR="00577D8D" w:rsidRDefault="00577D8D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762" w:rsidRDefault="009C2762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762" w:rsidRDefault="009C2762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762" w:rsidRDefault="009C2762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48F" w:rsidRDefault="0020248F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48F" w:rsidRDefault="0020248F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48F" w:rsidRDefault="0020248F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762" w:rsidRDefault="009C2762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762" w:rsidRPr="009C2762" w:rsidRDefault="009C2762" w:rsidP="00017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C2762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9C2762">
        <w:rPr>
          <w:rFonts w:ascii="Times New Roman" w:hAnsi="Times New Roman" w:cs="Times New Roman"/>
          <w:b/>
          <w:sz w:val="40"/>
          <w:szCs w:val="40"/>
        </w:rPr>
        <w:tab/>
        <w:t>JE VOUS REMERCIE</w:t>
      </w:r>
    </w:p>
    <w:p w:rsidR="00577D8D" w:rsidRPr="00A70F98" w:rsidRDefault="00577D8D" w:rsidP="00017162">
      <w:pPr>
        <w:autoSpaceDE w:val="0"/>
        <w:autoSpaceDN w:val="0"/>
        <w:adjustRightInd w:val="0"/>
        <w:spacing w:after="0" w:line="240" w:lineRule="auto"/>
      </w:pPr>
    </w:p>
    <w:sectPr w:rsidR="00577D8D" w:rsidRPr="00A70F98" w:rsidSect="008D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F5E" w:rsidRDefault="00856F5E" w:rsidP="00856F5E">
      <w:pPr>
        <w:spacing w:after="0" w:line="240" w:lineRule="auto"/>
      </w:pPr>
      <w:r>
        <w:separator/>
      </w:r>
    </w:p>
  </w:endnote>
  <w:endnote w:type="continuationSeparator" w:id="0">
    <w:p w:rsidR="00856F5E" w:rsidRDefault="00856F5E" w:rsidP="0085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F5E" w:rsidRDefault="00856F5E" w:rsidP="00856F5E">
      <w:pPr>
        <w:spacing w:after="0" w:line="240" w:lineRule="auto"/>
      </w:pPr>
      <w:r>
        <w:separator/>
      </w:r>
    </w:p>
  </w:footnote>
  <w:footnote w:type="continuationSeparator" w:id="0">
    <w:p w:rsidR="00856F5E" w:rsidRDefault="00856F5E" w:rsidP="00856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F9A"/>
    <w:rsid w:val="00017162"/>
    <w:rsid w:val="00026D7F"/>
    <w:rsid w:val="00046E16"/>
    <w:rsid w:val="000902AF"/>
    <w:rsid w:val="001261AC"/>
    <w:rsid w:val="00146538"/>
    <w:rsid w:val="00183D61"/>
    <w:rsid w:val="0020248F"/>
    <w:rsid w:val="00252D83"/>
    <w:rsid w:val="00295C84"/>
    <w:rsid w:val="002D7A11"/>
    <w:rsid w:val="00301958"/>
    <w:rsid w:val="00341EFB"/>
    <w:rsid w:val="00381A69"/>
    <w:rsid w:val="00385F9A"/>
    <w:rsid w:val="003E375E"/>
    <w:rsid w:val="00402816"/>
    <w:rsid w:val="00430E45"/>
    <w:rsid w:val="00455EF5"/>
    <w:rsid w:val="00457622"/>
    <w:rsid w:val="004A5D75"/>
    <w:rsid w:val="004C1EAF"/>
    <w:rsid w:val="004D4F1C"/>
    <w:rsid w:val="004F2BBF"/>
    <w:rsid w:val="004F2FCB"/>
    <w:rsid w:val="004F309A"/>
    <w:rsid w:val="004F6C9B"/>
    <w:rsid w:val="0051058D"/>
    <w:rsid w:val="005268FF"/>
    <w:rsid w:val="0053034E"/>
    <w:rsid w:val="00557BE0"/>
    <w:rsid w:val="00577D8D"/>
    <w:rsid w:val="00581586"/>
    <w:rsid w:val="005B38B6"/>
    <w:rsid w:val="005D0371"/>
    <w:rsid w:val="005E196C"/>
    <w:rsid w:val="005F4AF6"/>
    <w:rsid w:val="00631078"/>
    <w:rsid w:val="006C58D1"/>
    <w:rsid w:val="0073659E"/>
    <w:rsid w:val="00782F3A"/>
    <w:rsid w:val="00784EF6"/>
    <w:rsid w:val="0078797F"/>
    <w:rsid w:val="007C2696"/>
    <w:rsid w:val="007E692A"/>
    <w:rsid w:val="00800D83"/>
    <w:rsid w:val="00806E21"/>
    <w:rsid w:val="00831335"/>
    <w:rsid w:val="00833FB2"/>
    <w:rsid w:val="008434FB"/>
    <w:rsid w:val="00856F5E"/>
    <w:rsid w:val="008828DC"/>
    <w:rsid w:val="008D2284"/>
    <w:rsid w:val="008E7D6E"/>
    <w:rsid w:val="008E7DB0"/>
    <w:rsid w:val="00981A4A"/>
    <w:rsid w:val="009A0154"/>
    <w:rsid w:val="009A5A50"/>
    <w:rsid w:val="009B2D3D"/>
    <w:rsid w:val="009C2762"/>
    <w:rsid w:val="00A061BA"/>
    <w:rsid w:val="00A70F98"/>
    <w:rsid w:val="00AC26F8"/>
    <w:rsid w:val="00AC2CF1"/>
    <w:rsid w:val="00B0181E"/>
    <w:rsid w:val="00B45454"/>
    <w:rsid w:val="00B6222E"/>
    <w:rsid w:val="00B87D4E"/>
    <w:rsid w:val="00BD33B8"/>
    <w:rsid w:val="00BF0DE5"/>
    <w:rsid w:val="00C13583"/>
    <w:rsid w:val="00C458A6"/>
    <w:rsid w:val="00C70772"/>
    <w:rsid w:val="00C8055B"/>
    <w:rsid w:val="00C874D3"/>
    <w:rsid w:val="00CC6E7E"/>
    <w:rsid w:val="00D105D0"/>
    <w:rsid w:val="00D146FF"/>
    <w:rsid w:val="00D67594"/>
    <w:rsid w:val="00D8614D"/>
    <w:rsid w:val="00DB441E"/>
    <w:rsid w:val="00E83754"/>
    <w:rsid w:val="00E96918"/>
    <w:rsid w:val="00F06ECB"/>
    <w:rsid w:val="00F52077"/>
    <w:rsid w:val="00F97AD9"/>
    <w:rsid w:val="00FB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56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6F5E"/>
  </w:style>
  <w:style w:type="paragraph" w:styleId="Pieddepage">
    <w:name w:val="footer"/>
    <w:basedOn w:val="Normal"/>
    <w:link w:val="PieddepageCar"/>
    <w:uiPriority w:val="99"/>
    <w:semiHidden/>
    <w:unhideWhenUsed/>
    <w:rsid w:val="00856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6F5E"/>
  </w:style>
  <w:style w:type="paragraph" w:styleId="Textedebulles">
    <w:name w:val="Balloon Text"/>
    <w:basedOn w:val="Normal"/>
    <w:link w:val="TextedebullesCar"/>
    <w:uiPriority w:val="99"/>
    <w:semiHidden/>
    <w:unhideWhenUsed/>
    <w:rsid w:val="004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</dc:creator>
  <cp:lastModifiedBy>OMPI1</cp:lastModifiedBy>
  <cp:revision>61</cp:revision>
  <dcterms:created xsi:type="dcterms:W3CDTF">2013-01-23T08:43:00Z</dcterms:created>
  <dcterms:modified xsi:type="dcterms:W3CDTF">2013-01-31T08:18:00Z</dcterms:modified>
</cp:coreProperties>
</file>