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13709739" w14:textId="77777777">
        <w:tc>
          <w:tcPr>
            <w:tcW w:w="4513" w:type="dxa"/>
            <w:tcBorders>
              <w:bottom w:val="single" w:sz="4" w:space="0" w:color="auto"/>
            </w:tcBorders>
            <w:tcMar>
              <w:bottom w:w="170" w:type="dxa"/>
            </w:tcMar>
          </w:tcPr>
          <w:p w14:paraId="6AB92C43" w14:textId="77777777" w:rsidR="00EC4E49" w:rsidRPr="008B2CC1" w:rsidRDefault="00EC4E49" w:rsidP="003F189A"/>
        </w:tc>
        <w:tc>
          <w:tcPr>
            <w:tcW w:w="4337" w:type="dxa"/>
            <w:tcBorders>
              <w:bottom w:val="single" w:sz="4" w:space="0" w:color="auto"/>
            </w:tcBorders>
            <w:tcMar>
              <w:left w:w="0" w:type="dxa"/>
              <w:right w:w="0" w:type="dxa"/>
            </w:tcMar>
          </w:tcPr>
          <w:p w14:paraId="5CE3F336" w14:textId="77777777" w:rsidR="00EC4E49" w:rsidRPr="008B2CC1" w:rsidRDefault="00B020F0" w:rsidP="003F189A">
            <w:r>
              <w:rPr>
                <w:noProof/>
                <w:lang w:eastAsia="en-US"/>
              </w:rPr>
              <w:drawing>
                <wp:inline distT="0" distB="0" distL="0" distR="0" wp14:anchorId="1D2DFD4F" wp14:editId="085B8E4D">
                  <wp:extent cx="1856105" cy="132080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080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2FF63589" w14:textId="77777777" w:rsidR="00EC4E49" w:rsidRPr="008B2CC1" w:rsidRDefault="00EC4E49" w:rsidP="003F189A">
            <w:pPr>
              <w:jc w:val="right"/>
            </w:pPr>
            <w:r w:rsidRPr="00605827">
              <w:rPr>
                <w:b/>
                <w:sz w:val="40"/>
                <w:szCs w:val="40"/>
              </w:rPr>
              <w:t>E</w:t>
            </w:r>
          </w:p>
        </w:tc>
      </w:tr>
      <w:tr w:rsidR="008B2CC1" w:rsidRPr="001832A6" w14:paraId="25E685FB" w14:textId="77777777">
        <w:trPr>
          <w:trHeight w:hRule="exact" w:val="340"/>
        </w:trPr>
        <w:tc>
          <w:tcPr>
            <w:tcW w:w="9356" w:type="dxa"/>
            <w:gridSpan w:val="3"/>
            <w:tcBorders>
              <w:top w:val="single" w:sz="4" w:space="0" w:color="auto"/>
            </w:tcBorders>
            <w:tcMar>
              <w:top w:w="170" w:type="dxa"/>
              <w:left w:w="0" w:type="dxa"/>
              <w:right w:w="0" w:type="dxa"/>
            </w:tcMar>
            <w:vAlign w:val="bottom"/>
          </w:tcPr>
          <w:p w14:paraId="61662000" w14:textId="77777777" w:rsidR="008B2CC1" w:rsidRPr="0090731E" w:rsidRDefault="001B007D" w:rsidP="003F189A">
            <w:pPr>
              <w:jc w:val="right"/>
              <w:rPr>
                <w:rFonts w:ascii="Arial Black" w:hAnsi="Arial Black"/>
                <w:caps/>
                <w:sz w:val="15"/>
              </w:rPr>
            </w:pPr>
            <w:r w:rsidRPr="001B007D">
              <w:rPr>
                <w:rFonts w:ascii="Arial Black" w:hAnsi="Arial Black"/>
                <w:caps/>
                <w:sz w:val="15"/>
              </w:rPr>
              <w:t>SCP/</w:t>
            </w:r>
            <w:r w:rsidR="005A3D36">
              <w:rPr>
                <w:rFonts w:ascii="Arial Black" w:hAnsi="Arial Black"/>
                <w:caps/>
                <w:sz w:val="15"/>
              </w:rPr>
              <w:t>20</w:t>
            </w:r>
            <w:r w:rsidRPr="001B007D">
              <w:rPr>
                <w:rFonts w:ascii="Arial Black" w:hAnsi="Arial Black"/>
                <w:caps/>
                <w:sz w:val="15"/>
              </w:rPr>
              <w:t>/</w:t>
            </w:r>
            <w:bookmarkStart w:id="0" w:name="Code"/>
            <w:bookmarkEnd w:id="0"/>
            <w:r w:rsidR="00744F80">
              <w:rPr>
                <w:rFonts w:ascii="Arial Black" w:hAnsi="Arial Black"/>
                <w:caps/>
                <w:sz w:val="15"/>
              </w:rPr>
              <w:t>6</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14:paraId="22B5F3F9" w14:textId="77777777">
        <w:trPr>
          <w:trHeight w:hRule="exact" w:val="170"/>
        </w:trPr>
        <w:tc>
          <w:tcPr>
            <w:tcW w:w="9356" w:type="dxa"/>
            <w:gridSpan w:val="3"/>
            <w:noWrap/>
            <w:tcMar>
              <w:left w:w="0" w:type="dxa"/>
              <w:right w:w="0" w:type="dxa"/>
            </w:tcMar>
            <w:vAlign w:val="bottom"/>
          </w:tcPr>
          <w:p w14:paraId="17AEA9D4" w14:textId="77777777" w:rsidR="008B2CC1" w:rsidRPr="0090731E" w:rsidRDefault="008B2CC1" w:rsidP="003F189A">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C04F3C">
              <w:rPr>
                <w:rFonts w:ascii="Arial Black" w:hAnsi="Arial Black"/>
                <w:caps/>
                <w:sz w:val="15"/>
              </w:rPr>
              <w:t>English</w:t>
            </w:r>
          </w:p>
        </w:tc>
      </w:tr>
      <w:tr w:rsidR="008B2CC1" w:rsidRPr="001832A6" w14:paraId="4CAB9201" w14:textId="77777777">
        <w:trPr>
          <w:trHeight w:hRule="exact" w:val="198"/>
        </w:trPr>
        <w:tc>
          <w:tcPr>
            <w:tcW w:w="9356" w:type="dxa"/>
            <w:gridSpan w:val="3"/>
            <w:tcMar>
              <w:left w:w="0" w:type="dxa"/>
              <w:right w:w="0" w:type="dxa"/>
            </w:tcMar>
            <w:vAlign w:val="bottom"/>
          </w:tcPr>
          <w:p w14:paraId="395D55A6" w14:textId="3A49E46C" w:rsidR="008B2CC1" w:rsidRPr="0090731E" w:rsidRDefault="008B2CC1" w:rsidP="003F189A">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8C5D5C">
              <w:rPr>
                <w:rFonts w:ascii="Arial Black" w:hAnsi="Arial Black"/>
                <w:caps/>
                <w:sz w:val="15"/>
              </w:rPr>
              <w:t>October 21</w:t>
            </w:r>
            <w:r w:rsidR="00C04F3C">
              <w:rPr>
                <w:rFonts w:ascii="Arial Black" w:hAnsi="Arial Black"/>
                <w:caps/>
                <w:sz w:val="15"/>
              </w:rPr>
              <w:t>, 201</w:t>
            </w:r>
            <w:r w:rsidR="005A3D36">
              <w:rPr>
                <w:rFonts w:ascii="Arial Black" w:hAnsi="Arial Black"/>
                <w:caps/>
                <w:sz w:val="15"/>
              </w:rPr>
              <w:t>3</w:t>
            </w:r>
          </w:p>
        </w:tc>
      </w:tr>
    </w:tbl>
    <w:p w14:paraId="6D0CFBE3" w14:textId="77777777" w:rsidR="008B2CC1" w:rsidRPr="008B2CC1" w:rsidRDefault="008B2CC1" w:rsidP="003F189A"/>
    <w:p w14:paraId="26283744" w14:textId="77777777" w:rsidR="008B2CC1" w:rsidRPr="008B2CC1" w:rsidRDefault="008B2CC1" w:rsidP="003F189A"/>
    <w:p w14:paraId="6FDCF2A8" w14:textId="77777777" w:rsidR="008B2CC1" w:rsidRPr="008B2CC1" w:rsidRDefault="008B2CC1" w:rsidP="003F189A"/>
    <w:p w14:paraId="0A5617C3" w14:textId="77777777" w:rsidR="008B2CC1" w:rsidRPr="008B2CC1" w:rsidRDefault="008B2CC1" w:rsidP="003F189A"/>
    <w:p w14:paraId="23DA49B7" w14:textId="77777777" w:rsidR="008B2CC1" w:rsidRPr="008B2CC1" w:rsidRDefault="008B2CC1" w:rsidP="003F189A"/>
    <w:p w14:paraId="084ABBF7" w14:textId="77777777" w:rsidR="008B2CC1" w:rsidRPr="003845C1" w:rsidRDefault="001B007D" w:rsidP="003F189A">
      <w:pPr>
        <w:rPr>
          <w:b/>
          <w:sz w:val="28"/>
          <w:szCs w:val="28"/>
        </w:rPr>
      </w:pPr>
      <w:r w:rsidRPr="001B007D">
        <w:rPr>
          <w:b/>
          <w:sz w:val="28"/>
          <w:szCs w:val="28"/>
        </w:rPr>
        <w:t>Standing Committee on the Law of Patents</w:t>
      </w:r>
    </w:p>
    <w:p w14:paraId="361994F9" w14:textId="77777777" w:rsidR="003845C1" w:rsidRDefault="003845C1" w:rsidP="003F189A"/>
    <w:p w14:paraId="0E74EEAD" w14:textId="77777777" w:rsidR="003845C1" w:rsidRDefault="003845C1" w:rsidP="003F189A"/>
    <w:p w14:paraId="36F50AA3" w14:textId="77777777" w:rsidR="008B2CC1" w:rsidRPr="003845C1" w:rsidRDefault="005A3D36" w:rsidP="005A3D36">
      <w:pPr>
        <w:rPr>
          <w:b/>
          <w:sz w:val="24"/>
          <w:szCs w:val="24"/>
        </w:rPr>
      </w:pPr>
      <w:r>
        <w:rPr>
          <w:b/>
          <w:sz w:val="24"/>
          <w:szCs w:val="24"/>
        </w:rPr>
        <w:t>Twentieth</w:t>
      </w:r>
      <w:r w:rsidR="001B007D" w:rsidRPr="001B007D">
        <w:rPr>
          <w:b/>
          <w:sz w:val="24"/>
          <w:szCs w:val="24"/>
        </w:rPr>
        <w:t xml:space="preserve"> Session</w:t>
      </w:r>
    </w:p>
    <w:p w14:paraId="71A5D3FF" w14:textId="43241640" w:rsidR="008B2CC1" w:rsidRPr="003845C1" w:rsidRDefault="001B007D" w:rsidP="005A3D36">
      <w:pPr>
        <w:rPr>
          <w:b/>
          <w:sz w:val="24"/>
          <w:szCs w:val="24"/>
        </w:rPr>
      </w:pPr>
      <w:r w:rsidRPr="001B007D">
        <w:rPr>
          <w:b/>
          <w:sz w:val="24"/>
          <w:szCs w:val="24"/>
        </w:rPr>
        <w:t xml:space="preserve">Geneva, </w:t>
      </w:r>
      <w:r w:rsidR="00AD49C7">
        <w:rPr>
          <w:b/>
          <w:sz w:val="24"/>
          <w:szCs w:val="24"/>
        </w:rPr>
        <w:t>January 27</w:t>
      </w:r>
      <w:r w:rsidRPr="001B007D">
        <w:rPr>
          <w:b/>
          <w:sz w:val="24"/>
          <w:szCs w:val="24"/>
        </w:rPr>
        <w:t xml:space="preserve"> to </w:t>
      </w:r>
      <w:r w:rsidR="00AD49C7">
        <w:rPr>
          <w:b/>
          <w:sz w:val="24"/>
          <w:szCs w:val="24"/>
        </w:rPr>
        <w:t>31</w:t>
      </w:r>
      <w:r w:rsidRPr="001B007D">
        <w:rPr>
          <w:b/>
          <w:sz w:val="24"/>
          <w:szCs w:val="24"/>
        </w:rPr>
        <w:t>, 201</w:t>
      </w:r>
      <w:r w:rsidR="00AD49C7">
        <w:rPr>
          <w:b/>
          <w:sz w:val="24"/>
          <w:szCs w:val="24"/>
        </w:rPr>
        <w:t>4</w:t>
      </w:r>
    </w:p>
    <w:p w14:paraId="01C2D41A" w14:textId="77777777" w:rsidR="008B2CC1" w:rsidRPr="008B2CC1" w:rsidRDefault="008B2CC1" w:rsidP="003F189A"/>
    <w:p w14:paraId="2A4FA3AB" w14:textId="77777777" w:rsidR="008B2CC1" w:rsidRPr="008B2CC1" w:rsidRDefault="008B2CC1" w:rsidP="003F189A"/>
    <w:p w14:paraId="4C468FC5" w14:textId="77777777" w:rsidR="008B2CC1" w:rsidRPr="008B2CC1" w:rsidRDefault="008B2CC1" w:rsidP="003F189A"/>
    <w:p w14:paraId="4A064F55" w14:textId="77777777" w:rsidR="00C04F3C" w:rsidRPr="003845C1" w:rsidRDefault="00C04F3C" w:rsidP="00744F80">
      <w:pPr>
        <w:rPr>
          <w:caps/>
          <w:sz w:val="24"/>
        </w:rPr>
      </w:pPr>
      <w:bookmarkStart w:id="3" w:name="TitleOfDoc"/>
      <w:bookmarkEnd w:id="3"/>
      <w:r>
        <w:rPr>
          <w:caps/>
          <w:sz w:val="24"/>
        </w:rPr>
        <w:t>exceptions and limitations to patent rights</w:t>
      </w:r>
      <w:r w:rsidR="005A3D36">
        <w:rPr>
          <w:caps/>
          <w:sz w:val="24"/>
        </w:rPr>
        <w:t xml:space="preserve">: </w:t>
      </w:r>
      <w:r w:rsidR="00EC7B99">
        <w:rPr>
          <w:caps/>
          <w:sz w:val="24"/>
        </w:rPr>
        <w:t xml:space="preserve"> </w:t>
      </w:r>
      <w:r w:rsidR="00744F80">
        <w:rPr>
          <w:caps/>
          <w:sz w:val="24"/>
        </w:rPr>
        <w:t>prior use</w:t>
      </w:r>
    </w:p>
    <w:p w14:paraId="6F1E56C1" w14:textId="77777777" w:rsidR="00C04F3C" w:rsidRPr="008B2CC1" w:rsidRDefault="00C04F3C" w:rsidP="003F189A"/>
    <w:p w14:paraId="79F31302" w14:textId="77777777" w:rsidR="00C04F3C" w:rsidRPr="006B455F" w:rsidRDefault="00C04F3C" w:rsidP="003F189A">
      <w:pPr>
        <w:rPr>
          <w:i/>
          <w:szCs w:val="22"/>
        </w:rPr>
      </w:pPr>
      <w:r w:rsidRPr="006B455F">
        <w:rPr>
          <w:i/>
          <w:szCs w:val="22"/>
        </w:rPr>
        <w:t>Document prepared by the Secretariat</w:t>
      </w:r>
    </w:p>
    <w:p w14:paraId="7D2D3F51" w14:textId="77777777" w:rsidR="00C04F3C" w:rsidRPr="006B455F" w:rsidRDefault="00C04F3C" w:rsidP="003F189A">
      <w:pPr>
        <w:rPr>
          <w:szCs w:val="22"/>
        </w:rPr>
      </w:pPr>
    </w:p>
    <w:p w14:paraId="4BE2EF8D" w14:textId="77777777" w:rsidR="00F421BA" w:rsidRDefault="00F421BA" w:rsidP="003F189A">
      <w:pPr>
        <w:pStyle w:val="Endofdocument"/>
        <w:spacing w:after="0" w:line="240" w:lineRule="auto"/>
        <w:ind w:left="0"/>
        <w:rPr>
          <w:rFonts w:eastAsia="SimSun" w:cs="Arial"/>
          <w:sz w:val="22"/>
          <w:szCs w:val="22"/>
          <w:lang w:eastAsia="zh-CN"/>
        </w:rPr>
      </w:pPr>
      <w:bookmarkStart w:id="4" w:name="_Toc263948450"/>
    </w:p>
    <w:p w14:paraId="5C0CC811" w14:textId="77777777" w:rsidR="00C04F3C" w:rsidRDefault="00C04F3C" w:rsidP="003F189A">
      <w:pPr>
        <w:pStyle w:val="Endofdocument"/>
        <w:spacing w:after="0" w:line="240" w:lineRule="auto"/>
        <w:ind w:left="0"/>
        <w:rPr>
          <w:rFonts w:cs="Arial"/>
          <w:b/>
          <w:bCs/>
          <w:snapToGrid w:val="0"/>
          <w:sz w:val="22"/>
          <w:szCs w:val="22"/>
        </w:rPr>
      </w:pPr>
      <w:r w:rsidRPr="00703454">
        <w:rPr>
          <w:rFonts w:cs="Arial"/>
          <w:b/>
          <w:bCs/>
          <w:snapToGrid w:val="0"/>
          <w:sz w:val="22"/>
          <w:szCs w:val="22"/>
        </w:rPr>
        <w:t>INTRODUCTION</w:t>
      </w:r>
      <w:bookmarkEnd w:id="4"/>
    </w:p>
    <w:p w14:paraId="716417D4" w14:textId="77777777" w:rsidR="00664B5E" w:rsidRDefault="00664B5E" w:rsidP="003F189A">
      <w:pPr>
        <w:pStyle w:val="Endofdocument"/>
        <w:spacing w:after="0" w:line="240" w:lineRule="auto"/>
        <w:ind w:left="0"/>
        <w:rPr>
          <w:rFonts w:cs="Arial"/>
          <w:b/>
          <w:bCs/>
          <w:snapToGrid w:val="0"/>
          <w:sz w:val="22"/>
          <w:szCs w:val="22"/>
        </w:rPr>
      </w:pPr>
    </w:p>
    <w:p w14:paraId="27F3102F" w14:textId="33F35D77" w:rsidR="00081B51" w:rsidRDefault="00081B51" w:rsidP="00081B51">
      <w:pPr>
        <w:autoSpaceDE w:val="0"/>
        <w:autoSpaceDN w:val="0"/>
        <w:adjustRightInd w:val="0"/>
        <w:rPr>
          <w:rFonts w:eastAsia="Times New Roman"/>
          <w:szCs w:val="22"/>
          <w:lang w:eastAsia="en-US"/>
        </w:rPr>
      </w:pPr>
      <w:r>
        <w:fldChar w:fldCharType="begin"/>
      </w:r>
      <w:r>
        <w:instrText xml:space="preserve"> AUTONUM  </w:instrText>
      </w:r>
      <w:r>
        <w:fldChar w:fldCharType="end"/>
      </w:r>
      <w:r>
        <w:tab/>
        <w:t xml:space="preserve">At its nineteenth session, held from February 25 to 28, 2013, the Standing Committee </w:t>
      </w:r>
      <w:r>
        <w:br/>
        <w:t xml:space="preserve">on the Law of Patents (SCP) agreed that, in relation to </w:t>
      </w:r>
      <w:r w:rsidRPr="00664B5E">
        <w:t xml:space="preserve">the topic </w:t>
      </w:r>
      <w:r>
        <w:t>“exceptions and limitations to patent rights”</w:t>
      </w:r>
      <w:r w:rsidRPr="00664B5E">
        <w:t xml:space="preserve">, </w:t>
      </w:r>
      <w:r>
        <w:t>t</w:t>
      </w:r>
      <w:r>
        <w:rPr>
          <w:rFonts w:eastAsia="Times New Roman"/>
          <w:szCs w:val="22"/>
          <w:lang w:eastAsia="en-US"/>
        </w:rPr>
        <w:t>he Secretariat would prepare</w:t>
      </w:r>
      <w:r>
        <w:t xml:space="preserve">, </w:t>
      </w:r>
      <w:r w:rsidRPr="0004637C">
        <w:rPr>
          <w:i/>
        </w:rPr>
        <w:t>inter alia</w:t>
      </w:r>
      <w:r>
        <w:t xml:space="preserve">, </w:t>
      </w:r>
      <w:r>
        <w:rPr>
          <w:rFonts w:eastAsia="Times New Roman"/>
          <w:szCs w:val="22"/>
          <w:lang w:eastAsia="en-US"/>
        </w:rPr>
        <w:t xml:space="preserve">a document, based on input received from Member States, on how the following five exceptions and limitations </w:t>
      </w:r>
      <w:r w:rsidR="00AD49C7">
        <w:rPr>
          <w:rFonts w:eastAsia="Times New Roman"/>
          <w:szCs w:val="22"/>
          <w:lang w:eastAsia="en-US"/>
        </w:rPr>
        <w:t>were</w:t>
      </w:r>
      <w:r>
        <w:rPr>
          <w:rFonts w:eastAsia="Times New Roman"/>
          <w:szCs w:val="22"/>
          <w:lang w:eastAsia="en-US"/>
        </w:rPr>
        <w:t xml:space="preserve"> implemented in Member States, without evaluating the effectiveness of those exceptions and limitations: private and/or non-commercial use; experimental use and/or scientific research; preparation of medicines; prior use; use of articles on foreign vessels, aircrafts and land vehicles.  The document should also cover practical challenges encountered by Member States in implementing them.  </w:t>
      </w:r>
    </w:p>
    <w:p w14:paraId="32C0B1C4" w14:textId="77777777" w:rsidR="00081B51" w:rsidRDefault="00081B51" w:rsidP="00081B51">
      <w:pPr>
        <w:autoSpaceDE w:val="0"/>
        <w:autoSpaceDN w:val="0"/>
        <w:adjustRightInd w:val="0"/>
        <w:rPr>
          <w:rFonts w:eastAsia="Times New Roman"/>
          <w:szCs w:val="22"/>
          <w:lang w:eastAsia="en-US"/>
        </w:rPr>
      </w:pPr>
    </w:p>
    <w:p w14:paraId="25708C1D" w14:textId="77777777" w:rsidR="00A20511" w:rsidRDefault="00081B51" w:rsidP="00AA7935">
      <w:pPr>
        <w:autoSpaceDE w:val="0"/>
        <w:autoSpaceDN w:val="0"/>
        <w:adjustRightInd w:val="0"/>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t>Pursuant to the above decision, the Secretariat invited</w:t>
      </w:r>
      <w:r w:rsidRPr="00152920">
        <w:rPr>
          <w:rFonts w:eastAsia="Times New Roman"/>
          <w:szCs w:val="22"/>
          <w:lang w:eastAsia="en-US"/>
        </w:rPr>
        <w:t>, through Note C.8261, Member States and Regional Patent Offices to submit information to the International Bureau additional to, or updating, the information contained in their responses to the questionnaire on exceptions and limitations to patent rights (hereafter “the questionnaire”) on the above five exceptions and limitations.  In addition, Member States and Regional Patent Offices that had not yet submitted their responses to the questionnaire were invited to do so.</w:t>
      </w:r>
    </w:p>
    <w:p w14:paraId="69BBFB31" w14:textId="77777777" w:rsidR="005F3834" w:rsidRDefault="005F3834" w:rsidP="00AA7935">
      <w:pPr>
        <w:autoSpaceDE w:val="0"/>
        <w:autoSpaceDN w:val="0"/>
        <w:adjustRightInd w:val="0"/>
        <w:rPr>
          <w:rFonts w:eastAsia="Times New Roman"/>
          <w:szCs w:val="22"/>
          <w:lang w:eastAsia="en-US"/>
        </w:rPr>
      </w:pPr>
    </w:p>
    <w:p w14:paraId="6BA06BA7" w14:textId="7D202CD8" w:rsidR="005F3834" w:rsidRDefault="00A20511" w:rsidP="003D4C43">
      <w:pPr>
        <w:autoSpaceDE w:val="0"/>
        <w:autoSpaceDN w:val="0"/>
        <w:adjustRightInd w:val="0"/>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5F3834">
        <w:rPr>
          <w:rFonts w:eastAsia="Times New Roman"/>
          <w:szCs w:val="22"/>
          <w:lang w:eastAsia="en-US"/>
        </w:rPr>
        <w:t xml:space="preserve">Accordingly, this document provides information on </w:t>
      </w:r>
      <w:r w:rsidR="005F3834" w:rsidRPr="00ED5435">
        <w:rPr>
          <w:rFonts w:eastAsia="Times New Roman"/>
          <w:szCs w:val="22"/>
          <w:lang w:eastAsia="en-US"/>
        </w:rPr>
        <w:t xml:space="preserve">how </w:t>
      </w:r>
      <w:r w:rsidR="005F3834" w:rsidRPr="00B8564E">
        <w:rPr>
          <w:szCs w:val="22"/>
          <w:u w:val="single"/>
        </w:rPr>
        <w:t>prior use exception</w:t>
      </w:r>
      <w:r w:rsidR="00CA5F1C">
        <w:rPr>
          <w:szCs w:val="22"/>
          <w:u w:val="single"/>
        </w:rPr>
        <w:t>s</w:t>
      </w:r>
      <w:r w:rsidR="005F3834" w:rsidRPr="005F1074">
        <w:rPr>
          <w:szCs w:val="22"/>
        </w:rPr>
        <w:t xml:space="preserve"> </w:t>
      </w:r>
      <w:r w:rsidR="005F3834">
        <w:rPr>
          <w:szCs w:val="22"/>
        </w:rPr>
        <w:t>have been</w:t>
      </w:r>
      <w:r w:rsidR="005F3834" w:rsidRPr="005F1074">
        <w:rPr>
          <w:rFonts w:eastAsia="Times New Roman"/>
          <w:szCs w:val="22"/>
          <w:lang w:eastAsia="en-US"/>
        </w:rPr>
        <w:t xml:space="preserve"> implemented in Member States</w:t>
      </w:r>
      <w:r w:rsidR="005F3834" w:rsidRPr="00556863">
        <w:rPr>
          <w:rFonts w:eastAsia="Times New Roman"/>
          <w:szCs w:val="22"/>
          <w:lang w:eastAsia="en-US"/>
        </w:rPr>
        <w:t>.</w:t>
      </w:r>
      <w:r w:rsidR="005F3834">
        <w:rPr>
          <w:rFonts w:eastAsia="Times New Roman"/>
          <w:szCs w:val="22"/>
          <w:lang w:eastAsia="en-US"/>
        </w:rPr>
        <w:t xml:space="preserve">  </w:t>
      </w:r>
      <w:r w:rsidR="005F3834" w:rsidRPr="00AA0E40">
        <w:rPr>
          <w:rFonts w:eastAsia="Times New Roman"/>
          <w:color w:val="000000"/>
          <w:szCs w:val="22"/>
          <w:lang w:eastAsia="en-US"/>
        </w:rPr>
        <w:t xml:space="preserve">The document </w:t>
      </w:r>
      <w:r w:rsidR="005F3834">
        <w:rPr>
          <w:rFonts w:eastAsia="Times New Roman"/>
          <w:color w:val="000000"/>
          <w:szCs w:val="22"/>
          <w:lang w:eastAsia="en-US"/>
        </w:rPr>
        <w:t>aims at providing</w:t>
      </w:r>
      <w:r w:rsidR="005F3834" w:rsidRPr="00AA0E40">
        <w:rPr>
          <w:rFonts w:eastAsia="Times New Roman"/>
          <w:color w:val="000000"/>
          <w:szCs w:val="22"/>
          <w:lang w:eastAsia="en-US"/>
        </w:rPr>
        <w:t xml:space="preserve"> </w:t>
      </w:r>
      <w:r w:rsidR="005F3834">
        <w:rPr>
          <w:rFonts w:eastAsia="Times New Roman"/>
          <w:color w:val="000000"/>
          <w:szCs w:val="22"/>
          <w:lang w:eastAsia="en-US"/>
        </w:rPr>
        <w:t>a</w:t>
      </w:r>
      <w:r w:rsidR="005F3834" w:rsidRPr="00AA0E40">
        <w:rPr>
          <w:rFonts w:eastAsia="Times New Roman"/>
          <w:color w:val="000000"/>
          <w:szCs w:val="22"/>
          <w:lang w:eastAsia="en-US"/>
        </w:rPr>
        <w:t xml:space="preserve"> comprehensive </w:t>
      </w:r>
      <w:r w:rsidR="005F3834">
        <w:rPr>
          <w:rFonts w:eastAsia="Times New Roman"/>
          <w:color w:val="000000"/>
          <w:szCs w:val="22"/>
          <w:lang w:eastAsia="en-US"/>
        </w:rPr>
        <w:t xml:space="preserve">and comparative </w:t>
      </w:r>
      <w:r w:rsidR="005F3834" w:rsidRPr="00AA0E40">
        <w:rPr>
          <w:rFonts w:eastAsia="Times New Roman"/>
          <w:color w:val="000000"/>
          <w:szCs w:val="22"/>
          <w:lang w:eastAsia="en-US"/>
        </w:rPr>
        <w:t>overview of</w:t>
      </w:r>
      <w:r w:rsidR="005F3834">
        <w:rPr>
          <w:rFonts w:eastAsia="Times New Roman"/>
          <w:color w:val="000000"/>
          <w:szCs w:val="22"/>
          <w:lang w:eastAsia="en-US"/>
        </w:rPr>
        <w:t xml:space="preserve"> the</w:t>
      </w:r>
      <w:r w:rsidR="005F3834" w:rsidRPr="00AA0E40">
        <w:rPr>
          <w:rFonts w:eastAsia="Times New Roman"/>
          <w:color w:val="000000"/>
          <w:szCs w:val="22"/>
          <w:lang w:eastAsia="en-US"/>
        </w:rPr>
        <w:t xml:space="preserve"> implementation </w:t>
      </w:r>
      <w:r w:rsidR="005F3834">
        <w:rPr>
          <w:rFonts w:eastAsia="Times New Roman"/>
          <w:color w:val="000000"/>
          <w:szCs w:val="22"/>
          <w:lang w:eastAsia="en-US"/>
        </w:rPr>
        <w:t>of a</w:t>
      </w:r>
      <w:r w:rsidR="00AD49C7">
        <w:rPr>
          <w:rFonts w:eastAsia="Times New Roman"/>
          <w:color w:val="000000"/>
          <w:szCs w:val="22"/>
          <w:lang w:eastAsia="en-US"/>
        </w:rPr>
        <w:t xml:space="preserve"> prior use</w:t>
      </w:r>
      <w:r w:rsidR="005F3834">
        <w:rPr>
          <w:rFonts w:eastAsia="Times New Roman"/>
          <w:color w:val="000000"/>
          <w:szCs w:val="22"/>
          <w:lang w:eastAsia="en-US"/>
        </w:rPr>
        <w:t xml:space="preserve"> </w:t>
      </w:r>
      <w:r w:rsidR="005F3834" w:rsidRPr="00ED5435">
        <w:rPr>
          <w:szCs w:val="22"/>
        </w:rPr>
        <w:t>exception</w:t>
      </w:r>
      <w:r w:rsidR="005F3834" w:rsidRPr="005F1074">
        <w:rPr>
          <w:szCs w:val="22"/>
        </w:rPr>
        <w:t xml:space="preserve"> </w:t>
      </w:r>
      <w:r w:rsidR="00AD49C7">
        <w:rPr>
          <w:szCs w:val="22"/>
        </w:rPr>
        <w:t>und</w:t>
      </w:r>
      <w:r w:rsidR="005F3834" w:rsidRPr="00AA0E40">
        <w:rPr>
          <w:rFonts w:eastAsia="Times New Roman"/>
          <w:color w:val="000000"/>
          <w:szCs w:val="22"/>
          <w:lang w:eastAsia="en-US"/>
        </w:rPr>
        <w:t xml:space="preserve">er the applicable laws of Member States.  </w:t>
      </w:r>
      <w:r w:rsidR="005F3834">
        <w:rPr>
          <w:rFonts w:eastAsia="Times New Roman"/>
          <w:color w:val="000000"/>
          <w:szCs w:val="22"/>
          <w:lang w:eastAsia="en-US"/>
        </w:rPr>
        <w:t>R</w:t>
      </w:r>
      <w:r w:rsidR="005F3834" w:rsidRPr="00AA0E40">
        <w:rPr>
          <w:rFonts w:eastAsia="Times New Roman"/>
          <w:color w:val="000000"/>
          <w:szCs w:val="22"/>
          <w:lang w:eastAsia="en-US"/>
        </w:rPr>
        <w:t xml:space="preserve">eference is made to the original responses submitted by the Member States and </w:t>
      </w:r>
      <w:r w:rsidR="005F3834">
        <w:rPr>
          <w:rFonts w:eastAsia="Times New Roman"/>
          <w:color w:val="000000"/>
          <w:szCs w:val="22"/>
          <w:lang w:eastAsia="en-US"/>
        </w:rPr>
        <w:t xml:space="preserve">a </w:t>
      </w:r>
      <w:r w:rsidR="005F3834" w:rsidRPr="00AA0E40">
        <w:rPr>
          <w:rFonts w:eastAsia="Times New Roman"/>
          <w:color w:val="000000"/>
          <w:szCs w:val="22"/>
          <w:lang w:eastAsia="en-US"/>
        </w:rPr>
        <w:t xml:space="preserve">regional patent office to </w:t>
      </w:r>
      <w:r w:rsidR="005F3834">
        <w:rPr>
          <w:rFonts w:eastAsia="Times New Roman"/>
          <w:color w:val="000000"/>
          <w:szCs w:val="22"/>
          <w:lang w:eastAsia="en-US"/>
        </w:rPr>
        <w:t xml:space="preserve">clarify </w:t>
      </w:r>
      <w:r w:rsidR="005F3834" w:rsidRPr="00AA0E40">
        <w:rPr>
          <w:rFonts w:eastAsia="Times New Roman"/>
          <w:color w:val="000000"/>
          <w:szCs w:val="22"/>
          <w:lang w:eastAsia="en-US"/>
        </w:rPr>
        <w:t xml:space="preserve">the scope of the exception in </w:t>
      </w:r>
      <w:r w:rsidR="00641685">
        <w:rPr>
          <w:rFonts w:eastAsia="Times New Roman"/>
          <w:color w:val="000000"/>
          <w:szCs w:val="22"/>
          <w:lang w:eastAsia="en-US"/>
        </w:rPr>
        <w:t xml:space="preserve">a particular jurisdiction.  </w:t>
      </w:r>
      <w:r w:rsidR="005F3834">
        <w:rPr>
          <w:rFonts w:eastAsia="Times New Roman"/>
          <w:color w:val="000000"/>
          <w:szCs w:val="22"/>
          <w:lang w:eastAsia="en-US"/>
        </w:rPr>
        <w:t xml:space="preserve">The </w:t>
      </w:r>
      <w:proofErr w:type="gramStart"/>
      <w:r w:rsidR="005F3834">
        <w:rPr>
          <w:rFonts w:eastAsia="Times New Roman"/>
          <w:color w:val="000000"/>
          <w:szCs w:val="22"/>
          <w:lang w:eastAsia="en-US"/>
        </w:rPr>
        <w:t>q</w:t>
      </w:r>
      <w:r w:rsidR="005F3834" w:rsidRPr="00AA0E40">
        <w:rPr>
          <w:rFonts w:eastAsia="Times New Roman"/>
          <w:color w:val="000000"/>
          <w:szCs w:val="22"/>
          <w:lang w:eastAsia="en-US"/>
        </w:rPr>
        <w:t>uestionnaire as well as the responses received from Member States are</w:t>
      </w:r>
      <w:proofErr w:type="gramEnd"/>
      <w:r w:rsidR="005F3834" w:rsidRPr="00AA0E40">
        <w:rPr>
          <w:rFonts w:eastAsia="Times New Roman"/>
          <w:color w:val="000000"/>
          <w:szCs w:val="22"/>
          <w:lang w:eastAsia="en-US"/>
        </w:rPr>
        <w:t xml:space="preserve"> available in full on the website of the SCP electronic forum at</w:t>
      </w:r>
      <w:r w:rsidR="005F3834" w:rsidRPr="00505889">
        <w:rPr>
          <w:rFonts w:eastAsia="Times New Roman"/>
          <w:color w:val="000000"/>
          <w:szCs w:val="22"/>
          <w:lang w:eastAsia="en-US"/>
        </w:rPr>
        <w:t xml:space="preserve">: </w:t>
      </w:r>
      <w:hyperlink r:id="rId10" w:history="1">
        <w:r w:rsidR="005F3834" w:rsidRPr="00DE79D6">
          <w:rPr>
            <w:rStyle w:val="Hyperlink"/>
            <w:rFonts w:eastAsia="Times New Roman"/>
            <w:szCs w:val="22"/>
            <w:lang w:eastAsia="en-US"/>
          </w:rPr>
          <w:t>http://www.wipo.int/scp/en/exceptions/</w:t>
        </w:r>
      </w:hyperlink>
      <w:r w:rsidR="005F3834">
        <w:rPr>
          <w:rFonts w:eastAsia="Times New Roman"/>
          <w:color w:val="0000FF"/>
          <w:szCs w:val="22"/>
          <w:lang w:eastAsia="en-US"/>
        </w:rPr>
        <w:t xml:space="preserve">.  </w:t>
      </w:r>
      <w:r w:rsidR="005F3834" w:rsidRPr="00505889">
        <w:rPr>
          <w:rFonts w:eastAsia="Times New Roman"/>
          <w:color w:val="000000"/>
          <w:szCs w:val="22"/>
          <w:lang w:eastAsia="en-US"/>
        </w:rPr>
        <w:t xml:space="preserve">With a </w:t>
      </w:r>
      <w:r w:rsidR="005F3834" w:rsidRPr="00AA0E40">
        <w:rPr>
          <w:rFonts w:eastAsia="Times New Roman"/>
          <w:color w:val="000000"/>
          <w:szCs w:val="22"/>
          <w:lang w:eastAsia="en-US"/>
        </w:rPr>
        <w:t xml:space="preserve">view to assisting easier access to the information </w:t>
      </w:r>
      <w:r w:rsidR="005F3834" w:rsidRPr="00AA0E40">
        <w:rPr>
          <w:rFonts w:eastAsia="Times New Roman"/>
          <w:color w:val="000000"/>
          <w:szCs w:val="22"/>
          <w:lang w:eastAsia="en-US"/>
        </w:rPr>
        <w:lastRenderedPageBreak/>
        <w:t>contained in the responses, the website presents all responses in a matrix format with hyperlinks to each section in each response.</w:t>
      </w:r>
    </w:p>
    <w:p w14:paraId="044ED23E" w14:textId="77777777" w:rsidR="00B23578" w:rsidRDefault="00B23578" w:rsidP="00B23578">
      <w:pPr>
        <w:autoSpaceDE w:val="0"/>
        <w:autoSpaceDN w:val="0"/>
        <w:adjustRightInd w:val="0"/>
        <w:rPr>
          <w:rFonts w:eastAsia="Times New Roman"/>
          <w:color w:val="000000"/>
          <w:szCs w:val="22"/>
          <w:lang w:eastAsia="en-US"/>
        </w:rPr>
      </w:pPr>
    </w:p>
    <w:p w14:paraId="5EE44FA4" w14:textId="0A513EDB" w:rsidR="00431371" w:rsidRDefault="00DE26B8" w:rsidP="00DE26B8">
      <w:pPr>
        <w:autoSpaceDE w:val="0"/>
        <w:autoSpaceDN w:val="0"/>
        <w:adjustRightInd w:val="0"/>
        <w:rPr>
          <w:color w:val="000000"/>
          <w:szCs w:val="22"/>
        </w:rPr>
      </w:pPr>
      <w:r>
        <w:rPr>
          <w:color w:val="000000"/>
          <w:szCs w:val="22"/>
        </w:rPr>
        <w:fldChar w:fldCharType="begin"/>
      </w:r>
      <w:r>
        <w:rPr>
          <w:color w:val="000000"/>
          <w:szCs w:val="22"/>
        </w:rPr>
        <w:instrText xml:space="preserve"> AUTONUM  </w:instrText>
      </w:r>
      <w:r>
        <w:rPr>
          <w:color w:val="000000"/>
          <w:szCs w:val="22"/>
        </w:rPr>
        <w:fldChar w:fldCharType="end"/>
      </w:r>
      <w:r>
        <w:rPr>
          <w:color w:val="000000"/>
          <w:szCs w:val="22"/>
        </w:rPr>
        <w:tab/>
      </w:r>
      <w:r w:rsidR="00B23578">
        <w:rPr>
          <w:color w:val="000000"/>
          <w:szCs w:val="22"/>
        </w:rPr>
        <w:t>Th</w:t>
      </w:r>
      <w:r w:rsidR="00CA5F1C">
        <w:rPr>
          <w:color w:val="000000"/>
          <w:szCs w:val="22"/>
        </w:rPr>
        <w:t>is</w:t>
      </w:r>
      <w:r w:rsidR="00B23578">
        <w:rPr>
          <w:color w:val="000000"/>
          <w:szCs w:val="22"/>
        </w:rPr>
        <w:t xml:space="preserve"> document </w:t>
      </w:r>
      <w:r w:rsidR="00E36F9B" w:rsidRPr="00E36F9B">
        <w:rPr>
          <w:color w:val="000000"/>
          <w:szCs w:val="22"/>
        </w:rPr>
        <w:t>consist</w:t>
      </w:r>
      <w:r w:rsidR="00B23578">
        <w:rPr>
          <w:color w:val="000000"/>
          <w:szCs w:val="22"/>
        </w:rPr>
        <w:t>s</w:t>
      </w:r>
      <w:r w:rsidR="00E36F9B" w:rsidRPr="00E36F9B">
        <w:rPr>
          <w:color w:val="000000"/>
          <w:szCs w:val="22"/>
        </w:rPr>
        <w:t xml:space="preserve"> of three Sections: </w:t>
      </w:r>
      <w:r w:rsidR="00600BC6">
        <w:rPr>
          <w:color w:val="000000"/>
          <w:szCs w:val="22"/>
        </w:rPr>
        <w:t xml:space="preserve"> </w:t>
      </w:r>
      <w:r w:rsidR="00E36F9B" w:rsidRPr="00E36F9B">
        <w:rPr>
          <w:color w:val="000000"/>
          <w:szCs w:val="22"/>
        </w:rPr>
        <w:t>(</w:t>
      </w:r>
      <w:proofErr w:type="spellStart"/>
      <w:r w:rsidR="00E36F9B" w:rsidRPr="00E36F9B">
        <w:rPr>
          <w:color w:val="000000"/>
          <w:szCs w:val="22"/>
        </w:rPr>
        <w:t>i</w:t>
      </w:r>
      <w:proofErr w:type="spellEnd"/>
      <w:r w:rsidR="00E36F9B" w:rsidRPr="00E36F9B">
        <w:rPr>
          <w:color w:val="000000"/>
          <w:szCs w:val="22"/>
        </w:rPr>
        <w:t xml:space="preserve">) Public Policy Objectives for </w:t>
      </w:r>
      <w:r w:rsidR="00E36F9B">
        <w:rPr>
          <w:color w:val="000000"/>
          <w:szCs w:val="22"/>
        </w:rPr>
        <w:t>P</w:t>
      </w:r>
      <w:r w:rsidR="00E36F9B" w:rsidRPr="00E36F9B">
        <w:rPr>
          <w:color w:val="000000"/>
          <w:szCs w:val="22"/>
        </w:rPr>
        <w:t xml:space="preserve">roviding </w:t>
      </w:r>
      <w:r w:rsidR="00E36F9B">
        <w:rPr>
          <w:color w:val="000000"/>
          <w:szCs w:val="22"/>
        </w:rPr>
        <w:t>the E</w:t>
      </w:r>
      <w:r w:rsidR="00E36F9B" w:rsidRPr="00E36F9B">
        <w:rPr>
          <w:color w:val="000000"/>
          <w:szCs w:val="22"/>
        </w:rPr>
        <w:t>xception</w:t>
      </w:r>
      <w:proofErr w:type="gramStart"/>
      <w:r w:rsidR="00E36F9B" w:rsidRPr="00E36F9B">
        <w:rPr>
          <w:color w:val="000000"/>
          <w:szCs w:val="22"/>
        </w:rPr>
        <w:t xml:space="preserve">; </w:t>
      </w:r>
      <w:r w:rsidR="00600BC6">
        <w:rPr>
          <w:color w:val="000000"/>
          <w:szCs w:val="22"/>
        </w:rPr>
        <w:t xml:space="preserve"> </w:t>
      </w:r>
      <w:r w:rsidR="00E36F9B" w:rsidRPr="00E36F9B">
        <w:rPr>
          <w:color w:val="000000"/>
          <w:szCs w:val="22"/>
        </w:rPr>
        <w:t>(</w:t>
      </w:r>
      <w:proofErr w:type="gramEnd"/>
      <w:r w:rsidR="00E36F9B" w:rsidRPr="00E36F9B">
        <w:rPr>
          <w:color w:val="000000"/>
          <w:szCs w:val="22"/>
        </w:rPr>
        <w:t>ii)</w:t>
      </w:r>
      <w:r w:rsidR="00E36F9B">
        <w:rPr>
          <w:color w:val="000000"/>
          <w:szCs w:val="22"/>
        </w:rPr>
        <w:t xml:space="preserve"> T</w:t>
      </w:r>
      <w:r w:rsidR="00E36F9B" w:rsidRPr="00E36F9B">
        <w:rPr>
          <w:color w:val="000000"/>
          <w:szCs w:val="22"/>
        </w:rPr>
        <w:t xml:space="preserve">he </w:t>
      </w:r>
      <w:r w:rsidR="00E36F9B">
        <w:rPr>
          <w:color w:val="000000"/>
          <w:szCs w:val="22"/>
        </w:rPr>
        <w:t>A</w:t>
      </w:r>
      <w:r w:rsidR="00E36F9B" w:rsidRPr="00E36F9B">
        <w:rPr>
          <w:color w:val="000000"/>
          <w:szCs w:val="22"/>
        </w:rPr>
        <w:t xml:space="preserve">pplicable </w:t>
      </w:r>
      <w:r w:rsidR="00E36F9B">
        <w:rPr>
          <w:color w:val="000000"/>
          <w:szCs w:val="22"/>
        </w:rPr>
        <w:t>Law and the Scope of the E</w:t>
      </w:r>
      <w:r w:rsidR="00E36F9B" w:rsidRPr="00E36F9B">
        <w:rPr>
          <w:color w:val="000000"/>
          <w:szCs w:val="22"/>
        </w:rPr>
        <w:t xml:space="preserve">xception; </w:t>
      </w:r>
      <w:r w:rsidR="00600BC6">
        <w:rPr>
          <w:color w:val="000000"/>
          <w:szCs w:val="22"/>
        </w:rPr>
        <w:t xml:space="preserve"> </w:t>
      </w:r>
      <w:r w:rsidR="00473F18">
        <w:rPr>
          <w:color w:val="000000"/>
          <w:szCs w:val="22"/>
        </w:rPr>
        <w:t xml:space="preserve">and </w:t>
      </w:r>
      <w:r w:rsidR="00E36F9B" w:rsidRPr="00E36F9B">
        <w:rPr>
          <w:color w:val="000000"/>
          <w:szCs w:val="22"/>
        </w:rPr>
        <w:t xml:space="preserve">(iii) </w:t>
      </w:r>
      <w:r w:rsidR="00E36F9B">
        <w:rPr>
          <w:color w:val="000000"/>
          <w:szCs w:val="22"/>
        </w:rPr>
        <w:t>I</w:t>
      </w:r>
      <w:r w:rsidR="00E36F9B" w:rsidRPr="00E36F9B">
        <w:rPr>
          <w:color w:val="000000"/>
          <w:szCs w:val="22"/>
        </w:rPr>
        <w:t xml:space="preserve">mplementation </w:t>
      </w:r>
      <w:r w:rsidR="00E36F9B">
        <w:rPr>
          <w:color w:val="000000"/>
          <w:szCs w:val="22"/>
        </w:rPr>
        <w:t>C</w:t>
      </w:r>
      <w:r w:rsidR="00E36F9B" w:rsidRPr="00E36F9B">
        <w:rPr>
          <w:color w:val="000000"/>
          <w:szCs w:val="22"/>
        </w:rPr>
        <w:t xml:space="preserve">hallenges. </w:t>
      </w:r>
    </w:p>
    <w:p w14:paraId="77D02C7A" w14:textId="77777777" w:rsidR="001900A0" w:rsidRPr="00B23578" w:rsidRDefault="001900A0" w:rsidP="00DE26B8">
      <w:pPr>
        <w:autoSpaceDE w:val="0"/>
        <w:autoSpaceDN w:val="0"/>
        <w:adjustRightInd w:val="0"/>
        <w:rPr>
          <w:rFonts w:eastAsia="Times New Roman"/>
          <w:szCs w:val="22"/>
          <w:lang w:eastAsia="en-US"/>
        </w:rPr>
      </w:pPr>
    </w:p>
    <w:p w14:paraId="084745BA" w14:textId="0D05F847" w:rsidR="001900A0" w:rsidRPr="00413180" w:rsidRDefault="001900A0" w:rsidP="001900A0">
      <w:pPr>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Pr="004B6D29">
        <w:rPr>
          <w:rFonts w:eastAsia="Times New Roman"/>
          <w:szCs w:val="22"/>
          <w:lang w:eastAsia="en-US"/>
        </w:rPr>
        <w:t>The following Member States and patent Offices</w:t>
      </w:r>
      <w:r w:rsidRPr="00413180">
        <w:rPr>
          <w:rFonts w:eastAsia="Times New Roman"/>
          <w:szCs w:val="22"/>
          <w:lang w:eastAsia="en-US"/>
        </w:rPr>
        <w:t xml:space="preserve"> indicated that their applicable laws provided for exceptions and/or limitations related to the prior use exception: </w:t>
      </w:r>
      <w:r w:rsidR="00E50F44">
        <w:rPr>
          <w:rFonts w:eastAsia="Times New Roman"/>
          <w:szCs w:val="22"/>
          <w:lang w:eastAsia="en-US"/>
        </w:rPr>
        <w:t xml:space="preserve">Albania, Algeria, Armenia, </w:t>
      </w:r>
      <w:r w:rsidRPr="00413180">
        <w:rPr>
          <w:rFonts w:eastAsia="Times New Roman"/>
          <w:szCs w:val="22"/>
          <w:lang w:eastAsia="en-US"/>
        </w:rPr>
        <w:t xml:space="preserve">Australia, Austria, Azerbaijan, Bhutan, Bulgaria, Bosnia and Herzegovina, Brazil, Burkina Faso, Canada, China, Costa Rica, Croatia, Czech Republic, Democratic People’s Republic of Korea, Denmark, Dominican Republic, El Salvador, Finland, France, Georgia, Germany, Greece, </w:t>
      </w:r>
      <w:r w:rsidR="003A5F71" w:rsidRPr="00413180">
        <w:rPr>
          <w:rFonts w:eastAsia="Times New Roman"/>
          <w:szCs w:val="22"/>
          <w:lang w:eastAsia="en-US"/>
        </w:rPr>
        <w:t>Hong Kong</w:t>
      </w:r>
      <w:r w:rsidRPr="00413180">
        <w:rPr>
          <w:rFonts w:eastAsia="Times New Roman"/>
          <w:szCs w:val="22"/>
          <w:lang w:eastAsia="en-US"/>
        </w:rPr>
        <w:t xml:space="preserve"> (China), Hungary, Indonesia, Israel, Italy, Japan, Kenya, Kyrgyzstan, Latvia, Lithuania, Madagascar, Mauritius, Mexico, Morocco, Netherlands, Norway, Oman, Pakistan, Peru, Philippines, Poland, Portugal, Qatar, Republic of Korea, Republic of Moldova, Romania, Russian Federation, Sao Tome and Principe, Serbia, Slovakia, Spain, </w:t>
      </w:r>
      <w:r>
        <w:rPr>
          <w:rFonts w:eastAsia="Times New Roman"/>
          <w:szCs w:val="22"/>
          <w:lang w:eastAsia="en-US"/>
        </w:rPr>
        <w:br/>
      </w:r>
      <w:r w:rsidRPr="00413180">
        <w:rPr>
          <w:rFonts w:eastAsia="Times New Roman"/>
          <w:szCs w:val="22"/>
          <w:lang w:eastAsia="en-US"/>
        </w:rPr>
        <w:t>Sri Lanka, Sweden, Switzerland, Tajikistan, Thailand, Turkey,  Uganda, Ukraine, United Kingdom, United States of America, Viet Nam, Zambia and the Eurasian Patent Office (EAPO) (69 in total).</w:t>
      </w:r>
    </w:p>
    <w:p w14:paraId="314A985C" w14:textId="77777777" w:rsidR="00C04F3C" w:rsidRDefault="00C04F3C" w:rsidP="0043472B">
      <w:pPr>
        <w:rPr>
          <w:szCs w:val="22"/>
        </w:rPr>
      </w:pPr>
    </w:p>
    <w:p w14:paraId="15C3C635" w14:textId="77777777" w:rsidR="006B744B" w:rsidRPr="005A2F6B" w:rsidRDefault="006B744B" w:rsidP="00600BC6">
      <w:pPr>
        <w:rPr>
          <w:szCs w:val="22"/>
        </w:rPr>
      </w:pPr>
    </w:p>
    <w:p w14:paraId="1297AF5B" w14:textId="77777777" w:rsidR="001900A0" w:rsidRPr="00E50F44" w:rsidRDefault="001900A0" w:rsidP="00E50F44">
      <w:pPr>
        <w:rPr>
          <w:b/>
          <w:bCs/>
          <w:szCs w:val="22"/>
        </w:rPr>
      </w:pPr>
      <w:r w:rsidRPr="00E50F44">
        <w:rPr>
          <w:b/>
          <w:bCs/>
          <w:szCs w:val="22"/>
        </w:rPr>
        <w:t>PUBLIC POLICY OBJECTIVES FOR PROVIDING THE EXCEPTION</w:t>
      </w:r>
    </w:p>
    <w:p w14:paraId="602EF034" w14:textId="77777777" w:rsidR="00784E29" w:rsidRDefault="00784E29" w:rsidP="00600BC6">
      <w:pPr>
        <w:rPr>
          <w:b/>
          <w:bCs/>
          <w:szCs w:val="22"/>
        </w:rPr>
      </w:pPr>
    </w:p>
    <w:p w14:paraId="03C1D2EF" w14:textId="1947E293" w:rsidR="00BF74B3" w:rsidRDefault="00CC28C1" w:rsidP="005F6B18">
      <w:pPr>
        <w:shd w:val="clear" w:color="auto" w:fill="FFFFFF"/>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170D40">
        <w:rPr>
          <w:rFonts w:eastAsia="Times New Roman"/>
          <w:szCs w:val="22"/>
          <w:lang w:eastAsia="en-US"/>
        </w:rPr>
        <w:t xml:space="preserve">In responding to the </w:t>
      </w:r>
      <w:r w:rsidR="00D5205F">
        <w:rPr>
          <w:rFonts w:eastAsia="Times New Roman"/>
          <w:szCs w:val="22"/>
          <w:lang w:eastAsia="en-US"/>
        </w:rPr>
        <w:t>question on public policy objectives of the exception</w:t>
      </w:r>
      <w:r w:rsidR="00170D40">
        <w:rPr>
          <w:rFonts w:eastAsia="Times New Roman"/>
          <w:szCs w:val="22"/>
          <w:lang w:eastAsia="en-US"/>
        </w:rPr>
        <w:t xml:space="preserve">, some </w:t>
      </w:r>
      <w:r w:rsidR="00D5205F">
        <w:rPr>
          <w:rFonts w:eastAsia="Times New Roman"/>
          <w:szCs w:val="22"/>
          <w:lang w:eastAsia="en-US"/>
        </w:rPr>
        <w:t>Member States</w:t>
      </w:r>
      <w:r w:rsidR="00170D40">
        <w:rPr>
          <w:rFonts w:eastAsia="Times New Roman"/>
          <w:szCs w:val="22"/>
          <w:lang w:eastAsia="en-US"/>
        </w:rPr>
        <w:t xml:space="preserve"> </w:t>
      </w:r>
      <w:r w:rsidR="00607638">
        <w:rPr>
          <w:rFonts w:eastAsia="Times New Roman"/>
          <w:szCs w:val="22"/>
          <w:lang w:eastAsia="en-US"/>
        </w:rPr>
        <w:t xml:space="preserve">stressed the balancing aspect of the exception.  </w:t>
      </w:r>
      <w:r w:rsidR="00170D40">
        <w:rPr>
          <w:rFonts w:eastAsia="Times New Roman"/>
          <w:szCs w:val="22"/>
          <w:lang w:eastAsia="en-US"/>
        </w:rPr>
        <w:t>For example, i</w:t>
      </w:r>
      <w:r w:rsidR="00170D40" w:rsidRPr="007C2B53">
        <w:rPr>
          <w:rFonts w:eastAsia="Times New Roman"/>
          <w:szCs w:val="22"/>
          <w:lang w:eastAsia="en-US"/>
        </w:rPr>
        <w:t>n Canada</w:t>
      </w:r>
      <w:r w:rsidR="00170D40">
        <w:rPr>
          <w:rFonts w:eastAsia="Times New Roman"/>
          <w:szCs w:val="22"/>
          <w:lang w:eastAsia="en-US"/>
        </w:rPr>
        <w:t>, the</w:t>
      </w:r>
      <w:r w:rsidR="00170D40" w:rsidRPr="007C2B53">
        <w:rPr>
          <w:rFonts w:eastAsia="Times New Roman"/>
          <w:szCs w:val="22"/>
          <w:lang w:eastAsia="en-US"/>
        </w:rPr>
        <w:t xml:space="preserve"> </w:t>
      </w:r>
      <w:r w:rsidR="00170D40" w:rsidRPr="00CE66B7">
        <w:rPr>
          <w:szCs w:val="22"/>
        </w:rPr>
        <w:t>United States of America</w:t>
      </w:r>
      <w:r w:rsidR="00170D40">
        <w:rPr>
          <w:szCs w:val="22"/>
        </w:rPr>
        <w:t xml:space="preserve"> and the EAPO</w:t>
      </w:r>
      <w:r w:rsidR="00F87A53">
        <w:rPr>
          <w:szCs w:val="22"/>
        </w:rPr>
        <w:t>,</w:t>
      </w:r>
      <w:r w:rsidR="00170D40">
        <w:rPr>
          <w:rFonts w:eastAsia="Times New Roman"/>
          <w:szCs w:val="22"/>
          <w:lang w:eastAsia="en-US"/>
        </w:rPr>
        <w:t xml:space="preserve"> such exception </w:t>
      </w:r>
      <w:r w:rsidR="00170D40" w:rsidRPr="007C2B53">
        <w:rPr>
          <w:rFonts w:eastAsia="Times New Roman"/>
          <w:szCs w:val="22"/>
          <w:lang w:eastAsia="en-US"/>
        </w:rPr>
        <w:t>was provided in order to “achieve an appropriate balance of rights</w:t>
      </w:r>
      <w:r w:rsidR="00170D40">
        <w:rPr>
          <w:rFonts w:eastAsia="Times New Roman"/>
          <w:szCs w:val="22"/>
          <w:lang w:eastAsia="en-US"/>
        </w:rPr>
        <w:t>” between patent holders and prior users, as defined in the applicable laws</w:t>
      </w:r>
      <w:r w:rsidR="00170D40" w:rsidRPr="007C2B53">
        <w:rPr>
          <w:rFonts w:eastAsia="Times New Roman"/>
          <w:szCs w:val="22"/>
          <w:lang w:eastAsia="en-US"/>
        </w:rPr>
        <w:t>.  Similarly, in China, the purpose of such an exception was “to balance the rights of right holders and the legitimate interests of third parties”</w:t>
      </w:r>
      <w:r w:rsidR="00170D40">
        <w:rPr>
          <w:rFonts w:eastAsia="Times New Roman"/>
          <w:szCs w:val="22"/>
          <w:lang w:eastAsia="en-US"/>
        </w:rPr>
        <w:t>.  In Spain, t</w:t>
      </w:r>
      <w:r w:rsidR="00170D40" w:rsidRPr="007C79E2">
        <w:rPr>
          <w:rFonts w:eastAsia="Times New Roman"/>
          <w:szCs w:val="22"/>
          <w:lang w:eastAsia="en-US"/>
        </w:rPr>
        <w:t>he aim of the exception was “to reconcile the interests of the patent owner with those of a</w:t>
      </w:r>
      <w:r w:rsidR="00170D40">
        <w:rPr>
          <w:rFonts w:eastAsia="Times New Roman"/>
          <w:szCs w:val="22"/>
          <w:lang w:eastAsia="en-US"/>
        </w:rPr>
        <w:t xml:space="preserve"> </w:t>
      </w:r>
      <w:r w:rsidR="00170D40" w:rsidRPr="007C79E2">
        <w:rPr>
          <w:rFonts w:eastAsia="Times New Roman"/>
          <w:szCs w:val="22"/>
          <w:lang w:eastAsia="en-US"/>
        </w:rPr>
        <w:t xml:space="preserve">prior user acting in good faith.”  </w:t>
      </w:r>
      <w:r w:rsidR="00AD49C7">
        <w:rPr>
          <w:rFonts w:eastAsia="Times New Roman"/>
          <w:szCs w:val="22"/>
          <w:lang w:eastAsia="en-US"/>
        </w:rPr>
        <w:t>With this exception</w:t>
      </w:r>
      <w:r w:rsidR="00170D40" w:rsidRPr="007C79E2">
        <w:rPr>
          <w:rFonts w:eastAsia="Times New Roman"/>
          <w:szCs w:val="22"/>
          <w:lang w:eastAsia="en-US"/>
        </w:rPr>
        <w:t>, “the prior user is allowed to continue using or working the invention, albeit under more restrictive conditions than if he were the owner of a patent”.</w:t>
      </w:r>
      <w:r w:rsidR="00797B15">
        <w:rPr>
          <w:rFonts w:eastAsia="Times New Roman"/>
          <w:szCs w:val="22"/>
          <w:lang w:eastAsia="en-US"/>
        </w:rPr>
        <w:t xml:space="preserve">  </w:t>
      </w:r>
      <w:r w:rsidR="006C3977">
        <w:rPr>
          <w:rFonts w:eastAsia="Times New Roman"/>
          <w:szCs w:val="22"/>
          <w:lang w:eastAsia="en-US"/>
        </w:rPr>
        <w:t>I</w:t>
      </w:r>
      <w:r w:rsidR="00111284">
        <w:rPr>
          <w:rFonts w:eastAsia="Times New Roman"/>
          <w:szCs w:val="22"/>
          <w:lang w:eastAsia="en-US"/>
        </w:rPr>
        <w:t>n the response f</w:t>
      </w:r>
      <w:r w:rsidR="006C3977">
        <w:rPr>
          <w:rFonts w:eastAsia="Times New Roman"/>
          <w:szCs w:val="22"/>
          <w:lang w:eastAsia="en-US"/>
        </w:rPr>
        <w:t>r</w:t>
      </w:r>
      <w:r w:rsidR="00111284">
        <w:rPr>
          <w:rFonts w:eastAsia="Times New Roman"/>
          <w:szCs w:val="22"/>
          <w:lang w:eastAsia="en-US"/>
        </w:rPr>
        <w:t>o</w:t>
      </w:r>
      <w:r w:rsidR="006C3977">
        <w:rPr>
          <w:rFonts w:eastAsia="Times New Roman"/>
          <w:szCs w:val="22"/>
          <w:lang w:eastAsia="en-US"/>
        </w:rPr>
        <w:t>m Australia, it was stated that “t</w:t>
      </w:r>
      <w:r w:rsidR="006C3977" w:rsidRPr="006C3977">
        <w:rPr>
          <w:rFonts w:eastAsia="Times New Roman"/>
          <w:szCs w:val="22"/>
          <w:lang w:eastAsia="en-US"/>
        </w:rPr>
        <w:t>he grant of a patent should not deprive a party from continuing to do what they were doing</w:t>
      </w:r>
      <w:r w:rsidR="00D64423">
        <w:rPr>
          <w:rFonts w:eastAsia="Times New Roman"/>
          <w:szCs w:val="22"/>
          <w:lang w:eastAsia="en-US"/>
        </w:rPr>
        <w:t xml:space="preserve"> before the patent was granted.  </w:t>
      </w:r>
      <w:r w:rsidR="006C3977" w:rsidRPr="006C3977">
        <w:rPr>
          <w:rFonts w:eastAsia="Times New Roman"/>
          <w:szCs w:val="22"/>
          <w:lang w:eastAsia="en-US"/>
        </w:rPr>
        <w:t>On the other hand</w:t>
      </w:r>
      <w:r w:rsidR="00AD49C7">
        <w:rPr>
          <w:rFonts w:eastAsia="Times New Roman"/>
          <w:szCs w:val="22"/>
          <w:lang w:eastAsia="en-US"/>
        </w:rPr>
        <w:t>,</w:t>
      </w:r>
      <w:r w:rsidR="006C3977" w:rsidRPr="006C3977">
        <w:rPr>
          <w:rFonts w:eastAsia="Times New Roman"/>
          <w:szCs w:val="22"/>
          <w:lang w:eastAsia="en-US"/>
        </w:rPr>
        <w:t xml:space="preserve"> an inventor should not be deprived of patent protection by the secret acts of third parties, of which they can have no knowledge.</w:t>
      </w:r>
      <w:r w:rsidR="00111284">
        <w:rPr>
          <w:rFonts w:eastAsia="Times New Roman"/>
          <w:szCs w:val="22"/>
          <w:lang w:eastAsia="en-US"/>
        </w:rPr>
        <w:t xml:space="preserve">”  </w:t>
      </w:r>
      <w:r w:rsidR="00664CDC">
        <w:rPr>
          <w:rFonts w:eastAsia="Times New Roman"/>
          <w:szCs w:val="22"/>
          <w:lang w:eastAsia="en-US"/>
        </w:rPr>
        <w:t>Further</w:t>
      </w:r>
      <w:r w:rsidR="00600BC6">
        <w:rPr>
          <w:rFonts w:eastAsia="Times New Roman"/>
          <w:szCs w:val="22"/>
          <w:lang w:eastAsia="en-US"/>
        </w:rPr>
        <w:t>,</w:t>
      </w:r>
      <w:r w:rsidR="00664CDC">
        <w:rPr>
          <w:rFonts w:eastAsia="Times New Roman"/>
          <w:szCs w:val="22"/>
          <w:lang w:eastAsia="en-US"/>
        </w:rPr>
        <w:t xml:space="preserve"> it was stated that </w:t>
      </w:r>
      <w:r w:rsidR="006C3977" w:rsidRPr="006C3977">
        <w:rPr>
          <w:rFonts w:eastAsia="Times New Roman"/>
          <w:szCs w:val="22"/>
          <w:lang w:eastAsia="en-US"/>
        </w:rPr>
        <w:t>Section 119</w:t>
      </w:r>
      <w:r w:rsidR="00345CD0">
        <w:rPr>
          <w:rFonts w:eastAsia="Times New Roman"/>
          <w:szCs w:val="22"/>
          <w:lang w:eastAsia="en-US"/>
        </w:rPr>
        <w:t xml:space="preserve"> of </w:t>
      </w:r>
      <w:r w:rsidR="00170D40">
        <w:rPr>
          <w:rFonts w:eastAsia="Times New Roman"/>
          <w:szCs w:val="22"/>
          <w:lang w:eastAsia="en-US"/>
        </w:rPr>
        <w:t xml:space="preserve">the </w:t>
      </w:r>
      <w:r w:rsidR="00345CD0">
        <w:rPr>
          <w:rFonts w:eastAsia="Times New Roman"/>
          <w:szCs w:val="22"/>
          <w:lang w:eastAsia="en-US"/>
        </w:rPr>
        <w:t>Patents Act 1990</w:t>
      </w:r>
      <w:r w:rsidR="006C3977" w:rsidRPr="006C3977">
        <w:rPr>
          <w:rFonts w:eastAsia="Times New Roman"/>
          <w:szCs w:val="22"/>
          <w:lang w:eastAsia="en-US"/>
        </w:rPr>
        <w:t xml:space="preserve"> </w:t>
      </w:r>
      <w:r w:rsidR="00345CD0">
        <w:rPr>
          <w:rFonts w:eastAsia="Times New Roman"/>
          <w:szCs w:val="22"/>
          <w:lang w:eastAsia="en-US"/>
        </w:rPr>
        <w:t>“</w:t>
      </w:r>
      <w:r w:rsidR="006C3977" w:rsidRPr="006C3977">
        <w:rPr>
          <w:rFonts w:eastAsia="Times New Roman"/>
          <w:szCs w:val="22"/>
          <w:lang w:eastAsia="en-US"/>
        </w:rPr>
        <w:t>attempts to provide a balance between the rights of the patentee and those of the third party.</w:t>
      </w:r>
      <w:r w:rsidR="00170D40">
        <w:rPr>
          <w:rFonts w:eastAsia="Times New Roman"/>
          <w:szCs w:val="22"/>
          <w:lang w:eastAsia="en-US"/>
        </w:rPr>
        <w:t xml:space="preserve">  </w:t>
      </w:r>
      <w:r w:rsidR="006C3977" w:rsidRPr="006C3977">
        <w:rPr>
          <w:rFonts w:eastAsia="Times New Roman"/>
          <w:szCs w:val="22"/>
          <w:lang w:eastAsia="en-US"/>
        </w:rPr>
        <w:t>It is intended to safeguard the rights of third parties who have independently used an invention before the priority date of an application for a patent</w:t>
      </w:r>
      <w:r w:rsidR="00345CD0">
        <w:rPr>
          <w:rFonts w:eastAsia="Times New Roman"/>
          <w:szCs w:val="22"/>
          <w:lang w:eastAsia="en-US"/>
        </w:rPr>
        <w:t>”</w:t>
      </w:r>
      <w:r w:rsidR="00600BC6">
        <w:rPr>
          <w:rFonts w:eastAsia="Times New Roman"/>
          <w:szCs w:val="22"/>
          <w:lang w:eastAsia="en-US"/>
        </w:rPr>
        <w:t>.</w:t>
      </w:r>
      <w:r w:rsidR="00120B6E">
        <w:rPr>
          <w:rFonts w:eastAsia="Times New Roman"/>
          <w:szCs w:val="22"/>
          <w:lang w:eastAsia="en-US"/>
        </w:rPr>
        <w:t xml:space="preserve"> </w:t>
      </w:r>
    </w:p>
    <w:p w14:paraId="3DC5DEB6" w14:textId="77777777" w:rsidR="00170D40" w:rsidRDefault="00170D40" w:rsidP="005F6B18">
      <w:pPr>
        <w:shd w:val="clear" w:color="auto" w:fill="FFFFFF"/>
        <w:rPr>
          <w:rFonts w:eastAsia="Times New Roman"/>
          <w:szCs w:val="22"/>
          <w:lang w:eastAsia="en-US"/>
        </w:rPr>
      </w:pPr>
    </w:p>
    <w:p w14:paraId="6AFDB552" w14:textId="77777777" w:rsidR="0038250F" w:rsidRDefault="00CC28C1" w:rsidP="005F6B18">
      <w:pPr>
        <w:shd w:val="clear" w:color="auto" w:fill="FFFFFF"/>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120B6E">
        <w:rPr>
          <w:rFonts w:eastAsia="Times New Roman"/>
          <w:szCs w:val="22"/>
          <w:lang w:eastAsia="en-US"/>
        </w:rPr>
        <w:t xml:space="preserve">In addition, noting that </w:t>
      </w:r>
      <w:r w:rsidR="006C3977" w:rsidRPr="006C3977">
        <w:rPr>
          <w:rFonts w:eastAsia="Times New Roman"/>
          <w:szCs w:val="22"/>
          <w:lang w:eastAsia="en-US"/>
        </w:rPr>
        <w:t xml:space="preserve">Australia has a grace period for prior public disclosure of the invention by the inventor or </w:t>
      </w:r>
      <w:r w:rsidR="00797B15">
        <w:rPr>
          <w:rFonts w:eastAsia="Times New Roman"/>
          <w:szCs w:val="22"/>
          <w:lang w:eastAsia="en-US"/>
        </w:rPr>
        <w:t xml:space="preserve">his/her </w:t>
      </w:r>
      <w:r w:rsidR="006C3977" w:rsidRPr="006C3977">
        <w:rPr>
          <w:rFonts w:eastAsia="Times New Roman"/>
          <w:szCs w:val="22"/>
          <w:lang w:eastAsia="en-US"/>
        </w:rPr>
        <w:t>successors in title</w:t>
      </w:r>
      <w:r w:rsidR="00120B6E">
        <w:rPr>
          <w:rFonts w:eastAsia="Times New Roman"/>
          <w:szCs w:val="22"/>
          <w:lang w:eastAsia="en-US"/>
        </w:rPr>
        <w:t>, the response explained that “t</w:t>
      </w:r>
      <w:r w:rsidR="006C3977" w:rsidRPr="006C3977">
        <w:rPr>
          <w:rFonts w:eastAsia="Times New Roman"/>
          <w:szCs w:val="22"/>
          <w:lang w:eastAsia="en-US"/>
        </w:rPr>
        <w:t>he prior use exception is also seen as an</w:t>
      </w:r>
      <w:r w:rsidR="006C3977" w:rsidRPr="00CB566B">
        <w:rPr>
          <w:rFonts w:eastAsia="Times New Roman"/>
          <w:iCs/>
          <w:color w:val="333333"/>
          <w:szCs w:val="22"/>
          <w:lang w:val="en" w:eastAsia="en-US"/>
        </w:rPr>
        <w:t xml:space="preserve"> </w:t>
      </w:r>
      <w:r w:rsidR="006C3977" w:rsidRPr="006C3977">
        <w:rPr>
          <w:rFonts w:eastAsia="Times New Roman"/>
          <w:szCs w:val="22"/>
          <w:lang w:eastAsia="en-US"/>
        </w:rPr>
        <w:t>important balancing provision such that a person who relies on an unfettered disclosure remains free to exploit the invention despite the grant of a patent. Subsection 119(3) has the effect of applying the prior use exemption to public disclosures by the patentee or predecessor in title which would be covered by the grace period provisions.</w:t>
      </w:r>
      <w:r w:rsidR="00120B6E">
        <w:rPr>
          <w:rFonts w:eastAsia="Times New Roman"/>
          <w:szCs w:val="22"/>
          <w:lang w:eastAsia="en-US"/>
        </w:rPr>
        <w:t>”</w:t>
      </w:r>
      <w:r w:rsidR="00BF74B3">
        <w:rPr>
          <w:rFonts w:eastAsia="Times New Roman"/>
          <w:szCs w:val="22"/>
          <w:lang w:eastAsia="en-US"/>
        </w:rPr>
        <w:t xml:space="preserve">  Similarly, </w:t>
      </w:r>
      <w:r w:rsidR="005924B2">
        <w:rPr>
          <w:rFonts w:eastAsia="Times New Roman"/>
          <w:szCs w:val="22"/>
          <w:lang w:eastAsia="en-US"/>
        </w:rPr>
        <w:t xml:space="preserve">the Industrial Property Act of </w:t>
      </w:r>
      <w:r w:rsidR="00BF74B3">
        <w:rPr>
          <w:rFonts w:eastAsia="Times New Roman"/>
          <w:szCs w:val="22"/>
          <w:lang w:eastAsia="en-US"/>
        </w:rPr>
        <w:t>Kenya</w:t>
      </w:r>
      <w:r w:rsidR="005924B2">
        <w:rPr>
          <w:rFonts w:eastAsia="Times New Roman"/>
          <w:szCs w:val="22"/>
          <w:lang w:eastAsia="en-US"/>
        </w:rPr>
        <w:t xml:space="preserve"> provided a grace period for disclosure of the invention by the applicant or predecessor in title, and the prior use exception was </w:t>
      </w:r>
      <w:r w:rsidR="00274188">
        <w:rPr>
          <w:rFonts w:eastAsia="Times New Roman"/>
          <w:szCs w:val="22"/>
          <w:lang w:eastAsia="en-US"/>
        </w:rPr>
        <w:t xml:space="preserve">also </w:t>
      </w:r>
      <w:r w:rsidR="006B744B">
        <w:rPr>
          <w:rFonts w:eastAsia="Times New Roman"/>
          <w:szCs w:val="22"/>
          <w:lang w:eastAsia="en-US"/>
        </w:rPr>
        <w:t xml:space="preserve">seen as </w:t>
      </w:r>
      <w:r w:rsidR="005924B2">
        <w:rPr>
          <w:rFonts w:eastAsia="Times New Roman"/>
          <w:szCs w:val="22"/>
          <w:lang w:eastAsia="en-US"/>
        </w:rPr>
        <w:t xml:space="preserve">a </w:t>
      </w:r>
      <w:r w:rsidR="00BF74B3">
        <w:rPr>
          <w:rFonts w:eastAsia="Times New Roman"/>
          <w:szCs w:val="22"/>
          <w:lang w:eastAsia="en-US"/>
        </w:rPr>
        <w:t>“balancing provision</w:t>
      </w:r>
      <w:r w:rsidR="005924B2">
        <w:rPr>
          <w:rFonts w:eastAsia="Times New Roman"/>
          <w:szCs w:val="22"/>
          <w:lang w:eastAsia="en-US"/>
        </w:rPr>
        <w:t>” allowing a person who exploited the invention based on such disclosure to continue exploitation after the grant of a patent.</w:t>
      </w:r>
    </w:p>
    <w:p w14:paraId="2221F663" w14:textId="77777777" w:rsidR="006C3977" w:rsidRDefault="006C3977" w:rsidP="005F6B18">
      <w:pPr>
        <w:shd w:val="clear" w:color="auto" w:fill="FFFFFF"/>
        <w:rPr>
          <w:rFonts w:eastAsia="Times New Roman"/>
          <w:szCs w:val="22"/>
          <w:lang w:eastAsia="en-US"/>
        </w:rPr>
      </w:pPr>
    </w:p>
    <w:p w14:paraId="0BF60783" w14:textId="06A4E1CC" w:rsidR="00664CDC" w:rsidRDefault="00CC28C1" w:rsidP="005F6B18">
      <w:pPr>
        <w:shd w:val="clear" w:color="auto" w:fill="FFFFFF"/>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612AAC">
        <w:rPr>
          <w:rFonts w:eastAsia="Times New Roman"/>
          <w:szCs w:val="22"/>
          <w:lang w:eastAsia="en-US"/>
        </w:rPr>
        <w:t>In the response of France</w:t>
      </w:r>
      <w:r w:rsidR="00903170">
        <w:rPr>
          <w:rFonts w:eastAsia="Times New Roman"/>
          <w:szCs w:val="22"/>
          <w:lang w:eastAsia="en-US"/>
        </w:rPr>
        <w:t>,</w:t>
      </w:r>
      <w:r w:rsidR="00612AAC">
        <w:rPr>
          <w:rFonts w:eastAsia="Times New Roman"/>
          <w:szCs w:val="22"/>
          <w:lang w:eastAsia="en-US"/>
        </w:rPr>
        <w:t xml:space="preserve"> it was stated that “t</w:t>
      </w:r>
      <w:r w:rsidR="00612AAC" w:rsidRPr="00656428">
        <w:rPr>
          <w:rFonts w:eastAsia="Times New Roman"/>
          <w:szCs w:val="22"/>
          <w:lang w:eastAsia="en-US"/>
        </w:rPr>
        <w:t>he benefit of the prior personal possession shall prevent any infringement action on the part of the patent owner</w:t>
      </w:r>
      <w:r w:rsidR="00612AAC">
        <w:rPr>
          <w:rFonts w:eastAsia="Times New Roman"/>
          <w:szCs w:val="22"/>
          <w:lang w:eastAsia="en-US"/>
        </w:rPr>
        <w:t xml:space="preserve">”.  </w:t>
      </w:r>
      <w:r w:rsidR="00664CDC" w:rsidRPr="00664CDC">
        <w:rPr>
          <w:rFonts w:eastAsia="Times New Roman"/>
          <w:szCs w:val="22"/>
          <w:lang w:eastAsia="en-US"/>
        </w:rPr>
        <w:t xml:space="preserve">In Brazil, </w:t>
      </w:r>
      <w:r w:rsidR="00664CDC">
        <w:rPr>
          <w:rFonts w:eastAsia="Times New Roman"/>
          <w:szCs w:val="22"/>
          <w:lang w:eastAsia="en-US"/>
        </w:rPr>
        <w:t>the prior use exception related</w:t>
      </w:r>
      <w:r w:rsidR="00664CDC" w:rsidRPr="00664CDC">
        <w:rPr>
          <w:rFonts w:eastAsia="Times New Roman"/>
          <w:szCs w:val="22"/>
          <w:lang w:eastAsia="en-US"/>
        </w:rPr>
        <w:t xml:space="preserve"> to the </w:t>
      </w:r>
      <w:r w:rsidR="00664CDC">
        <w:rPr>
          <w:rFonts w:eastAsia="Times New Roman"/>
          <w:szCs w:val="22"/>
          <w:lang w:eastAsia="en-US"/>
        </w:rPr>
        <w:t>“</w:t>
      </w:r>
      <w:r w:rsidR="00664CDC" w:rsidRPr="00664CDC">
        <w:rPr>
          <w:rFonts w:eastAsia="Times New Roman"/>
          <w:szCs w:val="22"/>
          <w:lang w:eastAsia="en-US"/>
        </w:rPr>
        <w:t>principle of acquired rights, which aim</w:t>
      </w:r>
      <w:r w:rsidR="00664CDC">
        <w:rPr>
          <w:rFonts w:eastAsia="Times New Roman"/>
          <w:szCs w:val="22"/>
          <w:lang w:eastAsia="en-US"/>
        </w:rPr>
        <w:t>s</w:t>
      </w:r>
      <w:r w:rsidR="00664CDC" w:rsidRPr="00664CDC">
        <w:rPr>
          <w:rFonts w:eastAsia="Times New Roman"/>
          <w:szCs w:val="22"/>
          <w:lang w:eastAsia="en-US"/>
        </w:rPr>
        <w:t xml:space="preserve"> at avoiding unnecessary burden on good faith users who had been exploiting the invention before the date of deposit or </w:t>
      </w:r>
      <w:r w:rsidR="00664CDC" w:rsidRPr="00664CDC">
        <w:rPr>
          <w:rFonts w:eastAsia="Times New Roman"/>
          <w:szCs w:val="22"/>
          <w:lang w:eastAsia="en-US"/>
        </w:rPr>
        <w:lastRenderedPageBreak/>
        <w:t>priority of the patent application</w:t>
      </w:r>
      <w:r w:rsidR="00664CDC">
        <w:rPr>
          <w:rFonts w:eastAsia="Times New Roman"/>
          <w:szCs w:val="22"/>
          <w:lang w:eastAsia="en-US"/>
        </w:rPr>
        <w:t>”</w:t>
      </w:r>
      <w:r w:rsidR="00664CDC" w:rsidRPr="00664CDC">
        <w:rPr>
          <w:rFonts w:eastAsia="Times New Roman"/>
          <w:szCs w:val="22"/>
          <w:lang w:eastAsia="en-US"/>
        </w:rPr>
        <w:t>.</w:t>
      </w:r>
      <w:r w:rsidR="00664CDC">
        <w:rPr>
          <w:rFonts w:eastAsia="Times New Roman"/>
          <w:szCs w:val="22"/>
          <w:lang w:eastAsia="en-US"/>
        </w:rPr>
        <w:t xml:space="preserve"> </w:t>
      </w:r>
      <w:r w:rsidR="00664CDC" w:rsidRPr="00664CDC">
        <w:rPr>
          <w:rFonts w:eastAsia="Times New Roman"/>
          <w:szCs w:val="22"/>
          <w:lang w:eastAsia="en-US"/>
        </w:rPr>
        <w:t xml:space="preserve"> Furthermore, this principle </w:t>
      </w:r>
      <w:r w:rsidR="00664CDC">
        <w:rPr>
          <w:rFonts w:eastAsia="Times New Roman"/>
          <w:szCs w:val="22"/>
          <w:lang w:eastAsia="en-US"/>
        </w:rPr>
        <w:t xml:space="preserve">was </w:t>
      </w:r>
      <w:r w:rsidR="00664CDC" w:rsidRPr="00664CDC">
        <w:rPr>
          <w:rFonts w:eastAsia="Times New Roman"/>
          <w:szCs w:val="22"/>
          <w:lang w:eastAsia="en-US"/>
        </w:rPr>
        <w:t>found in the Brazilian Constitution un</w:t>
      </w:r>
      <w:r w:rsidR="00CA5F1C">
        <w:rPr>
          <w:rFonts w:eastAsia="Times New Roman"/>
          <w:szCs w:val="22"/>
          <w:lang w:eastAsia="en-US"/>
        </w:rPr>
        <w:t>der Article 5</w:t>
      </w:r>
      <w:r w:rsidR="00664CDC" w:rsidRPr="00664CDC">
        <w:rPr>
          <w:rFonts w:eastAsia="Times New Roman"/>
          <w:szCs w:val="22"/>
          <w:lang w:eastAsia="en-US"/>
        </w:rPr>
        <w:t>.</w:t>
      </w:r>
    </w:p>
    <w:p w14:paraId="05CDBACE" w14:textId="2E9D811B" w:rsidR="0038250F" w:rsidRDefault="00CC28C1" w:rsidP="00D70C6A">
      <w:pPr>
        <w:shd w:val="clear" w:color="auto" w:fill="FFFFFF"/>
        <w:spacing w:before="100" w:beforeAutospacing="1" w:after="100" w:afterAutospacing="1"/>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EC55C2">
        <w:rPr>
          <w:rFonts w:eastAsia="Times New Roman"/>
          <w:szCs w:val="22"/>
          <w:lang w:eastAsia="en-US"/>
        </w:rPr>
        <w:t xml:space="preserve">Many responses to </w:t>
      </w:r>
      <w:r w:rsidR="00887D2D">
        <w:rPr>
          <w:rFonts w:eastAsia="Times New Roman"/>
          <w:szCs w:val="22"/>
          <w:lang w:eastAsia="en-US"/>
        </w:rPr>
        <w:t xml:space="preserve">a </w:t>
      </w:r>
      <w:r w:rsidR="00EC55C2">
        <w:rPr>
          <w:rFonts w:eastAsia="Times New Roman"/>
          <w:szCs w:val="22"/>
          <w:lang w:eastAsia="en-US"/>
        </w:rPr>
        <w:t xml:space="preserve">question on public policy objectives of the </w:t>
      </w:r>
      <w:r w:rsidR="00887D2D">
        <w:rPr>
          <w:rFonts w:eastAsia="Times New Roman"/>
          <w:szCs w:val="22"/>
          <w:lang w:eastAsia="en-US"/>
        </w:rPr>
        <w:t xml:space="preserve">prior use </w:t>
      </w:r>
      <w:r w:rsidR="00EC55C2">
        <w:rPr>
          <w:rFonts w:eastAsia="Times New Roman"/>
          <w:szCs w:val="22"/>
          <w:lang w:eastAsia="en-US"/>
        </w:rPr>
        <w:t xml:space="preserve">exception focused on </w:t>
      </w:r>
      <w:r w:rsidR="00887D2D">
        <w:rPr>
          <w:rFonts w:eastAsia="Times New Roman"/>
          <w:szCs w:val="22"/>
          <w:lang w:eastAsia="en-US"/>
        </w:rPr>
        <w:t>its</w:t>
      </w:r>
      <w:r w:rsidR="00EC55C2">
        <w:rPr>
          <w:rFonts w:eastAsia="Times New Roman"/>
          <w:szCs w:val="22"/>
          <w:lang w:eastAsia="en-US"/>
        </w:rPr>
        <w:t xml:space="preserve"> economic </w:t>
      </w:r>
      <w:r w:rsidR="00887D2D">
        <w:rPr>
          <w:rFonts w:eastAsia="Times New Roman"/>
          <w:szCs w:val="22"/>
          <w:lang w:eastAsia="en-US"/>
        </w:rPr>
        <w:t>aspects.  Thus, i</w:t>
      </w:r>
      <w:r w:rsidR="00656428" w:rsidRPr="00656428">
        <w:rPr>
          <w:rFonts w:eastAsia="Times New Roman"/>
          <w:szCs w:val="22"/>
          <w:lang w:eastAsia="en-US"/>
        </w:rPr>
        <w:t xml:space="preserve">n Germany, the policy objective for the provision of the prior use exception was “to protect the economic status of possession of the prior user. </w:t>
      </w:r>
      <w:r w:rsidR="0097630E">
        <w:rPr>
          <w:rFonts w:eastAsia="Times New Roman"/>
          <w:szCs w:val="22"/>
          <w:lang w:eastAsia="en-US"/>
        </w:rPr>
        <w:t xml:space="preserve"> </w:t>
      </w:r>
      <w:r w:rsidR="00656428" w:rsidRPr="00656428">
        <w:rPr>
          <w:rFonts w:eastAsia="Times New Roman"/>
          <w:szCs w:val="22"/>
          <w:lang w:eastAsia="en-US"/>
        </w:rPr>
        <w:t xml:space="preserve">It </w:t>
      </w:r>
      <w:r w:rsidR="00AD49C7">
        <w:rPr>
          <w:rFonts w:eastAsia="Times New Roman"/>
          <w:szCs w:val="22"/>
          <w:lang w:eastAsia="en-US"/>
        </w:rPr>
        <w:t>was</w:t>
      </w:r>
      <w:r w:rsidR="00656428" w:rsidRPr="00656428">
        <w:rPr>
          <w:rFonts w:eastAsia="Times New Roman"/>
          <w:szCs w:val="22"/>
          <w:lang w:eastAsia="en-US"/>
        </w:rPr>
        <w:t xml:space="preserve"> intended to prevent the destruction of legitimately created values.  Investments in existing facilities are not to be devalued by another person's later patent application.”</w:t>
      </w:r>
      <w:r w:rsidR="00930D82">
        <w:rPr>
          <w:rFonts w:eastAsia="Times New Roman"/>
          <w:szCs w:val="22"/>
          <w:lang w:eastAsia="en-US"/>
        </w:rPr>
        <w:t xml:space="preserve">  Simi</w:t>
      </w:r>
      <w:r w:rsidR="00887D2D">
        <w:rPr>
          <w:rFonts w:eastAsia="Times New Roman"/>
          <w:szCs w:val="22"/>
          <w:lang w:eastAsia="en-US"/>
        </w:rPr>
        <w:t xml:space="preserve">larly, the response of Hungary </w:t>
      </w:r>
      <w:r w:rsidR="00930D82">
        <w:rPr>
          <w:rFonts w:eastAsia="Times New Roman"/>
          <w:szCs w:val="22"/>
          <w:lang w:eastAsia="en-US"/>
        </w:rPr>
        <w:t>stated that the exception provide</w:t>
      </w:r>
      <w:r w:rsidR="00AD49C7">
        <w:rPr>
          <w:rFonts w:eastAsia="Times New Roman"/>
          <w:szCs w:val="22"/>
          <w:lang w:eastAsia="en-US"/>
        </w:rPr>
        <w:t>d</w:t>
      </w:r>
      <w:r w:rsidR="00930D82">
        <w:rPr>
          <w:rFonts w:eastAsia="Times New Roman"/>
          <w:szCs w:val="22"/>
          <w:lang w:eastAsia="en-US"/>
        </w:rPr>
        <w:t xml:space="preserve"> “</w:t>
      </w:r>
      <w:r w:rsidR="00930D82" w:rsidRPr="00930D82">
        <w:rPr>
          <w:rFonts w:eastAsia="Times New Roman"/>
          <w:szCs w:val="22"/>
          <w:lang w:eastAsia="en-US"/>
        </w:rPr>
        <w:t xml:space="preserve">protection of investments that were performed in </w:t>
      </w:r>
      <w:r w:rsidR="00930D82" w:rsidRPr="00930D82">
        <w:rPr>
          <w:rFonts w:eastAsia="Times New Roman"/>
          <w:i/>
          <w:iCs/>
          <w:szCs w:val="22"/>
          <w:lang w:eastAsia="en-US"/>
        </w:rPr>
        <w:t>bona fide</w:t>
      </w:r>
      <w:r w:rsidR="00930D82" w:rsidRPr="00930D82">
        <w:rPr>
          <w:rFonts w:eastAsia="Times New Roman"/>
          <w:szCs w:val="22"/>
          <w:lang w:eastAsia="en-US"/>
        </w:rPr>
        <w:t>.</w:t>
      </w:r>
      <w:r w:rsidR="00930D82">
        <w:rPr>
          <w:rFonts w:eastAsia="Times New Roman"/>
          <w:szCs w:val="22"/>
          <w:lang w:eastAsia="en-US"/>
        </w:rPr>
        <w:t>”</w:t>
      </w:r>
      <w:r w:rsidR="00930D82" w:rsidRPr="00CB566B">
        <w:rPr>
          <w:rFonts w:eastAsia="Times New Roman"/>
          <w:iCs/>
          <w:color w:val="333333"/>
          <w:szCs w:val="22"/>
          <w:lang w:val="en" w:eastAsia="en-US"/>
        </w:rPr>
        <w:t xml:space="preserve"> </w:t>
      </w:r>
      <w:r w:rsidR="00BE3897" w:rsidRPr="00BE3897">
        <w:rPr>
          <w:rFonts w:eastAsia="Times New Roman"/>
          <w:szCs w:val="22"/>
          <w:lang w:eastAsia="en-US"/>
        </w:rPr>
        <w:t xml:space="preserve"> In</w:t>
      </w:r>
      <w:r w:rsidR="00BE3897" w:rsidRPr="00CB566B">
        <w:rPr>
          <w:rFonts w:eastAsia="Times New Roman"/>
          <w:iCs/>
          <w:color w:val="333333"/>
          <w:szCs w:val="22"/>
          <w:lang w:val="en" w:eastAsia="en-US"/>
        </w:rPr>
        <w:t xml:space="preserve"> </w:t>
      </w:r>
      <w:r w:rsidR="00BE3897" w:rsidRPr="00BE3897">
        <w:rPr>
          <w:rFonts w:eastAsia="Times New Roman"/>
          <w:szCs w:val="22"/>
          <w:lang w:eastAsia="en-US"/>
        </w:rPr>
        <w:t>Italy, the relevant exception was provided in</w:t>
      </w:r>
      <w:r w:rsidR="00BE3897" w:rsidRPr="00CB566B">
        <w:rPr>
          <w:rFonts w:eastAsia="Times New Roman"/>
          <w:iCs/>
          <w:color w:val="333333"/>
          <w:szCs w:val="22"/>
          <w:lang w:val="en" w:eastAsia="en-US"/>
        </w:rPr>
        <w:t xml:space="preserve"> </w:t>
      </w:r>
      <w:r w:rsidR="00BE3897" w:rsidRPr="00BE3897">
        <w:rPr>
          <w:rFonts w:eastAsia="Times New Roman"/>
          <w:szCs w:val="22"/>
          <w:lang w:eastAsia="en-US"/>
        </w:rPr>
        <w:t>order to safeguard the prior user</w:t>
      </w:r>
      <w:r w:rsidR="006E6AF5">
        <w:rPr>
          <w:rFonts w:eastAsia="Times New Roman"/>
          <w:szCs w:val="22"/>
          <w:lang w:eastAsia="en-US"/>
        </w:rPr>
        <w:t xml:space="preserve">’s </w:t>
      </w:r>
      <w:r w:rsidR="00BE3897" w:rsidRPr="00BE3897">
        <w:rPr>
          <w:rFonts w:eastAsia="Times New Roman"/>
          <w:szCs w:val="22"/>
          <w:lang w:eastAsia="en-US"/>
        </w:rPr>
        <w:t>economic status of possession.</w:t>
      </w:r>
      <w:r w:rsidR="006E6AF5">
        <w:rPr>
          <w:rFonts w:eastAsia="Times New Roman"/>
          <w:szCs w:val="22"/>
          <w:lang w:eastAsia="en-US"/>
        </w:rPr>
        <w:t xml:space="preserve"> </w:t>
      </w:r>
      <w:r w:rsidR="00BE3897" w:rsidRPr="00BE3897">
        <w:rPr>
          <w:rFonts w:eastAsia="Times New Roman"/>
          <w:szCs w:val="22"/>
          <w:lang w:eastAsia="en-US"/>
        </w:rPr>
        <w:t xml:space="preserve"> </w:t>
      </w:r>
      <w:r w:rsidR="006E6AF5">
        <w:rPr>
          <w:rFonts w:eastAsia="Times New Roman"/>
          <w:szCs w:val="22"/>
          <w:lang w:eastAsia="en-US"/>
        </w:rPr>
        <w:t xml:space="preserve">It was </w:t>
      </w:r>
      <w:r w:rsidR="00B22F58">
        <w:rPr>
          <w:rFonts w:eastAsia="Times New Roman"/>
          <w:szCs w:val="22"/>
          <w:lang w:eastAsia="en-US"/>
        </w:rPr>
        <w:t>noted</w:t>
      </w:r>
      <w:r w:rsidR="006E6AF5">
        <w:rPr>
          <w:rFonts w:eastAsia="Times New Roman"/>
          <w:szCs w:val="22"/>
          <w:lang w:eastAsia="en-US"/>
        </w:rPr>
        <w:t xml:space="preserve"> that “i</w:t>
      </w:r>
      <w:r w:rsidR="00BE3897" w:rsidRPr="00BE3897">
        <w:rPr>
          <w:rFonts w:eastAsia="Times New Roman"/>
          <w:szCs w:val="22"/>
          <w:lang w:eastAsia="en-US"/>
        </w:rPr>
        <w:t xml:space="preserve">t is essential to avoid the legitimately </w:t>
      </w:r>
      <w:r w:rsidR="00BE3897" w:rsidRPr="005F6B18">
        <w:rPr>
          <w:rFonts w:eastAsia="Times New Roman"/>
          <w:szCs w:val="22"/>
          <w:lang w:eastAsia="en-US"/>
        </w:rPr>
        <w:t>created values are ruined</w:t>
      </w:r>
      <w:r w:rsidR="00BE3897" w:rsidRPr="00BE3897">
        <w:rPr>
          <w:rFonts w:eastAsia="Times New Roman"/>
          <w:szCs w:val="22"/>
          <w:lang w:eastAsia="en-US"/>
        </w:rPr>
        <w:t xml:space="preserve">. </w:t>
      </w:r>
      <w:r w:rsidR="006E6AF5">
        <w:rPr>
          <w:rFonts w:eastAsia="Times New Roman"/>
          <w:szCs w:val="22"/>
          <w:lang w:eastAsia="en-US"/>
        </w:rPr>
        <w:t xml:space="preserve"> </w:t>
      </w:r>
      <w:r w:rsidR="00BE3897" w:rsidRPr="00BE3897">
        <w:rPr>
          <w:rFonts w:eastAsia="Times New Roman"/>
          <w:szCs w:val="22"/>
          <w:lang w:eastAsia="en-US"/>
        </w:rPr>
        <w:t>A later patent application cannot endanger prior user’s investments.</w:t>
      </w:r>
      <w:r w:rsidR="006E6AF5">
        <w:rPr>
          <w:rFonts w:eastAsia="Times New Roman"/>
          <w:szCs w:val="22"/>
          <w:lang w:eastAsia="en-US"/>
        </w:rPr>
        <w:t>”</w:t>
      </w:r>
      <w:r w:rsidR="0097630E">
        <w:rPr>
          <w:rFonts w:eastAsia="Times New Roman"/>
          <w:szCs w:val="22"/>
          <w:lang w:eastAsia="en-US"/>
        </w:rPr>
        <w:t xml:space="preserve">  Likewise, the response of Norway explained that if there </w:t>
      </w:r>
      <w:r w:rsidR="00EA7415">
        <w:rPr>
          <w:rFonts w:eastAsia="Times New Roman"/>
          <w:szCs w:val="22"/>
          <w:lang w:eastAsia="en-US"/>
        </w:rPr>
        <w:t xml:space="preserve">were </w:t>
      </w:r>
      <w:r w:rsidR="0097630E">
        <w:rPr>
          <w:rFonts w:eastAsia="Times New Roman"/>
          <w:szCs w:val="22"/>
          <w:lang w:eastAsia="en-US"/>
        </w:rPr>
        <w:t>no exception on prior use</w:t>
      </w:r>
      <w:r w:rsidR="00EA7415">
        <w:rPr>
          <w:rFonts w:eastAsia="Times New Roman"/>
          <w:szCs w:val="22"/>
          <w:lang w:eastAsia="en-US"/>
        </w:rPr>
        <w:t>,</w:t>
      </w:r>
      <w:r w:rsidR="0097630E">
        <w:rPr>
          <w:rFonts w:eastAsia="Times New Roman"/>
          <w:szCs w:val="22"/>
          <w:lang w:eastAsia="en-US"/>
        </w:rPr>
        <w:t xml:space="preserve"> “</w:t>
      </w:r>
      <w:r w:rsidR="0097630E" w:rsidRPr="0097630E">
        <w:rPr>
          <w:rFonts w:eastAsia="Times New Roman"/>
          <w:szCs w:val="22"/>
          <w:lang w:eastAsia="en-US"/>
        </w:rPr>
        <w:t xml:space="preserve">the person who had used the invention secretly would have to stop using it, because the use would be in conflict with the patent right. </w:t>
      </w:r>
      <w:r w:rsidR="00EA7415">
        <w:rPr>
          <w:rFonts w:eastAsia="Times New Roman"/>
          <w:szCs w:val="22"/>
          <w:lang w:eastAsia="en-US"/>
        </w:rPr>
        <w:t xml:space="preserve"> </w:t>
      </w:r>
      <w:r w:rsidR="0097630E" w:rsidRPr="0097630E">
        <w:rPr>
          <w:rFonts w:eastAsia="Times New Roman"/>
          <w:szCs w:val="22"/>
          <w:lang w:eastAsia="en-US"/>
        </w:rPr>
        <w:t>The prior user’s investments would be lost, and this is unfavorable in the light of community economy”.</w:t>
      </w:r>
      <w:r w:rsidR="00F57842">
        <w:rPr>
          <w:rFonts w:eastAsia="Times New Roman"/>
          <w:szCs w:val="22"/>
          <w:lang w:eastAsia="en-US"/>
        </w:rPr>
        <w:t xml:space="preserve">  </w:t>
      </w:r>
      <w:r w:rsidR="00F70700">
        <w:rPr>
          <w:rFonts w:eastAsia="Times New Roman"/>
          <w:szCs w:val="22"/>
          <w:lang w:eastAsia="en-US"/>
        </w:rPr>
        <w:t>Similarly, the response of Sweden stated that the prior use exception was “</w:t>
      </w:r>
      <w:r w:rsidR="00F70700" w:rsidRPr="00F70700">
        <w:rPr>
          <w:rFonts w:eastAsia="Times New Roman"/>
          <w:szCs w:val="22"/>
          <w:lang w:eastAsia="en-US"/>
        </w:rPr>
        <w:t>reasonable” and “provided for economic benefits to the society as a whole</w:t>
      </w:r>
      <w:r w:rsidR="00FF7D51">
        <w:rPr>
          <w:rFonts w:eastAsia="Times New Roman"/>
          <w:szCs w:val="22"/>
          <w:lang w:eastAsia="en-US"/>
        </w:rPr>
        <w:t>”</w:t>
      </w:r>
      <w:r w:rsidR="00F70700" w:rsidRPr="00F70700">
        <w:rPr>
          <w:rFonts w:eastAsia="Times New Roman"/>
          <w:szCs w:val="22"/>
          <w:lang w:eastAsia="en-US"/>
        </w:rPr>
        <w:t xml:space="preserve">. </w:t>
      </w:r>
      <w:r w:rsidR="00DC23F2">
        <w:rPr>
          <w:rFonts w:eastAsia="Times New Roman"/>
          <w:szCs w:val="22"/>
          <w:lang w:eastAsia="en-US"/>
        </w:rPr>
        <w:t xml:space="preserve"> </w:t>
      </w:r>
      <w:r w:rsidR="00F57842">
        <w:rPr>
          <w:rFonts w:eastAsia="Times New Roman"/>
          <w:szCs w:val="22"/>
          <w:lang w:eastAsia="en-US"/>
        </w:rPr>
        <w:t xml:space="preserve">In Romania, the relevant </w:t>
      </w:r>
      <w:r w:rsidR="00F57842" w:rsidRPr="00F57842">
        <w:rPr>
          <w:rFonts w:eastAsia="Times New Roman"/>
          <w:szCs w:val="22"/>
          <w:lang w:eastAsia="en-US"/>
        </w:rPr>
        <w:t>provision was also “intended to protect the investments of a person done in good faith on the territory of Romania and to avoid the abuse of right</w:t>
      </w:r>
      <w:r w:rsidR="00AD49C7">
        <w:rPr>
          <w:rFonts w:eastAsia="Times New Roman"/>
          <w:szCs w:val="22"/>
          <w:lang w:eastAsia="en-US"/>
        </w:rPr>
        <w:t>s</w:t>
      </w:r>
      <w:r w:rsidR="00F57842" w:rsidRPr="00F57842">
        <w:rPr>
          <w:rFonts w:eastAsia="Times New Roman"/>
          <w:szCs w:val="22"/>
          <w:lang w:eastAsia="en-US"/>
        </w:rPr>
        <w:t>”.</w:t>
      </w:r>
      <w:r w:rsidR="00A47350">
        <w:rPr>
          <w:rFonts w:eastAsia="Times New Roman"/>
          <w:szCs w:val="22"/>
          <w:lang w:eastAsia="en-US"/>
        </w:rPr>
        <w:t xml:space="preserve">  </w:t>
      </w:r>
    </w:p>
    <w:p w14:paraId="27BFAAC1" w14:textId="0C457425" w:rsidR="0038250F" w:rsidRDefault="00497FF3" w:rsidP="00136E95">
      <w:pPr>
        <w:shd w:val="clear" w:color="auto" w:fill="FFFFFF"/>
        <w:spacing w:before="100" w:beforeAutospacing="1" w:after="100" w:afterAutospacing="1"/>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403126">
        <w:rPr>
          <w:rFonts w:eastAsia="Times New Roman"/>
          <w:szCs w:val="22"/>
          <w:lang w:eastAsia="en-US"/>
        </w:rPr>
        <w:t xml:space="preserve">The responses of </w:t>
      </w:r>
      <w:r w:rsidR="00914654">
        <w:rPr>
          <w:rFonts w:eastAsia="Times New Roman"/>
          <w:szCs w:val="22"/>
          <w:lang w:eastAsia="en-US"/>
        </w:rPr>
        <w:t>many</w:t>
      </w:r>
      <w:r w:rsidR="00C016C1">
        <w:rPr>
          <w:rFonts w:eastAsia="Times New Roman"/>
          <w:szCs w:val="22"/>
          <w:lang w:eastAsia="en-US"/>
        </w:rPr>
        <w:t xml:space="preserve"> Member States </w:t>
      </w:r>
      <w:r w:rsidR="00914654">
        <w:rPr>
          <w:rFonts w:eastAsia="Times New Roman"/>
          <w:szCs w:val="22"/>
          <w:lang w:eastAsia="en-US"/>
        </w:rPr>
        <w:t xml:space="preserve">on </w:t>
      </w:r>
      <w:r w:rsidR="00FF7D51">
        <w:rPr>
          <w:rFonts w:eastAsia="Times New Roman"/>
          <w:szCs w:val="22"/>
          <w:lang w:eastAsia="en-US"/>
        </w:rPr>
        <w:t>this</w:t>
      </w:r>
      <w:r w:rsidR="00914654">
        <w:rPr>
          <w:rFonts w:eastAsia="Times New Roman"/>
          <w:szCs w:val="22"/>
          <w:lang w:eastAsia="en-US"/>
        </w:rPr>
        <w:t xml:space="preserve"> quest</w:t>
      </w:r>
      <w:r w:rsidR="00FF7D51">
        <w:rPr>
          <w:rFonts w:eastAsia="Times New Roman"/>
          <w:szCs w:val="22"/>
          <w:lang w:eastAsia="en-US"/>
        </w:rPr>
        <w:t xml:space="preserve">ion </w:t>
      </w:r>
      <w:r w:rsidR="00914654">
        <w:rPr>
          <w:rFonts w:eastAsia="Times New Roman"/>
          <w:szCs w:val="22"/>
          <w:lang w:eastAsia="en-US"/>
        </w:rPr>
        <w:t xml:space="preserve">explained that the </w:t>
      </w:r>
      <w:r w:rsidR="00FF7D51">
        <w:rPr>
          <w:rFonts w:eastAsia="Times New Roman"/>
          <w:szCs w:val="22"/>
          <w:lang w:eastAsia="en-US"/>
        </w:rPr>
        <w:t xml:space="preserve">prior use </w:t>
      </w:r>
      <w:r w:rsidR="00914654">
        <w:rPr>
          <w:rFonts w:eastAsia="Times New Roman"/>
          <w:szCs w:val="22"/>
          <w:lang w:eastAsia="en-US"/>
        </w:rPr>
        <w:t>exception</w:t>
      </w:r>
      <w:r w:rsidR="00FF7D51">
        <w:rPr>
          <w:rFonts w:eastAsia="Times New Roman"/>
          <w:szCs w:val="22"/>
          <w:lang w:eastAsia="en-US"/>
        </w:rPr>
        <w:t xml:space="preserve"> as provided under their laws</w:t>
      </w:r>
      <w:r w:rsidR="00914654">
        <w:rPr>
          <w:rFonts w:eastAsia="Times New Roman"/>
          <w:szCs w:val="22"/>
          <w:lang w:eastAsia="en-US"/>
        </w:rPr>
        <w:t xml:space="preserve"> would provide fairness in the system.  For example, i</w:t>
      </w:r>
      <w:r>
        <w:rPr>
          <w:rFonts w:eastAsia="Times New Roman"/>
          <w:szCs w:val="22"/>
          <w:lang w:eastAsia="en-US"/>
        </w:rPr>
        <w:t>n</w:t>
      </w:r>
      <w:r w:rsidR="005A011A">
        <w:rPr>
          <w:rFonts w:eastAsia="Times New Roman"/>
          <w:szCs w:val="22"/>
          <w:lang w:eastAsia="en-US"/>
        </w:rPr>
        <w:t xml:space="preserve"> the response of </w:t>
      </w:r>
      <w:r w:rsidR="00EC55C2">
        <w:rPr>
          <w:rFonts w:eastAsia="Times New Roman"/>
          <w:szCs w:val="22"/>
          <w:lang w:eastAsia="en-US"/>
        </w:rPr>
        <w:t>Serbia</w:t>
      </w:r>
      <w:r w:rsidR="00EA7415">
        <w:rPr>
          <w:rFonts w:eastAsia="Times New Roman"/>
          <w:szCs w:val="22"/>
          <w:lang w:eastAsia="en-US"/>
        </w:rPr>
        <w:t>,</w:t>
      </w:r>
      <w:r w:rsidR="00EC55C2">
        <w:rPr>
          <w:rFonts w:eastAsia="Times New Roman"/>
          <w:szCs w:val="22"/>
          <w:lang w:eastAsia="en-US"/>
        </w:rPr>
        <w:t xml:space="preserve"> it was noted that the prior use exceptions, as defined in its law, was “</w:t>
      </w:r>
      <w:r w:rsidR="00EC55C2" w:rsidRPr="00EC55C2">
        <w:rPr>
          <w:rFonts w:eastAsia="Times New Roman"/>
          <w:szCs w:val="22"/>
          <w:lang w:eastAsia="en-US"/>
        </w:rPr>
        <w:t xml:space="preserve">provided for the reasons of fairness and economic security necessary for investment and exploitation of the invention that was made before the filling </w:t>
      </w:r>
      <w:r w:rsidR="00797B15">
        <w:rPr>
          <w:rFonts w:eastAsia="Times New Roman"/>
          <w:szCs w:val="22"/>
          <w:lang w:eastAsia="en-US"/>
        </w:rPr>
        <w:t xml:space="preserve">of </w:t>
      </w:r>
      <w:r w:rsidR="00EC55C2" w:rsidRPr="00EC55C2">
        <w:rPr>
          <w:rFonts w:eastAsia="Times New Roman"/>
          <w:szCs w:val="22"/>
          <w:lang w:eastAsia="en-US"/>
        </w:rPr>
        <w:t>the application”.</w:t>
      </w:r>
      <w:r w:rsidR="00EC55C2">
        <w:rPr>
          <w:rFonts w:eastAsia="Times New Roman"/>
          <w:szCs w:val="22"/>
          <w:lang w:eastAsia="en-US"/>
        </w:rPr>
        <w:t xml:space="preserve">  </w:t>
      </w:r>
      <w:r w:rsidR="00887D2D">
        <w:rPr>
          <w:rFonts w:eastAsia="Times New Roman"/>
          <w:szCs w:val="22"/>
          <w:lang w:eastAsia="en-US"/>
        </w:rPr>
        <w:t xml:space="preserve">In </w:t>
      </w:r>
      <w:r w:rsidR="00B06358">
        <w:rPr>
          <w:rFonts w:eastAsia="Times New Roman"/>
          <w:szCs w:val="22"/>
          <w:lang w:eastAsia="en-US"/>
        </w:rPr>
        <w:t xml:space="preserve">the response of </w:t>
      </w:r>
      <w:r w:rsidR="00887D2D">
        <w:rPr>
          <w:rFonts w:eastAsia="Times New Roman"/>
          <w:szCs w:val="22"/>
          <w:lang w:eastAsia="en-US"/>
        </w:rPr>
        <w:t xml:space="preserve">China, </w:t>
      </w:r>
      <w:r w:rsidR="00887D2D" w:rsidRPr="007C2B53">
        <w:rPr>
          <w:rFonts w:eastAsia="Times New Roman"/>
          <w:szCs w:val="22"/>
          <w:lang w:eastAsia="en-US"/>
        </w:rPr>
        <w:t>it was explained that “such limitation could help avoid unfairness that exists in real life, arising from the fact that the entities or individuals who have invested human and material resources in the creation of the invention are not able to exploit their own intellectual achievements just because they have not filed</w:t>
      </w:r>
      <w:r w:rsidR="00412CF8">
        <w:rPr>
          <w:rFonts w:eastAsia="Times New Roman"/>
          <w:szCs w:val="22"/>
          <w:lang w:eastAsia="en-US"/>
        </w:rPr>
        <w:t xml:space="preserve"> any patent applications before</w:t>
      </w:r>
      <w:r w:rsidR="00887D2D" w:rsidRPr="007C2B53">
        <w:rPr>
          <w:rFonts w:eastAsia="Times New Roman"/>
          <w:szCs w:val="22"/>
          <w:lang w:eastAsia="en-US"/>
        </w:rPr>
        <w:t>hand</w:t>
      </w:r>
      <w:r w:rsidR="00887D2D">
        <w:rPr>
          <w:rFonts w:eastAsia="Times New Roman"/>
          <w:szCs w:val="22"/>
          <w:lang w:eastAsia="en-US"/>
        </w:rPr>
        <w:t>”</w:t>
      </w:r>
      <w:r w:rsidR="00887D2D" w:rsidRPr="007C2B53">
        <w:rPr>
          <w:rFonts w:eastAsia="Times New Roman"/>
          <w:szCs w:val="22"/>
          <w:lang w:eastAsia="en-US"/>
        </w:rPr>
        <w:t xml:space="preserve">. </w:t>
      </w:r>
      <w:r w:rsidR="0065619D">
        <w:rPr>
          <w:rFonts w:eastAsia="Times New Roman"/>
          <w:szCs w:val="22"/>
          <w:lang w:eastAsia="en-US"/>
        </w:rPr>
        <w:t xml:space="preserve"> </w:t>
      </w:r>
      <w:r w:rsidR="00C10AB2">
        <w:rPr>
          <w:rFonts w:eastAsia="Times New Roman"/>
          <w:szCs w:val="22"/>
          <w:lang w:eastAsia="en-US"/>
        </w:rPr>
        <w:t xml:space="preserve">The </w:t>
      </w:r>
      <w:r w:rsidR="0065619D" w:rsidRPr="0065619D">
        <w:rPr>
          <w:rFonts w:eastAsia="Times New Roman"/>
          <w:szCs w:val="22"/>
          <w:lang w:eastAsia="en-US"/>
        </w:rPr>
        <w:t xml:space="preserve">United Kingdom’s response also stated that the exception existed to ensure </w:t>
      </w:r>
      <w:r w:rsidR="009B4BA5">
        <w:rPr>
          <w:rFonts w:eastAsia="Times New Roman"/>
          <w:szCs w:val="22"/>
          <w:lang w:eastAsia="en-US"/>
        </w:rPr>
        <w:t xml:space="preserve">that “the </w:t>
      </w:r>
      <w:r w:rsidR="0065619D" w:rsidRPr="0065619D">
        <w:rPr>
          <w:rFonts w:eastAsia="Times New Roman"/>
          <w:szCs w:val="22"/>
          <w:lang w:eastAsia="en-US"/>
        </w:rPr>
        <w:t xml:space="preserve">prior users are treated fairly with respect to </w:t>
      </w:r>
      <w:r w:rsidR="0065619D" w:rsidRPr="00A178DF">
        <w:rPr>
          <w:rFonts w:eastAsia="Times New Roman"/>
          <w:szCs w:val="22"/>
          <w:lang w:eastAsia="en-US"/>
        </w:rPr>
        <w:t>patent holders”.</w:t>
      </w:r>
      <w:r w:rsidR="00D70C9A" w:rsidRPr="00A178DF">
        <w:rPr>
          <w:rFonts w:eastAsia="Times New Roman"/>
          <w:szCs w:val="22"/>
          <w:lang w:eastAsia="en-US"/>
        </w:rPr>
        <w:t xml:space="preserve">  </w:t>
      </w:r>
      <w:r w:rsidR="00B06358" w:rsidRPr="00A178DF">
        <w:rPr>
          <w:rFonts w:eastAsia="Times New Roman"/>
          <w:szCs w:val="22"/>
          <w:lang w:eastAsia="en-US"/>
        </w:rPr>
        <w:t xml:space="preserve">In a similar manner, the public policy objectives for </w:t>
      </w:r>
      <w:r w:rsidR="004B17E0">
        <w:rPr>
          <w:rFonts w:eastAsia="Times New Roman"/>
          <w:szCs w:val="22"/>
          <w:lang w:eastAsia="en-US"/>
        </w:rPr>
        <w:t xml:space="preserve">the </w:t>
      </w:r>
      <w:r w:rsidR="00B06358" w:rsidRPr="00A178DF">
        <w:rPr>
          <w:rFonts w:eastAsia="Times New Roman"/>
          <w:szCs w:val="22"/>
          <w:lang w:eastAsia="en-US"/>
        </w:rPr>
        <w:t xml:space="preserve">provision of </w:t>
      </w:r>
      <w:r w:rsidR="004B17E0">
        <w:rPr>
          <w:rFonts w:eastAsia="Times New Roman"/>
          <w:szCs w:val="22"/>
          <w:lang w:eastAsia="en-US"/>
        </w:rPr>
        <w:t xml:space="preserve">prior use exception in </w:t>
      </w:r>
      <w:r w:rsidR="00B06358" w:rsidRPr="00A178DF">
        <w:rPr>
          <w:rFonts w:eastAsia="Times New Roman"/>
          <w:szCs w:val="22"/>
          <w:lang w:eastAsia="en-US"/>
        </w:rPr>
        <w:t>the Netherlands Patent Act 1995 were</w:t>
      </w:r>
      <w:r w:rsidR="00A178DF" w:rsidRPr="00A178DF">
        <w:rPr>
          <w:rFonts w:eastAsia="Times New Roman"/>
          <w:szCs w:val="22"/>
          <w:lang w:eastAsia="en-US"/>
        </w:rPr>
        <w:t xml:space="preserve">, </w:t>
      </w:r>
      <w:r w:rsidR="00A178DF" w:rsidRPr="005F6B18">
        <w:rPr>
          <w:rFonts w:eastAsia="Times New Roman"/>
          <w:i/>
          <w:szCs w:val="22"/>
          <w:lang w:eastAsia="en-US"/>
        </w:rPr>
        <w:t>inter alia</w:t>
      </w:r>
      <w:r w:rsidR="00A178DF" w:rsidRPr="00A178DF">
        <w:rPr>
          <w:rFonts w:eastAsia="Times New Roman"/>
          <w:szCs w:val="22"/>
          <w:lang w:eastAsia="en-US"/>
        </w:rPr>
        <w:t>,</w:t>
      </w:r>
      <w:r w:rsidR="00B06358" w:rsidRPr="00A178DF">
        <w:rPr>
          <w:rFonts w:eastAsia="Times New Roman"/>
          <w:szCs w:val="22"/>
          <w:lang w:eastAsia="en-US"/>
        </w:rPr>
        <w:t xml:space="preserve"> explained as follows: </w:t>
      </w:r>
      <w:r w:rsidR="00EA7415">
        <w:rPr>
          <w:rFonts w:eastAsia="Times New Roman"/>
          <w:szCs w:val="22"/>
          <w:lang w:eastAsia="en-US"/>
        </w:rPr>
        <w:t xml:space="preserve"> </w:t>
      </w:r>
      <w:r w:rsidR="00B06358" w:rsidRPr="00A178DF">
        <w:rPr>
          <w:rFonts w:eastAsia="Times New Roman"/>
          <w:szCs w:val="22"/>
          <w:lang w:eastAsia="en-US"/>
        </w:rPr>
        <w:t>“whatever the reasons were for the prior user […] to keep the invention secret (e.g. no interest in a patent, business strategy, etc.), it is considered unfair if the patent holder could maintain his rights against the prior user.  Without a “prior use” provision</w:t>
      </w:r>
      <w:r w:rsidR="00EA7415">
        <w:rPr>
          <w:rFonts w:eastAsia="Times New Roman"/>
          <w:szCs w:val="22"/>
          <w:lang w:eastAsia="en-US"/>
        </w:rPr>
        <w:t>,</w:t>
      </w:r>
      <w:r w:rsidR="00B06358" w:rsidRPr="00A178DF">
        <w:rPr>
          <w:rFonts w:eastAsia="Times New Roman"/>
          <w:szCs w:val="22"/>
          <w:lang w:eastAsia="en-US"/>
        </w:rPr>
        <w:t xml:space="preserve"> applying for a patent would be a necessity instead of a free choice</w:t>
      </w:r>
      <w:r w:rsidR="00A178DF">
        <w:rPr>
          <w:rFonts w:eastAsia="Times New Roman"/>
          <w:szCs w:val="22"/>
          <w:lang w:eastAsia="en-US"/>
        </w:rPr>
        <w:t>.”</w:t>
      </w:r>
    </w:p>
    <w:p w14:paraId="7F067A76" w14:textId="77777777" w:rsidR="00B06358" w:rsidRDefault="00B06358" w:rsidP="005F6B18">
      <w:pPr>
        <w:shd w:val="clear" w:color="auto" w:fill="FFFFFF"/>
        <w:rPr>
          <w:rFonts w:eastAsia="Times New Roman"/>
          <w:iCs/>
          <w:color w:val="333333"/>
          <w:szCs w:val="22"/>
          <w:lang w:val="en"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t xml:space="preserve">While the response of Mexico underlined that </w:t>
      </w:r>
      <w:r w:rsidRPr="00AE45B2">
        <w:rPr>
          <w:rFonts w:eastAsia="Times New Roman"/>
          <w:szCs w:val="22"/>
          <w:lang w:eastAsia="en-US"/>
        </w:rPr>
        <w:t xml:space="preserve">the general legal principle was “first in time, first in right”, it was also considered that the prior use exception, as defined in its legislation, sought “to protect users in good faith so that they may continue using their invention, although a third party not involved therein has obtained a patent for </w:t>
      </w:r>
      <w:r w:rsidR="00EA7415">
        <w:rPr>
          <w:rFonts w:eastAsia="Times New Roman"/>
          <w:szCs w:val="22"/>
          <w:lang w:eastAsia="en-US"/>
        </w:rPr>
        <w:t xml:space="preserve">the </w:t>
      </w:r>
      <w:r w:rsidRPr="00AE45B2">
        <w:rPr>
          <w:rFonts w:eastAsia="Times New Roman"/>
          <w:szCs w:val="22"/>
          <w:lang w:eastAsia="en-US"/>
        </w:rPr>
        <w:t>said invention, in order to achieve fairness between two holders of an invention, even though only one of them has patented it”</w:t>
      </w:r>
      <w:r w:rsidR="00EA7415">
        <w:rPr>
          <w:rFonts w:eastAsia="Times New Roman"/>
          <w:szCs w:val="22"/>
          <w:lang w:eastAsia="en-US"/>
        </w:rPr>
        <w:t>.</w:t>
      </w:r>
      <w:r w:rsidRPr="00AE45B2">
        <w:rPr>
          <w:rFonts w:eastAsia="Times New Roman"/>
          <w:szCs w:val="22"/>
          <w:lang w:eastAsia="en-US"/>
        </w:rPr>
        <w:t xml:space="preserve">  It was further explained that such an exception sought to protect the user in good faith, “provided that such a user may have invested economic, physical and intellectual resources in order to use the invention”</w:t>
      </w:r>
      <w:r w:rsidR="00EA7415">
        <w:rPr>
          <w:rFonts w:eastAsia="Times New Roman"/>
          <w:szCs w:val="22"/>
          <w:lang w:eastAsia="en-US"/>
        </w:rPr>
        <w:t>.</w:t>
      </w:r>
      <w:r>
        <w:rPr>
          <w:rFonts w:eastAsia="Times New Roman"/>
          <w:szCs w:val="22"/>
          <w:lang w:eastAsia="en-US"/>
        </w:rPr>
        <w:t xml:space="preserve">  The responses of Indonesia</w:t>
      </w:r>
      <w:r w:rsidR="004F44EF">
        <w:rPr>
          <w:rFonts w:eastAsia="Times New Roman"/>
          <w:szCs w:val="22"/>
          <w:lang w:eastAsia="en-US"/>
        </w:rPr>
        <w:t xml:space="preserve">, </w:t>
      </w:r>
      <w:r>
        <w:rPr>
          <w:rFonts w:eastAsia="Times New Roman"/>
          <w:szCs w:val="22"/>
          <w:lang w:eastAsia="en-US"/>
        </w:rPr>
        <w:t>Qatar</w:t>
      </w:r>
      <w:r w:rsidR="004F44EF">
        <w:rPr>
          <w:rFonts w:eastAsia="Times New Roman"/>
          <w:szCs w:val="22"/>
          <w:lang w:eastAsia="en-US"/>
        </w:rPr>
        <w:t xml:space="preserve"> and Uganda</w:t>
      </w:r>
      <w:r>
        <w:rPr>
          <w:rFonts w:eastAsia="Times New Roman"/>
          <w:szCs w:val="22"/>
          <w:lang w:eastAsia="en-US"/>
        </w:rPr>
        <w:t xml:space="preserve"> also underlined that the relevant exceptions were </w:t>
      </w:r>
      <w:r w:rsidRPr="00BE3897">
        <w:rPr>
          <w:rFonts w:eastAsia="Times New Roman"/>
          <w:szCs w:val="22"/>
          <w:lang w:eastAsia="en-US"/>
        </w:rPr>
        <w:t>intended to provide prote</w:t>
      </w:r>
      <w:r>
        <w:rPr>
          <w:rFonts w:eastAsia="Times New Roman"/>
          <w:szCs w:val="22"/>
          <w:lang w:eastAsia="en-US"/>
        </w:rPr>
        <w:t>ction for good faith prior users</w:t>
      </w:r>
      <w:r w:rsidRPr="00BE3897">
        <w:rPr>
          <w:rFonts w:eastAsia="Times New Roman"/>
          <w:szCs w:val="22"/>
          <w:lang w:eastAsia="en-US"/>
        </w:rPr>
        <w:t>.</w:t>
      </w:r>
      <w:r w:rsidRPr="00CB566B">
        <w:rPr>
          <w:rFonts w:eastAsia="Times New Roman"/>
          <w:iCs/>
          <w:color w:val="333333"/>
          <w:szCs w:val="22"/>
          <w:lang w:val="en" w:eastAsia="en-US"/>
        </w:rPr>
        <w:t xml:space="preserve"> </w:t>
      </w:r>
    </w:p>
    <w:p w14:paraId="36950498" w14:textId="77777777" w:rsidR="0038250F" w:rsidRDefault="0038250F" w:rsidP="005F6B18">
      <w:pPr>
        <w:shd w:val="clear" w:color="auto" w:fill="FFFFFF"/>
        <w:rPr>
          <w:rFonts w:eastAsia="Times New Roman"/>
          <w:szCs w:val="22"/>
          <w:lang w:eastAsia="en-US"/>
        </w:rPr>
      </w:pPr>
    </w:p>
    <w:p w14:paraId="0DDDFB49" w14:textId="77777777" w:rsidR="0038250F" w:rsidRDefault="007C79E2" w:rsidP="005F6B18">
      <w:pPr>
        <w:shd w:val="clear" w:color="auto" w:fill="FFFFFF"/>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1B08DC" w:rsidRPr="001B08DC">
        <w:rPr>
          <w:rFonts w:eastAsia="Times New Roman"/>
          <w:szCs w:val="22"/>
          <w:lang w:eastAsia="en-US"/>
        </w:rPr>
        <w:t xml:space="preserve">Some </w:t>
      </w:r>
      <w:r w:rsidR="001B08DC" w:rsidRPr="001B08DC">
        <w:rPr>
          <w:szCs w:val="22"/>
        </w:rPr>
        <w:t>Member States explained that that principle was a consequence of the first</w:t>
      </w:r>
      <w:r w:rsidR="001B08DC" w:rsidRPr="001B08DC">
        <w:rPr>
          <w:szCs w:val="22"/>
        </w:rPr>
        <w:noBreakHyphen/>
        <w:t>to</w:t>
      </w:r>
      <w:r w:rsidR="001B08DC" w:rsidRPr="001B08DC">
        <w:rPr>
          <w:szCs w:val="22"/>
        </w:rPr>
        <w:noBreakHyphen/>
        <w:t xml:space="preserve">file system.  For example, </w:t>
      </w:r>
      <w:r w:rsidR="000A5362" w:rsidRPr="001B08DC">
        <w:rPr>
          <w:rFonts w:eastAsia="Times New Roman"/>
          <w:szCs w:val="22"/>
          <w:lang w:eastAsia="en-US"/>
        </w:rPr>
        <w:t>i</w:t>
      </w:r>
      <w:r w:rsidR="00EC55C2" w:rsidRPr="001B08DC">
        <w:rPr>
          <w:rFonts w:eastAsia="Times New Roman"/>
          <w:szCs w:val="22"/>
          <w:lang w:eastAsia="en-US"/>
        </w:rPr>
        <w:t xml:space="preserve">n the response of </w:t>
      </w:r>
      <w:r w:rsidR="00497FF3" w:rsidRPr="001B08DC">
        <w:rPr>
          <w:rFonts w:eastAsia="Times New Roman"/>
          <w:szCs w:val="22"/>
          <w:lang w:eastAsia="en-US"/>
        </w:rPr>
        <w:t>Japan</w:t>
      </w:r>
      <w:r w:rsidR="00EA7415">
        <w:rPr>
          <w:rFonts w:eastAsia="Times New Roman"/>
          <w:szCs w:val="22"/>
          <w:lang w:eastAsia="en-US"/>
        </w:rPr>
        <w:t>,</w:t>
      </w:r>
      <w:r w:rsidR="005A011A" w:rsidRPr="001B08DC">
        <w:rPr>
          <w:rFonts w:eastAsia="Times New Roman"/>
          <w:szCs w:val="22"/>
          <w:lang w:eastAsia="en-US"/>
        </w:rPr>
        <w:t xml:space="preserve"> it was explained that “if the first-to-file system is strictly applied, it</w:t>
      </w:r>
      <w:r w:rsidR="005A011A" w:rsidRPr="005A011A">
        <w:rPr>
          <w:rFonts w:eastAsia="Times New Roman"/>
          <w:szCs w:val="22"/>
          <w:lang w:eastAsia="en-US"/>
        </w:rPr>
        <w:t xml:space="preserve"> </w:t>
      </w:r>
      <w:r w:rsidR="00EA7415">
        <w:rPr>
          <w:rFonts w:eastAsia="Times New Roman"/>
          <w:szCs w:val="22"/>
          <w:lang w:eastAsia="en-US"/>
        </w:rPr>
        <w:t xml:space="preserve">would </w:t>
      </w:r>
      <w:r w:rsidR="005A011A" w:rsidRPr="005A011A">
        <w:rPr>
          <w:rFonts w:eastAsia="Times New Roman"/>
          <w:szCs w:val="22"/>
          <w:lang w:eastAsia="en-US"/>
        </w:rPr>
        <w:t>not necessarily be fair that a party which had been working the same invention prior to the filing of a patent application by another party should be precluded from working the same invention of the patent right, just because the party was slightly b</w:t>
      </w:r>
      <w:r w:rsidR="00914654">
        <w:rPr>
          <w:rFonts w:eastAsia="Times New Roman"/>
          <w:szCs w:val="22"/>
          <w:lang w:eastAsia="en-US"/>
        </w:rPr>
        <w:t xml:space="preserve">ehind in filing an application.  </w:t>
      </w:r>
      <w:r w:rsidR="005A011A" w:rsidRPr="005A011A">
        <w:rPr>
          <w:rFonts w:eastAsia="Times New Roman"/>
          <w:szCs w:val="22"/>
          <w:lang w:eastAsia="en-US"/>
        </w:rPr>
        <w:t xml:space="preserve">Therefore, even if such a policy is applied, there remains a need to adjust the interests of the patent owner and any party already working the invention in question prior to </w:t>
      </w:r>
      <w:r w:rsidR="005A011A" w:rsidRPr="005A011A">
        <w:rPr>
          <w:rFonts w:eastAsia="Times New Roman"/>
          <w:szCs w:val="22"/>
          <w:lang w:eastAsia="en-US"/>
        </w:rPr>
        <w:lastRenderedPageBreak/>
        <w:t>the patent application”.</w:t>
      </w:r>
      <w:r w:rsidR="00233AAC">
        <w:rPr>
          <w:rFonts w:eastAsia="Times New Roman"/>
          <w:szCs w:val="22"/>
          <w:lang w:eastAsia="en-US"/>
        </w:rPr>
        <w:t xml:space="preserve">  </w:t>
      </w:r>
      <w:r w:rsidR="00B80C63">
        <w:rPr>
          <w:rFonts w:eastAsia="Times New Roman"/>
          <w:szCs w:val="22"/>
          <w:lang w:eastAsia="en-US"/>
        </w:rPr>
        <w:t>Similarly, Switzerland’s response stated that “t</w:t>
      </w:r>
      <w:r w:rsidR="00B80C63" w:rsidRPr="00B80C63">
        <w:rPr>
          <w:rFonts w:eastAsia="Times New Roman"/>
          <w:szCs w:val="22"/>
          <w:lang w:eastAsia="en-US"/>
        </w:rPr>
        <w:t>his exception is aimed at limiting the consequences of the first-to-file system by protecting the investments made by the inventor of an unpatented invention that he has been keeping confidential since a date prior to the filing by a third party of an application concerni</w:t>
      </w:r>
      <w:r w:rsidR="00F87A53">
        <w:rPr>
          <w:rFonts w:eastAsia="Times New Roman"/>
          <w:szCs w:val="22"/>
          <w:lang w:eastAsia="en-US"/>
        </w:rPr>
        <w:t xml:space="preserve">ng the same invention”.  </w:t>
      </w:r>
      <w:r w:rsidR="008E30E7">
        <w:rPr>
          <w:rFonts w:eastAsia="Times New Roman"/>
          <w:szCs w:val="22"/>
          <w:lang w:eastAsia="en-US"/>
        </w:rPr>
        <w:t xml:space="preserve">The </w:t>
      </w:r>
      <w:r w:rsidR="00B80C63">
        <w:rPr>
          <w:rFonts w:eastAsia="Times New Roman"/>
          <w:szCs w:val="22"/>
          <w:lang w:eastAsia="en-US"/>
        </w:rPr>
        <w:t xml:space="preserve">public policy objective for provision of the prior use exception in the </w:t>
      </w:r>
      <w:r w:rsidR="00233AAC">
        <w:rPr>
          <w:rFonts w:eastAsia="Times New Roman"/>
          <w:szCs w:val="22"/>
          <w:lang w:eastAsia="en-US"/>
        </w:rPr>
        <w:t>Republic of Korea</w:t>
      </w:r>
      <w:r w:rsidR="008E30E7">
        <w:rPr>
          <w:rFonts w:eastAsia="Times New Roman"/>
          <w:szCs w:val="22"/>
          <w:lang w:eastAsia="en-US"/>
        </w:rPr>
        <w:t xml:space="preserve"> </w:t>
      </w:r>
      <w:r w:rsidR="00B80C63">
        <w:rPr>
          <w:rFonts w:eastAsia="Times New Roman"/>
          <w:szCs w:val="22"/>
          <w:lang w:eastAsia="en-US"/>
        </w:rPr>
        <w:t xml:space="preserve">was </w:t>
      </w:r>
      <w:r w:rsidR="008E30E7">
        <w:rPr>
          <w:rFonts w:eastAsia="Times New Roman"/>
          <w:szCs w:val="22"/>
          <w:lang w:eastAsia="en-US"/>
        </w:rPr>
        <w:t>also explained as follows</w:t>
      </w:r>
      <w:r w:rsidR="00233AAC">
        <w:rPr>
          <w:rFonts w:eastAsia="Times New Roman"/>
          <w:szCs w:val="22"/>
          <w:lang w:eastAsia="en-US"/>
        </w:rPr>
        <w:t xml:space="preserve"> “</w:t>
      </w:r>
      <w:r w:rsidR="008E30E7">
        <w:rPr>
          <w:rFonts w:eastAsia="Times New Roman"/>
          <w:szCs w:val="22"/>
          <w:lang w:eastAsia="en-US"/>
        </w:rPr>
        <w:t>u</w:t>
      </w:r>
      <w:r w:rsidR="00233AAC" w:rsidRPr="00233AAC">
        <w:rPr>
          <w:rFonts w:eastAsia="Times New Roman"/>
          <w:szCs w:val="22"/>
          <w:lang w:eastAsia="en-US"/>
        </w:rPr>
        <w:t>nder the first-to-file system, if a holder of a patented invention in good faith is not allowed to work the invention, it could do an unexpected damage to the holder.</w:t>
      </w:r>
      <w:r w:rsidR="008E30E7">
        <w:rPr>
          <w:rFonts w:eastAsia="Times New Roman"/>
          <w:szCs w:val="22"/>
          <w:lang w:eastAsia="en-US"/>
        </w:rPr>
        <w:t xml:space="preserve"> </w:t>
      </w:r>
      <w:r w:rsidR="00233AAC" w:rsidRPr="00233AAC">
        <w:rPr>
          <w:rFonts w:eastAsia="Times New Roman"/>
          <w:szCs w:val="22"/>
          <w:lang w:eastAsia="en-US"/>
        </w:rPr>
        <w:t xml:space="preserve"> Therefore, a non-exclusive license based on prior use is included in the first-to-file system to address any deficiencies in formalities. </w:t>
      </w:r>
      <w:r w:rsidR="008E30E7">
        <w:rPr>
          <w:rFonts w:eastAsia="Times New Roman"/>
          <w:szCs w:val="22"/>
          <w:lang w:eastAsia="en-US"/>
        </w:rPr>
        <w:t xml:space="preserve"> </w:t>
      </w:r>
      <w:r w:rsidR="00233AAC" w:rsidRPr="00233AAC">
        <w:rPr>
          <w:rFonts w:eastAsia="Times New Roman"/>
          <w:szCs w:val="22"/>
          <w:lang w:eastAsia="en-US"/>
        </w:rPr>
        <w:t xml:space="preserve">The non-exclusive license based on prior use is recognized to </w:t>
      </w:r>
      <w:r w:rsidR="008E30E7" w:rsidRPr="00233AAC">
        <w:rPr>
          <w:rFonts w:eastAsia="Times New Roman"/>
          <w:szCs w:val="22"/>
          <w:lang w:eastAsia="en-US"/>
        </w:rPr>
        <w:t>realize</w:t>
      </w:r>
      <w:r w:rsidR="00233AAC" w:rsidRPr="00233AAC">
        <w:rPr>
          <w:rFonts w:eastAsia="Times New Roman"/>
          <w:szCs w:val="22"/>
          <w:lang w:eastAsia="en-US"/>
        </w:rPr>
        <w:t xml:space="preserve"> the fairness between a patent right holder and a prior user. </w:t>
      </w:r>
      <w:r w:rsidR="008E30E7">
        <w:rPr>
          <w:rFonts w:eastAsia="Times New Roman"/>
          <w:szCs w:val="22"/>
          <w:lang w:eastAsia="en-US"/>
        </w:rPr>
        <w:t xml:space="preserve"> </w:t>
      </w:r>
      <w:r w:rsidR="00233AAC" w:rsidRPr="00233AAC">
        <w:rPr>
          <w:rFonts w:eastAsia="Times New Roman"/>
          <w:szCs w:val="22"/>
          <w:lang w:eastAsia="en-US"/>
        </w:rPr>
        <w:t>Also, it would be a disadvantage to a national economy if the business facilities of a prior user are not allowed.”</w:t>
      </w:r>
    </w:p>
    <w:p w14:paraId="17FDDE9D" w14:textId="77777777" w:rsidR="005A011A" w:rsidRDefault="005A011A" w:rsidP="005F6B18">
      <w:pPr>
        <w:shd w:val="clear" w:color="auto" w:fill="FFFFFF"/>
        <w:rPr>
          <w:rFonts w:eastAsia="Times New Roman"/>
          <w:szCs w:val="22"/>
          <w:lang w:eastAsia="en-US"/>
        </w:rPr>
      </w:pPr>
    </w:p>
    <w:p w14:paraId="0151DE44" w14:textId="77777777" w:rsidR="00764A66" w:rsidRDefault="004C14AE" w:rsidP="005F6B18">
      <w:pPr>
        <w:shd w:val="clear" w:color="auto" w:fill="FFFFFF"/>
        <w:rPr>
          <w:rFonts w:eastAsia="Times New Roman"/>
          <w:szCs w:val="22"/>
          <w:lang w:eastAsia="en-US"/>
        </w:rPr>
      </w:pPr>
      <w:r w:rsidRPr="004C14AE">
        <w:rPr>
          <w:rFonts w:eastAsia="Times New Roman"/>
          <w:szCs w:val="22"/>
          <w:lang w:eastAsia="en-US"/>
        </w:rPr>
        <w:fldChar w:fldCharType="begin"/>
      </w:r>
      <w:r w:rsidRPr="004C14AE">
        <w:rPr>
          <w:rFonts w:eastAsia="Times New Roman"/>
          <w:szCs w:val="22"/>
          <w:lang w:eastAsia="en-US"/>
        </w:rPr>
        <w:instrText xml:space="preserve"> AUTONUM  </w:instrText>
      </w:r>
      <w:r w:rsidRPr="004C14AE">
        <w:rPr>
          <w:rFonts w:eastAsia="Times New Roman"/>
          <w:szCs w:val="22"/>
          <w:lang w:eastAsia="en-US"/>
        </w:rPr>
        <w:fldChar w:fldCharType="end"/>
      </w:r>
      <w:r w:rsidRPr="004C14AE">
        <w:rPr>
          <w:rFonts w:eastAsia="Times New Roman"/>
          <w:szCs w:val="22"/>
          <w:lang w:eastAsia="en-US"/>
        </w:rPr>
        <w:tab/>
        <w:t xml:space="preserve">In Pakistan, the prior use exception was provided in order to “foster creativity, research and technological development”. </w:t>
      </w:r>
      <w:r w:rsidR="00764A66">
        <w:rPr>
          <w:rFonts w:eastAsia="Times New Roman"/>
          <w:szCs w:val="22"/>
          <w:lang w:eastAsia="en-US"/>
        </w:rPr>
        <w:t xml:space="preserve"> The Russian Federation’s response also stated that the “</w:t>
      </w:r>
      <w:r w:rsidR="00764A66" w:rsidRPr="00764A66">
        <w:rPr>
          <w:rFonts w:eastAsia="Times New Roman"/>
          <w:szCs w:val="22"/>
          <w:lang w:eastAsia="en-US"/>
        </w:rPr>
        <w:t>classical meaning of prior use is to incentivize parallel creativity of persons who, for one reason or another, were unable to patent the results of their technical work at the appropriate time</w:t>
      </w:r>
      <w:r w:rsidR="00EC55C2">
        <w:rPr>
          <w:rFonts w:eastAsia="Times New Roman"/>
          <w:szCs w:val="22"/>
          <w:lang w:eastAsia="en-US"/>
        </w:rPr>
        <w:t>”</w:t>
      </w:r>
      <w:r w:rsidR="00764A66" w:rsidRPr="00764A66">
        <w:rPr>
          <w:rFonts w:eastAsia="Times New Roman"/>
          <w:szCs w:val="22"/>
          <w:lang w:eastAsia="en-US"/>
        </w:rPr>
        <w:t>.</w:t>
      </w:r>
      <w:r w:rsidR="00D70C6A">
        <w:rPr>
          <w:rFonts w:eastAsia="Times New Roman"/>
          <w:szCs w:val="22"/>
          <w:lang w:eastAsia="en-US"/>
        </w:rPr>
        <w:t xml:space="preserve"> </w:t>
      </w:r>
      <w:r w:rsidR="00764A66" w:rsidRPr="00764A66">
        <w:rPr>
          <w:rFonts w:eastAsia="Times New Roman"/>
          <w:szCs w:val="22"/>
          <w:lang w:eastAsia="en-US"/>
        </w:rPr>
        <w:t xml:space="preserve"> </w:t>
      </w:r>
      <w:r w:rsidR="00764A66">
        <w:rPr>
          <w:rFonts w:eastAsia="Times New Roman"/>
          <w:szCs w:val="22"/>
          <w:lang w:eastAsia="en-US"/>
        </w:rPr>
        <w:t>In addition,</w:t>
      </w:r>
      <w:r w:rsidR="000A5362">
        <w:rPr>
          <w:rFonts w:eastAsia="Times New Roman"/>
          <w:szCs w:val="22"/>
          <w:lang w:eastAsia="en-US"/>
        </w:rPr>
        <w:t xml:space="preserve"> it was explained that,</w:t>
      </w:r>
      <w:r w:rsidR="00764A66">
        <w:rPr>
          <w:rFonts w:eastAsia="Times New Roman"/>
          <w:szCs w:val="22"/>
          <w:lang w:eastAsia="en-US"/>
        </w:rPr>
        <w:t xml:space="preserve"> in the Russian Federation, the prior use exception </w:t>
      </w:r>
      <w:r w:rsidR="00764A66" w:rsidRPr="00764A66">
        <w:rPr>
          <w:rFonts w:eastAsia="Times New Roman"/>
          <w:szCs w:val="22"/>
          <w:lang w:eastAsia="en-US"/>
        </w:rPr>
        <w:t>was intended to protect the interests of third parties that have already invested capital in production.</w:t>
      </w:r>
    </w:p>
    <w:p w14:paraId="3CC89724" w14:textId="77777777" w:rsidR="0038250F" w:rsidRPr="00AE45B2" w:rsidRDefault="0038250F" w:rsidP="005F6B18">
      <w:pPr>
        <w:shd w:val="clear" w:color="auto" w:fill="FFFFFF"/>
        <w:rPr>
          <w:rFonts w:eastAsia="Times New Roman"/>
          <w:szCs w:val="22"/>
          <w:lang w:val="en" w:eastAsia="en-US"/>
        </w:rPr>
      </w:pPr>
    </w:p>
    <w:p w14:paraId="765B2202" w14:textId="2898B50D" w:rsidR="0038250F" w:rsidRDefault="007F503B" w:rsidP="005F6B18">
      <w:pPr>
        <w:shd w:val="clear" w:color="auto" w:fill="FFFFFF"/>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EC1534">
        <w:rPr>
          <w:rFonts w:eastAsia="Times New Roman"/>
          <w:szCs w:val="22"/>
          <w:lang w:eastAsia="en-US"/>
        </w:rPr>
        <w:t>In the responses of other Member States</w:t>
      </w:r>
      <w:r w:rsidR="00AD49C7">
        <w:rPr>
          <w:rFonts w:eastAsia="Times New Roman"/>
          <w:szCs w:val="22"/>
          <w:lang w:eastAsia="en-US"/>
        </w:rPr>
        <w:t>,</w:t>
      </w:r>
      <w:r w:rsidR="00EC1534">
        <w:rPr>
          <w:rFonts w:eastAsia="Times New Roman"/>
          <w:szCs w:val="22"/>
          <w:lang w:eastAsia="en-US"/>
        </w:rPr>
        <w:t xml:space="preserve"> the following public policy objectives were indicated: </w:t>
      </w:r>
      <w:r w:rsidR="00AD49C7">
        <w:rPr>
          <w:rFonts w:eastAsia="Times New Roman"/>
          <w:szCs w:val="22"/>
          <w:lang w:eastAsia="en-US"/>
        </w:rPr>
        <w:t xml:space="preserve"> </w:t>
      </w:r>
      <w:r w:rsidR="00EC1534">
        <w:rPr>
          <w:rFonts w:eastAsia="Times New Roman"/>
          <w:szCs w:val="22"/>
          <w:lang w:eastAsia="en-US"/>
        </w:rPr>
        <w:t>“t</w:t>
      </w:r>
      <w:r w:rsidR="0065619D" w:rsidRPr="00EE654A">
        <w:rPr>
          <w:rFonts w:eastAsia="Times New Roman"/>
          <w:szCs w:val="22"/>
          <w:lang w:eastAsia="en-US"/>
        </w:rPr>
        <w:t>o limit exclusive right of the owner to forbid use of the i</w:t>
      </w:r>
      <w:r w:rsidR="00EC1534" w:rsidRPr="00EE654A">
        <w:rPr>
          <w:rFonts w:eastAsia="Times New Roman"/>
          <w:szCs w:val="22"/>
          <w:lang w:eastAsia="en-US"/>
        </w:rPr>
        <w:t xml:space="preserve">nvention” </w:t>
      </w:r>
      <w:r w:rsidR="0038250F">
        <w:rPr>
          <w:rFonts w:eastAsia="Times New Roman"/>
          <w:szCs w:val="22"/>
          <w:lang w:eastAsia="en-US"/>
        </w:rPr>
        <w:br/>
      </w:r>
      <w:r w:rsidR="00EC1534" w:rsidRPr="00EE654A">
        <w:rPr>
          <w:rFonts w:eastAsia="Times New Roman"/>
          <w:szCs w:val="22"/>
          <w:lang w:eastAsia="en-US"/>
        </w:rPr>
        <w:t>by the prior user</w:t>
      </w:r>
      <w:r w:rsidR="00EC1534" w:rsidRPr="00EE654A">
        <w:rPr>
          <w:vertAlign w:val="superscript"/>
        </w:rPr>
        <w:footnoteReference w:id="2"/>
      </w:r>
      <w:r w:rsidR="00EC1534" w:rsidRPr="00EE654A">
        <w:rPr>
          <w:rFonts w:eastAsia="Times New Roman"/>
          <w:szCs w:val="22"/>
          <w:lang w:eastAsia="en-US"/>
        </w:rPr>
        <w:t xml:space="preserve">;  </w:t>
      </w:r>
      <w:r w:rsidR="00612AAC">
        <w:rPr>
          <w:rFonts w:eastAsia="Times New Roman"/>
          <w:szCs w:val="22"/>
          <w:lang w:eastAsia="en-US"/>
        </w:rPr>
        <w:t>“</w:t>
      </w:r>
      <w:r w:rsidR="00612AAC" w:rsidRPr="00664CDC">
        <w:rPr>
          <w:rFonts w:eastAsia="Times New Roman"/>
          <w:szCs w:val="22"/>
          <w:lang w:eastAsia="en-US"/>
        </w:rPr>
        <w:t>not prevent the prior user to make use of his achievement</w:t>
      </w:r>
      <w:r w:rsidR="00612AAC">
        <w:rPr>
          <w:rFonts w:eastAsia="Times New Roman"/>
          <w:szCs w:val="22"/>
          <w:lang w:eastAsia="en-US"/>
        </w:rPr>
        <w:t>”;</w:t>
      </w:r>
      <w:r w:rsidR="00612AAC">
        <w:rPr>
          <w:rStyle w:val="FootnoteReference"/>
          <w:rFonts w:eastAsia="Times New Roman"/>
          <w:szCs w:val="22"/>
          <w:lang w:eastAsia="en-US"/>
        </w:rPr>
        <w:footnoteReference w:id="3"/>
      </w:r>
      <w:r w:rsidR="00612AAC" w:rsidRPr="00EE654A">
        <w:rPr>
          <w:rFonts w:eastAsia="Times New Roman"/>
          <w:szCs w:val="22"/>
          <w:lang w:eastAsia="en-US"/>
        </w:rPr>
        <w:t xml:space="preserve"> </w:t>
      </w:r>
      <w:r w:rsidR="00EC1534" w:rsidRPr="00EE654A">
        <w:rPr>
          <w:rFonts w:eastAsia="Times New Roman"/>
          <w:szCs w:val="22"/>
          <w:lang w:eastAsia="en-US"/>
        </w:rPr>
        <w:t>“n</w:t>
      </w:r>
      <w:r w:rsidR="00F527BA" w:rsidRPr="00EE654A">
        <w:rPr>
          <w:rFonts w:eastAsia="Times New Roman"/>
          <w:szCs w:val="22"/>
          <w:lang w:eastAsia="en-US"/>
        </w:rPr>
        <w:t>ot to make impossible continuing exploitation of a patented invention by a party who has not been aware of the existence of the patent</w:t>
      </w:r>
      <w:r w:rsidR="00EC1534" w:rsidRPr="00EE654A">
        <w:rPr>
          <w:rFonts w:eastAsia="Times New Roman"/>
          <w:szCs w:val="22"/>
          <w:lang w:eastAsia="en-US"/>
        </w:rPr>
        <w:t>”</w:t>
      </w:r>
      <w:r w:rsidR="00EC1534" w:rsidRPr="00EE654A">
        <w:rPr>
          <w:vertAlign w:val="superscript"/>
        </w:rPr>
        <w:footnoteReference w:id="4"/>
      </w:r>
      <w:r w:rsidR="00EC1534" w:rsidRPr="00EE654A">
        <w:rPr>
          <w:rFonts w:eastAsia="Times New Roman"/>
          <w:szCs w:val="22"/>
          <w:lang w:eastAsia="en-US"/>
        </w:rPr>
        <w:t>;  “n</w:t>
      </w:r>
      <w:r w:rsidR="00F527BA" w:rsidRPr="00EE654A">
        <w:rPr>
          <w:rFonts w:eastAsia="Times New Roman"/>
          <w:szCs w:val="22"/>
          <w:lang w:eastAsia="en-US"/>
        </w:rPr>
        <w:t>ot to harm persons (inventors) who reached the same invention as described in the patent on their own at an earlier date</w:t>
      </w:r>
      <w:r w:rsidR="00EC1534" w:rsidRPr="00EE654A">
        <w:rPr>
          <w:rFonts w:eastAsia="Times New Roman"/>
          <w:szCs w:val="22"/>
          <w:lang w:eastAsia="en-US"/>
        </w:rPr>
        <w:t>”</w:t>
      </w:r>
      <w:r w:rsidR="00EC1534" w:rsidRPr="00EE654A">
        <w:rPr>
          <w:vertAlign w:val="superscript"/>
        </w:rPr>
        <w:footnoteReference w:id="5"/>
      </w:r>
      <w:r w:rsidR="00EC1534" w:rsidRPr="00EE654A">
        <w:rPr>
          <w:rFonts w:eastAsia="Times New Roman"/>
          <w:szCs w:val="22"/>
          <w:lang w:eastAsia="en-US"/>
        </w:rPr>
        <w:t xml:space="preserve">; </w:t>
      </w:r>
      <w:r w:rsidR="00D70C6A">
        <w:rPr>
          <w:rFonts w:eastAsia="Times New Roman"/>
          <w:szCs w:val="22"/>
          <w:lang w:eastAsia="en-US"/>
        </w:rPr>
        <w:t xml:space="preserve"> to provide a prior secret user “</w:t>
      </w:r>
      <w:r w:rsidR="00D70C6A" w:rsidRPr="00D70C6A">
        <w:rPr>
          <w:rFonts w:eastAsia="Times New Roman"/>
          <w:szCs w:val="22"/>
          <w:lang w:eastAsia="en-US"/>
        </w:rPr>
        <w:t>with a right to continue his prior acts, unaffected by the grant of the patent</w:t>
      </w:r>
      <w:r w:rsidR="00D70C6A">
        <w:rPr>
          <w:rFonts w:eastAsia="Times New Roman"/>
          <w:szCs w:val="22"/>
          <w:lang w:eastAsia="en-US"/>
        </w:rPr>
        <w:t>”</w:t>
      </w:r>
      <w:r w:rsidR="00D70C6A">
        <w:rPr>
          <w:rStyle w:val="FootnoteReference"/>
          <w:rFonts w:eastAsia="Times New Roman"/>
          <w:szCs w:val="22"/>
          <w:lang w:eastAsia="en-US"/>
        </w:rPr>
        <w:footnoteReference w:id="6"/>
      </w:r>
      <w:r w:rsidR="00D70C6A">
        <w:rPr>
          <w:rFonts w:eastAsia="Times New Roman"/>
          <w:szCs w:val="22"/>
          <w:lang w:eastAsia="en-US"/>
        </w:rPr>
        <w:t xml:space="preserve">; </w:t>
      </w:r>
      <w:r w:rsidR="00EC1534" w:rsidRPr="00EE654A">
        <w:rPr>
          <w:rFonts w:eastAsia="Times New Roman"/>
          <w:szCs w:val="22"/>
          <w:lang w:eastAsia="en-US"/>
        </w:rPr>
        <w:t>and “to permit another person who independently developed the same invention as the invention protected by patent and started it’s use prior to filling date of the patented invention to continue it’s use in the same amount without paying royalty”</w:t>
      </w:r>
      <w:r w:rsidR="00806B19">
        <w:rPr>
          <w:rStyle w:val="FootnoteReference"/>
          <w:rFonts w:eastAsia="Times New Roman"/>
          <w:szCs w:val="22"/>
          <w:lang w:eastAsia="en-US"/>
        </w:rPr>
        <w:footnoteReference w:id="7"/>
      </w:r>
      <w:r w:rsidR="00EC1534" w:rsidRPr="00EE654A">
        <w:rPr>
          <w:rFonts w:eastAsia="Times New Roman"/>
          <w:szCs w:val="22"/>
          <w:lang w:eastAsia="en-US"/>
        </w:rPr>
        <w:t>.</w:t>
      </w:r>
    </w:p>
    <w:p w14:paraId="21349B8B" w14:textId="77777777" w:rsidR="00AE45B2" w:rsidRDefault="00AE45B2" w:rsidP="005F6B18">
      <w:pPr>
        <w:shd w:val="clear" w:color="auto" w:fill="FFFFFF"/>
        <w:rPr>
          <w:rFonts w:eastAsia="Times New Roman"/>
          <w:szCs w:val="22"/>
          <w:lang w:eastAsia="en-US"/>
        </w:rPr>
      </w:pPr>
    </w:p>
    <w:p w14:paraId="7A3FDDDD" w14:textId="5F856B9B" w:rsidR="00510517" w:rsidRDefault="00C21E1B" w:rsidP="005F6B18">
      <w:pPr>
        <w:shd w:val="clear" w:color="auto" w:fill="FFFFFF"/>
        <w:rPr>
          <w:szCs w:val="22"/>
        </w:rPr>
      </w:pPr>
      <w:r>
        <w:rPr>
          <w:rFonts w:eastAsia="Times New Roman"/>
          <w:szCs w:val="22"/>
          <w:lang w:val="en" w:eastAsia="en-US"/>
        </w:rPr>
        <w:fldChar w:fldCharType="begin"/>
      </w:r>
      <w:r>
        <w:rPr>
          <w:rFonts w:eastAsia="Times New Roman"/>
          <w:szCs w:val="22"/>
          <w:lang w:val="en" w:eastAsia="en-US"/>
        </w:rPr>
        <w:instrText xml:space="preserve"> AUTONUM  </w:instrText>
      </w:r>
      <w:r>
        <w:rPr>
          <w:rFonts w:eastAsia="Times New Roman"/>
          <w:szCs w:val="22"/>
          <w:lang w:val="en" w:eastAsia="en-US"/>
        </w:rPr>
        <w:fldChar w:fldCharType="end"/>
      </w:r>
      <w:r>
        <w:rPr>
          <w:rFonts w:eastAsia="Times New Roman"/>
          <w:szCs w:val="22"/>
          <w:lang w:val="en" w:eastAsia="en-US"/>
        </w:rPr>
        <w:tab/>
        <w:t xml:space="preserve">The response from Sri Lanka referred to the </w:t>
      </w:r>
      <w:r w:rsidRPr="003A4022">
        <w:rPr>
          <w:szCs w:val="22"/>
        </w:rPr>
        <w:t xml:space="preserve">purposes of </w:t>
      </w:r>
      <w:r w:rsidR="00136E95">
        <w:rPr>
          <w:szCs w:val="22"/>
        </w:rPr>
        <w:t xml:space="preserve">the </w:t>
      </w:r>
      <w:r w:rsidRPr="003A4022">
        <w:rPr>
          <w:szCs w:val="22"/>
        </w:rPr>
        <w:t xml:space="preserve">introduction of the </w:t>
      </w:r>
      <w:r w:rsidR="0038250F" w:rsidRPr="003A4022">
        <w:rPr>
          <w:szCs w:val="22"/>
        </w:rPr>
        <w:t>I</w:t>
      </w:r>
      <w:r>
        <w:rPr>
          <w:szCs w:val="22"/>
        </w:rPr>
        <w:t>ntellectual Property Act</w:t>
      </w:r>
      <w:r w:rsidRPr="003A4022">
        <w:rPr>
          <w:szCs w:val="22"/>
        </w:rPr>
        <w:t xml:space="preserve"> in 2003 </w:t>
      </w:r>
      <w:r>
        <w:rPr>
          <w:szCs w:val="22"/>
        </w:rPr>
        <w:t xml:space="preserve">and stated that they </w:t>
      </w:r>
      <w:r w:rsidRPr="003A4022">
        <w:rPr>
          <w:szCs w:val="22"/>
        </w:rPr>
        <w:t xml:space="preserve">were </w:t>
      </w:r>
      <w:r>
        <w:rPr>
          <w:szCs w:val="22"/>
        </w:rPr>
        <w:t>“</w:t>
      </w:r>
      <w:r w:rsidRPr="003A4022">
        <w:rPr>
          <w:szCs w:val="22"/>
        </w:rPr>
        <w:t>the promotion of national creativity, attraction of investment, promotion of trade, protection of consumer interests and integration of the national economy into the knowledge driven global economic environment</w:t>
      </w:r>
      <w:r w:rsidR="00510517">
        <w:rPr>
          <w:szCs w:val="22"/>
        </w:rPr>
        <w:t>.”</w:t>
      </w:r>
    </w:p>
    <w:p w14:paraId="7F2F543A" w14:textId="77777777" w:rsidR="00D70C6A" w:rsidRDefault="00D70C6A" w:rsidP="005F6B18">
      <w:pPr>
        <w:shd w:val="clear" w:color="auto" w:fill="FFFFFF"/>
        <w:rPr>
          <w:szCs w:val="22"/>
        </w:rPr>
      </w:pPr>
    </w:p>
    <w:p w14:paraId="55BF3978" w14:textId="77777777" w:rsidR="006C3977" w:rsidRDefault="00EC1534" w:rsidP="005F6B18">
      <w:pPr>
        <w:shd w:val="clear" w:color="auto" w:fill="FFFFFF"/>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6534E6" w:rsidRPr="006534E6">
        <w:rPr>
          <w:rFonts w:eastAsia="Times New Roman"/>
          <w:szCs w:val="22"/>
          <w:lang w:eastAsia="en-US"/>
        </w:rPr>
        <w:t xml:space="preserve">Latvia’s policy </w:t>
      </w:r>
      <w:r w:rsidR="001B08DC">
        <w:rPr>
          <w:rFonts w:eastAsia="Times New Roman"/>
          <w:szCs w:val="22"/>
          <w:lang w:eastAsia="en-US"/>
        </w:rPr>
        <w:t>objective</w:t>
      </w:r>
      <w:r w:rsidR="006534E6" w:rsidRPr="006534E6">
        <w:rPr>
          <w:rFonts w:eastAsia="Times New Roman"/>
          <w:szCs w:val="22"/>
          <w:lang w:eastAsia="en-US"/>
        </w:rPr>
        <w:t xml:space="preserve"> for that exception was to harmonize the national Patent Law with the law</w:t>
      </w:r>
      <w:r w:rsidR="00D70C6A">
        <w:rPr>
          <w:rFonts w:eastAsia="Times New Roman"/>
          <w:szCs w:val="22"/>
          <w:lang w:eastAsia="en-US"/>
        </w:rPr>
        <w:t>s of Member S</w:t>
      </w:r>
      <w:r w:rsidR="006534E6" w:rsidRPr="006534E6">
        <w:rPr>
          <w:rFonts w:eastAsia="Times New Roman"/>
          <w:szCs w:val="22"/>
          <w:lang w:eastAsia="en-US"/>
        </w:rPr>
        <w:t>tates of the European Union</w:t>
      </w:r>
      <w:r w:rsidR="006534E6">
        <w:rPr>
          <w:rFonts w:eastAsia="Times New Roman"/>
          <w:szCs w:val="22"/>
          <w:lang w:eastAsia="en-US"/>
        </w:rPr>
        <w:t>.</w:t>
      </w:r>
      <w:r w:rsidR="001B08DC">
        <w:rPr>
          <w:rFonts w:eastAsia="Times New Roman"/>
          <w:szCs w:val="22"/>
          <w:lang w:eastAsia="en-US"/>
        </w:rPr>
        <w:t xml:space="preserve">  Similarly, in Albania, the objective of the exception was to </w:t>
      </w:r>
      <w:r w:rsidR="001B08DC" w:rsidRPr="001B08DC">
        <w:rPr>
          <w:rFonts w:eastAsia="Times New Roman"/>
          <w:szCs w:val="22"/>
          <w:lang w:eastAsia="en-US"/>
        </w:rPr>
        <w:t xml:space="preserve">approximate the national law with </w:t>
      </w:r>
      <w:r w:rsidR="00D70C6A">
        <w:rPr>
          <w:rFonts w:eastAsia="Times New Roman"/>
          <w:szCs w:val="22"/>
          <w:lang w:eastAsia="en-US"/>
        </w:rPr>
        <w:t xml:space="preserve">the </w:t>
      </w:r>
      <w:r w:rsidR="001B08DC" w:rsidRPr="001B08DC">
        <w:rPr>
          <w:rFonts w:eastAsia="Times New Roman"/>
          <w:szCs w:val="22"/>
          <w:lang w:eastAsia="en-US"/>
        </w:rPr>
        <w:t>EPC 2000 and EU directives concerning inventions</w:t>
      </w:r>
      <w:r w:rsidR="001B08DC">
        <w:rPr>
          <w:rFonts w:eastAsia="Times New Roman"/>
          <w:szCs w:val="22"/>
          <w:lang w:eastAsia="en-US"/>
        </w:rPr>
        <w:t xml:space="preserve">. </w:t>
      </w:r>
    </w:p>
    <w:p w14:paraId="240C88F0" w14:textId="77777777" w:rsidR="0038250F" w:rsidRPr="00510517" w:rsidRDefault="0038250F" w:rsidP="005F6B18">
      <w:pPr>
        <w:shd w:val="clear" w:color="auto" w:fill="FFFFFF"/>
        <w:rPr>
          <w:szCs w:val="22"/>
        </w:rPr>
      </w:pPr>
    </w:p>
    <w:p w14:paraId="6F71CF4C" w14:textId="7DA43AEE" w:rsidR="009D1022" w:rsidRDefault="009D1022">
      <w:pPr>
        <w:rPr>
          <w:b/>
          <w:bCs/>
          <w:szCs w:val="22"/>
        </w:rPr>
      </w:pPr>
    </w:p>
    <w:p w14:paraId="111667A4" w14:textId="0FA95D6D" w:rsidR="007A4F92" w:rsidRPr="00136E95" w:rsidRDefault="007A4F92" w:rsidP="00136E95">
      <w:pPr>
        <w:rPr>
          <w:b/>
          <w:bCs/>
          <w:szCs w:val="22"/>
        </w:rPr>
      </w:pPr>
      <w:r w:rsidRPr="00136E95">
        <w:rPr>
          <w:b/>
          <w:bCs/>
          <w:szCs w:val="22"/>
        </w:rPr>
        <w:t>THE APPLICABLE LAW AND THE SCOPE OF THE EXCEPTION</w:t>
      </w:r>
    </w:p>
    <w:p w14:paraId="2392BA00" w14:textId="77777777" w:rsidR="00352796" w:rsidRPr="00A16DE8" w:rsidRDefault="00352796" w:rsidP="00935DD0">
      <w:pPr>
        <w:keepNext/>
        <w:rPr>
          <w:i/>
          <w:szCs w:val="22"/>
        </w:rPr>
      </w:pPr>
    </w:p>
    <w:p w14:paraId="4EF65E0D" w14:textId="77777777" w:rsidR="00352796" w:rsidRDefault="00352796" w:rsidP="00935DD0">
      <w:pPr>
        <w:rPr>
          <w:color w:val="000000"/>
          <w:szCs w:val="22"/>
        </w:rPr>
      </w:pPr>
      <w:r w:rsidRPr="00A16DE8">
        <w:rPr>
          <w:szCs w:val="22"/>
        </w:rPr>
        <w:fldChar w:fldCharType="begin"/>
      </w:r>
      <w:r w:rsidRPr="00A16DE8">
        <w:rPr>
          <w:szCs w:val="22"/>
        </w:rPr>
        <w:instrText xml:space="preserve"> AUTONUM  </w:instrText>
      </w:r>
      <w:r w:rsidRPr="00A16DE8">
        <w:rPr>
          <w:szCs w:val="22"/>
        </w:rPr>
        <w:fldChar w:fldCharType="end"/>
      </w:r>
      <w:r w:rsidRPr="00A16DE8">
        <w:rPr>
          <w:szCs w:val="22"/>
        </w:rPr>
        <w:tab/>
      </w:r>
      <w:r w:rsidR="0041063A">
        <w:rPr>
          <w:szCs w:val="22"/>
        </w:rPr>
        <w:t>69</w:t>
      </w:r>
      <w:r w:rsidRPr="00874DCC">
        <w:rPr>
          <w:color w:val="000000"/>
          <w:szCs w:val="22"/>
        </w:rPr>
        <w:t xml:space="preserve"> </w:t>
      </w:r>
      <w:r w:rsidR="006C5347">
        <w:rPr>
          <w:color w:val="000000"/>
          <w:szCs w:val="22"/>
        </w:rPr>
        <w:t>Member States</w:t>
      </w:r>
      <w:r w:rsidR="00061412">
        <w:rPr>
          <w:color w:val="000000"/>
          <w:szCs w:val="22"/>
        </w:rPr>
        <w:t>’ applicable laws</w:t>
      </w:r>
      <w:r w:rsidRPr="00874DCC">
        <w:rPr>
          <w:color w:val="000000"/>
          <w:szCs w:val="22"/>
        </w:rPr>
        <w:t xml:space="preserve"> allow a third party to continue using a patented invention if he had used the invention for the purpose of his business in good faith before the filing date (or the priority date) or had made effective or serious preparations for that </w:t>
      </w:r>
      <w:r w:rsidRPr="00F733F5">
        <w:rPr>
          <w:color w:val="000000"/>
          <w:szCs w:val="22"/>
        </w:rPr>
        <w:t xml:space="preserve">purpose.  </w:t>
      </w:r>
    </w:p>
    <w:p w14:paraId="5C830092" w14:textId="77777777" w:rsidR="00440D8C" w:rsidRDefault="00440D8C" w:rsidP="00935DD0">
      <w:pPr>
        <w:rPr>
          <w:color w:val="000000"/>
          <w:szCs w:val="22"/>
        </w:rPr>
      </w:pPr>
    </w:p>
    <w:p w14:paraId="5E3B69DE" w14:textId="77777777" w:rsidR="00543726" w:rsidRDefault="00543726">
      <w:pPr>
        <w:rPr>
          <w:i/>
          <w:color w:val="000000"/>
          <w:szCs w:val="22"/>
        </w:rPr>
      </w:pPr>
      <w:r>
        <w:rPr>
          <w:i/>
          <w:color w:val="000000"/>
          <w:szCs w:val="22"/>
        </w:rPr>
        <w:br w:type="page"/>
      </w:r>
    </w:p>
    <w:p w14:paraId="28B9D7CD" w14:textId="2075B207" w:rsidR="00440D8C" w:rsidRPr="00440D8C" w:rsidRDefault="00440D8C" w:rsidP="00935DD0">
      <w:pPr>
        <w:rPr>
          <w:i/>
          <w:szCs w:val="22"/>
        </w:rPr>
      </w:pPr>
      <w:r w:rsidRPr="00440D8C">
        <w:rPr>
          <w:i/>
          <w:color w:val="000000"/>
          <w:szCs w:val="22"/>
        </w:rPr>
        <w:lastRenderedPageBreak/>
        <w:t>Nature of the defense</w:t>
      </w:r>
    </w:p>
    <w:p w14:paraId="7C98A97D" w14:textId="77777777" w:rsidR="00352796" w:rsidRDefault="00352796" w:rsidP="00A46974">
      <w:pPr>
        <w:rPr>
          <w:szCs w:val="22"/>
        </w:rPr>
      </w:pPr>
    </w:p>
    <w:p w14:paraId="07AB0E55" w14:textId="77777777" w:rsidR="00016ED2" w:rsidRDefault="00352796" w:rsidP="00A46974">
      <w:pPr>
        <w:rPr>
          <w:szCs w:val="22"/>
        </w:rPr>
      </w:pPr>
      <w:r w:rsidRPr="00A16DE8">
        <w:rPr>
          <w:szCs w:val="22"/>
        </w:rPr>
        <w:fldChar w:fldCharType="begin"/>
      </w:r>
      <w:r w:rsidRPr="00A16DE8">
        <w:rPr>
          <w:szCs w:val="22"/>
        </w:rPr>
        <w:instrText xml:space="preserve"> AUTONUM  </w:instrText>
      </w:r>
      <w:r w:rsidRPr="00A16DE8">
        <w:rPr>
          <w:szCs w:val="22"/>
        </w:rPr>
        <w:fldChar w:fldCharType="end"/>
      </w:r>
      <w:r w:rsidRPr="00A16DE8">
        <w:rPr>
          <w:szCs w:val="22"/>
        </w:rPr>
        <w:tab/>
        <w:t>In most</w:t>
      </w:r>
      <w:r>
        <w:rPr>
          <w:szCs w:val="22"/>
        </w:rPr>
        <w:t xml:space="preserve"> </w:t>
      </w:r>
      <w:r w:rsidRPr="00A16DE8">
        <w:rPr>
          <w:szCs w:val="22"/>
        </w:rPr>
        <w:t>Member States</w:t>
      </w:r>
      <w:r>
        <w:rPr>
          <w:szCs w:val="22"/>
        </w:rPr>
        <w:t>,</w:t>
      </w:r>
      <w:r w:rsidRPr="00A16DE8">
        <w:rPr>
          <w:szCs w:val="22"/>
        </w:rPr>
        <w:t xml:space="preserve"> the </w:t>
      </w:r>
      <w:r>
        <w:rPr>
          <w:szCs w:val="22"/>
        </w:rPr>
        <w:t xml:space="preserve">legal </w:t>
      </w:r>
      <w:r w:rsidRPr="00A16DE8">
        <w:rPr>
          <w:szCs w:val="22"/>
        </w:rPr>
        <w:t>effect of patent protection is</w:t>
      </w:r>
      <w:r w:rsidR="00F74913">
        <w:rPr>
          <w:szCs w:val="22"/>
        </w:rPr>
        <w:t>,</w:t>
      </w:r>
      <w:r w:rsidRPr="00A16DE8">
        <w:rPr>
          <w:szCs w:val="22"/>
        </w:rPr>
        <w:t xml:space="preserve"> </w:t>
      </w:r>
      <w:r w:rsidRPr="007C39C9">
        <w:rPr>
          <w:i/>
          <w:szCs w:val="22"/>
        </w:rPr>
        <w:t>a priori</w:t>
      </w:r>
      <w:r w:rsidR="00F74913">
        <w:rPr>
          <w:i/>
          <w:szCs w:val="22"/>
        </w:rPr>
        <w:t>,</w:t>
      </w:r>
      <w:r>
        <w:rPr>
          <w:szCs w:val="22"/>
        </w:rPr>
        <w:t xml:space="preserve"> </w:t>
      </w:r>
      <w:r w:rsidRPr="00A16DE8">
        <w:rPr>
          <w:szCs w:val="22"/>
        </w:rPr>
        <w:t>“limited” or it is impossible to enforce a patent in case of prior use</w:t>
      </w:r>
      <w:r w:rsidR="00F25C41">
        <w:rPr>
          <w:szCs w:val="22"/>
        </w:rPr>
        <w:t>.  F</w:t>
      </w:r>
      <w:r w:rsidRPr="00A16DE8">
        <w:rPr>
          <w:szCs w:val="22"/>
        </w:rPr>
        <w:t xml:space="preserve">or example, </w:t>
      </w:r>
      <w:r w:rsidR="00F25C41">
        <w:rPr>
          <w:szCs w:val="22"/>
        </w:rPr>
        <w:t>following wordings are found in various applicable laws:</w:t>
      </w:r>
      <w:r w:rsidRPr="00A16DE8">
        <w:rPr>
          <w:szCs w:val="22"/>
        </w:rPr>
        <w:t xml:space="preserve"> “patent shall have no effect on persons”</w:t>
      </w:r>
      <w:r w:rsidR="00B5258F" w:rsidRPr="00B5258F">
        <w:rPr>
          <w:rStyle w:val="FootnoteReference"/>
          <w:szCs w:val="22"/>
        </w:rPr>
        <w:t xml:space="preserve"> </w:t>
      </w:r>
      <w:r w:rsidRPr="00A16DE8">
        <w:rPr>
          <w:szCs w:val="22"/>
        </w:rPr>
        <w:t xml:space="preserve">which have used the invention prior to the </w:t>
      </w:r>
      <w:r w:rsidRPr="00B84079">
        <w:rPr>
          <w:szCs w:val="22"/>
        </w:rPr>
        <w:t>filing date (or priority date)</w:t>
      </w:r>
      <w:r w:rsidR="00B5258F">
        <w:rPr>
          <w:rStyle w:val="FootnoteReference"/>
          <w:szCs w:val="22"/>
        </w:rPr>
        <w:footnoteReference w:id="8"/>
      </w:r>
      <w:r w:rsidRPr="00A16DE8">
        <w:rPr>
          <w:szCs w:val="22"/>
        </w:rPr>
        <w:t xml:space="preserve"> or may not “be en</w:t>
      </w:r>
      <w:r>
        <w:rPr>
          <w:szCs w:val="22"/>
        </w:rPr>
        <w:t>forced against”</w:t>
      </w:r>
      <w:r w:rsidR="00293735" w:rsidRPr="00293735">
        <w:rPr>
          <w:rStyle w:val="FootnoteReference"/>
          <w:szCs w:val="22"/>
        </w:rPr>
        <w:t xml:space="preserve"> </w:t>
      </w:r>
      <w:r w:rsidR="00293735">
        <w:rPr>
          <w:rStyle w:val="FootnoteReference"/>
          <w:szCs w:val="22"/>
        </w:rPr>
        <w:footnoteReference w:id="9"/>
      </w:r>
      <w:r>
        <w:rPr>
          <w:szCs w:val="22"/>
        </w:rPr>
        <w:t xml:space="preserve"> such persons</w:t>
      </w:r>
      <w:r w:rsidR="001E706A">
        <w:rPr>
          <w:szCs w:val="22"/>
        </w:rPr>
        <w:t>,</w:t>
      </w:r>
      <w:r>
        <w:rPr>
          <w:szCs w:val="22"/>
        </w:rPr>
        <w:t xml:space="preserve"> or “</w:t>
      </w:r>
      <w:r w:rsidR="000E55F9">
        <w:rPr>
          <w:szCs w:val="22"/>
        </w:rPr>
        <w:t>are not opposable”</w:t>
      </w:r>
      <w:r w:rsidR="00D95D28">
        <w:rPr>
          <w:rStyle w:val="FootnoteReference"/>
          <w:szCs w:val="22"/>
        </w:rPr>
        <w:footnoteReference w:id="10"/>
      </w:r>
      <w:r w:rsidR="000E55F9">
        <w:rPr>
          <w:szCs w:val="22"/>
        </w:rPr>
        <w:t>, or “</w:t>
      </w:r>
      <w:r w:rsidR="000E55F9" w:rsidRPr="00D06B05">
        <w:rPr>
          <w:szCs w:val="22"/>
        </w:rPr>
        <w:t>not deemed to be patent right infringement”</w:t>
      </w:r>
      <w:r w:rsidR="000E55F9" w:rsidRPr="00CB566B">
        <w:rPr>
          <w:rStyle w:val="FootnoteReference"/>
          <w:rFonts w:eastAsia="Times New Roman"/>
          <w:iCs/>
          <w:color w:val="333333"/>
          <w:szCs w:val="22"/>
          <w:lang w:val="en" w:eastAsia="en-US"/>
        </w:rPr>
        <w:footnoteReference w:id="11"/>
      </w:r>
      <w:r w:rsidR="000E55F9" w:rsidRPr="00A16DE8">
        <w:rPr>
          <w:szCs w:val="22"/>
        </w:rPr>
        <w:t xml:space="preserve"> </w:t>
      </w:r>
      <w:r w:rsidRPr="00A16DE8">
        <w:rPr>
          <w:szCs w:val="22"/>
        </w:rPr>
        <w:t xml:space="preserve">in the territory of that Member State.  </w:t>
      </w:r>
    </w:p>
    <w:p w14:paraId="48519856" w14:textId="77777777" w:rsidR="00016ED2" w:rsidRDefault="00016ED2" w:rsidP="00D845FB">
      <w:pPr>
        <w:rPr>
          <w:szCs w:val="22"/>
        </w:rPr>
      </w:pPr>
    </w:p>
    <w:p w14:paraId="7D4E03B0" w14:textId="77777777" w:rsidR="00314040" w:rsidRDefault="00F40547" w:rsidP="00D845FB">
      <w:pPr>
        <w:rPr>
          <w:szCs w:val="22"/>
        </w:rPr>
      </w:pPr>
      <w:r>
        <w:rPr>
          <w:szCs w:val="22"/>
        </w:rPr>
        <w:fldChar w:fldCharType="begin"/>
      </w:r>
      <w:r>
        <w:rPr>
          <w:szCs w:val="22"/>
        </w:rPr>
        <w:instrText xml:space="preserve"> AUTONUM  </w:instrText>
      </w:r>
      <w:r>
        <w:rPr>
          <w:szCs w:val="22"/>
        </w:rPr>
        <w:fldChar w:fldCharType="end"/>
      </w:r>
      <w:r>
        <w:rPr>
          <w:szCs w:val="22"/>
        </w:rPr>
        <w:tab/>
      </w:r>
      <w:r w:rsidR="00352796" w:rsidRPr="00A16DE8">
        <w:rPr>
          <w:szCs w:val="22"/>
        </w:rPr>
        <w:t xml:space="preserve">In some </w:t>
      </w:r>
      <w:r w:rsidR="00352796">
        <w:rPr>
          <w:szCs w:val="22"/>
        </w:rPr>
        <w:t xml:space="preserve">other </w:t>
      </w:r>
      <w:r w:rsidR="00352796" w:rsidRPr="00A16DE8">
        <w:rPr>
          <w:szCs w:val="22"/>
        </w:rPr>
        <w:t>Member State</w:t>
      </w:r>
      <w:r w:rsidR="00352796">
        <w:rPr>
          <w:szCs w:val="22"/>
        </w:rPr>
        <w:t>s,</w:t>
      </w:r>
      <w:r w:rsidR="00352796" w:rsidRPr="00A16DE8">
        <w:rPr>
          <w:szCs w:val="22"/>
        </w:rPr>
        <w:t xml:space="preserve"> the prior use exception is formulated as a right, </w:t>
      </w:r>
      <w:r w:rsidR="00F74913">
        <w:rPr>
          <w:szCs w:val="22"/>
        </w:rPr>
        <w:br/>
      </w:r>
      <w:r w:rsidR="00352796" w:rsidRPr="00A16DE8">
        <w:rPr>
          <w:szCs w:val="22"/>
        </w:rPr>
        <w:t xml:space="preserve">providing, for example, </w:t>
      </w:r>
      <w:r w:rsidR="00B5258F">
        <w:rPr>
          <w:szCs w:val="22"/>
        </w:rPr>
        <w:t>“</w:t>
      </w:r>
      <w:r w:rsidR="00B5258F" w:rsidRPr="00F40547">
        <w:rPr>
          <w:szCs w:val="22"/>
        </w:rPr>
        <w:t xml:space="preserve">the right, without hindrance and without paying any compensation </w:t>
      </w:r>
      <w:r w:rsidR="00F74913">
        <w:rPr>
          <w:szCs w:val="22"/>
        </w:rPr>
        <w:br/>
      </w:r>
      <w:r w:rsidR="00B5258F" w:rsidRPr="00F40547">
        <w:rPr>
          <w:szCs w:val="22"/>
        </w:rPr>
        <w:t>to the patent owner, to continue independently using the subject matter”</w:t>
      </w:r>
      <w:r w:rsidR="00B5258F" w:rsidRPr="00F40547">
        <w:rPr>
          <w:rStyle w:val="FootnoteReference"/>
          <w:szCs w:val="22"/>
        </w:rPr>
        <w:footnoteReference w:id="12"/>
      </w:r>
      <w:r w:rsidR="00B5258F" w:rsidRPr="00F40547">
        <w:rPr>
          <w:szCs w:val="22"/>
        </w:rPr>
        <w:t>,</w:t>
      </w:r>
      <w:r w:rsidR="00B5258F">
        <w:rPr>
          <w:szCs w:val="22"/>
        </w:rPr>
        <w:t xml:space="preserve"> </w:t>
      </w:r>
      <w:r w:rsidR="00BB19EE">
        <w:rPr>
          <w:szCs w:val="22"/>
        </w:rPr>
        <w:t>“</w:t>
      </w:r>
      <w:r w:rsidR="00BB19EE" w:rsidRPr="00BB19EE">
        <w:rPr>
          <w:szCs w:val="22"/>
        </w:rPr>
        <w:t xml:space="preserve">the right to </w:t>
      </w:r>
      <w:r w:rsidR="00F74913">
        <w:rPr>
          <w:szCs w:val="22"/>
        </w:rPr>
        <w:br/>
      </w:r>
      <w:r w:rsidR="00BB19EE" w:rsidRPr="00BB19EE">
        <w:rPr>
          <w:szCs w:val="22"/>
        </w:rPr>
        <w:t>further non-compensated use</w:t>
      </w:r>
      <w:r w:rsidR="00BB19EE">
        <w:rPr>
          <w:szCs w:val="22"/>
        </w:rPr>
        <w:t>“</w:t>
      </w:r>
      <w:r w:rsidR="00BB19EE">
        <w:rPr>
          <w:rStyle w:val="FootnoteReference"/>
          <w:szCs w:val="22"/>
        </w:rPr>
        <w:footnoteReference w:id="13"/>
      </w:r>
      <w:r w:rsidR="00BB19EE">
        <w:rPr>
          <w:szCs w:val="22"/>
        </w:rPr>
        <w:t xml:space="preserve">, </w:t>
      </w:r>
      <w:r w:rsidR="00352796" w:rsidRPr="00A16DE8">
        <w:rPr>
          <w:szCs w:val="22"/>
        </w:rPr>
        <w:t>“the right, in a personal capacity, to work the invention</w:t>
      </w:r>
      <w:r w:rsidR="00F74913" w:rsidRPr="00A16DE8">
        <w:rPr>
          <w:szCs w:val="22"/>
        </w:rPr>
        <w:t>,</w:t>
      </w:r>
      <w:r w:rsidR="00F74913">
        <w:rPr>
          <w:szCs w:val="22"/>
        </w:rPr>
        <w:br/>
      </w:r>
      <w:r w:rsidR="00352796" w:rsidRPr="00A16DE8">
        <w:rPr>
          <w:szCs w:val="22"/>
        </w:rPr>
        <w:t>despite the existence of the patent”</w:t>
      </w:r>
      <w:r w:rsidR="0089373B" w:rsidRPr="0061103B">
        <w:rPr>
          <w:rStyle w:val="FootnoteReference"/>
          <w:szCs w:val="22"/>
        </w:rPr>
        <w:footnoteReference w:id="14"/>
      </w:r>
      <w:r w:rsidR="0061103B">
        <w:rPr>
          <w:szCs w:val="22"/>
        </w:rPr>
        <w:t>,</w:t>
      </w:r>
      <w:r w:rsidR="00352796" w:rsidRPr="00A16DE8">
        <w:rPr>
          <w:szCs w:val="22"/>
        </w:rPr>
        <w:t xml:space="preserve"> </w:t>
      </w:r>
      <w:r w:rsidR="002C353B" w:rsidRPr="0061103B">
        <w:rPr>
          <w:szCs w:val="22"/>
        </w:rPr>
        <w:t xml:space="preserve">the right to continue the </w:t>
      </w:r>
      <w:r w:rsidR="006B7585">
        <w:rPr>
          <w:szCs w:val="22"/>
        </w:rPr>
        <w:t>“</w:t>
      </w:r>
      <w:r w:rsidR="002C353B" w:rsidRPr="0061103B">
        <w:rPr>
          <w:szCs w:val="22"/>
        </w:rPr>
        <w:t>exploitation</w:t>
      </w:r>
      <w:r w:rsidR="006B7585">
        <w:rPr>
          <w:szCs w:val="22"/>
        </w:rPr>
        <w:t>”</w:t>
      </w:r>
      <w:r w:rsidR="001E706A" w:rsidRPr="0061103B">
        <w:rPr>
          <w:szCs w:val="22"/>
        </w:rPr>
        <w:t xml:space="preserve"> </w:t>
      </w:r>
      <w:r w:rsidR="00350BEF">
        <w:rPr>
          <w:szCs w:val="22"/>
        </w:rPr>
        <w:t>or “</w:t>
      </w:r>
      <w:r w:rsidR="00350BEF">
        <w:rPr>
          <w:sz w:val="23"/>
          <w:szCs w:val="23"/>
        </w:rPr>
        <w:t>manufacture”</w:t>
      </w:r>
      <w:r w:rsidR="00F74913">
        <w:rPr>
          <w:sz w:val="23"/>
          <w:szCs w:val="23"/>
        </w:rPr>
        <w:br/>
      </w:r>
      <w:r w:rsidR="001E706A" w:rsidRPr="0061103B">
        <w:rPr>
          <w:szCs w:val="22"/>
        </w:rPr>
        <w:t xml:space="preserve">or </w:t>
      </w:r>
      <w:r w:rsidR="006B7585">
        <w:rPr>
          <w:szCs w:val="22"/>
        </w:rPr>
        <w:t>“</w:t>
      </w:r>
      <w:r w:rsidR="001E706A" w:rsidRPr="0061103B">
        <w:rPr>
          <w:szCs w:val="22"/>
        </w:rPr>
        <w:t>use</w:t>
      </w:r>
      <w:r w:rsidR="002C353B" w:rsidRPr="0061103B">
        <w:rPr>
          <w:szCs w:val="22"/>
        </w:rPr>
        <w:t>”</w:t>
      </w:r>
      <w:r w:rsidR="006B7585">
        <w:rPr>
          <w:szCs w:val="22"/>
        </w:rPr>
        <w:t xml:space="preserve"> </w:t>
      </w:r>
      <w:r w:rsidR="00113675">
        <w:rPr>
          <w:szCs w:val="22"/>
        </w:rPr>
        <w:t xml:space="preserve">and/or “sell” </w:t>
      </w:r>
      <w:r w:rsidR="006B7585">
        <w:rPr>
          <w:szCs w:val="22"/>
        </w:rPr>
        <w:t>of</w:t>
      </w:r>
      <w:r w:rsidR="00350BEF">
        <w:rPr>
          <w:szCs w:val="22"/>
        </w:rPr>
        <w:t>,</w:t>
      </w:r>
      <w:r w:rsidR="006B7585">
        <w:rPr>
          <w:szCs w:val="22"/>
        </w:rPr>
        <w:t xml:space="preserve"> or “the prior acts” in relation to</w:t>
      </w:r>
      <w:r w:rsidR="00350BEF">
        <w:rPr>
          <w:szCs w:val="22"/>
        </w:rPr>
        <w:t>,</w:t>
      </w:r>
      <w:r w:rsidR="006B7585">
        <w:rPr>
          <w:szCs w:val="22"/>
        </w:rPr>
        <w:t xml:space="preserve"> th</w:t>
      </w:r>
      <w:r w:rsidR="00350BEF">
        <w:rPr>
          <w:szCs w:val="22"/>
        </w:rPr>
        <w:t xml:space="preserve">e </w:t>
      </w:r>
      <w:r w:rsidR="006B7585">
        <w:rPr>
          <w:szCs w:val="22"/>
        </w:rPr>
        <w:t>invention</w:t>
      </w:r>
      <w:r w:rsidR="002C353B" w:rsidRPr="0061103B">
        <w:rPr>
          <w:rStyle w:val="FootnoteReference"/>
          <w:szCs w:val="22"/>
        </w:rPr>
        <w:footnoteReference w:id="15"/>
      </w:r>
      <w:r w:rsidR="00A171F1">
        <w:rPr>
          <w:szCs w:val="22"/>
        </w:rPr>
        <w:t>.</w:t>
      </w:r>
      <w:r w:rsidR="006D636F">
        <w:rPr>
          <w:szCs w:val="22"/>
        </w:rPr>
        <w:t xml:space="preserve">  </w:t>
      </w:r>
      <w:r w:rsidR="006A6C44">
        <w:rPr>
          <w:szCs w:val="22"/>
        </w:rPr>
        <w:t xml:space="preserve">Similarly, </w:t>
      </w:r>
      <w:r w:rsidR="00F74913">
        <w:rPr>
          <w:szCs w:val="22"/>
        </w:rPr>
        <w:br/>
      </w:r>
      <w:r w:rsidR="006A6C44">
        <w:rPr>
          <w:szCs w:val="22"/>
        </w:rPr>
        <w:t xml:space="preserve">the Israel Patent Law states that a prior user </w:t>
      </w:r>
      <w:r w:rsidR="006A6C44" w:rsidRPr="00A16DE8">
        <w:rPr>
          <w:szCs w:val="22"/>
        </w:rPr>
        <w:t xml:space="preserve">is “entitled to </w:t>
      </w:r>
      <w:r w:rsidR="006A6C44">
        <w:rPr>
          <w:szCs w:val="22"/>
        </w:rPr>
        <w:t>exploit</w:t>
      </w:r>
      <w:r w:rsidR="006A6C44" w:rsidRPr="00A16DE8">
        <w:rPr>
          <w:szCs w:val="22"/>
        </w:rPr>
        <w:t>”</w:t>
      </w:r>
      <w:r w:rsidR="006A6C44">
        <w:rPr>
          <w:szCs w:val="22"/>
        </w:rPr>
        <w:t xml:space="preserve"> the invention</w:t>
      </w:r>
      <w:r w:rsidR="006A6C44">
        <w:rPr>
          <w:rStyle w:val="FootnoteReference"/>
          <w:szCs w:val="22"/>
        </w:rPr>
        <w:footnoteReference w:id="16"/>
      </w:r>
      <w:r w:rsidR="006A6C44" w:rsidRPr="00A16DE8">
        <w:rPr>
          <w:szCs w:val="22"/>
        </w:rPr>
        <w:t xml:space="preserve">.  </w:t>
      </w:r>
      <w:r w:rsidR="00641C1C">
        <w:rPr>
          <w:szCs w:val="22"/>
        </w:rPr>
        <w:t xml:space="preserve">Yet, in the United States of America, the prior user is “entitled to a defense under section 282(b) with respect to a subject matter […], that would otherwise infringe a claimed invention”. </w:t>
      </w:r>
    </w:p>
    <w:p w14:paraId="34F07F15" w14:textId="77777777" w:rsidR="00A178DF" w:rsidRDefault="00A178DF" w:rsidP="00DE2E25">
      <w:pPr>
        <w:rPr>
          <w:szCs w:val="22"/>
        </w:rPr>
      </w:pPr>
    </w:p>
    <w:p w14:paraId="0948241F" w14:textId="36DFE90B" w:rsidR="005B5D3F" w:rsidRDefault="00314040" w:rsidP="005F6B18">
      <w:pPr>
        <w:rPr>
          <w:szCs w:val="22"/>
        </w:rPr>
      </w:pPr>
      <w:r>
        <w:rPr>
          <w:szCs w:val="22"/>
        </w:rPr>
        <w:fldChar w:fldCharType="begin"/>
      </w:r>
      <w:r>
        <w:rPr>
          <w:szCs w:val="22"/>
        </w:rPr>
        <w:instrText xml:space="preserve"> AUTONUM  </w:instrText>
      </w:r>
      <w:r>
        <w:rPr>
          <w:szCs w:val="22"/>
        </w:rPr>
        <w:fldChar w:fldCharType="end"/>
      </w:r>
      <w:r>
        <w:rPr>
          <w:szCs w:val="22"/>
        </w:rPr>
        <w:tab/>
      </w:r>
      <w:r w:rsidR="0094034D">
        <w:rPr>
          <w:szCs w:val="22"/>
        </w:rPr>
        <w:t xml:space="preserve">Different from </w:t>
      </w:r>
      <w:r w:rsidR="00F74913">
        <w:rPr>
          <w:szCs w:val="22"/>
        </w:rPr>
        <w:t xml:space="preserve">the </w:t>
      </w:r>
      <w:r w:rsidR="0094034D">
        <w:rPr>
          <w:szCs w:val="22"/>
        </w:rPr>
        <w:t>above approach, i</w:t>
      </w:r>
      <w:r w:rsidR="00352796" w:rsidRPr="00A16DE8">
        <w:rPr>
          <w:szCs w:val="22"/>
        </w:rPr>
        <w:t xml:space="preserve">n </w:t>
      </w:r>
      <w:r w:rsidR="00F80DB7">
        <w:rPr>
          <w:szCs w:val="22"/>
        </w:rPr>
        <w:t xml:space="preserve">Japan and </w:t>
      </w:r>
      <w:r w:rsidR="00785649">
        <w:rPr>
          <w:szCs w:val="22"/>
        </w:rPr>
        <w:t>the Republic of Korea,</w:t>
      </w:r>
      <w:r w:rsidR="00352796" w:rsidRPr="00A16DE8">
        <w:rPr>
          <w:szCs w:val="22"/>
        </w:rPr>
        <w:t xml:space="preserve"> </w:t>
      </w:r>
      <w:r w:rsidR="00352796">
        <w:rPr>
          <w:szCs w:val="22"/>
        </w:rPr>
        <w:t>the use of the patented invention by</w:t>
      </w:r>
      <w:r w:rsidR="003F1E33">
        <w:rPr>
          <w:szCs w:val="22"/>
        </w:rPr>
        <w:t xml:space="preserve"> a</w:t>
      </w:r>
      <w:r w:rsidR="00352796">
        <w:rPr>
          <w:szCs w:val="22"/>
        </w:rPr>
        <w:t xml:space="preserve"> prior </w:t>
      </w:r>
      <w:r w:rsidR="00066D6F">
        <w:rPr>
          <w:szCs w:val="22"/>
        </w:rPr>
        <w:t>user</w:t>
      </w:r>
      <w:r w:rsidR="00352796">
        <w:rPr>
          <w:szCs w:val="22"/>
        </w:rPr>
        <w:t xml:space="preserve"> is not an exception to the patent rights </w:t>
      </w:r>
      <w:proofErr w:type="spellStart"/>
      <w:r w:rsidR="00352796" w:rsidRPr="003C12A4">
        <w:rPr>
          <w:i/>
          <w:iCs/>
          <w:szCs w:val="22"/>
        </w:rPr>
        <w:t>stricto</w:t>
      </w:r>
      <w:proofErr w:type="spellEnd"/>
      <w:r w:rsidR="00352796" w:rsidRPr="003C12A4">
        <w:rPr>
          <w:i/>
          <w:iCs/>
          <w:szCs w:val="22"/>
        </w:rPr>
        <w:t xml:space="preserve"> </w:t>
      </w:r>
      <w:proofErr w:type="spellStart"/>
      <w:r w:rsidR="00352796" w:rsidRPr="003C12A4">
        <w:rPr>
          <w:i/>
          <w:iCs/>
          <w:szCs w:val="22"/>
        </w:rPr>
        <w:t>sensu</w:t>
      </w:r>
      <w:proofErr w:type="spellEnd"/>
      <w:r w:rsidR="00352796">
        <w:rPr>
          <w:szCs w:val="22"/>
        </w:rPr>
        <w:t xml:space="preserve">.  Their laws provide that such prior users </w:t>
      </w:r>
      <w:r w:rsidR="00352796" w:rsidRPr="00401667">
        <w:rPr>
          <w:szCs w:val="22"/>
        </w:rPr>
        <w:t>“shall have a non-exclusive license on the patent right” without any remuneration to be paid to the patentee.</w:t>
      </w:r>
      <w:r w:rsidR="00785649">
        <w:rPr>
          <w:rStyle w:val="FootnoteReference"/>
          <w:szCs w:val="22"/>
        </w:rPr>
        <w:footnoteReference w:id="17"/>
      </w:r>
      <w:r w:rsidR="00352796" w:rsidRPr="00A16DE8">
        <w:rPr>
          <w:szCs w:val="22"/>
        </w:rPr>
        <w:t xml:space="preserve">  </w:t>
      </w:r>
      <w:r w:rsidR="005B5D3F">
        <w:rPr>
          <w:szCs w:val="22"/>
        </w:rPr>
        <w:t xml:space="preserve">In addition, </w:t>
      </w:r>
      <w:r w:rsidR="00AB3860">
        <w:rPr>
          <w:szCs w:val="22"/>
        </w:rPr>
        <w:t>while i</w:t>
      </w:r>
      <w:r w:rsidR="005B5D3F">
        <w:rPr>
          <w:szCs w:val="22"/>
        </w:rPr>
        <w:t xml:space="preserve">n New Zealand, </w:t>
      </w:r>
      <w:r w:rsidR="00AB3860">
        <w:rPr>
          <w:szCs w:val="22"/>
        </w:rPr>
        <w:t>the applicable law did not provide the</w:t>
      </w:r>
      <w:r w:rsidR="005B5D3F" w:rsidRPr="003A4022">
        <w:rPr>
          <w:szCs w:val="22"/>
        </w:rPr>
        <w:t xml:space="preserve"> prior use exception, </w:t>
      </w:r>
      <w:r w:rsidR="00AB3860">
        <w:rPr>
          <w:szCs w:val="22"/>
        </w:rPr>
        <w:t>the</w:t>
      </w:r>
      <w:r w:rsidR="005B5D3F" w:rsidRPr="003A4022">
        <w:rPr>
          <w:szCs w:val="22"/>
        </w:rPr>
        <w:t xml:space="preserve"> secret use of an invention prior to the grant of a patent may be </w:t>
      </w:r>
      <w:r w:rsidR="00440D8C">
        <w:rPr>
          <w:szCs w:val="22"/>
        </w:rPr>
        <w:t>a ground</w:t>
      </w:r>
      <w:r w:rsidR="005B5D3F" w:rsidRPr="003A4022">
        <w:rPr>
          <w:szCs w:val="22"/>
        </w:rPr>
        <w:t xml:space="preserve"> for revocation of the patent.</w:t>
      </w:r>
      <w:r w:rsidR="005B5D3F">
        <w:rPr>
          <w:rStyle w:val="FootnoteReference"/>
          <w:szCs w:val="22"/>
        </w:rPr>
        <w:footnoteReference w:id="18"/>
      </w:r>
      <w:r w:rsidR="005B5D3F" w:rsidRPr="003A4022">
        <w:rPr>
          <w:szCs w:val="22"/>
        </w:rPr>
        <w:t xml:space="preserve"> </w:t>
      </w:r>
      <w:r w:rsidR="005B5D3F">
        <w:rPr>
          <w:szCs w:val="22"/>
        </w:rPr>
        <w:t xml:space="preserve"> </w:t>
      </w:r>
      <w:r w:rsidR="005B5D3F" w:rsidRPr="003A4022">
        <w:rPr>
          <w:szCs w:val="22"/>
        </w:rPr>
        <w:t xml:space="preserve">That is, </w:t>
      </w:r>
      <w:r w:rsidR="00AB3860">
        <w:rPr>
          <w:szCs w:val="22"/>
        </w:rPr>
        <w:t xml:space="preserve">in that country, </w:t>
      </w:r>
      <w:r w:rsidR="005B5D3F" w:rsidRPr="003A4022">
        <w:rPr>
          <w:szCs w:val="22"/>
        </w:rPr>
        <w:t xml:space="preserve">while prior secret use is not a defense against infringement, </w:t>
      </w:r>
      <w:r w:rsidR="003F1E33">
        <w:rPr>
          <w:szCs w:val="22"/>
        </w:rPr>
        <w:t>a</w:t>
      </w:r>
      <w:r w:rsidR="005B5D3F" w:rsidRPr="003A4022">
        <w:rPr>
          <w:szCs w:val="22"/>
        </w:rPr>
        <w:t xml:space="preserve"> prior user can initiate proceedings to revoke the patent.</w:t>
      </w:r>
      <w:r w:rsidR="000A5233">
        <w:rPr>
          <w:szCs w:val="22"/>
        </w:rPr>
        <w:t xml:space="preserve">  </w:t>
      </w:r>
    </w:p>
    <w:p w14:paraId="6A7F4EAF" w14:textId="77777777" w:rsidR="00C1351F" w:rsidRDefault="00C1351F" w:rsidP="005F6B18">
      <w:pPr>
        <w:rPr>
          <w:szCs w:val="22"/>
        </w:rPr>
      </w:pPr>
    </w:p>
    <w:p w14:paraId="30FA8C68" w14:textId="77777777" w:rsidR="00E22B42" w:rsidRPr="00E22B42" w:rsidRDefault="00E22B42" w:rsidP="005F6B18">
      <w:pPr>
        <w:rPr>
          <w:i/>
          <w:szCs w:val="22"/>
        </w:rPr>
      </w:pPr>
      <w:r w:rsidRPr="00E22B42">
        <w:rPr>
          <w:i/>
          <w:szCs w:val="22"/>
        </w:rPr>
        <w:t>Permissible</w:t>
      </w:r>
      <w:r>
        <w:rPr>
          <w:i/>
          <w:szCs w:val="22"/>
        </w:rPr>
        <w:t xml:space="preserve"> </w:t>
      </w:r>
      <w:r w:rsidRPr="00E22B42">
        <w:rPr>
          <w:i/>
          <w:szCs w:val="22"/>
        </w:rPr>
        <w:t>activities</w:t>
      </w:r>
      <w:r>
        <w:rPr>
          <w:i/>
          <w:szCs w:val="22"/>
        </w:rPr>
        <w:t xml:space="preserve"> under the exception</w:t>
      </w:r>
      <w:r w:rsidRPr="00E22B42">
        <w:rPr>
          <w:i/>
          <w:szCs w:val="22"/>
        </w:rPr>
        <w:t xml:space="preserve"> </w:t>
      </w:r>
    </w:p>
    <w:p w14:paraId="16E93CCA" w14:textId="77777777" w:rsidR="00E22B42" w:rsidRDefault="00E22B42" w:rsidP="005F6B18">
      <w:pPr>
        <w:rPr>
          <w:szCs w:val="22"/>
        </w:rPr>
      </w:pPr>
    </w:p>
    <w:p w14:paraId="0CCDBE0B" w14:textId="77777777" w:rsidR="00547944" w:rsidRDefault="00E22B42" w:rsidP="005F6B18">
      <w:pPr>
        <w:rPr>
          <w:szCs w:val="22"/>
        </w:rPr>
      </w:pPr>
      <w:r>
        <w:rPr>
          <w:szCs w:val="22"/>
        </w:rPr>
        <w:fldChar w:fldCharType="begin"/>
      </w:r>
      <w:r>
        <w:rPr>
          <w:szCs w:val="22"/>
        </w:rPr>
        <w:instrText xml:space="preserve"> AUTONUM  </w:instrText>
      </w:r>
      <w:r>
        <w:rPr>
          <w:szCs w:val="22"/>
        </w:rPr>
        <w:fldChar w:fldCharType="end"/>
      </w:r>
      <w:r>
        <w:rPr>
          <w:szCs w:val="22"/>
        </w:rPr>
        <w:tab/>
      </w:r>
      <w:r w:rsidR="00352796" w:rsidRPr="00A16DE8">
        <w:rPr>
          <w:szCs w:val="22"/>
        </w:rPr>
        <w:t xml:space="preserve">As to the scope </w:t>
      </w:r>
      <w:r w:rsidR="00352796">
        <w:rPr>
          <w:szCs w:val="22"/>
        </w:rPr>
        <w:t xml:space="preserve">of </w:t>
      </w:r>
      <w:r w:rsidR="00352796" w:rsidRPr="00A16DE8">
        <w:rPr>
          <w:szCs w:val="22"/>
        </w:rPr>
        <w:t>the activit</w:t>
      </w:r>
      <w:r w:rsidR="00352796">
        <w:rPr>
          <w:szCs w:val="22"/>
        </w:rPr>
        <w:t>ies</w:t>
      </w:r>
      <w:r w:rsidR="00352796" w:rsidRPr="00A16DE8">
        <w:rPr>
          <w:szCs w:val="22"/>
        </w:rPr>
        <w:t xml:space="preserve"> </w:t>
      </w:r>
      <w:r w:rsidR="00352796">
        <w:rPr>
          <w:szCs w:val="22"/>
        </w:rPr>
        <w:t>covered by the</w:t>
      </w:r>
      <w:r w:rsidR="00352796" w:rsidRPr="00A16DE8">
        <w:rPr>
          <w:szCs w:val="22"/>
        </w:rPr>
        <w:t xml:space="preserve"> prior use </w:t>
      </w:r>
      <w:r w:rsidR="00352796">
        <w:rPr>
          <w:szCs w:val="22"/>
        </w:rPr>
        <w:t>exception,</w:t>
      </w:r>
      <w:r w:rsidR="00A83401">
        <w:rPr>
          <w:szCs w:val="22"/>
        </w:rPr>
        <w:t xml:space="preserve"> </w:t>
      </w:r>
      <w:r w:rsidR="008051A1">
        <w:rPr>
          <w:szCs w:val="22"/>
        </w:rPr>
        <w:t xml:space="preserve">the following can be observed.  </w:t>
      </w:r>
    </w:p>
    <w:p w14:paraId="4C00695D" w14:textId="77777777" w:rsidR="00AB3860" w:rsidRPr="00215AA4" w:rsidRDefault="00AB3860" w:rsidP="005F6B18">
      <w:pPr>
        <w:rPr>
          <w:szCs w:val="22"/>
        </w:rPr>
      </w:pPr>
    </w:p>
    <w:p w14:paraId="46D6E58F" w14:textId="022DFAE3" w:rsidR="0098725D" w:rsidRDefault="008051A1" w:rsidP="00CF5568">
      <w:pPr>
        <w:autoSpaceDE w:val="0"/>
        <w:autoSpaceDN w:val="0"/>
        <w:adjustRightInd w:val="0"/>
        <w:rPr>
          <w:szCs w:val="22"/>
        </w:rPr>
      </w:pPr>
      <w:r>
        <w:rPr>
          <w:szCs w:val="22"/>
        </w:rPr>
        <w:fldChar w:fldCharType="begin"/>
      </w:r>
      <w:r>
        <w:rPr>
          <w:szCs w:val="22"/>
        </w:rPr>
        <w:instrText xml:space="preserve"> AUTONUM  </w:instrText>
      </w:r>
      <w:r>
        <w:rPr>
          <w:szCs w:val="22"/>
        </w:rPr>
        <w:fldChar w:fldCharType="end"/>
      </w:r>
      <w:r>
        <w:rPr>
          <w:szCs w:val="22"/>
        </w:rPr>
        <w:tab/>
      </w:r>
      <w:r w:rsidR="00AB3860">
        <w:rPr>
          <w:szCs w:val="22"/>
        </w:rPr>
        <w:t>F</w:t>
      </w:r>
      <w:r w:rsidR="00352796" w:rsidRPr="00A16DE8">
        <w:rPr>
          <w:szCs w:val="22"/>
        </w:rPr>
        <w:t>or most Member State</w:t>
      </w:r>
      <w:r w:rsidR="00352796">
        <w:rPr>
          <w:szCs w:val="22"/>
        </w:rPr>
        <w:t>s,</w:t>
      </w:r>
      <w:r w:rsidR="00352796" w:rsidRPr="00A16DE8">
        <w:rPr>
          <w:szCs w:val="22"/>
        </w:rPr>
        <w:t xml:space="preserve"> it is sufficient that the person “was using the invention</w:t>
      </w:r>
      <w:r w:rsidR="000C343A">
        <w:rPr>
          <w:szCs w:val="22"/>
        </w:rPr>
        <w:t>”</w:t>
      </w:r>
      <w:r w:rsidR="00352796" w:rsidRPr="00A16DE8">
        <w:rPr>
          <w:szCs w:val="22"/>
        </w:rPr>
        <w:t xml:space="preserve"> or </w:t>
      </w:r>
      <w:r w:rsidR="000C343A">
        <w:rPr>
          <w:szCs w:val="22"/>
        </w:rPr>
        <w:t>“</w:t>
      </w:r>
      <w:r w:rsidR="00352796" w:rsidRPr="00A16DE8">
        <w:rPr>
          <w:szCs w:val="22"/>
        </w:rPr>
        <w:t>was making effective and serious preparations for such use”</w:t>
      </w:r>
      <w:r w:rsidR="001539B4">
        <w:rPr>
          <w:szCs w:val="22"/>
        </w:rPr>
        <w:t xml:space="preserve"> </w:t>
      </w:r>
      <w:r w:rsidR="004F137E">
        <w:rPr>
          <w:szCs w:val="22"/>
        </w:rPr>
        <w:t xml:space="preserve">before the filing </w:t>
      </w:r>
      <w:r w:rsidR="004F137E" w:rsidRPr="00874DCC">
        <w:rPr>
          <w:color w:val="000000"/>
          <w:szCs w:val="22"/>
        </w:rPr>
        <w:t xml:space="preserve">date (or the priority </w:t>
      </w:r>
      <w:r w:rsidR="004F137E" w:rsidRPr="00874DCC">
        <w:rPr>
          <w:color w:val="000000"/>
          <w:szCs w:val="22"/>
        </w:rPr>
        <w:lastRenderedPageBreak/>
        <w:t>date)</w:t>
      </w:r>
      <w:r w:rsidR="00352796" w:rsidRPr="00A16DE8">
        <w:rPr>
          <w:szCs w:val="22"/>
        </w:rPr>
        <w:t>.</w:t>
      </w:r>
      <w:r w:rsidR="00721182">
        <w:rPr>
          <w:rStyle w:val="FootnoteReference"/>
          <w:szCs w:val="22"/>
        </w:rPr>
        <w:footnoteReference w:id="19"/>
      </w:r>
      <w:r w:rsidR="00352796" w:rsidRPr="00A16DE8">
        <w:rPr>
          <w:szCs w:val="22"/>
        </w:rPr>
        <w:t xml:space="preserve">  </w:t>
      </w:r>
      <w:r w:rsidR="00E33377">
        <w:rPr>
          <w:szCs w:val="22"/>
        </w:rPr>
        <w:t xml:space="preserve">Some </w:t>
      </w:r>
      <w:r w:rsidR="00CC28C1">
        <w:rPr>
          <w:szCs w:val="22"/>
        </w:rPr>
        <w:t>applicable</w:t>
      </w:r>
      <w:r w:rsidR="008A1E1C">
        <w:rPr>
          <w:szCs w:val="22"/>
        </w:rPr>
        <w:t xml:space="preserve"> laws</w:t>
      </w:r>
      <w:r w:rsidR="003F1AB7">
        <w:rPr>
          <w:szCs w:val="22"/>
        </w:rPr>
        <w:t xml:space="preserve"> provide </w:t>
      </w:r>
      <w:r w:rsidR="00EF6FE2">
        <w:rPr>
          <w:szCs w:val="22"/>
        </w:rPr>
        <w:t>further information on the scope of use</w:t>
      </w:r>
      <w:r w:rsidR="00707C12">
        <w:rPr>
          <w:szCs w:val="22"/>
        </w:rPr>
        <w:t xml:space="preserve"> by stating, in general, that the following </w:t>
      </w:r>
      <w:r w:rsidR="0073016F">
        <w:rPr>
          <w:szCs w:val="22"/>
        </w:rPr>
        <w:t>activities</w:t>
      </w:r>
      <w:r w:rsidR="00707C12">
        <w:rPr>
          <w:szCs w:val="22"/>
        </w:rPr>
        <w:t xml:space="preserve"> are not considered infringement of patent rights</w:t>
      </w:r>
      <w:r w:rsidR="003F1AB7">
        <w:rPr>
          <w:szCs w:val="22"/>
        </w:rPr>
        <w:t xml:space="preserve">, </w:t>
      </w:r>
      <w:r w:rsidR="00AE2CE5">
        <w:rPr>
          <w:szCs w:val="22"/>
        </w:rPr>
        <w:t xml:space="preserve">for </w:t>
      </w:r>
      <w:r w:rsidR="00505FF1">
        <w:rPr>
          <w:szCs w:val="22"/>
        </w:rPr>
        <w:t>example</w:t>
      </w:r>
      <w:r w:rsidR="00AE2CE5">
        <w:rPr>
          <w:szCs w:val="22"/>
        </w:rPr>
        <w:t>,</w:t>
      </w:r>
      <w:r w:rsidR="00DF6DDF">
        <w:rPr>
          <w:szCs w:val="22"/>
        </w:rPr>
        <w:t xml:space="preserve"> “purchasing, constructing or acquiring</w:t>
      </w:r>
      <w:r w:rsidR="00DF6DDF" w:rsidRPr="00472CC9">
        <w:rPr>
          <w:szCs w:val="22"/>
        </w:rPr>
        <w:t xml:space="preserve"> the subject matter defined by the claim</w:t>
      </w:r>
      <w:r w:rsidR="00DF6DDF">
        <w:rPr>
          <w:szCs w:val="22"/>
        </w:rPr>
        <w:t>”</w:t>
      </w:r>
      <w:r w:rsidR="00DF6DDF" w:rsidRPr="00ED008B">
        <w:rPr>
          <w:rStyle w:val="FootnoteReference"/>
          <w:szCs w:val="22"/>
        </w:rPr>
        <w:footnoteReference w:id="20"/>
      </w:r>
      <w:r w:rsidR="00AC4928">
        <w:rPr>
          <w:szCs w:val="22"/>
        </w:rPr>
        <w:t xml:space="preserve">, </w:t>
      </w:r>
      <w:r w:rsidR="00DF6DDF">
        <w:rPr>
          <w:szCs w:val="22"/>
        </w:rPr>
        <w:t>“</w:t>
      </w:r>
      <w:r w:rsidR="00DF6DDF" w:rsidRPr="00ED008B">
        <w:rPr>
          <w:szCs w:val="22"/>
        </w:rPr>
        <w:t>commercial</w:t>
      </w:r>
      <w:r w:rsidR="003F1AB7">
        <w:rPr>
          <w:szCs w:val="22"/>
        </w:rPr>
        <w:t>ly exploiting</w:t>
      </w:r>
      <w:r w:rsidR="00641194">
        <w:rPr>
          <w:szCs w:val="22"/>
        </w:rPr>
        <w:t>”</w:t>
      </w:r>
      <w:r w:rsidR="00641194" w:rsidRPr="00641194">
        <w:rPr>
          <w:rStyle w:val="FootnoteReference"/>
          <w:szCs w:val="22"/>
        </w:rPr>
        <w:t xml:space="preserve"> </w:t>
      </w:r>
      <w:r w:rsidR="00641194" w:rsidRPr="00ED008B">
        <w:rPr>
          <w:rStyle w:val="FootnoteReference"/>
          <w:szCs w:val="22"/>
        </w:rPr>
        <w:footnoteReference w:id="21"/>
      </w:r>
      <w:r w:rsidR="00641194">
        <w:rPr>
          <w:szCs w:val="22"/>
        </w:rPr>
        <w:t xml:space="preserve"> or “commercial use”</w:t>
      </w:r>
      <w:r w:rsidR="00DF6DDF" w:rsidRPr="00ED008B">
        <w:rPr>
          <w:szCs w:val="22"/>
        </w:rPr>
        <w:t xml:space="preserve"> </w:t>
      </w:r>
      <w:r w:rsidR="00641194">
        <w:rPr>
          <w:szCs w:val="22"/>
        </w:rPr>
        <w:t xml:space="preserve">of </w:t>
      </w:r>
      <w:r w:rsidR="00DF6DDF" w:rsidRPr="00ED008B">
        <w:rPr>
          <w:szCs w:val="22"/>
        </w:rPr>
        <w:t>the invention</w:t>
      </w:r>
      <w:r w:rsidR="00641194">
        <w:rPr>
          <w:rStyle w:val="FootnoteReference"/>
          <w:szCs w:val="22"/>
        </w:rPr>
        <w:footnoteReference w:id="22"/>
      </w:r>
      <w:r w:rsidR="004320FD">
        <w:rPr>
          <w:rStyle w:val="FootnoteReference"/>
          <w:vertAlign w:val="baseline"/>
        </w:rPr>
        <w:t>,</w:t>
      </w:r>
      <w:r w:rsidR="00353AB8">
        <w:t xml:space="preserve"> </w:t>
      </w:r>
      <w:r w:rsidR="00667586" w:rsidRPr="00ED008B">
        <w:rPr>
          <w:szCs w:val="22"/>
        </w:rPr>
        <w:t>“possession of the invention which is the subject of the patent”</w:t>
      </w:r>
      <w:r w:rsidR="00667586" w:rsidRPr="00ED008B">
        <w:rPr>
          <w:rStyle w:val="FootnoteReference"/>
          <w:szCs w:val="22"/>
        </w:rPr>
        <w:footnoteReference w:id="23"/>
      </w:r>
      <w:r w:rsidR="004320FD">
        <w:rPr>
          <w:szCs w:val="22"/>
        </w:rPr>
        <w:t xml:space="preserve">, </w:t>
      </w:r>
      <w:r w:rsidR="001B4BBB" w:rsidRPr="00ED008B">
        <w:rPr>
          <w:szCs w:val="22"/>
        </w:rPr>
        <w:t>“creation and use of a similar solution”</w:t>
      </w:r>
      <w:r w:rsidR="001B4BBB" w:rsidRPr="00ED008B">
        <w:rPr>
          <w:vertAlign w:val="superscript"/>
        </w:rPr>
        <w:footnoteReference w:id="24"/>
      </w:r>
      <w:r w:rsidR="002E4AE3">
        <w:rPr>
          <w:szCs w:val="22"/>
        </w:rPr>
        <w:t>, “</w:t>
      </w:r>
      <w:r w:rsidR="00A0239A">
        <w:rPr>
          <w:szCs w:val="22"/>
        </w:rPr>
        <w:t>[</w:t>
      </w:r>
      <w:r w:rsidR="0098725D">
        <w:rPr>
          <w:szCs w:val="22"/>
        </w:rPr>
        <w:t>making] an invention identical to the said invention</w:t>
      </w:r>
      <w:r w:rsidR="00CF5568">
        <w:rPr>
          <w:szCs w:val="22"/>
        </w:rPr>
        <w:t xml:space="preserve"> […],</w:t>
      </w:r>
      <w:r w:rsidR="00113A0B">
        <w:rPr>
          <w:szCs w:val="22"/>
        </w:rPr>
        <w:t xml:space="preserve"> and </w:t>
      </w:r>
      <w:r w:rsidR="002E4AE3">
        <w:rPr>
          <w:szCs w:val="22"/>
        </w:rPr>
        <w:t>working the invent</w:t>
      </w:r>
      <w:r w:rsidR="000C343A">
        <w:rPr>
          <w:szCs w:val="22"/>
        </w:rPr>
        <w:t>ion</w:t>
      </w:r>
      <w:r w:rsidR="002E4AE3">
        <w:rPr>
          <w:szCs w:val="22"/>
        </w:rPr>
        <w:t>”</w:t>
      </w:r>
      <w:r w:rsidR="007E2872">
        <w:rPr>
          <w:rStyle w:val="FootnoteReference"/>
          <w:szCs w:val="22"/>
        </w:rPr>
        <w:footnoteReference w:id="25"/>
      </w:r>
      <w:r w:rsidR="00E33377">
        <w:rPr>
          <w:szCs w:val="22"/>
        </w:rPr>
        <w:t>,</w:t>
      </w:r>
      <w:r w:rsidR="00707C12">
        <w:rPr>
          <w:szCs w:val="22"/>
        </w:rPr>
        <w:t xml:space="preserve"> and</w:t>
      </w:r>
      <w:r w:rsidR="00E33377">
        <w:rPr>
          <w:szCs w:val="22"/>
        </w:rPr>
        <w:t xml:space="preserve"> “exploiting the product, method or process in the patent area”</w:t>
      </w:r>
      <w:r w:rsidR="00617EE0">
        <w:rPr>
          <w:szCs w:val="22"/>
        </w:rPr>
        <w:t>.</w:t>
      </w:r>
      <w:r w:rsidR="00E33377">
        <w:rPr>
          <w:rStyle w:val="FootnoteReference"/>
          <w:szCs w:val="22"/>
        </w:rPr>
        <w:footnoteReference w:id="26"/>
      </w:r>
      <w:r w:rsidR="00AD49C7" w:rsidRPr="00AD49C7">
        <w:rPr>
          <w:szCs w:val="22"/>
          <w:vertAlign w:val="superscript"/>
        </w:rPr>
        <w:t>,</w:t>
      </w:r>
      <w:r w:rsidR="00AD49C7">
        <w:rPr>
          <w:szCs w:val="22"/>
        </w:rPr>
        <w:t xml:space="preserve"> </w:t>
      </w:r>
      <w:r w:rsidR="00665583">
        <w:rPr>
          <w:rStyle w:val="FootnoteReference"/>
          <w:szCs w:val="22"/>
        </w:rPr>
        <w:footnoteReference w:id="27"/>
      </w:r>
    </w:p>
    <w:p w14:paraId="3D317172" w14:textId="77777777" w:rsidR="00FB6DAB" w:rsidRPr="007E2872" w:rsidRDefault="00FB6DAB" w:rsidP="005F6B18">
      <w:pPr>
        <w:shd w:val="clear" w:color="auto" w:fill="FFFFFF"/>
        <w:rPr>
          <w:szCs w:val="22"/>
        </w:rPr>
      </w:pPr>
    </w:p>
    <w:p w14:paraId="2CD9FBBB" w14:textId="122FD2EF" w:rsidR="00A0239A" w:rsidRDefault="000C0F68" w:rsidP="005F6B18">
      <w:pPr>
        <w:shd w:val="clear" w:color="auto" w:fill="FFFFFF"/>
        <w:rPr>
          <w:szCs w:val="22"/>
        </w:rPr>
      </w:pPr>
      <w:r>
        <w:rPr>
          <w:szCs w:val="22"/>
        </w:rPr>
        <w:fldChar w:fldCharType="begin"/>
      </w:r>
      <w:r>
        <w:rPr>
          <w:szCs w:val="22"/>
        </w:rPr>
        <w:instrText xml:space="preserve"> AUTONUM  </w:instrText>
      </w:r>
      <w:r>
        <w:rPr>
          <w:szCs w:val="22"/>
        </w:rPr>
        <w:fldChar w:fldCharType="end"/>
      </w:r>
      <w:r>
        <w:rPr>
          <w:szCs w:val="22"/>
        </w:rPr>
        <w:tab/>
      </w:r>
      <w:r w:rsidR="00AD49C7">
        <w:rPr>
          <w:szCs w:val="22"/>
        </w:rPr>
        <w:t>T</w:t>
      </w:r>
      <w:r w:rsidRPr="00A16DE8">
        <w:rPr>
          <w:szCs w:val="22"/>
        </w:rPr>
        <w:t xml:space="preserve">he preparatory works </w:t>
      </w:r>
      <w:r>
        <w:rPr>
          <w:szCs w:val="22"/>
        </w:rPr>
        <w:t xml:space="preserve">for the use of an invention </w:t>
      </w:r>
      <w:r w:rsidRPr="00A16DE8">
        <w:rPr>
          <w:szCs w:val="22"/>
        </w:rPr>
        <w:t xml:space="preserve">are included in </w:t>
      </w:r>
      <w:r w:rsidR="00F671FB">
        <w:rPr>
          <w:szCs w:val="22"/>
        </w:rPr>
        <w:t>the scope of</w:t>
      </w:r>
      <w:r w:rsidR="00F671FB" w:rsidRPr="00A16DE8">
        <w:rPr>
          <w:szCs w:val="22"/>
        </w:rPr>
        <w:t xml:space="preserve"> </w:t>
      </w:r>
      <w:r w:rsidRPr="00A16DE8">
        <w:rPr>
          <w:szCs w:val="22"/>
        </w:rPr>
        <w:t xml:space="preserve">the prior use </w:t>
      </w:r>
      <w:r w:rsidR="00F671FB">
        <w:rPr>
          <w:szCs w:val="22"/>
        </w:rPr>
        <w:t>exception</w:t>
      </w:r>
      <w:r w:rsidR="00F671FB" w:rsidRPr="00A16DE8">
        <w:rPr>
          <w:szCs w:val="22"/>
        </w:rPr>
        <w:t xml:space="preserve"> </w:t>
      </w:r>
      <w:r w:rsidRPr="00A16DE8">
        <w:rPr>
          <w:szCs w:val="22"/>
        </w:rPr>
        <w:t>in the majority</w:t>
      </w:r>
      <w:r w:rsidR="00AD49C7">
        <w:rPr>
          <w:szCs w:val="22"/>
        </w:rPr>
        <w:t>, but not all</w:t>
      </w:r>
      <w:r w:rsidR="00AD49C7">
        <w:rPr>
          <w:rStyle w:val="FootnoteReference"/>
          <w:szCs w:val="22"/>
        </w:rPr>
        <w:footnoteReference w:id="28"/>
      </w:r>
      <w:r w:rsidR="00AD49C7">
        <w:rPr>
          <w:szCs w:val="22"/>
        </w:rPr>
        <w:t>,</w:t>
      </w:r>
      <w:r w:rsidRPr="00A16DE8">
        <w:rPr>
          <w:szCs w:val="22"/>
        </w:rPr>
        <w:t xml:space="preserve"> </w:t>
      </w:r>
      <w:r>
        <w:rPr>
          <w:szCs w:val="22"/>
        </w:rPr>
        <w:t>of</w:t>
      </w:r>
      <w:r w:rsidRPr="00A16DE8">
        <w:rPr>
          <w:szCs w:val="22"/>
        </w:rPr>
        <w:t xml:space="preserve"> </w:t>
      </w:r>
      <w:r w:rsidR="00AD49C7">
        <w:rPr>
          <w:szCs w:val="22"/>
        </w:rPr>
        <w:t xml:space="preserve">the </w:t>
      </w:r>
      <w:r w:rsidRPr="00A16DE8">
        <w:rPr>
          <w:szCs w:val="22"/>
        </w:rPr>
        <w:t>Member States</w:t>
      </w:r>
      <w:r w:rsidR="00AD49C7">
        <w:rPr>
          <w:szCs w:val="22"/>
        </w:rPr>
        <w:t>.</w:t>
      </w:r>
      <w:r w:rsidR="00702B6E">
        <w:rPr>
          <w:szCs w:val="22"/>
        </w:rPr>
        <w:t xml:space="preserve"> </w:t>
      </w:r>
      <w:r w:rsidR="00AD49C7">
        <w:rPr>
          <w:szCs w:val="22"/>
        </w:rPr>
        <w:t xml:space="preserve"> T</w:t>
      </w:r>
      <w:r w:rsidR="00702B6E">
        <w:rPr>
          <w:szCs w:val="22"/>
        </w:rPr>
        <w:t xml:space="preserve">he terminology used to describe such </w:t>
      </w:r>
      <w:r w:rsidR="00702B6E" w:rsidRPr="00093A4D">
        <w:rPr>
          <w:szCs w:val="22"/>
        </w:rPr>
        <w:t>works</w:t>
      </w:r>
      <w:r w:rsidR="00073C6E" w:rsidRPr="00093A4D">
        <w:rPr>
          <w:szCs w:val="22"/>
        </w:rPr>
        <w:t xml:space="preserve"> differ</w:t>
      </w:r>
      <w:r w:rsidR="00AD49C7">
        <w:rPr>
          <w:szCs w:val="22"/>
        </w:rPr>
        <w:t>s</w:t>
      </w:r>
      <w:r w:rsidR="003842AB">
        <w:rPr>
          <w:szCs w:val="22"/>
        </w:rPr>
        <w:t>,</w:t>
      </w:r>
      <w:r w:rsidR="00073C6E" w:rsidRPr="00093A4D">
        <w:rPr>
          <w:szCs w:val="22"/>
        </w:rPr>
        <w:t xml:space="preserve"> </w:t>
      </w:r>
      <w:r w:rsidR="00580E86" w:rsidRPr="005216A3">
        <w:rPr>
          <w:szCs w:val="22"/>
        </w:rPr>
        <w:t xml:space="preserve">implying </w:t>
      </w:r>
      <w:r w:rsidR="00434EF1" w:rsidRPr="005216A3">
        <w:rPr>
          <w:szCs w:val="22"/>
        </w:rPr>
        <w:t>consequently</w:t>
      </w:r>
      <w:r w:rsidR="00CB566B" w:rsidRPr="005216A3">
        <w:rPr>
          <w:szCs w:val="22"/>
        </w:rPr>
        <w:t xml:space="preserve"> </w:t>
      </w:r>
      <w:r w:rsidR="00A11FC7" w:rsidRPr="005216A3">
        <w:rPr>
          <w:szCs w:val="22"/>
        </w:rPr>
        <w:t>the differences</w:t>
      </w:r>
      <w:r w:rsidR="00A11FC7" w:rsidRPr="00093A4D">
        <w:rPr>
          <w:szCs w:val="22"/>
        </w:rPr>
        <w:t xml:space="preserve"> in </w:t>
      </w:r>
      <w:r w:rsidR="00702B6E" w:rsidRPr="00093A4D">
        <w:rPr>
          <w:szCs w:val="22"/>
        </w:rPr>
        <w:t>the scope</w:t>
      </w:r>
      <w:r w:rsidR="00073C6E" w:rsidRPr="00093A4D">
        <w:rPr>
          <w:szCs w:val="22"/>
        </w:rPr>
        <w:t xml:space="preserve"> of the exception</w:t>
      </w:r>
      <w:r w:rsidR="003842AB">
        <w:rPr>
          <w:szCs w:val="22"/>
        </w:rPr>
        <w:t xml:space="preserve"> in various countries</w:t>
      </w:r>
      <w:r w:rsidR="00702B6E" w:rsidRPr="00093A4D">
        <w:rPr>
          <w:szCs w:val="22"/>
        </w:rPr>
        <w:t>.  For</w:t>
      </w:r>
      <w:r w:rsidR="00702B6E" w:rsidRPr="00A16DE8">
        <w:rPr>
          <w:szCs w:val="22"/>
        </w:rPr>
        <w:t xml:space="preserve"> example</w:t>
      </w:r>
      <w:r w:rsidR="00702B6E">
        <w:rPr>
          <w:szCs w:val="22"/>
        </w:rPr>
        <w:t xml:space="preserve">, </w:t>
      </w:r>
      <w:r w:rsidR="00093A4D">
        <w:rPr>
          <w:szCs w:val="22"/>
        </w:rPr>
        <w:t>the following wording</w:t>
      </w:r>
      <w:r w:rsidR="003B3A8F">
        <w:rPr>
          <w:szCs w:val="22"/>
        </w:rPr>
        <w:t>s</w:t>
      </w:r>
      <w:r w:rsidR="00093A4D">
        <w:rPr>
          <w:szCs w:val="22"/>
        </w:rPr>
        <w:t xml:space="preserve"> are</w:t>
      </w:r>
      <w:r w:rsidR="003B3A8F">
        <w:rPr>
          <w:szCs w:val="22"/>
        </w:rPr>
        <w:t xml:space="preserve"> found in </w:t>
      </w:r>
      <w:r w:rsidR="00093A4D">
        <w:rPr>
          <w:szCs w:val="22"/>
        </w:rPr>
        <w:t xml:space="preserve">various national laws: </w:t>
      </w:r>
      <w:r>
        <w:rPr>
          <w:szCs w:val="22"/>
        </w:rPr>
        <w:t>“necessary preparatory works</w:t>
      </w:r>
      <w:r w:rsidR="009438E1">
        <w:rPr>
          <w:szCs w:val="22"/>
        </w:rPr>
        <w:t>”,</w:t>
      </w:r>
      <w:r w:rsidR="000A3326">
        <w:rPr>
          <w:rStyle w:val="FootnoteReference"/>
          <w:szCs w:val="22"/>
        </w:rPr>
        <w:footnoteReference w:id="29"/>
      </w:r>
      <w:r w:rsidR="009438E1">
        <w:rPr>
          <w:szCs w:val="22"/>
        </w:rPr>
        <w:t xml:space="preserve"> </w:t>
      </w:r>
      <w:r>
        <w:rPr>
          <w:szCs w:val="22"/>
        </w:rPr>
        <w:t xml:space="preserve"> </w:t>
      </w:r>
      <w:r w:rsidR="009C6DE8" w:rsidRPr="00ED008B">
        <w:rPr>
          <w:szCs w:val="22"/>
        </w:rPr>
        <w:t>“</w:t>
      </w:r>
      <w:r w:rsidR="009C6DE8" w:rsidRPr="00215AA4">
        <w:rPr>
          <w:szCs w:val="22"/>
        </w:rPr>
        <w:t>necessary preparations”</w:t>
      </w:r>
      <w:r w:rsidR="009C6DE8" w:rsidRPr="00ED008B">
        <w:rPr>
          <w:vertAlign w:val="superscript"/>
        </w:rPr>
        <w:footnoteReference w:id="30"/>
      </w:r>
      <w:r w:rsidR="003842AB">
        <w:rPr>
          <w:szCs w:val="22"/>
        </w:rPr>
        <w:t>,</w:t>
      </w:r>
      <w:r w:rsidRPr="00A16DE8">
        <w:rPr>
          <w:szCs w:val="22"/>
        </w:rPr>
        <w:t xml:space="preserve"> “effective and serious preparations”</w:t>
      </w:r>
      <w:r w:rsidR="000A3326">
        <w:rPr>
          <w:rStyle w:val="FootnoteReference"/>
          <w:szCs w:val="22"/>
        </w:rPr>
        <w:footnoteReference w:id="31"/>
      </w:r>
      <w:r w:rsidR="003842AB">
        <w:rPr>
          <w:szCs w:val="22"/>
        </w:rPr>
        <w:t>,</w:t>
      </w:r>
      <w:r w:rsidR="0099623A">
        <w:rPr>
          <w:szCs w:val="22"/>
        </w:rPr>
        <w:t xml:space="preserve"> “real and serious preparations</w:t>
      </w:r>
      <w:r w:rsidR="00111ACB">
        <w:rPr>
          <w:szCs w:val="22"/>
        </w:rPr>
        <w:t>”</w:t>
      </w:r>
      <w:r w:rsidR="00111ACB">
        <w:rPr>
          <w:rStyle w:val="FootnoteReference"/>
          <w:szCs w:val="22"/>
        </w:rPr>
        <w:footnoteReference w:id="32"/>
      </w:r>
      <w:r w:rsidR="003842AB">
        <w:rPr>
          <w:szCs w:val="22"/>
        </w:rPr>
        <w:t xml:space="preserve">, </w:t>
      </w:r>
      <w:r w:rsidR="00EF6FE2">
        <w:rPr>
          <w:szCs w:val="22"/>
        </w:rPr>
        <w:t>“considerable and serious preparations”,</w:t>
      </w:r>
      <w:r w:rsidR="00EF6FE2">
        <w:rPr>
          <w:rStyle w:val="FootnoteReference"/>
          <w:szCs w:val="22"/>
        </w:rPr>
        <w:footnoteReference w:id="33"/>
      </w:r>
      <w:r w:rsidR="00EF6FE2">
        <w:rPr>
          <w:szCs w:val="22"/>
        </w:rPr>
        <w:t xml:space="preserve"> </w:t>
      </w:r>
      <w:r w:rsidR="000C2888">
        <w:rPr>
          <w:szCs w:val="22"/>
        </w:rPr>
        <w:lastRenderedPageBreak/>
        <w:t>“substanti</w:t>
      </w:r>
      <w:r w:rsidR="00A332A7">
        <w:rPr>
          <w:szCs w:val="22"/>
        </w:rPr>
        <w:t>al</w:t>
      </w:r>
      <w:r w:rsidR="000C2888">
        <w:rPr>
          <w:szCs w:val="22"/>
        </w:rPr>
        <w:t xml:space="preserve"> preparations”</w:t>
      </w:r>
      <w:r w:rsidR="000C2888">
        <w:rPr>
          <w:rStyle w:val="FootnoteReference"/>
          <w:szCs w:val="22"/>
        </w:rPr>
        <w:footnoteReference w:id="34"/>
      </w:r>
      <w:r w:rsidR="003842AB">
        <w:rPr>
          <w:szCs w:val="22"/>
        </w:rPr>
        <w:t xml:space="preserve">, </w:t>
      </w:r>
      <w:r w:rsidR="005A7633">
        <w:rPr>
          <w:szCs w:val="22"/>
        </w:rPr>
        <w:t>“necessary arrangements”</w:t>
      </w:r>
      <w:r w:rsidR="005A7633">
        <w:rPr>
          <w:rStyle w:val="FootnoteReference"/>
          <w:szCs w:val="22"/>
        </w:rPr>
        <w:footnoteReference w:id="35"/>
      </w:r>
      <w:r w:rsidR="003842AB">
        <w:rPr>
          <w:szCs w:val="22"/>
        </w:rPr>
        <w:t xml:space="preserve">, </w:t>
      </w:r>
      <w:r w:rsidR="00666ACA">
        <w:rPr>
          <w:szCs w:val="22"/>
        </w:rPr>
        <w:t>“actual preparations”</w:t>
      </w:r>
      <w:r w:rsidR="00666ACA">
        <w:rPr>
          <w:rStyle w:val="FootnoteReference"/>
          <w:szCs w:val="22"/>
        </w:rPr>
        <w:footnoteReference w:id="36"/>
      </w:r>
      <w:r w:rsidR="003842AB">
        <w:rPr>
          <w:szCs w:val="22"/>
        </w:rPr>
        <w:t xml:space="preserve">, </w:t>
      </w:r>
      <w:r w:rsidR="007771A2">
        <w:rPr>
          <w:szCs w:val="22"/>
        </w:rPr>
        <w:t xml:space="preserve">“preparing </w:t>
      </w:r>
      <w:r w:rsidR="005715AE">
        <w:rPr>
          <w:szCs w:val="22"/>
        </w:rPr>
        <w:br/>
      </w:r>
      <w:r w:rsidR="007771A2">
        <w:rPr>
          <w:szCs w:val="22"/>
        </w:rPr>
        <w:t>for the working of the invention”</w:t>
      </w:r>
      <w:r w:rsidR="007771A2">
        <w:rPr>
          <w:rStyle w:val="FootnoteReference"/>
          <w:szCs w:val="22"/>
        </w:rPr>
        <w:footnoteReference w:id="37"/>
      </w:r>
      <w:r w:rsidR="003842AB">
        <w:rPr>
          <w:szCs w:val="22"/>
        </w:rPr>
        <w:t>,</w:t>
      </w:r>
      <w:r w:rsidR="003B3A8F">
        <w:rPr>
          <w:szCs w:val="22"/>
        </w:rPr>
        <w:t xml:space="preserve"> and</w:t>
      </w:r>
      <w:r w:rsidR="003842AB">
        <w:rPr>
          <w:szCs w:val="22"/>
        </w:rPr>
        <w:t xml:space="preserve"> </w:t>
      </w:r>
      <w:r w:rsidR="006E3781">
        <w:rPr>
          <w:szCs w:val="22"/>
        </w:rPr>
        <w:t>“required preparation”</w:t>
      </w:r>
      <w:r w:rsidR="006E3781">
        <w:rPr>
          <w:rStyle w:val="FootnoteReference"/>
          <w:szCs w:val="22"/>
        </w:rPr>
        <w:footnoteReference w:id="38"/>
      </w:r>
      <w:r w:rsidR="005826E9">
        <w:rPr>
          <w:szCs w:val="22"/>
        </w:rPr>
        <w:t xml:space="preserve"> </w:t>
      </w:r>
      <w:r w:rsidR="005826E9" w:rsidRPr="00AE2CE5">
        <w:rPr>
          <w:szCs w:val="22"/>
        </w:rPr>
        <w:t>as defined in the applicable laws</w:t>
      </w:r>
      <w:r w:rsidR="0007053D" w:rsidRPr="00AE2CE5">
        <w:rPr>
          <w:szCs w:val="22"/>
        </w:rPr>
        <w:t>.</w:t>
      </w:r>
      <w:r w:rsidR="0007053D">
        <w:rPr>
          <w:szCs w:val="22"/>
        </w:rPr>
        <w:t xml:space="preserve"> </w:t>
      </w:r>
      <w:r w:rsidR="00841E88">
        <w:rPr>
          <w:szCs w:val="22"/>
        </w:rPr>
        <w:t xml:space="preserve"> </w:t>
      </w:r>
      <w:r w:rsidR="0007053D">
        <w:rPr>
          <w:szCs w:val="22"/>
        </w:rPr>
        <w:t>In</w:t>
      </w:r>
      <w:r w:rsidR="003B3A8F">
        <w:rPr>
          <w:szCs w:val="22"/>
        </w:rPr>
        <w:t xml:space="preserve"> this regard, in</w:t>
      </w:r>
      <w:r>
        <w:rPr>
          <w:szCs w:val="22"/>
        </w:rPr>
        <w:t xml:space="preserve"> Australia</w:t>
      </w:r>
      <w:r w:rsidR="003B3A8F">
        <w:rPr>
          <w:szCs w:val="22"/>
        </w:rPr>
        <w:t>,</w:t>
      </w:r>
      <w:r>
        <w:rPr>
          <w:szCs w:val="22"/>
        </w:rPr>
        <w:t xml:space="preserve"> t</w:t>
      </w:r>
      <w:r w:rsidRPr="0025595E">
        <w:rPr>
          <w:szCs w:val="22"/>
        </w:rPr>
        <w:t xml:space="preserve">he prior use exception </w:t>
      </w:r>
      <w:r w:rsidR="0060320C" w:rsidRPr="0025595E">
        <w:rPr>
          <w:szCs w:val="22"/>
        </w:rPr>
        <w:t>also covered</w:t>
      </w:r>
      <w:r w:rsidRPr="0025595E">
        <w:rPr>
          <w:szCs w:val="22"/>
        </w:rPr>
        <w:t xml:space="preserve"> the activity of a person</w:t>
      </w:r>
      <w:r w:rsidR="000A3326" w:rsidRPr="0025595E">
        <w:rPr>
          <w:szCs w:val="22"/>
        </w:rPr>
        <w:t xml:space="preserve"> who </w:t>
      </w:r>
      <w:r w:rsidR="005715AE">
        <w:rPr>
          <w:szCs w:val="22"/>
        </w:rPr>
        <w:br/>
      </w:r>
      <w:r w:rsidR="000A3326" w:rsidRPr="0025595E">
        <w:rPr>
          <w:szCs w:val="22"/>
        </w:rPr>
        <w:t>“</w:t>
      </w:r>
      <w:r w:rsidRPr="0025595E">
        <w:rPr>
          <w:szCs w:val="22"/>
        </w:rPr>
        <w:t>had taken definite steps (contractually or otherwise)</w:t>
      </w:r>
      <w:r w:rsidR="00F671FB" w:rsidRPr="0025595E">
        <w:rPr>
          <w:szCs w:val="22"/>
        </w:rPr>
        <w:t>”</w:t>
      </w:r>
      <w:r w:rsidRPr="0025595E">
        <w:rPr>
          <w:szCs w:val="22"/>
        </w:rPr>
        <w:t xml:space="preserve"> to exploit the product, method or process in the patent area.</w:t>
      </w:r>
      <w:r w:rsidRPr="0025595E">
        <w:rPr>
          <w:rStyle w:val="FootnoteReference"/>
          <w:szCs w:val="22"/>
        </w:rPr>
        <w:footnoteReference w:id="39"/>
      </w:r>
      <w:r w:rsidRPr="0025595E">
        <w:rPr>
          <w:rStyle w:val="FootnoteReference"/>
        </w:rPr>
        <w:t xml:space="preserve"> </w:t>
      </w:r>
      <w:r w:rsidRPr="0025595E">
        <w:rPr>
          <w:szCs w:val="22"/>
        </w:rPr>
        <w:t xml:space="preserve"> </w:t>
      </w:r>
      <w:r w:rsidR="005A7633" w:rsidRPr="0025595E">
        <w:rPr>
          <w:szCs w:val="22"/>
        </w:rPr>
        <w:t xml:space="preserve"> </w:t>
      </w:r>
      <w:r w:rsidR="0060320C" w:rsidRPr="0025595E">
        <w:rPr>
          <w:szCs w:val="22"/>
        </w:rPr>
        <w:t xml:space="preserve">In the Netherlands, </w:t>
      </w:r>
      <w:r w:rsidR="0025595E">
        <w:rPr>
          <w:szCs w:val="22"/>
        </w:rPr>
        <w:t>any party who</w:t>
      </w:r>
      <w:r w:rsidR="005715AE">
        <w:rPr>
          <w:szCs w:val="22"/>
        </w:rPr>
        <w:t>,</w:t>
      </w:r>
      <w:r w:rsidR="00456B4D" w:rsidRPr="0025595E">
        <w:rPr>
          <w:szCs w:val="22"/>
        </w:rPr>
        <w:t xml:space="preserve"> </w:t>
      </w:r>
      <w:r w:rsidR="003B3A8F" w:rsidRPr="008051A1">
        <w:rPr>
          <w:i/>
          <w:iCs/>
          <w:szCs w:val="22"/>
        </w:rPr>
        <w:t>inter alia</w:t>
      </w:r>
      <w:r w:rsidR="005715AE">
        <w:rPr>
          <w:i/>
          <w:iCs/>
          <w:szCs w:val="22"/>
        </w:rPr>
        <w:t>,</w:t>
      </w:r>
      <w:r w:rsidR="003B3A8F">
        <w:rPr>
          <w:szCs w:val="22"/>
        </w:rPr>
        <w:t xml:space="preserve"> </w:t>
      </w:r>
      <w:r w:rsidR="00456B4D" w:rsidRPr="0025595E">
        <w:rPr>
          <w:szCs w:val="22"/>
        </w:rPr>
        <w:t>“commenced implementation of his intention to manufacture or apply, in or for his business</w:t>
      </w:r>
      <w:r w:rsidR="001C7C1D">
        <w:rPr>
          <w:szCs w:val="22"/>
        </w:rPr>
        <w:t>”</w:t>
      </w:r>
      <w:r w:rsidR="00D64748">
        <w:rPr>
          <w:szCs w:val="22"/>
        </w:rPr>
        <w:t xml:space="preserve"> </w:t>
      </w:r>
      <w:r w:rsidR="001331EF">
        <w:rPr>
          <w:szCs w:val="22"/>
        </w:rPr>
        <w:t xml:space="preserve">is covered by </w:t>
      </w:r>
      <w:r w:rsidR="00014308">
        <w:rPr>
          <w:szCs w:val="22"/>
        </w:rPr>
        <w:t>such</w:t>
      </w:r>
      <w:r w:rsidR="001331EF">
        <w:rPr>
          <w:szCs w:val="22"/>
        </w:rPr>
        <w:t xml:space="preserve"> exception.</w:t>
      </w:r>
      <w:r w:rsidR="005826E9" w:rsidRPr="0025595E">
        <w:rPr>
          <w:rStyle w:val="FootnoteReference"/>
          <w:szCs w:val="22"/>
        </w:rPr>
        <w:footnoteReference w:id="40"/>
      </w:r>
      <w:r w:rsidR="00456B4D">
        <w:rPr>
          <w:szCs w:val="22"/>
        </w:rPr>
        <w:t xml:space="preserve"> </w:t>
      </w:r>
    </w:p>
    <w:p w14:paraId="419AFC31" w14:textId="77777777" w:rsidR="00AB3860" w:rsidRDefault="00AB3860" w:rsidP="00EA7415">
      <w:pPr>
        <w:rPr>
          <w:szCs w:val="22"/>
        </w:rPr>
      </w:pPr>
    </w:p>
    <w:p w14:paraId="71C9B3AC" w14:textId="77777777" w:rsidR="0073016F" w:rsidRPr="0073016F" w:rsidRDefault="0073016F" w:rsidP="00EA7415">
      <w:pPr>
        <w:rPr>
          <w:i/>
          <w:szCs w:val="22"/>
        </w:rPr>
      </w:pPr>
      <w:r w:rsidRPr="0073016F">
        <w:rPr>
          <w:i/>
          <w:szCs w:val="22"/>
        </w:rPr>
        <w:t>Good faith</w:t>
      </w:r>
      <w:r w:rsidR="003339C0">
        <w:rPr>
          <w:i/>
          <w:szCs w:val="22"/>
        </w:rPr>
        <w:t xml:space="preserve"> use</w:t>
      </w:r>
      <w:r w:rsidRPr="0073016F">
        <w:rPr>
          <w:i/>
          <w:szCs w:val="22"/>
        </w:rPr>
        <w:t xml:space="preserve"> </w:t>
      </w:r>
    </w:p>
    <w:p w14:paraId="61FEBF73" w14:textId="77777777" w:rsidR="0073016F" w:rsidRDefault="0073016F" w:rsidP="00EA7415">
      <w:pPr>
        <w:rPr>
          <w:szCs w:val="22"/>
        </w:rPr>
      </w:pPr>
    </w:p>
    <w:p w14:paraId="05038343" w14:textId="2708AE3A" w:rsidR="00016BAC" w:rsidRDefault="00AB3860" w:rsidP="00EA7415">
      <w:pPr>
        <w:rPr>
          <w:szCs w:val="22"/>
        </w:rPr>
      </w:pPr>
      <w:r>
        <w:rPr>
          <w:szCs w:val="22"/>
        </w:rPr>
        <w:fldChar w:fldCharType="begin"/>
      </w:r>
      <w:r>
        <w:rPr>
          <w:szCs w:val="22"/>
        </w:rPr>
        <w:instrText xml:space="preserve"> AUTONUM  </w:instrText>
      </w:r>
      <w:r>
        <w:rPr>
          <w:szCs w:val="22"/>
        </w:rPr>
        <w:fldChar w:fldCharType="end"/>
      </w:r>
      <w:r>
        <w:rPr>
          <w:szCs w:val="22"/>
        </w:rPr>
        <w:tab/>
        <w:t xml:space="preserve">Further, </w:t>
      </w:r>
      <w:r w:rsidR="00920663">
        <w:rPr>
          <w:szCs w:val="22"/>
        </w:rPr>
        <w:t>many Member States’ applicable laws expressly require that</w:t>
      </w:r>
      <w:r w:rsidR="0023219D">
        <w:rPr>
          <w:szCs w:val="22"/>
        </w:rPr>
        <w:t xml:space="preserve"> the activity of the </w:t>
      </w:r>
      <w:r w:rsidR="00920663">
        <w:rPr>
          <w:szCs w:val="22"/>
        </w:rPr>
        <w:t xml:space="preserve"> prior use</w:t>
      </w:r>
      <w:r w:rsidR="0023219D">
        <w:rPr>
          <w:szCs w:val="22"/>
        </w:rPr>
        <w:t xml:space="preserve">r has been carried out in </w:t>
      </w:r>
      <w:r w:rsidR="00920663">
        <w:rPr>
          <w:szCs w:val="22"/>
        </w:rPr>
        <w:t>“good faith” or “</w:t>
      </w:r>
      <w:r w:rsidR="00920663" w:rsidRPr="00920663">
        <w:rPr>
          <w:i/>
          <w:szCs w:val="22"/>
        </w:rPr>
        <w:t>bona fide</w:t>
      </w:r>
      <w:r w:rsidR="00920663">
        <w:rPr>
          <w:szCs w:val="22"/>
        </w:rPr>
        <w:t xml:space="preserve">” to </w:t>
      </w:r>
      <w:r w:rsidR="006F26D2">
        <w:rPr>
          <w:szCs w:val="22"/>
        </w:rPr>
        <w:t>fall</w:t>
      </w:r>
      <w:r w:rsidR="00920663">
        <w:rPr>
          <w:szCs w:val="22"/>
        </w:rPr>
        <w:t xml:space="preserve"> within the scope of the exception.</w:t>
      </w:r>
      <w:r w:rsidR="00920663">
        <w:rPr>
          <w:rStyle w:val="FootnoteReference"/>
          <w:szCs w:val="22"/>
        </w:rPr>
        <w:footnoteReference w:id="41"/>
      </w:r>
      <w:r w:rsidR="00920663">
        <w:rPr>
          <w:szCs w:val="22"/>
        </w:rPr>
        <w:t xml:space="preserve">  </w:t>
      </w:r>
      <w:r w:rsidR="00EF5CF9">
        <w:rPr>
          <w:szCs w:val="22"/>
        </w:rPr>
        <w:t>The response from Spain explained that good faith was required of the prior user, meaning that “</w:t>
      </w:r>
      <w:r w:rsidR="00EF5CF9" w:rsidRPr="003A4022">
        <w:rPr>
          <w:szCs w:val="22"/>
        </w:rPr>
        <w:t>the beneficiary of the right of prior use must be a third party who carried out the same invention as the patent owner prior to</w:t>
      </w:r>
      <w:r w:rsidR="00EE7262">
        <w:rPr>
          <w:szCs w:val="22"/>
        </w:rPr>
        <w:t xml:space="preserve"> the patent owner, with no link</w:t>
      </w:r>
      <w:r w:rsidR="00EF5CF9" w:rsidRPr="003A4022">
        <w:rPr>
          <w:szCs w:val="22"/>
        </w:rPr>
        <w:t xml:space="preserve"> or contact with the patent owner and ha</w:t>
      </w:r>
      <w:r w:rsidR="00110B4C">
        <w:rPr>
          <w:szCs w:val="22"/>
        </w:rPr>
        <w:t xml:space="preserve">ving kept the invention secret.  </w:t>
      </w:r>
      <w:r w:rsidR="00EF5CF9" w:rsidRPr="003A4022">
        <w:rPr>
          <w:szCs w:val="22"/>
        </w:rPr>
        <w:t xml:space="preserve">There shall be no good faith where the invention had been misappropriated or knowledge of the </w:t>
      </w:r>
      <w:r w:rsidR="00EE7262">
        <w:rPr>
          <w:szCs w:val="22"/>
        </w:rPr>
        <w:t xml:space="preserve">[…] </w:t>
      </w:r>
      <w:r w:rsidR="00EF5CF9" w:rsidRPr="003A4022">
        <w:rPr>
          <w:szCs w:val="22"/>
        </w:rPr>
        <w:t>inventor had been acquired unfairly.</w:t>
      </w:r>
      <w:r w:rsidR="00EF5CF9">
        <w:rPr>
          <w:szCs w:val="22"/>
        </w:rPr>
        <w:t>”  In the response from Poland</w:t>
      </w:r>
      <w:r w:rsidR="005715AE">
        <w:rPr>
          <w:szCs w:val="22"/>
        </w:rPr>
        <w:t>,</w:t>
      </w:r>
      <w:r w:rsidR="00EF5CF9">
        <w:rPr>
          <w:szCs w:val="22"/>
        </w:rPr>
        <w:t xml:space="preserve"> it was stated that “</w:t>
      </w:r>
      <w:r w:rsidR="00EF5CF9" w:rsidRPr="003A4022">
        <w:rPr>
          <w:szCs w:val="22"/>
        </w:rPr>
        <w:t>good faith of the user comes from either his developing of the same invention independently of the holder of t</w:t>
      </w:r>
      <w:r w:rsidR="00EE7262">
        <w:rPr>
          <w:szCs w:val="22"/>
        </w:rPr>
        <w:t>he patent, or the user’s belief</w:t>
      </w:r>
      <w:r w:rsidR="00EF5CF9" w:rsidRPr="003A4022">
        <w:rPr>
          <w:szCs w:val="22"/>
        </w:rPr>
        <w:t xml:space="preserve"> that he can freely use a given technical solution</w:t>
      </w:r>
      <w:r w:rsidR="002B223B">
        <w:rPr>
          <w:szCs w:val="22"/>
        </w:rPr>
        <w:t xml:space="preserve">.”  </w:t>
      </w:r>
      <w:r w:rsidR="006E5508">
        <w:rPr>
          <w:szCs w:val="22"/>
        </w:rPr>
        <w:t>The response f</w:t>
      </w:r>
      <w:r w:rsidR="002B223B">
        <w:rPr>
          <w:szCs w:val="22"/>
        </w:rPr>
        <w:t>r</w:t>
      </w:r>
      <w:r w:rsidR="006E5508">
        <w:rPr>
          <w:szCs w:val="22"/>
        </w:rPr>
        <w:t>o</w:t>
      </w:r>
      <w:r w:rsidR="002B223B">
        <w:rPr>
          <w:szCs w:val="22"/>
        </w:rPr>
        <w:t>m the Russian Federation explained that “</w:t>
      </w:r>
      <w:r w:rsidR="002B223B" w:rsidRPr="003A4022">
        <w:rPr>
          <w:szCs w:val="22"/>
        </w:rPr>
        <w:t xml:space="preserve">any use must be </w:t>
      </w:r>
      <w:r w:rsidR="002B223B" w:rsidRPr="002B223B">
        <w:rPr>
          <w:i/>
          <w:szCs w:val="22"/>
        </w:rPr>
        <w:t>bona fide</w:t>
      </w:r>
      <w:r w:rsidR="002B223B" w:rsidRPr="003A4022">
        <w:rPr>
          <w:szCs w:val="22"/>
        </w:rPr>
        <w:t>, i.e.</w:t>
      </w:r>
      <w:r w:rsidR="006E5508">
        <w:rPr>
          <w:szCs w:val="22"/>
        </w:rPr>
        <w:t>,</w:t>
      </w:r>
      <w:r w:rsidR="002B223B" w:rsidRPr="003A4022">
        <w:rPr>
          <w:szCs w:val="22"/>
        </w:rPr>
        <w:t xml:space="preserve"> the person who used the technical solution neither knew, nor should have known, about the essential features of the claimed protected solution</w:t>
      </w:r>
      <w:r w:rsidR="002B223B">
        <w:rPr>
          <w:szCs w:val="22"/>
        </w:rPr>
        <w:t>.”</w:t>
      </w:r>
      <w:r w:rsidR="005715AE">
        <w:rPr>
          <w:szCs w:val="22"/>
        </w:rPr>
        <w:t xml:space="preserve"> </w:t>
      </w:r>
      <w:r w:rsidR="002B223B">
        <w:rPr>
          <w:szCs w:val="22"/>
        </w:rPr>
        <w:t xml:space="preserve"> </w:t>
      </w:r>
      <w:r w:rsidR="006E5508">
        <w:rPr>
          <w:szCs w:val="22"/>
        </w:rPr>
        <w:t xml:space="preserve">The </w:t>
      </w:r>
      <w:r w:rsidR="002B223B" w:rsidRPr="003A4022">
        <w:rPr>
          <w:szCs w:val="22"/>
        </w:rPr>
        <w:t>Japanese Patent Act</w:t>
      </w:r>
      <w:r w:rsidR="002B223B">
        <w:rPr>
          <w:szCs w:val="22"/>
        </w:rPr>
        <w:t xml:space="preserve"> also</w:t>
      </w:r>
      <w:r w:rsidR="002B223B" w:rsidRPr="003A4022">
        <w:rPr>
          <w:szCs w:val="22"/>
        </w:rPr>
        <w:t xml:space="preserve"> stipulates that a </w:t>
      </w:r>
      <w:r w:rsidR="002B223B">
        <w:rPr>
          <w:szCs w:val="22"/>
        </w:rPr>
        <w:t>prior user should be the one “</w:t>
      </w:r>
      <w:r w:rsidR="002B223B" w:rsidRPr="003A4022">
        <w:rPr>
          <w:szCs w:val="22"/>
        </w:rPr>
        <w:t>without knowledge of the content of an invention claimed in a patent application</w:t>
      </w:r>
      <w:r w:rsidR="002B223B">
        <w:rPr>
          <w:szCs w:val="22"/>
        </w:rPr>
        <w:t xml:space="preserve">”. </w:t>
      </w:r>
    </w:p>
    <w:p w14:paraId="72CF44B4" w14:textId="77777777" w:rsidR="00016BAC" w:rsidRDefault="00016BAC" w:rsidP="00EA7415">
      <w:pPr>
        <w:rPr>
          <w:szCs w:val="22"/>
        </w:rPr>
      </w:pPr>
    </w:p>
    <w:p w14:paraId="148BA368" w14:textId="77777777" w:rsidR="00203187" w:rsidRDefault="00016BAC" w:rsidP="00016BAC">
      <w:pPr>
        <w:rPr>
          <w:szCs w:val="22"/>
        </w:rPr>
      </w:pPr>
      <w:r>
        <w:rPr>
          <w:szCs w:val="22"/>
        </w:rPr>
        <w:fldChar w:fldCharType="begin"/>
      </w:r>
      <w:r>
        <w:rPr>
          <w:szCs w:val="22"/>
        </w:rPr>
        <w:instrText xml:space="preserve"> AUTONUM  </w:instrText>
      </w:r>
      <w:r>
        <w:rPr>
          <w:szCs w:val="22"/>
        </w:rPr>
        <w:fldChar w:fldCharType="end"/>
      </w:r>
      <w:r>
        <w:rPr>
          <w:szCs w:val="22"/>
        </w:rPr>
        <w:tab/>
      </w:r>
      <w:r w:rsidR="00DA57A8">
        <w:rPr>
          <w:szCs w:val="22"/>
        </w:rPr>
        <w:t>In addition, r</w:t>
      </w:r>
      <w:r w:rsidR="0031282C">
        <w:rPr>
          <w:szCs w:val="22"/>
        </w:rPr>
        <w:t>equiring</w:t>
      </w:r>
      <w:r w:rsidR="00610EB5">
        <w:rPr>
          <w:szCs w:val="22"/>
        </w:rPr>
        <w:t xml:space="preserve"> the </w:t>
      </w:r>
      <w:r w:rsidR="00610EB5" w:rsidRPr="00A16DE8">
        <w:rPr>
          <w:szCs w:val="22"/>
        </w:rPr>
        <w:t>independent n</w:t>
      </w:r>
      <w:r w:rsidR="00610EB5">
        <w:rPr>
          <w:szCs w:val="22"/>
        </w:rPr>
        <w:t xml:space="preserve">ature of the prior user’s creativity, the applicable laws of </w:t>
      </w:r>
      <w:r w:rsidR="0031282C">
        <w:rPr>
          <w:szCs w:val="22"/>
        </w:rPr>
        <w:t xml:space="preserve">some </w:t>
      </w:r>
      <w:r w:rsidR="006E5508">
        <w:rPr>
          <w:szCs w:val="22"/>
        </w:rPr>
        <w:t>Member States expressly provide</w:t>
      </w:r>
      <w:r w:rsidR="00610EB5" w:rsidRPr="00462E3D">
        <w:rPr>
          <w:szCs w:val="22"/>
        </w:rPr>
        <w:t xml:space="preserve"> </w:t>
      </w:r>
      <w:r w:rsidR="00610EB5">
        <w:rPr>
          <w:szCs w:val="22"/>
        </w:rPr>
        <w:t xml:space="preserve">that the </w:t>
      </w:r>
      <w:r w:rsidR="00610EB5" w:rsidRPr="00462E3D">
        <w:rPr>
          <w:szCs w:val="22"/>
        </w:rPr>
        <w:t>exception would not apply</w:t>
      </w:r>
      <w:r w:rsidR="00610EB5">
        <w:rPr>
          <w:szCs w:val="22"/>
        </w:rPr>
        <w:t xml:space="preserve"> if the</w:t>
      </w:r>
      <w:r w:rsidR="00610EB5" w:rsidRPr="00462E3D">
        <w:rPr>
          <w:iCs/>
          <w:szCs w:val="22"/>
        </w:rPr>
        <w:t xml:space="preserve"> knowledge about the patented invention was obtained fr</w:t>
      </w:r>
      <w:r w:rsidR="00610EB5">
        <w:rPr>
          <w:iCs/>
          <w:szCs w:val="22"/>
        </w:rPr>
        <w:t>om the applicant or patentee.</w:t>
      </w:r>
      <w:r>
        <w:rPr>
          <w:iCs/>
          <w:szCs w:val="22"/>
        </w:rPr>
        <w:t xml:space="preserve">  </w:t>
      </w:r>
      <w:r w:rsidR="00110B4C" w:rsidRPr="00110B4C">
        <w:rPr>
          <w:szCs w:val="22"/>
        </w:rPr>
        <w:t xml:space="preserve">For example, in </w:t>
      </w:r>
      <w:r w:rsidR="009E5495">
        <w:rPr>
          <w:szCs w:val="22"/>
        </w:rPr>
        <w:t xml:space="preserve">the </w:t>
      </w:r>
      <w:r w:rsidR="00110B4C" w:rsidRPr="00110B4C">
        <w:rPr>
          <w:szCs w:val="22"/>
        </w:rPr>
        <w:t>Netherlands</w:t>
      </w:r>
      <w:r w:rsidR="009E5495">
        <w:rPr>
          <w:szCs w:val="22"/>
        </w:rPr>
        <w:t>,</w:t>
      </w:r>
      <w:r w:rsidR="00110B4C" w:rsidRPr="00110B4C">
        <w:rPr>
          <w:szCs w:val="22"/>
        </w:rPr>
        <w:t xml:space="preserve"> the prior user shall “continue to have the right to perform the acts referred to in art. 53(1) NPA 1995 that right being based on prior use, unless his knowledge was obtained from matter already made or applied by the applicant or from the applicant’s descriptions, drawings or models”.  In the United States of America</w:t>
      </w:r>
      <w:r w:rsidR="00935DD0">
        <w:rPr>
          <w:szCs w:val="22"/>
        </w:rPr>
        <w:t>,</w:t>
      </w:r>
      <w:r w:rsidR="00110B4C" w:rsidRPr="00110B4C">
        <w:rPr>
          <w:szCs w:val="22"/>
        </w:rPr>
        <w:t xml:space="preserve"> “A person may not assert a defense under this section if the subject matter on which the defense is based was derived from the patentee or persons in </w:t>
      </w:r>
      <w:proofErr w:type="spellStart"/>
      <w:r w:rsidR="00110B4C" w:rsidRPr="00110B4C">
        <w:rPr>
          <w:szCs w:val="22"/>
        </w:rPr>
        <w:t>privity</w:t>
      </w:r>
      <w:proofErr w:type="spellEnd"/>
      <w:r w:rsidR="00DE2E25">
        <w:rPr>
          <w:szCs w:val="22"/>
        </w:rPr>
        <w:t xml:space="preserve"> </w:t>
      </w:r>
      <w:r w:rsidR="00110B4C" w:rsidRPr="00110B4C">
        <w:rPr>
          <w:szCs w:val="22"/>
        </w:rPr>
        <w:t xml:space="preserve">with the patentee”.  </w:t>
      </w:r>
    </w:p>
    <w:p w14:paraId="6C1BB052" w14:textId="77777777" w:rsidR="006E06FC" w:rsidRPr="00016BAC" w:rsidRDefault="006E06FC" w:rsidP="00016BAC">
      <w:pPr>
        <w:rPr>
          <w:iCs/>
          <w:szCs w:val="22"/>
        </w:rPr>
      </w:pPr>
    </w:p>
    <w:p w14:paraId="77B81572" w14:textId="77777777" w:rsidR="006E06FC" w:rsidRDefault="006E06FC" w:rsidP="006E06FC">
      <w:pPr>
        <w:rPr>
          <w:szCs w:val="22"/>
        </w:rPr>
      </w:pPr>
      <w:r>
        <w:rPr>
          <w:szCs w:val="22"/>
        </w:rPr>
        <w:fldChar w:fldCharType="begin"/>
      </w:r>
      <w:r>
        <w:rPr>
          <w:szCs w:val="22"/>
        </w:rPr>
        <w:instrText xml:space="preserve"> AUTONUM  </w:instrText>
      </w:r>
      <w:r>
        <w:rPr>
          <w:szCs w:val="22"/>
        </w:rPr>
        <w:fldChar w:fldCharType="end"/>
      </w:r>
      <w:r>
        <w:rPr>
          <w:szCs w:val="22"/>
        </w:rPr>
        <w:tab/>
        <w:t>Further, in Sweden</w:t>
      </w:r>
      <w:r w:rsidRPr="003A4022">
        <w:rPr>
          <w:szCs w:val="22"/>
        </w:rPr>
        <w:t>,</w:t>
      </w:r>
      <w:r>
        <w:rPr>
          <w:szCs w:val="22"/>
        </w:rPr>
        <w:t xml:space="preserve"> </w:t>
      </w:r>
      <w:r w:rsidRPr="00A16DE8">
        <w:rPr>
          <w:szCs w:val="22"/>
        </w:rPr>
        <w:t xml:space="preserve">the prior use exception </w:t>
      </w:r>
      <w:r>
        <w:rPr>
          <w:szCs w:val="22"/>
        </w:rPr>
        <w:t xml:space="preserve">exists </w:t>
      </w:r>
      <w:r w:rsidRPr="00A16DE8">
        <w:rPr>
          <w:szCs w:val="22"/>
        </w:rPr>
        <w:t>provided</w:t>
      </w:r>
      <w:r>
        <w:rPr>
          <w:szCs w:val="22"/>
        </w:rPr>
        <w:t xml:space="preserve"> “</w:t>
      </w:r>
      <w:r w:rsidRPr="003A4022">
        <w:rPr>
          <w:szCs w:val="22"/>
        </w:rPr>
        <w:t>the exploitation did not constitute an evident abuse in relation to the applicant or his predecessor in title</w:t>
      </w:r>
      <w:r>
        <w:rPr>
          <w:szCs w:val="22"/>
        </w:rPr>
        <w:t xml:space="preserve">.”  In Portugal, </w:t>
      </w:r>
      <w:r>
        <w:rPr>
          <w:szCs w:val="22"/>
        </w:rPr>
        <w:br/>
      </w:r>
      <w:r>
        <w:rPr>
          <w:szCs w:val="22"/>
        </w:rPr>
        <w:lastRenderedPageBreak/>
        <w:t>it was explained that the exception would not apply “</w:t>
      </w:r>
      <w:r w:rsidRPr="003A4022">
        <w:rPr>
          <w:szCs w:val="22"/>
        </w:rPr>
        <w:t>if the knowledge is the result of unlawful or im</w:t>
      </w:r>
      <w:r>
        <w:rPr>
          <w:szCs w:val="22"/>
        </w:rPr>
        <w:t>moral acts against the patentee”.</w:t>
      </w:r>
    </w:p>
    <w:p w14:paraId="4C08838E" w14:textId="77777777" w:rsidR="00203187" w:rsidRDefault="00203187" w:rsidP="005F6B18">
      <w:pPr>
        <w:shd w:val="clear" w:color="auto" w:fill="FFFFFF"/>
        <w:rPr>
          <w:szCs w:val="22"/>
        </w:rPr>
      </w:pPr>
    </w:p>
    <w:p w14:paraId="7DABAFF4" w14:textId="77777777" w:rsidR="00991EB4" w:rsidRPr="00991EB4" w:rsidRDefault="00991EB4" w:rsidP="005F6B18">
      <w:pPr>
        <w:shd w:val="clear" w:color="auto" w:fill="FFFFFF"/>
        <w:rPr>
          <w:i/>
          <w:szCs w:val="22"/>
        </w:rPr>
      </w:pPr>
      <w:r w:rsidRPr="00991EB4">
        <w:rPr>
          <w:i/>
          <w:szCs w:val="22"/>
        </w:rPr>
        <w:t>Prior use exception and grace period</w:t>
      </w:r>
    </w:p>
    <w:p w14:paraId="3E8A2DE2" w14:textId="77777777" w:rsidR="00991EB4" w:rsidRDefault="00991EB4" w:rsidP="005F6B18">
      <w:pPr>
        <w:shd w:val="clear" w:color="auto" w:fill="FFFFFF"/>
        <w:rPr>
          <w:szCs w:val="22"/>
        </w:rPr>
      </w:pPr>
    </w:p>
    <w:p w14:paraId="272BDF9A" w14:textId="77777777" w:rsidR="006E06FC" w:rsidRDefault="00203187" w:rsidP="005F6B18">
      <w:pPr>
        <w:shd w:val="clear" w:color="auto" w:fill="FFFFFF"/>
        <w:rPr>
          <w:szCs w:val="22"/>
        </w:rPr>
      </w:pPr>
      <w:r>
        <w:rPr>
          <w:szCs w:val="22"/>
        </w:rPr>
        <w:fldChar w:fldCharType="begin"/>
      </w:r>
      <w:r>
        <w:rPr>
          <w:szCs w:val="22"/>
        </w:rPr>
        <w:instrText xml:space="preserve"> AUTONUM  </w:instrText>
      </w:r>
      <w:r>
        <w:rPr>
          <w:szCs w:val="22"/>
        </w:rPr>
        <w:fldChar w:fldCharType="end"/>
      </w:r>
      <w:r>
        <w:rPr>
          <w:szCs w:val="22"/>
        </w:rPr>
        <w:tab/>
      </w:r>
      <w:r w:rsidR="00991EB4">
        <w:rPr>
          <w:szCs w:val="22"/>
        </w:rPr>
        <w:t>In the</w:t>
      </w:r>
      <w:r w:rsidR="00DA57A8">
        <w:rPr>
          <w:szCs w:val="22"/>
        </w:rPr>
        <w:t xml:space="preserve"> context</w:t>
      </w:r>
      <w:r w:rsidR="00991EB4">
        <w:rPr>
          <w:szCs w:val="22"/>
        </w:rPr>
        <w:t xml:space="preserve"> of the above</w:t>
      </w:r>
      <w:r w:rsidR="00DA57A8">
        <w:rPr>
          <w:szCs w:val="22"/>
        </w:rPr>
        <w:t>, some national laws</w:t>
      </w:r>
      <w:r w:rsidR="00ED180A">
        <w:rPr>
          <w:szCs w:val="22"/>
        </w:rPr>
        <w:t xml:space="preserve"> expressly</w:t>
      </w:r>
      <w:r w:rsidR="00DA57A8">
        <w:rPr>
          <w:szCs w:val="22"/>
        </w:rPr>
        <w:t xml:space="preserve"> provided details on the relationship of the prior use exception and the grace period</w:t>
      </w:r>
      <w:r w:rsidR="00967B46">
        <w:rPr>
          <w:szCs w:val="22"/>
        </w:rPr>
        <w:t xml:space="preserve"> provisions,</w:t>
      </w:r>
      <w:r w:rsidR="00295EB4">
        <w:rPr>
          <w:rStyle w:val="FootnoteReference"/>
          <w:szCs w:val="22"/>
        </w:rPr>
        <w:footnoteReference w:id="42"/>
      </w:r>
      <w:r w:rsidR="00967B46">
        <w:rPr>
          <w:szCs w:val="22"/>
        </w:rPr>
        <w:t xml:space="preserve"> where they exist. </w:t>
      </w:r>
      <w:r w:rsidR="00DA57A8">
        <w:rPr>
          <w:szCs w:val="22"/>
        </w:rPr>
        <w:t xml:space="preserve"> </w:t>
      </w:r>
      <w:r w:rsidR="00967B46">
        <w:rPr>
          <w:szCs w:val="22"/>
        </w:rPr>
        <w:t xml:space="preserve">For example, while </w:t>
      </w:r>
      <w:r w:rsidR="00110B4C" w:rsidRPr="00110B4C">
        <w:rPr>
          <w:szCs w:val="22"/>
        </w:rPr>
        <w:t>Subsection 119(3) of Patents Act of Australia provides that the prior use exception “does not apply to a product, method or process the person derived from the patentee or the patentee’s predecessor in title in the patented invention”</w:t>
      </w:r>
      <w:r w:rsidR="0073016F">
        <w:rPr>
          <w:szCs w:val="22"/>
        </w:rPr>
        <w:t>, the provision</w:t>
      </w:r>
      <w:r w:rsidR="00967B46">
        <w:rPr>
          <w:szCs w:val="22"/>
        </w:rPr>
        <w:t xml:space="preserve">, however, further states that </w:t>
      </w:r>
      <w:r w:rsidR="00ED180A">
        <w:rPr>
          <w:szCs w:val="22"/>
        </w:rPr>
        <w:t>the above</w:t>
      </w:r>
      <w:r w:rsidR="00110B4C" w:rsidRPr="00110B4C">
        <w:rPr>
          <w:szCs w:val="22"/>
        </w:rPr>
        <w:t xml:space="preserve"> does not apply in cases</w:t>
      </w:r>
      <w:r w:rsidR="00967B46">
        <w:rPr>
          <w:szCs w:val="22"/>
        </w:rPr>
        <w:t xml:space="preserve"> where</w:t>
      </w:r>
      <w:r w:rsidR="00935DD0">
        <w:rPr>
          <w:szCs w:val="22"/>
        </w:rPr>
        <w:t xml:space="preserve"> </w:t>
      </w:r>
      <w:r w:rsidR="00110B4C" w:rsidRPr="00110B4C">
        <w:rPr>
          <w:szCs w:val="22"/>
        </w:rPr>
        <w:t xml:space="preserve"> “the person derived the product, method or process from information that was made publicly available: </w:t>
      </w:r>
      <w:r w:rsidR="00935DD0">
        <w:rPr>
          <w:szCs w:val="22"/>
        </w:rPr>
        <w:t xml:space="preserve"> </w:t>
      </w:r>
      <w:r w:rsidR="00110B4C" w:rsidRPr="00110B4C">
        <w:rPr>
          <w:szCs w:val="22"/>
        </w:rPr>
        <w:t>(a) by or with the consent of the patentee or the patentee’s predecessor in title;</w:t>
      </w:r>
      <w:r w:rsidR="00935DD0">
        <w:rPr>
          <w:szCs w:val="22"/>
        </w:rPr>
        <w:t xml:space="preserve"> </w:t>
      </w:r>
      <w:r w:rsidR="00110B4C" w:rsidRPr="00110B4C">
        <w:rPr>
          <w:szCs w:val="22"/>
        </w:rPr>
        <w:t xml:space="preserve"> and (b) through any publication or use of the invention in the prescribed circumstances mentioned in paragraph 24(1)(a)”.  </w:t>
      </w:r>
      <w:r w:rsidR="00967B46">
        <w:rPr>
          <w:szCs w:val="22"/>
        </w:rPr>
        <w:t xml:space="preserve">That is, in Australia, </w:t>
      </w:r>
      <w:r w:rsidR="00110B4C" w:rsidRPr="00110B4C">
        <w:rPr>
          <w:szCs w:val="22"/>
        </w:rPr>
        <w:t xml:space="preserve">Subsection 119(3) has the effect of applying the prior use exemption to public disclosures by the patentee or predecessor in title which would be covered by the grace period provisions.  </w:t>
      </w:r>
    </w:p>
    <w:p w14:paraId="4F92A230" w14:textId="77777777" w:rsidR="006E06FC" w:rsidRDefault="006E06FC" w:rsidP="005F6B18">
      <w:pPr>
        <w:shd w:val="clear" w:color="auto" w:fill="FFFFFF"/>
        <w:rPr>
          <w:szCs w:val="22"/>
        </w:rPr>
      </w:pPr>
    </w:p>
    <w:p w14:paraId="560F15E3" w14:textId="6182A57A" w:rsidR="00110B4C" w:rsidRPr="001F437B" w:rsidRDefault="00353587" w:rsidP="005F6B18">
      <w:pPr>
        <w:shd w:val="clear" w:color="auto" w:fill="FFFFFF"/>
        <w:rPr>
          <w:szCs w:val="22"/>
          <w:lang w:val="en"/>
        </w:rPr>
      </w:pPr>
      <w:r>
        <w:rPr>
          <w:szCs w:val="22"/>
        </w:rPr>
        <w:fldChar w:fldCharType="begin"/>
      </w:r>
      <w:r>
        <w:rPr>
          <w:szCs w:val="22"/>
        </w:rPr>
        <w:instrText xml:space="preserve"> AUTONUM  </w:instrText>
      </w:r>
      <w:r>
        <w:rPr>
          <w:szCs w:val="22"/>
        </w:rPr>
        <w:fldChar w:fldCharType="end"/>
      </w:r>
      <w:r>
        <w:rPr>
          <w:szCs w:val="22"/>
        </w:rPr>
        <w:tab/>
      </w:r>
      <w:r w:rsidR="00935DD0">
        <w:rPr>
          <w:szCs w:val="22"/>
        </w:rPr>
        <w:t xml:space="preserve">Contrary </w:t>
      </w:r>
      <w:r w:rsidR="00110B4C">
        <w:rPr>
          <w:szCs w:val="22"/>
        </w:rPr>
        <w:t xml:space="preserve">to </w:t>
      </w:r>
      <w:r w:rsidR="00110B4C" w:rsidRPr="00110B4C">
        <w:rPr>
          <w:szCs w:val="22"/>
        </w:rPr>
        <w:t>that approach, Article 45(2) of Law n. 9.279 of Brazil provides that the prior use exception “shall not be assured to a person who gained knowledge of the object of the patent through disclosure, in accordance with Article 12, provided that the application has been filed within 1 (one) year of the disclosure”.</w:t>
      </w:r>
      <w:r w:rsidR="001F437B" w:rsidRPr="001F437B">
        <w:rPr>
          <w:szCs w:val="22"/>
        </w:rPr>
        <w:t xml:space="preserve">  </w:t>
      </w:r>
      <w:r w:rsidR="001F437B">
        <w:rPr>
          <w:szCs w:val="22"/>
        </w:rPr>
        <w:t xml:space="preserve">Similarly, Section 12 of </w:t>
      </w:r>
      <w:r w:rsidR="006E06FC">
        <w:rPr>
          <w:szCs w:val="22"/>
        </w:rPr>
        <w:t xml:space="preserve">the </w:t>
      </w:r>
      <w:r w:rsidR="001F437B">
        <w:rPr>
          <w:szCs w:val="22"/>
        </w:rPr>
        <w:t>Patent Act of Germany provides that</w:t>
      </w:r>
      <w:r w:rsidR="000C516D">
        <w:rPr>
          <w:szCs w:val="22"/>
        </w:rPr>
        <w:t xml:space="preserve"> “[…] if t</w:t>
      </w:r>
      <w:r w:rsidR="001F437B" w:rsidRPr="001F437B">
        <w:rPr>
          <w:szCs w:val="22"/>
        </w:rPr>
        <w:t>he applicant or his predecessor in title has, before applying for a patent, disclosed the invention to other persons and reserved his rights in the event of a patent being granted, a person learning of the invention as a result of such disclosure cannot, under the provisions under the first sentence,</w:t>
      </w:r>
      <w:r w:rsidR="000C516D">
        <w:rPr>
          <w:rStyle w:val="FootnoteReference"/>
          <w:szCs w:val="22"/>
        </w:rPr>
        <w:footnoteReference w:id="43"/>
      </w:r>
      <w:r w:rsidR="001F437B" w:rsidRPr="001F437B">
        <w:rPr>
          <w:szCs w:val="22"/>
        </w:rPr>
        <w:t xml:space="preserve"> invoke measures which he has taken within six months after the disclosure.</w:t>
      </w:r>
      <w:r w:rsidR="001F437B">
        <w:rPr>
          <w:szCs w:val="22"/>
        </w:rPr>
        <w:t>”</w:t>
      </w:r>
      <w:r w:rsidR="005F1C05">
        <w:rPr>
          <w:szCs w:val="22"/>
        </w:rPr>
        <w:t xml:space="preserve">  Yet, in the United States of America, where a grace period is validly invoked, a defense based on prior commercial use can be asserted, if such use occurred at least one year before the public disclosure is made under the grace period provision.</w:t>
      </w:r>
      <w:r w:rsidR="005F1C05">
        <w:rPr>
          <w:rStyle w:val="FootnoteReference"/>
          <w:szCs w:val="22"/>
        </w:rPr>
        <w:footnoteReference w:id="44"/>
      </w:r>
    </w:p>
    <w:p w14:paraId="660485B0" w14:textId="77777777" w:rsidR="00C46831" w:rsidRDefault="00C46831" w:rsidP="003C2273">
      <w:pPr>
        <w:rPr>
          <w:szCs w:val="22"/>
        </w:rPr>
      </w:pPr>
    </w:p>
    <w:p w14:paraId="5689A0CE" w14:textId="77777777" w:rsidR="00527636" w:rsidRPr="00527636" w:rsidRDefault="00527636" w:rsidP="003C2273">
      <w:pPr>
        <w:rPr>
          <w:i/>
          <w:szCs w:val="22"/>
        </w:rPr>
      </w:pPr>
      <w:r w:rsidRPr="00527636">
        <w:rPr>
          <w:i/>
          <w:szCs w:val="22"/>
        </w:rPr>
        <w:t>Burden of proof</w:t>
      </w:r>
    </w:p>
    <w:p w14:paraId="78EADFF1" w14:textId="77777777" w:rsidR="00527636" w:rsidRDefault="00527636" w:rsidP="003C2273">
      <w:pPr>
        <w:rPr>
          <w:szCs w:val="22"/>
        </w:rPr>
      </w:pPr>
    </w:p>
    <w:p w14:paraId="548CFB2E" w14:textId="55B4F15E" w:rsidR="00F2222F" w:rsidRDefault="00C46831" w:rsidP="008518B9">
      <w:pPr>
        <w:rPr>
          <w:szCs w:val="22"/>
        </w:rPr>
      </w:pPr>
      <w:r>
        <w:rPr>
          <w:szCs w:val="22"/>
        </w:rPr>
        <w:fldChar w:fldCharType="begin"/>
      </w:r>
      <w:r>
        <w:rPr>
          <w:szCs w:val="22"/>
        </w:rPr>
        <w:instrText xml:space="preserve"> AUTONUM  </w:instrText>
      </w:r>
      <w:r>
        <w:rPr>
          <w:szCs w:val="22"/>
        </w:rPr>
        <w:fldChar w:fldCharType="end"/>
      </w:r>
      <w:r w:rsidR="008518B9">
        <w:rPr>
          <w:szCs w:val="22"/>
        </w:rPr>
        <w:tab/>
        <w:t>S</w:t>
      </w:r>
      <w:r>
        <w:rPr>
          <w:szCs w:val="22"/>
        </w:rPr>
        <w:t xml:space="preserve">ome applicable laws provided clarification on which party </w:t>
      </w:r>
      <w:r w:rsidR="000F4B1B">
        <w:rPr>
          <w:szCs w:val="22"/>
        </w:rPr>
        <w:t xml:space="preserve">has </w:t>
      </w:r>
      <w:r>
        <w:rPr>
          <w:szCs w:val="22"/>
        </w:rPr>
        <w:t>the burden of proof.  In the United States of America, “a</w:t>
      </w:r>
      <w:r w:rsidRPr="003A4022">
        <w:rPr>
          <w:szCs w:val="22"/>
        </w:rPr>
        <w:t xml:space="preserve"> person asserting a defense under this section shall have the burden of establishing the defense by clear and convincing evidence</w:t>
      </w:r>
      <w:r>
        <w:rPr>
          <w:szCs w:val="22"/>
        </w:rPr>
        <w:t>”</w:t>
      </w:r>
      <w:r w:rsidRPr="00A16DE8">
        <w:rPr>
          <w:szCs w:val="22"/>
        </w:rPr>
        <w:t xml:space="preserve">. </w:t>
      </w:r>
      <w:r>
        <w:rPr>
          <w:szCs w:val="22"/>
        </w:rPr>
        <w:t xml:space="preserve"> Similarly in Portugal, </w:t>
      </w:r>
      <w:r w:rsidR="00D76717" w:rsidRPr="00A16DE8">
        <w:rPr>
          <w:szCs w:val="22"/>
        </w:rPr>
        <w:t xml:space="preserve">“the burden of proof lies with the person invoking” the prior use.  </w:t>
      </w:r>
      <w:r w:rsidR="00D76717">
        <w:rPr>
          <w:szCs w:val="22"/>
        </w:rPr>
        <w:t>However, i</w:t>
      </w:r>
      <w:r w:rsidR="00D76717" w:rsidRPr="00A16DE8">
        <w:rPr>
          <w:szCs w:val="22"/>
        </w:rPr>
        <w:t>n</w:t>
      </w:r>
      <w:r>
        <w:rPr>
          <w:szCs w:val="22"/>
        </w:rPr>
        <w:t xml:space="preserve"> Slovakia</w:t>
      </w:r>
      <w:r w:rsidR="00D76717">
        <w:rPr>
          <w:szCs w:val="22"/>
        </w:rPr>
        <w:t>,</w:t>
      </w:r>
      <w:r w:rsidR="00D76717" w:rsidRPr="00A16DE8">
        <w:rPr>
          <w:szCs w:val="22"/>
        </w:rPr>
        <w:t xml:space="preserve"> the burden of proof is alleviated </w:t>
      </w:r>
      <w:r w:rsidR="00D76717">
        <w:rPr>
          <w:szCs w:val="22"/>
        </w:rPr>
        <w:t xml:space="preserve">as </w:t>
      </w:r>
      <w:r w:rsidR="00D76717" w:rsidRPr="00A16DE8">
        <w:rPr>
          <w:szCs w:val="22"/>
        </w:rPr>
        <w:t>“in case of doubts</w:t>
      </w:r>
      <w:r w:rsidR="00D76717">
        <w:rPr>
          <w:szCs w:val="22"/>
        </w:rPr>
        <w:t>,</w:t>
      </w:r>
      <w:r w:rsidR="00D76717" w:rsidRPr="00A16DE8">
        <w:rPr>
          <w:szCs w:val="22"/>
        </w:rPr>
        <w:t xml:space="preserve"> action of a prior user shall be considered acting in good faith unless proved otherwise”.</w:t>
      </w:r>
      <w:r w:rsidR="008518B9">
        <w:rPr>
          <w:szCs w:val="22"/>
        </w:rPr>
        <w:t xml:space="preserve">  </w:t>
      </w:r>
      <w:r w:rsidR="008518B9" w:rsidRPr="008518B9">
        <w:rPr>
          <w:szCs w:val="22"/>
        </w:rPr>
        <w:t xml:space="preserve">In Hungary, a prior user is considered as a </w:t>
      </w:r>
      <w:r w:rsidR="008518B9" w:rsidRPr="008518B9">
        <w:rPr>
          <w:i/>
          <w:szCs w:val="22"/>
        </w:rPr>
        <w:t xml:space="preserve">bona fide </w:t>
      </w:r>
      <w:r w:rsidR="008518B9" w:rsidRPr="008518B9">
        <w:rPr>
          <w:szCs w:val="22"/>
        </w:rPr>
        <w:t>user until it is proved that the prior use was based on the inventive activity that led to the patented product.</w:t>
      </w:r>
      <w:r w:rsidR="008518B9">
        <w:rPr>
          <w:szCs w:val="22"/>
        </w:rPr>
        <w:t xml:space="preserve">  </w:t>
      </w:r>
    </w:p>
    <w:p w14:paraId="3F8CEDA0" w14:textId="77777777" w:rsidR="00F2222F" w:rsidRDefault="00F2222F" w:rsidP="008518B9">
      <w:pPr>
        <w:rPr>
          <w:szCs w:val="22"/>
        </w:rPr>
      </w:pPr>
    </w:p>
    <w:p w14:paraId="1E8EE285" w14:textId="1AF7D74D" w:rsidR="0038630F" w:rsidRPr="008518B9" w:rsidRDefault="008518B9" w:rsidP="0038250F">
      <w:pPr>
        <w:rPr>
          <w:i/>
          <w:szCs w:val="22"/>
        </w:rPr>
      </w:pPr>
      <w:r w:rsidRPr="008518B9">
        <w:rPr>
          <w:i/>
          <w:szCs w:val="22"/>
        </w:rPr>
        <w:t xml:space="preserve">Other persons who are entitled to invoke the exception </w:t>
      </w:r>
    </w:p>
    <w:p w14:paraId="6A94D3C4" w14:textId="77777777" w:rsidR="0038630F" w:rsidRPr="00C37B6B" w:rsidRDefault="0038630F" w:rsidP="00F74913">
      <w:pPr>
        <w:rPr>
          <w:szCs w:val="22"/>
        </w:rPr>
      </w:pPr>
    </w:p>
    <w:p w14:paraId="6A8D0308" w14:textId="26B89558" w:rsidR="00322B86" w:rsidRDefault="00900FF4" w:rsidP="005F6B18">
      <w:pPr>
        <w:shd w:val="clear" w:color="auto" w:fill="FFFFFF"/>
        <w:rPr>
          <w:szCs w:val="22"/>
        </w:rPr>
      </w:pPr>
      <w:r>
        <w:rPr>
          <w:szCs w:val="22"/>
        </w:rPr>
        <w:fldChar w:fldCharType="begin"/>
      </w:r>
      <w:r>
        <w:rPr>
          <w:szCs w:val="22"/>
        </w:rPr>
        <w:instrText xml:space="preserve"> AUTONUM  </w:instrText>
      </w:r>
      <w:r>
        <w:rPr>
          <w:szCs w:val="22"/>
        </w:rPr>
        <w:fldChar w:fldCharType="end"/>
      </w:r>
      <w:r>
        <w:rPr>
          <w:szCs w:val="22"/>
        </w:rPr>
        <w:tab/>
      </w:r>
      <w:r w:rsidR="006A6C44">
        <w:rPr>
          <w:szCs w:val="22"/>
        </w:rPr>
        <w:t>Further details on</w:t>
      </w:r>
      <w:r w:rsidR="006E7F16">
        <w:rPr>
          <w:szCs w:val="22"/>
        </w:rPr>
        <w:t xml:space="preserve"> which persons </w:t>
      </w:r>
      <w:r w:rsidR="00C230AA">
        <w:rPr>
          <w:szCs w:val="22"/>
        </w:rPr>
        <w:t>and</w:t>
      </w:r>
      <w:r w:rsidR="006E7F16">
        <w:rPr>
          <w:szCs w:val="22"/>
        </w:rPr>
        <w:t>/or</w:t>
      </w:r>
      <w:r w:rsidR="00C230AA">
        <w:rPr>
          <w:szCs w:val="22"/>
        </w:rPr>
        <w:t xml:space="preserve"> legal entities can be</w:t>
      </w:r>
      <w:r w:rsidR="002508C6">
        <w:rPr>
          <w:szCs w:val="22"/>
        </w:rPr>
        <w:t xml:space="preserve"> covered by </w:t>
      </w:r>
      <w:r w:rsidR="001E025A">
        <w:rPr>
          <w:szCs w:val="22"/>
        </w:rPr>
        <w:t xml:space="preserve">the </w:t>
      </w:r>
      <w:r w:rsidR="002508C6">
        <w:rPr>
          <w:szCs w:val="22"/>
        </w:rPr>
        <w:t>prior use exception</w:t>
      </w:r>
      <w:r w:rsidR="00C230AA">
        <w:rPr>
          <w:szCs w:val="22"/>
        </w:rPr>
        <w:t xml:space="preserve"> </w:t>
      </w:r>
      <w:r w:rsidR="006A6C44">
        <w:rPr>
          <w:szCs w:val="22"/>
        </w:rPr>
        <w:t>were provided by</w:t>
      </w:r>
      <w:r w:rsidR="00C230AA">
        <w:rPr>
          <w:szCs w:val="22"/>
        </w:rPr>
        <w:t xml:space="preserve"> the applicable laws of</w:t>
      </w:r>
      <w:r w:rsidR="006A6C44">
        <w:rPr>
          <w:szCs w:val="22"/>
        </w:rPr>
        <w:t xml:space="preserve"> </w:t>
      </w:r>
      <w:r w:rsidR="009A6994">
        <w:rPr>
          <w:szCs w:val="22"/>
        </w:rPr>
        <w:t>Japan and the Republic of Korea</w:t>
      </w:r>
      <w:r w:rsidR="006A6C44">
        <w:rPr>
          <w:szCs w:val="22"/>
        </w:rPr>
        <w:t xml:space="preserve">. </w:t>
      </w:r>
      <w:r w:rsidR="002508C6">
        <w:rPr>
          <w:szCs w:val="22"/>
        </w:rPr>
        <w:t xml:space="preserve"> </w:t>
      </w:r>
      <w:r w:rsidR="006A6C44">
        <w:rPr>
          <w:szCs w:val="22"/>
        </w:rPr>
        <w:t>Th</w:t>
      </w:r>
      <w:r w:rsidR="002508C6">
        <w:rPr>
          <w:szCs w:val="22"/>
        </w:rPr>
        <w:t>ose</w:t>
      </w:r>
      <w:r w:rsidR="006A6C44">
        <w:rPr>
          <w:szCs w:val="22"/>
        </w:rPr>
        <w:t xml:space="preserve"> laws</w:t>
      </w:r>
      <w:r w:rsidR="009A6994">
        <w:rPr>
          <w:szCs w:val="22"/>
        </w:rPr>
        <w:t xml:space="preserve"> stipulated that </w:t>
      </w:r>
      <w:r w:rsidR="00376E55">
        <w:rPr>
          <w:szCs w:val="22"/>
        </w:rPr>
        <w:t xml:space="preserve">the scope of the </w:t>
      </w:r>
      <w:r w:rsidR="00E25FA8">
        <w:rPr>
          <w:szCs w:val="22"/>
        </w:rPr>
        <w:t xml:space="preserve">prior use </w:t>
      </w:r>
      <w:r w:rsidR="009A6994">
        <w:rPr>
          <w:szCs w:val="22"/>
        </w:rPr>
        <w:t>exception extends to</w:t>
      </w:r>
      <w:r w:rsidR="00376E55">
        <w:rPr>
          <w:szCs w:val="22"/>
        </w:rPr>
        <w:t xml:space="preserve"> </w:t>
      </w:r>
      <w:r w:rsidR="00A0239A">
        <w:rPr>
          <w:szCs w:val="22"/>
        </w:rPr>
        <w:t>the activities of</w:t>
      </w:r>
      <w:r w:rsidR="00376E55">
        <w:rPr>
          <w:szCs w:val="22"/>
        </w:rPr>
        <w:t xml:space="preserve"> not only </w:t>
      </w:r>
      <w:r w:rsidR="00376E55">
        <w:rPr>
          <w:szCs w:val="22"/>
        </w:rPr>
        <w:lastRenderedPageBreak/>
        <w:t xml:space="preserve">persons who, </w:t>
      </w:r>
      <w:r w:rsidR="00A0239A" w:rsidRPr="001B6A54">
        <w:rPr>
          <w:szCs w:val="22"/>
        </w:rPr>
        <w:t>without knowledge of the content of an invention c</w:t>
      </w:r>
      <w:r w:rsidR="00376E55" w:rsidRPr="001B6A54">
        <w:rPr>
          <w:szCs w:val="22"/>
        </w:rPr>
        <w:t xml:space="preserve">laimed in a patent application, </w:t>
      </w:r>
      <w:r w:rsidR="00A0239A" w:rsidRPr="001B6A54">
        <w:rPr>
          <w:szCs w:val="22"/>
        </w:rPr>
        <w:t xml:space="preserve">made an invention </w:t>
      </w:r>
      <w:r w:rsidR="00376E55" w:rsidRPr="001B6A54">
        <w:rPr>
          <w:szCs w:val="22"/>
        </w:rPr>
        <w:t xml:space="preserve">identical to the said invention, but also of a person who has </w:t>
      </w:r>
      <w:r w:rsidR="00A0239A" w:rsidRPr="001B6A54">
        <w:rPr>
          <w:szCs w:val="22"/>
        </w:rPr>
        <w:t xml:space="preserve">learned the invention from </w:t>
      </w:r>
      <w:r w:rsidR="00376E55" w:rsidRPr="001B6A54">
        <w:rPr>
          <w:szCs w:val="22"/>
        </w:rPr>
        <w:t xml:space="preserve">such </w:t>
      </w:r>
      <w:r w:rsidR="00A0239A" w:rsidRPr="001B6A54">
        <w:rPr>
          <w:szCs w:val="22"/>
        </w:rPr>
        <w:t>a person and has been working the invention</w:t>
      </w:r>
      <w:r w:rsidR="00F318B1">
        <w:rPr>
          <w:szCs w:val="22"/>
        </w:rPr>
        <w:t xml:space="preserve"> </w:t>
      </w:r>
      <w:r w:rsidR="00A0239A" w:rsidRPr="001B6A54">
        <w:rPr>
          <w:szCs w:val="22"/>
        </w:rPr>
        <w:t xml:space="preserve">or preparing for the working of the invention in </w:t>
      </w:r>
      <w:r w:rsidR="00FE49ED" w:rsidRPr="001B6A54">
        <w:rPr>
          <w:szCs w:val="22"/>
        </w:rPr>
        <w:t xml:space="preserve">those countries </w:t>
      </w:r>
      <w:r w:rsidR="00A0239A" w:rsidRPr="001B6A54">
        <w:rPr>
          <w:szCs w:val="22"/>
        </w:rPr>
        <w:t>at the time of the filing of the patent app</w:t>
      </w:r>
      <w:r w:rsidR="001B6A54" w:rsidRPr="001B6A54">
        <w:rPr>
          <w:szCs w:val="22"/>
        </w:rPr>
        <w:t>lication.</w:t>
      </w:r>
      <w:r w:rsidR="006A6C44">
        <w:rPr>
          <w:szCs w:val="22"/>
        </w:rPr>
        <w:t xml:space="preserve">  In that regard, the applicable law of </w:t>
      </w:r>
      <w:r w:rsidR="006A6C44" w:rsidRPr="006A6C44">
        <w:rPr>
          <w:szCs w:val="22"/>
        </w:rPr>
        <w:t>the United States of America</w:t>
      </w:r>
      <w:r w:rsidR="006A6C44">
        <w:rPr>
          <w:szCs w:val="22"/>
        </w:rPr>
        <w:t xml:space="preserve"> states</w:t>
      </w:r>
      <w:r w:rsidR="00935DD0">
        <w:rPr>
          <w:szCs w:val="22"/>
        </w:rPr>
        <w:t xml:space="preserve">: </w:t>
      </w:r>
      <w:r w:rsidR="006A6C44">
        <w:rPr>
          <w:szCs w:val="22"/>
        </w:rPr>
        <w:t xml:space="preserve"> “[a] </w:t>
      </w:r>
      <w:r w:rsidR="006A6C44" w:rsidRPr="003A4022">
        <w:rPr>
          <w:szCs w:val="22"/>
        </w:rPr>
        <w:t>defense under this section may be asserted only by the person who performed or directed the performance of the commercial use described in subsection</w:t>
      </w:r>
      <w:r w:rsidR="006A6C44">
        <w:rPr>
          <w:szCs w:val="22"/>
        </w:rPr>
        <w:t xml:space="preserve"> </w:t>
      </w:r>
      <w:r w:rsidR="006A6C44" w:rsidRPr="003A4022">
        <w:rPr>
          <w:szCs w:val="22"/>
        </w:rPr>
        <w:t>(a), or by an entity that controls, is controlled by, or is under common control with such person</w:t>
      </w:r>
      <w:r w:rsidR="006A6C44">
        <w:rPr>
          <w:szCs w:val="22"/>
        </w:rPr>
        <w:t>”</w:t>
      </w:r>
      <w:r w:rsidR="00935DD0">
        <w:rPr>
          <w:szCs w:val="22"/>
        </w:rPr>
        <w:t>.</w:t>
      </w:r>
      <w:r w:rsidR="006A6C44" w:rsidRPr="003A4022">
        <w:rPr>
          <w:szCs w:val="22"/>
        </w:rPr>
        <w:br/>
      </w:r>
    </w:p>
    <w:p w14:paraId="3EBA3B46" w14:textId="77777777" w:rsidR="008B0CFC" w:rsidRPr="00742A3B" w:rsidRDefault="00E12241" w:rsidP="005F6B18">
      <w:pPr>
        <w:shd w:val="clear" w:color="auto" w:fill="FFFFFF"/>
        <w:rPr>
          <w:i/>
          <w:szCs w:val="22"/>
        </w:rPr>
      </w:pPr>
      <w:r>
        <w:rPr>
          <w:i/>
          <w:szCs w:val="22"/>
        </w:rPr>
        <w:t xml:space="preserve">Extension of </w:t>
      </w:r>
      <w:r w:rsidR="00742A3B" w:rsidRPr="00742A3B">
        <w:rPr>
          <w:i/>
          <w:szCs w:val="22"/>
        </w:rPr>
        <w:t>the</w:t>
      </w:r>
      <w:r>
        <w:rPr>
          <w:i/>
          <w:szCs w:val="22"/>
        </w:rPr>
        <w:t xml:space="preserve"> scope of the</w:t>
      </w:r>
      <w:r w:rsidR="00742A3B" w:rsidRPr="00742A3B">
        <w:rPr>
          <w:i/>
          <w:szCs w:val="22"/>
        </w:rPr>
        <w:t xml:space="preserve"> business</w:t>
      </w:r>
      <w:r>
        <w:rPr>
          <w:i/>
          <w:szCs w:val="22"/>
        </w:rPr>
        <w:t xml:space="preserve"> </w:t>
      </w:r>
    </w:p>
    <w:p w14:paraId="0980BF74" w14:textId="77777777" w:rsidR="008B0CFC" w:rsidRPr="006A6C44" w:rsidRDefault="008B0CFC" w:rsidP="005F6B18">
      <w:pPr>
        <w:shd w:val="clear" w:color="auto" w:fill="FFFFFF"/>
        <w:rPr>
          <w:szCs w:val="22"/>
        </w:rPr>
      </w:pPr>
    </w:p>
    <w:p w14:paraId="2B3D8282" w14:textId="6B59BC2A" w:rsidR="00AD6C4F" w:rsidRDefault="00322B86" w:rsidP="00EA7415">
      <w:pPr>
        <w:rPr>
          <w:szCs w:val="22"/>
        </w:rPr>
      </w:pPr>
      <w:r w:rsidRPr="00322B86">
        <w:rPr>
          <w:szCs w:val="22"/>
        </w:rPr>
        <w:fldChar w:fldCharType="begin"/>
      </w:r>
      <w:r w:rsidRPr="00322B86">
        <w:rPr>
          <w:szCs w:val="22"/>
        </w:rPr>
        <w:instrText xml:space="preserve"> AUTONUM  </w:instrText>
      </w:r>
      <w:r w:rsidRPr="00322B86">
        <w:rPr>
          <w:szCs w:val="22"/>
        </w:rPr>
        <w:fldChar w:fldCharType="end"/>
      </w:r>
      <w:r w:rsidRPr="00322B86">
        <w:rPr>
          <w:szCs w:val="22"/>
        </w:rPr>
        <w:tab/>
      </w:r>
      <w:r w:rsidR="001E025A">
        <w:rPr>
          <w:szCs w:val="22"/>
        </w:rPr>
        <w:t>T</w:t>
      </w:r>
      <w:r w:rsidR="00B23E83">
        <w:rPr>
          <w:szCs w:val="22"/>
        </w:rPr>
        <w:t>he applicable laws of</w:t>
      </w:r>
      <w:r w:rsidR="00876382">
        <w:rPr>
          <w:szCs w:val="22"/>
        </w:rPr>
        <w:t xml:space="preserve"> many Member States</w:t>
      </w:r>
      <w:r w:rsidR="00B23E83">
        <w:rPr>
          <w:szCs w:val="22"/>
        </w:rPr>
        <w:t xml:space="preserve"> specify that </w:t>
      </w:r>
      <w:r w:rsidR="00876382">
        <w:rPr>
          <w:szCs w:val="22"/>
        </w:rPr>
        <w:t xml:space="preserve">the </w:t>
      </w:r>
      <w:r w:rsidR="00F77EFC">
        <w:rPr>
          <w:szCs w:val="22"/>
        </w:rPr>
        <w:t xml:space="preserve">scope of the </w:t>
      </w:r>
      <w:r w:rsidR="007F6B39" w:rsidRPr="00AE2CE5">
        <w:rPr>
          <w:szCs w:val="22"/>
        </w:rPr>
        <w:t xml:space="preserve">prior </w:t>
      </w:r>
      <w:r w:rsidR="00F77EFC">
        <w:rPr>
          <w:szCs w:val="22"/>
        </w:rPr>
        <w:t xml:space="preserve">use exception does not </w:t>
      </w:r>
      <w:r w:rsidR="007F6B39" w:rsidRPr="00AE2CE5">
        <w:rPr>
          <w:szCs w:val="22"/>
        </w:rPr>
        <w:t>allow for an extension of the business beyond its scope on the relevant date.</w:t>
      </w:r>
      <w:r w:rsidRPr="00322B86">
        <w:rPr>
          <w:szCs w:val="22"/>
        </w:rPr>
        <w:t xml:space="preserve">  </w:t>
      </w:r>
      <w:r w:rsidR="00F77EFC">
        <w:rPr>
          <w:szCs w:val="22"/>
        </w:rPr>
        <w:t>For example, in</w:t>
      </w:r>
      <w:r w:rsidRPr="00322B86">
        <w:rPr>
          <w:szCs w:val="22"/>
        </w:rPr>
        <w:t xml:space="preserve"> China</w:t>
      </w:r>
      <w:r w:rsidR="000678C4">
        <w:rPr>
          <w:szCs w:val="22"/>
        </w:rPr>
        <w:t>,</w:t>
      </w:r>
      <w:r w:rsidRPr="00322B86">
        <w:rPr>
          <w:szCs w:val="22"/>
        </w:rPr>
        <w:t xml:space="preserve"> the prior use exception allows the continuation of the manufacture </w:t>
      </w:r>
      <w:r w:rsidR="00742A3B">
        <w:rPr>
          <w:szCs w:val="22"/>
        </w:rPr>
        <w:t xml:space="preserve">of </w:t>
      </w:r>
      <w:r w:rsidRPr="00322B86">
        <w:rPr>
          <w:szCs w:val="22"/>
        </w:rPr>
        <w:t>the products or use</w:t>
      </w:r>
      <w:r w:rsidR="00742A3B">
        <w:rPr>
          <w:szCs w:val="22"/>
        </w:rPr>
        <w:t xml:space="preserve"> of</w:t>
      </w:r>
      <w:r w:rsidRPr="00322B86">
        <w:rPr>
          <w:szCs w:val="22"/>
        </w:rPr>
        <w:t xml:space="preserve"> the method</w:t>
      </w:r>
      <w:r w:rsidR="001E025A">
        <w:rPr>
          <w:szCs w:val="22"/>
        </w:rPr>
        <w:t>s</w:t>
      </w:r>
      <w:r w:rsidRPr="00322B86">
        <w:rPr>
          <w:szCs w:val="22"/>
        </w:rPr>
        <w:t xml:space="preserve"> </w:t>
      </w:r>
      <w:r w:rsidR="00784068">
        <w:rPr>
          <w:szCs w:val="22"/>
        </w:rPr>
        <w:t>“</w:t>
      </w:r>
      <w:r>
        <w:rPr>
          <w:szCs w:val="22"/>
        </w:rPr>
        <w:t>w</w:t>
      </w:r>
      <w:r w:rsidRPr="00322B86">
        <w:rPr>
          <w:szCs w:val="22"/>
        </w:rPr>
        <w:t xml:space="preserve">ithin the original scope”. </w:t>
      </w:r>
      <w:r w:rsidR="00F77EFC">
        <w:rPr>
          <w:szCs w:val="22"/>
        </w:rPr>
        <w:t xml:space="preserve"> </w:t>
      </w:r>
      <w:r w:rsidR="00F20879">
        <w:rPr>
          <w:szCs w:val="22"/>
        </w:rPr>
        <w:t xml:space="preserve">In </w:t>
      </w:r>
      <w:r w:rsidR="00F77EFC" w:rsidRPr="00322B86">
        <w:rPr>
          <w:szCs w:val="22"/>
        </w:rPr>
        <w:t>Finland</w:t>
      </w:r>
      <w:r w:rsidR="00F20879">
        <w:rPr>
          <w:szCs w:val="22"/>
        </w:rPr>
        <w:t>, the prior user can continue commercially exploiting the invention “</w:t>
      </w:r>
      <w:r w:rsidRPr="00322B86">
        <w:rPr>
          <w:szCs w:val="22"/>
        </w:rPr>
        <w:t>provided that the general nature of such previous exploitation is maintained</w:t>
      </w:r>
      <w:r w:rsidR="00F20879">
        <w:rPr>
          <w:szCs w:val="22"/>
        </w:rPr>
        <w:t xml:space="preserve"> […]”</w:t>
      </w:r>
      <w:r w:rsidRPr="00322B86">
        <w:rPr>
          <w:szCs w:val="22"/>
        </w:rPr>
        <w:t xml:space="preserve">. </w:t>
      </w:r>
      <w:r w:rsidR="00F20879">
        <w:rPr>
          <w:szCs w:val="22"/>
        </w:rPr>
        <w:t xml:space="preserve"> </w:t>
      </w:r>
      <w:r w:rsidR="00EE0891">
        <w:rPr>
          <w:szCs w:val="22"/>
        </w:rPr>
        <w:t xml:space="preserve">In the Kyrgyz Republic, the prior user has </w:t>
      </w:r>
      <w:r w:rsidR="000678C4">
        <w:rPr>
          <w:szCs w:val="22"/>
        </w:rPr>
        <w:t xml:space="preserve">the </w:t>
      </w:r>
      <w:r w:rsidR="00EE0891">
        <w:rPr>
          <w:szCs w:val="22"/>
        </w:rPr>
        <w:t>right</w:t>
      </w:r>
      <w:r w:rsidR="00784068">
        <w:rPr>
          <w:szCs w:val="22"/>
        </w:rPr>
        <w:t xml:space="preserve"> to use the patented invention </w:t>
      </w:r>
      <w:r w:rsidR="00EE0891">
        <w:rPr>
          <w:szCs w:val="22"/>
        </w:rPr>
        <w:t xml:space="preserve">free of charge </w:t>
      </w:r>
      <w:r w:rsidR="00784068">
        <w:rPr>
          <w:szCs w:val="22"/>
        </w:rPr>
        <w:t>“</w:t>
      </w:r>
      <w:r w:rsidR="00EE0891">
        <w:rPr>
          <w:szCs w:val="22"/>
        </w:rPr>
        <w:t>without en</w:t>
      </w:r>
      <w:r w:rsidR="00A31CD7">
        <w:rPr>
          <w:szCs w:val="22"/>
        </w:rPr>
        <w:t>larging the scope of such use</w:t>
      </w:r>
      <w:r w:rsidR="00A31CD7" w:rsidRPr="002C057C">
        <w:rPr>
          <w:szCs w:val="22"/>
        </w:rPr>
        <w:t xml:space="preserve">”.  </w:t>
      </w:r>
      <w:r w:rsidR="006C597D">
        <w:rPr>
          <w:szCs w:val="22"/>
        </w:rPr>
        <w:t xml:space="preserve">In the Russian Federation, the prior user </w:t>
      </w:r>
      <w:r w:rsidR="006C597D" w:rsidRPr="00215AA4">
        <w:rPr>
          <w:szCs w:val="22"/>
        </w:rPr>
        <w:t>shall have the right to proceed with</w:t>
      </w:r>
      <w:r w:rsidR="006C597D">
        <w:rPr>
          <w:szCs w:val="22"/>
        </w:rPr>
        <w:t xml:space="preserve"> his activities “</w:t>
      </w:r>
      <w:r w:rsidR="006C597D" w:rsidRPr="00215AA4">
        <w:rPr>
          <w:szCs w:val="22"/>
        </w:rPr>
        <w:t>provided that the scope thereof is not extended</w:t>
      </w:r>
      <w:r w:rsidR="006C597D">
        <w:rPr>
          <w:szCs w:val="22"/>
        </w:rPr>
        <w:t>”.</w:t>
      </w:r>
      <w:r w:rsidR="00AD6C4F">
        <w:rPr>
          <w:szCs w:val="22"/>
        </w:rPr>
        <w:t xml:space="preserve"> </w:t>
      </w:r>
      <w:r w:rsidR="006C597D">
        <w:rPr>
          <w:szCs w:val="22"/>
        </w:rPr>
        <w:t xml:space="preserve"> In Vietnam, the prior user may continue using patented invention “within the scope and volume of use”.  </w:t>
      </w:r>
      <w:r w:rsidR="00AD6C4F">
        <w:rPr>
          <w:szCs w:val="22"/>
        </w:rPr>
        <w:t>In Sweden, the prior user may continue exploitation “while retaining its general character”.</w:t>
      </w:r>
    </w:p>
    <w:p w14:paraId="71C485FF" w14:textId="77777777" w:rsidR="00AD6C4F" w:rsidRDefault="00AD6C4F" w:rsidP="003C2273">
      <w:pPr>
        <w:rPr>
          <w:szCs w:val="22"/>
        </w:rPr>
      </w:pPr>
    </w:p>
    <w:p w14:paraId="61A2313C" w14:textId="0A86DF34" w:rsidR="001E025A" w:rsidRDefault="00AD6C4F" w:rsidP="0038250F">
      <w:pPr>
        <w:rPr>
          <w:szCs w:val="22"/>
        </w:rPr>
      </w:pPr>
      <w:r>
        <w:rPr>
          <w:szCs w:val="22"/>
        </w:rPr>
        <w:fldChar w:fldCharType="begin"/>
      </w:r>
      <w:r>
        <w:rPr>
          <w:szCs w:val="22"/>
        </w:rPr>
        <w:instrText xml:space="preserve"> AUTONUM  </w:instrText>
      </w:r>
      <w:r>
        <w:rPr>
          <w:szCs w:val="22"/>
        </w:rPr>
        <w:fldChar w:fldCharType="end"/>
      </w:r>
      <w:r>
        <w:rPr>
          <w:szCs w:val="22"/>
        </w:rPr>
        <w:tab/>
      </w:r>
      <w:r w:rsidR="00F77EFC">
        <w:rPr>
          <w:szCs w:val="22"/>
        </w:rPr>
        <w:t>In this regard, i</w:t>
      </w:r>
      <w:r w:rsidR="00F77EFC" w:rsidRPr="00322B86">
        <w:rPr>
          <w:szCs w:val="22"/>
        </w:rPr>
        <w:t>n Brazil</w:t>
      </w:r>
      <w:r w:rsidR="00D31459">
        <w:rPr>
          <w:szCs w:val="22"/>
        </w:rPr>
        <w:t>,</w:t>
      </w:r>
      <w:r w:rsidR="00F77EFC" w:rsidRPr="00322B86">
        <w:rPr>
          <w:szCs w:val="22"/>
        </w:rPr>
        <w:t xml:space="preserve"> prior user</w:t>
      </w:r>
      <w:r w:rsidR="00E12241">
        <w:rPr>
          <w:szCs w:val="22"/>
        </w:rPr>
        <w:t>s</w:t>
      </w:r>
      <w:r w:rsidR="00F77EFC" w:rsidRPr="00322B86">
        <w:rPr>
          <w:szCs w:val="22"/>
        </w:rPr>
        <w:t xml:space="preserve"> have right to continue the exploitation, “without </w:t>
      </w:r>
      <w:r w:rsidR="00BD7382">
        <w:rPr>
          <w:szCs w:val="22"/>
        </w:rPr>
        <w:t>charge</w:t>
      </w:r>
      <w:r w:rsidR="00F77EFC" w:rsidRPr="00322B86">
        <w:rPr>
          <w:szCs w:val="22"/>
        </w:rPr>
        <w:t xml:space="preserve">, in the </w:t>
      </w:r>
      <w:r w:rsidR="00BD7382">
        <w:rPr>
          <w:szCs w:val="22"/>
        </w:rPr>
        <w:t>previous form and conditions</w:t>
      </w:r>
      <w:r w:rsidR="00F77EFC" w:rsidRPr="00322B86">
        <w:rPr>
          <w:szCs w:val="22"/>
        </w:rPr>
        <w:t>”.</w:t>
      </w:r>
      <w:r w:rsidR="00D31459">
        <w:rPr>
          <w:szCs w:val="22"/>
        </w:rPr>
        <w:t xml:space="preserve">  Similarly, in El Salvador, the prior user “</w:t>
      </w:r>
      <w:r w:rsidR="00F77EFC" w:rsidRPr="00322B86">
        <w:rPr>
          <w:szCs w:val="22"/>
        </w:rPr>
        <w:t>shall have the right to continue to manufacture the product or use the process as before”.</w:t>
      </w:r>
      <w:r w:rsidR="0038628E">
        <w:rPr>
          <w:szCs w:val="22"/>
        </w:rPr>
        <w:t xml:space="preserve">  </w:t>
      </w:r>
      <w:r w:rsidR="008B0468">
        <w:rPr>
          <w:szCs w:val="22"/>
        </w:rPr>
        <w:t>In Spain, the prior user is permitted to continue to work the invention “in the same manner or according to the preparations which had been undertaken until t</w:t>
      </w:r>
      <w:r w:rsidR="000C2DC6">
        <w:rPr>
          <w:szCs w:val="22"/>
        </w:rPr>
        <w:t>h</w:t>
      </w:r>
      <w:r w:rsidR="008B0468">
        <w:rPr>
          <w:szCs w:val="22"/>
        </w:rPr>
        <w:t xml:space="preserve">en or for the form in which preparations had been carried out.  </w:t>
      </w:r>
      <w:r w:rsidR="000C2DC6">
        <w:rPr>
          <w:szCs w:val="22"/>
        </w:rPr>
        <w:t>H</w:t>
      </w:r>
      <w:r w:rsidR="008B0468">
        <w:rPr>
          <w:szCs w:val="22"/>
        </w:rPr>
        <w:t>owever, in both cases</w:t>
      </w:r>
      <w:r w:rsidR="000678C4">
        <w:rPr>
          <w:szCs w:val="22"/>
        </w:rPr>
        <w:t>,</w:t>
      </w:r>
      <w:r w:rsidR="008B0468">
        <w:rPr>
          <w:szCs w:val="22"/>
        </w:rPr>
        <w:t xml:space="preserve"> this is restricted to such working having been carried out sufficiently to meet the reasonable needs of the enterprise”. </w:t>
      </w:r>
      <w:r w:rsidR="000678C4">
        <w:rPr>
          <w:szCs w:val="22"/>
        </w:rPr>
        <w:t xml:space="preserve"> </w:t>
      </w:r>
      <w:r w:rsidR="0038628E">
        <w:rPr>
          <w:szCs w:val="22"/>
        </w:rPr>
        <w:t>In Sao Tome and Principle, prior user’s actions “should, in their nature or aim, not differ from effective p</w:t>
      </w:r>
      <w:r w:rsidR="008B0468">
        <w:rPr>
          <w:szCs w:val="22"/>
        </w:rPr>
        <w:t xml:space="preserve">rior use or planned prior use.” </w:t>
      </w:r>
      <w:r w:rsidR="00006B50">
        <w:rPr>
          <w:szCs w:val="22"/>
        </w:rPr>
        <w:t xml:space="preserve"> Similarly, i</w:t>
      </w:r>
      <w:r w:rsidR="00006B50" w:rsidRPr="002C057C">
        <w:rPr>
          <w:szCs w:val="22"/>
        </w:rPr>
        <w:t>n Morocco, the rights granted by a patent do not extend to act</w:t>
      </w:r>
      <w:r w:rsidR="00006B50">
        <w:rPr>
          <w:szCs w:val="22"/>
        </w:rPr>
        <w:t>s</w:t>
      </w:r>
      <w:r w:rsidR="00006B50" w:rsidRPr="002C057C">
        <w:rPr>
          <w:szCs w:val="22"/>
        </w:rPr>
        <w:t xml:space="preserve"> performed by the prior user, “</w:t>
      </w:r>
      <w:r w:rsidR="00006B50" w:rsidRPr="002C057C">
        <w:rPr>
          <w:iCs/>
          <w:szCs w:val="22"/>
        </w:rPr>
        <w:t>provided that such acts do not differ, by their nature or purpose, from effective or expected prior use”.</w:t>
      </w:r>
      <w:r w:rsidR="00006B50">
        <w:rPr>
          <w:iCs/>
          <w:szCs w:val="22"/>
        </w:rPr>
        <w:t xml:space="preserve"> </w:t>
      </w:r>
      <w:r w:rsidR="00006B50">
        <w:rPr>
          <w:szCs w:val="22"/>
        </w:rPr>
        <w:t xml:space="preserve"> </w:t>
      </w:r>
    </w:p>
    <w:p w14:paraId="2949A76F" w14:textId="77777777" w:rsidR="001E025A" w:rsidRDefault="001E025A" w:rsidP="0038250F">
      <w:pPr>
        <w:rPr>
          <w:szCs w:val="22"/>
        </w:rPr>
      </w:pPr>
    </w:p>
    <w:p w14:paraId="1B558080" w14:textId="654E4C73" w:rsidR="006A75DC" w:rsidRDefault="005F1C05" w:rsidP="0038250F">
      <w:pPr>
        <w:rPr>
          <w:szCs w:val="22"/>
        </w:rPr>
      </w:pPr>
      <w:r>
        <w:rPr>
          <w:szCs w:val="22"/>
        </w:rPr>
        <w:fldChar w:fldCharType="begin"/>
      </w:r>
      <w:r>
        <w:rPr>
          <w:szCs w:val="22"/>
        </w:rPr>
        <w:instrText xml:space="preserve"> AUTONUM  </w:instrText>
      </w:r>
      <w:r>
        <w:rPr>
          <w:szCs w:val="22"/>
        </w:rPr>
        <w:fldChar w:fldCharType="end"/>
      </w:r>
      <w:r>
        <w:rPr>
          <w:szCs w:val="22"/>
        </w:rPr>
        <w:tab/>
      </w:r>
      <w:r w:rsidR="00203538">
        <w:rPr>
          <w:szCs w:val="22"/>
        </w:rPr>
        <w:t xml:space="preserve">However, </w:t>
      </w:r>
      <w:r w:rsidR="0045046A">
        <w:rPr>
          <w:szCs w:val="22"/>
        </w:rPr>
        <w:t xml:space="preserve">in the United States of </w:t>
      </w:r>
      <w:r w:rsidR="00203538">
        <w:rPr>
          <w:szCs w:val="22"/>
        </w:rPr>
        <w:t>America, it is specified that “[t]</w:t>
      </w:r>
      <w:r w:rsidR="0045046A" w:rsidRPr="003A4022">
        <w:rPr>
          <w:szCs w:val="22"/>
        </w:rPr>
        <w:t>he defense asserted by a person under this section is not a general license under all claims of the patent at issue, but extends only to the specific subject matter for which it has been established that a commercial use that qualifies under this section occurred, except that the defense shall also extend to variations in the quantity or volume of use of the claimed subject matter, and to improvements in the claimed subject matter that do not infringe additional specifically claimed subject matter of the patent.</w:t>
      </w:r>
      <w:r w:rsidR="0045046A">
        <w:rPr>
          <w:szCs w:val="22"/>
        </w:rPr>
        <w:t>”</w:t>
      </w:r>
      <w:r w:rsidR="008967F5">
        <w:rPr>
          <w:szCs w:val="22"/>
        </w:rPr>
        <w:t xml:space="preserve">  In the United Kingdom, </w:t>
      </w:r>
      <w:r w:rsidR="006A75DC">
        <w:rPr>
          <w:szCs w:val="22"/>
        </w:rPr>
        <w:t>the Court of Appeal ruled on the scope of the prior use exception in that country</w:t>
      </w:r>
      <w:r w:rsidR="006A75DC">
        <w:rPr>
          <w:rStyle w:val="FootnoteReference"/>
          <w:szCs w:val="22"/>
        </w:rPr>
        <w:footnoteReference w:id="45"/>
      </w:r>
      <w:r w:rsidR="006A75DC">
        <w:rPr>
          <w:szCs w:val="22"/>
        </w:rPr>
        <w:t xml:space="preserve"> and affirmed </w:t>
      </w:r>
      <w:r w:rsidR="006A75DC" w:rsidRPr="003A4022">
        <w:rPr>
          <w:szCs w:val="22"/>
        </w:rPr>
        <w:t>th</w:t>
      </w:r>
      <w:r w:rsidR="006A75DC">
        <w:rPr>
          <w:szCs w:val="22"/>
        </w:rPr>
        <w:t xml:space="preserve">at the protection afforded by Section </w:t>
      </w:r>
      <w:r w:rsidR="006A75DC" w:rsidRPr="003A4022">
        <w:rPr>
          <w:szCs w:val="22"/>
        </w:rPr>
        <w:t xml:space="preserve">64 </w:t>
      </w:r>
      <w:r w:rsidR="00836DDF">
        <w:rPr>
          <w:szCs w:val="22"/>
        </w:rPr>
        <w:t xml:space="preserve">of the Patents Act </w:t>
      </w:r>
      <w:r w:rsidR="006A75DC" w:rsidRPr="003A4022">
        <w:rPr>
          <w:szCs w:val="22"/>
        </w:rPr>
        <w:t>to the prior user is not strictly limited to acts identical to those which were performed before the prior</w:t>
      </w:r>
      <w:r w:rsidR="00DB714C">
        <w:rPr>
          <w:szCs w:val="22"/>
        </w:rPr>
        <w:t>ity date</w:t>
      </w:r>
      <w:r w:rsidR="001E025A">
        <w:rPr>
          <w:szCs w:val="22"/>
        </w:rPr>
        <w:t>,</w:t>
      </w:r>
      <w:r w:rsidR="00DB714C">
        <w:rPr>
          <w:szCs w:val="22"/>
        </w:rPr>
        <w:t xml:space="preserve"> but “</w:t>
      </w:r>
      <w:r w:rsidR="006A75DC" w:rsidRPr="003A4022">
        <w:rPr>
          <w:szCs w:val="22"/>
        </w:rPr>
        <w:t>cannot be a right to manufacture any product, nor a righ</w:t>
      </w:r>
      <w:r w:rsidR="00DB714C">
        <w:rPr>
          <w:szCs w:val="22"/>
        </w:rPr>
        <w:t>t to expand into other products”</w:t>
      </w:r>
      <w:r w:rsidR="006A75DC" w:rsidRPr="003A4022">
        <w:rPr>
          <w:szCs w:val="22"/>
        </w:rPr>
        <w:t xml:space="preserve">. </w:t>
      </w:r>
      <w:r w:rsidR="000678C4">
        <w:rPr>
          <w:szCs w:val="22"/>
        </w:rPr>
        <w:t xml:space="preserve"> </w:t>
      </w:r>
      <w:r w:rsidR="006A75DC" w:rsidRPr="003A4022">
        <w:rPr>
          <w:szCs w:val="22"/>
        </w:rPr>
        <w:t>The Court of Appeal upheld the view of the Patents Court</w:t>
      </w:r>
      <w:r w:rsidR="00836DDF">
        <w:rPr>
          <w:szCs w:val="22"/>
        </w:rPr>
        <w:t xml:space="preserve"> that “</w:t>
      </w:r>
      <w:r w:rsidR="006A75DC" w:rsidRPr="003A4022">
        <w:rPr>
          <w:szCs w:val="22"/>
        </w:rPr>
        <w:t xml:space="preserve">if the protected act has to be exactly the same (whatever that may mean) as the prior art then the protection given by the section would be illusory. </w:t>
      </w:r>
      <w:r w:rsidR="000678C4">
        <w:rPr>
          <w:szCs w:val="22"/>
        </w:rPr>
        <w:t xml:space="preserve"> </w:t>
      </w:r>
      <w:r w:rsidR="006A75DC" w:rsidRPr="003A4022">
        <w:rPr>
          <w:szCs w:val="22"/>
        </w:rPr>
        <w:t>The section is intended to give practical protection to enable a man to continue in sub</w:t>
      </w:r>
      <w:r w:rsidR="00836DDF">
        <w:rPr>
          <w:szCs w:val="22"/>
        </w:rPr>
        <w:t>stance what he was doing before”</w:t>
      </w:r>
      <w:r w:rsidR="006A75DC" w:rsidRPr="003A4022">
        <w:rPr>
          <w:szCs w:val="22"/>
        </w:rPr>
        <w:t xml:space="preserve">. </w:t>
      </w:r>
    </w:p>
    <w:p w14:paraId="3A2F6187" w14:textId="77777777" w:rsidR="006A75DC" w:rsidRDefault="006A75DC" w:rsidP="0038250F">
      <w:pPr>
        <w:rPr>
          <w:szCs w:val="22"/>
        </w:rPr>
      </w:pPr>
    </w:p>
    <w:p w14:paraId="05EEA806" w14:textId="77777777" w:rsidR="00543726" w:rsidRDefault="00543726">
      <w:pPr>
        <w:rPr>
          <w:i/>
          <w:szCs w:val="22"/>
        </w:rPr>
      </w:pPr>
      <w:r>
        <w:rPr>
          <w:i/>
          <w:szCs w:val="22"/>
        </w:rPr>
        <w:br w:type="page"/>
      </w:r>
    </w:p>
    <w:p w14:paraId="46BD4645" w14:textId="285953C0" w:rsidR="00E12241" w:rsidRPr="00E12241" w:rsidRDefault="001E025A" w:rsidP="0038250F">
      <w:pPr>
        <w:rPr>
          <w:i/>
          <w:szCs w:val="22"/>
        </w:rPr>
      </w:pPr>
      <w:r>
        <w:rPr>
          <w:i/>
          <w:szCs w:val="22"/>
        </w:rPr>
        <w:lastRenderedPageBreak/>
        <w:t>Abandonment of prior use</w:t>
      </w:r>
    </w:p>
    <w:p w14:paraId="663D90D1" w14:textId="77777777" w:rsidR="00E12241" w:rsidRDefault="00E12241" w:rsidP="0038250F">
      <w:pPr>
        <w:rPr>
          <w:szCs w:val="22"/>
        </w:rPr>
      </w:pPr>
    </w:p>
    <w:p w14:paraId="62E99444" w14:textId="77777777" w:rsidR="00581D2F" w:rsidRPr="003A4022" w:rsidRDefault="00581D2F" w:rsidP="005F6B18">
      <w:pPr>
        <w:shd w:val="clear" w:color="auto" w:fill="FFFFFF"/>
        <w:rPr>
          <w:rFonts w:eastAsia="Times New Roman"/>
          <w:color w:val="333333"/>
          <w:szCs w:val="22"/>
          <w:lang w:val="en" w:eastAsia="en-US"/>
        </w:rPr>
      </w:pPr>
      <w:r>
        <w:rPr>
          <w:szCs w:val="22"/>
        </w:rPr>
        <w:fldChar w:fldCharType="begin"/>
      </w:r>
      <w:r>
        <w:rPr>
          <w:szCs w:val="22"/>
        </w:rPr>
        <w:instrText xml:space="preserve"> AUTONUM  </w:instrText>
      </w:r>
      <w:r>
        <w:rPr>
          <w:szCs w:val="22"/>
        </w:rPr>
        <w:fldChar w:fldCharType="end"/>
      </w:r>
      <w:r>
        <w:rPr>
          <w:szCs w:val="22"/>
        </w:rPr>
        <w:tab/>
        <w:t>In addition, some other limitations</w:t>
      </w:r>
      <w:r w:rsidR="0049382D">
        <w:rPr>
          <w:szCs w:val="22"/>
        </w:rPr>
        <w:t xml:space="preserve"> are provided</w:t>
      </w:r>
      <w:r>
        <w:rPr>
          <w:szCs w:val="22"/>
        </w:rPr>
        <w:t xml:space="preserve"> to the scope of the exception</w:t>
      </w:r>
      <w:r w:rsidR="0049382D">
        <w:rPr>
          <w:szCs w:val="22"/>
        </w:rPr>
        <w:t xml:space="preserve"> under some laws</w:t>
      </w:r>
      <w:r>
        <w:rPr>
          <w:szCs w:val="22"/>
        </w:rPr>
        <w:t xml:space="preserve">. </w:t>
      </w:r>
      <w:r w:rsidR="002D73D9">
        <w:rPr>
          <w:szCs w:val="22"/>
        </w:rPr>
        <w:t xml:space="preserve"> For example, i</w:t>
      </w:r>
      <w:r>
        <w:rPr>
          <w:szCs w:val="22"/>
        </w:rPr>
        <w:t xml:space="preserve">n the United States of America, it is </w:t>
      </w:r>
      <w:r w:rsidRPr="00AE2CE5">
        <w:rPr>
          <w:szCs w:val="22"/>
        </w:rPr>
        <w:t xml:space="preserve">specifically clarified </w:t>
      </w:r>
      <w:r>
        <w:rPr>
          <w:szCs w:val="22"/>
        </w:rPr>
        <w:t xml:space="preserve">that a defense to infringement based on prior commercial use </w:t>
      </w:r>
      <w:r w:rsidRPr="00AE2CE5">
        <w:rPr>
          <w:szCs w:val="22"/>
        </w:rPr>
        <w:t>ceases with abandonment of use</w:t>
      </w:r>
      <w:r>
        <w:rPr>
          <w:szCs w:val="22"/>
        </w:rPr>
        <w:t xml:space="preserve"> by stating that </w:t>
      </w:r>
      <w:r w:rsidR="000678C4">
        <w:rPr>
          <w:szCs w:val="22"/>
        </w:rPr>
        <w:br/>
      </w:r>
      <w:r>
        <w:rPr>
          <w:szCs w:val="22"/>
        </w:rPr>
        <w:t>“</w:t>
      </w:r>
      <w:r w:rsidRPr="003A4022">
        <w:rPr>
          <w:szCs w:val="22"/>
        </w:rPr>
        <w:t>A person who has abandoned commercial use (that qualifies under this section) of subject matter may not rely on activities performed before the date of such abandonment in establishing a defense under this section with respect to actions taken on or after the date of such abandonment</w:t>
      </w:r>
      <w:r w:rsidR="000678C4">
        <w:rPr>
          <w:szCs w:val="22"/>
        </w:rPr>
        <w:t>.</w:t>
      </w:r>
      <w:r>
        <w:rPr>
          <w:szCs w:val="22"/>
        </w:rPr>
        <w:t>”  Similarly in Australia, the prior use exception does not apply if, “</w:t>
      </w:r>
      <w:r w:rsidRPr="0032430C">
        <w:rPr>
          <w:szCs w:val="22"/>
        </w:rPr>
        <w:t xml:space="preserve">before the priority date, the person: </w:t>
      </w:r>
      <w:r w:rsidR="000678C4">
        <w:rPr>
          <w:szCs w:val="22"/>
        </w:rPr>
        <w:t xml:space="preserve"> </w:t>
      </w:r>
      <w:r w:rsidRPr="0032430C">
        <w:rPr>
          <w:szCs w:val="22"/>
        </w:rPr>
        <w:t>(a) had stopped (except temporarily) exploiting the product, method or process in the patent area; or (b) had abandoned (except temporarily) the steps to exploit the product, method or process in the patent area</w:t>
      </w:r>
      <w:r w:rsidR="000678C4">
        <w:rPr>
          <w:szCs w:val="22"/>
        </w:rPr>
        <w:t>”</w:t>
      </w:r>
      <w:r w:rsidRPr="0032430C">
        <w:rPr>
          <w:szCs w:val="22"/>
        </w:rPr>
        <w:t>.</w:t>
      </w:r>
    </w:p>
    <w:p w14:paraId="35E9D596" w14:textId="77777777" w:rsidR="00EA67B9" w:rsidRDefault="00EA67B9" w:rsidP="00EA7415">
      <w:pPr>
        <w:rPr>
          <w:szCs w:val="22"/>
        </w:rPr>
      </w:pPr>
    </w:p>
    <w:p w14:paraId="66B3B002" w14:textId="77777777" w:rsidR="00A2409C" w:rsidRPr="00A2409C" w:rsidRDefault="00A2409C" w:rsidP="00EA7415">
      <w:pPr>
        <w:rPr>
          <w:i/>
          <w:szCs w:val="22"/>
        </w:rPr>
      </w:pPr>
      <w:r w:rsidRPr="00A2409C">
        <w:rPr>
          <w:i/>
          <w:szCs w:val="22"/>
        </w:rPr>
        <w:t>Date for establishing the prior use exception</w:t>
      </w:r>
    </w:p>
    <w:p w14:paraId="167438BC" w14:textId="77777777" w:rsidR="00A2409C" w:rsidRDefault="00A2409C" w:rsidP="00EA7415">
      <w:pPr>
        <w:rPr>
          <w:szCs w:val="22"/>
        </w:rPr>
      </w:pPr>
    </w:p>
    <w:p w14:paraId="03B14F61" w14:textId="77777777" w:rsidR="00EA67B9" w:rsidRDefault="00EA67B9" w:rsidP="00EA7415">
      <w:pPr>
        <w:pStyle w:val="FootnoteText"/>
        <w:rPr>
          <w:sz w:val="22"/>
          <w:szCs w:val="22"/>
        </w:rPr>
      </w:pPr>
      <w:r w:rsidRPr="007C5294">
        <w:rPr>
          <w:sz w:val="22"/>
          <w:szCs w:val="22"/>
        </w:rPr>
        <w:fldChar w:fldCharType="begin"/>
      </w:r>
      <w:r w:rsidRPr="007C5294">
        <w:rPr>
          <w:sz w:val="22"/>
          <w:szCs w:val="22"/>
        </w:rPr>
        <w:instrText xml:space="preserve"> AUTONUM  </w:instrText>
      </w:r>
      <w:r w:rsidRPr="007C5294">
        <w:rPr>
          <w:sz w:val="22"/>
          <w:szCs w:val="22"/>
        </w:rPr>
        <w:fldChar w:fldCharType="end"/>
      </w:r>
      <w:r w:rsidRPr="007C5294">
        <w:rPr>
          <w:sz w:val="22"/>
          <w:szCs w:val="22"/>
        </w:rPr>
        <w:tab/>
      </w:r>
      <w:r w:rsidRPr="00E045D2">
        <w:rPr>
          <w:sz w:val="22"/>
          <w:szCs w:val="22"/>
        </w:rPr>
        <w:t xml:space="preserve">With regard to the date for establishing the prior use exception, </w:t>
      </w:r>
      <w:r w:rsidR="00E045D2" w:rsidRPr="00E045D2">
        <w:rPr>
          <w:sz w:val="22"/>
          <w:szCs w:val="22"/>
        </w:rPr>
        <w:t>some</w:t>
      </w:r>
      <w:r w:rsidRPr="00E045D2">
        <w:rPr>
          <w:sz w:val="22"/>
          <w:szCs w:val="22"/>
        </w:rPr>
        <w:t xml:space="preserve"> Member States refer to the d</w:t>
      </w:r>
      <w:r w:rsidR="00E045D2" w:rsidRPr="00E045D2">
        <w:rPr>
          <w:sz w:val="22"/>
          <w:szCs w:val="22"/>
        </w:rPr>
        <w:t xml:space="preserve">ate of filing, </w:t>
      </w:r>
      <w:r w:rsidRPr="00E045D2">
        <w:rPr>
          <w:sz w:val="22"/>
          <w:szCs w:val="22"/>
        </w:rPr>
        <w:t>some Member States refer to the priority date</w:t>
      </w:r>
      <w:r w:rsidR="00E045D2" w:rsidRPr="00E045D2">
        <w:rPr>
          <w:sz w:val="22"/>
          <w:szCs w:val="22"/>
        </w:rPr>
        <w:t>, and some Member States refer to both</w:t>
      </w:r>
      <w:r w:rsidRPr="00E045D2">
        <w:rPr>
          <w:sz w:val="22"/>
          <w:szCs w:val="22"/>
        </w:rPr>
        <w:t>.  In the United States of America, a person is entitled to a defense based on prior commercial</w:t>
      </w:r>
      <w:r>
        <w:rPr>
          <w:sz w:val="22"/>
          <w:szCs w:val="22"/>
        </w:rPr>
        <w:t xml:space="preserve"> use if, </w:t>
      </w:r>
      <w:r w:rsidRPr="00EA67B9">
        <w:rPr>
          <w:i/>
          <w:sz w:val="22"/>
          <w:szCs w:val="22"/>
        </w:rPr>
        <w:t>inter alia</w:t>
      </w:r>
      <w:r>
        <w:rPr>
          <w:sz w:val="22"/>
          <w:szCs w:val="22"/>
        </w:rPr>
        <w:t>, “</w:t>
      </w:r>
      <w:r w:rsidRPr="00EA67B9">
        <w:rPr>
          <w:sz w:val="22"/>
          <w:szCs w:val="22"/>
        </w:rPr>
        <w:t>such commercial use occurred at least 1 year before the earlier of either—</w:t>
      </w:r>
      <w:r>
        <w:rPr>
          <w:sz w:val="22"/>
          <w:szCs w:val="22"/>
        </w:rPr>
        <w:t xml:space="preserve"> </w:t>
      </w:r>
      <w:r w:rsidRPr="00EA67B9">
        <w:rPr>
          <w:sz w:val="22"/>
          <w:szCs w:val="22"/>
        </w:rPr>
        <w:t>‘‘(A) the effective filing date of the claimed invention; or</w:t>
      </w:r>
      <w:r>
        <w:rPr>
          <w:sz w:val="22"/>
          <w:szCs w:val="22"/>
        </w:rPr>
        <w:t xml:space="preserve"> </w:t>
      </w:r>
      <w:r w:rsidRPr="00EA67B9">
        <w:rPr>
          <w:sz w:val="22"/>
          <w:szCs w:val="22"/>
        </w:rPr>
        <w:t>‘‘(B) the date on which the claimed invention was disclosed to the public in a manner that qualified for the</w:t>
      </w:r>
      <w:r>
        <w:rPr>
          <w:sz w:val="22"/>
          <w:szCs w:val="22"/>
        </w:rPr>
        <w:t xml:space="preserve"> </w:t>
      </w:r>
      <w:r w:rsidRPr="00EA67B9">
        <w:rPr>
          <w:sz w:val="22"/>
          <w:szCs w:val="22"/>
        </w:rPr>
        <w:t>exception from prior art under section 102(b).</w:t>
      </w:r>
      <w:r>
        <w:rPr>
          <w:sz w:val="22"/>
          <w:szCs w:val="22"/>
        </w:rPr>
        <w:t>”</w:t>
      </w:r>
      <w:r w:rsidR="00C500F8" w:rsidRPr="00C500F8">
        <w:rPr>
          <w:rStyle w:val="FootnoteReference"/>
          <w:szCs w:val="22"/>
        </w:rPr>
        <w:t xml:space="preserve"> </w:t>
      </w:r>
      <w:r w:rsidR="00C500F8">
        <w:rPr>
          <w:rStyle w:val="FootnoteReference"/>
          <w:szCs w:val="22"/>
        </w:rPr>
        <w:footnoteReference w:id="46"/>
      </w:r>
      <w:r w:rsidR="00E045D2">
        <w:rPr>
          <w:sz w:val="22"/>
          <w:szCs w:val="22"/>
        </w:rPr>
        <w:t xml:space="preserve">  </w:t>
      </w:r>
      <w:r>
        <w:rPr>
          <w:sz w:val="22"/>
          <w:szCs w:val="22"/>
        </w:rPr>
        <w:t>Australian Patents</w:t>
      </w:r>
      <w:r w:rsidR="00C500F8">
        <w:rPr>
          <w:sz w:val="22"/>
          <w:szCs w:val="22"/>
        </w:rPr>
        <w:t xml:space="preserve"> Act </w:t>
      </w:r>
      <w:r w:rsidR="002D73D9">
        <w:rPr>
          <w:sz w:val="22"/>
          <w:szCs w:val="22"/>
        </w:rPr>
        <w:t>provides</w:t>
      </w:r>
      <w:r w:rsidR="00C500F8">
        <w:rPr>
          <w:sz w:val="22"/>
          <w:szCs w:val="22"/>
        </w:rPr>
        <w:t xml:space="preserve"> that the prior use activities</w:t>
      </w:r>
      <w:r>
        <w:rPr>
          <w:sz w:val="22"/>
          <w:szCs w:val="22"/>
        </w:rPr>
        <w:t>, as defined in that law, should take place “</w:t>
      </w:r>
      <w:r w:rsidRPr="00C500F8">
        <w:rPr>
          <w:sz w:val="22"/>
          <w:szCs w:val="22"/>
        </w:rPr>
        <w:t>immediately before the priority date of the relevant claim</w:t>
      </w:r>
      <w:r w:rsidR="00C500F8" w:rsidRPr="00C500F8">
        <w:rPr>
          <w:sz w:val="22"/>
          <w:szCs w:val="22"/>
        </w:rPr>
        <w:t>”</w:t>
      </w:r>
      <w:r w:rsidR="00C500F8">
        <w:rPr>
          <w:sz w:val="22"/>
          <w:szCs w:val="22"/>
        </w:rPr>
        <w:t>.</w:t>
      </w:r>
      <w:r w:rsidR="00C500F8" w:rsidRPr="00C500F8">
        <w:rPr>
          <w:rStyle w:val="FootnoteReference"/>
          <w:szCs w:val="22"/>
        </w:rPr>
        <w:t xml:space="preserve"> </w:t>
      </w:r>
      <w:r w:rsidR="00C500F8">
        <w:rPr>
          <w:rStyle w:val="FootnoteReference"/>
          <w:szCs w:val="22"/>
        </w:rPr>
        <w:footnoteReference w:id="47"/>
      </w:r>
    </w:p>
    <w:p w14:paraId="443EEFDD" w14:textId="77777777" w:rsidR="00BB468F" w:rsidRDefault="00BB468F" w:rsidP="003C2273">
      <w:pPr>
        <w:rPr>
          <w:szCs w:val="22"/>
        </w:rPr>
      </w:pPr>
    </w:p>
    <w:p w14:paraId="3D84D0E5" w14:textId="77777777" w:rsidR="00A2409C" w:rsidRDefault="00A2409C" w:rsidP="003C2273">
      <w:pPr>
        <w:rPr>
          <w:i/>
          <w:iCs/>
          <w:szCs w:val="22"/>
        </w:rPr>
      </w:pPr>
      <w:r w:rsidRPr="00A2409C">
        <w:rPr>
          <w:i/>
          <w:iCs/>
          <w:szCs w:val="22"/>
        </w:rPr>
        <w:t xml:space="preserve">Assignment </w:t>
      </w:r>
      <w:r w:rsidR="00F73839">
        <w:rPr>
          <w:i/>
          <w:iCs/>
          <w:szCs w:val="22"/>
        </w:rPr>
        <w:t>and/</w:t>
      </w:r>
      <w:r w:rsidRPr="00A2409C">
        <w:rPr>
          <w:i/>
          <w:iCs/>
          <w:szCs w:val="22"/>
        </w:rPr>
        <w:t xml:space="preserve">or licensing </w:t>
      </w:r>
    </w:p>
    <w:p w14:paraId="2B4EB257" w14:textId="77777777" w:rsidR="00B4507C" w:rsidRDefault="00B4507C" w:rsidP="003C2273">
      <w:pPr>
        <w:rPr>
          <w:szCs w:val="22"/>
        </w:rPr>
      </w:pPr>
    </w:p>
    <w:p w14:paraId="051C8295" w14:textId="3695CDEF" w:rsidR="00ED5435" w:rsidRDefault="00F20879" w:rsidP="0038250F">
      <w:pPr>
        <w:rPr>
          <w:iCs/>
          <w:szCs w:val="22"/>
        </w:rPr>
      </w:pPr>
      <w:r w:rsidRPr="00903588">
        <w:rPr>
          <w:iCs/>
          <w:szCs w:val="22"/>
        </w:rPr>
        <w:fldChar w:fldCharType="begin"/>
      </w:r>
      <w:r w:rsidRPr="00903588">
        <w:rPr>
          <w:iCs/>
          <w:szCs w:val="22"/>
        </w:rPr>
        <w:instrText xml:space="preserve"> AUTONUM  </w:instrText>
      </w:r>
      <w:r w:rsidRPr="00903588">
        <w:rPr>
          <w:iCs/>
          <w:szCs w:val="22"/>
        </w:rPr>
        <w:fldChar w:fldCharType="end"/>
      </w:r>
      <w:r w:rsidRPr="00903588">
        <w:rPr>
          <w:iCs/>
          <w:szCs w:val="22"/>
        </w:rPr>
        <w:tab/>
        <w:t>With reference to assignment or licensing of prior user rights</w:t>
      </w:r>
      <w:r>
        <w:rPr>
          <w:iCs/>
          <w:szCs w:val="22"/>
        </w:rPr>
        <w:t>,</w:t>
      </w:r>
      <w:r w:rsidRPr="00903588">
        <w:rPr>
          <w:iCs/>
          <w:szCs w:val="22"/>
        </w:rPr>
        <w:t xml:space="preserve"> </w:t>
      </w:r>
      <w:r w:rsidR="00521FCE">
        <w:rPr>
          <w:iCs/>
          <w:szCs w:val="22"/>
        </w:rPr>
        <w:t xml:space="preserve">most Member States and </w:t>
      </w:r>
      <w:r w:rsidR="00A2409C">
        <w:rPr>
          <w:iCs/>
          <w:szCs w:val="22"/>
        </w:rPr>
        <w:t xml:space="preserve">the </w:t>
      </w:r>
      <w:r w:rsidR="00521FCE">
        <w:rPr>
          <w:iCs/>
          <w:szCs w:val="22"/>
        </w:rPr>
        <w:t>EAPO allow a prior user to assign and/or transfer his prior u</w:t>
      </w:r>
      <w:r w:rsidR="00875BA9">
        <w:rPr>
          <w:iCs/>
          <w:szCs w:val="22"/>
        </w:rPr>
        <w:t>ser’s right to a third party.  S</w:t>
      </w:r>
      <w:r w:rsidRPr="00903588">
        <w:rPr>
          <w:iCs/>
          <w:szCs w:val="22"/>
        </w:rPr>
        <w:t xml:space="preserve">ome of those Member </w:t>
      </w:r>
      <w:r w:rsidR="00875BA9" w:rsidRPr="00903588">
        <w:rPr>
          <w:iCs/>
          <w:szCs w:val="22"/>
        </w:rPr>
        <w:t>States</w:t>
      </w:r>
      <w:r w:rsidRPr="00903588">
        <w:rPr>
          <w:iCs/>
          <w:szCs w:val="22"/>
        </w:rPr>
        <w:t xml:space="preserve"> </w:t>
      </w:r>
      <w:r w:rsidR="00875BA9">
        <w:rPr>
          <w:iCs/>
          <w:szCs w:val="22"/>
        </w:rPr>
        <w:t xml:space="preserve">expressly stated that </w:t>
      </w:r>
      <w:r w:rsidRPr="00903588">
        <w:rPr>
          <w:iCs/>
          <w:szCs w:val="22"/>
        </w:rPr>
        <w:t>the right could only be assign</w:t>
      </w:r>
      <w:r>
        <w:rPr>
          <w:iCs/>
          <w:szCs w:val="22"/>
        </w:rPr>
        <w:t>ed,</w:t>
      </w:r>
      <w:r w:rsidR="000672F9">
        <w:rPr>
          <w:iCs/>
          <w:szCs w:val="22"/>
        </w:rPr>
        <w:t xml:space="preserve"> but not licensed. </w:t>
      </w:r>
      <w:r w:rsidR="004D5C21">
        <w:rPr>
          <w:iCs/>
          <w:szCs w:val="22"/>
        </w:rPr>
        <w:t xml:space="preserve">However, in Pakistan, prior </w:t>
      </w:r>
      <w:r w:rsidR="00DB54D8">
        <w:rPr>
          <w:iCs/>
          <w:szCs w:val="22"/>
        </w:rPr>
        <w:t>user’s</w:t>
      </w:r>
      <w:r w:rsidR="004D5C21">
        <w:rPr>
          <w:iCs/>
          <w:szCs w:val="22"/>
        </w:rPr>
        <w:t xml:space="preserve"> rights could be licensed and</w:t>
      </w:r>
      <w:r w:rsidR="00ED5435">
        <w:rPr>
          <w:iCs/>
          <w:szCs w:val="22"/>
        </w:rPr>
        <w:t>/or</w:t>
      </w:r>
      <w:r w:rsidR="004D5C21">
        <w:rPr>
          <w:iCs/>
          <w:szCs w:val="22"/>
        </w:rPr>
        <w:t xml:space="preserve"> assigned.</w:t>
      </w:r>
      <w:r w:rsidR="004D5C21">
        <w:rPr>
          <w:rStyle w:val="FootnoteReference"/>
          <w:iCs/>
          <w:szCs w:val="22"/>
        </w:rPr>
        <w:footnoteReference w:id="48"/>
      </w:r>
      <w:r w:rsidR="002113B8">
        <w:rPr>
          <w:iCs/>
          <w:szCs w:val="22"/>
        </w:rPr>
        <w:t xml:space="preserve"> </w:t>
      </w:r>
      <w:r w:rsidR="007B69D7">
        <w:rPr>
          <w:iCs/>
          <w:szCs w:val="22"/>
        </w:rPr>
        <w:t xml:space="preserve"> </w:t>
      </w:r>
      <w:r w:rsidRPr="00903588">
        <w:rPr>
          <w:iCs/>
          <w:szCs w:val="22"/>
        </w:rPr>
        <w:t>In the rest of the Member States</w:t>
      </w:r>
      <w:r>
        <w:rPr>
          <w:iCs/>
          <w:szCs w:val="22"/>
        </w:rPr>
        <w:t>,</w:t>
      </w:r>
      <w:r w:rsidRPr="00903588">
        <w:rPr>
          <w:iCs/>
          <w:szCs w:val="22"/>
        </w:rPr>
        <w:t xml:space="preserve"> the right could </w:t>
      </w:r>
      <w:r>
        <w:rPr>
          <w:iCs/>
          <w:szCs w:val="22"/>
        </w:rPr>
        <w:t xml:space="preserve">be </w:t>
      </w:r>
      <w:r w:rsidRPr="00903588">
        <w:rPr>
          <w:iCs/>
          <w:szCs w:val="22"/>
        </w:rPr>
        <w:t>neither assigned nor licensed.</w:t>
      </w:r>
      <w:r w:rsidR="00875BA9">
        <w:rPr>
          <w:rStyle w:val="FootnoteReference"/>
          <w:iCs/>
          <w:szCs w:val="22"/>
        </w:rPr>
        <w:footnoteReference w:id="49"/>
      </w:r>
      <w:r w:rsidRPr="00903588">
        <w:rPr>
          <w:iCs/>
          <w:szCs w:val="22"/>
        </w:rPr>
        <w:t xml:space="preserve">  </w:t>
      </w:r>
    </w:p>
    <w:p w14:paraId="31CA52D7" w14:textId="77777777" w:rsidR="00ED5435" w:rsidRDefault="00ED5435" w:rsidP="00F74913">
      <w:pPr>
        <w:rPr>
          <w:iCs/>
          <w:szCs w:val="22"/>
        </w:rPr>
      </w:pPr>
    </w:p>
    <w:p w14:paraId="39D8CB3C" w14:textId="2EB13C1B" w:rsidR="002874A4" w:rsidRPr="00DB54D8" w:rsidRDefault="00ED5435" w:rsidP="000678C4">
      <w:pPr>
        <w:shd w:val="clear" w:color="auto" w:fill="FFFFFF"/>
        <w:rPr>
          <w:iCs/>
          <w:szCs w:val="22"/>
        </w:rPr>
      </w:pPr>
      <w:r>
        <w:rPr>
          <w:iCs/>
          <w:szCs w:val="22"/>
        </w:rPr>
        <w:fldChar w:fldCharType="begin"/>
      </w:r>
      <w:r>
        <w:rPr>
          <w:iCs/>
          <w:szCs w:val="22"/>
        </w:rPr>
        <w:instrText xml:space="preserve"> AUTONUM  </w:instrText>
      </w:r>
      <w:r>
        <w:rPr>
          <w:iCs/>
          <w:szCs w:val="22"/>
        </w:rPr>
        <w:fldChar w:fldCharType="end"/>
      </w:r>
      <w:r>
        <w:rPr>
          <w:iCs/>
          <w:szCs w:val="22"/>
        </w:rPr>
        <w:tab/>
      </w:r>
      <w:r w:rsidR="00F20879" w:rsidRPr="00903588">
        <w:rPr>
          <w:iCs/>
          <w:szCs w:val="22"/>
        </w:rPr>
        <w:t>In the vast majority of those Member States which allow for assignment and</w:t>
      </w:r>
      <w:r w:rsidR="00875BA9">
        <w:rPr>
          <w:iCs/>
          <w:szCs w:val="22"/>
        </w:rPr>
        <w:t>/or</w:t>
      </w:r>
      <w:r w:rsidR="002113B8">
        <w:rPr>
          <w:iCs/>
          <w:szCs w:val="22"/>
        </w:rPr>
        <w:t xml:space="preserve"> licensing and/or </w:t>
      </w:r>
      <w:r>
        <w:rPr>
          <w:iCs/>
          <w:szCs w:val="22"/>
        </w:rPr>
        <w:t>transfer</w:t>
      </w:r>
      <w:r w:rsidR="00F20879">
        <w:rPr>
          <w:iCs/>
          <w:szCs w:val="22"/>
        </w:rPr>
        <w:t xml:space="preserve"> of the prior user</w:t>
      </w:r>
      <w:r w:rsidR="00F33053">
        <w:rPr>
          <w:iCs/>
          <w:szCs w:val="22"/>
        </w:rPr>
        <w:t>’s</w:t>
      </w:r>
      <w:r w:rsidR="00F20879">
        <w:rPr>
          <w:iCs/>
          <w:szCs w:val="22"/>
        </w:rPr>
        <w:t xml:space="preserve"> right</w:t>
      </w:r>
      <w:r w:rsidR="00F20879" w:rsidRPr="00903588">
        <w:rPr>
          <w:iCs/>
          <w:szCs w:val="22"/>
        </w:rPr>
        <w:t xml:space="preserve">, the condition is that the right has to be transferred </w:t>
      </w:r>
      <w:r w:rsidR="00F20879" w:rsidRPr="0082339D">
        <w:rPr>
          <w:iCs/>
          <w:szCs w:val="22"/>
        </w:rPr>
        <w:t>together with the business</w:t>
      </w:r>
      <w:r w:rsidR="00E840E8">
        <w:rPr>
          <w:iCs/>
          <w:szCs w:val="22"/>
        </w:rPr>
        <w:t xml:space="preserve"> where such use </w:t>
      </w:r>
      <w:r w:rsidR="00810AB1">
        <w:rPr>
          <w:iCs/>
          <w:szCs w:val="22"/>
        </w:rPr>
        <w:t>has been</w:t>
      </w:r>
      <w:r w:rsidR="00E840E8">
        <w:rPr>
          <w:iCs/>
          <w:szCs w:val="22"/>
        </w:rPr>
        <w:t xml:space="preserve"> carried out.</w:t>
      </w:r>
      <w:r w:rsidR="00E840E8">
        <w:rPr>
          <w:rStyle w:val="FootnoteReference"/>
          <w:iCs/>
          <w:szCs w:val="22"/>
        </w:rPr>
        <w:footnoteReference w:id="50"/>
      </w:r>
      <w:r w:rsidR="00E840E8">
        <w:rPr>
          <w:iCs/>
          <w:szCs w:val="22"/>
        </w:rPr>
        <w:t xml:space="preserve">  </w:t>
      </w:r>
      <w:r w:rsidR="00CE7673">
        <w:rPr>
          <w:iCs/>
          <w:szCs w:val="22"/>
        </w:rPr>
        <w:t>In that regard, Section 273 of the United States Code provide “[e]</w:t>
      </w:r>
      <w:proofErr w:type="spellStart"/>
      <w:r w:rsidR="00CE7673" w:rsidRPr="003A4022">
        <w:rPr>
          <w:szCs w:val="22"/>
        </w:rPr>
        <w:t>xcept</w:t>
      </w:r>
      <w:proofErr w:type="spellEnd"/>
      <w:r w:rsidR="00CE7673" w:rsidRPr="003A4022">
        <w:rPr>
          <w:szCs w:val="22"/>
        </w:rPr>
        <w:t xml:space="preserve"> for any transfer to the patent owner, the right to assert a defense under this section shall not be licensed or assigned or transferred to another person except as an ancillary and subordinate part of a good-faith assignment or transfer for other reasons of the entire enterprise or line of business to which the defense relates</w:t>
      </w:r>
      <w:r w:rsidR="00810AB1">
        <w:rPr>
          <w:szCs w:val="22"/>
        </w:rPr>
        <w:t>”</w:t>
      </w:r>
      <w:r w:rsidR="00CE7673" w:rsidRPr="003A4022">
        <w:rPr>
          <w:szCs w:val="22"/>
        </w:rPr>
        <w:t>.</w:t>
      </w:r>
      <w:r w:rsidR="00CE7673">
        <w:rPr>
          <w:iCs/>
          <w:szCs w:val="22"/>
        </w:rPr>
        <w:t xml:space="preserve">  </w:t>
      </w:r>
      <w:r w:rsidR="009E02ED">
        <w:rPr>
          <w:szCs w:val="22"/>
        </w:rPr>
        <w:t>In Brazil, the prior user’s rights “</w:t>
      </w:r>
      <w:r w:rsidR="009E02ED" w:rsidRPr="00450207">
        <w:rPr>
          <w:szCs w:val="22"/>
        </w:rPr>
        <w:t xml:space="preserve">may be assigned only by transfer or leasing, together with the </w:t>
      </w:r>
      <w:r w:rsidR="009E02ED" w:rsidRPr="00450207">
        <w:rPr>
          <w:szCs w:val="22"/>
        </w:rPr>
        <w:lastRenderedPageBreak/>
        <w:t xml:space="preserve">business of the undertaking or the part thereof that has direct relation with the exploitation of the subject matter of the patent.” </w:t>
      </w:r>
      <w:r w:rsidR="00BF1017">
        <w:rPr>
          <w:szCs w:val="22"/>
        </w:rPr>
        <w:t xml:space="preserve"> In Romania, while the law allows the transfer of prior user’s rights, such transfer is restricted to the assignment and </w:t>
      </w:r>
      <w:r w:rsidR="000678C4">
        <w:rPr>
          <w:szCs w:val="22"/>
        </w:rPr>
        <w:t>inheritance</w:t>
      </w:r>
      <w:r w:rsidR="00BF1017">
        <w:rPr>
          <w:szCs w:val="22"/>
        </w:rPr>
        <w:t>.</w:t>
      </w:r>
      <w:r w:rsidR="00A1151E">
        <w:rPr>
          <w:szCs w:val="22"/>
        </w:rPr>
        <w:t xml:space="preserve"> </w:t>
      </w:r>
      <w:r w:rsidR="009E02ED" w:rsidRPr="00450207">
        <w:rPr>
          <w:szCs w:val="22"/>
        </w:rPr>
        <w:t xml:space="preserve"> </w:t>
      </w:r>
      <w:r w:rsidR="00CE7673">
        <w:rPr>
          <w:szCs w:val="22"/>
        </w:rPr>
        <w:t xml:space="preserve">In </w:t>
      </w:r>
      <w:r w:rsidR="00296AD8">
        <w:rPr>
          <w:szCs w:val="22"/>
        </w:rPr>
        <w:t xml:space="preserve">the </w:t>
      </w:r>
      <w:r w:rsidR="00CE7673">
        <w:rPr>
          <w:szCs w:val="22"/>
        </w:rPr>
        <w:t>Republic of Korea,</w:t>
      </w:r>
      <w:r w:rsidR="00296AD8">
        <w:rPr>
          <w:szCs w:val="22"/>
        </w:rPr>
        <w:t xml:space="preserve"> where prior user has a </w:t>
      </w:r>
      <w:r w:rsidR="00CE7673" w:rsidRPr="003A4022">
        <w:rPr>
          <w:szCs w:val="22"/>
        </w:rPr>
        <w:t>non</w:t>
      </w:r>
      <w:r w:rsidR="00296AD8">
        <w:rPr>
          <w:szCs w:val="22"/>
        </w:rPr>
        <w:t>-</w:t>
      </w:r>
      <w:r w:rsidR="00CE7673" w:rsidRPr="003A4022">
        <w:rPr>
          <w:szCs w:val="22"/>
        </w:rPr>
        <w:t>exclusive license</w:t>
      </w:r>
      <w:r w:rsidR="00296AD8">
        <w:rPr>
          <w:szCs w:val="22"/>
        </w:rPr>
        <w:t xml:space="preserve"> </w:t>
      </w:r>
      <w:r w:rsidR="00296AD8" w:rsidRPr="00401667">
        <w:rPr>
          <w:szCs w:val="22"/>
        </w:rPr>
        <w:t>on the patent right</w:t>
      </w:r>
      <w:r w:rsidR="00296AD8">
        <w:rPr>
          <w:szCs w:val="22"/>
        </w:rPr>
        <w:t xml:space="preserve">, such license </w:t>
      </w:r>
      <w:r w:rsidR="00CE7673" w:rsidRPr="003A4022">
        <w:rPr>
          <w:szCs w:val="22"/>
        </w:rPr>
        <w:t xml:space="preserve">may not be transferred </w:t>
      </w:r>
      <w:r w:rsidR="00296AD8">
        <w:rPr>
          <w:szCs w:val="22"/>
        </w:rPr>
        <w:t>“</w:t>
      </w:r>
      <w:r w:rsidR="00CE7673" w:rsidRPr="003A4022">
        <w:rPr>
          <w:szCs w:val="22"/>
        </w:rPr>
        <w:t>without the consent of the patentee</w:t>
      </w:r>
      <w:r w:rsidR="00296AD8">
        <w:rPr>
          <w:szCs w:val="22"/>
        </w:rPr>
        <w:t>”</w:t>
      </w:r>
      <w:r w:rsidR="00CE7673" w:rsidRPr="003A4022">
        <w:rPr>
          <w:szCs w:val="22"/>
        </w:rPr>
        <w:t>, unless the transfer is made with the underlying business or through inheritance or other general succession.</w:t>
      </w:r>
      <w:r w:rsidR="00296AD8">
        <w:rPr>
          <w:szCs w:val="22"/>
        </w:rPr>
        <w:t xml:space="preserve">  Similarly, in Japan, </w:t>
      </w:r>
      <w:r w:rsidR="002874A4" w:rsidRPr="003A4022">
        <w:rPr>
          <w:szCs w:val="22"/>
        </w:rPr>
        <w:t>a non-exclusive license may be transferred only where</w:t>
      </w:r>
      <w:r w:rsidR="00810AB1">
        <w:rPr>
          <w:szCs w:val="22"/>
        </w:rPr>
        <w:t>: (</w:t>
      </w:r>
      <w:proofErr w:type="spellStart"/>
      <w:r w:rsidR="00810AB1">
        <w:rPr>
          <w:szCs w:val="22"/>
        </w:rPr>
        <w:t>i</w:t>
      </w:r>
      <w:proofErr w:type="spellEnd"/>
      <w:r w:rsidR="00810AB1">
        <w:rPr>
          <w:szCs w:val="22"/>
        </w:rPr>
        <w:t>)</w:t>
      </w:r>
      <w:r w:rsidR="002874A4" w:rsidRPr="003A4022">
        <w:rPr>
          <w:szCs w:val="22"/>
        </w:rPr>
        <w:t xml:space="preserve"> the business involving the working of the relevant inventi</w:t>
      </w:r>
      <w:r w:rsidR="00810AB1">
        <w:rPr>
          <w:szCs w:val="22"/>
        </w:rPr>
        <w:t>on is also transferred;</w:t>
      </w:r>
      <w:r w:rsidR="002874A4" w:rsidRPr="003A4022">
        <w:rPr>
          <w:szCs w:val="22"/>
        </w:rPr>
        <w:t xml:space="preserve"> </w:t>
      </w:r>
      <w:r w:rsidR="00810AB1">
        <w:rPr>
          <w:szCs w:val="22"/>
        </w:rPr>
        <w:t xml:space="preserve">(ii) </w:t>
      </w:r>
      <w:r w:rsidR="002874A4" w:rsidRPr="003A4022">
        <w:rPr>
          <w:szCs w:val="22"/>
        </w:rPr>
        <w:t xml:space="preserve">the consent of the patentee (or, in the case of </w:t>
      </w:r>
      <w:r w:rsidR="00810AB1">
        <w:rPr>
          <w:szCs w:val="22"/>
        </w:rPr>
        <w:t xml:space="preserve">a </w:t>
      </w:r>
      <w:r w:rsidR="002874A4" w:rsidRPr="003A4022">
        <w:rPr>
          <w:szCs w:val="22"/>
        </w:rPr>
        <w:t>non-exclusive license on the exclusive license, the patentee and the exclusive licensee) is obtained</w:t>
      </w:r>
      <w:r w:rsidR="00810AB1">
        <w:rPr>
          <w:szCs w:val="22"/>
        </w:rPr>
        <w:t>; or (iii)</w:t>
      </w:r>
      <w:r w:rsidR="002874A4" w:rsidRPr="003A4022">
        <w:rPr>
          <w:szCs w:val="22"/>
        </w:rPr>
        <w:t xml:space="preserve"> the transfer occurs as a result of general succession including inheritance.</w:t>
      </w:r>
      <w:r w:rsidR="00450207" w:rsidRPr="00450207">
        <w:rPr>
          <w:szCs w:val="22"/>
        </w:rPr>
        <w:t xml:space="preserve"> </w:t>
      </w:r>
      <w:r w:rsidR="00450207">
        <w:rPr>
          <w:szCs w:val="22"/>
        </w:rPr>
        <w:t xml:space="preserve"> </w:t>
      </w:r>
      <w:r w:rsidR="00450207" w:rsidRPr="00903588">
        <w:rPr>
          <w:szCs w:val="22"/>
        </w:rPr>
        <w:t>In</w:t>
      </w:r>
      <w:r w:rsidR="00450207">
        <w:rPr>
          <w:szCs w:val="22"/>
        </w:rPr>
        <w:t xml:space="preserve"> addition, </w:t>
      </w:r>
      <w:r w:rsidR="00A1151E">
        <w:rPr>
          <w:szCs w:val="22"/>
        </w:rPr>
        <w:t xml:space="preserve">for </w:t>
      </w:r>
      <w:r w:rsidR="00450207">
        <w:rPr>
          <w:szCs w:val="22"/>
        </w:rPr>
        <w:t xml:space="preserve">some countries, </w:t>
      </w:r>
      <w:r w:rsidR="00450207" w:rsidRPr="00903588">
        <w:rPr>
          <w:szCs w:val="22"/>
        </w:rPr>
        <w:t>the transfer is restricted to a transfer “during the user’s lifetime</w:t>
      </w:r>
      <w:r w:rsidR="00450207">
        <w:rPr>
          <w:szCs w:val="22"/>
        </w:rPr>
        <w:t>”</w:t>
      </w:r>
      <w:r w:rsidR="00450207" w:rsidRPr="00903588">
        <w:rPr>
          <w:szCs w:val="22"/>
        </w:rPr>
        <w:t xml:space="preserve"> or</w:t>
      </w:r>
      <w:r w:rsidR="00450207">
        <w:rPr>
          <w:szCs w:val="22"/>
        </w:rPr>
        <w:t xml:space="preserve"> “</w:t>
      </w:r>
      <w:r w:rsidR="00450207" w:rsidRPr="005F6B18">
        <w:rPr>
          <w:i/>
          <w:szCs w:val="22"/>
        </w:rPr>
        <w:t xml:space="preserve">inter </w:t>
      </w:r>
      <w:proofErr w:type="spellStart"/>
      <w:r w:rsidR="00450207" w:rsidRPr="005F6B18">
        <w:rPr>
          <w:i/>
          <w:szCs w:val="22"/>
        </w:rPr>
        <w:t>vivos</w:t>
      </w:r>
      <w:proofErr w:type="spellEnd"/>
      <w:r w:rsidR="00450207">
        <w:rPr>
          <w:szCs w:val="22"/>
        </w:rPr>
        <w:t>” or by “</w:t>
      </w:r>
      <w:r w:rsidR="00450207" w:rsidRPr="0082339D">
        <w:rPr>
          <w:szCs w:val="22"/>
        </w:rPr>
        <w:t>hereditary or testamentary</w:t>
      </w:r>
      <w:r w:rsidR="00450207">
        <w:rPr>
          <w:szCs w:val="22"/>
        </w:rPr>
        <w:t>”</w:t>
      </w:r>
      <w:r w:rsidR="00450207" w:rsidRPr="0082339D">
        <w:rPr>
          <w:szCs w:val="22"/>
        </w:rPr>
        <w:t xml:space="preserve"> succession</w:t>
      </w:r>
      <w:r w:rsidR="00450207" w:rsidRPr="00903588">
        <w:rPr>
          <w:szCs w:val="22"/>
        </w:rPr>
        <w:t xml:space="preserve"> together with </w:t>
      </w:r>
      <w:r w:rsidR="00450207">
        <w:rPr>
          <w:szCs w:val="22"/>
        </w:rPr>
        <w:t>the</w:t>
      </w:r>
      <w:r w:rsidR="00450207" w:rsidRPr="00903588">
        <w:rPr>
          <w:szCs w:val="22"/>
        </w:rPr>
        <w:t xml:space="preserve"> enterprise or business</w:t>
      </w:r>
      <w:r w:rsidR="00450207">
        <w:rPr>
          <w:szCs w:val="22"/>
        </w:rPr>
        <w:t>.</w:t>
      </w:r>
      <w:r w:rsidR="00450207">
        <w:rPr>
          <w:rStyle w:val="FootnoteReference"/>
          <w:szCs w:val="22"/>
        </w:rPr>
        <w:footnoteReference w:id="51"/>
      </w:r>
    </w:p>
    <w:p w14:paraId="4CF9A16D" w14:textId="77777777" w:rsidR="000672F9" w:rsidRDefault="000672F9" w:rsidP="00EA7415">
      <w:pPr>
        <w:rPr>
          <w:szCs w:val="22"/>
        </w:rPr>
      </w:pPr>
    </w:p>
    <w:p w14:paraId="1FB2AA44" w14:textId="605BA881" w:rsidR="00F20879" w:rsidRPr="000672F9" w:rsidRDefault="000672F9" w:rsidP="00EA7415">
      <w:pPr>
        <w:rPr>
          <w:szCs w:val="22"/>
        </w:rPr>
      </w:pPr>
      <w:r>
        <w:rPr>
          <w:szCs w:val="22"/>
        </w:rPr>
        <w:fldChar w:fldCharType="begin"/>
      </w:r>
      <w:r>
        <w:rPr>
          <w:szCs w:val="22"/>
        </w:rPr>
        <w:instrText xml:space="preserve"> AUTONUM  </w:instrText>
      </w:r>
      <w:r>
        <w:rPr>
          <w:szCs w:val="22"/>
        </w:rPr>
        <w:fldChar w:fldCharType="end"/>
      </w:r>
      <w:r w:rsidR="009E02ED">
        <w:rPr>
          <w:szCs w:val="22"/>
        </w:rPr>
        <w:tab/>
        <w:t>In addition, i</w:t>
      </w:r>
      <w:r>
        <w:rPr>
          <w:szCs w:val="22"/>
        </w:rPr>
        <w:t xml:space="preserve">n the United Kingdom, </w:t>
      </w:r>
      <w:r w:rsidR="00F20879">
        <w:rPr>
          <w:szCs w:val="22"/>
        </w:rPr>
        <w:t>a</w:t>
      </w:r>
      <w:r w:rsidR="00F20879" w:rsidRPr="00903588">
        <w:rPr>
          <w:szCs w:val="22"/>
        </w:rPr>
        <w:t xml:space="preserve"> distinction </w:t>
      </w:r>
      <w:r w:rsidR="00F20879">
        <w:rPr>
          <w:szCs w:val="22"/>
        </w:rPr>
        <w:t xml:space="preserve">is made </w:t>
      </w:r>
      <w:r w:rsidR="00F20879" w:rsidRPr="00903588">
        <w:rPr>
          <w:szCs w:val="22"/>
        </w:rPr>
        <w:t xml:space="preserve">between </w:t>
      </w:r>
      <w:r w:rsidR="00F20879">
        <w:rPr>
          <w:szCs w:val="22"/>
        </w:rPr>
        <w:t xml:space="preserve">the </w:t>
      </w:r>
      <w:r w:rsidR="00F20879" w:rsidRPr="00903588">
        <w:rPr>
          <w:szCs w:val="22"/>
        </w:rPr>
        <w:t>prior user right of an individual, wh</w:t>
      </w:r>
      <w:r w:rsidR="00F20879">
        <w:rPr>
          <w:szCs w:val="22"/>
        </w:rPr>
        <w:t xml:space="preserve">ich can be </w:t>
      </w:r>
      <w:r w:rsidR="00F20879" w:rsidRPr="00903588">
        <w:rPr>
          <w:szCs w:val="22"/>
        </w:rPr>
        <w:t>assign</w:t>
      </w:r>
      <w:r w:rsidR="00F20879">
        <w:rPr>
          <w:szCs w:val="22"/>
        </w:rPr>
        <w:t>ed or transmitted</w:t>
      </w:r>
      <w:r w:rsidR="00F20879" w:rsidRPr="00903588">
        <w:rPr>
          <w:szCs w:val="22"/>
        </w:rPr>
        <w:t xml:space="preserve"> on death</w:t>
      </w:r>
      <w:r w:rsidR="00F20879">
        <w:rPr>
          <w:szCs w:val="22"/>
        </w:rPr>
        <w:t>,</w:t>
      </w:r>
      <w:r w:rsidR="00F20879" w:rsidRPr="00903588">
        <w:rPr>
          <w:szCs w:val="22"/>
        </w:rPr>
        <w:t xml:space="preserve"> </w:t>
      </w:r>
      <w:r w:rsidR="00F20879">
        <w:rPr>
          <w:szCs w:val="22"/>
        </w:rPr>
        <w:t>and the right of a corporate body which</w:t>
      </w:r>
      <w:r w:rsidR="00F20879" w:rsidRPr="00903588">
        <w:rPr>
          <w:szCs w:val="22"/>
        </w:rPr>
        <w:t xml:space="preserve"> </w:t>
      </w:r>
      <w:r w:rsidR="00F20879">
        <w:rPr>
          <w:szCs w:val="22"/>
        </w:rPr>
        <w:t xml:space="preserve">can be </w:t>
      </w:r>
      <w:r w:rsidR="00F20879" w:rsidRPr="00903588">
        <w:rPr>
          <w:szCs w:val="22"/>
        </w:rPr>
        <w:t>transmit</w:t>
      </w:r>
      <w:r w:rsidR="00F20879">
        <w:rPr>
          <w:szCs w:val="22"/>
        </w:rPr>
        <w:t xml:space="preserve">ted upon </w:t>
      </w:r>
      <w:r w:rsidR="00F20879" w:rsidRPr="00903588">
        <w:rPr>
          <w:szCs w:val="22"/>
        </w:rPr>
        <w:t>the body’s dissolution</w:t>
      </w:r>
      <w:r w:rsidR="00F20879">
        <w:rPr>
          <w:szCs w:val="22"/>
        </w:rPr>
        <w:t>.</w:t>
      </w:r>
      <w:r w:rsidR="007F55EA">
        <w:rPr>
          <w:szCs w:val="22"/>
        </w:rPr>
        <w:t xml:space="preserve">  </w:t>
      </w:r>
      <w:r w:rsidR="001F4DB2">
        <w:rPr>
          <w:szCs w:val="22"/>
        </w:rPr>
        <w:t xml:space="preserve">In Bulgaria, </w:t>
      </w:r>
      <w:r w:rsidR="00450207">
        <w:rPr>
          <w:szCs w:val="22"/>
        </w:rPr>
        <w:t xml:space="preserve">the </w:t>
      </w:r>
      <w:r w:rsidR="001F4DB2">
        <w:rPr>
          <w:szCs w:val="22"/>
        </w:rPr>
        <w:t xml:space="preserve">prior user’s right may be transferred </w:t>
      </w:r>
      <w:r w:rsidR="000B73CF">
        <w:rPr>
          <w:szCs w:val="22"/>
        </w:rPr>
        <w:t>together</w:t>
      </w:r>
      <w:r w:rsidR="001F4DB2">
        <w:rPr>
          <w:szCs w:val="22"/>
        </w:rPr>
        <w:t xml:space="preserve"> with </w:t>
      </w:r>
      <w:r w:rsidR="00810AB1">
        <w:rPr>
          <w:szCs w:val="22"/>
        </w:rPr>
        <w:t xml:space="preserve">the </w:t>
      </w:r>
      <w:r w:rsidR="000B73CF">
        <w:rPr>
          <w:szCs w:val="22"/>
        </w:rPr>
        <w:t>enterprise</w:t>
      </w:r>
      <w:r w:rsidR="001F4DB2">
        <w:rPr>
          <w:szCs w:val="22"/>
        </w:rPr>
        <w:t xml:space="preserve"> </w:t>
      </w:r>
      <w:r w:rsidR="000B73CF">
        <w:rPr>
          <w:szCs w:val="22"/>
        </w:rPr>
        <w:t xml:space="preserve">in which such rights have arisen and may be exercised, “subject to there being no increase in the volume of such use outside the enterprise”. </w:t>
      </w:r>
    </w:p>
    <w:p w14:paraId="243ABA1D" w14:textId="77777777" w:rsidR="00F20879" w:rsidRDefault="00F20879" w:rsidP="003C2273">
      <w:pPr>
        <w:rPr>
          <w:szCs w:val="22"/>
        </w:rPr>
      </w:pPr>
    </w:p>
    <w:p w14:paraId="7C02A1FB" w14:textId="6B461F8C" w:rsidR="009D7088" w:rsidRPr="009D7088" w:rsidRDefault="009D7088" w:rsidP="003C2273">
      <w:pPr>
        <w:rPr>
          <w:i/>
          <w:szCs w:val="22"/>
        </w:rPr>
      </w:pPr>
      <w:r w:rsidRPr="009D7088">
        <w:rPr>
          <w:i/>
          <w:szCs w:val="22"/>
        </w:rPr>
        <w:t xml:space="preserve">Territory </w:t>
      </w:r>
      <w:r w:rsidR="00810AB1">
        <w:rPr>
          <w:i/>
          <w:szCs w:val="22"/>
        </w:rPr>
        <w:t>in which</w:t>
      </w:r>
      <w:r w:rsidRPr="009D7088">
        <w:rPr>
          <w:i/>
          <w:szCs w:val="22"/>
        </w:rPr>
        <w:t xml:space="preserve"> prior use should take place</w:t>
      </w:r>
    </w:p>
    <w:p w14:paraId="0C0D03E9" w14:textId="77777777" w:rsidR="009D7088" w:rsidRPr="00903588" w:rsidRDefault="009D7088" w:rsidP="003C2273">
      <w:pPr>
        <w:rPr>
          <w:szCs w:val="22"/>
        </w:rPr>
      </w:pPr>
    </w:p>
    <w:p w14:paraId="6A5BC082" w14:textId="77777777" w:rsidR="00352796" w:rsidRPr="00A16DE8" w:rsidRDefault="00660E65" w:rsidP="0038250F">
      <w:pPr>
        <w:rPr>
          <w:szCs w:val="22"/>
        </w:rPr>
      </w:pPr>
      <w:r>
        <w:rPr>
          <w:szCs w:val="22"/>
        </w:rPr>
        <w:fldChar w:fldCharType="begin"/>
      </w:r>
      <w:r>
        <w:rPr>
          <w:szCs w:val="22"/>
        </w:rPr>
        <w:instrText xml:space="preserve"> AUTONUM  </w:instrText>
      </w:r>
      <w:r>
        <w:rPr>
          <w:szCs w:val="22"/>
        </w:rPr>
        <w:fldChar w:fldCharType="end"/>
      </w:r>
      <w:r>
        <w:rPr>
          <w:szCs w:val="22"/>
        </w:rPr>
        <w:tab/>
      </w:r>
      <w:r w:rsidR="00496AEB">
        <w:rPr>
          <w:szCs w:val="22"/>
        </w:rPr>
        <w:t>M</w:t>
      </w:r>
      <w:r w:rsidR="00352796" w:rsidRPr="00A16DE8">
        <w:rPr>
          <w:szCs w:val="22"/>
        </w:rPr>
        <w:t>any Member States</w:t>
      </w:r>
      <w:r w:rsidR="00496AEB">
        <w:rPr>
          <w:szCs w:val="22"/>
        </w:rPr>
        <w:t>’ applicable laws expressly state that</w:t>
      </w:r>
      <w:r w:rsidR="00352796" w:rsidRPr="00A16DE8">
        <w:rPr>
          <w:szCs w:val="22"/>
        </w:rPr>
        <w:t xml:space="preserve"> the prior use </w:t>
      </w:r>
      <w:r w:rsidR="00496AEB">
        <w:rPr>
          <w:szCs w:val="22"/>
        </w:rPr>
        <w:t xml:space="preserve">activities must have been carried out in the territory of those </w:t>
      </w:r>
      <w:r w:rsidR="00527636">
        <w:rPr>
          <w:szCs w:val="22"/>
        </w:rPr>
        <w:t xml:space="preserve">respective </w:t>
      </w:r>
      <w:r w:rsidR="00496AEB">
        <w:rPr>
          <w:szCs w:val="22"/>
        </w:rPr>
        <w:t>countries to be covered by the exception.</w:t>
      </w:r>
      <w:r w:rsidR="00EA33D4">
        <w:rPr>
          <w:rStyle w:val="FootnoteReference"/>
          <w:szCs w:val="22"/>
        </w:rPr>
        <w:footnoteReference w:id="52"/>
      </w:r>
      <w:r w:rsidR="00496AEB">
        <w:rPr>
          <w:szCs w:val="22"/>
        </w:rPr>
        <w:t xml:space="preserve">  However, some other Member States’ laws</w:t>
      </w:r>
      <w:r w:rsidR="009D7088">
        <w:rPr>
          <w:szCs w:val="22"/>
        </w:rPr>
        <w:t xml:space="preserve"> are implicit in that regard and</w:t>
      </w:r>
      <w:r w:rsidR="00496AEB">
        <w:rPr>
          <w:szCs w:val="22"/>
        </w:rPr>
        <w:t xml:space="preserve"> do not make a reference to any country.</w:t>
      </w:r>
      <w:r w:rsidR="00496AEB">
        <w:rPr>
          <w:rStyle w:val="FootnoteReference"/>
          <w:szCs w:val="22"/>
        </w:rPr>
        <w:footnoteReference w:id="53"/>
      </w:r>
      <w:r w:rsidR="00496AEB">
        <w:rPr>
          <w:szCs w:val="22"/>
        </w:rPr>
        <w:t xml:space="preserve">  </w:t>
      </w:r>
      <w:r w:rsidR="00E045D2">
        <w:rPr>
          <w:szCs w:val="22"/>
        </w:rPr>
        <w:t xml:space="preserve">In the Philippines, the prior user has the right to continue </w:t>
      </w:r>
      <w:r w:rsidR="001D6190">
        <w:rPr>
          <w:szCs w:val="22"/>
        </w:rPr>
        <w:t>his</w:t>
      </w:r>
      <w:r w:rsidR="00E045D2">
        <w:rPr>
          <w:szCs w:val="22"/>
        </w:rPr>
        <w:t xml:space="preserve"> use “within the territory where the patent produces its effect”</w:t>
      </w:r>
      <w:r w:rsidR="001D6190">
        <w:rPr>
          <w:szCs w:val="22"/>
        </w:rPr>
        <w:t xml:space="preserve">. </w:t>
      </w:r>
    </w:p>
    <w:p w14:paraId="5CF52446" w14:textId="77777777" w:rsidR="00352796" w:rsidRDefault="00352796" w:rsidP="00F74913">
      <w:pPr>
        <w:rPr>
          <w:szCs w:val="22"/>
        </w:rPr>
      </w:pPr>
    </w:p>
    <w:p w14:paraId="437D8498" w14:textId="77777777" w:rsidR="009D7088" w:rsidRPr="009D7088" w:rsidRDefault="009D7088" w:rsidP="00F74913">
      <w:pPr>
        <w:rPr>
          <w:i/>
          <w:szCs w:val="22"/>
        </w:rPr>
      </w:pPr>
      <w:r w:rsidRPr="009D7088">
        <w:rPr>
          <w:i/>
          <w:szCs w:val="22"/>
        </w:rPr>
        <w:t>Remuneration</w:t>
      </w:r>
      <w:r>
        <w:rPr>
          <w:i/>
          <w:szCs w:val="22"/>
        </w:rPr>
        <w:t xml:space="preserve"> </w:t>
      </w:r>
    </w:p>
    <w:p w14:paraId="41549C07" w14:textId="77777777" w:rsidR="009D7088" w:rsidRPr="00903588" w:rsidRDefault="009D7088" w:rsidP="00F74913">
      <w:pPr>
        <w:rPr>
          <w:szCs w:val="22"/>
        </w:rPr>
      </w:pPr>
    </w:p>
    <w:p w14:paraId="65F28617" w14:textId="55AD9B84" w:rsidR="00B143B3" w:rsidRDefault="00352796" w:rsidP="005F6B18">
      <w:pPr>
        <w:shd w:val="clear" w:color="auto" w:fill="FFFFFF"/>
        <w:rPr>
          <w:iCs/>
          <w:szCs w:val="22"/>
        </w:rPr>
      </w:pPr>
      <w:r w:rsidRPr="00903588">
        <w:rPr>
          <w:iCs/>
          <w:szCs w:val="22"/>
        </w:rPr>
        <w:fldChar w:fldCharType="begin"/>
      </w:r>
      <w:r w:rsidRPr="00903588">
        <w:rPr>
          <w:iCs/>
          <w:szCs w:val="22"/>
        </w:rPr>
        <w:instrText xml:space="preserve"> AUTONUM  </w:instrText>
      </w:r>
      <w:r w:rsidRPr="00903588">
        <w:rPr>
          <w:iCs/>
          <w:szCs w:val="22"/>
        </w:rPr>
        <w:fldChar w:fldCharType="end"/>
      </w:r>
      <w:r w:rsidRPr="00903588">
        <w:rPr>
          <w:iCs/>
          <w:szCs w:val="22"/>
        </w:rPr>
        <w:tab/>
      </w:r>
      <w:r>
        <w:rPr>
          <w:iCs/>
          <w:szCs w:val="22"/>
        </w:rPr>
        <w:t>T</w:t>
      </w:r>
      <w:r w:rsidRPr="00903588">
        <w:rPr>
          <w:iCs/>
          <w:szCs w:val="22"/>
        </w:rPr>
        <w:t xml:space="preserve">he vast majority of </w:t>
      </w:r>
      <w:r>
        <w:rPr>
          <w:iCs/>
          <w:szCs w:val="22"/>
        </w:rPr>
        <w:t>M</w:t>
      </w:r>
      <w:r w:rsidRPr="00903588">
        <w:rPr>
          <w:iCs/>
          <w:szCs w:val="22"/>
        </w:rPr>
        <w:t>ember States does not require any remuneration, stating, for example</w:t>
      </w:r>
      <w:r w:rsidR="00E35626">
        <w:rPr>
          <w:iCs/>
          <w:szCs w:val="22"/>
        </w:rPr>
        <w:t xml:space="preserve">, </w:t>
      </w:r>
      <w:r w:rsidRPr="00903588">
        <w:rPr>
          <w:iCs/>
          <w:szCs w:val="22"/>
        </w:rPr>
        <w:t xml:space="preserve">that the user “retains the right to further non-compensated use” </w:t>
      </w:r>
      <w:r w:rsidR="00917D83">
        <w:rPr>
          <w:iCs/>
          <w:szCs w:val="22"/>
        </w:rPr>
        <w:t xml:space="preserve">or </w:t>
      </w:r>
      <w:r w:rsidRPr="00903588">
        <w:rPr>
          <w:iCs/>
          <w:szCs w:val="22"/>
        </w:rPr>
        <w:t>that the “</w:t>
      </w:r>
      <w:r w:rsidRPr="00917D83">
        <w:rPr>
          <w:iCs/>
          <w:szCs w:val="22"/>
        </w:rPr>
        <w:t>exception to infringement is absolute</w:t>
      </w:r>
      <w:r w:rsidR="00917D83" w:rsidRPr="00917D83">
        <w:rPr>
          <w:iCs/>
          <w:szCs w:val="22"/>
        </w:rPr>
        <w:t xml:space="preserve"> and not depend</w:t>
      </w:r>
      <w:r w:rsidR="00A46974">
        <w:rPr>
          <w:iCs/>
          <w:szCs w:val="22"/>
        </w:rPr>
        <w:t>e</w:t>
      </w:r>
      <w:r w:rsidR="00917D83" w:rsidRPr="00917D83">
        <w:rPr>
          <w:iCs/>
          <w:szCs w:val="22"/>
        </w:rPr>
        <w:t>nt on the payment of reasonable remuneration”</w:t>
      </w:r>
      <w:r w:rsidR="00917D83">
        <w:rPr>
          <w:iCs/>
          <w:szCs w:val="22"/>
        </w:rPr>
        <w:t>, or “free of charge”</w:t>
      </w:r>
      <w:r w:rsidR="00E27AA1" w:rsidRPr="00E27AA1">
        <w:rPr>
          <w:rStyle w:val="FootnoteReference"/>
          <w:iCs/>
          <w:szCs w:val="22"/>
        </w:rPr>
        <w:t xml:space="preserve"> </w:t>
      </w:r>
      <w:r w:rsidR="00E27AA1">
        <w:rPr>
          <w:rStyle w:val="FootnoteReference"/>
          <w:iCs/>
          <w:szCs w:val="22"/>
        </w:rPr>
        <w:footnoteReference w:id="54"/>
      </w:r>
      <w:r w:rsidR="00917D83" w:rsidRPr="00917D83">
        <w:rPr>
          <w:iCs/>
          <w:szCs w:val="22"/>
        </w:rPr>
        <w:t>.</w:t>
      </w:r>
      <w:r w:rsidR="0099061D">
        <w:rPr>
          <w:iCs/>
          <w:szCs w:val="22"/>
        </w:rPr>
        <w:t xml:space="preserve">  </w:t>
      </w:r>
      <w:r>
        <w:rPr>
          <w:szCs w:val="22"/>
        </w:rPr>
        <w:t>Some</w:t>
      </w:r>
      <w:r w:rsidRPr="00903588">
        <w:rPr>
          <w:szCs w:val="22"/>
        </w:rPr>
        <w:t xml:space="preserve"> Member State</w:t>
      </w:r>
      <w:r>
        <w:rPr>
          <w:szCs w:val="22"/>
        </w:rPr>
        <w:t>s</w:t>
      </w:r>
      <w:r w:rsidRPr="00903588">
        <w:rPr>
          <w:szCs w:val="22"/>
        </w:rPr>
        <w:t xml:space="preserve">, however, clarified that the principle of non-remuneration applied only </w:t>
      </w:r>
      <w:r w:rsidRPr="00903588">
        <w:rPr>
          <w:iCs/>
          <w:szCs w:val="22"/>
        </w:rPr>
        <w:t>“</w:t>
      </w:r>
      <w:r w:rsidRPr="00903588">
        <w:rPr>
          <w:szCs w:val="22"/>
        </w:rPr>
        <w:t>within the existing scale</w:t>
      </w:r>
      <w:r w:rsidRPr="00903588">
        <w:rPr>
          <w:iCs/>
          <w:szCs w:val="22"/>
        </w:rPr>
        <w:t xml:space="preserve">” </w:t>
      </w:r>
      <w:r w:rsidRPr="0082339D">
        <w:rPr>
          <w:iCs/>
          <w:szCs w:val="22"/>
        </w:rPr>
        <w:t>or without “</w:t>
      </w:r>
      <w:r w:rsidRPr="0082339D">
        <w:rPr>
          <w:szCs w:val="22"/>
        </w:rPr>
        <w:t>enlarging the scope</w:t>
      </w:r>
      <w:r w:rsidRPr="0082339D">
        <w:rPr>
          <w:iCs/>
          <w:szCs w:val="22"/>
        </w:rPr>
        <w:t>” of prior use</w:t>
      </w:r>
      <w:proofErr w:type="gramStart"/>
      <w:r w:rsidRPr="00903588">
        <w:rPr>
          <w:iCs/>
          <w:szCs w:val="22"/>
        </w:rPr>
        <w:t>.</w:t>
      </w:r>
      <w:r w:rsidR="00E35626">
        <w:rPr>
          <w:rStyle w:val="FootnoteReference"/>
          <w:iCs/>
          <w:szCs w:val="22"/>
        </w:rPr>
        <w:footnoteReference w:id="55"/>
      </w:r>
      <w:r w:rsidR="0093396A" w:rsidRPr="0093396A">
        <w:rPr>
          <w:iCs/>
          <w:szCs w:val="22"/>
          <w:vertAlign w:val="superscript"/>
        </w:rPr>
        <w:t>,</w:t>
      </w:r>
      <w:proofErr w:type="gramEnd"/>
      <w:r w:rsidRPr="00903588">
        <w:rPr>
          <w:iCs/>
          <w:szCs w:val="22"/>
        </w:rPr>
        <w:t xml:space="preserve"> </w:t>
      </w:r>
      <w:r w:rsidR="00E00958">
        <w:rPr>
          <w:rStyle w:val="FootnoteReference"/>
          <w:szCs w:val="22"/>
        </w:rPr>
        <w:footnoteReference w:id="56"/>
      </w:r>
      <w:r w:rsidR="00B143B3">
        <w:rPr>
          <w:iCs/>
          <w:szCs w:val="22"/>
        </w:rPr>
        <w:t xml:space="preserve"> </w:t>
      </w:r>
    </w:p>
    <w:p w14:paraId="240F207C" w14:textId="77777777" w:rsidR="00475E88" w:rsidRDefault="00475E88" w:rsidP="005F6B18">
      <w:pPr>
        <w:shd w:val="clear" w:color="auto" w:fill="FFFFFF"/>
        <w:rPr>
          <w:iCs/>
          <w:szCs w:val="22"/>
        </w:rPr>
      </w:pPr>
    </w:p>
    <w:p w14:paraId="735DFFBF" w14:textId="77777777" w:rsidR="00475E88" w:rsidRPr="00475E88" w:rsidRDefault="00475E88" w:rsidP="005F6B18">
      <w:pPr>
        <w:shd w:val="clear" w:color="auto" w:fill="FFFFFF"/>
        <w:rPr>
          <w:i/>
          <w:iCs/>
          <w:szCs w:val="22"/>
        </w:rPr>
      </w:pPr>
      <w:r w:rsidRPr="00475E88">
        <w:rPr>
          <w:i/>
          <w:iCs/>
          <w:szCs w:val="22"/>
        </w:rPr>
        <w:t xml:space="preserve">Prior use </w:t>
      </w:r>
      <w:r w:rsidRPr="00475E88">
        <w:rPr>
          <w:i/>
          <w:szCs w:val="22"/>
        </w:rPr>
        <w:t>after the invalidation or refusal of the patent, but before the restoration or grant of the patent</w:t>
      </w:r>
    </w:p>
    <w:p w14:paraId="78294642" w14:textId="77777777" w:rsidR="00A46974" w:rsidRDefault="00A46974" w:rsidP="005F6B18">
      <w:pPr>
        <w:shd w:val="clear" w:color="auto" w:fill="FFFFFF"/>
        <w:rPr>
          <w:szCs w:val="22"/>
        </w:rPr>
      </w:pPr>
    </w:p>
    <w:p w14:paraId="62794630" w14:textId="62179E5F" w:rsidR="00DF3183" w:rsidRDefault="00352796" w:rsidP="005F6B18">
      <w:pPr>
        <w:shd w:val="clear" w:color="auto" w:fill="FFFFFF"/>
        <w:rPr>
          <w:rFonts w:eastAsia="Times New Roman"/>
          <w:iCs/>
          <w:color w:val="333333"/>
          <w:szCs w:val="22"/>
          <w:lang w:val="en" w:eastAsia="en-US"/>
        </w:rPr>
      </w:pPr>
      <w:r w:rsidRPr="00903588">
        <w:rPr>
          <w:iCs/>
          <w:szCs w:val="22"/>
        </w:rPr>
        <w:fldChar w:fldCharType="begin"/>
      </w:r>
      <w:r w:rsidRPr="00903588">
        <w:rPr>
          <w:iCs/>
          <w:szCs w:val="22"/>
        </w:rPr>
        <w:instrText xml:space="preserve"> AUTONUM  </w:instrText>
      </w:r>
      <w:r w:rsidRPr="00903588">
        <w:rPr>
          <w:iCs/>
          <w:szCs w:val="22"/>
        </w:rPr>
        <w:fldChar w:fldCharType="end"/>
      </w:r>
      <w:r w:rsidRPr="00903588">
        <w:rPr>
          <w:iCs/>
          <w:szCs w:val="22"/>
        </w:rPr>
        <w:tab/>
      </w:r>
      <w:r w:rsidR="0071631A">
        <w:rPr>
          <w:iCs/>
          <w:szCs w:val="22"/>
        </w:rPr>
        <w:t xml:space="preserve">In addition, in </w:t>
      </w:r>
      <w:r w:rsidR="00A76086">
        <w:rPr>
          <w:iCs/>
          <w:szCs w:val="22"/>
        </w:rPr>
        <w:t xml:space="preserve">some </w:t>
      </w:r>
      <w:r w:rsidR="0071631A">
        <w:rPr>
          <w:iCs/>
          <w:szCs w:val="22"/>
        </w:rPr>
        <w:t>Member State</w:t>
      </w:r>
      <w:r w:rsidR="00556CC9">
        <w:rPr>
          <w:iCs/>
          <w:szCs w:val="22"/>
        </w:rPr>
        <w:t>s, a prior use exception applies</w:t>
      </w:r>
      <w:r w:rsidR="0071631A">
        <w:rPr>
          <w:iCs/>
          <w:szCs w:val="22"/>
        </w:rPr>
        <w:t xml:space="preserve"> in </w:t>
      </w:r>
      <w:r>
        <w:rPr>
          <w:szCs w:val="22"/>
        </w:rPr>
        <w:t>si</w:t>
      </w:r>
      <w:r w:rsidR="00556CC9">
        <w:rPr>
          <w:szCs w:val="22"/>
        </w:rPr>
        <w:t>tuations where a third party has</w:t>
      </w:r>
      <w:r w:rsidRPr="00903588">
        <w:rPr>
          <w:szCs w:val="22"/>
        </w:rPr>
        <w:t xml:space="preserve"> been using the patented invention or ha</w:t>
      </w:r>
      <w:r w:rsidR="00556CC9">
        <w:rPr>
          <w:szCs w:val="22"/>
        </w:rPr>
        <w:t>s</w:t>
      </w:r>
      <w:bookmarkStart w:id="5" w:name="_GoBack"/>
      <w:bookmarkEnd w:id="5"/>
      <w:r w:rsidRPr="00903588">
        <w:rPr>
          <w:szCs w:val="22"/>
        </w:rPr>
        <w:t xml:space="preserve"> made serious preparations for such use after the invalidation or refusal of the patent, but before the res</w:t>
      </w:r>
      <w:r w:rsidR="0071631A">
        <w:rPr>
          <w:szCs w:val="22"/>
        </w:rPr>
        <w:t>toration or grant of the patent.</w:t>
      </w:r>
      <w:r w:rsidR="00A76086">
        <w:rPr>
          <w:rStyle w:val="FootnoteReference"/>
          <w:szCs w:val="22"/>
        </w:rPr>
        <w:footnoteReference w:id="57"/>
      </w:r>
      <w:r w:rsidR="006C6C75">
        <w:rPr>
          <w:szCs w:val="22"/>
        </w:rPr>
        <w:t xml:space="preserve"> </w:t>
      </w:r>
      <w:r w:rsidR="00617B78">
        <w:rPr>
          <w:szCs w:val="22"/>
        </w:rPr>
        <w:t xml:space="preserve"> </w:t>
      </w:r>
      <w:r w:rsidR="00015C55">
        <w:rPr>
          <w:szCs w:val="22"/>
        </w:rPr>
        <w:t>Different</w:t>
      </w:r>
      <w:r w:rsidR="00617B78">
        <w:rPr>
          <w:szCs w:val="22"/>
        </w:rPr>
        <w:t xml:space="preserve"> titles were applied in </w:t>
      </w:r>
      <w:r w:rsidR="004D3BED">
        <w:rPr>
          <w:szCs w:val="22"/>
        </w:rPr>
        <w:t>various</w:t>
      </w:r>
      <w:r w:rsidR="00617B78">
        <w:rPr>
          <w:szCs w:val="22"/>
        </w:rPr>
        <w:t xml:space="preserve"> </w:t>
      </w:r>
      <w:r w:rsidR="00015C55">
        <w:rPr>
          <w:szCs w:val="22"/>
        </w:rPr>
        <w:t>jurisdictions</w:t>
      </w:r>
      <w:r w:rsidR="00617B78">
        <w:rPr>
          <w:szCs w:val="22"/>
        </w:rPr>
        <w:t xml:space="preserve"> to such exception, for example, the </w:t>
      </w:r>
      <w:r w:rsidR="00617B78">
        <w:rPr>
          <w:szCs w:val="22"/>
        </w:rPr>
        <w:lastRenderedPageBreak/>
        <w:t xml:space="preserve">right to </w:t>
      </w:r>
      <w:r w:rsidR="00077A23">
        <w:rPr>
          <w:szCs w:val="22"/>
        </w:rPr>
        <w:t>“subsequent use” or “later use” or “further use”</w:t>
      </w:r>
      <w:r w:rsidR="00617B78">
        <w:rPr>
          <w:szCs w:val="22"/>
        </w:rPr>
        <w:t xml:space="preserve"> or “interim user”</w:t>
      </w:r>
      <w:r w:rsidR="004D3BED">
        <w:rPr>
          <w:szCs w:val="22"/>
        </w:rPr>
        <w:t>.</w:t>
      </w:r>
      <w:r w:rsidR="00617B78">
        <w:rPr>
          <w:szCs w:val="22"/>
        </w:rPr>
        <w:t xml:space="preserve"> </w:t>
      </w:r>
      <w:r w:rsidR="006C6C75">
        <w:rPr>
          <w:szCs w:val="22"/>
        </w:rPr>
        <w:t xml:space="preserve"> In </w:t>
      </w:r>
      <w:r w:rsidR="0041068A">
        <w:rPr>
          <w:szCs w:val="22"/>
        </w:rPr>
        <w:t>many</w:t>
      </w:r>
      <w:r w:rsidR="006C6C75">
        <w:rPr>
          <w:szCs w:val="22"/>
        </w:rPr>
        <w:t xml:space="preserve"> Member States, </w:t>
      </w:r>
      <w:r w:rsidR="00617B78">
        <w:rPr>
          <w:szCs w:val="22"/>
        </w:rPr>
        <w:t>the</w:t>
      </w:r>
      <w:r w:rsidR="004424FC">
        <w:rPr>
          <w:szCs w:val="22"/>
        </w:rPr>
        <w:t xml:space="preserve"> applicable</w:t>
      </w:r>
      <w:r w:rsidR="00617B78">
        <w:rPr>
          <w:szCs w:val="22"/>
        </w:rPr>
        <w:t xml:space="preserve"> laws requ</w:t>
      </w:r>
      <w:r w:rsidR="00FC6B5E">
        <w:rPr>
          <w:szCs w:val="22"/>
        </w:rPr>
        <w:t>i</w:t>
      </w:r>
      <w:r w:rsidR="00DB164E">
        <w:rPr>
          <w:szCs w:val="22"/>
        </w:rPr>
        <w:t xml:space="preserve">re that the activity of such a </w:t>
      </w:r>
      <w:r w:rsidR="00617B78">
        <w:rPr>
          <w:szCs w:val="22"/>
        </w:rPr>
        <w:t xml:space="preserve">user has been carried out </w:t>
      </w:r>
      <w:r w:rsidR="00626450">
        <w:rPr>
          <w:szCs w:val="22"/>
        </w:rPr>
        <w:t xml:space="preserve">in “good faith” or </w:t>
      </w:r>
      <w:r w:rsidR="00617B78">
        <w:rPr>
          <w:szCs w:val="22"/>
        </w:rPr>
        <w:t>“</w:t>
      </w:r>
      <w:r w:rsidR="00617B78" w:rsidRPr="00920663">
        <w:rPr>
          <w:i/>
          <w:szCs w:val="22"/>
        </w:rPr>
        <w:t>bona fide</w:t>
      </w:r>
      <w:r w:rsidR="00617B78">
        <w:rPr>
          <w:szCs w:val="22"/>
        </w:rPr>
        <w:t>” to fall within the scope of the exception.</w:t>
      </w:r>
      <w:r w:rsidR="002F66D3" w:rsidRPr="002F66D3">
        <w:rPr>
          <w:rStyle w:val="FootnoteReference"/>
          <w:szCs w:val="22"/>
        </w:rPr>
        <w:t xml:space="preserve"> </w:t>
      </w:r>
      <w:r w:rsidR="002F66D3">
        <w:rPr>
          <w:rStyle w:val="FootnoteReference"/>
          <w:szCs w:val="22"/>
        </w:rPr>
        <w:footnoteReference w:id="58"/>
      </w:r>
      <w:r w:rsidR="001D25E9">
        <w:rPr>
          <w:szCs w:val="22"/>
        </w:rPr>
        <w:t xml:space="preserve">  </w:t>
      </w:r>
      <w:r w:rsidR="00015C55">
        <w:rPr>
          <w:szCs w:val="22"/>
        </w:rPr>
        <w:t xml:space="preserve">Further, </w:t>
      </w:r>
      <w:r w:rsidR="004424FC">
        <w:rPr>
          <w:szCs w:val="22"/>
        </w:rPr>
        <w:t xml:space="preserve">Members States’ </w:t>
      </w:r>
      <w:r w:rsidR="00FC6B5E" w:rsidRPr="00015C55">
        <w:rPr>
          <w:szCs w:val="22"/>
        </w:rPr>
        <w:t xml:space="preserve">laws differed in </w:t>
      </w:r>
      <w:r w:rsidR="00DB164E" w:rsidRPr="00015C55">
        <w:rPr>
          <w:szCs w:val="22"/>
        </w:rPr>
        <w:t xml:space="preserve">details on </w:t>
      </w:r>
      <w:r w:rsidR="00822B1D">
        <w:rPr>
          <w:szCs w:val="22"/>
        </w:rPr>
        <w:t xml:space="preserve">the situations </w:t>
      </w:r>
      <w:r w:rsidR="00FE64C7">
        <w:rPr>
          <w:szCs w:val="22"/>
        </w:rPr>
        <w:t xml:space="preserve">and timeframe </w:t>
      </w:r>
      <w:r w:rsidR="00FC6B5E" w:rsidRPr="00015C55">
        <w:rPr>
          <w:szCs w:val="22"/>
        </w:rPr>
        <w:t>when such exception would apply by providing, for example, “after expirat</w:t>
      </w:r>
      <w:r w:rsidR="00A46974">
        <w:rPr>
          <w:szCs w:val="22"/>
        </w:rPr>
        <w:t>i</w:t>
      </w:r>
      <w:r w:rsidR="00FC6B5E" w:rsidRPr="00015C55">
        <w:rPr>
          <w:szCs w:val="22"/>
        </w:rPr>
        <w:t>on of the time limit for reinstating a dismissed application or after a rejection has become final or a patent has lapsed but before such announcement is made”</w:t>
      </w:r>
      <w:r w:rsidR="00FC6B5E">
        <w:rPr>
          <w:rStyle w:val="FootnoteReference"/>
          <w:rFonts w:eastAsia="Times New Roman"/>
          <w:iCs/>
          <w:color w:val="333333"/>
          <w:szCs w:val="22"/>
          <w:lang w:val="en" w:eastAsia="en-US"/>
        </w:rPr>
        <w:footnoteReference w:id="59"/>
      </w:r>
      <w:r w:rsidR="007F55EA" w:rsidRPr="003A4022">
        <w:rPr>
          <w:rFonts w:eastAsia="Times New Roman"/>
          <w:iCs/>
          <w:color w:val="333333"/>
          <w:szCs w:val="22"/>
          <w:lang w:val="en" w:eastAsia="en-US"/>
        </w:rPr>
        <w:t xml:space="preserve"> </w:t>
      </w:r>
      <w:r w:rsidR="000D28A5" w:rsidRPr="00015C55">
        <w:rPr>
          <w:szCs w:val="22"/>
        </w:rPr>
        <w:t>or “If a protective right has been refused, lapsed, expired, or otherwise became ineffective and is reinstated by the grant of</w:t>
      </w:r>
      <w:r w:rsidR="00822B1D">
        <w:rPr>
          <w:szCs w:val="22"/>
        </w:rPr>
        <w:t xml:space="preserve"> reinstatement […]</w:t>
      </w:r>
      <w:r w:rsidR="000D28A5" w:rsidRPr="00015C55">
        <w:rPr>
          <w:szCs w:val="22"/>
        </w:rPr>
        <w:t xml:space="preserve"> after the lapse of the protective right and before the day of the official announcement of the grant of reinstatement or not later than on the day of entry of the request in the Register, in all other cases not later than on the day of receipt of the request at the compete</w:t>
      </w:r>
      <w:r w:rsidR="00822B1D">
        <w:rPr>
          <w:szCs w:val="22"/>
        </w:rPr>
        <w:t>nt authority […]</w:t>
      </w:r>
      <w:r w:rsidR="000D28A5" w:rsidRPr="00015C55">
        <w:rPr>
          <w:szCs w:val="22"/>
        </w:rPr>
        <w:t>”</w:t>
      </w:r>
      <w:r w:rsidR="000D28A5" w:rsidRPr="00015C55">
        <w:rPr>
          <w:rStyle w:val="FootnoteReference"/>
          <w:iCs/>
          <w:szCs w:val="22"/>
        </w:rPr>
        <w:footnoteReference w:id="60"/>
      </w:r>
      <w:r w:rsidR="00361EAF" w:rsidRPr="00015C55">
        <w:rPr>
          <w:rStyle w:val="FootnoteReference"/>
          <w:iCs/>
        </w:rPr>
        <w:t xml:space="preserve"> </w:t>
      </w:r>
      <w:r w:rsidR="00361EAF" w:rsidRPr="00015C55">
        <w:rPr>
          <w:szCs w:val="22"/>
        </w:rPr>
        <w:t>or “</w:t>
      </w:r>
      <w:r w:rsidR="009E56A5" w:rsidRPr="00015C55">
        <w:rPr>
          <w:szCs w:val="22"/>
        </w:rPr>
        <w:t>from the date of pa</w:t>
      </w:r>
      <w:r w:rsidR="00957AA4">
        <w:rPr>
          <w:szCs w:val="22"/>
        </w:rPr>
        <w:t>t</w:t>
      </w:r>
      <w:r w:rsidR="00361EAF" w:rsidRPr="00015C55">
        <w:rPr>
          <w:szCs w:val="22"/>
        </w:rPr>
        <w:t>e</w:t>
      </w:r>
      <w:r w:rsidR="009E56A5" w:rsidRPr="00015C55">
        <w:rPr>
          <w:szCs w:val="22"/>
        </w:rPr>
        <w:t>n</w:t>
      </w:r>
      <w:r w:rsidR="00361EAF" w:rsidRPr="00015C55">
        <w:rPr>
          <w:szCs w:val="22"/>
        </w:rPr>
        <w:t xml:space="preserve">t </w:t>
      </w:r>
      <w:r w:rsidR="00957AA4" w:rsidRPr="00015C55">
        <w:rPr>
          <w:szCs w:val="22"/>
        </w:rPr>
        <w:t>revocation</w:t>
      </w:r>
      <w:r w:rsidR="00361EAF" w:rsidRPr="00015C55">
        <w:rPr>
          <w:szCs w:val="22"/>
        </w:rPr>
        <w:t xml:space="preserve"> </w:t>
      </w:r>
      <w:r w:rsidR="00822B1D">
        <w:rPr>
          <w:szCs w:val="22"/>
        </w:rPr>
        <w:t>[…]</w:t>
      </w:r>
      <w:r w:rsidR="00361EAF" w:rsidRPr="00015C55">
        <w:rPr>
          <w:szCs w:val="22"/>
        </w:rPr>
        <w:t xml:space="preserve"> until its reistatment”</w:t>
      </w:r>
      <w:r w:rsidR="009E56A5" w:rsidRPr="00015C55">
        <w:rPr>
          <w:rStyle w:val="FootnoteReference"/>
          <w:iCs/>
          <w:szCs w:val="22"/>
        </w:rPr>
        <w:footnoteReference w:id="61"/>
      </w:r>
      <w:r w:rsidR="00AC5ED7" w:rsidRPr="00015C55">
        <w:rPr>
          <w:szCs w:val="22"/>
        </w:rPr>
        <w:t xml:space="preserve"> or “period between a declaration of lapse of patent protection and restoration thereof”</w:t>
      </w:r>
      <w:r w:rsidR="00AC5ED7" w:rsidRPr="00015C55">
        <w:rPr>
          <w:rStyle w:val="FootnoteReference"/>
          <w:iCs/>
          <w:szCs w:val="22"/>
        </w:rPr>
        <w:footnoteReference w:id="62"/>
      </w:r>
      <w:r w:rsidR="004025F3">
        <w:rPr>
          <w:rFonts w:eastAsia="Times New Roman"/>
          <w:iCs/>
          <w:color w:val="333333"/>
          <w:szCs w:val="22"/>
          <w:lang w:val="en" w:eastAsia="en-US"/>
        </w:rPr>
        <w:t xml:space="preserve">, </w:t>
      </w:r>
      <w:r w:rsidR="004025F3" w:rsidRPr="00015C55">
        <w:rPr>
          <w:szCs w:val="22"/>
        </w:rPr>
        <w:t>“period between the loss of rights or means of redress and the restoration to the prior situation”</w:t>
      </w:r>
      <w:r w:rsidR="004025F3" w:rsidRPr="00015C55">
        <w:rPr>
          <w:rStyle w:val="FootnoteReference"/>
          <w:iCs/>
          <w:szCs w:val="22"/>
        </w:rPr>
        <w:footnoteReference w:id="63"/>
      </w:r>
      <w:r w:rsidR="00FE64C7">
        <w:rPr>
          <w:rFonts w:eastAsia="Times New Roman"/>
          <w:iCs/>
          <w:color w:val="333333"/>
          <w:szCs w:val="22"/>
          <w:lang w:val="en" w:eastAsia="en-US"/>
        </w:rPr>
        <w:t>, or “</w:t>
      </w:r>
      <w:r w:rsidR="00FE64C7" w:rsidRPr="003A4022">
        <w:rPr>
          <w:szCs w:val="22"/>
        </w:rPr>
        <w:t>between the end of the period of six months beginning with the date when the patent concerned ceased to have effect and the date of the application</w:t>
      </w:r>
      <w:r w:rsidR="00FE64C7">
        <w:rPr>
          <w:szCs w:val="22"/>
        </w:rPr>
        <w:t>” for restoration is made.</w:t>
      </w:r>
      <w:r w:rsidR="00FE64C7" w:rsidRPr="001D25E9">
        <w:rPr>
          <w:rStyle w:val="FootnoteReference"/>
          <w:iCs/>
          <w:szCs w:val="22"/>
        </w:rPr>
        <w:footnoteReference w:id="64"/>
      </w:r>
      <w:r w:rsidR="00361EAF">
        <w:rPr>
          <w:rFonts w:eastAsia="Times New Roman"/>
          <w:iCs/>
          <w:color w:val="333333"/>
          <w:szCs w:val="22"/>
          <w:lang w:val="en" w:eastAsia="en-US"/>
        </w:rPr>
        <w:t xml:space="preserve"> </w:t>
      </w:r>
    </w:p>
    <w:p w14:paraId="61869526" w14:textId="77777777" w:rsidR="00A46974" w:rsidRDefault="00A46974" w:rsidP="005F6B18">
      <w:pPr>
        <w:shd w:val="clear" w:color="auto" w:fill="FFFFFF"/>
        <w:rPr>
          <w:rFonts w:eastAsia="Times New Roman"/>
          <w:iCs/>
          <w:color w:val="333333"/>
          <w:szCs w:val="22"/>
          <w:lang w:val="en" w:eastAsia="en-US"/>
        </w:rPr>
      </w:pPr>
    </w:p>
    <w:p w14:paraId="3D54CA2F" w14:textId="77777777" w:rsidR="003747AA" w:rsidRDefault="00DF3183" w:rsidP="00EA7415">
      <w:pPr>
        <w:rPr>
          <w:szCs w:val="22"/>
        </w:rPr>
      </w:pPr>
      <w:r>
        <w:rPr>
          <w:szCs w:val="22"/>
        </w:rPr>
        <w:fldChar w:fldCharType="begin"/>
      </w:r>
      <w:r>
        <w:rPr>
          <w:szCs w:val="22"/>
        </w:rPr>
        <w:instrText xml:space="preserve"> AUTONUM  </w:instrText>
      </w:r>
      <w:r>
        <w:rPr>
          <w:szCs w:val="22"/>
        </w:rPr>
        <w:fldChar w:fldCharType="end"/>
      </w:r>
      <w:r>
        <w:rPr>
          <w:szCs w:val="22"/>
        </w:rPr>
        <w:tab/>
      </w:r>
      <w:r w:rsidR="00DB164E" w:rsidRPr="00015C55">
        <w:rPr>
          <w:szCs w:val="22"/>
        </w:rPr>
        <w:t>Further details of the scope of such exception were expressly pr</w:t>
      </w:r>
      <w:r w:rsidR="0038242D">
        <w:rPr>
          <w:szCs w:val="22"/>
        </w:rPr>
        <w:t xml:space="preserve">ovided in some applicable laws.  </w:t>
      </w:r>
      <w:r w:rsidR="00C8139E">
        <w:rPr>
          <w:szCs w:val="22"/>
        </w:rPr>
        <w:t>In Armenia</w:t>
      </w:r>
      <w:r w:rsidR="004424FC">
        <w:rPr>
          <w:szCs w:val="22"/>
        </w:rPr>
        <w:t xml:space="preserve">, </w:t>
      </w:r>
      <w:r w:rsidR="00C8139E">
        <w:rPr>
          <w:szCs w:val="22"/>
        </w:rPr>
        <w:t>the Republic of Moldova</w:t>
      </w:r>
      <w:r w:rsidR="004424FC">
        <w:rPr>
          <w:szCs w:val="22"/>
        </w:rPr>
        <w:t xml:space="preserve"> and the Russian Federation</w:t>
      </w:r>
      <w:r w:rsidR="00A46974">
        <w:rPr>
          <w:szCs w:val="22"/>
        </w:rPr>
        <w:t>,</w:t>
      </w:r>
      <w:r w:rsidR="00DB164E" w:rsidRPr="00015C55">
        <w:rPr>
          <w:szCs w:val="22"/>
        </w:rPr>
        <w:t xml:space="preserve"> such use was allowed “without extension of the scope of use”</w:t>
      </w:r>
      <w:r w:rsidR="004424FC">
        <w:rPr>
          <w:szCs w:val="22"/>
        </w:rPr>
        <w:t>,</w:t>
      </w:r>
      <w:r w:rsidR="00C8139E">
        <w:rPr>
          <w:szCs w:val="22"/>
        </w:rPr>
        <w:t xml:space="preserve"> “within the limits of existing volumes</w:t>
      </w:r>
      <w:r w:rsidR="004424FC">
        <w:rPr>
          <w:szCs w:val="22"/>
        </w:rPr>
        <w:t>” or “provided that the scope of such use is not expanded”,</w:t>
      </w:r>
      <w:r w:rsidR="00C8139E">
        <w:rPr>
          <w:szCs w:val="22"/>
        </w:rPr>
        <w:t xml:space="preserve"> respectively</w:t>
      </w:r>
      <w:r w:rsidR="00DB164E" w:rsidRPr="00015C55">
        <w:rPr>
          <w:szCs w:val="22"/>
        </w:rPr>
        <w:t>.  In Austria, s</w:t>
      </w:r>
      <w:r w:rsidR="00953F33" w:rsidRPr="00015C55">
        <w:rPr>
          <w:szCs w:val="22"/>
        </w:rPr>
        <w:t xml:space="preserve">uch </w:t>
      </w:r>
      <w:r w:rsidR="007F55EA" w:rsidRPr="00015C55">
        <w:rPr>
          <w:szCs w:val="22"/>
        </w:rPr>
        <w:t xml:space="preserve">person shall be entitled to exploit the subject matter for the requirements of </w:t>
      </w:r>
      <w:r w:rsidR="001E39F8" w:rsidRPr="00015C55">
        <w:rPr>
          <w:szCs w:val="22"/>
        </w:rPr>
        <w:t>“</w:t>
      </w:r>
      <w:r w:rsidR="007F55EA" w:rsidRPr="00015C55">
        <w:rPr>
          <w:szCs w:val="22"/>
        </w:rPr>
        <w:t>his own business in his own or in other persons’ workshops</w:t>
      </w:r>
      <w:r w:rsidR="00626450" w:rsidRPr="00015C55">
        <w:rPr>
          <w:szCs w:val="22"/>
        </w:rPr>
        <w:t>”</w:t>
      </w:r>
      <w:r w:rsidR="005B6FBB" w:rsidRPr="00015C55">
        <w:rPr>
          <w:szCs w:val="22"/>
        </w:rPr>
        <w:t>.</w:t>
      </w:r>
      <w:r w:rsidR="004E1B6C">
        <w:rPr>
          <w:szCs w:val="22"/>
        </w:rPr>
        <w:t xml:space="preserve">  Similarly,</w:t>
      </w:r>
      <w:r w:rsidR="00A46974">
        <w:rPr>
          <w:szCs w:val="22"/>
        </w:rPr>
        <w:t xml:space="preserve"> the</w:t>
      </w:r>
      <w:r w:rsidR="004E1B6C">
        <w:rPr>
          <w:szCs w:val="22"/>
        </w:rPr>
        <w:t xml:space="preserve"> patent law of Serbia provides that such prior user is </w:t>
      </w:r>
      <w:r w:rsidR="004E1B6C" w:rsidRPr="003A4022">
        <w:rPr>
          <w:szCs w:val="22"/>
        </w:rPr>
        <w:t xml:space="preserve">entitled to </w:t>
      </w:r>
      <w:r w:rsidR="004E1B6C">
        <w:rPr>
          <w:szCs w:val="22"/>
        </w:rPr>
        <w:t>“</w:t>
      </w:r>
      <w:r w:rsidR="004E1B6C" w:rsidRPr="003A4022">
        <w:rPr>
          <w:szCs w:val="22"/>
        </w:rPr>
        <w:t>continue exploiting the invention for production purposes only in his own production plant or in the plant of any other person for his own needs</w:t>
      </w:r>
      <w:r w:rsidR="004E1B6C">
        <w:rPr>
          <w:szCs w:val="22"/>
        </w:rPr>
        <w:t>”</w:t>
      </w:r>
      <w:r w:rsidR="004E1B6C" w:rsidRPr="003A4022">
        <w:rPr>
          <w:szCs w:val="22"/>
        </w:rPr>
        <w:t>.</w:t>
      </w:r>
      <w:r w:rsidR="004E1B6C">
        <w:rPr>
          <w:szCs w:val="22"/>
        </w:rPr>
        <w:t xml:space="preserve"> </w:t>
      </w:r>
      <w:r w:rsidR="005B6FBB" w:rsidRPr="00015C55">
        <w:rPr>
          <w:szCs w:val="22"/>
        </w:rPr>
        <w:t xml:space="preserve"> </w:t>
      </w:r>
      <w:r w:rsidR="0060520F" w:rsidRPr="00015C55">
        <w:rPr>
          <w:szCs w:val="22"/>
        </w:rPr>
        <w:t>In Finland, such a prior user may continue to exploit the invention provided “he maintains the general nature of the exploitation”</w:t>
      </w:r>
      <w:r w:rsidR="00634B5E">
        <w:rPr>
          <w:rStyle w:val="FootnoteReference"/>
          <w:szCs w:val="22"/>
        </w:rPr>
        <w:footnoteReference w:id="65"/>
      </w:r>
      <w:r w:rsidR="0060520F" w:rsidRPr="00015C55">
        <w:rPr>
          <w:szCs w:val="22"/>
        </w:rPr>
        <w:t xml:space="preserve"> and he should have began to exploit an invention “comercially” and “in this country”</w:t>
      </w:r>
      <w:r w:rsidR="00957AA4">
        <w:rPr>
          <w:szCs w:val="22"/>
        </w:rPr>
        <w:t xml:space="preserve"> to invoke the exception</w:t>
      </w:r>
      <w:r w:rsidR="0060520F" w:rsidRPr="00015C55">
        <w:rPr>
          <w:szCs w:val="22"/>
        </w:rPr>
        <w:t>.</w:t>
      </w:r>
      <w:r w:rsidR="00957AA4">
        <w:rPr>
          <w:szCs w:val="22"/>
        </w:rPr>
        <w:t xml:space="preserve"> </w:t>
      </w:r>
      <w:r w:rsidR="00C8139E">
        <w:rPr>
          <w:szCs w:val="22"/>
        </w:rPr>
        <w:t xml:space="preserve"> In Romania, such prior user may continue to exploit the invention “to the same extent as on the date of publication of the mention of reestablishment of rights”.  </w:t>
      </w:r>
    </w:p>
    <w:p w14:paraId="5CAE4867" w14:textId="77777777" w:rsidR="003747AA" w:rsidRDefault="003747AA" w:rsidP="00EA7415">
      <w:pPr>
        <w:rPr>
          <w:szCs w:val="22"/>
        </w:rPr>
      </w:pPr>
    </w:p>
    <w:p w14:paraId="0314BA5C" w14:textId="4F1039CD" w:rsidR="00141B3B" w:rsidRDefault="001D25E9" w:rsidP="00EA7415">
      <w:pPr>
        <w:rPr>
          <w:szCs w:val="22"/>
        </w:rPr>
      </w:pPr>
      <w:r>
        <w:rPr>
          <w:szCs w:val="22"/>
        </w:rPr>
        <w:fldChar w:fldCharType="begin"/>
      </w:r>
      <w:r>
        <w:rPr>
          <w:szCs w:val="22"/>
        </w:rPr>
        <w:instrText xml:space="preserve"> AUTONUM  </w:instrText>
      </w:r>
      <w:r>
        <w:rPr>
          <w:szCs w:val="22"/>
        </w:rPr>
        <w:fldChar w:fldCharType="end"/>
      </w:r>
      <w:r>
        <w:rPr>
          <w:szCs w:val="22"/>
        </w:rPr>
        <w:tab/>
      </w:r>
      <w:r w:rsidR="00957AA4">
        <w:rPr>
          <w:szCs w:val="22"/>
        </w:rPr>
        <w:t xml:space="preserve">In some </w:t>
      </w:r>
      <w:r w:rsidR="0060520F" w:rsidRPr="00015C55">
        <w:rPr>
          <w:szCs w:val="22"/>
        </w:rPr>
        <w:t>Member Stat</w:t>
      </w:r>
      <w:r w:rsidR="00957AA4">
        <w:rPr>
          <w:szCs w:val="22"/>
        </w:rPr>
        <w:t xml:space="preserve">es, the requirement is that </w:t>
      </w:r>
      <w:r w:rsidR="0060520F" w:rsidRPr="00015C55">
        <w:rPr>
          <w:szCs w:val="22"/>
        </w:rPr>
        <w:t>such right can be transmitted only together with business by providing, for example,</w:t>
      </w:r>
      <w:r w:rsidR="00626450" w:rsidRPr="00015C55">
        <w:rPr>
          <w:szCs w:val="22"/>
        </w:rPr>
        <w:t xml:space="preserve"> “t</w:t>
      </w:r>
      <w:r w:rsidR="007F55EA" w:rsidRPr="00015C55">
        <w:rPr>
          <w:szCs w:val="22"/>
        </w:rPr>
        <w:t xml:space="preserve">his title shall be inherited or sold only </w:t>
      </w:r>
      <w:r w:rsidR="0060520F" w:rsidRPr="00015C55">
        <w:rPr>
          <w:szCs w:val="22"/>
        </w:rPr>
        <w:t>in connection with the business</w:t>
      </w:r>
      <w:r w:rsidR="00953F33" w:rsidRPr="00015C55">
        <w:rPr>
          <w:szCs w:val="22"/>
        </w:rPr>
        <w:t>”</w:t>
      </w:r>
      <w:r w:rsidR="001E39F8" w:rsidRPr="001D25E9">
        <w:rPr>
          <w:rStyle w:val="FootnoteReference"/>
          <w:iCs/>
          <w:szCs w:val="22"/>
        </w:rPr>
        <w:footnoteReference w:id="66"/>
      </w:r>
      <w:r w:rsidR="00957AA4" w:rsidRPr="001D25E9">
        <w:rPr>
          <w:rStyle w:val="FootnoteReference"/>
          <w:iCs/>
          <w:szCs w:val="22"/>
          <w:vertAlign w:val="baseline"/>
        </w:rPr>
        <w:t>,</w:t>
      </w:r>
      <w:r w:rsidR="00957AA4">
        <w:rPr>
          <w:rStyle w:val="FootnoteReference"/>
          <w:iCs/>
          <w:vertAlign w:val="baseline"/>
        </w:rPr>
        <w:t xml:space="preserve"> </w:t>
      </w:r>
      <w:r w:rsidR="0060520F" w:rsidRPr="00015C55">
        <w:rPr>
          <w:szCs w:val="22"/>
        </w:rPr>
        <w:t xml:space="preserve">“transfer of this right is permitted only together with the </w:t>
      </w:r>
      <w:r w:rsidR="00957AA4" w:rsidRPr="00015C55">
        <w:rPr>
          <w:szCs w:val="22"/>
        </w:rPr>
        <w:t>enterprise</w:t>
      </w:r>
      <w:r w:rsidR="0060520F" w:rsidRPr="00015C55">
        <w:rPr>
          <w:szCs w:val="22"/>
        </w:rPr>
        <w:t>“</w:t>
      </w:r>
      <w:r w:rsidR="0060520F" w:rsidRPr="001D25E9">
        <w:rPr>
          <w:rStyle w:val="FootnoteReference"/>
          <w:iCs/>
          <w:szCs w:val="22"/>
        </w:rPr>
        <w:footnoteReference w:id="67"/>
      </w:r>
      <w:r w:rsidR="00957AA4">
        <w:rPr>
          <w:rStyle w:val="FootnoteReference"/>
          <w:iCs/>
          <w:vertAlign w:val="baseline"/>
        </w:rPr>
        <w:t>,</w:t>
      </w:r>
      <w:r w:rsidR="003747AA">
        <w:rPr>
          <w:szCs w:val="22"/>
        </w:rPr>
        <w:t xml:space="preserve"> “t</w:t>
      </w:r>
      <w:r w:rsidR="00957AA4">
        <w:rPr>
          <w:szCs w:val="22"/>
        </w:rPr>
        <w:t>he right [...]</w:t>
      </w:r>
      <w:r w:rsidR="0060520F" w:rsidRPr="00015C55">
        <w:rPr>
          <w:szCs w:val="22"/>
        </w:rPr>
        <w:t xml:space="preserve"> may only be transferred to another person together with the business in which it originated or in which exploitation of the invention was intended”</w:t>
      </w:r>
      <w:r w:rsidR="001E7224" w:rsidRPr="00015C55">
        <w:rPr>
          <w:szCs w:val="22"/>
        </w:rPr>
        <w:t xml:space="preserve">, </w:t>
      </w:r>
      <w:r w:rsidR="00957AA4">
        <w:rPr>
          <w:szCs w:val="22"/>
        </w:rPr>
        <w:t xml:space="preserve">or </w:t>
      </w:r>
      <w:r w:rsidR="001E7224" w:rsidRPr="00015C55">
        <w:rPr>
          <w:szCs w:val="22"/>
        </w:rPr>
        <w:t>“</w:t>
      </w:r>
      <w:r w:rsidR="00957AA4">
        <w:rPr>
          <w:szCs w:val="22"/>
        </w:rPr>
        <w:t>[t]</w:t>
      </w:r>
      <w:r w:rsidR="001E7224" w:rsidRPr="00015C55">
        <w:rPr>
          <w:szCs w:val="22"/>
        </w:rPr>
        <w:t xml:space="preserve">he right to exploit an invention </w:t>
      </w:r>
      <w:r w:rsidR="00957AA4">
        <w:rPr>
          <w:szCs w:val="22"/>
        </w:rPr>
        <w:t>[…]</w:t>
      </w:r>
      <w:r w:rsidR="001E7224" w:rsidRPr="00015C55">
        <w:rPr>
          <w:szCs w:val="22"/>
        </w:rPr>
        <w:t xml:space="preserve"> cannot be transferred, devolved or transmitted by inheritance, except together with the business i</w:t>
      </w:r>
      <w:r w:rsidR="003747AA">
        <w:rPr>
          <w:szCs w:val="22"/>
        </w:rPr>
        <w:t>n which that invention was used”</w:t>
      </w:r>
      <w:r w:rsidR="001E7224" w:rsidRPr="00015C55">
        <w:rPr>
          <w:szCs w:val="22"/>
        </w:rPr>
        <w:t>.</w:t>
      </w:r>
      <w:r w:rsidR="001E7224" w:rsidRPr="00FE0FFE">
        <w:rPr>
          <w:rStyle w:val="FootnoteReference"/>
          <w:iCs/>
          <w:szCs w:val="22"/>
        </w:rPr>
        <w:footnoteReference w:id="68"/>
      </w:r>
      <w:r w:rsidR="00C76870">
        <w:rPr>
          <w:rStyle w:val="FootnoteReference"/>
          <w:iCs/>
        </w:rPr>
        <w:t xml:space="preserve"> </w:t>
      </w:r>
      <w:r w:rsidR="00C76870">
        <w:rPr>
          <w:szCs w:val="22"/>
        </w:rPr>
        <w:t xml:space="preserve"> </w:t>
      </w:r>
      <w:r w:rsidR="00F851FB">
        <w:rPr>
          <w:szCs w:val="22"/>
        </w:rPr>
        <w:t>Different to this approach, i</w:t>
      </w:r>
      <w:r w:rsidR="004424FC">
        <w:rPr>
          <w:szCs w:val="22"/>
        </w:rPr>
        <w:t>n the Russian Federation, the right of subsequent use “may not be transferred to another person together with the enterprise”.</w:t>
      </w:r>
    </w:p>
    <w:p w14:paraId="4D3E0FF2" w14:textId="77777777" w:rsidR="00634B5E" w:rsidRDefault="00634B5E" w:rsidP="0038250F">
      <w:pPr>
        <w:pStyle w:val="FootnoteText"/>
        <w:rPr>
          <w:sz w:val="22"/>
          <w:szCs w:val="22"/>
        </w:rPr>
      </w:pPr>
    </w:p>
    <w:p w14:paraId="40370C02" w14:textId="77777777" w:rsidR="003747AA" w:rsidRDefault="00634B5E" w:rsidP="005F6B18">
      <w:pPr>
        <w:shd w:val="clear" w:color="auto" w:fill="FFFFFF"/>
        <w:rPr>
          <w:szCs w:val="22"/>
        </w:rPr>
      </w:pPr>
      <w:r>
        <w:rPr>
          <w:szCs w:val="22"/>
        </w:rPr>
        <w:fldChar w:fldCharType="begin"/>
      </w:r>
      <w:r>
        <w:rPr>
          <w:szCs w:val="22"/>
        </w:rPr>
        <w:instrText xml:space="preserve"> AUTONUM  </w:instrText>
      </w:r>
      <w:r>
        <w:rPr>
          <w:szCs w:val="22"/>
        </w:rPr>
        <w:fldChar w:fldCharType="end"/>
      </w:r>
      <w:r>
        <w:rPr>
          <w:szCs w:val="22"/>
        </w:rPr>
        <w:tab/>
      </w:r>
      <w:r w:rsidR="000248B7">
        <w:rPr>
          <w:szCs w:val="22"/>
        </w:rPr>
        <w:t>Further</w:t>
      </w:r>
      <w:r w:rsidR="00FB3FF9">
        <w:rPr>
          <w:szCs w:val="22"/>
        </w:rPr>
        <w:t xml:space="preserve">, some </w:t>
      </w:r>
      <w:r w:rsidR="00105C59" w:rsidRPr="00105C59">
        <w:rPr>
          <w:szCs w:val="22"/>
        </w:rPr>
        <w:t>Member States provided different type</w:t>
      </w:r>
      <w:r w:rsidR="003747AA">
        <w:rPr>
          <w:szCs w:val="22"/>
        </w:rPr>
        <w:t>s</w:t>
      </w:r>
      <w:r w:rsidR="00105C59" w:rsidRPr="00105C59">
        <w:rPr>
          <w:szCs w:val="22"/>
        </w:rPr>
        <w:t xml:space="preserve"> of relief</w:t>
      </w:r>
      <w:r w:rsidR="00105C59">
        <w:rPr>
          <w:rFonts w:eastAsia="Times New Roman"/>
          <w:iCs/>
          <w:color w:val="333333"/>
          <w:szCs w:val="22"/>
          <w:lang w:eastAsia="en-US"/>
        </w:rPr>
        <w:t xml:space="preserve"> </w:t>
      </w:r>
      <w:r w:rsidR="00A91A36">
        <w:rPr>
          <w:iCs/>
          <w:szCs w:val="22"/>
        </w:rPr>
        <w:t xml:space="preserve">in </w:t>
      </w:r>
      <w:r w:rsidR="00A91A36">
        <w:rPr>
          <w:szCs w:val="22"/>
        </w:rPr>
        <w:t>situations where a third party had</w:t>
      </w:r>
      <w:r w:rsidR="00A91A36" w:rsidRPr="00903588">
        <w:rPr>
          <w:szCs w:val="22"/>
        </w:rPr>
        <w:t xml:space="preserve"> been using the patented invention or ha</w:t>
      </w:r>
      <w:r w:rsidR="00A91A36">
        <w:rPr>
          <w:szCs w:val="22"/>
        </w:rPr>
        <w:t>d</w:t>
      </w:r>
      <w:r w:rsidR="00A91A36" w:rsidRPr="00903588">
        <w:rPr>
          <w:szCs w:val="22"/>
        </w:rPr>
        <w:t xml:space="preserve"> made serious preparations for such use after the invalidation or refusal of the patent, but before the res</w:t>
      </w:r>
      <w:r w:rsidR="00A91A36">
        <w:rPr>
          <w:szCs w:val="22"/>
        </w:rPr>
        <w:t>toration or grant of the patent.</w:t>
      </w:r>
      <w:r w:rsidR="00FB3FF9">
        <w:rPr>
          <w:szCs w:val="22"/>
        </w:rPr>
        <w:t xml:space="preserve">  For example, i</w:t>
      </w:r>
      <w:r w:rsidR="00A91A36">
        <w:rPr>
          <w:szCs w:val="22"/>
        </w:rPr>
        <w:t>n South Africa, a patentee</w:t>
      </w:r>
      <w:r w:rsidR="00A46974">
        <w:rPr>
          <w:szCs w:val="22"/>
        </w:rPr>
        <w:t>,</w:t>
      </w:r>
      <w:r w:rsidR="00207389">
        <w:rPr>
          <w:szCs w:val="22"/>
        </w:rPr>
        <w:t xml:space="preserve"> whose rights were restored</w:t>
      </w:r>
      <w:r w:rsidR="00A46974">
        <w:rPr>
          <w:szCs w:val="22"/>
        </w:rPr>
        <w:t>,</w:t>
      </w:r>
      <w:r w:rsidR="00207389">
        <w:rPr>
          <w:szCs w:val="22"/>
        </w:rPr>
        <w:t xml:space="preserve"> can</w:t>
      </w:r>
      <w:r w:rsidR="00A91A36">
        <w:rPr>
          <w:szCs w:val="22"/>
        </w:rPr>
        <w:t xml:space="preserve">not institute any </w:t>
      </w:r>
      <w:r w:rsidR="00A91A36">
        <w:rPr>
          <w:szCs w:val="22"/>
        </w:rPr>
        <w:lastRenderedPageBreak/>
        <w:t>proceedings against or recover damages from any person</w:t>
      </w:r>
      <w:r w:rsidR="00371EC2">
        <w:rPr>
          <w:szCs w:val="22"/>
        </w:rPr>
        <w:t xml:space="preserve"> who </w:t>
      </w:r>
      <w:r w:rsidR="00207389">
        <w:rPr>
          <w:szCs w:val="22"/>
        </w:rPr>
        <w:t>“</w:t>
      </w:r>
      <w:r w:rsidR="00371EC2">
        <w:rPr>
          <w:szCs w:val="22"/>
        </w:rPr>
        <w:t>used</w:t>
      </w:r>
      <w:r w:rsidR="00207389">
        <w:rPr>
          <w:szCs w:val="22"/>
        </w:rPr>
        <w:t>”</w:t>
      </w:r>
      <w:r w:rsidR="00FB3FF9">
        <w:rPr>
          <w:rStyle w:val="FootnoteReference"/>
          <w:szCs w:val="22"/>
        </w:rPr>
        <w:footnoteReference w:id="69"/>
      </w:r>
      <w:r w:rsidR="00371EC2">
        <w:rPr>
          <w:szCs w:val="22"/>
        </w:rPr>
        <w:t xml:space="preserve"> </w:t>
      </w:r>
      <w:r w:rsidR="00371EC2" w:rsidRPr="003A4022">
        <w:rPr>
          <w:szCs w:val="22"/>
        </w:rPr>
        <w:t>the</w:t>
      </w:r>
      <w:r w:rsidR="00207389">
        <w:rPr>
          <w:szCs w:val="22"/>
        </w:rPr>
        <w:t xml:space="preserve"> patented invention</w:t>
      </w:r>
      <w:r w:rsidR="00FB3FF9">
        <w:rPr>
          <w:szCs w:val="22"/>
        </w:rPr>
        <w:t xml:space="preserve"> </w:t>
      </w:r>
      <w:r w:rsidR="00207389">
        <w:rPr>
          <w:szCs w:val="22"/>
        </w:rPr>
        <w:t>“</w:t>
      </w:r>
      <w:r w:rsidR="00371EC2" w:rsidRPr="003A4022">
        <w:rPr>
          <w:szCs w:val="22"/>
        </w:rPr>
        <w:t>after the lapse of a period of six months from the date on which the renewal fee was due and before the date on which the application for the restorati</w:t>
      </w:r>
      <w:r w:rsidR="00FB3FF9">
        <w:rPr>
          <w:szCs w:val="22"/>
        </w:rPr>
        <w:t xml:space="preserve">on of the patent was advertised”.  </w:t>
      </w:r>
      <w:r w:rsidR="00A46974">
        <w:rPr>
          <w:szCs w:val="22"/>
        </w:rPr>
        <w:br/>
      </w:r>
      <w:r w:rsidR="00FB3FF9">
        <w:rPr>
          <w:szCs w:val="22"/>
        </w:rPr>
        <w:t xml:space="preserve">In case </w:t>
      </w:r>
      <w:r w:rsidR="00D61F28">
        <w:rPr>
          <w:szCs w:val="22"/>
        </w:rPr>
        <w:t>a third party</w:t>
      </w:r>
      <w:r w:rsidR="00FB3FF9" w:rsidRPr="003A4022">
        <w:rPr>
          <w:szCs w:val="22"/>
        </w:rPr>
        <w:t xml:space="preserve"> who, during </w:t>
      </w:r>
      <w:r w:rsidR="00FB3FF9">
        <w:rPr>
          <w:szCs w:val="22"/>
        </w:rPr>
        <w:t>that</w:t>
      </w:r>
      <w:r w:rsidR="00FB3FF9" w:rsidRPr="003A4022">
        <w:rPr>
          <w:szCs w:val="22"/>
        </w:rPr>
        <w:t xml:space="preserve"> period</w:t>
      </w:r>
      <w:r w:rsidR="00A46974">
        <w:rPr>
          <w:szCs w:val="22"/>
        </w:rPr>
        <w:t>,</w:t>
      </w:r>
      <w:r w:rsidR="00FB3FF9" w:rsidRPr="003A4022">
        <w:rPr>
          <w:szCs w:val="22"/>
        </w:rPr>
        <w:t xml:space="preserve"> has expended any money, time or </w:t>
      </w:r>
      <w:proofErr w:type="spellStart"/>
      <w:r w:rsidR="00FB3FF9" w:rsidRPr="003A4022">
        <w:rPr>
          <w:szCs w:val="22"/>
        </w:rPr>
        <w:t>labour</w:t>
      </w:r>
      <w:proofErr w:type="spellEnd"/>
      <w:r w:rsidR="00FB3FF9" w:rsidRPr="003A4022">
        <w:rPr>
          <w:szCs w:val="22"/>
        </w:rPr>
        <w:t xml:space="preserve"> with a view to making, using, exercising, offering to dispose of, disposing of or importing the invention,</w:t>
      </w:r>
      <w:r w:rsidR="00D61F28">
        <w:rPr>
          <w:szCs w:val="22"/>
        </w:rPr>
        <w:t xml:space="preserve"> he</w:t>
      </w:r>
      <w:r w:rsidR="00FB3FF9" w:rsidRPr="003A4022">
        <w:rPr>
          <w:szCs w:val="22"/>
        </w:rPr>
        <w:t xml:space="preserve"> may apply to the Commissioner </w:t>
      </w:r>
      <w:r w:rsidR="00D61F28">
        <w:rPr>
          <w:szCs w:val="22"/>
        </w:rPr>
        <w:t>“</w:t>
      </w:r>
      <w:r w:rsidR="00FB3FF9" w:rsidRPr="003A4022">
        <w:rPr>
          <w:szCs w:val="22"/>
        </w:rPr>
        <w:t xml:space="preserve">for compensation in respect of the money, time and </w:t>
      </w:r>
      <w:proofErr w:type="spellStart"/>
      <w:r w:rsidR="00FB3FF9" w:rsidRPr="003A4022">
        <w:rPr>
          <w:szCs w:val="22"/>
        </w:rPr>
        <w:t>labour</w:t>
      </w:r>
      <w:proofErr w:type="spellEnd"/>
      <w:r w:rsidR="00FB3FF9" w:rsidRPr="003A4022">
        <w:rPr>
          <w:szCs w:val="22"/>
        </w:rPr>
        <w:t xml:space="preserve"> so expended</w:t>
      </w:r>
      <w:r w:rsidR="00D61F28">
        <w:rPr>
          <w:szCs w:val="22"/>
        </w:rPr>
        <w:t>”.  While the</w:t>
      </w:r>
      <w:r w:rsidR="00D61F28" w:rsidRPr="003A4022">
        <w:rPr>
          <w:szCs w:val="22"/>
        </w:rPr>
        <w:t xml:space="preserve"> amount</w:t>
      </w:r>
      <w:r w:rsidR="00D61F28">
        <w:rPr>
          <w:szCs w:val="22"/>
        </w:rPr>
        <w:t xml:space="preserve"> of compensation is </w:t>
      </w:r>
      <w:r w:rsidR="00D61F28" w:rsidRPr="003A4022">
        <w:rPr>
          <w:szCs w:val="22"/>
        </w:rPr>
        <w:t>not reco</w:t>
      </w:r>
      <w:r w:rsidR="00D61F28">
        <w:rPr>
          <w:szCs w:val="22"/>
        </w:rPr>
        <w:t>verable as a debt or damages</w:t>
      </w:r>
      <w:r w:rsidR="00D61F28" w:rsidRPr="003A4022">
        <w:rPr>
          <w:szCs w:val="22"/>
        </w:rPr>
        <w:t>, if it is not paid within the time determined by the Commissioner, the patent lapse</w:t>
      </w:r>
      <w:r w:rsidR="00D61F28">
        <w:rPr>
          <w:szCs w:val="22"/>
        </w:rPr>
        <w:t>s</w:t>
      </w:r>
      <w:r w:rsidR="005A470C">
        <w:rPr>
          <w:szCs w:val="22"/>
        </w:rPr>
        <w:t xml:space="preserve">.  </w:t>
      </w:r>
    </w:p>
    <w:p w14:paraId="67DDCC9C" w14:textId="77777777" w:rsidR="003747AA" w:rsidRDefault="003747AA" w:rsidP="005F6B18">
      <w:pPr>
        <w:shd w:val="clear" w:color="auto" w:fill="FFFFFF"/>
        <w:rPr>
          <w:szCs w:val="22"/>
        </w:rPr>
      </w:pPr>
    </w:p>
    <w:p w14:paraId="60F69D6B" w14:textId="0627E263" w:rsidR="005A470C" w:rsidRDefault="00614867" w:rsidP="005F6B18">
      <w:pPr>
        <w:shd w:val="clear" w:color="auto" w:fill="FFFFFF"/>
        <w:rPr>
          <w:szCs w:val="22"/>
        </w:rPr>
      </w:pPr>
      <w:r>
        <w:rPr>
          <w:szCs w:val="22"/>
        </w:rPr>
        <w:fldChar w:fldCharType="begin"/>
      </w:r>
      <w:r>
        <w:rPr>
          <w:szCs w:val="22"/>
        </w:rPr>
        <w:instrText xml:space="preserve"> AUTONUM  </w:instrText>
      </w:r>
      <w:r>
        <w:rPr>
          <w:szCs w:val="22"/>
        </w:rPr>
        <w:fldChar w:fldCharType="end"/>
      </w:r>
      <w:r>
        <w:rPr>
          <w:szCs w:val="22"/>
        </w:rPr>
        <w:tab/>
      </w:r>
      <w:r w:rsidR="005A470C">
        <w:rPr>
          <w:szCs w:val="22"/>
        </w:rPr>
        <w:t xml:space="preserve">In </w:t>
      </w:r>
      <w:r w:rsidR="005A470C" w:rsidRPr="00614867">
        <w:rPr>
          <w:szCs w:val="22"/>
        </w:rPr>
        <w:t xml:space="preserve">Australia, where an application or patent ceases </w:t>
      </w:r>
      <w:r w:rsidR="005A470C" w:rsidRPr="00955583">
        <w:rPr>
          <w:szCs w:val="22"/>
        </w:rPr>
        <w:t>to have effect in certain circumstances but is restored, for example through the granting of an extension of time, special provisions apply to allow a third party to apply to the Commissioner of Patents for a licence to continue to exploit the invention.</w:t>
      </w:r>
      <w:r>
        <w:rPr>
          <w:szCs w:val="22"/>
        </w:rPr>
        <w:t xml:space="preserve"> </w:t>
      </w:r>
      <w:r w:rsidR="005A470C" w:rsidRPr="00955583">
        <w:rPr>
          <w:szCs w:val="22"/>
        </w:rPr>
        <w:t xml:space="preserve"> The person must show that they took definite steps to avail </w:t>
      </w:r>
      <w:r w:rsidR="005A470C" w:rsidRPr="00B30EAD">
        <w:rPr>
          <w:color w:val="000000"/>
          <w:szCs w:val="22"/>
        </w:rPr>
        <w:t>themselves of or exploit the invention as a result of the ceasing of the application or patent</w:t>
      </w:r>
      <w:r w:rsidR="005A470C" w:rsidRPr="00B30EAD">
        <w:rPr>
          <w:rFonts w:eastAsia="Times New Roman"/>
          <w:iCs/>
          <w:color w:val="000000"/>
          <w:szCs w:val="22"/>
          <w:lang w:val="en" w:eastAsia="en-US"/>
        </w:rPr>
        <w:t>.</w:t>
      </w:r>
      <w:r w:rsidR="00B162A3" w:rsidRPr="00B30EAD">
        <w:rPr>
          <w:rStyle w:val="FootnoteReference"/>
          <w:rFonts w:eastAsia="Times New Roman"/>
          <w:iCs/>
          <w:color w:val="000000"/>
          <w:szCs w:val="22"/>
          <w:lang w:val="en" w:eastAsia="en-US"/>
        </w:rPr>
        <w:footnoteReference w:id="70"/>
      </w:r>
      <w:r w:rsidR="005A470C" w:rsidRPr="003A4022">
        <w:rPr>
          <w:rFonts w:eastAsia="Times New Roman"/>
          <w:iCs/>
          <w:color w:val="333333"/>
          <w:szCs w:val="22"/>
          <w:lang w:val="en" w:eastAsia="en-US"/>
        </w:rPr>
        <w:t xml:space="preserve"> </w:t>
      </w:r>
      <w:r w:rsidR="00955583">
        <w:rPr>
          <w:rFonts w:eastAsia="Times New Roman"/>
          <w:color w:val="333333"/>
          <w:szCs w:val="22"/>
          <w:lang w:val="en" w:eastAsia="en-US"/>
        </w:rPr>
        <w:t xml:space="preserve"> </w:t>
      </w:r>
      <w:r w:rsidR="00955583" w:rsidRPr="00614867">
        <w:rPr>
          <w:szCs w:val="22"/>
        </w:rPr>
        <w:t>In Japan,</w:t>
      </w:r>
      <w:r>
        <w:rPr>
          <w:szCs w:val="22"/>
        </w:rPr>
        <w:t xml:space="preserve"> </w:t>
      </w:r>
      <w:r w:rsidRPr="003A4022">
        <w:rPr>
          <w:szCs w:val="22"/>
        </w:rPr>
        <w:t>a non-exclus</w:t>
      </w:r>
      <w:r w:rsidR="009515FA">
        <w:rPr>
          <w:szCs w:val="22"/>
        </w:rPr>
        <w:t xml:space="preserve">ive license on the patent right is available to a third party </w:t>
      </w:r>
      <w:r w:rsidR="009515FA">
        <w:rPr>
          <w:iCs/>
          <w:szCs w:val="22"/>
        </w:rPr>
        <w:t xml:space="preserve">in </w:t>
      </w:r>
      <w:r w:rsidR="009515FA">
        <w:rPr>
          <w:szCs w:val="22"/>
        </w:rPr>
        <w:t>situations where he/she has</w:t>
      </w:r>
      <w:r w:rsidR="009515FA" w:rsidRPr="00903588">
        <w:rPr>
          <w:szCs w:val="22"/>
        </w:rPr>
        <w:t xml:space="preserve"> been</w:t>
      </w:r>
      <w:r w:rsidR="009515FA">
        <w:rPr>
          <w:szCs w:val="22"/>
        </w:rPr>
        <w:t xml:space="preserve">, without knowledge, working the invention in Japan </w:t>
      </w:r>
      <w:r w:rsidR="009515FA" w:rsidRPr="00903588">
        <w:rPr>
          <w:szCs w:val="22"/>
        </w:rPr>
        <w:t>or ha</w:t>
      </w:r>
      <w:r w:rsidR="009515FA">
        <w:rPr>
          <w:szCs w:val="22"/>
        </w:rPr>
        <w:t>s been making</w:t>
      </w:r>
      <w:r w:rsidR="009515FA" w:rsidRPr="00903588">
        <w:rPr>
          <w:szCs w:val="22"/>
        </w:rPr>
        <w:t xml:space="preserve"> preparations for s</w:t>
      </w:r>
      <w:r w:rsidR="009515FA">
        <w:rPr>
          <w:szCs w:val="22"/>
        </w:rPr>
        <w:t>uch use after the invalidation</w:t>
      </w:r>
      <w:r w:rsidR="009515FA" w:rsidRPr="00903588">
        <w:rPr>
          <w:szCs w:val="22"/>
        </w:rPr>
        <w:t xml:space="preserve"> but before the res</w:t>
      </w:r>
      <w:r w:rsidR="009515FA">
        <w:rPr>
          <w:szCs w:val="22"/>
        </w:rPr>
        <w:t xml:space="preserve">toration of the patent, as well as </w:t>
      </w:r>
      <w:r w:rsidR="00360835">
        <w:rPr>
          <w:szCs w:val="22"/>
        </w:rPr>
        <w:t xml:space="preserve">where a third party </w:t>
      </w:r>
      <w:r w:rsidR="003E684A">
        <w:rPr>
          <w:szCs w:val="22"/>
        </w:rPr>
        <w:t xml:space="preserve">has made such use before </w:t>
      </w:r>
      <w:r w:rsidR="00F11276" w:rsidRPr="003A4022">
        <w:rPr>
          <w:szCs w:val="22"/>
        </w:rPr>
        <w:t>invalidated registration of an extension of the duration has been restored</w:t>
      </w:r>
      <w:r w:rsidR="005A470C" w:rsidRPr="003A4022">
        <w:rPr>
          <w:szCs w:val="22"/>
        </w:rPr>
        <w:t>.</w:t>
      </w:r>
      <w:r w:rsidR="00955583">
        <w:rPr>
          <w:rStyle w:val="FootnoteReference"/>
          <w:szCs w:val="22"/>
        </w:rPr>
        <w:footnoteReference w:id="71"/>
      </w:r>
    </w:p>
    <w:p w14:paraId="0E539E79" w14:textId="77777777" w:rsidR="00FD18EA" w:rsidRDefault="00FD18EA" w:rsidP="00FE5C29">
      <w:pPr>
        <w:rPr>
          <w:bCs/>
        </w:rPr>
      </w:pPr>
    </w:p>
    <w:p w14:paraId="273F372A" w14:textId="77777777" w:rsidR="00FE5C29" w:rsidRDefault="00FE5C29" w:rsidP="00FE5C29">
      <w:pPr>
        <w:rPr>
          <w:bCs/>
        </w:rPr>
      </w:pPr>
    </w:p>
    <w:p w14:paraId="22F9C626" w14:textId="77777777" w:rsidR="006A679E" w:rsidRPr="00FE5C29" w:rsidRDefault="006A679E" w:rsidP="00FE5C29">
      <w:pPr>
        <w:rPr>
          <w:b/>
          <w:bCs/>
        </w:rPr>
      </w:pPr>
      <w:r w:rsidRPr="00FE5C29">
        <w:rPr>
          <w:b/>
          <w:bCs/>
        </w:rPr>
        <w:t>IMPLEMENTATION CHALLENGES</w:t>
      </w:r>
    </w:p>
    <w:p w14:paraId="63335EBE" w14:textId="77777777" w:rsidR="00D226A5" w:rsidRDefault="00D226A5" w:rsidP="008808AE">
      <w:pPr>
        <w:rPr>
          <w:b/>
          <w:bCs/>
        </w:rPr>
      </w:pPr>
    </w:p>
    <w:p w14:paraId="44C68F0B" w14:textId="28F01907" w:rsidR="00F5424B" w:rsidRDefault="00352796" w:rsidP="00352796">
      <w:pPr>
        <w:rPr>
          <w:szCs w:val="22"/>
        </w:rPr>
      </w:pPr>
      <w:r w:rsidRPr="00903588">
        <w:rPr>
          <w:szCs w:val="22"/>
        </w:rPr>
        <w:fldChar w:fldCharType="begin"/>
      </w:r>
      <w:r w:rsidRPr="00903588">
        <w:rPr>
          <w:szCs w:val="22"/>
        </w:rPr>
        <w:instrText xml:space="preserve"> AUTONUM  </w:instrText>
      </w:r>
      <w:r w:rsidRPr="00903588">
        <w:rPr>
          <w:szCs w:val="22"/>
        </w:rPr>
        <w:fldChar w:fldCharType="end"/>
      </w:r>
      <w:r w:rsidRPr="00903588">
        <w:rPr>
          <w:szCs w:val="22"/>
        </w:rPr>
        <w:tab/>
        <w:t>The vast majority of Member States consider</w:t>
      </w:r>
      <w:r>
        <w:rPr>
          <w:szCs w:val="22"/>
        </w:rPr>
        <w:t>ed</w:t>
      </w:r>
      <w:r w:rsidRPr="00903588">
        <w:rPr>
          <w:szCs w:val="22"/>
        </w:rPr>
        <w:t xml:space="preserve"> the applicable legal framework of </w:t>
      </w:r>
      <w:r w:rsidR="00FE5C29">
        <w:rPr>
          <w:szCs w:val="22"/>
        </w:rPr>
        <w:t xml:space="preserve">the </w:t>
      </w:r>
      <w:r w:rsidRPr="00903588">
        <w:rPr>
          <w:szCs w:val="22"/>
        </w:rPr>
        <w:t>exception adequat</w:t>
      </w:r>
      <w:r w:rsidR="00CC20DF">
        <w:rPr>
          <w:szCs w:val="22"/>
        </w:rPr>
        <w:t>e to meet the objectives sought</w:t>
      </w:r>
      <w:r w:rsidR="00A05EBE">
        <w:rPr>
          <w:rStyle w:val="FootnoteReference"/>
          <w:szCs w:val="22"/>
        </w:rPr>
        <w:footnoteReference w:id="72"/>
      </w:r>
      <w:r w:rsidR="00CC20DF">
        <w:rPr>
          <w:szCs w:val="22"/>
        </w:rPr>
        <w:t xml:space="preserve"> and, therefore, n</w:t>
      </w:r>
      <w:r w:rsidRPr="00903588">
        <w:rPr>
          <w:szCs w:val="22"/>
        </w:rPr>
        <w:t xml:space="preserve">o amendments are </w:t>
      </w:r>
      <w:r w:rsidRPr="00903588">
        <w:rPr>
          <w:szCs w:val="22"/>
        </w:rPr>
        <w:lastRenderedPageBreak/>
        <w:t>foreseen.</w:t>
      </w:r>
      <w:r w:rsidR="00A05EBE">
        <w:rPr>
          <w:rStyle w:val="FootnoteReference"/>
          <w:szCs w:val="22"/>
        </w:rPr>
        <w:footnoteReference w:id="73"/>
      </w:r>
      <w:r w:rsidRPr="00903588">
        <w:rPr>
          <w:szCs w:val="22"/>
        </w:rPr>
        <w:t xml:space="preserve"> </w:t>
      </w:r>
      <w:r>
        <w:rPr>
          <w:szCs w:val="22"/>
        </w:rPr>
        <w:t xml:space="preserve"> </w:t>
      </w:r>
      <w:r w:rsidR="00F5424B">
        <w:rPr>
          <w:szCs w:val="22"/>
        </w:rPr>
        <w:t xml:space="preserve">In </w:t>
      </w:r>
      <w:r w:rsidR="007A6857">
        <w:rPr>
          <w:szCs w:val="22"/>
        </w:rPr>
        <w:t>El Salvador</w:t>
      </w:r>
      <w:r w:rsidR="00A46974">
        <w:rPr>
          <w:szCs w:val="22"/>
        </w:rPr>
        <w:t>,</w:t>
      </w:r>
      <w:r w:rsidR="00F5424B">
        <w:rPr>
          <w:szCs w:val="22"/>
        </w:rPr>
        <w:t xml:space="preserve"> </w:t>
      </w:r>
      <w:r w:rsidR="007A6857">
        <w:rPr>
          <w:szCs w:val="22"/>
        </w:rPr>
        <w:t xml:space="preserve">the law was planned to be revised </w:t>
      </w:r>
      <w:r w:rsidRPr="00903588">
        <w:rPr>
          <w:szCs w:val="22"/>
        </w:rPr>
        <w:t>in the medium term</w:t>
      </w:r>
      <w:r>
        <w:rPr>
          <w:szCs w:val="22"/>
        </w:rPr>
        <w:t>.</w:t>
      </w:r>
      <w:r w:rsidR="007A6857">
        <w:rPr>
          <w:szCs w:val="22"/>
        </w:rPr>
        <w:t xml:space="preserve"> </w:t>
      </w:r>
      <w:r>
        <w:rPr>
          <w:szCs w:val="22"/>
        </w:rPr>
        <w:t xml:space="preserve"> </w:t>
      </w:r>
      <w:r w:rsidR="00F5424B">
        <w:rPr>
          <w:szCs w:val="22"/>
        </w:rPr>
        <w:t>In New Zealand, the Patent</w:t>
      </w:r>
      <w:r w:rsidR="00F73839">
        <w:rPr>
          <w:szCs w:val="22"/>
        </w:rPr>
        <w:t>s Act</w:t>
      </w:r>
      <w:r w:rsidR="00F5424B">
        <w:rPr>
          <w:szCs w:val="22"/>
        </w:rPr>
        <w:t xml:space="preserve"> was being revised to introduce</w:t>
      </w:r>
      <w:r w:rsidR="00CC20DF">
        <w:rPr>
          <w:szCs w:val="22"/>
        </w:rPr>
        <w:t xml:space="preserve"> an</w:t>
      </w:r>
      <w:r w:rsidR="00F5424B">
        <w:rPr>
          <w:szCs w:val="22"/>
        </w:rPr>
        <w:t xml:space="preserve"> explicit prior use provision.</w:t>
      </w:r>
      <w:r w:rsidR="00FE5C29">
        <w:rPr>
          <w:rStyle w:val="FootnoteReference"/>
          <w:szCs w:val="22"/>
        </w:rPr>
        <w:footnoteReference w:id="74"/>
      </w:r>
    </w:p>
    <w:p w14:paraId="106A61AE" w14:textId="77777777" w:rsidR="005144A8" w:rsidRDefault="005144A8" w:rsidP="00352796">
      <w:pPr>
        <w:rPr>
          <w:szCs w:val="22"/>
        </w:rPr>
      </w:pPr>
    </w:p>
    <w:p w14:paraId="5C320B07" w14:textId="2CE98C0D" w:rsidR="00352796" w:rsidRPr="00CC20DF" w:rsidRDefault="005144A8" w:rsidP="00352796">
      <w:pPr>
        <w:rPr>
          <w:szCs w:val="22"/>
        </w:rPr>
      </w:pPr>
      <w:r>
        <w:rPr>
          <w:szCs w:val="22"/>
        </w:rPr>
        <w:fldChar w:fldCharType="begin"/>
      </w:r>
      <w:r>
        <w:rPr>
          <w:szCs w:val="22"/>
        </w:rPr>
        <w:instrText xml:space="preserve"> AUTONUM  </w:instrText>
      </w:r>
      <w:r>
        <w:rPr>
          <w:szCs w:val="22"/>
        </w:rPr>
        <w:fldChar w:fldCharType="end"/>
      </w:r>
      <w:r>
        <w:rPr>
          <w:szCs w:val="22"/>
        </w:rPr>
        <w:tab/>
      </w:r>
      <w:r w:rsidR="00352796">
        <w:rPr>
          <w:szCs w:val="22"/>
        </w:rPr>
        <w:t>The vast majority of Member S</w:t>
      </w:r>
      <w:r w:rsidR="00352796" w:rsidRPr="00903588">
        <w:rPr>
          <w:szCs w:val="22"/>
        </w:rPr>
        <w:t>tates ha</w:t>
      </w:r>
      <w:r w:rsidR="00352796">
        <w:rPr>
          <w:szCs w:val="22"/>
        </w:rPr>
        <w:t>s not encountered any challenges</w:t>
      </w:r>
      <w:r w:rsidR="00352796" w:rsidRPr="00903588">
        <w:rPr>
          <w:szCs w:val="22"/>
        </w:rPr>
        <w:t xml:space="preserve"> in relation to the practical implementation of th</w:t>
      </w:r>
      <w:r w:rsidR="00352796">
        <w:rPr>
          <w:szCs w:val="22"/>
        </w:rPr>
        <w:t>is</w:t>
      </w:r>
      <w:r w:rsidR="00352796" w:rsidRPr="00903588">
        <w:rPr>
          <w:szCs w:val="22"/>
        </w:rPr>
        <w:t xml:space="preserve"> exception in their countr</w:t>
      </w:r>
      <w:r w:rsidR="00352796">
        <w:rPr>
          <w:szCs w:val="22"/>
        </w:rPr>
        <w:t>ies</w:t>
      </w:r>
      <w:r w:rsidR="00CC20DF">
        <w:rPr>
          <w:szCs w:val="22"/>
        </w:rPr>
        <w:t xml:space="preserve">.  Only the Russian Federation </w:t>
      </w:r>
      <w:r w:rsidR="00352796" w:rsidRPr="00A041E1">
        <w:rPr>
          <w:szCs w:val="22"/>
        </w:rPr>
        <w:t xml:space="preserve">highlighted the challenges a right holder might face </w:t>
      </w:r>
      <w:r w:rsidR="00352796">
        <w:rPr>
          <w:szCs w:val="22"/>
        </w:rPr>
        <w:t xml:space="preserve">through the </w:t>
      </w:r>
      <w:r w:rsidR="00352796" w:rsidRPr="00A041E1">
        <w:rPr>
          <w:szCs w:val="22"/>
        </w:rPr>
        <w:t>public disclosure of his invention before the filing date</w:t>
      </w:r>
      <w:r w:rsidR="00352796">
        <w:rPr>
          <w:szCs w:val="22"/>
        </w:rPr>
        <w:t>,</w:t>
      </w:r>
      <w:r w:rsidR="00352796" w:rsidRPr="00A041E1">
        <w:rPr>
          <w:szCs w:val="22"/>
        </w:rPr>
        <w:t xml:space="preserve"> but during the grace period.  It explained that if a third party had started to use the same invention before the filing date, on the basis of the information disclosed during the grace period, the right holder might have practical difficulties in proving that the said third party was not a legitimate “prior user”.  </w:t>
      </w:r>
      <w:r w:rsidR="00064630">
        <w:rPr>
          <w:szCs w:val="22"/>
        </w:rPr>
        <w:t>Another issue may arise where</w:t>
      </w:r>
      <w:r w:rsidR="00352796">
        <w:rPr>
          <w:szCs w:val="22"/>
        </w:rPr>
        <w:t xml:space="preserve"> a patent applicant who challenges the right of prior use might be affected by any evidence capable of destroying the novelty of his invention.</w:t>
      </w:r>
    </w:p>
    <w:p w14:paraId="06DDFBF0" w14:textId="77777777" w:rsidR="009B11B0" w:rsidRDefault="009B11B0" w:rsidP="008808AE">
      <w:pPr>
        <w:rPr>
          <w:b/>
          <w:bCs/>
        </w:rPr>
      </w:pPr>
    </w:p>
    <w:p w14:paraId="0D16EB5A" w14:textId="77777777" w:rsidR="00704914" w:rsidRDefault="00704914" w:rsidP="0043472B">
      <w:pPr>
        <w:rPr>
          <w:szCs w:val="22"/>
          <w:lang w:val="en"/>
        </w:rPr>
      </w:pPr>
    </w:p>
    <w:p w14:paraId="434F81E9" w14:textId="77777777" w:rsidR="00704914" w:rsidRPr="005A2F6B" w:rsidRDefault="00704914" w:rsidP="00704914">
      <w:pPr>
        <w:rPr>
          <w:szCs w:val="22"/>
        </w:rPr>
      </w:pPr>
    </w:p>
    <w:p w14:paraId="5C37938C" w14:textId="77777777" w:rsidR="00704914" w:rsidRDefault="00704914" w:rsidP="0043472B">
      <w:pPr>
        <w:rPr>
          <w:szCs w:val="22"/>
          <w:lang w:val="en"/>
        </w:rPr>
      </w:pPr>
    </w:p>
    <w:p w14:paraId="5B243BC6" w14:textId="77777777" w:rsidR="00704914" w:rsidRDefault="00704914" w:rsidP="0043472B">
      <w:pPr>
        <w:rPr>
          <w:szCs w:val="22"/>
          <w:lang w:val="en"/>
        </w:rPr>
      </w:pPr>
    </w:p>
    <w:p w14:paraId="1815F393" w14:textId="77777777" w:rsidR="00C04F3C" w:rsidRPr="00D66059" w:rsidRDefault="00C04F3C" w:rsidP="0043472B">
      <w:pPr>
        <w:ind w:left="4680"/>
        <w:jc w:val="center"/>
        <w:rPr>
          <w:szCs w:val="22"/>
        </w:rPr>
      </w:pPr>
      <w:r w:rsidRPr="00D66059">
        <w:rPr>
          <w:szCs w:val="22"/>
        </w:rPr>
        <w:t>[End of document]</w:t>
      </w:r>
    </w:p>
    <w:sectPr w:rsidR="00C04F3C" w:rsidRPr="00D66059" w:rsidSect="00C04F3C">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E1E8A" w14:textId="77777777" w:rsidR="002C4045" w:rsidRDefault="002C4045">
      <w:r>
        <w:separator/>
      </w:r>
    </w:p>
  </w:endnote>
  <w:endnote w:type="continuationSeparator" w:id="0">
    <w:p w14:paraId="14CD1B85" w14:textId="77777777" w:rsidR="002C4045" w:rsidRDefault="002C4045" w:rsidP="003B38C1">
      <w:r>
        <w:separator/>
      </w:r>
    </w:p>
    <w:p w14:paraId="1BA57CB5" w14:textId="77777777" w:rsidR="002C4045" w:rsidRPr="003B38C1" w:rsidRDefault="002C4045" w:rsidP="003B38C1">
      <w:pPr>
        <w:spacing w:after="60"/>
        <w:rPr>
          <w:sz w:val="17"/>
        </w:rPr>
      </w:pPr>
      <w:r>
        <w:rPr>
          <w:sz w:val="17"/>
        </w:rPr>
        <w:t>[Endnote continued from previous page]</w:t>
      </w:r>
    </w:p>
  </w:endnote>
  <w:endnote w:type="continuationNotice" w:id="1">
    <w:p w14:paraId="4B30BFE0" w14:textId="77777777" w:rsidR="002C4045" w:rsidRPr="003B38C1" w:rsidRDefault="002C404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micSansMS">
    <w:altName w:val="Comic Sans MS"/>
    <w:panose1 w:val="00000000000000000000"/>
    <w:charset w:val="00"/>
    <w:family w:val="roman"/>
    <w:notTrueType/>
    <w:pitch w:val="default"/>
    <w:sig w:usb0="00000003" w:usb1="00000000" w:usb2="00000000" w:usb3="00000000" w:csb0="00000001"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Arial,Bold">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EE834" w14:textId="77777777" w:rsidR="002C4045" w:rsidRDefault="002C4045">
      <w:r>
        <w:separator/>
      </w:r>
    </w:p>
  </w:footnote>
  <w:footnote w:type="continuationSeparator" w:id="0">
    <w:p w14:paraId="25F20CE2" w14:textId="77777777" w:rsidR="002C4045" w:rsidRDefault="002C4045" w:rsidP="008B60B2">
      <w:r>
        <w:separator/>
      </w:r>
    </w:p>
    <w:p w14:paraId="51E4FD03" w14:textId="77777777" w:rsidR="002C4045" w:rsidRPr="00ED77FB" w:rsidRDefault="002C4045" w:rsidP="008B60B2">
      <w:pPr>
        <w:spacing w:after="60"/>
        <w:rPr>
          <w:sz w:val="17"/>
          <w:szCs w:val="17"/>
        </w:rPr>
      </w:pPr>
      <w:r w:rsidRPr="00ED77FB">
        <w:rPr>
          <w:sz w:val="17"/>
          <w:szCs w:val="17"/>
        </w:rPr>
        <w:t>[Footnote continued from previous page]</w:t>
      </w:r>
    </w:p>
  </w:footnote>
  <w:footnote w:type="continuationNotice" w:id="1">
    <w:p w14:paraId="080E8F8F" w14:textId="77777777" w:rsidR="002C4045" w:rsidRPr="00ED77FB" w:rsidRDefault="002C4045" w:rsidP="008B60B2">
      <w:pPr>
        <w:spacing w:before="60"/>
        <w:jc w:val="right"/>
        <w:rPr>
          <w:sz w:val="17"/>
          <w:szCs w:val="17"/>
        </w:rPr>
      </w:pPr>
      <w:r w:rsidRPr="00ED77FB">
        <w:rPr>
          <w:sz w:val="17"/>
          <w:szCs w:val="17"/>
        </w:rPr>
        <w:t>[Footnote continued on next page]</w:t>
      </w:r>
    </w:p>
  </w:footnote>
  <w:footnote w:id="2">
    <w:p w14:paraId="525BEF63" w14:textId="77777777" w:rsidR="002C4045" w:rsidRDefault="002C4045">
      <w:pPr>
        <w:pStyle w:val="FootnoteText"/>
      </w:pPr>
      <w:r>
        <w:rPr>
          <w:rStyle w:val="FootnoteReference"/>
        </w:rPr>
        <w:footnoteRef/>
      </w:r>
      <w:r>
        <w:t xml:space="preserve"> </w:t>
      </w:r>
      <w:r>
        <w:tab/>
        <w:t>Ukraine</w:t>
      </w:r>
    </w:p>
  </w:footnote>
  <w:footnote w:id="3">
    <w:p w14:paraId="2BFB8714" w14:textId="77777777" w:rsidR="002C4045" w:rsidRDefault="002C4045">
      <w:pPr>
        <w:pStyle w:val="FootnoteText"/>
      </w:pPr>
      <w:r>
        <w:rPr>
          <w:rStyle w:val="FootnoteReference"/>
        </w:rPr>
        <w:footnoteRef/>
      </w:r>
      <w:r>
        <w:t xml:space="preserve"> </w:t>
      </w:r>
      <w:r>
        <w:tab/>
        <w:t>Austria</w:t>
      </w:r>
    </w:p>
  </w:footnote>
  <w:footnote w:id="4">
    <w:p w14:paraId="6B79C322" w14:textId="77777777" w:rsidR="002C4045" w:rsidRDefault="002C4045">
      <w:pPr>
        <w:pStyle w:val="FootnoteText"/>
      </w:pPr>
      <w:r>
        <w:rPr>
          <w:rStyle w:val="FootnoteReference"/>
        </w:rPr>
        <w:footnoteRef/>
      </w:r>
      <w:r>
        <w:t xml:space="preserve"> </w:t>
      </w:r>
      <w:r>
        <w:tab/>
        <w:t>Poland</w:t>
      </w:r>
    </w:p>
  </w:footnote>
  <w:footnote w:id="5">
    <w:p w14:paraId="393FEA62" w14:textId="77777777" w:rsidR="002C4045" w:rsidRDefault="002C4045">
      <w:pPr>
        <w:pStyle w:val="FootnoteText"/>
      </w:pPr>
      <w:r>
        <w:rPr>
          <w:rStyle w:val="FootnoteReference"/>
        </w:rPr>
        <w:footnoteRef/>
      </w:r>
      <w:r>
        <w:t xml:space="preserve"> </w:t>
      </w:r>
      <w:r>
        <w:tab/>
        <w:t>Portugal</w:t>
      </w:r>
    </w:p>
  </w:footnote>
  <w:footnote w:id="6">
    <w:p w14:paraId="640F9554" w14:textId="1462EECF" w:rsidR="002C4045" w:rsidRDefault="002C4045">
      <w:pPr>
        <w:pStyle w:val="FootnoteText"/>
      </w:pPr>
      <w:r>
        <w:rPr>
          <w:rStyle w:val="FootnoteReference"/>
        </w:rPr>
        <w:footnoteRef/>
      </w:r>
      <w:r>
        <w:t xml:space="preserve"> </w:t>
      </w:r>
      <w:r>
        <w:tab/>
        <w:t>Hong Kong (China)</w:t>
      </w:r>
    </w:p>
  </w:footnote>
  <w:footnote w:id="7">
    <w:p w14:paraId="208DFE95" w14:textId="6DF27BF2" w:rsidR="002C4045" w:rsidRPr="00806B19" w:rsidRDefault="002C4045">
      <w:pPr>
        <w:pStyle w:val="FootnoteText"/>
        <w:rPr>
          <w:lang w:val="de-DE"/>
        </w:rPr>
      </w:pPr>
      <w:r>
        <w:rPr>
          <w:rStyle w:val="FootnoteReference"/>
        </w:rPr>
        <w:footnoteRef/>
      </w:r>
      <w:r>
        <w:t xml:space="preserve"> </w:t>
      </w:r>
      <w:r>
        <w:rPr>
          <w:lang w:val="de-DE"/>
        </w:rPr>
        <w:tab/>
        <w:t>The Republic of Moldova</w:t>
      </w:r>
    </w:p>
  </w:footnote>
  <w:footnote w:id="8">
    <w:p w14:paraId="7A990F29" w14:textId="36FB8851" w:rsidR="002C4045" w:rsidRDefault="002C4045" w:rsidP="0038250F">
      <w:pPr>
        <w:pStyle w:val="FootnoteText"/>
        <w:ind w:left="567" w:hanging="567"/>
      </w:pPr>
      <w:r>
        <w:rPr>
          <w:rStyle w:val="FootnoteReference"/>
        </w:rPr>
        <w:footnoteRef/>
      </w:r>
      <w:r>
        <w:t xml:space="preserve"> </w:t>
      </w:r>
      <w:r>
        <w:tab/>
        <w:t xml:space="preserve">See, for example, Article 43 of </w:t>
      </w:r>
      <w:r w:rsidRPr="00D64423">
        <w:t>Law No 9947</w:t>
      </w:r>
      <w:r>
        <w:t xml:space="preserve"> of</w:t>
      </w:r>
      <w:r w:rsidRPr="00D64423">
        <w:t xml:space="preserve"> 07/07/2008</w:t>
      </w:r>
      <w:r>
        <w:t xml:space="preserve"> of Albania, </w:t>
      </w:r>
      <w:r w:rsidRPr="00983073">
        <w:t xml:space="preserve">Section 23 of </w:t>
      </w:r>
      <w:r>
        <w:t xml:space="preserve">the </w:t>
      </w:r>
      <w:r w:rsidRPr="00983073">
        <w:t xml:space="preserve">Patents Act of </w:t>
      </w:r>
      <w:r>
        <w:t xml:space="preserve">Austria, </w:t>
      </w:r>
      <w:r w:rsidRPr="00A00C5A">
        <w:rPr>
          <w:szCs w:val="22"/>
        </w:rPr>
        <w:t xml:space="preserve">Article 74 of the Patent Law of Bosnia and Herzegovina, Article 64 of the Patent Act of Croatia, Section 27 of the Patent Act of </w:t>
      </w:r>
      <w:r>
        <w:rPr>
          <w:szCs w:val="22"/>
        </w:rPr>
        <w:t xml:space="preserve">the </w:t>
      </w:r>
      <w:r w:rsidRPr="00A00C5A">
        <w:rPr>
          <w:szCs w:val="22"/>
        </w:rPr>
        <w:t>Cze</w:t>
      </w:r>
      <w:r w:rsidRPr="00A003B2">
        <w:rPr>
          <w:szCs w:val="22"/>
        </w:rPr>
        <w:t>c</w:t>
      </w:r>
      <w:r w:rsidRPr="00CE66B7">
        <w:rPr>
          <w:szCs w:val="22"/>
        </w:rPr>
        <w:t>h Republic</w:t>
      </w:r>
      <w:r>
        <w:rPr>
          <w:szCs w:val="22"/>
        </w:rPr>
        <w:t xml:space="preserve">, </w:t>
      </w:r>
      <w:r w:rsidRPr="00A003B2">
        <w:rPr>
          <w:szCs w:val="22"/>
        </w:rPr>
        <w:t xml:space="preserve">Section 12 of </w:t>
      </w:r>
      <w:r>
        <w:rPr>
          <w:szCs w:val="22"/>
        </w:rPr>
        <w:t xml:space="preserve">the </w:t>
      </w:r>
      <w:r w:rsidRPr="00A003B2">
        <w:rPr>
          <w:szCs w:val="22"/>
        </w:rPr>
        <w:t>Patent Act</w:t>
      </w:r>
      <w:r>
        <w:rPr>
          <w:szCs w:val="22"/>
        </w:rPr>
        <w:t xml:space="preserve"> of Germany, Article 22(iii) of the </w:t>
      </w:r>
      <w:r w:rsidRPr="00A003B2">
        <w:rPr>
          <w:szCs w:val="22"/>
        </w:rPr>
        <w:t>Law on Industrial Property</w:t>
      </w:r>
      <w:r>
        <w:rPr>
          <w:szCs w:val="22"/>
        </w:rPr>
        <w:t xml:space="preserve"> of Mexico, and Article 125 of the </w:t>
      </w:r>
      <w:r w:rsidRPr="00F25C41">
        <w:rPr>
          <w:iCs/>
          <w:szCs w:val="22"/>
        </w:rPr>
        <w:t>Law on Inte</w:t>
      </w:r>
      <w:r>
        <w:rPr>
          <w:iCs/>
          <w:szCs w:val="22"/>
        </w:rPr>
        <w:t xml:space="preserve">llectual Property 2005 of Viet Nam. </w:t>
      </w:r>
    </w:p>
  </w:footnote>
  <w:footnote w:id="9">
    <w:p w14:paraId="5CE79792" w14:textId="16B1EDB6" w:rsidR="002C4045" w:rsidRDefault="002C4045" w:rsidP="0038250F">
      <w:pPr>
        <w:pStyle w:val="FootnoteText"/>
        <w:ind w:left="567" w:hanging="567"/>
      </w:pPr>
      <w:r>
        <w:rPr>
          <w:rStyle w:val="FootnoteReference"/>
        </w:rPr>
        <w:footnoteRef/>
      </w:r>
      <w:r>
        <w:t xml:space="preserve"> </w:t>
      </w:r>
      <w:r>
        <w:tab/>
        <w:t xml:space="preserve">See, for example, Article 31 of </w:t>
      </w:r>
      <w:r w:rsidRPr="00394CC4">
        <w:t>Law No. 20-</w:t>
      </w:r>
      <w:r w:rsidRPr="00D8173B">
        <w:rPr>
          <w:szCs w:val="22"/>
        </w:rPr>
        <w:t>00 on Industrial Property of the Dominican</w:t>
      </w:r>
      <w:r w:rsidRPr="00CE66B7">
        <w:rPr>
          <w:szCs w:val="22"/>
        </w:rPr>
        <w:t xml:space="preserve"> Republic</w:t>
      </w:r>
      <w:r>
        <w:rPr>
          <w:szCs w:val="22"/>
        </w:rPr>
        <w:t xml:space="preserve"> and </w:t>
      </w:r>
      <w:r w:rsidRPr="00D8173B">
        <w:rPr>
          <w:szCs w:val="22"/>
        </w:rPr>
        <w:t>Article</w:t>
      </w:r>
      <w:r>
        <w:rPr>
          <w:szCs w:val="22"/>
        </w:rPr>
        <w:t> </w:t>
      </w:r>
      <w:r w:rsidRPr="00D8173B">
        <w:rPr>
          <w:szCs w:val="22"/>
        </w:rPr>
        <w:t>55 of Decision 486 of the Commission of the Andean Community</w:t>
      </w:r>
      <w:r>
        <w:rPr>
          <w:szCs w:val="22"/>
        </w:rPr>
        <w:t>.</w:t>
      </w:r>
    </w:p>
  </w:footnote>
  <w:footnote w:id="10">
    <w:p w14:paraId="3BAEA9A9" w14:textId="467D86E9" w:rsidR="002C4045" w:rsidRDefault="002C4045" w:rsidP="0038250F">
      <w:pPr>
        <w:autoSpaceDE w:val="0"/>
        <w:autoSpaceDN w:val="0"/>
        <w:adjustRightInd w:val="0"/>
        <w:ind w:left="567" w:hanging="567"/>
      </w:pPr>
      <w:r>
        <w:rPr>
          <w:rStyle w:val="FootnoteReference"/>
        </w:rPr>
        <w:footnoteRef/>
      </w:r>
      <w:r>
        <w:t xml:space="preserve"> </w:t>
      </w:r>
      <w:r>
        <w:tab/>
      </w:r>
      <w:proofErr w:type="gramStart"/>
      <w:r w:rsidRPr="00D95D28">
        <w:rPr>
          <w:rFonts w:eastAsia="MS Mincho"/>
          <w:sz w:val="18"/>
          <w:szCs w:val="18"/>
          <w:lang w:eastAsia="ja-JP"/>
        </w:rPr>
        <w:t>Article 104 of the Industrial Property Code of Portugal</w:t>
      </w:r>
      <w:r>
        <w:rPr>
          <w:rFonts w:eastAsia="MS Mincho"/>
          <w:sz w:val="18"/>
          <w:szCs w:val="18"/>
          <w:lang w:eastAsia="ja-JP"/>
        </w:rPr>
        <w:t>.</w:t>
      </w:r>
      <w:proofErr w:type="gramEnd"/>
      <w:r w:rsidRPr="00D95D28">
        <w:rPr>
          <w:rFonts w:eastAsia="MS Mincho"/>
          <w:sz w:val="18"/>
          <w:szCs w:val="18"/>
          <w:lang w:eastAsia="ja-JP"/>
        </w:rPr>
        <w:t xml:space="preserve"> </w:t>
      </w:r>
    </w:p>
  </w:footnote>
  <w:footnote w:id="11">
    <w:p w14:paraId="36AF8845" w14:textId="592A4A9E" w:rsidR="002C4045" w:rsidRDefault="002C4045" w:rsidP="0038250F">
      <w:pPr>
        <w:pStyle w:val="FootnoteText"/>
        <w:ind w:left="567" w:hanging="567"/>
      </w:pPr>
      <w:r>
        <w:rPr>
          <w:rStyle w:val="FootnoteReference"/>
        </w:rPr>
        <w:footnoteRef/>
      </w:r>
      <w:r>
        <w:t xml:space="preserve"> </w:t>
      </w:r>
      <w:r>
        <w:tab/>
      </w:r>
      <w:proofErr w:type="gramStart"/>
      <w:r w:rsidRPr="00D95D28">
        <w:t>Article 69 of the Patent Law of</w:t>
      </w:r>
      <w:r>
        <w:rPr>
          <w:rFonts w:ascii="ComicSansMS" w:eastAsia="MS Mincho" w:hAnsi="ComicSansMS" w:cs="ComicSansMS"/>
          <w:sz w:val="24"/>
          <w:szCs w:val="24"/>
          <w:lang w:eastAsia="ja-JP"/>
        </w:rPr>
        <w:t xml:space="preserve"> </w:t>
      </w:r>
      <w:r>
        <w:t>China.</w:t>
      </w:r>
      <w:proofErr w:type="gramEnd"/>
    </w:p>
  </w:footnote>
  <w:footnote w:id="12">
    <w:p w14:paraId="070B8AAC" w14:textId="2BEBB554" w:rsidR="002C4045" w:rsidRDefault="002C4045" w:rsidP="0038250F">
      <w:pPr>
        <w:pStyle w:val="FootnoteText"/>
        <w:ind w:left="567" w:hanging="567"/>
      </w:pPr>
      <w:r>
        <w:rPr>
          <w:rStyle w:val="FootnoteReference"/>
        </w:rPr>
        <w:footnoteRef/>
      </w:r>
      <w:r>
        <w:t xml:space="preserve"> </w:t>
      </w:r>
      <w:r>
        <w:tab/>
      </w:r>
      <w:proofErr w:type="gramStart"/>
      <w:r>
        <w:t xml:space="preserve">Article 16(1) of the </w:t>
      </w:r>
      <w:r w:rsidRPr="00FC2549">
        <w:t xml:space="preserve">Law on Patent of the Republic of </w:t>
      </w:r>
      <w:r>
        <w:t>Azerbaijan.</w:t>
      </w:r>
      <w:proofErr w:type="gramEnd"/>
    </w:p>
  </w:footnote>
  <w:footnote w:id="13">
    <w:p w14:paraId="60D3A686" w14:textId="0C982EA9" w:rsidR="002C4045" w:rsidRDefault="002C4045" w:rsidP="0038250F">
      <w:pPr>
        <w:pStyle w:val="FootnoteText"/>
        <w:ind w:left="567" w:hanging="567"/>
      </w:pPr>
      <w:r>
        <w:rPr>
          <w:rStyle w:val="FootnoteReference"/>
        </w:rPr>
        <w:footnoteRef/>
      </w:r>
      <w:r>
        <w:t xml:space="preserve"> </w:t>
      </w:r>
      <w:r>
        <w:tab/>
      </w:r>
      <w:proofErr w:type="gramStart"/>
      <w:r w:rsidRPr="00BB19EE">
        <w:t xml:space="preserve">Article 18 of </w:t>
      </w:r>
      <w:r>
        <w:t xml:space="preserve">the </w:t>
      </w:r>
      <w:r w:rsidRPr="00BB19EE">
        <w:t>Law on Inventions,</w:t>
      </w:r>
      <w:r>
        <w:t xml:space="preserve"> Utility Models and Industrial D</w:t>
      </w:r>
      <w:r w:rsidRPr="00BB19EE">
        <w:t>esigns</w:t>
      </w:r>
      <w:r>
        <w:t xml:space="preserve"> of Armenia.</w:t>
      </w:r>
      <w:proofErr w:type="gramEnd"/>
    </w:p>
  </w:footnote>
  <w:footnote w:id="14">
    <w:p w14:paraId="32A84BCE" w14:textId="2B631AAE" w:rsidR="002C4045" w:rsidRDefault="002C4045" w:rsidP="0038250F">
      <w:pPr>
        <w:pStyle w:val="FootnoteText"/>
        <w:ind w:left="567" w:hanging="567"/>
      </w:pPr>
      <w:r>
        <w:rPr>
          <w:rStyle w:val="FootnoteReference"/>
        </w:rPr>
        <w:footnoteRef/>
      </w:r>
      <w:r>
        <w:t xml:space="preserve"> </w:t>
      </w:r>
      <w:r>
        <w:tab/>
      </w:r>
      <w:r w:rsidRPr="0061103B">
        <w:t>Article L613-7 of the Intellectual Property Code of France</w:t>
      </w:r>
      <w:r>
        <w:t>.</w:t>
      </w:r>
    </w:p>
  </w:footnote>
  <w:footnote w:id="15">
    <w:p w14:paraId="7D70F19A" w14:textId="63ACFE40" w:rsidR="002C4045" w:rsidRDefault="002C4045" w:rsidP="0038250F">
      <w:pPr>
        <w:pStyle w:val="FootnoteText"/>
        <w:ind w:left="567" w:hanging="567"/>
      </w:pPr>
      <w:r>
        <w:rPr>
          <w:rStyle w:val="FootnoteReference"/>
        </w:rPr>
        <w:footnoteRef/>
      </w:r>
      <w:r>
        <w:t xml:space="preserve"> </w:t>
      </w:r>
      <w:r>
        <w:tab/>
      </w:r>
      <w:r w:rsidRPr="00350BEF">
        <w:rPr>
          <w:szCs w:val="22"/>
        </w:rPr>
        <w:t xml:space="preserve">See, for example, Article 14 of Ordinance No. 03-07 of July 19, 2003 on Patents of </w:t>
      </w:r>
      <w:r>
        <w:rPr>
          <w:szCs w:val="22"/>
        </w:rPr>
        <w:t>Algeria;</w:t>
      </w:r>
      <w:r w:rsidRPr="00350BEF">
        <w:rPr>
          <w:szCs w:val="22"/>
        </w:rPr>
        <w:t xml:space="preserve"> </w:t>
      </w:r>
      <w:r>
        <w:rPr>
          <w:szCs w:val="22"/>
        </w:rPr>
        <w:t xml:space="preserve"> </w:t>
      </w:r>
      <w:r w:rsidRPr="00350BEF">
        <w:rPr>
          <w:szCs w:val="22"/>
        </w:rPr>
        <w:t>Article 45 of</w:t>
      </w:r>
      <w:r>
        <w:rPr>
          <w:szCs w:val="22"/>
        </w:rPr>
        <w:br/>
      </w:r>
      <w:r w:rsidRPr="00350BEF">
        <w:rPr>
          <w:szCs w:val="22"/>
        </w:rPr>
        <w:t xml:space="preserve">Law n. 9.279 of 14 May 1996 of </w:t>
      </w:r>
      <w:r>
        <w:rPr>
          <w:szCs w:val="22"/>
        </w:rPr>
        <w:t>Brazil;</w:t>
      </w:r>
      <w:r w:rsidRPr="00350BEF">
        <w:rPr>
          <w:szCs w:val="22"/>
        </w:rPr>
        <w:t xml:space="preserve"> </w:t>
      </w:r>
      <w:r>
        <w:rPr>
          <w:szCs w:val="22"/>
        </w:rPr>
        <w:t xml:space="preserve"> </w:t>
      </w:r>
      <w:r w:rsidRPr="00350BEF">
        <w:rPr>
          <w:szCs w:val="22"/>
        </w:rPr>
        <w:t xml:space="preserve">Article 16.3 of the Patent Law of </w:t>
      </w:r>
      <w:r>
        <w:rPr>
          <w:szCs w:val="22"/>
        </w:rPr>
        <w:t xml:space="preserve">Costa Rica;  </w:t>
      </w:r>
      <w:r w:rsidRPr="00350BEF">
        <w:rPr>
          <w:szCs w:val="22"/>
        </w:rPr>
        <w:t xml:space="preserve">Section 4 of the </w:t>
      </w:r>
      <w:r>
        <w:rPr>
          <w:szCs w:val="22"/>
        </w:rPr>
        <w:br/>
      </w:r>
      <w:r w:rsidRPr="00350BEF">
        <w:rPr>
          <w:szCs w:val="22"/>
        </w:rPr>
        <w:t>Patents Act</w:t>
      </w:r>
      <w:r>
        <w:rPr>
          <w:szCs w:val="22"/>
        </w:rPr>
        <w:t xml:space="preserve"> of Fin</w:t>
      </w:r>
      <w:r w:rsidRPr="004F1E0A">
        <w:rPr>
          <w:szCs w:val="22"/>
        </w:rPr>
        <w:t>land</w:t>
      </w:r>
      <w:r>
        <w:rPr>
          <w:szCs w:val="22"/>
        </w:rPr>
        <w:t xml:space="preserve">;  Section 83 of the </w:t>
      </w:r>
      <w:r w:rsidRPr="00350BEF">
        <w:rPr>
          <w:szCs w:val="22"/>
        </w:rPr>
        <w:t>Patents Ordinance of</w:t>
      </w:r>
      <w:r>
        <w:rPr>
          <w:szCs w:val="22"/>
        </w:rPr>
        <w:t xml:space="preserve"> Hong Kong (</w:t>
      </w:r>
      <w:r w:rsidRPr="00CE66B7">
        <w:rPr>
          <w:szCs w:val="22"/>
        </w:rPr>
        <w:t>China</w:t>
      </w:r>
      <w:r>
        <w:rPr>
          <w:szCs w:val="22"/>
        </w:rPr>
        <w:t xml:space="preserve">);  </w:t>
      </w:r>
      <w:r w:rsidRPr="00454983">
        <w:rPr>
          <w:szCs w:val="22"/>
        </w:rPr>
        <w:t>Article 116(2) of the Law on Intellectual Property</w:t>
      </w:r>
      <w:r w:rsidRPr="00CE66B7">
        <w:rPr>
          <w:szCs w:val="22"/>
        </w:rPr>
        <w:t xml:space="preserve"> </w:t>
      </w:r>
      <w:r>
        <w:rPr>
          <w:szCs w:val="22"/>
        </w:rPr>
        <w:t xml:space="preserve">of </w:t>
      </w:r>
      <w:r w:rsidRPr="00CE66B7">
        <w:rPr>
          <w:szCs w:val="22"/>
        </w:rPr>
        <w:t>El Salvador</w:t>
      </w:r>
      <w:r>
        <w:rPr>
          <w:szCs w:val="22"/>
        </w:rPr>
        <w:t xml:space="preserve">;  </w:t>
      </w:r>
      <w:r w:rsidRPr="00350BEF">
        <w:rPr>
          <w:szCs w:val="22"/>
        </w:rPr>
        <w:t xml:space="preserve">Section 73 of Republic Act No 8293 of the </w:t>
      </w:r>
      <w:r w:rsidRPr="00CE66B7">
        <w:rPr>
          <w:szCs w:val="22"/>
        </w:rPr>
        <w:t>Philippines</w:t>
      </w:r>
      <w:r>
        <w:rPr>
          <w:szCs w:val="22"/>
        </w:rPr>
        <w:t xml:space="preserve">;  and Article 31 of </w:t>
      </w:r>
      <w:r>
        <w:rPr>
          <w:color w:val="000000"/>
        </w:rPr>
        <w:t xml:space="preserve">Ordinance No. 89-019 Establishing Arrangements for the Protection of Industrial Property (of July 31, 1989) </w:t>
      </w:r>
      <w:r>
        <w:rPr>
          <w:color w:val="000000"/>
        </w:rPr>
        <w:br/>
        <w:t>of Madagascar.</w:t>
      </w:r>
    </w:p>
  </w:footnote>
  <w:footnote w:id="16">
    <w:p w14:paraId="70F1A3FE" w14:textId="3411D69D" w:rsidR="002C4045" w:rsidRDefault="002C4045" w:rsidP="0038250F">
      <w:pPr>
        <w:pStyle w:val="FootnoteText"/>
        <w:ind w:left="567" w:hanging="567"/>
      </w:pPr>
      <w:r>
        <w:rPr>
          <w:rStyle w:val="FootnoteReference"/>
        </w:rPr>
        <w:footnoteRef/>
      </w:r>
      <w:r>
        <w:t xml:space="preserve"> </w:t>
      </w:r>
      <w:r>
        <w:tab/>
      </w:r>
      <w:proofErr w:type="gramStart"/>
      <w:r>
        <w:t>Section 53 of</w:t>
      </w:r>
      <w:r w:rsidRPr="00680401">
        <w:t xml:space="preserve"> the Israel Patent Law 5727-1967</w:t>
      </w:r>
      <w:r>
        <w:t>.</w:t>
      </w:r>
      <w:proofErr w:type="gramEnd"/>
      <w:r w:rsidRPr="00CB566B">
        <w:rPr>
          <w:rFonts w:ascii="Helvetica-Narrow" w:eastAsia="MS Mincho" w:hAnsi="Helvetica-Narrow" w:cs="Helvetica-Narrow"/>
          <w:color w:val="0070C1"/>
          <w:sz w:val="28"/>
          <w:szCs w:val="28"/>
          <w:lang w:eastAsia="ja-JP"/>
        </w:rPr>
        <w:t xml:space="preserve"> </w:t>
      </w:r>
    </w:p>
  </w:footnote>
  <w:footnote w:id="17">
    <w:p w14:paraId="012D3BA4" w14:textId="63B1B8F7" w:rsidR="002C4045" w:rsidRDefault="002C4045" w:rsidP="0038250F">
      <w:pPr>
        <w:pStyle w:val="FootnoteText"/>
        <w:ind w:left="567" w:hanging="567"/>
      </w:pPr>
      <w:r>
        <w:rPr>
          <w:rStyle w:val="FootnoteReference"/>
        </w:rPr>
        <w:footnoteRef/>
      </w:r>
      <w:r>
        <w:t xml:space="preserve"> </w:t>
      </w:r>
      <w:r>
        <w:tab/>
        <w:t xml:space="preserve">See </w:t>
      </w:r>
      <w:r w:rsidRPr="00785649">
        <w:rPr>
          <w:szCs w:val="22"/>
        </w:rPr>
        <w:t>Article 79 of the Japanese Patent Act and Article 103 of the Patent Act of the</w:t>
      </w:r>
      <w:r w:rsidRPr="00CB566B">
        <w:rPr>
          <w:rFonts w:eastAsia="Times New Roman"/>
          <w:iCs/>
          <w:color w:val="333333"/>
          <w:szCs w:val="22"/>
          <w:lang w:val="en" w:eastAsia="en-US"/>
        </w:rPr>
        <w:t xml:space="preserve"> </w:t>
      </w:r>
      <w:r w:rsidRPr="00CE66B7">
        <w:rPr>
          <w:szCs w:val="22"/>
        </w:rPr>
        <w:t>Republic of Korea</w:t>
      </w:r>
      <w:r>
        <w:rPr>
          <w:szCs w:val="22"/>
        </w:rPr>
        <w:t>.</w:t>
      </w:r>
    </w:p>
  </w:footnote>
  <w:footnote w:id="18">
    <w:p w14:paraId="3F55B980" w14:textId="61A3CB0E" w:rsidR="002C4045" w:rsidRDefault="002C4045" w:rsidP="0038250F">
      <w:pPr>
        <w:pStyle w:val="FootnoteText"/>
        <w:ind w:left="567" w:hanging="567"/>
      </w:pPr>
      <w:r>
        <w:rPr>
          <w:rStyle w:val="FootnoteReference"/>
        </w:rPr>
        <w:footnoteRef/>
      </w:r>
      <w:r>
        <w:t xml:space="preserve"> </w:t>
      </w:r>
      <w:r>
        <w:tab/>
      </w:r>
      <w:r>
        <w:rPr>
          <w:szCs w:val="22"/>
        </w:rPr>
        <w:t xml:space="preserve">Section </w:t>
      </w:r>
      <w:r w:rsidRPr="003A4022">
        <w:rPr>
          <w:szCs w:val="22"/>
        </w:rPr>
        <w:t>41(1</w:t>
      </w:r>
      <w:proofErr w:type="gramStart"/>
      <w:r w:rsidRPr="003A4022">
        <w:rPr>
          <w:szCs w:val="22"/>
        </w:rPr>
        <w:t>)(</w:t>
      </w:r>
      <w:proofErr w:type="gramEnd"/>
      <w:r w:rsidRPr="003A4022">
        <w:rPr>
          <w:szCs w:val="22"/>
        </w:rPr>
        <w:t>l) of the Patents Act 1953</w:t>
      </w:r>
      <w:r>
        <w:rPr>
          <w:szCs w:val="22"/>
        </w:rPr>
        <w:t xml:space="preserve"> of New Zealand.</w:t>
      </w:r>
    </w:p>
  </w:footnote>
  <w:footnote w:id="19">
    <w:p w14:paraId="56BA42CF" w14:textId="77777777" w:rsidR="002C4045" w:rsidRDefault="002C4045" w:rsidP="003C2273">
      <w:pPr>
        <w:pStyle w:val="FootnoteText"/>
        <w:ind w:left="567" w:hanging="567"/>
      </w:pPr>
      <w:r>
        <w:rPr>
          <w:rStyle w:val="FootnoteReference"/>
        </w:rPr>
        <w:footnoteRef/>
      </w:r>
      <w:r>
        <w:t xml:space="preserve"> </w:t>
      </w:r>
      <w:r>
        <w:tab/>
        <w:t>In the United Kingdom, the phrase “effective and serious preparations”, as provided in Section 64 of the Patents Act, were analyzed by the Court of Appeal in</w:t>
      </w:r>
      <w:r w:rsidRPr="003A4022">
        <w:rPr>
          <w:szCs w:val="22"/>
        </w:rPr>
        <w:t xml:space="preserve"> </w:t>
      </w:r>
      <w:r w:rsidRPr="00721182">
        <w:rPr>
          <w:i/>
          <w:szCs w:val="22"/>
        </w:rPr>
        <w:t>Lubrizol Corporation v Esso Petroleum Co. Ltd</w:t>
      </w:r>
      <w:r w:rsidRPr="003A4022">
        <w:rPr>
          <w:szCs w:val="22"/>
        </w:rPr>
        <w:t>. [1998] RPC 727</w:t>
      </w:r>
      <w:r>
        <w:rPr>
          <w:szCs w:val="22"/>
        </w:rPr>
        <w:t>.  It was held that</w:t>
      </w:r>
      <w:r w:rsidRPr="003A4022">
        <w:rPr>
          <w:szCs w:val="22"/>
        </w:rPr>
        <w:t xml:space="preserve">, two customer trials by the defendant in the UK of small samples imported from the US with a view to possible later manufacture in the UK but with </w:t>
      </w:r>
      <w:r>
        <w:rPr>
          <w:szCs w:val="22"/>
        </w:rPr>
        <w:t>no decision yet made, were held</w:t>
      </w:r>
      <w:r w:rsidRPr="003A4022">
        <w:rPr>
          <w:szCs w:val="22"/>
        </w:rPr>
        <w:t xml:space="preserve"> not </w:t>
      </w:r>
      <w:r>
        <w:rPr>
          <w:szCs w:val="22"/>
        </w:rPr>
        <w:t>to be “effective”,</w:t>
      </w:r>
      <w:r w:rsidRPr="003A4022">
        <w:rPr>
          <w:szCs w:val="22"/>
        </w:rPr>
        <w:t xml:space="preserve"> </w:t>
      </w:r>
      <w:r>
        <w:rPr>
          <w:szCs w:val="22"/>
        </w:rPr>
        <w:t xml:space="preserve">although serious, </w:t>
      </w:r>
      <w:r w:rsidRPr="003A4022">
        <w:rPr>
          <w:szCs w:val="22"/>
        </w:rPr>
        <w:t xml:space="preserve">preparations to do an infringing act. </w:t>
      </w:r>
      <w:r>
        <w:rPr>
          <w:szCs w:val="22"/>
        </w:rPr>
        <w:t xml:space="preserve"> </w:t>
      </w:r>
      <w:r w:rsidRPr="003A4022">
        <w:rPr>
          <w:szCs w:val="22"/>
        </w:rPr>
        <w:t>The Court o</w:t>
      </w:r>
      <w:r>
        <w:rPr>
          <w:szCs w:val="22"/>
        </w:rPr>
        <w:t>f Appeal amplified that it is not “</w:t>
      </w:r>
      <w:r w:rsidRPr="003A4022">
        <w:rPr>
          <w:szCs w:val="22"/>
        </w:rPr>
        <w:t>sufficient to show that the serious preparations, if pursued to finality, will have the requisite effect</w:t>
      </w:r>
      <w:r>
        <w:rPr>
          <w:szCs w:val="22"/>
        </w:rPr>
        <w:t>”</w:t>
      </w:r>
      <w:r w:rsidRPr="003A4022">
        <w:rPr>
          <w:szCs w:val="22"/>
        </w:rPr>
        <w:t>.</w:t>
      </w:r>
    </w:p>
  </w:footnote>
  <w:footnote w:id="20">
    <w:p w14:paraId="42A1E64D" w14:textId="7EA2B789" w:rsidR="002C4045" w:rsidRDefault="002C4045" w:rsidP="003C2273">
      <w:pPr>
        <w:pStyle w:val="FootnoteText"/>
        <w:ind w:left="567" w:hanging="567"/>
      </w:pPr>
      <w:r>
        <w:rPr>
          <w:rStyle w:val="FootnoteReference"/>
        </w:rPr>
        <w:footnoteRef/>
      </w:r>
      <w:r>
        <w:t xml:space="preserve"> </w:t>
      </w:r>
      <w:r>
        <w:tab/>
        <w:t xml:space="preserve">Section 56 of the Patent Act of </w:t>
      </w:r>
      <w:proofErr w:type="gramStart"/>
      <w:r>
        <w:t>Canada .</w:t>
      </w:r>
      <w:proofErr w:type="gramEnd"/>
    </w:p>
  </w:footnote>
  <w:footnote w:id="21">
    <w:p w14:paraId="580CEF6A" w14:textId="77777777" w:rsidR="002C4045" w:rsidRDefault="002C4045" w:rsidP="00F173B6">
      <w:pPr>
        <w:autoSpaceDE w:val="0"/>
        <w:autoSpaceDN w:val="0"/>
        <w:adjustRightInd w:val="0"/>
      </w:pPr>
      <w:r w:rsidRPr="00F173B6">
        <w:rPr>
          <w:rStyle w:val="FootnoteReference"/>
          <w:sz w:val="18"/>
        </w:rPr>
        <w:footnoteRef/>
      </w:r>
      <w:r w:rsidRPr="00F173B6">
        <w:rPr>
          <w:rStyle w:val="FootnoteReference"/>
          <w:sz w:val="18"/>
        </w:rPr>
        <w:t xml:space="preserve"> </w:t>
      </w:r>
      <w:r>
        <w:tab/>
      </w:r>
      <w:proofErr w:type="gramStart"/>
      <w:r w:rsidRPr="00F173B6">
        <w:rPr>
          <w:sz w:val="18"/>
          <w:szCs w:val="22"/>
        </w:rPr>
        <w:t>Section 4 of the Patents Act of Finland.</w:t>
      </w:r>
      <w:proofErr w:type="gramEnd"/>
    </w:p>
  </w:footnote>
  <w:footnote w:id="22">
    <w:p w14:paraId="03498E60" w14:textId="77777777" w:rsidR="002C4045" w:rsidRDefault="002C4045" w:rsidP="005E333D">
      <w:pPr>
        <w:autoSpaceDE w:val="0"/>
        <w:autoSpaceDN w:val="0"/>
        <w:adjustRightInd w:val="0"/>
        <w:ind w:left="567" w:hanging="567"/>
      </w:pPr>
      <w:r w:rsidRPr="00F173B6">
        <w:rPr>
          <w:rStyle w:val="FootnoteReference"/>
          <w:sz w:val="18"/>
        </w:rPr>
        <w:footnoteRef/>
      </w:r>
      <w:r w:rsidRPr="00F173B6">
        <w:rPr>
          <w:rStyle w:val="FootnoteReference"/>
          <w:sz w:val="18"/>
        </w:rPr>
        <w:t xml:space="preserve"> </w:t>
      </w:r>
      <w:r>
        <w:tab/>
      </w:r>
      <w:r w:rsidRPr="00F173B6">
        <w:rPr>
          <w:sz w:val="18"/>
        </w:rPr>
        <w:t xml:space="preserve">Title 35, Section 273 of the United States Code entitles a third party to a defense under section 282(b) with respect to patented invention if, </w:t>
      </w:r>
      <w:r w:rsidRPr="005E333D">
        <w:rPr>
          <w:i/>
          <w:sz w:val="18"/>
        </w:rPr>
        <w:t>inter alia</w:t>
      </w:r>
      <w:r w:rsidRPr="00F173B6">
        <w:rPr>
          <w:sz w:val="18"/>
        </w:rPr>
        <w:t>, ‘‘(1) such person, acting in good faith, commercially used the subject matter in the United States, either in connection with an internal commercial use or an actual arm’s length sale or other arm’s length commercial transfer of a useful</w:t>
      </w:r>
      <w:r>
        <w:rPr>
          <w:sz w:val="18"/>
        </w:rPr>
        <w:t xml:space="preserve"> </w:t>
      </w:r>
      <w:r w:rsidRPr="00F173B6">
        <w:rPr>
          <w:sz w:val="18"/>
        </w:rPr>
        <w:t>end result of such commercial use”.</w:t>
      </w:r>
      <w:r>
        <w:rPr>
          <w:rFonts w:eastAsia="Times New Roman"/>
          <w:i/>
          <w:iCs/>
          <w:sz w:val="20"/>
          <w:lang w:eastAsia="en-US"/>
        </w:rPr>
        <w:t xml:space="preserve"> </w:t>
      </w:r>
    </w:p>
  </w:footnote>
  <w:footnote w:id="23">
    <w:p w14:paraId="37E7BCB0" w14:textId="41CC2A89" w:rsidR="002C4045" w:rsidRDefault="002C4045" w:rsidP="003C2273">
      <w:pPr>
        <w:pStyle w:val="FootnoteText"/>
        <w:ind w:left="567" w:hanging="567"/>
      </w:pPr>
      <w:r>
        <w:rPr>
          <w:rStyle w:val="FootnoteReference"/>
        </w:rPr>
        <w:footnoteRef/>
      </w:r>
      <w:r>
        <w:t xml:space="preserve"> </w:t>
      </w:r>
      <w:r>
        <w:tab/>
      </w:r>
      <w:r w:rsidRPr="0061103B">
        <w:t>Article L613-7 of the Intellectual Property Code of France</w:t>
      </w:r>
      <w:r>
        <w:t>.</w:t>
      </w:r>
    </w:p>
  </w:footnote>
  <w:footnote w:id="24">
    <w:p w14:paraId="503E6E2D" w14:textId="38FE7B55" w:rsidR="002C4045" w:rsidRDefault="002C4045" w:rsidP="003C2273">
      <w:pPr>
        <w:pStyle w:val="FootnoteText"/>
        <w:ind w:left="567" w:hanging="567"/>
      </w:pPr>
      <w:r>
        <w:rPr>
          <w:rStyle w:val="FootnoteReference"/>
        </w:rPr>
        <w:footnoteRef/>
      </w:r>
      <w:r>
        <w:t xml:space="preserve"> </w:t>
      </w:r>
      <w:r>
        <w:tab/>
      </w:r>
      <w:proofErr w:type="gramStart"/>
      <w:r w:rsidRPr="00215AA4">
        <w:rPr>
          <w:szCs w:val="22"/>
        </w:rPr>
        <w:t>Article 14</w:t>
      </w:r>
      <w:r>
        <w:rPr>
          <w:szCs w:val="22"/>
        </w:rPr>
        <w:t xml:space="preserve"> of the Patent Law of the Kyrgyz Republic.</w:t>
      </w:r>
      <w:proofErr w:type="gramEnd"/>
    </w:p>
  </w:footnote>
  <w:footnote w:id="25">
    <w:p w14:paraId="061594B6" w14:textId="77777777" w:rsidR="002C4045" w:rsidRDefault="002C4045" w:rsidP="003C2273">
      <w:pPr>
        <w:autoSpaceDE w:val="0"/>
        <w:autoSpaceDN w:val="0"/>
        <w:adjustRightInd w:val="0"/>
        <w:ind w:left="567" w:hanging="567"/>
      </w:pPr>
      <w:r w:rsidRPr="00707C12">
        <w:rPr>
          <w:rStyle w:val="FootnoteReference"/>
          <w:sz w:val="18"/>
        </w:rPr>
        <w:footnoteRef/>
      </w:r>
      <w:r w:rsidRPr="00707C12">
        <w:rPr>
          <w:rStyle w:val="FootnoteReference"/>
          <w:sz w:val="18"/>
        </w:rPr>
        <w:t xml:space="preserve"> </w:t>
      </w:r>
      <w:r>
        <w:tab/>
      </w:r>
      <w:proofErr w:type="gramStart"/>
      <w:r w:rsidRPr="000C343A">
        <w:rPr>
          <w:sz w:val="18"/>
        </w:rPr>
        <w:t>Article 79 of the Japanese Patent Act</w:t>
      </w:r>
      <w:r>
        <w:rPr>
          <w:sz w:val="18"/>
        </w:rPr>
        <w:t>.</w:t>
      </w:r>
      <w:proofErr w:type="gramEnd"/>
      <w:r>
        <w:rPr>
          <w:sz w:val="18"/>
        </w:rPr>
        <w:t xml:space="preserve">  </w:t>
      </w:r>
      <w:r w:rsidRPr="003F1AB7">
        <w:rPr>
          <w:sz w:val="18"/>
        </w:rPr>
        <w:t>Article 2(3) of the Japanese Patent Act defines "working" of an invention as: “(</w:t>
      </w:r>
      <w:proofErr w:type="spellStart"/>
      <w:r w:rsidRPr="003F1AB7">
        <w:rPr>
          <w:sz w:val="18"/>
        </w:rPr>
        <w:t>i</w:t>
      </w:r>
      <w:proofErr w:type="spellEnd"/>
      <w:r w:rsidRPr="003F1AB7">
        <w:rPr>
          <w:sz w:val="18"/>
        </w:rPr>
        <w:t>) in the case of an invention of a product (including a computer program, etc., the same shall apply hereinafter), producing, using, assigning, etc. (assigning and leasing and, in the case where the product is a computer program, etc., including providing through an electric telecommunication line, the same shall apply hereinafter), exporting or importing, or offering for assignment, etc. (including displaying for the purpose of assignment, etc., the same shall apply hereinafter) thereof; (ii) in the case of an invention of a process, the use thereof; and (iii) in the case of an invention of a process for producing a product, in addition to the action as provided in the preceding item, acts of using, assigning, etc., exporting or importing, or offering for assignment, etc. the product produced by the process”.</w:t>
      </w:r>
    </w:p>
  </w:footnote>
  <w:footnote w:id="26">
    <w:p w14:paraId="04F6ADDD" w14:textId="77777777" w:rsidR="002C4045" w:rsidRDefault="002C4045" w:rsidP="003C2273">
      <w:pPr>
        <w:pStyle w:val="FootnoteText"/>
        <w:ind w:left="567" w:hanging="567"/>
      </w:pPr>
      <w:r>
        <w:rPr>
          <w:rStyle w:val="FootnoteReference"/>
        </w:rPr>
        <w:footnoteRef/>
      </w:r>
      <w:r>
        <w:t xml:space="preserve"> </w:t>
      </w:r>
      <w:r>
        <w:tab/>
      </w:r>
      <w:proofErr w:type="gramStart"/>
      <w:r w:rsidRPr="00E33377">
        <w:t>Section 119 of Patents Acts 1990 of Australia</w:t>
      </w:r>
      <w:r>
        <w:t>.</w:t>
      </w:r>
      <w:proofErr w:type="gramEnd"/>
      <w:r>
        <w:t xml:space="preserve">  This Section</w:t>
      </w:r>
      <w:r w:rsidRPr="000F62C2">
        <w:t xml:space="preserve"> provide</w:t>
      </w:r>
      <w:r>
        <w:t>s</w:t>
      </w:r>
      <w:r w:rsidRPr="000F62C2">
        <w:t xml:space="preserve"> further details on what is meant by an “exploitation” of a patented product in relation to prior use exemption.  Thus, it defines that the “exploit” includes: “(a) in relation to a product: (</w:t>
      </w:r>
      <w:proofErr w:type="spellStart"/>
      <w:r w:rsidRPr="000F62C2">
        <w:t>i</w:t>
      </w:r>
      <w:proofErr w:type="spellEnd"/>
      <w:r w:rsidRPr="000F62C2">
        <w:t>) make, hire, sell or otherwise dispose of the product; and (ii) offer to make, hire, sell or otherwise dispose of the product; and (iii) use or import the product; and (iv) keep the product for the purpose of doing an act described in subparagraph (</w:t>
      </w:r>
      <w:proofErr w:type="spellStart"/>
      <w:r w:rsidRPr="000F62C2">
        <w:t>i</w:t>
      </w:r>
      <w:proofErr w:type="spellEnd"/>
      <w:r w:rsidRPr="000F62C2">
        <w:t>), (ii) or (iii); and (b) in relation to a method or process: (</w:t>
      </w:r>
      <w:proofErr w:type="spellStart"/>
      <w:r w:rsidRPr="000F62C2">
        <w:t>i</w:t>
      </w:r>
      <w:proofErr w:type="spellEnd"/>
      <w:r w:rsidRPr="000F62C2">
        <w:t>) use the method or process; and (ii) do an act described in subparagraph (a)(</w:t>
      </w:r>
      <w:proofErr w:type="spellStart"/>
      <w:r w:rsidRPr="000F62C2">
        <w:t>i</w:t>
      </w:r>
      <w:proofErr w:type="spellEnd"/>
      <w:r w:rsidRPr="000F62C2">
        <w:t xml:space="preserve">), (ii), (iii) or </w:t>
      </w:r>
      <w:r>
        <w:br/>
      </w:r>
      <w:r w:rsidRPr="000F62C2">
        <w:t xml:space="preserve">(iv) with a product resulting from the use of the method or process.”   </w:t>
      </w:r>
    </w:p>
  </w:footnote>
  <w:footnote w:id="27">
    <w:p w14:paraId="06789D0E" w14:textId="4367FE40" w:rsidR="002C4045" w:rsidRDefault="002C4045" w:rsidP="003C2273">
      <w:pPr>
        <w:ind w:left="567" w:hanging="567"/>
      </w:pPr>
      <w:r w:rsidRPr="003A3D85">
        <w:rPr>
          <w:rStyle w:val="FootnoteReference"/>
        </w:rPr>
        <w:footnoteRef/>
      </w:r>
      <w:r>
        <w:t xml:space="preserve"> </w:t>
      </w:r>
      <w:r>
        <w:tab/>
      </w:r>
      <w:r w:rsidRPr="00665583">
        <w:rPr>
          <w:sz w:val="18"/>
        </w:rPr>
        <w:t>In addition, in the EAPO Member States</w:t>
      </w:r>
      <w:r>
        <w:rPr>
          <w:sz w:val="18"/>
        </w:rPr>
        <w:t>,</w:t>
      </w:r>
      <w:r w:rsidRPr="00665583">
        <w:rPr>
          <w:sz w:val="18"/>
        </w:rPr>
        <w:t xml:space="preserve"> the term “use</w:t>
      </w:r>
      <w:r>
        <w:rPr>
          <w:sz w:val="18"/>
        </w:rPr>
        <w:t xml:space="preserve">” </w:t>
      </w:r>
      <w:r w:rsidRPr="00665583">
        <w:rPr>
          <w:sz w:val="18"/>
        </w:rPr>
        <w:t xml:space="preserve">was defined under “national laws of Contracting States”.  For example, in Ukraine, the following is considered to be the use of an invention: </w:t>
      </w:r>
      <w:r>
        <w:rPr>
          <w:sz w:val="18"/>
        </w:rPr>
        <w:t>“</w:t>
      </w:r>
      <w:r w:rsidRPr="00665583">
        <w:rPr>
          <w:sz w:val="18"/>
        </w:rPr>
        <w:t>(</w:t>
      </w:r>
      <w:proofErr w:type="spellStart"/>
      <w:r w:rsidRPr="00665583">
        <w:rPr>
          <w:sz w:val="18"/>
        </w:rPr>
        <w:t>i</w:t>
      </w:r>
      <w:proofErr w:type="spellEnd"/>
      <w:r w:rsidRPr="00665583">
        <w:rPr>
          <w:sz w:val="18"/>
        </w:rPr>
        <w:t>) manufacturing a product with the use of a patented invention (utility model), the use of this product, an offer of a product for the market, including an offer via the Internet, selling, import (coming-in) and other its introduction into the commercial circuit as well as storing a product for defined purposes; (ii) the use of a process protected by a patent or an offer of a process for the use in Ukraine, provided that the person offering a process shall know that the use of a process without the permission of the patent owner is prohibited or, considering the circumstances, it is obvious.</w:t>
      </w:r>
      <w:r>
        <w:rPr>
          <w:sz w:val="18"/>
        </w:rPr>
        <w:t>”</w:t>
      </w:r>
    </w:p>
  </w:footnote>
  <w:footnote w:id="28">
    <w:p w14:paraId="7A9317D1" w14:textId="4ED16677" w:rsidR="002C4045" w:rsidRDefault="002C4045">
      <w:pPr>
        <w:pStyle w:val="FootnoteText"/>
      </w:pPr>
      <w:r>
        <w:rPr>
          <w:rStyle w:val="FootnoteReference"/>
        </w:rPr>
        <w:footnoteRef/>
      </w:r>
      <w:r>
        <w:t xml:space="preserve"> </w:t>
      </w:r>
      <w:r>
        <w:tab/>
        <w:t>See footnote 21.</w:t>
      </w:r>
    </w:p>
  </w:footnote>
  <w:footnote w:id="29">
    <w:p w14:paraId="5C2DC42D" w14:textId="7E23A843" w:rsidR="002C4045" w:rsidRDefault="002C4045" w:rsidP="005715AE">
      <w:pPr>
        <w:pStyle w:val="FootnoteText"/>
        <w:tabs>
          <w:tab w:val="left" w:pos="567"/>
        </w:tabs>
        <w:ind w:left="567" w:hanging="567"/>
      </w:pPr>
      <w:r>
        <w:rPr>
          <w:rStyle w:val="FootnoteReference"/>
        </w:rPr>
        <w:footnoteRef/>
      </w:r>
      <w:r>
        <w:t xml:space="preserve"> </w:t>
      </w:r>
      <w:r>
        <w:tab/>
        <w:t xml:space="preserve">See, for example, </w:t>
      </w:r>
      <w:r w:rsidRPr="00983073">
        <w:t xml:space="preserve">Section 23 of </w:t>
      </w:r>
      <w:r>
        <w:t xml:space="preserve">the </w:t>
      </w:r>
      <w:r w:rsidRPr="00983073">
        <w:t xml:space="preserve">Patents Act of </w:t>
      </w:r>
      <w:r>
        <w:t>Austria</w:t>
      </w:r>
      <w:proofErr w:type="gramStart"/>
      <w:r>
        <w:t>;  Article</w:t>
      </w:r>
      <w:proofErr w:type="gramEnd"/>
      <w:r>
        <w:t xml:space="preserve"> 16(1) of the </w:t>
      </w:r>
      <w:r w:rsidRPr="00FC2549">
        <w:t xml:space="preserve">Law on Patent of the Republic of </w:t>
      </w:r>
      <w:r>
        <w:t xml:space="preserve">Azerbaijan; and </w:t>
      </w:r>
      <w:r w:rsidRPr="00D95D28">
        <w:t>Article 69 of the Patent Law of</w:t>
      </w:r>
      <w:r>
        <w:rPr>
          <w:rFonts w:ascii="ComicSansMS" w:eastAsia="MS Mincho" w:hAnsi="ComicSansMS" w:cs="ComicSansMS"/>
          <w:sz w:val="24"/>
          <w:szCs w:val="24"/>
          <w:lang w:eastAsia="ja-JP"/>
        </w:rPr>
        <w:t xml:space="preserve"> </w:t>
      </w:r>
      <w:r>
        <w:t xml:space="preserve">China. </w:t>
      </w:r>
    </w:p>
  </w:footnote>
  <w:footnote w:id="30">
    <w:p w14:paraId="62CBE4FC" w14:textId="38FB15B1" w:rsidR="002C4045" w:rsidRDefault="002C4045" w:rsidP="005715AE">
      <w:pPr>
        <w:pStyle w:val="FootnoteText"/>
        <w:tabs>
          <w:tab w:val="left" w:pos="567"/>
        </w:tabs>
        <w:ind w:left="567" w:hanging="567"/>
      </w:pPr>
      <w:r>
        <w:rPr>
          <w:rStyle w:val="FootnoteReference"/>
        </w:rPr>
        <w:footnoteRef/>
      </w:r>
      <w:r>
        <w:t xml:space="preserve"> </w:t>
      </w:r>
      <w:r>
        <w:tab/>
        <w:t xml:space="preserve">See, for example, </w:t>
      </w:r>
      <w:r>
        <w:rPr>
          <w:szCs w:val="22"/>
        </w:rPr>
        <w:t xml:space="preserve">Article 22(iii) of the </w:t>
      </w:r>
      <w:r w:rsidRPr="00A003B2">
        <w:rPr>
          <w:szCs w:val="22"/>
        </w:rPr>
        <w:t>Law on Industrial Property</w:t>
      </w:r>
      <w:r>
        <w:rPr>
          <w:szCs w:val="22"/>
        </w:rPr>
        <w:t xml:space="preserve"> of Mexico, and Section 22 of the Patent Law of Latvia.</w:t>
      </w:r>
    </w:p>
  </w:footnote>
  <w:footnote w:id="31">
    <w:p w14:paraId="431C944D" w14:textId="625404E1" w:rsidR="002C4045" w:rsidRDefault="002C4045" w:rsidP="005715AE">
      <w:pPr>
        <w:tabs>
          <w:tab w:val="left" w:pos="567"/>
        </w:tabs>
        <w:ind w:left="567" w:hanging="567"/>
      </w:pPr>
      <w:r w:rsidRPr="003339C0">
        <w:rPr>
          <w:rStyle w:val="FootnoteReference"/>
          <w:sz w:val="18"/>
        </w:rPr>
        <w:footnoteRef/>
      </w:r>
      <w:r w:rsidRPr="003339C0">
        <w:rPr>
          <w:rStyle w:val="FootnoteReference"/>
          <w:sz w:val="18"/>
        </w:rPr>
        <w:t xml:space="preserve"> </w:t>
      </w:r>
      <w:r>
        <w:tab/>
      </w:r>
      <w:r w:rsidRPr="00514492">
        <w:rPr>
          <w:sz w:val="18"/>
        </w:rPr>
        <w:t>See, for example</w:t>
      </w:r>
      <w:r>
        <w:rPr>
          <w:sz w:val="18"/>
        </w:rPr>
        <w:t>:</w:t>
      </w:r>
      <w:r w:rsidRPr="00514492">
        <w:rPr>
          <w:sz w:val="18"/>
        </w:rPr>
        <w:t xml:space="preserve"> </w:t>
      </w:r>
      <w:r>
        <w:rPr>
          <w:sz w:val="18"/>
        </w:rPr>
        <w:t xml:space="preserve"> </w:t>
      </w:r>
      <w:r w:rsidRPr="00514492">
        <w:rPr>
          <w:sz w:val="18"/>
        </w:rPr>
        <w:t xml:space="preserve">Section 13(4) of the Industrial Property Act of the Kingdom of Bhutan; </w:t>
      </w:r>
      <w:r>
        <w:rPr>
          <w:sz w:val="18"/>
        </w:rPr>
        <w:t xml:space="preserve"> </w:t>
      </w:r>
      <w:r w:rsidRPr="00514492">
        <w:rPr>
          <w:sz w:val="18"/>
        </w:rPr>
        <w:t xml:space="preserve">Article 31 of the Law No. 20-00 on Industrial Property of the Dominican Republic; </w:t>
      </w:r>
      <w:r>
        <w:rPr>
          <w:sz w:val="18"/>
        </w:rPr>
        <w:t xml:space="preserve"> </w:t>
      </w:r>
      <w:r w:rsidRPr="00514492">
        <w:rPr>
          <w:sz w:val="18"/>
        </w:rPr>
        <w:t>Section 83 of Patents Ordinance of Hong Kong</w:t>
      </w:r>
      <w:r>
        <w:rPr>
          <w:sz w:val="18"/>
        </w:rPr>
        <w:t xml:space="preserve"> (China)</w:t>
      </w:r>
      <w:r w:rsidRPr="00514492">
        <w:rPr>
          <w:sz w:val="18"/>
        </w:rPr>
        <w:t xml:space="preserve">; </w:t>
      </w:r>
      <w:r>
        <w:rPr>
          <w:sz w:val="18"/>
        </w:rPr>
        <w:t xml:space="preserve"> </w:t>
      </w:r>
      <w:r w:rsidRPr="00514492">
        <w:rPr>
          <w:sz w:val="18"/>
        </w:rPr>
        <w:t>Article 29 o</w:t>
      </w:r>
      <w:r>
        <w:rPr>
          <w:sz w:val="18"/>
        </w:rPr>
        <w:t xml:space="preserve">f the Patent Law of Lithuania;  </w:t>
      </w:r>
      <w:r w:rsidRPr="00514492">
        <w:rPr>
          <w:sz w:val="18"/>
        </w:rPr>
        <w:t xml:space="preserve">Section 21(4)(e) of the Patents, Industrial Designs and Trademarks Act of Mauritius; </w:t>
      </w:r>
      <w:r>
        <w:rPr>
          <w:sz w:val="18"/>
        </w:rPr>
        <w:t xml:space="preserve"> </w:t>
      </w:r>
      <w:r w:rsidRPr="00514492">
        <w:rPr>
          <w:sz w:val="18"/>
        </w:rPr>
        <w:t>Article 55 of Law No. 17-97 on the Protection of Industrial Property of Morocco</w:t>
      </w:r>
      <w:r>
        <w:rPr>
          <w:sz w:val="18"/>
        </w:rPr>
        <w:t>;  Section 11(4)</w:t>
      </w:r>
      <w:r w:rsidRPr="00514492">
        <w:rPr>
          <w:sz w:val="18"/>
        </w:rPr>
        <w:t>(a)(iv)</w:t>
      </w:r>
      <w:r>
        <w:rPr>
          <w:sz w:val="18"/>
        </w:rPr>
        <w:t xml:space="preserve"> of the </w:t>
      </w:r>
      <w:r w:rsidRPr="00514492">
        <w:rPr>
          <w:sz w:val="18"/>
        </w:rPr>
        <w:t>I</w:t>
      </w:r>
      <w:r>
        <w:rPr>
          <w:sz w:val="18"/>
        </w:rPr>
        <w:t xml:space="preserve">ndustrial Property Law 67/2008 of Oman;  and </w:t>
      </w:r>
      <w:r w:rsidRPr="00B92912">
        <w:rPr>
          <w:sz w:val="18"/>
        </w:rPr>
        <w:t>Section 30</w:t>
      </w:r>
      <w:r>
        <w:rPr>
          <w:sz w:val="18"/>
        </w:rPr>
        <w:t>(5)(d) of the Patents Ordinance of Pakistan.</w:t>
      </w:r>
    </w:p>
  </w:footnote>
  <w:footnote w:id="32">
    <w:p w14:paraId="3A72385F" w14:textId="4C4C0521" w:rsidR="002C4045" w:rsidRDefault="002C4045" w:rsidP="005715AE">
      <w:pPr>
        <w:pStyle w:val="FootnoteText"/>
        <w:tabs>
          <w:tab w:val="left" w:pos="567"/>
        </w:tabs>
        <w:ind w:left="567" w:hanging="567"/>
      </w:pPr>
      <w:r>
        <w:rPr>
          <w:rStyle w:val="FootnoteReference"/>
        </w:rPr>
        <w:footnoteRef/>
      </w:r>
      <w:r>
        <w:t xml:space="preserve"> </w:t>
      </w:r>
      <w:r>
        <w:tab/>
      </w:r>
      <w:proofErr w:type="gramStart"/>
      <w:r w:rsidRPr="00A00C5A">
        <w:rPr>
          <w:szCs w:val="22"/>
        </w:rPr>
        <w:t>Article 74 of the Patent Law of Bosnia and Herzegovina</w:t>
      </w:r>
      <w:r>
        <w:rPr>
          <w:szCs w:val="22"/>
        </w:rPr>
        <w:t xml:space="preserve"> and Article 64 of the Patent Act of Croatia.</w:t>
      </w:r>
      <w:proofErr w:type="gramEnd"/>
    </w:p>
  </w:footnote>
  <w:footnote w:id="33">
    <w:p w14:paraId="4AE96BA7" w14:textId="1B6D9137" w:rsidR="002C4045" w:rsidRDefault="002C4045" w:rsidP="005715AE">
      <w:pPr>
        <w:pStyle w:val="FootnoteText"/>
        <w:tabs>
          <w:tab w:val="left" w:pos="567"/>
        </w:tabs>
        <w:ind w:left="567" w:hanging="567"/>
      </w:pPr>
      <w:r>
        <w:rPr>
          <w:rStyle w:val="FootnoteReference"/>
        </w:rPr>
        <w:footnoteRef/>
      </w:r>
      <w:r>
        <w:t xml:space="preserve"> </w:t>
      </w:r>
      <w:r>
        <w:tab/>
      </w:r>
      <w:proofErr w:type="gramStart"/>
      <w:r>
        <w:t>Article 31 of the Patent Law of Ukraine.</w:t>
      </w:r>
      <w:proofErr w:type="gramEnd"/>
    </w:p>
  </w:footnote>
  <w:footnote w:id="34">
    <w:p w14:paraId="77D3C905" w14:textId="5568B6BB" w:rsidR="002C4045" w:rsidRDefault="002C4045" w:rsidP="005715AE">
      <w:pPr>
        <w:pStyle w:val="FootnoteText"/>
        <w:tabs>
          <w:tab w:val="left" w:pos="567"/>
        </w:tabs>
        <w:ind w:left="567" w:hanging="567"/>
      </w:pPr>
      <w:r>
        <w:rPr>
          <w:rStyle w:val="FootnoteReference"/>
        </w:rPr>
        <w:footnoteRef/>
      </w:r>
      <w:r>
        <w:t xml:space="preserve"> </w:t>
      </w:r>
      <w:r>
        <w:tab/>
      </w:r>
      <w:r w:rsidRPr="000C2888">
        <w:rPr>
          <w:szCs w:val="22"/>
        </w:rPr>
        <w:t>Section 4(1)</w:t>
      </w:r>
      <w:r>
        <w:rPr>
          <w:szCs w:val="22"/>
        </w:rPr>
        <w:t xml:space="preserve"> of the </w:t>
      </w:r>
      <w:r w:rsidRPr="000C2888">
        <w:rPr>
          <w:szCs w:val="22"/>
        </w:rPr>
        <w:t>Consolidate Patents Act (</w:t>
      </w:r>
      <w:r>
        <w:rPr>
          <w:szCs w:val="22"/>
        </w:rPr>
        <w:t>Act no. 91 of 28 January 2009) of Denmark, Section 4 of the Patents Act of Finland and Article 71 of the Industrial Property Law of Poland.</w:t>
      </w:r>
    </w:p>
  </w:footnote>
  <w:footnote w:id="35">
    <w:p w14:paraId="12D3BF7A" w14:textId="2D371647" w:rsidR="002C4045" w:rsidRDefault="002C4045" w:rsidP="005715AE">
      <w:pPr>
        <w:pStyle w:val="FootnoteText"/>
        <w:tabs>
          <w:tab w:val="left" w:pos="567"/>
        </w:tabs>
        <w:ind w:left="567" w:hanging="567"/>
      </w:pPr>
      <w:r>
        <w:rPr>
          <w:rStyle w:val="FootnoteReference"/>
        </w:rPr>
        <w:footnoteRef/>
      </w:r>
      <w:r>
        <w:t xml:space="preserve"> </w:t>
      </w:r>
      <w:r>
        <w:tab/>
      </w:r>
      <w:proofErr w:type="gramStart"/>
      <w:r>
        <w:t>Section 12 of the Patent Act of Germany.</w:t>
      </w:r>
      <w:proofErr w:type="gramEnd"/>
    </w:p>
  </w:footnote>
  <w:footnote w:id="36">
    <w:p w14:paraId="60656C22" w14:textId="77777777" w:rsidR="002C4045" w:rsidRDefault="002C4045" w:rsidP="005715AE">
      <w:pPr>
        <w:pStyle w:val="FootnoteText"/>
        <w:tabs>
          <w:tab w:val="left" w:pos="567"/>
        </w:tabs>
        <w:ind w:left="567" w:hanging="567"/>
      </w:pPr>
      <w:r>
        <w:rPr>
          <w:rStyle w:val="FootnoteReference"/>
        </w:rPr>
        <w:footnoteRef/>
      </w:r>
      <w:r>
        <w:t xml:space="preserve"> </w:t>
      </w:r>
      <w:r>
        <w:tab/>
      </w:r>
      <w:proofErr w:type="gramStart"/>
      <w:r>
        <w:t>Section 53 of</w:t>
      </w:r>
      <w:r w:rsidRPr="00680401">
        <w:t xml:space="preserve"> the Israel Patent Law 5727-1967</w:t>
      </w:r>
      <w:r>
        <w:t>.</w:t>
      </w:r>
      <w:proofErr w:type="gramEnd"/>
    </w:p>
  </w:footnote>
  <w:footnote w:id="37">
    <w:p w14:paraId="2DF232C3" w14:textId="77777777" w:rsidR="002C4045" w:rsidRDefault="002C4045" w:rsidP="005715AE">
      <w:pPr>
        <w:pStyle w:val="FootnoteText"/>
        <w:tabs>
          <w:tab w:val="left" w:pos="567"/>
        </w:tabs>
        <w:ind w:left="567" w:hanging="567"/>
      </w:pPr>
      <w:r>
        <w:rPr>
          <w:rStyle w:val="FootnoteReference"/>
        </w:rPr>
        <w:footnoteRef/>
      </w:r>
      <w:r>
        <w:t xml:space="preserve"> </w:t>
      </w:r>
      <w:r>
        <w:tab/>
      </w:r>
      <w:proofErr w:type="gramStart"/>
      <w:r w:rsidRPr="00313124">
        <w:t xml:space="preserve">Article </w:t>
      </w:r>
      <w:r>
        <w:t xml:space="preserve">79 </w:t>
      </w:r>
      <w:r w:rsidRPr="00313124">
        <w:t>of the Japanese Patent Act</w:t>
      </w:r>
      <w:r>
        <w:t>.</w:t>
      </w:r>
      <w:proofErr w:type="gramEnd"/>
    </w:p>
  </w:footnote>
  <w:footnote w:id="38">
    <w:p w14:paraId="3F923796" w14:textId="635C696B" w:rsidR="002C4045" w:rsidRDefault="002C4045" w:rsidP="005715AE">
      <w:pPr>
        <w:pStyle w:val="FootnoteText"/>
        <w:tabs>
          <w:tab w:val="left" w:pos="567"/>
        </w:tabs>
        <w:ind w:left="567" w:hanging="567"/>
      </w:pPr>
      <w:r>
        <w:rPr>
          <w:rStyle w:val="FootnoteReference"/>
        </w:rPr>
        <w:footnoteRef/>
      </w:r>
      <w:r>
        <w:t xml:space="preserve"> </w:t>
      </w:r>
      <w:r>
        <w:tab/>
      </w:r>
      <w:proofErr w:type="gramStart"/>
      <w:r w:rsidRPr="00215AA4">
        <w:rPr>
          <w:szCs w:val="22"/>
        </w:rPr>
        <w:t>Article 14</w:t>
      </w:r>
      <w:r>
        <w:rPr>
          <w:szCs w:val="22"/>
        </w:rPr>
        <w:t xml:space="preserve"> of the Patent Law of the Kyrgyz Republic.</w:t>
      </w:r>
      <w:proofErr w:type="gramEnd"/>
    </w:p>
  </w:footnote>
  <w:footnote w:id="39">
    <w:p w14:paraId="676B39AD" w14:textId="355E5C50" w:rsidR="002C4045" w:rsidRDefault="002C4045" w:rsidP="005715AE">
      <w:pPr>
        <w:pStyle w:val="FootnoteText"/>
        <w:tabs>
          <w:tab w:val="left" w:pos="567"/>
        </w:tabs>
        <w:ind w:left="567" w:hanging="567"/>
      </w:pPr>
      <w:r>
        <w:rPr>
          <w:rStyle w:val="FootnoteReference"/>
        </w:rPr>
        <w:footnoteRef/>
      </w:r>
      <w:r>
        <w:t xml:space="preserve"> </w:t>
      </w:r>
      <w:r>
        <w:tab/>
      </w:r>
      <w:r>
        <w:rPr>
          <w:szCs w:val="22"/>
        </w:rPr>
        <w:t>Section</w:t>
      </w:r>
      <w:r w:rsidRPr="004F137E">
        <w:rPr>
          <w:szCs w:val="22"/>
        </w:rPr>
        <w:t xml:space="preserve"> 119</w:t>
      </w:r>
      <w:r>
        <w:rPr>
          <w:szCs w:val="22"/>
        </w:rPr>
        <w:t xml:space="preserve"> of the </w:t>
      </w:r>
      <w:r w:rsidRPr="004F137E">
        <w:rPr>
          <w:szCs w:val="22"/>
        </w:rPr>
        <w:t>Patents A</w:t>
      </w:r>
      <w:r>
        <w:rPr>
          <w:szCs w:val="22"/>
        </w:rPr>
        <w:t>ct 1990 of Australia, however, clarifies that the exception would not apply if, before, the priority date, the person</w:t>
      </w:r>
      <w:r w:rsidRPr="00820466">
        <w:rPr>
          <w:szCs w:val="22"/>
        </w:rPr>
        <w:t>: (a) had stopped (except temporarily) exploiting the product, method or process in the patent area; or (b) had abandoned (except temporarily) the steps to exploit the product, method or process in the patent area.</w:t>
      </w:r>
    </w:p>
  </w:footnote>
  <w:footnote w:id="40">
    <w:p w14:paraId="179086EE" w14:textId="77777777" w:rsidR="002C4045" w:rsidRDefault="002C4045" w:rsidP="005715AE">
      <w:pPr>
        <w:tabs>
          <w:tab w:val="left" w:pos="567"/>
        </w:tabs>
        <w:autoSpaceDE w:val="0"/>
        <w:autoSpaceDN w:val="0"/>
        <w:adjustRightInd w:val="0"/>
        <w:ind w:left="567" w:hanging="567"/>
      </w:pPr>
      <w:r w:rsidRPr="008F075A">
        <w:rPr>
          <w:rStyle w:val="FootnoteReference"/>
          <w:sz w:val="18"/>
        </w:rPr>
        <w:footnoteRef/>
      </w:r>
      <w:r w:rsidRPr="008F075A">
        <w:rPr>
          <w:rStyle w:val="FootnoteReference"/>
          <w:sz w:val="18"/>
        </w:rPr>
        <w:t xml:space="preserve"> </w:t>
      </w:r>
      <w:r>
        <w:tab/>
      </w:r>
      <w:proofErr w:type="gramStart"/>
      <w:r w:rsidRPr="005826E9">
        <w:rPr>
          <w:sz w:val="18"/>
        </w:rPr>
        <w:t>Article 5</w:t>
      </w:r>
      <w:r>
        <w:rPr>
          <w:sz w:val="18"/>
        </w:rPr>
        <w:t>5</w:t>
      </w:r>
      <w:r w:rsidRPr="005826E9">
        <w:rPr>
          <w:sz w:val="18"/>
        </w:rPr>
        <w:t>(1)</w:t>
      </w:r>
      <w:r>
        <w:rPr>
          <w:sz w:val="18"/>
        </w:rPr>
        <w:t xml:space="preserve"> of the</w:t>
      </w:r>
      <w:r w:rsidRPr="005826E9">
        <w:rPr>
          <w:sz w:val="18"/>
        </w:rPr>
        <w:t xml:space="preserve"> </w:t>
      </w:r>
      <w:r>
        <w:rPr>
          <w:sz w:val="18"/>
        </w:rPr>
        <w:t>Netherlands Patent Act 1995.</w:t>
      </w:r>
      <w:proofErr w:type="gramEnd"/>
    </w:p>
  </w:footnote>
  <w:footnote w:id="41">
    <w:p w14:paraId="1E950D36" w14:textId="67D8429A" w:rsidR="002C4045" w:rsidRPr="0025595E" w:rsidRDefault="002C4045" w:rsidP="005715AE">
      <w:pPr>
        <w:tabs>
          <w:tab w:val="left" w:pos="567"/>
        </w:tabs>
        <w:ind w:left="567" w:hanging="567"/>
        <w:rPr>
          <w:szCs w:val="22"/>
        </w:rPr>
      </w:pPr>
      <w:r w:rsidRPr="008F075A">
        <w:rPr>
          <w:rStyle w:val="FootnoteReference"/>
          <w:sz w:val="18"/>
        </w:rPr>
        <w:footnoteRef/>
      </w:r>
      <w:r w:rsidRPr="008F075A">
        <w:rPr>
          <w:rStyle w:val="FootnoteReference"/>
          <w:sz w:val="18"/>
        </w:rPr>
        <w:t xml:space="preserve"> </w:t>
      </w:r>
      <w:r>
        <w:tab/>
      </w:r>
      <w:r w:rsidRPr="008F075A">
        <w:rPr>
          <w:sz w:val="18"/>
          <w:szCs w:val="22"/>
        </w:rPr>
        <w:t>See, for example</w:t>
      </w:r>
      <w:r>
        <w:rPr>
          <w:sz w:val="18"/>
          <w:szCs w:val="22"/>
        </w:rPr>
        <w:t>:</w:t>
      </w:r>
      <w:r w:rsidRPr="008F075A">
        <w:rPr>
          <w:sz w:val="18"/>
          <w:szCs w:val="22"/>
        </w:rPr>
        <w:t xml:space="preserve"> </w:t>
      </w:r>
      <w:r>
        <w:rPr>
          <w:sz w:val="18"/>
          <w:szCs w:val="22"/>
        </w:rPr>
        <w:t xml:space="preserve"> </w:t>
      </w:r>
      <w:r w:rsidRPr="008F075A">
        <w:rPr>
          <w:sz w:val="18"/>
          <w:szCs w:val="22"/>
        </w:rPr>
        <w:t xml:space="preserve">Section 23 of </w:t>
      </w:r>
      <w:r>
        <w:rPr>
          <w:sz w:val="18"/>
          <w:szCs w:val="22"/>
        </w:rPr>
        <w:t xml:space="preserve">the </w:t>
      </w:r>
      <w:r w:rsidRPr="008F075A">
        <w:rPr>
          <w:sz w:val="18"/>
          <w:szCs w:val="22"/>
        </w:rPr>
        <w:t>Pat</w:t>
      </w:r>
      <w:r>
        <w:rPr>
          <w:sz w:val="18"/>
          <w:szCs w:val="22"/>
        </w:rPr>
        <w:t>ents Act of Austria</w:t>
      </w:r>
      <w:proofErr w:type="gramStart"/>
      <w:r>
        <w:rPr>
          <w:sz w:val="18"/>
          <w:szCs w:val="22"/>
        </w:rPr>
        <w:t>;  Section</w:t>
      </w:r>
      <w:proofErr w:type="gramEnd"/>
      <w:r>
        <w:rPr>
          <w:sz w:val="18"/>
          <w:szCs w:val="22"/>
        </w:rPr>
        <w:t xml:space="preserve"> 13</w:t>
      </w:r>
      <w:r w:rsidRPr="008F075A">
        <w:rPr>
          <w:sz w:val="18"/>
          <w:szCs w:val="22"/>
        </w:rPr>
        <w:t xml:space="preserve">(4) of the Industrial Property Act of the Kingdom of Bhutan; </w:t>
      </w:r>
      <w:r>
        <w:rPr>
          <w:sz w:val="18"/>
          <w:szCs w:val="22"/>
        </w:rPr>
        <w:t xml:space="preserve"> </w:t>
      </w:r>
      <w:r w:rsidRPr="008F075A">
        <w:rPr>
          <w:sz w:val="18"/>
          <w:szCs w:val="22"/>
        </w:rPr>
        <w:t xml:space="preserve">Article 16(1) of the Law on Patent of the Republic of Azerbaijan; </w:t>
      </w:r>
      <w:r>
        <w:rPr>
          <w:sz w:val="18"/>
          <w:szCs w:val="22"/>
        </w:rPr>
        <w:t xml:space="preserve"> </w:t>
      </w:r>
      <w:r w:rsidRPr="008F075A">
        <w:rPr>
          <w:sz w:val="18"/>
          <w:szCs w:val="22"/>
        </w:rPr>
        <w:t>Article 74 of the</w:t>
      </w:r>
      <w:r w:rsidRPr="008F075A">
        <w:rPr>
          <w:sz w:val="18"/>
          <w:szCs w:val="22"/>
        </w:rPr>
        <w:br/>
        <w:t xml:space="preserve">Patent Law of Bosnia and Herzegovina; </w:t>
      </w:r>
      <w:r>
        <w:rPr>
          <w:sz w:val="18"/>
          <w:szCs w:val="22"/>
        </w:rPr>
        <w:t xml:space="preserve"> </w:t>
      </w:r>
      <w:r w:rsidRPr="008F075A">
        <w:rPr>
          <w:sz w:val="18"/>
          <w:szCs w:val="22"/>
        </w:rPr>
        <w:t>Article 45 of Law n. 9.279 of Brazil;</w:t>
      </w:r>
      <w:r>
        <w:rPr>
          <w:sz w:val="18"/>
          <w:szCs w:val="22"/>
        </w:rPr>
        <w:t xml:space="preserve"> </w:t>
      </w:r>
      <w:r w:rsidRPr="008F075A">
        <w:rPr>
          <w:sz w:val="18"/>
          <w:szCs w:val="22"/>
        </w:rPr>
        <w:t xml:space="preserve"> Article 10 of Decree Law No.</w:t>
      </w:r>
      <w:r>
        <w:rPr>
          <w:sz w:val="18"/>
          <w:szCs w:val="22"/>
        </w:rPr>
        <w:t> </w:t>
      </w:r>
      <w:r w:rsidRPr="008F075A">
        <w:rPr>
          <w:sz w:val="18"/>
          <w:szCs w:val="22"/>
        </w:rPr>
        <w:t xml:space="preserve">(30) for the Year 2006 of Qatar; </w:t>
      </w:r>
      <w:r>
        <w:rPr>
          <w:sz w:val="18"/>
          <w:szCs w:val="22"/>
        </w:rPr>
        <w:t xml:space="preserve"> </w:t>
      </w:r>
      <w:r w:rsidRPr="008F075A">
        <w:rPr>
          <w:sz w:val="18"/>
          <w:szCs w:val="22"/>
        </w:rPr>
        <w:t>Article 8.4(d) and 8.5 of Law No. 4/2001 of Sao Tome and Principle; Article 23 of Law on Patents of Serbia;</w:t>
      </w:r>
      <w:r>
        <w:rPr>
          <w:sz w:val="18"/>
          <w:szCs w:val="22"/>
        </w:rPr>
        <w:t xml:space="preserve">  and Article 17(1) of t</w:t>
      </w:r>
      <w:r w:rsidRPr="008F075A">
        <w:rPr>
          <w:sz w:val="18"/>
          <w:szCs w:val="22"/>
        </w:rPr>
        <w:t>he Patent Act of Slovakia</w:t>
      </w:r>
      <w:r w:rsidRPr="00F73839">
        <w:rPr>
          <w:sz w:val="18"/>
          <w:szCs w:val="22"/>
        </w:rPr>
        <w:t>.</w:t>
      </w:r>
    </w:p>
  </w:footnote>
  <w:footnote w:id="42">
    <w:p w14:paraId="5728A5A9" w14:textId="51CC4679" w:rsidR="002C4045" w:rsidRPr="000C516D" w:rsidRDefault="002C4045" w:rsidP="000C516D">
      <w:pPr>
        <w:autoSpaceDE w:val="0"/>
        <w:autoSpaceDN w:val="0"/>
        <w:adjustRightInd w:val="0"/>
        <w:ind w:left="567" w:hanging="567"/>
        <w:rPr>
          <w:rFonts w:ascii="Arial,Bold" w:eastAsia="Times New Roman" w:hAnsi="Arial,Bold" w:cs="Arial,Bold"/>
          <w:b/>
          <w:bCs/>
          <w:sz w:val="19"/>
          <w:szCs w:val="19"/>
          <w:lang w:eastAsia="en-US"/>
        </w:rPr>
      </w:pPr>
      <w:r w:rsidRPr="003339C0">
        <w:rPr>
          <w:rStyle w:val="FootnoteReference"/>
          <w:sz w:val="18"/>
        </w:rPr>
        <w:footnoteRef/>
      </w:r>
      <w:r w:rsidRPr="003339C0">
        <w:rPr>
          <w:rStyle w:val="FootnoteReference"/>
          <w:sz w:val="18"/>
        </w:rPr>
        <w:t xml:space="preserve"> </w:t>
      </w:r>
      <w:r>
        <w:tab/>
      </w:r>
      <w:r w:rsidRPr="008F075A">
        <w:rPr>
          <w:sz w:val="18"/>
          <w:szCs w:val="22"/>
        </w:rPr>
        <w:t>While the scope of the grace period provisions may differ under natio</w:t>
      </w:r>
      <w:r>
        <w:rPr>
          <w:sz w:val="18"/>
          <w:szCs w:val="22"/>
        </w:rPr>
        <w:t xml:space="preserve">nal/regional laws, in general, </w:t>
      </w:r>
      <w:r w:rsidRPr="008F075A">
        <w:rPr>
          <w:sz w:val="18"/>
          <w:szCs w:val="22"/>
        </w:rPr>
        <w:t>such provision allow, in determi</w:t>
      </w:r>
      <w:r>
        <w:rPr>
          <w:sz w:val="18"/>
          <w:szCs w:val="22"/>
        </w:rPr>
        <w:t xml:space="preserve">ning novelty, </w:t>
      </w:r>
      <w:r w:rsidRPr="008F075A">
        <w:rPr>
          <w:sz w:val="18"/>
          <w:szCs w:val="22"/>
        </w:rPr>
        <w:t>not to take into account the d</w:t>
      </w:r>
      <w:r>
        <w:rPr>
          <w:sz w:val="18"/>
          <w:szCs w:val="22"/>
        </w:rPr>
        <w:t>isclosure</w:t>
      </w:r>
      <w:r w:rsidRPr="008F075A">
        <w:rPr>
          <w:sz w:val="18"/>
          <w:szCs w:val="22"/>
        </w:rPr>
        <w:t xml:space="preserve"> made by, </w:t>
      </w:r>
      <w:r w:rsidRPr="008F075A">
        <w:rPr>
          <w:i/>
          <w:sz w:val="18"/>
          <w:szCs w:val="22"/>
        </w:rPr>
        <w:t>inter alia</w:t>
      </w:r>
      <w:r>
        <w:rPr>
          <w:sz w:val="18"/>
          <w:szCs w:val="22"/>
        </w:rPr>
        <w:t xml:space="preserve">, </w:t>
      </w:r>
      <w:r w:rsidRPr="008F075A">
        <w:rPr>
          <w:sz w:val="18"/>
          <w:szCs w:val="22"/>
        </w:rPr>
        <w:t>the applic</w:t>
      </w:r>
      <w:r>
        <w:rPr>
          <w:sz w:val="18"/>
          <w:szCs w:val="22"/>
        </w:rPr>
        <w:t xml:space="preserve">ant or his predecessor in title, if it occurred within </w:t>
      </w:r>
      <w:r w:rsidRPr="008F075A">
        <w:rPr>
          <w:sz w:val="18"/>
          <w:szCs w:val="22"/>
        </w:rPr>
        <w:t xml:space="preserve">certain period of time before the </w:t>
      </w:r>
      <w:r>
        <w:rPr>
          <w:sz w:val="18"/>
          <w:szCs w:val="22"/>
        </w:rPr>
        <w:t xml:space="preserve">filing or priority date </w:t>
      </w:r>
      <w:r w:rsidRPr="008F075A">
        <w:rPr>
          <w:sz w:val="18"/>
          <w:szCs w:val="22"/>
        </w:rPr>
        <w:t xml:space="preserve">(generally, </w:t>
      </w:r>
      <w:r>
        <w:rPr>
          <w:sz w:val="18"/>
          <w:szCs w:val="22"/>
        </w:rPr>
        <w:t>six</w:t>
      </w:r>
      <w:r w:rsidRPr="008F075A">
        <w:rPr>
          <w:sz w:val="18"/>
          <w:szCs w:val="22"/>
        </w:rPr>
        <w:t xml:space="preserve"> month</w:t>
      </w:r>
      <w:r>
        <w:rPr>
          <w:sz w:val="18"/>
          <w:szCs w:val="22"/>
        </w:rPr>
        <w:t>s</w:t>
      </w:r>
      <w:r w:rsidRPr="008F075A">
        <w:rPr>
          <w:sz w:val="18"/>
          <w:szCs w:val="22"/>
        </w:rPr>
        <w:t xml:space="preserve"> or </w:t>
      </w:r>
      <w:r>
        <w:rPr>
          <w:sz w:val="18"/>
          <w:szCs w:val="22"/>
        </w:rPr>
        <w:t>one</w:t>
      </w:r>
      <w:r w:rsidRPr="008F075A">
        <w:rPr>
          <w:sz w:val="18"/>
          <w:szCs w:val="22"/>
        </w:rPr>
        <w:t xml:space="preserve"> year)</w:t>
      </w:r>
      <w:r>
        <w:rPr>
          <w:sz w:val="18"/>
          <w:szCs w:val="22"/>
        </w:rPr>
        <w:t>.</w:t>
      </w:r>
    </w:p>
  </w:footnote>
  <w:footnote w:id="43">
    <w:p w14:paraId="4D682474" w14:textId="6E7FFABD" w:rsidR="002C4045" w:rsidRPr="000C516D" w:rsidRDefault="002C4045" w:rsidP="003339C0">
      <w:pPr>
        <w:pStyle w:val="FootnoteText"/>
        <w:ind w:left="567" w:hanging="567"/>
        <w:rPr>
          <w:szCs w:val="22"/>
        </w:rPr>
      </w:pPr>
      <w:r>
        <w:rPr>
          <w:rStyle w:val="FootnoteReference"/>
        </w:rPr>
        <w:footnoteRef/>
      </w:r>
      <w:r>
        <w:t xml:space="preserve"> </w:t>
      </w:r>
      <w:r>
        <w:tab/>
        <w:t xml:space="preserve">First sentence </w:t>
      </w:r>
      <w:r w:rsidRPr="003339C0">
        <w:t xml:space="preserve">of </w:t>
      </w:r>
      <w:r w:rsidRPr="003339C0">
        <w:rPr>
          <w:iCs/>
          <w:szCs w:val="22"/>
        </w:rPr>
        <w:t>Section 12</w:t>
      </w:r>
      <w:r>
        <w:rPr>
          <w:iCs/>
          <w:szCs w:val="22"/>
        </w:rPr>
        <w:t xml:space="preserve"> </w:t>
      </w:r>
      <w:r w:rsidRPr="003339C0">
        <w:rPr>
          <w:iCs/>
          <w:szCs w:val="22"/>
        </w:rPr>
        <w:t xml:space="preserve">of </w:t>
      </w:r>
      <w:r>
        <w:rPr>
          <w:iCs/>
          <w:szCs w:val="22"/>
        </w:rPr>
        <w:t xml:space="preserve">the </w:t>
      </w:r>
      <w:r w:rsidRPr="003339C0">
        <w:rPr>
          <w:iCs/>
          <w:szCs w:val="22"/>
        </w:rPr>
        <w:t>Patent Act</w:t>
      </w:r>
      <w:r>
        <w:rPr>
          <w:iCs/>
          <w:szCs w:val="22"/>
        </w:rPr>
        <w:t xml:space="preserve"> of Germany</w:t>
      </w:r>
      <w:r w:rsidRPr="003339C0">
        <w:rPr>
          <w:iCs/>
          <w:szCs w:val="22"/>
        </w:rPr>
        <w:t xml:space="preserve"> reads: “</w:t>
      </w:r>
      <w:r w:rsidRPr="003339C0">
        <w:rPr>
          <w:szCs w:val="22"/>
        </w:rPr>
        <w:t>(</w:t>
      </w:r>
      <w:r w:rsidRPr="000C516D">
        <w:rPr>
          <w:szCs w:val="22"/>
        </w:rPr>
        <w:t>1) A patent shall have no effect against a person who, at the time of the filing of the application, had already begun to use the invention in Germany, or had made the necessary arrangements for so doing.</w:t>
      </w:r>
      <w:r>
        <w:rPr>
          <w:szCs w:val="22"/>
        </w:rPr>
        <w:t>”</w:t>
      </w:r>
      <w:r w:rsidRPr="000C516D">
        <w:rPr>
          <w:szCs w:val="22"/>
        </w:rPr>
        <w:t xml:space="preserve"> </w:t>
      </w:r>
    </w:p>
  </w:footnote>
  <w:footnote w:id="44">
    <w:p w14:paraId="47BB3D82" w14:textId="4033F26D" w:rsidR="002C4045" w:rsidRPr="00A2409C" w:rsidRDefault="002C4045" w:rsidP="005F1C05">
      <w:pPr>
        <w:rPr>
          <w:i/>
          <w:szCs w:val="22"/>
        </w:rPr>
      </w:pPr>
      <w:r w:rsidRPr="005F1C05">
        <w:rPr>
          <w:rStyle w:val="FootnoteReference"/>
          <w:sz w:val="18"/>
        </w:rPr>
        <w:footnoteRef/>
      </w:r>
      <w:r w:rsidRPr="005F1C05">
        <w:rPr>
          <w:rStyle w:val="FootnoteReference"/>
          <w:sz w:val="18"/>
        </w:rPr>
        <w:t xml:space="preserve"> </w:t>
      </w:r>
      <w:r>
        <w:tab/>
      </w:r>
      <w:r w:rsidRPr="005F1C05">
        <w:rPr>
          <w:sz w:val="18"/>
        </w:rPr>
        <w:t>See paragraph</w:t>
      </w:r>
      <w:r>
        <w:rPr>
          <w:sz w:val="18"/>
        </w:rPr>
        <w:t xml:space="preserve"> </w:t>
      </w:r>
      <w:r w:rsidRPr="005F1C05">
        <w:rPr>
          <w:sz w:val="18"/>
        </w:rPr>
        <w:t>3</w:t>
      </w:r>
      <w:r w:rsidR="00543726">
        <w:rPr>
          <w:sz w:val="18"/>
        </w:rPr>
        <w:t>5</w:t>
      </w:r>
      <w:r>
        <w:rPr>
          <w:sz w:val="18"/>
        </w:rPr>
        <w:t xml:space="preserve"> of this document.</w:t>
      </w:r>
    </w:p>
    <w:p w14:paraId="6C13333A" w14:textId="72A1E42B" w:rsidR="002C4045" w:rsidRDefault="002C4045">
      <w:pPr>
        <w:pStyle w:val="FootnoteText"/>
      </w:pPr>
    </w:p>
  </w:footnote>
  <w:footnote w:id="45">
    <w:p w14:paraId="2F4B4ABC" w14:textId="77777777" w:rsidR="002C4045" w:rsidRDefault="002C4045">
      <w:pPr>
        <w:pStyle w:val="FootnoteText"/>
      </w:pPr>
      <w:r>
        <w:rPr>
          <w:rStyle w:val="FootnoteReference"/>
        </w:rPr>
        <w:footnoteRef/>
      </w:r>
      <w:r>
        <w:t xml:space="preserve"> </w:t>
      </w:r>
      <w:r>
        <w:tab/>
      </w:r>
      <w:r w:rsidRPr="006A75DC">
        <w:rPr>
          <w:i/>
          <w:szCs w:val="22"/>
        </w:rPr>
        <w:t>Lubrizol Corporation v Esso Petroleum Co. Ltd</w:t>
      </w:r>
      <w:r w:rsidRPr="003A4022">
        <w:rPr>
          <w:szCs w:val="22"/>
        </w:rPr>
        <w:t>. [1998] RPC 727</w:t>
      </w:r>
    </w:p>
  </w:footnote>
  <w:footnote w:id="46">
    <w:p w14:paraId="767EEAE8" w14:textId="77777777" w:rsidR="002C4045" w:rsidRDefault="002C4045" w:rsidP="00C500F8">
      <w:pPr>
        <w:pStyle w:val="FootnoteText"/>
      </w:pPr>
      <w:r>
        <w:rPr>
          <w:rStyle w:val="FootnoteReference"/>
        </w:rPr>
        <w:footnoteRef/>
      </w:r>
      <w:r>
        <w:t xml:space="preserve"> </w:t>
      </w:r>
      <w:r>
        <w:tab/>
      </w:r>
      <w:proofErr w:type="gramStart"/>
      <w:r>
        <w:rPr>
          <w:szCs w:val="22"/>
        </w:rPr>
        <w:t xml:space="preserve">Title 35, Section </w:t>
      </w:r>
      <w:r w:rsidRPr="003A4022">
        <w:rPr>
          <w:szCs w:val="22"/>
        </w:rPr>
        <w:t>273</w:t>
      </w:r>
      <w:r>
        <w:rPr>
          <w:szCs w:val="22"/>
        </w:rPr>
        <w:t xml:space="preserve"> of the United States Code.</w:t>
      </w:r>
      <w:proofErr w:type="gramEnd"/>
    </w:p>
  </w:footnote>
  <w:footnote w:id="47">
    <w:p w14:paraId="7E06B399" w14:textId="77777777" w:rsidR="002C4045" w:rsidRDefault="002C4045" w:rsidP="00C500F8">
      <w:pPr>
        <w:pStyle w:val="FootnoteText"/>
      </w:pPr>
      <w:r>
        <w:rPr>
          <w:rStyle w:val="FootnoteReference"/>
        </w:rPr>
        <w:footnoteRef/>
      </w:r>
      <w:r>
        <w:t xml:space="preserve"> </w:t>
      </w:r>
      <w:r>
        <w:tab/>
      </w:r>
      <w:proofErr w:type="gramStart"/>
      <w:r>
        <w:t>Section 119 of the Patents Act of Australia.</w:t>
      </w:r>
      <w:proofErr w:type="gramEnd"/>
    </w:p>
  </w:footnote>
  <w:footnote w:id="48">
    <w:p w14:paraId="6224F562" w14:textId="399BAAC0" w:rsidR="002C4045" w:rsidRDefault="002C4045" w:rsidP="00A46974">
      <w:pPr>
        <w:ind w:left="567" w:hanging="567"/>
      </w:pPr>
      <w:r w:rsidRPr="00B4507C">
        <w:rPr>
          <w:rStyle w:val="FootnoteReference"/>
          <w:sz w:val="18"/>
        </w:rPr>
        <w:footnoteRef/>
      </w:r>
      <w:r w:rsidRPr="00B4507C">
        <w:rPr>
          <w:rStyle w:val="FootnoteReference"/>
          <w:sz w:val="18"/>
        </w:rPr>
        <w:t xml:space="preserve"> </w:t>
      </w:r>
      <w:r>
        <w:tab/>
      </w:r>
      <w:r w:rsidRPr="001D25E9">
        <w:rPr>
          <w:sz w:val="18"/>
          <w:szCs w:val="22"/>
        </w:rPr>
        <w:t>It was explained in the response to the questionnaire from Pakistan that while Patent Ordinance, 2000 (amended in 2002) does not establish expressly conditions on licensing or assignment of prior user’s rights, the general conditions on the assignment and the licensing of patent rights, provided in Section 55(4) of the Patent Ordinance, could be applied by the prior user.</w:t>
      </w:r>
      <w:r w:rsidRPr="004D5C21">
        <w:rPr>
          <w:sz w:val="18"/>
        </w:rPr>
        <w:t xml:space="preserve"> </w:t>
      </w:r>
    </w:p>
  </w:footnote>
  <w:footnote w:id="49">
    <w:p w14:paraId="3EE693BB" w14:textId="5DEE951A" w:rsidR="002C4045" w:rsidRDefault="002C4045" w:rsidP="00A46974">
      <w:pPr>
        <w:pStyle w:val="FootnoteText"/>
        <w:ind w:left="567" w:hanging="567"/>
      </w:pPr>
      <w:r>
        <w:rPr>
          <w:rStyle w:val="FootnoteReference"/>
        </w:rPr>
        <w:footnoteRef/>
      </w:r>
      <w:r>
        <w:t xml:space="preserve"> </w:t>
      </w:r>
      <w:r>
        <w:tab/>
        <w:t>These Member States are:  Albania, Algeria, Canada, Czech Republic, Democratic People’s Republic of Korea, Madagascar, Mexico and Uganda.</w:t>
      </w:r>
    </w:p>
  </w:footnote>
  <w:footnote w:id="50">
    <w:p w14:paraId="2EBE52B0" w14:textId="77777777" w:rsidR="002C4045" w:rsidRDefault="002C4045" w:rsidP="00A46974">
      <w:pPr>
        <w:pStyle w:val="FootnoteText"/>
        <w:ind w:left="567" w:hanging="567"/>
      </w:pPr>
      <w:r>
        <w:rPr>
          <w:rStyle w:val="FootnoteReference"/>
        </w:rPr>
        <w:footnoteRef/>
      </w:r>
      <w:r>
        <w:t xml:space="preserve"> </w:t>
      </w:r>
      <w:r>
        <w:tab/>
      </w:r>
      <w:r>
        <w:rPr>
          <w:iCs/>
          <w:szCs w:val="22"/>
        </w:rPr>
        <w:t>F</w:t>
      </w:r>
      <w:r w:rsidRPr="00903588">
        <w:rPr>
          <w:iCs/>
          <w:szCs w:val="22"/>
        </w:rPr>
        <w:t>or example</w:t>
      </w:r>
      <w:r>
        <w:rPr>
          <w:iCs/>
          <w:szCs w:val="22"/>
        </w:rPr>
        <w:t>,</w:t>
      </w:r>
      <w:r w:rsidRPr="00903588">
        <w:rPr>
          <w:iCs/>
          <w:szCs w:val="22"/>
        </w:rPr>
        <w:t xml:space="preserve"> </w:t>
      </w:r>
      <w:r>
        <w:rPr>
          <w:iCs/>
          <w:szCs w:val="22"/>
        </w:rPr>
        <w:t xml:space="preserve">some of those laws provide that assignment and/or transfer are not allowed except </w:t>
      </w:r>
      <w:r w:rsidRPr="00903588">
        <w:rPr>
          <w:iCs/>
          <w:szCs w:val="22"/>
        </w:rPr>
        <w:t xml:space="preserve"> together with “</w:t>
      </w:r>
      <w:r w:rsidRPr="00903588">
        <w:rPr>
          <w:szCs w:val="22"/>
        </w:rPr>
        <w:t>that part of the business</w:t>
      </w:r>
      <w:r w:rsidRPr="00903588">
        <w:rPr>
          <w:iCs/>
          <w:szCs w:val="22"/>
        </w:rPr>
        <w:t>”, “</w:t>
      </w:r>
      <w:r w:rsidRPr="00903588">
        <w:rPr>
          <w:szCs w:val="22"/>
        </w:rPr>
        <w:t>the entire enterprise or business to which the defense relates</w:t>
      </w:r>
      <w:r w:rsidRPr="00903588">
        <w:rPr>
          <w:iCs/>
          <w:szCs w:val="22"/>
        </w:rPr>
        <w:t>”, “</w:t>
      </w:r>
      <w:r w:rsidRPr="00903588">
        <w:rPr>
          <w:szCs w:val="22"/>
        </w:rPr>
        <w:t>the production unit</w:t>
      </w:r>
      <w:r w:rsidRPr="00903588">
        <w:rPr>
          <w:iCs/>
          <w:szCs w:val="22"/>
        </w:rPr>
        <w:t>”, “</w:t>
      </w:r>
      <w:r w:rsidRPr="00903588">
        <w:rPr>
          <w:szCs w:val="22"/>
        </w:rPr>
        <w:t>the enterprise or business practice</w:t>
      </w:r>
      <w:r w:rsidRPr="00903588">
        <w:rPr>
          <w:iCs/>
          <w:szCs w:val="22"/>
        </w:rPr>
        <w:t>”, “</w:t>
      </w:r>
      <w:r w:rsidRPr="00903588">
        <w:rPr>
          <w:szCs w:val="22"/>
        </w:rPr>
        <w:t>business where it originated or where the exploitatio</w:t>
      </w:r>
      <w:r>
        <w:rPr>
          <w:szCs w:val="22"/>
        </w:rPr>
        <w:t>n was intended to take place”,</w:t>
      </w:r>
      <w:r w:rsidRPr="00903588">
        <w:rPr>
          <w:szCs w:val="22"/>
        </w:rPr>
        <w:t xml:space="preserve"> “assignment or transfer of ownership of a company or its part”, “business establishment in which use is made”, “enterprise or its activities or with that part of the enterprise or its activities”, “working process and production plant” or “firm or establishment in which such production or use was being carried out or had been planned”.</w:t>
      </w:r>
      <w:r>
        <w:rPr>
          <w:szCs w:val="22"/>
        </w:rPr>
        <w:t xml:space="preserve"> </w:t>
      </w:r>
      <w:r w:rsidRPr="00903588">
        <w:rPr>
          <w:szCs w:val="22"/>
        </w:rPr>
        <w:t xml:space="preserve"> </w:t>
      </w:r>
    </w:p>
  </w:footnote>
  <w:footnote w:id="51">
    <w:p w14:paraId="5676F70A" w14:textId="7DDDAB0A" w:rsidR="002C4045" w:rsidRDefault="002C4045" w:rsidP="00A46974">
      <w:pPr>
        <w:pStyle w:val="FootnoteText"/>
        <w:ind w:left="567" w:hanging="567"/>
      </w:pPr>
      <w:r>
        <w:rPr>
          <w:rStyle w:val="FootnoteReference"/>
        </w:rPr>
        <w:footnoteRef/>
      </w:r>
      <w:r>
        <w:t xml:space="preserve"> </w:t>
      </w:r>
      <w:r>
        <w:tab/>
      </w:r>
      <w:proofErr w:type="gramStart"/>
      <w:r>
        <w:t>For example, in the Republic of Moldova and Switzerland.</w:t>
      </w:r>
      <w:proofErr w:type="gramEnd"/>
    </w:p>
  </w:footnote>
  <w:footnote w:id="52">
    <w:p w14:paraId="2CF010F4" w14:textId="6F596058" w:rsidR="002C4045" w:rsidRDefault="002C4045" w:rsidP="00A46974">
      <w:pPr>
        <w:pStyle w:val="FootnoteText"/>
        <w:ind w:left="567" w:hanging="567"/>
      </w:pPr>
      <w:r>
        <w:rPr>
          <w:rStyle w:val="FootnoteReference"/>
        </w:rPr>
        <w:footnoteRef/>
      </w:r>
      <w:r>
        <w:t xml:space="preserve"> </w:t>
      </w:r>
      <w:r>
        <w:tab/>
      </w:r>
      <w:proofErr w:type="gramStart"/>
      <w:r>
        <w:t>For example, in Albania, Armenia, Australia, Azerbaijan, Bhutan, Croatia, France, Germany, Hong Kong (China), Japan, Kyrgyz Republic, Netherlands and Spain.</w:t>
      </w:r>
      <w:proofErr w:type="gramEnd"/>
    </w:p>
  </w:footnote>
  <w:footnote w:id="53">
    <w:p w14:paraId="10C71DB6" w14:textId="24DAEDB3" w:rsidR="002C4045" w:rsidRDefault="002C4045" w:rsidP="00A46974">
      <w:pPr>
        <w:pStyle w:val="FootnoteText"/>
        <w:ind w:left="567" w:hanging="567"/>
      </w:pPr>
      <w:r>
        <w:rPr>
          <w:rStyle w:val="FootnoteReference"/>
        </w:rPr>
        <w:footnoteRef/>
      </w:r>
      <w:r>
        <w:t xml:space="preserve"> </w:t>
      </w:r>
      <w:r>
        <w:tab/>
      </w:r>
      <w:proofErr w:type="gramStart"/>
      <w:r>
        <w:t>For example, applicable laws of Canada, China, the Dominican Republic and Italy.</w:t>
      </w:r>
      <w:proofErr w:type="gramEnd"/>
    </w:p>
  </w:footnote>
  <w:footnote w:id="54">
    <w:p w14:paraId="41CB8404" w14:textId="3698096E" w:rsidR="002C4045" w:rsidRDefault="002C4045" w:rsidP="00A46974">
      <w:pPr>
        <w:pStyle w:val="FootnoteText"/>
        <w:ind w:left="567" w:hanging="567"/>
      </w:pPr>
      <w:r>
        <w:rPr>
          <w:rStyle w:val="FootnoteReference"/>
        </w:rPr>
        <w:footnoteRef/>
      </w:r>
      <w:r>
        <w:t xml:space="preserve"> </w:t>
      </w:r>
      <w:r>
        <w:tab/>
        <w:t>See, for example, Armenia, Australia and the Russian Federation.</w:t>
      </w:r>
    </w:p>
  </w:footnote>
  <w:footnote w:id="55">
    <w:p w14:paraId="3794706F" w14:textId="77777777" w:rsidR="002C4045" w:rsidRDefault="002C4045" w:rsidP="00A46974">
      <w:pPr>
        <w:pStyle w:val="FootnoteText"/>
        <w:ind w:left="567" w:hanging="567"/>
      </w:pPr>
      <w:r>
        <w:rPr>
          <w:rStyle w:val="FootnoteReference"/>
        </w:rPr>
        <w:footnoteRef/>
      </w:r>
      <w:r>
        <w:t xml:space="preserve"> </w:t>
      </w:r>
      <w:r>
        <w:tab/>
        <w:t>See, for example, China and the Kyrgyz Republic.</w:t>
      </w:r>
    </w:p>
  </w:footnote>
  <w:footnote w:id="56">
    <w:p w14:paraId="54AA2A24" w14:textId="623BEAEA" w:rsidR="002C4045" w:rsidRPr="00475E88" w:rsidRDefault="002C4045" w:rsidP="00475E88">
      <w:pPr>
        <w:shd w:val="clear" w:color="auto" w:fill="FFFFFF"/>
        <w:ind w:left="567" w:hanging="567"/>
        <w:rPr>
          <w:i/>
          <w:iCs/>
          <w:color w:val="333333"/>
          <w:lang w:val="en"/>
        </w:rPr>
      </w:pPr>
      <w:r w:rsidRPr="00E00958">
        <w:rPr>
          <w:rStyle w:val="FootnoteReference"/>
          <w:sz w:val="18"/>
        </w:rPr>
        <w:footnoteRef/>
      </w:r>
      <w:r w:rsidRPr="00E00958">
        <w:rPr>
          <w:rStyle w:val="FootnoteReference"/>
          <w:sz w:val="18"/>
        </w:rPr>
        <w:t xml:space="preserve"> </w:t>
      </w:r>
      <w:r>
        <w:tab/>
      </w:r>
      <w:r w:rsidRPr="001D25E9">
        <w:rPr>
          <w:sz w:val="18"/>
          <w:szCs w:val="22"/>
        </w:rPr>
        <w:t xml:space="preserve">In the response of </w:t>
      </w:r>
      <w:r>
        <w:rPr>
          <w:sz w:val="18"/>
          <w:szCs w:val="22"/>
        </w:rPr>
        <w:t xml:space="preserve">the </w:t>
      </w:r>
      <w:r w:rsidRPr="001D25E9">
        <w:rPr>
          <w:sz w:val="18"/>
          <w:szCs w:val="22"/>
        </w:rPr>
        <w:t xml:space="preserve">Netherlands, it was </w:t>
      </w:r>
      <w:r>
        <w:rPr>
          <w:sz w:val="18"/>
          <w:szCs w:val="22"/>
        </w:rPr>
        <w:t>clarified</w:t>
      </w:r>
      <w:r w:rsidRPr="001D25E9">
        <w:rPr>
          <w:sz w:val="18"/>
          <w:szCs w:val="22"/>
        </w:rPr>
        <w:t xml:space="preserve"> that </w:t>
      </w:r>
      <w:r>
        <w:rPr>
          <w:sz w:val="18"/>
          <w:szCs w:val="22"/>
        </w:rPr>
        <w:t xml:space="preserve">in accordance with </w:t>
      </w:r>
      <w:r w:rsidRPr="0093396A">
        <w:rPr>
          <w:sz w:val="18"/>
          <w:szCs w:val="22"/>
        </w:rPr>
        <w:t>Article 53(6) of the Patent Act,</w:t>
      </w:r>
      <w:r>
        <w:rPr>
          <w:sz w:val="18"/>
          <w:szCs w:val="22"/>
        </w:rPr>
        <w:t xml:space="preserve"> where a third party uses a claimed invention </w:t>
      </w:r>
      <w:r w:rsidRPr="001D25E9">
        <w:rPr>
          <w:sz w:val="18"/>
          <w:szCs w:val="22"/>
        </w:rPr>
        <w:t>“after the filing or priority date, but before grant of the patent”, “the patentee may demand a reasonable compensation”.</w:t>
      </w:r>
    </w:p>
  </w:footnote>
  <w:footnote w:id="57">
    <w:p w14:paraId="1F1F7C6C" w14:textId="225DF836" w:rsidR="002C4045" w:rsidRDefault="002C4045" w:rsidP="00A46974">
      <w:pPr>
        <w:pStyle w:val="FootnoteText"/>
        <w:ind w:left="567" w:hanging="567"/>
      </w:pPr>
      <w:r>
        <w:rPr>
          <w:rStyle w:val="FootnoteReference"/>
        </w:rPr>
        <w:footnoteRef/>
      </w:r>
      <w:r>
        <w:t xml:space="preserve"> </w:t>
      </w:r>
      <w:r>
        <w:tab/>
        <w:t>Member States which expressly provided this type of exception and/or limitation are Armenia, Australia, Austria, Bulgaria, Finland, Georgia, Hungary, Israel, Japan, Latvia, the Netherlands, Norway, Pakistan, Portugal, the Republic of Moldova, Romania, the Russian Federation, Serbia, Slovakia, South Africa, Spain, Sri Lanka, the United Kingdom, Viet Nam and Tajikistan.</w:t>
      </w:r>
    </w:p>
  </w:footnote>
  <w:footnote w:id="58">
    <w:p w14:paraId="15F510CE" w14:textId="7A6E842E" w:rsidR="002C4045" w:rsidRPr="00626450" w:rsidRDefault="002C4045" w:rsidP="00A46974">
      <w:pPr>
        <w:pStyle w:val="FootnoteText"/>
        <w:ind w:left="567" w:hanging="567"/>
        <w:rPr>
          <w:lang w:val="de-DE"/>
        </w:rPr>
      </w:pPr>
      <w:r>
        <w:rPr>
          <w:rStyle w:val="FootnoteReference"/>
        </w:rPr>
        <w:footnoteRef/>
      </w:r>
      <w:r>
        <w:t xml:space="preserve"> </w:t>
      </w:r>
      <w:r>
        <w:rPr>
          <w:lang w:val="de-DE"/>
        </w:rPr>
        <w:tab/>
        <w:t>See, for example, Armenia, Finland, Georgia, Latvia, Romania, the Slovak Republic, Spain and Sweden.</w:t>
      </w:r>
    </w:p>
  </w:footnote>
  <w:footnote w:id="59">
    <w:p w14:paraId="759272F1" w14:textId="1BC0C612" w:rsidR="002C4045" w:rsidRPr="00FC6B5E" w:rsidRDefault="002C4045" w:rsidP="00A46974">
      <w:pPr>
        <w:pStyle w:val="FootnoteText"/>
        <w:ind w:left="567" w:hanging="567"/>
        <w:rPr>
          <w:lang w:val="de-DE"/>
        </w:rPr>
      </w:pPr>
      <w:r>
        <w:rPr>
          <w:rStyle w:val="FootnoteReference"/>
        </w:rPr>
        <w:footnoteRef/>
      </w:r>
      <w:r>
        <w:t xml:space="preserve"> </w:t>
      </w:r>
      <w:r>
        <w:rPr>
          <w:lang w:val="de-DE"/>
        </w:rPr>
        <w:tab/>
      </w:r>
      <w:proofErr w:type="gramStart"/>
      <w:r>
        <w:t>Section 71</w:t>
      </w:r>
      <w:r w:rsidRPr="001D25E9">
        <w:t>c of the Patents Act of Finland.</w:t>
      </w:r>
      <w:proofErr w:type="gramEnd"/>
    </w:p>
  </w:footnote>
  <w:footnote w:id="60">
    <w:p w14:paraId="0E508C07" w14:textId="2FAFF95C" w:rsidR="002C4045" w:rsidRPr="000D28A5" w:rsidRDefault="002C4045" w:rsidP="00A46974">
      <w:pPr>
        <w:pStyle w:val="FootnoteText"/>
        <w:ind w:left="567" w:hanging="567"/>
        <w:rPr>
          <w:lang w:val="de-DE"/>
        </w:rPr>
      </w:pPr>
      <w:r>
        <w:rPr>
          <w:rStyle w:val="FootnoteReference"/>
        </w:rPr>
        <w:footnoteRef/>
      </w:r>
      <w:r>
        <w:t xml:space="preserve"> </w:t>
      </w:r>
      <w:r>
        <w:rPr>
          <w:lang w:val="de-DE"/>
        </w:rPr>
        <w:tab/>
        <w:t xml:space="preserve">Section </w:t>
      </w:r>
      <w:r w:rsidRPr="0041068A">
        <w:rPr>
          <w:lang w:val="de-DE"/>
        </w:rPr>
        <w:t xml:space="preserve">136 of </w:t>
      </w:r>
      <w:r>
        <w:rPr>
          <w:lang w:val="de-DE"/>
        </w:rPr>
        <w:t xml:space="preserve">the </w:t>
      </w:r>
      <w:r w:rsidRPr="0041068A">
        <w:rPr>
          <w:lang w:val="de-DE"/>
        </w:rPr>
        <w:t>Patent Act</w:t>
      </w:r>
      <w:r>
        <w:rPr>
          <w:lang w:val="de-DE"/>
        </w:rPr>
        <w:t xml:space="preserve"> of Austria.</w:t>
      </w:r>
    </w:p>
  </w:footnote>
  <w:footnote w:id="61">
    <w:p w14:paraId="4318A16A" w14:textId="77777777" w:rsidR="002C4045" w:rsidRPr="009E56A5" w:rsidRDefault="002C4045" w:rsidP="00A46974">
      <w:pPr>
        <w:pStyle w:val="FootnoteText"/>
        <w:ind w:left="567" w:hanging="567"/>
        <w:rPr>
          <w:lang w:val="de-DE"/>
        </w:rPr>
      </w:pPr>
      <w:r>
        <w:rPr>
          <w:rStyle w:val="FootnoteReference"/>
        </w:rPr>
        <w:footnoteRef/>
      </w:r>
      <w:r>
        <w:t xml:space="preserve"> </w:t>
      </w:r>
      <w:r>
        <w:rPr>
          <w:lang w:val="de-DE"/>
        </w:rPr>
        <w:tab/>
        <w:t>Article 55 of the Patent Law of Georgia.</w:t>
      </w:r>
    </w:p>
  </w:footnote>
  <w:footnote w:id="62">
    <w:p w14:paraId="22F5342E" w14:textId="77777777" w:rsidR="002C4045" w:rsidRPr="00AC5ED7" w:rsidRDefault="002C4045" w:rsidP="00A46974">
      <w:pPr>
        <w:pStyle w:val="FootnoteText"/>
        <w:ind w:left="567" w:hanging="567"/>
        <w:rPr>
          <w:lang w:val="de-DE"/>
        </w:rPr>
      </w:pPr>
      <w:r>
        <w:rPr>
          <w:rStyle w:val="FootnoteReference"/>
        </w:rPr>
        <w:footnoteRef/>
      </w:r>
      <w:r>
        <w:t xml:space="preserve"> </w:t>
      </w:r>
      <w:r>
        <w:rPr>
          <w:lang w:val="de-DE"/>
        </w:rPr>
        <w:tab/>
        <w:t xml:space="preserve">Articel 21 </w:t>
      </w:r>
      <w:r w:rsidRPr="0041068A">
        <w:rPr>
          <w:lang w:val="de-DE"/>
        </w:rPr>
        <w:t xml:space="preserve">of </w:t>
      </w:r>
      <w:r w:rsidRPr="0041068A">
        <w:rPr>
          <w:iCs/>
          <w:lang w:val="de-DE"/>
        </w:rPr>
        <w:t xml:space="preserve">Act XXXIII of 1995 </w:t>
      </w:r>
      <w:r w:rsidRPr="0041068A">
        <w:rPr>
          <w:lang w:val="de-DE"/>
        </w:rPr>
        <w:t>of</w:t>
      </w:r>
      <w:r>
        <w:rPr>
          <w:lang w:val="de-DE"/>
        </w:rPr>
        <w:t xml:space="preserve"> Hungary.</w:t>
      </w:r>
    </w:p>
  </w:footnote>
  <w:footnote w:id="63">
    <w:p w14:paraId="33DF85EE" w14:textId="67B64ED3" w:rsidR="002C4045" w:rsidRPr="004025F3" w:rsidRDefault="002C4045" w:rsidP="00A46974">
      <w:pPr>
        <w:pStyle w:val="FootnoteText"/>
        <w:ind w:left="567" w:hanging="567"/>
        <w:rPr>
          <w:lang w:val="de-DE"/>
        </w:rPr>
      </w:pPr>
      <w:r>
        <w:rPr>
          <w:rStyle w:val="FootnoteReference"/>
        </w:rPr>
        <w:footnoteRef/>
      </w:r>
      <w:r>
        <w:t xml:space="preserve"> </w:t>
      </w:r>
      <w:r>
        <w:rPr>
          <w:lang w:val="de-DE"/>
        </w:rPr>
        <w:tab/>
      </w:r>
      <w:r w:rsidRPr="007A130A">
        <w:t>Article 23(5) of the Netherlands Patent Act of 1995.</w:t>
      </w:r>
    </w:p>
  </w:footnote>
  <w:footnote w:id="64">
    <w:p w14:paraId="2121BE4D" w14:textId="77777777" w:rsidR="002C4045" w:rsidRDefault="002C4045" w:rsidP="00A46974">
      <w:pPr>
        <w:pStyle w:val="FootnoteText"/>
        <w:ind w:left="567" w:hanging="567"/>
      </w:pPr>
      <w:r>
        <w:rPr>
          <w:rStyle w:val="FootnoteReference"/>
        </w:rPr>
        <w:footnoteRef/>
      </w:r>
      <w:r>
        <w:t xml:space="preserve"> </w:t>
      </w:r>
      <w:r>
        <w:tab/>
      </w:r>
      <w:proofErr w:type="gramStart"/>
      <w:r>
        <w:t>Section 45(5) of the Patent Ordinance 2000 of Pakistan.</w:t>
      </w:r>
      <w:proofErr w:type="gramEnd"/>
    </w:p>
  </w:footnote>
  <w:footnote w:id="65">
    <w:p w14:paraId="268E4459" w14:textId="77777777" w:rsidR="002C4045" w:rsidRDefault="002C4045" w:rsidP="00A46974">
      <w:pPr>
        <w:pStyle w:val="FootnoteText"/>
        <w:ind w:left="567" w:hanging="567"/>
      </w:pPr>
      <w:r>
        <w:rPr>
          <w:rStyle w:val="FootnoteReference"/>
        </w:rPr>
        <w:footnoteRef/>
      </w:r>
      <w:r>
        <w:t xml:space="preserve"> </w:t>
      </w:r>
      <w:r>
        <w:tab/>
        <w:t>Similarly, in Sweden, the requirement is that the prior user may continue the exploitation of the invention “while retaining the general character of the exploitation”.</w:t>
      </w:r>
    </w:p>
  </w:footnote>
  <w:footnote w:id="66">
    <w:p w14:paraId="3AE0E2E6" w14:textId="0CFE1CE9" w:rsidR="002C4045" w:rsidRPr="001E39F8" w:rsidRDefault="002C4045" w:rsidP="00A46974">
      <w:pPr>
        <w:pStyle w:val="FootnoteText"/>
        <w:ind w:left="567" w:hanging="567"/>
        <w:rPr>
          <w:lang w:val="de-DE"/>
        </w:rPr>
      </w:pPr>
      <w:r>
        <w:rPr>
          <w:rStyle w:val="FootnoteReference"/>
        </w:rPr>
        <w:footnoteRef/>
      </w:r>
      <w:r>
        <w:t xml:space="preserve"> </w:t>
      </w:r>
      <w:r>
        <w:rPr>
          <w:lang w:val="de-DE"/>
        </w:rPr>
        <w:tab/>
        <w:t xml:space="preserve">Section </w:t>
      </w:r>
      <w:r w:rsidRPr="0041068A">
        <w:rPr>
          <w:lang w:val="de-DE"/>
        </w:rPr>
        <w:t xml:space="preserve">136 of </w:t>
      </w:r>
      <w:r>
        <w:rPr>
          <w:lang w:val="de-DE"/>
        </w:rPr>
        <w:t xml:space="preserve">the </w:t>
      </w:r>
      <w:r w:rsidRPr="0041068A">
        <w:rPr>
          <w:lang w:val="de-DE"/>
        </w:rPr>
        <w:t>Patent Act</w:t>
      </w:r>
      <w:r>
        <w:rPr>
          <w:lang w:val="de-DE"/>
        </w:rPr>
        <w:t xml:space="preserve"> of Austria.</w:t>
      </w:r>
    </w:p>
  </w:footnote>
  <w:footnote w:id="67">
    <w:p w14:paraId="606D5FDA" w14:textId="77777777" w:rsidR="002C4045" w:rsidRPr="0060520F" w:rsidRDefault="002C4045" w:rsidP="00A46974">
      <w:pPr>
        <w:pStyle w:val="FootnoteText"/>
        <w:ind w:left="567" w:hanging="567"/>
        <w:rPr>
          <w:lang w:val="de-DE"/>
        </w:rPr>
      </w:pPr>
      <w:r>
        <w:rPr>
          <w:rStyle w:val="FootnoteReference"/>
        </w:rPr>
        <w:footnoteRef/>
      </w:r>
      <w:r>
        <w:t xml:space="preserve"> </w:t>
      </w:r>
      <w:r>
        <w:rPr>
          <w:lang w:val="de-DE"/>
        </w:rPr>
        <w:tab/>
        <w:t>Article 53 of the Patent Law of Georgia .</w:t>
      </w:r>
    </w:p>
  </w:footnote>
  <w:footnote w:id="68">
    <w:p w14:paraId="5F032747" w14:textId="0A080544" w:rsidR="002C4045" w:rsidRPr="001E7224" w:rsidRDefault="002C4045" w:rsidP="00A46974">
      <w:pPr>
        <w:pStyle w:val="FootnoteText"/>
        <w:ind w:left="567" w:hanging="567"/>
        <w:rPr>
          <w:lang w:val="de-DE"/>
        </w:rPr>
      </w:pPr>
      <w:r>
        <w:rPr>
          <w:rStyle w:val="FootnoteReference"/>
        </w:rPr>
        <w:footnoteRef/>
      </w:r>
      <w:r>
        <w:t xml:space="preserve"> </w:t>
      </w:r>
      <w:r>
        <w:rPr>
          <w:lang w:val="de-DE"/>
        </w:rPr>
        <w:tab/>
        <w:t>Section 63 of the</w:t>
      </w:r>
      <w:r w:rsidRPr="00EB7C36">
        <w:rPr>
          <w:lang w:val="de-DE"/>
        </w:rPr>
        <w:t xml:space="preserve"> Israel Patent Law 5727-1967</w:t>
      </w:r>
      <w:r>
        <w:rPr>
          <w:lang w:val="de-DE"/>
        </w:rPr>
        <w:t>.</w:t>
      </w:r>
    </w:p>
  </w:footnote>
  <w:footnote w:id="69">
    <w:p w14:paraId="1706BD04" w14:textId="17E182BB" w:rsidR="002C4045" w:rsidRDefault="002C4045" w:rsidP="00A46974">
      <w:pPr>
        <w:pStyle w:val="FootnoteText"/>
        <w:ind w:left="567" w:hanging="567"/>
      </w:pPr>
      <w:r>
        <w:rPr>
          <w:rStyle w:val="FootnoteReference"/>
        </w:rPr>
        <w:footnoteRef/>
      </w:r>
      <w:r>
        <w:t xml:space="preserve"> </w:t>
      </w:r>
      <w:r>
        <w:tab/>
        <w:t xml:space="preserve">“Used” as provided in Article </w:t>
      </w:r>
      <w:r w:rsidRPr="0041068A">
        <w:t>48(1) of the Patent Act</w:t>
      </w:r>
      <w:r>
        <w:t xml:space="preserve"> 57 of 1978 of South Africa. </w:t>
      </w:r>
    </w:p>
  </w:footnote>
  <w:footnote w:id="70">
    <w:p w14:paraId="788DFD58" w14:textId="5E76479B" w:rsidR="002C4045" w:rsidRDefault="002C4045" w:rsidP="00A46974">
      <w:pPr>
        <w:pStyle w:val="FootnoteText"/>
        <w:ind w:left="567" w:hanging="567"/>
      </w:pPr>
      <w:r>
        <w:rPr>
          <w:rStyle w:val="FootnoteReference"/>
        </w:rPr>
        <w:footnoteRef/>
      </w:r>
      <w:r>
        <w:t xml:space="preserve"> </w:t>
      </w:r>
      <w:r>
        <w:tab/>
      </w:r>
      <w:r w:rsidRPr="00B162A3">
        <w:t>See</w:t>
      </w:r>
      <w:r>
        <w:t>,</w:t>
      </w:r>
      <w:r w:rsidRPr="00B162A3">
        <w:t xml:space="preserve"> for example</w:t>
      </w:r>
      <w:r>
        <w:t>,</w:t>
      </w:r>
      <w:r w:rsidRPr="00B162A3">
        <w:t xml:space="preserve"> subsec</w:t>
      </w:r>
      <w:r>
        <w:t xml:space="preserve">tion 223(9) of the Patents Act of Australia. </w:t>
      </w:r>
      <w:r w:rsidRPr="00B162A3">
        <w:t xml:space="preserve"> The terms of such a </w:t>
      </w:r>
      <w:proofErr w:type="spellStart"/>
      <w:r w:rsidRPr="00B162A3">
        <w:t>licence</w:t>
      </w:r>
      <w:proofErr w:type="spellEnd"/>
      <w:r w:rsidRPr="00B162A3">
        <w:t xml:space="preserve"> are determined by the Commissioner (22.21(5)) taking into account the circumstance but the </w:t>
      </w:r>
      <w:proofErr w:type="spellStart"/>
      <w:r w:rsidRPr="00B162A3">
        <w:t>licence</w:t>
      </w:r>
      <w:proofErr w:type="spellEnd"/>
      <w:r w:rsidRPr="00B162A3">
        <w:t xml:space="preserve"> is royalty free (See HRC PROJECT DESIGN PTY LTD v. ORFORD PTY LTD [1997] APO 12.)</w:t>
      </w:r>
    </w:p>
  </w:footnote>
  <w:footnote w:id="71">
    <w:p w14:paraId="7A3D1054" w14:textId="17ACF8D9" w:rsidR="002C4045" w:rsidRDefault="002C4045" w:rsidP="00A46974">
      <w:pPr>
        <w:pStyle w:val="FootnoteText"/>
        <w:ind w:left="567" w:hanging="567"/>
      </w:pPr>
      <w:r>
        <w:rPr>
          <w:rStyle w:val="FootnoteReference"/>
        </w:rPr>
        <w:footnoteRef/>
      </w:r>
      <w:r>
        <w:t xml:space="preserve"> </w:t>
      </w:r>
      <w:r>
        <w:tab/>
      </w:r>
      <w:proofErr w:type="gramStart"/>
      <w:r>
        <w:t>Article 176 of the Japanese Patent Act.</w:t>
      </w:r>
      <w:proofErr w:type="gramEnd"/>
      <w:r>
        <w:t xml:space="preserve">  In addition, </w:t>
      </w:r>
      <w:r w:rsidRPr="00580725">
        <w:t>the grant of non-exclusive license is available under Article</w:t>
      </w:r>
      <w:r>
        <w:t> </w:t>
      </w:r>
      <w:r w:rsidRPr="00580725">
        <w:t>79bis (1) of</w:t>
      </w:r>
      <w:r>
        <w:t xml:space="preserve"> the</w:t>
      </w:r>
      <w:r w:rsidRPr="00580725">
        <w:t xml:space="preserve"> Japanese Patent Act </w:t>
      </w:r>
      <w:r w:rsidRPr="00580725">
        <w:rPr>
          <w:rFonts w:hint="eastAsia"/>
        </w:rPr>
        <w:t>where a person who has had the patent right, the exclusive license on the patent right, or the non-exclusive license on the patent right or the exclusive license existing at the time of the registration of assignment of the patent right based on the request under Article 74(1) and has been working the invention in Japan in the course of one</w:t>
      </w:r>
      <w:r w:rsidRPr="00580725">
        <w:t>’</w:t>
      </w:r>
      <w:r w:rsidRPr="00580725">
        <w:rPr>
          <w:rFonts w:hint="eastAsia"/>
        </w:rPr>
        <w:t>s business, or has been making preparations for one</w:t>
      </w:r>
      <w:r w:rsidRPr="00580725">
        <w:t>’</w:t>
      </w:r>
      <w:r w:rsidRPr="00580725">
        <w:rPr>
          <w:rFonts w:hint="eastAsia"/>
        </w:rPr>
        <w:t>s business, prior to such registration of assignment of the patent right without knowing that the patent falls under the requirements of Article 123(1)(ii) or the requirements of Article 123(1)(vi)</w:t>
      </w:r>
      <w:r w:rsidRPr="00580725">
        <w:t>.  Further, according to Article 80(1) of the Japanese Patent Act a person falling under any of the following items, who is doing a business working an invention in Japan or preparing such business, before the registration of a request for a trial for patent invalidation, without knowledge that the patent falls under any of the paragraphs of Article</w:t>
      </w:r>
      <w:r>
        <w:t> </w:t>
      </w:r>
      <w:r w:rsidRPr="00580725">
        <w:t>123(1), shall have a non-exclusive license regarding the invalidated patent right or the exclusive license existing at the time of the invalidation, only to the extent of the invention and the purpose of such business worked or prepared:</w:t>
      </w:r>
      <w:r>
        <w:t xml:space="preserve"> </w:t>
      </w:r>
      <w:r w:rsidRPr="00580725">
        <w:t>(</w:t>
      </w:r>
      <w:proofErr w:type="spellStart"/>
      <w:r w:rsidRPr="00580725">
        <w:t>i</w:t>
      </w:r>
      <w:proofErr w:type="spellEnd"/>
      <w:r w:rsidRPr="00580725">
        <w:t>) the original patentee in the case where one of two or more patents granted for the same invention has been invalidated;</w:t>
      </w:r>
      <w:r>
        <w:t xml:space="preserve"> </w:t>
      </w:r>
      <w:r w:rsidRPr="00580725">
        <w:t>(ii) the original patentee in the case where, after a patent has been invalidated, a patent is granted to the person who is entitled to obtain a patent for the same invention; and</w:t>
      </w:r>
      <w:r>
        <w:t xml:space="preserve"> </w:t>
      </w:r>
      <w:r w:rsidRPr="00580725">
        <w:t>(iii) in the case referred to in items (</w:t>
      </w:r>
      <w:proofErr w:type="spellStart"/>
      <w:r w:rsidRPr="00580725">
        <w:t>i</w:t>
      </w:r>
      <w:proofErr w:type="spellEnd"/>
      <w:r w:rsidRPr="00580725">
        <w:t>) and (ii), a person that, at the time of the registration of the request for a trial for patent invalidation, has an exclusive license regarding the patent right to be invalidated, or a non-exclusive license effective under Article 99(1) regarding the patent right or an exclusive license on the patent right.</w:t>
      </w:r>
      <w:r>
        <w:t xml:space="preserve">  A similar provision is provided in Article 104(1) of the </w:t>
      </w:r>
      <w:r w:rsidRPr="00785649">
        <w:rPr>
          <w:szCs w:val="22"/>
        </w:rPr>
        <w:t>Patent Act of the</w:t>
      </w:r>
      <w:r w:rsidRPr="00CB566B">
        <w:rPr>
          <w:rFonts w:eastAsia="Times New Roman"/>
          <w:iCs/>
          <w:color w:val="333333"/>
          <w:szCs w:val="22"/>
          <w:lang w:val="en" w:eastAsia="en-US"/>
        </w:rPr>
        <w:t xml:space="preserve"> </w:t>
      </w:r>
      <w:r w:rsidRPr="00CE66B7">
        <w:rPr>
          <w:szCs w:val="22"/>
        </w:rPr>
        <w:t>Republic of Korea</w:t>
      </w:r>
      <w:r>
        <w:rPr>
          <w:szCs w:val="22"/>
        </w:rPr>
        <w:t>.</w:t>
      </w:r>
    </w:p>
  </w:footnote>
  <w:footnote w:id="72">
    <w:p w14:paraId="13A84DFF" w14:textId="3A39F28D" w:rsidR="002C4045" w:rsidRDefault="002C4045" w:rsidP="003B1741">
      <w:pPr>
        <w:pStyle w:val="FootnoteText"/>
        <w:ind w:left="567" w:hanging="567"/>
      </w:pPr>
      <w:r>
        <w:rPr>
          <w:rStyle w:val="FootnoteReference"/>
        </w:rPr>
        <w:footnoteRef/>
      </w:r>
      <w:r>
        <w:t xml:space="preserve"> </w:t>
      </w:r>
      <w:r>
        <w:tab/>
        <w:t>Member States and a regional organization which expressly stated that the applicable legal framework of the prior use exception considered adequate to meet the objectives thought are:  Algeria, Bosnia and Herzegovina, China, Costa Rica, Czech Republic, Denmark, Hong Kong (China), Hungary, Madagascar, Morocco, Norway, Pakistan, the Republic of Moldova, the Russian Federation, Sao Tome and Principle, United Kingdom and EAPO.</w:t>
      </w:r>
    </w:p>
  </w:footnote>
  <w:footnote w:id="73">
    <w:p w14:paraId="3AC4DD45" w14:textId="020505F7" w:rsidR="002C4045" w:rsidRDefault="002C4045" w:rsidP="00FE5C29">
      <w:pPr>
        <w:pStyle w:val="FootnoteText"/>
        <w:ind w:left="567" w:hanging="567"/>
      </w:pPr>
      <w:r>
        <w:rPr>
          <w:rStyle w:val="FootnoteReference"/>
        </w:rPr>
        <w:footnoteRef/>
      </w:r>
      <w:r>
        <w:t xml:space="preserve"> </w:t>
      </w:r>
      <w:r>
        <w:tab/>
        <w:t xml:space="preserve">Member States which responded that no amendments to the law foreseen are: Australia, Canada, </w:t>
      </w:r>
      <w:r>
        <w:br/>
        <w:t xml:space="preserve">Dominican Republic, France, Israel, Japan, Latvia, Mexico, Peru, Poland, Portugal, Spain, Sweden, Switzerland and Turkey. </w:t>
      </w:r>
    </w:p>
  </w:footnote>
  <w:footnote w:id="74">
    <w:p w14:paraId="1DFCE89D" w14:textId="76631A8D" w:rsidR="002C4045" w:rsidRPr="00FE5C29" w:rsidRDefault="002C4045" w:rsidP="007105DE">
      <w:pPr>
        <w:pStyle w:val="FootnoteText"/>
        <w:ind w:left="540" w:hanging="540"/>
        <w:rPr>
          <w:lang w:val="de-DE"/>
        </w:rPr>
      </w:pPr>
      <w:r>
        <w:rPr>
          <w:rStyle w:val="FootnoteReference"/>
        </w:rPr>
        <w:footnoteRef/>
      </w:r>
      <w:r>
        <w:t xml:space="preserve"> </w:t>
      </w:r>
      <w:r>
        <w:tab/>
        <w:t>The Patent Bill 2008 received Royal assent on September 13, 2013, and became the Patent Act 2013.  A prior use exception is regulated under Section 146.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CD519" w14:textId="2C73147F" w:rsidR="002C4045" w:rsidRDefault="002C4045" w:rsidP="00477D6B">
    <w:pPr>
      <w:jc w:val="right"/>
    </w:pPr>
    <w:bookmarkStart w:id="6" w:name="Code2"/>
    <w:bookmarkEnd w:id="6"/>
    <w:r>
      <w:t>SCP/20/</w:t>
    </w:r>
    <w:r w:rsidRPr="005144A8">
      <w:t>6</w:t>
    </w:r>
  </w:p>
  <w:p w14:paraId="20D80311" w14:textId="77777777" w:rsidR="002C4045" w:rsidRDefault="002C4045" w:rsidP="00477D6B">
    <w:pPr>
      <w:jc w:val="right"/>
    </w:pPr>
    <w:proofErr w:type="gramStart"/>
    <w:r>
      <w:t>page</w:t>
    </w:r>
    <w:proofErr w:type="gramEnd"/>
    <w:r>
      <w:t xml:space="preserve"> </w:t>
    </w:r>
    <w:r>
      <w:fldChar w:fldCharType="begin"/>
    </w:r>
    <w:r>
      <w:instrText xml:space="preserve"> PAGE  \* MERGEFORMAT </w:instrText>
    </w:r>
    <w:r>
      <w:fldChar w:fldCharType="separate"/>
    </w:r>
    <w:r w:rsidR="00556CC9">
      <w:rPr>
        <w:noProof/>
      </w:rPr>
      <w:t>12</w:t>
    </w:r>
    <w:r>
      <w:fldChar w:fldCharType="end"/>
    </w:r>
  </w:p>
  <w:p w14:paraId="19FA54A2" w14:textId="77777777" w:rsidR="002C4045" w:rsidRDefault="002C4045"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06C17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5C75263"/>
    <w:multiLevelType w:val="hybridMultilevel"/>
    <w:tmpl w:val="C85ADB98"/>
    <w:lvl w:ilvl="0" w:tplc="0E7C2BC0">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E1C6B59"/>
    <w:multiLevelType w:val="hybridMultilevel"/>
    <w:tmpl w:val="0FACB65E"/>
    <w:lvl w:ilvl="0" w:tplc="B5F272C2">
      <w:start w:val="5"/>
      <w:numFmt w:val="bullet"/>
      <w:lvlText w:val=""/>
      <w:lvlJc w:val="left"/>
      <w:pPr>
        <w:tabs>
          <w:tab w:val="num" w:pos="924"/>
        </w:tabs>
        <w:ind w:left="924" w:hanging="360"/>
      </w:pPr>
      <w:rPr>
        <w:rFonts w:ascii="Symbol" w:eastAsia="SimSun"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266789"/>
    <w:multiLevelType w:val="hybridMultilevel"/>
    <w:tmpl w:val="680E821C"/>
    <w:lvl w:ilvl="0" w:tplc="0E7C2BC0">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8F1FF5"/>
    <w:multiLevelType w:val="hybridMultilevel"/>
    <w:tmpl w:val="155CB014"/>
    <w:lvl w:ilvl="0" w:tplc="FA4256B6">
      <w:start w:val="1"/>
      <w:numFmt w:val="upp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49B3F88"/>
    <w:multiLevelType w:val="hybridMultilevel"/>
    <w:tmpl w:val="C04C9828"/>
    <w:lvl w:ilvl="0" w:tplc="DFF2C7F6">
      <w:start w:val="1"/>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8">
    <w:nsid w:val="16736069"/>
    <w:multiLevelType w:val="hybridMultilevel"/>
    <w:tmpl w:val="B7A01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9A4CC2"/>
    <w:multiLevelType w:val="hybridMultilevel"/>
    <w:tmpl w:val="087CD214"/>
    <w:lvl w:ilvl="0" w:tplc="0E7C2BC0">
      <w:start w:val="1"/>
      <w:numFmt w:val="bullet"/>
      <w:lvlText w:val=""/>
      <w:lvlJc w:val="left"/>
      <w:pPr>
        <w:tabs>
          <w:tab w:val="num" w:pos="2061"/>
        </w:tabs>
        <w:ind w:left="206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7E14E67"/>
    <w:multiLevelType w:val="hybridMultilevel"/>
    <w:tmpl w:val="F606E098"/>
    <w:lvl w:ilvl="0" w:tplc="B5F272C2">
      <w:start w:val="5"/>
      <w:numFmt w:val="bullet"/>
      <w:lvlText w:val=""/>
      <w:lvlJc w:val="left"/>
      <w:pPr>
        <w:tabs>
          <w:tab w:val="num" w:pos="720"/>
        </w:tabs>
        <w:ind w:left="720" w:hanging="360"/>
      </w:pPr>
      <w:rPr>
        <w:rFonts w:ascii="Symbol" w:eastAsia="SimSun"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064689"/>
    <w:multiLevelType w:val="hybridMultilevel"/>
    <w:tmpl w:val="5E9E2AF6"/>
    <w:lvl w:ilvl="0" w:tplc="0E7881F2">
      <w:start w:val="1"/>
      <w:numFmt w:val="lowerRoman"/>
      <w:lvlText w:val="(%1)"/>
      <w:lvlJc w:val="right"/>
      <w:pPr>
        <w:tabs>
          <w:tab w:val="num" w:pos="2165"/>
        </w:tabs>
        <w:ind w:left="2165" w:hanging="180"/>
      </w:pPr>
      <w:rPr>
        <w:rFonts w:hint="default"/>
      </w:rPr>
    </w:lvl>
    <w:lvl w:ilvl="1" w:tplc="0E7881F2">
      <w:start w:val="1"/>
      <w:numFmt w:val="lowerRoman"/>
      <w:lvlText w:val="(%2)"/>
      <w:lvlJc w:val="right"/>
      <w:pPr>
        <w:tabs>
          <w:tab w:val="num" w:pos="2165"/>
        </w:tabs>
        <w:ind w:left="2165" w:hanging="180"/>
      </w:pPr>
      <w:rPr>
        <w:rFonts w:hint="default"/>
      </w:rPr>
    </w:lvl>
    <w:lvl w:ilvl="2" w:tplc="0409001B" w:tentative="1">
      <w:start w:val="1"/>
      <w:numFmt w:val="lowerRoman"/>
      <w:lvlText w:val="%3."/>
      <w:lvlJc w:val="right"/>
      <w:pPr>
        <w:tabs>
          <w:tab w:val="num" w:pos="3321"/>
        </w:tabs>
        <w:ind w:left="3321" w:hanging="180"/>
      </w:pPr>
    </w:lvl>
    <w:lvl w:ilvl="3" w:tplc="0409000F" w:tentative="1">
      <w:start w:val="1"/>
      <w:numFmt w:val="decimal"/>
      <w:lvlText w:val="%4."/>
      <w:lvlJc w:val="left"/>
      <w:pPr>
        <w:tabs>
          <w:tab w:val="num" w:pos="4041"/>
        </w:tabs>
        <w:ind w:left="4041" w:hanging="360"/>
      </w:pPr>
    </w:lvl>
    <w:lvl w:ilvl="4" w:tplc="04090019" w:tentative="1">
      <w:start w:val="1"/>
      <w:numFmt w:val="lowerLetter"/>
      <w:lvlText w:val="%5."/>
      <w:lvlJc w:val="left"/>
      <w:pPr>
        <w:tabs>
          <w:tab w:val="num" w:pos="4761"/>
        </w:tabs>
        <w:ind w:left="4761" w:hanging="360"/>
      </w:pPr>
    </w:lvl>
    <w:lvl w:ilvl="5" w:tplc="0409001B" w:tentative="1">
      <w:start w:val="1"/>
      <w:numFmt w:val="lowerRoman"/>
      <w:lvlText w:val="%6."/>
      <w:lvlJc w:val="right"/>
      <w:pPr>
        <w:tabs>
          <w:tab w:val="num" w:pos="5481"/>
        </w:tabs>
        <w:ind w:left="5481" w:hanging="180"/>
      </w:pPr>
    </w:lvl>
    <w:lvl w:ilvl="6" w:tplc="0409000F" w:tentative="1">
      <w:start w:val="1"/>
      <w:numFmt w:val="decimal"/>
      <w:lvlText w:val="%7."/>
      <w:lvlJc w:val="left"/>
      <w:pPr>
        <w:tabs>
          <w:tab w:val="num" w:pos="6201"/>
        </w:tabs>
        <w:ind w:left="6201" w:hanging="360"/>
      </w:pPr>
    </w:lvl>
    <w:lvl w:ilvl="7" w:tplc="04090019" w:tentative="1">
      <w:start w:val="1"/>
      <w:numFmt w:val="lowerLetter"/>
      <w:lvlText w:val="%8."/>
      <w:lvlJc w:val="left"/>
      <w:pPr>
        <w:tabs>
          <w:tab w:val="num" w:pos="6921"/>
        </w:tabs>
        <w:ind w:left="6921" w:hanging="360"/>
      </w:pPr>
    </w:lvl>
    <w:lvl w:ilvl="8" w:tplc="0409001B" w:tentative="1">
      <w:start w:val="1"/>
      <w:numFmt w:val="lowerRoman"/>
      <w:lvlText w:val="%9."/>
      <w:lvlJc w:val="right"/>
      <w:pPr>
        <w:tabs>
          <w:tab w:val="num" w:pos="7641"/>
        </w:tabs>
        <w:ind w:left="7641" w:hanging="180"/>
      </w:p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0D12EDE"/>
    <w:multiLevelType w:val="hybridMultilevel"/>
    <w:tmpl w:val="654A2A1C"/>
    <w:lvl w:ilvl="0" w:tplc="0E7C2BC0">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1A2CFC"/>
    <w:multiLevelType w:val="hybridMultilevel"/>
    <w:tmpl w:val="E1DEBAFA"/>
    <w:lvl w:ilvl="0" w:tplc="0E7C2BC0">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B26984"/>
    <w:multiLevelType w:val="hybridMultilevel"/>
    <w:tmpl w:val="155CB014"/>
    <w:lvl w:ilvl="0" w:tplc="FA4256B6">
      <w:start w:val="1"/>
      <w:numFmt w:val="upp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0CC2ED2"/>
    <w:multiLevelType w:val="hybridMultilevel"/>
    <w:tmpl w:val="4A24BE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838699E"/>
    <w:multiLevelType w:val="hybridMultilevel"/>
    <w:tmpl w:val="1AE0622C"/>
    <w:lvl w:ilvl="0" w:tplc="0E7C2BC0">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061"/>
        </w:tabs>
        <w:ind w:left="2061" w:hanging="360"/>
      </w:pPr>
      <w:rPr>
        <w:rFonts w:ascii="Courier New" w:hAnsi="Courier New" w:cs="Courier New" w:hint="default"/>
      </w:rPr>
    </w:lvl>
    <w:lvl w:ilvl="2" w:tplc="04090005">
      <w:start w:val="1"/>
      <w:numFmt w:val="bullet"/>
      <w:lvlText w:val=""/>
      <w:lvlJc w:val="left"/>
      <w:pPr>
        <w:tabs>
          <w:tab w:val="num" w:pos="2781"/>
        </w:tabs>
        <w:ind w:left="2781" w:hanging="360"/>
      </w:pPr>
      <w:rPr>
        <w:rFonts w:ascii="Wingdings" w:hAnsi="Wingdings" w:hint="default"/>
      </w:rPr>
    </w:lvl>
    <w:lvl w:ilvl="3" w:tplc="04090001">
      <w:start w:val="1"/>
      <w:numFmt w:val="bullet"/>
      <w:lvlText w:val=""/>
      <w:lvlJc w:val="left"/>
      <w:pPr>
        <w:tabs>
          <w:tab w:val="num" w:pos="3501"/>
        </w:tabs>
        <w:ind w:left="3501" w:hanging="360"/>
      </w:pPr>
      <w:rPr>
        <w:rFonts w:ascii="Symbol" w:hAnsi="Symbol" w:hint="default"/>
      </w:rPr>
    </w:lvl>
    <w:lvl w:ilvl="4" w:tplc="04090003">
      <w:start w:val="1"/>
      <w:numFmt w:val="bullet"/>
      <w:lvlText w:val="o"/>
      <w:lvlJc w:val="left"/>
      <w:pPr>
        <w:tabs>
          <w:tab w:val="num" w:pos="4221"/>
        </w:tabs>
        <w:ind w:left="4221" w:hanging="360"/>
      </w:pPr>
      <w:rPr>
        <w:rFonts w:ascii="Courier New" w:hAnsi="Courier New" w:cs="Courier New" w:hint="default"/>
      </w:rPr>
    </w:lvl>
    <w:lvl w:ilvl="5" w:tplc="04090005" w:tentative="1">
      <w:start w:val="1"/>
      <w:numFmt w:val="bullet"/>
      <w:lvlText w:val=""/>
      <w:lvlJc w:val="left"/>
      <w:pPr>
        <w:tabs>
          <w:tab w:val="num" w:pos="4941"/>
        </w:tabs>
        <w:ind w:left="4941" w:hanging="360"/>
      </w:pPr>
      <w:rPr>
        <w:rFonts w:ascii="Wingdings" w:hAnsi="Wingdings" w:hint="default"/>
      </w:rPr>
    </w:lvl>
    <w:lvl w:ilvl="6" w:tplc="04090001" w:tentative="1">
      <w:start w:val="1"/>
      <w:numFmt w:val="bullet"/>
      <w:lvlText w:val=""/>
      <w:lvlJc w:val="left"/>
      <w:pPr>
        <w:tabs>
          <w:tab w:val="num" w:pos="5661"/>
        </w:tabs>
        <w:ind w:left="5661" w:hanging="360"/>
      </w:pPr>
      <w:rPr>
        <w:rFonts w:ascii="Symbol" w:hAnsi="Symbol" w:hint="default"/>
      </w:rPr>
    </w:lvl>
    <w:lvl w:ilvl="7" w:tplc="04090003" w:tentative="1">
      <w:start w:val="1"/>
      <w:numFmt w:val="bullet"/>
      <w:lvlText w:val="o"/>
      <w:lvlJc w:val="left"/>
      <w:pPr>
        <w:tabs>
          <w:tab w:val="num" w:pos="6381"/>
        </w:tabs>
        <w:ind w:left="6381" w:hanging="360"/>
      </w:pPr>
      <w:rPr>
        <w:rFonts w:ascii="Courier New" w:hAnsi="Courier New" w:cs="Courier New" w:hint="default"/>
      </w:rPr>
    </w:lvl>
    <w:lvl w:ilvl="8" w:tplc="04090005" w:tentative="1">
      <w:start w:val="1"/>
      <w:numFmt w:val="bullet"/>
      <w:lvlText w:val=""/>
      <w:lvlJc w:val="left"/>
      <w:pPr>
        <w:tabs>
          <w:tab w:val="num" w:pos="7101"/>
        </w:tabs>
        <w:ind w:left="7101" w:hanging="360"/>
      </w:pPr>
      <w:rPr>
        <w:rFonts w:ascii="Wingdings" w:hAnsi="Wingdings" w:hint="default"/>
      </w:rPr>
    </w:lvl>
  </w:abstractNum>
  <w:abstractNum w:abstractNumId="19">
    <w:nsid w:val="3A1735E4"/>
    <w:multiLevelType w:val="hybridMultilevel"/>
    <w:tmpl w:val="77C64ED0"/>
    <w:lvl w:ilvl="0" w:tplc="0E7C2BC0">
      <w:start w:val="1"/>
      <w:numFmt w:val="bullet"/>
      <w:lvlText w:val=""/>
      <w:lvlJc w:val="left"/>
      <w:pPr>
        <w:tabs>
          <w:tab w:val="num" w:pos="2061"/>
        </w:tabs>
        <w:ind w:left="2061" w:hanging="360"/>
      </w:pPr>
      <w:rPr>
        <w:rFonts w:ascii="Symbol" w:hAnsi="Symbol" w:hint="default"/>
      </w:rPr>
    </w:lvl>
    <w:lvl w:ilvl="1" w:tplc="04090003" w:tentative="1">
      <w:start w:val="1"/>
      <w:numFmt w:val="bullet"/>
      <w:lvlText w:val="o"/>
      <w:lvlJc w:val="left"/>
      <w:pPr>
        <w:tabs>
          <w:tab w:val="num" w:pos="2781"/>
        </w:tabs>
        <w:ind w:left="2781" w:hanging="360"/>
      </w:pPr>
      <w:rPr>
        <w:rFonts w:ascii="Courier New" w:hAnsi="Courier New" w:cs="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0">
    <w:nsid w:val="3BCF3A47"/>
    <w:multiLevelType w:val="hybridMultilevel"/>
    <w:tmpl w:val="FDAE9856"/>
    <w:lvl w:ilvl="0" w:tplc="DFF2C7F6">
      <w:start w:val="1"/>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9F2C03"/>
    <w:multiLevelType w:val="hybridMultilevel"/>
    <w:tmpl w:val="3EA818AE"/>
    <w:lvl w:ilvl="0" w:tplc="0E7C2BC0">
      <w:start w:val="1"/>
      <w:numFmt w:val="bullet"/>
      <w:lvlText w:val=""/>
      <w:lvlJc w:val="left"/>
      <w:pPr>
        <w:tabs>
          <w:tab w:val="num" w:pos="2061"/>
        </w:tabs>
        <w:ind w:left="206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3DE6E08"/>
    <w:multiLevelType w:val="hybridMultilevel"/>
    <w:tmpl w:val="070E1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60E37BB"/>
    <w:multiLevelType w:val="hybridMultilevel"/>
    <w:tmpl w:val="7D20CB00"/>
    <w:lvl w:ilvl="0" w:tplc="0E7C2BC0">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8E5505C"/>
    <w:multiLevelType w:val="hybridMultilevel"/>
    <w:tmpl w:val="155CB014"/>
    <w:lvl w:ilvl="0" w:tplc="FA4256B6">
      <w:start w:val="1"/>
      <w:numFmt w:val="upp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A4531D"/>
    <w:multiLevelType w:val="hybridMultilevel"/>
    <w:tmpl w:val="95100CF2"/>
    <w:lvl w:ilvl="0" w:tplc="0E7C2BC0">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3731D4"/>
    <w:multiLevelType w:val="hybridMultilevel"/>
    <w:tmpl w:val="7D8CFFD2"/>
    <w:lvl w:ilvl="0" w:tplc="B5F272C2">
      <w:start w:val="5"/>
      <w:numFmt w:val="bullet"/>
      <w:lvlText w:val=""/>
      <w:lvlJc w:val="left"/>
      <w:pPr>
        <w:tabs>
          <w:tab w:val="num" w:pos="924"/>
        </w:tabs>
        <w:ind w:left="924" w:hanging="360"/>
      </w:pPr>
      <w:rPr>
        <w:rFonts w:ascii="Symbol" w:eastAsia="SimSun"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7A398A"/>
    <w:multiLevelType w:val="hybridMultilevel"/>
    <w:tmpl w:val="F9164FC2"/>
    <w:lvl w:ilvl="0" w:tplc="938851B4">
      <w:numFmt w:val="bullet"/>
      <w:lvlText w:val="-"/>
      <w:lvlJc w:val="left"/>
      <w:pPr>
        <w:tabs>
          <w:tab w:val="num" w:pos="930"/>
        </w:tabs>
        <w:ind w:left="930" w:hanging="57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526E9F"/>
    <w:multiLevelType w:val="hybridMultilevel"/>
    <w:tmpl w:val="155CB014"/>
    <w:lvl w:ilvl="0" w:tplc="FA4256B6">
      <w:start w:val="1"/>
      <w:numFmt w:val="upperRoman"/>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6DC7DD7"/>
    <w:multiLevelType w:val="hybridMultilevel"/>
    <w:tmpl w:val="084815AC"/>
    <w:lvl w:ilvl="0" w:tplc="B5F272C2">
      <w:start w:val="5"/>
      <w:numFmt w:val="bullet"/>
      <w:lvlText w:val=""/>
      <w:lvlJc w:val="left"/>
      <w:pPr>
        <w:tabs>
          <w:tab w:val="num" w:pos="1491"/>
        </w:tabs>
        <w:ind w:left="1491" w:hanging="360"/>
      </w:pPr>
      <w:rPr>
        <w:rFonts w:ascii="Symbol" w:eastAsia="SimSun" w:hAnsi="Symbol" w:hint="default"/>
        <w:sz w:val="22"/>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nsid w:val="5A1236B8"/>
    <w:multiLevelType w:val="hybridMultilevel"/>
    <w:tmpl w:val="DA907A22"/>
    <w:lvl w:ilvl="0" w:tplc="0E7C2BC0">
      <w:start w:val="1"/>
      <w:numFmt w:val="bullet"/>
      <w:lvlText w:val=""/>
      <w:lvlJc w:val="left"/>
      <w:pPr>
        <w:tabs>
          <w:tab w:val="num" w:pos="2061"/>
        </w:tabs>
        <w:ind w:left="206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CE2E4F"/>
    <w:multiLevelType w:val="hybridMultilevel"/>
    <w:tmpl w:val="9F9A6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8F61AD"/>
    <w:multiLevelType w:val="hybridMultilevel"/>
    <w:tmpl w:val="F808D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DA3D22"/>
    <w:multiLevelType w:val="hybridMultilevel"/>
    <w:tmpl w:val="2DFEF74C"/>
    <w:lvl w:ilvl="0" w:tplc="EC02C578">
      <w:numFmt w:val="bullet"/>
      <w:lvlText w:val="-"/>
      <w:lvlJc w:val="left"/>
      <w:pPr>
        <w:tabs>
          <w:tab w:val="num" w:pos="1167"/>
        </w:tabs>
        <w:ind w:left="1167" w:hanging="600"/>
      </w:pPr>
      <w:rPr>
        <w:rFonts w:ascii="Arial" w:eastAsia="MS Mincho"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6">
    <w:nsid w:val="66EB19DC"/>
    <w:multiLevelType w:val="hybridMultilevel"/>
    <w:tmpl w:val="6A549A1E"/>
    <w:lvl w:ilvl="0" w:tplc="0E7C2BC0">
      <w:start w:val="1"/>
      <w:numFmt w:val="bullet"/>
      <w:lvlText w:val=""/>
      <w:lvlJc w:val="left"/>
      <w:pPr>
        <w:tabs>
          <w:tab w:val="num" w:pos="2061"/>
        </w:tabs>
        <w:ind w:left="206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9D03153"/>
    <w:multiLevelType w:val="hybridMultilevel"/>
    <w:tmpl w:val="40B61242"/>
    <w:lvl w:ilvl="0" w:tplc="443647EA">
      <w:start w:val="9"/>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38">
    <w:nsid w:val="6CEA097D"/>
    <w:multiLevelType w:val="hybridMultilevel"/>
    <w:tmpl w:val="51CC5704"/>
    <w:lvl w:ilvl="0" w:tplc="0E7C2BC0">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404F4C"/>
    <w:multiLevelType w:val="hybridMultilevel"/>
    <w:tmpl w:val="B8D2CC9E"/>
    <w:lvl w:ilvl="0" w:tplc="B01E02EE">
      <w:numFmt w:val="bullet"/>
      <w:lvlText w:val="-"/>
      <w:lvlJc w:val="left"/>
      <w:pPr>
        <w:tabs>
          <w:tab w:val="num" w:pos="1143"/>
        </w:tabs>
        <w:ind w:left="1143" w:hanging="576"/>
      </w:pPr>
      <w:rPr>
        <w:rFonts w:ascii="Arial" w:eastAsia="MS Mincho"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0">
    <w:nsid w:val="6EE21258"/>
    <w:multiLevelType w:val="hybridMultilevel"/>
    <w:tmpl w:val="9CEC9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39118E"/>
    <w:multiLevelType w:val="hybridMultilevel"/>
    <w:tmpl w:val="73424EC6"/>
    <w:lvl w:ilvl="0" w:tplc="0E7C2BC0">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A707CAF"/>
    <w:multiLevelType w:val="multilevel"/>
    <w:tmpl w:val="F9164FC2"/>
    <w:lvl w:ilvl="0">
      <w:numFmt w:val="bullet"/>
      <w:lvlText w:val="-"/>
      <w:lvlJc w:val="left"/>
      <w:pPr>
        <w:tabs>
          <w:tab w:val="num" w:pos="930"/>
        </w:tabs>
        <w:ind w:left="930" w:hanging="570"/>
      </w:pPr>
      <w:rPr>
        <w:rFonts w:ascii="Arial" w:eastAsia="SimSu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B9F53C0"/>
    <w:multiLevelType w:val="hybridMultilevel"/>
    <w:tmpl w:val="4B8457B2"/>
    <w:lvl w:ilvl="0" w:tplc="0E7C2BC0">
      <w:start w:val="1"/>
      <w:numFmt w:val="bullet"/>
      <w:lvlText w:val=""/>
      <w:lvlJc w:val="left"/>
      <w:pPr>
        <w:tabs>
          <w:tab w:val="num" w:pos="2061"/>
        </w:tabs>
        <w:ind w:left="206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255E21"/>
    <w:multiLevelType w:val="hybridMultilevel"/>
    <w:tmpl w:val="DDFEF4C8"/>
    <w:lvl w:ilvl="0" w:tplc="0E7C2BC0">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1"/>
  </w:num>
  <w:num w:numId="4">
    <w:abstractNumId w:val="26"/>
  </w:num>
  <w:num w:numId="5">
    <w:abstractNumId w:val="3"/>
  </w:num>
  <w:num w:numId="6">
    <w:abstractNumId w:val="13"/>
  </w:num>
  <w:num w:numId="7">
    <w:abstractNumId w:val="19"/>
  </w:num>
  <w:num w:numId="8">
    <w:abstractNumId w:val="12"/>
  </w:num>
  <w:num w:numId="9">
    <w:abstractNumId w:val="15"/>
  </w:num>
  <w:num w:numId="10">
    <w:abstractNumId w:val="43"/>
  </w:num>
  <w:num w:numId="11">
    <w:abstractNumId w:val="24"/>
  </w:num>
  <w:num w:numId="12">
    <w:abstractNumId w:val="21"/>
  </w:num>
  <w:num w:numId="13">
    <w:abstractNumId w:val="44"/>
  </w:num>
  <w:num w:numId="14">
    <w:abstractNumId w:val="5"/>
  </w:num>
  <w:num w:numId="15">
    <w:abstractNumId w:val="2"/>
  </w:num>
  <w:num w:numId="16">
    <w:abstractNumId w:val="9"/>
  </w:num>
  <w:num w:numId="17">
    <w:abstractNumId w:val="36"/>
  </w:num>
  <w:num w:numId="18">
    <w:abstractNumId w:val="41"/>
  </w:num>
  <w:num w:numId="19">
    <w:abstractNumId w:val="18"/>
  </w:num>
  <w:num w:numId="20">
    <w:abstractNumId w:val="27"/>
  </w:num>
  <w:num w:numId="21">
    <w:abstractNumId w:val="32"/>
  </w:num>
  <w:num w:numId="22">
    <w:abstractNumId w:val="14"/>
  </w:num>
  <w:num w:numId="23">
    <w:abstractNumId w:val="38"/>
  </w:num>
  <w:num w:numId="24">
    <w:abstractNumId w:val="7"/>
  </w:num>
  <w:num w:numId="25">
    <w:abstractNumId w:val="37"/>
  </w:num>
  <w:num w:numId="26">
    <w:abstractNumId w:val="20"/>
  </w:num>
  <w:num w:numId="27">
    <w:abstractNumId w:val="39"/>
  </w:num>
  <w:num w:numId="28">
    <w:abstractNumId w:val="4"/>
  </w:num>
  <w:num w:numId="29">
    <w:abstractNumId w:val="29"/>
  </w:num>
  <w:num w:numId="30">
    <w:abstractNumId w:val="42"/>
  </w:num>
  <w:num w:numId="31">
    <w:abstractNumId w:val="11"/>
  </w:num>
  <w:num w:numId="32">
    <w:abstractNumId w:val="31"/>
  </w:num>
  <w:num w:numId="33">
    <w:abstractNumId w:val="35"/>
  </w:num>
  <w:num w:numId="34">
    <w:abstractNumId w:val="28"/>
  </w:num>
  <w:num w:numId="35">
    <w:abstractNumId w:val="8"/>
  </w:num>
  <w:num w:numId="36">
    <w:abstractNumId w:val="22"/>
  </w:num>
  <w:num w:numId="37">
    <w:abstractNumId w:val="40"/>
  </w:num>
  <w:num w:numId="38">
    <w:abstractNumId w:val="34"/>
  </w:num>
  <w:num w:numId="39">
    <w:abstractNumId w:val="17"/>
  </w:num>
  <w:num w:numId="40">
    <w:abstractNumId w:val="33"/>
  </w:num>
  <w:num w:numId="41">
    <w:abstractNumId w:val="0"/>
  </w:num>
  <w:num w:numId="42">
    <w:abstractNumId w:val="16"/>
  </w:num>
  <w:num w:numId="43">
    <w:abstractNumId w:val="25"/>
  </w:num>
  <w:num w:numId="44">
    <w:abstractNumId w:val="6"/>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3C"/>
    <w:rsid w:val="000035F4"/>
    <w:rsid w:val="00003A5D"/>
    <w:rsid w:val="00004BFD"/>
    <w:rsid w:val="00006B50"/>
    <w:rsid w:val="00011F67"/>
    <w:rsid w:val="00012A1D"/>
    <w:rsid w:val="00014308"/>
    <w:rsid w:val="00015C55"/>
    <w:rsid w:val="00016BAC"/>
    <w:rsid w:val="00016ED2"/>
    <w:rsid w:val="000248B7"/>
    <w:rsid w:val="000269B8"/>
    <w:rsid w:val="00031164"/>
    <w:rsid w:val="00032188"/>
    <w:rsid w:val="00036B6F"/>
    <w:rsid w:val="00043CAA"/>
    <w:rsid w:val="00045F3F"/>
    <w:rsid w:val="0004637C"/>
    <w:rsid w:val="000505CD"/>
    <w:rsid w:val="00061412"/>
    <w:rsid w:val="00064630"/>
    <w:rsid w:val="00066D6F"/>
    <w:rsid w:val="000672F9"/>
    <w:rsid w:val="000678C4"/>
    <w:rsid w:val="0007053D"/>
    <w:rsid w:val="00073C6E"/>
    <w:rsid w:val="00075432"/>
    <w:rsid w:val="00077A23"/>
    <w:rsid w:val="00081B51"/>
    <w:rsid w:val="000853AC"/>
    <w:rsid w:val="00092A9D"/>
    <w:rsid w:val="00093A4D"/>
    <w:rsid w:val="00095754"/>
    <w:rsid w:val="00095FCE"/>
    <w:rsid w:val="000968ED"/>
    <w:rsid w:val="000A0ADB"/>
    <w:rsid w:val="000A0F25"/>
    <w:rsid w:val="000A3326"/>
    <w:rsid w:val="000A5233"/>
    <w:rsid w:val="000A5362"/>
    <w:rsid w:val="000A706A"/>
    <w:rsid w:val="000B73CF"/>
    <w:rsid w:val="000B79CD"/>
    <w:rsid w:val="000C0F68"/>
    <w:rsid w:val="000C1796"/>
    <w:rsid w:val="000C2888"/>
    <w:rsid w:val="000C2DC6"/>
    <w:rsid w:val="000C343A"/>
    <w:rsid w:val="000C50DD"/>
    <w:rsid w:val="000C516D"/>
    <w:rsid w:val="000C6AAB"/>
    <w:rsid w:val="000D28A5"/>
    <w:rsid w:val="000D2D34"/>
    <w:rsid w:val="000D548C"/>
    <w:rsid w:val="000D7823"/>
    <w:rsid w:val="000E26DA"/>
    <w:rsid w:val="000E41DE"/>
    <w:rsid w:val="000E48FB"/>
    <w:rsid w:val="000E55F9"/>
    <w:rsid w:val="000F3619"/>
    <w:rsid w:val="000F4B1B"/>
    <w:rsid w:val="000F5E56"/>
    <w:rsid w:val="000F62C2"/>
    <w:rsid w:val="000F7030"/>
    <w:rsid w:val="00101248"/>
    <w:rsid w:val="00105C59"/>
    <w:rsid w:val="00105C73"/>
    <w:rsid w:val="00106BB6"/>
    <w:rsid w:val="00107440"/>
    <w:rsid w:val="00110004"/>
    <w:rsid w:val="00110B4C"/>
    <w:rsid w:val="00110B8F"/>
    <w:rsid w:val="00111284"/>
    <w:rsid w:val="00111ACB"/>
    <w:rsid w:val="00113675"/>
    <w:rsid w:val="00113A0B"/>
    <w:rsid w:val="0012028B"/>
    <w:rsid w:val="00120B6E"/>
    <w:rsid w:val="00122589"/>
    <w:rsid w:val="001264FA"/>
    <w:rsid w:val="00130585"/>
    <w:rsid w:val="001331EF"/>
    <w:rsid w:val="001362EE"/>
    <w:rsid w:val="00136E95"/>
    <w:rsid w:val="00137257"/>
    <w:rsid w:val="00141B3B"/>
    <w:rsid w:val="001539B4"/>
    <w:rsid w:val="00155AAC"/>
    <w:rsid w:val="00155C23"/>
    <w:rsid w:val="001627E8"/>
    <w:rsid w:val="00166282"/>
    <w:rsid w:val="00170D40"/>
    <w:rsid w:val="001832A6"/>
    <w:rsid w:val="001900A0"/>
    <w:rsid w:val="001950C0"/>
    <w:rsid w:val="001975AE"/>
    <w:rsid w:val="0019798D"/>
    <w:rsid w:val="001A2FFF"/>
    <w:rsid w:val="001A3DEB"/>
    <w:rsid w:val="001A5177"/>
    <w:rsid w:val="001B007D"/>
    <w:rsid w:val="001B08DC"/>
    <w:rsid w:val="001B14AC"/>
    <w:rsid w:val="001B4036"/>
    <w:rsid w:val="001B46EF"/>
    <w:rsid w:val="001B4BBB"/>
    <w:rsid w:val="001B6A54"/>
    <w:rsid w:val="001B7B29"/>
    <w:rsid w:val="001C48F9"/>
    <w:rsid w:val="001C5075"/>
    <w:rsid w:val="001C7C1D"/>
    <w:rsid w:val="001D25E9"/>
    <w:rsid w:val="001D3A76"/>
    <w:rsid w:val="001D6190"/>
    <w:rsid w:val="001E025A"/>
    <w:rsid w:val="001E120F"/>
    <w:rsid w:val="001E2D42"/>
    <w:rsid w:val="001E3633"/>
    <w:rsid w:val="001E39F8"/>
    <w:rsid w:val="001E520A"/>
    <w:rsid w:val="001E706A"/>
    <w:rsid w:val="001E7203"/>
    <w:rsid w:val="001E7224"/>
    <w:rsid w:val="001F36A4"/>
    <w:rsid w:val="001F437B"/>
    <w:rsid w:val="001F4DB2"/>
    <w:rsid w:val="001F57CF"/>
    <w:rsid w:val="00201C87"/>
    <w:rsid w:val="00201C99"/>
    <w:rsid w:val="00203187"/>
    <w:rsid w:val="00203538"/>
    <w:rsid w:val="00204A2C"/>
    <w:rsid w:val="00207389"/>
    <w:rsid w:val="002113B8"/>
    <w:rsid w:val="002127DF"/>
    <w:rsid w:val="002173E5"/>
    <w:rsid w:val="00224B99"/>
    <w:rsid w:val="002276CE"/>
    <w:rsid w:val="0023219D"/>
    <w:rsid w:val="00233AAC"/>
    <w:rsid w:val="002355BD"/>
    <w:rsid w:val="00237A0F"/>
    <w:rsid w:val="00240C0E"/>
    <w:rsid w:val="00241822"/>
    <w:rsid w:val="00246D24"/>
    <w:rsid w:val="002508C6"/>
    <w:rsid w:val="002515E4"/>
    <w:rsid w:val="0025595E"/>
    <w:rsid w:val="002634C4"/>
    <w:rsid w:val="00274188"/>
    <w:rsid w:val="00275E3F"/>
    <w:rsid w:val="00280B8D"/>
    <w:rsid w:val="002852BD"/>
    <w:rsid w:val="002874A4"/>
    <w:rsid w:val="002874AF"/>
    <w:rsid w:val="00291BC4"/>
    <w:rsid w:val="002928D3"/>
    <w:rsid w:val="00293735"/>
    <w:rsid w:val="00295EB4"/>
    <w:rsid w:val="00296AD8"/>
    <w:rsid w:val="002A04B4"/>
    <w:rsid w:val="002A128B"/>
    <w:rsid w:val="002A2804"/>
    <w:rsid w:val="002A6E8D"/>
    <w:rsid w:val="002B223B"/>
    <w:rsid w:val="002B5A7F"/>
    <w:rsid w:val="002C0220"/>
    <w:rsid w:val="002C057C"/>
    <w:rsid w:val="002C0AE9"/>
    <w:rsid w:val="002C0FAD"/>
    <w:rsid w:val="002C1693"/>
    <w:rsid w:val="002C1951"/>
    <w:rsid w:val="002C1A66"/>
    <w:rsid w:val="002C353B"/>
    <w:rsid w:val="002C4045"/>
    <w:rsid w:val="002C5BF5"/>
    <w:rsid w:val="002D31E4"/>
    <w:rsid w:val="002D5B0A"/>
    <w:rsid w:val="002D6DDD"/>
    <w:rsid w:val="002D73D9"/>
    <w:rsid w:val="002E2E2F"/>
    <w:rsid w:val="002E4AE3"/>
    <w:rsid w:val="002E5984"/>
    <w:rsid w:val="002F1FE6"/>
    <w:rsid w:val="002F4E68"/>
    <w:rsid w:val="002F66D3"/>
    <w:rsid w:val="0030017A"/>
    <w:rsid w:val="00311B2D"/>
    <w:rsid w:val="0031282C"/>
    <w:rsid w:val="00312F7F"/>
    <w:rsid w:val="00313124"/>
    <w:rsid w:val="00314040"/>
    <w:rsid w:val="00317989"/>
    <w:rsid w:val="00322B86"/>
    <w:rsid w:val="00323CB2"/>
    <w:rsid w:val="0032430C"/>
    <w:rsid w:val="003267E0"/>
    <w:rsid w:val="003339C0"/>
    <w:rsid w:val="00335FC9"/>
    <w:rsid w:val="003410FF"/>
    <w:rsid w:val="00345CD0"/>
    <w:rsid w:val="00350BEF"/>
    <w:rsid w:val="003516FC"/>
    <w:rsid w:val="00351748"/>
    <w:rsid w:val="00351F3A"/>
    <w:rsid w:val="00352796"/>
    <w:rsid w:val="00353587"/>
    <w:rsid w:val="00353AB8"/>
    <w:rsid w:val="00355F4F"/>
    <w:rsid w:val="00360278"/>
    <w:rsid w:val="00360835"/>
    <w:rsid w:val="00361450"/>
    <w:rsid w:val="00361719"/>
    <w:rsid w:val="003619CE"/>
    <w:rsid w:val="00361EAF"/>
    <w:rsid w:val="00366CAB"/>
    <w:rsid w:val="003673CF"/>
    <w:rsid w:val="00371DBB"/>
    <w:rsid w:val="00371EC2"/>
    <w:rsid w:val="00373863"/>
    <w:rsid w:val="003747AA"/>
    <w:rsid w:val="00376E55"/>
    <w:rsid w:val="00376ED0"/>
    <w:rsid w:val="0037726D"/>
    <w:rsid w:val="003814DA"/>
    <w:rsid w:val="0038242D"/>
    <w:rsid w:val="0038250F"/>
    <w:rsid w:val="003838F5"/>
    <w:rsid w:val="003842AB"/>
    <w:rsid w:val="003845C1"/>
    <w:rsid w:val="0038550C"/>
    <w:rsid w:val="0038628E"/>
    <w:rsid w:val="0038630F"/>
    <w:rsid w:val="003872A5"/>
    <w:rsid w:val="003906C3"/>
    <w:rsid w:val="00392AC5"/>
    <w:rsid w:val="00393DCA"/>
    <w:rsid w:val="00394CC4"/>
    <w:rsid w:val="003960D0"/>
    <w:rsid w:val="00396470"/>
    <w:rsid w:val="003A135C"/>
    <w:rsid w:val="003A3D85"/>
    <w:rsid w:val="003A5F71"/>
    <w:rsid w:val="003A6F89"/>
    <w:rsid w:val="003B0778"/>
    <w:rsid w:val="003B1741"/>
    <w:rsid w:val="003B386A"/>
    <w:rsid w:val="003B38C1"/>
    <w:rsid w:val="003B3A8F"/>
    <w:rsid w:val="003B3BA2"/>
    <w:rsid w:val="003C2273"/>
    <w:rsid w:val="003C7165"/>
    <w:rsid w:val="003C7FB7"/>
    <w:rsid w:val="003D1C1B"/>
    <w:rsid w:val="003D31E8"/>
    <w:rsid w:val="003D346D"/>
    <w:rsid w:val="003D4C43"/>
    <w:rsid w:val="003D64ED"/>
    <w:rsid w:val="003E1660"/>
    <w:rsid w:val="003E2656"/>
    <w:rsid w:val="003E2F1F"/>
    <w:rsid w:val="003E60F7"/>
    <w:rsid w:val="003E684A"/>
    <w:rsid w:val="003E71CC"/>
    <w:rsid w:val="003E766F"/>
    <w:rsid w:val="003F0167"/>
    <w:rsid w:val="003F189A"/>
    <w:rsid w:val="003F1AB7"/>
    <w:rsid w:val="003F1E33"/>
    <w:rsid w:val="003F4E62"/>
    <w:rsid w:val="004025F3"/>
    <w:rsid w:val="00403126"/>
    <w:rsid w:val="00407586"/>
    <w:rsid w:val="0041063A"/>
    <w:rsid w:val="0041068A"/>
    <w:rsid w:val="00410C58"/>
    <w:rsid w:val="00412CF8"/>
    <w:rsid w:val="00413180"/>
    <w:rsid w:val="00414478"/>
    <w:rsid w:val="00416515"/>
    <w:rsid w:val="00423E3E"/>
    <w:rsid w:val="00424505"/>
    <w:rsid w:val="00424C04"/>
    <w:rsid w:val="00426192"/>
    <w:rsid w:val="00427AF4"/>
    <w:rsid w:val="00431371"/>
    <w:rsid w:val="004320FD"/>
    <w:rsid w:val="00432432"/>
    <w:rsid w:val="0043472B"/>
    <w:rsid w:val="00434EF1"/>
    <w:rsid w:val="00440D8C"/>
    <w:rsid w:val="0044222C"/>
    <w:rsid w:val="004423C6"/>
    <w:rsid w:val="004424FC"/>
    <w:rsid w:val="004429D6"/>
    <w:rsid w:val="00445745"/>
    <w:rsid w:val="0044723E"/>
    <w:rsid w:val="00450207"/>
    <w:rsid w:val="0045046A"/>
    <w:rsid w:val="00450EE7"/>
    <w:rsid w:val="00450F17"/>
    <w:rsid w:val="004514F1"/>
    <w:rsid w:val="00454983"/>
    <w:rsid w:val="00456B4D"/>
    <w:rsid w:val="00456ED0"/>
    <w:rsid w:val="00457568"/>
    <w:rsid w:val="00462E3D"/>
    <w:rsid w:val="00463A02"/>
    <w:rsid w:val="004647DA"/>
    <w:rsid w:val="00472CC9"/>
    <w:rsid w:val="00473F18"/>
    <w:rsid w:val="00474062"/>
    <w:rsid w:val="00475B91"/>
    <w:rsid w:val="00475E88"/>
    <w:rsid w:val="00476B44"/>
    <w:rsid w:val="00477B67"/>
    <w:rsid w:val="00477D6B"/>
    <w:rsid w:val="00480F32"/>
    <w:rsid w:val="00485BC5"/>
    <w:rsid w:val="00490DFF"/>
    <w:rsid w:val="0049382D"/>
    <w:rsid w:val="00496AEB"/>
    <w:rsid w:val="00497FF3"/>
    <w:rsid w:val="004A58F7"/>
    <w:rsid w:val="004B17E0"/>
    <w:rsid w:val="004B699A"/>
    <w:rsid w:val="004B6D29"/>
    <w:rsid w:val="004C14AE"/>
    <w:rsid w:val="004C76D3"/>
    <w:rsid w:val="004D09B8"/>
    <w:rsid w:val="004D34F1"/>
    <w:rsid w:val="004D3BED"/>
    <w:rsid w:val="004D5C21"/>
    <w:rsid w:val="004E1B6C"/>
    <w:rsid w:val="004E24BB"/>
    <w:rsid w:val="004E3528"/>
    <w:rsid w:val="004E3F82"/>
    <w:rsid w:val="004E5ABF"/>
    <w:rsid w:val="004E6BD9"/>
    <w:rsid w:val="004F137E"/>
    <w:rsid w:val="004F1E0A"/>
    <w:rsid w:val="004F4200"/>
    <w:rsid w:val="004F44EF"/>
    <w:rsid w:val="004F4B7C"/>
    <w:rsid w:val="004F6442"/>
    <w:rsid w:val="004F7FC0"/>
    <w:rsid w:val="0050024A"/>
    <w:rsid w:val="005019FF"/>
    <w:rsid w:val="00505FF1"/>
    <w:rsid w:val="00510517"/>
    <w:rsid w:val="00510D35"/>
    <w:rsid w:val="00514492"/>
    <w:rsid w:val="005144A8"/>
    <w:rsid w:val="005165B4"/>
    <w:rsid w:val="00517791"/>
    <w:rsid w:val="00520065"/>
    <w:rsid w:val="005216A3"/>
    <w:rsid w:val="00521F46"/>
    <w:rsid w:val="00521FCE"/>
    <w:rsid w:val="00527636"/>
    <w:rsid w:val="005303F1"/>
    <w:rsid w:val="0053057A"/>
    <w:rsid w:val="005311B5"/>
    <w:rsid w:val="00531D59"/>
    <w:rsid w:val="005333B5"/>
    <w:rsid w:val="0053698D"/>
    <w:rsid w:val="00537935"/>
    <w:rsid w:val="00543409"/>
    <w:rsid w:val="00543726"/>
    <w:rsid w:val="00544316"/>
    <w:rsid w:val="00547944"/>
    <w:rsid w:val="00551CCE"/>
    <w:rsid w:val="00556863"/>
    <w:rsid w:val="00556CC9"/>
    <w:rsid w:val="00560A29"/>
    <w:rsid w:val="00561B0D"/>
    <w:rsid w:val="00563EB6"/>
    <w:rsid w:val="005642AF"/>
    <w:rsid w:val="00564902"/>
    <w:rsid w:val="00565342"/>
    <w:rsid w:val="005715AE"/>
    <w:rsid w:val="005746BB"/>
    <w:rsid w:val="00580725"/>
    <w:rsid w:val="00580C04"/>
    <w:rsid w:val="00580E86"/>
    <w:rsid w:val="005811EB"/>
    <w:rsid w:val="00581ACA"/>
    <w:rsid w:val="00581D2F"/>
    <w:rsid w:val="005826E9"/>
    <w:rsid w:val="00590079"/>
    <w:rsid w:val="005924B2"/>
    <w:rsid w:val="00592A26"/>
    <w:rsid w:val="00593510"/>
    <w:rsid w:val="005A011A"/>
    <w:rsid w:val="005A3D36"/>
    <w:rsid w:val="005A470C"/>
    <w:rsid w:val="005A7633"/>
    <w:rsid w:val="005B0165"/>
    <w:rsid w:val="005B49AF"/>
    <w:rsid w:val="005B55CE"/>
    <w:rsid w:val="005B5D3F"/>
    <w:rsid w:val="005B6199"/>
    <w:rsid w:val="005B6FBB"/>
    <w:rsid w:val="005C6649"/>
    <w:rsid w:val="005D05D0"/>
    <w:rsid w:val="005D44F2"/>
    <w:rsid w:val="005D65F3"/>
    <w:rsid w:val="005D68DF"/>
    <w:rsid w:val="005D6E6E"/>
    <w:rsid w:val="005E2DBD"/>
    <w:rsid w:val="005E333D"/>
    <w:rsid w:val="005E4A3C"/>
    <w:rsid w:val="005E5FD2"/>
    <w:rsid w:val="005F0FCF"/>
    <w:rsid w:val="005F1074"/>
    <w:rsid w:val="005F1C05"/>
    <w:rsid w:val="005F3834"/>
    <w:rsid w:val="005F403D"/>
    <w:rsid w:val="005F6B18"/>
    <w:rsid w:val="005F706C"/>
    <w:rsid w:val="00600BC6"/>
    <w:rsid w:val="006011F6"/>
    <w:rsid w:val="00602763"/>
    <w:rsid w:val="0060320C"/>
    <w:rsid w:val="0060520F"/>
    <w:rsid w:val="00605827"/>
    <w:rsid w:val="00607638"/>
    <w:rsid w:val="0061085C"/>
    <w:rsid w:val="00610EB5"/>
    <w:rsid w:val="0061103B"/>
    <w:rsid w:val="00611815"/>
    <w:rsid w:val="00612AAC"/>
    <w:rsid w:val="00614867"/>
    <w:rsid w:val="00614C2E"/>
    <w:rsid w:val="0061710C"/>
    <w:rsid w:val="00617B78"/>
    <w:rsid w:val="00617EE0"/>
    <w:rsid w:val="0062393E"/>
    <w:rsid w:val="0062563D"/>
    <w:rsid w:val="00626450"/>
    <w:rsid w:val="00633E04"/>
    <w:rsid w:val="00634B5E"/>
    <w:rsid w:val="00641194"/>
    <w:rsid w:val="00641685"/>
    <w:rsid w:val="00641C1C"/>
    <w:rsid w:val="00643D51"/>
    <w:rsid w:val="006455E8"/>
    <w:rsid w:val="00645B93"/>
    <w:rsid w:val="00646050"/>
    <w:rsid w:val="00647027"/>
    <w:rsid w:val="00647CD2"/>
    <w:rsid w:val="006534E6"/>
    <w:rsid w:val="00655B2A"/>
    <w:rsid w:val="0065619D"/>
    <w:rsid w:val="00656428"/>
    <w:rsid w:val="00656964"/>
    <w:rsid w:val="00660AD0"/>
    <w:rsid w:val="00660E65"/>
    <w:rsid w:val="006612DD"/>
    <w:rsid w:val="0066174F"/>
    <w:rsid w:val="00663D42"/>
    <w:rsid w:val="00664B5E"/>
    <w:rsid w:val="00664CDC"/>
    <w:rsid w:val="00665583"/>
    <w:rsid w:val="00666ACA"/>
    <w:rsid w:val="00666F1C"/>
    <w:rsid w:val="00667586"/>
    <w:rsid w:val="006713CA"/>
    <w:rsid w:val="00675194"/>
    <w:rsid w:val="006753D5"/>
    <w:rsid w:val="00676C5C"/>
    <w:rsid w:val="0067795A"/>
    <w:rsid w:val="00680401"/>
    <w:rsid w:val="00692E00"/>
    <w:rsid w:val="0069657B"/>
    <w:rsid w:val="006A545F"/>
    <w:rsid w:val="006A679E"/>
    <w:rsid w:val="006A6C44"/>
    <w:rsid w:val="006A75DC"/>
    <w:rsid w:val="006B1009"/>
    <w:rsid w:val="006B3E26"/>
    <w:rsid w:val="006B674B"/>
    <w:rsid w:val="006B744B"/>
    <w:rsid w:val="006B7585"/>
    <w:rsid w:val="006C254A"/>
    <w:rsid w:val="006C3977"/>
    <w:rsid w:val="006C436E"/>
    <w:rsid w:val="006C4A08"/>
    <w:rsid w:val="006C5347"/>
    <w:rsid w:val="006C5350"/>
    <w:rsid w:val="006C597D"/>
    <w:rsid w:val="006C6C75"/>
    <w:rsid w:val="006C6D0E"/>
    <w:rsid w:val="006D3998"/>
    <w:rsid w:val="006D54B6"/>
    <w:rsid w:val="006D636F"/>
    <w:rsid w:val="006E06FC"/>
    <w:rsid w:val="006E1C3B"/>
    <w:rsid w:val="006E3781"/>
    <w:rsid w:val="006E5508"/>
    <w:rsid w:val="006E6AF5"/>
    <w:rsid w:val="006E7F16"/>
    <w:rsid w:val="006F022A"/>
    <w:rsid w:val="006F209B"/>
    <w:rsid w:val="006F26D2"/>
    <w:rsid w:val="006F3618"/>
    <w:rsid w:val="006F4CDA"/>
    <w:rsid w:val="006F64B5"/>
    <w:rsid w:val="006F74FE"/>
    <w:rsid w:val="00702902"/>
    <w:rsid w:val="00702B6E"/>
    <w:rsid w:val="00704914"/>
    <w:rsid w:val="00705E12"/>
    <w:rsid w:val="00707C12"/>
    <w:rsid w:val="00710220"/>
    <w:rsid w:val="007105DE"/>
    <w:rsid w:val="00713489"/>
    <w:rsid w:val="0071350D"/>
    <w:rsid w:val="0071631A"/>
    <w:rsid w:val="00716F74"/>
    <w:rsid w:val="007174F6"/>
    <w:rsid w:val="00721182"/>
    <w:rsid w:val="00721262"/>
    <w:rsid w:val="007230F4"/>
    <w:rsid w:val="0073016F"/>
    <w:rsid w:val="00731318"/>
    <w:rsid w:val="00742A3B"/>
    <w:rsid w:val="00744E21"/>
    <w:rsid w:val="00744F80"/>
    <w:rsid w:val="00755132"/>
    <w:rsid w:val="0075601B"/>
    <w:rsid w:val="00757445"/>
    <w:rsid w:val="00761230"/>
    <w:rsid w:val="00761279"/>
    <w:rsid w:val="00763545"/>
    <w:rsid w:val="00764A66"/>
    <w:rsid w:val="00770C3B"/>
    <w:rsid w:val="007771A2"/>
    <w:rsid w:val="00783329"/>
    <w:rsid w:val="00784068"/>
    <w:rsid w:val="00784467"/>
    <w:rsid w:val="00784E29"/>
    <w:rsid w:val="00785649"/>
    <w:rsid w:val="00787A85"/>
    <w:rsid w:val="00791B10"/>
    <w:rsid w:val="00797B15"/>
    <w:rsid w:val="007A130A"/>
    <w:rsid w:val="007A3051"/>
    <w:rsid w:val="007A4F92"/>
    <w:rsid w:val="007A6857"/>
    <w:rsid w:val="007A6E7B"/>
    <w:rsid w:val="007B03C8"/>
    <w:rsid w:val="007B3213"/>
    <w:rsid w:val="007B69D7"/>
    <w:rsid w:val="007C2B53"/>
    <w:rsid w:val="007C5294"/>
    <w:rsid w:val="007C6C36"/>
    <w:rsid w:val="007C79E2"/>
    <w:rsid w:val="007D1613"/>
    <w:rsid w:val="007D467B"/>
    <w:rsid w:val="007E2872"/>
    <w:rsid w:val="007F378E"/>
    <w:rsid w:val="007F503B"/>
    <w:rsid w:val="007F55EA"/>
    <w:rsid w:val="007F659C"/>
    <w:rsid w:val="007F6B39"/>
    <w:rsid w:val="008035DE"/>
    <w:rsid w:val="008039A7"/>
    <w:rsid w:val="008051A1"/>
    <w:rsid w:val="008052B5"/>
    <w:rsid w:val="00806B19"/>
    <w:rsid w:val="00807C95"/>
    <w:rsid w:val="00807D23"/>
    <w:rsid w:val="00810AB1"/>
    <w:rsid w:val="00815DB0"/>
    <w:rsid w:val="00816055"/>
    <w:rsid w:val="00820466"/>
    <w:rsid w:val="00821FC3"/>
    <w:rsid w:val="00822B1D"/>
    <w:rsid w:val="00825588"/>
    <w:rsid w:val="00827026"/>
    <w:rsid w:val="00836DDF"/>
    <w:rsid w:val="008406CD"/>
    <w:rsid w:val="00840F9A"/>
    <w:rsid w:val="0084105E"/>
    <w:rsid w:val="00841E88"/>
    <w:rsid w:val="00847E95"/>
    <w:rsid w:val="008518B9"/>
    <w:rsid w:val="00852FAF"/>
    <w:rsid w:val="00854B31"/>
    <w:rsid w:val="00855426"/>
    <w:rsid w:val="008574C4"/>
    <w:rsid w:val="00861459"/>
    <w:rsid w:val="00875BA9"/>
    <w:rsid w:val="00876382"/>
    <w:rsid w:val="00876D89"/>
    <w:rsid w:val="00877C8A"/>
    <w:rsid w:val="008808AE"/>
    <w:rsid w:val="00882BE8"/>
    <w:rsid w:val="00883B2D"/>
    <w:rsid w:val="00883B2F"/>
    <w:rsid w:val="0088455E"/>
    <w:rsid w:val="00887AD9"/>
    <w:rsid w:val="00887D2D"/>
    <w:rsid w:val="00890454"/>
    <w:rsid w:val="00891E27"/>
    <w:rsid w:val="0089373B"/>
    <w:rsid w:val="008967F5"/>
    <w:rsid w:val="008A1E1C"/>
    <w:rsid w:val="008A2E73"/>
    <w:rsid w:val="008A6C19"/>
    <w:rsid w:val="008B0468"/>
    <w:rsid w:val="008B0CFC"/>
    <w:rsid w:val="008B1FA6"/>
    <w:rsid w:val="008B2280"/>
    <w:rsid w:val="008B2CC1"/>
    <w:rsid w:val="008B60B2"/>
    <w:rsid w:val="008C1869"/>
    <w:rsid w:val="008C4597"/>
    <w:rsid w:val="008C5D5C"/>
    <w:rsid w:val="008E30E7"/>
    <w:rsid w:val="008E6123"/>
    <w:rsid w:val="008E6BFB"/>
    <w:rsid w:val="008F0397"/>
    <w:rsid w:val="008F0747"/>
    <w:rsid w:val="008F075A"/>
    <w:rsid w:val="008F175C"/>
    <w:rsid w:val="008F1C10"/>
    <w:rsid w:val="00900086"/>
    <w:rsid w:val="00900164"/>
    <w:rsid w:val="00900FF4"/>
    <w:rsid w:val="00903170"/>
    <w:rsid w:val="0090731E"/>
    <w:rsid w:val="0090782B"/>
    <w:rsid w:val="00907C1F"/>
    <w:rsid w:val="00911CD7"/>
    <w:rsid w:val="00913141"/>
    <w:rsid w:val="00913293"/>
    <w:rsid w:val="00914654"/>
    <w:rsid w:val="009153E7"/>
    <w:rsid w:val="00916DF3"/>
    <w:rsid w:val="00916EE2"/>
    <w:rsid w:val="00917D83"/>
    <w:rsid w:val="00920663"/>
    <w:rsid w:val="00926D08"/>
    <w:rsid w:val="00930D82"/>
    <w:rsid w:val="009336F6"/>
    <w:rsid w:val="0093396A"/>
    <w:rsid w:val="00935DD0"/>
    <w:rsid w:val="00936DBF"/>
    <w:rsid w:val="0094034D"/>
    <w:rsid w:val="00941B53"/>
    <w:rsid w:val="009438E1"/>
    <w:rsid w:val="00946EE8"/>
    <w:rsid w:val="009515FA"/>
    <w:rsid w:val="00953F33"/>
    <w:rsid w:val="00955583"/>
    <w:rsid w:val="00957A46"/>
    <w:rsid w:val="00957AA4"/>
    <w:rsid w:val="009628E7"/>
    <w:rsid w:val="00963329"/>
    <w:rsid w:val="00966A22"/>
    <w:rsid w:val="00967178"/>
    <w:rsid w:val="0096722F"/>
    <w:rsid w:val="00967B46"/>
    <w:rsid w:val="0097630E"/>
    <w:rsid w:val="00976DB8"/>
    <w:rsid w:val="0097729B"/>
    <w:rsid w:val="00980843"/>
    <w:rsid w:val="00981F19"/>
    <w:rsid w:val="00983073"/>
    <w:rsid w:val="00983E54"/>
    <w:rsid w:val="0098725D"/>
    <w:rsid w:val="0098782E"/>
    <w:rsid w:val="0099061D"/>
    <w:rsid w:val="00990A3B"/>
    <w:rsid w:val="00991EB4"/>
    <w:rsid w:val="0099623A"/>
    <w:rsid w:val="00996684"/>
    <w:rsid w:val="009A1338"/>
    <w:rsid w:val="009A1F65"/>
    <w:rsid w:val="009A5527"/>
    <w:rsid w:val="009A6994"/>
    <w:rsid w:val="009B11B0"/>
    <w:rsid w:val="009B212C"/>
    <w:rsid w:val="009B4BA5"/>
    <w:rsid w:val="009C5E1E"/>
    <w:rsid w:val="009C6DE8"/>
    <w:rsid w:val="009C6E6A"/>
    <w:rsid w:val="009D1022"/>
    <w:rsid w:val="009D3625"/>
    <w:rsid w:val="009D3AEF"/>
    <w:rsid w:val="009D7088"/>
    <w:rsid w:val="009E02ED"/>
    <w:rsid w:val="009E2791"/>
    <w:rsid w:val="009E2DEA"/>
    <w:rsid w:val="009E3B47"/>
    <w:rsid w:val="009E3F6F"/>
    <w:rsid w:val="009E4AC3"/>
    <w:rsid w:val="009E5495"/>
    <w:rsid w:val="009E56A5"/>
    <w:rsid w:val="009E61DE"/>
    <w:rsid w:val="009F499F"/>
    <w:rsid w:val="009F549C"/>
    <w:rsid w:val="00A003B2"/>
    <w:rsid w:val="00A00C5A"/>
    <w:rsid w:val="00A01A19"/>
    <w:rsid w:val="00A0239A"/>
    <w:rsid w:val="00A03D92"/>
    <w:rsid w:val="00A05EBE"/>
    <w:rsid w:val="00A07583"/>
    <w:rsid w:val="00A1151E"/>
    <w:rsid w:val="00A11FC7"/>
    <w:rsid w:val="00A171F1"/>
    <w:rsid w:val="00A178DF"/>
    <w:rsid w:val="00A20302"/>
    <w:rsid w:val="00A20511"/>
    <w:rsid w:val="00A239F5"/>
    <w:rsid w:val="00A2409C"/>
    <w:rsid w:val="00A240FF"/>
    <w:rsid w:val="00A24B69"/>
    <w:rsid w:val="00A26145"/>
    <w:rsid w:val="00A2631C"/>
    <w:rsid w:val="00A318FD"/>
    <w:rsid w:val="00A31CD7"/>
    <w:rsid w:val="00A332A7"/>
    <w:rsid w:val="00A3417F"/>
    <w:rsid w:val="00A402FB"/>
    <w:rsid w:val="00A42368"/>
    <w:rsid w:val="00A42DAF"/>
    <w:rsid w:val="00A43804"/>
    <w:rsid w:val="00A45BD8"/>
    <w:rsid w:val="00A46974"/>
    <w:rsid w:val="00A47350"/>
    <w:rsid w:val="00A505E0"/>
    <w:rsid w:val="00A54613"/>
    <w:rsid w:val="00A560C9"/>
    <w:rsid w:val="00A572DD"/>
    <w:rsid w:val="00A57E8E"/>
    <w:rsid w:val="00A57F3D"/>
    <w:rsid w:val="00A749D5"/>
    <w:rsid w:val="00A76086"/>
    <w:rsid w:val="00A7619C"/>
    <w:rsid w:val="00A76D76"/>
    <w:rsid w:val="00A82517"/>
    <w:rsid w:val="00A83401"/>
    <w:rsid w:val="00A869B7"/>
    <w:rsid w:val="00A91A36"/>
    <w:rsid w:val="00A9406C"/>
    <w:rsid w:val="00A94278"/>
    <w:rsid w:val="00A967EA"/>
    <w:rsid w:val="00AA4853"/>
    <w:rsid w:val="00AA6C36"/>
    <w:rsid w:val="00AA7935"/>
    <w:rsid w:val="00AB3860"/>
    <w:rsid w:val="00AC0337"/>
    <w:rsid w:val="00AC156D"/>
    <w:rsid w:val="00AC198C"/>
    <w:rsid w:val="00AC205C"/>
    <w:rsid w:val="00AC4928"/>
    <w:rsid w:val="00AC4CD5"/>
    <w:rsid w:val="00AC5ED7"/>
    <w:rsid w:val="00AC7E54"/>
    <w:rsid w:val="00AD2BD9"/>
    <w:rsid w:val="00AD38F8"/>
    <w:rsid w:val="00AD49C7"/>
    <w:rsid w:val="00AD5C96"/>
    <w:rsid w:val="00AD5EF5"/>
    <w:rsid w:val="00AD6C4F"/>
    <w:rsid w:val="00AE2CE5"/>
    <w:rsid w:val="00AE45B2"/>
    <w:rsid w:val="00AE59FB"/>
    <w:rsid w:val="00AF0A6B"/>
    <w:rsid w:val="00AF3BB6"/>
    <w:rsid w:val="00B020F0"/>
    <w:rsid w:val="00B036FE"/>
    <w:rsid w:val="00B05A69"/>
    <w:rsid w:val="00B06031"/>
    <w:rsid w:val="00B06358"/>
    <w:rsid w:val="00B143B3"/>
    <w:rsid w:val="00B156FE"/>
    <w:rsid w:val="00B162A3"/>
    <w:rsid w:val="00B2207E"/>
    <w:rsid w:val="00B22F58"/>
    <w:rsid w:val="00B234E3"/>
    <w:rsid w:val="00B23578"/>
    <w:rsid w:val="00B23E83"/>
    <w:rsid w:val="00B261AC"/>
    <w:rsid w:val="00B305E6"/>
    <w:rsid w:val="00B30EAD"/>
    <w:rsid w:val="00B34D19"/>
    <w:rsid w:val="00B35D6C"/>
    <w:rsid w:val="00B36691"/>
    <w:rsid w:val="00B4507C"/>
    <w:rsid w:val="00B4538D"/>
    <w:rsid w:val="00B462F7"/>
    <w:rsid w:val="00B475F9"/>
    <w:rsid w:val="00B5068E"/>
    <w:rsid w:val="00B511B1"/>
    <w:rsid w:val="00B5258F"/>
    <w:rsid w:val="00B53FEA"/>
    <w:rsid w:val="00B56C30"/>
    <w:rsid w:val="00B632F2"/>
    <w:rsid w:val="00B67672"/>
    <w:rsid w:val="00B7441D"/>
    <w:rsid w:val="00B75AB5"/>
    <w:rsid w:val="00B760C0"/>
    <w:rsid w:val="00B80C63"/>
    <w:rsid w:val="00B836B2"/>
    <w:rsid w:val="00B83C6A"/>
    <w:rsid w:val="00B8564E"/>
    <w:rsid w:val="00B86DEF"/>
    <w:rsid w:val="00B92912"/>
    <w:rsid w:val="00B958AA"/>
    <w:rsid w:val="00B9734B"/>
    <w:rsid w:val="00BA4C9F"/>
    <w:rsid w:val="00BA5E45"/>
    <w:rsid w:val="00BB17AB"/>
    <w:rsid w:val="00BB19EE"/>
    <w:rsid w:val="00BB468F"/>
    <w:rsid w:val="00BC135B"/>
    <w:rsid w:val="00BC180D"/>
    <w:rsid w:val="00BC73B7"/>
    <w:rsid w:val="00BC7BA1"/>
    <w:rsid w:val="00BD0201"/>
    <w:rsid w:val="00BD1506"/>
    <w:rsid w:val="00BD529C"/>
    <w:rsid w:val="00BD7382"/>
    <w:rsid w:val="00BD7EC5"/>
    <w:rsid w:val="00BE3897"/>
    <w:rsid w:val="00BE61BA"/>
    <w:rsid w:val="00BF1017"/>
    <w:rsid w:val="00BF2940"/>
    <w:rsid w:val="00BF74B3"/>
    <w:rsid w:val="00C00DED"/>
    <w:rsid w:val="00C016C1"/>
    <w:rsid w:val="00C03233"/>
    <w:rsid w:val="00C04F3C"/>
    <w:rsid w:val="00C06422"/>
    <w:rsid w:val="00C1032F"/>
    <w:rsid w:val="00C10AB2"/>
    <w:rsid w:val="00C11BFE"/>
    <w:rsid w:val="00C1351F"/>
    <w:rsid w:val="00C15345"/>
    <w:rsid w:val="00C17F7B"/>
    <w:rsid w:val="00C20741"/>
    <w:rsid w:val="00C21E1B"/>
    <w:rsid w:val="00C230AA"/>
    <w:rsid w:val="00C24390"/>
    <w:rsid w:val="00C24961"/>
    <w:rsid w:val="00C374E7"/>
    <w:rsid w:val="00C37B6B"/>
    <w:rsid w:val="00C41A67"/>
    <w:rsid w:val="00C42FA2"/>
    <w:rsid w:val="00C4522A"/>
    <w:rsid w:val="00C46831"/>
    <w:rsid w:val="00C500F8"/>
    <w:rsid w:val="00C55DD2"/>
    <w:rsid w:val="00C57C1D"/>
    <w:rsid w:val="00C62A22"/>
    <w:rsid w:val="00C62C39"/>
    <w:rsid w:val="00C6392A"/>
    <w:rsid w:val="00C63BF6"/>
    <w:rsid w:val="00C73E81"/>
    <w:rsid w:val="00C76870"/>
    <w:rsid w:val="00C8139E"/>
    <w:rsid w:val="00C8387D"/>
    <w:rsid w:val="00CA18C2"/>
    <w:rsid w:val="00CA24F6"/>
    <w:rsid w:val="00CA5BB4"/>
    <w:rsid w:val="00CA5F06"/>
    <w:rsid w:val="00CA5F1C"/>
    <w:rsid w:val="00CA6C4D"/>
    <w:rsid w:val="00CB566B"/>
    <w:rsid w:val="00CC20DF"/>
    <w:rsid w:val="00CC28C1"/>
    <w:rsid w:val="00CC7D59"/>
    <w:rsid w:val="00CD4857"/>
    <w:rsid w:val="00CD4D67"/>
    <w:rsid w:val="00CD6F6E"/>
    <w:rsid w:val="00CE0DDD"/>
    <w:rsid w:val="00CE2220"/>
    <w:rsid w:val="00CE72FE"/>
    <w:rsid w:val="00CE7673"/>
    <w:rsid w:val="00CF02F0"/>
    <w:rsid w:val="00CF5568"/>
    <w:rsid w:val="00D04A02"/>
    <w:rsid w:val="00D05058"/>
    <w:rsid w:val="00D06B05"/>
    <w:rsid w:val="00D0729C"/>
    <w:rsid w:val="00D17E6E"/>
    <w:rsid w:val="00D226A5"/>
    <w:rsid w:val="00D252CE"/>
    <w:rsid w:val="00D25829"/>
    <w:rsid w:val="00D2772E"/>
    <w:rsid w:val="00D31459"/>
    <w:rsid w:val="00D33EB4"/>
    <w:rsid w:val="00D406BE"/>
    <w:rsid w:val="00D42BAA"/>
    <w:rsid w:val="00D45252"/>
    <w:rsid w:val="00D463C1"/>
    <w:rsid w:val="00D50AAE"/>
    <w:rsid w:val="00D5205F"/>
    <w:rsid w:val="00D553FC"/>
    <w:rsid w:val="00D55A02"/>
    <w:rsid w:val="00D57F78"/>
    <w:rsid w:val="00D61F28"/>
    <w:rsid w:val="00D64423"/>
    <w:rsid w:val="00D64748"/>
    <w:rsid w:val="00D65798"/>
    <w:rsid w:val="00D65E96"/>
    <w:rsid w:val="00D65FBF"/>
    <w:rsid w:val="00D70C6A"/>
    <w:rsid w:val="00D70C9A"/>
    <w:rsid w:val="00D71B4D"/>
    <w:rsid w:val="00D72430"/>
    <w:rsid w:val="00D72FD2"/>
    <w:rsid w:val="00D733D3"/>
    <w:rsid w:val="00D7361D"/>
    <w:rsid w:val="00D73824"/>
    <w:rsid w:val="00D76717"/>
    <w:rsid w:val="00D8076D"/>
    <w:rsid w:val="00D807D9"/>
    <w:rsid w:val="00D8173B"/>
    <w:rsid w:val="00D83817"/>
    <w:rsid w:val="00D83E95"/>
    <w:rsid w:val="00D845FB"/>
    <w:rsid w:val="00D93D55"/>
    <w:rsid w:val="00D94EF5"/>
    <w:rsid w:val="00D95D28"/>
    <w:rsid w:val="00DA104D"/>
    <w:rsid w:val="00DA393D"/>
    <w:rsid w:val="00DA57A8"/>
    <w:rsid w:val="00DA6BCB"/>
    <w:rsid w:val="00DB0925"/>
    <w:rsid w:val="00DB164E"/>
    <w:rsid w:val="00DB22E8"/>
    <w:rsid w:val="00DB40FC"/>
    <w:rsid w:val="00DB4E35"/>
    <w:rsid w:val="00DB54D8"/>
    <w:rsid w:val="00DB6213"/>
    <w:rsid w:val="00DB6457"/>
    <w:rsid w:val="00DB714C"/>
    <w:rsid w:val="00DC1C48"/>
    <w:rsid w:val="00DC1F32"/>
    <w:rsid w:val="00DC23F2"/>
    <w:rsid w:val="00DD38D5"/>
    <w:rsid w:val="00DD46D6"/>
    <w:rsid w:val="00DE18B2"/>
    <w:rsid w:val="00DE26B8"/>
    <w:rsid w:val="00DE2E25"/>
    <w:rsid w:val="00DE6C25"/>
    <w:rsid w:val="00DF14BE"/>
    <w:rsid w:val="00DF3183"/>
    <w:rsid w:val="00DF6DDF"/>
    <w:rsid w:val="00E00958"/>
    <w:rsid w:val="00E01175"/>
    <w:rsid w:val="00E045D2"/>
    <w:rsid w:val="00E07D36"/>
    <w:rsid w:val="00E12241"/>
    <w:rsid w:val="00E12370"/>
    <w:rsid w:val="00E12C1B"/>
    <w:rsid w:val="00E13D2B"/>
    <w:rsid w:val="00E205DD"/>
    <w:rsid w:val="00E22B42"/>
    <w:rsid w:val="00E23F44"/>
    <w:rsid w:val="00E25FA8"/>
    <w:rsid w:val="00E269EF"/>
    <w:rsid w:val="00E27AA1"/>
    <w:rsid w:val="00E33377"/>
    <w:rsid w:val="00E335FE"/>
    <w:rsid w:val="00E35626"/>
    <w:rsid w:val="00E36F9B"/>
    <w:rsid w:val="00E4144F"/>
    <w:rsid w:val="00E42293"/>
    <w:rsid w:val="00E4636C"/>
    <w:rsid w:val="00E50F44"/>
    <w:rsid w:val="00E54FB2"/>
    <w:rsid w:val="00E55CF2"/>
    <w:rsid w:val="00E55DD9"/>
    <w:rsid w:val="00E57115"/>
    <w:rsid w:val="00E72D96"/>
    <w:rsid w:val="00E73725"/>
    <w:rsid w:val="00E75BC6"/>
    <w:rsid w:val="00E766D6"/>
    <w:rsid w:val="00E840E8"/>
    <w:rsid w:val="00EA33D4"/>
    <w:rsid w:val="00EA67B9"/>
    <w:rsid w:val="00EA7415"/>
    <w:rsid w:val="00EB0560"/>
    <w:rsid w:val="00EB296B"/>
    <w:rsid w:val="00EB3D73"/>
    <w:rsid w:val="00EB7C36"/>
    <w:rsid w:val="00EC1534"/>
    <w:rsid w:val="00EC311F"/>
    <w:rsid w:val="00EC3B7E"/>
    <w:rsid w:val="00EC4E49"/>
    <w:rsid w:val="00EC55C2"/>
    <w:rsid w:val="00EC659B"/>
    <w:rsid w:val="00EC7B99"/>
    <w:rsid w:val="00ED008B"/>
    <w:rsid w:val="00ED180A"/>
    <w:rsid w:val="00ED33DA"/>
    <w:rsid w:val="00ED5435"/>
    <w:rsid w:val="00ED5993"/>
    <w:rsid w:val="00ED59E5"/>
    <w:rsid w:val="00ED6935"/>
    <w:rsid w:val="00ED77FB"/>
    <w:rsid w:val="00EE0891"/>
    <w:rsid w:val="00EE0EAB"/>
    <w:rsid w:val="00EE25CB"/>
    <w:rsid w:val="00EE45FA"/>
    <w:rsid w:val="00EE4DA7"/>
    <w:rsid w:val="00EE609B"/>
    <w:rsid w:val="00EE654A"/>
    <w:rsid w:val="00EE7262"/>
    <w:rsid w:val="00EF12CA"/>
    <w:rsid w:val="00EF3DCC"/>
    <w:rsid w:val="00EF5CF9"/>
    <w:rsid w:val="00EF6FE2"/>
    <w:rsid w:val="00F07D15"/>
    <w:rsid w:val="00F11276"/>
    <w:rsid w:val="00F14F23"/>
    <w:rsid w:val="00F173B6"/>
    <w:rsid w:val="00F20879"/>
    <w:rsid w:val="00F20A7E"/>
    <w:rsid w:val="00F2222F"/>
    <w:rsid w:val="00F25C41"/>
    <w:rsid w:val="00F26B63"/>
    <w:rsid w:val="00F3035A"/>
    <w:rsid w:val="00F318B1"/>
    <w:rsid w:val="00F33053"/>
    <w:rsid w:val="00F33D07"/>
    <w:rsid w:val="00F35B0A"/>
    <w:rsid w:val="00F371A1"/>
    <w:rsid w:val="00F40547"/>
    <w:rsid w:val="00F409A4"/>
    <w:rsid w:val="00F421BA"/>
    <w:rsid w:val="00F44558"/>
    <w:rsid w:val="00F44B33"/>
    <w:rsid w:val="00F44E2E"/>
    <w:rsid w:val="00F44FE1"/>
    <w:rsid w:val="00F45890"/>
    <w:rsid w:val="00F4712E"/>
    <w:rsid w:val="00F51300"/>
    <w:rsid w:val="00F527BA"/>
    <w:rsid w:val="00F53DBE"/>
    <w:rsid w:val="00F5424B"/>
    <w:rsid w:val="00F54C2D"/>
    <w:rsid w:val="00F57842"/>
    <w:rsid w:val="00F57BE4"/>
    <w:rsid w:val="00F61618"/>
    <w:rsid w:val="00F645F9"/>
    <w:rsid w:val="00F64F12"/>
    <w:rsid w:val="00F66152"/>
    <w:rsid w:val="00F671FB"/>
    <w:rsid w:val="00F70700"/>
    <w:rsid w:val="00F733F5"/>
    <w:rsid w:val="00F73839"/>
    <w:rsid w:val="00F74913"/>
    <w:rsid w:val="00F76108"/>
    <w:rsid w:val="00F77EFC"/>
    <w:rsid w:val="00F80DB7"/>
    <w:rsid w:val="00F84F02"/>
    <w:rsid w:val="00F851FB"/>
    <w:rsid w:val="00F87A53"/>
    <w:rsid w:val="00FA1F82"/>
    <w:rsid w:val="00FA3311"/>
    <w:rsid w:val="00FA68A5"/>
    <w:rsid w:val="00FA7E31"/>
    <w:rsid w:val="00FB1E31"/>
    <w:rsid w:val="00FB3FF9"/>
    <w:rsid w:val="00FB57D3"/>
    <w:rsid w:val="00FB6DAB"/>
    <w:rsid w:val="00FB773C"/>
    <w:rsid w:val="00FC1F97"/>
    <w:rsid w:val="00FC2549"/>
    <w:rsid w:val="00FC4E69"/>
    <w:rsid w:val="00FC550B"/>
    <w:rsid w:val="00FC6B5E"/>
    <w:rsid w:val="00FD18EA"/>
    <w:rsid w:val="00FD7A1D"/>
    <w:rsid w:val="00FE0FFE"/>
    <w:rsid w:val="00FE381D"/>
    <w:rsid w:val="00FE49ED"/>
    <w:rsid w:val="00FE5C29"/>
    <w:rsid w:val="00FE64C7"/>
    <w:rsid w:val="00FF0211"/>
    <w:rsid w:val="00FF1B40"/>
    <w:rsid w:val="00FF292B"/>
    <w:rsid w:val="00FF32BB"/>
    <w:rsid w:val="00FF6BE0"/>
    <w:rsid w:val="00FF7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790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C04F3C"/>
    <w:pPr>
      <w:spacing w:after="120" w:line="260" w:lineRule="atLeast"/>
      <w:ind w:left="1021"/>
      <w:contextualSpacing/>
      <w:outlineLvl w:val="4"/>
    </w:pPr>
    <w:rPr>
      <w:rFonts w:eastAsia="Times New Roman" w:cs="Times New Roman"/>
      <w:sz w:val="20"/>
      <w:lang w:eastAsia="en-US"/>
    </w:rPr>
  </w:style>
  <w:style w:type="paragraph" w:styleId="Heading6">
    <w:name w:val="heading 6"/>
    <w:basedOn w:val="Normal"/>
    <w:next w:val="Normal"/>
    <w:qFormat/>
    <w:rsid w:val="00C04F3C"/>
    <w:pPr>
      <w:spacing w:after="120" w:line="260" w:lineRule="atLeast"/>
      <w:ind w:left="1021"/>
      <w:contextualSpacing/>
      <w:outlineLvl w:val="5"/>
    </w:pPr>
    <w:rPr>
      <w:rFonts w:eastAsia="Times New Roman" w:cs="Times New Roman"/>
      <w:sz w:val="20"/>
      <w:lang w:eastAsia="en-US"/>
    </w:rPr>
  </w:style>
  <w:style w:type="paragraph" w:styleId="Heading9">
    <w:name w:val="heading 9"/>
    <w:basedOn w:val="Normal"/>
    <w:next w:val="Normal"/>
    <w:qFormat/>
    <w:rsid w:val="00C04F3C"/>
    <w:pPr>
      <w:spacing w:before="240" w:after="60" w:line="260" w:lineRule="atLeast"/>
      <w:ind w:left="1021"/>
      <w:contextualSpacing/>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8E6BF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odyTextIndent">
    <w:name w:val="Body Text Indent"/>
    <w:basedOn w:val="Normal"/>
    <w:semiHidden/>
    <w:rsid w:val="00C04F3C"/>
    <w:pPr>
      <w:spacing w:after="120" w:line="260" w:lineRule="atLeast"/>
      <w:ind w:left="567"/>
      <w:contextualSpacing/>
    </w:pPr>
    <w:rPr>
      <w:rFonts w:eastAsia="Times New Roman" w:cs="Times New Roman"/>
      <w:sz w:val="20"/>
      <w:lang w:eastAsia="en-US"/>
    </w:rPr>
  </w:style>
  <w:style w:type="paragraph" w:styleId="Closing">
    <w:name w:val="Closing"/>
    <w:basedOn w:val="Normal"/>
    <w:semiHidden/>
    <w:rsid w:val="00C04F3C"/>
    <w:pPr>
      <w:spacing w:after="120" w:line="260" w:lineRule="atLeast"/>
      <w:ind w:left="4536"/>
      <w:contextualSpacing/>
      <w:jc w:val="center"/>
    </w:pPr>
    <w:rPr>
      <w:rFonts w:eastAsia="Times New Roman" w:cs="Times New Roman"/>
      <w:sz w:val="20"/>
      <w:lang w:eastAsia="en-US"/>
    </w:rPr>
  </w:style>
  <w:style w:type="paragraph" w:customStyle="1" w:styleId="Committee">
    <w:name w:val="Committee"/>
    <w:basedOn w:val="Normal"/>
    <w:semiHidden/>
    <w:rsid w:val="00C04F3C"/>
    <w:pPr>
      <w:spacing w:after="300" w:line="260" w:lineRule="atLeast"/>
      <w:ind w:left="1021"/>
      <w:contextualSpacing/>
      <w:jc w:val="center"/>
    </w:pPr>
    <w:rPr>
      <w:rFonts w:eastAsia="Times New Roman" w:cs="Times New Roman"/>
      <w:b/>
      <w:caps/>
      <w:kern w:val="28"/>
      <w:sz w:val="30"/>
      <w:lang w:eastAsia="en-US"/>
    </w:rPr>
  </w:style>
  <w:style w:type="paragraph" w:customStyle="1" w:styleId="DecisionInvitingPara">
    <w:name w:val="Decision Inviting Para."/>
    <w:basedOn w:val="Normal"/>
    <w:rsid w:val="00C04F3C"/>
    <w:pPr>
      <w:spacing w:after="120" w:line="260" w:lineRule="atLeast"/>
      <w:ind w:left="5534"/>
      <w:contextualSpacing/>
    </w:pPr>
    <w:rPr>
      <w:rFonts w:eastAsia="Times New Roman" w:cs="Times New Roman"/>
      <w:i/>
      <w:sz w:val="20"/>
      <w:lang w:eastAsia="en-US"/>
    </w:rPr>
  </w:style>
  <w:style w:type="paragraph" w:customStyle="1" w:styleId="PlaceAndDate">
    <w:name w:val="PlaceAndDate"/>
    <w:basedOn w:val="Session"/>
    <w:semiHidden/>
    <w:rsid w:val="00C04F3C"/>
  </w:style>
  <w:style w:type="paragraph" w:customStyle="1" w:styleId="Session">
    <w:name w:val="Session"/>
    <w:basedOn w:val="Normal"/>
    <w:semiHidden/>
    <w:rsid w:val="00C04F3C"/>
    <w:pPr>
      <w:spacing w:before="60" w:after="120" w:line="260" w:lineRule="atLeast"/>
      <w:ind w:left="1021"/>
      <w:contextualSpacing/>
      <w:jc w:val="center"/>
    </w:pPr>
    <w:rPr>
      <w:rFonts w:eastAsia="Times New Roman" w:cs="Times New Roman"/>
      <w:b/>
      <w:sz w:val="30"/>
      <w:lang w:eastAsia="en-US"/>
    </w:rPr>
  </w:style>
  <w:style w:type="paragraph" w:customStyle="1" w:styleId="Endofdocument">
    <w:name w:val="End of document"/>
    <w:basedOn w:val="Normal"/>
    <w:rsid w:val="00C04F3C"/>
    <w:pPr>
      <w:spacing w:after="120" w:line="260" w:lineRule="atLeast"/>
      <w:ind w:left="5534"/>
      <w:contextualSpacing/>
    </w:pPr>
    <w:rPr>
      <w:rFonts w:eastAsia="Times New Roman" w:cs="Times New Roman"/>
      <w:sz w:val="20"/>
      <w:lang w:eastAsia="en-US"/>
    </w:rPr>
  </w:style>
  <w:style w:type="character" w:styleId="FootnoteReference">
    <w:name w:val="footnote reference"/>
    <w:semiHidden/>
    <w:rsid w:val="00C04F3C"/>
    <w:rPr>
      <w:vertAlign w:val="superscript"/>
    </w:rPr>
  </w:style>
  <w:style w:type="paragraph" w:styleId="MacroText">
    <w:name w:val="macro"/>
    <w:semiHidden/>
    <w:rsid w:val="00C04F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C04F3C"/>
    <w:pPr>
      <w:spacing w:after="600" w:line="260" w:lineRule="atLeast"/>
      <w:ind w:left="-992" w:right="-992"/>
      <w:contextualSpacing/>
      <w:jc w:val="center"/>
    </w:pPr>
    <w:rPr>
      <w:rFonts w:eastAsia="Times New Roman" w:cs="Times New Roman"/>
      <w:b/>
      <w:caps/>
      <w:kern w:val="26"/>
      <w:sz w:val="26"/>
      <w:lang w:eastAsia="en-US"/>
    </w:rPr>
  </w:style>
  <w:style w:type="paragraph" w:customStyle="1" w:styleId="preparedby">
    <w:name w:val="prepared by"/>
    <w:basedOn w:val="Normal"/>
    <w:next w:val="Normal"/>
    <w:rsid w:val="00C04F3C"/>
    <w:pPr>
      <w:spacing w:before="120" w:after="480" w:line="260" w:lineRule="atLeast"/>
      <w:ind w:left="1021"/>
      <w:contextualSpacing/>
    </w:pPr>
    <w:rPr>
      <w:rFonts w:eastAsia="Times New Roman" w:cs="Times New Roman"/>
      <w:i/>
      <w:sz w:val="20"/>
      <w:lang w:eastAsia="en-US"/>
    </w:rPr>
  </w:style>
  <w:style w:type="paragraph" w:styleId="Title">
    <w:name w:val="Title"/>
    <w:basedOn w:val="Normal"/>
    <w:qFormat/>
    <w:rsid w:val="00C04F3C"/>
    <w:pPr>
      <w:spacing w:after="300" w:line="260" w:lineRule="atLeast"/>
      <w:ind w:left="1021"/>
      <w:contextualSpacing/>
      <w:jc w:val="center"/>
    </w:pPr>
    <w:rPr>
      <w:rFonts w:eastAsia="Times New Roman" w:cs="Times New Roman"/>
      <w:b/>
      <w:caps/>
      <w:kern w:val="28"/>
      <w:sz w:val="30"/>
      <w:lang w:eastAsia="en-US"/>
    </w:rPr>
  </w:style>
  <w:style w:type="paragraph" w:customStyle="1" w:styleId="Documenttitle">
    <w:name w:val="Document title"/>
    <w:basedOn w:val="Normal"/>
    <w:next w:val="preparedby"/>
    <w:rsid w:val="00C04F3C"/>
    <w:pPr>
      <w:spacing w:before="840" w:line="336" w:lineRule="exact"/>
      <w:ind w:left="1021"/>
      <w:contextualSpacing/>
    </w:pPr>
    <w:rPr>
      <w:rFonts w:eastAsia="Times New Roman" w:cs="Times New Roman"/>
      <w:sz w:val="24"/>
      <w:lang w:eastAsia="en-US"/>
    </w:rPr>
  </w:style>
  <w:style w:type="paragraph" w:styleId="TOC9">
    <w:name w:val="toc 9"/>
    <w:basedOn w:val="Normal"/>
    <w:next w:val="Normal"/>
    <w:semiHidden/>
    <w:rsid w:val="00C04F3C"/>
    <w:pPr>
      <w:tabs>
        <w:tab w:val="right" w:leader="dot" w:pos="9071"/>
      </w:tabs>
      <w:spacing w:after="120" w:line="260" w:lineRule="atLeast"/>
      <w:ind w:left="1920"/>
      <w:contextualSpacing/>
    </w:pPr>
    <w:rPr>
      <w:rFonts w:eastAsia="Times New Roman" w:cs="Times New Roman"/>
      <w:sz w:val="20"/>
      <w:lang w:eastAsia="en-US"/>
    </w:rPr>
  </w:style>
  <w:style w:type="paragraph" w:customStyle="1" w:styleId="MeetinglanguageDate">
    <w:name w:val="Meeting language &amp; Date"/>
    <w:basedOn w:val="Normal"/>
    <w:next w:val="Meetingtitle"/>
    <w:rsid w:val="00C04F3C"/>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C04F3C"/>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C04F3C"/>
    <w:pPr>
      <w:spacing w:before="480"/>
      <w:contextualSpacing/>
    </w:pPr>
    <w:rPr>
      <w:sz w:val="24"/>
    </w:rPr>
  </w:style>
  <w:style w:type="paragraph" w:customStyle="1" w:styleId="Meetingplacedate">
    <w:name w:val="Meeting place &amp; date"/>
    <w:basedOn w:val="Sessiontitle"/>
    <w:next w:val="Documenttitle"/>
    <w:rsid w:val="00C04F3C"/>
    <w:pPr>
      <w:spacing w:before="0"/>
      <w:contextualSpacing w:val="0"/>
    </w:pPr>
  </w:style>
  <w:style w:type="paragraph" w:customStyle="1" w:styleId="Language">
    <w:name w:val="Language"/>
    <w:basedOn w:val="Normal"/>
    <w:next w:val="Normal"/>
    <w:rsid w:val="00C04F3C"/>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C04F3C"/>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rsid w:val="00C04F3C"/>
    <w:rPr>
      <w:rFonts w:ascii="Arial" w:hAnsi="Arial"/>
      <w:b/>
      <w:w w:val="150"/>
      <w:lang w:val="fr-FR" w:eastAsia="en-US" w:bidi="ar-SA"/>
    </w:rPr>
  </w:style>
  <w:style w:type="paragraph" w:customStyle="1" w:styleId="TESTworld">
    <w:name w:val="TESTworld"/>
    <w:basedOn w:val="TESTwiposouslogo"/>
    <w:semiHidden/>
    <w:rsid w:val="00C04F3C"/>
    <w:pPr>
      <w:ind w:right="4763"/>
    </w:pPr>
    <w:rPr>
      <w:b w:val="0"/>
      <w:caps/>
      <w:w w:val="100"/>
      <w:sz w:val="16"/>
    </w:rPr>
  </w:style>
  <w:style w:type="paragraph" w:customStyle="1" w:styleId="TESTintellectualproperty">
    <w:name w:val="TESTintellectualproperty"/>
    <w:basedOn w:val="Normal"/>
    <w:link w:val="TESTintellectualpropertyChar"/>
    <w:semiHidden/>
    <w:rsid w:val="00C04F3C"/>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rsid w:val="00C04F3C"/>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C04F3C"/>
  </w:style>
  <w:style w:type="paragraph" w:customStyle="1" w:styleId="MeetingCode">
    <w:name w:val="Meeting Code"/>
    <w:basedOn w:val="MeetinglanguageDate"/>
    <w:rsid w:val="00C04F3C"/>
    <w:pPr>
      <w:spacing w:before="1800" w:after="0"/>
    </w:pPr>
  </w:style>
  <w:style w:type="character" w:customStyle="1" w:styleId="TESTorganisationChar">
    <w:name w:val="TESTorganisation Char"/>
    <w:basedOn w:val="TESTintellectualpropertyChar"/>
    <w:link w:val="TESTorganisation"/>
    <w:rsid w:val="00C04F3C"/>
    <w:rPr>
      <w:rFonts w:ascii="Arial" w:hAnsi="Arial"/>
      <w:caps/>
      <w:sz w:val="16"/>
      <w:lang w:val="en-US" w:eastAsia="en-US" w:bidi="ar-SA"/>
    </w:rPr>
  </w:style>
  <w:style w:type="paragraph" w:customStyle="1" w:styleId="TestIWIPO">
    <w:name w:val="Test I WIPO"/>
    <w:basedOn w:val="TESTwiposouslogo"/>
    <w:link w:val="TestIWIPOChar"/>
    <w:semiHidden/>
    <w:rsid w:val="00C04F3C"/>
    <w:pPr>
      <w:ind w:right="4763"/>
    </w:pPr>
    <w:rPr>
      <w:sz w:val="28"/>
      <w:szCs w:val="28"/>
    </w:rPr>
  </w:style>
  <w:style w:type="character" w:customStyle="1" w:styleId="TestIWIPOChar">
    <w:name w:val="Test I WIPO Char"/>
    <w:link w:val="TestIWIPO"/>
    <w:rsid w:val="00C04F3C"/>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C04F3C"/>
    <w:rPr>
      <w:rFonts w:ascii="Arial Black" w:hAnsi="Arial Black"/>
      <w:b/>
      <w:sz w:val="20"/>
    </w:rPr>
  </w:style>
  <w:style w:type="character" w:customStyle="1" w:styleId="TESTIintellectualChar">
    <w:name w:val="TEST I intellectual Char"/>
    <w:link w:val="TESTIintellectual"/>
    <w:rsid w:val="00C04F3C"/>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C04F3C"/>
    <w:rPr>
      <w:b/>
      <w:sz w:val="20"/>
    </w:rPr>
  </w:style>
  <w:style w:type="character" w:customStyle="1" w:styleId="TESTIorganisationChar">
    <w:name w:val="TEST I organisation Char"/>
    <w:link w:val="TESTIorganisation"/>
    <w:rsid w:val="00C04F3C"/>
    <w:rPr>
      <w:rFonts w:ascii="Arial" w:hAnsi="Arial"/>
      <w:b/>
      <w:caps/>
      <w:sz w:val="16"/>
      <w:lang w:val="en-US" w:eastAsia="en-US" w:bidi="ar-SA"/>
    </w:rPr>
  </w:style>
  <w:style w:type="character" w:styleId="PageNumber">
    <w:name w:val="page number"/>
    <w:basedOn w:val="DefaultParagraphFont"/>
    <w:semiHidden/>
    <w:rsid w:val="00C04F3C"/>
  </w:style>
  <w:style w:type="table" w:styleId="TableGrid">
    <w:name w:val="Table Grid"/>
    <w:basedOn w:val="TableNormal"/>
    <w:rsid w:val="00C04F3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rsid w:val="00C04F3C"/>
    <w:pPr>
      <w:spacing w:before="480"/>
      <w:contextualSpacing/>
    </w:pPr>
  </w:style>
  <w:style w:type="paragraph" w:customStyle="1" w:styleId="Meetingdateplace">
    <w:name w:val="Meeting date &amp; place"/>
    <w:basedOn w:val="Sessiontitle"/>
    <w:next w:val="Documenttitle"/>
    <w:rsid w:val="00C04F3C"/>
    <w:pPr>
      <w:spacing w:before="0"/>
      <w:contextualSpacing w:val="0"/>
    </w:pPr>
  </w:style>
  <w:style w:type="character" w:styleId="Hyperlink">
    <w:name w:val="Hyperlink"/>
    <w:rsid w:val="00C04F3C"/>
    <w:rPr>
      <w:color w:val="0000FF"/>
      <w:u w:val="single"/>
    </w:rPr>
  </w:style>
  <w:style w:type="paragraph" w:customStyle="1" w:styleId="CharCharCharChar">
    <w:name w:val="Char Char Char Char"/>
    <w:basedOn w:val="Normal"/>
    <w:rsid w:val="00C04F3C"/>
    <w:pPr>
      <w:spacing w:after="160" w:line="240" w:lineRule="exact"/>
    </w:pPr>
    <w:rPr>
      <w:rFonts w:ascii="Verdana" w:eastAsia="Times New Roman" w:hAnsi="Verdana" w:cs="Times New Roman"/>
      <w:sz w:val="20"/>
      <w:lang w:val="en-GB" w:eastAsia="en-US"/>
    </w:rPr>
  </w:style>
  <w:style w:type="paragraph" w:customStyle="1" w:styleId="CarCar">
    <w:name w:val="Car Car"/>
    <w:basedOn w:val="Normal"/>
    <w:rsid w:val="00C04F3C"/>
    <w:pPr>
      <w:spacing w:after="160" w:line="240" w:lineRule="exact"/>
    </w:pPr>
    <w:rPr>
      <w:rFonts w:ascii="Verdana" w:eastAsia="Times New Roman" w:hAnsi="Verdana" w:cs="Times New Roman"/>
      <w:sz w:val="20"/>
      <w:lang w:val="en-GB" w:eastAsia="en-US"/>
    </w:rPr>
  </w:style>
  <w:style w:type="character" w:styleId="Emphasis">
    <w:name w:val="Emphasis"/>
    <w:uiPriority w:val="20"/>
    <w:qFormat/>
    <w:rsid w:val="00C04F3C"/>
    <w:rPr>
      <w:i/>
      <w:iCs/>
    </w:rPr>
  </w:style>
  <w:style w:type="paragraph" w:styleId="NormalWeb">
    <w:name w:val="Normal (Web)"/>
    <w:basedOn w:val="Normal"/>
    <w:uiPriority w:val="99"/>
    <w:rsid w:val="00C04F3C"/>
    <w:pPr>
      <w:spacing w:before="100" w:beforeAutospacing="1" w:after="100" w:afterAutospacing="1"/>
    </w:pPr>
    <w:rPr>
      <w:rFonts w:ascii="Times New Roman" w:hAnsi="Times New Roman" w:cs="Times New Roman"/>
      <w:sz w:val="24"/>
      <w:szCs w:val="24"/>
    </w:rPr>
  </w:style>
  <w:style w:type="paragraph" w:customStyle="1" w:styleId="msonormalcxspmiddle">
    <w:name w:val="msonormalcxspmiddle"/>
    <w:basedOn w:val="Normal"/>
    <w:rsid w:val="00C04F3C"/>
    <w:pPr>
      <w:spacing w:before="100" w:beforeAutospacing="1" w:after="100" w:afterAutospacing="1"/>
    </w:pPr>
    <w:rPr>
      <w:rFonts w:eastAsia="MS Mincho"/>
      <w:sz w:val="18"/>
      <w:szCs w:val="18"/>
      <w:lang w:eastAsia="ja-JP"/>
    </w:rPr>
  </w:style>
  <w:style w:type="paragraph" w:customStyle="1" w:styleId="Char">
    <w:name w:val="Char 字元 字元"/>
    <w:basedOn w:val="Normal"/>
    <w:rsid w:val="00C04F3C"/>
    <w:pPr>
      <w:spacing w:after="160" w:line="240" w:lineRule="exact"/>
    </w:pPr>
    <w:rPr>
      <w:rFonts w:ascii="Verdana" w:eastAsia="PMingLiU" w:hAnsi="Verdana" w:cs="Times New Roman"/>
      <w:sz w:val="20"/>
      <w:lang w:eastAsia="en-US"/>
    </w:rPr>
  </w:style>
  <w:style w:type="character" w:styleId="Strong">
    <w:name w:val="Strong"/>
    <w:qFormat/>
    <w:rsid w:val="002A6E8D"/>
    <w:rPr>
      <w:b/>
      <w:bCs/>
    </w:rPr>
  </w:style>
  <w:style w:type="paragraph" w:styleId="ListParagraph">
    <w:name w:val="List Paragraph"/>
    <w:basedOn w:val="Normal"/>
    <w:uiPriority w:val="72"/>
    <w:rsid w:val="00F222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C04F3C"/>
    <w:pPr>
      <w:spacing w:after="120" w:line="260" w:lineRule="atLeast"/>
      <w:ind w:left="1021"/>
      <w:contextualSpacing/>
      <w:outlineLvl w:val="4"/>
    </w:pPr>
    <w:rPr>
      <w:rFonts w:eastAsia="Times New Roman" w:cs="Times New Roman"/>
      <w:sz w:val="20"/>
      <w:lang w:eastAsia="en-US"/>
    </w:rPr>
  </w:style>
  <w:style w:type="paragraph" w:styleId="Heading6">
    <w:name w:val="heading 6"/>
    <w:basedOn w:val="Normal"/>
    <w:next w:val="Normal"/>
    <w:qFormat/>
    <w:rsid w:val="00C04F3C"/>
    <w:pPr>
      <w:spacing w:after="120" w:line="260" w:lineRule="atLeast"/>
      <w:ind w:left="1021"/>
      <w:contextualSpacing/>
      <w:outlineLvl w:val="5"/>
    </w:pPr>
    <w:rPr>
      <w:rFonts w:eastAsia="Times New Roman" w:cs="Times New Roman"/>
      <w:sz w:val="20"/>
      <w:lang w:eastAsia="en-US"/>
    </w:rPr>
  </w:style>
  <w:style w:type="paragraph" w:styleId="Heading9">
    <w:name w:val="heading 9"/>
    <w:basedOn w:val="Normal"/>
    <w:next w:val="Normal"/>
    <w:qFormat/>
    <w:rsid w:val="00C04F3C"/>
    <w:pPr>
      <w:spacing w:before="240" w:after="60" w:line="260" w:lineRule="atLeast"/>
      <w:ind w:left="1021"/>
      <w:contextualSpacing/>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8E6BFB"/>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odyTextIndent">
    <w:name w:val="Body Text Indent"/>
    <w:basedOn w:val="Normal"/>
    <w:semiHidden/>
    <w:rsid w:val="00C04F3C"/>
    <w:pPr>
      <w:spacing w:after="120" w:line="260" w:lineRule="atLeast"/>
      <w:ind w:left="567"/>
      <w:contextualSpacing/>
    </w:pPr>
    <w:rPr>
      <w:rFonts w:eastAsia="Times New Roman" w:cs="Times New Roman"/>
      <w:sz w:val="20"/>
      <w:lang w:eastAsia="en-US"/>
    </w:rPr>
  </w:style>
  <w:style w:type="paragraph" w:styleId="Closing">
    <w:name w:val="Closing"/>
    <w:basedOn w:val="Normal"/>
    <w:semiHidden/>
    <w:rsid w:val="00C04F3C"/>
    <w:pPr>
      <w:spacing w:after="120" w:line="260" w:lineRule="atLeast"/>
      <w:ind w:left="4536"/>
      <w:contextualSpacing/>
      <w:jc w:val="center"/>
    </w:pPr>
    <w:rPr>
      <w:rFonts w:eastAsia="Times New Roman" w:cs="Times New Roman"/>
      <w:sz w:val="20"/>
      <w:lang w:eastAsia="en-US"/>
    </w:rPr>
  </w:style>
  <w:style w:type="paragraph" w:customStyle="1" w:styleId="Committee">
    <w:name w:val="Committee"/>
    <w:basedOn w:val="Normal"/>
    <w:semiHidden/>
    <w:rsid w:val="00C04F3C"/>
    <w:pPr>
      <w:spacing w:after="300" w:line="260" w:lineRule="atLeast"/>
      <w:ind w:left="1021"/>
      <w:contextualSpacing/>
      <w:jc w:val="center"/>
    </w:pPr>
    <w:rPr>
      <w:rFonts w:eastAsia="Times New Roman" w:cs="Times New Roman"/>
      <w:b/>
      <w:caps/>
      <w:kern w:val="28"/>
      <w:sz w:val="30"/>
      <w:lang w:eastAsia="en-US"/>
    </w:rPr>
  </w:style>
  <w:style w:type="paragraph" w:customStyle="1" w:styleId="DecisionInvitingPara">
    <w:name w:val="Decision Inviting Para."/>
    <w:basedOn w:val="Normal"/>
    <w:rsid w:val="00C04F3C"/>
    <w:pPr>
      <w:spacing w:after="120" w:line="260" w:lineRule="atLeast"/>
      <w:ind w:left="5534"/>
      <w:contextualSpacing/>
    </w:pPr>
    <w:rPr>
      <w:rFonts w:eastAsia="Times New Roman" w:cs="Times New Roman"/>
      <w:i/>
      <w:sz w:val="20"/>
      <w:lang w:eastAsia="en-US"/>
    </w:rPr>
  </w:style>
  <w:style w:type="paragraph" w:customStyle="1" w:styleId="PlaceAndDate">
    <w:name w:val="PlaceAndDate"/>
    <w:basedOn w:val="Session"/>
    <w:semiHidden/>
    <w:rsid w:val="00C04F3C"/>
  </w:style>
  <w:style w:type="paragraph" w:customStyle="1" w:styleId="Session">
    <w:name w:val="Session"/>
    <w:basedOn w:val="Normal"/>
    <w:semiHidden/>
    <w:rsid w:val="00C04F3C"/>
    <w:pPr>
      <w:spacing w:before="60" w:after="120" w:line="260" w:lineRule="atLeast"/>
      <w:ind w:left="1021"/>
      <w:contextualSpacing/>
      <w:jc w:val="center"/>
    </w:pPr>
    <w:rPr>
      <w:rFonts w:eastAsia="Times New Roman" w:cs="Times New Roman"/>
      <w:b/>
      <w:sz w:val="30"/>
      <w:lang w:eastAsia="en-US"/>
    </w:rPr>
  </w:style>
  <w:style w:type="paragraph" w:customStyle="1" w:styleId="Endofdocument">
    <w:name w:val="End of document"/>
    <w:basedOn w:val="Normal"/>
    <w:rsid w:val="00C04F3C"/>
    <w:pPr>
      <w:spacing w:after="120" w:line="260" w:lineRule="atLeast"/>
      <w:ind w:left="5534"/>
      <w:contextualSpacing/>
    </w:pPr>
    <w:rPr>
      <w:rFonts w:eastAsia="Times New Roman" w:cs="Times New Roman"/>
      <w:sz w:val="20"/>
      <w:lang w:eastAsia="en-US"/>
    </w:rPr>
  </w:style>
  <w:style w:type="character" w:styleId="FootnoteReference">
    <w:name w:val="footnote reference"/>
    <w:semiHidden/>
    <w:rsid w:val="00C04F3C"/>
    <w:rPr>
      <w:vertAlign w:val="superscript"/>
    </w:rPr>
  </w:style>
  <w:style w:type="paragraph" w:styleId="MacroText">
    <w:name w:val="macro"/>
    <w:semiHidden/>
    <w:rsid w:val="00C04F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C04F3C"/>
    <w:pPr>
      <w:spacing w:after="600" w:line="260" w:lineRule="atLeast"/>
      <w:ind w:left="-992" w:right="-992"/>
      <w:contextualSpacing/>
      <w:jc w:val="center"/>
    </w:pPr>
    <w:rPr>
      <w:rFonts w:eastAsia="Times New Roman" w:cs="Times New Roman"/>
      <w:b/>
      <w:caps/>
      <w:kern w:val="26"/>
      <w:sz w:val="26"/>
      <w:lang w:eastAsia="en-US"/>
    </w:rPr>
  </w:style>
  <w:style w:type="paragraph" w:customStyle="1" w:styleId="preparedby">
    <w:name w:val="prepared by"/>
    <w:basedOn w:val="Normal"/>
    <w:next w:val="Normal"/>
    <w:rsid w:val="00C04F3C"/>
    <w:pPr>
      <w:spacing w:before="120" w:after="480" w:line="260" w:lineRule="atLeast"/>
      <w:ind w:left="1021"/>
      <w:contextualSpacing/>
    </w:pPr>
    <w:rPr>
      <w:rFonts w:eastAsia="Times New Roman" w:cs="Times New Roman"/>
      <w:i/>
      <w:sz w:val="20"/>
      <w:lang w:eastAsia="en-US"/>
    </w:rPr>
  </w:style>
  <w:style w:type="paragraph" w:styleId="Title">
    <w:name w:val="Title"/>
    <w:basedOn w:val="Normal"/>
    <w:qFormat/>
    <w:rsid w:val="00C04F3C"/>
    <w:pPr>
      <w:spacing w:after="300" w:line="260" w:lineRule="atLeast"/>
      <w:ind w:left="1021"/>
      <w:contextualSpacing/>
      <w:jc w:val="center"/>
    </w:pPr>
    <w:rPr>
      <w:rFonts w:eastAsia="Times New Roman" w:cs="Times New Roman"/>
      <w:b/>
      <w:caps/>
      <w:kern w:val="28"/>
      <w:sz w:val="30"/>
      <w:lang w:eastAsia="en-US"/>
    </w:rPr>
  </w:style>
  <w:style w:type="paragraph" w:customStyle="1" w:styleId="Documenttitle">
    <w:name w:val="Document title"/>
    <w:basedOn w:val="Normal"/>
    <w:next w:val="preparedby"/>
    <w:rsid w:val="00C04F3C"/>
    <w:pPr>
      <w:spacing w:before="840" w:line="336" w:lineRule="exact"/>
      <w:ind w:left="1021"/>
      <w:contextualSpacing/>
    </w:pPr>
    <w:rPr>
      <w:rFonts w:eastAsia="Times New Roman" w:cs="Times New Roman"/>
      <w:sz w:val="24"/>
      <w:lang w:eastAsia="en-US"/>
    </w:rPr>
  </w:style>
  <w:style w:type="paragraph" w:styleId="TOC9">
    <w:name w:val="toc 9"/>
    <w:basedOn w:val="Normal"/>
    <w:next w:val="Normal"/>
    <w:semiHidden/>
    <w:rsid w:val="00C04F3C"/>
    <w:pPr>
      <w:tabs>
        <w:tab w:val="right" w:leader="dot" w:pos="9071"/>
      </w:tabs>
      <w:spacing w:after="120" w:line="260" w:lineRule="atLeast"/>
      <w:ind w:left="1920"/>
      <w:contextualSpacing/>
    </w:pPr>
    <w:rPr>
      <w:rFonts w:eastAsia="Times New Roman" w:cs="Times New Roman"/>
      <w:sz w:val="20"/>
      <w:lang w:eastAsia="en-US"/>
    </w:rPr>
  </w:style>
  <w:style w:type="paragraph" w:customStyle="1" w:styleId="MeetinglanguageDate">
    <w:name w:val="Meeting language &amp; Date"/>
    <w:basedOn w:val="Normal"/>
    <w:next w:val="Meetingtitle"/>
    <w:rsid w:val="00C04F3C"/>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C04F3C"/>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C04F3C"/>
    <w:pPr>
      <w:spacing w:before="480"/>
      <w:contextualSpacing/>
    </w:pPr>
    <w:rPr>
      <w:sz w:val="24"/>
    </w:rPr>
  </w:style>
  <w:style w:type="paragraph" w:customStyle="1" w:styleId="Meetingplacedate">
    <w:name w:val="Meeting place &amp; date"/>
    <w:basedOn w:val="Sessiontitle"/>
    <w:next w:val="Documenttitle"/>
    <w:rsid w:val="00C04F3C"/>
    <w:pPr>
      <w:spacing w:before="0"/>
      <w:contextualSpacing w:val="0"/>
    </w:pPr>
  </w:style>
  <w:style w:type="paragraph" w:customStyle="1" w:styleId="Language">
    <w:name w:val="Language"/>
    <w:basedOn w:val="Normal"/>
    <w:next w:val="Normal"/>
    <w:rsid w:val="00C04F3C"/>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C04F3C"/>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rsid w:val="00C04F3C"/>
    <w:rPr>
      <w:rFonts w:ascii="Arial" w:hAnsi="Arial"/>
      <w:b/>
      <w:w w:val="150"/>
      <w:lang w:val="fr-FR" w:eastAsia="en-US" w:bidi="ar-SA"/>
    </w:rPr>
  </w:style>
  <w:style w:type="paragraph" w:customStyle="1" w:styleId="TESTworld">
    <w:name w:val="TESTworld"/>
    <w:basedOn w:val="TESTwiposouslogo"/>
    <w:semiHidden/>
    <w:rsid w:val="00C04F3C"/>
    <w:pPr>
      <w:ind w:right="4763"/>
    </w:pPr>
    <w:rPr>
      <w:b w:val="0"/>
      <w:caps/>
      <w:w w:val="100"/>
      <w:sz w:val="16"/>
    </w:rPr>
  </w:style>
  <w:style w:type="paragraph" w:customStyle="1" w:styleId="TESTintellectualproperty">
    <w:name w:val="TESTintellectualproperty"/>
    <w:basedOn w:val="Normal"/>
    <w:link w:val="TESTintellectualpropertyChar"/>
    <w:semiHidden/>
    <w:rsid w:val="00C04F3C"/>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rsid w:val="00C04F3C"/>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C04F3C"/>
  </w:style>
  <w:style w:type="paragraph" w:customStyle="1" w:styleId="MeetingCode">
    <w:name w:val="Meeting Code"/>
    <w:basedOn w:val="MeetinglanguageDate"/>
    <w:rsid w:val="00C04F3C"/>
    <w:pPr>
      <w:spacing w:before="1800" w:after="0"/>
    </w:pPr>
  </w:style>
  <w:style w:type="character" w:customStyle="1" w:styleId="TESTorganisationChar">
    <w:name w:val="TESTorganisation Char"/>
    <w:basedOn w:val="TESTintellectualpropertyChar"/>
    <w:link w:val="TESTorganisation"/>
    <w:rsid w:val="00C04F3C"/>
    <w:rPr>
      <w:rFonts w:ascii="Arial" w:hAnsi="Arial"/>
      <w:caps/>
      <w:sz w:val="16"/>
      <w:lang w:val="en-US" w:eastAsia="en-US" w:bidi="ar-SA"/>
    </w:rPr>
  </w:style>
  <w:style w:type="paragraph" w:customStyle="1" w:styleId="TestIWIPO">
    <w:name w:val="Test I WIPO"/>
    <w:basedOn w:val="TESTwiposouslogo"/>
    <w:link w:val="TestIWIPOChar"/>
    <w:semiHidden/>
    <w:rsid w:val="00C04F3C"/>
    <w:pPr>
      <w:ind w:right="4763"/>
    </w:pPr>
    <w:rPr>
      <w:sz w:val="28"/>
      <w:szCs w:val="28"/>
    </w:rPr>
  </w:style>
  <w:style w:type="character" w:customStyle="1" w:styleId="TestIWIPOChar">
    <w:name w:val="Test I WIPO Char"/>
    <w:link w:val="TestIWIPO"/>
    <w:rsid w:val="00C04F3C"/>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C04F3C"/>
    <w:rPr>
      <w:rFonts w:ascii="Arial Black" w:hAnsi="Arial Black"/>
      <w:b/>
      <w:sz w:val="20"/>
    </w:rPr>
  </w:style>
  <w:style w:type="character" w:customStyle="1" w:styleId="TESTIintellectualChar">
    <w:name w:val="TEST I intellectual Char"/>
    <w:link w:val="TESTIintellectual"/>
    <w:rsid w:val="00C04F3C"/>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C04F3C"/>
    <w:rPr>
      <w:b/>
      <w:sz w:val="20"/>
    </w:rPr>
  </w:style>
  <w:style w:type="character" w:customStyle="1" w:styleId="TESTIorganisationChar">
    <w:name w:val="TEST I organisation Char"/>
    <w:link w:val="TESTIorganisation"/>
    <w:rsid w:val="00C04F3C"/>
    <w:rPr>
      <w:rFonts w:ascii="Arial" w:hAnsi="Arial"/>
      <w:b/>
      <w:caps/>
      <w:sz w:val="16"/>
      <w:lang w:val="en-US" w:eastAsia="en-US" w:bidi="ar-SA"/>
    </w:rPr>
  </w:style>
  <w:style w:type="character" w:styleId="PageNumber">
    <w:name w:val="page number"/>
    <w:basedOn w:val="DefaultParagraphFont"/>
    <w:semiHidden/>
    <w:rsid w:val="00C04F3C"/>
  </w:style>
  <w:style w:type="table" w:styleId="TableGrid">
    <w:name w:val="Table Grid"/>
    <w:basedOn w:val="TableNormal"/>
    <w:rsid w:val="00C04F3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rsid w:val="00C04F3C"/>
    <w:pPr>
      <w:spacing w:before="480"/>
      <w:contextualSpacing/>
    </w:pPr>
  </w:style>
  <w:style w:type="paragraph" w:customStyle="1" w:styleId="Meetingdateplace">
    <w:name w:val="Meeting date &amp; place"/>
    <w:basedOn w:val="Sessiontitle"/>
    <w:next w:val="Documenttitle"/>
    <w:rsid w:val="00C04F3C"/>
    <w:pPr>
      <w:spacing w:before="0"/>
      <w:contextualSpacing w:val="0"/>
    </w:pPr>
  </w:style>
  <w:style w:type="character" w:styleId="Hyperlink">
    <w:name w:val="Hyperlink"/>
    <w:rsid w:val="00C04F3C"/>
    <w:rPr>
      <w:color w:val="0000FF"/>
      <w:u w:val="single"/>
    </w:rPr>
  </w:style>
  <w:style w:type="paragraph" w:customStyle="1" w:styleId="CharCharCharChar">
    <w:name w:val="Char Char Char Char"/>
    <w:basedOn w:val="Normal"/>
    <w:rsid w:val="00C04F3C"/>
    <w:pPr>
      <w:spacing w:after="160" w:line="240" w:lineRule="exact"/>
    </w:pPr>
    <w:rPr>
      <w:rFonts w:ascii="Verdana" w:eastAsia="Times New Roman" w:hAnsi="Verdana" w:cs="Times New Roman"/>
      <w:sz w:val="20"/>
      <w:lang w:val="en-GB" w:eastAsia="en-US"/>
    </w:rPr>
  </w:style>
  <w:style w:type="paragraph" w:customStyle="1" w:styleId="CarCar">
    <w:name w:val="Car Car"/>
    <w:basedOn w:val="Normal"/>
    <w:rsid w:val="00C04F3C"/>
    <w:pPr>
      <w:spacing w:after="160" w:line="240" w:lineRule="exact"/>
    </w:pPr>
    <w:rPr>
      <w:rFonts w:ascii="Verdana" w:eastAsia="Times New Roman" w:hAnsi="Verdana" w:cs="Times New Roman"/>
      <w:sz w:val="20"/>
      <w:lang w:val="en-GB" w:eastAsia="en-US"/>
    </w:rPr>
  </w:style>
  <w:style w:type="character" w:styleId="Emphasis">
    <w:name w:val="Emphasis"/>
    <w:uiPriority w:val="20"/>
    <w:qFormat/>
    <w:rsid w:val="00C04F3C"/>
    <w:rPr>
      <w:i/>
      <w:iCs/>
    </w:rPr>
  </w:style>
  <w:style w:type="paragraph" w:styleId="NormalWeb">
    <w:name w:val="Normal (Web)"/>
    <w:basedOn w:val="Normal"/>
    <w:uiPriority w:val="99"/>
    <w:rsid w:val="00C04F3C"/>
    <w:pPr>
      <w:spacing w:before="100" w:beforeAutospacing="1" w:after="100" w:afterAutospacing="1"/>
    </w:pPr>
    <w:rPr>
      <w:rFonts w:ascii="Times New Roman" w:hAnsi="Times New Roman" w:cs="Times New Roman"/>
      <w:sz w:val="24"/>
      <w:szCs w:val="24"/>
    </w:rPr>
  </w:style>
  <w:style w:type="paragraph" w:customStyle="1" w:styleId="msonormalcxspmiddle">
    <w:name w:val="msonormalcxspmiddle"/>
    <w:basedOn w:val="Normal"/>
    <w:rsid w:val="00C04F3C"/>
    <w:pPr>
      <w:spacing w:before="100" w:beforeAutospacing="1" w:after="100" w:afterAutospacing="1"/>
    </w:pPr>
    <w:rPr>
      <w:rFonts w:eastAsia="MS Mincho"/>
      <w:sz w:val="18"/>
      <w:szCs w:val="18"/>
      <w:lang w:eastAsia="ja-JP"/>
    </w:rPr>
  </w:style>
  <w:style w:type="paragraph" w:customStyle="1" w:styleId="Char">
    <w:name w:val="Char 字元 字元"/>
    <w:basedOn w:val="Normal"/>
    <w:rsid w:val="00C04F3C"/>
    <w:pPr>
      <w:spacing w:after="160" w:line="240" w:lineRule="exact"/>
    </w:pPr>
    <w:rPr>
      <w:rFonts w:ascii="Verdana" w:eastAsia="PMingLiU" w:hAnsi="Verdana" w:cs="Times New Roman"/>
      <w:sz w:val="20"/>
      <w:lang w:eastAsia="en-US"/>
    </w:rPr>
  </w:style>
  <w:style w:type="character" w:styleId="Strong">
    <w:name w:val="Strong"/>
    <w:qFormat/>
    <w:rsid w:val="002A6E8D"/>
    <w:rPr>
      <w:b/>
      <w:bCs/>
    </w:rPr>
  </w:style>
  <w:style w:type="paragraph" w:styleId="ListParagraph">
    <w:name w:val="List Paragraph"/>
    <w:basedOn w:val="Normal"/>
    <w:uiPriority w:val="72"/>
    <w:rsid w:val="00F22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34">
      <w:bodyDiv w:val="1"/>
      <w:marLeft w:val="0"/>
      <w:marRight w:val="0"/>
      <w:marTop w:val="0"/>
      <w:marBottom w:val="0"/>
      <w:divBdr>
        <w:top w:val="none" w:sz="0" w:space="0" w:color="auto"/>
        <w:left w:val="none" w:sz="0" w:space="0" w:color="auto"/>
        <w:bottom w:val="none" w:sz="0" w:space="0" w:color="auto"/>
        <w:right w:val="none" w:sz="0" w:space="0" w:color="auto"/>
      </w:divBdr>
      <w:divsChild>
        <w:div w:id="1210263842">
          <w:marLeft w:val="0"/>
          <w:marRight w:val="0"/>
          <w:marTop w:val="0"/>
          <w:marBottom w:val="0"/>
          <w:divBdr>
            <w:top w:val="none" w:sz="0" w:space="0" w:color="auto"/>
            <w:left w:val="none" w:sz="0" w:space="0" w:color="auto"/>
            <w:bottom w:val="none" w:sz="0" w:space="0" w:color="auto"/>
            <w:right w:val="none" w:sz="0" w:space="0" w:color="auto"/>
          </w:divBdr>
          <w:divsChild>
            <w:div w:id="1630818228">
              <w:marLeft w:val="0"/>
              <w:marRight w:val="0"/>
              <w:marTop w:val="1275"/>
              <w:marBottom w:val="0"/>
              <w:divBdr>
                <w:top w:val="none" w:sz="0" w:space="0" w:color="auto"/>
                <w:left w:val="none" w:sz="0" w:space="0" w:color="auto"/>
                <w:bottom w:val="none" w:sz="0" w:space="0" w:color="auto"/>
                <w:right w:val="none" w:sz="0" w:space="0" w:color="auto"/>
              </w:divBdr>
              <w:divsChild>
                <w:div w:id="2080786760">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66766">
      <w:bodyDiv w:val="1"/>
      <w:marLeft w:val="0"/>
      <w:marRight w:val="0"/>
      <w:marTop w:val="0"/>
      <w:marBottom w:val="0"/>
      <w:divBdr>
        <w:top w:val="none" w:sz="0" w:space="0" w:color="auto"/>
        <w:left w:val="none" w:sz="0" w:space="0" w:color="auto"/>
        <w:bottom w:val="none" w:sz="0" w:space="0" w:color="auto"/>
        <w:right w:val="none" w:sz="0" w:space="0" w:color="auto"/>
      </w:divBdr>
    </w:div>
    <w:div w:id="152477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scp/en/exceptions/"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665DE-269F-4ACD-91A3-4E71AC9C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6684</Words>
  <Characters>34879</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SCP/18/3</vt:lpstr>
    </vt:vector>
  </TitlesOfParts>
  <Company>WIPO</Company>
  <LinksUpToDate>false</LinksUpToDate>
  <CharactersWithSpaces>41481</CharactersWithSpaces>
  <SharedDoc>false</SharedDoc>
  <HLinks>
    <vt:vector size="6" baseType="variant">
      <vt:variant>
        <vt:i4>1048580</vt:i4>
      </vt:variant>
      <vt:variant>
        <vt:i4>8</vt:i4>
      </vt:variant>
      <vt:variant>
        <vt:i4>0</vt:i4>
      </vt:variant>
      <vt:variant>
        <vt:i4>5</vt:i4>
      </vt:variant>
      <vt:variant>
        <vt:lpwstr>http://www.wipo.int/scp/en/exceptions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SCP/18/3</dc:title>
  <dc:subject>Overview of the Responses to the Questionnaire on Exceptions and Limitations to Patent Rights</dc:subject>
  <dc:creator>Document prepared by the Secretariat</dc:creator>
  <cp:lastModifiedBy>DOLOTBAEVA Aida</cp:lastModifiedBy>
  <cp:revision>13</cp:revision>
  <cp:lastPrinted>2013-10-29T11:16:00Z</cp:lastPrinted>
  <dcterms:created xsi:type="dcterms:W3CDTF">2013-10-22T15:31:00Z</dcterms:created>
  <dcterms:modified xsi:type="dcterms:W3CDTF">2013-11-08T14:39:00Z</dcterms:modified>
</cp:coreProperties>
</file>