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36CD9" w:rsidP="006A6862">
            <w:pPr>
              <w:pStyle w:val="DocumentCodeAR"/>
              <w:bidi/>
              <w:rPr>
                <w:rtl/>
              </w:rPr>
            </w:pPr>
            <w:r>
              <w:t>SCP</w:t>
            </w:r>
            <w:r w:rsidR="00100F97">
              <w:t>/</w:t>
            </w:r>
            <w:r w:rsidR="00772E46">
              <w:t>2</w:t>
            </w:r>
            <w:r>
              <w:t>0</w:t>
            </w:r>
            <w:r w:rsidR="00B6101C" w:rsidRPr="00B6101C">
              <w:t>/</w:t>
            </w:r>
            <w:r w:rsidR="006A6862">
              <w:t>3</w:t>
            </w:r>
          </w:p>
        </w:tc>
      </w:tr>
      <w:tr w:rsidR="001667B6" w:rsidTr="00BF164F">
        <w:tc>
          <w:tcPr>
            <w:tcW w:w="9571" w:type="dxa"/>
            <w:gridSpan w:val="3"/>
          </w:tcPr>
          <w:p w:rsidR="001667B6" w:rsidRPr="00B6101C" w:rsidRDefault="00B6101C" w:rsidP="006A6862">
            <w:pPr>
              <w:pStyle w:val="DocumentLanguageAR"/>
              <w:bidi/>
              <w:rPr>
                <w:rtl/>
              </w:rPr>
            </w:pPr>
            <w:r w:rsidRPr="00B6101C">
              <w:rPr>
                <w:rFonts w:hint="cs"/>
                <w:rtl/>
              </w:rPr>
              <w:t xml:space="preserve">الأصل: </w:t>
            </w:r>
            <w:r w:rsidR="006A6862">
              <w:rPr>
                <w:rFonts w:hint="cs"/>
                <w:rtl/>
              </w:rPr>
              <w:t>بالإنكليزية</w:t>
            </w:r>
          </w:p>
        </w:tc>
      </w:tr>
      <w:tr w:rsidR="001667B6" w:rsidTr="00BF164F">
        <w:tc>
          <w:tcPr>
            <w:tcW w:w="9571" w:type="dxa"/>
            <w:gridSpan w:val="3"/>
          </w:tcPr>
          <w:p w:rsidR="001667B6" w:rsidRPr="00B6101C" w:rsidRDefault="00B6101C" w:rsidP="00210CE3">
            <w:pPr>
              <w:pStyle w:val="DocumentDateAR"/>
              <w:bidi/>
              <w:rPr>
                <w:rtl/>
              </w:rPr>
            </w:pPr>
            <w:r w:rsidRPr="00B6101C">
              <w:rPr>
                <w:rFonts w:hint="cs"/>
                <w:rtl/>
              </w:rPr>
              <w:t xml:space="preserve">التاريخ: </w:t>
            </w:r>
            <w:r w:rsidR="006A6862">
              <w:t>15</w:t>
            </w:r>
            <w:r w:rsidRPr="00B6101C">
              <w:rPr>
                <w:rFonts w:hint="cs"/>
                <w:rtl/>
              </w:rPr>
              <w:t xml:space="preserve"> </w:t>
            </w:r>
            <w:r w:rsidR="00210CE3">
              <w:rPr>
                <w:rFonts w:hint="cs"/>
                <w:rtl/>
              </w:rPr>
              <w:t>نوفمبر</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E36CD9" w:rsidP="00983389">
      <w:pPr>
        <w:pStyle w:val="MeetingTitleAR"/>
        <w:bidi/>
        <w:ind w:right="550"/>
        <w:rPr>
          <w:rtl/>
          <w:lang w:val="fr-CH"/>
        </w:rPr>
      </w:pPr>
      <w:r w:rsidRPr="00100F97">
        <w:rPr>
          <w:rtl/>
        </w:rPr>
        <w:t xml:space="preserve">اللجنة </w:t>
      </w:r>
      <w:r>
        <w:rPr>
          <w:rFonts w:hint="cs"/>
          <w:rtl/>
        </w:rPr>
        <w:t>الدائمة المعنية بقانون البراءات</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E36CD9">
      <w:pPr>
        <w:pStyle w:val="MeetingSessionAR"/>
        <w:bidi/>
        <w:rPr>
          <w:rFonts w:ascii="Cambria Math" w:hAnsi="Cambria Math"/>
          <w:rtl/>
        </w:rPr>
      </w:pPr>
      <w:r w:rsidRPr="00783D11">
        <w:rPr>
          <w:rFonts w:ascii="Cambria Math" w:hAnsi="Cambria Math"/>
          <w:rtl/>
        </w:rPr>
        <w:t xml:space="preserve">الدورة </w:t>
      </w:r>
      <w:r w:rsidR="00274410">
        <w:rPr>
          <w:rFonts w:ascii="Cambria Math" w:hAnsi="Cambria Math" w:hint="cs"/>
          <w:rtl/>
        </w:rPr>
        <w:t>العشرون</w:t>
      </w:r>
    </w:p>
    <w:p w:rsidR="00D61541" w:rsidRPr="00D61541" w:rsidRDefault="00D61541" w:rsidP="00A92040">
      <w:pPr>
        <w:pStyle w:val="MeetingDatesAR"/>
        <w:bidi/>
        <w:rPr>
          <w:rtl/>
        </w:rPr>
      </w:pPr>
      <w:r w:rsidRPr="00D61541">
        <w:rPr>
          <w:rFonts w:hint="cs"/>
          <w:rtl/>
        </w:rPr>
        <w:t xml:space="preserve">جنيف، من </w:t>
      </w:r>
      <w:r w:rsidR="00A92040">
        <w:rPr>
          <w:rFonts w:hint="cs"/>
          <w:rtl/>
        </w:rPr>
        <w:t xml:space="preserve">27 </w:t>
      </w:r>
      <w:r w:rsidR="00100F97">
        <w:rPr>
          <w:rFonts w:hint="cs"/>
          <w:rtl/>
        </w:rPr>
        <w:t xml:space="preserve">إلى </w:t>
      </w:r>
      <w:r w:rsidR="00A92040">
        <w:rPr>
          <w:rFonts w:hint="cs"/>
          <w:rtl/>
        </w:rPr>
        <w:t xml:space="preserve">31 يناير </w:t>
      </w:r>
      <w:r w:rsidR="00100F97">
        <w:rPr>
          <w:rFonts w:hint="cs"/>
          <w:rtl/>
        </w:rPr>
        <w:t>201</w:t>
      </w:r>
      <w:r w:rsidR="00A92040">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520B5" w:rsidP="00FB7EC9">
      <w:pPr>
        <w:pStyle w:val="DocumentTitleAR"/>
        <w:bidi/>
        <w:rPr>
          <w:rtl/>
        </w:rPr>
      </w:pPr>
      <w:r w:rsidRPr="00B520B5">
        <w:rPr>
          <w:rtl/>
        </w:rPr>
        <w:t>استثناءات وتقييدات حقوق البراءات:</w:t>
      </w:r>
      <w:r w:rsidR="006B6288">
        <w:rPr>
          <w:rtl/>
        </w:rPr>
        <w:t xml:space="preserve"> </w:t>
      </w:r>
      <w:r w:rsidRPr="00B520B5">
        <w:rPr>
          <w:rtl/>
        </w:rPr>
        <w:t>الاستخدام الشخصي أو غير التجاري</w:t>
      </w:r>
    </w:p>
    <w:p w:rsidR="00D61541" w:rsidRDefault="006A6862"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6A6862" w:rsidRPr="006A6862" w:rsidRDefault="006A6862" w:rsidP="006A6862">
      <w:pPr>
        <w:pStyle w:val="NormalParaAR"/>
        <w:rPr>
          <w:b/>
          <w:bCs/>
          <w:sz w:val="40"/>
          <w:szCs w:val="40"/>
          <w:rtl/>
        </w:rPr>
      </w:pPr>
      <w:r w:rsidRPr="006A6862">
        <w:rPr>
          <w:rFonts w:hint="cs"/>
          <w:b/>
          <w:bCs/>
          <w:sz w:val="40"/>
          <w:szCs w:val="40"/>
          <w:rtl/>
        </w:rPr>
        <w:t>مقدمة</w:t>
      </w:r>
    </w:p>
    <w:p w:rsidR="008D7AB0" w:rsidRDefault="008D7AB0" w:rsidP="00AB0F0D">
      <w:pPr>
        <w:pStyle w:val="NumberedParaAR"/>
      </w:pPr>
      <w:r>
        <w:rPr>
          <w:rFonts w:eastAsia="Arial"/>
          <w:rtl/>
        </w:rPr>
        <w:t xml:space="preserve">اتفقت اللجنة الدائمة المعنية بقانون البراءات (اللجنة) في دورتها التاسعة عشرة، التي عقدت في الفترة من </w:t>
      </w:r>
      <w:r>
        <w:rPr>
          <w:rFonts w:eastAsia="Arial"/>
        </w:rPr>
        <w:t>25</w:t>
      </w:r>
      <w:r>
        <w:rPr>
          <w:rFonts w:eastAsia="Arial"/>
          <w:rtl/>
        </w:rPr>
        <w:t xml:space="preserve"> إلى </w:t>
      </w:r>
      <w:r>
        <w:rPr>
          <w:rFonts w:eastAsia="Arial"/>
        </w:rPr>
        <w:t>28</w:t>
      </w:r>
      <w:r>
        <w:rPr>
          <w:rFonts w:eastAsia="Arial"/>
          <w:rtl/>
        </w:rPr>
        <w:t xml:space="preserve"> فبراير </w:t>
      </w:r>
      <w:r>
        <w:rPr>
          <w:rFonts w:eastAsia="Arial"/>
        </w:rPr>
        <w:t>2013</w:t>
      </w:r>
      <w:r>
        <w:rPr>
          <w:rFonts w:eastAsia="Arial"/>
          <w:rtl/>
        </w:rPr>
        <w:t>،</w:t>
      </w:r>
      <w:r w:rsidR="006B6288">
        <w:rPr>
          <w:rFonts w:eastAsia="Arial"/>
          <w:rtl/>
        </w:rPr>
        <w:t xml:space="preserve"> </w:t>
      </w:r>
      <w:r>
        <w:rPr>
          <w:rFonts w:eastAsia="Arial"/>
          <w:rtl/>
        </w:rPr>
        <w:t>فيما يتعلق بموضوع "استثناءات وتقييدات حقوق البراءات" على أن تتولى الأمانة إعداد عدة أشياء من بينها وثيقة تستند فيها إلى الإسهامات الواردة من الدول الأعضاء بشأن الكيفية التي تنفذ بها الدول الأعضاء الاستثناءات والتقييدات الخمس التالية، دون تقييم فعالية تلك الاستثناءات والتقييدات: الاستخدام الشخصي أو غير التجاري؛ والاستخدام في التجارب أو البحث العلمي؛ وتحضير الأدوية؛ والاستخدام السابق؛ واستخدام أصناف على متن سفن وطائرات ومركبات برية أجنبية.</w:t>
      </w:r>
      <w:r w:rsidR="006B6288">
        <w:rPr>
          <w:rFonts w:eastAsia="Arial"/>
          <w:rtl/>
        </w:rPr>
        <w:t xml:space="preserve"> </w:t>
      </w:r>
      <w:r>
        <w:rPr>
          <w:rFonts w:eastAsia="Arial"/>
          <w:rtl/>
        </w:rPr>
        <w:t>وكان من المقرر كذلك أن تغطي الوثيقة التحديات العملية التي تواجهها الدول الأعضاء في</w:t>
      </w:r>
      <w:r w:rsidR="00AB0F0D">
        <w:rPr>
          <w:rFonts w:eastAsia="Arial" w:hint="cs"/>
          <w:rtl/>
        </w:rPr>
        <w:t> </w:t>
      </w:r>
      <w:r>
        <w:rPr>
          <w:rFonts w:eastAsia="Arial"/>
          <w:rtl/>
        </w:rPr>
        <w:t>تنفيذها.</w:t>
      </w:r>
      <w:r w:rsidR="006B6288">
        <w:rPr>
          <w:rFonts w:eastAsia="Arial"/>
          <w:rtl/>
        </w:rPr>
        <w:t xml:space="preserve"> </w:t>
      </w:r>
    </w:p>
    <w:p w:rsidR="008D7AB0" w:rsidRDefault="008D7AB0" w:rsidP="00AB0F0D">
      <w:pPr>
        <w:pStyle w:val="NumberedParaAR"/>
      </w:pPr>
      <w:r>
        <w:rPr>
          <w:rFonts w:eastAsia="Arial"/>
          <w:rtl/>
        </w:rPr>
        <w:t xml:space="preserve">وعملاً بالقرار سالف الذكر، دعت الأمانة، من خلال المذكرة </w:t>
      </w:r>
      <w:r>
        <w:rPr>
          <w:rFonts w:eastAsia="Arial"/>
        </w:rPr>
        <w:t>C.8076</w:t>
      </w:r>
      <w:r>
        <w:rPr>
          <w:rFonts w:eastAsia="Arial"/>
          <w:rtl/>
        </w:rPr>
        <w:t>، الدول الأعضاء ومكاتب البراءات الإقليمية إلى تقديم معلومات إلى المكتب الدولي تضيف بها مزيداً من المعلومات على ما ورد في ردودها على الاستبيان بشأن الاستثناءات والتقييدات المتعلقة بحقوق البراءة فيما يتعلق بالاستثناءات والتقييدات الخمس المذكورة أعلاه أو تحدثه.</w:t>
      </w:r>
      <w:r w:rsidR="006B6288">
        <w:rPr>
          <w:rFonts w:eastAsia="Arial"/>
          <w:rtl/>
        </w:rPr>
        <w:t xml:space="preserve"> </w:t>
      </w:r>
      <w:r>
        <w:rPr>
          <w:rFonts w:eastAsia="Arial"/>
          <w:rtl/>
        </w:rPr>
        <w:t>وعلاوةً على ذلك، دعيت الدول الأعضاء ومكاتب البراءات الإقليمية التي لم تكن قد قدمت بعد ردودها على الاستبيان إلى الوفاء</w:t>
      </w:r>
      <w:r w:rsidR="00AB0F0D">
        <w:rPr>
          <w:rFonts w:eastAsia="Arial" w:hint="cs"/>
          <w:rtl/>
        </w:rPr>
        <w:t> </w:t>
      </w:r>
      <w:r>
        <w:rPr>
          <w:rFonts w:eastAsia="Arial"/>
          <w:rtl/>
        </w:rPr>
        <w:t>بذلك.</w:t>
      </w:r>
    </w:p>
    <w:p w:rsidR="008D7AB0" w:rsidRDefault="008D7AB0" w:rsidP="000F32B0">
      <w:pPr>
        <w:pStyle w:val="NumberedParaAR"/>
        <w:rPr>
          <w:color w:val="000000"/>
        </w:rPr>
      </w:pPr>
      <w:r>
        <w:rPr>
          <w:rFonts w:eastAsia="Arial"/>
          <w:rtl/>
        </w:rPr>
        <w:t>وعلى ذلك، تعرض هذه الوثيقة معلومات بشأن كيفية تنفيذ الاستثناءات والتقييدات المتعلقة بالاستخدام الشخصي أو غير التجاري في الدول الأعضاء.</w:t>
      </w:r>
      <w:r w:rsidR="006B6288">
        <w:rPr>
          <w:rFonts w:eastAsia="Arial"/>
          <w:rtl/>
        </w:rPr>
        <w:t xml:space="preserve"> </w:t>
      </w:r>
      <w:r>
        <w:rPr>
          <w:rFonts w:eastAsia="Arial"/>
          <w:color w:val="000000"/>
          <w:rtl/>
        </w:rPr>
        <w:t>وترمي الوثيقة إلى توفير نظرة عامة شاملة ومقارنة لتنفيذ هذا الاستثناء بمقتضى القوانين السارية لدى الدول الأعضاء.</w:t>
      </w:r>
      <w:r w:rsidR="006B6288">
        <w:rPr>
          <w:rFonts w:eastAsia="Arial"/>
          <w:color w:val="000000"/>
          <w:rtl/>
        </w:rPr>
        <w:t xml:space="preserve"> </w:t>
      </w:r>
      <w:r>
        <w:rPr>
          <w:rFonts w:eastAsia="Arial"/>
          <w:color w:val="000000"/>
          <w:rtl/>
        </w:rPr>
        <w:t>ويشار إلى الردود الأصلية التي قدمتها الدول الأعضاء وأحد المكاتب الإقليمية للبراءات لتوضيح نطاق الاستثناء في ولاية قضائية مُعيَّنة.</w:t>
      </w:r>
      <w:r w:rsidR="006B6288">
        <w:rPr>
          <w:rFonts w:eastAsia="Arial"/>
          <w:color w:val="000000"/>
          <w:rtl/>
        </w:rPr>
        <w:t xml:space="preserve"> </w:t>
      </w:r>
      <w:r>
        <w:rPr>
          <w:rFonts w:eastAsia="Arial"/>
          <w:color w:val="000000"/>
          <w:rtl/>
        </w:rPr>
        <w:t xml:space="preserve">ويتاح الاستبيان وما ورد له من ردود من الدول الأعضاء بالكامل على الموقع </w:t>
      </w:r>
      <w:r>
        <w:rPr>
          <w:rFonts w:eastAsia="Arial"/>
          <w:color w:val="000000"/>
          <w:rtl/>
        </w:rPr>
        <w:lastRenderedPageBreak/>
        <w:t xml:space="preserve">الإلكتروني لمنتدى اللجنة في العنوان التالي: </w:t>
      </w:r>
      <w:hyperlink r:id="rId10" w:history="1">
        <w:r>
          <w:rPr>
            <w:rFonts w:eastAsia="Arial"/>
            <w:color w:val="0000FF"/>
            <w:u w:val="single"/>
          </w:rPr>
          <w:t>http://www.wipo.int/scp/en/exceptions</w:t>
        </w:r>
      </w:hyperlink>
      <w:r>
        <w:rPr>
          <w:rFonts w:eastAsia="Arial"/>
          <w:color w:val="000000"/>
          <w:rtl/>
        </w:rPr>
        <w:t>.</w:t>
      </w:r>
      <w:r w:rsidR="006B6288">
        <w:rPr>
          <w:rFonts w:eastAsia="Arial"/>
          <w:color w:val="000000"/>
          <w:rtl/>
        </w:rPr>
        <w:t xml:space="preserve"> </w:t>
      </w:r>
      <w:r>
        <w:rPr>
          <w:rFonts w:eastAsia="Arial"/>
          <w:color w:val="000000"/>
          <w:rtl/>
        </w:rPr>
        <w:t>ويعرض الموقع جميع الردود على هيئة مصفوفة بروابط تشعبية إلى كل قسم ضمن كل رد، وذلك لتسهيل الوصول إلى المعلومات الواردة فيها.</w:t>
      </w:r>
    </w:p>
    <w:p w:rsidR="008D7AB0" w:rsidRDefault="008D7AB0" w:rsidP="00AB0F0D">
      <w:pPr>
        <w:pStyle w:val="NumberedParaAR"/>
      </w:pPr>
      <w:r>
        <w:rPr>
          <w:rFonts w:eastAsia="Arial"/>
          <w:rtl/>
        </w:rPr>
        <w:t>وتتكون هذه الوثيقة من ثلاثة أقسام:</w:t>
      </w:r>
      <w:r w:rsidR="006B6288">
        <w:rPr>
          <w:rFonts w:eastAsia="Arial"/>
          <w:rtl/>
        </w:rPr>
        <w:t xml:space="preserve"> </w:t>
      </w:r>
      <w:r>
        <w:rPr>
          <w:rFonts w:eastAsia="Arial"/>
          <w:rtl/>
        </w:rPr>
        <w:t>"</w:t>
      </w:r>
      <w:r>
        <w:rPr>
          <w:rFonts w:eastAsia="Arial"/>
        </w:rPr>
        <w:t>1</w:t>
      </w:r>
      <w:r>
        <w:rPr>
          <w:rFonts w:eastAsia="Arial"/>
          <w:rtl/>
        </w:rPr>
        <w:t>" أهداف السياسة العامة من منح الاستثناء؛</w:t>
      </w:r>
      <w:r w:rsidR="006B6288">
        <w:rPr>
          <w:rFonts w:eastAsia="Arial"/>
          <w:rtl/>
        </w:rPr>
        <w:t xml:space="preserve"> </w:t>
      </w:r>
      <w:r>
        <w:rPr>
          <w:rFonts w:eastAsia="Arial"/>
          <w:rtl/>
        </w:rPr>
        <w:t>"</w:t>
      </w:r>
      <w:r>
        <w:rPr>
          <w:rFonts w:eastAsia="Arial"/>
        </w:rPr>
        <w:t>2</w:t>
      </w:r>
      <w:r>
        <w:rPr>
          <w:rFonts w:eastAsia="Arial"/>
          <w:rtl/>
        </w:rPr>
        <w:t>" والقانون الساري ونطاق الاستثناء؛ "</w:t>
      </w:r>
      <w:r>
        <w:rPr>
          <w:rFonts w:eastAsia="Arial"/>
        </w:rPr>
        <w:t>3</w:t>
      </w:r>
      <w:r>
        <w:rPr>
          <w:rFonts w:eastAsia="Arial"/>
          <w:rtl/>
        </w:rPr>
        <w:t xml:space="preserve">" وتحديات التنفيذ. </w:t>
      </w:r>
    </w:p>
    <w:p w:rsidR="006A6862" w:rsidRPr="0061446E" w:rsidRDefault="008D7AB0" w:rsidP="0061446E">
      <w:pPr>
        <w:pStyle w:val="NumberedParaAR"/>
      </w:pPr>
      <w:r w:rsidRPr="0061446E">
        <w:rPr>
          <w:rFonts w:eastAsia="Arial"/>
          <w:rtl/>
        </w:rPr>
        <w:t>وأفادت الدول الأعضاء ومكاتب البراءات الإقليمية الآتي ذكرها أن قوانينها السارية تنص على استثناءات و/أو تقييدات تتعلق باستثناء الاستخدام السابق.</w:t>
      </w:r>
      <w:r w:rsidR="006B6288" w:rsidRPr="0061446E">
        <w:rPr>
          <w:rFonts w:eastAsia="Arial"/>
          <w:rtl/>
        </w:rPr>
        <w:t xml:space="preserve"> </w:t>
      </w:r>
      <w:r w:rsidRPr="0061446E">
        <w:rPr>
          <w:rFonts w:eastAsia="Arial"/>
          <w:rtl/>
        </w:rPr>
        <w:t xml:space="preserve">ألبانيا، والجزائر، والأرجنتين، وأرمينيا، وأستراليا، والنمسا، وأذربيجان، والبوسنة والهرسك، والبرازيل، وبلغاريا، والصين، وكوستاريكا، وكرواتيا، وقبرص، والجمهورية التشيكية، والدانمرك، والجمهورية </w:t>
      </w:r>
      <w:proofErr w:type="spellStart"/>
      <w:r w:rsidRPr="0061446E">
        <w:rPr>
          <w:rFonts w:eastAsia="Arial"/>
          <w:rtl/>
        </w:rPr>
        <w:t>الدومينيكية</w:t>
      </w:r>
      <w:proofErr w:type="spellEnd"/>
      <w:r w:rsidRPr="0061446E">
        <w:rPr>
          <w:rFonts w:eastAsia="Arial"/>
          <w:rtl/>
        </w:rPr>
        <w:t xml:space="preserve">، والسلفادور، وفنلندا، وفرنسا، وجورجيا، وألمانيا، واليونان، وهندوراس، وهونغ كونغ (الصين)، وهنغاريا، وإسرائيل، وإيطاليا، واليابان، والأردن، وكينيا، ولاتفيا، وليتوانيا، ومدغشقر، والمكسيك، والمغرب، والنرويج، وعمان، وبيرو، والفلبين، وبولندا، والبرتغال، وجمهورية كوريا، وجمهورية مولدوفا، ورومانيا، والاتحاد الروسي، وصربيا، وسلوفاكيا، وإسبانيا، وسري </w:t>
      </w:r>
      <w:proofErr w:type="spellStart"/>
      <w:r w:rsidRPr="0061446E">
        <w:rPr>
          <w:rFonts w:eastAsia="Arial"/>
          <w:rtl/>
        </w:rPr>
        <w:t>لانكا</w:t>
      </w:r>
      <w:proofErr w:type="spellEnd"/>
      <w:r w:rsidRPr="0061446E">
        <w:rPr>
          <w:rFonts w:eastAsia="Arial"/>
          <w:rtl/>
        </w:rPr>
        <w:t xml:space="preserve">، والسويد، وسويسرا، وطاجيكستان، وتايلند، وتركيا، وأوغندا، وأوكرانيا، والمملكة المتحدة، </w:t>
      </w:r>
      <w:proofErr w:type="spellStart"/>
      <w:r w:rsidRPr="0061446E">
        <w:rPr>
          <w:rFonts w:eastAsia="Arial"/>
          <w:rtl/>
        </w:rPr>
        <w:t>وفييت</w:t>
      </w:r>
      <w:proofErr w:type="spellEnd"/>
      <w:r w:rsidRPr="0061446E">
        <w:rPr>
          <w:rFonts w:eastAsia="Arial"/>
          <w:rtl/>
        </w:rPr>
        <w:t xml:space="preserve"> نام، وزيمبابوي، وزامبيا، والمكتب الأوروبي الآسيوي للبراءات (المجموع: </w:t>
      </w:r>
      <w:r w:rsidRPr="0061446E">
        <w:rPr>
          <w:rFonts w:eastAsia="Arial"/>
        </w:rPr>
        <w:t>61</w:t>
      </w:r>
      <w:r w:rsidRPr="0061446E">
        <w:rPr>
          <w:rFonts w:eastAsia="Arial"/>
          <w:rtl/>
        </w:rPr>
        <w:t>).</w:t>
      </w:r>
      <w:r w:rsidR="006B6288" w:rsidRPr="0061446E">
        <w:rPr>
          <w:rFonts w:eastAsia="Arial"/>
          <w:rtl/>
        </w:rPr>
        <w:t xml:space="preserve"> </w:t>
      </w:r>
    </w:p>
    <w:p w:rsidR="00F2394E" w:rsidRDefault="00F2394E" w:rsidP="00AB0F0D">
      <w:pPr>
        <w:pStyle w:val="Heading1AR"/>
        <w:spacing w:before="0" w:after="240"/>
      </w:pPr>
      <w:r>
        <w:rPr>
          <w:rFonts w:hint="cs"/>
          <w:rtl/>
        </w:rPr>
        <w:t xml:space="preserve"> </w:t>
      </w:r>
      <w:r>
        <w:rPr>
          <w:rFonts w:eastAsia="Arial"/>
          <w:rtl/>
        </w:rPr>
        <w:t>أهداف السياسة العامة من منح الاستثناء</w:t>
      </w:r>
    </w:p>
    <w:p w:rsidR="00F2394E" w:rsidRDefault="00F2394E" w:rsidP="0005270B">
      <w:pPr>
        <w:pStyle w:val="NumberedParaAR"/>
      </w:pPr>
      <w:r>
        <w:rPr>
          <w:rFonts w:eastAsia="Arial"/>
          <w:rtl/>
        </w:rPr>
        <w:t xml:space="preserve">بينما تستهدف بعض الدول الأعضاء باستثناء الاستخدام </w:t>
      </w:r>
      <w:r w:rsidR="0005270B">
        <w:rPr>
          <w:rFonts w:eastAsia="Arial" w:hint="cs"/>
          <w:rtl/>
        </w:rPr>
        <w:t>الشخصي</w:t>
      </w:r>
      <w:r>
        <w:rPr>
          <w:rFonts w:eastAsia="Arial"/>
          <w:rtl/>
        </w:rPr>
        <w:t xml:space="preserve"> أو غير التجاري أهدافاً متعددة تتعلق بالسياسة العامة</w:t>
      </w:r>
      <w:r>
        <w:rPr>
          <w:rStyle w:val="FootnoteReference"/>
          <w:szCs w:val="22"/>
        </w:rPr>
        <w:footnoteReference w:id="1"/>
      </w:r>
      <w:r>
        <w:rPr>
          <w:rFonts w:eastAsia="Arial"/>
          <w:rtl/>
        </w:rPr>
        <w:t>، فإن معظم الدول الأعضاء وصفت في ردودها الأهداف التالية.</w:t>
      </w:r>
    </w:p>
    <w:p w:rsidR="00F2394E" w:rsidRPr="00AB0F0D" w:rsidRDefault="00F2394E" w:rsidP="00AB0F0D">
      <w:pPr>
        <w:pStyle w:val="Heading2AR"/>
        <w:spacing w:before="0" w:after="240"/>
        <w:rPr>
          <w:i/>
          <w:iCs/>
          <w:sz w:val="36"/>
          <w:szCs w:val="36"/>
        </w:rPr>
      </w:pPr>
      <w:r w:rsidRPr="00AB0F0D">
        <w:rPr>
          <w:rFonts w:eastAsia="Arial"/>
          <w:i/>
          <w:iCs/>
          <w:sz w:val="36"/>
          <w:szCs w:val="36"/>
          <w:rtl/>
        </w:rPr>
        <w:t>تحقيق التوازن بين المصالح المشروعة</w:t>
      </w:r>
    </w:p>
    <w:p w:rsidR="00F2394E" w:rsidRDefault="00F2394E" w:rsidP="007D64B1">
      <w:pPr>
        <w:pStyle w:val="NumberedParaAR"/>
      </w:pPr>
      <w:r>
        <w:rPr>
          <w:rFonts w:eastAsia="Arial"/>
          <w:rtl/>
        </w:rPr>
        <w:t xml:space="preserve">بيَّن الكثير من الردود أن أهداف السياسة التي يقوم عليها استثناء الاستخدام </w:t>
      </w:r>
      <w:r w:rsidR="007D64B1">
        <w:rPr>
          <w:rFonts w:eastAsia="Arial" w:hint="cs"/>
          <w:rtl/>
        </w:rPr>
        <w:t>الشخصي</w:t>
      </w:r>
      <w:r>
        <w:rPr>
          <w:rFonts w:eastAsia="Arial"/>
          <w:rtl/>
        </w:rPr>
        <w:t xml:space="preserve"> أو غير التجاري تتعلق بتحقيق التوازن بين المصالح المشروعة.</w:t>
      </w:r>
      <w:r w:rsidR="006B6288">
        <w:rPr>
          <w:rFonts w:eastAsia="Arial"/>
          <w:rtl/>
        </w:rPr>
        <w:t xml:space="preserve"> </w:t>
      </w:r>
      <w:r>
        <w:rPr>
          <w:rFonts w:eastAsia="Arial"/>
          <w:rtl/>
        </w:rPr>
        <w:t xml:space="preserve">فعلى سبيل المثال، ذكر الرد الوارد من النمسا الحاجة إلى إقامة توازن بين الاستخدام </w:t>
      </w:r>
      <w:r w:rsidR="00201956">
        <w:rPr>
          <w:rFonts w:eastAsia="Arial" w:hint="cs"/>
          <w:rtl/>
        </w:rPr>
        <w:t>الشخصي</w:t>
      </w:r>
      <w:r>
        <w:rPr>
          <w:rFonts w:eastAsia="Arial"/>
          <w:rtl/>
        </w:rPr>
        <w:t xml:space="preserve"> والاستخدام التجاري.</w:t>
      </w:r>
      <w:r w:rsidR="006B6288">
        <w:rPr>
          <w:rFonts w:eastAsia="Arial"/>
          <w:rtl/>
        </w:rPr>
        <w:t xml:space="preserve"> </w:t>
      </w:r>
      <w:r>
        <w:rPr>
          <w:rFonts w:eastAsia="Arial"/>
          <w:rtl/>
        </w:rPr>
        <w:t>وأشار رد البرازيل إلى الاستثناء الذي لا يتعارض على نحو غير معقول مع استخدام طبيعي للبراءة ولا يخل على نحو غير معقول بالمصالح المشروعة لمالك البراءة، مع مراعاة المصالح المشروعة للأطراف الثالثة، بغية الإسهام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w:t>
      </w:r>
      <w:r w:rsidR="00781C84">
        <w:rPr>
          <w:rFonts w:eastAsia="Arial"/>
          <w:rtl/>
        </w:rPr>
        <w:t>ق والالتزامات.</w:t>
      </w:r>
      <w:r w:rsidR="006B6288">
        <w:rPr>
          <w:rFonts w:eastAsia="Arial"/>
          <w:rtl/>
        </w:rPr>
        <w:t xml:space="preserve"> </w:t>
      </w:r>
      <w:r w:rsidR="00781C84">
        <w:rPr>
          <w:rFonts w:eastAsia="Arial"/>
          <w:rtl/>
        </w:rPr>
        <w:t>وبيَّن الرد الو</w:t>
      </w:r>
      <w:r w:rsidR="00781C84">
        <w:rPr>
          <w:rFonts w:eastAsia="Arial" w:hint="cs"/>
          <w:rtl/>
        </w:rPr>
        <w:t>ا</w:t>
      </w:r>
      <w:r>
        <w:rPr>
          <w:rFonts w:eastAsia="Arial"/>
          <w:rtl/>
        </w:rPr>
        <w:t xml:space="preserve">رد من الصين أن "الاستخدام </w:t>
      </w:r>
      <w:r w:rsidR="007D64B1">
        <w:rPr>
          <w:rFonts w:eastAsia="Arial" w:hint="cs"/>
          <w:rtl/>
        </w:rPr>
        <w:t>الشخصي</w:t>
      </w:r>
      <w:r>
        <w:rPr>
          <w:rFonts w:eastAsia="Arial"/>
          <w:rtl/>
        </w:rPr>
        <w:t xml:space="preserve"> أو غير التجاري لا يؤثر في المصالح الاقتصادية لأصحاب الحقوق ولا لعموم الجماهير، فلا ينبغي إذاً السم</w:t>
      </w:r>
      <w:r w:rsidR="00781C84">
        <w:rPr>
          <w:rFonts w:eastAsia="Arial"/>
          <w:rtl/>
        </w:rPr>
        <w:t>اح لأص</w:t>
      </w:r>
      <w:r>
        <w:rPr>
          <w:rFonts w:eastAsia="Arial"/>
          <w:rtl/>
        </w:rPr>
        <w:t xml:space="preserve">حاب الحقوق بالتمتع بالملكية </w:t>
      </w:r>
      <w:proofErr w:type="spellStart"/>
      <w:r>
        <w:rPr>
          <w:rFonts w:eastAsia="Arial"/>
          <w:rtl/>
        </w:rPr>
        <w:t>الاستئثارية</w:t>
      </w:r>
      <w:proofErr w:type="spellEnd"/>
      <w:r>
        <w:rPr>
          <w:rFonts w:eastAsia="Arial"/>
          <w:rtl/>
        </w:rPr>
        <w:t xml:space="preserve"> المطلقة" في سبيل تعزيز "التنمية الاقتصادية للمجتمع بأسره أو رفاهته"،</w:t>
      </w:r>
      <w:r w:rsidR="006B6288">
        <w:rPr>
          <w:rFonts w:eastAsia="Arial"/>
          <w:rtl/>
        </w:rPr>
        <w:t xml:space="preserve"> </w:t>
      </w:r>
      <w:r>
        <w:rPr>
          <w:rFonts w:eastAsia="Arial"/>
          <w:rtl/>
        </w:rPr>
        <w:t>وإلا "فإن من شأن ذلك أن يجعل تغطية البراءات مفرطة الاتساع على نحوٍ يعطل الأنشطة الطبيعية لعموم ال</w:t>
      </w:r>
      <w:r w:rsidR="00AB0F0D">
        <w:rPr>
          <w:rFonts w:eastAsia="Arial"/>
          <w:rtl/>
        </w:rPr>
        <w:t>جماهير"</w:t>
      </w:r>
      <w:r>
        <w:rPr>
          <w:rStyle w:val="FootnoteReference"/>
          <w:iCs/>
          <w:szCs w:val="22"/>
        </w:rPr>
        <w:footnoteReference w:id="2"/>
      </w:r>
      <w:r w:rsidR="00AB0F0D">
        <w:rPr>
          <w:rFonts w:eastAsia="Arial" w:hint="cs"/>
          <w:rtl/>
        </w:rPr>
        <w:t>.</w:t>
      </w:r>
      <w:r w:rsidR="006B6288">
        <w:rPr>
          <w:rFonts w:eastAsia="Arial"/>
          <w:rtl/>
        </w:rPr>
        <w:t xml:space="preserve"> </w:t>
      </w:r>
      <w:r>
        <w:rPr>
          <w:rFonts w:eastAsia="Arial"/>
          <w:rtl/>
        </w:rPr>
        <w:t>وفي هنغاريا، على سبيل المثال، لا يعتبر الاستخدام الشخصي إخلالا</w:t>
      </w:r>
      <w:r w:rsidR="00AB0F0D">
        <w:rPr>
          <w:rFonts w:eastAsia="Arial"/>
          <w:rtl/>
        </w:rPr>
        <w:t>ً "بالاستغلال الطبيعي" للبراءات</w:t>
      </w:r>
      <w:r>
        <w:rPr>
          <w:rStyle w:val="FootnoteReference"/>
          <w:szCs w:val="22"/>
        </w:rPr>
        <w:footnoteReference w:id="3"/>
      </w:r>
      <w:r w:rsidR="00AB0F0D">
        <w:rPr>
          <w:rFonts w:eastAsia="Arial" w:hint="cs"/>
          <w:rtl/>
        </w:rPr>
        <w:t>.</w:t>
      </w:r>
    </w:p>
    <w:p w:rsidR="00F2394E" w:rsidRPr="000D2E77" w:rsidRDefault="00F2394E" w:rsidP="00AB0F0D">
      <w:pPr>
        <w:pStyle w:val="Heading2AR"/>
        <w:spacing w:before="0" w:after="240"/>
        <w:rPr>
          <w:i/>
          <w:iCs/>
        </w:rPr>
      </w:pPr>
      <w:r w:rsidRPr="000D2E77">
        <w:rPr>
          <w:rFonts w:eastAsia="Arial"/>
          <w:i/>
          <w:iCs/>
          <w:rtl/>
        </w:rPr>
        <w:lastRenderedPageBreak/>
        <w:t xml:space="preserve">الأساس المنطقي لنظام البراءات </w:t>
      </w:r>
    </w:p>
    <w:p w:rsidR="00F2394E" w:rsidRPr="000C07ED" w:rsidRDefault="00F2394E" w:rsidP="00A40C4E">
      <w:pPr>
        <w:pStyle w:val="NumberedParaAR"/>
      </w:pPr>
      <w:r>
        <w:rPr>
          <w:rFonts w:eastAsia="Arial"/>
          <w:rtl/>
        </w:rPr>
        <w:t>أفادت بعض الدول الأعضاء أن استخدامات الأطراف الثالثة بشكل شخصي أو غير تجاري لا تندرج ضمن مبررات إيجاد نظام البراءات.</w:t>
      </w:r>
      <w:r w:rsidR="006B6288">
        <w:rPr>
          <w:rFonts w:eastAsia="Arial"/>
          <w:rtl/>
        </w:rPr>
        <w:t xml:space="preserve"> </w:t>
      </w:r>
      <w:r>
        <w:rPr>
          <w:rFonts w:eastAsia="Arial"/>
          <w:rtl/>
        </w:rPr>
        <w:t>فعلى سبيل المثال، جاء في الرد الوارد من هولندا أن الهدف من نظام البراءات، وهو "مكافأة [مالك البراءة] على إسهامه في حالة التقنية الصناعية الراهنة بحق استئثاري في استغلال الاختراع"، لا ينطبق في حال</w:t>
      </w:r>
      <w:r w:rsidR="00AB0F0D">
        <w:rPr>
          <w:rFonts w:eastAsia="Arial"/>
          <w:rtl/>
        </w:rPr>
        <w:t>ة الأنشطة الشخصية وغير التجارية</w:t>
      </w:r>
      <w:r>
        <w:rPr>
          <w:rStyle w:val="FootnoteReference"/>
          <w:szCs w:val="22"/>
        </w:rPr>
        <w:footnoteReference w:id="4"/>
      </w:r>
      <w:r w:rsidR="00AB0F0D">
        <w:rPr>
          <w:rFonts w:eastAsia="Arial" w:hint="cs"/>
          <w:rtl/>
        </w:rPr>
        <w:t>.</w:t>
      </w:r>
      <w:r w:rsidR="006B6288">
        <w:rPr>
          <w:rFonts w:eastAsia="Arial"/>
          <w:rtl/>
        </w:rPr>
        <w:t xml:space="preserve"> </w:t>
      </w:r>
      <w:r>
        <w:rPr>
          <w:rFonts w:eastAsia="Arial"/>
          <w:rtl/>
        </w:rPr>
        <w:t>وذكر الرد الوارد من جمهورية كوريا أن الهدف من الحماية المكفولة بالبراءات هو "تطوير الصناعات، مما يجعل من إتاحة استثناء لحالات إعمال اختراع محمي ببراءة بشكل شخصي أو نظري أمراً مشروعاً."</w:t>
      </w:r>
      <w:r w:rsidR="006B6288">
        <w:rPr>
          <w:rFonts w:eastAsia="Arial"/>
          <w:rtl/>
        </w:rPr>
        <w:t xml:space="preserve"> </w:t>
      </w:r>
      <w:r>
        <w:rPr>
          <w:rFonts w:eastAsia="Arial"/>
          <w:rtl/>
        </w:rPr>
        <w:t>وردت النرويج بأن الأنشطة الشخصية وغير التجارية "خارج</w:t>
      </w:r>
      <w:r w:rsidR="00AB0F0D">
        <w:rPr>
          <w:rFonts w:eastAsia="Arial"/>
          <w:rtl/>
        </w:rPr>
        <w:t>ة عن نطاق الاستغلال كنشاط مهني"</w:t>
      </w:r>
      <w:r>
        <w:rPr>
          <w:rStyle w:val="FootnoteReference"/>
          <w:szCs w:val="22"/>
        </w:rPr>
        <w:footnoteReference w:id="5"/>
      </w:r>
      <w:r w:rsidR="00AB0F0D">
        <w:rPr>
          <w:rFonts w:eastAsia="Arial" w:hint="cs"/>
          <w:rtl/>
        </w:rPr>
        <w:t>.</w:t>
      </w:r>
      <w:r w:rsidR="006B6288">
        <w:rPr>
          <w:rFonts w:eastAsia="Arial"/>
          <w:rtl/>
        </w:rPr>
        <w:t xml:space="preserve"> </w:t>
      </w:r>
      <w:r>
        <w:rPr>
          <w:rFonts w:eastAsia="Arial"/>
          <w:rtl/>
        </w:rPr>
        <w:t>وعلى نحوٍ مماثل، ذكرت دول أعضاء أخرى، منها هنغاريا مثلاً، أن الاستثناء "لا يهدد الحافز على الابتكار".</w:t>
      </w:r>
    </w:p>
    <w:p w:rsidR="00F2394E" w:rsidRPr="000D2E77" w:rsidRDefault="00F2394E" w:rsidP="00AB0F0D">
      <w:pPr>
        <w:pStyle w:val="Heading2AR"/>
        <w:spacing w:before="0" w:after="240"/>
        <w:rPr>
          <w:i/>
          <w:iCs/>
        </w:rPr>
      </w:pPr>
      <w:r w:rsidRPr="000D2E77">
        <w:rPr>
          <w:rFonts w:eastAsia="Arial"/>
          <w:i/>
          <w:iCs/>
          <w:rtl/>
        </w:rPr>
        <w:t xml:space="preserve">تشجيع الأنشطة الخاصة والإبداعية والأكاديمية </w:t>
      </w:r>
    </w:p>
    <w:p w:rsidR="00F2394E" w:rsidRDefault="00F2394E" w:rsidP="00A36F47">
      <w:pPr>
        <w:pStyle w:val="NumberedParaAR"/>
      </w:pPr>
      <w:r>
        <w:rPr>
          <w:rFonts w:eastAsia="Arial"/>
          <w:rtl/>
        </w:rPr>
        <w:t>أبرزت بعض الدول الأعضاء جوانب إضافية لأهداف السياسات المنشودة، خاصة النشاط والإبداع الخاص والأكاديمي، والاستخدام الشخصي والعائلي، والبحث والتدريس</w:t>
      </w:r>
      <w:r w:rsidR="00A36F47">
        <w:rPr>
          <w:rStyle w:val="FootnoteReference"/>
          <w:szCs w:val="22"/>
        </w:rPr>
        <w:footnoteReference w:id="6"/>
      </w:r>
      <w:r>
        <w:rPr>
          <w:rFonts w:eastAsia="Arial"/>
          <w:rtl/>
        </w:rPr>
        <w:t>، علاوةً على نشر المعرفة.</w:t>
      </w:r>
      <w:r w:rsidR="006B6288">
        <w:rPr>
          <w:rFonts w:eastAsia="Arial"/>
          <w:rtl/>
        </w:rPr>
        <w:t xml:space="preserve"> </w:t>
      </w:r>
      <w:r>
        <w:rPr>
          <w:rFonts w:eastAsia="Arial"/>
          <w:rtl/>
        </w:rPr>
        <w:t>فعلى سبيل المثال، ذكرت هندوراس أن الاستثناء يستهدف "إزالة معوقات التجارة، وحماية الحق الشخصي البحت أو حق أفراد العائلة في الاستخدام، وتحفيز البحث العلمي والتدريس".</w:t>
      </w:r>
      <w:r w:rsidR="006B6288">
        <w:rPr>
          <w:rFonts w:eastAsia="Arial"/>
          <w:rtl/>
        </w:rPr>
        <w:t xml:space="preserve"> </w:t>
      </w:r>
      <w:r>
        <w:rPr>
          <w:rFonts w:eastAsia="Arial"/>
          <w:rtl/>
        </w:rPr>
        <w:t>وفي المكسيك، اعتًبرت أنشطة المحيط الخاص أو الأكاديمي والتي تُجرى لأغراض غير تجارية "داعمة وراعية للأنشطة الابتكارية القابلة للتطبيق الصناعي</w:t>
      </w:r>
      <w:r w:rsidR="00AB0F0D">
        <w:rPr>
          <w:rFonts w:eastAsia="Arial" w:hint="cs"/>
          <w:rtl/>
        </w:rPr>
        <w:t>"</w:t>
      </w:r>
      <w:r w:rsidR="00AB0F0D">
        <w:rPr>
          <w:rFonts w:eastAsia="Arial"/>
          <w:rtl/>
        </w:rPr>
        <w:t>.</w:t>
      </w:r>
      <w:r>
        <w:rPr>
          <w:rFonts w:eastAsia="Arial"/>
          <w:rtl/>
        </w:rPr>
        <w:t xml:space="preserve"> وعلى نفس المنوال، بيَّن الرد الوارد من قبرص أن الاستثناء يستهدف "تشجيع المبادرات الشخصية، خاصة في مجال التعليم، في الكليات والجامعات" وأن</w:t>
      </w:r>
      <w:r w:rsidR="002B4324">
        <w:rPr>
          <w:rFonts w:eastAsia="Arial" w:hint="cs"/>
          <w:rtl/>
        </w:rPr>
        <w:t xml:space="preserve"> </w:t>
      </w:r>
      <w:r>
        <w:rPr>
          <w:rFonts w:eastAsia="Arial"/>
          <w:rtl/>
        </w:rPr>
        <w:t>"استخدام أطراف ثالثة لاختراعات محمية ببراءات بشكل غير تجاري أو غير رامٍ إلى تحقيق أرباح ليس من شأنه إلحاق ضرر بأصحاب البراءات.</w:t>
      </w:r>
      <w:r w:rsidR="006B6288">
        <w:rPr>
          <w:rFonts w:eastAsia="Arial"/>
          <w:rtl/>
        </w:rPr>
        <w:t xml:space="preserve"> </w:t>
      </w:r>
      <w:r>
        <w:rPr>
          <w:rFonts w:eastAsia="Arial"/>
          <w:rtl/>
        </w:rPr>
        <w:t>وبنفس المنطق، أفاد الردان الواردان من إيطاليا ورومانيا أنه من غير المقصود من البراءات أن "تقتحم المحيط الشخصي".</w:t>
      </w:r>
      <w:r w:rsidR="006B6288">
        <w:rPr>
          <w:rFonts w:eastAsia="Arial"/>
          <w:rtl/>
        </w:rPr>
        <w:t xml:space="preserve"> </w:t>
      </w:r>
      <w:r>
        <w:rPr>
          <w:rFonts w:eastAsia="Arial"/>
          <w:rtl/>
        </w:rPr>
        <w:t xml:space="preserve">كما بيَّن الرد الوارد من سري </w:t>
      </w:r>
      <w:proofErr w:type="spellStart"/>
      <w:r>
        <w:rPr>
          <w:rFonts w:eastAsia="Arial"/>
          <w:rtl/>
        </w:rPr>
        <w:t>لانكا</w:t>
      </w:r>
      <w:proofErr w:type="spellEnd"/>
      <w:r>
        <w:rPr>
          <w:rFonts w:eastAsia="Arial"/>
          <w:rtl/>
        </w:rPr>
        <w:t xml:space="preserve"> أن الهدف هو "تشجيع الإبداع مع حماية حق</w:t>
      </w:r>
      <w:r w:rsidR="00AB0F0D">
        <w:rPr>
          <w:rFonts w:eastAsia="Arial"/>
          <w:rtl/>
        </w:rPr>
        <w:t>وق أصحاب البراءات في نفس الوقت"</w:t>
      </w:r>
      <w:r>
        <w:rPr>
          <w:rStyle w:val="FootnoteReference"/>
          <w:szCs w:val="22"/>
        </w:rPr>
        <w:footnoteReference w:id="7"/>
      </w:r>
      <w:r w:rsidR="00AB0F0D">
        <w:rPr>
          <w:rFonts w:eastAsia="Arial" w:hint="cs"/>
          <w:rtl/>
        </w:rPr>
        <w:t>.</w:t>
      </w:r>
      <w:r w:rsidR="006B6288">
        <w:rPr>
          <w:rFonts w:eastAsia="Arial"/>
          <w:rtl/>
        </w:rPr>
        <w:t xml:space="preserve"> </w:t>
      </w:r>
      <w:r>
        <w:rPr>
          <w:rFonts w:eastAsia="Arial"/>
          <w:rtl/>
        </w:rPr>
        <w:t>وضم الرد الوارد من المملكة المتحدة جانباً آخر، حيث ذكر أنه "ينبغي أن يكون من الممكن إجراء أنشطة ثانوية دون إع</w:t>
      </w:r>
      <w:r w:rsidR="00AB0F0D">
        <w:rPr>
          <w:rFonts w:eastAsia="Arial"/>
          <w:rtl/>
        </w:rPr>
        <w:t>اقة بسبب خطر التعدي على البراءة</w:t>
      </w:r>
      <w:r>
        <w:rPr>
          <w:rFonts w:eastAsia="Arial"/>
          <w:rtl/>
        </w:rPr>
        <w:t>"</w:t>
      </w:r>
      <w:r w:rsidR="00AB0F0D">
        <w:rPr>
          <w:rFonts w:eastAsia="Arial" w:hint="cs"/>
          <w:rtl/>
        </w:rPr>
        <w:t>.</w:t>
      </w:r>
    </w:p>
    <w:p w:rsidR="00F2394E" w:rsidRPr="002B4324" w:rsidRDefault="00F2394E" w:rsidP="001061D4">
      <w:pPr>
        <w:pStyle w:val="Heading2AR"/>
        <w:spacing w:before="0" w:after="240"/>
        <w:rPr>
          <w:i/>
          <w:iCs/>
        </w:rPr>
      </w:pPr>
      <w:r w:rsidRPr="002B4324">
        <w:rPr>
          <w:rFonts w:eastAsia="Arial"/>
          <w:i/>
          <w:iCs/>
          <w:rtl/>
        </w:rPr>
        <w:t>تقاسم المعارف والبحث التجريبي والنهوض بالبحث والتطوير</w:t>
      </w:r>
    </w:p>
    <w:p w:rsidR="00F2394E" w:rsidRPr="00261A8E" w:rsidRDefault="00F2394E" w:rsidP="00A36F47">
      <w:pPr>
        <w:pStyle w:val="NumberedParaAR"/>
      </w:pPr>
      <w:r>
        <w:rPr>
          <w:rFonts w:eastAsia="Arial"/>
          <w:rtl/>
        </w:rPr>
        <w:t>أبرزت بعض الدول الأعضاء</w:t>
      </w:r>
      <w:r>
        <w:rPr>
          <w:rStyle w:val="FootnoteReference"/>
          <w:szCs w:val="22"/>
        </w:rPr>
        <w:footnoteReference w:id="8"/>
      </w:r>
      <w:r>
        <w:rPr>
          <w:rFonts w:eastAsia="Arial"/>
          <w:rtl/>
        </w:rPr>
        <w:t xml:space="preserve"> استهداف الاستثناء التشجيع على تقاسم المعارف والبحث التجريبي والنهوض بالبحث والتطوير، </w:t>
      </w:r>
      <w:r w:rsidR="00277F27">
        <w:rPr>
          <w:rFonts w:eastAsia="Arial" w:hint="cs"/>
          <w:rtl/>
        </w:rPr>
        <w:t xml:space="preserve">حيث </w:t>
      </w:r>
      <w:r>
        <w:rPr>
          <w:rFonts w:eastAsia="Arial"/>
          <w:rtl/>
        </w:rPr>
        <w:t xml:space="preserve">بيَّن الرد الوارد من المكسيك أن "أنشطة البحث أو الاختبار أو التدريس ذات الطابع التجريبي أو العلمي أو التكنولوجي المحض التي تتضمن تصنيع أو استخدام منتج </w:t>
      </w:r>
      <w:r w:rsidR="00277F27">
        <w:rPr>
          <w:rFonts w:eastAsia="Arial" w:hint="cs"/>
          <w:rtl/>
        </w:rPr>
        <w:t xml:space="preserve">محمي </w:t>
      </w:r>
      <w:r>
        <w:rPr>
          <w:rFonts w:eastAsia="Arial"/>
          <w:rtl/>
        </w:rPr>
        <w:t xml:space="preserve">أو عملية محمية ببراءة ضمن المحيط الشخصي أو الأكاديمي ولأغراض غير تجارية لهي أنشطة تعزز وترعى النشاط الابتكاري القابل للتطبيق صناعياً، والتحسينات التقنية، ونشر </w:t>
      </w:r>
      <w:r>
        <w:rPr>
          <w:rFonts w:eastAsia="Arial"/>
          <w:rtl/>
        </w:rPr>
        <w:lastRenderedPageBreak/>
        <w:t>المعرفة التكنولوجية ض</w:t>
      </w:r>
      <w:r w:rsidR="001061D4">
        <w:rPr>
          <w:rFonts w:eastAsia="Arial"/>
          <w:rtl/>
        </w:rPr>
        <w:t>من القطاعين الإنتاجي والأكاديمي</w:t>
      </w:r>
      <w:r>
        <w:rPr>
          <w:rFonts w:eastAsia="Arial"/>
          <w:rtl/>
        </w:rPr>
        <w:t>"</w:t>
      </w:r>
      <w:r>
        <w:rPr>
          <w:rStyle w:val="FootnoteReference"/>
          <w:szCs w:val="22"/>
        </w:rPr>
        <w:footnoteReference w:id="9"/>
      </w:r>
      <w:r w:rsidR="001061D4">
        <w:rPr>
          <w:rFonts w:eastAsia="Arial" w:hint="cs"/>
          <w:rtl/>
        </w:rPr>
        <w:t>.</w:t>
      </w:r>
      <w:r w:rsidR="006B6288">
        <w:rPr>
          <w:rFonts w:eastAsia="Arial"/>
          <w:rtl/>
        </w:rPr>
        <w:t xml:space="preserve"> </w:t>
      </w:r>
      <w:r>
        <w:rPr>
          <w:rFonts w:eastAsia="Arial"/>
          <w:rtl/>
        </w:rPr>
        <w:t xml:space="preserve">واعتبر الرد الوارد من الاتحاد الروسي أن "لأفراد الجمهور مصلحة في النفاذ غير المقيد </w:t>
      </w:r>
      <w:r w:rsidR="001061D4">
        <w:rPr>
          <w:rFonts w:eastAsia="Arial"/>
          <w:rtl/>
        </w:rPr>
        <w:t>إلى نتائج النشاط الفكري المحمية</w:t>
      </w:r>
      <w:r>
        <w:rPr>
          <w:rFonts w:eastAsia="Arial"/>
          <w:rtl/>
        </w:rPr>
        <w:t>"</w:t>
      </w:r>
      <w:r w:rsidR="001061D4">
        <w:rPr>
          <w:rFonts w:eastAsia="Arial" w:hint="cs"/>
          <w:rtl/>
        </w:rPr>
        <w:t>.</w:t>
      </w:r>
      <w:r w:rsidR="006B6288">
        <w:rPr>
          <w:rFonts w:eastAsia="Arial"/>
          <w:rtl/>
        </w:rPr>
        <w:t xml:space="preserve"> </w:t>
      </w:r>
      <w:r>
        <w:rPr>
          <w:rFonts w:eastAsia="Arial"/>
          <w:rtl/>
        </w:rPr>
        <w:t>وأفاد الرد الوارد من الأردن أن الاستثناء يشجع تقاسم المعارف والخبرات، ويعزز البحث والتطوير.</w:t>
      </w:r>
      <w:r w:rsidR="006B6288">
        <w:rPr>
          <w:rFonts w:eastAsia="Arial"/>
          <w:rtl/>
        </w:rPr>
        <w:t xml:space="preserve"> </w:t>
      </w:r>
    </w:p>
    <w:p w:rsidR="00F2394E" w:rsidRPr="00B40574" w:rsidRDefault="00F2394E" w:rsidP="001061D4">
      <w:pPr>
        <w:pStyle w:val="Heading2AR"/>
        <w:spacing w:before="0" w:after="240"/>
        <w:rPr>
          <w:i/>
          <w:iCs/>
        </w:rPr>
      </w:pPr>
      <w:r w:rsidRPr="00D0733C">
        <w:rPr>
          <w:rFonts w:eastAsia="Arial"/>
          <w:i/>
          <w:iCs/>
          <w:rtl/>
        </w:rPr>
        <w:t xml:space="preserve">أهداف السياسة العامة الأخرى </w:t>
      </w:r>
    </w:p>
    <w:p w:rsidR="00F2394E" w:rsidRPr="007F0B47" w:rsidRDefault="00F2394E" w:rsidP="001061D4">
      <w:pPr>
        <w:pStyle w:val="NumberedParaAR"/>
        <w:rPr>
          <w:bCs/>
        </w:rPr>
      </w:pPr>
      <w:r w:rsidRPr="00B40574">
        <w:rPr>
          <w:rFonts w:eastAsia="Arial"/>
          <w:rtl/>
        </w:rPr>
        <w:t>أفادت بعض الدول الأعضاء الأخرى أن الهدف من إتاحة هذا الاستثناء هو الامتثال لقوانين إقليمية أو دولية قائمة أو مرتقبة.</w:t>
      </w:r>
      <w:r w:rsidR="006B6288" w:rsidRPr="00B40574">
        <w:rPr>
          <w:rFonts w:eastAsia="Arial"/>
          <w:rtl/>
        </w:rPr>
        <w:t xml:space="preserve"> </w:t>
      </w:r>
      <w:r w:rsidRPr="00B40574">
        <w:rPr>
          <w:rFonts w:eastAsia="Arial"/>
          <w:rtl/>
        </w:rPr>
        <w:t>و</w:t>
      </w:r>
      <w:r w:rsidR="00C42C83">
        <w:rPr>
          <w:rFonts w:eastAsia="Arial" w:hint="cs"/>
          <w:rtl/>
        </w:rPr>
        <w:t>أ</w:t>
      </w:r>
      <w:r w:rsidRPr="00B40574">
        <w:rPr>
          <w:rFonts w:eastAsia="Arial"/>
          <w:rtl/>
        </w:rPr>
        <w:t xml:space="preserve">شار الرد الوارد من لاتفيا </w:t>
      </w:r>
      <w:r w:rsidR="00C42C83">
        <w:rPr>
          <w:rFonts w:eastAsia="Arial" w:hint="cs"/>
          <w:rtl/>
        </w:rPr>
        <w:t xml:space="preserve">في هذا الصدد </w:t>
      </w:r>
      <w:r w:rsidRPr="00B40574">
        <w:rPr>
          <w:rFonts w:eastAsia="Arial"/>
          <w:rtl/>
        </w:rPr>
        <w:t xml:space="preserve">إلى المادة </w:t>
      </w:r>
      <w:r w:rsidRPr="00B40574">
        <w:rPr>
          <w:rFonts w:eastAsia="Arial"/>
        </w:rPr>
        <w:t>30</w:t>
      </w:r>
      <w:r w:rsidRPr="00B40574">
        <w:rPr>
          <w:rFonts w:eastAsia="Arial"/>
          <w:rtl/>
        </w:rPr>
        <w:t xml:space="preserve"> من الاتفاق بشأن جوانب حقوق الملكية الفكرية المتصلة بالتجارة (اتفاق </w:t>
      </w:r>
      <w:proofErr w:type="spellStart"/>
      <w:r w:rsidRPr="00B40574">
        <w:rPr>
          <w:rFonts w:eastAsia="Arial"/>
          <w:rtl/>
        </w:rPr>
        <w:t>تريبس</w:t>
      </w:r>
      <w:proofErr w:type="spellEnd"/>
      <w:r w:rsidRPr="00B40574">
        <w:rPr>
          <w:rFonts w:eastAsia="Arial"/>
          <w:rtl/>
        </w:rPr>
        <w:t>).</w:t>
      </w:r>
      <w:r w:rsidR="006B6288" w:rsidRPr="00B40574">
        <w:rPr>
          <w:rFonts w:eastAsia="Arial"/>
          <w:rtl/>
        </w:rPr>
        <w:t xml:space="preserve"> </w:t>
      </w:r>
      <w:r w:rsidRPr="00B40574">
        <w:rPr>
          <w:rFonts w:eastAsia="Arial"/>
          <w:rtl/>
        </w:rPr>
        <w:t>وعلى نفس المنوال، بيَّنت الدانمرك وإيطاليا والمملكة المتحدة أن الاستثناء</w:t>
      </w:r>
      <w:r w:rsidR="006B6288" w:rsidRPr="00B40574">
        <w:rPr>
          <w:rFonts w:eastAsia="Arial"/>
          <w:rtl/>
        </w:rPr>
        <w:t xml:space="preserve"> </w:t>
      </w:r>
      <w:r w:rsidRPr="00B40574">
        <w:rPr>
          <w:rFonts w:eastAsia="Arial"/>
          <w:rtl/>
        </w:rPr>
        <w:t xml:space="preserve">مكيَّف على المادتين </w:t>
      </w:r>
      <w:r w:rsidRPr="00B40574">
        <w:rPr>
          <w:rFonts w:eastAsia="Arial"/>
        </w:rPr>
        <w:t>27</w:t>
      </w:r>
      <w:r w:rsidRPr="00B40574">
        <w:rPr>
          <w:rFonts w:eastAsia="Arial"/>
          <w:rtl/>
        </w:rPr>
        <w:t>(أ) و</w:t>
      </w:r>
      <w:r w:rsidRPr="00B40574">
        <w:rPr>
          <w:rFonts w:eastAsia="Arial"/>
        </w:rPr>
        <w:t>31</w:t>
      </w:r>
      <w:r w:rsidRPr="00B40574">
        <w:rPr>
          <w:rFonts w:eastAsia="Arial"/>
          <w:rtl/>
        </w:rPr>
        <w:t xml:space="preserve">(أ) من الاتفاق بشأن البراءات المشتركة لعام </w:t>
      </w:r>
      <w:r w:rsidRPr="00B40574">
        <w:rPr>
          <w:rFonts w:eastAsia="Arial"/>
        </w:rPr>
        <w:t>1989</w:t>
      </w:r>
      <w:r w:rsidRPr="00B40574">
        <w:rPr>
          <w:rFonts w:eastAsia="Arial"/>
          <w:rtl/>
        </w:rPr>
        <w:t xml:space="preserve"> (لم يدخل حيز التنفيذ).</w:t>
      </w:r>
      <w:r w:rsidR="006B6288" w:rsidRPr="00B40574">
        <w:rPr>
          <w:rFonts w:eastAsia="Arial"/>
          <w:rtl/>
        </w:rPr>
        <w:t xml:space="preserve"> </w:t>
      </w:r>
      <w:r w:rsidRPr="00B40574">
        <w:rPr>
          <w:rFonts w:eastAsia="Arial"/>
          <w:rtl/>
        </w:rPr>
        <w:t xml:space="preserve">وعلى نحوٍ مشابه، عدلت ألبانيا قانونها الوطني بحيث يتماشى مع اتفاقية البراءات الأوروبية لعام </w:t>
      </w:r>
      <w:r w:rsidRPr="00B40574">
        <w:rPr>
          <w:rFonts w:eastAsia="Arial"/>
        </w:rPr>
        <w:t>2000</w:t>
      </w:r>
      <w:r w:rsidRPr="00B40574">
        <w:rPr>
          <w:rFonts w:eastAsia="Arial"/>
          <w:rtl/>
        </w:rPr>
        <w:t xml:space="preserve"> وتوجيهات الاتحاد الأوروبي المتعلقة بالاختراعات.</w:t>
      </w:r>
      <w:r w:rsidR="006B6288" w:rsidRPr="00B40574">
        <w:rPr>
          <w:rFonts w:eastAsia="Arial"/>
          <w:rtl/>
        </w:rPr>
        <w:t xml:space="preserve"> </w:t>
      </w:r>
      <w:r w:rsidRPr="00B40574">
        <w:rPr>
          <w:rFonts w:eastAsia="Arial"/>
          <w:rtl/>
        </w:rPr>
        <w:t>وحسب الرد الوارد من البرتغال، أُدخل استثناء الاستخدام العام و/أو غير التجاري في قا</w:t>
      </w:r>
      <w:r>
        <w:rPr>
          <w:rFonts w:eastAsia="Arial"/>
          <w:rtl/>
        </w:rPr>
        <w:t xml:space="preserve">نونها في عام </w:t>
      </w:r>
      <w:r>
        <w:rPr>
          <w:rFonts w:eastAsia="Arial"/>
        </w:rPr>
        <w:t>1995</w:t>
      </w:r>
      <w:r>
        <w:rPr>
          <w:rFonts w:eastAsia="Arial"/>
          <w:rtl/>
        </w:rPr>
        <w:t xml:space="preserve"> نتيجةً لانضمامها إلى الاتحاد الأوروبي واتفاقية البراءات الأوروبية.</w:t>
      </w:r>
      <w:r w:rsidR="006B6288">
        <w:rPr>
          <w:rFonts w:eastAsia="Arial"/>
          <w:rtl/>
        </w:rPr>
        <w:t xml:space="preserve"> </w:t>
      </w:r>
      <w:r>
        <w:rPr>
          <w:rFonts w:eastAsia="Arial"/>
          <w:rtl/>
        </w:rPr>
        <w:t>أما عن رد هونغ كونغ، فقد أشير فيه إلى قوانين ولايات قضائية أخرى، لا</w:t>
      </w:r>
      <w:r w:rsidR="001061D4">
        <w:rPr>
          <w:rFonts w:eastAsia="Arial" w:hint="eastAsia"/>
          <w:rtl/>
        </w:rPr>
        <w:t> </w:t>
      </w:r>
      <w:r>
        <w:rPr>
          <w:rFonts w:eastAsia="Arial"/>
          <w:rtl/>
        </w:rPr>
        <w:t xml:space="preserve">سيَّما المادة </w:t>
      </w:r>
      <w:r>
        <w:rPr>
          <w:rFonts w:eastAsia="Arial"/>
        </w:rPr>
        <w:t>42</w:t>
      </w:r>
      <w:r>
        <w:rPr>
          <w:rFonts w:eastAsia="Arial"/>
          <w:rtl/>
        </w:rPr>
        <w:t xml:space="preserve"> من قانون </w:t>
      </w:r>
      <w:r w:rsidR="001061D4">
        <w:rPr>
          <w:rFonts w:eastAsia="Arial"/>
          <w:rtl/>
        </w:rPr>
        <w:t xml:space="preserve">البراءات </w:t>
      </w:r>
      <w:proofErr w:type="spellStart"/>
      <w:r w:rsidR="001061D4">
        <w:rPr>
          <w:rFonts w:eastAsia="Arial"/>
          <w:rtl/>
        </w:rPr>
        <w:t>ال</w:t>
      </w:r>
      <w:r w:rsidR="001061D4">
        <w:rPr>
          <w:rFonts w:eastAsia="Arial" w:hint="cs"/>
          <w:rtl/>
        </w:rPr>
        <w:t>إ</w:t>
      </w:r>
      <w:r>
        <w:rPr>
          <w:rFonts w:eastAsia="Arial"/>
          <w:rtl/>
        </w:rPr>
        <w:t>يرلندي</w:t>
      </w:r>
      <w:proofErr w:type="spellEnd"/>
      <w:r>
        <w:rPr>
          <w:rFonts w:eastAsia="Arial"/>
          <w:rtl/>
        </w:rPr>
        <w:t>.</w:t>
      </w:r>
      <w:r w:rsidR="006B6288">
        <w:rPr>
          <w:rFonts w:eastAsia="Arial"/>
          <w:rtl/>
        </w:rPr>
        <w:t xml:space="preserve"> </w:t>
      </w:r>
    </w:p>
    <w:p w:rsidR="00F2394E" w:rsidRPr="00C3526E" w:rsidRDefault="00F2394E" w:rsidP="001061D4">
      <w:pPr>
        <w:pStyle w:val="Heading1AR"/>
        <w:spacing w:before="0" w:after="240"/>
      </w:pPr>
      <w:r>
        <w:rPr>
          <w:rFonts w:eastAsia="Arial"/>
          <w:rtl/>
        </w:rPr>
        <w:t>القانون الساري ونطاق الاستثناء</w:t>
      </w:r>
    </w:p>
    <w:p w:rsidR="00F2394E" w:rsidRDefault="00F2394E" w:rsidP="005B072D">
      <w:pPr>
        <w:pStyle w:val="NumberedParaAR"/>
      </w:pPr>
      <w:r>
        <w:rPr>
          <w:rFonts w:eastAsia="Arial"/>
          <w:rtl/>
        </w:rPr>
        <w:t>تنص معظم الدول الأعضاء في قوانينها على استثناء الاستخدام الشخصي و/أو غير التجاري.</w:t>
      </w:r>
      <w:r w:rsidR="006B6288">
        <w:rPr>
          <w:rFonts w:eastAsia="Arial"/>
          <w:rtl/>
        </w:rPr>
        <w:t xml:space="preserve"> </w:t>
      </w:r>
      <w:r>
        <w:rPr>
          <w:rFonts w:eastAsia="Arial"/>
          <w:rtl/>
        </w:rPr>
        <w:t>وانفرد الرد الوارد من أستراليا بالإعلان عن عدم تضمن قوانينها الاستثناء، مع النص عليه في القانون العام باعتباره "دفاع استخدام غير تجاري"</w:t>
      </w:r>
      <w:r>
        <w:rPr>
          <w:rStyle w:val="FootnoteReference"/>
          <w:szCs w:val="22"/>
        </w:rPr>
        <w:footnoteReference w:id="10"/>
      </w:r>
      <w:r>
        <w:rPr>
          <w:rFonts w:eastAsia="Arial"/>
          <w:rtl/>
        </w:rPr>
        <w:t>.</w:t>
      </w:r>
      <w:r w:rsidR="006B6288">
        <w:rPr>
          <w:rFonts w:eastAsia="Arial"/>
          <w:rtl/>
        </w:rPr>
        <w:t xml:space="preserve"> </w:t>
      </w:r>
    </w:p>
    <w:p w:rsidR="00F2394E" w:rsidRPr="00945137" w:rsidRDefault="00F2394E" w:rsidP="001061D4">
      <w:pPr>
        <w:pStyle w:val="Heading2AR"/>
        <w:spacing w:before="0" w:after="240"/>
        <w:rPr>
          <w:i/>
          <w:iCs/>
        </w:rPr>
      </w:pPr>
      <w:r w:rsidRPr="00945137">
        <w:rPr>
          <w:rFonts w:eastAsia="Arial"/>
          <w:i/>
          <w:iCs/>
          <w:rtl/>
        </w:rPr>
        <w:t>آليات لتنظيم استثناء الاستخدام الشخصي أو غير التجاري</w:t>
      </w:r>
    </w:p>
    <w:p w:rsidR="00F2394E" w:rsidRPr="00261A8E" w:rsidRDefault="00F2394E" w:rsidP="00945137">
      <w:pPr>
        <w:pStyle w:val="NumberedParaAR"/>
      </w:pPr>
      <w:r>
        <w:rPr>
          <w:rFonts w:eastAsia="Arial"/>
          <w:rtl/>
        </w:rPr>
        <w:t>يُستبعد الاستخدام الشخصي وغير التجاري، بحكم التعريف، من نطاق حق البراءة في بعض الدول الأعضاء</w:t>
      </w:r>
      <w:r>
        <w:rPr>
          <w:rStyle w:val="FootnoteReference"/>
          <w:szCs w:val="22"/>
        </w:rPr>
        <w:footnoteReference w:id="11"/>
      </w:r>
      <w:r>
        <w:rPr>
          <w:rFonts w:eastAsia="Arial"/>
          <w:rtl/>
        </w:rPr>
        <w:t>،</w:t>
      </w:r>
      <w:r w:rsidR="006B6288">
        <w:rPr>
          <w:rFonts w:eastAsia="Arial"/>
          <w:rtl/>
        </w:rPr>
        <w:t xml:space="preserve"> </w:t>
      </w:r>
      <w:r>
        <w:rPr>
          <w:rFonts w:eastAsia="Arial"/>
          <w:rtl/>
        </w:rPr>
        <w:t>حيث يُعر</w:t>
      </w:r>
      <w:r w:rsidR="00735B48">
        <w:rPr>
          <w:rFonts w:eastAsia="Arial" w:hint="cs"/>
          <w:rtl/>
        </w:rPr>
        <w:t>َّ</w:t>
      </w:r>
      <w:r>
        <w:rPr>
          <w:rFonts w:eastAsia="Arial"/>
          <w:rtl/>
        </w:rPr>
        <w:t>ف الحق الممنوح بموجب البراءة في الأساس على أنه الحق الذي يمنع الغير من استخدام ابتكار محمي ببراءة لأغراض تجارية، كأن يكون ذلك على سبيل المثال من أجل "أغراض صناعية أو تجارية" (الجزائر وكينيا ومدغشقر) أو "أغراض قائمة على أساس تجاري" (النمسا) أو "أغراض إنتاج أو أعمال تجارية" (الصين) أو استغلال "الابتكار تجاريا أو عمليا" (النرويج) أو لأنشطة "ضمن أعماله التجارية أو لصالحها" (هولندا) أو "نطاق صناعي أو تجاري" (أوغندا) أو استغلال "الابتكار المحمي ببراءة كوسيلة للتجارة" (اليابان) أو "التربح أو أغراض مهنية" (بولندا).</w:t>
      </w:r>
      <w:r w:rsidR="006B6288">
        <w:rPr>
          <w:rFonts w:eastAsia="Arial"/>
          <w:rtl/>
        </w:rPr>
        <w:t xml:space="preserve"> </w:t>
      </w:r>
      <w:r>
        <w:rPr>
          <w:rFonts w:eastAsia="Arial"/>
          <w:rtl/>
        </w:rPr>
        <w:t>وحسب الرد الوارد من إسرائيل، تفيد عبارة "استغلال اختراع" بشكل صريح استبعاد الأفعال التي "ليست على نطاق تجاري ولا تتسم بطابع تجاري".</w:t>
      </w:r>
      <w:r w:rsidR="006B6288">
        <w:rPr>
          <w:rFonts w:eastAsia="Arial"/>
          <w:rtl/>
        </w:rPr>
        <w:t xml:space="preserve"> </w:t>
      </w:r>
      <w:r>
        <w:rPr>
          <w:rFonts w:eastAsia="Arial"/>
          <w:rtl/>
        </w:rPr>
        <w:t xml:space="preserve">وأفاد الرد الوارد من النرويج أن الأنشطة "الخارجة عن الاستغلال كنشاط مهني" مستبعدة صراحةً من نطاق الحقوق </w:t>
      </w:r>
      <w:proofErr w:type="spellStart"/>
      <w:r>
        <w:rPr>
          <w:rFonts w:eastAsia="Arial"/>
          <w:rtl/>
        </w:rPr>
        <w:t>الاستئثارية</w:t>
      </w:r>
      <w:proofErr w:type="spellEnd"/>
      <w:r>
        <w:rPr>
          <w:rFonts w:eastAsia="Arial"/>
          <w:rtl/>
        </w:rPr>
        <w:t>.</w:t>
      </w:r>
      <w:r w:rsidR="006B6288">
        <w:rPr>
          <w:rFonts w:eastAsia="Arial"/>
          <w:rtl/>
        </w:rPr>
        <w:t xml:space="preserve"> </w:t>
      </w:r>
    </w:p>
    <w:p w:rsidR="00F2394E" w:rsidRDefault="00F2394E" w:rsidP="00B8551A">
      <w:pPr>
        <w:pStyle w:val="NumberedParaAR"/>
      </w:pPr>
      <w:r>
        <w:rPr>
          <w:rFonts w:eastAsia="Arial"/>
          <w:rtl/>
        </w:rPr>
        <w:lastRenderedPageBreak/>
        <w:t>ومع ذلك، فإن معظم الدول الأعضاء</w:t>
      </w:r>
      <w:r w:rsidRPr="00CF3F01">
        <w:rPr>
          <w:rStyle w:val="FootnoteReference"/>
          <w:szCs w:val="22"/>
        </w:rPr>
        <w:footnoteReference w:id="12"/>
      </w:r>
      <w:r>
        <w:rPr>
          <w:rFonts w:eastAsia="Arial"/>
          <w:rtl/>
        </w:rPr>
        <w:t xml:space="preserve"> تورد تعريفاً فضفاضاً لنطاق حقوق البراءات يحيط بجميع أنواع الأنشطة، وتنص صراحةً على استثناء الاستخدام الشخصي لأغراض غير تجارية أو الاستخدام الشخصي وغير التجاري من حقوق البراءة </w:t>
      </w:r>
      <w:proofErr w:type="spellStart"/>
      <w:r>
        <w:rPr>
          <w:rFonts w:eastAsia="Arial"/>
          <w:rtl/>
        </w:rPr>
        <w:t>الاستئثارية</w:t>
      </w:r>
      <w:proofErr w:type="spellEnd"/>
      <w:r>
        <w:rPr>
          <w:rFonts w:eastAsia="Arial"/>
          <w:rtl/>
        </w:rPr>
        <w:t>.</w:t>
      </w:r>
      <w:r w:rsidR="006B6288">
        <w:rPr>
          <w:rFonts w:eastAsia="Arial"/>
          <w:rtl/>
        </w:rPr>
        <w:t xml:space="preserve"> </w:t>
      </w:r>
      <w:r>
        <w:rPr>
          <w:rFonts w:eastAsia="Arial"/>
          <w:rtl/>
        </w:rPr>
        <w:t>وتنص أحكام الكثير من القوانين الوطنية في صياغة الاستثناء على انطباقه على الأفعال المتخذة في المحيط الشخصي ولأغراض غير تجارية</w:t>
      </w:r>
      <w:r w:rsidRPr="00C0400A">
        <w:rPr>
          <w:rStyle w:val="FootnoteReference"/>
          <w:szCs w:val="22"/>
        </w:rPr>
        <w:footnoteReference w:id="13"/>
      </w:r>
      <w:r>
        <w:rPr>
          <w:rFonts w:eastAsia="Arial"/>
          <w:rtl/>
        </w:rPr>
        <w:t xml:space="preserve"> أو على استخدام اختراع محمي ببراءة لسد احتياجات شخصية دون أي قصد للتربح</w:t>
      </w:r>
      <w:r w:rsidRPr="00C0400A">
        <w:rPr>
          <w:rStyle w:val="FootnoteReference"/>
          <w:szCs w:val="22"/>
        </w:rPr>
        <w:footnoteReference w:id="14"/>
      </w:r>
      <w:r>
        <w:rPr>
          <w:rFonts w:eastAsia="Arial"/>
          <w:rtl/>
        </w:rPr>
        <w:t>.</w:t>
      </w:r>
      <w:r w:rsidR="006B6288">
        <w:rPr>
          <w:rFonts w:eastAsia="Arial"/>
          <w:rtl/>
        </w:rPr>
        <w:t xml:space="preserve"> </w:t>
      </w:r>
      <w:r>
        <w:rPr>
          <w:rFonts w:eastAsia="Arial"/>
          <w:rtl/>
        </w:rPr>
        <w:t>وأفاد الرد الوارد من المملكة المتحدة أن الاستبعاد منصوص عليه لأفعال تتخذ "بشكل شخصي ولأغراض غير تجارية".</w:t>
      </w:r>
      <w:r w:rsidR="006B6288">
        <w:rPr>
          <w:rFonts w:eastAsia="Arial"/>
          <w:rtl/>
        </w:rPr>
        <w:t xml:space="preserve"> </w:t>
      </w:r>
      <w:r>
        <w:rPr>
          <w:rFonts w:eastAsia="Arial"/>
          <w:rtl/>
        </w:rPr>
        <w:t>وفي رومانيا، يقي</w:t>
      </w:r>
      <w:r w:rsidR="006B3095">
        <w:rPr>
          <w:rFonts w:eastAsia="Arial" w:hint="cs"/>
          <w:rtl/>
        </w:rPr>
        <w:t>َ</w:t>
      </w:r>
      <w:r>
        <w:rPr>
          <w:rFonts w:eastAsia="Arial"/>
          <w:rtl/>
        </w:rPr>
        <w:t>د الاستثناء بالأفعال المتخذة لأغراض شخصية وغير تجا</w:t>
      </w:r>
      <w:r w:rsidR="001061D4">
        <w:rPr>
          <w:rFonts w:eastAsia="Arial"/>
          <w:rtl/>
        </w:rPr>
        <w:t>رية "حصرياً"</w:t>
      </w:r>
      <w:r w:rsidRPr="00C0400A">
        <w:rPr>
          <w:vertAlign w:val="superscript"/>
        </w:rPr>
        <w:footnoteReference w:id="15"/>
      </w:r>
      <w:r w:rsidR="001061D4">
        <w:rPr>
          <w:rFonts w:eastAsia="Arial" w:hint="cs"/>
          <w:rtl/>
        </w:rPr>
        <w:t>.</w:t>
      </w:r>
      <w:r w:rsidR="006B6288">
        <w:rPr>
          <w:rFonts w:eastAsia="Arial"/>
          <w:rtl/>
        </w:rPr>
        <w:t xml:space="preserve"> </w:t>
      </w:r>
      <w:r>
        <w:rPr>
          <w:rFonts w:eastAsia="Arial"/>
          <w:rtl/>
        </w:rPr>
        <w:t>ويوضح قانون البراءات الصربي أنه "يتعين الوفاء بشرط الاستخدام غير التجاري والشخصي بشكل تراكمي".</w:t>
      </w:r>
      <w:r w:rsidR="006B6288">
        <w:rPr>
          <w:rFonts w:eastAsia="Arial"/>
          <w:rtl/>
        </w:rPr>
        <w:t xml:space="preserve"> </w:t>
      </w:r>
      <w:r>
        <w:rPr>
          <w:rFonts w:eastAsia="Arial"/>
          <w:rtl/>
        </w:rPr>
        <w:t>ونصت القوانين الوطنية لبعض الدول الأعضاء، منها على سبيل المثال الجمهورية التشيكية وفنلندا، على استثناء من أجل "الأفعال التي تتخذ لأغراض غير تجارية"</w:t>
      </w:r>
      <w:r w:rsidRPr="00C0400A">
        <w:rPr>
          <w:rStyle w:val="FootnoteReference"/>
          <w:szCs w:val="22"/>
        </w:rPr>
        <w:footnoteReference w:id="16"/>
      </w:r>
      <w:r>
        <w:rPr>
          <w:rFonts w:eastAsia="Arial"/>
          <w:rtl/>
        </w:rPr>
        <w:t>.</w:t>
      </w:r>
      <w:r w:rsidR="006B6288">
        <w:rPr>
          <w:rFonts w:eastAsia="Arial"/>
          <w:rtl/>
        </w:rPr>
        <w:t xml:space="preserve"> </w:t>
      </w:r>
    </w:p>
    <w:p w:rsidR="00F2394E" w:rsidRPr="00B8551A" w:rsidRDefault="00F2394E" w:rsidP="001061D4">
      <w:pPr>
        <w:pStyle w:val="Heading2AR"/>
        <w:spacing w:before="0" w:after="240"/>
        <w:rPr>
          <w:i/>
          <w:iCs/>
        </w:rPr>
      </w:pPr>
      <w:r w:rsidRPr="00B8551A">
        <w:rPr>
          <w:rFonts w:eastAsia="Arial"/>
          <w:i/>
          <w:iCs/>
          <w:rtl/>
        </w:rPr>
        <w:t>تعريفات المصطلحين "شخصي" و"تجاري"</w:t>
      </w:r>
    </w:p>
    <w:p w:rsidR="00F2394E" w:rsidRDefault="00F2394E" w:rsidP="001061D4">
      <w:pPr>
        <w:pStyle w:val="NumberedParaAR"/>
      </w:pPr>
      <w:r>
        <w:rPr>
          <w:rFonts w:eastAsia="Arial"/>
          <w:rtl/>
        </w:rPr>
        <w:t>لم يقدم من الدول الأعضاء معلومات حول تعريفات تعبيرات مثل "استعمال شخصي" أو "أنشطة غير تجارية" في ولاياتها القضائية إلا القليل</w:t>
      </w:r>
      <w:r w:rsidR="007A602D">
        <w:rPr>
          <w:rStyle w:val="FootnoteReference"/>
          <w:szCs w:val="22"/>
        </w:rPr>
        <w:footnoteReference w:id="17"/>
      </w:r>
      <w:r>
        <w:rPr>
          <w:rFonts w:eastAsia="Arial"/>
          <w:rtl/>
        </w:rPr>
        <w:t>.</w:t>
      </w:r>
      <w:r w:rsidR="006B6288">
        <w:rPr>
          <w:rFonts w:eastAsia="Arial"/>
          <w:rtl/>
        </w:rPr>
        <w:t xml:space="preserve"> </w:t>
      </w:r>
      <w:r>
        <w:rPr>
          <w:rFonts w:eastAsia="Arial"/>
          <w:rtl/>
        </w:rPr>
        <w:t>وتفسر بعض الدول الأعضاء الأنشطة التجارية بشكل فضفاض في هذا السياق،</w:t>
      </w:r>
      <w:r w:rsidR="006B6288">
        <w:rPr>
          <w:rFonts w:eastAsia="Arial"/>
          <w:rtl/>
        </w:rPr>
        <w:t xml:space="preserve"> </w:t>
      </w:r>
      <w:r>
        <w:rPr>
          <w:rFonts w:eastAsia="Arial"/>
          <w:rtl/>
        </w:rPr>
        <w:t xml:space="preserve">ففي هنغاريا، يرد التعريف </w:t>
      </w:r>
      <w:proofErr w:type="spellStart"/>
      <w:r>
        <w:rPr>
          <w:rFonts w:eastAsia="Arial"/>
          <w:rtl/>
        </w:rPr>
        <w:t>المفاهيمي</w:t>
      </w:r>
      <w:proofErr w:type="spellEnd"/>
      <w:r>
        <w:rPr>
          <w:rFonts w:eastAsia="Arial"/>
          <w:rtl/>
        </w:rPr>
        <w:t xml:space="preserve"> في قوانين أخرى، مث</w:t>
      </w:r>
      <w:r w:rsidR="001061D4">
        <w:rPr>
          <w:rFonts w:eastAsia="Arial"/>
          <w:rtl/>
        </w:rPr>
        <w:t>ل القانون المدني وقانون الضرائب</w:t>
      </w:r>
      <w:r>
        <w:rPr>
          <w:rStyle w:val="FootnoteReference"/>
          <w:szCs w:val="22"/>
        </w:rPr>
        <w:footnoteReference w:id="18"/>
      </w:r>
      <w:r w:rsidR="001061D4">
        <w:rPr>
          <w:rFonts w:eastAsia="Arial" w:hint="cs"/>
          <w:rtl/>
        </w:rPr>
        <w:t>.</w:t>
      </w:r>
      <w:r w:rsidR="006B6288">
        <w:rPr>
          <w:rFonts w:eastAsia="Arial"/>
          <w:rtl/>
        </w:rPr>
        <w:t xml:space="preserve"> </w:t>
      </w:r>
      <w:r w:rsidR="0065529B">
        <w:rPr>
          <w:rFonts w:eastAsia="Arial" w:hint="cs"/>
          <w:rtl/>
        </w:rPr>
        <w:t>و</w:t>
      </w:r>
      <w:r>
        <w:rPr>
          <w:rFonts w:eastAsia="Arial"/>
          <w:rtl/>
        </w:rPr>
        <w:t xml:space="preserve">جاء في الرد الوارد من جمهورية مولدوفا أنه، نظراً لعدم وجود تعريف، "تلزم المحكمة خلال نظرها في هذه القضايا </w:t>
      </w:r>
      <w:r w:rsidR="0065529B">
        <w:rPr>
          <w:rFonts w:eastAsia="Arial" w:hint="cs"/>
          <w:rtl/>
        </w:rPr>
        <w:t xml:space="preserve">نفسها </w:t>
      </w:r>
      <w:r>
        <w:rPr>
          <w:rFonts w:eastAsia="Arial"/>
          <w:rtl/>
        </w:rPr>
        <w:t xml:space="preserve">بأحكام اتفاق </w:t>
      </w:r>
      <w:proofErr w:type="spellStart"/>
      <w:r>
        <w:rPr>
          <w:rFonts w:eastAsia="Arial"/>
          <w:rtl/>
        </w:rPr>
        <w:t>تريبس</w:t>
      </w:r>
      <w:proofErr w:type="spellEnd"/>
      <w:r>
        <w:rPr>
          <w:rFonts w:eastAsia="Arial"/>
          <w:rtl/>
        </w:rPr>
        <w:t xml:space="preserve"> واتفاقية باريس لحماية الملكية</w:t>
      </w:r>
      <w:r w:rsidR="001061D4">
        <w:rPr>
          <w:rFonts w:eastAsia="Arial" w:hint="cs"/>
          <w:rtl/>
        </w:rPr>
        <w:t> </w:t>
      </w:r>
      <w:r>
        <w:rPr>
          <w:rFonts w:eastAsia="Arial"/>
          <w:rtl/>
        </w:rPr>
        <w:t>الصناعية".</w:t>
      </w:r>
    </w:p>
    <w:p w:rsidR="00F2394E" w:rsidRDefault="00F2394E" w:rsidP="00997ECF">
      <w:pPr>
        <w:pStyle w:val="NumberedParaAR"/>
      </w:pPr>
      <w:r>
        <w:rPr>
          <w:rFonts w:eastAsia="Arial"/>
          <w:rtl/>
        </w:rPr>
        <w:t>ووضحت معظم الدول الأعضاء التي قدمت تعريفاً ما مفهوم الاستخدام التجاري عن طريق الإشارة إلى أنشطة تستهدف التربح.</w:t>
      </w:r>
      <w:r w:rsidR="006B6288">
        <w:rPr>
          <w:rFonts w:eastAsia="Arial"/>
          <w:rtl/>
        </w:rPr>
        <w:t xml:space="preserve"> </w:t>
      </w:r>
      <w:r>
        <w:rPr>
          <w:rFonts w:eastAsia="Arial"/>
          <w:rtl/>
        </w:rPr>
        <w:t xml:space="preserve">فعلى سبيل المثال، بيَّن الرد الوارد من النمسا أن النشاط التجاري هو نشاط اقتصادي "له مدة محددة، ويتبع مفهوما موحدا ومهيئ للتكرار، ولا يهدف ـ دون أن يكون بالضرورة اكتسابياً - إلى تلبية الاحتياجات الشخصية </w:t>
      </w:r>
      <w:r>
        <w:rPr>
          <w:rFonts w:eastAsia="Arial"/>
          <w:rtl/>
        </w:rPr>
        <w:lastRenderedPageBreak/>
        <w:t>فقط".</w:t>
      </w:r>
      <w:r w:rsidR="006B6288">
        <w:rPr>
          <w:rFonts w:eastAsia="Arial"/>
          <w:rtl/>
        </w:rPr>
        <w:t xml:space="preserve"> </w:t>
      </w:r>
      <w:r>
        <w:rPr>
          <w:rFonts w:eastAsia="Arial"/>
          <w:rtl/>
        </w:rPr>
        <w:t xml:space="preserve">وفي إسرائيل، حسب سوابقها القضائية، يعرَّف الاستخدام غير التجاري على أنه "الاستخدام الشخصي غير المربح، </w:t>
      </w:r>
      <w:r w:rsidR="000517A6">
        <w:rPr>
          <w:rFonts w:eastAsia="Arial"/>
          <w:rtl/>
        </w:rPr>
        <w:t>مثل استغلال الاختراع لغرض منزلي</w:t>
      </w:r>
      <w:r>
        <w:rPr>
          <w:rFonts w:eastAsia="Arial"/>
          <w:rtl/>
        </w:rPr>
        <w:t>"</w:t>
      </w:r>
      <w:r w:rsidRPr="00640ECE">
        <w:rPr>
          <w:rStyle w:val="FootnoteReference"/>
          <w:szCs w:val="22"/>
        </w:rPr>
        <w:footnoteReference w:id="19"/>
      </w:r>
      <w:r w:rsidR="000517A6">
        <w:rPr>
          <w:rFonts w:eastAsia="Arial" w:hint="cs"/>
          <w:rtl/>
        </w:rPr>
        <w:t>.</w:t>
      </w:r>
      <w:r w:rsidR="006B6288">
        <w:rPr>
          <w:rFonts w:eastAsia="Arial"/>
          <w:rtl/>
        </w:rPr>
        <w:t xml:space="preserve"> </w:t>
      </w:r>
    </w:p>
    <w:p w:rsidR="00F2394E" w:rsidRDefault="00F2394E" w:rsidP="00E56D39">
      <w:pPr>
        <w:pStyle w:val="NumberedParaAR"/>
      </w:pPr>
      <w:r>
        <w:rPr>
          <w:rFonts w:eastAsia="Arial"/>
          <w:rtl/>
        </w:rPr>
        <w:t xml:space="preserve">أما الصين فالوضع فيها مختلف، حيث </w:t>
      </w:r>
      <w:r w:rsidR="00E56D39">
        <w:rPr>
          <w:rFonts w:eastAsia="Arial" w:hint="cs"/>
          <w:rtl/>
        </w:rPr>
        <w:t>يخلو قانونها من تعريف لهذا</w:t>
      </w:r>
      <w:r w:rsidR="00E56D39">
        <w:rPr>
          <w:rFonts w:eastAsia="Arial"/>
          <w:rtl/>
        </w:rPr>
        <w:t xml:space="preserve"> المصطلح</w:t>
      </w:r>
      <w:r>
        <w:rPr>
          <w:rFonts w:eastAsia="Arial"/>
          <w:rtl/>
        </w:rPr>
        <w:t>، غير أن مؤداه مفهوم على نطاق واسع على أنه أنشطة "لأغراض إنتاج صناعي أو زراعي، أو لأغراض تجارية"، بغض النظر عن كونه "مربحاً أو لا" وعن كون الكيان المعني "</w:t>
      </w:r>
      <w:proofErr w:type="spellStart"/>
      <w:r w:rsidR="008A3458">
        <w:rPr>
          <w:rFonts w:eastAsia="Arial" w:hint="cs"/>
          <w:rtl/>
        </w:rPr>
        <w:t>ربحياً</w:t>
      </w:r>
      <w:proofErr w:type="spellEnd"/>
      <w:r>
        <w:rPr>
          <w:rFonts w:eastAsia="Arial"/>
          <w:rtl/>
        </w:rPr>
        <w:t xml:space="preserve"> أو غير ربحي".</w:t>
      </w:r>
      <w:r w:rsidR="006B6288">
        <w:rPr>
          <w:rFonts w:eastAsia="Arial"/>
          <w:rtl/>
        </w:rPr>
        <w:t xml:space="preserve"> </w:t>
      </w:r>
      <w:r>
        <w:rPr>
          <w:rFonts w:eastAsia="Arial"/>
          <w:rtl/>
        </w:rPr>
        <w:t>ويسود في هولندا فهم للمصطلح باعتباره مفهوماً فضفاضاً، حيث يشمل "جميع أنواع الأنشطة المهنية، بما في ذلك الجام</w:t>
      </w:r>
      <w:r w:rsidR="000517A6">
        <w:rPr>
          <w:rFonts w:eastAsia="Arial"/>
          <w:rtl/>
        </w:rPr>
        <w:t>عات والأنشطة الحكومية/الإدارية"</w:t>
      </w:r>
      <w:r>
        <w:rPr>
          <w:rStyle w:val="FootnoteReference"/>
          <w:szCs w:val="22"/>
        </w:rPr>
        <w:footnoteReference w:id="20"/>
      </w:r>
      <w:r w:rsidR="000517A6">
        <w:rPr>
          <w:rFonts w:eastAsia="Arial" w:hint="cs"/>
          <w:rtl/>
        </w:rPr>
        <w:t>.</w:t>
      </w:r>
      <w:r w:rsidR="006B6288">
        <w:rPr>
          <w:rFonts w:eastAsia="Arial"/>
          <w:rtl/>
        </w:rPr>
        <w:t xml:space="preserve"> </w:t>
      </w:r>
    </w:p>
    <w:p w:rsidR="00F2394E" w:rsidRPr="000517A6" w:rsidRDefault="00F2394E" w:rsidP="00EB40E9">
      <w:pPr>
        <w:pStyle w:val="NumberedParaAR"/>
        <w:rPr>
          <w:iCs/>
        </w:rPr>
      </w:pPr>
      <w:r w:rsidRPr="000517A6">
        <w:rPr>
          <w:rFonts w:eastAsia="Arial"/>
          <w:rtl/>
        </w:rPr>
        <w:t xml:space="preserve">وفي الاتحاد الروسي، لا يمثل استخدام اختراع محمي ببراءة لتلبية الاحتياجات الشخصية أو العائلية أو المنزلية أو غيرها من الاحتياجات التي لا تتعلق بالأنشطة التجارية، بحيث لا يكون الهدف من هذا الاستخدام إدرار ربح أو عائد" </w:t>
      </w:r>
      <w:r w:rsidR="00EB40E9">
        <w:rPr>
          <w:rFonts w:eastAsia="Arial"/>
          <w:rtl/>
        </w:rPr>
        <w:t xml:space="preserve">تعدياً على حقوق براءة </w:t>
      </w:r>
      <w:proofErr w:type="spellStart"/>
      <w:r w:rsidR="00EB40E9">
        <w:rPr>
          <w:rFonts w:eastAsia="Arial"/>
          <w:rtl/>
        </w:rPr>
        <w:t>استئثارية</w:t>
      </w:r>
      <w:proofErr w:type="spellEnd"/>
      <w:r>
        <w:rPr>
          <w:rStyle w:val="FootnoteReference"/>
          <w:iCs/>
          <w:szCs w:val="22"/>
        </w:rPr>
        <w:footnoteReference w:id="21"/>
      </w:r>
      <w:r w:rsidR="00EB40E9">
        <w:rPr>
          <w:rFonts w:eastAsia="Arial" w:hint="cs"/>
          <w:rtl/>
        </w:rPr>
        <w:t>.</w:t>
      </w:r>
      <w:r w:rsidR="006B6288" w:rsidRPr="000517A6">
        <w:rPr>
          <w:rFonts w:eastAsia="Arial"/>
          <w:rtl/>
        </w:rPr>
        <w:t xml:space="preserve"> </w:t>
      </w:r>
      <w:r w:rsidRPr="000517A6">
        <w:rPr>
          <w:rFonts w:eastAsia="Arial"/>
          <w:rtl/>
        </w:rPr>
        <w:t>وذكر الرد الوارد من الاتحاد الروسي أنه "يجب أن تكون الأنشطة التجارية أنشطة مستقلة تدار على مسؤولية الفرد، وتهدف إلى تحقيق الربح على نحو منتظم من استغلال ملكية أو بيع بضائع أو أداء عمل أو تقديم خدمات بواسطة أفراد مسجلين بهذه الصفة في العملية القانونية المقررة"</w:t>
      </w:r>
      <w:r>
        <w:rPr>
          <w:rStyle w:val="FootnoteReference"/>
          <w:szCs w:val="22"/>
        </w:rPr>
        <w:footnoteReference w:id="22"/>
      </w:r>
      <w:r w:rsidRPr="000517A6">
        <w:rPr>
          <w:rFonts w:eastAsia="Arial"/>
          <w:rtl/>
        </w:rPr>
        <w:t>.</w:t>
      </w:r>
      <w:r w:rsidR="006B6288" w:rsidRPr="000517A6">
        <w:rPr>
          <w:rFonts w:eastAsia="Arial"/>
          <w:rtl/>
        </w:rPr>
        <w:t xml:space="preserve"> </w:t>
      </w:r>
      <w:r w:rsidRPr="000517A6">
        <w:rPr>
          <w:rFonts w:eastAsia="Arial"/>
          <w:rtl/>
        </w:rPr>
        <w:t xml:space="preserve">وأضيف إلى ذلك توضيح أن "الأغراض التجارية" تعني استخدام حل </w:t>
      </w:r>
      <w:r w:rsidR="00535E05" w:rsidRPr="000517A6">
        <w:rPr>
          <w:rFonts w:eastAsia="Arial" w:hint="cs"/>
          <w:rtl/>
        </w:rPr>
        <w:t>تقني</w:t>
      </w:r>
      <w:r w:rsidRPr="000517A6">
        <w:rPr>
          <w:rFonts w:eastAsia="Arial"/>
          <w:rtl/>
        </w:rPr>
        <w:t xml:space="preserve"> لتحقيق ربح، بينما يعني "غير تجاري" استخدام الاختراع لأغراض أخرى (شخصية أو مفيدة اجتماعياً، بما في ذلك حالات الطوارئ).</w:t>
      </w:r>
      <w:r w:rsidR="006B6288" w:rsidRPr="000517A6">
        <w:rPr>
          <w:rFonts w:eastAsia="Arial"/>
          <w:rtl/>
        </w:rPr>
        <w:t xml:space="preserve"> </w:t>
      </w:r>
      <w:r w:rsidRPr="000517A6">
        <w:rPr>
          <w:rFonts w:eastAsia="Arial"/>
          <w:rtl/>
        </w:rPr>
        <w:t>وعلى ذلك، لا تتعامل التشريعات الروسية الحالية مع الاحتياجات التي لا</w:t>
      </w:r>
      <w:r w:rsidR="00EB40E9">
        <w:rPr>
          <w:rFonts w:eastAsia="Arial" w:hint="cs"/>
          <w:rtl/>
        </w:rPr>
        <w:t> </w:t>
      </w:r>
      <w:r w:rsidRPr="000517A6">
        <w:rPr>
          <w:rFonts w:eastAsia="Arial"/>
          <w:rtl/>
        </w:rPr>
        <w:t xml:space="preserve">تتعلق بالأنشطة التجارية وإدرار الربح أو العائد على أنها تعدٍّ على حقوق البراءات </w:t>
      </w:r>
      <w:proofErr w:type="spellStart"/>
      <w:r w:rsidRPr="000517A6">
        <w:rPr>
          <w:rFonts w:eastAsia="Arial"/>
          <w:rtl/>
        </w:rPr>
        <w:t>الاستئثارية</w:t>
      </w:r>
      <w:proofErr w:type="spellEnd"/>
      <w:r w:rsidRPr="000517A6">
        <w:rPr>
          <w:rFonts w:eastAsia="Arial"/>
          <w:rtl/>
        </w:rPr>
        <w:t>.</w:t>
      </w:r>
      <w:r w:rsidR="006B6288" w:rsidRPr="000517A6">
        <w:rPr>
          <w:rFonts w:eastAsia="Arial"/>
          <w:rtl/>
        </w:rPr>
        <w:t xml:space="preserve"> </w:t>
      </w:r>
    </w:p>
    <w:p w:rsidR="00F2394E" w:rsidRDefault="00F2394E" w:rsidP="00EB40E9">
      <w:pPr>
        <w:pStyle w:val="NumberedParaAR"/>
        <w:rPr>
          <w:iCs/>
        </w:rPr>
      </w:pPr>
      <w:r>
        <w:rPr>
          <w:rFonts w:eastAsia="Arial"/>
          <w:rtl/>
        </w:rPr>
        <w:t>ولا عبرة في الاتحاد الروسي، عند النظر في إمكانية تطبيق الاستثناء ، لكون المنتج مصنعاً نتيجة لعمل إبداعي مستقل موازٍ أو باستخدام أفكار أشخاص آخرين (بما في ذلك استخدام مواد مرتبطة بطلبات براءة استخداماً مباشراً).</w:t>
      </w:r>
      <w:r w:rsidR="006B6288">
        <w:rPr>
          <w:rFonts w:eastAsia="Arial"/>
          <w:rtl/>
        </w:rPr>
        <w:t xml:space="preserve"> </w:t>
      </w:r>
      <w:r>
        <w:rPr>
          <w:rFonts w:eastAsia="Arial"/>
          <w:rtl/>
        </w:rPr>
        <w:t>ويتعين تفسير استخدام منتج أو عملية في تأمين أعمال مؤسسة أو تاجر (مثل التجهيزات المكتبية أو الأثاث المكتبي أو</w:t>
      </w:r>
      <w:r w:rsidR="00EB40E9">
        <w:rPr>
          <w:rFonts w:eastAsia="Arial" w:hint="cs"/>
          <w:rtl/>
        </w:rPr>
        <w:t> </w:t>
      </w:r>
      <w:r>
        <w:rPr>
          <w:rFonts w:eastAsia="Arial"/>
          <w:rtl/>
        </w:rPr>
        <w:t>المركبات وما إلى ذلك) على أنه</w:t>
      </w:r>
      <w:r w:rsidR="008D3C68">
        <w:rPr>
          <w:rFonts w:eastAsia="Arial" w:hint="cs"/>
          <w:rtl/>
        </w:rPr>
        <w:t xml:space="preserve"> موجه</w:t>
      </w:r>
      <w:r>
        <w:rPr>
          <w:rFonts w:eastAsia="Arial"/>
          <w:rtl/>
        </w:rPr>
        <w:t xml:space="preserve"> لأغراض لا </w:t>
      </w:r>
      <w:r w:rsidR="008D3C68">
        <w:rPr>
          <w:rFonts w:eastAsia="Arial" w:hint="cs"/>
          <w:rtl/>
        </w:rPr>
        <w:t>صلة</w:t>
      </w:r>
      <w:r>
        <w:rPr>
          <w:rFonts w:eastAsia="Arial"/>
          <w:rtl/>
        </w:rPr>
        <w:t xml:space="preserve"> بينه</w:t>
      </w:r>
      <w:r w:rsidR="008D3C68">
        <w:rPr>
          <w:rFonts w:eastAsia="Arial" w:hint="cs"/>
          <w:rtl/>
        </w:rPr>
        <w:t>ا</w:t>
      </w:r>
      <w:r>
        <w:rPr>
          <w:rFonts w:eastAsia="Arial"/>
          <w:rtl/>
        </w:rPr>
        <w:t xml:space="preserve"> وبين "الاستخدام الشخصي"</w:t>
      </w:r>
      <w:r>
        <w:rPr>
          <w:rStyle w:val="FootnoteReference"/>
          <w:iCs/>
          <w:szCs w:val="22"/>
        </w:rPr>
        <w:footnoteReference w:id="23"/>
      </w:r>
      <w:r w:rsidR="00EB40E9">
        <w:rPr>
          <w:rFonts w:eastAsia="Arial" w:hint="cs"/>
          <w:rtl/>
        </w:rPr>
        <w:t>.</w:t>
      </w:r>
      <w:r w:rsidR="006B6288">
        <w:rPr>
          <w:rFonts w:eastAsia="Arial"/>
          <w:rtl/>
        </w:rPr>
        <w:t xml:space="preserve"> </w:t>
      </w:r>
      <w:r>
        <w:rPr>
          <w:rFonts w:eastAsia="Arial"/>
          <w:rtl/>
        </w:rPr>
        <w:t>غير أنه من الممكن أن ينطبق الاستخدام الشخصي على الكيانات القانونية.</w:t>
      </w:r>
      <w:r w:rsidR="006B6288">
        <w:rPr>
          <w:rFonts w:eastAsia="Arial"/>
          <w:rtl/>
        </w:rPr>
        <w:t xml:space="preserve"> </w:t>
      </w:r>
      <w:r>
        <w:rPr>
          <w:rFonts w:eastAsia="Arial"/>
          <w:rtl/>
        </w:rPr>
        <w:t xml:space="preserve">فعلى سبيل المثال، من الممكن على وجه خاص اعتبار استخدام شركةٍ ما لمنتجٍ محمي ببراءة من أجل تنظيف الثلج داخل مقرها حتى تتيح لموظفيها المرور استخداماً شخصياً، بينما ينبغي اعتبار استخدام سوائل لتنظيف أرضيات مركز تجاري تأميناً لنشاط تجاري. </w:t>
      </w:r>
    </w:p>
    <w:p w:rsidR="00F2394E" w:rsidRDefault="00F2394E" w:rsidP="00EB40E9">
      <w:pPr>
        <w:pStyle w:val="NumberedParaAR"/>
      </w:pPr>
      <w:r>
        <w:rPr>
          <w:rFonts w:eastAsia="Arial"/>
          <w:rtl/>
        </w:rPr>
        <w:t>وتوجد في المملكة المتحدة سوابق قضائية توفر إرشاداً بشأن تفسير مصطلحي "شخصي" و"تجاري".</w:t>
      </w:r>
      <w:r w:rsidR="006B6288">
        <w:rPr>
          <w:rFonts w:eastAsia="Arial"/>
          <w:rtl/>
        </w:rPr>
        <w:t xml:space="preserve"> </w:t>
      </w:r>
      <w:r>
        <w:rPr>
          <w:rFonts w:eastAsia="Arial"/>
          <w:rtl/>
        </w:rPr>
        <w:t xml:space="preserve">ففي قضية شركة "مختبرات سميث وكلاين </w:t>
      </w:r>
      <w:proofErr w:type="spellStart"/>
      <w:r>
        <w:rPr>
          <w:rFonts w:eastAsia="Arial"/>
          <w:rtl/>
        </w:rPr>
        <w:t>وفرينش</w:t>
      </w:r>
      <w:proofErr w:type="spellEnd"/>
      <w:r>
        <w:rPr>
          <w:rFonts w:eastAsia="Arial"/>
          <w:rtl/>
        </w:rPr>
        <w:t>" المحدودة ضد شركة "</w:t>
      </w:r>
      <w:proofErr w:type="spellStart"/>
      <w:r>
        <w:rPr>
          <w:rFonts w:eastAsia="Arial"/>
          <w:rtl/>
        </w:rPr>
        <w:t>إيفانز</w:t>
      </w:r>
      <w:proofErr w:type="spellEnd"/>
      <w:r>
        <w:rPr>
          <w:rFonts w:eastAsia="Arial"/>
          <w:rtl/>
        </w:rPr>
        <w:t xml:space="preserve"> </w:t>
      </w:r>
      <w:proofErr w:type="spellStart"/>
      <w:r>
        <w:rPr>
          <w:rFonts w:eastAsia="Arial"/>
          <w:rtl/>
        </w:rPr>
        <w:t>ميديكال</w:t>
      </w:r>
      <w:proofErr w:type="spellEnd"/>
      <w:r>
        <w:rPr>
          <w:rFonts w:eastAsia="Arial"/>
          <w:rtl/>
        </w:rPr>
        <w:t>" المحدودة</w:t>
      </w:r>
      <w:r>
        <w:rPr>
          <w:rStyle w:val="FootnoteReference"/>
          <w:szCs w:val="22"/>
        </w:rPr>
        <w:footnoteReference w:id="24"/>
      </w:r>
      <w:r>
        <w:rPr>
          <w:rFonts w:eastAsia="Arial"/>
          <w:rtl/>
        </w:rPr>
        <w:t xml:space="preserve">، اعتبرت المحكمة أن عبارة "بشكل خاص" في المادة </w:t>
      </w:r>
      <w:r>
        <w:rPr>
          <w:rFonts w:eastAsia="Arial"/>
        </w:rPr>
        <w:t>60</w:t>
      </w:r>
      <w:r w:rsidR="006307C6">
        <w:rPr>
          <w:rFonts w:eastAsia="Arial" w:hint="cs"/>
          <w:rtl/>
        </w:rPr>
        <w:t>(</w:t>
      </w:r>
      <w:r>
        <w:rPr>
          <w:rFonts w:eastAsia="Arial"/>
        </w:rPr>
        <w:t>5</w:t>
      </w:r>
      <w:r>
        <w:rPr>
          <w:rFonts w:eastAsia="Arial"/>
          <w:rtl/>
        </w:rPr>
        <w:t>)(أ):</w:t>
      </w:r>
      <w:r w:rsidR="006B6288">
        <w:rPr>
          <w:rFonts w:eastAsia="Arial"/>
          <w:rtl/>
        </w:rPr>
        <w:t xml:space="preserve"> </w:t>
      </w:r>
      <w:r>
        <w:rPr>
          <w:rFonts w:eastAsia="Arial"/>
          <w:rtl/>
        </w:rPr>
        <w:t>"</w:t>
      </w:r>
      <w:r>
        <w:rPr>
          <w:rFonts w:eastAsia="Arial"/>
        </w:rPr>
        <w:t>1</w:t>
      </w:r>
      <w:r>
        <w:rPr>
          <w:rFonts w:eastAsia="Arial"/>
          <w:rtl/>
        </w:rPr>
        <w:t>" تتضمن حالات تجارية وأخرى غير تجارية؛ "</w:t>
      </w:r>
      <w:r>
        <w:rPr>
          <w:rFonts w:eastAsia="Arial"/>
        </w:rPr>
        <w:t>2</w:t>
      </w:r>
      <w:r>
        <w:rPr>
          <w:rFonts w:eastAsia="Arial"/>
          <w:rtl/>
        </w:rPr>
        <w:t>" وليست مرادفة لكلمة "سري"؛ "</w:t>
      </w:r>
      <w:r>
        <w:rPr>
          <w:rFonts w:eastAsia="Arial"/>
        </w:rPr>
        <w:t>3</w:t>
      </w:r>
      <w:r>
        <w:rPr>
          <w:rFonts w:eastAsia="Arial"/>
          <w:rtl/>
        </w:rPr>
        <w:t>" وتُستخدم على أنها عكس "بشكل عام"، مما يشير إلى فعل متخذ لاستخدام الشخص نفسه.</w:t>
      </w:r>
      <w:r w:rsidR="006B6288">
        <w:rPr>
          <w:rFonts w:eastAsia="Arial"/>
          <w:rtl/>
        </w:rPr>
        <w:t xml:space="preserve"> </w:t>
      </w:r>
      <w:r>
        <w:rPr>
          <w:rFonts w:eastAsia="Arial"/>
          <w:rtl/>
        </w:rPr>
        <w:t>ويجب عند تفسير معنى "أغراض غير تجارية" النظر في الأغراض من الفعل المتخذ، أي أن التعدي يقع إذا كان أحد الأغراض تجارياً وإن كان معه أغراض أخرى غير تجارية.</w:t>
      </w:r>
      <w:r w:rsidR="006B6288">
        <w:rPr>
          <w:rFonts w:eastAsia="Arial"/>
          <w:rtl/>
        </w:rPr>
        <w:t xml:space="preserve"> </w:t>
      </w:r>
      <w:r>
        <w:rPr>
          <w:rFonts w:eastAsia="Arial"/>
          <w:rtl/>
        </w:rPr>
        <w:t>وعلاوةً على ذلك، لا تُعتبر التجارب التي تجرى من أجل إجراءات قانونية في المحكمة العليا أو</w:t>
      </w:r>
      <w:r w:rsidR="00EB40E9">
        <w:rPr>
          <w:rFonts w:eastAsia="Arial" w:hint="cs"/>
          <w:rtl/>
        </w:rPr>
        <w:t> </w:t>
      </w:r>
      <w:r>
        <w:rPr>
          <w:rFonts w:eastAsia="Arial"/>
          <w:rtl/>
        </w:rPr>
        <w:t>مكتب الملكية الفكرية بالمملكة المتحدة أنها</w:t>
      </w:r>
      <w:r w:rsidR="00A95DC9">
        <w:rPr>
          <w:rFonts w:eastAsia="Arial" w:hint="cs"/>
          <w:rtl/>
        </w:rPr>
        <w:t xml:space="preserve"> موجهة</w:t>
      </w:r>
      <w:r>
        <w:rPr>
          <w:rFonts w:eastAsia="Arial"/>
          <w:rtl/>
        </w:rPr>
        <w:t xml:space="preserve"> لغرض "تجاري".</w:t>
      </w:r>
    </w:p>
    <w:p w:rsidR="00F2394E" w:rsidRDefault="006B6288" w:rsidP="00EB40E9">
      <w:pPr>
        <w:pStyle w:val="NumberedParaAR"/>
      </w:pPr>
      <w:r>
        <w:rPr>
          <w:rtl/>
        </w:rPr>
        <w:lastRenderedPageBreak/>
        <w:t xml:space="preserve"> </w:t>
      </w:r>
      <w:r w:rsidR="00AE70BC">
        <w:rPr>
          <w:rFonts w:eastAsia="Arial"/>
          <w:rtl/>
        </w:rPr>
        <w:t>وأشارت دولتان عضوان إلى نط</w:t>
      </w:r>
      <w:r w:rsidR="00AE70BC">
        <w:rPr>
          <w:rFonts w:eastAsia="Arial" w:hint="cs"/>
          <w:rtl/>
        </w:rPr>
        <w:t>ا</w:t>
      </w:r>
      <w:r w:rsidR="00F2394E" w:rsidRPr="008657BE">
        <w:rPr>
          <w:rFonts w:eastAsia="Arial"/>
          <w:rtl/>
        </w:rPr>
        <w:t>ق النشاط التجاري وغرضه،</w:t>
      </w:r>
      <w:r>
        <w:rPr>
          <w:rFonts w:eastAsia="Arial"/>
          <w:rtl/>
        </w:rPr>
        <w:t xml:space="preserve"> </w:t>
      </w:r>
      <w:r w:rsidR="00F2394E" w:rsidRPr="008657BE">
        <w:rPr>
          <w:rFonts w:eastAsia="Arial"/>
          <w:rtl/>
        </w:rPr>
        <w:t>حيث ينطبق الاستثناء في الفلبين على الأفعال المتخذة "بشكل خاص وعلى نطاق غير تجاري أو لغرض غير تجاري"، وفي إسرائيل على الأفعال التي تُلتمس "على نطاق غير</w:t>
      </w:r>
      <w:r w:rsidR="00EB40E9">
        <w:rPr>
          <w:rFonts w:eastAsia="Arial" w:hint="cs"/>
          <w:rtl/>
        </w:rPr>
        <w:t> </w:t>
      </w:r>
      <w:r w:rsidR="00F2394E" w:rsidRPr="008657BE">
        <w:rPr>
          <w:rFonts w:eastAsia="Arial"/>
          <w:rtl/>
        </w:rPr>
        <w:t>تجاري و[...] دون طابع تجاري".</w:t>
      </w:r>
      <w:r>
        <w:rPr>
          <w:rFonts w:eastAsia="Arial"/>
          <w:rtl/>
        </w:rPr>
        <w:t xml:space="preserve"> </w:t>
      </w:r>
    </w:p>
    <w:p w:rsidR="00F2394E" w:rsidRPr="008657BE" w:rsidRDefault="00F2394E" w:rsidP="00EB40E9">
      <w:pPr>
        <w:pStyle w:val="Heading2AR"/>
        <w:spacing w:before="0" w:after="240"/>
        <w:rPr>
          <w:i/>
          <w:iCs/>
        </w:rPr>
      </w:pPr>
      <w:r w:rsidRPr="008657BE">
        <w:rPr>
          <w:rFonts w:eastAsia="Arial"/>
          <w:i/>
          <w:iCs/>
          <w:rtl/>
        </w:rPr>
        <w:t>تضمين الأنشطة الأكاديمية والتجريبية والبحثية في الاستثناء</w:t>
      </w:r>
    </w:p>
    <w:p w:rsidR="00F2394E" w:rsidRDefault="0048135E" w:rsidP="00EB40E9">
      <w:pPr>
        <w:pStyle w:val="NumberedParaAR"/>
        <w:rPr>
          <w:rtl/>
          <w:lang w:bidi="ar-EG"/>
        </w:rPr>
      </w:pPr>
      <w:r>
        <w:rPr>
          <w:rFonts w:eastAsia="Arial" w:hint="cs"/>
          <w:rtl/>
        </w:rPr>
        <w:t>تتجلي</w:t>
      </w:r>
      <w:r w:rsidR="00F2394E">
        <w:rPr>
          <w:rFonts w:eastAsia="Arial"/>
          <w:rtl/>
        </w:rPr>
        <w:t xml:space="preserve"> أهداف السياسات في بعض الدول الأعضاء </w:t>
      </w:r>
      <w:r>
        <w:rPr>
          <w:rFonts w:eastAsia="Arial" w:hint="cs"/>
          <w:rtl/>
        </w:rPr>
        <w:t xml:space="preserve">في </w:t>
      </w:r>
      <w:r w:rsidR="00F2394E">
        <w:rPr>
          <w:rFonts w:eastAsia="Arial"/>
          <w:rtl/>
        </w:rPr>
        <w:t xml:space="preserve">عدم تشددها في التمييز بين الاستثناءات بالنسبة إلى الاستخدام غير </w:t>
      </w:r>
      <w:r w:rsidR="00EB40E9">
        <w:rPr>
          <w:rFonts w:eastAsia="Arial"/>
          <w:rtl/>
        </w:rPr>
        <w:t>التجاري والبحث الأكاديمي/العلمي</w:t>
      </w:r>
      <w:r w:rsidR="00F2394E" w:rsidRPr="00D800DA">
        <w:rPr>
          <w:vertAlign w:val="superscript"/>
        </w:rPr>
        <w:footnoteReference w:id="25"/>
      </w:r>
      <w:r w:rsidR="00EB40E9">
        <w:rPr>
          <w:rFonts w:eastAsia="Arial" w:hint="cs"/>
          <w:rtl/>
        </w:rPr>
        <w:t>.</w:t>
      </w:r>
      <w:r w:rsidR="006B6288">
        <w:rPr>
          <w:rFonts w:eastAsia="Arial"/>
          <w:rtl/>
        </w:rPr>
        <w:t xml:space="preserve"> </w:t>
      </w:r>
      <w:r w:rsidR="00F2394E">
        <w:rPr>
          <w:rFonts w:eastAsia="Arial"/>
          <w:rtl/>
        </w:rPr>
        <w:t>فعلى سبيل المثال، لا تنسحب حقوق البراءة في المكسيك على "طرف ثالث يجري، في المحيط الشخصي أو الأكاديمي، أنشطة بحث أو اختبار أو تدريس ع</w:t>
      </w:r>
      <w:r w:rsidR="00EB40E9">
        <w:rPr>
          <w:rFonts w:eastAsia="Arial"/>
          <w:rtl/>
        </w:rPr>
        <w:t>لمية أو تكنولوجية تجريبية محضة"</w:t>
      </w:r>
      <w:r w:rsidR="00F2394E" w:rsidRPr="00D800DA">
        <w:rPr>
          <w:vertAlign w:val="superscript"/>
        </w:rPr>
        <w:footnoteReference w:id="26"/>
      </w:r>
      <w:r w:rsidR="00EB40E9">
        <w:rPr>
          <w:rFonts w:eastAsia="Arial" w:hint="cs"/>
          <w:rtl/>
        </w:rPr>
        <w:t>.</w:t>
      </w:r>
      <w:r w:rsidR="006B6288">
        <w:rPr>
          <w:rFonts w:eastAsia="Arial"/>
          <w:rtl/>
        </w:rPr>
        <w:t xml:space="preserve"> </w:t>
      </w:r>
      <w:r w:rsidR="00F2394E">
        <w:rPr>
          <w:rFonts w:eastAsia="Arial"/>
          <w:rtl/>
        </w:rPr>
        <w:t xml:space="preserve">وفي كينيا، تنص المادة </w:t>
      </w:r>
      <w:r w:rsidR="00F2394E">
        <w:rPr>
          <w:rFonts w:eastAsia="Arial"/>
        </w:rPr>
        <w:t>58</w:t>
      </w:r>
      <w:r w:rsidR="00F2394E">
        <w:rPr>
          <w:rFonts w:eastAsia="Arial"/>
          <w:rtl/>
        </w:rPr>
        <w:t xml:space="preserve"> من قانون الملكية الصناعية لعام </w:t>
      </w:r>
      <w:r w:rsidR="00F2394E">
        <w:rPr>
          <w:rFonts w:eastAsia="Arial"/>
        </w:rPr>
        <w:t>2002</w:t>
      </w:r>
      <w:r w:rsidR="00F2394E">
        <w:rPr>
          <w:rFonts w:eastAsia="Arial"/>
          <w:rtl/>
        </w:rPr>
        <w:t xml:space="preserve"> على أن "الحقوق الممنوحة بمقتضى البراءة لا</w:t>
      </w:r>
      <w:r w:rsidR="00EB40E9">
        <w:rPr>
          <w:rFonts w:eastAsia="Arial" w:hint="cs"/>
          <w:rtl/>
        </w:rPr>
        <w:t> </w:t>
      </w:r>
      <w:r w:rsidR="00F2394E">
        <w:rPr>
          <w:rFonts w:eastAsia="Arial"/>
          <w:rtl/>
        </w:rPr>
        <w:t>تنسحب إلا على الأفعال المتخذة لأغراض صناعية أو تجارية، ولا تنسحب على وجه الخصوص على الأفع</w:t>
      </w:r>
      <w:r w:rsidR="00EB40E9">
        <w:rPr>
          <w:rFonts w:eastAsia="Arial"/>
          <w:rtl/>
        </w:rPr>
        <w:t>ال المتخذة من أجل البحث العلمي"</w:t>
      </w:r>
      <w:r w:rsidR="00F2394E" w:rsidRPr="00D800DA">
        <w:rPr>
          <w:vertAlign w:val="superscript"/>
        </w:rPr>
        <w:footnoteReference w:id="27"/>
      </w:r>
      <w:r w:rsidR="00EB40E9">
        <w:rPr>
          <w:rFonts w:eastAsia="Arial" w:hint="cs"/>
          <w:rtl/>
        </w:rPr>
        <w:t>.</w:t>
      </w:r>
      <w:r w:rsidR="006B6288">
        <w:rPr>
          <w:rFonts w:eastAsia="Arial"/>
          <w:rtl/>
        </w:rPr>
        <w:t xml:space="preserve"> </w:t>
      </w:r>
      <w:r w:rsidR="00F2394E">
        <w:rPr>
          <w:rFonts w:eastAsia="Arial"/>
          <w:rtl/>
        </w:rPr>
        <w:t>وفي إسرائيل، حكمت محكمة دائرة تل أبيب أن البحث الطبي المحض من أجل استكشاف الخصائص الطبية لمادة محمية ببراءة لا يُعتبر نشاطاً تجارياً حتى ولو تعلقت به استثمارات وتجارب على نطاق واسع، وعل</w:t>
      </w:r>
      <w:r w:rsidR="00EB40E9">
        <w:rPr>
          <w:rFonts w:eastAsia="Arial"/>
          <w:rtl/>
        </w:rPr>
        <w:t>ى ذلك ينبغي إدخاله في الاستثناء</w:t>
      </w:r>
      <w:r w:rsidR="00F2394E" w:rsidRPr="00046303">
        <w:rPr>
          <w:rStyle w:val="FootnoteReference"/>
          <w:szCs w:val="22"/>
        </w:rPr>
        <w:footnoteReference w:id="28"/>
      </w:r>
      <w:r w:rsidR="00EB40E9">
        <w:rPr>
          <w:rFonts w:eastAsia="Arial" w:hint="cs"/>
          <w:rtl/>
        </w:rPr>
        <w:t>.</w:t>
      </w:r>
      <w:r w:rsidR="006B6288">
        <w:rPr>
          <w:rFonts w:eastAsia="Arial"/>
          <w:rtl/>
        </w:rPr>
        <w:t xml:space="preserve"> </w:t>
      </w:r>
      <w:r w:rsidR="00F2394E">
        <w:rPr>
          <w:rFonts w:eastAsia="Arial"/>
          <w:rtl/>
        </w:rPr>
        <w:t>ووضحت المحكمة أنه في حالة توزيع المادة مجاناً على عملاء محتملين، يُعتبر هذا النشاط تجارياً.</w:t>
      </w:r>
      <w:r w:rsidR="006B6288">
        <w:rPr>
          <w:rFonts w:eastAsia="Arial"/>
          <w:rtl/>
        </w:rPr>
        <w:t xml:space="preserve"> </w:t>
      </w:r>
    </w:p>
    <w:p w:rsidR="00F2394E" w:rsidRPr="00261A8E" w:rsidRDefault="00F2394E" w:rsidP="00EB40E9">
      <w:pPr>
        <w:pStyle w:val="NumberedParaAR"/>
      </w:pPr>
      <w:r>
        <w:rPr>
          <w:rFonts w:eastAsia="Arial"/>
          <w:rtl/>
        </w:rPr>
        <w:t>وجاء في الرد الوارد من جنوب أفريقيا</w:t>
      </w:r>
      <w:r w:rsidR="00EA086B">
        <w:rPr>
          <w:rFonts w:eastAsia="Arial" w:hint="cs"/>
          <w:rtl/>
        </w:rPr>
        <w:t>،</w:t>
      </w:r>
      <w:r>
        <w:rPr>
          <w:rFonts w:eastAsia="Arial"/>
          <w:rtl/>
        </w:rPr>
        <w:t xml:space="preserve"> كمثال لاستثناء استخدام شخصي/غير تجاري</w:t>
      </w:r>
      <w:r w:rsidR="00EA086B">
        <w:rPr>
          <w:rFonts w:eastAsia="Arial" w:hint="cs"/>
          <w:rtl/>
        </w:rPr>
        <w:t>،</w:t>
      </w:r>
      <w:r>
        <w:rPr>
          <w:rFonts w:eastAsia="Arial"/>
          <w:rtl/>
        </w:rPr>
        <w:t xml:space="preserve"> استخدام اختراعات محمية ببراءات "على نطاق غير تجاري مع الاقتصار على أغراض تتعلق بشكل معقول بالحصول على معلومات وتطويرها وتقديمها على النحو المطلوب بمقتضى أي قانون" ينظم </w:t>
      </w:r>
      <w:r w:rsidR="00EB40E9">
        <w:rPr>
          <w:rFonts w:eastAsia="Arial"/>
          <w:rtl/>
        </w:rPr>
        <w:t>تصنيع أي منتج وبيعه وما إلى ذلك</w:t>
      </w:r>
      <w:r>
        <w:rPr>
          <w:rStyle w:val="FootnoteReference"/>
          <w:iCs/>
          <w:szCs w:val="22"/>
        </w:rPr>
        <w:footnoteReference w:id="29"/>
      </w:r>
      <w:r w:rsidR="00EB40E9">
        <w:rPr>
          <w:rFonts w:eastAsia="Arial" w:hint="cs"/>
          <w:rtl/>
        </w:rPr>
        <w:t>.</w:t>
      </w:r>
      <w:r w:rsidR="006B6288">
        <w:rPr>
          <w:rFonts w:eastAsia="Arial"/>
          <w:rtl/>
        </w:rPr>
        <w:t xml:space="preserve"> </w:t>
      </w:r>
      <w:r>
        <w:rPr>
          <w:rFonts w:eastAsia="Arial"/>
          <w:rtl/>
        </w:rPr>
        <w:t>وبيَّن أن المصطلح "نطاق تجاري" غير</w:t>
      </w:r>
      <w:r w:rsidR="00EB40E9">
        <w:rPr>
          <w:rFonts w:eastAsia="Arial" w:hint="cs"/>
          <w:rtl/>
        </w:rPr>
        <w:t> </w:t>
      </w:r>
      <w:r>
        <w:rPr>
          <w:rFonts w:eastAsia="Arial"/>
          <w:rtl/>
        </w:rPr>
        <w:t>معرَّف في قانون البراءات لديها، وأنه ينبغي بناءً على ذلك إصباغ العبارة بمعناها الحرفي دون تأويل</w:t>
      </w:r>
      <w:r>
        <w:rPr>
          <w:rStyle w:val="FootnoteReference"/>
          <w:iCs/>
          <w:szCs w:val="22"/>
        </w:rPr>
        <w:footnoteReference w:id="30"/>
      </w:r>
      <w:r w:rsidR="00EB40E9">
        <w:rPr>
          <w:rFonts w:eastAsia="Arial" w:hint="cs"/>
          <w:rtl/>
        </w:rPr>
        <w:t>.</w:t>
      </w:r>
    </w:p>
    <w:p w:rsidR="00F2394E" w:rsidRPr="004E2751" w:rsidRDefault="00F2394E" w:rsidP="00EB40E9">
      <w:pPr>
        <w:pStyle w:val="Heading2AR"/>
        <w:spacing w:before="0" w:after="240"/>
        <w:rPr>
          <w:i/>
          <w:iCs/>
        </w:rPr>
      </w:pPr>
      <w:r w:rsidRPr="004E2751">
        <w:rPr>
          <w:rFonts w:eastAsia="Arial"/>
          <w:i/>
          <w:iCs/>
          <w:rtl/>
        </w:rPr>
        <w:t>لا إخلال بالمصالح المشروع لأصحاب البراءات</w:t>
      </w:r>
    </w:p>
    <w:p w:rsidR="00F2394E" w:rsidRPr="00BC4800" w:rsidRDefault="00F2394E" w:rsidP="00EB40E9">
      <w:pPr>
        <w:pStyle w:val="NumberedParaAR"/>
      </w:pPr>
      <w:r>
        <w:rPr>
          <w:rFonts w:eastAsia="Arial"/>
          <w:rtl/>
        </w:rPr>
        <w:t>تقتصر بعض الدول الأعضاء على إتاحة الاستثناء إذا تحقق شرط عدم إخلال الاستخدام الشخصي و/أو غير</w:t>
      </w:r>
      <w:r w:rsidR="00EB40E9">
        <w:rPr>
          <w:rFonts w:eastAsia="Arial" w:hint="cs"/>
          <w:rtl/>
        </w:rPr>
        <w:t> </w:t>
      </w:r>
      <w:r>
        <w:rPr>
          <w:rFonts w:eastAsia="Arial"/>
          <w:rtl/>
        </w:rPr>
        <w:t>التجاري بالمصالح المشروعة لأصحاب البراءات، وتشترط، على سبيل المثال، ألا يؤدي الاستخدام إلى "الإخلال بالمصالح الاقتصادية لصاحب البراءة" (البرازيل) أو إلى "التسبب في إخلال مادي معتبر في حق المالك" (بلغاريا)</w:t>
      </w:r>
      <w:r>
        <w:rPr>
          <w:rStyle w:val="FootnoteReference"/>
          <w:szCs w:val="22"/>
        </w:rPr>
        <w:footnoteReference w:id="31"/>
      </w:r>
      <w:r w:rsidR="00EB40E9">
        <w:rPr>
          <w:rFonts w:eastAsia="Arial" w:hint="cs"/>
          <w:rtl/>
        </w:rPr>
        <w:t>.</w:t>
      </w:r>
    </w:p>
    <w:p w:rsidR="00F2394E" w:rsidRDefault="00F2394E" w:rsidP="0093477A">
      <w:pPr>
        <w:pStyle w:val="Heading1AR"/>
        <w:spacing w:before="0" w:after="240"/>
      </w:pPr>
      <w:r>
        <w:rPr>
          <w:rFonts w:eastAsia="Arial"/>
          <w:rtl/>
        </w:rPr>
        <w:lastRenderedPageBreak/>
        <w:t>تحديات التنفيذ</w:t>
      </w:r>
    </w:p>
    <w:p w:rsidR="00F2394E" w:rsidRDefault="00F2394E" w:rsidP="00B15EFF">
      <w:pPr>
        <w:pStyle w:val="NumberedParaAR"/>
      </w:pPr>
      <w:r>
        <w:rPr>
          <w:rFonts w:eastAsia="Arial"/>
          <w:rtl/>
        </w:rPr>
        <w:t>اعتبرت معظم الدول الأعضاء أن الإطار القانوني المطبق للاستثناء مناسب لتحقيق الأهداف المنشودة</w:t>
      </w:r>
      <w:r>
        <w:rPr>
          <w:rStyle w:val="FootnoteReference"/>
          <w:szCs w:val="22"/>
        </w:rPr>
        <w:footnoteReference w:id="32"/>
      </w:r>
      <w:r>
        <w:rPr>
          <w:rFonts w:eastAsia="Arial"/>
          <w:rtl/>
        </w:rPr>
        <w:t xml:space="preserve"> وأفادت أنها لا تتوقع إجراء أي تعديلات على تشريعاتها</w:t>
      </w:r>
      <w:r>
        <w:rPr>
          <w:rStyle w:val="FootnoteReference"/>
          <w:szCs w:val="22"/>
        </w:rPr>
        <w:footnoteReference w:id="33"/>
      </w:r>
      <w:r>
        <w:rPr>
          <w:rFonts w:eastAsia="Arial"/>
          <w:rtl/>
        </w:rPr>
        <w:t>.</w:t>
      </w:r>
      <w:r w:rsidR="006B6288">
        <w:rPr>
          <w:rFonts w:eastAsia="Arial"/>
          <w:rtl/>
        </w:rPr>
        <w:t xml:space="preserve"> </w:t>
      </w:r>
      <w:r>
        <w:rPr>
          <w:rFonts w:eastAsia="Arial"/>
          <w:rtl/>
        </w:rPr>
        <w:t xml:space="preserve">وبيَّن الرد الوارد من سري </w:t>
      </w:r>
      <w:proofErr w:type="spellStart"/>
      <w:r>
        <w:rPr>
          <w:rFonts w:eastAsia="Arial"/>
          <w:rtl/>
        </w:rPr>
        <w:t>لانكا</w:t>
      </w:r>
      <w:proofErr w:type="spellEnd"/>
      <w:r>
        <w:rPr>
          <w:rFonts w:eastAsia="Arial"/>
          <w:rtl/>
        </w:rPr>
        <w:t xml:space="preserve"> أنه بالرغم من عدم إجراء أي دراسة تتعلق بمدى كفاية الاستثناء، فإنه من المقدر أن "الاستثناء لم يخضع للاختبار عملياً، وربما يعزى ذلك إلى المستوى القائم من أنشطة البحث والتطوير في البلاد</w:t>
      </w:r>
      <w:r w:rsidR="0093477A">
        <w:rPr>
          <w:rFonts w:eastAsia="Arial" w:hint="cs"/>
          <w:rtl/>
        </w:rPr>
        <w:t>"</w:t>
      </w:r>
      <w:r w:rsidR="0093477A">
        <w:rPr>
          <w:rFonts w:eastAsia="Arial"/>
          <w:rtl/>
        </w:rPr>
        <w:t>.</w:t>
      </w:r>
    </w:p>
    <w:p w:rsidR="00F2394E" w:rsidRDefault="00F2394E" w:rsidP="00B15EFF">
      <w:pPr>
        <w:pStyle w:val="NumberedParaAR"/>
      </w:pPr>
      <w:r>
        <w:rPr>
          <w:rFonts w:eastAsia="Arial"/>
          <w:rtl/>
        </w:rPr>
        <w:t>وفي دول أعضاء أخرى، ربما يُتوقع إجراء تعديلات في المستقبل أو يجري الاضطلاع بدراسات.</w:t>
      </w:r>
      <w:r w:rsidR="006B6288">
        <w:rPr>
          <w:rFonts w:eastAsia="Arial"/>
          <w:rtl/>
        </w:rPr>
        <w:t xml:space="preserve"> </w:t>
      </w:r>
      <w:r>
        <w:rPr>
          <w:rFonts w:eastAsia="Arial"/>
          <w:rtl/>
        </w:rPr>
        <w:t>ففي زامبيا، ينطوي مشروع قانون جديد على خطط لاستحداث استثنا</w:t>
      </w:r>
      <w:r w:rsidR="0093477A">
        <w:rPr>
          <w:rFonts w:eastAsia="Arial"/>
          <w:rtl/>
        </w:rPr>
        <w:t>ء للاستخدام الشخصي وغير التجاري</w:t>
      </w:r>
      <w:r>
        <w:rPr>
          <w:rStyle w:val="FootnoteReference"/>
          <w:szCs w:val="22"/>
        </w:rPr>
        <w:footnoteReference w:id="34"/>
      </w:r>
      <w:r w:rsidR="0093477A">
        <w:rPr>
          <w:rFonts w:eastAsia="Arial" w:hint="cs"/>
          <w:rtl/>
        </w:rPr>
        <w:t>.</w:t>
      </w:r>
      <w:r w:rsidR="006B6288">
        <w:rPr>
          <w:rFonts w:eastAsia="Arial"/>
          <w:rtl/>
        </w:rPr>
        <w:t xml:space="preserve"> </w:t>
      </w:r>
      <w:r>
        <w:rPr>
          <w:rFonts w:eastAsia="Arial"/>
          <w:rtl/>
        </w:rPr>
        <w:t>وذكر الرد الوارد من البرازيل أن حكومتها تجري تقييماً بشأن تنفيذ استثناء الاستخدام الشخصي وغير التجاري "بغية تقدير فائدته في ضوء هدف ضمان تحقيق التوازن في نظام البراءات".</w:t>
      </w:r>
      <w:r w:rsidR="006B6288">
        <w:rPr>
          <w:rFonts w:eastAsia="Arial"/>
          <w:rtl/>
        </w:rPr>
        <w:t xml:space="preserve"> </w:t>
      </w:r>
      <w:r>
        <w:rPr>
          <w:rFonts w:eastAsia="Arial"/>
          <w:rtl/>
        </w:rPr>
        <w:t>وكان من المخطط للقانون في السلفادور مراجعته في الأمد المتوسط.</w:t>
      </w:r>
      <w:r w:rsidR="006B6288">
        <w:rPr>
          <w:rFonts w:eastAsia="Arial"/>
          <w:rtl/>
        </w:rPr>
        <w:t xml:space="preserve"> </w:t>
      </w:r>
      <w:r>
        <w:rPr>
          <w:rFonts w:eastAsia="Arial"/>
          <w:rtl/>
        </w:rPr>
        <w:t>وذكر الرد الوارد من مدغشقر أن الأطر القانونية التشريعية "قد تخضع للمراجعة" في المستقبل</w:t>
      </w:r>
      <w:r>
        <w:rPr>
          <w:rStyle w:val="FootnoteReference"/>
          <w:szCs w:val="22"/>
        </w:rPr>
        <w:footnoteReference w:id="35"/>
      </w:r>
      <w:r>
        <w:rPr>
          <w:rFonts w:eastAsia="Arial"/>
          <w:rtl/>
        </w:rPr>
        <w:t>، إلا أنها تراه وافياً في الوقت الراهن.</w:t>
      </w:r>
      <w:r w:rsidR="006B6288">
        <w:rPr>
          <w:rFonts w:eastAsia="Arial"/>
          <w:rtl/>
        </w:rPr>
        <w:t xml:space="preserve"> </w:t>
      </w:r>
      <w:r>
        <w:rPr>
          <w:rFonts w:eastAsia="Arial"/>
          <w:rtl/>
        </w:rPr>
        <w:t>وأفاد الرد الوارد من المكسيك أن عدم وجود تعريف يبين بوضوح نطاق الاستثناء "يجعل من المستحسن تعديل الإطار القانوني الحالي".</w:t>
      </w:r>
      <w:r w:rsidR="006B6288">
        <w:rPr>
          <w:rFonts w:eastAsia="Arial"/>
          <w:rtl/>
        </w:rPr>
        <w:t xml:space="preserve"> </w:t>
      </w:r>
    </w:p>
    <w:p w:rsidR="00F2394E" w:rsidRDefault="00F2394E" w:rsidP="0093477A">
      <w:pPr>
        <w:pStyle w:val="NumberedParaAR"/>
      </w:pPr>
      <w:r>
        <w:rPr>
          <w:rFonts w:eastAsia="Arial"/>
          <w:rtl/>
        </w:rPr>
        <w:t>وأفادت بلدان كثيرة بعدم مواجهة أي تحديات فيما يتعلق بالتنفيذ العملي للاستثناء</w:t>
      </w:r>
      <w:r>
        <w:rPr>
          <w:rStyle w:val="FootnoteReference"/>
          <w:szCs w:val="22"/>
        </w:rPr>
        <w:footnoteReference w:id="36"/>
      </w:r>
      <w:r w:rsidR="0093477A">
        <w:rPr>
          <w:rFonts w:eastAsia="Arial" w:hint="cs"/>
          <w:rtl/>
        </w:rPr>
        <w:t>.</w:t>
      </w:r>
      <w:r w:rsidR="006B6288">
        <w:rPr>
          <w:rFonts w:eastAsia="Arial"/>
          <w:rtl/>
        </w:rPr>
        <w:t xml:space="preserve"> </w:t>
      </w:r>
      <w:r>
        <w:rPr>
          <w:rFonts w:eastAsia="Arial"/>
          <w:rtl/>
        </w:rPr>
        <w:t>وفي إشارة إلى التحديات، استدعى الرد الوارد من المملكة المتحدة سوابقها القضائية والصعوبات التي تكتنف تمييز الاستخدام الشخصي عن الاستخدام التجاري في حالات اتسام الأنشطة "بازدواجية الأغراض"</w:t>
      </w:r>
      <w:r>
        <w:rPr>
          <w:rStyle w:val="FootnoteReference"/>
          <w:iCs/>
          <w:szCs w:val="22"/>
        </w:rPr>
        <w:footnoteReference w:id="37"/>
      </w:r>
      <w:r w:rsidR="0093477A">
        <w:rPr>
          <w:rFonts w:eastAsia="Arial" w:hint="cs"/>
          <w:rtl/>
        </w:rPr>
        <w:t>.</w:t>
      </w:r>
      <w:r w:rsidR="006B6288">
        <w:rPr>
          <w:rFonts w:eastAsia="Arial"/>
          <w:rtl/>
        </w:rPr>
        <w:t xml:space="preserve"> </w:t>
      </w:r>
      <w:r>
        <w:rPr>
          <w:rFonts w:eastAsia="Arial"/>
          <w:rtl/>
        </w:rPr>
        <w:t>ولا يجدي دفاع الاستخدام الشخصي في تلك الحالات إذا كان أي من أغراض تلك الأنشطة "ذا طابع تجاري".</w:t>
      </w:r>
    </w:p>
    <w:p w:rsidR="00CB79E4" w:rsidRDefault="00A31792" w:rsidP="00196D25">
      <w:pPr>
        <w:pStyle w:val="EndofDocumentAR"/>
      </w:pPr>
      <w:r>
        <w:rPr>
          <w:rFonts w:hint="cs"/>
          <w:rtl/>
        </w:rPr>
        <w:t>[نهاية الوثيقة]</w:t>
      </w:r>
    </w:p>
    <w:sectPr w:rsidR="00CB79E4"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E9" w:rsidRDefault="00EB40E9">
      <w:r>
        <w:separator/>
      </w:r>
    </w:p>
  </w:endnote>
  <w:endnote w:type="continuationSeparator" w:id="0">
    <w:p w:rsidR="00EB40E9" w:rsidRDefault="00EB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E9" w:rsidRDefault="00EB40E9" w:rsidP="009622BF">
      <w:pPr>
        <w:bidi/>
      </w:pPr>
      <w:bookmarkStart w:id="0" w:name="OLE_LINK1"/>
      <w:bookmarkStart w:id="1" w:name="OLE_LINK2"/>
      <w:r>
        <w:separator/>
      </w:r>
      <w:bookmarkEnd w:id="0"/>
      <w:bookmarkEnd w:id="1"/>
    </w:p>
  </w:footnote>
  <w:footnote w:type="continuationSeparator" w:id="0">
    <w:p w:rsidR="00EB40E9" w:rsidRDefault="00EB40E9" w:rsidP="009622BF">
      <w:pPr>
        <w:bidi/>
      </w:pPr>
      <w:r>
        <w:separator/>
      </w:r>
    </w:p>
  </w:footnote>
  <w:footnote w:id="1">
    <w:p w:rsidR="00EB40E9" w:rsidRPr="006E17FE" w:rsidRDefault="00EB40E9" w:rsidP="00AB0F0D">
      <w:pPr>
        <w:pStyle w:val="FootnoteText"/>
      </w:pPr>
      <w:r>
        <w:rPr>
          <w:rStyle w:val="FootnoteReference"/>
        </w:rPr>
        <w:footnoteRef/>
      </w:r>
      <w:r w:rsidRPr="006E17FE">
        <w:rPr>
          <w:rFonts w:eastAsia="Arial"/>
          <w:rtl/>
        </w:rPr>
        <w:tab/>
        <w:t>على سبيل المثال، ساق الرد الوارد م</w:t>
      </w:r>
      <w:r>
        <w:rPr>
          <w:rFonts w:eastAsia="Arial"/>
          <w:rtl/>
        </w:rPr>
        <w:t>ن جمهورية مولدوفا أهداف السياسا</w:t>
      </w:r>
      <w:r>
        <w:rPr>
          <w:rFonts w:eastAsia="Arial" w:hint="cs"/>
          <w:rtl/>
        </w:rPr>
        <w:t>ت</w:t>
      </w:r>
      <w:r w:rsidRPr="006E17FE">
        <w:rPr>
          <w:rFonts w:eastAsia="Arial"/>
          <w:rtl/>
        </w:rPr>
        <w:t xml:space="preserve"> العامة التالية: "</w:t>
      </w:r>
      <w:r w:rsidRPr="006E17FE">
        <w:rPr>
          <w:rFonts w:eastAsia="Arial"/>
        </w:rPr>
        <w:t>1</w:t>
      </w:r>
      <w:r w:rsidRPr="006E17FE">
        <w:rPr>
          <w:rFonts w:eastAsia="Arial"/>
          <w:rtl/>
        </w:rPr>
        <w:t>" تعزيز البحث العلمي؛ "</w:t>
      </w:r>
      <w:r w:rsidRPr="006E17FE">
        <w:rPr>
          <w:rFonts w:eastAsia="Arial"/>
        </w:rPr>
        <w:t>2</w:t>
      </w:r>
      <w:r w:rsidRPr="006E17FE">
        <w:rPr>
          <w:rFonts w:eastAsia="Arial"/>
          <w:rtl/>
        </w:rPr>
        <w:t>" وتجنب إساءة استخدام الحقوق في حالات الاستخدام غير التجاري (الشخصي)؛ "</w:t>
      </w:r>
      <w:r w:rsidRPr="006E17FE">
        <w:rPr>
          <w:rFonts w:eastAsia="Arial"/>
        </w:rPr>
        <w:t>3</w:t>
      </w:r>
      <w:r w:rsidRPr="006E17FE">
        <w:rPr>
          <w:rFonts w:eastAsia="Arial"/>
          <w:rtl/>
        </w:rPr>
        <w:t>" والإسهام في نشر معلومات البراءة؛ "</w:t>
      </w:r>
      <w:r w:rsidRPr="006E17FE">
        <w:rPr>
          <w:rFonts w:eastAsia="Arial"/>
        </w:rPr>
        <w:t>4</w:t>
      </w:r>
      <w:r w:rsidRPr="006E17FE">
        <w:rPr>
          <w:rFonts w:eastAsia="Arial"/>
          <w:rtl/>
        </w:rPr>
        <w:t>" وإتاحة آلية لاستخدام اختراع محمي ببراءة في حالة عدم است</w:t>
      </w:r>
      <w:r>
        <w:rPr>
          <w:rFonts w:eastAsia="Arial"/>
          <w:rtl/>
        </w:rPr>
        <w:t xml:space="preserve">غلال مالكه له ورفضه منح ترخيص؛ </w:t>
      </w:r>
      <w:r w:rsidRPr="006E17FE">
        <w:rPr>
          <w:rFonts w:eastAsia="Arial"/>
          <w:rtl/>
        </w:rPr>
        <w:t>"</w:t>
      </w:r>
      <w:r w:rsidRPr="006E17FE">
        <w:rPr>
          <w:rFonts w:eastAsia="Arial"/>
        </w:rPr>
        <w:t>5</w:t>
      </w:r>
      <w:r>
        <w:rPr>
          <w:rFonts w:eastAsia="Arial"/>
          <w:rtl/>
        </w:rPr>
        <w:t>"</w:t>
      </w:r>
      <w:r w:rsidRPr="006E17FE">
        <w:rPr>
          <w:rFonts w:eastAsia="Arial"/>
          <w:rtl/>
        </w:rPr>
        <w:t xml:space="preserve"> وإتاحة آلية لاستخدام اختراع محمي ببراءة في حالات القوة القاهرة تهدد الصحة العامة أو الأمن العام.</w:t>
      </w:r>
      <w:r>
        <w:rPr>
          <w:rFonts w:eastAsia="Arial"/>
          <w:rtl/>
        </w:rPr>
        <w:t xml:space="preserve"> </w:t>
      </w:r>
    </w:p>
  </w:footnote>
  <w:footnote w:id="2">
    <w:p w:rsidR="00EB40E9" w:rsidRPr="006E17FE" w:rsidRDefault="00EB40E9" w:rsidP="006E17FE">
      <w:pPr>
        <w:pStyle w:val="FootnoteText"/>
      </w:pPr>
      <w:r w:rsidRPr="006E17FE">
        <w:rPr>
          <w:rStyle w:val="FootnoteReference"/>
          <w:vertAlign w:val="baseline"/>
        </w:rPr>
        <w:footnoteRef/>
      </w:r>
      <w:r w:rsidRPr="006E17FE">
        <w:rPr>
          <w:rFonts w:eastAsia="Arial"/>
          <w:rtl/>
        </w:rPr>
        <w:tab/>
        <w:t xml:space="preserve">على نفس المنوال، ذكر الرد الوارد من اليابان أن سحب إنفاذ البراءات على الاستخدام الفردي للاختراعات المحمية ببراءات </w:t>
      </w:r>
      <w:r>
        <w:rPr>
          <w:rFonts w:eastAsia="Arial"/>
          <w:rtl/>
        </w:rPr>
        <w:t>في المنازل يعتبر إفراطاً بالن</w:t>
      </w:r>
      <w:r>
        <w:rPr>
          <w:rFonts w:eastAsia="Arial" w:hint="cs"/>
          <w:rtl/>
        </w:rPr>
        <w:t>ظر</w:t>
      </w:r>
      <w:r w:rsidRPr="006E17FE">
        <w:rPr>
          <w:rFonts w:eastAsia="Arial"/>
          <w:rtl/>
        </w:rPr>
        <w:t xml:space="preserve"> إلى الظروف الاجتماعية الفعلية.</w:t>
      </w:r>
    </w:p>
  </w:footnote>
  <w:footnote w:id="3">
    <w:p w:rsidR="00EB40E9" w:rsidRPr="006E17FE" w:rsidRDefault="00EB40E9" w:rsidP="006E17FE">
      <w:pPr>
        <w:pStyle w:val="FootnoteText"/>
      </w:pPr>
      <w:r w:rsidRPr="006E17FE">
        <w:rPr>
          <w:rStyle w:val="FootnoteReference"/>
          <w:vertAlign w:val="baseline"/>
        </w:rPr>
        <w:footnoteRef/>
      </w:r>
      <w:r w:rsidRPr="006E17FE">
        <w:rPr>
          <w:rFonts w:eastAsia="Arial"/>
          <w:rtl/>
        </w:rPr>
        <w:tab/>
        <w:t>على نفس المنوال، بيَّن الرد الوارد من البرتغال أن الاستثناء لا يلحق بصاحب الحق أي ضرر.</w:t>
      </w:r>
      <w:r>
        <w:rPr>
          <w:rFonts w:eastAsia="Arial"/>
          <w:rtl/>
        </w:rPr>
        <w:t xml:space="preserve"> </w:t>
      </w:r>
      <w:r w:rsidRPr="006E17FE">
        <w:rPr>
          <w:rFonts w:eastAsia="Arial"/>
          <w:rtl/>
        </w:rPr>
        <w:t>كما جاء في الرد الوارد من السلفادور أنه ينبغي "ضمان عدم الإضرار بالتشغيل الطبيعي للاختراع بمعرفة المالك".</w:t>
      </w:r>
    </w:p>
  </w:footnote>
  <w:footnote w:id="4">
    <w:p w:rsidR="00EB40E9" w:rsidRPr="00D0733C" w:rsidRDefault="00EB40E9" w:rsidP="00BC0E06">
      <w:pPr>
        <w:pStyle w:val="FootnoteText"/>
      </w:pPr>
      <w:r w:rsidRPr="00D0733C">
        <w:rPr>
          <w:rStyle w:val="FootnoteReference"/>
          <w:vertAlign w:val="baseline"/>
        </w:rPr>
        <w:footnoteRef/>
      </w:r>
      <w:r w:rsidRPr="00D0733C">
        <w:rPr>
          <w:rFonts w:eastAsia="Arial"/>
          <w:rtl/>
        </w:rPr>
        <w:tab/>
        <w:t xml:space="preserve">انظر أوراق النرويج البرلمانية </w:t>
      </w:r>
      <w:r w:rsidRPr="00D0733C">
        <w:rPr>
          <w:rFonts w:eastAsia="Arial"/>
        </w:rPr>
        <w:t>197</w:t>
      </w:r>
      <w:r w:rsidRPr="00D0733C">
        <w:rPr>
          <w:rFonts w:eastAsia="Arial"/>
          <w:rtl/>
        </w:rPr>
        <w:t>،</w:t>
      </w:r>
      <w:r w:rsidRPr="00D0733C">
        <w:rPr>
          <w:rFonts w:eastAsia="Arial"/>
        </w:rPr>
        <w:t xml:space="preserve"> 1904</w:t>
      </w:r>
      <w:r>
        <w:rPr>
          <w:rFonts w:eastAsia="Arial" w:hint="cs"/>
          <w:rtl/>
        </w:rPr>
        <w:t>-</w:t>
      </w:r>
      <w:r w:rsidRPr="00D0733C">
        <w:rPr>
          <w:rFonts w:eastAsia="Arial"/>
        </w:rPr>
        <w:t>1905</w:t>
      </w:r>
      <w:r w:rsidRPr="00D0733C">
        <w:rPr>
          <w:rFonts w:eastAsia="Arial"/>
          <w:rtl/>
        </w:rPr>
        <w:t xml:space="preserve">، رقم </w:t>
      </w:r>
      <w:r w:rsidRPr="00D0733C">
        <w:rPr>
          <w:rFonts w:eastAsia="Arial"/>
        </w:rPr>
        <w:t>3</w:t>
      </w:r>
      <w:r w:rsidRPr="00D0733C">
        <w:rPr>
          <w:rFonts w:eastAsia="Arial"/>
          <w:rtl/>
        </w:rPr>
        <w:t>.</w:t>
      </w:r>
    </w:p>
  </w:footnote>
  <w:footnote w:id="5">
    <w:p w:rsidR="00EB40E9" w:rsidRPr="00D0733C" w:rsidRDefault="00EB40E9" w:rsidP="00D0733C">
      <w:pPr>
        <w:pStyle w:val="FootnoteText"/>
      </w:pPr>
      <w:r w:rsidRPr="00D0733C">
        <w:rPr>
          <w:rStyle w:val="FootnoteReference"/>
          <w:vertAlign w:val="baseline"/>
        </w:rPr>
        <w:footnoteRef/>
      </w:r>
      <w:r w:rsidRPr="00D0733C">
        <w:rPr>
          <w:rFonts w:eastAsia="Arial"/>
          <w:rtl/>
        </w:rPr>
        <w:tab/>
        <w:t>جاء في الرد الوارد من النرويج ما يلي:</w:t>
      </w:r>
      <w:r>
        <w:rPr>
          <w:rFonts w:eastAsia="Arial"/>
          <w:rtl/>
        </w:rPr>
        <w:t xml:space="preserve"> </w:t>
      </w:r>
      <w:r w:rsidRPr="00D0733C">
        <w:rPr>
          <w:rFonts w:eastAsia="Arial"/>
          <w:rtl/>
        </w:rPr>
        <w:t>"يقتضي مصطلح 'الاستغلال' تقييدات معينة فيما يتعلق بأنواع الأنشطة التي تشملها حماية البراءة.</w:t>
      </w:r>
      <w:r>
        <w:rPr>
          <w:rFonts w:eastAsia="Arial"/>
          <w:rtl/>
        </w:rPr>
        <w:t xml:space="preserve"> </w:t>
      </w:r>
      <w:r w:rsidRPr="00D0733C">
        <w:rPr>
          <w:rFonts w:eastAsia="Arial"/>
          <w:rtl/>
        </w:rPr>
        <w:t>فليست الغاية من حقوق البراءات إلا حماية صاحب الحق من الاستغلال التجاري للاختراع،</w:t>
      </w:r>
      <w:r>
        <w:rPr>
          <w:rFonts w:eastAsia="Arial"/>
          <w:rtl/>
        </w:rPr>
        <w:t xml:space="preserve"> </w:t>
      </w:r>
      <w:r w:rsidRPr="00D0733C">
        <w:rPr>
          <w:rFonts w:eastAsia="Arial"/>
          <w:rtl/>
        </w:rPr>
        <w:t>بينما ينطوي إبقاء الاستخدام غير التجاري ضمن الملك العام على مصلحة مشتركة.</w:t>
      </w:r>
      <w:r>
        <w:rPr>
          <w:rFonts w:eastAsia="Arial"/>
          <w:rtl/>
        </w:rPr>
        <w:t xml:space="preserve"> </w:t>
      </w:r>
      <w:r w:rsidRPr="00D0733C">
        <w:rPr>
          <w:rFonts w:eastAsia="Arial"/>
          <w:rtl/>
        </w:rPr>
        <w:t>فلا يتمتع صاحب الحق إذاً بالحماية من استغلال الاختراع كقاعدة معرفية للبحث أو التجارب أو التعليم.</w:t>
      </w:r>
      <w:r>
        <w:rPr>
          <w:rFonts w:eastAsia="Arial"/>
          <w:rtl/>
        </w:rPr>
        <w:t xml:space="preserve"> </w:t>
      </w:r>
      <w:r w:rsidRPr="00D0733C">
        <w:rPr>
          <w:rFonts w:eastAsia="Arial"/>
          <w:rtl/>
        </w:rPr>
        <w:t>ومع ذلك، فإذا كان الهدف من الاختراع استعماله في أغراض تتعلق بالبحث أو التعليم، كأن يكون جهاز قياس على سبيل المثال، فإن استخدام الاختراع على هذا النحو يندرج ضمن الحماية بموجب البراءة".</w:t>
      </w:r>
      <w:r>
        <w:rPr>
          <w:rFonts w:eastAsia="Arial"/>
          <w:rtl/>
        </w:rPr>
        <w:t xml:space="preserve"> </w:t>
      </w:r>
      <w:r w:rsidRPr="00D0733C">
        <w:rPr>
          <w:rFonts w:eastAsia="Arial"/>
          <w:rtl/>
        </w:rPr>
        <w:t>وأثار كلٌ من الاتحاد الروسي وإسبانيا نقاطاً مشابهة.</w:t>
      </w:r>
    </w:p>
  </w:footnote>
  <w:footnote w:id="6">
    <w:p w:rsidR="00EB40E9" w:rsidRPr="00D0733C" w:rsidRDefault="00EB40E9" w:rsidP="00D0733C">
      <w:pPr>
        <w:pStyle w:val="FootnoteText"/>
      </w:pPr>
      <w:r w:rsidRPr="00D0733C">
        <w:rPr>
          <w:rStyle w:val="FootnoteReference"/>
          <w:vertAlign w:val="baseline"/>
        </w:rPr>
        <w:footnoteRef/>
      </w:r>
      <w:r w:rsidRPr="00D0733C">
        <w:rPr>
          <w:rFonts w:eastAsia="Arial"/>
          <w:rtl/>
        </w:rPr>
        <w:tab/>
        <w:t>انظر، على سبيل المثال، الرد الوارد من إسبانيا.</w:t>
      </w:r>
    </w:p>
  </w:footnote>
  <w:footnote w:id="7">
    <w:p w:rsidR="00EB40E9" w:rsidRPr="00D0733C" w:rsidRDefault="00EB40E9" w:rsidP="001061D4">
      <w:pPr>
        <w:pStyle w:val="FootnoteText"/>
      </w:pPr>
      <w:r w:rsidRPr="00D0733C">
        <w:rPr>
          <w:rStyle w:val="FootnoteReference"/>
          <w:vertAlign w:val="baseline"/>
        </w:rPr>
        <w:footnoteRef/>
      </w:r>
      <w:r w:rsidRPr="00D0733C">
        <w:rPr>
          <w:rFonts w:eastAsia="Arial"/>
          <w:rtl/>
        </w:rPr>
        <w:tab/>
        <w:t xml:space="preserve">انظر الرد الوارد من سري </w:t>
      </w:r>
      <w:proofErr w:type="spellStart"/>
      <w:r w:rsidRPr="00D0733C">
        <w:rPr>
          <w:rFonts w:eastAsia="Arial"/>
          <w:rtl/>
        </w:rPr>
        <w:t>لانكا</w:t>
      </w:r>
      <w:proofErr w:type="spellEnd"/>
      <w:r w:rsidRPr="00D0733C">
        <w:rPr>
          <w:rFonts w:eastAsia="Arial"/>
          <w:rtl/>
        </w:rPr>
        <w:t xml:space="preserve">: "محاضر المناقشات البرلمانية بتاريخ </w:t>
      </w:r>
      <w:r w:rsidRPr="00D0733C">
        <w:rPr>
          <w:rFonts w:eastAsia="Arial"/>
        </w:rPr>
        <w:t>23</w:t>
      </w:r>
      <w:r>
        <w:rPr>
          <w:rFonts w:eastAsia="Arial" w:hint="cs"/>
          <w:rtl/>
        </w:rPr>
        <w:t>/</w:t>
      </w:r>
      <w:r w:rsidRPr="00D0733C">
        <w:rPr>
          <w:rFonts w:eastAsia="Arial"/>
        </w:rPr>
        <w:t>7</w:t>
      </w:r>
      <w:r>
        <w:rPr>
          <w:rFonts w:eastAsia="Arial" w:hint="cs"/>
          <w:rtl/>
        </w:rPr>
        <w:t>/</w:t>
      </w:r>
      <w:r w:rsidRPr="00D0733C">
        <w:rPr>
          <w:rFonts w:eastAsia="Arial"/>
        </w:rPr>
        <w:t>2003</w:t>
      </w:r>
      <w:r w:rsidRPr="00D0733C">
        <w:rPr>
          <w:rFonts w:eastAsia="Arial"/>
          <w:rtl/>
        </w:rPr>
        <w:t>.</w:t>
      </w:r>
      <w:r>
        <w:rPr>
          <w:rFonts w:eastAsia="Arial"/>
          <w:rtl/>
        </w:rPr>
        <w:t xml:space="preserve"> </w:t>
      </w:r>
      <w:r w:rsidRPr="00D0733C">
        <w:rPr>
          <w:rFonts w:eastAsia="Arial"/>
          <w:rtl/>
        </w:rPr>
        <w:t xml:space="preserve">وقد كانت أغراض استحداث القانون الجديد في عام </w:t>
      </w:r>
      <w:r w:rsidRPr="00D0733C">
        <w:rPr>
          <w:rFonts w:eastAsia="Arial"/>
        </w:rPr>
        <w:t>2003</w:t>
      </w:r>
      <w:r w:rsidRPr="00D0733C">
        <w:rPr>
          <w:rFonts w:eastAsia="Arial"/>
          <w:rtl/>
        </w:rPr>
        <w:t xml:space="preserve"> تشجيع الإبداع على الصعيد الوطني، وجذب الاستثمارات، وتشجيع التجارة، وحماية مصالح المستهلكين، ودمج الاقتصاد الوطني في البيئة الاقتصادية العالمية المدفوعة</w:t>
      </w:r>
      <w:r>
        <w:rPr>
          <w:rFonts w:eastAsia="Arial" w:hint="cs"/>
          <w:rtl/>
        </w:rPr>
        <w:t> </w:t>
      </w:r>
      <w:r w:rsidRPr="00D0733C">
        <w:rPr>
          <w:rFonts w:eastAsia="Arial"/>
          <w:rtl/>
        </w:rPr>
        <w:t>بالمعرفة".</w:t>
      </w:r>
    </w:p>
  </w:footnote>
  <w:footnote w:id="8">
    <w:p w:rsidR="00EB40E9" w:rsidRPr="00D0733C" w:rsidRDefault="00EB40E9" w:rsidP="00D0733C">
      <w:pPr>
        <w:pStyle w:val="FootnoteText"/>
      </w:pPr>
      <w:r w:rsidRPr="00D0733C">
        <w:rPr>
          <w:rStyle w:val="FootnoteReference"/>
          <w:vertAlign w:val="baseline"/>
        </w:rPr>
        <w:footnoteRef/>
      </w:r>
      <w:r w:rsidRPr="00D0733C">
        <w:rPr>
          <w:rFonts w:eastAsia="Arial"/>
          <w:rtl/>
        </w:rPr>
        <w:tab/>
        <w:t>على سبيل المثال، الردود الواردة من هندوراس والأردن وكينيا والمكسيك وجمهورية مولدوفا والاتحاد الروسي.</w:t>
      </w:r>
    </w:p>
  </w:footnote>
  <w:footnote w:id="9">
    <w:p w:rsidR="00EB40E9" w:rsidRPr="00945137" w:rsidRDefault="00EB40E9" w:rsidP="00945137">
      <w:pPr>
        <w:pStyle w:val="FootnoteText"/>
      </w:pPr>
      <w:r>
        <w:rPr>
          <w:rStyle w:val="FootnoteReference"/>
        </w:rPr>
        <w:footnoteRef/>
      </w:r>
      <w:r>
        <w:rPr>
          <w:rFonts w:eastAsia="Arial"/>
          <w:rtl/>
        </w:rPr>
        <w:t xml:space="preserve"> </w:t>
      </w:r>
      <w:r>
        <w:rPr>
          <w:rFonts w:eastAsia="Arial"/>
          <w:rtl/>
        </w:rPr>
        <w:tab/>
      </w:r>
      <w:r w:rsidRPr="00945137">
        <w:rPr>
          <w:rFonts w:eastAsia="Arial"/>
          <w:rtl/>
        </w:rPr>
        <w:t xml:space="preserve">انظر المادة </w:t>
      </w:r>
      <w:r w:rsidRPr="00945137">
        <w:rPr>
          <w:rFonts w:eastAsia="Arial"/>
        </w:rPr>
        <w:t>22</w:t>
      </w:r>
      <w:r w:rsidRPr="00945137">
        <w:rPr>
          <w:rFonts w:eastAsia="Arial"/>
          <w:rtl/>
        </w:rPr>
        <w:t>(ثانياً) من قانون الملكية الصناعية في المكسيك.</w:t>
      </w:r>
    </w:p>
  </w:footnote>
  <w:footnote w:id="10">
    <w:p w:rsidR="00EB40E9" w:rsidRPr="00945137" w:rsidRDefault="00EB40E9" w:rsidP="005E31B5">
      <w:pPr>
        <w:pStyle w:val="FootnoteText"/>
      </w:pPr>
      <w:r w:rsidRPr="001061D4">
        <w:rPr>
          <w:rStyle w:val="FootnoteReference"/>
        </w:rPr>
        <w:footnoteRef/>
      </w:r>
      <w:r w:rsidRPr="00945137">
        <w:rPr>
          <w:rFonts w:eastAsia="Arial"/>
          <w:rtl/>
        </w:rPr>
        <w:tab/>
        <w:t xml:space="preserve">الرد الوارد من أستراليا، مشيراً إلى الحكم القضائي البريطاني في قضية </w:t>
      </w:r>
      <w:proofErr w:type="spellStart"/>
      <w:r w:rsidRPr="00945137">
        <w:rPr>
          <w:rFonts w:eastAsia="Arial"/>
          <w:rtl/>
        </w:rPr>
        <w:t>فريرسون</w:t>
      </w:r>
      <w:proofErr w:type="spellEnd"/>
      <w:r w:rsidRPr="00945137">
        <w:rPr>
          <w:rFonts w:eastAsia="Arial"/>
          <w:rtl/>
        </w:rPr>
        <w:t xml:space="preserve"> ضد لو </w:t>
      </w:r>
      <w:r w:rsidRPr="00945137">
        <w:rPr>
          <w:rFonts w:eastAsia="Arial"/>
        </w:rPr>
        <w:t xml:space="preserve">18760 9 </w:t>
      </w:r>
      <w:proofErr w:type="spellStart"/>
      <w:r w:rsidRPr="00945137">
        <w:rPr>
          <w:rFonts w:eastAsia="Arial"/>
        </w:rPr>
        <w:t>ChD</w:t>
      </w:r>
      <w:proofErr w:type="spellEnd"/>
      <w:r w:rsidRPr="00945137">
        <w:rPr>
          <w:rFonts w:eastAsia="Arial"/>
        </w:rPr>
        <w:t xml:space="preserve"> 48.</w:t>
      </w:r>
      <w:r>
        <w:rPr>
          <w:rFonts w:eastAsia="Arial" w:hint="cs"/>
          <w:rtl/>
        </w:rPr>
        <w:t xml:space="preserve"> (</w:t>
      </w:r>
      <w:r w:rsidRPr="00945137">
        <w:rPr>
          <w:rFonts w:eastAsia="Arial"/>
        </w:rPr>
        <w:t>Genes and Ingenuity</w:t>
      </w:r>
      <w:r w:rsidRPr="00945137">
        <w:rPr>
          <w:rFonts w:eastAsia="Arial"/>
          <w:rtl/>
        </w:rPr>
        <w:t xml:space="preserve">، الفصل </w:t>
      </w:r>
      <w:r w:rsidRPr="00945137">
        <w:rPr>
          <w:rFonts w:eastAsia="Arial"/>
        </w:rPr>
        <w:t>13</w:t>
      </w:r>
      <w:r w:rsidRPr="00945137">
        <w:rPr>
          <w:rFonts w:eastAsia="Arial"/>
          <w:rtl/>
        </w:rPr>
        <w:t xml:space="preserve">، التقرير </w:t>
      </w:r>
      <w:r w:rsidRPr="00945137">
        <w:rPr>
          <w:rFonts w:eastAsia="Arial"/>
        </w:rPr>
        <w:t>99</w:t>
      </w:r>
      <w:r w:rsidRPr="00945137">
        <w:rPr>
          <w:rFonts w:eastAsia="Arial"/>
          <w:rtl/>
        </w:rPr>
        <w:t xml:space="preserve">، لجنة الإصلاح القانوني الأسترالية، يونيو </w:t>
      </w:r>
      <w:r w:rsidRPr="00945137">
        <w:rPr>
          <w:rFonts w:eastAsia="Arial"/>
        </w:rPr>
        <w:t>2004</w:t>
      </w:r>
      <w:r w:rsidRPr="00945137">
        <w:rPr>
          <w:rFonts w:eastAsia="Arial"/>
          <w:rtl/>
        </w:rPr>
        <w:t>).</w:t>
      </w:r>
    </w:p>
  </w:footnote>
  <w:footnote w:id="11">
    <w:p w:rsidR="00EB40E9" w:rsidRPr="00945137" w:rsidRDefault="00EB40E9" w:rsidP="00206CC3">
      <w:pPr>
        <w:pStyle w:val="FootnoteText"/>
      </w:pPr>
      <w:r w:rsidRPr="001061D4">
        <w:rPr>
          <w:rStyle w:val="FootnoteReference"/>
        </w:rPr>
        <w:footnoteRef/>
      </w:r>
      <w:r w:rsidRPr="00945137">
        <w:rPr>
          <w:rFonts w:eastAsia="Arial"/>
          <w:rtl/>
        </w:rPr>
        <w:tab/>
        <w:t xml:space="preserve">المادة </w:t>
      </w:r>
      <w:r w:rsidRPr="00945137">
        <w:rPr>
          <w:rFonts w:eastAsia="Arial"/>
        </w:rPr>
        <w:t>12</w:t>
      </w:r>
      <w:r w:rsidRPr="00945137">
        <w:rPr>
          <w:rFonts w:eastAsia="Arial"/>
          <w:rtl/>
        </w:rPr>
        <w:t xml:space="preserve"> من قانون البراءات الجزائري رقم </w:t>
      </w:r>
      <w:r w:rsidRPr="00945137">
        <w:rPr>
          <w:rFonts w:eastAsia="Arial"/>
        </w:rPr>
        <w:t>03-07</w:t>
      </w:r>
      <w:r w:rsidRPr="00945137">
        <w:rPr>
          <w:rFonts w:eastAsia="Arial"/>
          <w:rtl/>
        </w:rPr>
        <w:t xml:space="preserve"> بتاريخ </w:t>
      </w:r>
      <w:r w:rsidRPr="00945137">
        <w:rPr>
          <w:rFonts w:eastAsia="Arial"/>
        </w:rPr>
        <w:t>19</w:t>
      </w:r>
      <w:r w:rsidRPr="00945137">
        <w:rPr>
          <w:rFonts w:eastAsia="Arial"/>
          <w:rtl/>
        </w:rPr>
        <w:t xml:space="preserve"> يوليو </w:t>
      </w:r>
      <w:r w:rsidRPr="00945137">
        <w:rPr>
          <w:rFonts w:eastAsia="Arial"/>
        </w:rPr>
        <w:t>2003</w:t>
      </w:r>
      <w:r w:rsidRPr="00945137">
        <w:rPr>
          <w:rFonts w:eastAsia="Arial"/>
          <w:rtl/>
        </w:rPr>
        <w:t xml:space="preserve">؛ والمادة </w:t>
      </w:r>
      <w:r w:rsidRPr="00945137">
        <w:rPr>
          <w:rFonts w:eastAsia="Arial"/>
        </w:rPr>
        <w:t>22</w:t>
      </w:r>
      <w:r>
        <w:rPr>
          <w:rFonts w:eastAsia="Arial" w:hint="cs"/>
          <w:rtl/>
        </w:rPr>
        <w:t>(</w:t>
      </w:r>
      <w:r w:rsidRPr="00945137">
        <w:rPr>
          <w:rFonts w:eastAsia="Arial"/>
        </w:rPr>
        <w:t>1</w:t>
      </w:r>
      <w:r w:rsidRPr="00945137">
        <w:rPr>
          <w:rFonts w:eastAsia="Arial"/>
          <w:rtl/>
        </w:rPr>
        <w:t xml:space="preserve">) من قانون البراءات النمساوي؛ والمادة </w:t>
      </w:r>
      <w:r w:rsidRPr="00945137">
        <w:rPr>
          <w:rFonts w:eastAsia="Arial"/>
        </w:rPr>
        <w:t>11</w:t>
      </w:r>
      <w:r w:rsidRPr="00945137">
        <w:rPr>
          <w:rFonts w:eastAsia="Arial"/>
          <w:rtl/>
        </w:rPr>
        <w:t xml:space="preserve"> من قانون البراءات الصيني؛ والمادة </w:t>
      </w:r>
      <w:r w:rsidRPr="00945137">
        <w:rPr>
          <w:rFonts w:eastAsia="Arial"/>
        </w:rPr>
        <w:t>18</w:t>
      </w:r>
      <w:r w:rsidRPr="00945137">
        <w:rPr>
          <w:rFonts w:eastAsia="Arial"/>
          <w:rtl/>
        </w:rPr>
        <w:t xml:space="preserve"> من قانون الملكية الصناعية </w:t>
      </w:r>
      <w:proofErr w:type="spellStart"/>
      <w:r w:rsidRPr="00945137">
        <w:rPr>
          <w:rFonts w:eastAsia="Arial"/>
          <w:rtl/>
        </w:rPr>
        <w:t>الهندوراسي</w:t>
      </w:r>
      <w:proofErr w:type="spellEnd"/>
      <w:r w:rsidRPr="00945137">
        <w:rPr>
          <w:rFonts w:eastAsia="Arial"/>
          <w:rtl/>
        </w:rPr>
        <w:t xml:space="preserve"> المتضمن في القرار رقم </w:t>
      </w:r>
      <w:r w:rsidRPr="00945137">
        <w:rPr>
          <w:rFonts w:eastAsia="Arial"/>
        </w:rPr>
        <w:t>12-99-E</w:t>
      </w:r>
      <w:r w:rsidRPr="00945137">
        <w:rPr>
          <w:rFonts w:eastAsia="Arial"/>
          <w:rtl/>
        </w:rPr>
        <w:t xml:space="preserve">؛ والمادة </w:t>
      </w:r>
      <w:r w:rsidRPr="00945137">
        <w:rPr>
          <w:rFonts w:eastAsia="Arial"/>
        </w:rPr>
        <w:t>68</w:t>
      </w:r>
      <w:r w:rsidRPr="00945137">
        <w:rPr>
          <w:rFonts w:eastAsia="Arial"/>
          <w:rtl/>
        </w:rPr>
        <w:t xml:space="preserve"> من قانون البراءات الياباني؛ والمادة </w:t>
      </w:r>
      <w:r w:rsidRPr="00945137">
        <w:rPr>
          <w:rFonts w:eastAsia="Arial"/>
        </w:rPr>
        <w:t>58</w:t>
      </w:r>
      <w:r w:rsidRPr="00945137">
        <w:rPr>
          <w:rFonts w:eastAsia="Arial"/>
          <w:rtl/>
        </w:rPr>
        <w:t xml:space="preserve"> من قانون الملكية الصناعية الكيني لعام </w:t>
      </w:r>
      <w:r w:rsidRPr="00945137">
        <w:rPr>
          <w:rFonts w:eastAsia="Arial"/>
        </w:rPr>
        <w:t>2002</w:t>
      </w:r>
      <w:r w:rsidRPr="00945137">
        <w:rPr>
          <w:rFonts w:eastAsia="Arial"/>
          <w:rtl/>
        </w:rPr>
        <w:t xml:space="preserve">؛ والمادة </w:t>
      </w:r>
      <w:r w:rsidRPr="00945137">
        <w:rPr>
          <w:rFonts w:eastAsia="Arial"/>
        </w:rPr>
        <w:t>30</w:t>
      </w:r>
      <w:r w:rsidRPr="00945137">
        <w:rPr>
          <w:rFonts w:eastAsia="Arial"/>
          <w:rtl/>
        </w:rPr>
        <w:t xml:space="preserve"> من قانون مدغشقر رقم </w:t>
      </w:r>
      <w:r w:rsidRPr="00945137">
        <w:rPr>
          <w:rFonts w:eastAsia="Arial"/>
        </w:rPr>
        <w:t>89-019</w:t>
      </w:r>
      <w:r w:rsidRPr="00945137">
        <w:rPr>
          <w:rFonts w:eastAsia="Arial"/>
          <w:rtl/>
        </w:rPr>
        <w:t xml:space="preserve"> المؤسس لترتيبات حماية الملكية الصناعية (بتاريخ </w:t>
      </w:r>
      <w:r w:rsidRPr="00945137">
        <w:rPr>
          <w:rFonts w:eastAsia="Arial"/>
        </w:rPr>
        <w:t>31</w:t>
      </w:r>
      <w:r w:rsidRPr="00945137">
        <w:rPr>
          <w:rFonts w:eastAsia="Arial"/>
          <w:rtl/>
        </w:rPr>
        <w:t xml:space="preserve"> يوليو </w:t>
      </w:r>
      <w:r w:rsidRPr="00945137">
        <w:rPr>
          <w:rFonts w:eastAsia="Arial"/>
        </w:rPr>
        <w:t>1989</w:t>
      </w:r>
      <w:r w:rsidRPr="00945137">
        <w:rPr>
          <w:rFonts w:eastAsia="Arial"/>
          <w:rtl/>
        </w:rPr>
        <w:t xml:space="preserve">)؛ والمادة </w:t>
      </w:r>
      <w:r w:rsidRPr="00945137">
        <w:rPr>
          <w:rFonts w:eastAsia="Arial"/>
        </w:rPr>
        <w:t>53</w:t>
      </w:r>
      <w:r w:rsidRPr="00945137">
        <w:rPr>
          <w:rFonts w:eastAsia="Arial"/>
          <w:rtl/>
        </w:rPr>
        <w:t xml:space="preserve"> من قانون البراءات الهولندي؛ والمادة </w:t>
      </w:r>
      <w:r w:rsidRPr="00945137">
        <w:rPr>
          <w:rFonts w:eastAsia="Arial"/>
        </w:rPr>
        <w:t>1</w:t>
      </w:r>
      <w:r>
        <w:rPr>
          <w:rFonts w:eastAsia="Arial" w:hint="cs"/>
          <w:rtl/>
        </w:rPr>
        <w:t>(</w:t>
      </w:r>
      <w:r w:rsidRPr="00945137">
        <w:rPr>
          <w:rFonts w:eastAsia="Arial"/>
        </w:rPr>
        <w:t>1</w:t>
      </w:r>
      <w:r>
        <w:rPr>
          <w:rFonts w:eastAsia="Arial" w:hint="cs"/>
          <w:rtl/>
        </w:rPr>
        <w:t>)</w:t>
      </w:r>
      <w:r w:rsidRPr="00945137">
        <w:rPr>
          <w:rFonts w:eastAsia="Arial"/>
          <w:rtl/>
        </w:rPr>
        <w:t xml:space="preserve"> من قانون البراءات النرويجي؛ والمادة </w:t>
      </w:r>
      <w:r w:rsidRPr="00945137">
        <w:rPr>
          <w:rFonts w:eastAsia="Arial"/>
        </w:rPr>
        <w:t>66</w:t>
      </w:r>
      <w:r>
        <w:rPr>
          <w:rFonts w:eastAsia="Arial" w:hint="cs"/>
          <w:rtl/>
        </w:rPr>
        <w:t>(</w:t>
      </w:r>
      <w:r w:rsidRPr="00945137">
        <w:rPr>
          <w:rFonts w:eastAsia="Arial"/>
        </w:rPr>
        <w:t>1</w:t>
      </w:r>
      <w:r>
        <w:rPr>
          <w:rFonts w:eastAsia="Arial" w:hint="cs"/>
          <w:rtl/>
        </w:rPr>
        <w:t>)</w:t>
      </w:r>
      <w:r w:rsidRPr="00945137">
        <w:rPr>
          <w:rFonts w:eastAsia="Arial"/>
          <w:rtl/>
        </w:rPr>
        <w:t xml:space="preserve"> من قانون الملكية الصناعية البولندي؛ والمادة </w:t>
      </w:r>
      <w:r w:rsidRPr="00945137">
        <w:rPr>
          <w:rFonts w:eastAsia="Arial"/>
        </w:rPr>
        <w:t>94</w:t>
      </w:r>
      <w:r w:rsidRPr="00945137">
        <w:rPr>
          <w:rFonts w:eastAsia="Arial"/>
          <w:rtl/>
        </w:rPr>
        <w:t xml:space="preserve"> من قانون البراءات في جمهورية كوريا؛ والمادة </w:t>
      </w:r>
      <w:r w:rsidRPr="00945137">
        <w:rPr>
          <w:rFonts w:eastAsia="Arial"/>
        </w:rPr>
        <w:t>28</w:t>
      </w:r>
      <w:r w:rsidRPr="00945137">
        <w:rPr>
          <w:rFonts w:eastAsia="Arial"/>
          <w:rtl/>
        </w:rPr>
        <w:t xml:space="preserve"> من قانون البراءات الفصل </w:t>
      </w:r>
      <w:r w:rsidRPr="00945137">
        <w:rPr>
          <w:rFonts w:eastAsia="Arial"/>
        </w:rPr>
        <w:t>216</w:t>
      </w:r>
      <w:r w:rsidRPr="00945137">
        <w:rPr>
          <w:rFonts w:eastAsia="Arial"/>
          <w:rtl/>
        </w:rPr>
        <w:t xml:space="preserve"> قوانين أوغندا.</w:t>
      </w:r>
      <w:r>
        <w:rPr>
          <w:rFonts w:eastAsia="Arial"/>
          <w:rtl/>
        </w:rPr>
        <w:t xml:space="preserve"> </w:t>
      </w:r>
    </w:p>
  </w:footnote>
  <w:footnote w:id="12">
    <w:p w:rsidR="00EB40E9" w:rsidRPr="00AA6CCD" w:rsidRDefault="00EB40E9" w:rsidP="000517A6">
      <w:pPr>
        <w:pStyle w:val="FootnoteText"/>
      </w:pPr>
      <w:r w:rsidRPr="000517A6">
        <w:rPr>
          <w:rStyle w:val="FootnoteReference"/>
        </w:rPr>
        <w:footnoteRef/>
      </w:r>
      <w:r w:rsidRPr="00AA6CCD">
        <w:rPr>
          <w:rFonts w:eastAsia="Arial"/>
          <w:rtl/>
        </w:rPr>
        <w:tab/>
        <w:t xml:space="preserve">المادة </w:t>
      </w:r>
      <w:r w:rsidRPr="00AA6CCD">
        <w:rPr>
          <w:rFonts w:eastAsia="Arial"/>
        </w:rPr>
        <w:t>38</w:t>
      </w:r>
      <w:r w:rsidRPr="00AA6CCD">
        <w:rPr>
          <w:rFonts w:eastAsia="Arial"/>
          <w:rtl/>
        </w:rPr>
        <w:t xml:space="preserve">(أ) من قانون الملكية الصناعية الألباني رقم </w:t>
      </w:r>
      <w:r w:rsidRPr="00AA6CCD">
        <w:rPr>
          <w:rFonts w:eastAsia="Arial"/>
        </w:rPr>
        <w:t>9947</w:t>
      </w:r>
      <w:r w:rsidRPr="00AA6CCD">
        <w:rPr>
          <w:rFonts w:eastAsia="Arial"/>
          <w:rtl/>
        </w:rPr>
        <w:t xml:space="preserve">؛ والمادة </w:t>
      </w:r>
      <w:r w:rsidRPr="00AA6CCD">
        <w:rPr>
          <w:rFonts w:eastAsia="Arial"/>
        </w:rPr>
        <w:t>73</w:t>
      </w:r>
      <w:r w:rsidRPr="00AA6CCD">
        <w:rPr>
          <w:rFonts w:eastAsia="Arial"/>
          <w:rtl/>
        </w:rPr>
        <w:t xml:space="preserve">(أ) من قانون البراءات في البوسنة والهرسك (العدد </w:t>
      </w:r>
      <w:r w:rsidRPr="00AA6CCD">
        <w:rPr>
          <w:rFonts w:eastAsia="Arial"/>
        </w:rPr>
        <w:t>53/10</w:t>
      </w:r>
      <w:r w:rsidRPr="00AA6CCD">
        <w:rPr>
          <w:rFonts w:eastAsia="Arial"/>
          <w:rtl/>
        </w:rPr>
        <w:t xml:space="preserve"> من الجريدة الرسمية)؛ والمادة </w:t>
      </w:r>
      <w:r w:rsidRPr="00AA6CCD">
        <w:rPr>
          <w:rFonts w:eastAsia="Arial"/>
        </w:rPr>
        <w:t>43</w:t>
      </w:r>
      <w:r w:rsidRPr="00AA6CCD">
        <w:rPr>
          <w:rFonts w:eastAsia="Arial"/>
          <w:rtl/>
        </w:rPr>
        <w:t xml:space="preserve"> من القانون البرازيلي رقم </w:t>
      </w:r>
      <w:r w:rsidRPr="00AA6CCD">
        <w:rPr>
          <w:rFonts w:eastAsia="Arial"/>
        </w:rPr>
        <w:t>9.279</w:t>
      </w:r>
      <w:r w:rsidRPr="00AA6CCD">
        <w:rPr>
          <w:rFonts w:eastAsia="Arial"/>
          <w:rtl/>
        </w:rPr>
        <w:t xml:space="preserve"> بتاريخ </w:t>
      </w:r>
      <w:r w:rsidRPr="00AA6CCD">
        <w:rPr>
          <w:rFonts w:eastAsia="Arial"/>
        </w:rPr>
        <w:t>14</w:t>
      </w:r>
      <w:r w:rsidRPr="00AA6CCD">
        <w:rPr>
          <w:rFonts w:eastAsia="Arial"/>
          <w:rtl/>
        </w:rPr>
        <w:t xml:space="preserve"> مايو </w:t>
      </w:r>
      <w:r w:rsidRPr="00AA6CCD">
        <w:rPr>
          <w:rFonts w:eastAsia="Arial"/>
        </w:rPr>
        <w:t>1996</w:t>
      </w:r>
      <w:r w:rsidRPr="00AA6CCD">
        <w:rPr>
          <w:rFonts w:eastAsia="Arial"/>
          <w:rtl/>
        </w:rPr>
        <w:t xml:space="preserve">؛ والمادة </w:t>
      </w:r>
      <w:r w:rsidRPr="00AA6CCD">
        <w:rPr>
          <w:rFonts w:eastAsia="Arial"/>
        </w:rPr>
        <w:t>20</w:t>
      </w:r>
      <w:r>
        <w:rPr>
          <w:rFonts w:eastAsia="Arial" w:hint="cs"/>
          <w:rtl/>
        </w:rPr>
        <w:t>(</w:t>
      </w:r>
      <w:r w:rsidRPr="00AA6CCD">
        <w:rPr>
          <w:rFonts w:eastAsia="Arial"/>
        </w:rPr>
        <w:t>1</w:t>
      </w:r>
      <w:r w:rsidRPr="00AA6CCD">
        <w:rPr>
          <w:rFonts w:eastAsia="Arial"/>
          <w:rtl/>
        </w:rPr>
        <w:t xml:space="preserve">) من القانون البلغاري بشأن الاختراعات، تسجيل نماذج المنفعة؛ والمادة </w:t>
      </w:r>
      <w:r w:rsidRPr="00AA6CCD">
        <w:rPr>
          <w:rFonts w:eastAsia="Arial"/>
        </w:rPr>
        <w:t>63</w:t>
      </w:r>
      <w:r>
        <w:rPr>
          <w:rFonts w:eastAsia="Arial" w:hint="cs"/>
          <w:rtl/>
        </w:rPr>
        <w:t>(</w:t>
      </w:r>
      <w:r w:rsidRPr="00AA6CCD">
        <w:rPr>
          <w:rFonts w:eastAsia="Arial"/>
        </w:rPr>
        <w:t>1</w:t>
      </w:r>
      <w:r w:rsidRPr="00AA6CCD">
        <w:rPr>
          <w:rFonts w:eastAsia="Arial"/>
          <w:rtl/>
        </w:rPr>
        <w:t xml:space="preserve">) من قانون البراءات الكرواتي (الأعداد </w:t>
      </w:r>
      <w:r w:rsidRPr="00AA6CCD">
        <w:rPr>
          <w:rFonts w:eastAsia="Arial"/>
        </w:rPr>
        <w:t>173/2003</w:t>
      </w:r>
      <w:r w:rsidRPr="00AA6CCD">
        <w:rPr>
          <w:rFonts w:eastAsia="Arial"/>
          <w:rtl/>
        </w:rPr>
        <w:t xml:space="preserve"> و</w:t>
      </w:r>
      <w:r w:rsidRPr="00AA6CCD">
        <w:rPr>
          <w:rFonts w:eastAsia="Arial"/>
        </w:rPr>
        <w:t>87/2005</w:t>
      </w:r>
      <w:r w:rsidRPr="00AA6CCD">
        <w:rPr>
          <w:rFonts w:eastAsia="Arial"/>
          <w:rtl/>
        </w:rPr>
        <w:t xml:space="preserve"> و</w:t>
      </w:r>
      <w:r w:rsidRPr="00AA6CCD">
        <w:rPr>
          <w:rFonts w:eastAsia="Arial"/>
        </w:rPr>
        <w:t>76/2007</w:t>
      </w:r>
      <w:r w:rsidRPr="00AA6CCD">
        <w:rPr>
          <w:rFonts w:eastAsia="Arial"/>
          <w:rtl/>
        </w:rPr>
        <w:t xml:space="preserve"> و</w:t>
      </w:r>
      <w:r w:rsidRPr="00AA6CCD">
        <w:rPr>
          <w:rFonts w:eastAsia="Arial"/>
        </w:rPr>
        <w:t>30/2009</w:t>
      </w:r>
      <w:r w:rsidRPr="00AA6CCD">
        <w:rPr>
          <w:rFonts w:eastAsia="Arial"/>
          <w:rtl/>
        </w:rPr>
        <w:t xml:space="preserve"> و</w:t>
      </w:r>
      <w:r w:rsidRPr="00AA6CCD">
        <w:rPr>
          <w:rFonts w:eastAsia="Arial"/>
        </w:rPr>
        <w:t>128/2010</w:t>
      </w:r>
      <w:r w:rsidRPr="00AA6CCD">
        <w:rPr>
          <w:rFonts w:eastAsia="Arial"/>
          <w:rtl/>
        </w:rPr>
        <w:t xml:space="preserve"> و</w:t>
      </w:r>
      <w:r w:rsidRPr="00AA6CCD">
        <w:rPr>
          <w:rFonts w:eastAsia="Arial"/>
        </w:rPr>
        <w:t>49/2011</w:t>
      </w:r>
      <w:r w:rsidRPr="00AA6CCD">
        <w:rPr>
          <w:rFonts w:eastAsia="Arial"/>
          <w:rtl/>
        </w:rPr>
        <w:t xml:space="preserve"> من الجريدة الرسمية)؛ والمادة </w:t>
      </w:r>
      <w:r>
        <w:rPr>
          <w:rFonts w:eastAsia="Arial" w:hint="cs"/>
          <w:rtl/>
        </w:rPr>
        <w:t>3(3)"</w:t>
      </w:r>
      <w:r w:rsidRPr="00AA6CCD">
        <w:rPr>
          <w:rFonts w:eastAsia="Arial"/>
        </w:rPr>
        <w:t>1</w:t>
      </w:r>
      <w:r>
        <w:rPr>
          <w:rFonts w:eastAsia="Arial" w:hint="cs"/>
          <w:rtl/>
        </w:rPr>
        <w:t>"</w:t>
      </w:r>
      <w:r w:rsidRPr="00AA6CCD">
        <w:rPr>
          <w:rFonts w:eastAsia="Arial"/>
          <w:rtl/>
        </w:rPr>
        <w:t xml:space="preserve"> من قانون البراءات </w:t>
      </w:r>
      <w:proofErr w:type="spellStart"/>
      <w:r w:rsidRPr="00AA6CCD">
        <w:rPr>
          <w:rFonts w:eastAsia="Arial"/>
          <w:rtl/>
        </w:rPr>
        <w:t>الدانمرك</w:t>
      </w:r>
      <w:r>
        <w:rPr>
          <w:rFonts w:eastAsia="Arial" w:hint="cs"/>
          <w:rtl/>
        </w:rPr>
        <w:t>ي</w:t>
      </w:r>
      <w:proofErr w:type="spellEnd"/>
      <w:r w:rsidRPr="00AA6CCD">
        <w:rPr>
          <w:rFonts w:eastAsia="Arial"/>
          <w:rtl/>
        </w:rPr>
        <w:t xml:space="preserve"> الموحد (القانون رقم </w:t>
      </w:r>
      <w:r w:rsidRPr="00AA6CCD">
        <w:rPr>
          <w:rFonts w:eastAsia="Arial"/>
        </w:rPr>
        <w:t>91</w:t>
      </w:r>
      <w:r w:rsidRPr="00AA6CCD">
        <w:rPr>
          <w:rFonts w:eastAsia="Arial"/>
          <w:rtl/>
        </w:rPr>
        <w:t xml:space="preserve"> بتاريخ </w:t>
      </w:r>
      <w:r w:rsidRPr="00AA6CCD">
        <w:rPr>
          <w:rFonts w:eastAsia="Arial"/>
        </w:rPr>
        <w:t>28</w:t>
      </w:r>
      <w:r w:rsidRPr="00AA6CCD">
        <w:rPr>
          <w:rFonts w:eastAsia="Arial"/>
          <w:rtl/>
        </w:rPr>
        <w:t xml:space="preserve"> يناير </w:t>
      </w:r>
      <w:r w:rsidRPr="00AA6CCD">
        <w:rPr>
          <w:rFonts w:eastAsia="Arial"/>
        </w:rPr>
        <w:t>2009</w:t>
      </w:r>
      <w:r w:rsidRPr="00AA6CCD">
        <w:rPr>
          <w:rFonts w:eastAsia="Arial"/>
          <w:rtl/>
        </w:rPr>
        <w:t xml:space="preserve">)؛ والمادة </w:t>
      </w:r>
      <w:r w:rsidRPr="00AA6CCD">
        <w:rPr>
          <w:rFonts w:eastAsia="Arial"/>
        </w:rPr>
        <w:t>30</w:t>
      </w:r>
      <w:r w:rsidRPr="00AA6CCD">
        <w:rPr>
          <w:rFonts w:eastAsia="Arial"/>
          <w:rtl/>
        </w:rPr>
        <w:t xml:space="preserve"> من قانون الجمهورية </w:t>
      </w:r>
      <w:proofErr w:type="spellStart"/>
      <w:r w:rsidRPr="00AA6CCD">
        <w:rPr>
          <w:rFonts w:eastAsia="Arial"/>
          <w:rtl/>
        </w:rPr>
        <w:t>الدومينيكية</w:t>
      </w:r>
      <w:proofErr w:type="spellEnd"/>
      <w:r w:rsidRPr="00AA6CCD">
        <w:rPr>
          <w:rFonts w:eastAsia="Arial"/>
          <w:rtl/>
        </w:rPr>
        <w:t xml:space="preserve"> بشأن الملكية الصناعية رقم </w:t>
      </w:r>
      <w:r w:rsidRPr="00AA6CCD">
        <w:rPr>
          <w:rFonts w:eastAsia="Arial"/>
        </w:rPr>
        <w:t>20-00</w:t>
      </w:r>
      <w:r w:rsidRPr="00AA6CCD">
        <w:rPr>
          <w:rFonts w:eastAsia="Arial"/>
          <w:rtl/>
        </w:rPr>
        <w:t xml:space="preserve">؛ والمادة </w:t>
      </w:r>
      <w:r w:rsidRPr="00AA6CCD">
        <w:rPr>
          <w:rFonts w:eastAsia="Arial"/>
        </w:rPr>
        <w:t>613-5</w:t>
      </w:r>
      <w:r w:rsidRPr="00AA6CCD">
        <w:rPr>
          <w:rFonts w:eastAsia="Arial"/>
          <w:rtl/>
        </w:rPr>
        <w:t xml:space="preserve"> من قانون الملكية الفكرية الفرنسي؛ والمادة </w:t>
      </w:r>
      <w:r w:rsidRPr="00AA6CCD">
        <w:rPr>
          <w:rFonts w:eastAsia="Arial"/>
        </w:rPr>
        <w:t>11</w:t>
      </w:r>
      <w:r>
        <w:rPr>
          <w:rFonts w:eastAsia="Arial" w:hint="cs"/>
          <w:rtl/>
        </w:rPr>
        <w:t>(</w:t>
      </w:r>
      <w:r w:rsidRPr="00AA6CCD">
        <w:rPr>
          <w:rFonts w:eastAsia="Arial"/>
        </w:rPr>
        <w:t>1</w:t>
      </w:r>
      <w:r w:rsidRPr="00AA6CCD">
        <w:rPr>
          <w:rFonts w:eastAsia="Arial"/>
          <w:rtl/>
        </w:rPr>
        <w:t xml:space="preserve">) من قانون البراءات الألماني؛ والمادة </w:t>
      </w:r>
      <w:r w:rsidRPr="00AA6CCD">
        <w:rPr>
          <w:rFonts w:eastAsia="Arial"/>
        </w:rPr>
        <w:t>75</w:t>
      </w:r>
      <w:r w:rsidRPr="00AA6CCD">
        <w:rPr>
          <w:rFonts w:eastAsia="Arial"/>
          <w:rtl/>
        </w:rPr>
        <w:t xml:space="preserve">(أ) من قانون البراءات رقم </w:t>
      </w:r>
      <w:r w:rsidRPr="00AA6CCD">
        <w:rPr>
          <w:rFonts w:eastAsia="Arial"/>
        </w:rPr>
        <w:t>514</w:t>
      </w:r>
      <w:r w:rsidRPr="00AA6CCD">
        <w:rPr>
          <w:rFonts w:eastAsia="Arial"/>
          <w:rtl/>
        </w:rPr>
        <w:t xml:space="preserve"> في هونغ كونغ، الصين؛ والمادة </w:t>
      </w:r>
      <w:r w:rsidRPr="00AA6CCD">
        <w:rPr>
          <w:rFonts w:eastAsia="Arial"/>
        </w:rPr>
        <w:t>19</w:t>
      </w:r>
      <w:r>
        <w:rPr>
          <w:rFonts w:eastAsia="Arial" w:hint="cs"/>
          <w:rtl/>
        </w:rPr>
        <w:t>(</w:t>
      </w:r>
      <w:r w:rsidRPr="00AA6CCD">
        <w:rPr>
          <w:rFonts w:eastAsia="Arial"/>
        </w:rPr>
        <w:t>6</w:t>
      </w:r>
      <w:r w:rsidRPr="00AA6CCD">
        <w:rPr>
          <w:rFonts w:eastAsia="Arial"/>
          <w:rtl/>
        </w:rPr>
        <w:t xml:space="preserve">)(أ) من قانون البراءات الهنغاري (القانون </w:t>
      </w:r>
      <w:r w:rsidRPr="00AA6CCD">
        <w:rPr>
          <w:rFonts w:eastAsia="Arial"/>
        </w:rPr>
        <w:t>33</w:t>
      </w:r>
      <w:r w:rsidRPr="00AA6CCD">
        <w:rPr>
          <w:rFonts w:eastAsia="Arial"/>
          <w:rtl/>
        </w:rPr>
        <w:t xml:space="preserve"> لعام </w:t>
      </w:r>
      <w:r w:rsidRPr="00AA6CCD">
        <w:rPr>
          <w:rFonts w:eastAsia="Arial"/>
        </w:rPr>
        <w:t>1995</w:t>
      </w:r>
      <w:r w:rsidRPr="00AA6CCD">
        <w:rPr>
          <w:rFonts w:eastAsia="Arial"/>
          <w:rtl/>
        </w:rPr>
        <w:t xml:space="preserve"> بشأن حماية الاختراعات ببراءات)؛ والمادة </w:t>
      </w:r>
      <w:r w:rsidRPr="00AA6CCD">
        <w:rPr>
          <w:rFonts w:eastAsia="Arial"/>
        </w:rPr>
        <w:t>68</w:t>
      </w:r>
      <w:r>
        <w:rPr>
          <w:rFonts w:eastAsia="Arial" w:hint="cs"/>
          <w:rtl/>
        </w:rPr>
        <w:t>(</w:t>
      </w:r>
      <w:r w:rsidRPr="00AA6CCD">
        <w:rPr>
          <w:rFonts w:eastAsia="Arial"/>
        </w:rPr>
        <w:t>1</w:t>
      </w:r>
      <w:r w:rsidRPr="00AA6CCD">
        <w:rPr>
          <w:rFonts w:eastAsia="Arial"/>
          <w:rtl/>
        </w:rPr>
        <w:t xml:space="preserve">)(أ) من قانون الملكية الصناعية الإيطالي؛ والمادة </w:t>
      </w:r>
      <w:r w:rsidRPr="00AA6CCD">
        <w:rPr>
          <w:rFonts w:eastAsia="Arial"/>
        </w:rPr>
        <w:t>35</w:t>
      </w:r>
      <w:r w:rsidRPr="00AA6CCD">
        <w:rPr>
          <w:rFonts w:eastAsia="Arial"/>
          <w:rtl/>
        </w:rPr>
        <w:t xml:space="preserve"> من قانون البراءات الليتواني؛ والمادة </w:t>
      </w:r>
      <w:r w:rsidRPr="00AA6CCD">
        <w:rPr>
          <w:rFonts w:eastAsia="Arial"/>
        </w:rPr>
        <w:t>55</w:t>
      </w:r>
      <w:r w:rsidRPr="00AA6CCD">
        <w:rPr>
          <w:rFonts w:eastAsia="Arial"/>
          <w:rtl/>
        </w:rPr>
        <w:t xml:space="preserve"> من القانون المغربي بشأن حماية الملكية الصناعية؛ والمادة </w:t>
      </w:r>
      <w:r w:rsidRPr="00AA6CCD">
        <w:rPr>
          <w:rFonts w:eastAsia="Arial"/>
        </w:rPr>
        <w:t>11</w:t>
      </w:r>
      <w:r>
        <w:rPr>
          <w:rFonts w:eastAsia="Arial" w:hint="cs"/>
          <w:rtl/>
        </w:rPr>
        <w:t>(</w:t>
      </w:r>
      <w:r w:rsidRPr="00AA6CCD">
        <w:rPr>
          <w:rFonts w:eastAsia="Arial"/>
        </w:rPr>
        <w:t>4</w:t>
      </w:r>
      <w:r>
        <w:rPr>
          <w:rFonts w:eastAsia="Arial"/>
          <w:rtl/>
        </w:rPr>
        <w:t>)(ب)</w:t>
      </w:r>
      <w:r w:rsidRPr="00AA6CCD">
        <w:rPr>
          <w:rFonts w:eastAsia="Arial"/>
          <w:rtl/>
        </w:rPr>
        <w:t>"</w:t>
      </w:r>
      <w:r w:rsidRPr="00AA6CCD">
        <w:rPr>
          <w:rFonts w:eastAsia="Arial"/>
        </w:rPr>
        <w:t>1</w:t>
      </w:r>
      <w:r>
        <w:rPr>
          <w:rFonts w:eastAsia="Arial"/>
          <w:rtl/>
        </w:rPr>
        <w:t>"</w:t>
      </w:r>
      <w:r w:rsidRPr="00AA6CCD">
        <w:rPr>
          <w:rFonts w:eastAsia="Arial"/>
          <w:rtl/>
        </w:rPr>
        <w:t xml:space="preserve"> من القانون العماني للملكية الصناعية رقم </w:t>
      </w:r>
      <w:r w:rsidRPr="00AA6CCD">
        <w:rPr>
          <w:rFonts w:eastAsia="Arial"/>
        </w:rPr>
        <w:t>67/2008</w:t>
      </w:r>
      <w:r w:rsidRPr="00AA6CCD">
        <w:rPr>
          <w:rFonts w:eastAsia="Arial"/>
          <w:rtl/>
        </w:rPr>
        <w:t xml:space="preserve">؛ والمادة </w:t>
      </w:r>
      <w:r w:rsidRPr="00AA6CCD">
        <w:rPr>
          <w:rFonts w:eastAsia="Arial"/>
        </w:rPr>
        <w:t>102</w:t>
      </w:r>
      <w:r w:rsidRPr="00AA6CCD">
        <w:rPr>
          <w:rFonts w:eastAsia="Arial"/>
          <w:rtl/>
        </w:rPr>
        <w:t xml:space="preserve"> من قانون الملكية الصناعية البرتغالي؛ والمادة </w:t>
      </w:r>
      <w:r w:rsidRPr="00AA6CCD">
        <w:rPr>
          <w:rFonts w:eastAsia="Arial"/>
        </w:rPr>
        <w:t>21</w:t>
      </w:r>
      <w:r>
        <w:rPr>
          <w:rFonts w:eastAsia="Arial" w:hint="cs"/>
          <w:rtl/>
        </w:rPr>
        <w:t>(</w:t>
      </w:r>
      <w:r w:rsidRPr="00AA6CCD">
        <w:rPr>
          <w:rFonts w:eastAsia="Arial"/>
        </w:rPr>
        <w:t>1</w:t>
      </w:r>
      <w:r w:rsidRPr="00AA6CCD">
        <w:rPr>
          <w:rFonts w:eastAsia="Arial"/>
          <w:rtl/>
        </w:rPr>
        <w:t xml:space="preserve">) من قانون البراءات الصربي؛ والمادة </w:t>
      </w:r>
      <w:r w:rsidRPr="00AA6CCD">
        <w:rPr>
          <w:rFonts w:eastAsia="Arial"/>
        </w:rPr>
        <w:t>18</w:t>
      </w:r>
      <w:r>
        <w:rPr>
          <w:rFonts w:eastAsia="Arial" w:hint="cs"/>
          <w:rtl/>
        </w:rPr>
        <w:t>(</w:t>
      </w:r>
      <w:r w:rsidRPr="00AA6CCD">
        <w:rPr>
          <w:rFonts w:eastAsia="Arial"/>
        </w:rPr>
        <w:t>1</w:t>
      </w:r>
      <w:r w:rsidRPr="00AA6CCD">
        <w:rPr>
          <w:rFonts w:eastAsia="Arial"/>
          <w:rtl/>
        </w:rPr>
        <w:t xml:space="preserve">)(ه) من قانون البراءات السلوفاكي؛ والمادة </w:t>
      </w:r>
      <w:r w:rsidRPr="00AA6CCD">
        <w:rPr>
          <w:rFonts w:eastAsia="Arial"/>
        </w:rPr>
        <w:t>52</w:t>
      </w:r>
      <w:r w:rsidRPr="00AA6CCD">
        <w:rPr>
          <w:rFonts w:eastAsia="Arial"/>
          <w:rtl/>
        </w:rPr>
        <w:t xml:space="preserve"> من قانون البراءات الإسباني رقم </w:t>
      </w:r>
      <w:r w:rsidRPr="00AA6CCD">
        <w:rPr>
          <w:rFonts w:eastAsia="Arial"/>
        </w:rPr>
        <w:t>11/1986</w:t>
      </w:r>
      <w:r w:rsidRPr="00AA6CCD">
        <w:rPr>
          <w:rFonts w:eastAsia="Arial"/>
          <w:rtl/>
        </w:rPr>
        <w:t xml:space="preserve"> بتاريخ </w:t>
      </w:r>
      <w:r w:rsidRPr="00AA6CCD">
        <w:rPr>
          <w:rFonts w:eastAsia="Arial"/>
        </w:rPr>
        <w:t>20</w:t>
      </w:r>
      <w:r w:rsidRPr="00AA6CCD">
        <w:rPr>
          <w:rFonts w:eastAsia="Arial"/>
          <w:rtl/>
        </w:rPr>
        <w:t xml:space="preserve"> مارس </w:t>
      </w:r>
      <w:r w:rsidRPr="00AA6CCD">
        <w:rPr>
          <w:rFonts w:eastAsia="Arial"/>
        </w:rPr>
        <w:t>1986</w:t>
      </w:r>
      <w:r w:rsidRPr="00AA6CCD">
        <w:rPr>
          <w:rFonts w:eastAsia="Arial"/>
          <w:rtl/>
        </w:rPr>
        <w:t xml:space="preserve">؛ والمادة </w:t>
      </w:r>
      <w:r w:rsidRPr="00AA6CCD">
        <w:rPr>
          <w:rFonts w:eastAsia="Arial"/>
        </w:rPr>
        <w:t>9</w:t>
      </w:r>
      <w:r>
        <w:rPr>
          <w:rFonts w:eastAsia="Arial" w:hint="cs"/>
          <w:rtl/>
        </w:rPr>
        <w:t>(</w:t>
      </w:r>
      <w:r w:rsidRPr="00AA6CCD">
        <w:rPr>
          <w:rFonts w:eastAsia="Arial"/>
        </w:rPr>
        <w:t>1</w:t>
      </w:r>
      <w:r w:rsidRPr="00AA6CCD">
        <w:rPr>
          <w:rFonts w:eastAsia="Arial"/>
          <w:rtl/>
        </w:rPr>
        <w:t>) من قانون البراءات الفيدرالي السويسري (</w:t>
      </w:r>
      <w:r w:rsidRPr="00AA6CCD">
        <w:rPr>
          <w:rFonts w:eastAsia="Arial"/>
        </w:rPr>
        <w:t>SR 232.14</w:t>
      </w:r>
      <w:r w:rsidRPr="00AA6CCD">
        <w:rPr>
          <w:rFonts w:eastAsia="Arial"/>
          <w:rtl/>
        </w:rPr>
        <w:t>،</w:t>
      </w:r>
      <w:r w:rsidRPr="00AA6CCD">
        <w:rPr>
          <w:rFonts w:eastAsia="Arial"/>
        </w:rPr>
        <w:t>LBI</w:t>
      </w:r>
      <w:r w:rsidRPr="00AA6CCD">
        <w:rPr>
          <w:rFonts w:eastAsia="Arial"/>
          <w:rtl/>
        </w:rPr>
        <w:t xml:space="preserve">)؛ والمادة </w:t>
      </w:r>
      <w:r w:rsidRPr="00AA6CCD">
        <w:rPr>
          <w:rFonts w:eastAsia="Arial"/>
        </w:rPr>
        <w:t>75</w:t>
      </w:r>
      <w:r w:rsidRPr="00AA6CCD">
        <w:rPr>
          <w:rFonts w:eastAsia="Arial"/>
          <w:rtl/>
        </w:rPr>
        <w:t xml:space="preserve">(أ) من القانون بمرسوم التركي بشأن البراءات؛ والمادة </w:t>
      </w:r>
      <w:r w:rsidRPr="00AA6CCD">
        <w:rPr>
          <w:rFonts w:eastAsia="Arial"/>
        </w:rPr>
        <w:t>31</w:t>
      </w:r>
      <w:r>
        <w:rPr>
          <w:rFonts w:eastAsia="Arial" w:hint="cs"/>
          <w:rtl/>
        </w:rPr>
        <w:t>(</w:t>
      </w:r>
      <w:r w:rsidRPr="00AA6CCD">
        <w:rPr>
          <w:rFonts w:eastAsia="Arial"/>
        </w:rPr>
        <w:t>2</w:t>
      </w:r>
      <w:r w:rsidRPr="00AA6CCD">
        <w:rPr>
          <w:rFonts w:eastAsia="Arial"/>
          <w:rtl/>
        </w:rPr>
        <w:t xml:space="preserve">) من القانون الأوكراني "بشأن حماية الحقوق في الاختراعات ونماذج المنفعة"؛ والمادة </w:t>
      </w:r>
      <w:r w:rsidRPr="00AA6CCD">
        <w:rPr>
          <w:rFonts w:eastAsia="Arial"/>
        </w:rPr>
        <w:t>60</w:t>
      </w:r>
      <w:r>
        <w:rPr>
          <w:rFonts w:eastAsia="Arial" w:hint="cs"/>
          <w:rtl/>
        </w:rPr>
        <w:t>(</w:t>
      </w:r>
      <w:r w:rsidRPr="00AA6CCD">
        <w:rPr>
          <w:rFonts w:eastAsia="Arial"/>
        </w:rPr>
        <w:t>5</w:t>
      </w:r>
      <w:r w:rsidRPr="00AA6CCD">
        <w:rPr>
          <w:rFonts w:eastAsia="Arial"/>
          <w:rtl/>
        </w:rPr>
        <w:t xml:space="preserve">)(أ) من قانون البراءات البريطاني؛ والمادة </w:t>
      </w:r>
      <w:r w:rsidRPr="00AA6CCD">
        <w:rPr>
          <w:rFonts w:eastAsia="Arial"/>
        </w:rPr>
        <w:t>125</w:t>
      </w:r>
      <w:r>
        <w:rPr>
          <w:rFonts w:eastAsia="Arial" w:hint="cs"/>
          <w:rtl/>
        </w:rPr>
        <w:t>(</w:t>
      </w:r>
      <w:r w:rsidRPr="00AA6CCD">
        <w:rPr>
          <w:rFonts w:eastAsia="Arial"/>
        </w:rPr>
        <w:t>2</w:t>
      </w:r>
      <w:r w:rsidRPr="00AA6CCD">
        <w:rPr>
          <w:rFonts w:eastAsia="Arial"/>
          <w:rtl/>
        </w:rPr>
        <w:t xml:space="preserve">) من قانون الملكية الصناعية الفيتنامي لعام </w:t>
      </w:r>
      <w:r w:rsidRPr="00AA6CCD">
        <w:rPr>
          <w:rFonts w:eastAsia="Arial"/>
        </w:rPr>
        <w:t>2005</w:t>
      </w:r>
      <w:r w:rsidRPr="00AA6CCD">
        <w:rPr>
          <w:rFonts w:eastAsia="Arial"/>
          <w:rtl/>
        </w:rPr>
        <w:t xml:space="preserve">، المعدل والمضاف إليه في عام </w:t>
      </w:r>
      <w:r w:rsidRPr="00AA6CCD">
        <w:rPr>
          <w:rFonts w:eastAsia="Arial"/>
        </w:rPr>
        <w:t>2009</w:t>
      </w:r>
      <w:r w:rsidRPr="00AA6CCD">
        <w:rPr>
          <w:rFonts w:eastAsia="Arial"/>
          <w:rtl/>
        </w:rPr>
        <w:t xml:space="preserve">؛ والمادة </w:t>
      </w:r>
      <w:r w:rsidRPr="00AA6CCD">
        <w:rPr>
          <w:rFonts w:eastAsia="Arial"/>
        </w:rPr>
        <w:t>52</w:t>
      </w:r>
      <w:r w:rsidRPr="00AA6CCD">
        <w:rPr>
          <w:rFonts w:eastAsia="Arial"/>
          <w:rtl/>
        </w:rPr>
        <w:t xml:space="preserve"> من القرار </w:t>
      </w:r>
      <w:r w:rsidRPr="00AA6CCD">
        <w:rPr>
          <w:rFonts w:eastAsia="Arial"/>
        </w:rPr>
        <w:t>486</w:t>
      </w:r>
      <w:r w:rsidRPr="00AA6CCD">
        <w:rPr>
          <w:rFonts w:eastAsia="Arial"/>
          <w:rtl/>
        </w:rPr>
        <w:t xml:space="preserve"> الصادر عن لجنة جماعة البلدان الأندية.</w:t>
      </w:r>
    </w:p>
  </w:footnote>
  <w:footnote w:id="13">
    <w:p w:rsidR="00EB40E9" w:rsidRPr="00AA6CCD" w:rsidRDefault="00EB40E9" w:rsidP="00AA6CCD">
      <w:pPr>
        <w:pStyle w:val="FootnoteText"/>
      </w:pPr>
      <w:r w:rsidRPr="000517A6">
        <w:rPr>
          <w:rStyle w:val="FootnoteReference"/>
        </w:rPr>
        <w:footnoteRef/>
      </w:r>
      <w:r w:rsidRPr="00AA6CCD">
        <w:rPr>
          <w:rFonts w:eastAsia="Arial"/>
          <w:rtl/>
        </w:rPr>
        <w:tab/>
        <w:t>انظر، على سبيل المثال، القو</w:t>
      </w:r>
      <w:r>
        <w:rPr>
          <w:rFonts w:eastAsia="Arial"/>
          <w:rtl/>
        </w:rPr>
        <w:t>انين السارية في البرازيل وكوستا</w:t>
      </w:r>
      <w:r w:rsidRPr="00AA6CCD">
        <w:rPr>
          <w:rFonts w:eastAsia="Arial"/>
          <w:rtl/>
        </w:rPr>
        <w:t>ريكا و</w:t>
      </w:r>
      <w:r>
        <w:rPr>
          <w:rFonts w:eastAsia="Arial" w:hint="cs"/>
          <w:rtl/>
        </w:rPr>
        <w:t>ال</w:t>
      </w:r>
      <w:r w:rsidRPr="00AA6CCD">
        <w:rPr>
          <w:rFonts w:eastAsia="Arial"/>
          <w:rtl/>
        </w:rPr>
        <w:t xml:space="preserve">جمهورية </w:t>
      </w:r>
      <w:proofErr w:type="spellStart"/>
      <w:r>
        <w:rPr>
          <w:rFonts w:eastAsia="Arial" w:hint="cs"/>
          <w:rtl/>
        </w:rPr>
        <w:t>ال</w:t>
      </w:r>
      <w:r>
        <w:rPr>
          <w:rFonts w:eastAsia="Arial"/>
          <w:rtl/>
        </w:rPr>
        <w:t>دومينيك</w:t>
      </w:r>
      <w:r>
        <w:rPr>
          <w:rFonts w:eastAsia="Arial" w:hint="cs"/>
          <w:rtl/>
        </w:rPr>
        <w:t>ية</w:t>
      </w:r>
      <w:proofErr w:type="spellEnd"/>
      <w:r w:rsidRPr="00AA6CCD">
        <w:rPr>
          <w:rFonts w:eastAsia="Arial"/>
          <w:rtl/>
        </w:rPr>
        <w:t xml:space="preserve"> وفرنسا وألمانيا وإيطاليا وليتوانيا والمغرب ورومانيا.</w:t>
      </w:r>
      <w:r>
        <w:rPr>
          <w:rFonts w:eastAsia="Arial"/>
          <w:rtl/>
        </w:rPr>
        <w:t xml:space="preserve"> </w:t>
      </w:r>
      <w:r w:rsidRPr="00AA6CCD">
        <w:rPr>
          <w:rFonts w:eastAsia="Arial"/>
          <w:rtl/>
        </w:rPr>
        <w:t xml:space="preserve">وانظر أيضاً المادة </w:t>
      </w:r>
      <w:r w:rsidRPr="00AA6CCD">
        <w:rPr>
          <w:rFonts w:eastAsia="Arial"/>
        </w:rPr>
        <w:t>53</w:t>
      </w:r>
      <w:r w:rsidRPr="00AA6CCD">
        <w:rPr>
          <w:rFonts w:eastAsia="Arial"/>
          <w:rtl/>
        </w:rPr>
        <w:t xml:space="preserve">(أ) من القرار </w:t>
      </w:r>
      <w:r w:rsidRPr="00AA6CCD">
        <w:rPr>
          <w:rFonts w:eastAsia="Arial"/>
        </w:rPr>
        <w:t>486</w:t>
      </w:r>
      <w:r w:rsidRPr="00AA6CCD">
        <w:rPr>
          <w:rFonts w:eastAsia="Arial"/>
          <w:rtl/>
        </w:rPr>
        <w:t xml:space="preserve"> الصادر عن لجنة جماعة البلدان الأندية. </w:t>
      </w:r>
    </w:p>
  </w:footnote>
  <w:footnote w:id="14">
    <w:p w:rsidR="00EB40E9" w:rsidRPr="00AA6CCD" w:rsidRDefault="00EB40E9" w:rsidP="000517A6">
      <w:pPr>
        <w:pStyle w:val="FootnoteText"/>
      </w:pPr>
      <w:r w:rsidRPr="000517A6">
        <w:rPr>
          <w:rStyle w:val="FootnoteReference"/>
        </w:rPr>
        <w:footnoteRef/>
      </w:r>
      <w:r w:rsidRPr="00AA6CCD">
        <w:rPr>
          <w:rFonts w:eastAsia="Arial"/>
          <w:rtl/>
        </w:rPr>
        <w:t xml:space="preserve"> </w:t>
      </w:r>
      <w:r w:rsidRPr="00AA6CCD">
        <w:rPr>
          <w:rFonts w:eastAsia="Arial"/>
          <w:rtl/>
        </w:rPr>
        <w:tab/>
        <w:t xml:space="preserve">المادة </w:t>
      </w:r>
      <w:r w:rsidRPr="00AA6CCD">
        <w:rPr>
          <w:rFonts w:eastAsia="Arial"/>
        </w:rPr>
        <w:t>17</w:t>
      </w:r>
      <w:r>
        <w:rPr>
          <w:rFonts w:eastAsia="Arial" w:hint="cs"/>
          <w:rtl/>
        </w:rPr>
        <w:t>(</w:t>
      </w:r>
      <w:r w:rsidRPr="00AA6CCD">
        <w:rPr>
          <w:rFonts w:eastAsia="Arial"/>
        </w:rPr>
        <w:t>1</w:t>
      </w:r>
      <w:r w:rsidRPr="00AA6CCD">
        <w:rPr>
          <w:rFonts w:eastAsia="Arial"/>
          <w:rtl/>
        </w:rPr>
        <w:t xml:space="preserve">) من قانون الاختراعات ونماذج المنفعة </w:t>
      </w:r>
      <w:r>
        <w:rPr>
          <w:rFonts w:eastAsia="Arial" w:hint="cs"/>
          <w:rtl/>
        </w:rPr>
        <w:t>والتصاميم الصناعية</w:t>
      </w:r>
      <w:r w:rsidRPr="00AA6CCD">
        <w:rPr>
          <w:rFonts w:eastAsia="Arial"/>
          <w:rtl/>
        </w:rPr>
        <w:t xml:space="preserve"> في أرمينيا.</w:t>
      </w:r>
      <w:r>
        <w:rPr>
          <w:rFonts w:eastAsia="Arial"/>
          <w:rtl/>
        </w:rPr>
        <w:t xml:space="preserve"> </w:t>
      </w:r>
      <w:r w:rsidRPr="00AA6CCD">
        <w:rPr>
          <w:rFonts w:eastAsia="Arial"/>
          <w:rtl/>
        </w:rPr>
        <w:t xml:space="preserve">وتوجد أحكام مشابهة في المادة </w:t>
      </w:r>
      <w:r w:rsidRPr="00AA6CCD">
        <w:rPr>
          <w:rFonts w:eastAsia="Arial"/>
        </w:rPr>
        <w:t>23</w:t>
      </w:r>
      <w:r w:rsidRPr="00AA6CCD">
        <w:rPr>
          <w:rFonts w:eastAsia="Arial"/>
          <w:rtl/>
        </w:rPr>
        <w:t xml:space="preserve"> من قانون البراءات في جمهورية أذربيجان، والمادة </w:t>
      </w:r>
      <w:r w:rsidRPr="00AA6CCD">
        <w:rPr>
          <w:rFonts w:eastAsia="Arial"/>
        </w:rPr>
        <w:t>52</w:t>
      </w:r>
      <w:r w:rsidRPr="00AA6CCD">
        <w:rPr>
          <w:rFonts w:eastAsia="Arial"/>
          <w:rtl/>
        </w:rPr>
        <w:t xml:space="preserve">(ب) من قانون البراءات في جورجيا، والمادة </w:t>
      </w:r>
      <w:r w:rsidRPr="00AA6CCD">
        <w:rPr>
          <w:rFonts w:eastAsia="Arial"/>
        </w:rPr>
        <w:t>40</w:t>
      </w:r>
      <w:r w:rsidRPr="00AA6CCD">
        <w:rPr>
          <w:rFonts w:eastAsia="Arial"/>
          <w:rtl/>
        </w:rPr>
        <w:t xml:space="preserve"> من قانون الاختراعات في </w:t>
      </w:r>
      <w:r>
        <w:rPr>
          <w:rFonts w:eastAsia="Arial" w:hint="cs"/>
          <w:rtl/>
        </w:rPr>
        <w:t>ط</w:t>
      </w:r>
      <w:r w:rsidRPr="00AA6CCD">
        <w:rPr>
          <w:rFonts w:eastAsia="Arial"/>
          <w:rtl/>
        </w:rPr>
        <w:t>اجيكستان.</w:t>
      </w:r>
      <w:r>
        <w:rPr>
          <w:rFonts w:eastAsia="Arial"/>
          <w:rtl/>
        </w:rPr>
        <w:t xml:space="preserve"> </w:t>
      </w:r>
    </w:p>
  </w:footnote>
  <w:footnote w:id="15">
    <w:p w:rsidR="00EB40E9" w:rsidRPr="00AA6CCD" w:rsidRDefault="00EB40E9" w:rsidP="00AA6CCD">
      <w:pPr>
        <w:pStyle w:val="FootnoteText"/>
      </w:pPr>
      <w:r w:rsidRPr="000517A6">
        <w:rPr>
          <w:rStyle w:val="FootnoteReference"/>
        </w:rPr>
        <w:footnoteRef/>
      </w:r>
      <w:r w:rsidRPr="00AA6CCD">
        <w:rPr>
          <w:rFonts w:eastAsia="Arial"/>
          <w:rtl/>
        </w:rPr>
        <w:t xml:space="preserve"> </w:t>
      </w:r>
      <w:r w:rsidRPr="00AA6CCD">
        <w:rPr>
          <w:rFonts w:eastAsia="Arial"/>
          <w:rtl/>
        </w:rPr>
        <w:tab/>
        <w:t xml:space="preserve">المادة </w:t>
      </w:r>
      <w:r w:rsidRPr="00AA6CCD">
        <w:rPr>
          <w:rFonts w:eastAsia="Arial"/>
        </w:rPr>
        <w:t>34</w:t>
      </w:r>
      <w:r w:rsidRPr="00AA6CCD">
        <w:rPr>
          <w:rFonts w:eastAsia="Arial"/>
          <w:rtl/>
        </w:rPr>
        <w:t xml:space="preserve"> من قانون البراءات الروماني رقم </w:t>
      </w:r>
      <w:r w:rsidRPr="00AA6CCD">
        <w:rPr>
          <w:rFonts w:eastAsia="Arial"/>
        </w:rPr>
        <w:t>64/1991</w:t>
      </w:r>
      <w:r w:rsidRPr="00AA6CCD">
        <w:rPr>
          <w:rFonts w:eastAsia="Arial"/>
          <w:rtl/>
        </w:rPr>
        <w:t xml:space="preserve"> كما أعيد نشره في </w:t>
      </w:r>
      <w:r w:rsidRPr="00AA6CCD">
        <w:rPr>
          <w:rFonts w:eastAsia="Arial"/>
        </w:rPr>
        <w:t>2007</w:t>
      </w:r>
      <w:r w:rsidRPr="00AA6CCD">
        <w:rPr>
          <w:rFonts w:eastAsia="Arial"/>
          <w:rtl/>
        </w:rPr>
        <w:t>.</w:t>
      </w:r>
    </w:p>
  </w:footnote>
  <w:footnote w:id="16">
    <w:p w:rsidR="00EB40E9" w:rsidRPr="00AA6CCD" w:rsidRDefault="00EB40E9" w:rsidP="00C66471">
      <w:pPr>
        <w:pStyle w:val="FootnoteText"/>
      </w:pPr>
      <w:r w:rsidRPr="000517A6">
        <w:rPr>
          <w:rStyle w:val="FootnoteReference"/>
        </w:rPr>
        <w:footnoteRef/>
      </w:r>
      <w:r w:rsidRPr="00AA6CCD">
        <w:rPr>
          <w:rFonts w:eastAsia="Arial"/>
          <w:rtl/>
        </w:rPr>
        <w:tab/>
        <w:t xml:space="preserve">المادة </w:t>
      </w:r>
      <w:r w:rsidRPr="00AA6CCD">
        <w:rPr>
          <w:rFonts w:eastAsia="Arial"/>
        </w:rPr>
        <w:t>18</w:t>
      </w:r>
      <w:r w:rsidRPr="00AA6CCD">
        <w:rPr>
          <w:rFonts w:eastAsia="Arial"/>
          <w:rtl/>
        </w:rPr>
        <w:t xml:space="preserve">(د) من قانون البراءات في الجمهورية التشيكية؛ والمادة </w:t>
      </w:r>
      <w:r w:rsidRPr="00AA6CCD">
        <w:rPr>
          <w:rFonts w:eastAsia="Arial"/>
        </w:rPr>
        <w:t>3</w:t>
      </w:r>
      <w:r>
        <w:rPr>
          <w:rFonts w:eastAsia="Arial" w:hint="cs"/>
          <w:rtl/>
        </w:rPr>
        <w:t>(</w:t>
      </w:r>
      <w:r w:rsidRPr="00AA6CCD">
        <w:rPr>
          <w:rFonts w:eastAsia="Arial"/>
        </w:rPr>
        <w:t>3</w:t>
      </w:r>
      <w:r>
        <w:rPr>
          <w:rFonts w:eastAsia="Arial" w:hint="cs"/>
          <w:rtl/>
        </w:rPr>
        <w:t>)(</w:t>
      </w:r>
      <w:r w:rsidRPr="00AA6CCD">
        <w:rPr>
          <w:rFonts w:eastAsia="Arial"/>
        </w:rPr>
        <w:t xml:space="preserve"> 1</w:t>
      </w:r>
      <w:r w:rsidRPr="00AA6CCD">
        <w:rPr>
          <w:rFonts w:eastAsia="Arial"/>
          <w:rtl/>
        </w:rPr>
        <w:t>) من قانون الب</w:t>
      </w:r>
      <w:r>
        <w:rPr>
          <w:rFonts w:eastAsia="Arial"/>
          <w:rtl/>
        </w:rPr>
        <w:t xml:space="preserve">راءات في فنلندا. كما يوجد حكم </w:t>
      </w:r>
      <w:r>
        <w:rPr>
          <w:rFonts w:eastAsia="Arial" w:hint="cs"/>
          <w:rtl/>
        </w:rPr>
        <w:t>م</w:t>
      </w:r>
      <w:r w:rsidRPr="00AA6CCD">
        <w:rPr>
          <w:rFonts w:eastAsia="Arial"/>
          <w:rtl/>
        </w:rPr>
        <w:t xml:space="preserve">شابه في المادة </w:t>
      </w:r>
      <w:r w:rsidRPr="00AA6CCD">
        <w:rPr>
          <w:rFonts w:eastAsia="Arial"/>
        </w:rPr>
        <w:t>3</w:t>
      </w:r>
      <w:r w:rsidRPr="00AA6CCD">
        <w:rPr>
          <w:rFonts w:eastAsia="Arial"/>
          <w:rtl/>
        </w:rPr>
        <w:t xml:space="preserve"> من قانون البراءات السويدي (كتاب القوانين السويدي، </w:t>
      </w:r>
      <w:r w:rsidRPr="00AA6CCD">
        <w:rPr>
          <w:rFonts w:eastAsia="Arial"/>
        </w:rPr>
        <w:t>SFS</w:t>
      </w:r>
      <w:r w:rsidRPr="00AA6CCD">
        <w:rPr>
          <w:rFonts w:eastAsia="Arial"/>
          <w:rtl/>
        </w:rPr>
        <w:t>،</w:t>
      </w:r>
      <w:r w:rsidRPr="00AA6CCD">
        <w:rPr>
          <w:rFonts w:eastAsia="Arial"/>
        </w:rPr>
        <w:t xml:space="preserve"> 1967:837</w:t>
      </w:r>
      <w:r w:rsidRPr="00AA6CCD">
        <w:rPr>
          <w:rFonts w:eastAsia="Arial"/>
          <w:rtl/>
        </w:rPr>
        <w:t>).</w:t>
      </w:r>
    </w:p>
  </w:footnote>
  <w:footnote w:id="17">
    <w:p w:rsidR="00EB40E9" w:rsidRPr="000517A6" w:rsidRDefault="00EB40E9" w:rsidP="000517A6">
      <w:pPr>
        <w:pStyle w:val="FootnoteText"/>
      </w:pPr>
      <w:r w:rsidRPr="000517A6">
        <w:rPr>
          <w:rStyle w:val="FootnoteReference"/>
        </w:rPr>
        <w:footnoteRef/>
      </w:r>
      <w:r w:rsidRPr="000517A6">
        <w:rPr>
          <w:rFonts w:eastAsia="Arial"/>
          <w:rtl/>
        </w:rPr>
        <w:tab/>
        <w:t>بيَّن الرد الوارد من بيرو، على سبيل المثال، بشكل صريح أنه، نظراً لعدم وجود تعريف قانوني، "لم يصدر أي قرار قضائي أو إداري بشأن نطاق هذا الاستثناء</w:t>
      </w:r>
      <w:r>
        <w:rPr>
          <w:rFonts w:eastAsia="Arial" w:hint="cs"/>
          <w:rtl/>
        </w:rPr>
        <w:t>"</w:t>
      </w:r>
      <w:r>
        <w:rPr>
          <w:rFonts w:eastAsia="Arial"/>
          <w:rtl/>
        </w:rPr>
        <w:t>.</w:t>
      </w:r>
      <w:r w:rsidRPr="000517A6">
        <w:rPr>
          <w:rFonts w:eastAsia="Arial"/>
          <w:rtl/>
        </w:rPr>
        <w:t xml:space="preserve"> وأفاد الرد الوارد من زامبيا أنه في القانون الحالي "لم يحظ مصطلح 'النطاق التجاري' بتعريف حتى في القانون، فينبغي إذاً إصباغ ا</w:t>
      </w:r>
      <w:r>
        <w:rPr>
          <w:rFonts w:eastAsia="Arial"/>
          <w:rtl/>
        </w:rPr>
        <w:t>لعبارة بمعناها الحرفي دون تأويل</w:t>
      </w:r>
      <w:r w:rsidRPr="000517A6">
        <w:rPr>
          <w:rFonts w:eastAsia="Arial"/>
          <w:rtl/>
        </w:rPr>
        <w:t>"</w:t>
      </w:r>
      <w:r>
        <w:rPr>
          <w:rFonts w:eastAsia="Arial" w:hint="cs"/>
          <w:rtl/>
        </w:rPr>
        <w:t>.</w:t>
      </w:r>
    </w:p>
  </w:footnote>
  <w:footnote w:id="18">
    <w:p w:rsidR="00EB40E9" w:rsidRPr="00AA6CCD" w:rsidRDefault="00EB40E9" w:rsidP="00AA6CCD">
      <w:pPr>
        <w:pStyle w:val="FootnoteText"/>
      </w:pPr>
      <w:r w:rsidRPr="000517A6">
        <w:rPr>
          <w:rStyle w:val="FootnoteReference"/>
        </w:rPr>
        <w:footnoteRef/>
      </w:r>
      <w:r w:rsidRPr="00AA6CCD">
        <w:rPr>
          <w:rFonts w:eastAsia="Arial"/>
          <w:rtl/>
        </w:rPr>
        <w:tab/>
        <w:t>نص الرد الوارد من هنغاريا على أنه وفقاً للفقرة (</w:t>
      </w:r>
      <w:r w:rsidRPr="00AA6CCD">
        <w:rPr>
          <w:rFonts w:eastAsia="Arial"/>
        </w:rPr>
        <w:t>1</w:t>
      </w:r>
      <w:r w:rsidRPr="00AA6CCD">
        <w:rPr>
          <w:rFonts w:eastAsia="Arial"/>
          <w:rtl/>
        </w:rPr>
        <w:t xml:space="preserve">) من المادة </w:t>
      </w:r>
      <w:r w:rsidRPr="00AA6CCD">
        <w:rPr>
          <w:rFonts w:eastAsia="Arial"/>
        </w:rPr>
        <w:t>6</w:t>
      </w:r>
      <w:r w:rsidRPr="00AA6CCD">
        <w:rPr>
          <w:rFonts w:eastAsia="Arial"/>
          <w:rtl/>
        </w:rPr>
        <w:t xml:space="preserve"> من القانون </w:t>
      </w:r>
      <w:r w:rsidRPr="00AA6CCD">
        <w:rPr>
          <w:rFonts w:eastAsia="Arial"/>
        </w:rPr>
        <w:t>127</w:t>
      </w:r>
      <w:r w:rsidRPr="00AA6CCD">
        <w:rPr>
          <w:rFonts w:eastAsia="Arial"/>
          <w:rtl/>
        </w:rPr>
        <w:t xml:space="preserve"> لعام </w:t>
      </w:r>
      <w:r w:rsidRPr="00AA6CCD">
        <w:rPr>
          <w:rFonts w:eastAsia="Arial"/>
        </w:rPr>
        <w:t>2007</w:t>
      </w:r>
      <w:r w:rsidRPr="00AA6CCD">
        <w:rPr>
          <w:rFonts w:eastAsia="Arial"/>
          <w:rtl/>
        </w:rPr>
        <w:t xml:space="preserve"> بشأن ضريبة القيمة المضافة، تعني عبارة نشاط اقتصادي/تجاري أداء نشاطٍ ما بشكل مهني على نحوٍ دائم أو بانتظام، إن كان الهدف من ذلك أو نتيجته تحقيق أي قيمة، مع </w:t>
      </w:r>
      <w:r w:rsidRPr="00AA6CCD">
        <w:rPr>
          <w:rFonts w:eastAsia="Arial" w:hint="cs"/>
          <w:rtl/>
        </w:rPr>
        <w:t>تنفيذه</w:t>
      </w:r>
      <w:r w:rsidRPr="00AA6CCD">
        <w:rPr>
          <w:rFonts w:eastAsia="Arial"/>
          <w:rtl/>
        </w:rPr>
        <w:t xml:space="preserve"> بشكل مستقل. </w:t>
      </w:r>
    </w:p>
  </w:footnote>
  <w:footnote w:id="19">
    <w:p w:rsidR="00EB40E9" w:rsidRPr="001502DB" w:rsidRDefault="00EB40E9" w:rsidP="00DA31C1">
      <w:pPr>
        <w:pStyle w:val="FootnoteText"/>
      </w:pPr>
      <w:r>
        <w:rPr>
          <w:rStyle w:val="FootnoteReference"/>
        </w:rPr>
        <w:footnoteRef/>
      </w:r>
      <w:r>
        <w:rPr>
          <w:rFonts w:eastAsia="Arial"/>
          <w:rtl/>
        </w:rPr>
        <w:tab/>
      </w:r>
      <w:r w:rsidRPr="001502DB">
        <w:rPr>
          <w:rFonts w:eastAsia="Arial"/>
          <w:rtl/>
        </w:rPr>
        <w:t xml:space="preserve">حكم محكمة دائرة تل أبيب </w:t>
      </w:r>
      <w:r>
        <w:rPr>
          <w:rFonts w:eastAsia="Arial" w:hint="cs"/>
          <w:rtl/>
        </w:rPr>
        <w:t>(</w:t>
      </w:r>
      <w:r w:rsidRPr="001502DB">
        <w:rPr>
          <w:rFonts w:eastAsia="Arial"/>
        </w:rPr>
        <w:t>C.S. 1512/93</w:t>
      </w:r>
      <w:r w:rsidRPr="001502DB">
        <w:rPr>
          <w:rFonts w:eastAsia="Arial"/>
          <w:rtl/>
        </w:rPr>
        <w:t xml:space="preserve"> </w:t>
      </w:r>
      <w:r>
        <w:rPr>
          <w:rFonts w:eastAsia="Arial" w:hint="cs"/>
          <w:rtl/>
        </w:rPr>
        <w:t>(</w:t>
      </w:r>
      <w:r w:rsidRPr="001502DB">
        <w:rPr>
          <w:rFonts w:eastAsia="Arial"/>
          <w:rtl/>
        </w:rPr>
        <w:t xml:space="preserve">تل أبيب) شركة "ويلكم </w:t>
      </w:r>
      <w:proofErr w:type="spellStart"/>
      <w:r w:rsidRPr="001502DB">
        <w:rPr>
          <w:rFonts w:eastAsia="Arial"/>
          <w:rtl/>
        </w:rPr>
        <w:t>فاونديشن</w:t>
      </w:r>
      <w:proofErr w:type="spellEnd"/>
      <w:r w:rsidRPr="001502DB">
        <w:rPr>
          <w:rFonts w:eastAsia="Arial"/>
          <w:rtl/>
        </w:rPr>
        <w:t xml:space="preserve">" المحدودة ضد شركة "تيفا للصناعات الدوائية" المحدودة، </w:t>
      </w:r>
      <w:proofErr w:type="spellStart"/>
      <w:r w:rsidRPr="001502DB">
        <w:rPr>
          <w:rFonts w:eastAsia="Arial"/>
        </w:rPr>
        <w:t>Takdin</w:t>
      </w:r>
      <w:proofErr w:type="spellEnd"/>
      <w:r w:rsidRPr="001502DB">
        <w:rPr>
          <w:rFonts w:eastAsia="Arial"/>
        </w:rPr>
        <w:t>-DC, 94(2)</w:t>
      </w:r>
      <w:r w:rsidRPr="001502DB">
        <w:rPr>
          <w:rFonts w:eastAsia="Arial"/>
          <w:rtl/>
        </w:rPr>
        <w:t>،</w:t>
      </w:r>
      <w:r>
        <w:rPr>
          <w:rFonts w:eastAsia="Arial" w:hint="cs"/>
          <w:rtl/>
        </w:rPr>
        <w:t xml:space="preserve"> </w:t>
      </w:r>
      <w:r w:rsidRPr="001502DB">
        <w:rPr>
          <w:rFonts w:eastAsia="Arial"/>
        </w:rPr>
        <w:t>197</w:t>
      </w:r>
      <w:r w:rsidRPr="001502DB">
        <w:rPr>
          <w:rFonts w:eastAsia="Arial"/>
          <w:rtl/>
        </w:rPr>
        <w:t>)</w:t>
      </w:r>
    </w:p>
  </w:footnote>
  <w:footnote w:id="20">
    <w:p w:rsidR="00EB40E9" w:rsidRPr="001502DB" w:rsidRDefault="00EB40E9" w:rsidP="001502DB">
      <w:pPr>
        <w:pStyle w:val="FootnoteText"/>
      </w:pPr>
      <w:r w:rsidRPr="00EB40E9">
        <w:rPr>
          <w:rStyle w:val="FootnoteReference"/>
        </w:rPr>
        <w:footnoteRef/>
      </w:r>
      <w:r w:rsidRPr="001502DB">
        <w:rPr>
          <w:rFonts w:eastAsia="Arial"/>
          <w:rtl/>
        </w:rPr>
        <w:tab/>
        <w:t xml:space="preserve">انظر محكمة دائرة </w:t>
      </w:r>
      <w:proofErr w:type="spellStart"/>
      <w:r w:rsidRPr="001502DB">
        <w:rPr>
          <w:rFonts w:eastAsia="Arial"/>
          <w:rtl/>
        </w:rPr>
        <w:t>الكمار</w:t>
      </w:r>
      <w:proofErr w:type="spellEnd"/>
      <w:r w:rsidRPr="001502DB">
        <w:rPr>
          <w:rFonts w:eastAsia="Arial"/>
          <w:rtl/>
        </w:rPr>
        <w:t xml:space="preserve">، </w:t>
      </w:r>
      <w:r w:rsidRPr="001502DB">
        <w:rPr>
          <w:rFonts w:eastAsia="Arial"/>
        </w:rPr>
        <w:t>2</w:t>
      </w:r>
      <w:r w:rsidRPr="001502DB">
        <w:rPr>
          <w:rFonts w:eastAsia="Arial"/>
          <w:rtl/>
        </w:rPr>
        <w:t xml:space="preserve"> ديسمبر </w:t>
      </w:r>
      <w:r w:rsidRPr="001502DB">
        <w:rPr>
          <w:rFonts w:eastAsia="Arial"/>
        </w:rPr>
        <w:t>1991</w:t>
      </w:r>
      <w:r w:rsidRPr="001502DB">
        <w:rPr>
          <w:rFonts w:eastAsia="Arial"/>
          <w:rtl/>
        </w:rPr>
        <w:t>،</w:t>
      </w:r>
      <w:r w:rsidRPr="001502DB">
        <w:rPr>
          <w:rFonts w:eastAsia="Arial"/>
        </w:rPr>
        <w:t xml:space="preserve"> BIE 1992/12</w:t>
      </w:r>
      <w:r w:rsidRPr="001502DB">
        <w:rPr>
          <w:rFonts w:eastAsia="Arial"/>
          <w:rtl/>
        </w:rPr>
        <w:t>: أنشطة فض شركة مفلسة.</w:t>
      </w:r>
    </w:p>
  </w:footnote>
  <w:footnote w:id="21">
    <w:p w:rsidR="00EB40E9" w:rsidRPr="001502DB" w:rsidRDefault="00EB40E9" w:rsidP="00A95DC9">
      <w:pPr>
        <w:pStyle w:val="FootnoteText"/>
      </w:pPr>
      <w:r w:rsidRPr="00EB40E9">
        <w:rPr>
          <w:rStyle w:val="FootnoteReference"/>
        </w:rPr>
        <w:footnoteRef/>
      </w:r>
      <w:r w:rsidRPr="001502DB">
        <w:rPr>
          <w:rFonts w:eastAsia="Arial"/>
          <w:rtl/>
        </w:rPr>
        <w:tab/>
        <w:t xml:space="preserve">المادة </w:t>
      </w:r>
      <w:r w:rsidRPr="001502DB">
        <w:rPr>
          <w:rFonts w:eastAsia="Arial"/>
        </w:rPr>
        <w:t>1359</w:t>
      </w:r>
      <w:r>
        <w:rPr>
          <w:rFonts w:eastAsia="Arial" w:hint="cs"/>
          <w:rtl/>
        </w:rPr>
        <w:t>(</w:t>
      </w:r>
      <w:r w:rsidRPr="001502DB">
        <w:rPr>
          <w:rFonts w:eastAsia="Arial"/>
        </w:rPr>
        <w:t>4</w:t>
      </w:r>
      <w:r w:rsidRPr="001502DB">
        <w:rPr>
          <w:rFonts w:eastAsia="Arial"/>
          <w:rtl/>
        </w:rPr>
        <w:t>) من القانون المدني.</w:t>
      </w:r>
    </w:p>
  </w:footnote>
  <w:footnote w:id="22">
    <w:p w:rsidR="00EB40E9" w:rsidRPr="001502DB" w:rsidRDefault="00EB40E9" w:rsidP="00A95DC9">
      <w:pPr>
        <w:pStyle w:val="FootnoteText"/>
      </w:pPr>
      <w:r w:rsidRPr="00EB40E9">
        <w:rPr>
          <w:rStyle w:val="FootnoteReference"/>
        </w:rPr>
        <w:footnoteRef/>
      </w:r>
      <w:r w:rsidRPr="001502DB">
        <w:rPr>
          <w:rFonts w:eastAsia="Arial"/>
          <w:rtl/>
        </w:rPr>
        <w:tab/>
        <w:t xml:space="preserve">انظر المادة </w:t>
      </w:r>
      <w:r w:rsidRPr="001502DB">
        <w:rPr>
          <w:rFonts w:eastAsia="Arial"/>
        </w:rPr>
        <w:t>2</w:t>
      </w:r>
      <w:r>
        <w:rPr>
          <w:rFonts w:eastAsia="Arial" w:hint="cs"/>
          <w:rtl/>
        </w:rPr>
        <w:t>(</w:t>
      </w:r>
      <w:r w:rsidRPr="001502DB">
        <w:rPr>
          <w:rFonts w:eastAsia="Arial"/>
        </w:rPr>
        <w:t>1</w:t>
      </w:r>
      <w:r w:rsidRPr="001502DB">
        <w:rPr>
          <w:rFonts w:eastAsia="Arial"/>
          <w:rtl/>
        </w:rPr>
        <w:t>) من القانون المدني في الاتحاد الروسي.</w:t>
      </w:r>
      <w:r>
        <w:rPr>
          <w:rFonts w:eastAsia="Arial"/>
          <w:rtl/>
        </w:rPr>
        <w:t xml:space="preserve"> </w:t>
      </w:r>
    </w:p>
  </w:footnote>
  <w:footnote w:id="23">
    <w:p w:rsidR="00EB40E9" w:rsidRPr="001502DB" w:rsidRDefault="00EB40E9" w:rsidP="001502DB">
      <w:pPr>
        <w:pStyle w:val="FootnoteText"/>
      </w:pPr>
      <w:r w:rsidRPr="00EB40E9">
        <w:rPr>
          <w:rStyle w:val="FootnoteReference"/>
        </w:rPr>
        <w:footnoteRef/>
      </w:r>
      <w:r w:rsidRPr="001502DB">
        <w:rPr>
          <w:rFonts w:eastAsia="Arial"/>
          <w:rtl/>
        </w:rPr>
        <w:tab/>
        <w:t xml:space="preserve">الفقرة </w:t>
      </w:r>
      <w:r w:rsidRPr="001502DB">
        <w:rPr>
          <w:rFonts w:eastAsia="Arial"/>
        </w:rPr>
        <w:t>5</w:t>
      </w:r>
      <w:r w:rsidRPr="001502DB">
        <w:rPr>
          <w:rFonts w:eastAsia="Arial"/>
          <w:rtl/>
        </w:rPr>
        <w:t xml:space="preserve"> من القرار رقم </w:t>
      </w:r>
      <w:r w:rsidRPr="001502DB">
        <w:rPr>
          <w:rFonts w:eastAsia="Arial"/>
        </w:rPr>
        <w:t>18</w:t>
      </w:r>
      <w:r w:rsidRPr="001502DB">
        <w:rPr>
          <w:rFonts w:eastAsia="Arial"/>
          <w:rtl/>
        </w:rPr>
        <w:t xml:space="preserve"> الصادر عن الاجتماع العام لمحكمة التحكيم العليا في الاتحاد الروسي في </w:t>
      </w:r>
      <w:r w:rsidRPr="001502DB">
        <w:rPr>
          <w:rFonts w:eastAsia="Arial"/>
        </w:rPr>
        <w:t>22</w:t>
      </w:r>
      <w:r w:rsidRPr="001502DB">
        <w:rPr>
          <w:rFonts w:eastAsia="Arial"/>
          <w:rtl/>
        </w:rPr>
        <w:t xml:space="preserve"> أكتوبر </w:t>
      </w:r>
      <w:r w:rsidRPr="001502DB">
        <w:rPr>
          <w:rFonts w:eastAsia="Arial"/>
        </w:rPr>
        <w:t>1997</w:t>
      </w:r>
      <w:r w:rsidRPr="001502DB">
        <w:rPr>
          <w:rFonts w:eastAsia="Arial"/>
          <w:rtl/>
        </w:rPr>
        <w:t>.</w:t>
      </w:r>
    </w:p>
  </w:footnote>
  <w:footnote w:id="24">
    <w:p w:rsidR="00EB40E9" w:rsidRPr="001502DB" w:rsidRDefault="00EB40E9" w:rsidP="008657BE">
      <w:pPr>
        <w:pStyle w:val="FootnoteText"/>
      </w:pPr>
      <w:r w:rsidRPr="00EB40E9">
        <w:rPr>
          <w:rStyle w:val="FootnoteReference"/>
        </w:rPr>
        <w:footnoteRef/>
      </w:r>
      <w:r w:rsidRPr="001502DB">
        <w:rPr>
          <w:rFonts w:eastAsia="Arial"/>
          <w:rtl/>
        </w:rPr>
        <w:tab/>
        <w:t xml:space="preserve">شركة "مختبرات سميث وكلاين </w:t>
      </w:r>
      <w:proofErr w:type="spellStart"/>
      <w:r w:rsidRPr="001502DB">
        <w:rPr>
          <w:rFonts w:eastAsia="Arial"/>
          <w:rtl/>
        </w:rPr>
        <w:t>وفرينش</w:t>
      </w:r>
      <w:proofErr w:type="spellEnd"/>
      <w:r w:rsidRPr="001502DB">
        <w:rPr>
          <w:rFonts w:eastAsia="Arial"/>
          <w:rtl/>
        </w:rPr>
        <w:t>" المحدودة ضد شركة "</w:t>
      </w:r>
      <w:proofErr w:type="spellStart"/>
      <w:r w:rsidRPr="001502DB">
        <w:rPr>
          <w:rFonts w:eastAsia="Arial"/>
          <w:rtl/>
        </w:rPr>
        <w:t>إيفانز</w:t>
      </w:r>
      <w:proofErr w:type="spellEnd"/>
      <w:r w:rsidRPr="001502DB">
        <w:rPr>
          <w:rFonts w:eastAsia="Arial"/>
          <w:rtl/>
        </w:rPr>
        <w:t xml:space="preserve"> </w:t>
      </w:r>
      <w:proofErr w:type="spellStart"/>
      <w:r w:rsidRPr="001502DB">
        <w:rPr>
          <w:rFonts w:eastAsia="Arial"/>
          <w:rtl/>
        </w:rPr>
        <w:t>ميديكال</w:t>
      </w:r>
      <w:proofErr w:type="spellEnd"/>
      <w:r w:rsidRPr="001502DB">
        <w:rPr>
          <w:rFonts w:eastAsia="Arial"/>
          <w:rtl/>
        </w:rPr>
        <w:t>" المحدودة [</w:t>
      </w:r>
      <w:r w:rsidRPr="001502DB">
        <w:rPr>
          <w:rFonts w:eastAsia="Arial"/>
        </w:rPr>
        <w:t>1989</w:t>
      </w:r>
      <w:r>
        <w:rPr>
          <w:rFonts w:eastAsia="Arial" w:hint="cs"/>
          <w:rtl/>
        </w:rPr>
        <w:t xml:space="preserve">] </w:t>
      </w:r>
      <w:r w:rsidRPr="001502DB">
        <w:rPr>
          <w:rFonts w:eastAsia="Arial"/>
        </w:rPr>
        <w:t>FSR 513</w:t>
      </w:r>
    </w:p>
  </w:footnote>
  <w:footnote w:id="25">
    <w:p w:rsidR="00EB40E9" w:rsidRPr="004E2751" w:rsidRDefault="00EB40E9" w:rsidP="004E2751">
      <w:pPr>
        <w:pStyle w:val="FootnoteText"/>
      </w:pPr>
      <w:r w:rsidRPr="00EB40E9">
        <w:rPr>
          <w:rStyle w:val="FootnoteReference"/>
        </w:rPr>
        <w:footnoteRef/>
      </w:r>
      <w:r w:rsidRPr="004E2751">
        <w:rPr>
          <w:rFonts w:eastAsia="Arial"/>
          <w:rtl/>
        </w:rPr>
        <w:tab/>
        <w:t xml:space="preserve">انظر أيضاً الوثيقة </w:t>
      </w:r>
      <w:r w:rsidRPr="004E2751">
        <w:rPr>
          <w:rFonts w:eastAsia="Arial"/>
        </w:rPr>
        <w:t>SCP/20/4</w:t>
      </w:r>
      <w:r w:rsidRPr="004E2751">
        <w:rPr>
          <w:rFonts w:eastAsia="Arial"/>
          <w:rtl/>
        </w:rPr>
        <w:t xml:space="preserve"> (استثناءات وتقييدات حقوق البراءات:</w:t>
      </w:r>
      <w:r>
        <w:rPr>
          <w:rFonts w:eastAsia="Arial"/>
          <w:rtl/>
        </w:rPr>
        <w:t xml:space="preserve"> </w:t>
      </w:r>
      <w:r w:rsidRPr="004E2751">
        <w:rPr>
          <w:rFonts w:eastAsia="Arial"/>
          <w:rtl/>
        </w:rPr>
        <w:t xml:space="preserve">الاستثناء التجريبي و/أو البحثي). </w:t>
      </w:r>
    </w:p>
  </w:footnote>
  <w:footnote w:id="26">
    <w:p w:rsidR="00EB40E9" w:rsidRPr="004E2751" w:rsidRDefault="00EB40E9" w:rsidP="004E2751">
      <w:pPr>
        <w:pStyle w:val="FootnoteText"/>
      </w:pPr>
      <w:r w:rsidRPr="00EB40E9">
        <w:rPr>
          <w:rStyle w:val="FootnoteReference"/>
        </w:rPr>
        <w:footnoteRef/>
      </w:r>
      <w:r w:rsidRPr="004E2751">
        <w:rPr>
          <w:rFonts w:eastAsia="Arial"/>
          <w:rtl/>
        </w:rPr>
        <w:tab/>
        <w:t xml:space="preserve">المادة </w:t>
      </w:r>
      <w:r w:rsidRPr="004E2751">
        <w:rPr>
          <w:rFonts w:eastAsia="Arial"/>
        </w:rPr>
        <w:t>22</w:t>
      </w:r>
      <w:r w:rsidRPr="004E2751">
        <w:rPr>
          <w:rFonts w:eastAsia="Arial"/>
          <w:rtl/>
        </w:rPr>
        <w:t xml:space="preserve"> من قانون الملكية الصناعي، منشور في الجريدة الرسمية للاتحاد بتاريخ </w:t>
      </w:r>
      <w:r w:rsidRPr="004E2751">
        <w:rPr>
          <w:rFonts w:eastAsia="Arial"/>
        </w:rPr>
        <w:t>27</w:t>
      </w:r>
      <w:r w:rsidRPr="004E2751">
        <w:rPr>
          <w:rFonts w:eastAsia="Arial"/>
          <w:rtl/>
        </w:rPr>
        <w:t xml:space="preserve"> يونيو </w:t>
      </w:r>
      <w:r w:rsidRPr="004E2751">
        <w:rPr>
          <w:rFonts w:eastAsia="Arial"/>
        </w:rPr>
        <w:t>1991</w:t>
      </w:r>
      <w:r w:rsidRPr="004E2751">
        <w:rPr>
          <w:rFonts w:eastAsia="Arial"/>
          <w:rtl/>
        </w:rPr>
        <w:t xml:space="preserve">، وكان آخر تعديل أجري عليه في </w:t>
      </w:r>
      <w:r w:rsidRPr="004E2751">
        <w:rPr>
          <w:rFonts w:eastAsia="Arial"/>
        </w:rPr>
        <w:t>28</w:t>
      </w:r>
      <w:r w:rsidRPr="004E2751">
        <w:rPr>
          <w:rFonts w:eastAsia="Arial"/>
          <w:rtl/>
        </w:rPr>
        <w:t xml:space="preserve"> يونيو </w:t>
      </w:r>
      <w:r w:rsidRPr="004E2751">
        <w:rPr>
          <w:rFonts w:eastAsia="Arial"/>
        </w:rPr>
        <w:t>2010</w:t>
      </w:r>
      <w:r w:rsidRPr="004E2751">
        <w:rPr>
          <w:rFonts w:eastAsia="Arial"/>
          <w:rtl/>
        </w:rPr>
        <w:t>.</w:t>
      </w:r>
    </w:p>
  </w:footnote>
  <w:footnote w:id="27">
    <w:p w:rsidR="00EB40E9" w:rsidRPr="004E2751" w:rsidRDefault="00EB40E9" w:rsidP="004E2751">
      <w:pPr>
        <w:pStyle w:val="FootnoteText"/>
      </w:pPr>
      <w:r w:rsidRPr="00EB40E9">
        <w:rPr>
          <w:rStyle w:val="FootnoteReference"/>
        </w:rPr>
        <w:footnoteRef/>
      </w:r>
      <w:r w:rsidRPr="004E2751">
        <w:rPr>
          <w:rFonts w:eastAsia="Arial"/>
          <w:rtl/>
        </w:rPr>
        <w:tab/>
        <w:t xml:space="preserve">يوجد حكم مشابه في المادة </w:t>
      </w:r>
      <w:r w:rsidRPr="004E2751">
        <w:rPr>
          <w:rFonts w:eastAsia="Arial"/>
        </w:rPr>
        <w:t>38</w:t>
      </w:r>
      <w:r w:rsidRPr="004E2751">
        <w:rPr>
          <w:rFonts w:eastAsia="Arial"/>
          <w:rtl/>
        </w:rPr>
        <w:t xml:space="preserve"> من قانون البراءات (التسجيل) لعام </w:t>
      </w:r>
      <w:r w:rsidRPr="004E2751">
        <w:rPr>
          <w:rFonts w:eastAsia="Arial"/>
        </w:rPr>
        <w:t>2002</w:t>
      </w:r>
      <w:r w:rsidRPr="004E2751">
        <w:rPr>
          <w:rFonts w:eastAsia="Arial"/>
          <w:rtl/>
        </w:rPr>
        <w:t xml:space="preserve"> في تنزانيا.</w:t>
      </w:r>
    </w:p>
  </w:footnote>
  <w:footnote w:id="28">
    <w:p w:rsidR="00EB40E9" w:rsidRPr="004E2751" w:rsidRDefault="00EB40E9" w:rsidP="005224F6">
      <w:pPr>
        <w:pStyle w:val="FootnoteText"/>
      </w:pPr>
      <w:r w:rsidRPr="00EB40E9">
        <w:rPr>
          <w:rStyle w:val="FootnoteReference"/>
        </w:rPr>
        <w:footnoteRef/>
      </w:r>
      <w:r w:rsidRPr="004E2751">
        <w:rPr>
          <w:rFonts w:eastAsia="Arial"/>
          <w:rtl/>
        </w:rPr>
        <w:tab/>
        <w:t>حكم محكمة دائرة تل أبيب (</w:t>
      </w:r>
      <w:r w:rsidRPr="004E2751">
        <w:rPr>
          <w:rFonts w:eastAsia="Arial"/>
        </w:rPr>
        <w:t>C.S. 881/94</w:t>
      </w:r>
      <w:r w:rsidRPr="004E2751">
        <w:rPr>
          <w:rFonts w:eastAsia="Arial"/>
          <w:rtl/>
        </w:rPr>
        <w:t xml:space="preserve"> (تل أبيب) شركة "إيلي ليلي" ضد شركة "تيفا للصناعات الدوائية" المحدودة، </w:t>
      </w:r>
      <w:proofErr w:type="spellStart"/>
      <w:r w:rsidRPr="004E2751">
        <w:rPr>
          <w:rFonts w:eastAsia="Arial"/>
        </w:rPr>
        <w:t>Takdin</w:t>
      </w:r>
      <w:proofErr w:type="spellEnd"/>
      <w:r w:rsidRPr="004E2751">
        <w:rPr>
          <w:rFonts w:eastAsia="Arial"/>
        </w:rPr>
        <w:t>-DC</w:t>
      </w:r>
      <w:r>
        <w:rPr>
          <w:rFonts w:eastAsia="Arial" w:hint="cs"/>
          <w:rtl/>
        </w:rPr>
        <w:t xml:space="preserve">، </w:t>
      </w:r>
      <w:r w:rsidRPr="004E2751">
        <w:rPr>
          <w:rFonts w:eastAsia="Arial"/>
        </w:rPr>
        <w:t>1586(3)</w:t>
      </w:r>
      <w:r w:rsidRPr="004E2751">
        <w:rPr>
          <w:rFonts w:eastAsia="Arial"/>
          <w:rtl/>
        </w:rPr>
        <w:t>،</w:t>
      </w:r>
      <w:r>
        <w:rPr>
          <w:rFonts w:eastAsia="Arial" w:hint="cs"/>
          <w:rtl/>
        </w:rPr>
        <w:t xml:space="preserve"> </w:t>
      </w:r>
      <w:r w:rsidRPr="004E2751">
        <w:rPr>
          <w:rFonts w:eastAsia="Arial"/>
        </w:rPr>
        <w:t>98</w:t>
      </w:r>
      <w:r w:rsidRPr="004E2751">
        <w:rPr>
          <w:rFonts w:eastAsia="Arial"/>
          <w:rtl/>
        </w:rPr>
        <w:t>)</w:t>
      </w:r>
    </w:p>
  </w:footnote>
  <w:footnote w:id="29">
    <w:p w:rsidR="00EB40E9" w:rsidRPr="004E2751" w:rsidRDefault="00EB40E9" w:rsidP="004E2751">
      <w:pPr>
        <w:pStyle w:val="FootnoteText"/>
      </w:pPr>
      <w:r w:rsidRPr="00EB40E9">
        <w:rPr>
          <w:rStyle w:val="FootnoteReference"/>
        </w:rPr>
        <w:footnoteRef/>
      </w:r>
      <w:r w:rsidRPr="004E2751">
        <w:rPr>
          <w:rFonts w:eastAsia="Arial"/>
          <w:rtl/>
        </w:rPr>
        <w:tab/>
        <w:t xml:space="preserve">المادة </w:t>
      </w:r>
      <w:r w:rsidRPr="004E2751">
        <w:rPr>
          <w:rFonts w:eastAsia="Arial"/>
        </w:rPr>
        <w:t>69</w:t>
      </w:r>
      <w:r>
        <w:rPr>
          <w:rFonts w:eastAsia="Arial"/>
          <w:rtl/>
        </w:rPr>
        <w:t>أ</w:t>
      </w:r>
      <w:r w:rsidRPr="004E2751">
        <w:rPr>
          <w:rFonts w:eastAsia="Arial"/>
          <w:rtl/>
        </w:rPr>
        <w:t xml:space="preserve"> من قانون البراءات </w:t>
      </w:r>
      <w:r w:rsidRPr="004E2751">
        <w:rPr>
          <w:rFonts w:eastAsia="Arial"/>
        </w:rPr>
        <w:t>57</w:t>
      </w:r>
      <w:r>
        <w:rPr>
          <w:rFonts w:eastAsia="Arial" w:hint="cs"/>
          <w:rtl/>
        </w:rPr>
        <w:t xml:space="preserve"> (</w:t>
      </w:r>
      <w:r w:rsidRPr="004E2751">
        <w:rPr>
          <w:rFonts w:eastAsia="Arial"/>
        </w:rPr>
        <w:t>1978</w:t>
      </w:r>
      <w:r w:rsidRPr="004E2751">
        <w:rPr>
          <w:rFonts w:eastAsia="Arial"/>
          <w:rtl/>
        </w:rPr>
        <w:t>) في جنوب أفريقيا.</w:t>
      </w:r>
    </w:p>
  </w:footnote>
  <w:footnote w:id="30">
    <w:p w:rsidR="00EB40E9" w:rsidRPr="004E2751" w:rsidRDefault="00EB40E9" w:rsidP="00B15EFF">
      <w:pPr>
        <w:pStyle w:val="FootnoteText"/>
      </w:pPr>
      <w:r w:rsidRPr="00EB40E9">
        <w:rPr>
          <w:rStyle w:val="FootnoteReference"/>
        </w:rPr>
        <w:footnoteRef/>
      </w:r>
      <w:r w:rsidRPr="004E2751">
        <w:rPr>
          <w:rFonts w:eastAsia="Arial"/>
          <w:rtl/>
        </w:rPr>
        <w:tab/>
        <w:t xml:space="preserve">القاضي </w:t>
      </w:r>
      <w:proofErr w:type="spellStart"/>
      <w:r w:rsidRPr="004E2751">
        <w:rPr>
          <w:rFonts w:eastAsia="Arial"/>
          <w:rtl/>
        </w:rPr>
        <w:t>لكسمور</w:t>
      </w:r>
      <w:proofErr w:type="spellEnd"/>
      <w:r w:rsidRPr="004E2751">
        <w:rPr>
          <w:rFonts w:eastAsia="Arial"/>
          <w:rtl/>
        </w:rPr>
        <w:t xml:space="preserve"> في دعوى شركة "</w:t>
      </w:r>
      <w:proofErr w:type="spellStart"/>
      <w:r w:rsidRPr="004E2751">
        <w:rPr>
          <w:rFonts w:eastAsia="Arial"/>
          <w:rtl/>
        </w:rPr>
        <w:t>ماكينشني</w:t>
      </w:r>
      <w:proofErr w:type="spellEnd"/>
      <w:r w:rsidRPr="004E2751">
        <w:rPr>
          <w:rFonts w:eastAsia="Arial"/>
          <w:rtl/>
        </w:rPr>
        <w:t xml:space="preserve"> </w:t>
      </w:r>
      <w:proofErr w:type="spellStart"/>
      <w:r w:rsidRPr="004E2751">
        <w:rPr>
          <w:rFonts w:eastAsia="Arial"/>
          <w:rtl/>
        </w:rPr>
        <w:t>براذرز</w:t>
      </w:r>
      <w:proofErr w:type="spellEnd"/>
      <w:r w:rsidRPr="004E2751">
        <w:rPr>
          <w:rFonts w:eastAsia="Arial"/>
          <w:rtl/>
        </w:rPr>
        <w:t>" المحدودة (</w:t>
      </w:r>
      <w:r w:rsidRPr="004E2751">
        <w:rPr>
          <w:rFonts w:eastAsia="Arial"/>
        </w:rPr>
        <w:t>1934</w:t>
      </w:r>
      <w:r>
        <w:rPr>
          <w:rFonts w:eastAsia="Arial" w:hint="cs"/>
          <w:rtl/>
        </w:rPr>
        <w:t xml:space="preserve">) </w:t>
      </w:r>
      <w:r w:rsidRPr="004E2751">
        <w:rPr>
          <w:rFonts w:eastAsia="Arial"/>
        </w:rPr>
        <w:t>51 RPC 461</w:t>
      </w:r>
      <w:r w:rsidRPr="004E2751">
        <w:rPr>
          <w:rFonts w:eastAsia="Arial"/>
          <w:rtl/>
        </w:rPr>
        <w:t>،</w:t>
      </w:r>
      <w:r w:rsidRPr="004E2751">
        <w:rPr>
          <w:rFonts w:eastAsia="Arial"/>
        </w:rPr>
        <w:t xml:space="preserve"> 468</w:t>
      </w:r>
      <w:r w:rsidRPr="004E2751">
        <w:rPr>
          <w:rFonts w:eastAsia="Arial"/>
          <w:rtl/>
        </w:rPr>
        <w:t xml:space="preserve">؛ شركة "دلتاي جي </w:t>
      </w:r>
      <w:proofErr w:type="spellStart"/>
      <w:r w:rsidRPr="004E2751">
        <w:rPr>
          <w:rFonts w:eastAsia="Arial"/>
          <w:rtl/>
        </w:rPr>
        <w:t>ساينتيفيك</w:t>
      </w:r>
      <w:proofErr w:type="spellEnd"/>
      <w:r w:rsidRPr="004E2751">
        <w:rPr>
          <w:rFonts w:eastAsia="Arial"/>
          <w:rtl/>
        </w:rPr>
        <w:t xml:space="preserve">" المحدودة ضد شركة "جانسن </w:t>
      </w:r>
      <w:proofErr w:type="spellStart"/>
      <w:r w:rsidRPr="004E2751">
        <w:rPr>
          <w:rFonts w:eastAsia="Arial"/>
          <w:rtl/>
        </w:rPr>
        <w:t>فارماسيوتيكا</w:t>
      </w:r>
      <w:proofErr w:type="spellEnd"/>
      <w:r w:rsidRPr="004E2751">
        <w:rPr>
          <w:rFonts w:eastAsia="Arial"/>
          <w:rtl/>
        </w:rPr>
        <w:t xml:space="preserve">" وآخر، </w:t>
      </w:r>
      <w:r w:rsidRPr="004E2751">
        <w:rPr>
          <w:rFonts w:eastAsia="Arial"/>
        </w:rPr>
        <w:t>1996 BP 455 (CP) AT 459G</w:t>
      </w:r>
      <w:r w:rsidRPr="004E2751">
        <w:rPr>
          <w:rFonts w:eastAsia="Arial"/>
          <w:rtl/>
        </w:rPr>
        <w:t xml:space="preserve"> (في "الخطاب العادي تُستخدم العبارة للتمييز عن أعمال البحث أو الأعمال المنفذة في المختبر").</w:t>
      </w:r>
      <w:r>
        <w:rPr>
          <w:rFonts w:eastAsia="Arial"/>
          <w:rtl/>
        </w:rPr>
        <w:t xml:space="preserve"> </w:t>
      </w:r>
    </w:p>
  </w:footnote>
  <w:footnote w:id="31">
    <w:p w:rsidR="00EB40E9" w:rsidRPr="00653E4C" w:rsidRDefault="00EB40E9" w:rsidP="0093477A">
      <w:pPr>
        <w:pStyle w:val="FootnoteText"/>
      </w:pPr>
      <w:r w:rsidRPr="00EB40E9">
        <w:rPr>
          <w:rStyle w:val="FootnoteReference"/>
        </w:rPr>
        <w:footnoteRef/>
      </w:r>
      <w:r w:rsidRPr="00653E4C">
        <w:rPr>
          <w:rFonts w:eastAsia="Arial"/>
          <w:rtl/>
        </w:rPr>
        <w:tab/>
        <w:t xml:space="preserve">على نفس المنوال، لا ينطبق استثناء الاستخدام الشخصي/غير التجاري إلا في حالة عدم تسبب الاستخدام في "ضرر غير مبرر بإعمال البراءة" (كوستا ريكا)، أو عدم "إخلاله بشكل معتبر بالمصالح الاقتصادية لمالك البراءة" (قبرص)، أو عدم تسببه في "ضرر لا وجه له </w:t>
      </w:r>
      <w:r>
        <w:rPr>
          <w:rFonts w:eastAsia="Arial" w:hint="cs"/>
          <w:rtl/>
        </w:rPr>
        <w:t>ل</w:t>
      </w:r>
      <w:r w:rsidRPr="00653E4C">
        <w:rPr>
          <w:rFonts w:eastAsia="Arial"/>
          <w:rtl/>
        </w:rPr>
        <w:t xml:space="preserve">لمصالح المشروعة لصاحب البراءة" (الجمهورية </w:t>
      </w:r>
      <w:proofErr w:type="spellStart"/>
      <w:r w:rsidRPr="00653E4C">
        <w:rPr>
          <w:rFonts w:eastAsia="Arial"/>
          <w:rtl/>
        </w:rPr>
        <w:t>الدومينيكية</w:t>
      </w:r>
      <w:proofErr w:type="spellEnd"/>
      <w:r w:rsidRPr="00653E4C">
        <w:rPr>
          <w:rFonts w:eastAsia="Arial"/>
          <w:rtl/>
        </w:rPr>
        <w:t>)، أو عدم "تعارضه بشكل غير معقول مع الاستخدام المعتاد للاختراع المحمي ببراءة ولا يخل بشكل غير معقول بالمصالح المشروعة لمالك البراءة، مع مراعاة المصالح المشروعة للأطراف الثالثة" (جمهورية مولدوفا).</w:t>
      </w:r>
      <w:r>
        <w:rPr>
          <w:rFonts w:eastAsia="Arial"/>
          <w:rtl/>
        </w:rPr>
        <w:t xml:space="preserve"> </w:t>
      </w:r>
      <w:r w:rsidRPr="00653E4C">
        <w:rPr>
          <w:rFonts w:eastAsia="Arial"/>
          <w:rtl/>
        </w:rPr>
        <w:t xml:space="preserve">ويشير الرد الوارد من الجمهورية </w:t>
      </w:r>
      <w:proofErr w:type="spellStart"/>
      <w:r w:rsidRPr="00653E4C">
        <w:rPr>
          <w:rFonts w:eastAsia="Arial"/>
          <w:rtl/>
        </w:rPr>
        <w:t>الدومينيكية</w:t>
      </w:r>
      <w:proofErr w:type="spellEnd"/>
      <w:r w:rsidRPr="00653E4C">
        <w:rPr>
          <w:rFonts w:eastAsia="Arial"/>
          <w:rtl/>
        </w:rPr>
        <w:t xml:space="preserve"> إلى أن "الأفعال المنصوص عليها</w:t>
      </w:r>
      <w:r>
        <w:rPr>
          <w:rFonts w:eastAsia="Arial"/>
          <w:rtl/>
        </w:rPr>
        <w:t xml:space="preserve"> </w:t>
      </w:r>
      <w:r>
        <w:rPr>
          <w:rFonts w:eastAsia="Arial" w:hint="cs"/>
          <w:rtl/>
        </w:rPr>
        <w:t xml:space="preserve">في </w:t>
      </w:r>
      <w:r w:rsidRPr="00653E4C">
        <w:rPr>
          <w:rFonts w:eastAsia="Arial"/>
          <w:rtl/>
        </w:rPr>
        <w:t>هذه المادة تخضع لشرط عدم إلحاق تلك الأفعال ضرر</w:t>
      </w:r>
      <w:r>
        <w:rPr>
          <w:rFonts w:eastAsia="Arial"/>
          <w:rtl/>
        </w:rPr>
        <w:t>اً</w:t>
      </w:r>
      <w:r w:rsidRPr="00653E4C">
        <w:rPr>
          <w:rFonts w:eastAsia="Arial"/>
          <w:rtl/>
        </w:rPr>
        <w:t xml:space="preserve"> غير مبرر بالعمل المعتاد للبراءة أو التسبب في ضرر لا وجه له بالمصالح المشروعة لصاحب البراءة، مع مراعاة المصالح المشروعة للأطراف الثالثة.</w:t>
      </w:r>
      <w:r>
        <w:rPr>
          <w:rFonts w:eastAsia="Arial"/>
          <w:rtl/>
        </w:rPr>
        <w:t xml:space="preserve"> </w:t>
      </w:r>
    </w:p>
  </w:footnote>
  <w:footnote w:id="32">
    <w:p w:rsidR="00EB40E9" w:rsidRPr="00653E4C" w:rsidRDefault="00EB40E9" w:rsidP="00653E4C">
      <w:pPr>
        <w:pStyle w:val="FootnoteText"/>
      </w:pPr>
      <w:r w:rsidRPr="0093477A">
        <w:rPr>
          <w:rStyle w:val="FootnoteReference"/>
        </w:rPr>
        <w:footnoteRef/>
      </w:r>
      <w:r w:rsidRPr="00653E4C">
        <w:rPr>
          <w:rFonts w:eastAsia="Arial"/>
          <w:rtl/>
        </w:rPr>
        <w:tab/>
        <w:t>الدول الأعضاء التي صرحت بأن الإطار القانوني المطبق لاستثناء الاستخدام الشخصي وغير التجاري مناسب لتحقيق الأهداف المنشودة هي:</w:t>
      </w:r>
      <w:r>
        <w:rPr>
          <w:rFonts w:eastAsia="Arial"/>
          <w:rtl/>
        </w:rPr>
        <w:t xml:space="preserve"> </w:t>
      </w:r>
      <w:r w:rsidRPr="00653E4C">
        <w:rPr>
          <w:rFonts w:eastAsia="Arial"/>
          <w:rtl/>
        </w:rPr>
        <w:t xml:space="preserve">الصين، وكرواتيا، وقبرص، والدانمرك، والجمهورية </w:t>
      </w:r>
      <w:proofErr w:type="spellStart"/>
      <w:r w:rsidRPr="00653E4C">
        <w:rPr>
          <w:rFonts w:eastAsia="Arial"/>
          <w:rtl/>
        </w:rPr>
        <w:t>الدومينيكية</w:t>
      </w:r>
      <w:proofErr w:type="spellEnd"/>
      <w:r w:rsidRPr="00653E4C">
        <w:rPr>
          <w:rFonts w:eastAsia="Arial"/>
          <w:rtl/>
        </w:rPr>
        <w:t>، وفرنسا، وهونغ كونغ (الصين)، وهنغاريا، ولاتفيا، والنرويج، والاتحاد الروسي، وإسبانيا، والمملكة المتحدة.</w:t>
      </w:r>
    </w:p>
  </w:footnote>
  <w:footnote w:id="33">
    <w:p w:rsidR="00EB40E9" w:rsidRPr="00653E4C" w:rsidRDefault="00EB40E9" w:rsidP="00653E4C">
      <w:pPr>
        <w:pStyle w:val="FootnoteText"/>
      </w:pPr>
      <w:r w:rsidRPr="0093477A">
        <w:rPr>
          <w:rStyle w:val="FootnoteReference"/>
        </w:rPr>
        <w:footnoteRef/>
      </w:r>
      <w:r w:rsidRPr="00653E4C">
        <w:rPr>
          <w:rFonts w:eastAsia="Arial"/>
          <w:rtl/>
        </w:rPr>
        <w:tab/>
        <w:t>الدول الأعضاء والمكتب الإقليمي التي ردت بعدم توقعها إجراء أي تعديل على القانون هي:</w:t>
      </w:r>
      <w:r>
        <w:rPr>
          <w:rFonts w:eastAsia="Arial"/>
          <w:rtl/>
        </w:rPr>
        <w:t xml:space="preserve"> </w:t>
      </w:r>
      <w:r w:rsidRPr="00653E4C">
        <w:rPr>
          <w:rFonts w:eastAsia="Arial"/>
          <w:rtl/>
        </w:rPr>
        <w:t xml:space="preserve">الجمهورية </w:t>
      </w:r>
      <w:proofErr w:type="spellStart"/>
      <w:r w:rsidRPr="00653E4C">
        <w:rPr>
          <w:rFonts w:eastAsia="Arial"/>
          <w:rtl/>
        </w:rPr>
        <w:t>الدومينيكية</w:t>
      </w:r>
      <w:proofErr w:type="spellEnd"/>
      <w:r w:rsidRPr="00653E4C">
        <w:rPr>
          <w:rFonts w:eastAsia="Arial"/>
          <w:rtl/>
        </w:rPr>
        <w:t>، وهنغاريا، واليابان، وكينيا، ولاتفيا، وهندوراس، وهولندا، وبيرو، والبرتغال، وجمهورية مولدوفا، وإسبانيا، وطاجيكستان، والمملكة المتحدة، والمكتب الأوروبي الآسيوي للبراءات.</w:t>
      </w:r>
    </w:p>
  </w:footnote>
  <w:footnote w:id="34">
    <w:p w:rsidR="00EB40E9" w:rsidRPr="00653E4C" w:rsidRDefault="00EB40E9" w:rsidP="004D75DB">
      <w:pPr>
        <w:pStyle w:val="FootnoteText"/>
      </w:pPr>
      <w:r w:rsidRPr="0093477A">
        <w:rPr>
          <w:rStyle w:val="FootnoteReference"/>
        </w:rPr>
        <w:footnoteRef/>
      </w:r>
      <w:r>
        <w:rPr>
          <w:rFonts w:eastAsia="Arial" w:hint="cs"/>
          <w:rtl/>
        </w:rPr>
        <w:tab/>
      </w:r>
      <w:r w:rsidRPr="00653E4C">
        <w:rPr>
          <w:rFonts w:eastAsia="Arial"/>
          <w:rtl/>
        </w:rPr>
        <w:t xml:space="preserve">لا ينص قانون البراءات الحالي رقم </w:t>
      </w:r>
      <w:r w:rsidRPr="00653E4C">
        <w:rPr>
          <w:rFonts w:eastAsia="Arial"/>
        </w:rPr>
        <w:t>400</w:t>
      </w:r>
      <w:r w:rsidRPr="00653E4C">
        <w:rPr>
          <w:rFonts w:eastAsia="Arial"/>
          <w:rtl/>
        </w:rPr>
        <w:t xml:space="preserve"> من قوانين زامبيا على استثناء للاستخدام الشخصي و/أو غير التجاري.</w:t>
      </w:r>
      <w:r>
        <w:rPr>
          <w:rFonts w:eastAsia="Arial"/>
          <w:rtl/>
        </w:rPr>
        <w:t xml:space="preserve"> </w:t>
      </w:r>
      <w:r w:rsidRPr="00653E4C">
        <w:rPr>
          <w:rFonts w:eastAsia="Arial"/>
          <w:rtl/>
        </w:rPr>
        <w:t>وتنص المادة ذات الصلة في المشروع المقترح على أن: "الحقوق الممنوحة بمقتضى البراءة لا تنسحب إلا على الأفعال المتخذة لأغراض صناعية أو تجارية، ولا تنسحب على وجه الخصوص على الأفعال المتخذة من أجل البحث العلمي".</w:t>
      </w:r>
    </w:p>
  </w:footnote>
  <w:footnote w:id="35">
    <w:p w:rsidR="00EB40E9" w:rsidRPr="00653E4C" w:rsidRDefault="00EB40E9" w:rsidP="00653E4C">
      <w:pPr>
        <w:pStyle w:val="FootnoteText"/>
      </w:pPr>
      <w:r w:rsidRPr="0093477A">
        <w:rPr>
          <w:rStyle w:val="FootnoteReference"/>
        </w:rPr>
        <w:footnoteRef/>
      </w:r>
      <w:r w:rsidRPr="00653E4C">
        <w:rPr>
          <w:rFonts w:eastAsia="Arial"/>
          <w:rtl/>
        </w:rPr>
        <w:tab/>
        <w:t xml:space="preserve">انظر المادة </w:t>
      </w:r>
      <w:r w:rsidRPr="00653E4C">
        <w:rPr>
          <w:rFonts w:eastAsia="Arial"/>
        </w:rPr>
        <w:t>140</w:t>
      </w:r>
      <w:r w:rsidRPr="00653E4C">
        <w:rPr>
          <w:rFonts w:eastAsia="Arial"/>
          <w:rtl/>
        </w:rPr>
        <w:t>.</w:t>
      </w:r>
    </w:p>
  </w:footnote>
  <w:footnote w:id="36">
    <w:p w:rsidR="00EB40E9" w:rsidRPr="00653E4C" w:rsidRDefault="00EB40E9" w:rsidP="00653E4C">
      <w:pPr>
        <w:pStyle w:val="FootnoteText"/>
      </w:pPr>
      <w:r w:rsidRPr="0093477A">
        <w:rPr>
          <w:rStyle w:val="FootnoteReference"/>
        </w:rPr>
        <w:footnoteRef/>
      </w:r>
      <w:r w:rsidRPr="00653E4C">
        <w:rPr>
          <w:rFonts w:eastAsia="Arial"/>
          <w:rtl/>
        </w:rPr>
        <w:tab/>
        <w:t>الردود الواردة، على سبيل المثال، من الصين، وكرواتيا، والدانمرك، والسلفادور، وهندوراس، وهونغ كونغ (الصين)، وهنغاريا، والبرتغال، وجمهورية مولدوفا، وإسبانيا، وطاجيكستان، وزيمبابوي.</w:t>
      </w:r>
    </w:p>
  </w:footnote>
  <w:footnote w:id="37">
    <w:p w:rsidR="00EB40E9" w:rsidRPr="00653E4C" w:rsidRDefault="00EB40E9" w:rsidP="00653E4C">
      <w:pPr>
        <w:pStyle w:val="FootnoteText"/>
      </w:pPr>
      <w:r w:rsidRPr="0093477A">
        <w:rPr>
          <w:rStyle w:val="FootnoteReference"/>
        </w:rPr>
        <w:footnoteRef/>
      </w:r>
      <w:r w:rsidRPr="00653E4C">
        <w:rPr>
          <w:rFonts w:eastAsia="Arial"/>
          <w:rtl/>
        </w:rPr>
        <w:tab/>
        <w:t xml:space="preserve">انظر الرد الوارد من المملكة المتحدة: في قضيتي شركة "مختبرات سميث وكلاين </w:t>
      </w:r>
      <w:proofErr w:type="spellStart"/>
      <w:r w:rsidRPr="00653E4C">
        <w:rPr>
          <w:rFonts w:eastAsia="Arial"/>
          <w:rtl/>
        </w:rPr>
        <w:t>وفرينش</w:t>
      </w:r>
      <w:proofErr w:type="spellEnd"/>
      <w:r w:rsidRPr="00653E4C">
        <w:rPr>
          <w:rFonts w:eastAsia="Arial"/>
          <w:rtl/>
        </w:rPr>
        <w:t>" المحدودة ضد شركة "</w:t>
      </w:r>
      <w:proofErr w:type="spellStart"/>
      <w:r w:rsidRPr="00653E4C">
        <w:rPr>
          <w:rFonts w:eastAsia="Arial"/>
          <w:rtl/>
        </w:rPr>
        <w:t>إيفانز</w:t>
      </w:r>
      <w:proofErr w:type="spellEnd"/>
      <w:r w:rsidRPr="00653E4C">
        <w:rPr>
          <w:rFonts w:eastAsia="Arial"/>
          <w:rtl/>
        </w:rPr>
        <w:t xml:space="preserve"> </w:t>
      </w:r>
      <w:proofErr w:type="spellStart"/>
      <w:r w:rsidRPr="00653E4C">
        <w:rPr>
          <w:rFonts w:eastAsia="Arial"/>
          <w:rtl/>
        </w:rPr>
        <w:t>ميديكال</w:t>
      </w:r>
      <w:proofErr w:type="spellEnd"/>
      <w:r w:rsidRPr="00653E4C">
        <w:rPr>
          <w:rFonts w:eastAsia="Arial"/>
          <w:rtl/>
        </w:rPr>
        <w:t>" المحدودة [</w:t>
      </w:r>
      <w:r w:rsidRPr="00653E4C">
        <w:rPr>
          <w:rFonts w:eastAsia="Arial"/>
        </w:rPr>
        <w:t>1989</w:t>
      </w:r>
      <w:r>
        <w:rPr>
          <w:rFonts w:eastAsia="Arial" w:hint="cs"/>
          <w:rtl/>
        </w:rPr>
        <w:t>]</w:t>
      </w:r>
      <w:r w:rsidRPr="00653E4C">
        <w:rPr>
          <w:rFonts w:eastAsia="Arial"/>
        </w:rPr>
        <w:t xml:space="preserve"> FSR 513</w:t>
      </w:r>
      <w:r w:rsidRPr="00653E4C">
        <w:rPr>
          <w:rFonts w:eastAsia="Arial"/>
          <w:rtl/>
        </w:rPr>
        <w:t>، وماكدونالد ضد غراهام [</w:t>
      </w:r>
      <w:r w:rsidRPr="00653E4C">
        <w:rPr>
          <w:rFonts w:eastAsia="Arial"/>
        </w:rPr>
        <w:t>1994</w:t>
      </w:r>
      <w:r>
        <w:rPr>
          <w:rFonts w:eastAsia="Arial" w:hint="cs"/>
          <w:rtl/>
        </w:rPr>
        <w:t xml:space="preserve">] </w:t>
      </w:r>
      <w:r w:rsidRPr="00653E4C">
        <w:rPr>
          <w:rFonts w:eastAsia="Arial"/>
        </w:rPr>
        <w:t>RPC 407</w:t>
      </w:r>
      <w:r w:rsidRPr="00653E4C">
        <w:rPr>
          <w:rFonts w:eastAsia="Arial"/>
          <w:rtl/>
        </w:rPr>
        <w:t xml:space="preserve"> على </w:t>
      </w:r>
      <w:r w:rsidRPr="00653E4C">
        <w:rPr>
          <w:rFonts w:eastAsia="Arial"/>
        </w:rPr>
        <w:t>431</w:t>
      </w:r>
      <w:r w:rsidRPr="00653E4C">
        <w:rPr>
          <w:rFonts w:eastAsia="Arial"/>
          <w:rtl/>
        </w:rPr>
        <w:t>، اعتُبر أنه حيثما تحققت ازدواجية أغراض الأنشطة المنفذة وكان لأحد هذه الأنشطة طابع تج</w:t>
      </w:r>
      <w:bookmarkStart w:id="2" w:name="_GoBack"/>
      <w:bookmarkEnd w:id="2"/>
      <w:r w:rsidRPr="00653E4C">
        <w:rPr>
          <w:rFonts w:eastAsia="Arial"/>
          <w:rtl/>
        </w:rPr>
        <w:t>اري، فإن دفاع الاستخدام الشخصي لا ينطبق".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0E9" w:rsidRDefault="00EB40E9" w:rsidP="003577BB">
    <w:r>
      <w:t>SCP/20/</w:t>
    </w:r>
    <w:r>
      <w:rPr>
        <w:rFonts w:hint="cs"/>
        <w:rtl/>
      </w:rPr>
      <w:t>3</w:t>
    </w:r>
  </w:p>
  <w:p w:rsidR="00EB40E9" w:rsidRDefault="00EB40E9" w:rsidP="00D61541">
    <w:r>
      <w:fldChar w:fldCharType="begin"/>
    </w:r>
    <w:r>
      <w:instrText xml:space="preserve"> PAGE  \* MERGEFORMAT </w:instrText>
    </w:r>
    <w:r>
      <w:fldChar w:fldCharType="separate"/>
    </w:r>
    <w:r w:rsidR="0093477A">
      <w:rPr>
        <w:noProof/>
      </w:rPr>
      <w:t>8</w:t>
    </w:r>
    <w:r>
      <w:fldChar w:fldCharType="end"/>
    </w:r>
  </w:p>
  <w:p w:rsidR="00EB40E9" w:rsidRDefault="00EB40E9"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385A5C10"/>
    <w:lvl w:ilvl="0" w:tplc="4EDE19A6">
      <w:start w:val="1"/>
      <w:numFmt w:val="decimal"/>
      <w:pStyle w:val="NumberedParaAR"/>
      <w:lvlText w:val="%1."/>
      <w:lvlJc w:val="left"/>
      <w:pPr>
        <w:tabs>
          <w:tab w:val="num" w:pos="567"/>
        </w:tabs>
        <w:ind w:left="0" w:firstLine="0"/>
      </w:pPr>
      <w:rPr>
        <w:rFonts w:ascii="Arabic Typesetting" w:hAnsi="Arabic Typesetting" w:cs="Arabic Typesetting" w:hint="default"/>
        <w:bCs w:val="0"/>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60E37BB"/>
    <w:multiLevelType w:val="hybridMultilevel"/>
    <w:tmpl w:val="7D20CB00"/>
    <w:lvl w:ilvl="0" w:tplc="FFFFFFFF">
      <w:start w:val="1"/>
      <w:numFmt w:val="bullet"/>
      <w:lvlText w:val=""/>
      <w:lvlJc w:val="left"/>
      <w:pPr>
        <w:tabs>
          <w:tab w:val="num" w:pos="2061"/>
        </w:tabs>
        <w:ind w:left="2061"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C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7A6"/>
    <w:rsid w:val="0005270B"/>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635"/>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2E77"/>
    <w:rsid w:val="000D5FB7"/>
    <w:rsid w:val="000E06A5"/>
    <w:rsid w:val="000E16EB"/>
    <w:rsid w:val="000E591F"/>
    <w:rsid w:val="000E5A23"/>
    <w:rsid w:val="000E6045"/>
    <w:rsid w:val="000E7872"/>
    <w:rsid w:val="000E7B83"/>
    <w:rsid w:val="000F0772"/>
    <w:rsid w:val="000F0BE5"/>
    <w:rsid w:val="000F0F0D"/>
    <w:rsid w:val="000F1B52"/>
    <w:rsid w:val="000F1C70"/>
    <w:rsid w:val="000F1EAA"/>
    <w:rsid w:val="000F30D5"/>
    <w:rsid w:val="000F32B0"/>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1D4"/>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02DB"/>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3989"/>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6D25"/>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B5C"/>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1956"/>
    <w:rsid w:val="00202F07"/>
    <w:rsid w:val="00203030"/>
    <w:rsid w:val="00203D45"/>
    <w:rsid w:val="00205495"/>
    <w:rsid w:val="002059D7"/>
    <w:rsid w:val="002061DE"/>
    <w:rsid w:val="002065E2"/>
    <w:rsid w:val="00206C61"/>
    <w:rsid w:val="00206CC3"/>
    <w:rsid w:val="00206F30"/>
    <w:rsid w:val="002072D8"/>
    <w:rsid w:val="00207616"/>
    <w:rsid w:val="00207F10"/>
    <w:rsid w:val="00210CE3"/>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77F27"/>
    <w:rsid w:val="002806F8"/>
    <w:rsid w:val="002810B5"/>
    <w:rsid w:val="00281F4F"/>
    <w:rsid w:val="00283B88"/>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4324"/>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77BB"/>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3FD3"/>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35E"/>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75DB"/>
    <w:rsid w:val="004E1264"/>
    <w:rsid w:val="004E2751"/>
    <w:rsid w:val="004E2CBC"/>
    <w:rsid w:val="004E3B5D"/>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4F6"/>
    <w:rsid w:val="00522E91"/>
    <w:rsid w:val="0052302D"/>
    <w:rsid w:val="005236A5"/>
    <w:rsid w:val="005266BD"/>
    <w:rsid w:val="0052772D"/>
    <w:rsid w:val="00530442"/>
    <w:rsid w:val="00534AF0"/>
    <w:rsid w:val="00535060"/>
    <w:rsid w:val="00535738"/>
    <w:rsid w:val="00535E05"/>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72D"/>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1B5"/>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46E"/>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7C6"/>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3E4C"/>
    <w:rsid w:val="00654505"/>
    <w:rsid w:val="0065529B"/>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862"/>
    <w:rsid w:val="006A6A14"/>
    <w:rsid w:val="006A753A"/>
    <w:rsid w:val="006A777C"/>
    <w:rsid w:val="006A7C46"/>
    <w:rsid w:val="006B0F76"/>
    <w:rsid w:val="006B1F20"/>
    <w:rsid w:val="006B3095"/>
    <w:rsid w:val="006B398A"/>
    <w:rsid w:val="006B3E04"/>
    <w:rsid w:val="006B4024"/>
    <w:rsid w:val="006B47D7"/>
    <w:rsid w:val="006B499D"/>
    <w:rsid w:val="006B5041"/>
    <w:rsid w:val="006B6288"/>
    <w:rsid w:val="006B643D"/>
    <w:rsid w:val="006B79A4"/>
    <w:rsid w:val="006C1254"/>
    <w:rsid w:val="006C2DC5"/>
    <w:rsid w:val="006C480B"/>
    <w:rsid w:val="006C570B"/>
    <w:rsid w:val="006C572E"/>
    <w:rsid w:val="006C5997"/>
    <w:rsid w:val="006C5CD2"/>
    <w:rsid w:val="006D0636"/>
    <w:rsid w:val="006D06DC"/>
    <w:rsid w:val="006D6E46"/>
    <w:rsid w:val="006D7FA8"/>
    <w:rsid w:val="006E17FE"/>
    <w:rsid w:val="006E4601"/>
    <w:rsid w:val="006E5B86"/>
    <w:rsid w:val="006E63FF"/>
    <w:rsid w:val="006E652D"/>
    <w:rsid w:val="006E7572"/>
    <w:rsid w:val="006F2F22"/>
    <w:rsid w:val="006F434A"/>
    <w:rsid w:val="006F7974"/>
    <w:rsid w:val="00700A60"/>
    <w:rsid w:val="00700AA9"/>
    <w:rsid w:val="00705027"/>
    <w:rsid w:val="00710494"/>
    <w:rsid w:val="007117BD"/>
    <w:rsid w:val="00715129"/>
    <w:rsid w:val="007154CE"/>
    <w:rsid w:val="007158F1"/>
    <w:rsid w:val="00715B25"/>
    <w:rsid w:val="00716020"/>
    <w:rsid w:val="00720860"/>
    <w:rsid w:val="00721087"/>
    <w:rsid w:val="00721530"/>
    <w:rsid w:val="007225D3"/>
    <w:rsid w:val="00723422"/>
    <w:rsid w:val="007260FE"/>
    <w:rsid w:val="00726DD6"/>
    <w:rsid w:val="0073076E"/>
    <w:rsid w:val="00733416"/>
    <w:rsid w:val="0073377E"/>
    <w:rsid w:val="00733E05"/>
    <w:rsid w:val="00735B48"/>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1C84"/>
    <w:rsid w:val="0078264A"/>
    <w:rsid w:val="00783D11"/>
    <w:rsid w:val="00785E46"/>
    <w:rsid w:val="00787917"/>
    <w:rsid w:val="00791489"/>
    <w:rsid w:val="00791683"/>
    <w:rsid w:val="00792F0C"/>
    <w:rsid w:val="007946E7"/>
    <w:rsid w:val="00795460"/>
    <w:rsid w:val="00796CF7"/>
    <w:rsid w:val="007A0313"/>
    <w:rsid w:val="007A0A83"/>
    <w:rsid w:val="007A4BB3"/>
    <w:rsid w:val="007A602D"/>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4B1"/>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7BE"/>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3458"/>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68"/>
    <w:rsid w:val="008D3CC5"/>
    <w:rsid w:val="008D564A"/>
    <w:rsid w:val="008D5E47"/>
    <w:rsid w:val="008D7AB0"/>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7CC8"/>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77A"/>
    <w:rsid w:val="00935301"/>
    <w:rsid w:val="00936F64"/>
    <w:rsid w:val="00937B8E"/>
    <w:rsid w:val="00940C5B"/>
    <w:rsid w:val="009411F7"/>
    <w:rsid w:val="009417F1"/>
    <w:rsid w:val="00941A84"/>
    <w:rsid w:val="0094204A"/>
    <w:rsid w:val="009443ED"/>
    <w:rsid w:val="00945137"/>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97ECF"/>
    <w:rsid w:val="009A0C15"/>
    <w:rsid w:val="009A1088"/>
    <w:rsid w:val="009A14CB"/>
    <w:rsid w:val="009A27C7"/>
    <w:rsid w:val="009A2961"/>
    <w:rsid w:val="009A344A"/>
    <w:rsid w:val="009A41C7"/>
    <w:rsid w:val="009A4F5A"/>
    <w:rsid w:val="009A5C82"/>
    <w:rsid w:val="009A74FE"/>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792"/>
    <w:rsid w:val="00A31804"/>
    <w:rsid w:val="00A318AE"/>
    <w:rsid w:val="00A318C5"/>
    <w:rsid w:val="00A320BA"/>
    <w:rsid w:val="00A32283"/>
    <w:rsid w:val="00A32342"/>
    <w:rsid w:val="00A325EC"/>
    <w:rsid w:val="00A32B81"/>
    <w:rsid w:val="00A337E5"/>
    <w:rsid w:val="00A3658D"/>
    <w:rsid w:val="00A36E51"/>
    <w:rsid w:val="00A36F47"/>
    <w:rsid w:val="00A377C5"/>
    <w:rsid w:val="00A37B2E"/>
    <w:rsid w:val="00A37D45"/>
    <w:rsid w:val="00A401FD"/>
    <w:rsid w:val="00A40558"/>
    <w:rsid w:val="00A40AF2"/>
    <w:rsid w:val="00A40C4E"/>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5DC9"/>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CCD"/>
    <w:rsid w:val="00AA6DE4"/>
    <w:rsid w:val="00AA7408"/>
    <w:rsid w:val="00AA74E9"/>
    <w:rsid w:val="00AA7D1F"/>
    <w:rsid w:val="00AB02C6"/>
    <w:rsid w:val="00AB0F0D"/>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0BC"/>
    <w:rsid w:val="00AE7348"/>
    <w:rsid w:val="00AE7394"/>
    <w:rsid w:val="00AE77B1"/>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EFF"/>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574"/>
    <w:rsid w:val="00B40633"/>
    <w:rsid w:val="00B44049"/>
    <w:rsid w:val="00B44318"/>
    <w:rsid w:val="00B44C4B"/>
    <w:rsid w:val="00B477CB"/>
    <w:rsid w:val="00B508A7"/>
    <w:rsid w:val="00B52081"/>
    <w:rsid w:val="00B520B5"/>
    <w:rsid w:val="00B52695"/>
    <w:rsid w:val="00B545AF"/>
    <w:rsid w:val="00B55B09"/>
    <w:rsid w:val="00B56711"/>
    <w:rsid w:val="00B57EF2"/>
    <w:rsid w:val="00B604F3"/>
    <w:rsid w:val="00B6101C"/>
    <w:rsid w:val="00B615ED"/>
    <w:rsid w:val="00B63A9D"/>
    <w:rsid w:val="00B64888"/>
    <w:rsid w:val="00B672E3"/>
    <w:rsid w:val="00B67431"/>
    <w:rsid w:val="00B675F9"/>
    <w:rsid w:val="00B70849"/>
    <w:rsid w:val="00B72C1C"/>
    <w:rsid w:val="00B73BB7"/>
    <w:rsid w:val="00B751C3"/>
    <w:rsid w:val="00B76C0D"/>
    <w:rsid w:val="00B77D0D"/>
    <w:rsid w:val="00B80817"/>
    <w:rsid w:val="00B827E6"/>
    <w:rsid w:val="00B82A28"/>
    <w:rsid w:val="00B82B8D"/>
    <w:rsid w:val="00B82C97"/>
    <w:rsid w:val="00B851D5"/>
    <w:rsid w:val="00B8551A"/>
    <w:rsid w:val="00B85B06"/>
    <w:rsid w:val="00B876D7"/>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745"/>
    <w:rsid w:val="00BB1388"/>
    <w:rsid w:val="00BB2683"/>
    <w:rsid w:val="00BB40DF"/>
    <w:rsid w:val="00BB5E2C"/>
    <w:rsid w:val="00BB748C"/>
    <w:rsid w:val="00BB7D9E"/>
    <w:rsid w:val="00BC0E06"/>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02A7"/>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2C83"/>
    <w:rsid w:val="00C44DDC"/>
    <w:rsid w:val="00C5128B"/>
    <w:rsid w:val="00C51423"/>
    <w:rsid w:val="00C5294D"/>
    <w:rsid w:val="00C52F83"/>
    <w:rsid w:val="00C54C1B"/>
    <w:rsid w:val="00C54DBA"/>
    <w:rsid w:val="00C57ED3"/>
    <w:rsid w:val="00C61640"/>
    <w:rsid w:val="00C61AA7"/>
    <w:rsid w:val="00C61B8E"/>
    <w:rsid w:val="00C66471"/>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33C"/>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5118"/>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1C1"/>
    <w:rsid w:val="00DA3249"/>
    <w:rsid w:val="00DA38CE"/>
    <w:rsid w:val="00DA4B01"/>
    <w:rsid w:val="00DA5322"/>
    <w:rsid w:val="00DA55AC"/>
    <w:rsid w:val="00DA5600"/>
    <w:rsid w:val="00DA608B"/>
    <w:rsid w:val="00DA7413"/>
    <w:rsid w:val="00DB0066"/>
    <w:rsid w:val="00DB0F9E"/>
    <w:rsid w:val="00DB1307"/>
    <w:rsid w:val="00DB1E1A"/>
    <w:rsid w:val="00DB2AF6"/>
    <w:rsid w:val="00DB35CD"/>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5302"/>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D39"/>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86B"/>
    <w:rsid w:val="00EA17A9"/>
    <w:rsid w:val="00EA311B"/>
    <w:rsid w:val="00EA36CA"/>
    <w:rsid w:val="00EA3D9C"/>
    <w:rsid w:val="00EA43C0"/>
    <w:rsid w:val="00EA4CB0"/>
    <w:rsid w:val="00EA566F"/>
    <w:rsid w:val="00EB2857"/>
    <w:rsid w:val="00EB30B7"/>
    <w:rsid w:val="00EB3F8A"/>
    <w:rsid w:val="00EB40E9"/>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5DB2"/>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394E"/>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58EC"/>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rsid w:val="00F2394E"/>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FootnoteTextChar">
    <w:name w:val="Footnote Text Char"/>
    <w:link w:val="FootnoteText"/>
    <w:semiHidden/>
    <w:rsid w:val="00F2394E"/>
    <w:rPr>
      <w:rFonts w:ascii="Arabic Typesetting" w:hAnsi="Arabic Typesetting" w:cs="Arabic Typesetti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scp/en/exceptions/"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CP_2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9DA8-13C7-49D8-88B2-84F1A5E0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SCP_20_AR</Template>
  <TotalTime>271</TotalTime>
  <Pages>8</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SCP/20/-- (Arabic)</vt:lpstr>
    </vt:vector>
  </TitlesOfParts>
  <Company>World Intellectual Property Organization</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SCP/20/-- (Arabic)</dc:title>
  <dc:creator>YOUSSEF Randa</dc:creator>
  <cp:lastModifiedBy>ILIAS Fawaz</cp:lastModifiedBy>
  <cp:revision>25</cp:revision>
  <cp:lastPrinted>2011-07-08T12:30:00Z</cp:lastPrinted>
  <dcterms:created xsi:type="dcterms:W3CDTF">2013-11-18T08:31:00Z</dcterms:created>
  <dcterms:modified xsi:type="dcterms:W3CDTF">2013-11-21T09:28:00Z</dcterms:modified>
</cp:coreProperties>
</file>