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9"/>
        <w:gridCol w:w="4841"/>
      </w:tblGrid>
      <w:tr w:rsidR="000737EF" w:rsidRPr="000737EF" w:rsidTr="00AC6198">
        <w:trPr>
          <w:trHeight w:val="680"/>
        </w:trPr>
        <w:tc>
          <w:tcPr>
            <w:tcW w:w="9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198" w:rsidRPr="000737EF" w:rsidRDefault="00AC6198">
            <w:pPr>
              <w:jc w:val="right"/>
              <w:rPr>
                <w:b/>
                <w:sz w:val="40"/>
                <w:szCs w:val="40"/>
              </w:rPr>
            </w:pPr>
            <w:r w:rsidRPr="000737EF">
              <w:rPr>
                <w:b/>
                <w:sz w:val="40"/>
                <w:szCs w:val="40"/>
              </w:rPr>
              <w:t>C</w:t>
            </w:r>
          </w:p>
        </w:tc>
      </w:tr>
      <w:tr w:rsidR="000737EF" w:rsidRPr="000737EF" w:rsidTr="00AC6198"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C6198" w:rsidRPr="000737EF" w:rsidRDefault="00AC6198"/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198" w:rsidRPr="000737EF" w:rsidRDefault="000148E0">
            <w:r w:rsidRPr="000737EF">
              <w:rPr>
                <w:noProof/>
              </w:rPr>
              <w:drawing>
                <wp:inline distT="0" distB="0" distL="0" distR="0" wp14:anchorId="0A72700A" wp14:editId="6340F10B">
                  <wp:extent cx="869950" cy="1327150"/>
                  <wp:effectExtent l="0" t="0" r="6350" b="6350"/>
                  <wp:docPr id="1" name="图片 1" descr="New Logo C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Logo C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7EF" w:rsidRPr="000737EF" w:rsidTr="00AC6198">
        <w:trPr>
          <w:trHeight w:val="397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C6198" w:rsidRPr="000737EF" w:rsidRDefault="008A3A08" w:rsidP="008A3A08">
            <w:pPr>
              <w:rPr>
                <w:rFonts w:eastAsia="SimHei"/>
                <w:caps/>
                <w:sz w:val="24"/>
              </w:rPr>
            </w:pPr>
            <w:r w:rsidRPr="000737EF">
              <w:rPr>
                <w:rFonts w:eastAsia="SimHei" w:hint="eastAsia"/>
                <w:caps/>
                <w:sz w:val="24"/>
              </w:rPr>
              <w:t>国际</w:t>
            </w:r>
            <w:r w:rsidR="00AC6198" w:rsidRPr="000737EF">
              <w:rPr>
                <w:rFonts w:eastAsia="SimHei" w:hint="eastAsia"/>
                <w:caps/>
                <w:sz w:val="24"/>
              </w:rPr>
              <w:t>会议</w:t>
            </w:r>
          </w:p>
        </w:tc>
      </w:tr>
      <w:tr w:rsidR="000737EF" w:rsidRPr="000737EF" w:rsidTr="00AC6198">
        <w:trPr>
          <w:trHeight w:hRule="exact" w:val="34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737EF" w:rsidRDefault="00C55F2A" w:rsidP="003477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737EF">
              <w:rPr>
                <w:rFonts w:ascii="Arial Black" w:hAnsi="Arial Black"/>
                <w:caps/>
                <w:sz w:val="15"/>
              </w:rPr>
              <w:t>WIPO/</w:t>
            </w:r>
            <w:r w:rsidR="0034771B" w:rsidRPr="000737EF">
              <w:rPr>
                <w:rFonts w:ascii="Arial Black" w:hAnsi="Arial Black" w:hint="eastAsia"/>
                <w:caps/>
                <w:sz w:val="15"/>
              </w:rPr>
              <w:t>G</w:t>
            </w:r>
            <w:r w:rsidR="008A3A08" w:rsidRPr="000737EF">
              <w:rPr>
                <w:rFonts w:ascii="Arial Black" w:hAnsi="Arial Black" w:hint="eastAsia"/>
                <w:caps/>
                <w:sz w:val="15"/>
              </w:rPr>
              <w:t>D</w:t>
            </w:r>
            <w:r w:rsidR="0034771B" w:rsidRPr="000737EF">
              <w:rPr>
                <w:rFonts w:ascii="Arial Black" w:hAnsi="Arial Black" w:hint="eastAsia"/>
                <w:caps/>
                <w:sz w:val="15"/>
              </w:rPr>
              <w:t>CM</w:t>
            </w:r>
            <w:r w:rsidRPr="000737EF">
              <w:rPr>
                <w:rFonts w:ascii="Arial Black" w:hAnsi="Arial Black"/>
                <w:caps/>
                <w:sz w:val="15"/>
              </w:rPr>
              <w:t>/GE/1</w:t>
            </w:r>
            <w:r w:rsidR="008A3A08" w:rsidRPr="000737EF">
              <w:rPr>
                <w:rFonts w:ascii="Arial Black" w:hAnsi="Arial Black" w:hint="eastAsia"/>
                <w:caps/>
                <w:sz w:val="15"/>
              </w:rPr>
              <w:t>6</w:t>
            </w:r>
            <w:r w:rsidR="008A3A08" w:rsidRPr="000737EF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4771B" w:rsidRPr="000737EF">
              <w:rPr>
                <w:rFonts w:ascii="Arial Black" w:hAnsi="Arial Black" w:hint="eastAsia"/>
                <w:caps/>
                <w:sz w:val="15"/>
              </w:rPr>
              <w:t>inf/2</w:t>
            </w:r>
          </w:p>
        </w:tc>
      </w:tr>
      <w:tr w:rsidR="000737EF" w:rsidRPr="000737EF" w:rsidTr="00AC6198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0737EF" w:rsidRDefault="00A11A0F" w:rsidP="00A179E6">
            <w:pPr>
              <w:jc w:val="right"/>
              <w:rPr>
                <w:rFonts w:ascii="SimHei" w:eastAsia="SimHei" w:hAnsi="SimHei"/>
                <w:b/>
                <w:caps/>
                <w:sz w:val="15"/>
              </w:rPr>
            </w:pPr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原文：</w:t>
            </w:r>
            <w:bookmarkStart w:id="1" w:name="Original"/>
            <w:bookmarkEnd w:id="1"/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英文</w:t>
            </w:r>
          </w:p>
        </w:tc>
      </w:tr>
      <w:tr w:rsidR="008B2CC1" w:rsidRPr="000737EF" w:rsidTr="00AC6198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0737EF" w:rsidRDefault="00A11A0F" w:rsidP="007C1F51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日期：</w:t>
            </w:r>
            <w:bookmarkStart w:id="2" w:name="Date"/>
            <w:bookmarkEnd w:id="2"/>
            <w:r w:rsidRPr="000737EF">
              <w:rPr>
                <w:rFonts w:ascii="Arial Black" w:hAnsi="Arial Black" w:hint="eastAsia"/>
                <w:b/>
                <w:caps/>
                <w:sz w:val="15"/>
              </w:rPr>
              <w:t>201</w:t>
            </w:r>
            <w:r w:rsidR="0034771B" w:rsidRPr="000737EF">
              <w:rPr>
                <w:rFonts w:ascii="Arial Black" w:hAnsi="Arial Black" w:hint="eastAsia"/>
                <w:b/>
                <w:caps/>
                <w:sz w:val="15"/>
              </w:rPr>
              <w:t>6</w:t>
            </w:r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年</w:t>
            </w:r>
            <w:r w:rsidR="007C1F51">
              <w:rPr>
                <w:rFonts w:ascii="Arial Black" w:hAnsi="Arial Black" w:hint="eastAsia"/>
                <w:b/>
                <w:caps/>
                <w:sz w:val="15"/>
              </w:rPr>
              <w:t>4</w:t>
            </w:r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月</w:t>
            </w:r>
            <w:r w:rsidR="007C1F51">
              <w:rPr>
                <w:rFonts w:ascii="Arial Black" w:hAnsi="Arial Black" w:hint="eastAsia"/>
                <w:b/>
                <w:caps/>
                <w:sz w:val="15"/>
              </w:rPr>
              <w:t>1</w:t>
            </w:r>
            <w:r w:rsidRPr="000737EF">
              <w:rPr>
                <w:rFonts w:ascii="SimHei" w:eastAsia="SimHei" w:hAnsi="SimHei" w:hint="eastAsia"/>
                <w:b/>
                <w:caps/>
                <w:sz w:val="15"/>
              </w:rPr>
              <w:t>日</w:t>
            </w:r>
          </w:p>
        </w:tc>
      </w:tr>
    </w:tbl>
    <w:p w:rsidR="00833104" w:rsidRPr="000737EF" w:rsidRDefault="00833104" w:rsidP="001D7119">
      <w:pPr>
        <w:rPr>
          <w:szCs w:val="22"/>
        </w:rPr>
      </w:pPr>
    </w:p>
    <w:p w:rsidR="00833104" w:rsidRPr="000737EF" w:rsidRDefault="00833104" w:rsidP="001D7119">
      <w:pPr>
        <w:rPr>
          <w:szCs w:val="22"/>
        </w:rPr>
      </w:pPr>
    </w:p>
    <w:p w:rsidR="00833104" w:rsidRPr="000737EF" w:rsidRDefault="00833104" w:rsidP="001D7119">
      <w:pPr>
        <w:rPr>
          <w:szCs w:val="22"/>
        </w:rPr>
      </w:pPr>
    </w:p>
    <w:p w:rsidR="00833104" w:rsidRPr="000737EF" w:rsidRDefault="00833104" w:rsidP="001D7119">
      <w:pPr>
        <w:rPr>
          <w:szCs w:val="22"/>
        </w:rPr>
      </w:pPr>
    </w:p>
    <w:p w:rsidR="00833104" w:rsidRPr="000737EF" w:rsidRDefault="00833104" w:rsidP="008B2CC1">
      <w:pPr>
        <w:rPr>
          <w:szCs w:val="22"/>
        </w:rPr>
      </w:pPr>
    </w:p>
    <w:p w:rsidR="00833104" w:rsidRPr="000737EF" w:rsidRDefault="00B91E40" w:rsidP="008B2CC1">
      <w:pPr>
        <w:rPr>
          <w:rFonts w:ascii="SimHei" w:eastAsia="SimHei" w:hAnsi="SimHei"/>
          <w:sz w:val="28"/>
          <w:szCs w:val="28"/>
        </w:rPr>
      </w:pPr>
      <w:r w:rsidRPr="000737EF">
        <w:rPr>
          <w:rFonts w:ascii="SimHei" w:eastAsia="SimHei" w:hAnsi="SimHei" w:hint="eastAsia"/>
          <w:sz w:val="28"/>
          <w:szCs w:val="28"/>
        </w:rPr>
        <w:t>全球数字内容市场会议</w:t>
      </w:r>
    </w:p>
    <w:p w:rsidR="00AC6198" w:rsidRPr="000737EF" w:rsidRDefault="00AC6198" w:rsidP="00A11A0F">
      <w:pPr>
        <w:rPr>
          <w:szCs w:val="22"/>
        </w:rPr>
      </w:pPr>
    </w:p>
    <w:p w:rsidR="00AC6198" w:rsidRPr="000737EF" w:rsidRDefault="00AC6198" w:rsidP="00A11A0F">
      <w:pPr>
        <w:rPr>
          <w:szCs w:val="22"/>
        </w:rPr>
      </w:pPr>
    </w:p>
    <w:p w:rsidR="00833104" w:rsidRPr="000737EF" w:rsidRDefault="00A11A0F" w:rsidP="00AC6198">
      <w:pPr>
        <w:spacing w:line="360" w:lineRule="atLeast"/>
        <w:textAlignment w:val="bottom"/>
        <w:rPr>
          <w:rFonts w:ascii="SimSun" w:hAnsi="SimSun"/>
          <w:sz w:val="21"/>
          <w:szCs w:val="24"/>
        </w:rPr>
      </w:pPr>
      <w:r w:rsidRPr="000737EF">
        <w:rPr>
          <w:rFonts w:ascii="SimSun" w:hAnsi="SimSun" w:hint="eastAsia"/>
          <w:sz w:val="21"/>
          <w:szCs w:val="24"/>
        </w:rPr>
        <w:t>世界知识产权组织(WIPO)</w:t>
      </w:r>
      <w:r w:rsidR="00EE05FB" w:rsidRPr="000737EF">
        <w:rPr>
          <w:rFonts w:ascii="SimSun" w:hAnsi="SimSun" w:hint="eastAsia"/>
          <w:sz w:val="21"/>
          <w:szCs w:val="24"/>
        </w:rPr>
        <w:t>主办</w:t>
      </w:r>
    </w:p>
    <w:p w:rsidR="00C3300A" w:rsidRPr="000737EF" w:rsidRDefault="00C3300A" w:rsidP="000148E0">
      <w:pPr>
        <w:rPr>
          <w:szCs w:val="22"/>
        </w:rPr>
      </w:pPr>
    </w:p>
    <w:p w:rsidR="00833104" w:rsidRPr="000737EF" w:rsidRDefault="00EE05FB" w:rsidP="008B2CC1">
      <w:pPr>
        <w:rPr>
          <w:rFonts w:ascii="KaiTi" w:eastAsia="KaiTi" w:hAnsi="KaiTi"/>
          <w:b/>
          <w:sz w:val="24"/>
          <w:szCs w:val="24"/>
        </w:rPr>
      </w:pPr>
      <w:r w:rsidRPr="000737EF">
        <w:rPr>
          <w:rFonts w:ascii="KaiTi" w:eastAsia="KaiTi" w:hAnsi="KaiTi"/>
          <w:b/>
          <w:sz w:val="24"/>
          <w:szCs w:val="24"/>
        </w:rPr>
        <w:t>201</w:t>
      </w:r>
      <w:r w:rsidRPr="000737EF">
        <w:rPr>
          <w:rFonts w:ascii="KaiTi" w:eastAsia="KaiTi" w:hAnsi="KaiTi" w:hint="eastAsia"/>
          <w:b/>
          <w:sz w:val="24"/>
          <w:szCs w:val="24"/>
        </w:rPr>
        <w:t>6</w:t>
      </w:r>
      <w:r w:rsidR="00A11A0F" w:rsidRPr="000737EF">
        <w:rPr>
          <w:rFonts w:ascii="KaiTi" w:eastAsia="KaiTi" w:hAnsi="KaiTi" w:hint="eastAsia"/>
          <w:b/>
          <w:sz w:val="24"/>
          <w:szCs w:val="24"/>
        </w:rPr>
        <w:t>年</w:t>
      </w:r>
      <w:r w:rsidRPr="000737EF">
        <w:rPr>
          <w:rFonts w:ascii="KaiTi" w:eastAsia="KaiTi" w:hAnsi="KaiTi" w:hint="eastAsia"/>
          <w:b/>
          <w:sz w:val="24"/>
          <w:szCs w:val="24"/>
        </w:rPr>
        <w:t>4</w:t>
      </w:r>
      <w:r w:rsidR="00A11A0F" w:rsidRPr="000737EF">
        <w:rPr>
          <w:rFonts w:ascii="KaiTi" w:eastAsia="KaiTi" w:hAnsi="KaiTi" w:hint="eastAsia"/>
          <w:b/>
          <w:sz w:val="24"/>
          <w:szCs w:val="24"/>
        </w:rPr>
        <w:t>月</w:t>
      </w:r>
      <w:r w:rsidR="00B91E40" w:rsidRPr="000737EF">
        <w:rPr>
          <w:rFonts w:ascii="KaiTi" w:eastAsia="KaiTi" w:hAnsi="KaiTi" w:hint="eastAsia"/>
          <w:b/>
          <w:sz w:val="24"/>
          <w:szCs w:val="24"/>
        </w:rPr>
        <w:t>20</w:t>
      </w:r>
      <w:r w:rsidR="00A11A0F" w:rsidRPr="000737EF">
        <w:rPr>
          <w:rFonts w:ascii="KaiTi" w:eastAsia="KaiTi" w:hAnsi="KaiTi" w:hint="eastAsia"/>
          <w:b/>
          <w:sz w:val="24"/>
          <w:szCs w:val="24"/>
        </w:rPr>
        <w:t>日</w:t>
      </w:r>
      <w:r w:rsidR="00B91E40" w:rsidRPr="000737EF">
        <w:rPr>
          <w:rFonts w:ascii="KaiTi" w:eastAsia="KaiTi" w:hAnsi="KaiTi" w:hint="eastAsia"/>
          <w:b/>
          <w:sz w:val="24"/>
          <w:szCs w:val="24"/>
        </w:rPr>
        <w:t>至22</w:t>
      </w:r>
      <w:r w:rsidRPr="000737EF">
        <w:rPr>
          <w:rFonts w:ascii="KaiTi" w:eastAsia="KaiTi" w:hAnsi="KaiTi" w:hint="eastAsia"/>
          <w:b/>
          <w:sz w:val="24"/>
          <w:szCs w:val="24"/>
        </w:rPr>
        <w:t>日</w:t>
      </w:r>
      <w:r w:rsidR="00A11A0F" w:rsidRPr="000737EF">
        <w:rPr>
          <w:rFonts w:ascii="KaiTi" w:eastAsia="KaiTi" w:hAnsi="KaiTi" w:hint="eastAsia"/>
          <w:b/>
          <w:sz w:val="24"/>
          <w:szCs w:val="24"/>
        </w:rPr>
        <w:t>，日内瓦</w:t>
      </w:r>
    </w:p>
    <w:p w:rsidR="00833104" w:rsidRPr="000737EF" w:rsidRDefault="00833104" w:rsidP="001D7119">
      <w:pPr>
        <w:rPr>
          <w:szCs w:val="22"/>
        </w:rPr>
      </w:pPr>
    </w:p>
    <w:p w:rsidR="000148E0" w:rsidRPr="000737EF" w:rsidRDefault="000148E0" w:rsidP="001D7119">
      <w:pPr>
        <w:rPr>
          <w:szCs w:val="22"/>
        </w:rPr>
      </w:pPr>
    </w:p>
    <w:p w:rsidR="000148E0" w:rsidRPr="000737EF" w:rsidRDefault="000148E0" w:rsidP="001D7119">
      <w:pPr>
        <w:rPr>
          <w:szCs w:val="22"/>
        </w:rPr>
      </w:pPr>
    </w:p>
    <w:p w:rsidR="00833104" w:rsidRPr="000737EF" w:rsidRDefault="002E0010" w:rsidP="008B2CC1">
      <w:pPr>
        <w:rPr>
          <w:rFonts w:ascii="KaiTi" w:eastAsia="KaiTi" w:hAnsi="KaiTi"/>
        </w:rPr>
      </w:pPr>
      <w:bookmarkStart w:id="3" w:name="TitleOfDoc"/>
      <w:bookmarkEnd w:id="3"/>
      <w:r w:rsidRPr="000737EF">
        <w:rPr>
          <w:rFonts w:ascii="KaiTi" w:eastAsia="KaiTi" w:hAnsi="KaiTi" w:hint="eastAsia"/>
          <w:caps/>
          <w:sz w:val="24"/>
        </w:rPr>
        <w:t>参会代表背景文件</w:t>
      </w:r>
    </w:p>
    <w:p w:rsidR="00833104" w:rsidRDefault="00833104" w:rsidP="008B2CC1">
      <w:pPr>
        <w:rPr>
          <w:rFonts w:hint="eastAsia"/>
          <w:szCs w:val="22"/>
        </w:rPr>
      </w:pPr>
    </w:p>
    <w:p w:rsidR="00EB1A01" w:rsidRPr="000737EF" w:rsidRDefault="00EB1A01" w:rsidP="008B2CC1">
      <w:pPr>
        <w:rPr>
          <w:szCs w:val="22"/>
        </w:rPr>
      </w:pPr>
    </w:p>
    <w:p w:rsidR="00833104" w:rsidRPr="007C1F51" w:rsidRDefault="007C1F51" w:rsidP="007C1F51">
      <w:pPr>
        <w:autoSpaceDE w:val="0"/>
        <w:autoSpaceDN w:val="0"/>
        <w:textAlignment w:val="bottom"/>
        <w:rPr>
          <w:rFonts w:ascii="KaiTi" w:eastAsia="KaiTi" w:hAnsi="KaiTi"/>
          <w:i/>
          <w:sz w:val="21"/>
          <w:szCs w:val="24"/>
        </w:rPr>
      </w:pPr>
      <w:r w:rsidRPr="007C1F51">
        <w:rPr>
          <w:rFonts w:ascii="KaiTi" w:eastAsia="KaiTi" w:hAnsi="KaiTi" w:hint="eastAsia"/>
          <w:i/>
          <w:sz w:val="21"/>
          <w:szCs w:val="24"/>
        </w:rPr>
        <w:t>WIPO国际局编拟</w:t>
      </w:r>
    </w:p>
    <w:p w:rsidR="00833104" w:rsidRPr="000737EF" w:rsidRDefault="00833104">
      <w:pPr>
        <w:rPr>
          <w:szCs w:val="22"/>
        </w:rPr>
      </w:pPr>
      <w:bookmarkStart w:id="4" w:name="Prepared"/>
      <w:bookmarkEnd w:id="4"/>
    </w:p>
    <w:p w:rsidR="0034771B" w:rsidRPr="000737EF" w:rsidRDefault="00CA0200" w:rsidP="000737EF">
      <w:pPr>
        <w:pStyle w:val="1"/>
        <w:keepNext w:val="0"/>
        <w:spacing w:after="0"/>
      </w:pPr>
      <w:r w:rsidRPr="000737EF">
        <w:rPr>
          <w:u w:val="single"/>
        </w:rPr>
        <w:br w:type="page"/>
      </w:r>
      <w:bookmarkStart w:id="5" w:name="_GoBack"/>
      <w:bookmarkEnd w:id="5"/>
    </w:p>
    <w:p w:rsidR="0034771B" w:rsidRPr="000737EF" w:rsidRDefault="00C42EB8" w:rsidP="00922A3F">
      <w:pPr>
        <w:pStyle w:val="1"/>
        <w:rPr>
          <w:rFonts w:ascii="SimHei" w:eastAsia="SimHei" w:hAnsi="SimHei"/>
          <w:b w:val="0"/>
          <w:sz w:val="21"/>
          <w:szCs w:val="21"/>
        </w:rPr>
      </w:pPr>
      <w:r w:rsidRPr="000737EF">
        <w:rPr>
          <w:rFonts w:ascii="SimHei" w:eastAsia="SimHei" w:hAnsi="SimHei" w:hint="eastAsia"/>
          <w:b w:val="0"/>
          <w:sz w:val="21"/>
          <w:szCs w:val="21"/>
        </w:rPr>
        <w:lastRenderedPageBreak/>
        <w:t>导</w:t>
      </w:r>
      <w:r w:rsidRPr="000737EF">
        <w:rPr>
          <w:rFonts w:ascii="SimHei" w:eastAsia="SimHei" w:hAnsi="SimHei"/>
          <w:b w:val="0"/>
          <w:sz w:val="21"/>
          <w:szCs w:val="21"/>
        </w:rPr>
        <w:t xml:space="preserve">  </w:t>
      </w:r>
      <w:r w:rsidRPr="000737EF">
        <w:rPr>
          <w:rFonts w:ascii="SimHei" w:eastAsia="SimHei" w:hAnsi="SimHei" w:hint="eastAsia"/>
          <w:b w:val="0"/>
          <w:sz w:val="21"/>
          <w:szCs w:val="21"/>
        </w:rPr>
        <w:t>言</w:t>
      </w:r>
    </w:p>
    <w:p w:rsidR="00C42EB8" w:rsidRPr="000737EF" w:rsidRDefault="00C42EB8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全球数字世界正在</w:t>
      </w:r>
      <w:r w:rsidR="004F309E" w:rsidRPr="000737EF">
        <w:rPr>
          <w:rFonts w:ascii="SimSun" w:hAnsi="SimSun" w:hint="eastAsia"/>
          <w:sz w:val="21"/>
          <w:szCs w:val="21"/>
        </w:rPr>
        <w:t>迅速地</w:t>
      </w:r>
      <w:r w:rsidRPr="000737EF">
        <w:rPr>
          <w:rFonts w:ascii="SimSun" w:hAnsi="SimSun" w:hint="eastAsia"/>
          <w:sz w:val="21"/>
          <w:szCs w:val="21"/>
        </w:rPr>
        <w:t>改变</w:t>
      </w:r>
      <w:r w:rsidR="004F309E" w:rsidRPr="000737EF">
        <w:rPr>
          <w:rFonts w:ascii="SimSun" w:hAnsi="SimSun" w:hint="eastAsia"/>
          <w:sz w:val="21"/>
          <w:szCs w:val="21"/>
        </w:rPr>
        <w:t>由来已久</w:t>
      </w:r>
      <w:r w:rsidRPr="000737EF">
        <w:rPr>
          <w:rFonts w:ascii="SimSun" w:hAnsi="SimSun" w:hint="eastAsia"/>
          <w:sz w:val="21"/>
          <w:szCs w:val="21"/>
        </w:rPr>
        <w:t>的商业模式。</w:t>
      </w:r>
      <w:r w:rsidR="004F309E" w:rsidRPr="000737EF">
        <w:rPr>
          <w:rFonts w:ascii="SimSun" w:hAnsi="SimSun" w:hint="eastAsia"/>
          <w:sz w:val="21"/>
          <w:szCs w:val="21"/>
        </w:rPr>
        <w:t>在</w:t>
      </w:r>
      <w:r w:rsidRPr="000737EF">
        <w:rPr>
          <w:rFonts w:ascii="SimSun" w:hAnsi="SimSun" w:hint="eastAsia"/>
          <w:sz w:val="21"/>
          <w:szCs w:val="21"/>
        </w:rPr>
        <w:t>过去几年</w:t>
      </w:r>
      <w:r w:rsidR="004F309E" w:rsidRPr="000737EF">
        <w:rPr>
          <w:rFonts w:ascii="SimSun" w:hAnsi="SimSun" w:hint="eastAsia"/>
          <w:sz w:val="21"/>
          <w:szCs w:val="21"/>
        </w:rPr>
        <w:t>崭露头角的</w:t>
      </w:r>
      <w:r w:rsidRPr="000737EF">
        <w:rPr>
          <w:rFonts w:ascii="SimSun" w:hAnsi="SimSun" w:hint="eastAsia"/>
          <w:sz w:val="21"/>
          <w:szCs w:val="21"/>
        </w:rPr>
        <w:t>“</w:t>
      </w:r>
      <w:r w:rsidR="004F309E" w:rsidRPr="000737EF">
        <w:rPr>
          <w:rFonts w:ascii="SimSun" w:hAnsi="SimSun" w:hint="eastAsia"/>
          <w:sz w:val="21"/>
          <w:szCs w:val="21"/>
        </w:rPr>
        <w:t>共</w:t>
      </w:r>
      <w:r w:rsidRPr="000737EF">
        <w:rPr>
          <w:rFonts w:ascii="SimSun" w:hAnsi="SimSun" w:hint="eastAsia"/>
          <w:sz w:val="21"/>
          <w:szCs w:val="21"/>
        </w:rPr>
        <w:t>享经济”</w:t>
      </w:r>
      <w:r w:rsidR="004F309E" w:rsidRPr="000737EF">
        <w:rPr>
          <w:rFonts w:ascii="SimSun" w:hAnsi="SimSun" w:hint="eastAsia"/>
          <w:sz w:val="21"/>
          <w:szCs w:val="21"/>
        </w:rPr>
        <w:t>中，</w:t>
      </w:r>
      <w:proofErr w:type="gramStart"/>
      <w:r w:rsidR="004F309E" w:rsidRPr="000737EF">
        <w:rPr>
          <w:rFonts w:ascii="SimSun" w:hAnsi="SimSun" w:hint="eastAsia"/>
          <w:sz w:val="21"/>
          <w:szCs w:val="21"/>
        </w:rPr>
        <w:t>优步可以</w:t>
      </w:r>
      <w:proofErr w:type="gramEnd"/>
      <w:r w:rsidRPr="000737EF">
        <w:rPr>
          <w:rFonts w:ascii="SimSun" w:hAnsi="SimSun" w:hint="eastAsia"/>
          <w:sz w:val="21"/>
          <w:szCs w:val="21"/>
        </w:rPr>
        <w:t>提供价格</w:t>
      </w:r>
      <w:r w:rsidR="004F309E" w:rsidRPr="000737EF">
        <w:rPr>
          <w:rFonts w:ascii="SimSun" w:hAnsi="SimSun" w:hint="eastAsia"/>
          <w:sz w:val="21"/>
          <w:szCs w:val="21"/>
        </w:rPr>
        <w:t>更</w:t>
      </w:r>
      <w:r w:rsidRPr="000737EF">
        <w:rPr>
          <w:rFonts w:ascii="SimSun" w:hAnsi="SimSun" w:hint="eastAsia"/>
          <w:sz w:val="21"/>
          <w:szCs w:val="21"/>
        </w:rPr>
        <w:t>低廉</w:t>
      </w:r>
      <w:r w:rsidR="004F309E" w:rsidRPr="000737EF">
        <w:rPr>
          <w:rFonts w:ascii="SimSun" w:hAnsi="SimSun" w:hint="eastAsia"/>
          <w:sz w:val="21"/>
          <w:szCs w:val="21"/>
        </w:rPr>
        <w:t>、方式更</w:t>
      </w:r>
      <w:r w:rsidRPr="000737EF">
        <w:rPr>
          <w:rFonts w:ascii="SimSun" w:hAnsi="SimSun" w:hint="eastAsia"/>
          <w:sz w:val="21"/>
          <w:szCs w:val="21"/>
        </w:rPr>
        <w:t>灵活的出租车服务，Airbnb</w:t>
      </w:r>
      <w:r w:rsidR="00330881" w:rsidRPr="000737EF">
        <w:rPr>
          <w:rFonts w:ascii="SimSun" w:hAnsi="SimSun" w:hint="eastAsia"/>
          <w:sz w:val="21"/>
          <w:szCs w:val="21"/>
        </w:rPr>
        <w:t>针对</w:t>
      </w:r>
      <w:r w:rsidRPr="000737EF">
        <w:rPr>
          <w:rFonts w:ascii="SimSun" w:hAnsi="SimSun" w:hint="eastAsia"/>
          <w:sz w:val="21"/>
          <w:szCs w:val="21"/>
        </w:rPr>
        <w:t>住宿</w:t>
      </w:r>
      <w:r w:rsidR="00330881" w:rsidRPr="000737EF">
        <w:rPr>
          <w:rFonts w:ascii="SimSun" w:hAnsi="SimSun" w:hint="eastAsia"/>
          <w:sz w:val="21"/>
          <w:szCs w:val="21"/>
        </w:rPr>
        <w:t>提供和</w:t>
      </w:r>
      <w:proofErr w:type="gramStart"/>
      <w:r w:rsidR="00330881" w:rsidRPr="000737EF">
        <w:rPr>
          <w:rFonts w:ascii="SimSun" w:hAnsi="SimSun" w:hint="eastAsia"/>
          <w:sz w:val="21"/>
          <w:szCs w:val="21"/>
        </w:rPr>
        <w:t>优步类似</w:t>
      </w:r>
      <w:proofErr w:type="gramEnd"/>
      <w:r w:rsidR="00330881" w:rsidRPr="000737EF">
        <w:rPr>
          <w:rFonts w:ascii="SimSun" w:hAnsi="SimSun" w:hint="eastAsia"/>
          <w:sz w:val="21"/>
          <w:szCs w:val="21"/>
        </w:rPr>
        <w:t>的服务，而新近兴起的</w:t>
      </w:r>
      <w:proofErr w:type="spellStart"/>
      <w:r w:rsidRPr="000737EF">
        <w:rPr>
          <w:rFonts w:ascii="SimSun" w:hAnsi="SimSun" w:hint="eastAsia"/>
          <w:sz w:val="21"/>
          <w:szCs w:val="21"/>
        </w:rPr>
        <w:t>Vizeat</w:t>
      </w:r>
      <w:proofErr w:type="spellEnd"/>
      <w:r w:rsidRPr="000737EF">
        <w:rPr>
          <w:rFonts w:ascii="SimSun" w:hAnsi="SimSun" w:hint="eastAsia"/>
          <w:sz w:val="21"/>
          <w:szCs w:val="21"/>
        </w:rPr>
        <w:t>公司</w:t>
      </w:r>
      <w:r w:rsidR="00330881" w:rsidRPr="000737EF">
        <w:rPr>
          <w:rFonts w:ascii="SimSun" w:hAnsi="SimSun" w:hint="eastAsia"/>
          <w:sz w:val="21"/>
          <w:szCs w:val="21"/>
        </w:rPr>
        <w:t>则</w:t>
      </w:r>
      <w:r w:rsidRPr="000737EF">
        <w:rPr>
          <w:rFonts w:ascii="SimSun" w:hAnsi="SimSun" w:hint="eastAsia"/>
          <w:sz w:val="21"/>
          <w:szCs w:val="21"/>
        </w:rPr>
        <w:t>称</w:t>
      </w:r>
      <w:r w:rsidR="00220480" w:rsidRPr="000737EF">
        <w:rPr>
          <w:rFonts w:ascii="SimSun" w:hAnsi="SimSun" w:hint="eastAsia"/>
          <w:sz w:val="21"/>
          <w:szCs w:val="21"/>
        </w:rPr>
        <w:t>其服务</w:t>
      </w:r>
      <w:r w:rsidRPr="000737EF">
        <w:rPr>
          <w:rFonts w:ascii="SimSun" w:hAnsi="SimSun" w:hint="eastAsia"/>
          <w:sz w:val="21"/>
          <w:szCs w:val="21"/>
        </w:rPr>
        <w:t>为“</w:t>
      </w:r>
      <w:r w:rsidR="00330881" w:rsidRPr="000737EF">
        <w:rPr>
          <w:rFonts w:ascii="SimSun" w:hAnsi="SimSun" w:hint="eastAsia"/>
          <w:sz w:val="21"/>
          <w:szCs w:val="21"/>
        </w:rPr>
        <w:t>美食</w:t>
      </w:r>
      <w:r w:rsidRPr="000737EF">
        <w:rPr>
          <w:rFonts w:ascii="SimSun" w:hAnsi="SimSun" w:hint="eastAsia"/>
          <w:sz w:val="21"/>
          <w:szCs w:val="21"/>
        </w:rPr>
        <w:t>共享”。</w:t>
      </w:r>
    </w:p>
    <w:p w:rsidR="00220480" w:rsidRPr="000737EF" w:rsidRDefault="00220480" w:rsidP="000737EF">
      <w:pPr>
        <w:spacing w:afterLines="50" w:after="120" w:line="340" w:lineRule="atLeast"/>
        <w:ind w:firstLineChars="200" w:firstLine="420"/>
        <w:jc w:val="both"/>
        <w:rPr>
          <w:rFonts w:ascii="SimSun" w:hAnsi="SimSun" w:cs="Times New Roman"/>
          <w:sz w:val="21"/>
          <w:szCs w:val="21"/>
        </w:rPr>
      </w:pPr>
      <w:r w:rsidRPr="000737EF">
        <w:rPr>
          <w:rFonts w:ascii="SimSun" w:hAnsi="SimSun" w:cs="Times New Roman" w:hint="eastAsia"/>
          <w:sz w:val="21"/>
          <w:szCs w:val="21"/>
        </w:rPr>
        <w:t>在长达十多年的时间里，访问模式和商业模式随着创意内容经济已经得到彻底改变。日益便利的访问和</w:t>
      </w:r>
      <w:proofErr w:type="gramStart"/>
      <w:r w:rsidRPr="000737EF">
        <w:rPr>
          <w:rFonts w:ascii="SimSun" w:hAnsi="SimSun" w:cs="Times New Roman" w:hint="eastAsia"/>
          <w:sz w:val="21"/>
          <w:szCs w:val="21"/>
        </w:rPr>
        <w:t>可</w:t>
      </w:r>
      <w:proofErr w:type="gramEnd"/>
      <w:r w:rsidRPr="000737EF">
        <w:rPr>
          <w:rFonts w:ascii="SimSun" w:hAnsi="SimSun" w:cs="Times New Roman" w:hint="eastAsia"/>
          <w:sz w:val="21"/>
          <w:szCs w:val="21"/>
        </w:rPr>
        <w:t>持续经济价值链之间的冲突是WIPO“全球数字内容市场会议”的根本关注点。</w:t>
      </w:r>
    </w:p>
    <w:p w:rsidR="00220480" w:rsidRPr="000737EF" w:rsidRDefault="006169DE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本次</w:t>
      </w:r>
      <w:r w:rsidR="00220480" w:rsidRPr="000737EF">
        <w:rPr>
          <w:rFonts w:ascii="SimSun" w:hAnsi="SimSun" w:hint="eastAsia"/>
          <w:sz w:val="21"/>
          <w:szCs w:val="21"/>
        </w:rPr>
        <w:t>会议首先介绍</w:t>
      </w:r>
      <w:r w:rsidR="006910BD" w:rsidRPr="000737EF">
        <w:rPr>
          <w:rFonts w:ascii="SimSun" w:hAnsi="SimSun" w:hint="eastAsia"/>
          <w:sz w:val="21"/>
          <w:szCs w:val="21"/>
        </w:rPr>
        <w:t>各种</w:t>
      </w:r>
      <w:r w:rsidR="00220480" w:rsidRPr="000737EF">
        <w:rPr>
          <w:rFonts w:ascii="SimSun" w:hAnsi="SimSun" w:hint="eastAsia"/>
          <w:sz w:val="21"/>
          <w:szCs w:val="21"/>
        </w:rPr>
        <w:t>最佳实践，</w:t>
      </w:r>
      <w:r w:rsidR="006910BD" w:rsidRPr="000737EF">
        <w:rPr>
          <w:rFonts w:ascii="SimSun" w:hAnsi="SimSun" w:hint="eastAsia"/>
          <w:sz w:val="21"/>
          <w:szCs w:val="21"/>
        </w:rPr>
        <w:t>然后回顾了音乐、电影、广播和出版各产业的</w:t>
      </w:r>
      <w:r w:rsidR="00220480" w:rsidRPr="000737EF">
        <w:rPr>
          <w:rFonts w:ascii="SimSun" w:hAnsi="SimSun" w:hint="eastAsia"/>
          <w:sz w:val="21"/>
          <w:szCs w:val="21"/>
        </w:rPr>
        <w:t>问题。最后两</w:t>
      </w:r>
      <w:r w:rsidR="00204BCD" w:rsidRPr="000737EF">
        <w:rPr>
          <w:rFonts w:ascii="SimSun" w:hAnsi="SimSun" w:hint="eastAsia"/>
          <w:sz w:val="21"/>
          <w:szCs w:val="21"/>
        </w:rPr>
        <w:t>个环节将讨论</w:t>
      </w:r>
      <w:r w:rsidR="00220480" w:rsidRPr="000737EF">
        <w:rPr>
          <w:rFonts w:ascii="SimSun" w:hAnsi="SimSun" w:hint="eastAsia"/>
          <w:sz w:val="21"/>
          <w:szCs w:val="21"/>
        </w:rPr>
        <w:t>数字基础设施</w:t>
      </w:r>
      <w:r w:rsidR="00204BCD" w:rsidRPr="000737EF">
        <w:rPr>
          <w:rFonts w:ascii="SimSun" w:hAnsi="SimSun" w:hint="eastAsia"/>
          <w:sz w:val="21"/>
          <w:szCs w:val="21"/>
        </w:rPr>
        <w:t>、</w:t>
      </w:r>
      <w:r w:rsidR="00220480" w:rsidRPr="000737EF">
        <w:rPr>
          <w:rFonts w:ascii="SimSun" w:hAnsi="SimSun" w:hint="eastAsia"/>
          <w:sz w:val="21"/>
          <w:szCs w:val="21"/>
        </w:rPr>
        <w:t>集体管理</w:t>
      </w:r>
      <w:r w:rsidR="00204BCD" w:rsidRPr="000737EF">
        <w:rPr>
          <w:rFonts w:ascii="SimSun" w:hAnsi="SimSun" w:hint="eastAsia"/>
          <w:sz w:val="21"/>
          <w:szCs w:val="21"/>
        </w:rPr>
        <w:t>以及对</w:t>
      </w:r>
      <w:r w:rsidR="00220480" w:rsidRPr="000737EF">
        <w:rPr>
          <w:rFonts w:ascii="SimSun" w:hAnsi="SimSun" w:hint="eastAsia"/>
          <w:sz w:val="21"/>
          <w:szCs w:val="21"/>
        </w:rPr>
        <w:t>市场和政策制定者的影响。</w:t>
      </w:r>
    </w:p>
    <w:p w:rsidR="0034771B" w:rsidRPr="000737EF" w:rsidRDefault="00312429" w:rsidP="00B74801">
      <w:pPr>
        <w:pStyle w:val="1"/>
        <w:numPr>
          <w:ilvl w:val="0"/>
          <w:numId w:val="10"/>
        </w:numPr>
        <w:spacing w:beforeLines="10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 w:rsidRPr="000737EF">
        <w:rPr>
          <w:rFonts w:ascii="SimHei" w:eastAsia="SimHei" w:hAnsi="SimHei" w:hint="eastAsia"/>
          <w:b w:val="0"/>
          <w:sz w:val="21"/>
          <w:szCs w:val="21"/>
        </w:rPr>
        <w:t>音</w:t>
      </w:r>
      <w:r w:rsidR="006169DE" w:rsidRPr="000737EF">
        <w:rPr>
          <w:rFonts w:ascii="SimHei" w:eastAsia="SimHei" w:hAnsi="SimHei"/>
          <w:b w:val="0"/>
          <w:sz w:val="21"/>
          <w:szCs w:val="21"/>
        </w:rPr>
        <w:t xml:space="preserve">  </w:t>
      </w:r>
      <w:r w:rsidRPr="000737EF">
        <w:rPr>
          <w:rFonts w:ascii="SimHei" w:eastAsia="SimHei" w:hAnsi="SimHei" w:hint="eastAsia"/>
          <w:b w:val="0"/>
          <w:sz w:val="21"/>
          <w:szCs w:val="21"/>
        </w:rPr>
        <w:t>乐</w:t>
      </w:r>
    </w:p>
    <w:p w:rsidR="0034771B" w:rsidRPr="000737EF" w:rsidRDefault="00312429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proofErr w:type="gramStart"/>
      <w:r w:rsidRPr="000737EF">
        <w:rPr>
          <w:rFonts w:ascii="KaiTi" w:eastAsia="KaiTi" w:hAnsi="KaiTi" w:hint="eastAsia"/>
          <w:sz w:val="21"/>
          <w:szCs w:val="21"/>
        </w:rPr>
        <w:t>综</w:t>
      </w:r>
      <w:proofErr w:type="gramEnd"/>
      <w:r w:rsidR="006169DE" w:rsidRPr="000737EF">
        <w:rPr>
          <w:rFonts w:ascii="SimHei" w:eastAsia="SimHei" w:hAnsi="SimHei"/>
          <w:sz w:val="21"/>
          <w:szCs w:val="21"/>
        </w:rPr>
        <w:t xml:space="preserve">  </w:t>
      </w:r>
      <w:r w:rsidRPr="000737EF">
        <w:rPr>
          <w:rFonts w:ascii="KaiTi" w:eastAsia="KaiTi" w:hAnsi="KaiTi" w:hint="eastAsia"/>
          <w:sz w:val="21"/>
          <w:szCs w:val="21"/>
        </w:rPr>
        <w:t>述</w:t>
      </w:r>
    </w:p>
    <w:p w:rsidR="0034771B" w:rsidRPr="000737EF" w:rsidRDefault="00BE195E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音乐产业为了不断适应</w:t>
      </w:r>
      <w:r w:rsidRPr="000737EF">
        <w:rPr>
          <w:rFonts w:ascii="SimSun" w:hAnsi="SimSun" w:cs="Times New Roman" w:hint="eastAsia"/>
          <w:sz w:val="21"/>
          <w:szCs w:val="21"/>
        </w:rPr>
        <w:t>数字时代，一直处于发展变化的状态。虽然数字市场变得日益成熟，数字销售额的增长尚不能弥补实体销售额的下降。这使价值链发生转移，改变了艺术家的职业道路，并将新要素引入音乐产业。</w:t>
      </w:r>
    </w:p>
    <w:p w:rsidR="0034771B" w:rsidRPr="000737EF" w:rsidRDefault="0044035F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市场规模和增长</w:t>
      </w:r>
    </w:p>
    <w:p w:rsidR="0034771B" w:rsidRPr="000737EF" w:rsidRDefault="009343D0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全球唱片业</w:t>
      </w:r>
      <w:r w:rsidR="00863205" w:rsidRPr="000737EF">
        <w:rPr>
          <w:rFonts w:ascii="SimSun" w:hAnsi="SimSun" w:hint="eastAsia"/>
          <w:sz w:val="21"/>
          <w:szCs w:val="21"/>
        </w:rPr>
        <w:t>的</w:t>
      </w:r>
      <w:r w:rsidRPr="000737EF">
        <w:rPr>
          <w:rFonts w:ascii="SimSun" w:hAnsi="SimSun" w:hint="eastAsia"/>
          <w:sz w:val="21"/>
          <w:szCs w:val="21"/>
        </w:rPr>
        <w:t>价值</w:t>
      </w:r>
      <w:r w:rsidR="00863205" w:rsidRPr="000737EF">
        <w:rPr>
          <w:rFonts w:ascii="SimSun" w:hAnsi="SimSun" w:hint="eastAsia"/>
          <w:sz w:val="21"/>
          <w:szCs w:val="21"/>
        </w:rPr>
        <w:t>达</w:t>
      </w:r>
      <w:r w:rsidRPr="000737EF">
        <w:rPr>
          <w:rFonts w:ascii="SimSun" w:hAnsi="SimSun" w:hint="eastAsia"/>
          <w:sz w:val="21"/>
          <w:szCs w:val="21"/>
        </w:rPr>
        <w:t>150亿美元</w:t>
      </w:r>
      <w:r w:rsidR="00671739">
        <w:rPr>
          <w:rStyle w:val="af"/>
          <w:rFonts w:ascii="SimSun" w:hAnsi="SimSun"/>
          <w:sz w:val="21"/>
          <w:szCs w:val="21"/>
        </w:rPr>
        <w:footnoteReference w:id="2"/>
      </w:r>
      <w:r w:rsidRPr="000737EF">
        <w:rPr>
          <w:rFonts w:ascii="SimSun" w:hAnsi="SimSun" w:hint="eastAsia"/>
          <w:sz w:val="21"/>
          <w:szCs w:val="21"/>
        </w:rPr>
        <w:t>。2014年</w:t>
      </w:r>
      <w:r w:rsidR="00863205" w:rsidRPr="000737EF">
        <w:rPr>
          <w:rFonts w:ascii="SimSun" w:hAnsi="SimSun" w:hint="eastAsia"/>
          <w:sz w:val="21"/>
          <w:szCs w:val="21"/>
        </w:rPr>
        <w:t>的收入比2013年下跌</w:t>
      </w:r>
      <w:r w:rsidRPr="000737EF">
        <w:rPr>
          <w:rFonts w:ascii="SimSun" w:hAnsi="SimSun" w:hint="eastAsia"/>
          <w:sz w:val="21"/>
          <w:szCs w:val="21"/>
        </w:rPr>
        <w:t>3.9</w:t>
      </w:r>
      <w:r w:rsidR="00863205" w:rsidRPr="000737EF">
        <w:rPr>
          <w:rFonts w:ascii="SimSun" w:hAnsi="SimSun" w:hint="eastAsia"/>
          <w:sz w:val="21"/>
          <w:szCs w:val="21"/>
        </w:rPr>
        <w:t>%。通过</w:t>
      </w:r>
      <w:r w:rsidRPr="000737EF">
        <w:rPr>
          <w:rFonts w:ascii="SimSun" w:hAnsi="SimSun" w:hint="eastAsia"/>
          <w:sz w:val="21"/>
          <w:szCs w:val="21"/>
        </w:rPr>
        <w:t>数字</w:t>
      </w:r>
      <w:r w:rsidR="00863205" w:rsidRPr="000737EF">
        <w:rPr>
          <w:rFonts w:ascii="SimSun" w:hAnsi="SimSun" w:hint="eastAsia"/>
          <w:sz w:val="21"/>
          <w:szCs w:val="21"/>
        </w:rPr>
        <w:t>来</w:t>
      </w:r>
      <w:r w:rsidRPr="000737EF">
        <w:rPr>
          <w:rFonts w:ascii="SimSun" w:hAnsi="SimSun" w:hint="eastAsia"/>
          <w:sz w:val="21"/>
          <w:szCs w:val="21"/>
        </w:rPr>
        <w:t>源</w:t>
      </w:r>
      <w:r w:rsidR="00863205" w:rsidRPr="000737EF">
        <w:rPr>
          <w:rFonts w:ascii="SimSun" w:hAnsi="SimSun" w:hint="eastAsia"/>
          <w:sz w:val="21"/>
          <w:szCs w:val="21"/>
        </w:rPr>
        <w:t>取得的收入</w:t>
      </w:r>
      <w:r w:rsidRPr="000737EF">
        <w:rPr>
          <w:rFonts w:ascii="SimSun" w:hAnsi="SimSun" w:hint="eastAsia"/>
          <w:sz w:val="21"/>
          <w:szCs w:val="21"/>
        </w:rPr>
        <w:t>增长</w:t>
      </w:r>
      <w:r w:rsidR="00863205" w:rsidRPr="000737EF">
        <w:rPr>
          <w:rFonts w:ascii="SimSun" w:hAnsi="SimSun" w:hint="eastAsia"/>
          <w:sz w:val="21"/>
          <w:szCs w:val="21"/>
        </w:rPr>
        <w:t>至</w:t>
      </w:r>
      <w:r w:rsidRPr="000737EF">
        <w:rPr>
          <w:rFonts w:ascii="SimSun" w:hAnsi="SimSun" w:hint="eastAsia"/>
          <w:sz w:val="21"/>
          <w:szCs w:val="21"/>
        </w:rPr>
        <w:t>68亿美元，现已等同于</w:t>
      </w:r>
      <w:r w:rsidR="00863205" w:rsidRPr="000737EF">
        <w:rPr>
          <w:rFonts w:ascii="SimSun" w:hAnsi="SimSun" w:hint="eastAsia"/>
          <w:sz w:val="21"/>
          <w:szCs w:val="21"/>
        </w:rPr>
        <w:t>通过实体来源取得的收入</w:t>
      </w:r>
      <w:r w:rsidRPr="000737EF">
        <w:rPr>
          <w:rFonts w:ascii="SimSun" w:hAnsi="SimSun" w:hint="eastAsia"/>
          <w:sz w:val="21"/>
          <w:szCs w:val="21"/>
        </w:rPr>
        <w:t>。</w:t>
      </w:r>
      <w:r w:rsidR="005F1CE5" w:rsidRPr="000737EF">
        <w:rPr>
          <w:rFonts w:ascii="SimSun" w:hAnsi="SimSun" w:hint="eastAsia"/>
          <w:sz w:val="21"/>
          <w:szCs w:val="21"/>
        </w:rPr>
        <w:t>订阅</w:t>
      </w:r>
      <w:r w:rsidRPr="000737EF">
        <w:rPr>
          <w:rFonts w:ascii="SimSun" w:hAnsi="SimSun" w:hint="eastAsia"/>
          <w:sz w:val="21"/>
          <w:szCs w:val="21"/>
        </w:rPr>
        <w:t>及流媒体服务继续</w:t>
      </w:r>
      <w:r w:rsidR="005F1CE5" w:rsidRPr="000737EF">
        <w:rPr>
          <w:rFonts w:ascii="SimSun" w:hAnsi="SimSun" w:hint="eastAsia"/>
          <w:sz w:val="21"/>
          <w:szCs w:val="21"/>
        </w:rPr>
        <w:t>快速增长，</w:t>
      </w:r>
      <w:r w:rsidRPr="000737EF">
        <w:rPr>
          <w:rFonts w:ascii="SimSun" w:hAnsi="SimSun" w:hint="eastAsia"/>
          <w:sz w:val="21"/>
          <w:szCs w:val="21"/>
        </w:rPr>
        <w:t>2013年</w:t>
      </w:r>
      <w:r w:rsidR="005F1CE5" w:rsidRPr="000737EF">
        <w:rPr>
          <w:rFonts w:ascii="SimSun" w:hAnsi="SimSun" w:hint="eastAsia"/>
          <w:sz w:val="21"/>
          <w:szCs w:val="21"/>
        </w:rPr>
        <w:t>的增长率为</w:t>
      </w:r>
      <w:r w:rsidRPr="000737EF">
        <w:rPr>
          <w:rFonts w:ascii="SimSun" w:hAnsi="SimSun" w:hint="eastAsia"/>
          <w:sz w:val="21"/>
          <w:szCs w:val="21"/>
        </w:rPr>
        <w:t>51</w:t>
      </w:r>
      <w:r w:rsidR="005F1CE5" w:rsidRPr="000737EF">
        <w:rPr>
          <w:rFonts w:ascii="SimSun" w:hAnsi="SimSun" w:hint="eastAsia"/>
          <w:sz w:val="21"/>
          <w:szCs w:val="21"/>
        </w:rPr>
        <w:t>%，达</w:t>
      </w:r>
      <w:r w:rsidRPr="000737EF">
        <w:rPr>
          <w:rFonts w:ascii="SimSun" w:hAnsi="SimSun" w:hint="eastAsia"/>
          <w:sz w:val="21"/>
          <w:szCs w:val="21"/>
        </w:rPr>
        <w:t>10亿美元</w:t>
      </w:r>
      <w:r w:rsidR="0034771B" w:rsidRPr="000737EF">
        <w:rPr>
          <w:rStyle w:val="af"/>
          <w:rFonts w:ascii="SimSun" w:hAnsi="SimSun"/>
          <w:sz w:val="21"/>
          <w:szCs w:val="21"/>
        </w:rPr>
        <w:footnoteReference w:id="3"/>
      </w:r>
      <w:r w:rsidR="00C10215" w:rsidRPr="000737EF">
        <w:rPr>
          <w:rFonts w:ascii="SimSun" w:hAnsi="SimSun" w:hint="eastAsia"/>
          <w:sz w:val="21"/>
          <w:szCs w:val="21"/>
        </w:rPr>
        <w:t>。</w:t>
      </w:r>
    </w:p>
    <w:p w:rsidR="0034771B" w:rsidRPr="000737EF" w:rsidRDefault="00BE195E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数字</w:t>
      </w:r>
      <w:r w:rsidR="00BB46B5" w:rsidRPr="000737EF">
        <w:rPr>
          <w:rFonts w:ascii="KaiTi" w:eastAsia="KaiTi" w:hAnsi="KaiTi" w:hint="eastAsia"/>
          <w:sz w:val="21"/>
          <w:szCs w:val="21"/>
        </w:rPr>
        <w:t>化</w:t>
      </w:r>
    </w:p>
    <w:p w:rsidR="0034771B" w:rsidRPr="000737EF" w:rsidRDefault="00BE195E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互联网的出现使音乐产业首先受到冲击。随着消费者在线购买CD，在线商务(电子商务)为零售带来</w:t>
      </w:r>
      <w:r w:rsidR="00353ABB" w:rsidRPr="000737EF">
        <w:rPr>
          <w:rFonts w:ascii="SimSun" w:hAnsi="SimSun" w:hint="eastAsia"/>
          <w:sz w:val="21"/>
          <w:szCs w:val="21"/>
        </w:rPr>
        <w:t>商机</w:t>
      </w:r>
      <w:r w:rsidRPr="000737EF">
        <w:rPr>
          <w:rFonts w:ascii="SimSun" w:hAnsi="SimSun" w:hint="eastAsia"/>
          <w:sz w:val="21"/>
          <w:szCs w:val="21"/>
        </w:rPr>
        <w:t>。但这种情况随着上世纪九十年代数字音乐文件进入市场而改变。</w:t>
      </w:r>
      <w:r w:rsidR="005C0320" w:rsidRPr="000737EF">
        <w:rPr>
          <w:rFonts w:ascii="SimSun" w:hAnsi="SimSun" w:hint="eastAsia"/>
          <w:sz w:val="21"/>
          <w:szCs w:val="21"/>
        </w:rPr>
        <w:t>早期发行的</w:t>
      </w:r>
      <w:r w:rsidRPr="000737EF">
        <w:rPr>
          <w:rFonts w:ascii="SimSun" w:hAnsi="SimSun" w:hint="eastAsia"/>
          <w:sz w:val="21"/>
          <w:szCs w:val="21"/>
        </w:rPr>
        <w:t>大部分数字音乐文件</w:t>
      </w:r>
      <w:r w:rsidR="005C0320" w:rsidRPr="000737EF">
        <w:rPr>
          <w:rFonts w:ascii="SimSun" w:hAnsi="SimSun" w:hint="eastAsia"/>
          <w:sz w:val="21"/>
          <w:szCs w:val="21"/>
        </w:rPr>
        <w:t>都来自于许可渠道之外</w:t>
      </w:r>
      <w:r w:rsidRPr="000737EF">
        <w:rPr>
          <w:rFonts w:ascii="SimSun" w:hAnsi="SimSun" w:hint="eastAsia"/>
          <w:sz w:val="21"/>
          <w:szCs w:val="21"/>
        </w:rPr>
        <w:t>。价值创造</w:t>
      </w:r>
      <w:r w:rsidR="005C0320" w:rsidRPr="000737EF">
        <w:rPr>
          <w:rFonts w:ascii="SimSun" w:hAnsi="SimSun" w:hint="eastAsia"/>
          <w:sz w:val="21"/>
          <w:szCs w:val="21"/>
        </w:rPr>
        <w:t>在不断转向</w:t>
      </w:r>
      <w:r w:rsidR="005C0320" w:rsidRPr="000737EF">
        <w:rPr>
          <w:rFonts w:ascii="SimSun" w:hAnsi="SimSun" w:cs="Times New Roman" w:hint="eastAsia"/>
          <w:sz w:val="21"/>
          <w:szCs w:val="21"/>
        </w:rPr>
        <w:t>包括</w:t>
      </w:r>
      <w:r w:rsidR="005C0320" w:rsidRPr="000737EF">
        <w:rPr>
          <w:rFonts w:ascii="SimSun" w:hAnsi="SimSun" w:hint="eastAsia"/>
          <w:sz w:val="21"/>
          <w:szCs w:val="21"/>
        </w:rPr>
        <w:t>音乐播放器制造商和在线零售平台等在内的新玩家</w:t>
      </w:r>
      <w:r w:rsidRPr="000737EF">
        <w:rPr>
          <w:rFonts w:ascii="SimSun" w:hAnsi="SimSun" w:hint="eastAsia"/>
          <w:sz w:val="21"/>
          <w:szCs w:val="21"/>
        </w:rPr>
        <w:t>。</w:t>
      </w:r>
    </w:p>
    <w:p w:rsidR="0034771B" w:rsidRPr="000737EF" w:rsidRDefault="00BE195E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数字音乐</w:t>
      </w:r>
      <w:r w:rsidR="00C41879" w:rsidRPr="000737EF">
        <w:rPr>
          <w:rFonts w:ascii="SimSun" w:hAnsi="SimSun" w:hint="eastAsia"/>
          <w:sz w:val="21"/>
          <w:szCs w:val="21"/>
        </w:rPr>
        <w:t>降低了创造、发行</w:t>
      </w:r>
      <w:r w:rsidRPr="000737EF">
        <w:rPr>
          <w:rFonts w:ascii="SimSun" w:hAnsi="SimSun" w:hint="eastAsia"/>
          <w:sz w:val="21"/>
          <w:szCs w:val="21"/>
        </w:rPr>
        <w:t>和存储音乐</w:t>
      </w:r>
      <w:r w:rsidR="00CA6F3C" w:rsidRPr="000737EF">
        <w:rPr>
          <w:rFonts w:ascii="SimSun" w:hAnsi="SimSun" w:hint="eastAsia"/>
          <w:sz w:val="21"/>
          <w:szCs w:val="21"/>
        </w:rPr>
        <w:t>拷贝</w:t>
      </w:r>
      <w:r w:rsidRPr="000737EF">
        <w:rPr>
          <w:rFonts w:ascii="SimSun" w:hAnsi="SimSun" w:hint="eastAsia"/>
          <w:sz w:val="21"/>
          <w:szCs w:val="21"/>
        </w:rPr>
        <w:t>的成本。结果</w:t>
      </w:r>
      <w:r w:rsidR="00CA6F3C" w:rsidRPr="000737EF">
        <w:rPr>
          <w:rFonts w:ascii="SimSun" w:hAnsi="SimSun" w:hint="eastAsia"/>
          <w:sz w:val="21"/>
          <w:szCs w:val="21"/>
        </w:rPr>
        <w:t>就</w:t>
      </w:r>
      <w:r w:rsidRPr="000737EF">
        <w:rPr>
          <w:rFonts w:ascii="SimSun" w:hAnsi="SimSun" w:hint="eastAsia"/>
          <w:sz w:val="21"/>
          <w:szCs w:val="21"/>
        </w:rPr>
        <w:t>是零售网点和CD</w:t>
      </w:r>
      <w:r w:rsidR="00A4652E" w:rsidRPr="000737EF">
        <w:rPr>
          <w:rFonts w:ascii="SimSun" w:hAnsi="SimSun" w:hint="eastAsia"/>
          <w:sz w:val="21"/>
          <w:szCs w:val="21"/>
        </w:rPr>
        <w:t>销量全面减少</w:t>
      </w:r>
      <w:r w:rsidRPr="000737EF">
        <w:rPr>
          <w:rFonts w:ascii="SimSun" w:hAnsi="SimSun" w:hint="eastAsia"/>
          <w:sz w:val="21"/>
          <w:szCs w:val="21"/>
        </w:rPr>
        <w:t>。</w:t>
      </w:r>
    </w:p>
    <w:p w:rsidR="0034771B" w:rsidRPr="000737EF" w:rsidRDefault="00BE195E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数码市场</w:t>
      </w:r>
      <w:r w:rsidR="00740B43" w:rsidRPr="000737EF">
        <w:rPr>
          <w:rFonts w:ascii="SimSun" w:hAnsi="SimSun" w:hint="eastAsia"/>
          <w:sz w:val="21"/>
          <w:szCs w:val="21"/>
        </w:rPr>
        <w:t>尚未</w:t>
      </w:r>
      <w:r w:rsidRPr="000737EF">
        <w:rPr>
          <w:rFonts w:ascii="SimSun" w:hAnsi="SimSun" w:hint="eastAsia"/>
          <w:sz w:val="21"/>
          <w:szCs w:val="21"/>
        </w:rPr>
        <w:t>达到平衡。一</w:t>
      </w:r>
      <w:r w:rsidR="00740B43" w:rsidRPr="000737EF">
        <w:rPr>
          <w:rFonts w:ascii="SimSun" w:hAnsi="SimSun" w:hint="eastAsia"/>
          <w:sz w:val="21"/>
          <w:szCs w:val="21"/>
        </w:rPr>
        <w:t>种</w:t>
      </w:r>
      <w:r w:rsidRPr="000737EF">
        <w:rPr>
          <w:rFonts w:ascii="SimSun" w:hAnsi="SimSun" w:hint="eastAsia"/>
          <w:sz w:val="21"/>
          <w:szCs w:val="21"/>
        </w:rPr>
        <w:t>常见的</w:t>
      </w:r>
      <w:r w:rsidRPr="000737EF">
        <w:rPr>
          <w:rFonts w:ascii="SimSun" w:hAnsi="SimSun" w:cs="SimSun" w:hint="eastAsia"/>
          <w:sz w:val="21"/>
          <w:szCs w:val="21"/>
        </w:rPr>
        <w:t>零售模式是销售数字文</w:t>
      </w:r>
      <w:r w:rsidRPr="000737EF">
        <w:rPr>
          <w:rFonts w:ascii="SimSun" w:hAnsi="SimSun" w:hint="eastAsia"/>
          <w:sz w:val="21"/>
          <w:szCs w:val="21"/>
        </w:rPr>
        <w:t>件</w:t>
      </w:r>
      <w:r w:rsidR="00740B43" w:rsidRPr="000737EF">
        <w:rPr>
          <w:rFonts w:ascii="SimSun" w:hAnsi="SimSun" w:cs="SimSun" w:hint="eastAsia"/>
          <w:sz w:val="21"/>
          <w:szCs w:val="21"/>
        </w:rPr>
        <w:t>，消费者随后成为所有者</w:t>
      </w:r>
      <w:r w:rsidRPr="000737EF">
        <w:rPr>
          <w:rFonts w:ascii="SimSun" w:hAnsi="SimSun" w:hint="eastAsia"/>
          <w:sz w:val="21"/>
          <w:szCs w:val="21"/>
        </w:rPr>
        <w:t>。</w:t>
      </w:r>
      <w:r w:rsidR="00740B43" w:rsidRPr="000737EF">
        <w:rPr>
          <w:rFonts w:ascii="SimSun" w:hAnsi="SimSun" w:hint="eastAsia"/>
          <w:sz w:val="21"/>
          <w:szCs w:val="21"/>
        </w:rPr>
        <w:t>就</w:t>
      </w:r>
      <w:r w:rsidRPr="000737EF">
        <w:rPr>
          <w:rFonts w:ascii="SimSun" w:hAnsi="SimSun" w:hint="eastAsia"/>
          <w:sz w:val="21"/>
          <w:szCs w:val="21"/>
        </w:rPr>
        <w:t>订阅服务</w:t>
      </w:r>
      <w:r w:rsidR="00740B43" w:rsidRPr="000737EF">
        <w:rPr>
          <w:rFonts w:ascii="SimSun" w:hAnsi="SimSun" w:hint="eastAsia"/>
          <w:sz w:val="21"/>
          <w:szCs w:val="21"/>
        </w:rPr>
        <w:t>而言</w:t>
      </w:r>
      <w:r w:rsidRPr="000737EF">
        <w:rPr>
          <w:rFonts w:ascii="SimSun" w:hAnsi="SimSun" w:hint="eastAsia"/>
          <w:sz w:val="21"/>
          <w:szCs w:val="21"/>
        </w:rPr>
        <w:t>，消费者通常</w:t>
      </w:r>
      <w:r w:rsidR="00740B43" w:rsidRPr="000737EF">
        <w:rPr>
          <w:rFonts w:ascii="SimSun" w:hAnsi="SimSun" w:hint="eastAsia"/>
          <w:sz w:val="21"/>
          <w:szCs w:val="21"/>
        </w:rPr>
        <w:t>为访问</w:t>
      </w:r>
      <w:r w:rsidRPr="000737EF">
        <w:rPr>
          <w:rFonts w:ascii="SimSun" w:hAnsi="SimSun" w:hint="eastAsia"/>
          <w:sz w:val="21"/>
          <w:szCs w:val="21"/>
        </w:rPr>
        <w:t>支付</w:t>
      </w:r>
      <w:r w:rsidR="00740B43" w:rsidRPr="000737EF">
        <w:rPr>
          <w:rFonts w:ascii="SimSun" w:hAnsi="SimSun" w:hint="eastAsia"/>
          <w:sz w:val="21"/>
          <w:szCs w:val="21"/>
        </w:rPr>
        <w:t>费用</w:t>
      </w:r>
      <w:r w:rsidRPr="000737EF">
        <w:rPr>
          <w:rFonts w:ascii="SimSun" w:hAnsi="SimSun" w:hint="eastAsia"/>
          <w:sz w:val="21"/>
          <w:szCs w:val="21"/>
        </w:rPr>
        <w:t>，但</w:t>
      </w:r>
      <w:r w:rsidR="00740B43" w:rsidRPr="000737EF">
        <w:rPr>
          <w:rFonts w:ascii="SimSun" w:hAnsi="SimSun" w:hint="eastAsia"/>
          <w:sz w:val="21"/>
          <w:szCs w:val="21"/>
        </w:rPr>
        <w:t>并不拥有</w:t>
      </w:r>
      <w:r w:rsidRPr="000737EF">
        <w:rPr>
          <w:rFonts w:ascii="SimSun" w:hAnsi="SimSun" w:hint="eastAsia"/>
          <w:sz w:val="21"/>
          <w:szCs w:val="21"/>
        </w:rPr>
        <w:t>内容。</w:t>
      </w:r>
      <w:r w:rsidR="00740B43" w:rsidRPr="000737EF">
        <w:rPr>
          <w:rFonts w:ascii="SimSun" w:hAnsi="SimSun" w:hint="eastAsia"/>
          <w:sz w:val="21"/>
          <w:szCs w:val="21"/>
        </w:rPr>
        <w:t>一种</w:t>
      </w:r>
      <w:r w:rsidRPr="000737EF">
        <w:rPr>
          <w:rFonts w:ascii="SimSun" w:hAnsi="SimSun" w:hint="eastAsia"/>
          <w:sz w:val="21"/>
          <w:szCs w:val="21"/>
        </w:rPr>
        <w:t>流行的在线流媒体订阅服务</w:t>
      </w:r>
      <w:r w:rsidR="00740B43" w:rsidRPr="000737EF">
        <w:rPr>
          <w:rFonts w:ascii="SimSun" w:hAnsi="SimSun" w:hint="eastAsia"/>
          <w:sz w:val="21"/>
          <w:szCs w:val="21"/>
        </w:rPr>
        <w:t>是</w:t>
      </w:r>
      <w:r w:rsidRPr="000737EF">
        <w:rPr>
          <w:rFonts w:ascii="SimSun" w:hAnsi="SimSun" w:hint="eastAsia"/>
          <w:sz w:val="21"/>
          <w:szCs w:val="21"/>
        </w:rPr>
        <w:t>Spotify，</w:t>
      </w:r>
      <w:r w:rsidR="00740B43" w:rsidRPr="000737EF">
        <w:rPr>
          <w:rFonts w:ascii="SimSun" w:hAnsi="SimSun" w:hint="eastAsia"/>
          <w:sz w:val="21"/>
          <w:szCs w:val="21"/>
        </w:rPr>
        <w:t>主要</w:t>
      </w:r>
      <w:r w:rsidRPr="000737EF">
        <w:rPr>
          <w:rFonts w:ascii="SimSun" w:hAnsi="SimSun" w:hint="eastAsia"/>
          <w:sz w:val="21"/>
          <w:szCs w:val="21"/>
        </w:rPr>
        <w:t>在西欧和美洲</w:t>
      </w:r>
      <w:r w:rsidR="00740B43" w:rsidRPr="000737EF">
        <w:rPr>
          <w:rFonts w:ascii="SimSun" w:hAnsi="SimSun" w:hint="eastAsia"/>
          <w:sz w:val="21"/>
          <w:szCs w:val="21"/>
        </w:rPr>
        <w:t>使用</w:t>
      </w:r>
      <w:r w:rsidRPr="000737EF">
        <w:rPr>
          <w:rFonts w:ascii="SimSun" w:hAnsi="SimSun" w:hint="eastAsia"/>
          <w:sz w:val="21"/>
          <w:szCs w:val="21"/>
        </w:rPr>
        <w:t>。艺术家和数</w:t>
      </w:r>
      <w:r w:rsidR="00683910" w:rsidRPr="000737EF">
        <w:rPr>
          <w:rFonts w:ascii="SimSun" w:hAnsi="SimSun" w:hint="eastAsia"/>
          <w:sz w:val="21"/>
          <w:szCs w:val="21"/>
        </w:rPr>
        <w:t>字销售方时有</w:t>
      </w:r>
      <w:r w:rsidRPr="000737EF">
        <w:rPr>
          <w:rFonts w:ascii="SimSun" w:hAnsi="SimSun" w:hint="eastAsia"/>
          <w:sz w:val="21"/>
          <w:szCs w:val="21"/>
        </w:rPr>
        <w:t>纠纷，因为艺术家认为</w:t>
      </w:r>
      <w:r w:rsidR="00683910" w:rsidRPr="000737EF">
        <w:rPr>
          <w:rFonts w:ascii="SimSun" w:hAnsi="SimSun" w:hint="eastAsia"/>
          <w:sz w:val="21"/>
          <w:szCs w:val="21"/>
        </w:rPr>
        <w:t>所得报酬</w:t>
      </w:r>
      <w:r w:rsidRPr="000737EF">
        <w:rPr>
          <w:rFonts w:ascii="SimSun" w:hAnsi="SimSun" w:hint="eastAsia"/>
          <w:sz w:val="21"/>
          <w:szCs w:val="21"/>
        </w:rPr>
        <w:t>与</w:t>
      </w:r>
      <w:r w:rsidR="00683910" w:rsidRPr="000737EF">
        <w:rPr>
          <w:rFonts w:ascii="SimSun" w:hAnsi="SimSun" w:hint="eastAsia"/>
          <w:sz w:val="21"/>
          <w:szCs w:val="21"/>
        </w:rPr>
        <w:t>自己</w:t>
      </w:r>
      <w:r w:rsidRPr="000737EF">
        <w:rPr>
          <w:rFonts w:ascii="SimSun" w:hAnsi="SimSun" w:hint="eastAsia"/>
          <w:sz w:val="21"/>
          <w:szCs w:val="21"/>
        </w:rPr>
        <w:t>音乐的价值</w:t>
      </w:r>
      <w:r w:rsidR="00683910" w:rsidRPr="000737EF">
        <w:rPr>
          <w:rFonts w:ascii="SimSun" w:hAnsi="SimSun" w:hint="eastAsia"/>
          <w:sz w:val="21"/>
          <w:szCs w:val="21"/>
        </w:rPr>
        <w:t>不</w:t>
      </w:r>
      <w:r w:rsidRPr="000737EF">
        <w:rPr>
          <w:rFonts w:ascii="SimSun" w:hAnsi="SimSun" w:hint="eastAsia"/>
          <w:sz w:val="21"/>
          <w:szCs w:val="21"/>
        </w:rPr>
        <w:t>相称。</w:t>
      </w:r>
    </w:p>
    <w:p w:rsidR="0034771B" w:rsidRPr="000737EF" w:rsidRDefault="00FD095C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Style w:val="shorttext"/>
          <w:rFonts w:ascii="SimSun" w:hAnsi="SimSun" w:hint="eastAsia"/>
          <w:sz w:val="21"/>
          <w:szCs w:val="21"/>
        </w:rPr>
        <w:t>随着利润转移</w:t>
      </w:r>
      <w:r w:rsidR="005B4698" w:rsidRPr="000737EF">
        <w:rPr>
          <w:rStyle w:val="shorttext"/>
          <w:rFonts w:ascii="SimSun" w:hAnsi="SimSun" w:hint="eastAsia"/>
          <w:sz w:val="21"/>
          <w:szCs w:val="21"/>
        </w:rPr>
        <w:t>，现场表演成为</w:t>
      </w:r>
      <w:r w:rsidR="005B4698" w:rsidRPr="000737EF">
        <w:rPr>
          <w:rFonts w:cs="Times New Roman" w:hint="eastAsia"/>
        </w:rPr>
        <w:t>收入</w:t>
      </w:r>
      <w:r w:rsidR="005B4698" w:rsidRPr="000737EF">
        <w:rPr>
          <w:rStyle w:val="shorttext"/>
          <w:rFonts w:ascii="SimSun" w:hAnsi="SimSun" w:hint="eastAsia"/>
          <w:sz w:val="21"/>
          <w:szCs w:val="21"/>
        </w:rPr>
        <w:t>的重要来源。唱片公司发行专辑</w:t>
      </w:r>
      <w:r w:rsidRPr="000737EF">
        <w:rPr>
          <w:rStyle w:val="shorttext"/>
          <w:rFonts w:ascii="SimSun" w:hAnsi="SimSun" w:hint="eastAsia"/>
          <w:sz w:val="21"/>
          <w:szCs w:val="21"/>
        </w:rPr>
        <w:t>唱片</w:t>
      </w:r>
      <w:r w:rsidR="00294C92" w:rsidRPr="000737EF">
        <w:rPr>
          <w:rStyle w:val="shorttext"/>
          <w:rFonts w:ascii="SimSun" w:hAnsi="SimSun" w:hint="eastAsia"/>
          <w:sz w:val="21"/>
          <w:szCs w:val="21"/>
        </w:rPr>
        <w:t>并营销发</w:t>
      </w:r>
      <w:r w:rsidR="005B4698" w:rsidRPr="000737EF">
        <w:rPr>
          <w:rStyle w:val="shorttext"/>
          <w:rFonts w:ascii="SimSun" w:hAnsi="SimSun" w:hint="eastAsia"/>
          <w:sz w:val="21"/>
          <w:szCs w:val="21"/>
        </w:rPr>
        <w:t>售，以弥补</w:t>
      </w:r>
      <w:r w:rsidR="00B9572D" w:rsidRPr="000737EF">
        <w:rPr>
          <w:rStyle w:val="shorttext"/>
          <w:rFonts w:ascii="SimSun" w:hAnsi="SimSun" w:hint="eastAsia"/>
          <w:sz w:val="21"/>
          <w:szCs w:val="21"/>
        </w:rPr>
        <w:t>不断下降的</w:t>
      </w:r>
      <w:r w:rsidR="005B4698" w:rsidRPr="000737EF">
        <w:rPr>
          <w:rStyle w:val="shorttext"/>
          <w:rFonts w:ascii="SimSun" w:hAnsi="SimSun" w:hint="eastAsia"/>
          <w:sz w:val="21"/>
          <w:szCs w:val="21"/>
        </w:rPr>
        <w:t>收入。</w:t>
      </w:r>
    </w:p>
    <w:p w:rsidR="0034771B" w:rsidRPr="000737EF" w:rsidRDefault="00AD4A7C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数字时代在不断改变艺术家的职业道路。许多艺术家通过在线发行自己的音乐构建了独立的粉丝圈。然而，这种职业道路的终极目标</w:t>
      </w:r>
      <w:r w:rsidRPr="000737EF">
        <w:rPr>
          <w:rFonts w:ascii="SimSun" w:hAnsi="SimSun" w:cs="Times New Roman" w:hint="eastAsia"/>
          <w:sz w:val="21"/>
          <w:szCs w:val="21"/>
        </w:rPr>
        <w:t>仍是</w:t>
      </w:r>
      <w:r w:rsidRPr="000737EF">
        <w:rPr>
          <w:rFonts w:ascii="SimSun" w:hAnsi="SimSun" w:hint="eastAsia"/>
          <w:sz w:val="21"/>
          <w:szCs w:val="21"/>
        </w:rPr>
        <w:t>和唱片</w:t>
      </w:r>
      <w:r w:rsidR="004676CD" w:rsidRPr="000737EF">
        <w:rPr>
          <w:rFonts w:ascii="SimSun" w:hAnsi="SimSun" w:hint="eastAsia"/>
          <w:sz w:val="21"/>
          <w:szCs w:val="21"/>
        </w:rPr>
        <w:t>公司</w:t>
      </w:r>
      <w:r w:rsidRPr="000737EF">
        <w:rPr>
          <w:rFonts w:ascii="SimSun" w:hAnsi="SimSun" w:hint="eastAsia"/>
          <w:sz w:val="21"/>
          <w:szCs w:val="21"/>
        </w:rPr>
        <w:t>签约。</w:t>
      </w:r>
    </w:p>
    <w:p w:rsidR="0034771B" w:rsidRPr="000737EF" w:rsidRDefault="00AD4A7C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lastRenderedPageBreak/>
        <w:t>新兴模式</w:t>
      </w:r>
    </w:p>
    <w:p w:rsidR="0034771B" w:rsidRPr="000737EF" w:rsidRDefault="00AD4A7C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2015年，卢旺达的一个文化类网站——www.InyaRwanda.com——推出针对独立艺术家的</w:t>
      </w:r>
      <w:proofErr w:type="spellStart"/>
      <w:r w:rsidRPr="000737EF">
        <w:rPr>
          <w:rFonts w:ascii="SimSun" w:hAnsi="SimSun" w:hint="eastAsia"/>
          <w:sz w:val="21"/>
          <w:szCs w:val="21"/>
        </w:rPr>
        <w:t>Afrifame</w:t>
      </w:r>
      <w:proofErr w:type="spellEnd"/>
      <w:r w:rsidRPr="000737EF">
        <w:rPr>
          <w:rFonts w:ascii="SimSun" w:hAnsi="SimSun" w:hint="eastAsia"/>
          <w:sz w:val="21"/>
          <w:szCs w:val="21"/>
        </w:rPr>
        <w:t>服务，帮助未签约艺术家在线发行内容并营利。</w:t>
      </w:r>
      <w:proofErr w:type="spellStart"/>
      <w:r w:rsidRPr="000737EF">
        <w:rPr>
          <w:rFonts w:ascii="SimSun" w:hAnsi="SimSun" w:hint="eastAsia"/>
          <w:sz w:val="21"/>
          <w:szCs w:val="21"/>
        </w:rPr>
        <w:t>Afrifame</w:t>
      </w:r>
      <w:proofErr w:type="spellEnd"/>
      <w:r w:rsidR="00361423" w:rsidRPr="000737EF">
        <w:rPr>
          <w:rFonts w:ascii="SimSun" w:hAnsi="SimSun" w:hint="eastAsia"/>
          <w:sz w:val="21"/>
          <w:szCs w:val="21"/>
        </w:rPr>
        <w:t>与艺术家订立</w:t>
      </w:r>
      <w:r w:rsidRPr="000737EF">
        <w:rPr>
          <w:rFonts w:ascii="SimSun" w:hAnsi="SimSun" w:hint="eastAsia"/>
          <w:sz w:val="21"/>
          <w:szCs w:val="21"/>
        </w:rPr>
        <w:t>合同，</w:t>
      </w:r>
      <w:r w:rsidR="00361423" w:rsidRPr="000737EF">
        <w:rPr>
          <w:rFonts w:ascii="SimSun" w:hAnsi="SimSun" w:hint="eastAsia"/>
          <w:sz w:val="21"/>
          <w:szCs w:val="21"/>
        </w:rPr>
        <w:t>向</w:t>
      </w:r>
      <w:r w:rsidRPr="000737EF">
        <w:rPr>
          <w:rFonts w:ascii="SimSun" w:hAnsi="SimSun" w:hint="eastAsia"/>
          <w:sz w:val="21"/>
          <w:szCs w:val="21"/>
        </w:rPr>
        <w:t>iTunes</w:t>
      </w:r>
      <w:r w:rsidR="00361423" w:rsidRPr="000737EF">
        <w:rPr>
          <w:rFonts w:ascii="SimSun" w:hAnsi="SimSun" w:hint="eastAsia"/>
          <w:sz w:val="21"/>
          <w:szCs w:val="21"/>
        </w:rPr>
        <w:t>、</w:t>
      </w:r>
      <w:r w:rsidRPr="000737EF">
        <w:rPr>
          <w:rFonts w:ascii="SimSun" w:hAnsi="SimSun" w:hint="eastAsia"/>
          <w:sz w:val="21"/>
          <w:szCs w:val="21"/>
        </w:rPr>
        <w:t>Spotify和</w:t>
      </w:r>
      <w:proofErr w:type="spellStart"/>
      <w:r w:rsidRPr="000737EF">
        <w:rPr>
          <w:rFonts w:ascii="SimSun" w:hAnsi="SimSun" w:hint="eastAsia"/>
          <w:sz w:val="21"/>
          <w:szCs w:val="21"/>
        </w:rPr>
        <w:t>Shazam</w:t>
      </w:r>
      <w:proofErr w:type="spellEnd"/>
      <w:r w:rsidR="00361423" w:rsidRPr="000737EF">
        <w:rPr>
          <w:rFonts w:ascii="SimSun" w:hAnsi="SimSun" w:hint="eastAsia"/>
          <w:sz w:val="21"/>
          <w:szCs w:val="21"/>
        </w:rPr>
        <w:t>这样的其他在线平台发行</w:t>
      </w:r>
      <w:r w:rsidRPr="000737EF">
        <w:rPr>
          <w:rFonts w:ascii="SimSun" w:hAnsi="SimSun" w:hint="eastAsia"/>
          <w:sz w:val="21"/>
          <w:szCs w:val="21"/>
        </w:rPr>
        <w:t>。这</w:t>
      </w:r>
      <w:r w:rsidR="00361423" w:rsidRPr="000737EF">
        <w:rPr>
          <w:rFonts w:ascii="SimSun" w:hAnsi="SimSun" w:hint="eastAsia"/>
          <w:sz w:val="21"/>
          <w:szCs w:val="21"/>
        </w:rPr>
        <w:t>类</w:t>
      </w:r>
      <w:r w:rsidRPr="000737EF">
        <w:rPr>
          <w:rFonts w:ascii="SimSun" w:hAnsi="SimSun" w:hint="eastAsia"/>
          <w:sz w:val="21"/>
          <w:szCs w:val="21"/>
        </w:rPr>
        <w:t>举措</w:t>
      </w:r>
      <w:r w:rsidR="00361423" w:rsidRPr="000737EF">
        <w:rPr>
          <w:rFonts w:ascii="SimSun" w:hAnsi="SimSun" w:hint="eastAsia"/>
          <w:sz w:val="21"/>
          <w:szCs w:val="21"/>
        </w:rPr>
        <w:t>使</w:t>
      </w:r>
      <w:r w:rsidRPr="000737EF">
        <w:rPr>
          <w:rFonts w:ascii="SimSun" w:hAnsi="SimSun" w:hint="eastAsia"/>
          <w:sz w:val="21"/>
          <w:szCs w:val="21"/>
        </w:rPr>
        <w:t>独立艺术家</w:t>
      </w:r>
      <w:r w:rsidR="005A73CE" w:rsidRPr="000737EF">
        <w:rPr>
          <w:rFonts w:ascii="SimSun" w:hAnsi="SimSun" w:hint="eastAsia"/>
          <w:sz w:val="21"/>
          <w:szCs w:val="21"/>
        </w:rPr>
        <w:t>能够</w:t>
      </w:r>
      <w:r w:rsidR="00361423" w:rsidRPr="000737EF">
        <w:rPr>
          <w:rFonts w:ascii="SimSun" w:hAnsi="SimSun" w:hint="eastAsia"/>
          <w:sz w:val="21"/>
          <w:szCs w:val="21"/>
        </w:rPr>
        <w:t>进行</w:t>
      </w:r>
      <w:r w:rsidRPr="000737EF">
        <w:rPr>
          <w:rFonts w:ascii="SimSun" w:hAnsi="SimSun" w:hint="eastAsia"/>
          <w:sz w:val="21"/>
          <w:szCs w:val="21"/>
        </w:rPr>
        <w:t>全球</w:t>
      </w:r>
      <w:r w:rsidR="00361423" w:rsidRPr="000737EF">
        <w:rPr>
          <w:rFonts w:ascii="SimSun" w:hAnsi="SimSun" w:hint="eastAsia"/>
          <w:sz w:val="21"/>
          <w:szCs w:val="21"/>
        </w:rPr>
        <w:t>发</w:t>
      </w:r>
      <w:r w:rsidRPr="000737EF">
        <w:rPr>
          <w:rFonts w:ascii="SimSun" w:hAnsi="SimSun" w:hint="eastAsia"/>
          <w:sz w:val="21"/>
          <w:szCs w:val="21"/>
        </w:rPr>
        <w:t>售</w:t>
      </w:r>
      <w:r w:rsidR="00361423" w:rsidRPr="000737EF">
        <w:rPr>
          <w:rFonts w:ascii="SimSun" w:hAnsi="SimSun" w:hint="eastAsia"/>
          <w:sz w:val="21"/>
          <w:szCs w:val="21"/>
        </w:rPr>
        <w:t>。</w:t>
      </w:r>
    </w:p>
    <w:p w:rsidR="0034771B" w:rsidRPr="000737EF" w:rsidRDefault="00E703D9" w:rsidP="00B74801">
      <w:pPr>
        <w:pStyle w:val="1"/>
        <w:numPr>
          <w:ilvl w:val="0"/>
          <w:numId w:val="10"/>
        </w:numPr>
        <w:spacing w:beforeLines="10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 w:rsidRPr="000737EF">
        <w:rPr>
          <w:rFonts w:ascii="SimHei" w:eastAsia="SimHei" w:hAnsi="SimHei" w:hint="eastAsia"/>
          <w:b w:val="0"/>
          <w:sz w:val="21"/>
          <w:szCs w:val="21"/>
        </w:rPr>
        <w:t>电</w:t>
      </w:r>
      <w:r w:rsidR="006169DE" w:rsidRPr="000737EF">
        <w:rPr>
          <w:rFonts w:ascii="SimHei" w:eastAsia="SimHei" w:hAnsi="SimHei"/>
          <w:b w:val="0"/>
          <w:sz w:val="21"/>
          <w:szCs w:val="21"/>
        </w:rPr>
        <w:t xml:space="preserve">  </w:t>
      </w:r>
      <w:r w:rsidRPr="000737EF">
        <w:rPr>
          <w:rFonts w:ascii="SimHei" w:eastAsia="SimHei" w:hAnsi="SimHei" w:hint="eastAsia"/>
          <w:b w:val="0"/>
          <w:sz w:val="21"/>
          <w:szCs w:val="21"/>
        </w:rPr>
        <w:t>影</w:t>
      </w:r>
    </w:p>
    <w:p w:rsidR="0034771B" w:rsidRPr="000737EF" w:rsidRDefault="00E703D9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proofErr w:type="gramStart"/>
      <w:r w:rsidRPr="000737EF">
        <w:rPr>
          <w:rFonts w:ascii="KaiTi" w:eastAsia="KaiTi" w:hAnsi="KaiTi" w:hint="eastAsia"/>
          <w:sz w:val="21"/>
          <w:szCs w:val="21"/>
        </w:rPr>
        <w:t>综</w:t>
      </w:r>
      <w:proofErr w:type="gramEnd"/>
      <w:r w:rsidR="006169DE" w:rsidRPr="000737EF">
        <w:rPr>
          <w:rFonts w:ascii="SimHei" w:eastAsia="SimHei" w:hAnsi="SimHei"/>
          <w:sz w:val="21"/>
          <w:szCs w:val="21"/>
        </w:rPr>
        <w:t xml:space="preserve">  </w:t>
      </w:r>
      <w:r w:rsidRPr="000737EF">
        <w:rPr>
          <w:rFonts w:ascii="KaiTi" w:eastAsia="KaiTi" w:hAnsi="KaiTi" w:hint="eastAsia"/>
          <w:sz w:val="21"/>
          <w:szCs w:val="21"/>
        </w:rPr>
        <w:t>述</w:t>
      </w:r>
    </w:p>
    <w:p w:rsidR="0034771B" w:rsidRPr="000737EF" w:rsidRDefault="00E703D9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cs="Times New Roman" w:hint="eastAsia"/>
          <w:sz w:val="21"/>
          <w:szCs w:val="21"/>
        </w:rPr>
        <w:t>全球电影产业处于不断变化之中，因为有</w:t>
      </w:r>
      <w:r w:rsidRPr="000737EF">
        <w:rPr>
          <w:rFonts w:ascii="SimSun" w:hAnsi="SimSun" w:hint="eastAsia"/>
          <w:sz w:val="21"/>
          <w:szCs w:val="21"/>
        </w:rPr>
        <w:t>些市场在继续提高影院销售额，有些市场的数字内容则在迅速增长。</w:t>
      </w:r>
      <w:r w:rsidRPr="000737EF">
        <w:rPr>
          <w:rFonts w:ascii="SimSun" w:hAnsi="SimSun" w:cs="Times New Roman" w:hint="eastAsia"/>
          <w:sz w:val="21"/>
          <w:szCs w:val="21"/>
        </w:rPr>
        <w:t>随之而来的是价值链的转移，</w:t>
      </w:r>
      <w:r w:rsidR="00365A50" w:rsidRPr="000737EF">
        <w:rPr>
          <w:rFonts w:ascii="SimSun" w:hAnsi="SimSun" w:cs="Times New Roman" w:hint="eastAsia"/>
          <w:sz w:val="21"/>
          <w:szCs w:val="21"/>
        </w:rPr>
        <w:t>这是</w:t>
      </w:r>
      <w:r w:rsidRPr="000737EF">
        <w:rPr>
          <w:rFonts w:ascii="SimSun" w:hAnsi="SimSun" w:cs="Times New Roman" w:hint="eastAsia"/>
          <w:sz w:val="21"/>
          <w:szCs w:val="21"/>
        </w:rPr>
        <w:t>因为数字化降低了成本，干扰了传统的经营策略，并使小型经营者获得新机会。</w:t>
      </w:r>
    </w:p>
    <w:p w:rsidR="0034771B" w:rsidRPr="000737EF" w:rsidRDefault="00366134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市场规模和增长</w:t>
      </w:r>
    </w:p>
    <w:p w:rsidR="007E3D8C" w:rsidRPr="000737EF" w:rsidRDefault="007A7922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2014年电影的</w:t>
      </w:r>
      <w:r w:rsidR="004A6459" w:rsidRPr="000737EF">
        <w:rPr>
          <w:rFonts w:ascii="SimSun" w:hAnsi="SimSun" w:hint="eastAsia"/>
          <w:sz w:val="21"/>
          <w:szCs w:val="21"/>
        </w:rPr>
        <w:t>全球票房收入为364亿</w:t>
      </w:r>
      <w:r w:rsidR="000737EF" w:rsidRPr="000737EF">
        <w:rPr>
          <w:rFonts w:ascii="SimSun" w:hAnsi="SimSun" w:hint="eastAsia"/>
          <w:sz w:val="21"/>
          <w:szCs w:val="21"/>
        </w:rPr>
        <w:t>美元</w:t>
      </w:r>
      <w:r w:rsidRPr="000737EF">
        <w:rPr>
          <w:rStyle w:val="af"/>
          <w:rFonts w:ascii="SimSun" w:hAnsi="SimSun"/>
          <w:sz w:val="21"/>
          <w:szCs w:val="21"/>
        </w:rPr>
        <w:footnoteReference w:id="4"/>
      </w:r>
      <w:r w:rsidRPr="000737EF">
        <w:rPr>
          <w:rFonts w:ascii="SimSun" w:hAnsi="SimSun" w:hint="eastAsia"/>
          <w:sz w:val="21"/>
          <w:szCs w:val="21"/>
        </w:rPr>
        <w:t>。拍名</w:t>
      </w:r>
      <w:r w:rsidR="004A6459" w:rsidRPr="000737EF">
        <w:rPr>
          <w:rFonts w:ascii="SimSun" w:hAnsi="SimSun" w:hint="eastAsia"/>
          <w:sz w:val="21"/>
          <w:szCs w:val="21"/>
        </w:rPr>
        <w:t>前五位的</w:t>
      </w:r>
      <w:r w:rsidRPr="000737EF">
        <w:rPr>
          <w:rFonts w:ascii="SimSun" w:hAnsi="SimSun" w:hint="eastAsia"/>
          <w:sz w:val="21"/>
          <w:szCs w:val="21"/>
        </w:rPr>
        <w:t>电影</w:t>
      </w:r>
      <w:r w:rsidR="004A6459" w:rsidRPr="000737EF">
        <w:rPr>
          <w:rFonts w:ascii="SimSun" w:hAnsi="SimSun" w:hint="eastAsia"/>
          <w:sz w:val="21"/>
          <w:szCs w:val="21"/>
        </w:rPr>
        <w:t>生产国是印度</w:t>
      </w:r>
      <w:r w:rsidRPr="000737EF">
        <w:rPr>
          <w:rFonts w:ascii="SimSun" w:hAnsi="SimSun" w:hint="eastAsia"/>
          <w:sz w:val="21"/>
          <w:szCs w:val="21"/>
        </w:rPr>
        <w:t>、美利坚合众国、中国、</w:t>
      </w:r>
      <w:r w:rsidR="004A6459" w:rsidRPr="000737EF">
        <w:rPr>
          <w:rFonts w:ascii="SimSun" w:hAnsi="SimSun" w:hint="eastAsia"/>
          <w:sz w:val="21"/>
          <w:szCs w:val="21"/>
        </w:rPr>
        <w:t>日本和</w:t>
      </w:r>
      <w:r w:rsidRPr="000737EF">
        <w:rPr>
          <w:rFonts w:ascii="SimSun" w:hAnsi="SimSun" w:hint="eastAsia"/>
          <w:sz w:val="21"/>
          <w:szCs w:val="21"/>
        </w:rPr>
        <w:t>联合王国</w:t>
      </w:r>
      <w:r w:rsidRPr="000737EF">
        <w:rPr>
          <w:rStyle w:val="af"/>
          <w:rFonts w:ascii="SimSun" w:hAnsi="SimSun"/>
          <w:sz w:val="21"/>
          <w:szCs w:val="21"/>
        </w:rPr>
        <w:footnoteReference w:id="5"/>
      </w:r>
      <w:r w:rsidR="004A6459" w:rsidRPr="000737EF">
        <w:rPr>
          <w:rFonts w:ascii="SimSun" w:hAnsi="SimSun" w:hint="eastAsia"/>
          <w:sz w:val="21"/>
          <w:szCs w:val="21"/>
        </w:rPr>
        <w:t>，尼日利亚</w:t>
      </w:r>
      <w:r w:rsidRPr="000737EF">
        <w:rPr>
          <w:rFonts w:ascii="SimSun" w:hAnsi="SimSun" w:hint="eastAsia"/>
          <w:sz w:val="21"/>
          <w:szCs w:val="21"/>
        </w:rPr>
        <w:t>在非正规制作方面</w:t>
      </w:r>
      <w:r w:rsidR="004A6459" w:rsidRPr="000737EF">
        <w:rPr>
          <w:rFonts w:ascii="SimSun" w:hAnsi="SimSun" w:hint="eastAsia"/>
          <w:sz w:val="21"/>
          <w:szCs w:val="21"/>
        </w:rPr>
        <w:t>排名</w:t>
      </w:r>
      <w:r w:rsidR="00353ABB" w:rsidRPr="000737EF">
        <w:rPr>
          <w:rFonts w:ascii="SimSun" w:hAnsi="SimSun" w:hint="eastAsia"/>
          <w:sz w:val="21"/>
          <w:szCs w:val="21"/>
        </w:rPr>
        <w:t>前列</w:t>
      </w:r>
      <w:r w:rsidR="004A6459" w:rsidRPr="000737EF">
        <w:rPr>
          <w:rFonts w:ascii="SimSun" w:hAnsi="SimSun" w:hint="eastAsia"/>
          <w:sz w:val="21"/>
          <w:szCs w:val="21"/>
        </w:rPr>
        <w:t>。</w:t>
      </w:r>
    </w:p>
    <w:p w:rsidR="007E3D8C" w:rsidRPr="000737EF" w:rsidRDefault="007F2C11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过去十年的</w:t>
      </w:r>
      <w:r w:rsidR="004A6459" w:rsidRPr="000737EF">
        <w:rPr>
          <w:rFonts w:ascii="SimSun" w:hAnsi="SimSun" w:hint="eastAsia"/>
          <w:sz w:val="21"/>
          <w:szCs w:val="21"/>
        </w:rPr>
        <w:t>票房收入</w:t>
      </w:r>
      <w:r w:rsidRPr="000737EF">
        <w:rPr>
          <w:rFonts w:ascii="SimSun" w:hAnsi="SimSun" w:hint="eastAsia"/>
          <w:sz w:val="21"/>
          <w:szCs w:val="21"/>
        </w:rPr>
        <w:t>增长</w:t>
      </w:r>
      <w:r w:rsidR="004A6459" w:rsidRPr="000737EF">
        <w:rPr>
          <w:rFonts w:ascii="SimSun" w:hAnsi="SimSun" w:hint="eastAsia"/>
          <w:sz w:val="21"/>
          <w:szCs w:val="21"/>
        </w:rPr>
        <w:t>缓慢。</w:t>
      </w:r>
      <w:r w:rsidR="004A6459" w:rsidRPr="000737EF">
        <w:rPr>
          <w:rStyle w:val="hps"/>
          <w:rFonts w:ascii="SimSun" w:hAnsi="SimSun" w:hint="eastAsia"/>
          <w:sz w:val="21"/>
          <w:szCs w:val="21"/>
        </w:rPr>
        <w:t>2014年</w:t>
      </w:r>
      <w:r w:rsidR="004A6459" w:rsidRPr="000737EF">
        <w:rPr>
          <w:rFonts w:ascii="SimSun" w:hAnsi="SimSun" w:hint="eastAsia"/>
          <w:sz w:val="21"/>
          <w:szCs w:val="21"/>
        </w:rPr>
        <w:t>的增长</w:t>
      </w:r>
      <w:r w:rsidRPr="000737EF">
        <w:rPr>
          <w:rFonts w:ascii="SimSun" w:hAnsi="SimSun" w:hint="eastAsia"/>
          <w:sz w:val="21"/>
          <w:szCs w:val="21"/>
        </w:rPr>
        <w:t>仅为1%</w:t>
      </w:r>
      <w:r w:rsidRPr="000737EF">
        <w:rPr>
          <w:rStyle w:val="af"/>
          <w:rFonts w:ascii="SimSun" w:hAnsi="SimSun"/>
          <w:sz w:val="21"/>
          <w:szCs w:val="21"/>
        </w:rPr>
        <w:footnoteReference w:id="6"/>
      </w:r>
      <w:r w:rsidR="004A6459" w:rsidRPr="000737EF">
        <w:rPr>
          <w:rFonts w:ascii="SimSun" w:hAnsi="SimSun" w:hint="eastAsia"/>
          <w:sz w:val="21"/>
          <w:szCs w:val="21"/>
        </w:rPr>
        <w:t>，</w:t>
      </w:r>
      <w:r w:rsidRPr="000737EF">
        <w:rPr>
          <w:rFonts w:ascii="SimSun" w:hAnsi="SimSun" w:hint="eastAsia"/>
          <w:sz w:val="21"/>
          <w:szCs w:val="21"/>
        </w:rPr>
        <w:t>此前的增长</w:t>
      </w:r>
      <w:r w:rsidR="00365A50" w:rsidRPr="000737EF">
        <w:rPr>
          <w:rFonts w:ascii="SimSun" w:hAnsi="SimSun" w:hint="eastAsia"/>
          <w:sz w:val="21"/>
          <w:szCs w:val="21"/>
        </w:rPr>
        <w:t>率则参差不齐</w:t>
      </w:r>
      <w:r w:rsidRPr="000737EF">
        <w:rPr>
          <w:rStyle w:val="af"/>
          <w:rFonts w:ascii="SimSun" w:hAnsi="SimSun"/>
          <w:sz w:val="21"/>
          <w:szCs w:val="21"/>
        </w:rPr>
        <w:footnoteReference w:id="7"/>
      </w:r>
      <w:r w:rsidRPr="000737EF">
        <w:rPr>
          <w:rFonts w:ascii="SimSun" w:hAnsi="SimSun" w:hint="eastAsia"/>
          <w:sz w:val="21"/>
          <w:szCs w:val="21"/>
        </w:rPr>
        <w:t>。尽管</w:t>
      </w:r>
      <w:r w:rsidR="004A6459" w:rsidRPr="000737EF">
        <w:rPr>
          <w:rFonts w:ascii="SimSun" w:hAnsi="SimSun" w:hint="eastAsia"/>
          <w:sz w:val="21"/>
          <w:szCs w:val="21"/>
        </w:rPr>
        <w:t>北美和欧洲</w:t>
      </w:r>
      <w:r w:rsidRPr="000737EF">
        <w:rPr>
          <w:rFonts w:ascii="SimSun" w:hAnsi="SimSun" w:hint="eastAsia"/>
          <w:sz w:val="21"/>
          <w:szCs w:val="21"/>
        </w:rPr>
        <w:t>的票务销售或下降或持平，</w:t>
      </w:r>
      <w:r w:rsidR="004A6459" w:rsidRPr="000737EF">
        <w:rPr>
          <w:rFonts w:ascii="SimSun" w:hAnsi="SimSun" w:hint="eastAsia"/>
          <w:sz w:val="21"/>
          <w:szCs w:val="21"/>
        </w:rPr>
        <w:t>亚太地区，尤其是中国</w:t>
      </w:r>
      <w:r w:rsidRPr="000737EF">
        <w:rPr>
          <w:rFonts w:ascii="SimSun" w:hAnsi="SimSun" w:hint="eastAsia"/>
          <w:sz w:val="21"/>
          <w:szCs w:val="21"/>
        </w:rPr>
        <w:t>的票务销售却</w:t>
      </w:r>
      <w:r w:rsidR="004A6459" w:rsidRPr="000737EF">
        <w:rPr>
          <w:rFonts w:ascii="SimSun" w:hAnsi="SimSun" w:hint="eastAsia"/>
          <w:sz w:val="21"/>
          <w:szCs w:val="21"/>
        </w:rPr>
        <w:t>增长</w:t>
      </w:r>
      <w:r w:rsidRPr="000737EF">
        <w:rPr>
          <w:rFonts w:ascii="SimSun" w:hAnsi="SimSun" w:cs="Times New Roman" w:hint="eastAsia"/>
          <w:sz w:val="21"/>
          <w:szCs w:val="21"/>
        </w:rPr>
        <w:t>强劲</w:t>
      </w:r>
      <w:r w:rsidRPr="000737EF">
        <w:rPr>
          <w:rFonts w:ascii="SimSun" w:hAnsi="SimSun" w:hint="eastAsia"/>
          <w:sz w:val="21"/>
          <w:szCs w:val="21"/>
        </w:rPr>
        <w:t>；</w:t>
      </w:r>
      <w:r w:rsidR="004A6459" w:rsidRPr="000737EF">
        <w:rPr>
          <w:rFonts w:ascii="SimSun" w:hAnsi="SimSun" w:hint="eastAsia"/>
          <w:sz w:val="21"/>
          <w:szCs w:val="21"/>
        </w:rPr>
        <w:t>2014年</w:t>
      </w:r>
      <w:r w:rsidRPr="000737EF">
        <w:rPr>
          <w:rFonts w:ascii="SimSun" w:hAnsi="SimSun" w:hint="eastAsia"/>
          <w:sz w:val="21"/>
          <w:szCs w:val="21"/>
        </w:rPr>
        <w:t>中国市场</w:t>
      </w:r>
      <w:r w:rsidR="004A6459" w:rsidRPr="000737EF">
        <w:rPr>
          <w:rFonts w:ascii="SimSun" w:hAnsi="SimSun" w:hint="eastAsia"/>
          <w:sz w:val="21"/>
          <w:szCs w:val="21"/>
        </w:rPr>
        <w:t>增长34</w:t>
      </w:r>
      <w:r w:rsidRPr="000737EF">
        <w:rPr>
          <w:rFonts w:ascii="SimSun" w:hAnsi="SimSun" w:hint="eastAsia"/>
          <w:sz w:val="21"/>
          <w:szCs w:val="21"/>
        </w:rPr>
        <w:t>%</w:t>
      </w:r>
      <w:r w:rsidR="004A6459" w:rsidRPr="000737EF">
        <w:rPr>
          <w:rFonts w:ascii="SimSun" w:hAnsi="SimSun" w:hint="eastAsia"/>
          <w:sz w:val="21"/>
          <w:szCs w:val="21"/>
        </w:rPr>
        <w:t>，</w:t>
      </w:r>
      <w:r w:rsidRPr="000737EF">
        <w:rPr>
          <w:rFonts w:ascii="SimSun" w:hAnsi="SimSun" w:hint="eastAsia"/>
          <w:sz w:val="21"/>
          <w:szCs w:val="21"/>
        </w:rPr>
        <w:t>达到</w:t>
      </w:r>
      <w:r w:rsidR="004A6459" w:rsidRPr="000737EF">
        <w:rPr>
          <w:rFonts w:ascii="SimSun" w:hAnsi="SimSun" w:hint="eastAsia"/>
          <w:sz w:val="21"/>
          <w:szCs w:val="21"/>
        </w:rPr>
        <w:t>48亿</w:t>
      </w:r>
      <w:r w:rsidRPr="000737EF">
        <w:rPr>
          <w:rFonts w:ascii="SimSun" w:hAnsi="SimSun" w:hint="eastAsia"/>
          <w:sz w:val="21"/>
          <w:szCs w:val="21"/>
        </w:rPr>
        <w:t>美元</w:t>
      </w:r>
      <w:r w:rsidR="0055185E" w:rsidRPr="000737EF">
        <w:rPr>
          <w:rStyle w:val="af"/>
          <w:rFonts w:ascii="SimSun" w:hAnsi="SimSun"/>
          <w:sz w:val="21"/>
          <w:szCs w:val="21"/>
        </w:rPr>
        <w:footnoteReference w:id="8"/>
      </w:r>
      <w:r w:rsidR="004A6459" w:rsidRPr="000737EF">
        <w:rPr>
          <w:rFonts w:ascii="SimSun" w:hAnsi="SimSun" w:hint="eastAsia"/>
          <w:sz w:val="21"/>
          <w:szCs w:val="21"/>
        </w:rPr>
        <w:t>。</w:t>
      </w:r>
    </w:p>
    <w:p w:rsidR="0034771B" w:rsidRPr="000737EF" w:rsidRDefault="004A6459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来自在线资源</w:t>
      </w:r>
      <w:r w:rsidR="0055185E" w:rsidRPr="000737EF">
        <w:rPr>
          <w:rFonts w:ascii="SimSun" w:hAnsi="SimSun" w:hint="eastAsia"/>
          <w:sz w:val="21"/>
          <w:szCs w:val="21"/>
        </w:rPr>
        <w:t>的</w:t>
      </w:r>
      <w:r w:rsidRPr="000737EF">
        <w:rPr>
          <w:rFonts w:ascii="SimSun" w:hAnsi="SimSun" w:hint="eastAsia"/>
          <w:sz w:val="21"/>
          <w:szCs w:val="21"/>
        </w:rPr>
        <w:t>数字电影销售</w:t>
      </w:r>
      <w:r w:rsidR="0055185E" w:rsidRPr="000737EF">
        <w:rPr>
          <w:rFonts w:ascii="SimSun" w:hAnsi="SimSun" w:hint="eastAsia"/>
          <w:sz w:val="21"/>
          <w:szCs w:val="21"/>
        </w:rPr>
        <w:t>不断</w:t>
      </w:r>
      <w:r w:rsidRPr="000737EF">
        <w:rPr>
          <w:rFonts w:ascii="SimSun" w:hAnsi="SimSun" w:hint="eastAsia"/>
          <w:sz w:val="21"/>
          <w:szCs w:val="21"/>
        </w:rPr>
        <w:t>增加。在美利坚合众国，家庭娱乐业发展迅速，</w:t>
      </w:r>
      <w:r w:rsidR="0055185E" w:rsidRPr="000737EF">
        <w:rPr>
          <w:rFonts w:ascii="SimSun" w:hAnsi="SimSun" w:hint="eastAsia"/>
          <w:sz w:val="21"/>
          <w:szCs w:val="21"/>
        </w:rPr>
        <w:t>2014年</w:t>
      </w:r>
      <w:r w:rsidRPr="000737EF">
        <w:rPr>
          <w:rFonts w:ascii="SimSun" w:hAnsi="SimSun" w:hint="eastAsia"/>
          <w:sz w:val="21"/>
          <w:szCs w:val="21"/>
        </w:rPr>
        <w:t>新</w:t>
      </w:r>
      <w:r w:rsidR="0055185E" w:rsidRPr="000737EF">
        <w:rPr>
          <w:rFonts w:ascii="SimSun" w:hAnsi="SimSun" w:hint="eastAsia"/>
          <w:sz w:val="21"/>
          <w:szCs w:val="21"/>
        </w:rPr>
        <w:t>发行电影</w:t>
      </w:r>
      <w:r w:rsidRPr="000737EF">
        <w:rPr>
          <w:rFonts w:ascii="SimSun" w:hAnsi="SimSun" w:hint="eastAsia"/>
          <w:sz w:val="21"/>
          <w:szCs w:val="21"/>
        </w:rPr>
        <w:t>的电子销售</w:t>
      </w:r>
      <w:r w:rsidR="0055185E" w:rsidRPr="000737EF">
        <w:rPr>
          <w:rFonts w:ascii="SimSun" w:hAnsi="SimSun" w:hint="eastAsia"/>
          <w:sz w:val="21"/>
          <w:szCs w:val="21"/>
        </w:rPr>
        <w:t>增长</w:t>
      </w:r>
      <w:r w:rsidRPr="000737EF">
        <w:rPr>
          <w:rFonts w:ascii="SimSun" w:hAnsi="SimSun" w:hint="eastAsia"/>
          <w:sz w:val="21"/>
          <w:szCs w:val="21"/>
        </w:rPr>
        <w:t>60</w:t>
      </w:r>
      <w:r w:rsidR="0055185E" w:rsidRPr="000737EF">
        <w:rPr>
          <w:rFonts w:ascii="SimSun" w:hAnsi="SimSun" w:hint="eastAsia"/>
          <w:sz w:val="21"/>
          <w:szCs w:val="21"/>
        </w:rPr>
        <w:t>%</w:t>
      </w:r>
      <w:r w:rsidR="0055185E" w:rsidRPr="000737EF">
        <w:rPr>
          <w:rStyle w:val="af"/>
          <w:rFonts w:ascii="SimSun" w:hAnsi="SimSun"/>
          <w:sz w:val="21"/>
          <w:szCs w:val="21"/>
        </w:rPr>
        <w:footnoteReference w:id="9"/>
      </w:r>
      <w:r w:rsidR="0055185E" w:rsidRPr="000737EF">
        <w:rPr>
          <w:rFonts w:ascii="SimSun" w:hAnsi="SimSun" w:hint="eastAsia"/>
          <w:sz w:val="21"/>
          <w:szCs w:val="21"/>
        </w:rPr>
        <w:t>；与此对应，</w:t>
      </w:r>
      <w:r w:rsidRPr="000737EF">
        <w:rPr>
          <w:rFonts w:ascii="SimSun" w:hAnsi="SimSun" w:hint="eastAsia"/>
          <w:sz w:val="21"/>
          <w:szCs w:val="21"/>
        </w:rPr>
        <w:t>DVD</w:t>
      </w:r>
      <w:r w:rsidR="0055185E" w:rsidRPr="000737EF">
        <w:rPr>
          <w:rFonts w:ascii="SimSun" w:hAnsi="SimSun" w:hint="eastAsia"/>
          <w:sz w:val="21"/>
          <w:szCs w:val="21"/>
        </w:rPr>
        <w:t>和其它光盘的销售却有所</w:t>
      </w:r>
      <w:r w:rsidRPr="000737EF">
        <w:rPr>
          <w:rFonts w:ascii="SimSun" w:hAnsi="SimSun" w:hint="eastAsia"/>
          <w:sz w:val="21"/>
          <w:szCs w:val="21"/>
        </w:rPr>
        <w:t>下降。在</w:t>
      </w:r>
      <w:r w:rsidR="0055185E" w:rsidRPr="000737EF">
        <w:rPr>
          <w:rFonts w:ascii="SimSun" w:hAnsi="SimSun" w:hint="eastAsia"/>
          <w:sz w:val="21"/>
          <w:szCs w:val="21"/>
        </w:rPr>
        <w:t>联合王国</w:t>
      </w:r>
      <w:r w:rsidRPr="000737EF">
        <w:rPr>
          <w:rFonts w:ascii="SimSun" w:hAnsi="SimSun" w:hint="eastAsia"/>
          <w:sz w:val="21"/>
          <w:szCs w:val="21"/>
        </w:rPr>
        <w:t>，</w:t>
      </w:r>
      <w:r w:rsidR="0055185E" w:rsidRPr="000737EF">
        <w:rPr>
          <w:rFonts w:ascii="SimSun" w:hAnsi="SimSun" w:hint="eastAsia"/>
          <w:sz w:val="21"/>
          <w:szCs w:val="21"/>
        </w:rPr>
        <w:t>2013年</w:t>
      </w:r>
      <w:r w:rsidRPr="000737EF">
        <w:rPr>
          <w:rFonts w:ascii="SimSun" w:hAnsi="SimSun" w:hint="eastAsia"/>
          <w:sz w:val="21"/>
          <w:szCs w:val="21"/>
        </w:rPr>
        <w:t>电影</w:t>
      </w:r>
      <w:r w:rsidR="0055185E" w:rsidRPr="000737EF">
        <w:rPr>
          <w:rFonts w:ascii="SimSun" w:hAnsi="SimSun" w:hint="eastAsia"/>
          <w:sz w:val="21"/>
          <w:szCs w:val="21"/>
        </w:rPr>
        <w:t>的</w:t>
      </w:r>
      <w:r w:rsidRPr="000737EF">
        <w:rPr>
          <w:rFonts w:ascii="SimSun" w:hAnsi="SimSun" w:hint="eastAsia"/>
          <w:sz w:val="21"/>
          <w:szCs w:val="21"/>
        </w:rPr>
        <w:t>数字购</w:t>
      </w:r>
      <w:r w:rsidR="0055185E" w:rsidRPr="000737EF">
        <w:rPr>
          <w:rFonts w:ascii="SimSun" w:hAnsi="SimSun" w:hint="eastAsia"/>
          <w:sz w:val="21"/>
          <w:szCs w:val="21"/>
        </w:rPr>
        <w:t>买</w:t>
      </w:r>
      <w:r w:rsidRPr="000737EF">
        <w:rPr>
          <w:rFonts w:ascii="SimSun" w:hAnsi="SimSun" w:hint="eastAsia"/>
          <w:sz w:val="21"/>
          <w:szCs w:val="21"/>
        </w:rPr>
        <w:t>量估计为</w:t>
      </w:r>
      <w:r w:rsidR="0055185E" w:rsidRPr="000737EF">
        <w:rPr>
          <w:rFonts w:ascii="SimSun" w:hAnsi="SimSun" w:hint="eastAsia"/>
          <w:sz w:val="21"/>
          <w:szCs w:val="21"/>
        </w:rPr>
        <w:t>4.9亿</w:t>
      </w:r>
      <w:r w:rsidRPr="000737EF">
        <w:rPr>
          <w:rFonts w:ascii="SimSun" w:hAnsi="SimSun" w:hint="eastAsia"/>
          <w:sz w:val="21"/>
          <w:szCs w:val="21"/>
        </w:rPr>
        <w:t>美元</w:t>
      </w:r>
      <w:r w:rsidR="0055185E" w:rsidRPr="000737EF">
        <w:rPr>
          <w:rFonts w:ascii="SimSun" w:hAnsi="SimSun" w:hint="eastAsia"/>
          <w:sz w:val="21"/>
          <w:szCs w:val="21"/>
        </w:rPr>
        <w:t>(</w:t>
      </w:r>
      <w:r w:rsidRPr="000737EF">
        <w:rPr>
          <w:rFonts w:ascii="SimSun" w:hAnsi="SimSun" w:hint="eastAsia"/>
          <w:sz w:val="21"/>
          <w:szCs w:val="21"/>
        </w:rPr>
        <w:t>3</w:t>
      </w:r>
      <w:r w:rsidR="0055185E" w:rsidRPr="000737EF">
        <w:rPr>
          <w:rFonts w:ascii="SimSun" w:hAnsi="SimSun" w:hint="eastAsia"/>
          <w:sz w:val="21"/>
          <w:szCs w:val="21"/>
        </w:rPr>
        <w:t>.</w:t>
      </w:r>
      <w:r w:rsidRPr="000737EF">
        <w:rPr>
          <w:rFonts w:ascii="SimSun" w:hAnsi="SimSun" w:hint="eastAsia"/>
          <w:sz w:val="21"/>
          <w:szCs w:val="21"/>
        </w:rPr>
        <w:t>23</w:t>
      </w:r>
      <w:r w:rsidR="0055185E" w:rsidRPr="000737EF">
        <w:rPr>
          <w:rFonts w:ascii="SimSun" w:hAnsi="SimSun" w:hint="eastAsia"/>
          <w:sz w:val="21"/>
          <w:szCs w:val="21"/>
        </w:rPr>
        <w:t>亿英镑)</w:t>
      </w:r>
      <w:r w:rsidR="008E2A0D" w:rsidRPr="000737EF">
        <w:rPr>
          <w:rFonts w:ascii="SimSun" w:hAnsi="SimSun" w:hint="eastAsia"/>
          <w:sz w:val="21"/>
          <w:szCs w:val="21"/>
        </w:rPr>
        <w:t>，自</w:t>
      </w:r>
      <w:r w:rsidRPr="000737EF">
        <w:rPr>
          <w:rFonts w:ascii="SimSun" w:hAnsi="SimSun" w:hint="eastAsia"/>
          <w:sz w:val="21"/>
          <w:szCs w:val="21"/>
        </w:rPr>
        <w:t>2002年</w:t>
      </w:r>
      <w:r w:rsidR="008E2A0D" w:rsidRPr="000737EF">
        <w:rPr>
          <w:rFonts w:ascii="SimSun" w:hAnsi="SimSun" w:hint="eastAsia"/>
          <w:sz w:val="21"/>
          <w:szCs w:val="21"/>
        </w:rPr>
        <w:t>以</w:t>
      </w:r>
      <w:r w:rsidRPr="000737EF">
        <w:rPr>
          <w:rFonts w:ascii="SimSun" w:hAnsi="SimSun" w:hint="eastAsia"/>
          <w:sz w:val="21"/>
          <w:szCs w:val="21"/>
        </w:rPr>
        <w:t>来增长了4</w:t>
      </w:r>
      <w:r w:rsidR="00365A50" w:rsidRPr="000737EF">
        <w:rPr>
          <w:rFonts w:ascii="SimSun" w:hAnsi="SimSun" w:hint="eastAsia"/>
          <w:sz w:val="21"/>
          <w:szCs w:val="21"/>
        </w:rPr>
        <w:t>倍</w:t>
      </w:r>
      <w:r w:rsidR="00D17605" w:rsidRPr="000737EF">
        <w:rPr>
          <w:rStyle w:val="af"/>
          <w:rFonts w:ascii="SimSun" w:hAnsi="SimSun"/>
          <w:sz w:val="21"/>
          <w:szCs w:val="21"/>
        </w:rPr>
        <w:footnoteReference w:id="10"/>
      </w:r>
      <w:r w:rsidRPr="000737EF">
        <w:rPr>
          <w:rFonts w:ascii="SimSun" w:hAnsi="SimSun" w:hint="eastAsia"/>
          <w:sz w:val="21"/>
          <w:szCs w:val="21"/>
        </w:rPr>
        <w:t>。</w:t>
      </w:r>
    </w:p>
    <w:p w:rsidR="0034771B" w:rsidRPr="000737EF" w:rsidRDefault="00BB46B5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数字化</w:t>
      </w:r>
    </w:p>
    <w:p w:rsidR="0034771B" w:rsidRPr="000737EF" w:rsidRDefault="00FD318E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数字化以多种方式影响着价值链。在制作阶段，数字技术降低了制作成本，扩大</w:t>
      </w:r>
      <w:r w:rsidR="00386310" w:rsidRPr="000737EF">
        <w:rPr>
          <w:rFonts w:ascii="SimSun" w:hAnsi="SimSun" w:hint="eastAsia"/>
          <w:sz w:val="21"/>
          <w:szCs w:val="21"/>
        </w:rPr>
        <w:t>了</w:t>
      </w:r>
      <w:r w:rsidRPr="000737EF">
        <w:rPr>
          <w:rFonts w:ascii="SimSun" w:hAnsi="SimSun" w:hint="eastAsia"/>
          <w:sz w:val="21"/>
          <w:szCs w:val="21"/>
        </w:rPr>
        <w:t>视觉效果的可能性。同样，数字</w:t>
      </w:r>
      <w:r w:rsidR="00386310" w:rsidRPr="000737EF">
        <w:rPr>
          <w:rFonts w:ascii="SimSun" w:hAnsi="SimSun" w:hint="eastAsia"/>
          <w:sz w:val="21"/>
          <w:szCs w:val="21"/>
        </w:rPr>
        <w:t>化</w:t>
      </w:r>
      <w:r w:rsidRPr="000737EF">
        <w:rPr>
          <w:rFonts w:ascii="SimSun" w:hAnsi="SimSun" w:hint="eastAsia"/>
          <w:sz w:val="21"/>
          <w:szCs w:val="21"/>
        </w:rPr>
        <w:t>还降低了发行成本。然而，受数字化影响最大的是传统上对放映窗</w:t>
      </w:r>
      <w:r w:rsidR="00BF44D1" w:rsidRPr="000737EF">
        <w:rPr>
          <w:rFonts w:ascii="SimSun" w:hAnsi="SimSun" w:hint="eastAsia"/>
          <w:sz w:val="21"/>
          <w:szCs w:val="21"/>
        </w:rPr>
        <w:t>口</w:t>
      </w:r>
      <w:r w:rsidRPr="000737EF">
        <w:rPr>
          <w:rStyle w:val="af"/>
          <w:rFonts w:ascii="SimSun" w:hAnsi="SimSun"/>
          <w:sz w:val="21"/>
          <w:szCs w:val="21"/>
        </w:rPr>
        <w:footnoteReference w:id="11"/>
      </w:r>
      <w:r w:rsidRPr="000737EF">
        <w:rPr>
          <w:rFonts w:ascii="SimSun" w:hAnsi="SimSun" w:hint="eastAsia"/>
          <w:sz w:val="21"/>
          <w:szCs w:val="21"/>
        </w:rPr>
        <w:t>的依赖。电影胶片和DVD</w:t>
      </w:r>
      <w:r w:rsidR="000B081D" w:rsidRPr="000737EF">
        <w:rPr>
          <w:rFonts w:ascii="SimSun" w:hAnsi="SimSun" w:hint="eastAsia"/>
          <w:sz w:val="21"/>
          <w:szCs w:val="21"/>
        </w:rPr>
        <w:t>所受</w:t>
      </w:r>
      <w:r w:rsidRPr="000737EF">
        <w:rPr>
          <w:rFonts w:ascii="SimSun" w:hAnsi="SimSun" w:hint="eastAsia"/>
          <w:sz w:val="21"/>
          <w:szCs w:val="21"/>
        </w:rPr>
        <w:t>的物理约束</w:t>
      </w:r>
      <w:r w:rsidR="000B081D" w:rsidRPr="000737EF">
        <w:rPr>
          <w:rFonts w:ascii="SimSun" w:hAnsi="SimSun" w:hint="eastAsia"/>
          <w:sz w:val="21"/>
          <w:szCs w:val="21"/>
        </w:rPr>
        <w:t>不复存在</w:t>
      </w:r>
      <w:r w:rsidRPr="000737EF">
        <w:rPr>
          <w:rFonts w:ascii="SimSun" w:hAnsi="SimSun" w:hint="eastAsia"/>
          <w:sz w:val="21"/>
          <w:szCs w:val="21"/>
        </w:rPr>
        <w:t>。相反，在线流媒体提供的可能性已经改变了观众的期望，</w:t>
      </w:r>
      <w:r w:rsidR="0041641D" w:rsidRPr="000737EF">
        <w:rPr>
          <w:rFonts w:ascii="SimSun" w:hAnsi="SimSun" w:hint="eastAsia"/>
          <w:sz w:val="21"/>
          <w:szCs w:val="21"/>
        </w:rPr>
        <w:t>放</w:t>
      </w:r>
      <w:r w:rsidRPr="000737EF">
        <w:rPr>
          <w:rFonts w:ascii="SimSun" w:hAnsi="SimSun" w:hint="eastAsia"/>
          <w:sz w:val="21"/>
          <w:szCs w:val="21"/>
        </w:rPr>
        <w:t>映之间的间隔也缩短了。电影业已很难</w:t>
      </w:r>
      <w:r w:rsidR="00BE1DB0" w:rsidRPr="000737EF">
        <w:rPr>
          <w:rFonts w:ascii="SimSun" w:hAnsi="SimSun" w:hint="eastAsia"/>
          <w:sz w:val="21"/>
          <w:szCs w:val="21"/>
        </w:rPr>
        <w:t>从</w:t>
      </w:r>
      <w:r w:rsidR="006D4DBA" w:rsidRPr="000737EF">
        <w:rPr>
          <w:rFonts w:ascii="SimSun" w:hAnsi="SimSun" w:hint="eastAsia"/>
          <w:sz w:val="21"/>
          <w:szCs w:val="21"/>
        </w:rPr>
        <w:t>让利发行的电影</w:t>
      </w:r>
      <w:r w:rsidR="00BE1DB0" w:rsidRPr="000737EF">
        <w:rPr>
          <w:rFonts w:ascii="SimSun" w:hAnsi="SimSun" w:hint="eastAsia"/>
          <w:sz w:val="21"/>
          <w:szCs w:val="21"/>
        </w:rPr>
        <w:t>售票中获利，利润转向在线</w:t>
      </w:r>
      <w:r w:rsidRPr="000737EF">
        <w:rPr>
          <w:rFonts w:ascii="SimSun" w:hAnsi="SimSun" w:hint="eastAsia"/>
          <w:sz w:val="21"/>
          <w:szCs w:val="21"/>
        </w:rPr>
        <w:t>销售。</w:t>
      </w:r>
    </w:p>
    <w:p w:rsidR="0034771B" w:rsidRPr="000737EF" w:rsidRDefault="00BE1DB0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向数字化转移也为</w:t>
      </w:r>
      <w:r w:rsidR="0072716C" w:rsidRPr="000737EF">
        <w:rPr>
          <w:rFonts w:ascii="SimSun" w:hAnsi="SimSun" w:hint="eastAsia"/>
          <w:sz w:val="21"/>
          <w:szCs w:val="21"/>
        </w:rPr>
        <w:t>电影</w:t>
      </w:r>
      <w:r w:rsidRPr="000737EF">
        <w:rPr>
          <w:rFonts w:ascii="SimSun" w:hAnsi="SimSun" w:hint="eastAsia"/>
          <w:sz w:val="21"/>
          <w:szCs w:val="21"/>
        </w:rPr>
        <w:t>业的小型经营者创造了</w:t>
      </w:r>
      <w:r w:rsidR="00FD318E" w:rsidRPr="000737EF">
        <w:rPr>
          <w:rFonts w:ascii="SimSun" w:hAnsi="SimSun" w:hint="eastAsia"/>
          <w:sz w:val="21"/>
          <w:szCs w:val="21"/>
        </w:rPr>
        <w:t>新</w:t>
      </w:r>
      <w:r w:rsidRPr="000737EF">
        <w:rPr>
          <w:rFonts w:ascii="SimSun" w:hAnsi="SimSun" w:hint="eastAsia"/>
          <w:sz w:val="21"/>
          <w:szCs w:val="21"/>
        </w:rPr>
        <w:t>机遇。</w:t>
      </w:r>
      <w:r w:rsidR="00FD318E" w:rsidRPr="000737EF">
        <w:rPr>
          <w:rFonts w:ascii="SimSun" w:hAnsi="SimSun" w:hint="eastAsia"/>
          <w:sz w:val="21"/>
          <w:szCs w:val="21"/>
        </w:rPr>
        <w:t>视频点播</w:t>
      </w:r>
      <w:r w:rsidR="007279B7" w:rsidRPr="000737EF">
        <w:rPr>
          <w:rFonts w:ascii="SimSun" w:hAnsi="SimSun" w:hint="eastAsia"/>
          <w:sz w:val="21"/>
          <w:szCs w:val="21"/>
        </w:rPr>
        <w:t>(</w:t>
      </w:r>
      <w:r w:rsidR="00FD318E" w:rsidRPr="000737EF">
        <w:rPr>
          <w:rFonts w:ascii="SimSun" w:hAnsi="SimSun" w:hint="eastAsia"/>
          <w:sz w:val="21"/>
          <w:szCs w:val="21"/>
        </w:rPr>
        <w:t>VOD</w:t>
      </w:r>
      <w:r w:rsidR="007279B7" w:rsidRPr="000737EF">
        <w:rPr>
          <w:rFonts w:ascii="SimSun" w:hAnsi="SimSun" w:hint="eastAsia"/>
          <w:sz w:val="21"/>
          <w:szCs w:val="21"/>
        </w:rPr>
        <w:t>)</w:t>
      </w:r>
      <w:r w:rsidRPr="000737EF">
        <w:rPr>
          <w:rFonts w:ascii="SimSun" w:hAnsi="SimSun" w:hint="eastAsia"/>
          <w:sz w:val="21"/>
          <w:szCs w:val="21"/>
        </w:rPr>
        <w:t>作为一种</w:t>
      </w:r>
      <w:r w:rsidR="00FD318E" w:rsidRPr="000737EF">
        <w:rPr>
          <w:rFonts w:ascii="SimSun" w:hAnsi="SimSun" w:hint="eastAsia"/>
          <w:sz w:val="21"/>
          <w:szCs w:val="21"/>
        </w:rPr>
        <w:t>在线</w:t>
      </w:r>
      <w:r w:rsidRPr="000737EF">
        <w:rPr>
          <w:rFonts w:ascii="SimSun" w:hAnsi="SimSun" w:hint="eastAsia"/>
          <w:sz w:val="21"/>
          <w:szCs w:val="21"/>
        </w:rPr>
        <w:t>服务或交互式服务，允许消费者选择电影，并在自己选定</w:t>
      </w:r>
      <w:r w:rsidR="00FD318E" w:rsidRPr="000737EF">
        <w:rPr>
          <w:rFonts w:ascii="SimSun" w:hAnsi="SimSun" w:hint="eastAsia"/>
          <w:sz w:val="21"/>
          <w:szCs w:val="21"/>
        </w:rPr>
        <w:t>的时间</w:t>
      </w:r>
      <w:r w:rsidRPr="000737EF">
        <w:rPr>
          <w:rFonts w:ascii="SimSun" w:hAnsi="SimSun" w:hint="eastAsia"/>
          <w:sz w:val="21"/>
          <w:szCs w:val="21"/>
        </w:rPr>
        <w:t>观看电影</w:t>
      </w:r>
      <w:r w:rsidR="00FD318E" w:rsidRPr="000737EF">
        <w:rPr>
          <w:rFonts w:ascii="SimSun" w:hAnsi="SimSun" w:hint="eastAsia"/>
          <w:sz w:val="21"/>
          <w:szCs w:val="21"/>
        </w:rPr>
        <w:t>，</w:t>
      </w:r>
      <w:r w:rsidRPr="000737EF">
        <w:rPr>
          <w:rFonts w:ascii="SimSun" w:hAnsi="SimSun" w:hint="eastAsia"/>
          <w:sz w:val="21"/>
          <w:szCs w:val="21"/>
        </w:rPr>
        <w:t>这个例子很好地说明了数字化带来的</w:t>
      </w:r>
      <w:r w:rsidR="00FD318E" w:rsidRPr="000737EF">
        <w:rPr>
          <w:rFonts w:ascii="SimSun" w:hAnsi="SimSun" w:hint="eastAsia"/>
          <w:sz w:val="21"/>
          <w:szCs w:val="21"/>
        </w:rPr>
        <w:t>变化。</w:t>
      </w:r>
      <w:r w:rsidR="00B806A8" w:rsidRPr="000737EF">
        <w:rPr>
          <w:rFonts w:ascii="SimSun" w:hAnsi="SimSun" w:hint="eastAsia"/>
          <w:sz w:val="21"/>
          <w:szCs w:val="21"/>
        </w:rPr>
        <w:t>独立电影制片人</w:t>
      </w:r>
      <w:r w:rsidR="00FD318E" w:rsidRPr="000737EF">
        <w:rPr>
          <w:rFonts w:ascii="SimSun" w:hAnsi="SimSun" w:hint="eastAsia"/>
          <w:sz w:val="21"/>
          <w:szCs w:val="21"/>
        </w:rPr>
        <w:t>可以</w:t>
      </w:r>
      <w:r w:rsidR="00B806A8" w:rsidRPr="000737EF">
        <w:rPr>
          <w:rFonts w:ascii="SimSun" w:hAnsi="SimSun" w:hint="eastAsia"/>
          <w:sz w:val="21"/>
          <w:szCs w:val="21"/>
        </w:rPr>
        <w:t>越过</w:t>
      </w:r>
      <w:r w:rsidR="00FD318E" w:rsidRPr="000737EF">
        <w:rPr>
          <w:rFonts w:ascii="SimSun" w:hAnsi="SimSun" w:hint="eastAsia"/>
          <w:sz w:val="21"/>
          <w:szCs w:val="21"/>
        </w:rPr>
        <w:t>许可和</w:t>
      </w:r>
      <w:r w:rsidR="00B806A8" w:rsidRPr="000737EF">
        <w:rPr>
          <w:rFonts w:ascii="SimSun" w:hAnsi="SimSun" w:hint="eastAsia"/>
          <w:sz w:val="21"/>
          <w:szCs w:val="21"/>
        </w:rPr>
        <w:t>发行等中间</w:t>
      </w:r>
      <w:r w:rsidR="00FD318E" w:rsidRPr="000737EF">
        <w:rPr>
          <w:rFonts w:ascii="SimSun" w:hAnsi="SimSun" w:hint="eastAsia"/>
          <w:sz w:val="21"/>
          <w:szCs w:val="21"/>
        </w:rPr>
        <w:t>步骤，直接</w:t>
      </w:r>
      <w:r w:rsidR="00B806A8" w:rsidRPr="000737EF">
        <w:rPr>
          <w:rFonts w:ascii="SimSun" w:hAnsi="SimSun" w:hint="eastAsia"/>
          <w:sz w:val="21"/>
          <w:szCs w:val="21"/>
        </w:rPr>
        <w:t>向观众</w:t>
      </w:r>
      <w:r w:rsidR="00FD318E" w:rsidRPr="000737EF">
        <w:rPr>
          <w:rFonts w:ascii="SimSun" w:hAnsi="SimSun" w:hint="eastAsia"/>
          <w:sz w:val="21"/>
          <w:szCs w:val="21"/>
        </w:rPr>
        <w:t>销售。</w:t>
      </w:r>
      <w:r w:rsidR="00995F96" w:rsidRPr="000737EF">
        <w:rPr>
          <w:rFonts w:ascii="SimSun" w:hAnsi="SimSun" w:hint="eastAsia"/>
          <w:sz w:val="21"/>
          <w:szCs w:val="21"/>
        </w:rPr>
        <w:t>允许观众按月付费访问内容的</w:t>
      </w:r>
      <w:r w:rsidR="00FD318E" w:rsidRPr="000737EF">
        <w:rPr>
          <w:rFonts w:ascii="SimSun" w:hAnsi="SimSun" w:hint="eastAsia"/>
          <w:sz w:val="21"/>
          <w:szCs w:val="21"/>
        </w:rPr>
        <w:t>订阅流媒体服务，</w:t>
      </w:r>
      <w:r w:rsidR="00995F96" w:rsidRPr="000737EF">
        <w:rPr>
          <w:rFonts w:ascii="SimSun" w:hAnsi="SimSun" w:hint="eastAsia"/>
          <w:sz w:val="21"/>
          <w:szCs w:val="21"/>
        </w:rPr>
        <w:t>变得</w:t>
      </w:r>
      <w:r w:rsidR="00FD318E" w:rsidRPr="000737EF">
        <w:rPr>
          <w:rFonts w:ascii="SimSun" w:hAnsi="SimSun" w:hint="eastAsia"/>
          <w:sz w:val="21"/>
          <w:szCs w:val="21"/>
        </w:rPr>
        <w:t>越来越受欢迎。</w:t>
      </w:r>
    </w:p>
    <w:p w:rsidR="0034771B" w:rsidRPr="000737EF" w:rsidRDefault="0020789C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新型模式</w:t>
      </w:r>
    </w:p>
    <w:p w:rsidR="0034771B" w:rsidRPr="000737EF" w:rsidRDefault="007B6EA6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2015年5月，巴西</w:t>
      </w:r>
      <w:r w:rsidR="0005683A" w:rsidRPr="000737EF">
        <w:rPr>
          <w:rFonts w:ascii="SimSun" w:hAnsi="SimSun" w:hint="eastAsia"/>
          <w:sz w:val="21"/>
          <w:szCs w:val="21"/>
        </w:rPr>
        <w:t>的新创项目</w:t>
      </w:r>
      <w:proofErr w:type="spellStart"/>
      <w:r w:rsidRPr="000737EF">
        <w:rPr>
          <w:rFonts w:ascii="SimSun" w:hAnsi="SimSun" w:hint="eastAsia"/>
          <w:sz w:val="21"/>
          <w:szCs w:val="21"/>
        </w:rPr>
        <w:t>Setima</w:t>
      </w:r>
      <w:proofErr w:type="spellEnd"/>
      <w:r w:rsidR="0005683A" w:rsidRPr="000737EF">
        <w:rPr>
          <w:rFonts w:ascii="SimSun" w:hAnsi="SimSun" w:hint="eastAsia"/>
          <w:sz w:val="21"/>
          <w:szCs w:val="21"/>
        </w:rPr>
        <w:t>针对独立制作的巴西电影</w:t>
      </w:r>
      <w:r w:rsidRPr="000737EF">
        <w:rPr>
          <w:rFonts w:ascii="SimSun" w:hAnsi="SimSun" w:hint="eastAsia"/>
          <w:sz w:val="21"/>
          <w:szCs w:val="21"/>
        </w:rPr>
        <w:t>推出</w:t>
      </w:r>
      <w:r w:rsidR="0005683A" w:rsidRPr="000737EF">
        <w:rPr>
          <w:rFonts w:ascii="SimSun" w:hAnsi="SimSun" w:hint="eastAsia"/>
          <w:sz w:val="21"/>
          <w:szCs w:val="21"/>
        </w:rPr>
        <w:t>了</w:t>
      </w:r>
      <w:r w:rsidRPr="000737EF">
        <w:rPr>
          <w:rFonts w:ascii="SimSun" w:hAnsi="SimSun" w:hint="eastAsia"/>
          <w:sz w:val="21"/>
          <w:szCs w:val="21"/>
        </w:rPr>
        <w:t>专用VOD平台</w:t>
      </w:r>
      <w:r w:rsidR="0005683A" w:rsidRPr="000737EF">
        <w:rPr>
          <w:rFonts w:ascii="SimSun" w:hAnsi="SimSun" w:hint="eastAsia"/>
          <w:sz w:val="21"/>
          <w:szCs w:val="21"/>
        </w:rPr>
        <w:t>，</w:t>
      </w:r>
      <w:proofErr w:type="gramStart"/>
      <w:r w:rsidR="0005683A" w:rsidRPr="000737EF">
        <w:rPr>
          <w:rFonts w:ascii="SimSun" w:hAnsi="SimSun" w:hint="eastAsia"/>
          <w:sz w:val="21"/>
          <w:szCs w:val="21"/>
        </w:rPr>
        <w:t>供</w:t>
      </w:r>
      <w:r w:rsidRPr="000737EF">
        <w:rPr>
          <w:rFonts w:ascii="SimSun" w:hAnsi="SimSun" w:hint="eastAsia"/>
          <w:sz w:val="21"/>
          <w:szCs w:val="21"/>
        </w:rPr>
        <w:t>独立</w:t>
      </w:r>
      <w:proofErr w:type="gramEnd"/>
      <w:r w:rsidR="0005683A" w:rsidRPr="000737EF">
        <w:rPr>
          <w:rFonts w:ascii="SimSun" w:hAnsi="SimSun" w:hint="eastAsia"/>
          <w:sz w:val="21"/>
          <w:szCs w:val="21"/>
        </w:rPr>
        <w:t>电影</w:t>
      </w:r>
      <w:r w:rsidRPr="000737EF">
        <w:rPr>
          <w:rFonts w:ascii="SimSun" w:hAnsi="SimSun" w:hint="eastAsia"/>
          <w:sz w:val="21"/>
          <w:szCs w:val="21"/>
        </w:rPr>
        <w:t>制片人</w:t>
      </w:r>
      <w:r w:rsidR="0005683A" w:rsidRPr="000737EF">
        <w:rPr>
          <w:rFonts w:ascii="SimSun" w:hAnsi="SimSun" w:hint="eastAsia"/>
          <w:sz w:val="21"/>
          <w:szCs w:val="21"/>
        </w:rPr>
        <w:t>用来</w:t>
      </w:r>
      <w:r w:rsidRPr="000737EF">
        <w:rPr>
          <w:rFonts w:ascii="SimSun" w:hAnsi="SimSun" w:hint="eastAsia"/>
          <w:sz w:val="21"/>
          <w:szCs w:val="21"/>
        </w:rPr>
        <w:t>存储</w:t>
      </w:r>
      <w:r w:rsidR="0005683A" w:rsidRPr="000737EF">
        <w:rPr>
          <w:rFonts w:ascii="SimSun" w:hAnsi="SimSun" w:hint="eastAsia"/>
          <w:sz w:val="21"/>
          <w:szCs w:val="21"/>
        </w:rPr>
        <w:t>、</w:t>
      </w:r>
      <w:r w:rsidRPr="000737EF">
        <w:rPr>
          <w:rFonts w:ascii="SimSun" w:hAnsi="SimSun" w:hint="eastAsia"/>
          <w:sz w:val="21"/>
          <w:szCs w:val="21"/>
        </w:rPr>
        <w:t>管理</w:t>
      </w:r>
      <w:r w:rsidR="0005683A" w:rsidRPr="000737EF">
        <w:rPr>
          <w:rFonts w:ascii="SimSun" w:hAnsi="SimSun" w:hint="eastAsia"/>
          <w:sz w:val="21"/>
          <w:szCs w:val="21"/>
        </w:rPr>
        <w:t>、宣传和展示</w:t>
      </w:r>
      <w:r w:rsidRPr="000737EF">
        <w:rPr>
          <w:rFonts w:ascii="SimSun" w:hAnsi="SimSun" w:hint="eastAsia"/>
          <w:sz w:val="21"/>
          <w:szCs w:val="21"/>
        </w:rPr>
        <w:t>电影，</w:t>
      </w:r>
      <w:r w:rsidR="00C10215" w:rsidRPr="000737EF">
        <w:rPr>
          <w:rFonts w:ascii="SimSun" w:hAnsi="SimSun" w:hint="eastAsia"/>
          <w:sz w:val="21"/>
          <w:szCs w:val="21"/>
        </w:rPr>
        <w:t>并</w:t>
      </w:r>
      <w:r w:rsidR="0005683A" w:rsidRPr="000737EF">
        <w:rPr>
          <w:rFonts w:ascii="SimSun" w:hAnsi="SimSun" w:hint="eastAsia"/>
          <w:sz w:val="21"/>
          <w:szCs w:val="21"/>
        </w:rPr>
        <w:t>方便观众获取</w:t>
      </w:r>
      <w:r w:rsidRPr="000737EF">
        <w:rPr>
          <w:rFonts w:ascii="SimSun" w:hAnsi="SimSun" w:hint="eastAsia"/>
          <w:sz w:val="21"/>
          <w:szCs w:val="21"/>
        </w:rPr>
        <w:t>。</w:t>
      </w:r>
      <w:r w:rsidR="0005683A" w:rsidRPr="000737EF">
        <w:rPr>
          <w:rFonts w:ascii="SimSun" w:hAnsi="SimSun" w:hint="eastAsia"/>
          <w:sz w:val="21"/>
          <w:szCs w:val="21"/>
        </w:rPr>
        <w:t>该</w:t>
      </w:r>
      <w:r w:rsidRPr="000737EF">
        <w:rPr>
          <w:rFonts w:ascii="SimSun" w:hAnsi="SimSun" w:cs="Times New Roman" w:hint="eastAsia"/>
          <w:sz w:val="21"/>
          <w:szCs w:val="21"/>
        </w:rPr>
        <w:t>平台</w:t>
      </w:r>
      <w:r w:rsidR="0005683A" w:rsidRPr="000737EF">
        <w:rPr>
          <w:rFonts w:ascii="SimSun" w:hAnsi="SimSun" w:hint="eastAsia"/>
          <w:sz w:val="21"/>
          <w:szCs w:val="21"/>
        </w:rPr>
        <w:t>所得</w:t>
      </w:r>
      <w:r w:rsidRPr="000737EF">
        <w:rPr>
          <w:rFonts w:ascii="SimSun" w:hAnsi="SimSun" w:hint="eastAsia"/>
          <w:sz w:val="21"/>
          <w:szCs w:val="21"/>
        </w:rPr>
        <w:t>利润将用于创</w:t>
      </w:r>
      <w:r w:rsidR="0005683A" w:rsidRPr="000737EF">
        <w:rPr>
          <w:rFonts w:ascii="SimSun" w:hAnsi="SimSun" w:hint="eastAsia"/>
          <w:sz w:val="21"/>
          <w:szCs w:val="21"/>
        </w:rPr>
        <w:t>作</w:t>
      </w:r>
      <w:r w:rsidRPr="000737EF">
        <w:rPr>
          <w:rFonts w:ascii="SimSun" w:hAnsi="SimSun" w:hint="eastAsia"/>
          <w:sz w:val="21"/>
          <w:szCs w:val="21"/>
        </w:rPr>
        <w:t>新电影。</w:t>
      </w:r>
      <w:proofErr w:type="spellStart"/>
      <w:r w:rsidRPr="000737EF">
        <w:rPr>
          <w:rFonts w:ascii="SimSun" w:hAnsi="SimSun" w:hint="eastAsia"/>
          <w:sz w:val="21"/>
          <w:szCs w:val="21"/>
        </w:rPr>
        <w:t>Setima</w:t>
      </w:r>
      <w:proofErr w:type="spellEnd"/>
      <w:r w:rsidR="0005683A" w:rsidRPr="000737EF">
        <w:rPr>
          <w:rFonts w:ascii="SimSun" w:hAnsi="SimSun" w:hint="eastAsia"/>
          <w:sz w:val="21"/>
          <w:szCs w:val="21"/>
        </w:rPr>
        <w:t>这样的项目表明了</w:t>
      </w:r>
      <w:r w:rsidRPr="000737EF">
        <w:rPr>
          <w:rFonts w:ascii="SimSun" w:hAnsi="SimSun" w:hint="eastAsia"/>
          <w:sz w:val="21"/>
          <w:szCs w:val="21"/>
        </w:rPr>
        <w:t>数字化</w:t>
      </w:r>
      <w:r w:rsidR="0005683A" w:rsidRPr="000737EF">
        <w:rPr>
          <w:rFonts w:ascii="SimSun" w:hAnsi="SimSun" w:hint="eastAsia"/>
          <w:sz w:val="21"/>
          <w:szCs w:val="21"/>
        </w:rPr>
        <w:t>可以弘扬文化遗产，并对</w:t>
      </w:r>
      <w:r w:rsidRPr="000737EF">
        <w:rPr>
          <w:rFonts w:ascii="SimSun" w:hAnsi="SimSun" w:hint="eastAsia"/>
          <w:sz w:val="21"/>
          <w:szCs w:val="21"/>
        </w:rPr>
        <w:t>小</w:t>
      </w:r>
      <w:r w:rsidR="0005683A" w:rsidRPr="000737EF">
        <w:rPr>
          <w:rFonts w:ascii="SimSun" w:hAnsi="SimSun" w:hint="eastAsia"/>
          <w:sz w:val="21"/>
          <w:szCs w:val="21"/>
        </w:rPr>
        <w:t>型</w:t>
      </w:r>
      <w:r w:rsidRPr="000737EF">
        <w:rPr>
          <w:rFonts w:ascii="SimSun" w:hAnsi="SimSun" w:hint="eastAsia"/>
          <w:sz w:val="21"/>
          <w:szCs w:val="21"/>
        </w:rPr>
        <w:t>制片人</w:t>
      </w:r>
      <w:r w:rsidR="0005683A" w:rsidRPr="000737EF">
        <w:rPr>
          <w:rFonts w:ascii="SimSun" w:hAnsi="SimSun" w:hint="eastAsia"/>
          <w:sz w:val="21"/>
          <w:szCs w:val="21"/>
        </w:rPr>
        <w:t>给予支持。</w:t>
      </w:r>
    </w:p>
    <w:p w:rsidR="0034771B" w:rsidRPr="000737EF" w:rsidRDefault="009436C1" w:rsidP="00B74801">
      <w:pPr>
        <w:pStyle w:val="1"/>
        <w:numPr>
          <w:ilvl w:val="0"/>
          <w:numId w:val="10"/>
        </w:numPr>
        <w:spacing w:beforeLines="10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 w:rsidRPr="000737EF">
        <w:rPr>
          <w:rFonts w:ascii="SimHei" w:eastAsia="SimHei" w:hAnsi="SimHei" w:hint="eastAsia"/>
          <w:b w:val="0"/>
          <w:sz w:val="21"/>
          <w:szCs w:val="21"/>
        </w:rPr>
        <w:t>广</w:t>
      </w:r>
      <w:r w:rsidR="006169DE" w:rsidRPr="000737EF">
        <w:rPr>
          <w:rFonts w:ascii="SimHei" w:eastAsia="SimHei" w:hAnsi="SimHei"/>
          <w:b w:val="0"/>
          <w:sz w:val="21"/>
          <w:szCs w:val="21"/>
        </w:rPr>
        <w:t xml:space="preserve">  </w:t>
      </w:r>
      <w:r w:rsidRPr="000737EF">
        <w:rPr>
          <w:rFonts w:ascii="SimHei" w:eastAsia="SimHei" w:hAnsi="SimHei" w:hint="eastAsia"/>
          <w:b w:val="0"/>
          <w:sz w:val="21"/>
          <w:szCs w:val="21"/>
        </w:rPr>
        <w:t>播</w:t>
      </w:r>
    </w:p>
    <w:p w:rsidR="0034771B" w:rsidRPr="000737EF" w:rsidRDefault="009436C1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proofErr w:type="gramStart"/>
      <w:r w:rsidRPr="000737EF">
        <w:rPr>
          <w:rFonts w:ascii="KaiTi" w:eastAsia="KaiTi" w:hAnsi="KaiTi" w:hint="eastAsia"/>
          <w:sz w:val="21"/>
          <w:szCs w:val="21"/>
        </w:rPr>
        <w:t>综</w:t>
      </w:r>
      <w:proofErr w:type="gramEnd"/>
      <w:r w:rsidR="006169DE" w:rsidRPr="000737EF">
        <w:rPr>
          <w:rFonts w:ascii="SimHei" w:eastAsia="SimHei" w:hAnsi="SimHei"/>
          <w:sz w:val="21"/>
          <w:szCs w:val="21"/>
        </w:rPr>
        <w:t xml:space="preserve">  </w:t>
      </w:r>
      <w:r w:rsidRPr="000737EF">
        <w:rPr>
          <w:rFonts w:ascii="KaiTi" w:eastAsia="KaiTi" w:hAnsi="KaiTi" w:hint="eastAsia"/>
          <w:sz w:val="21"/>
          <w:szCs w:val="21"/>
        </w:rPr>
        <w:t>述</w:t>
      </w:r>
    </w:p>
    <w:p w:rsidR="0034771B" w:rsidRPr="000737EF" w:rsidRDefault="001D5C0F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随着模拟服务式微，数字服务和互联网服务兴起，电视广播的前景可谓喜忧参半。这</w:t>
      </w:r>
      <w:r w:rsidR="00DB141D" w:rsidRPr="000737EF">
        <w:rPr>
          <w:rFonts w:ascii="SimSun" w:hAnsi="SimSun" w:hint="eastAsia"/>
          <w:sz w:val="21"/>
          <w:szCs w:val="21"/>
        </w:rPr>
        <w:t>加剧</w:t>
      </w:r>
      <w:r w:rsidRPr="000737EF">
        <w:rPr>
          <w:rFonts w:ascii="SimSun" w:hAnsi="SimSun" w:hint="eastAsia"/>
          <w:sz w:val="21"/>
          <w:szCs w:val="21"/>
        </w:rPr>
        <w:t>了广告收入和</w:t>
      </w:r>
      <w:r w:rsidR="00DB141D" w:rsidRPr="000737EF">
        <w:rPr>
          <w:rFonts w:ascii="SimSun" w:hAnsi="SimSun" w:hint="eastAsia"/>
          <w:sz w:val="21"/>
          <w:szCs w:val="21"/>
        </w:rPr>
        <w:t>争取商业广播观众等方面</w:t>
      </w:r>
      <w:r w:rsidRPr="000737EF">
        <w:rPr>
          <w:rFonts w:ascii="SimSun" w:hAnsi="SimSun" w:hint="eastAsia"/>
          <w:sz w:val="21"/>
          <w:szCs w:val="21"/>
        </w:rPr>
        <w:t>的竞争。发达国家</w:t>
      </w:r>
      <w:r w:rsidR="00DB141D" w:rsidRPr="000737EF">
        <w:rPr>
          <w:rFonts w:ascii="SimSun" w:hAnsi="SimSun" w:hint="eastAsia"/>
          <w:sz w:val="21"/>
          <w:szCs w:val="21"/>
        </w:rPr>
        <w:t>增长</w:t>
      </w:r>
      <w:r w:rsidRPr="000737EF">
        <w:rPr>
          <w:rFonts w:ascii="SimSun" w:hAnsi="SimSun" w:hint="eastAsia"/>
          <w:sz w:val="21"/>
          <w:szCs w:val="21"/>
        </w:rPr>
        <w:t>疲弱，发展中国家</w:t>
      </w:r>
      <w:r w:rsidR="00DB141D" w:rsidRPr="000737EF">
        <w:rPr>
          <w:rFonts w:ascii="SimSun" w:hAnsi="SimSun" w:hint="eastAsia"/>
          <w:sz w:val="21"/>
          <w:szCs w:val="21"/>
        </w:rPr>
        <w:t>却增长</w:t>
      </w:r>
      <w:r w:rsidRPr="000737EF">
        <w:rPr>
          <w:rFonts w:ascii="SimSun" w:hAnsi="SimSun" w:hint="eastAsia"/>
          <w:sz w:val="21"/>
          <w:szCs w:val="21"/>
        </w:rPr>
        <w:t>强</w:t>
      </w:r>
      <w:r w:rsidR="00DB141D" w:rsidRPr="000737EF">
        <w:rPr>
          <w:rFonts w:ascii="SimSun" w:hAnsi="SimSun" w:hint="eastAsia"/>
          <w:sz w:val="21"/>
          <w:szCs w:val="21"/>
        </w:rPr>
        <w:t>劲</w:t>
      </w:r>
      <w:r w:rsidRPr="000737EF">
        <w:rPr>
          <w:rFonts w:ascii="SimSun" w:hAnsi="SimSun" w:hint="eastAsia"/>
          <w:sz w:val="21"/>
          <w:szCs w:val="21"/>
        </w:rPr>
        <w:t>。</w:t>
      </w:r>
      <w:r w:rsidR="00425ACA" w:rsidRPr="000737EF">
        <w:rPr>
          <w:rFonts w:ascii="SimSun" w:hAnsi="SimSun" w:cs="Times New Roman" w:hint="eastAsia"/>
          <w:sz w:val="21"/>
          <w:szCs w:val="21"/>
        </w:rPr>
        <w:t>广播</w:t>
      </w:r>
      <w:r w:rsidR="00C10215" w:rsidRPr="000737EF">
        <w:rPr>
          <w:rFonts w:ascii="SimSun" w:hAnsi="SimSun" w:cs="Times New Roman" w:hint="eastAsia"/>
          <w:sz w:val="21"/>
          <w:szCs w:val="21"/>
        </w:rPr>
        <w:t>电台</w:t>
      </w:r>
      <w:r w:rsidR="003D697F" w:rsidRPr="000737EF">
        <w:rPr>
          <w:rFonts w:ascii="SimSun" w:hAnsi="SimSun" w:hint="eastAsia"/>
          <w:sz w:val="21"/>
          <w:szCs w:val="21"/>
        </w:rPr>
        <w:t>的情况与此</w:t>
      </w:r>
      <w:r w:rsidRPr="000737EF">
        <w:rPr>
          <w:rFonts w:ascii="SimSun" w:hAnsi="SimSun" w:hint="eastAsia"/>
          <w:sz w:val="21"/>
          <w:szCs w:val="21"/>
        </w:rPr>
        <w:t>类似。</w:t>
      </w:r>
    </w:p>
    <w:p w:rsidR="0034771B" w:rsidRPr="000737EF" w:rsidRDefault="00366134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市场规模和增长</w:t>
      </w:r>
    </w:p>
    <w:p w:rsidR="0034771B" w:rsidRPr="000737EF" w:rsidRDefault="002F310B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2012年全球付费电视</w:t>
      </w:r>
      <w:r w:rsidR="007279B7" w:rsidRPr="000737EF">
        <w:rPr>
          <w:rFonts w:ascii="SimSun" w:hAnsi="SimSun" w:hint="eastAsia"/>
          <w:sz w:val="21"/>
          <w:szCs w:val="21"/>
        </w:rPr>
        <w:t>(</w:t>
      </w:r>
      <w:r w:rsidRPr="000737EF">
        <w:rPr>
          <w:rFonts w:ascii="SimSun" w:hAnsi="SimSun" w:hint="eastAsia"/>
          <w:sz w:val="21"/>
          <w:szCs w:val="21"/>
        </w:rPr>
        <w:t>包括卫星和有线</w:t>
      </w:r>
      <w:r w:rsidR="007279B7" w:rsidRPr="000737EF">
        <w:rPr>
          <w:rFonts w:ascii="SimSun" w:hAnsi="SimSun" w:hint="eastAsia"/>
          <w:sz w:val="21"/>
          <w:szCs w:val="21"/>
        </w:rPr>
        <w:t>)</w:t>
      </w:r>
      <w:r w:rsidRPr="000737EF">
        <w:rPr>
          <w:rFonts w:ascii="SimSun" w:hAnsi="SimSun" w:hint="eastAsia"/>
          <w:sz w:val="21"/>
          <w:szCs w:val="21"/>
        </w:rPr>
        <w:t>的收入是1,830亿美元，订户数量比2008年增加了32%。这种增长主要来自发展中国家，这些国家有34%</w:t>
      </w:r>
      <w:r w:rsidR="003806FE" w:rsidRPr="000737EF">
        <w:rPr>
          <w:rFonts w:ascii="SimSun" w:hAnsi="SimSun" w:hint="eastAsia"/>
          <w:sz w:val="21"/>
          <w:szCs w:val="21"/>
        </w:rPr>
        <w:t>的家庭</w:t>
      </w:r>
      <w:r w:rsidRPr="000737EF">
        <w:rPr>
          <w:rFonts w:ascii="SimSun" w:hAnsi="SimSun" w:hint="eastAsia"/>
          <w:sz w:val="21"/>
          <w:szCs w:val="21"/>
        </w:rPr>
        <w:t>收看付费电视</w:t>
      </w:r>
      <w:r w:rsidR="0037513C" w:rsidRPr="000737EF">
        <w:rPr>
          <w:rStyle w:val="af"/>
          <w:rFonts w:ascii="SimSun" w:hAnsi="SimSun"/>
          <w:sz w:val="21"/>
          <w:szCs w:val="21"/>
        </w:rPr>
        <w:footnoteReference w:id="12"/>
      </w:r>
      <w:r w:rsidRPr="000737EF">
        <w:rPr>
          <w:rFonts w:ascii="SimSun" w:hAnsi="SimSun" w:hint="eastAsia"/>
          <w:sz w:val="21"/>
          <w:szCs w:val="21"/>
        </w:rPr>
        <w:t>。虽然电视</w:t>
      </w:r>
      <w:r w:rsidR="00FE464F" w:rsidRPr="000737EF">
        <w:rPr>
          <w:rFonts w:ascii="SimSun" w:hAnsi="SimSun" w:hint="eastAsia"/>
          <w:sz w:val="21"/>
          <w:szCs w:val="21"/>
        </w:rPr>
        <w:t>订阅收入每</w:t>
      </w:r>
      <w:r w:rsidRPr="000737EF">
        <w:rPr>
          <w:rFonts w:ascii="SimSun" w:hAnsi="SimSun" w:hint="eastAsia"/>
          <w:sz w:val="21"/>
          <w:szCs w:val="21"/>
        </w:rPr>
        <w:t>年</w:t>
      </w:r>
      <w:r w:rsidR="00FE464F" w:rsidRPr="000737EF">
        <w:rPr>
          <w:rFonts w:ascii="SimSun" w:hAnsi="SimSun" w:hint="eastAsia"/>
          <w:sz w:val="21"/>
          <w:szCs w:val="21"/>
        </w:rPr>
        <w:t>以3</w:t>
      </w:r>
      <w:r w:rsidRPr="000737EF">
        <w:rPr>
          <w:rFonts w:ascii="SimSun" w:hAnsi="SimSun" w:hint="eastAsia"/>
          <w:sz w:val="21"/>
          <w:szCs w:val="21"/>
        </w:rPr>
        <w:t>.5</w:t>
      </w:r>
      <w:r w:rsidR="00FE464F" w:rsidRPr="000737EF">
        <w:rPr>
          <w:rFonts w:ascii="SimSun" w:hAnsi="SimSun" w:hint="eastAsia"/>
          <w:sz w:val="21"/>
          <w:szCs w:val="21"/>
        </w:rPr>
        <w:t>%的速度增长</w:t>
      </w:r>
      <w:r w:rsidRPr="000737EF">
        <w:rPr>
          <w:rFonts w:ascii="SimSun" w:hAnsi="SimSun" w:hint="eastAsia"/>
          <w:sz w:val="21"/>
          <w:szCs w:val="21"/>
        </w:rPr>
        <w:t>，政府削减</w:t>
      </w:r>
      <w:r w:rsidR="00FE464F" w:rsidRPr="000737EF">
        <w:rPr>
          <w:rFonts w:ascii="SimSun" w:hAnsi="SimSun" w:hint="eastAsia"/>
          <w:sz w:val="21"/>
          <w:szCs w:val="21"/>
        </w:rPr>
        <w:t>经费意味着</w:t>
      </w:r>
      <w:r w:rsidRPr="000737EF">
        <w:rPr>
          <w:rFonts w:ascii="SimSun" w:hAnsi="SimSun" w:hint="eastAsia"/>
          <w:sz w:val="21"/>
          <w:szCs w:val="21"/>
        </w:rPr>
        <w:t>公共</w:t>
      </w:r>
      <w:r w:rsidR="00FE464F" w:rsidRPr="000737EF">
        <w:rPr>
          <w:rFonts w:ascii="SimSun" w:hAnsi="SimSun" w:hint="eastAsia"/>
          <w:sz w:val="21"/>
          <w:szCs w:val="21"/>
        </w:rPr>
        <w:t>广播资金</w:t>
      </w:r>
      <w:r w:rsidR="0080357A" w:rsidRPr="000737EF">
        <w:rPr>
          <w:rFonts w:ascii="SimSun" w:hAnsi="SimSun" w:hint="eastAsia"/>
          <w:sz w:val="21"/>
          <w:szCs w:val="21"/>
        </w:rPr>
        <w:t>的</w:t>
      </w:r>
      <w:r w:rsidR="00FE464F" w:rsidRPr="000737EF">
        <w:rPr>
          <w:rFonts w:ascii="SimSun" w:hAnsi="SimSun" w:hint="eastAsia"/>
          <w:sz w:val="21"/>
          <w:szCs w:val="21"/>
        </w:rPr>
        <w:t>年</w:t>
      </w:r>
      <w:r w:rsidR="0080357A" w:rsidRPr="000737EF">
        <w:rPr>
          <w:rFonts w:ascii="SimSun" w:hAnsi="SimSun" w:hint="eastAsia"/>
          <w:sz w:val="21"/>
          <w:szCs w:val="21"/>
        </w:rPr>
        <w:t>增长率</w:t>
      </w:r>
      <w:r w:rsidRPr="000737EF">
        <w:rPr>
          <w:rFonts w:ascii="SimSun" w:hAnsi="SimSun" w:hint="eastAsia"/>
          <w:sz w:val="21"/>
          <w:szCs w:val="21"/>
        </w:rPr>
        <w:t>不</w:t>
      </w:r>
      <w:r w:rsidR="00FE464F" w:rsidRPr="000737EF">
        <w:rPr>
          <w:rFonts w:ascii="SimSun" w:hAnsi="SimSun" w:hint="eastAsia"/>
          <w:sz w:val="21"/>
          <w:szCs w:val="21"/>
        </w:rPr>
        <w:t>足</w:t>
      </w:r>
      <w:r w:rsidRPr="000737EF">
        <w:rPr>
          <w:rFonts w:ascii="SimSun" w:hAnsi="SimSun" w:hint="eastAsia"/>
          <w:sz w:val="21"/>
          <w:szCs w:val="21"/>
        </w:rPr>
        <w:t>1</w:t>
      </w:r>
      <w:r w:rsidR="00FE464F" w:rsidRPr="000737EF">
        <w:rPr>
          <w:rFonts w:ascii="SimSun" w:hAnsi="SimSun" w:hint="eastAsia"/>
          <w:sz w:val="21"/>
          <w:szCs w:val="21"/>
        </w:rPr>
        <w:t>%</w:t>
      </w:r>
      <w:r w:rsidR="0037513C" w:rsidRPr="000737EF">
        <w:rPr>
          <w:rStyle w:val="af"/>
          <w:rFonts w:ascii="SimSun" w:hAnsi="SimSun"/>
          <w:sz w:val="21"/>
          <w:szCs w:val="21"/>
        </w:rPr>
        <w:footnoteReference w:id="13"/>
      </w:r>
      <w:r w:rsidR="00FE464F" w:rsidRPr="000737EF">
        <w:rPr>
          <w:rFonts w:ascii="SimSun" w:hAnsi="SimSun" w:hint="eastAsia"/>
          <w:sz w:val="21"/>
          <w:szCs w:val="21"/>
        </w:rPr>
        <w:t>。</w:t>
      </w:r>
    </w:p>
    <w:p w:rsidR="00755EC8" w:rsidRPr="000737EF" w:rsidRDefault="00755EC8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u w:val="single"/>
        </w:rPr>
      </w:pPr>
      <w:r w:rsidRPr="000737EF">
        <w:rPr>
          <w:rFonts w:ascii="SimSun" w:hAnsi="SimSun" w:hint="eastAsia"/>
          <w:sz w:val="21"/>
          <w:szCs w:val="21"/>
        </w:rPr>
        <w:t>大多数家庭都有电视：发达国家的比例为79%，发展中国家为72%。非洲在电视保有量方面的增长率最高，2008年至2012年间为18%</w:t>
      </w:r>
      <w:r w:rsidRPr="000737EF">
        <w:rPr>
          <w:rStyle w:val="af"/>
          <w:rFonts w:ascii="SimSun" w:hAnsi="SimSun"/>
          <w:sz w:val="21"/>
          <w:szCs w:val="21"/>
        </w:rPr>
        <w:footnoteReference w:id="14"/>
      </w:r>
      <w:r w:rsidRPr="000737EF">
        <w:rPr>
          <w:rFonts w:ascii="SimSun" w:hAnsi="SimSun" w:hint="eastAsia"/>
          <w:sz w:val="21"/>
          <w:szCs w:val="21"/>
        </w:rPr>
        <w:t>。预计2016年的全球电视广告收入将达到70亿美元</w:t>
      </w:r>
      <w:r w:rsidRPr="000737EF">
        <w:rPr>
          <w:rStyle w:val="af"/>
          <w:rFonts w:ascii="SimSun" w:hAnsi="SimSun"/>
          <w:sz w:val="21"/>
          <w:szCs w:val="21"/>
        </w:rPr>
        <w:footnoteReference w:id="15"/>
      </w:r>
      <w:r w:rsidRPr="000737EF">
        <w:rPr>
          <w:rFonts w:ascii="SimSun" w:hAnsi="SimSun" w:hint="eastAsia"/>
          <w:sz w:val="21"/>
          <w:szCs w:val="21"/>
        </w:rPr>
        <w:t>。在线电视广告</w:t>
      </w:r>
      <w:r w:rsidRPr="000737EF">
        <w:rPr>
          <w:rStyle w:val="af"/>
          <w:rFonts w:ascii="SimSun" w:hAnsi="SimSun"/>
          <w:sz w:val="21"/>
          <w:szCs w:val="21"/>
        </w:rPr>
        <w:footnoteReference w:id="16"/>
      </w:r>
      <w:r w:rsidRPr="000737EF">
        <w:rPr>
          <w:rFonts w:ascii="SimSun" w:hAnsi="SimSun" w:hint="eastAsia"/>
          <w:sz w:val="21"/>
          <w:szCs w:val="21"/>
        </w:rPr>
        <w:t>以每年20%的速度增长</w:t>
      </w:r>
      <w:r w:rsidRPr="000737EF">
        <w:rPr>
          <w:rStyle w:val="af"/>
          <w:rFonts w:ascii="SimSun" w:hAnsi="SimSun"/>
          <w:sz w:val="21"/>
          <w:szCs w:val="21"/>
        </w:rPr>
        <w:footnoteReference w:id="17"/>
      </w:r>
      <w:r w:rsidRPr="000737EF">
        <w:rPr>
          <w:rFonts w:ascii="SimSun" w:hAnsi="SimSun" w:hint="eastAsia"/>
          <w:sz w:val="21"/>
          <w:szCs w:val="21"/>
        </w:rPr>
        <w:t>。据预测，</w:t>
      </w:r>
      <w:r w:rsidR="00C83D2E" w:rsidRPr="000737EF">
        <w:rPr>
          <w:rFonts w:ascii="SimSun" w:hAnsi="SimSun" w:hint="eastAsia"/>
          <w:sz w:val="21"/>
          <w:szCs w:val="21"/>
        </w:rPr>
        <w:t>未来五年内，</w:t>
      </w:r>
      <w:r w:rsidRPr="000737EF">
        <w:rPr>
          <w:rFonts w:ascii="SimSun" w:hAnsi="SimSun" w:hint="eastAsia"/>
          <w:sz w:val="21"/>
          <w:szCs w:val="21"/>
        </w:rPr>
        <w:t>巴西、</w:t>
      </w:r>
      <w:r w:rsidRPr="000737EF">
        <w:rPr>
          <w:rFonts w:ascii="SimSun" w:hAnsi="SimSun" w:cs="Times New Roman" w:hint="eastAsia"/>
          <w:sz w:val="21"/>
          <w:szCs w:val="21"/>
        </w:rPr>
        <w:t>印度</w:t>
      </w:r>
      <w:r w:rsidRPr="000737EF">
        <w:rPr>
          <w:rFonts w:ascii="SimSun" w:hAnsi="SimSun" w:hint="eastAsia"/>
          <w:sz w:val="21"/>
          <w:szCs w:val="21"/>
        </w:rPr>
        <w:t>和中国在电视广告收入</w:t>
      </w:r>
      <w:r w:rsidR="00323F7E" w:rsidRPr="000737EF">
        <w:rPr>
          <w:rFonts w:ascii="SimSun" w:hAnsi="SimSun" w:hint="eastAsia"/>
          <w:sz w:val="21"/>
          <w:szCs w:val="21"/>
        </w:rPr>
        <w:t>中的</w:t>
      </w:r>
      <w:r w:rsidRPr="000737EF">
        <w:rPr>
          <w:rFonts w:ascii="SimSun" w:hAnsi="SimSun" w:hint="eastAsia"/>
          <w:sz w:val="21"/>
          <w:szCs w:val="21"/>
        </w:rPr>
        <w:t>份额</w:t>
      </w:r>
      <w:r w:rsidR="0072716C" w:rsidRPr="000737EF">
        <w:rPr>
          <w:rFonts w:ascii="SimSun" w:hAnsi="SimSun" w:hint="eastAsia"/>
          <w:sz w:val="21"/>
          <w:szCs w:val="21"/>
        </w:rPr>
        <w:t>将</w:t>
      </w:r>
      <w:r w:rsidR="00323F7E" w:rsidRPr="000737EF">
        <w:rPr>
          <w:rFonts w:ascii="SimSun" w:hAnsi="SimSun" w:hint="eastAsia"/>
          <w:sz w:val="21"/>
          <w:szCs w:val="21"/>
        </w:rPr>
        <w:t>达</w:t>
      </w:r>
      <w:r w:rsidR="0072716C" w:rsidRPr="000737EF">
        <w:rPr>
          <w:rFonts w:ascii="SimSun" w:hAnsi="SimSun" w:hint="eastAsia"/>
          <w:sz w:val="21"/>
          <w:szCs w:val="21"/>
        </w:rPr>
        <w:t>到</w:t>
      </w:r>
      <w:r w:rsidRPr="000737EF">
        <w:rPr>
          <w:rFonts w:ascii="SimSun" w:hAnsi="SimSun" w:hint="eastAsia"/>
          <w:sz w:val="21"/>
          <w:szCs w:val="21"/>
        </w:rPr>
        <w:t>23%</w:t>
      </w:r>
      <w:r w:rsidR="008317D3" w:rsidRPr="000737EF">
        <w:rPr>
          <w:rStyle w:val="af"/>
          <w:rFonts w:ascii="SimSun" w:hAnsi="SimSun"/>
          <w:sz w:val="21"/>
          <w:szCs w:val="21"/>
        </w:rPr>
        <w:footnoteReference w:id="18"/>
      </w:r>
      <w:r w:rsidRPr="000737EF">
        <w:rPr>
          <w:rFonts w:ascii="SimSun" w:hAnsi="SimSun" w:hint="eastAsia"/>
          <w:sz w:val="21"/>
          <w:szCs w:val="21"/>
        </w:rPr>
        <w:t>。</w:t>
      </w:r>
    </w:p>
    <w:p w:rsidR="00746AE0" w:rsidRPr="000737EF" w:rsidRDefault="00784202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数字化</w:t>
      </w:r>
    </w:p>
    <w:p w:rsidR="00746AE0" w:rsidRPr="000737EF" w:rsidRDefault="00784202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各种新技术，包括数字视频录制、在线流媒体和数字媒体播放器等，正在使广播转型。互联网传输减轻了这个行业对有线或卫星的依赖程度。随着传播渠道的增加，争夺观众的竞争也在加剧，因为市场上增加了新的要素，观众因固定广播时间表所受的限制也减少了。</w:t>
      </w:r>
    </w:p>
    <w:p w:rsidR="00746AE0" w:rsidRPr="000737EF" w:rsidRDefault="00784202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广播业的核心价值</w:t>
      </w:r>
      <w:proofErr w:type="gramStart"/>
      <w:r w:rsidRPr="000737EF">
        <w:rPr>
          <w:rFonts w:ascii="SimSun" w:hAnsi="SimSun" w:hint="eastAsia"/>
          <w:sz w:val="21"/>
          <w:szCs w:val="21"/>
        </w:rPr>
        <w:t>链得以</w:t>
      </w:r>
      <w:proofErr w:type="gramEnd"/>
      <w:r w:rsidRPr="000737EF">
        <w:rPr>
          <w:rFonts w:ascii="SimSun" w:hAnsi="SimSun" w:hint="eastAsia"/>
          <w:sz w:val="21"/>
          <w:szCs w:val="21"/>
        </w:rPr>
        <w:t>继续，因为制作、节目编排和销售仍是其主要活动；广告和订阅方面的收入仍是商业广播机构的重要来源。</w:t>
      </w:r>
    </w:p>
    <w:p w:rsidR="00746AE0" w:rsidRPr="000737EF" w:rsidRDefault="00425ACA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广播</w:t>
      </w:r>
      <w:r w:rsidR="00BC02FD" w:rsidRPr="000737EF">
        <w:rPr>
          <w:rFonts w:ascii="KaiTi" w:eastAsia="KaiTi" w:hAnsi="KaiTi" w:hint="eastAsia"/>
          <w:sz w:val="21"/>
          <w:szCs w:val="21"/>
        </w:rPr>
        <w:t>电台</w:t>
      </w:r>
    </w:p>
    <w:p w:rsidR="00746AE0" w:rsidRPr="000737EF" w:rsidRDefault="00425ACA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和电视一样，广播</w:t>
      </w:r>
      <w:r w:rsidR="003372D2" w:rsidRPr="000737EF">
        <w:rPr>
          <w:rFonts w:ascii="SimSun" w:hAnsi="SimSun" w:hint="eastAsia"/>
          <w:sz w:val="21"/>
          <w:szCs w:val="21"/>
        </w:rPr>
        <w:t>电台</w:t>
      </w:r>
      <w:r w:rsidRPr="000737EF">
        <w:rPr>
          <w:rFonts w:ascii="SimSun" w:hAnsi="SimSun" w:hint="eastAsia"/>
          <w:sz w:val="21"/>
          <w:szCs w:val="21"/>
        </w:rPr>
        <w:t>市场</w:t>
      </w:r>
      <w:r w:rsidR="00BC02FD" w:rsidRPr="000737EF">
        <w:rPr>
          <w:rFonts w:ascii="SimSun" w:hAnsi="SimSun" w:hint="eastAsia"/>
          <w:sz w:val="21"/>
          <w:szCs w:val="21"/>
        </w:rPr>
        <w:t>也</w:t>
      </w:r>
      <w:r w:rsidRPr="000737EF">
        <w:rPr>
          <w:rFonts w:ascii="SimSun" w:hAnsi="SimSun" w:hint="eastAsia"/>
          <w:sz w:val="21"/>
          <w:szCs w:val="21"/>
        </w:rPr>
        <w:t>正经历着广告和新</w:t>
      </w:r>
      <w:r w:rsidR="00BC02FD" w:rsidRPr="000737EF">
        <w:rPr>
          <w:rFonts w:ascii="SimSun" w:hAnsi="SimSun" w:hint="eastAsia"/>
          <w:sz w:val="21"/>
          <w:szCs w:val="21"/>
        </w:rPr>
        <w:t>形式方面的</w:t>
      </w:r>
      <w:r w:rsidRPr="000737EF">
        <w:rPr>
          <w:rFonts w:ascii="SimSun" w:hAnsi="SimSun" w:hint="eastAsia"/>
          <w:sz w:val="21"/>
          <w:szCs w:val="21"/>
        </w:rPr>
        <w:t>变化</w:t>
      </w:r>
      <w:r w:rsidR="00BC02FD" w:rsidRPr="000737EF">
        <w:rPr>
          <w:rFonts w:ascii="SimSun" w:hAnsi="SimSun" w:hint="eastAsia"/>
          <w:sz w:val="21"/>
          <w:szCs w:val="21"/>
        </w:rPr>
        <w:t>，这些新形式包括付费</w:t>
      </w:r>
      <w:r w:rsidRPr="000737EF">
        <w:rPr>
          <w:rFonts w:ascii="SimSun" w:hAnsi="SimSun" w:hint="eastAsia"/>
          <w:sz w:val="21"/>
          <w:szCs w:val="21"/>
        </w:rPr>
        <w:t>广播频道</w:t>
      </w:r>
      <w:r w:rsidR="00BC02FD" w:rsidRPr="000737EF">
        <w:rPr>
          <w:rFonts w:ascii="SimSun" w:hAnsi="SimSun" w:hint="eastAsia"/>
          <w:sz w:val="21"/>
          <w:szCs w:val="21"/>
        </w:rPr>
        <w:t>、</w:t>
      </w:r>
      <w:r w:rsidRPr="000737EF">
        <w:rPr>
          <w:rFonts w:ascii="SimSun" w:hAnsi="SimSun" w:hint="eastAsia"/>
          <w:sz w:val="21"/>
          <w:szCs w:val="21"/>
        </w:rPr>
        <w:t>在线电台</w:t>
      </w:r>
      <w:proofErr w:type="gramStart"/>
      <w:r w:rsidRPr="000737EF">
        <w:rPr>
          <w:rFonts w:ascii="SimSun" w:hAnsi="SimSun" w:hint="eastAsia"/>
          <w:sz w:val="21"/>
          <w:szCs w:val="21"/>
        </w:rPr>
        <w:t>和播客</w:t>
      </w:r>
      <w:proofErr w:type="gramEnd"/>
      <w:r w:rsidR="00BC02FD" w:rsidRPr="000737EF">
        <w:rPr>
          <w:rFonts w:ascii="SimSun" w:hAnsi="SimSun" w:hint="eastAsia"/>
          <w:sz w:val="21"/>
          <w:szCs w:val="21"/>
        </w:rPr>
        <w:t>等</w:t>
      </w:r>
      <w:r w:rsidRPr="000737EF">
        <w:rPr>
          <w:rFonts w:ascii="SimSun" w:hAnsi="SimSun" w:hint="eastAsia"/>
          <w:sz w:val="21"/>
          <w:szCs w:val="21"/>
        </w:rPr>
        <w:t>。</w:t>
      </w:r>
      <w:r w:rsidR="003372D2" w:rsidRPr="000737EF">
        <w:rPr>
          <w:rFonts w:ascii="SimSun" w:hAnsi="SimSun" w:hint="eastAsia"/>
          <w:sz w:val="21"/>
          <w:szCs w:val="21"/>
        </w:rPr>
        <w:t>广播</w:t>
      </w:r>
      <w:r w:rsidRPr="000737EF">
        <w:rPr>
          <w:rFonts w:ascii="SimSun" w:hAnsi="SimSun" w:hint="eastAsia"/>
          <w:sz w:val="21"/>
          <w:szCs w:val="21"/>
        </w:rPr>
        <w:t>电台的市场渗透力正在下降。</w:t>
      </w:r>
    </w:p>
    <w:p w:rsidR="00746AE0" w:rsidRPr="000737EF" w:rsidRDefault="001B71BF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新兴模式</w:t>
      </w:r>
    </w:p>
    <w:p w:rsidR="00746AE0" w:rsidRPr="000737EF" w:rsidRDefault="00EB29CC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美国公司Netflix展示了传输方式的数字化转型。Netflix公司原先是一个具有在线界面的DVD介质邮购租赁公司，后来转为在线流媒体。</w:t>
      </w:r>
      <w:r w:rsidRPr="000737EF">
        <w:rPr>
          <w:rStyle w:val="hps"/>
          <w:rFonts w:ascii="SimSun" w:hAnsi="SimSun" w:hint="eastAsia"/>
          <w:sz w:val="21"/>
          <w:szCs w:val="21"/>
        </w:rPr>
        <w:t>2013年，</w:t>
      </w:r>
      <w:r w:rsidRPr="000737EF">
        <w:rPr>
          <w:rFonts w:ascii="SimSun" w:hAnsi="SimSun" w:hint="eastAsia"/>
          <w:sz w:val="21"/>
          <w:szCs w:val="21"/>
        </w:rPr>
        <w:t>公司推出原创内容流媒体服务，在这种服务中，Netflix</w:t>
      </w:r>
      <w:r w:rsidR="003649E4" w:rsidRPr="000737EF">
        <w:rPr>
          <w:rFonts w:ascii="SimSun" w:hAnsi="SimSun" w:hint="eastAsia"/>
          <w:sz w:val="21"/>
          <w:szCs w:val="21"/>
        </w:rPr>
        <w:t>是</w:t>
      </w:r>
      <w:r w:rsidR="00AE1462" w:rsidRPr="000737EF">
        <w:rPr>
          <w:rFonts w:ascii="SimSun" w:hAnsi="SimSun" w:hint="eastAsia"/>
          <w:sz w:val="21"/>
          <w:szCs w:val="21"/>
        </w:rPr>
        <w:t>《纸牌屋》等</w:t>
      </w:r>
      <w:r w:rsidR="00166D63" w:rsidRPr="000737EF">
        <w:rPr>
          <w:rFonts w:ascii="SimSun" w:hAnsi="SimSun" w:hint="eastAsia"/>
          <w:sz w:val="21"/>
          <w:szCs w:val="21"/>
        </w:rPr>
        <w:t>剧</w:t>
      </w:r>
      <w:r w:rsidR="00AE1462" w:rsidRPr="000737EF">
        <w:rPr>
          <w:rFonts w:ascii="SimSun" w:hAnsi="SimSun" w:hint="eastAsia"/>
          <w:sz w:val="21"/>
          <w:szCs w:val="21"/>
        </w:rPr>
        <w:t>目的首播</w:t>
      </w:r>
      <w:r w:rsidR="003649E4" w:rsidRPr="000737EF">
        <w:rPr>
          <w:rFonts w:ascii="SimSun" w:hAnsi="SimSun" w:hint="eastAsia"/>
          <w:sz w:val="21"/>
          <w:szCs w:val="21"/>
        </w:rPr>
        <w:t>发行方</w:t>
      </w:r>
      <w:r w:rsidRPr="000737EF">
        <w:rPr>
          <w:rFonts w:ascii="SimSun" w:hAnsi="SimSun" w:hint="eastAsia"/>
          <w:sz w:val="21"/>
          <w:szCs w:val="21"/>
        </w:rPr>
        <w:t>，而不是</w:t>
      </w:r>
      <w:r w:rsidR="00AE1462" w:rsidRPr="000737EF">
        <w:rPr>
          <w:rFonts w:ascii="SimSun" w:hAnsi="SimSun" w:hint="eastAsia"/>
          <w:sz w:val="21"/>
          <w:szCs w:val="21"/>
        </w:rPr>
        <w:t>转播发行</w:t>
      </w:r>
      <w:r w:rsidR="003649E4" w:rsidRPr="000737EF">
        <w:rPr>
          <w:rFonts w:ascii="SimSun" w:hAnsi="SimSun" w:hint="eastAsia"/>
          <w:sz w:val="21"/>
          <w:szCs w:val="21"/>
        </w:rPr>
        <w:t>方</w:t>
      </w:r>
      <w:r w:rsidR="00AE1462" w:rsidRPr="000737EF">
        <w:rPr>
          <w:rFonts w:ascii="SimSun" w:hAnsi="SimSun" w:hint="eastAsia"/>
          <w:sz w:val="21"/>
          <w:szCs w:val="21"/>
        </w:rPr>
        <w:t>。</w:t>
      </w:r>
    </w:p>
    <w:p w:rsidR="00746AE0" w:rsidRPr="000737EF" w:rsidRDefault="00AB4E86" w:rsidP="00B74801">
      <w:pPr>
        <w:pStyle w:val="1"/>
        <w:numPr>
          <w:ilvl w:val="0"/>
          <w:numId w:val="10"/>
        </w:numPr>
        <w:spacing w:beforeLines="10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 w:rsidRPr="000737EF">
        <w:rPr>
          <w:rFonts w:ascii="SimHei" w:eastAsia="SimHei" w:hAnsi="SimHei" w:hint="eastAsia"/>
          <w:b w:val="0"/>
          <w:sz w:val="21"/>
          <w:szCs w:val="21"/>
        </w:rPr>
        <w:t>出</w:t>
      </w:r>
      <w:r w:rsidR="006169DE" w:rsidRPr="000737EF">
        <w:rPr>
          <w:rFonts w:ascii="SimHei" w:eastAsia="SimHei" w:hAnsi="SimHei"/>
          <w:b w:val="0"/>
          <w:sz w:val="21"/>
          <w:szCs w:val="21"/>
        </w:rPr>
        <w:t xml:space="preserve">  </w:t>
      </w:r>
      <w:r w:rsidRPr="000737EF">
        <w:rPr>
          <w:rFonts w:ascii="SimHei" w:eastAsia="SimHei" w:hAnsi="SimHei" w:hint="eastAsia"/>
          <w:b w:val="0"/>
          <w:sz w:val="21"/>
          <w:szCs w:val="21"/>
        </w:rPr>
        <w:t>版</w:t>
      </w:r>
    </w:p>
    <w:p w:rsidR="00746AE0" w:rsidRPr="000737EF" w:rsidRDefault="00AB4E86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proofErr w:type="gramStart"/>
      <w:r w:rsidRPr="000737EF">
        <w:rPr>
          <w:rFonts w:ascii="KaiTi" w:eastAsia="KaiTi" w:hAnsi="KaiTi" w:hint="eastAsia"/>
          <w:sz w:val="21"/>
          <w:szCs w:val="21"/>
        </w:rPr>
        <w:t>综</w:t>
      </w:r>
      <w:proofErr w:type="gramEnd"/>
      <w:r w:rsidR="006169DE" w:rsidRPr="000737EF">
        <w:rPr>
          <w:rFonts w:ascii="SimHei" w:eastAsia="SimHei" w:hAnsi="SimHei"/>
          <w:sz w:val="21"/>
          <w:szCs w:val="21"/>
        </w:rPr>
        <w:t xml:space="preserve">  </w:t>
      </w:r>
      <w:r w:rsidRPr="000737EF">
        <w:rPr>
          <w:rFonts w:ascii="KaiTi" w:eastAsia="KaiTi" w:hAnsi="KaiTi" w:hint="eastAsia"/>
          <w:sz w:val="21"/>
          <w:szCs w:val="21"/>
        </w:rPr>
        <w:t>述</w:t>
      </w:r>
    </w:p>
    <w:p w:rsidR="00746AE0" w:rsidRPr="000737EF" w:rsidRDefault="00166D63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电子商务和电子出版的兴起使价值链发生转移，</w:t>
      </w:r>
      <w:r w:rsidR="001A4E5A" w:rsidRPr="000737EF">
        <w:rPr>
          <w:rFonts w:ascii="SimSun" w:hAnsi="SimSun" w:hint="eastAsia"/>
          <w:sz w:val="21"/>
          <w:szCs w:val="21"/>
        </w:rPr>
        <w:t>图书出版业</w:t>
      </w:r>
      <w:r w:rsidRPr="000737EF">
        <w:rPr>
          <w:rFonts w:ascii="SimSun" w:hAnsi="SimSun" w:hint="eastAsia"/>
          <w:sz w:val="21"/>
          <w:szCs w:val="21"/>
        </w:rPr>
        <w:t>也</w:t>
      </w:r>
      <w:r w:rsidRPr="000737EF">
        <w:rPr>
          <w:rFonts w:ascii="SimSun" w:hAnsi="SimSun" w:cs="Times New Roman" w:hint="eastAsia"/>
          <w:sz w:val="21"/>
          <w:szCs w:val="21"/>
        </w:rPr>
        <w:t>因此</w:t>
      </w:r>
      <w:r w:rsidRPr="000737EF">
        <w:rPr>
          <w:rFonts w:ascii="SimSun" w:hAnsi="SimSun" w:hint="eastAsia"/>
          <w:sz w:val="21"/>
          <w:szCs w:val="21"/>
        </w:rPr>
        <w:t>发生变化</w:t>
      </w:r>
      <w:r w:rsidR="001A4E5A" w:rsidRPr="000737EF">
        <w:rPr>
          <w:rFonts w:ascii="SimSun" w:hAnsi="SimSun" w:hint="eastAsia"/>
          <w:sz w:val="21"/>
          <w:szCs w:val="21"/>
        </w:rPr>
        <w:t>。新兴技术和不断变化的零售环境表明市场在不断</w:t>
      </w:r>
      <w:r w:rsidR="002E5334" w:rsidRPr="000737EF">
        <w:rPr>
          <w:rFonts w:ascii="SimSun" w:hAnsi="SimSun" w:hint="eastAsia"/>
          <w:sz w:val="21"/>
          <w:szCs w:val="21"/>
        </w:rPr>
        <w:t>发展</w:t>
      </w:r>
      <w:r w:rsidR="001A4E5A" w:rsidRPr="000737EF">
        <w:rPr>
          <w:rFonts w:ascii="SimSun" w:hAnsi="SimSun" w:hint="eastAsia"/>
          <w:sz w:val="21"/>
          <w:szCs w:val="21"/>
        </w:rPr>
        <w:t>。杂志的情况与此类似。</w:t>
      </w:r>
    </w:p>
    <w:p w:rsidR="00746AE0" w:rsidRPr="000737EF" w:rsidRDefault="0093229A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市场规模和增长</w:t>
      </w:r>
    </w:p>
    <w:p w:rsidR="007E3D8C" w:rsidRPr="000737EF" w:rsidRDefault="0093229A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市场价值达1,140亿欧元</w:t>
      </w:r>
      <w:r w:rsidR="003B402E" w:rsidRPr="000737EF">
        <w:rPr>
          <w:rStyle w:val="af"/>
          <w:rFonts w:ascii="SimSun" w:hAnsi="SimSun"/>
          <w:sz w:val="21"/>
          <w:szCs w:val="21"/>
        </w:rPr>
        <w:footnoteReference w:id="19"/>
      </w:r>
      <w:r w:rsidRPr="000737EF">
        <w:rPr>
          <w:rFonts w:ascii="SimSun" w:hAnsi="SimSun" w:hint="eastAsia"/>
          <w:sz w:val="21"/>
          <w:szCs w:val="21"/>
        </w:rPr>
        <w:t>。在消费者用于媒体和娱乐的支出中，图书占15%</w:t>
      </w:r>
      <w:r w:rsidR="003B402E" w:rsidRPr="000737EF">
        <w:rPr>
          <w:rStyle w:val="af"/>
          <w:rFonts w:ascii="SimSun" w:hAnsi="SimSun"/>
          <w:sz w:val="21"/>
          <w:szCs w:val="21"/>
        </w:rPr>
        <w:footnoteReference w:id="20"/>
      </w:r>
      <w:r w:rsidRPr="000737EF">
        <w:rPr>
          <w:rFonts w:ascii="SimSun" w:hAnsi="SimSun" w:hint="eastAsia"/>
          <w:sz w:val="21"/>
          <w:szCs w:val="21"/>
        </w:rPr>
        <w:t>。电子书销量不断增长，</w:t>
      </w:r>
      <w:r w:rsidR="00FF23C0" w:rsidRPr="000737EF">
        <w:rPr>
          <w:rFonts w:ascii="SimSun" w:hAnsi="SimSun" w:hint="eastAsia"/>
          <w:sz w:val="21"/>
          <w:szCs w:val="21"/>
        </w:rPr>
        <w:t>全球</w:t>
      </w:r>
      <w:r w:rsidRPr="000737EF">
        <w:rPr>
          <w:rFonts w:ascii="SimSun" w:hAnsi="SimSun" w:hint="eastAsia"/>
          <w:sz w:val="21"/>
          <w:szCs w:val="21"/>
        </w:rPr>
        <w:t>电子阅读器市场自2008年以来增长了近二十倍</w:t>
      </w:r>
      <w:r w:rsidR="003B402E" w:rsidRPr="000737EF">
        <w:rPr>
          <w:rStyle w:val="af"/>
          <w:rFonts w:ascii="SimSun" w:hAnsi="SimSun"/>
          <w:sz w:val="21"/>
          <w:szCs w:val="21"/>
        </w:rPr>
        <w:footnoteReference w:id="21"/>
      </w:r>
      <w:r w:rsidRPr="000737EF">
        <w:rPr>
          <w:rFonts w:ascii="SimSun" w:hAnsi="SimSun" w:hint="eastAsia"/>
          <w:sz w:val="21"/>
          <w:szCs w:val="21"/>
        </w:rPr>
        <w:t>。</w:t>
      </w:r>
    </w:p>
    <w:p w:rsidR="00746AE0" w:rsidRPr="000737EF" w:rsidRDefault="0093229A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市场</w:t>
      </w:r>
      <w:r w:rsidR="00FF23C0" w:rsidRPr="000737EF">
        <w:rPr>
          <w:rFonts w:ascii="SimSun" w:hAnsi="SimSun" w:hint="eastAsia"/>
          <w:sz w:val="21"/>
          <w:szCs w:val="21"/>
        </w:rPr>
        <w:t>增长情况不尽相同</w:t>
      </w:r>
      <w:r w:rsidRPr="000737EF">
        <w:rPr>
          <w:rFonts w:ascii="SimSun" w:hAnsi="SimSun" w:hint="eastAsia"/>
          <w:sz w:val="21"/>
          <w:szCs w:val="21"/>
        </w:rPr>
        <w:t>。虽然电子书的份额不断增加，图书</w:t>
      </w:r>
      <w:r w:rsidR="00FF23C0" w:rsidRPr="000737EF">
        <w:rPr>
          <w:rFonts w:ascii="SimSun" w:hAnsi="SimSun" w:hint="eastAsia"/>
          <w:sz w:val="21"/>
          <w:szCs w:val="21"/>
        </w:rPr>
        <w:t>整体</w:t>
      </w:r>
      <w:r w:rsidRPr="000737EF">
        <w:rPr>
          <w:rFonts w:ascii="SimSun" w:hAnsi="SimSun" w:hint="eastAsia"/>
          <w:sz w:val="21"/>
          <w:szCs w:val="21"/>
        </w:rPr>
        <w:t>销量</w:t>
      </w:r>
      <w:r w:rsidR="00FF23C0" w:rsidRPr="000737EF">
        <w:rPr>
          <w:rFonts w:ascii="SimSun" w:hAnsi="SimSun" w:hint="eastAsia"/>
          <w:sz w:val="21"/>
          <w:szCs w:val="21"/>
        </w:rPr>
        <w:t>在发达国家出现</w:t>
      </w:r>
      <w:r w:rsidRPr="000737EF">
        <w:rPr>
          <w:rFonts w:ascii="SimSun" w:hAnsi="SimSun" w:hint="eastAsia"/>
          <w:sz w:val="21"/>
          <w:szCs w:val="21"/>
        </w:rPr>
        <w:t>下降或持平</w:t>
      </w:r>
      <w:r w:rsidR="00FF23C0" w:rsidRPr="000737EF">
        <w:rPr>
          <w:rFonts w:ascii="SimSun" w:hAnsi="SimSun" w:hint="eastAsia"/>
          <w:sz w:val="21"/>
          <w:szCs w:val="21"/>
        </w:rPr>
        <w:t>，在</w:t>
      </w:r>
      <w:r w:rsidRPr="000737EF">
        <w:rPr>
          <w:rFonts w:ascii="SimSun" w:hAnsi="SimSun" w:hint="eastAsia"/>
          <w:sz w:val="21"/>
          <w:szCs w:val="21"/>
        </w:rPr>
        <w:t>发展中国家</w:t>
      </w:r>
      <w:r w:rsidR="00FF23C0" w:rsidRPr="000737EF">
        <w:rPr>
          <w:rFonts w:ascii="SimSun" w:hAnsi="SimSun" w:hint="eastAsia"/>
          <w:sz w:val="21"/>
          <w:szCs w:val="21"/>
        </w:rPr>
        <w:t>略有</w:t>
      </w:r>
      <w:r w:rsidRPr="000737EF">
        <w:rPr>
          <w:rFonts w:ascii="SimSun" w:hAnsi="SimSun" w:hint="eastAsia"/>
          <w:sz w:val="21"/>
          <w:szCs w:val="21"/>
        </w:rPr>
        <w:t>增长。总体而言，</w:t>
      </w:r>
      <w:r w:rsidR="00FF23C0" w:rsidRPr="000737EF">
        <w:rPr>
          <w:rFonts w:ascii="SimSun" w:hAnsi="SimSun" w:hint="eastAsia"/>
          <w:sz w:val="21"/>
          <w:szCs w:val="21"/>
        </w:rPr>
        <w:t>这一</w:t>
      </w:r>
      <w:r w:rsidR="002E5334" w:rsidRPr="000737EF">
        <w:rPr>
          <w:rFonts w:ascii="SimSun" w:hAnsi="SimSun" w:hint="eastAsia"/>
          <w:sz w:val="21"/>
          <w:szCs w:val="21"/>
        </w:rPr>
        <w:t>市场</w:t>
      </w:r>
      <w:r w:rsidRPr="000737EF">
        <w:rPr>
          <w:rFonts w:ascii="SimSun" w:hAnsi="SimSun" w:hint="eastAsia"/>
          <w:sz w:val="21"/>
          <w:szCs w:val="21"/>
        </w:rPr>
        <w:t>在过去五年中</w:t>
      </w:r>
      <w:r w:rsidR="00FF23C0" w:rsidRPr="000737EF">
        <w:rPr>
          <w:rFonts w:ascii="SimSun" w:hAnsi="SimSun" w:hint="eastAsia"/>
          <w:sz w:val="21"/>
          <w:szCs w:val="21"/>
        </w:rPr>
        <w:t>的</w:t>
      </w:r>
      <w:r w:rsidR="0064168A" w:rsidRPr="000737EF">
        <w:rPr>
          <w:rFonts w:ascii="SimSun" w:hAnsi="SimSun" w:hint="eastAsia"/>
          <w:sz w:val="21"/>
          <w:szCs w:val="21"/>
        </w:rPr>
        <w:t>收入</w:t>
      </w:r>
      <w:r w:rsidR="00FF23C0" w:rsidRPr="000737EF">
        <w:rPr>
          <w:rFonts w:ascii="SimSun" w:hAnsi="SimSun" w:hint="eastAsia"/>
          <w:sz w:val="21"/>
          <w:szCs w:val="21"/>
        </w:rPr>
        <w:t>增长率为</w:t>
      </w:r>
      <w:r w:rsidRPr="000737EF">
        <w:rPr>
          <w:rFonts w:ascii="SimSun" w:hAnsi="SimSun" w:hint="eastAsia"/>
          <w:sz w:val="21"/>
          <w:szCs w:val="21"/>
        </w:rPr>
        <w:t>0</w:t>
      </w:r>
      <w:r w:rsidR="00FF23C0" w:rsidRPr="000737EF">
        <w:rPr>
          <w:rFonts w:ascii="SimSun" w:hAnsi="SimSun" w:hint="eastAsia"/>
          <w:sz w:val="21"/>
          <w:szCs w:val="21"/>
        </w:rPr>
        <w:t>%</w:t>
      </w:r>
      <w:r w:rsidRPr="000737EF">
        <w:rPr>
          <w:rFonts w:ascii="SimSun" w:hAnsi="SimSun" w:hint="eastAsia"/>
          <w:sz w:val="21"/>
          <w:szCs w:val="21"/>
        </w:rPr>
        <w:t>。</w:t>
      </w:r>
    </w:p>
    <w:p w:rsidR="00746AE0" w:rsidRPr="000737EF" w:rsidRDefault="00FF23C0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数字化</w:t>
      </w:r>
    </w:p>
    <w:p w:rsidR="00746AE0" w:rsidRPr="000737EF" w:rsidRDefault="00A15ED8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数字化对图书出版的最大影响是</w:t>
      </w:r>
      <w:hyperlink r:id="rId10" w:history="1">
        <w:r w:rsidRPr="000737EF">
          <w:rPr>
            <w:rStyle w:val="af0"/>
            <w:rFonts w:ascii="SimSun" w:hAnsi="SimSun" w:hint="eastAsia"/>
            <w:color w:val="auto"/>
            <w:sz w:val="21"/>
            <w:szCs w:val="21"/>
            <w:u w:val="none"/>
          </w:rPr>
          <w:t>www.Amazon.com</w:t>
        </w:r>
      </w:hyperlink>
      <w:r w:rsidRPr="000737EF">
        <w:rPr>
          <w:rFonts w:ascii="SimSun" w:hAnsi="SimSun" w:hint="eastAsia"/>
          <w:sz w:val="21"/>
          <w:szCs w:val="21"/>
        </w:rPr>
        <w:t>这样的在线图书零售商引进电子商务这一点。在美国市场上，电子商务带来的竞争限制了书店的发展空间，并使书价降低了约40%。</w:t>
      </w:r>
    </w:p>
    <w:p w:rsidR="007E3D8C" w:rsidRPr="000737EF" w:rsidRDefault="003E0414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由于</w:t>
      </w:r>
      <w:r w:rsidR="00A15ED8" w:rsidRPr="000737EF">
        <w:rPr>
          <w:rFonts w:ascii="SimSun" w:hAnsi="SimSun" w:hint="eastAsia"/>
          <w:sz w:val="21"/>
          <w:szCs w:val="21"/>
        </w:rPr>
        <w:t>出版商可以销售电子版</w:t>
      </w:r>
      <w:r w:rsidRPr="000737EF">
        <w:rPr>
          <w:rFonts w:ascii="SimSun" w:hAnsi="SimSun" w:hint="eastAsia"/>
          <w:sz w:val="21"/>
          <w:szCs w:val="21"/>
        </w:rPr>
        <w:t>，</w:t>
      </w:r>
      <w:r w:rsidR="00E33080" w:rsidRPr="000737EF">
        <w:rPr>
          <w:rFonts w:ascii="SimSun" w:hAnsi="SimSun" w:hint="eastAsia"/>
          <w:sz w:val="21"/>
          <w:szCs w:val="21"/>
        </w:rPr>
        <w:t>这</w:t>
      </w:r>
      <w:r w:rsidRPr="000737EF">
        <w:rPr>
          <w:rFonts w:ascii="SimSun" w:hAnsi="SimSun" w:hint="eastAsia"/>
          <w:sz w:val="21"/>
          <w:szCs w:val="21"/>
        </w:rPr>
        <w:t>给电子书带来新机遇</w:t>
      </w:r>
      <w:r w:rsidR="00A15ED8" w:rsidRPr="000737EF">
        <w:rPr>
          <w:rFonts w:ascii="SimSun" w:hAnsi="SimSun" w:hint="eastAsia"/>
          <w:sz w:val="21"/>
          <w:szCs w:val="21"/>
        </w:rPr>
        <w:t>。电子书降低了每本书的成本</w:t>
      </w:r>
      <w:r w:rsidRPr="000737EF">
        <w:rPr>
          <w:rFonts w:ascii="SimSun" w:hAnsi="SimSun" w:hint="eastAsia"/>
          <w:sz w:val="21"/>
          <w:szCs w:val="21"/>
        </w:rPr>
        <w:t>，</w:t>
      </w:r>
      <w:r w:rsidR="00A15ED8" w:rsidRPr="000737EF">
        <w:rPr>
          <w:rFonts w:ascii="SimSun" w:hAnsi="SimSun" w:hint="eastAsia"/>
          <w:sz w:val="21"/>
          <w:szCs w:val="21"/>
        </w:rPr>
        <w:t>并</w:t>
      </w:r>
      <w:r w:rsidR="005712F6" w:rsidRPr="000737EF">
        <w:rPr>
          <w:rFonts w:ascii="SimSun" w:hAnsi="SimSun" w:hint="eastAsia"/>
          <w:sz w:val="21"/>
          <w:szCs w:val="21"/>
        </w:rPr>
        <w:t>从经济上</w:t>
      </w:r>
      <w:r w:rsidRPr="000737EF">
        <w:rPr>
          <w:rFonts w:ascii="SimSun" w:hAnsi="SimSun" w:hint="eastAsia"/>
          <w:sz w:val="21"/>
          <w:szCs w:val="21"/>
        </w:rPr>
        <w:t>使得按章节售书</w:t>
      </w:r>
      <w:r w:rsidR="005712F6" w:rsidRPr="000737EF">
        <w:rPr>
          <w:rFonts w:ascii="SimSun" w:hAnsi="SimSun" w:hint="eastAsia"/>
          <w:sz w:val="21"/>
          <w:szCs w:val="21"/>
        </w:rPr>
        <w:t>具备了可</w:t>
      </w:r>
      <w:r w:rsidR="00A15ED8" w:rsidRPr="000737EF">
        <w:rPr>
          <w:rFonts w:ascii="SimSun" w:hAnsi="SimSun" w:hint="eastAsia"/>
          <w:sz w:val="21"/>
          <w:szCs w:val="21"/>
        </w:rPr>
        <w:t>行性。新的定价策略，</w:t>
      </w:r>
      <w:r w:rsidR="005712F6" w:rsidRPr="000737EF">
        <w:rPr>
          <w:rFonts w:ascii="SimSun" w:hAnsi="SimSun" w:hint="eastAsia"/>
          <w:sz w:val="21"/>
          <w:szCs w:val="21"/>
        </w:rPr>
        <w:t>例如法国</w:t>
      </w:r>
      <w:proofErr w:type="spellStart"/>
      <w:r w:rsidR="005712F6" w:rsidRPr="000737EF">
        <w:rPr>
          <w:rFonts w:ascii="SimSun" w:hAnsi="SimSun" w:hint="eastAsia"/>
          <w:sz w:val="21"/>
          <w:szCs w:val="21"/>
        </w:rPr>
        <w:t>Izneo</w:t>
      </w:r>
      <w:proofErr w:type="spellEnd"/>
      <w:r w:rsidR="005712F6" w:rsidRPr="000737EF">
        <w:rPr>
          <w:rFonts w:ascii="SimSun" w:hAnsi="SimSun" w:hint="eastAsia"/>
          <w:sz w:val="21"/>
          <w:szCs w:val="21"/>
        </w:rPr>
        <w:t>和</w:t>
      </w:r>
      <w:r w:rsidR="005712F6" w:rsidRPr="000737EF">
        <w:rPr>
          <w:rFonts w:ascii="SimSun" w:hAnsi="SimSun" w:cs="Times New Roman" w:hint="eastAsia"/>
          <w:sz w:val="21"/>
          <w:szCs w:val="21"/>
        </w:rPr>
        <w:t>德国</w:t>
      </w:r>
      <w:proofErr w:type="spellStart"/>
      <w:r w:rsidR="005712F6" w:rsidRPr="000737EF">
        <w:rPr>
          <w:rFonts w:ascii="SimSun" w:hAnsi="SimSun" w:hint="eastAsia"/>
          <w:sz w:val="21"/>
          <w:szCs w:val="21"/>
        </w:rPr>
        <w:t>Tolino</w:t>
      </w:r>
      <w:proofErr w:type="spellEnd"/>
      <w:r w:rsidR="005712F6" w:rsidRPr="000737EF">
        <w:rPr>
          <w:rFonts w:ascii="SimSun" w:hAnsi="SimSun" w:hint="eastAsia"/>
          <w:sz w:val="21"/>
          <w:szCs w:val="21"/>
        </w:rPr>
        <w:t>这样的</w:t>
      </w:r>
      <w:r w:rsidR="00A15ED8" w:rsidRPr="000737EF">
        <w:rPr>
          <w:rFonts w:ascii="SimSun" w:hAnsi="SimSun" w:hint="eastAsia"/>
          <w:sz w:val="21"/>
          <w:szCs w:val="21"/>
        </w:rPr>
        <w:t>订阅服务，改变</w:t>
      </w:r>
      <w:r w:rsidR="005712F6" w:rsidRPr="000737EF">
        <w:rPr>
          <w:rFonts w:ascii="SimSun" w:hAnsi="SimSun" w:hint="eastAsia"/>
          <w:sz w:val="21"/>
          <w:szCs w:val="21"/>
        </w:rPr>
        <w:t>了</w:t>
      </w:r>
      <w:r w:rsidR="00A15ED8" w:rsidRPr="000737EF">
        <w:rPr>
          <w:rFonts w:ascii="SimSun" w:hAnsi="SimSun" w:hint="eastAsia"/>
          <w:sz w:val="21"/>
          <w:szCs w:val="21"/>
        </w:rPr>
        <w:t>所有权的概念。</w:t>
      </w:r>
    </w:p>
    <w:p w:rsidR="007E3D8C" w:rsidRPr="000737EF" w:rsidRDefault="00216F57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按需印刷</w:t>
      </w:r>
      <w:r w:rsidR="009A7B17" w:rsidRPr="000737EF">
        <w:rPr>
          <w:rFonts w:ascii="SimSun" w:hAnsi="SimSun" w:hint="eastAsia"/>
          <w:sz w:val="21"/>
          <w:szCs w:val="21"/>
        </w:rPr>
        <w:t>是</w:t>
      </w:r>
      <w:r w:rsidRPr="000737EF">
        <w:rPr>
          <w:rFonts w:ascii="SimSun" w:hAnsi="SimSun" w:hint="eastAsia"/>
          <w:sz w:val="21"/>
          <w:szCs w:val="21"/>
        </w:rPr>
        <w:t>根据订购情况印刷图</w:t>
      </w:r>
      <w:r w:rsidR="00A15ED8" w:rsidRPr="000737EF">
        <w:rPr>
          <w:rFonts w:ascii="SimSun" w:hAnsi="SimSun" w:hint="eastAsia"/>
          <w:sz w:val="21"/>
          <w:szCs w:val="21"/>
        </w:rPr>
        <w:t>书，</w:t>
      </w:r>
      <w:r w:rsidR="009A7B17" w:rsidRPr="000737EF">
        <w:rPr>
          <w:rFonts w:ascii="SimSun" w:hAnsi="SimSun" w:hint="eastAsia"/>
          <w:sz w:val="21"/>
          <w:szCs w:val="21"/>
        </w:rPr>
        <w:t>可以</w:t>
      </w:r>
      <w:r w:rsidRPr="000737EF">
        <w:rPr>
          <w:rFonts w:ascii="SimSun" w:hAnsi="SimSun" w:hint="eastAsia"/>
          <w:sz w:val="21"/>
          <w:szCs w:val="21"/>
        </w:rPr>
        <w:t>减少</w:t>
      </w:r>
      <w:r w:rsidR="00A15ED8" w:rsidRPr="000737EF">
        <w:rPr>
          <w:rFonts w:ascii="SimSun" w:hAnsi="SimSun" w:hint="eastAsia"/>
          <w:sz w:val="21"/>
          <w:szCs w:val="21"/>
        </w:rPr>
        <w:t>传统印刷书籍</w:t>
      </w:r>
      <w:r w:rsidRPr="000737EF">
        <w:rPr>
          <w:rFonts w:ascii="SimSun" w:hAnsi="SimSun" w:hint="eastAsia"/>
          <w:sz w:val="21"/>
          <w:szCs w:val="21"/>
        </w:rPr>
        <w:t>卖不出</w:t>
      </w:r>
      <w:r w:rsidR="00901FEA" w:rsidRPr="000737EF">
        <w:rPr>
          <w:rFonts w:ascii="SimSun" w:hAnsi="SimSun" w:hint="eastAsia"/>
          <w:sz w:val="21"/>
          <w:szCs w:val="21"/>
        </w:rPr>
        <w:t>去</w:t>
      </w:r>
      <w:r w:rsidRPr="000737EF">
        <w:rPr>
          <w:rFonts w:ascii="SimSun" w:hAnsi="SimSun" w:hint="eastAsia"/>
          <w:sz w:val="21"/>
          <w:szCs w:val="21"/>
        </w:rPr>
        <w:t>所致的</w:t>
      </w:r>
      <w:r w:rsidR="00A15ED8" w:rsidRPr="000737EF">
        <w:rPr>
          <w:rFonts w:ascii="SimSun" w:hAnsi="SimSun" w:hint="eastAsia"/>
          <w:sz w:val="21"/>
          <w:szCs w:val="21"/>
        </w:rPr>
        <w:t>浪费。</w:t>
      </w:r>
    </w:p>
    <w:p w:rsidR="007E3D8C" w:rsidRPr="000737EF" w:rsidRDefault="00216F57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电子书和</w:t>
      </w:r>
      <w:r w:rsidR="00A15ED8" w:rsidRPr="000737EF">
        <w:rPr>
          <w:rFonts w:ascii="SimSun" w:hAnsi="SimSun" w:hint="eastAsia"/>
          <w:sz w:val="21"/>
          <w:szCs w:val="21"/>
        </w:rPr>
        <w:t>按需</w:t>
      </w:r>
      <w:r w:rsidRPr="000737EF">
        <w:rPr>
          <w:rFonts w:ascii="SimSun" w:hAnsi="SimSun" w:hint="eastAsia"/>
          <w:sz w:val="21"/>
          <w:szCs w:val="21"/>
        </w:rPr>
        <w:t>印刷</w:t>
      </w:r>
      <w:r w:rsidR="00E33080" w:rsidRPr="000737EF">
        <w:rPr>
          <w:rFonts w:ascii="SimSun" w:hAnsi="SimSun" w:hint="eastAsia"/>
          <w:sz w:val="21"/>
          <w:szCs w:val="21"/>
        </w:rPr>
        <w:t>也有助于</w:t>
      </w:r>
      <w:r w:rsidR="00901FEA" w:rsidRPr="000737EF">
        <w:rPr>
          <w:rFonts w:ascii="SimSun" w:hAnsi="SimSun" w:hint="eastAsia"/>
          <w:sz w:val="21"/>
          <w:szCs w:val="21"/>
        </w:rPr>
        <w:t>自助</w:t>
      </w:r>
      <w:r w:rsidR="00A15ED8" w:rsidRPr="000737EF">
        <w:rPr>
          <w:rFonts w:ascii="SimSun" w:hAnsi="SimSun" w:hint="eastAsia"/>
          <w:sz w:val="21"/>
          <w:szCs w:val="21"/>
        </w:rPr>
        <w:t>出版</w:t>
      </w:r>
      <w:r w:rsidRPr="000737EF">
        <w:rPr>
          <w:rFonts w:ascii="SimSun" w:hAnsi="SimSun" w:hint="eastAsia"/>
          <w:sz w:val="21"/>
          <w:szCs w:val="21"/>
        </w:rPr>
        <w:t>，使作者可以直接向</w:t>
      </w:r>
      <w:r w:rsidR="00A15ED8" w:rsidRPr="000737EF">
        <w:rPr>
          <w:rFonts w:ascii="SimSun" w:hAnsi="SimSun" w:hint="eastAsia"/>
          <w:sz w:val="21"/>
          <w:szCs w:val="21"/>
        </w:rPr>
        <w:t>读者</w:t>
      </w:r>
      <w:r w:rsidRPr="000737EF">
        <w:rPr>
          <w:rFonts w:ascii="SimSun" w:hAnsi="SimSun" w:hint="eastAsia"/>
          <w:sz w:val="21"/>
          <w:szCs w:val="21"/>
        </w:rPr>
        <w:t>推销作品</w:t>
      </w:r>
      <w:r w:rsidR="00A15ED8" w:rsidRPr="000737EF">
        <w:rPr>
          <w:rFonts w:ascii="SimSun" w:hAnsi="SimSun" w:hint="eastAsia"/>
          <w:sz w:val="21"/>
          <w:szCs w:val="21"/>
        </w:rPr>
        <w:t>。</w:t>
      </w:r>
    </w:p>
    <w:p w:rsidR="00746AE0" w:rsidRPr="000737EF" w:rsidRDefault="00216F57" w:rsidP="000737EF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与其他</w:t>
      </w:r>
      <w:r w:rsidR="00A15ED8" w:rsidRPr="000737EF">
        <w:rPr>
          <w:rFonts w:ascii="SimSun" w:hAnsi="SimSun" w:hint="eastAsia"/>
          <w:sz w:val="21"/>
          <w:szCs w:val="21"/>
        </w:rPr>
        <w:t>创意产业</w:t>
      </w:r>
      <w:r w:rsidRPr="000737EF">
        <w:rPr>
          <w:rFonts w:ascii="SimSun" w:hAnsi="SimSun" w:hint="eastAsia"/>
          <w:sz w:val="21"/>
          <w:szCs w:val="21"/>
        </w:rPr>
        <w:t>领域有所不同的是，</w:t>
      </w:r>
      <w:r w:rsidR="00A15ED8" w:rsidRPr="000737EF">
        <w:rPr>
          <w:rFonts w:ascii="SimSun" w:hAnsi="SimSun" w:hint="eastAsia"/>
          <w:sz w:val="21"/>
          <w:szCs w:val="21"/>
        </w:rPr>
        <w:t>传统的</w:t>
      </w:r>
      <w:r w:rsidR="00F56B64" w:rsidRPr="000737EF">
        <w:rPr>
          <w:rFonts w:ascii="SimSun" w:hAnsi="SimSun" w:hint="eastAsia"/>
          <w:sz w:val="21"/>
          <w:szCs w:val="21"/>
        </w:rPr>
        <w:t>纸质书有较强的生命力</w:t>
      </w:r>
      <w:r w:rsidR="00A15ED8" w:rsidRPr="000737EF">
        <w:rPr>
          <w:rFonts w:ascii="SimSun" w:hAnsi="SimSun" w:hint="eastAsia"/>
          <w:sz w:val="21"/>
          <w:szCs w:val="21"/>
        </w:rPr>
        <w:t>。电子阅读器</w:t>
      </w:r>
      <w:r w:rsidR="00F56B64" w:rsidRPr="000737EF">
        <w:rPr>
          <w:rFonts w:ascii="SimSun" w:hAnsi="SimSun" w:hint="eastAsia"/>
          <w:sz w:val="21"/>
          <w:szCs w:val="21"/>
        </w:rPr>
        <w:t>市场的增长</w:t>
      </w:r>
      <w:r w:rsidR="00A15ED8" w:rsidRPr="000737EF">
        <w:rPr>
          <w:rFonts w:ascii="SimSun" w:hAnsi="SimSun" w:hint="eastAsia"/>
          <w:sz w:val="21"/>
          <w:szCs w:val="21"/>
        </w:rPr>
        <w:t>正在放缓，消费者</w:t>
      </w:r>
      <w:r w:rsidR="00F56B64" w:rsidRPr="000737EF">
        <w:rPr>
          <w:rFonts w:ascii="SimSun" w:hAnsi="SimSun" w:hint="eastAsia"/>
          <w:sz w:val="21"/>
          <w:szCs w:val="21"/>
        </w:rPr>
        <w:t>的偏好表明</w:t>
      </w:r>
      <w:r w:rsidR="00A15ED8" w:rsidRPr="000737EF">
        <w:rPr>
          <w:rFonts w:ascii="SimSun" w:hAnsi="SimSun" w:hint="eastAsia"/>
          <w:sz w:val="21"/>
          <w:szCs w:val="21"/>
        </w:rPr>
        <w:t>印刷书籍仍是一</w:t>
      </w:r>
      <w:r w:rsidR="00F56B64" w:rsidRPr="000737EF">
        <w:rPr>
          <w:rFonts w:ascii="SimSun" w:hAnsi="SimSun" w:hint="eastAsia"/>
          <w:sz w:val="21"/>
          <w:szCs w:val="21"/>
        </w:rPr>
        <w:t>种</w:t>
      </w:r>
      <w:r w:rsidR="00A15ED8" w:rsidRPr="000737EF">
        <w:rPr>
          <w:rFonts w:ascii="SimSun" w:hAnsi="SimSun" w:hint="eastAsia"/>
          <w:sz w:val="21"/>
          <w:szCs w:val="21"/>
        </w:rPr>
        <w:t>可行的商业模式。</w:t>
      </w:r>
    </w:p>
    <w:p w:rsidR="00746AE0" w:rsidRPr="000737EF" w:rsidRDefault="00F56B64" w:rsidP="006B7CFA">
      <w:pPr>
        <w:pStyle w:val="3"/>
        <w:spacing w:before="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0737EF">
        <w:rPr>
          <w:rFonts w:ascii="KaiTi" w:eastAsia="KaiTi" w:hAnsi="KaiTi" w:hint="eastAsia"/>
          <w:sz w:val="21"/>
          <w:szCs w:val="21"/>
        </w:rPr>
        <w:t>新兴模式</w:t>
      </w:r>
    </w:p>
    <w:p w:rsidR="00746AE0" w:rsidRPr="000737EF" w:rsidRDefault="006B5DE1" w:rsidP="000737EF">
      <w:pPr>
        <w:keepNext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737EF">
        <w:rPr>
          <w:rFonts w:ascii="SimSun" w:hAnsi="SimSun" w:hint="eastAsia"/>
          <w:sz w:val="21"/>
          <w:szCs w:val="21"/>
        </w:rPr>
        <w:t>中国的</w:t>
      </w:r>
      <w:hyperlink r:id="rId11" w:history="1">
        <w:r w:rsidRPr="000737EF">
          <w:rPr>
            <w:rStyle w:val="af0"/>
            <w:rFonts w:ascii="SimSun" w:hAnsi="SimSun"/>
            <w:color w:val="auto"/>
            <w:sz w:val="21"/>
            <w:szCs w:val="21"/>
            <w:u w:val="none"/>
          </w:rPr>
          <w:t>www.Qidian.com</w:t>
        </w:r>
      </w:hyperlink>
      <w:proofErr w:type="gramStart"/>
      <w:r w:rsidRPr="000737EF">
        <w:rPr>
          <w:rFonts w:ascii="SimSun" w:hAnsi="SimSun" w:hint="eastAsia"/>
          <w:sz w:val="21"/>
          <w:szCs w:val="21"/>
        </w:rPr>
        <w:t>网站既发布</w:t>
      </w:r>
      <w:proofErr w:type="gramEnd"/>
      <w:r w:rsidRPr="000737EF">
        <w:rPr>
          <w:rFonts w:ascii="SimSun" w:hAnsi="SimSun" w:hint="eastAsia"/>
          <w:sz w:val="21"/>
          <w:szCs w:val="21"/>
        </w:rPr>
        <w:t>业余爱好者的作品，也发布职业作者的作品，</w:t>
      </w:r>
      <w:r w:rsidR="00901FEA" w:rsidRPr="000737EF">
        <w:rPr>
          <w:rFonts w:ascii="SimSun" w:hAnsi="SimSun" w:hint="eastAsia"/>
          <w:sz w:val="21"/>
          <w:szCs w:val="21"/>
        </w:rPr>
        <w:t>现</w:t>
      </w:r>
      <w:r w:rsidRPr="000737EF">
        <w:rPr>
          <w:rFonts w:ascii="SimSun" w:hAnsi="SimSun" w:hint="eastAsia"/>
          <w:sz w:val="21"/>
          <w:szCs w:val="21"/>
        </w:rPr>
        <w:t>有作品100多万部。各种作品</w:t>
      </w:r>
      <w:r w:rsidR="00901FEA" w:rsidRPr="000737EF">
        <w:rPr>
          <w:rFonts w:ascii="SimSun" w:hAnsi="SimSun" w:hint="eastAsia"/>
          <w:sz w:val="21"/>
          <w:szCs w:val="21"/>
        </w:rPr>
        <w:t>最</w:t>
      </w:r>
      <w:r w:rsidRPr="000737EF">
        <w:rPr>
          <w:rFonts w:ascii="SimSun" w:hAnsi="SimSun" w:hint="eastAsia"/>
          <w:sz w:val="21"/>
          <w:szCs w:val="21"/>
        </w:rPr>
        <w:t>初免费提供，</w:t>
      </w:r>
      <w:r w:rsidR="00901FEA" w:rsidRPr="000737EF">
        <w:rPr>
          <w:rFonts w:ascii="SimSun" w:hAnsi="SimSun" w:hint="eastAsia"/>
          <w:sz w:val="21"/>
          <w:szCs w:val="21"/>
        </w:rPr>
        <w:t>而成功</w:t>
      </w:r>
      <w:r w:rsidRPr="000737EF">
        <w:rPr>
          <w:rFonts w:ascii="SimSun" w:hAnsi="SimSun" w:hint="eastAsia"/>
          <w:sz w:val="21"/>
          <w:szCs w:val="21"/>
        </w:rPr>
        <w:t>作品和名家作品</w:t>
      </w:r>
      <w:r w:rsidR="00901FEA" w:rsidRPr="000737EF">
        <w:rPr>
          <w:rFonts w:ascii="SimSun" w:hAnsi="SimSun" w:hint="eastAsia"/>
          <w:sz w:val="21"/>
          <w:szCs w:val="21"/>
        </w:rPr>
        <w:t>则</w:t>
      </w:r>
      <w:r w:rsidRPr="000737EF">
        <w:rPr>
          <w:rFonts w:ascii="SimSun" w:hAnsi="SimSun" w:hint="eastAsia"/>
          <w:sz w:val="21"/>
          <w:szCs w:val="21"/>
        </w:rPr>
        <w:t>是付费内容。读者可以随阅读进展分期付费。</w:t>
      </w:r>
      <w:r w:rsidR="00E83048" w:rsidRPr="000737EF">
        <w:rPr>
          <w:rFonts w:ascii="SimSun" w:hAnsi="SimSun" w:hint="eastAsia"/>
          <w:sz w:val="21"/>
          <w:szCs w:val="21"/>
        </w:rPr>
        <w:t>该网站创建于2002年，某些作家已藉此成为百万富翁。</w:t>
      </w:r>
    </w:p>
    <w:p w:rsidR="000737EF" w:rsidRDefault="000737EF" w:rsidP="000737E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783DA1" w:rsidRPr="000737EF" w:rsidRDefault="00746AE0" w:rsidP="000737EF">
      <w:pPr>
        <w:spacing w:afterLines="50" w:after="120" w:line="340" w:lineRule="atLeast"/>
        <w:ind w:left="5534"/>
        <w:rPr>
          <w:rFonts w:ascii="KaiTi" w:eastAsia="KaiTi" w:hAnsi="KaiTi"/>
          <w:sz w:val="21"/>
          <w:szCs w:val="21"/>
          <w:u w:val="single"/>
        </w:rPr>
      </w:pPr>
      <w:r w:rsidRPr="000737EF">
        <w:rPr>
          <w:rFonts w:ascii="KaiTi" w:eastAsia="KaiTi" w:hAnsi="KaiTi"/>
          <w:sz w:val="21"/>
        </w:rPr>
        <w:t>[</w:t>
      </w:r>
      <w:r w:rsidR="00E83048" w:rsidRPr="000737EF">
        <w:rPr>
          <w:rFonts w:ascii="KaiTi" w:eastAsia="KaiTi" w:hAnsi="KaiTi" w:hint="eastAsia"/>
          <w:sz w:val="21"/>
        </w:rPr>
        <w:t>文件完</w:t>
      </w:r>
      <w:r w:rsidRPr="000737EF">
        <w:rPr>
          <w:rFonts w:ascii="KaiTi" w:eastAsia="KaiTi" w:hAnsi="KaiTi"/>
          <w:sz w:val="21"/>
        </w:rPr>
        <w:t>]</w:t>
      </w:r>
    </w:p>
    <w:sectPr w:rsidR="00783DA1" w:rsidRPr="000737EF" w:rsidSect="001D47E5">
      <w:headerReference w:type="defaul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CA" w:rsidRDefault="00425ACA">
      <w:r>
        <w:separator/>
      </w:r>
    </w:p>
  </w:endnote>
  <w:endnote w:type="continuationSeparator" w:id="0">
    <w:p w:rsidR="00425ACA" w:rsidRDefault="00425ACA" w:rsidP="000C7343">
      <w:r>
        <w:separator/>
      </w:r>
    </w:p>
    <w:p w:rsidR="00425ACA" w:rsidRPr="000C7343" w:rsidRDefault="00425ACA" w:rsidP="000C7343">
      <w:r>
        <w:rPr>
          <w:sz w:val="17"/>
        </w:rPr>
        <w:t>[Endnote continued from previous page]</w:t>
      </w:r>
    </w:p>
  </w:endnote>
  <w:endnote w:type="continuationNotice" w:id="1">
    <w:p w:rsidR="00425ACA" w:rsidRPr="000C7343" w:rsidRDefault="00425ACA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CA" w:rsidRDefault="00425ACA">
      <w:r>
        <w:separator/>
      </w:r>
    </w:p>
  </w:footnote>
  <w:footnote w:type="continuationSeparator" w:id="0">
    <w:p w:rsidR="00425ACA" w:rsidRDefault="00425ACA" w:rsidP="000C7343">
      <w:r>
        <w:separator/>
      </w:r>
    </w:p>
    <w:p w:rsidR="00425ACA" w:rsidRPr="000C7343" w:rsidRDefault="00425ACA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425ACA" w:rsidRPr="000C7343" w:rsidRDefault="00425ACA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  <w:footnote w:id="2">
    <w:p w:rsidR="00671739" w:rsidRPr="00671739" w:rsidRDefault="00671739" w:rsidP="00671739">
      <w:pPr>
        <w:pStyle w:val="a9"/>
        <w:jc w:val="both"/>
        <w:rPr>
          <w:rFonts w:ascii="SimSun" w:hAnsi="SimSun"/>
        </w:rPr>
      </w:pPr>
      <w:r w:rsidRPr="00671739">
        <w:rPr>
          <w:rStyle w:val="af"/>
          <w:rFonts w:ascii="SimSun" w:hAnsi="SimSun"/>
        </w:rPr>
        <w:footnoteRef/>
      </w:r>
      <w:r w:rsidRPr="00671739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671739">
        <w:rPr>
          <w:rFonts w:ascii="SimSun" w:hAnsi="SimSun" w:hint="eastAsia"/>
        </w:rPr>
        <w:t>唱片业是以录制和销售音乐为业的产业。音乐产业的广义定义包括现场表演、商品化以及各种与音乐有关的活动。</w:t>
      </w:r>
    </w:p>
  </w:footnote>
  <w:footnote w:id="3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所有数据依据的是国际唱片业联合会</w:t>
      </w:r>
      <w:r w:rsidRPr="00B72DE4">
        <w:rPr>
          <w:rFonts w:ascii="SimSun" w:hAnsi="SimSun"/>
          <w:szCs w:val="18"/>
        </w:rPr>
        <w:t>(IFPI)(2014</w:t>
      </w:r>
      <w:r w:rsidRPr="00B72DE4">
        <w:rPr>
          <w:rFonts w:ascii="SimSun" w:hAnsi="SimSun" w:hint="eastAsia"/>
          <w:szCs w:val="18"/>
        </w:rPr>
        <w:t>年</w:t>
      </w:r>
      <w:r w:rsidRPr="00B72DE4">
        <w:rPr>
          <w:rFonts w:ascii="SimSun" w:hAnsi="SimSun"/>
          <w:szCs w:val="18"/>
        </w:rPr>
        <w:t>)</w:t>
      </w:r>
      <w:r w:rsidRPr="00B72DE4">
        <w:rPr>
          <w:rFonts w:ascii="SimSun" w:hAnsi="SimSun" w:hint="eastAsia"/>
          <w:szCs w:val="18"/>
        </w:rPr>
        <w:t>《</w:t>
      </w:r>
      <w:r w:rsidRPr="00B72DE4">
        <w:rPr>
          <w:rFonts w:ascii="SimSun" w:hAnsi="SimSun"/>
          <w:szCs w:val="18"/>
        </w:rPr>
        <w:t>2014</w:t>
      </w:r>
      <w:r w:rsidRPr="00B72DE4">
        <w:rPr>
          <w:rFonts w:ascii="SimSun" w:hAnsi="SimSun" w:hint="eastAsia"/>
          <w:szCs w:val="18"/>
        </w:rPr>
        <w:t>年数字音乐报告》中2013年的数据，该报告的网址为：</w:t>
      </w:r>
      <w:r w:rsidR="00B72DE4" w:rsidRPr="000737EF">
        <w:rPr>
          <w:rFonts w:ascii="SimSun" w:hAnsi="SimSun"/>
          <w:szCs w:val="18"/>
        </w:rPr>
        <w:fldChar w:fldCharType="begin"/>
      </w:r>
      <w:r w:rsidR="00B72DE4" w:rsidRPr="000737EF">
        <w:rPr>
          <w:rFonts w:ascii="SimSun" w:hAnsi="SimSun"/>
          <w:szCs w:val="18"/>
        </w:rPr>
        <w:instrText xml:space="preserve"> HYPERLINK "http://www.ifpi.org/global-statistics.php" </w:instrText>
      </w:r>
      <w:r w:rsidR="00B72DE4" w:rsidRPr="000737EF">
        <w:rPr>
          <w:rFonts w:ascii="SimSun" w:hAnsi="SimSun"/>
          <w:szCs w:val="18"/>
        </w:rPr>
        <w:fldChar w:fldCharType="separate"/>
      </w:r>
      <w:r w:rsidR="00B72DE4" w:rsidRPr="000737EF">
        <w:rPr>
          <w:rStyle w:val="af0"/>
          <w:rFonts w:ascii="SimSun" w:hAnsi="SimSun"/>
          <w:color w:val="auto"/>
          <w:szCs w:val="18"/>
          <w:u w:val="none"/>
        </w:rPr>
        <w:t>http://www.ifpi.org/global-statistics.php</w:t>
      </w:r>
      <w:r w:rsidR="00B72DE4" w:rsidRPr="000737EF">
        <w:rPr>
          <w:rFonts w:ascii="SimSun" w:hAnsi="SimSun"/>
          <w:szCs w:val="18"/>
        </w:rPr>
        <w:fldChar w:fldCharType="end"/>
      </w:r>
      <w:r w:rsidR="00B72DE4">
        <w:rPr>
          <w:rFonts w:ascii="SimSun" w:hAnsi="SimSun" w:hint="eastAsia"/>
          <w:szCs w:val="18"/>
        </w:rPr>
        <w:t>。</w:t>
      </w:r>
    </w:p>
  </w:footnote>
  <w:footnote w:id="4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美国电影协会</w:t>
      </w:r>
      <w:r w:rsidRPr="00B72DE4">
        <w:rPr>
          <w:rFonts w:ascii="SimSun" w:hAnsi="SimSun"/>
          <w:szCs w:val="18"/>
        </w:rPr>
        <w:t>(MPAA)</w:t>
      </w:r>
      <w:r w:rsidRPr="00B72DE4">
        <w:rPr>
          <w:rFonts w:ascii="SimSun" w:hAnsi="SimSun" w:hint="eastAsia"/>
          <w:szCs w:val="18"/>
        </w:rPr>
        <w:t>《2014年院线市场统计报告》。</w:t>
      </w:r>
    </w:p>
  </w:footnote>
  <w:footnote w:id="5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联合国教科文组织统计研究所</w:t>
      </w:r>
      <w:r w:rsidRPr="00B72DE4">
        <w:rPr>
          <w:rFonts w:ascii="SimSun" w:hAnsi="SimSun"/>
          <w:szCs w:val="18"/>
        </w:rPr>
        <w:t>(2013</w:t>
      </w:r>
      <w:r w:rsidRPr="00B72DE4">
        <w:rPr>
          <w:rFonts w:ascii="SimSun" w:hAnsi="SimSun" w:hint="eastAsia"/>
          <w:szCs w:val="18"/>
        </w:rPr>
        <w:t>年</w:t>
      </w:r>
      <w:r w:rsidRPr="00B72DE4">
        <w:rPr>
          <w:rFonts w:ascii="SimSun" w:hAnsi="SimSun"/>
          <w:szCs w:val="18"/>
        </w:rPr>
        <w:t>)</w:t>
      </w:r>
      <w:r w:rsidRPr="00B72DE4">
        <w:rPr>
          <w:rFonts w:ascii="SimSun" w:hAnsi="SimSun" w:hint="eastAsia"/>
          <w:szCs w:val="18"/>
        </w:rPr>
        <w:t>“新兴市场和电影业的数字化”。</w:t>
      </w:r>
    </w:p>
  </w:footnote>
  <w:footnote w:id="6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美国电影协会《2014年院线市场统计报告》。</w:t>
      </w:r>
    </w:p>
  </w:footnote>
  <w:footnote w:id="7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与此形成对比的是下列数据：</w:t>
      </w:r>
      <w:r w:rsidRPr="00B72DE4">
        <w:rPr>
          <w:rFonts w:ascii="SimSun" w:hAnsi="SimSun"/>
          <w:szCs w:val="18"/>
        </w:rPr>
        <w:t>2013</w:t>
      </w:r>
      <w:r w:rsidRPr="00B72DE4">
        <w:rPr>
          <w:rFonts w:ascii="SimSun" w:hAnsi="SimSun" w:hint="eastAsia"/>
          <w:szCs w:val="18"/>
        </w:rPr>
        <w:t>年增长4%，</w:t>
      </w:r>
      <w:r w:rsidRPr="00B72DE4">
        <w:rPr>
          <w:rFonts w:ascii="SimSun" w:hAnsi="SimSun"/>
          <w:szCs w:val="18"/>
        </w:rPr>
        <w:t>2012</w:t>
      </w:r>
      <w:r w:rsidRPr="00B72DE4">
        <w:rPr>
          <w:rFonts w:ascii="SimSun" w:hAnsi="SimSun" w:hint="eastAsia"/>
          <w:szCs w:val="18"/>
        </w:rPr>
        <w:t>年增长6%，</w:t>
      </w:r>
      <w:r w:rsidRPr="00B72DE4">
        <w:rPr>
          <w:rFonts w:ascii="SimSun" w:hAnsi="SimSun"/>
          <w:szCs w:val="18"/>
        </w:rPr>
        <w:t>2011</w:t>
      </w:r>
      <w:r w:rsidRPr="00B72DE4">
        <w:rPr>
          <w:rFonts w:ascii="SimSun" w:hAnsi="SimSun" w:hint="eastAsia"/>
          <w:szCs w:val="18"/>
        </w:rPr>
        <w:t>年下降4%，</w:t>
      </w:r>
      <w:r w:rsidRPr="00B72DE4">
        <w:rPr>
          <w:rFonts w:ascii="SimSun" w:hAnsi="SimSun"/>
          <w:szCs w:val="18"/>
        </w:rPr>
        <w:t>2006</w:t>
      </w:r>
      <w:r w:rsidRPr="00B72DE4">
        <w:rPr>
          <w:rFonts w:ascii="SimSun" w:hAnsi="SimSun" w:hint="eastAsia"/>
          <w:szCs w:val="18"/>
        </w:rPr>
        <w:t>年至</w:t>
      </w:r>
      <w:r w:rsidRPr="00B72DE4">
        <w:rPr>
          <w:rFonts w:ascii="SimSun" w:hAnsi="SimSun"/>
          <w:szCs w:val="18"/>
        </w:rPr>
        <w:t>2011</w:t>
      </w:r>
      <w:r w:rsidRPr="00B72DE4">
        <w:rPr>
          <w:rFonts w:ascii="SimSun" w:hAnsi="SimSun" w:hint="eastAsia"/>
          <w:szCs w:val="18"/>
        </w:rPr>
        <w:t>年增长6%。美国电影协会。</w:t>
      </w:r>
    </w:p>
  </w:footnote>
  <w:footnote w:id="8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美国电影协会《2014年院线市场统计报告》。</w:t>
      </w:r>
    </w:p>
  </w:footnote>
  <w:footnote w:id="9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数字娱乐集团《</w:t>
      </w:r>
      <w:r w:rsidRPr="00B72DE4">
        <w:rPr>
          <w:rFonts w:ascii="SimSun" w:hAnsi="SimSun"/>
          <w:szCs w:val="18"/>
        </w:rPr>
        <w:t>2014</w:t>
      </w:r>
      <w:r w:rsidRPr="00B72DE4">
        <w:rPr>
          <w:rFonts w:ascii="SimSun" w:hAnsi="SimSun" w:hint="eastAsia"/>
          <w:szCs w:val="18"/>
        </w:rPr>
        <w:t>年年终家庭娱乐报告》。</w:t>
      </w:r>
      <w:r w:rsidRPr="000737EF">
        <w:rPr>
          <w:rFonts w:ascii="SimSun" w:hAnsi="SimSun"/>
          <w:szCs w:val="18"/>
        </w:rPr>
        <w:t>“</w:t>
      </w:r>
      <w:r w:rsidR="0017182D" w:rsidRPr="000737EF">
        <w:rPr>
          <w:rFonts w:ascii="SimSun" w:hAnsi="SimSun" w:hint="eastAsia"/>
          <w:szCs w:val="18"/>
        </w:rPr>
        <w:t>院线新发行</w:t>
      </w:r>
      <w:r w:rsidR="000737EF" w:rsidRPr="000737EF">
        <w:rPr>
          <w:rFonts w:ascii="SimSun" w:hAnsi="SimSun" w:hint="eastAsia"/>
          <w:szCs w:val="18"/>
        </w:rPr>
        <w:t>出现</w:t>
      </w:r>
      <w:r w:rsidR="0017182D" w:rsidRPr="000737EF">
        <w:rPr>
          <w:rFonts w:ascii="SimSun" w:hAnsi="SimSun" w:hint="eastAsia"/>
          <w:szCs w:val="18"/>
        </w:rPr>
        <w:t>例外</w:t>
      </w:r>
      <w:r w:rsidR="000737EF" w:rsidRPr="000737EF">
        <w:rPr>
          <w:rFonts w:ascii="SimSun" w:hAnsi="SimSun" w:hint="eastAsia"/>
          <w:szCs w:val="18"/>
        </w:rPr>
        <w:t>的60%年增长。</w:t>
      </w:r>
      <w:r w:rsidR="006B6818" w:rsidRPr="000737EF">
        <w:rPr>
          <w:rFonts w:ascii="SimSun" w:hAnsi="SimSun" w:hint="eastAsia"/>
          <w:szCs w:val="18"/>
        </w:rPr>
        <w:t>”</w:t>
      </w:r>
    </w:p>
  </w:footnote>
  <w:footnote w:id="10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英国电影协会《</w:t>
      </w:r>
      <w:r w:rsidRPr="00B72DE4">
        <w:rPr>
          <w:rFonts w:ascii="SimSun" w:hAnsi="SimSun"/>
          <w:szCs w:val="18"/>
        </w:rPr>
        <w:t>2014</w:t>
      </w:r>
      <w:r w:rsidRPr="00B72DE4">
        <w:rPr>
          <w:rFonts w:ascii="SimSun" w:hAnsi="SimSun" w:hint="eastAsia"/>
          <w:szCs w:val="18"/>
        </w:rPr>
        <w:t>年统计年报》。</w:t>
      </w:r>
    </w:p>
  </w:footnote>
  <w:footnote w:id="11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="00386310">
        <w:rPr>
          <w:rFonts w:ascii="SimSun" w:hAnsi="SimSun" w:hint="eastAsia"/>
          <w:szCs w:val="18"/>
        </w:rPr>
        <w:t>电影按交错安排的“窗口”进行放映、以获取最大利润的过程，例如影院/</w:t>
      </w:r>
      <w:r w:rsidR="0017182D">
        <w:rPr>
          <w:rFonts w:ascii="SimSun" w:hAnsi="SimSun" w:hint="eastAsia"/>
          <w:szCs w:val="18"/>
        </w:rPr>
        <w:t>院线</w:t>
      </w:r>
      <w:r w:rsidR="00386310">
        <w:rPr>
          <w:rFonts w:ascii="SimSun" w:hAnsi="SimSun" w:hint="eastAsia"/>
          <w:szCs w:val="18"/>
        </w:rPr>
        <w:t>，其次是录像，接着是电视。</w:t>
      </w:r>
    </w:p>
  </w:footnote>
  <w:footnote w:id="12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数据来自国际电信联盟</w:t>
      </w:r>
      <w:r w:rsidRPr="00B72DE4">
        <w:rPr>
          <w:rFonts w:ascii="SimSun" w:hAnsi="SimSun"/>
          <w:szCs w:val="18"/>
        </w:rPr>
        <w:t>(ITU)(2013</w:t>
      </w:r>
      <w:r w:rsidRPr="00B72DE4">
        <w:rPr>
          <w:rFonts w:ascii="SimSun" w:hAnsi="SimSun" w:hint="eastAsia"/>
          <w:szCs w:val="18"/>
        </w:rPr>
        <w:t>年</w:t>
      </w:r>
      <w:r w:rsidRPr="00B72DE4">
        <w:rPr>
          <w:rFonts w:ascii="SimSun" w:hAnsi="SimSun"/>
          <w:szCs w:val="18"/>
        </w:rPr>
        <w:t>)</w:t>
      </w:r>
      <w:r w:rsidRPr="00B72DE4">
        <w:rPr>
          <w:rFonts w:ascii="SimSun" w:hAnsi="SimSun" w:hint="eastAsia"/>
          <w:szCs w:val="18"/>
        </w:rPr>
        <w:t>《衡量信息社会报告》，网址为</w:t>
      </w:r>
      <w:r w:rsidRPr="000737EF">
        <w:rPr>
          <w:rFonts w:ascii="SimSun" w:hAnsi="SimSun"/>
          <w:szCs w:val="18"/>
        </w:rPr>
        <w:fldChar w:fldCharType="begin"/>
      </w:r>
      <w:r w:rsidRPr="000737EF">
        <w:rPr>
          <w:rFonts w:ascii="SimSun" w:hAnsi="SimSun"/>
          <w:szCs w:val="18"/>
        </w:rPr>
        <w:instrText xml:space="preserve"> HYPERLINK "http://www.itu.int/en/ITU-D/Statistics/Pages/publications/mis2013.aspx" </w:instrText>
      </w:r>
      <w:r w:rsidRPr="000737EF">
        <w:rPr>
          <w:rFonts w:ascii="SimSun" w:hAnsi="SimSun"/>
          <w:szCs w:val="18"/>
        </w:rPr>
        <w:fldChar w:fldCharType="separate"/>
      </w:r>
      <w:r w:rsidRPr="000737EF">
        <w:rPr>
          <w:rStyle w:val="af0"/>
          <w:rFonts w:ascii="SimSun" w:hAnsi="SimSun"/>
          <w:color w:val="auto"/>
          <w:szCs w:val="18"/>
          <w:u w:val="none"/>
        </w:rPr>
        <w:t>http://www.itu.int/en/ITU-D/Statistics/Pages/publications/mis2013.aspx</w:t>
      </w:r>
      <w:r w:rsidRPr="000737EF">
        <w:rPr>
          <w:rFonts w:ascii="SimSun" w:hAnsi="SimSun"/>
          <w:szCs w:val="18"/>
        </w:rPr>
        <w:fldChar w:fldCharType="end"/>
      </w:r>
      <w:r w:rsidRPr="00B72DE4">
        <w:rPr>
          <w:rFonts w:ascii="SimSun" w:hAnsi="SimSun" w:hint="eastAsia"/>
          <w:szCs w:val="18"/>
        </w:rPr>
        <w:t>。</w:t>
      </w:r>
    </w:p>
  </w:footnote>
  <w:footnote w:id="13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预测数据</w:t>
      </w:r>
      <w:r w:rsidR="007251E4">
        <w:rPr>
          <w:rFonts w:ascii="SimSun" w:hAnsi="SimSun" w:hint="eastAsia"/>
          <w:szCs w:val="18"/>
        </w:rPr>
        <w:t>发布于</w:t>
      </w:r>
      <w:r w:rsidRPr="00B72DE4">
        <w:rPr>
          <w:rFonts w:ascii="SimSun" w:hAnsi="SimSun" w:hint="eastAsia"/>
          <w:szCs w:val="18"/>
        </w:rPr>
        <w:t>2015</w:t>
      </w:r>
      <w:r w:rsidRPr="00B72DE4">
        <w:rPr>
          <w:rFonts w:ascii="SimSun" w:hAnsi="SimSun" w:hint="eastAsia"/>
          <w:szCs w:val="18"/>
        </w:rPr>
        <w:t>年PWC</w:t>
      </w:r>
      <w:r w:rsidR="007279B7" w:rsidRPr="00B72DE4">
        <w:rPr>
          <w:rFonts w:ascii="SimSun" w:hAnsi="SimSun" w:hint="eastAsia"/>
          <w:szCs w:val="18"/>
        </w:rPr>
        <w:t>(</w:t>
      </w:r>
      <w:r w:rsidRPr="00B72DE4">
        <w:rPr>
          <w:rFonts w:ascii="SimSun" w:hAnsi="SimSun" w:hint="eastAsia"/>
          <w:szCs w:val="18"/>
        </w:rPr>
        <w:t>2015年</w:t>
      </w:r>
      <w:r w:rsidR="007279B7" w:rsidRPr="00B72DE4">
        <w:rPr>
          <w:rFonts w:ascii="SimSun" w:hAnsi="SimSun" w:hint="eastAsia"/>
          <w:szCs w:val="18"/>
        </w:rPr>
        <w:t>)</w:t>
      </w:r>
      <w:r w:rsidR="007251E4">
        <w:rPr>
          <w:rFonts w:ascii="SimSun" w:hAnsi="SimSun" w:hint="eastAsia"/>
          <w:szCs w:val="18"/>
        </w:rPr>
        <w:t>，</w:t>
      </w:r>
      <w:r w:rsidRPr="00B72DE4">
        <w:rPr>
          <w:rFonts w:ascii="SimSun" w:hAnsi="SimSun" w:hint="eastAsia"/>
          <w:szCs w:val="18"/>
        </w:rPr>
        <w:t>“电视订阅和许可费一览之洞见”</w:t>
      </w:r>
      <w:r w:rsidRPr="00B72DE4">
        <w:rPr>
          <w:rFonts w:ascii="SimSun" w:hAnsi="SimSun"/>
          <w:szCs w:val="18"/>
        </w:rPr>
        <w:t>6</w:t>
      </w:r>
      <w:r w:rsidRPr="00B72DE4">
        <w:rPr>
          <w:rFonts w:ascii="SimSun" w:hAnsi="SimSun" w:hint="eastAsia"/>
          <w:szCs w:val="18"/>
        </w:rPr>
        <w:t>，网址为：</w:t>
      </w:r>
      <w:r w:rsidRPr="000737EF">
        <w:rPr>
          <w:rFonts w:ascii="SimSun" w:hAnsi="SimSun"/>
          <w:szCs w:val="18"/>
        </w:rPr>
        <w:fldChar w:fldCharType="begin"/>
      </w:r>
      <w:r w:rsidRPr="000737EF">
        <w:rPr>
          <w:rFonts w:ascii="SimSun" w:hAnsi="SimSun"/>
          <w:szCs w:val="18"/>
        </w:rPr>
        <w:instrText xml:space="preserve"> HYPERLINK "http://www.pwc.com/gx/en/global-entertainment-media-outlook/assets/2015/tv-subscriptions-and-licence-fees-key-insights-6-tv-public-licence-fee.pdf" </w:instrText>
      </w:r>
      <w:r w:rsidRPr="000737EF">
        <w:rPr>
          <w:rFonts w:ascii="SimSun" w:hAnsi="SimSun"/>
          <w:szCs w:val="18"/>
        </w:rPr>
        <w:fldChar w:fldCharType="separate"/>
      </w:r>
      <w:r w:rsidRPr="000737EF">
        <w:rPr>
          <w:rStyle w:val="af0"/>
          <w:rFonts w:ascii="SimSun" w:hAnsi="SimSun"/>
          <w:color w:val="auto"/>
          <w:szCs w:val="18"/>
          <w:u w:val="none"/>
        </w:rPr>
        <w:t>http://www.pwc.com/gx/en/global-entertainment-media-outlook/assets/2015/tv-subscriptions-and-licence-fees-key-insights-6-tv-public-licence-fee.pdf</w:t>
      </w:r>
      <w:r w:rsidRPr="000737EF">
        <w:rPr>
          <w:rFonts w:ascii="SimSun" w:hAnsi="SimSun"/>
          <w:szCs w:val="18"/>
        </w:rPr>
        <w:fldChar w:fldCharType="end"/>
      </w:r>
      <w:r w:rsidRPr="00B72DE4">
        <w:rPr>
          <w:rFonts w:ascii="SimSun" w:hAnsi="SimSun" w:hint="eastAsia"/>
          <w:szCs w:val="18"/>
        </w:rPr>
        <w:t>。</w:t>
      </w:r>
    </w:p>
  </w:footnote>
  <w:footnote w:id="14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/>
          <w:szCs w:val="18"/>
        </w:rPr>
        <w:t>ITU</w:t>
      </w:r>
      <w:r w:rsidRPr="00B72DE4">
        <w:rPr>
          <w:rFonts w:ascii="SimSun" w:hAnsi="SimSun" w:hint="eastAsia"/>
          <w:szCs w:val="18"/>
        </w:rPr>
        <w:t>，同上。</w:t>
      </w:r>
    </w:p>
  </w:footnote>
  <w:footnote w:id="15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A22555">
        <w:rPr>
          <w:rFonts w:ascii="SimSun" w:hAnsi="SimSun" w:hint="eastAsia"/>
          <w:szCs w:val="18"/>
        </w:rPr>
        <w:t xml:space="preserve">     </w:t>
      </w:r>
      <w:r w:rsidRPr="00B72DE4">
        <w:rPr>
          <w:rFonts w:ascii="SimSun" w:hAnsi="SimSun"/>
          <w:szCs w:val="18"/>
        </w:rPr>
        <w:t>Statistica.com</w:t>
      </w:r>
      <w:r w:rsidRPr="00B72DE4">
        <w:rPr>
          <w:rFonts w:ascii="SimSun" w:hAnsi="SimSun" w:hint="eastAsia"/>
          <w:szCs w:val="18"/>
        </w:rPr>
        <w:t>报告的PWC数据，“按来源划分的2012年至2017年的全球电视广告收入(单位：十亿美元)”，2015年10月12日取自</w:t>
      </w:r>
      <w:r w:rsidRPr="000737EF">
        <w:rPr>
          <w:rFonts w:ascii="SimSun" w:hAnsi="SimSun"/>
          <w:szCs w:val="18"/>
        </w:rPr>
        <w:fldChar w:fldCharType="begin"/>
      </w:r>
      <w:r w:rsidRPr="000737EF">
        <w:rPr>
          <w:rFonts w:ascii="SimSun" w:hAnsi="SimSun"/>
          <w:szCs w:val="18"/>
        </w:rPr>
        <w:instrText xml:space="preserve"> HYPERLINK "http://www.statista.com/statistics/260123/global-tv-advertising-revenue-by-source/" </w:instrText>
      </w:r>
      <w:r w:rsidRPr="000737EF">
        <w:rPr>
          <w:rFonts w:ascii="SimSun" w:hAnsi="SimSun"/>
          <w:szCs w:val="18"/>
        </w:rPr>
        <w:fldChar w:fldCharType="separate"/>
      </w:r>
      <w:r w:rsidRPr="000737EF">
        <w:rPr>
          <w:rStyle w:val="af0"/>
          <w:rFonts w:ascii="SimSun" w:hAnsi="SimSun"/>
          <w:color w:val="auto"/>
          <w:szCs w:val="18"/>
          <w:u w:val="none"/>
        </w:rPr>
        <w:t>http://www.statista.com/statistics/260123/global-tv-advertising-revenue-by-source/</w:t>
      </w:r>
      <w:r w:rsidRPr="000737EF">
        <w:rPr>
          <w:rFonts w:ascii="SimSun" w:hAnsi="SimSun"/>
          <w:szCs w:val="18"/>
        </w:rPr>
        <w:fldChar w:fldCharType="end"/>
      </w:r>
      <w:r w:rsidRPr="00B72DE4">
        <w:rPr>
          <w:rFonts w:ascii="SimSun" w:hAnsi="SimSun" w:hint="eastAsia"/>
          <w:szCs w:val="18"/>
        </w:rPr>
        <w:t>。</w:t>
      </w:r>
    </w:p>
  </w:footnote>
  <w:footnote w:id="16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尽管电视在全球广告收入中的份额不断减少，但仍在发达国家以不足5%的速度小幅增长，在发展中国家的增幅还要略高一些。</w:t>
      </w:r>
    </w:p>
  </w:footnote>
  <w:footnote w:id="17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 w:hint="eastAsia"/>
          <w:szCs w:val="18"/>
        </w:rPr>
        <w:t>预测数据</w:t>
      </w:r>
      <w:r w:rsidR="007251E4">
        <w:rPr>
          <w:rFonts w:ascii="SimSun" w:hAnsi="SimSun" w:hint="eastAsia"/>
          <w:szCs w:val="18"/>
        </w:rPr>
        <w:t>发布于</w:t>
      </w:r>
      <w:r w:rsidRPr="00B72DE4">
        <w:rPr>
          <w:rFonts w:ascii="SimSun" w:hAnsi="SimSun" w:hint="eastAsia"/>
          <w:szCs w:val="18"/>
        </w:rPr>
        <w:t>2015年PWC</w:t>
      </w:r>
      <w:r w:rsidR="007279B7" w:rsidRPr="00B72DE4">
        <w:rPr>
          <w:rFonts w:ascii="SimSun" w:hAnsi="SimSun" w:hint="eastAsia"/>
          <w:szCs w:val="18"/>
        </w:rPr>
        <w:t>(</w:t>
      </w:r>
      <w:r w:rsidRPr="00B72DE4">
        <w:rPr>
          <w:rFonts w:ascii="SimSun" w:hAnsi="SimSun" w:hint="eastAsia"/>
          <w:szCs w:val="18"/>
        </w:rPr>
        <w:t>2015年</w:t>
      </w:r>
      <w:r w:rsidR="007279B7" w:rsidRPr="00B72DE4">
        <w:rPr>
          <w:rFonts w:ascii="SimSun" w:hAnsi="SimSun" w:hint="eastAsia"/>
          <w:szCs w:val="18"/>
        </w:rPr>
        <w:t>)</w:t>
      </w:r>
      <w:r w:rsidRPr="00B72DE4">
        <w:rPr>
          <w:rFonts w:ascii="SimSun" w:hAnsi="SimSun" w:hint="eastAsia"/>
          <w:szCs w:val="18"/>
        </w:rPr>
        <w:t>，“电视广告一览之洞见”</w:t>
      </w:r>
      <w:r w:rsidRPr="00B72DE4">
        <w:rPr>
          <w:rFonts w:ascii="SimSun" w:hAnsi="SimSun"/>
          <w:szCs w:val="18"/>
        </w:rPr>
        <w:t>1</w:t>
      </w:r>
      <w:r w:rsidRPr="00B72DE4">
        <w:rPr>
          <w:rFonts w:ascii="SimSun" w:hAnsi="SimSun" w:hint="eastAsia"/>
          <w:szCs w:val="18"/>
        </w:rPr>
        <w:t>，网址为：</w:t>
      </w:r>
      <w:r w:rsidRPr="000737EF">
        <w:rPr>
          <w:rFonts w:ascii="SimSun" w:hAnsi="SimSun"/>
          <w:szCs w:val="18"/>
        </w:rPr>
        <w:fldChar w:fldCharType="begin"/>
      </w:r>
      <w:r w:rsidRPr="000737EF">
        <w:rPr>
          <w:rFonts w:ascii="SimSun" w:hAnsi="SimSun"/>
          <w:szCs w:val="18"/>
        </w:rPr>
        <w:instrText xml:space="preserve"> HYPERLINK "https://www.pwc.com/gx/en/global-entertainment-media-outlook/assets/2015/tv-advertising-key-insights-1-global-tv-advertising.pdf" </w:instrText>
      </w:r>
      <w:r w:rsidRPr="000737EF">
        <w:rPr>
          <w:rFonts w:ascii="SimSun" w:hAnsi="SimSun"/>
          <w:szCs w:val="18"/>
        </w:rPr>
        <w:fldChar w:fldCharType="separate"/>
      </w:r>
      <w:r w:rsidRPr="000737EF">
        <w:rPr>
          <w:rStyle w:val="af0"/>
          <w:rFonts w:ascii="SimSun" w:hAnsi="SimSun"/>
          <w:color w:val="auto"/>
          <w:szCs w:val="18"/>
          <w:u w:val="none"/>
        </w:rPr>
        <w:t>https://www.pwc.com/gx/en/global-entertainment-media-outlook/assets/2015/tv-advertising-key-insights-1-global-tv-advertising.pdf</w:t>
      </w:r>
      <w:r w:rsidRPr="000737EF">
        <w:rPr>
          <w:rFonts w:ascii="SimSun" w:hAnsi="SimSun"/>
          <w:szCs w:val="18"/>
        </w:rPr>
        <w:fldChar w:fldCharType="end"/>
      </w:r>
      <w:r w:rsidRPr="00B72DE4">
        <w:rPr>
          <w:rFonts w:ascii="SimSun" w:hAnsi="SimSun" w:hint="eastAsia"/>
          <w:szCs w:val="18"/>
        </w:rPr>
        <w:t>。</w:t>
      </w:r>
    </w:p>
  </w:footnote>
  <w:footnote w:id="18">
    <w:p w:rsidR="00425ACA" w:rsidRPr="00B72DE4" w:rsidRDefault="00425ACA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/>
          <w:szCs w:val="18"/>
        </w:rPr>
        <w:t>2015</w:t>
      </w:r>
      <w:r w:rsidRPr="00B72DE4">
        <w:rPr>
          <w:rFonts w:ascii="SimSun" w:hAnsi="SimSun" w:hint="eastAsia"/>
          <w:szCs w:val="18"/>
        </w:rPr>
        <w:t>年至</w:t>
      </w:r>
      <w:r w:rsidRPr="00B72DE4">
        <w:rPr>
          <w:rFonts w:ascii="SimSun" w:hAnsi="SimSun"/>
          <w:szCs w:val="18"/>
        </w:rPr>
        <w:t>2019</w:t>
      </w:r>
      <w:r w:rsidRPr="00B72DE4">
        <w:rPr>
          <w:rFonts w:ascii="SimSun" w:hAnsi="SimSun" w:hint="eastAsia"/>
          <w:szCs w:val="18"/>
        </w:rPr>
        <w:t>年，预测数据</w:t>
      </w:r>
      <w:r w:rsidR="007251E4">
        <w:rPr>
          <w:rFonts w:ascii="SimSun" w:hAnsi="SimSun" w:hint="eastAsia"/>
          <w:szCs w:val="18"/>
        </w:rPr>
        <w:t>发布于</w:t>
      </w:r>
      <w:r w:rsidRPr="00B72DE4">
        <w:rPr>
          <w:rFonts w:ascii="SimSun" w:hAnsi="SimSun" w:hint="eastAsia"/>
          <w:szCs w:val="18"/>
        </w:rPr>
        <w:t>2015年PWC</w:t>
      </w:r>
      <w:r w:rsidR="007279B7" w:rsidRPr="00B72DE4">
        <w:rPr>
          <w:rFonts w:ascii="SimSun" w:hAnsi="SimSun" w:hint="eastAsia"/>
          <w:szCs w:val="18"/>
        </w:rPr>
        <w:t>(</w:t>
      </w:r>
      <w:r w:rsidRPr="00B72DE4">
        <w:rPr>
          <w:rFonts w:ascii="SimSun" w:hAnsi="SimSun" w:hint="eastAsia"/>
          <w:szCs w:val="18"/>
        </w:rPr>
        <w:t>2015年</w:t>
      </w:r>
      <w:r w:rsidR="007279B7" w:rsidRPr="00B72DE4">
        <w:rPr>
          <w:rFonts w:ascii="SimSun" w:hAnsi="SimSun" w:hint="eastAsia"/>
          <w:szCs w:val="18"/>
        </w:rPr>
        <w:t>)</w:t>
      </w:r>
      <w:r w:rsidRPr="00B72DE4">
        <w:rPr>
          <w:rFonts w:ascii="SimSun" w:hAnsi="SimSun" w:hint="eastAsia"/>
          <w:szCs w:val="18"/>
        </w:rPr>
        <w:t>，“电视广告一览之洞见”6，网址为：</w:t>
      </w:r>
      <w:r w:rsidRPr="000737EF">
        <w:rPr>
          <w:rFonts w:ascii="SimSun" w:hAnsi="SimSun"/>
          <w:szCs w:val="18"/>
        </w:rPr>
        <w:fldChar w:fldCharType="begin"/>
      </w:r>
      <w:r w:rsidRPr="000737EF">
        <w:rPr>
          <w:rFonts w:ascii="SimSun" w:hAnsi="SimSun"/>
          <w:szCs w:val="18"/>
        </w:rPr>
        <w:instrText xml:space="preserve"> HYPERLINK "http://www.pwc.com/gx/en/global-entertainment-media-outlook/assets/2015/tv-advertising-key-insights-6-brazil-china-and-india.pdf" </w:instrText>
      </w:r>
      <w:r w:rsidRPr="000737EF">
        <w:rPr>
          <w:rFonts w:ascii="SimSun" w:hAnsi="SimSun"/>
          <w:szCs w:val="18"/>
        </w:rPr>
        <w:fldChar w:fldCharType="separate"/>
      </w:r>
      <w:r w:rsidRPr="000737EF">
        <w:rPr>
          <w:rStyle w:val="af0"/>
          <w:rFonts w:ascii="SimSun" w:hAnsi="SimSun"/>
          <w:color w:val="auto"/>
          <w:szCs w:val="18"/>
          <w:u w:val="none"/>
        </w:rPr>
        <w:t>http://www.pwc.com/gx/en/global-entertainment-media-outlook/assets/2015/tv-advertising-key-insights-6-brazil-china-and-india.pdf</w:t>
      </w:r>
      <w:r w:rsidRPr="000737EF">
        <w:rPr>
          <w:rFonts w:ascii="SimSun" w:hAnsi="SimSun"/>
          <w:szCs w:val="18"/>
        </w:rPr>
        <w:fldChar w:fldCharType="end"/>
      </w:r>
      <w:r w:rsidRPr="00B72DE4">
        <w:rPr>
          <w:rFonts w:ascii="SimSun" w:hAnsi="SimSun" w:hint="eastAsia"/>
          <w:szCs w:val="18"/>
        </w:rPr>
        <w:t>。</w:t>
      </w:r>
    </w:p>
  </w:footnote>
  <w:footnote w:id="19">
    <w:p w:rsidR="003B402E" w:rsidRPr="00B72DE4" w:rsidRDefault="003B402E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proofErr w:type="spellStart"/>
      <w:r w:rsidR="00E33080">
        <w:rPr>
          <w:rFonts w:ascii="SimSun" w:hAnsi="SimSun"/>
          <w:szCs w:val="18"/>
        </w:rPr>
        <w:t>Wischenbart</w:t>
      </w:r>
      <w:proofErr w:type="spellEnd"/>
      <w:r w:rsidR="00E33080">
        <w:rPr>
          <w:rFonts w:ascii="SimSun" w:hAnsi="SimSun"/>
          <w:szCs w:val="18"/>
        </w:rPr>
        <w:t>, R</w:t>
      </w:r>
      <w:proofErr w:type="gramStart"/>
      <w:r w:rsidR="00E33080">
        <w:rPr>
          <w:rFonts w:ascii="SimSun" w:hAnsi="SimSun"/>
          <w:szCs w:val="18"/>
        </w:rPr>
        <w:t>.</w:t>
      </w:r>
      <w:r w:rsidRPr="00B72DE4">
        <w:rPr>
          <w:rFonts w:ascii="SimSun" w:hAnsi="SimSun"/>
          <w:szCs w:val="18"/>
        </w:rPr>
        <w:t>(</w:t>
      </w:r>
      <w:proofErr w:type="gramEnd"/>
      <w:r w:rsidRPr="00B72DE4">
        <w:rPr>
          <w:rFonts w:ascii="SimSun" w:hAnsi="SimSun"/>
          <w:szCs w:val="18"/>
        </w:rPr>
        <w:t>2013</w:t>
      </w:r>
      <w:r w:rsidR="00462D43" w:rsidRPr="00B72DE4">
        <w:rPr>
          <w:rFonts w:ascii="SimSun" w:hAnsi="SimSun" w:hint="eastAsia"/>
          <w:szCs w:val="18"/>
        </w:rPr>
        <w:t>年</w:t>
      </w:r>
      <w:r w:rsidRPr="00B72DE4">
        <w:rPr>
          <w:rFonts w:ascii="SimSun" w:hAnsi="SimSun"/>
          <w:szCs w:val="18"/>
        </w:rPr>
        <w:t>)</w:t>
      </w:r>
      <w:r w:rsidR="00462D43" w:rsidRPr="00B72DE4">
        <w:rPr>
          <w:rFonts w:ascii="SimSun" w:hAnsi="SimSun" w:hint="eastAsia"/>
          <w:szCs w:val="18"/>
        </w:rPr>
        <w:t>。“</w:t>
      </w:r>
      <w:r w:rsidRPr="00B72DE4">
        <w:rPr>
          <w:rFonts w:ascii="SimSun" w:hAnsi="SimSun"/>
          <w:szCs w:val="18"/>
        </w:rPr>
        <w:t>IPA</w:t>
      </w:r>
      <w:r w:rsidR="00462D43" w:rsidRPr="00B72DE4">
        <w:rPr>
          <w:rFonts w:ascii="SimSun" w:hAnsi="SimSun" w:hint="eastAsia"/>
          <w:szCs w:val="18"/>
        </w:rPr>
        <w:t>全球出版统计报告”，世界，</w:t>
      </w:r>
      <w:r w:rsidR="00462D43" w:rsidRPr="00B72DE4">
        <w:rPr>
          <w:rFonts w:ascii="SimSun" w:hAnsi="SimSun"/>
          <w:szCs w:val="18"/>
        </w:rPr>
        <w:t>114(12,189)</w:t>
      </w:r>
      <w:r w:rsidR="00462D43" w:rsidRPr="00B72DE4">
        <w:rPr>
          <w:rFonts w:ascii="SimSun" w:hAnsi="SimSun" w:hint="eastAsia"/>
          <w:szCs w:val="18"/>
        </w:rPr>
        <w:t>，</w:t>
      </w:r>
      <w:r w:rsidRPr="00B72DE4">
        <w:rPr>
          <w:rFonts w:ascii="SimSun" w:hAnsi="SimSun"/>
          <w:szCs w:val="18"/>
        </w:rPr>
        <w:t>7-046</w:t>
      </w:r>
      <w:r w:rsidR="00462D43" w:rsidRPr="00B72DE4">
        <w:rPr>
          <w:rFonts w:ascii="SimSun" w:hAnsi="SimSun" w:hint="eastAsia"/>
          <w:szCs w:val="18"/>
        </w:rPr>
        <w:t>。</w:t>
      </w:r>
    </w:p>
  </w:footnote>
  <w:footnote w:id="20">
    <w:p w:rsidR="003B402E" w:rsidRPr="00B72DE4" w:rsidRDefault="003B402E" w:rsidP="00671739">
      <w:pPr>
        <w:pStyle w:val="a9"/>
        <w:jc w:val="both"/>
        <w:rPr>
          <w:rFonts w:ascii="SimSun" w:hAnsi="SimSun"/>
          <w:szCs w:val="18"/>
        </w:rPr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proofErr w:type="spellStart"/>
      <w:r w:rsidRPr="00B72DE4">
        <w:rPr>
          <w:rFonts w:ascii="SimSun" w:hAnsi="SimSun"/>
          <w:szCs w:val="18"/>
        </w:rPr>
        <w:t>Wischenbart</w:t>
      </w:r>
      <w:proofErr w:type="spellEnd"/>
      <w:r w:rsidR="00462D43" w:rsidRPr="00B72DE4">
        <w:rPr>
          <w:rFonts w:ascii="SimSun" w:hAnsi="SimSun" w:hint="eastAsia"/>
          <w:szCs w:val="18"/>
        </w:rPr>
        <w:t>，同上。</w:t>
      </w:r>
    </w:p>
  </w:footnote>
  <w:footnote w:id="21">
    <w:p w:rsidR="003B402E" w:rsidRDefault="003B402E" w:rsidP="00671739">
      <w:pPr>
        <w:pStyle w:val="a9"/>
        <w:jc w:val="both"/>
      </w:pPr>
      <w:r w:rsidRPr="00B72DE4">
        <w:rPr>
          <w:rStyle w:val="af"/>
          <w:rFonts w:ascii="SimSun" w:hAnsi="SimSun"/>
          <w:szCs w:val="18"/>
        </w:rPr>
        <w:footnoteRef/>
      </w:r>
      <w:r w:rsidR="00102820" w:rsidRPr="004B2DB0">
        <w:rPr>
          <w:rFonts w:ascii="SimSun" w:hAnsi="SimSun"/>
          <w:szCs w:val="18"/>
        </w:rPr>
        <w:tab/>
      </w:r>
      <w:r w:rsidRPr="00B72DE4">
        <w:rPr>
          <w:rFonts w:ascii="SimSun" w:hAnsi="SimSun"/>
          <w:szCs w:val="18"/>
        </w:rPr>
        <w:t>Simon, J. P.</w:t>
      </w:r>
      <w:r w:rsidR="00E600E0" w:rsidRPr="00B72DE4">
        <w:rPr>
          <w:rFonts w:ascii="SimSun" w:hAnsi="SimSun" w:hint="eastAsia"/>
          <w:szCs w:val="18"/>
        </w:rPr>
        <w:t>和</w:t>
      </w:r>
      <w:r w:rsidR="00E600E0" w:rsidRPr="00B72DE4">
        <w:rPr>
          <w:rFonts w:ascii="SimSun" w:hAnsi="SimSun"/>
          <w:szCs w:val="18"/>
        </w:rPr>
        <w:t>G. De Prato</w:t>
      </w:r>
      <w:r w:rsidR="00E600E0" w:rsidRPr="00B72DE4">
        <w:rPr>
          <w:rFonts w:ascii="SimSun" w:hAnsi="SimSun" w:hint="eastAsia"/>
          <w:szCs w:val="18"/>
        </w:rPr>
        <w:t>。“对媒体和内容产业的统计学、生态系统和竞争</w:t>
      </w:r>
      <w:r w:rsidR="00502552">
        <w:rPr>
          <w:rFonts w:ascii="SimSun" w:hAnsi="SimSun" w:hint="eastAsia"/>
          <w:szCs w:val="18"/>
        </w:rPr>
        <w:t>力</w:t>
      </w:r>
      <w:r w:rsidR="00E600E0" w:rsidRPr="00B72DE4">
        <w:rPr>
          <w:rFonts w:ascii="SimSun" w:hAnsi="SimSun" w:hint="eastAsia"/>
          <w:szCs w:val="18"/>
        </w:rPr>
        <w:t>分析”</w:t>
      </w:r>
      <w:r w:rsidR="007279B7" w:rsidRPr="00B72DE4">
        <w:rPr>
          <w:rFonts w:ascii="SimSun" w:hAnsi="SimSun" w:hint="eastAsia"/>
          <w:szCs w:val="18"/>
        </w:rPr>
        <w:t>(</w:t>
      </w:r>
      <w:r w:rsidR="00E600E0" w:rsidRPr="00B72DE4">
        <w:rPr>
          <w:rFonts w:ascii="SimSun" w:hAnsi="SimSun" w:hint="eastAsia"/>
          <w:szCs w:val="18"/>
        </w:rPr>
        <w:t>2012年</w:t>
      </w:r>
      <w:r w:rsidR="007279B7" w:rsidRPr="00B72DE4">
        <w:rPr>
          <w:rFonts w:ascii="SimSun" w:hAnsi="SimSun" w:hint="eastAsia"/>
          <w:szCs w:val="18"/>
        </w:rPr>
        <w:t>)</w:t>
      </w:r>
      <w:r w:rsidR="00E600E0" w:rsidRPr="00B72DE4">
        <w:rPr>
          <w:rFonts w:ascii="SimSun" w:hAnsi="SimSun" w:hint="eastAsia"/>
          <w:szCs w:val="18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CA" w:rsidRPr="005C703E" w:rsidRDefault="00425ACA" w:rsidP="00477D6B">
    <w:pPr>
      <w:jc w:val="right"/>
      <w:rPr>
        <w:rFonts w:ascii="SimSun" w:hAnsi="SimSun"/>
        <w:sz w:val="21"/>
        <w:szCs w:val="21"/>
      </w:rPr>
    </w:pPr>
    <w:r w:rsidRPr="005C703E">
      <w:rPr>
        <w:rFonts w:ascii="SimSun" w:hAnsi="SimSun"/>
        <w:sz w:val="21"/>
        <w:szCs w:val="21"/>
      </w:rPr>
      <w:t>WIPO/</w:t>
    </w:r>
    <w:r>
      <w:rPr>
        <w:rFonts w:ascii="SimSun" w:hAnsi="SimSun" w:hint="eastAsia"/>
        <w:sz w:val="21"/>
        <w:szCs w:val="21"/>
      </w:rPr>
      <w:t>GDCM</w:t>
    </w:r>
    <w:r w:rsidRPr="005C703E">
      <w:rPr>
        <w:rFonts w:ascii="SimSun" w:hAnsi="SimSun"/>
        <w:sz w:val="21"/>
        <w:szCs w:val="21"/>
      </w:rPr>
      <w:t>/GE/1</w:t>
    </w:r>
    <w:r>
      <w:rPr>
        <w:rFonts w:ascii="SimSun" w:hAnsi="SimSun" w:hint="eastAsia"/>
        <w:sz w:val="21"/>
        <w:szCs w:val="21"/>
      </w:rPr>
      <w:t>6</w:t>
    </w:r>
    <w:r w:rsidRPr="005C703E">
      <w:rPr>
        <w:rFonts w:ascii="SimSun" w:hAnsi="SimSun"/>
        <w:sz w:val="21"/>
        <w:szCs w:val="21"/>
      </w:rPr>
      <w:t>/</w:t>
    </w:r>
    <w:r>
      <w:rPr>
        <w:rFonts w:ascii="SimSun" w:hAnsi="SimSun" w:hint="eastAsia"/>
        <w:sz w:val="21"/>
        <w:szCs w:val="21"/>
      </w:rPr>
      <w:t>INF/2</w:t>
    </w:r>
  </w:p>
  <w:p w:rsidR="00425ACA" w:rsidRDefault="00425ACA" w:rsidP="000148E0">
    <w:pPr>
      <w:jc w:val="right"/>
      <w:rPr>
        <w:rFonts w:ascii="SimSun" w:hAnsi="SimSun"/>
        <w:sz w:val="21"/>
        <w:szCs w:val="21"/>
      </w:rPr>
    </w:pPr>
    <w:r w:rsidRPr="005C703E">
      <w:rPr>
        <w:rFonts w:ascii="SimSun" w:hAnsi="SimSun" w:hint="eastAsia"/>
        <w:sz w:val="21"/>
        <w:szCs w:val="21"/>
      </w:rPr>
      <w:t>第</w:t>
    </w:r>
    <w:r w:rsidRPr="005C703E">
      <w:rPr>
        <w:rFonts w:ascii="SimSun" w:hAnsi="SimSun"/>
        <w:sz w:val="21"/>
        <w:szCs w:val="21"/>
      </w:rPr>
      <w:fldChar w:fldCharType="begin"/>
    </w:r>
    <w:r w:rsidRPr="005C703E">
      <w:rPr>
        <w:rFonts w:ascii="SimSun" w:hAnsi="SimSun"/>
        <w:sz w:val="21"/>
        <w:szCs w:val="21"/>
      </w:rPr>
      <w:instrText xml:space="preserve"> PAGE  \* MERGEFORMAT </w:instrText>
    </w:r>
    <w:r w:rsidRPr="005C703E">
      <w:rPr>
        <w:rFonts w:ascii="SimSun" w:hAnsi="SimSun"/>
        <w:sz w:val="21"/>
        <w:szCs w:val="21"/>
      </w:rPr>
      <w:fldChar w:fldCharType="separate"/>
    </w:r>
    <w:r w:rsidR="00EB1A01">
      <w:rPr>
        <w:rFonts w:ascii="SimSun" w:hAnsi="SimSun"/>
        <w:noProof/>
        <w:sz w:val="21"/>
        <w:szCs w:val="21"/>
      </w:rPr>
      <w:t>2</w:t>
    </w:r>
    <w:r w:rsidRPr="005C703E">
      <w:rPr>
        <w:rFonts w:ascii="SimSun" w:hAnsi="SimSun"/>
        <w:sz w:val="21"/>
        <w:szCs w:val="21"/>
      </w:rPr>
      <w:fldChar w:fldCharType="end"/>
    </w:r>
    <w:r w:rsidRPr="005C703E">
      <w:rPr>
        <w:rFonts w:ascii="SimSun" w:hAnsi="SimSun" w:hint="eastAsia"/>
        <w:sz w:val="21"/>
        <w:szCs w:val="21"/>
      </w:rPr>
      <w:t>页</w:t>
    </w:r>
  </w:p>
  <w:p w:rsidR="00425ACA" w:rsidRPr="005C703E" w:rsidRDefault="00425ACA" w:rsidP="00477D6B">
    <w:pPr>
      <w:jc w:val="right"/>
      <w:rPr>
        <w:rFonts w:ascii="SimSun" w:hAnsi="SimSun"/>
        <w:sz w:val="21"/>
        <w:szCs w:val="21"/>
      </w:rPr>
    </w:pPr>
  </w:p>
  <w:p w:rsidR="00425ACA" w:rsidRDefault="00425AC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C92A57"/>
    <w:multiLevelType w:val="hybridMultilevel"/>
    <w:tmpl w:val="305A6834"/>
    <w:lvl w:ilvl="0" w:tplc="33523D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BC264C"/>
    <w:multiLevelType w:val="hybridMultilevel"/>
    <w:tmpl w:val="988CC216"/>
    <w:lvl w:ilvl="0" w:tplc="F670C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049E7"/>
    <w:multiLevelType w:val="hybridMultilevel"/>
    <w:tmpl w:val="ED5EC180"/>
    <w:lvl w:ilvl="0" w:tplc="33523D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AE4A16"/>
    <w:multiLevelType w:val="hybridMultilevel"/>
    <w:tmpl w:val="B5122090"/>
    <w:lvl w:ilvl="0" w:tplc="CE9CCBC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UPOV|WIPONew|Test-WIPO|WIPOTemp|AT.WIPO"/>
    <w:docVar w:name="TermBaseURL" w:val="empty"/>
    <w:docVar w:name="TextBases" w:val="Budget and Finance\Meetings|Budget and Finance\Other|Budget and Finance\Publications|Administrative\Meetings|Administrative\Other|Administrativ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CTS\Test|WorkspaceCTS\wo_pbc-zhou|Glossaries\EN-ZH"/>
    <w:docVar w:name="TextBaseURL" w:val="empty"/>
    <w:docVar w:name="UILng" w:val="en"/>
  </w:docVars>
  <w:rsids>
    <w:rsidRoot w:val="001D47E5"/>
    <w:rsid w:val="000148E0"/>
    <w:rsid w:val="00026990"/>
    <w:rsid w:val="000449B1"/>
    <w:rsid w:val="0004604E"/>
    <w:rsid w:val="0005229D"/>
    <w:rsid w:val="0005683A"/>
    <w:rsid w:val="00065049"/>
    <w:rsid w:val="00072A1D"/>
    <w:rsid w:val="00072BCE"/>
    <w:rsid w:val="000737EF"/>
    <w:rsid w:val="00075D39"/>
    <w:rsid w:val="0007717C"/>
    <w:rsid w:val="00090D33"/>
    <w:rsid w:val="00096104"/>
    <w:rsid w:val="000A46A9"/>
    <w:rsid w:val="000A7984"/>
    <w:rsid w:val="000B081D"/>
    <w:rsid w:val="000B5ADA"/>
    <w:rsid w:val="000B7FAE"/>
    <w:rsid w:val="000C564A"/>
    <w:rsid w:val="000C6748"/>
    <w:rsid w:val="000C68BD"/>
    <w:rsid w:val="000C7343"/>
    <w:rsid w:val="000D1774"/>
    <w:rsid w:val="000E7585"/>
    <w:rsid w:val="000F5E56"/>
    <w:rsid w:val="00102820"/>
    <w:rsid w:val="001116FA"/>
    <w:rsid w:val="00114993"/>
    <w:rsid w:val="001362EE"/>
    <w:rsid w:val="001376FB"/>
    <w:rsid w:val="00143484"/>
    <w:rsid w:val="001465EC"/>
    <w:rsid w:val="00151112"/>
    <w:rsid w:val="00160CE2"/>
    <w:rsid w:val="00166D63"/>
    <w:rsid w:val="0017182D"/>
    <w:rsid w:val="0017297D"/>
    <w:rsid w:val="001732DE"/>
    <w:rsid w:val="00176F03"/>
    <w:rsid w:val="001832A6"/>
    <w:rsid w:val="001902CC"/>
    <w:rsid w:val="00191D22"/>
    <w:rsid w:val="001957D4"/>
    <w:rsid w:val="00195835"/>
    <w:rsid w:val="00197FFD"/>
    <w:rsid w:val="001A4E5A"/>
    <w:rsid w:val="001B3C6A"/>
    <w:rsid w:val="001B71BF"/>
    <w:rsid w:val="001C2012"/>
    <w:rsid w:val="001C5853"/>
    <w:rsid w:val="001D47E5"/>
    <w:rsid w:val="001D537C"/>
    <w:rsid w:val="001D5C0F"/>
    <w:rsid w:val="001D7119"/>
    <w:rsid w:val="001F0554"/>
    <w:rsid w:val="001F2574"/>
    <w:rsid w:val="001F7C41"/>
    <w:rsid w:val="00204BCD"/>
    <w:rsid w:val="002067D0"/>
    <w:rsid w:val="0020789C"/>
    <w:rsid w:val="00216AD1"/>
    <w:rsid w:val="00216F57"/>
    <w:rsid w:val="00220480"/>
    <w:rsid w:val="002257FA"/>
    <w:rsid w:val="00237468"/>
    <w:rsid w:val="00242556"/>
    <w:rsid w:val="002451B3"/>
    <w:rsid w:val="002456E6"/>
    <w:rsid w:val="00251948"/>
    <w:rsid w:val="002559B6"/>
    <w:rsid w:val="00257813"/>
    <w:rsid w:val="0026227B"/>
    <w:rsid w:val="002634C4"/>
    <w:rsid w:val="00274A90"/>
    <w:rsid w:val="00277129"/>
    <w:rsid w:val="0028381B"/>
    <w:rsid w:val="00283947"/>
    <w:rsid w:val="00287E6C"/>
    <w:rsid w:val="002907BB"/>
    <w:rsid w:val="00293871"/>
    <w:rsid w:val="00294C92"/>
    <w:rsid w:val="002972E4"/>
    <w:rsid w:val="002B7337"/>
    <w:rsid w:val="002E0010"/>
    <w:rsid w:val="002E2BC0"/>
    <w:rsid w:val="002E5334"/>
    <w:rsid w:val="002E7DDC"/>
    <w:rsid w:val="002F2300"/>
    <w:rsid w:val="002F310B"/>
    <w:rsid w:val="002F4E68"/>
    <w:rsid w:val="002F7A21"/>
    <w:rsid w:val="00310138"/>
    <w:rsid w:val="00312429"/>
    <w:rsid w:val="00316110"/>
    <w:rsid w:val="00323F7E"/>
    <w:rsid w:val="00330881"/>
    <w:rsid w:val="003372D2"/>
    <w:rsid w:val="00345F74"/>
    <w:rsid w:val="0034771B"/>
    <w:rsid w:val="003500DE"/>
    <w:rsid w:val="00352E89"/>
    <w:rsid w:val="00353ABB"/>
    <w:rsid w:val="00360634"/>
    <w:rsid w:val="00361423"/>
    <w:rsid w:val="003649E4"/>
    <w:rsid w:val="00365A50"/>
    <w:rsid w:val="00366134"/>
    <w:rsid w:val="00371C77"/>
    <w:rsid w:val="00373DFF"/>
    <w:rsid w:val="00374B8E"/>
    <w:rsid w:val="0037513C"/>
    <w:rsid w:val="003806FE"/>
    <w:rsid w:val="00382131"/>
    <w:rsid w:val="003845C1"/>
    <w:rsid w:val="00386310"/>
    <w:rsid w:val="00394ADF"/>
    <w:rsid w:val="00394EFE"/>
    <w:rsid w:val="003A070F"/>
    <w:rsid w:val="003A691C"/>
    <w:rsid w:val="003B3CBE"/>
    <w:rsid w:val="003B402E"/>
    <w:rsid w:val="003C090C"/>
    <w:rsid w:val="003D697F"/>
    <w:rsid w:val="003E0414"/>
    <w:rsid w:val="003E330F"/>
    <w:rsid w:val="003F1476"/>
    <w:rsid w:val="003F362F"/>
    <w:rsid w:val="00400B1F"/>
    <w:rsid w:val="0041641D"/>
    <w:rsid w:val="00420EAC"/>
    <w:rsid w:val="00420F2C"/>
    <w:rsid w:val="00423E3E"/>
    <w:rsid w:val="00425ACA"/>
    <w:rsid w:val="00427AF4"/>
    <w:rsid w:val="00436EE4"/>
    <w:rsid w:val="0044035F"/>
    <w:rsid w:val="00453F4C"/>
    <w:rsid w:val="0045593B"/>
    <w:rsid w:val="00462D43"/>
    <w:rsid w:val="0046354A"/>
    <w:rsid w:val="004647DA"/>
    <w:rsid w:val="004659CA"/>
    <w:rsid w:val="004676CD"/>
    <w:rsid w:val="00474A37"/>
    <w:rsid w:val="00477D6B"/>
    <w:rsid w:val="00483CF5"/>
    <w:rsid w:val="004A6459"/>
    <w:rsid w:val="004C68F2"/>
    <w:rsid w:val="004D3832"/>
    <w:rsid w:val="004F151E"/>
    <w:rsid w:val="004F309E"/>
    <w:rsid w:val="004F4D9B"/>
    <w:rsid w:val="004F58DB"/>
    <w:rsid w:val="004F77F7"/>
    <w:rsid w:val="00502552"/>
    <w:rsid w:val="00505B55"/>
    <w:rsid w:val="005223CF"/>
    <w:rsid w:val="00524DC5"/>
    <w:rsid w:val="00526912"/>
    <w:rsid w:val="005302D1"/>
    <w:rsid w:val="0054601A"/>
    <w:rsid w:val="0055185E"/>
    <w:rsid w:val="00554A93"/>
    <w:rsid w:val="0055669D"/>
    <w:rsid w:val="005576FE"/>
    <w:rsid w:val="00557790"/>
    <w:rsid w:val="00560FA1"/>
    <w:rsid w:val="00566599"/>
    <w:rsid w:val="005712F6"/>
    <w:rsid w:val="00571D03"/>
    <w:rsid w:val="00572553"/>
    <w:rsid w:val="00584032"/>
    <w:rsid w:val="0058590D"/>
    <w:rsid w:val="0058593E"/>
    <w:rsid w:val="005914B5"/>
    <w:rsid w:val="00596DC6"/>
    <w:rsid w:val="00597BD1"/>
    <w:rsid w:val="005A73CE"/>
    <w:rsid w:val="005B4698"/>
    <w:rsid w:val="005B76AD"/>
    <w:rsid w:val="005C0320"/>
    <w:rsid w:val="005C3681"/>
    <w:rsid w:val="005C57A1"/>
    <w:rsid w:val="005C703E"/>
    <w:rsid w:val="005D49D7"/>
    <w:rsid w:val="005D7BE6"/>
    <w:rsid w:val="005E0BA4"/>
    <w:rsid w:val="005E4D7B"/>
    <w:rsid w:val="005F1CE5"/>
    <w:rsid w:val="005F652F"/>
    <w:rsid w:val="00602346"/>
    <w:rsid w:val="00603723"/>
    <w:rsid w:val="00605827"/>
    <w:rsid w:val="0060762F"/>
    <w:rsid w:val="00607DE9"/>
    <w:rsid w:val="006169DE"/>
    <w:rsid w:val="00627DED"/>
    <w:rsid w:val="00631668"/>
    <w:rsid w:val="0063467E"/>
    <w:rsid w:val="006364DA"/>
    <w:rsid w:val="0064168A"/>
    <w:rsid w:val="006430C5"/>
    <w:rsid w:val="00644A69"/>
    <w:rsid w:val="006527EE"/>
    <w:rsid w:val="00661800"/>
    <w:rsid w:val="00661899"/>
    <w:rsid w:val="00662A7F"/>
    <w:rsid w:val="00671739"/>
    <w:rsid w:val="00683910"/>
    <w:rsid w:val="006843B8"/>
    <w:rsid w:val="006844B3"/>
    <w:rsid w:val="00687229"/>
    <w:rsid w:val="006910BD"/>
    <w:rsid w:val="006A2476"/>
    <w:rsid w:val="006A3B9A"/>
    <w:rsid w:val="006B00EA"/>
    <w:rsid w:val="006B319D"/>
    <w:rsid w:val="006B5DE1"/>
    <w:rsid w:val="006B6818"/>
    <w:rsid w:val="006B739B"/>
    <w:rsid w:val="006B7CFA"/>
    <w:rsid w:val="006D1FD5"/>
    <w:rsid w:val="006D2262"/>
    <w:rsid w:val="006D4DBA"/>
    <w:rsid w:val="006D775C"/>
    <w:rsid w:val="006E545F"/>
    <w:rsid w:val="006E6721"/>
    <w:rsid w:val="0070492C"/>
    <w:rsid w:val="007062C5"/>
    <w:rsid w:val="00713620"/>
    <w:rsid w:val="00715A6B"/>
    <w:rsid w:val="007165E0"/>
    <w:rsid w:val="007251E4"/>
    <w:rsid w:val="007270B2"/>
    <w:rsid w:val="0072716C"/>
    <w:rsid w:val="007279B7"/>
    <w:rsid w:val="00733B8A"/>
    <w:rsid w:val="00740B43"/>
    <w:rsid w:val="00746AE0"/>
    <w:rsid w:val="00747A2D"/>
    <w:rsid w:val="00747CCB"/>
    <w:rsid w:val="00755EC8"/>
    <w:rsid w:val="00772128"/>
    <w:rsid w:val="00774A22"/>
    <w:rsid w:val="00776AA1"/>
    <w:rsid w:val="0078018E"/>
    <w:rsid w:val="007812AF"/>
    <w:rsid w:val="00783DA1"/>
    <w:rsid w:val="00784202"/>
    <w:rsid w:val="00791A57"/>
    <w:rsid w:val="007944BF"/>
    <w:rsid w:val="007A5027"/>
    <w:rsid w:val="007A6D0B"/>
    <w:rsid w:val="007A7922"/>
    <w:rsid w:val="007B13FD"/>
    <w:rsid w:val="007B63B3"/>
    <w:rsid w:val="007B6C2C"/>
    <w:rsid w:val="007B6EA6"/>
    <w:rsid w:val="007C1F51"/>
    <w:rsid w:val="007C5CEB"/>
    <w:rsid w:val="007C5E10"/>
    <w:rsid w:val="007C6589"/>
    <w:rsid w:val="007D0AB5"/>
    <w:rsid w:val="007D0D07"/>
    <w:rsid w:val="007D2940"/>
    <w:rsid w:val="007D7742"/>
    <w:rsid w:val="007E3A2A"/>
    <w:rsid w:val="007E3D8C"/>
    <w:rsid w:val="007E5818"/>
    <w:rsid w:val="007F09F8"/>
    <w:rsid w:val="007F2C11"/>
    <w:rsid w:val="0080357A"/>
    <w:rsid w:val="00814CAA"/>
    <w:rsid w:val="00816FC7"/>
    <w:rsid w:val="00820B13"/>
    <w:rsid w:val="008263CC"/>
    <w:rsid w:val="008317D3"/>
    <w:rsid w:val="00833104"/>
    <w:rsid w:val="00852ADA"/>
    <w:rsid w:val="00863205"/>
    <w:rsid w:val="008636E0"/>
    <w:rsid w:val="00893D55"/>
    <w:rsid w:val="0089487E"/>
    <w:rsid w:val="00896C01"/>
    <w:rsid w:val="008A3809"/>
    <w:rsid w:val="008A3A08"/>
    <w:rsid w:val="008B2CC1"/>
    <w:rsid w:val="008B478D"/>
    <w:rsid w:val="008B7512"/>
    <w:rsid w:val="008C138B"/>
    <w:rsid w:val="008D7724"/>
    <w:rsid w:val="008E2A0D"/>
    <w:rsid w:val="008E2D51"/>
    <w:rsid w:val="008E3FF4"/>
    <w:rsid w:val="008E7BF5"/>
    <w:rsid w:val="008F386B"/>
    <w:rsid w:val="00901FEA"/>
    <w:rsid w:val="0090731E"/>
    <w:rsid w:val="00917CCD"/>
    <w:rsid w:val="00922A3F"/>
    <w:rsid w:val="00922FBA"/>
    <w:rsid w:val="009259F5"/>
    <w:rsid w:val="0093229A"/>
    <w:rsid w:val="009343D0"/>
    <w:rsid w:val="009436C1"/>
    <w:rsid w:val="00953308"/>
    <w:rsid w:val="00961084"/>
    <w:rsid w:val="00964BE8"/>
    <w:rsid w:val="00964F03"/>
    <w:rsid w:val="00966A22"/>
    <w:rsid w:val="00971E50"/>
    <w:rsid w:val="00981038"/>
    <w:rsid w:val="00985BF7"/>
    <w:rsid w:val="009862C3"/>
    <w:rsid w:val="009872D8"/>
    <w:rsid w:val="00995F96"/>
    <w:rsid w:val="009A1764"/>
    <w:rsid w:val="009A1AED"/>
    <w:rsid w:val="009A7B17"/>
    <w:rsid w:val="009C40F8"/>
    <w:rsid w:val="009C79E3"/>
    <w:rsid w:val="009E2408"/>
    <w:rsid w:val="009F4DD0"/>
    <w:rsid w:val="00A0174B"/>
    <w:rsid w:val="00A03883"/>
    <w:rsid w:val="00A0533E"/>
    <w:rsid w:val="00A11A0F"/>
    <w:rsid w:val="00A15E00"/>
    <w:rsid w:val="00A15ED8"/>
    <w:rsid w:val="00A179E6"/>
    <w:rsid w:val="00A22555"/>
    <w:rsid w:val="00A3504D"/>
    <w:rsid w:val="00A46395"/>
    <w:rsid w:val="00A4652E"/>
    <w:rsid w:val="00A5104F"/>
    <w:rsid w:val="00A53E7D"/>
    <w:rsid w:val="00A54B6C"/>
    <w:rsid w:val="00A60777"/>
    <w:rsid w:val="00A8751C"/>
    <w:rsid w:val="00A94F2C"/>
    <w:rsid w:val="00AA05EA"/>
    <w:rsid w:val="00AB03BA"/>
    <w:rsid w:val="00AB2C3E"/>
    <w:rsid w:val="00AB4E86"/>
    <w:rsid w:val="00AC28F4"/>
    <w:rsid w:val="00AC6198"/>
    <w:rsid w:val="00AC6ADA"/>
    <w:rsid w:val="00AC739A"/>
    <w:rsid w:val="00AD2329"/>
    <w:rsid w:val="00AD4A7C"/>
    <w:rsid w:val="00AD7588"/>
    <w:rsid w:val="00AE1462"/>
    <w:rsid w:val="00AF71E0"/>
    <w:rsid w:val="00B053F0"/>
    <w:rsid w:val="00B07637"/>
    <w:rsid w:val="00B10A26"/>
    <w:rsid w:val="00B15B04"/>
    <w:rsid w:val="00B2109E"/>
    <w:rsid w:val="00B30427"/>
    <w:rsid w:val="00B45722"/>
    <w:rsid w:val="00B5435E"/>
    <w:rsid w:val="00B54F5C"/>
    <w:rsid w:val="00B552A4"/>
    <w:rsid w:val="00B560F2"/>
    <w:rsid w:val="00B56C34"/>
    <w:rsid w:val="00B71DF0"/>
    <w:rsid w:val="00B72DE4"/>
    <w:rsid w:val="00B74801"/>
    <w:rsid w:val="00B806A8"/>
    <w:rsid w:val="00B916D1"/>
    <w:rsid w:val="00B91E40"/>
    <w:rsid w:val="00B9295D"/>
    <w:rsid w:val="00B9572D"/>
    <w:rsid w:val="00BA18E5"/>
    <w:rsid w:val="00BA6DE6"/>
    <w:rsid w:val="00BB39E4"/>
    <w:rsid w:val="00BB46B5"/>
    <w:rsid w:val="00BC02FD"/>
    <w:rsid w:val="00BC473A"/>
    <w:rsid w:val="00BC58E7"/>
    <w:rsid w:val="00BD127A"/>
    <w:rsid w:val="00BD1646"/>
    <w:rsid w:val="00BD478F"/>
    <w:rsid w:val="00BE195E"/>
    <w:rsid w:val="00BE1DB0"/>
    <w:rsid w:val="00BE5443"/>
    <w:rsid w:val="00BF33FB"/>
    <w:rsid w:val="00BF3652"/>
    <w:rsid w:val="00BF44D1"/>
    <w:rsid w:val="00BF46A3"/>
    <w:rsid w:val="00C02ABE"/>
    <w:rsid w:val="00C071DF"/>
    <w:rsid w:val="00C10215"/>
    <w:rsid w:val="00C17225"/>
    <w:rsid w:val="00C20CD0"/>
    <w:rsid w:val="00C318C1"/>
    <w:rsid w:val="00C31FEC"/>
    <w:rsid w:val="00C3300A"/>
    <w:rsid w:val="00C362F6"/>
    <w:rsid w:val="00C41879"/>
    <w:rsid w:val="00C42CEB"/>
    <w:rsid w:val="00C42EB8"/>
    <w:rsid w:val="00C519DF"/>
    <w:rsid w:val="00C52E5E"/>
    <w:rsid w:val="00C55F2A"/>
    <w:rsid w:val="00C57FC2"/>
    <w:rsid w:val="00C77128"/>
    <w:rsid w:val="00C83D2E"/>
    <w:rsid w:val="00C920BC"/>
    <w:rsid w:val="00C9293F"/>
    <w:rsid w:val="00CA0200"/>
    <w:rsid w:val="00CA6F3C"/>
    <w:rsid w:val="00CB2462"/>
    <w:rsid w:val="00CB34DF"/>
    <w:rsid w:val="00CD0649"/>
    <w:rsid w:val="00CD712C"/>
    <w:rsid w:val="00CE00C0"/>
    <w:rsid w:val="00CE4707"/>
    <w:rsid w:val="00CF441B"/>
    <w:rsid w:val="00D17605"/>
    <w:rsid w:val="00D17A9E"/>
    <w:rsid w:val="00D267C7"/>
    <w:rsid w:val="00D30BBB"/>
    <w:rsid w:val="00D3464D"/>
    <w:rsid w:val="00D42260"/>
    <w:rsid w:val="00D455BD"/>
    <w:rsid w:val="00D46522"/>
    <w:rsid w:val="00D47B78"/>
    <w:rsid w:val="00D5075E"/>
    <w:rsid w:val="00D60AE6"/>
    <w:rsid w:val="00D650B5"/>
    <w:rsid w:val="00D66421"/>
    <w:rsid w:val="00D70D78"/>
    <w:rsid w:val="00D71B4D"/>
    <w:rsid w:val="00D72853"/>
    <w:rsid w:val="00D83F6E"/>
    <w:rsid w:val="00D840DD"/>
    <w:rsid w:val="00D87B2C"/>
    <w:rsid w:val="00D93D55"/>
    <w:rsid w:val="00D946D8"/>
    <w:rsid w:val="00DA01A9"/>
    <w:rsid w:val="00DB141D"/>
    <w:rsid w:val="00DB4A50"/>
    <w:rsid w:val="00DB5642"/>
    <w:rsid w:val="00DC214B"/>
    <w:rsid w:val="00DC5446"/>
    <w:rsid w:val="00DE5F1F"/>
    <w:rsid w:val="00DE6DF2"/>
    <w:rsid w:val="00E00F13"/>
    <w:rsid w:val="00E03707"/>
    <w:rsid w:val="00E070A4"/>
    <w:rsid w:val="00E11CBF"/>
    <w:rsid w:val="00E170A4"/>
    <w:rsid w:val="00E23406"/>
    <w:rsid w:val="00E323F6"/>
    <w:rsid w:val="00E33080"/>
    <w:rsid w:val="00E344FC"/>
    <w:rsid w:val="00E40868"/>
    <w:rsid w:val="00E52349"/>
    <w:rsid w:val="00E55C11"/>
    <w:rsid w:val="00E570A7"/>
    <w:rsid w:val="00E572FC"/>
    <w:rsid w:val="00E600E0"/>
    <w:rsid w:val="00E6062D"/>
    <w:rsid w:val="00E703D9"/>
    <w:rsid w:val="00E74562"/>
    <w:rsid w:val="00E7568D"/>
    <w:rsid w:val="00E817A6"/>
    <w:rsid w:val="00E81C02"/>
    <w:rsid w:val="00E83048"/>
    <w:rsid w:val="00E844F3"/>
    <w:rsid w:val="00E8784A"/>
    <w:rsid w:val="00E96148"/>
    <w:rsid w:val="00E97FE1"/>
    <w:rsid w:val="00EB1402"/>
    <w:rsid w:val="00EB1A01"/>
    <w:rsid w:val="00EB29CC"/>
    <w:rsid w:val="00EC223E"/>
    <w:rsid w:val="00EE04EC"/>
    <w:rsid w:val="00EE05FB"/>
    <w:rsid w:val="00EE217A"/>
    <w:rsid w:val="00EE4247"/>
    <w:rsid w:val="00EF0E44"/>
    <w:rsid w:val="00EF4987"/>
    <w:rsid w:val="00F0433D"/>
    <w:rsid w:val="00F06445"/>
    <w:rsid w:val="00F066A7"/>
    <w:rsid w:val="00F0788E"/>
    <w:rsid w:val="00F139A3"/>
    <w:rsid w:val="00F17EFC"/>
    <w:rsid w:val="00F202F6"/>
    <w:rsid w:val="00F2513C"/>
    <w:rsid w:val="00F33888"/>
    <w:rsid w:val="00F56B64"/>
    <w:rsid w:val="00F56C6A"/>
    <w:rsid w:val="00F639AF"/>
    <w:rsid w:val="00F65E04"/>
    <w:rsid w:val="00F65EF3"/>
    <w:rsid w:val="00F66152"/>
    <w:rsid w:val="00F761F8"/>
    <w:rsid w:val="00F76854"/>
    <w:rsid w:val="00F817B7"/>
    <w:rsid w:val="00F8445D"/>
    <w:rsid w:val="00F848E3"/>
    <w:rsid w:val="00F9382C"/>
    <w:rsid w:val="00FB2C86"/>
    <w:rsid w:val="00FB5B17"/>
    <w:rsid w:val="00FB7561"/>
    <w:rsid w:val="00FC2940"/>
    <w:rsid w:val="00FD095C"/>
    <w:rsid w:val="00FD318E"/>
    <w:rsid w:val="00FD3288"/>
    <w:rsid w:val="00FD7CD8"/>
    <w:rsid w:val="00FE0F33"/>
    <w:rsid w:val="00FE464F"/>
    <w:rsid w:val="00FF0832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17225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17225"/>
    <w:pPr>
      <w:spacing w:after="220"/>
    </w:pPr>
  </w:style>
  <w:style w:type="paragraph" w:styleId="a5">
    <w:name w:val="caption"/>
    <w:basedOn w:val="a0"/>
    <w:next w:val="a0"/>
    <w:qFormat/>
    <w:rsid w:val="00C17225"/>
    <w:rPr>
      <w:b/>
      <w:bCs/>
      <w:sz w:val="18"/>
    </w:rPr>
  </w:style>
  <w:style w:type="paragraph" w:styleId="a6">
    <w:name w:val="annotation text"/>
    <w:basedOn w:val="a0"/>
    <w:semiHidden/>
    <w:rsid w:val="00C17225"/>
    <w:rPr>
      <w:sz w:val="18"/>
    </w:rPr>
  </w:style>
  <w:style w:type="paragraph" w:styleId="a7">
    <w:name w:val="endnote text"/>
    <w:basedOn w:val="a0"/>
    <w:semiHidden/>
    <w:rsid w:val="00C17225"/>
    <w:rPr>
      <w:sz w:val="18"/>
    </w:rPr>
  </w:style>
  <w:style w:type="paragraph" w:styleId="a8">
    <w:name w:val="footer"/>
    <w:basedOn w:val="a0"/>
    <w:semiHidden/>
    <w:rsid w:val="00C17225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C17225"/>
    <w:rPr>
      <w:sz w:val="18"/>
    </w:rPr>
  </w:style>
  <w:style w:type="paragraph" w:customStyle="1" w:styleId="Endofdocument-Annex">
    <w:name w:val="[End of document - Annex]"/>
    <w:basedOn w:val="a0"/>
    <w:rsid w:val="00715A6B"/>
    <w:pPr>
      <w:ind w:left="5534"/>
    </w:pPr>
  </w:style>
  <w:style w:type="paragraph" w:customStyle="1" w:styleId="Organizers">
    <w:name w:val="Organizer(s)"/>
    <w:basedOn w:val="a0"/>
    <w:rsid w:val="002E2BC0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paragraph" w:styleId="aa">
    <w:name w:val="header"/>
    <w:basedOn w:val="a0"/>
    <w:semiHidden/>
    <w:rsid w:val="00C17225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C17225"/>
    <w:pPr>
      <w:numPr>
        <w:numId w:val="4"/>
      </w:numPr>
    </w:pPr>
  </w:style>
  <w:style w:type="paragraph" w:customStyle="1" w:styleId="ONUME">
    <w:name w:val="ONUM E"/>
    <w:basedOn w:val="a4"/>
    <w:rsid w:val="00C17225"/>
    <w:pPr>
      <w:numPr>
        <w:numId w:val="5"/>
      </w:numPr>
    </w:pPr>
  </w:style>
  <w:style w:type="paragraph" w:customStyle="1" w:styleId="ONUMFS">
    <w:name w:val="ONUM FS"/>
    <w:basedOn w:val="a4"/>
    <w:rsid w:val="00C17225"/>
    <w:pPr>
      <w:numPr>
        <w:numId w:val="6"/>
      </w:numPr>
    </w:pPr>
  </w:style>
  <w:style w:type="paragraph" w:styleId="ab">
    <w:name w:val="Salutation"/>
    <w:basedOn w:val="a0"/>
    <w:next w:val="a0"/>
    <w:semiHidden/>
    <w:rsid w:val="00C17225"/>
  </w:style>
  <w:style w:type="paragraph" w:styleId="ac">
    <w:name w:val="Signature"/>
    <w:basedOn w:val="a0"/>
    <w:semiHidden/>
    <w:rsid w:val="00C17225"/>
    <w:pPr>
      <w:ind w:left="5250"/>
    </w:pPr>
  </w:style>
  <w:style w:type="paragraph" w:styleId="ad">
    <w:name w:val="Balloon Text"/>
    <w:basedOn w:val="a0"/>
    <w:link w:val="Char"/>
    <w:rsid w:val="006A2476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d"/>
    <w:rsid w:val="006A2476"/>
    <w:rPr>
      <w:rFonts w:ascii="Tahoma" w:hAnsi="Tahoma" w:cs="Tahoma"/>
      <w:sz w:val="16"/>
      <w:szCs w:val="16"/>
    </w:rPr>
  </w:style>
  <w:style w:type="character" w:styleId="ae">
    <w:name w:val="Emphasis"/>
    <w:uiPriority w:val="20"/>
    <w:qFormat/>
    <w:rsid w:val="00FD7CD8"/>
    <w:rPr>
      <w:b/>
      <w:bCs/>
      <w:i w:val="0"/>
      <w:iCs w:val="0"/>
    </w:rPr>
  </w:style>
  <w:style w:type="character" w:styleId="af">
    <w:name w:val="footnote reference"/>
    <w:basedOn w:val="a1"/>
    <w:rsid w:val="0034771B"/>
    <w:rPr>
      <w:vertAlign w:val="superscript"/>
    </w:rPr>
  </w:style>
  <w:style w:type="character" w:customStyle="1" w:styleId="shorttext">
    <w:name w:val="short_text"/>
    <w:basedOn w:val="a1"/>
    <w:rsid w:val="005B4698"/>
  </w:style>
  <w:style w:type="character" w:customStyle="1" w:styleId="hps">
    <w:name w:val="hps"/>
    <w:basedOn w:val="a1"/>
    <w:rsid w:val="004A6459"/>
  </w:style>
  <w:style w:type="character" w:styleId="af0">
    <w:name w:val="Hyperlink"/>
    <w:basedOn w:val="a1"/>
    <w:rsid w:val="00EE4247"/>
    <w:rPr>
      <w:color w:val="0000FF" w:themeColor="hyperlink"/>
      <w:u w:val="single"/>
    </w:rPr>
  </w:style>
  <w:style w:type="character" w:styleId="af1">
    <w:name w:val="FollowedHyperlink"/>
    <w:basedOn w:val="a1"/>
    <w:rsid w:val="00596DC6"/>
    <w:rPr>
      <w:color w:val="800080" w:themeColor="followedHyperlink"/>
      <w:u w:val="single"/>
    </w:rPr>
  </w:style>
  <w:style w:type="paragraph" w:styleId="af2">
    <w:name w:val="Title"/>
    <w:basedOn w:val="a0"/>
    <w:next w:val="a0"/>
    <w:link w:val="Char0"/>
    <w:qFormat/>
    <w:rsid w:val="00922A3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1"/>
    <w:link w:val="af2"/>
    <w:rsid w:val="00922A3F"/>
    <w:rPr>
      <w:rFonts w:asciiTheme="majorHAnsi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17225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17225"/>
    <w:pPr>
      <w:spacing w:after="220"/>
    </w:pPr>
  </w:style>
  <w:style w:type="paragraph" w:styleId="a5">
    <w:name w:val="caption"/>
    <w:basedOn w:val="a0"/>
    <w:next w:val="a0"/>
    <w:qFormat/>
    <w:rsid w:val="00C17225"/>
    <w:rPr>
      <w:b/>
      <w:bCs/>
      <w:sz w:val="18"/>
    </w:rPr>
  </w:style>
  <w:style w:type="paragraph" w:styleId="a6">
    <w:name w:val="annotation text"/>
    <w:basedOn w:val="a0"/>
    <w:semiHidden/>
    <w:rsid w:val="00C17225"/>
    <w:rPr>
      <w:sz w:val="18"/>
    </w:rPr>
  </w:style>
  <w:style w:type="paragraph" w:styleId="a7">
    <w:name w:val="endnote text"/>
    <w:basedOn w:val="a0"/>
    <w:semiHidden/>
    <w:rsid w:val="00C17225"/>
    <w:rPr>
      <w:sz w:val="18"/>
    </w:rPr>
  </w:style>
  <w:style w:type="paragraph" w:styleId="a8">
    <w:name w:val="footer"/>
    <w:basedOn w:val="a0"/>
    <w:semiHidden/>
    <w:rsid w:val="00C17225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C17225"/>
    <w:rPr>
      <w:sz w:val="18"/>
    </w:rPr>
  </w:style>
  <w:style w:type="paragraph" w:customStyle="1" w:styleId="Endofdocument-Annex">
    <w:name w:val="[End of document - Annex]"/>
    <w:basedOn w:val="a0"/>
    <w:rsid w:val="00715A6B"/>
    <w:pPr>
      <w:ind w:left="5534"/>
    </w:pPr>
  </w:style>
  <w:style w:type="paragraph" w:customStyle="1" w:styleId="Organizers">
    <w:name w:val="Organizer(s)"/>
    <w:basedOn w:val="a0"/>
    <w:rsid w:val="002E2BC0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paragraph" w:styleId="aa">
    <w:name w:val="header"/>
    <w:basedOn w:val="a0"/>
    <w:semiHidden/>
    <w:rsid w:val="00C17225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C17225"/>
    <w:pPr>
      <w:numPr>
        <w:numId w:val="4"/>
      </w:numPr>
    </w:pPr>
  </w:style>
  <w:style w:type="paragraph" w:customStyle="1" w:styleId="ONUME">
    <w:name w:val="ONUM E"/>
    <w:basedOn w:val="a4"/>
    <w:rsid w:val="00C17225"/>
    <w:pPr>
      <w:numPr>
        <w:numId w:val="5"/>
      </w:numPr>
    </w:pPr>
  </w:style>
  <w:style w:type="paragraph" w:customStyle="1" w:styleId="ONUMFS">
    <w:name w:val="ONUM FS"/>
    <w:basedOn w:val="a4"/>
    <w:rsid w:val="00C17225"/>
    <w:pPr>
      <w:numPr>
        <w:numId w:val="6"/>
      </w:numPr>
    </w:pPr>
  </w:style>
  <w:style w:type="paragraph" w:styleId="ab">
    <w:name w:val="Salutation"/>
    <w:basedOn w:val="a0"/>
    <w:next w:val="a0"/>
    <w:semiHidden/>
    <w:rsid w:val="00C17225"/>
  </w:style>
  <w:style w:type="paragraph" w:styleId="ac">
    <w:name w:val="Signature"/>
    <w:basedOn w:val="a0"/>
    <w:semiHidden/>
    <w:rsid w:val="00C17225"/>
    <w:pPr>
      <w:ind w:left="5250"/>
    </w:pPr>
  </w:style>
  <w:style w:type="paragraph" w:styleId="ad">
    <w:name w:val="Balloon Text"/>
    <w:basedOn w:val="a0"/>
    <w:link w:val="Char"/>
    <w:rsid w:val="006A2476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d"/>
    <w:rsid w:val="006A2476"/>
    <w:rPr>
      <w:rFonts w:ascii="Tahoma" w:hAnsi="Tahoma" w:cs="Tahoma"/>
      <w:sz w:val="16"/>
      <w:szCs w:val="16"/>
    </w:rPr>
  </w:style>
  <w:style w:type="character" w:styleId="ae">
    <w:name w:val="Emphasis"/>
    <w:uiPriority w:val="20"/>
    <w:qFormat/>
    <w:rsid w:val="00FD7CD8"/>
    <w:rPr>
      <w:b/>
      <w:bCs/>
      <w:i w:val="0"/>
      <w:iCs w:val="0"/>
    </w:rPr>
  </w:style>
  <w:style w:type="character" w:styleId="af">
    <w:name w:val="footnote reference"/>
    <w:basedOn w:val="a1"/>
    <w:rsid w:val="0034771B"/>
    <w:rPr>
      <w:vertAlign w:val="superscript"/>
    </w:rPr>
  </w:style>
  <w:style w:type="character" w:customStyle="1" w:styleId="shorttext">
    <w:name w:val="short_text"/>
    <w:basedOn w:val="a1"/>
    <w:rsid w:val="005B4698"/>
  </w:style>
  <w:style w:type="character" w:customStyle="1" w:styleId="hps">
    <w:name w:val="hps"/>
    <w:basedOn w:val="a1"/>
    <w:rsid w:val="004A6459"/>
  </w:style>
  <w:style w:type="character" w:styleId="af0">
    <w:name w:val="Hyperlink"/>
    <w:basedOn w:val="a1"/>
    <w:rsid w:val="00EE4247"/>
    <w:rPr>
      <w:color w:val="0000FF" w:themeColor="hyperlink"/>
      <w:u w:val="single"/>
    </w:rPr>
  </w:style>
  <w:style w:type="character" w:styleId="af1">
    <w:name w:val="FollowedHyperlink"/>
    <w:basedOn w:val="a1"/>
    <w:rsid w:val="00596DC6"/>
    <w:rPr>
      <w:color w:val="800080" w:themeColor="followedHyperlink"/>
      <w:u w:val="single"/>
    </w:rPr>
  </w:style>
  <w:style w:type="paragraph" w:styleId="af2">
    <w:name w:val="Title"/>
    <w:basedOn w:val="a0"/>
    <w:next w:val="a0"/>
    <w:link w:val="Char0"/>
    <w:qFormat/>
    <w:rsid w:val="00922A3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1"/>
    <w:link w:val="af2"/>
    <w:rsid w:val="00922A3F"/>
    <w:rPr>
      <w:rFonts w:asciiTheme="majorHAnsi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Qidian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maz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032B-B06F-49A0-B83D-49892841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WIPO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Weihai</dc:creator>
  <cp:lastModifiedBy>Yanmei Li</cp:lastModifiedBy>
  <cp:revision>142</cp:revision>
  <cp:lastPrinted>2016-03-04T16:02:00Z</cp:lastPrinted>
  <dcterms:created xsi:type="dcterms:W3CDTF">2016-03-03T15:57:00Z</dcterms:created>
  <dcterms:modified xsi:type="dcterms:W3CDTF">2016-04-01T13:39:00Z</dcterms:modified>
</cp:coreProperties>
</file>