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866ED" w:rsidRPr="00C866ED" w:rsidTr="001F3395">
        <w:trPr>
          <w:trHeight w:val="1977"/>
        </w:trPr>
        <w:tc>
          <w:tcPr>
            <w:tcW w:w="4594" w:type="dxa"/>
            <w:tcBorders>
              <w:bottom w:val="single" w:sz="4" w:space="0" w:color="auto"/>
            </w:tcBorders>
            <w:tcMar>
              <w:bottom w:w="170" w:type="dxa"/>
            </w:tcMar>
          </w:tcPr>
          <w:p w:rsidR="00C866ED" w:rsidRPr="00C866ED" w:rsidRDefault="00C866ED" w:rsidP="00C866ED">
            <w:pPr>
              <w:jc w:val="both"/>
              <w:rPr>
                <w:rFonts w:eastAsia="SimSun"/>
              </w:rPr>
            </w:pPr>
            <w:bookmarkStart w:id="0" w:name="TitleOfDoc"/>
            <w:bookmarkStart w:id="1" w:name="_GoBack"/>
            <w:bookmarkEnd w:id="0"/>
            <w:bookmarkEnd w:id="1"/>
            <w:r w:rsidRPr="00C866ED">
              <w:rPr>
                <w:rFonts w:eastAsia="SimSun"/>
                <w:noProof/>
              </w:rPr>
              <w:drawing>
                <wp:anchor distT="0" distB="0" distL="114300" distR="114300" simplePos="0" relativeHeight="251659264" behindDoc="1" locked="0" layoutInCell="0" allowOverlap="1" wp14:anchorId="1E3A756C" wp14:editId="43B762E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866ED" w:rsidRPr="00C866ED" w:rsidRDefault="00C866ED" w:rsidP="00C866ED">
            <w:pPr>
              <w:rPr>
                <w:rFonts w:eastAsia="SimSun"/>
              </w:rPr>
            </w:pPr>
          </w:p>
        </w:tc>
        <w:tc>
          <w:tcPr>
            <w:tcW w:w="425" w:type="dxa"/>
            <w:tcBorders>
              <w:bottom w:val="single" w:sz="4" w:space="0" w:color="auto"/>
            </w:tcBorders>
            <w:tcMar>
              <w:left w:w="0" w:type="dxa"/>
              <w:right w:w="0" w:type="dxa"/>
            </w:tcMar>
          </w:tcPr>
          <w:p w:rsidR="00C866ED" w:rsidRPr="00C866ED" w:rsidRDefault="00C866ED" w:rsidP="00C866ED">
            <w:pPr>
              <w:jc w:val="right"/>
              <w:rPr>
                <w:rFonts w:eastAsia="SimSun"/>
              </w:rPr>
            </w:pPr>
            <w:r w:rsidRPr="00C866ED">
              <w:rPr>
                <w:rFonts w:eastAsia="SimSun"/>
                <w:b/>
                <w:sz w:val="40"/>
                <w:szCs w:val="40"/>
              </w:rPr>
              <w:t>C</w:t>
            </w:r>
          </w:p>
        </w:tc>
      </w:tr>
      <w:tr w:rsidR="00C866ED" w:rsidRPr="00C866ED" w:rsidTr="001F3395">
        <w:trPr>
          <w:trHeight w:hRule="exact" w:val="340"/>
        </w:trPr>
        <w:tc>
          <w:tcPr>
            <w:tcW w:w="9356" w:type="dxa"/>
            <w:gridSpan w:val="3"/>
            <w:tcBorders>
              <w:top w:val="single" w:sz="4" w:space="0" w:color="auto"/>
            </w:tcBorders>
            <w:tcMar>
              <w:top w:w="170" w:type="dxa"/>
              <w:left w:w="0" w:type="dxa"/>
              <w:right w:w="0" w:type="dxa"/>
            </w:tcMar>
            <w:vAlign w:val="bottom"/>
          </w:tcPr>
          <w:p w:rsidR="00C866ED" w:rsidRPr="00C866ED" w:rsidRDefault="00C866ED" w:rsidP="00B426EE">
            <w:pPr>
              <w:jc w:val="right"/>
              <w:rPr>
                <w:rFonts w:ascii="Arial Black" w:eastAsia="SimSun" w:hAnsi="Arial Black"/>
                <w:caps/>
                <w:sz w:val="15"/>
              </w:rPr>
            </w:pPr>
            <w:r w:rsidRPr="00C866ED">
              <w:rPr>
                <w:rFonts w:ascii="Arial Black" w:eastAsia="SimSun" w:hAnsi="Arial Black" w:hint="eastAsia"/>
                <w:caps/>
                <w:sz w:val="15"/>
              </w:rPr>
              <w:t>wipo</w:t>
            </w:r>
            <w:r w:rsidRPr="00C866ED">
              <w:rPr>
                <w:rFonts w:ascii="Arial Black" w:eastAsia="SimSun" w:hAnsi="Arial Black"/>
                <w:caps/>
                <w:sz w:val="15"/>
              </w:rPr>
              <w:t>/</w:t>
            </w:r>
            <w:r w:rsidRPr="00C866ED">
              <w:rPr>
                <w:rFonts w:ascii="Arial Black" w:eastAsia="SimSun" w:hAnsi="Arial Black" w:hint="eastAsia"/>
                <w:caps/>
                <w:sz w:val="15"/>
              </w:rPr>
              <w:t>ace/9</w:t>
            </w:r>
            <w:r w:rsidRPr="00C866ED">
              <w:rPr>
                <w:rFonts w:ascii="Arial Black" w:eastAsia="SimSun" w:hAnsi="Arial Black"/>
                <w:caps/>
                <w:sz w:val="15"/>
              </w:rPr>
              <w:t>/</w:t>
            </w:r>
            <w:r w:rsidR="00B426EE">
              <w:rPr>
                <w:rFonts w:ascii="Arial Black" w:eastAsia="SimSun" w:hAnsi="Arial Black" w:hint="eastAsia"/>
                <w:caps/>
                <w:sz w:val="15"/>
              </w:rPr>
              <w:t>3</w:t>
            </w:r>
            <w:bookmarkStart w:id="2" w:name="Code"/>
            <w:bookmarkEnd w:id="2"/>
          </w:p>
        </w:tc>
      </w:tr>
      <w:tr w:rsidR="00C866ED" w:rsidRPr="00C866ED" w:rsidTr="001F3395">
        <w:trPr>
          <w:trHeight w:hRule="exact" w:val="170"/>
        </w:trPr>
        <w:tc>
          <w:tcPr>
            <w:tcW w:w="9356" w:type="dxa"/>
            <w:gridSpan w:val="3"/>
            <w:noWrap/>
            <w:tcMar>
              <w:left w:w="0" w:type="dxa"/>
              <w:right w:w="0" w:type="dxa"/>
            </w:tcMar>
            <w:vAlign w:val="bottom"/>
          </w:tcPr>
          <w:p w:rsidR="00C866ED" w:rsidRPr="00C866ED" w:rsidRDefault="00C866ED" w:rsidP="00C866ED">
            <w:pPr>
              <w:jc w:val="right"/>
              <w:rPr>
                <w:rFonts w:ascii="Arial Black" w:eastAsia="SimSun" w:hAnsi="Arial Black"/>
                <w:b/>
                <w:caps/>
                <w:sz w:val="15"/>
                <w:szCs w:val="15"/>
              </w:rPr>
            </w:pPr>
            <w:r w:rsidRPr="00C866ED">
              <w:rPr>
                <w:rFonts w:eastAsia="SimHei" w:hint="eastAsia"/>
                <w:b/>
                <w:sz w:val="15"/>
                <w:szCs w:val="15"/>
              </w:rPr>
              <w:t>原</w:t>
            </w:r>
            <w:r w:rsidRPr="00C866ED">
              <w:rPr>
                <w:rFonts w:eastAsia="SimHei"/>
                <w:b/>
                <w:sz w:val="15"/>
                <w:szCs w:val="15"/>
                <w:lang w:val="pt-BR"/>
              </w:rPr>
              <w:t xml:space="preserve"> </w:t>
            </w:r>
            <w:r w:rsidRPr="00C866ED">
              <w:rPr>
                <w:rFonts w:eastAsia="SimHei" w:hint="eastAsia"/>
                <w:b/>
                <w:sz w:val="15"/>
                <w:szCs w:val="15"/>
              </w:rPr>
              <w:t>文</w:t>
            </w:r>
            <w:r w:rsidRPr="00C866ED">
              <w:rPr>
                <w:rFonts w:eastAsia="SimHei" w:hint="eastAsia"/>
                <w:b/>
                <w:sz w:val="15"/>
                <w:szCs w:val="15"/>
                <w:lang w:val="pt-BR"/>
              </w:rPr>
              <w:t>：英</w:t>
            </w:r>
            <w:r w:rsidRPr="00C866ED">
              <w:rPr>
                <w:rFonts w:eastAsia="SimHei" w:hint="eastAsia"/>
                <w:b/>
                <w:sz w:val="15"/>
                <w:szCs w:val="15"/>
              </w:rPr>
              <w:t>文</w:t>
            </w:r>
          </w:p>
        </w:tc>
      </w:tr>
      <w:tr w:rsidR="00C866ED" w:rsidRPr="00C866ED" w:rsidTr="001F3395">
        <w:trPr>
          <w:trHeight w:hRule="exact" w:val="198"/>
        </w:trPr>
        <w:tc>
          <w:tcPr>
            <w:tcW w:w="9356" w:type="dxa"/>
            <w:gridSpan w:val="3"/>
            <w:tcMar>
              <w:left w:w="0" w:type="dxa"/>
              <w:right w:w="0" w:type="dxa"/>
            </w:tcMar>
            <w:vAlign w:val="bottom"/>
          </w:tcPr>
          <w:p w:rsidR="00C866ED" w:rsidRPr="00C866ED" w:rsidRDefault="00C866ED" w:rsidP="00B426EE">
            <w:pPr>
              <w:jc w:val="right"/>
              <w:rPr>
                <w:rFonts w:ascii="SimHei" w:eastAsia="SimHei" w:hAnsi="Arial Black"/>
                <w:b/>
                <w:caps/>
                <w:sz w:val="15"/>
                <w:szCs w:val="15"/>
              </w:rPr>
            </w:pPr>
            <w:r w:rsidRPr="00C866ED">
              <w:rPr>
                <w:rFonts w:ascii="SimHei" w:eastAsia="SimHei" w:hint="eastAsia"/>
                <w:b/>
                <w:sz w:val="15"/>
                <w:szCs w:val="15"/>
              </w:rPr>
              <w:t>日</w:t>
            </w:r>
            <w:r w:rsidRPr="00C866ED">
              <w:rPr>
                <w:rFonts w:ascii="SimHei" w:eastAsia="SimHei" w:hint="eastAsia"/>
                <w:b/>
                <w:sz w:val="15"/>
                <w:szCs w:val="15"/>
                <w:lang w:val="pt-BR"/>
              </w:rPr>
              <w:t xml:space="preserve"> </w:t>
            </w:r>
            <w:r w:rsidRPr="00C866ED">
              <w:rPr>
                <w:rFonts w:ascii="SimHei" w:eastAsia="SimHei" w:hint="eastAsia"/>
                <w:b/>
                <w:sz w:val="15"/>
                <w:szCs w:val="15"/>
              </w:rPr>
              <w:t>期</w:t>
            </w:r>
            <w:r w:rsidRPr="00C866ED">
              <w:rPr>
                <w:rFonts w:ascii="SimHei" w:eastAsia="SimHei" w:hAnsi="SimSun" w:hint="eastAsia"/>
                <w:b/>
                <w:sz w:val="15"/>
                <w:szCs w:val="15"/>
                <w:lang w:val="pt-BR"/>
              </w:rPr>
              <w:t>：</w:t>
            </w:r>
            <w:r w:rsidRPr="00C866ED">
              <w:rPr>
                <w:rFonts w:ascii="Arial Black" w:eastAsia="SimHei" w:hAnsi="Arial Black"/>
                <w:b/>
                <w:sz w:val="15"/>
                <w:szCs w:val="15"/>
                <w:lang w:val="pt-BR"/>
              </w:rPr>
              <w:t>201</w:t>
            </w:r>
            <w:r w:rsidR="00B426EE">
              <w:rPr>
                <w:rFonts w:ascii="Arial Black" w:eastAsia="SimHei" w:hAnsi="Arial Black" w:hint="eastAsia"/>
                <w:b/>
                <w:sz w:val="15"/>
                <w:szCs w:val="15"/>
                <w:lang w:val="pt-BR"/>
              </w:rPr>
              <w:t>4</w:t>
            </w:r>
            <w:r w:rsidRPr="00C866ED">
              <w:rPr>
                <w:rFonts w:ascii="SimHei" w:eastAsia="SimHei" w:hAnsi="Times New Roman" w:hint="eastAsia"/>
                <w:b/>
                <w:sz w:val="15"/>
                <w:szCs w:val="15"/>
              </w:rPr>
              <w:t>年</w:t>
            </w:r>
            <w:r w:rsidRPr="00C866ED">
              <w:rPr>
                <w:rFonts w:ascii="Arial Black" w:eastAsia="SimHei" w:hAnsi="Arial Black" w:hint="eastAsia"/>
                <w:b/>
                <w:sz w:val="15"/>
                <w:szCs w:val="15"/>
                <w:lang w:val="pt-BR"/>
              </w:rPr>
              <w:t>1</w:t>
            </w:r>
            <w:r w:rsidRPr="00C866ED">
              <w:rPr>
                <w:rFonts w:ascii="SimHei" w:eastAsia="SimHei" w:hAnsi="Times New Roman" w:hint="eastAsia"/>
                <w:b/>
                <w:sz w:val="15"/>
                <w:szCs w:val="15"/>
              </w:rPr>
              <w:t>月</w:t>
            </w:r>
            <w:r w:rsidRPr="00C866ED">
              <w:rPr>
                <w:rFonts w:ascii="Arial Black" w:eastAsia="SimHei" w:hAnsi="Arial Black" w:hint="eastAsia"/>
                <w:b/>
                <w:sz w:val="15"/>
                <w:szCs w:val="15"/>
              </w:rPr>
              <w:t>2</w:t>
            </w:r>
            <w:r w:rsidR="00B426EE">
              <w:rPr>
                <w:rFonts w:ascii="Arial Black" w:eastAsia="SimHei" w:hAnsi="Arial Black" w:hint="eastAsia"/>
                <w:b/>
                <w:sz w:val="15"/>
                <w:szCs w:val="15"/>
              </w:rPr>
              <w:t>7</w:t>
            </w:r>
            <w:r w:rsidRPr="00C866ED">
              <w:rPr>
                <w:rFonts w:ascii="SimHei" w:eastAsia="SimHei" w:hAnsi="Times New Roman" w:hint="eastAsia"/>
                <w:b/>
                <w:sz w:val="15"/>
                <w:szCs w:val="15"/>
              </w:rPr>
              <w:t>日</w:t>
            </w:r>
            <w:r w:rsidRPr="00C866ED">
              <w:rPr>
                <w:rFonts w:ascii="SimHei" w:eastAsia="SimHei" w:hAnsi="Arial Black" w:hint="eastAsia"/>
                <w:b/>
                <w:caps/>
                <w:sz w:val="15"/>
                <w:szCs w:val="15"/>
              </w:rPr>
              <w:t xml:space="preserve">  </w:t>
            </w:r>
            <w:bookmarkStart w:id="3" w:name="Date"/>
            <w:bookmarkEnd w:id="3"/>
          </w:p>
        </w:tc>
      </w:tr>
    </w:tbl>
    <w:p w:rsidR="00C866ED" w:rsidRPr="00C866ED" w:rsidRDefault="00C866ED" w:rsidP="00C866ED">
      <w:pPr>
        <w:rPr>
          <w:rFonts w:eastAsia="SimSun"/>
        </w:rPr>
      </w:pPr>
    </w:p>
    <w:p w:rsidR="00C866ED" w:rsidRPr="00C866ED" w:rsidRDefault="00C866ED" w:rsidP="00C866ED">
      <w:pPr>
        <w:rPr>
          <w:rFonts w:eastAsia="SimSun"/>
        </w:rPr>
      </w:pPr>
    </w:p>
    <w:p w:rsidR="00C866ED" w:rsidRPr="00C866ED" w:rsidRDefault="00C866ED" w:rsidP="00C866ED">
      <w:pPr>
        <w:rPr>
          <w:rFonts w:eastAsia="SimSun"/>
        </w:rPr>
      </w:pPr>
    </w:p>
    <w:p w:rsidR="00C866ED" w:rsidRPr="00C866ED" w:rsidRDefault="00C866ED" w:rsidP="00C866ED">
      <w:pPr>
        <w:rPr>
          <w:rFonts w:eastAsia="SimSun"/>
        </w:rPr>
      </w:pPr>
    </w:p>
    <w:p w:rsidR="00C866ED" w:rsidRPr="00C866ED" w:rsidRDefault="00C866ED" w:rsidP="00C866ED">
      <w:pPr>
        <w:rPr>
          <w:rFonts w:eastAsia="SimSun"/>
        </w:rPr>
      </w:pPr>
    </w:p>
    <w:p w:rsidR="00C866ED" w:rsidRPr="00C866ED" w:rsidRDefault="00C866ED" w:rsidP="00C866ED">
      <w:pPr>
        <w:spacing w:line="360" w:lineRule="atLeast"/>
        <w:rPr>
          <w:rFonts w:ascii="SimHei" w:eastAsia="SimHei"/>
          <w:sz w:val="28"/>
          <w:szCs w:val="28"/>
        </w:rPr>
      </w:pPr>
      <w:r w:rsidRPr="00C866ED">
        <w:rPr>
          <w:rFonts w:ascii="SimHei" w:eastAsia="SimHei" w:hint="eastAsia"/>
          <w:sz w:val="28"/>
          <w:szCs w:val="28"/>
        </w:rPr>
        <w:t>执法咨询委员会</w:t>
      </w:r>
    </w:p>
    <w:p w:rsidR="00C866ED" w:rsidRPr="00C866ED" w:rsidRDefault="00C866ED" w:rsidP="00C866ED">
      <w:pPr>
        <w:rPr>
          <w:rFonts w:eastAsia="SimSun"/>
          <w:szCs w:val="22"/>
        </w:rPr>
      </w:pPr>
    </w:p>
    <w:p w:rsidR="00C866ED" w:rsidRPr="00C866ED" w:rsidRDefault="00C866ED" w:rsidP="00C866ED">
      <w:pPr>
        <w:rPr>
          <w:rFonts w:eastAsia="SimSun"/>
          <w:sz w:val="24"/>
          <w:szCs w:val="24"/>
        </w:rPr>
      </w:pPr>
    </w:p>
    <w:p w:rsidR="00C866ED" w:rsidRPr="00C866ED" w:rsidRDefault="00C866ED" w:rsidP="00C866ED">
      <w:pPr>
        <w:spacing w:line="360" w:lineRule="atLeast"/>
        <w:textAlignment w:val="bottom"/>
        <w:rPr>
          <w:rFonts w:ascii="KaiTi" w:eastAsia="KaiTi"/>
          <w:b/>
          <w:sz w:val="24"/>
          <w:szCs w:val="24"/>
        </w:rPr>
      </w:pPr>
      <w:r w:rsidRPr="00C866ED">
        <w:rPr>
          <w:rFonts w:ascii="KaiTi" w:eastAsia="KaiTi" w:hint="eastAsia"/>
          <w:b/>
          <w:sz w:val="24"/>
          <w:szCs w:val="24"/>
        </w:rPr>
        <w:t>第九届会议</w:t>
      </w:r>
    </w:p>
    <w:p w:rsidR="00C866ED" w:rsidRPr="00C866ED" w:rsidRDefault="00C866ED" w:rsidP="00C866ED">
      <w:pPr>
        <w:spacing w:line="360" w:lineRule="atLeast"/>
        <w:textAlignment w:val="bottom"/>
        <w:rPr>
          <w:rFonts w:ascii="KaiTi" w:eastAsia="KaiTi" w:hAnsi="KaiTi"/>
          <w:b/>
          <w:sz w:val="24"/>
          <w:szCs w:val="24"/>
        </w:rPr>
      </w:pPr>
      <w:r w:rsidRPr="00C866ED">
        <w:rPr>
          <w:rFonts w:ascii="KaiTi" w:eastAsia="KaiTi" w:hAnsi="KaiTi" w:hint="eastAsia"/>
          <w:sz w:val="24"/>
          <w:szCs w:val="24"/>
        </w:rPr>
        <w:t>2014</w:t>
      </w:r>
      <w:r w:rsidRPr="00C866ED">
        <w:rPr>
          <w:rFonts w:ascii="KaiTi" w:eastAsia="KaiTi" w:hAnsi="KaiTi" w:hint="eastAsia"/>
          <w:b/>
          <w:sz w:val="24"/>
          <w:szCs w:val="24"/>
        </w:rPr>
        <w:t>年</w:t>
      </w:r>
      <w:r w:rsidRPr="00C866ED">
        <w:rPr>
          <w:rFonts w:ascii="KaiTi" w:eastAsia="KaiTi" w:hAnsi="KaiTi" w:hint="eastAsia"/>
          <w:sz w:val="24"/>
          <w:szCs w:val="24"/>
        </w:rPr>
        <w:t>3</w:t>
      </w:r>
      <w:r w:rsidRPr="00C866ED">
        <w:rPr>
          <w:rFonts w:ascii="KaiTi" w:eastAsia="KaiTi" w:hAnsi="KaiTi" w:hint="eastAsia"/>
          <w:b/>
          <w:sz w:val="24"/>
          <w:szCs w:val="24"/>
        </w:rPr>
        <w:t>月</w:t>
      </w:r>
      <w:r w:rsidRPr="00C866ED">
        <w:rPr>
          <w:rFonts w:ascii="KaiTi" w:eastAsia="KaiTi" w:hAnsi="KaiTi" w:hint="eastAsia"/>
          <w:sz w:val="24"/>
          <w:szCs w:val="24"/>
        </w:rPr>
        <w:t>3</w:t>
      </w:r>
      <w:r w:rsidRPr="00C866ED">
        <w:rPr>
          <w:rFonts w:ascii="KaiTi" w:eastAsia="KaiTi" w:hAnsi="KaiTi" w:hint="eastAsia"/>
          <w:b/>
          <w:sz w:val="24"/>
          <w:szCs w:val="24"/>
        </w:rPr>
        <w:t>日至</w:t>
      </w:r>
      <w:r w:rsidRPr="00C866ED">
        <w:rPr>
          <w:rFonts w:ascii="KaiTi" w:eastAsia="KaiTi" w:hAnsi="KaiTi" w:hint="eastAsia"/>
          <w:sz w:val="24"/>
          <w:szCs w:val="24"/>
        </w:rPr>
        <w:t>5</w:t>
      </w:r>
      <w:r w:rsidRPr="00C866ED">
        <w:rPr>
          <w:rFonts w:ascii="KaiTi" w:eastAsia="KaiTi" w:hAnsi="KaiTi" w:hint="eastAsia"/>
          <w:b/>
          <w:sz w:val="24"/>
          <w:szCs w:val="24"/>
        </w:rPr>
        <w:t>日，日内瓦</w:t>
      </w:r>
    </w:p>
    <w:p w:rsidR="00C866ED" w:rsidRPr="00C866ED" w:rsidRDefault="00C866ED" w:rsidP="00C866ED">
      <w:pPr>
        <w:rPr>
          <w:rFonts w:eastAsia="SimSun"/>
        </w:rPr>
      </w:pPr>
    </w:p>
    <w:p w:rsidR="00C866ED" w:rsidRPr="00C866ED" w:rsidRDefault="00C866ED" w:rsidP="00C866ED">
      <w:pPr>
        <w:rPr>
          <w:rFonts w:eastAsia="SimSun"/>
        </w:rPr>
      </w:pPr>
    </w:p>
    <w:p w:rsidR="00C866ED" w:rsidRPr="00C866ED" w:rsidRDefault="00C866ED" w:rsidP="00C866ED">
      <w:pPr>
        <w:rPr>
          <w:rFonts w:eastAsia="SimSun"/>
        </w:rPr>
      </w:pPr>
    </w:p>
    <w:p w:rsidR="009B0FBC" w:rsidRPr="00C866ED" w:rsidRDefault="00A86E9B">
      <w:pPr>
        <w:rPr>
          <w:rFonts w:ascii="KaiTi" w:eastAsia="KaiTi" w:hAnsi="KaiTi" w:cs="Times New Roman"/>
          <w:kern w:val="2"/>
          <w:sz w:val="24"/>
          <w:szCs w:val="32"/>
        </w:rPr>
      </w:pPr>
      <w:r w:rsidRPr="00C866ED">
        <w:rPr>
          <w:rFonts w:ascii="KaiTi" w:eastAsia="KaiTi" w:hAnsi="KaiTi" w:cs="Times New Roman" w:hint="eastAsia"/>
          <w:kern w:val="2"/>
          <w:sz w:val="24"/>
          <w:szCs w:val="32"/>
        </w:rPr>
        <w:t>替代性争议解决作为知识产权执法工具</w:t>
      </w:r>
      <w:r w:rsidR="00C866ED">
        <w:rPr>
          <w:rFonts w:ascii="KaiTi" w:eastAsia="KaiTi" w:hAnsi="KaiTi" w:cs="Times New Roman" w:hint="eastAsia"/>
          <w:kern w:val="2"/>
          <w:sz w:val="24"/>
          <w:szCs w:val="32"/>
        </w:rPr>
        <w:t>——内容提要</w:t>
      </w:r>
      <w:r w:rsidRPr="00CD334B">
        <w:rPr>
          <w:rFonts w:ascii="KaiTi" w:eastAsia="KaiTi" w:hAnsi="KaiTi" w:cs="Times New Roman"/>
          <w:kern w:val="2"/>
          <w:sz w:val="24"/>
          <w:szCs w:val="32"/>
          <w:vertAlign w:val="superscript"/>
        </w:rPr>
        <w:footnoteReference w:customMarkFollows="1" w:id="2"/>
        <w:sym w:font="Symbol" w:char="F02A"/>
      </w:r>
    </w:p>
    <w:p w:rsidR="009B0FBC" w:rsidRPr="00C866ED" w:rsidRDefault="009B0FBC">
      <w:pPr>
        <w:rPr>
          <w:rFonts w:ascii="SimSun" w:eastAsia="SimSun" w:hAnsi="SimSun"/>
          <w:szCs w:val="22"/>
        </w:rPr>
      </w:pPr>
      <w:bookmarkStart w:id="4" w:name="Prepared"/>
      <w:bookmarkEnd w:id="4"/>
    </w:p>
    <w:p w:rsidR="009B0FBC" w:rsidRPr="00C866ED" w:rsidRDefault="00A86E9B">
      <w:pPr>
        <w:rPr>
          <w:rFonts w:ascii="KaiTi" w:eastAsia="KaiTi" w:hAnsi="KaiTi"/>
          <w:i/>
          <w:sz w:val="21"/>
          <w:szCs w:val="22"/>
          <w:vertAlign w:val="superscript"/>
        </w:rPr>
      </w:pPr>
      <w:r w:rsidRPr="00C866ED">
        <w:rPr>
          <w:rFonts w:ascii="KaiTi" w:eastAsia="KaiTi" w:hAnsi="KaiTi" w:hint="eastAsia"/>
          <w:i/>
          <w:sz w:val="21"/>
        </w:rPr>
        <w:t>美</w:t>
      </w:r>
      <w:r w:rsidR="00E84363">
        <w:rPr>
          <w:rFonts w:ascii="KaiTi" w:eastAsia="KaiTi" w:hAnsi="KaiTi" w:hint="eastAsia"/>
          <w:i/>
          <w:sz w:val="21"/>
        </w:rPr>
        <w:t>利坚合众</w:t>
      </w:r>
      <w:r w:rsidRPr="00C866ED">
        <w:rPr>
          <w:rFonts w:ascii="KaiTi" w:eastAsia="KaiTi" w:hAnsi="KaiTi" w:hint="eastAsia"/>
          <w:i/>
          <w:sz w:val="21"/>
        </w:rPr>
        <w:t>国纽约</w:t>
      </w:r>
      <w:proofErr w:type="spellStart"/>
      <w:r w:rsidRPr="00C866ED">
        <w:rPr>
          <w:rFonts w:ascii="KaiTi" w:eastAsia="KaiTi" w:hAnsi="KaiTi" w:hint="eastAsia"/>
          <w:i/>
          <w:sz w:val="21"/>
        </w:rPr>
        <w:t>WilmerHale</w:t>
      </w:r>
      <w:proofErr w:type="spellEnd"/>
      <w:r w:rsidRPr="00C866ED">
        <w:rPr>
          <w:rFonts w:ascii="KaiTi" w:eastAsia="KaiTi" w:hAnsi="KaiTi" w:hint="eastAsia"/>
          <w:i/>
          <w:sz w:val="21"/>
        </w:rPr>
        <w:t>合伙人Trevor Cook编拟</w:t>
      </w:r>
      <w:r w:rsidRPr="00C866ED">
        <w:rPr>
          <w:rFonts w:ascii="KaiTi" w:eastAsia="KaiTi" w:hAnsi="KaiTi"/>
          <w:i/>
          <w:sz w:val="21"/>
          <w:szCs w:val="22"/>
          <w:vertAlign w:val="superscript"/>
        </w:rPr>
        <w:footnoteReference w:customMarkFollows="1" w:id="3"/>
        <w:sym w:font="Symbol" w:char="F02A"/>
      </w:r>
      <w:r w:rsidRPr="00C866ED">
        <w:rPr>
          <w:rFonts w:ascii="KaiTi" w:eastAsia="KaiTi" w:hAnsi="KaiTi"/>
          <w:i/>
          <w:sz w:val="21"/>
          <w:szCs w:val="22"/>
          <w:vertAlign w:val="superscript"/>
        </w:rPr>
        <w:sym w:font="Symbol" w:char="F02A"/>
      </w:r>
    </w:p>
    <w:p w:rsidR="009B0FBC" w:rsidRPr="00C866ED" w:rsidRDefault="009B0FBC">
      <w:pPr>
        <w:rPr>
          <w:rFonts w:ascii="KaiTi" w:eastAsia="SimSun" w:hAnsi="SimSun"/>
          <w:szCs w:val="22"/>
        </w:rPr>
      </w:pPr>
    </w:p>
    <w:p w:rsidR="009B0FBC" w:rsidRPr="00C866ED" w:rsidRDefault="009B0FBC">
      <w:pPr>
        <w:rPr>
          <w:rFonts w:ascii="KaiTi" w:eastAsia="SimSun" w:hAnsi="SimSun"/>
          <w:szCs w:val="22"/>
        </w:rPr>
      </w:pPr>
    </w:p>
    <w:p w:rsidR="009B0FBC" w:rsidRPr="00C866ED" w:rsidRDefault="009B0FBC">
      <w:pPr>
        <w:rPr>
          <w:rFonts w:ascii="KaiTi" w:eastAsia="SimSun" w:hAnsi="SimSun"/>
          <w:szCs w:val="22"/>
        </w:rPr>
      </w:pPr>
    </w:p>
    <w:p w:rsidR="009B0FBC" w:rsidRPr="00C866ED" w:rsidRDefault="009B0FBC">
      <w:pPr>
        <w:rPr>
          <w:rFonts w:ascii="KaiTi" w:eastAsia="SimSun" w:hAnsi="SimSun"/>
          <w:szCs w:val="22"/>
        </w:rPr>
      </w:pPr>
    </w:p>
    <w:p w:rsidR="00C866ED" w:rsidRDefault="00A86E9B" w:rsidP="00C866ED">
      <w:pPr>
        <w:pStyle w:val="1"/>
        <w:spacing w:beforeLines="100" w:afterLines="100" w:after="240" w:line="340" w:lineRule="atLeast"/>
        <w:jc w:val="both"/>
        <w:rPr>
          <w:rFonts w:ascii="SimHei" w:eastAsia="SimHei" w:hAnsi="SimHei"/>
          <w:b w:val="0"/>
          <w:sz w:val="21"/>
        </w:rPr>
      </w:pPr>
      <w:r w:rsidRPr="00C866ED">
        <w:rPr>
          <w:rFonts w:ascii="SimHei" w:eastAsia="SimHei" w:hAnsi="SimHei" w:hint="eastAsia"/>
          <w:b w:val="0"/>
          <w:sz w:val="21"/>
        </w:rPr>
        <w:t>导</w:t>
      </w:r>
      <w:r w:rsidR="00C866ED">
        <w:rPr>
          <w:rFonts w:ascii="SimHei" w:eastAsia="SimHei" w:hAnsi="SimHei" w:hint="eastAsia"/>
          <w:b w:val="0"/>
          <w:sz w:val="21"/>
        </w:rPr>
        <w:t xml:space="preserve">　</w:t>
      </w:r>
      <w:r w:rsidRPr="00C866ED">
        <w:rPr>
          <w:rFonts w:ascii="SimHei" w:eastAsia="SimHei" w:hAnsi="SimHei" w:hint="eastAsia"/>
          <w:b w:val="0"/>
          <w:sz w:val="21"/>
        </w:rPr>
        <w:t>言</w:t>
      </w:r>
    </w:p>
    <w:p w:rsidR="00C866ED" w:rsidRPr="00C866ED" w:rsidRDefault="00A86E9B" w:rsidP="00E84363">
      <w:pPr>
        <w:spacing w:afterLines="50" w:after="120" w:line="340" w:lineRule="atLeast"/>
        <w:jc w:val="both"/>
        <w:rPr>
          <w:rFonts w:ascii="SimSun" w:eastAsia="SimSun" w:hAnsi="SimSun"/>
          <w:sz w:val="21"/>
          <w:lang w:val="en-GB"/>
        </w:rPr>
      </w:pPr>
      <w:r w:rsidRPr="00C866ED">
        <w:rPr>
          <w:rFonts w:ascii="SimSun" w:eastAsia="SimSun" w:hAnsi="SimSun"/>
          <w:sz w:val="21"/>
          <w:lang w:val="en-GB"/>
        </w:rPr>
        <w:fldChar w:fldCharType="begin"/>
      </w:r>
      <w:r w:rsidRPr="00C866ED">
        <w:rPr>
          <w:rFonts w:ascii="SimSun" w:eastAsia="SimSun" w:hAnsi="SimSun"/>
          <w:sz w:val="21"/>
          <w:lang w:val="en-GB"/>
        </w:rPr>
        <w:instrText xml:space="preserve"> AUTONUM  </w:instrText>
      </w:r>
      <w:r w:rsidRPr="00C866ED">
        <w:rPr>
          <w:rFonts w:ascii="SimSun" w:eastAsia="SimSun" w:hAnsi="SimSun"/>
          <w:sz w:val="21"/>
          <w:lang w:val="en-GB"/>
        </w:rPr>
        <w:fldChar w:fldCharType="end"/>
      </w:r>
      <w:r w:rsidR="00E84363">
        <w:rPr>
          <w:rFonts w:ascii="SimSun" w:eastAsia="SimSun" w:hAnsi="SimSun"/>
          <w:sz w:val="21"/>
          <w:lang w:val="en-GB"/>
        </w:rPr>
        <w:t>.</w:t>
      </w:r>
      <w:r w:rsidR="00E84363">
        <w:rPr>
          <w:rFonts w:ascii="SimSun" w:eastAsia="SimSun" w:hAnsi="SimSun"/>
          <w:sz w:val="21"/>
          <w:lang w:val="en-GB"/>
        </w:rPr>
        <w:tab/>
      </w:r>
      <w:r w:rsidRPr="00C866ED">
        <w:rPr>
          <w:rFonts w:ascii="SimSun" w:eastAsia="SimSun" w:hAnsi="SimSun" w:hint="eastAsia"/>
          <w:sz w:val="21"/>
          <w:lang w:val="en-GB"/>
        </w:rPr>
        <w:t>本文对替代性争议解决(ADR)如何被用作知识产权(IP)执法工具进行了概述。</w:t>
      </w:r>
    </w:p>
    <w:p w:rsidR="00C866ED" w:rsidRPr="00C866ED" w:rsidRDefault="00A86E9B" w:rsidP="00E84363">
      <w:pPr>
        <w:spacing w:afterLines="50" w:after="120" w:line="340" w:lineRule="atLeast"/>
        <w:jc w:val="both"/>
        <w:rPr>
          <w:rFonts w:ascii="SimSun" w:eastAsia="SimSun" w:hAnsi="SimSun"/>
          <w:sz w:val="21"/>
          <w:lang w:val="en-GB"/>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替代性争议解决应在知识产权</w:t>
      </w:r>
      <w:r w:rsidRPr="00E84363">
        <w:rPr>
          <w:rFonts w:ascii="KaiTi" w:eastAsia="KaiTi" w:hAnsi="SimSun" w:hint="eastAsia"/>
          <w:i/>
          <w:sz w:val="21"/>
        </w:rPr>
        <w:t>执法</w:t>
      </w:r>
      <w:r w:rsidRPr="00C866ED">
        <w:rPr>
          <w:rFonts w:ascii="SimSun" w:eastAsia="SimSun" w:hAnsi="SimSun" w:hint="eastAsia"/>
          <w:sz w:val="21"/>
        </w:rPr>
        <w:t>中发挥作用，这一点乍看之下不符合直觉。但事实上，替代性争议解决可以为知识产权执法带来很多贡献，它可以使知识产权纠纷至少在初始阶段在无关任何现有基本协议的情况下通过以国内法院或其他传统或正式执法制度无法解决的方式或其能加以解决但未必能够妥善解决的方式得到解决。</w:t>
      </w:r>
    </w:p>
    <w:p w:rsidR="00C866ED" w:rsidRDefault="00C866ED" w:rsidP="00C866ED">
      <w:pPr>
        <w:pStyle w:val="1"/>
        <w:spacing w:beforeLines="100" w:afterLines="100" w:after="240" w:line="340" w:lineRule="atLeast"/>
        <w:jc w:val="both"/>
        <w:rPr>
          <w:rFonts w:ascii="SimHei" w:eastAsia="SimHei" w:hAnsi="SimHei"/>
          <w:b w:val="0"/>
          <w:sz w:val="21"/>
        </w:rPr>
      </w:pPr>
      <w:r>
        <w:rPr>
          <w:rFonts w:ascii="SimHei" w:eastAsia="SimHei" w:hAnsi="SimHei" w:hint="eastAsia"/>
          <w:b w:val="0"/>
          <w:sz w:val="21"/>
        </w:rPr>
        <w:lastRenderedPageBreak/>
        <w:t>一、</w:t>
      </w:r>
      <w:r w:rsidR="00A86E9B" w:rsidRPr="00C866ED">
        <w:rPr>
          <w:rFonts w:ascii="SimHei" w:eastAsia="SimHei" w:hAnsi="SimHei" w:hint="eastAsia"/>
          <w:b w:val="0"/>
          <w:sz w:val="21"/>
        </w:rPr>
        <w:t>可用于知识产权执法的替代性争议解决程序的类型(如仲裁、调解、</w:t>
      </w:r>
      <w:r w:rsidR="00E84363">
        <w:rPr>
          <w:rFonts w:ascii="SimHei" w:eastAsia="SimHei" w:hAnsi="SimHei" w:hint="eastAsia"/>
          <w:b w:val="0"/>
          <w:sz w:val="21"/>
        </w:rPr>
        <w:t>专家鉴定</w:t>
      </w:r>
      <w:r w:rsidR="00A86E9B" w:rsidRPr="00C866ED">
        <w:rPr>
          <w:rFonts w:ascii="SimHei" w:eastAsia="SimHei" w:hAnsi="SimHei" w:hint="eastAsia"/>
          <w:b w:val="0"/>
          <w:sz w:val="21"/>
        </w:rPr>
        <w:t>和其他基于当事各方同意的行政程序)</w:t>
      </w:r>
    </w:p>
    <w:p w:rsidR="009B0FBC" w:rsidRPr="00C866ED" w:rsidRDefault="00A86E9B" w:rsidP="00DC712D">
      <w:pPr>
        <w:keepNext/>
        <w:numPr>
          <w:ilvl w:val="0"/>
          <w:numId w:val="9"/>
        </w:numPr>
        <w:adjustRightInd w:val="0"/>
        <w:spacing w:beforeLines="100" w:before="240" w:afterLines="100" w:after="240" w:line="340" w:lineRule="atLeast"/>
        <w:ind w:left="1134" w:hanging="567"/>
        <w:jc w:val="both"/>
        <w:rPr>
          <w:sz w:val="21"/>
        </w:rPr>
      </w:pPr>
      <w:r w:rsidRPr="00C866ED">
        <w:rPr>
          <w:rFonts w:eastAsia="SimSun" w:hint="eastAsia"/>
          <w:sz w:val="21"/>
        </w:rPr>
        <w:t>导</w:t>
      </w:r>
      <w:r w:rsidR="00C866ED">
        <w:rPr>
          <w:rFonts w:eastAsia="SimSun" w:hint="eastAsia"/>
          <w:sz w:val="21"/>
        </w:rPr>
        <w:t xml:space="preserve">　</w:t>
      </w:r>
      <w:r w:rsidRPr="00C866ED">
        <w:rPr>
          <w:rFonts w:eastAsia="SimSun" w:hint="eastAsia"/>
          <w:sz w:val="21"/>
        </w:rPr>
        <w:t>言</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不能以单一的面面俱到但却排他性的方式来定义替代性争议解决(ADR)。ADR的范围很广，从帮助当事各方协商达成争议解决办法到各类涉及争议实质性问题或其某些方面的独立决定(诸如仲裁或</w:t>
      </w:r>
      <w:r w:rsidR="00E84363">
        <w:rPr>
          <w:rFonts w:ascii="SimSun" w:eastAsia="SimSun" w:hAnsi="SimSun" w:hint="eastAsia"/>
          <w:sz w:val="21"/>
        </w:rPr>
        <w:t>专家鉴定</w:t>
      </w:r>
      <w:r w:rsidRPr="00C866ED">
        <w:rPr>
          <w:rFonts w:ascii="SimSun" w:eastAsia="SimSun" w:hAnsi="SimSun" w:hint="eastAsia"/>
          <w:sz w:val="21"/>
        </w:rPr>
        <w:t>)，前者</w:t>
      </w:r>
      <w:proofErr w:type="gramStart"/>
      <w:r w:rsidRPr="00C866ED">
        <w:rPr>
          <w:rFonts w:ascii="SimSun" w:eastAsia="SimSun" w:hAnsi="SimSun" w:hint="eastAsia"/>
          <w:sz w:val="21"/>
        </w:rPr>
        <w:t>可能会但未必</w:t>
      </w:r>
      <w:proofErr w:type="gramEnd"/>
      <w:r w:rsidRPr="00C866ED">
        <w:rPr>
          <w:rFonts w:ascii="SimSun" w:eastAsia="SimSun" w:hAnsi="SimSun" w:hint="eastAsia"/>
          <w:sz w:val="21"/>
        </w:rPr>
        <w:t>一定会涉及到关于争议实质性问题的任何独立决定(即调解)。这类独立决定可能会对当事各方产生约束效力(如仲裁以及许多</w:t>
      </w:r>
      <w:r w:rsidR="00E84363">
        <w:rPr>
          <w:rFonts w:ascii="SimSun" w:eastAsia="SimSun" w:hAnsi="SimSun" w:hint="eastAsia"/>
          <w:sz w:val="21"/>
        </w:rPr>
        <w:t>专家鉴定</w:t>
      </w:r>
      <w:r w:rsidRPr="00C866ED">
        <w:rPr>
          <w:rFonts w:ascii="SimSun" w:eastAsia="SimSun" w:hAnsi="SimSun" w:hint="eastAsia"/>
          <w:sz w:val="21"/>
        </w:rPr>
        <w:t>)，也可能不具有约束力(</w:t>
      </w:r>
      <w:r w:rsidR="00E84363">
        <w:rPr>
          <w:rFonts w:ascii="SimSun" w:eastAsia="SimSun" w:hAnsi="SimSun" w:hint="eastAsia"/>
          <w:sz w:val="21"/>
        </w:rPr>
        <w:t>专家鉴定</w:t>
      </w:r>
      <w:r w:rsidRPr="00C866ED">
        <w:rPr>
          <w:rFonts w:ascii="SimSun" w:eastAsia="SimSun" w:hAnsi="SimSun" w:hint="eastAsia"/>
          <w:sz w:val="21"/>
        </w:rPr>
        <w:t>有时也会如此)，尽管不具约束力的决定(此处被称为“中立评估”)可能会对当事各方产生相当大的说服力，从而促进协商达成和解，而这取决于其传播的范围或执行这些决定的机构性质。这类独立决定往往由私营部门的个人或组织或其加以管理的流程作出，但并非一贯如此。下文更加全面地对各类ADR进行了概述。</w:t>
      </w:r>
    </w:p>
    <w:p w:rsidR="00C866ED" w:rsidRPr="00C866ED" w:rsidRDefault="00A86E9B" w:rsidP="00DC712D">
      <w:pPr>
        <w:keepNext/>
        <w:numPr>
          <w:ilvl w:val="0"/>
          <w:numId w:val="9"/>
        </w:numPr>
        <w:adjustRightInd w:val="0"/>
        <w:spacing w:beforeLines="100" w:before="240" w:afterLines="100" w:after="240" w:line="340" w:lineRule="atLeast"/>
        <w:ind w:left="1134" w:hanging="567"/>
        <w:jc w:val="both"/>
        <w:rPr>
          <w:rFonts w:eastAsia="SimSun"/>
          <w:sz w:val="21"/>
        </w:rPr>
      </w:pPr>
      <w:r w:rsidRPr="00C866ED">
        <w:rPr>
          <w:rFonts w:eastAsia="SimSun" w:hint="eastAsia"/>
          <w:sz w:val="21"/>
        </w:rPr>
        <w:t>仲</w:t>
      </w:r>
      <w:r w:rsidR="00C866ED">
        <w:rPr>
          <w:rFonts w:eastAsia="SimSun" w:hint="eastAsia"/>
          <w:sz w:val="21"/>
        </w:rPr>
        <w:t xml:space="preserve">　</w:t>
      </w:r>
      <w:r w:rsidRPr="00C866ED">
        <w:rPr>
          <w:rFonts w:eastAsia="SimSun" w:hint="eastAsia"/>
          <w:sz w:val="21"/>
        </w:rPr>
        <w:t>裁</w:t>
      </w:r>
    </w:p>
    <w:p w:rsidR="00C866ED" w:rsidRPr="00C866ED" w:rsidRDefault="00A86E9B" w:rsidP="00E84363">
      <w:pPr>
        <w:spacing w:afterLines="50" w:after="120" w:line="340" w:lineRule="atLeast"/>
        <w:jc w:val="both"/>
        <w:rPr>
          <w:rFonts w:ascii="SimSun" w:eastAsia="SimSun" w:hAnsi="SimSun"/>
          <w:sz w:val="21"/>
          <w:lang w:val="en-GB"/>
        </w:rPr>
      </w:pPr>
      <w:r w:rsidRPr="00C866ED">
        <w:rPr>
          <w:rFonts w:ascii="SimSun" w:eastAsia="SimSun" w:hAnsi="SimSun"/>
          <w:sz w:val="21"/>
          <w:lang w:val="en-GB"/>
        </w:rPr>
        <w:fldChar w:fldCharType="begin"/>
      </w:r>
      <w:r w:rsidRPr="00C866ED">
        <w:rPr>
          <w:rFonts w:ascii="SimSun" w:eastAsia="SimSun" w:hAnsi="SimSun"/>
          <w:sz w:val="21"/>
          <w:lang w:val="en-GB"/>
        </w:rPr>
        <w:instrText xml:space="preserve"> AUTONUM  </w:instrText>
      </w:r>
      <w:r w:rsidRPr="00C866ED">
        <w:rPr>
          <w:rFonts w:ascii="SimSun" w:eastAsia="SimSun" w:hAnsi="SimSun"/>
          <w:sz w:val="21"/>
          <w:lang w:val="en-GB"/>
        </w:rPr>
        <w:fldChar w:fldCharType="end"/>
      </w:r>
      <w:r w:rsidR="00E84363">
        <w:rPr>
          <w:rFonts w:ascii="SimSun" w:eastAsia="SimSun" w:hAnsi="SimSun"/>
          <w:sz w:val="21"/>
          <w:lang w:val="en-GB"/>
        </w:rPr>
        <w:t>.</w:t>
      </w:r>
      <w:r w:rsidR="00E84363">
        <w:rPr>
          <w:rFonts w:ascii="SimSun" w:eastAsia="SimSun" w:hAnsi="SimSun"/>
          <w:sz w:val="21"/>
          <w:lang w:val="en-GB"/>
        </w:rPr>
        <w:tab/>
      </w:r>
      <w:r w:rsidRPr="00C866ED">
        <w:rPr>
          <w:rFonts w:ascii="SimSun" w:eastAsia="SimSun" w:hAnsi="SimSun" w:hint="eastAsia"/>
          <w:sz w:val="21"/>
          <w:lang w:val="en-GB"/>
        </w:rPr>
        <w:t>仲裁定义如下：一种具有法律约束力的程序，由一名或多名仲裁员来对向其提交的争议</w:t>
      </w:r>
      <w:proofErr w:type="gramStart"/>
      <w:r w:rsidRPr="00C866ED">
        <w:rPr>
          <w:rFonts w:ascii="SimSun" w:eastAsia="SimSun" w:hAnsi="SimSun" w:hint="eastAsia"/>
          <w:sz w:val="21"/>
          <w:lang w:val="en-GB"/>
        </w:rPr>
        <w:t>作出</w:t>
      </w:r>
      <w:proofErr w:type="gramEnd"/>
      <w:r w:rsidRPr="00C866ED">
        <w:rPr>
          <w:rFonts w:ascii="SimSun" w:eastAsia="SimSun" w:hAnsi="SimSun" w:hint="eastAsia"/>
          <w:sz w:val="21"/>
          <w:lang w:val="en-GB"/>
        </w:rPr>
        <w:t>最终决定。</w:t>
      </w:r>
    </w:p>
    <w:p w:rsidR="00C866ED" w:rsidRPr="00C866ED" w:rsidRDefault="00A86E9B" w:rsidP="00E84363">
      <w:pPr>
        <w:spacing w:afterLines="50" w:after="120" w:line="340" w:lineRule="atLeast"/>
        <w:jc w:val="both"/>
        <w:rPr>
          <w:rFonts w:ascii="SimSun" w:eastAsia="SimSun" w:hAnsi="SimSun"/>
          <w:sz w:val="21"/>
          <w:lang w:val="en-GB"/>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要对一项争议开展仲裁，当事各方必须</w:t>
      </w:r>
      <w:r w:rsidRPr="00E84363">
        <w:rPr>
          <w:rFonts w:ascii="SimSun" w:eastAsia="SimSun" w:hAnsi="SimSun" w:hint="eastAsia"/>
          <w:sz w:val="21"/>
          <w:lang w:val="en-GB"/>
        </w:rPr>
        <w:t>首先</w:t>
      </w:r>
      <w:r w:rsidRPr="00C866ED">
        <w:rPr>
          <w:rFonts w:ascii="SimSun" w:eastAsia="SimSun" w:hAnsi="SimSun" w:hint="eastAsia"/>
          <w:sz w:val="21"/>
        </w:rPr>
        <w:t>同意将争议提请仲裁。</w:t>
      </w:r>
    </w:p>
    <w:p w:rsidR="00C866ED" w:rsidRPr="00C866ED" w:rsidRDefault="00A86E9B" w:rsidP="00E84363">
      <w:pPr>
        <w:spacing w:afterLines="50" w:after="120" w:line="340" w:lineRule="atLeast"/>
        <w:jc w:val="both"/>
        <w:rPr>
          <w:rFonts w:ascii="SimSun" w:eastAsia="SimSun" w:hAnsi="SimSun"/>
          <w:sz w:val="21"/>
          <w:lang w:val="en-GB"/>
        </w:rPr>
      </w:pPr>
      <w:r w:rsidRPr="00C866ED">
        <w:rPr>
          <w:rFonts w:ascii="SimSun" w:eastAsia="SimSun" w:hAnsi="SimSun"/>
          <w:sz w:val="21"/>
          <w:lang w:val="en-GB"/>
        </w:rPr>
        <w:fldChar w:fldCharType="begin"/>
      </w:r>
      <w:r w:rsidRPr="00C866ED">
        <w:rPr>
          <w:rFonts w:ascii="SimSun" w:eastAsia="SimSun" w:hAnsi="SimSun"/>
          <w:sz w:val="21"/>
          <w:lang w:val="en-GB"/>
        </w:rPr>
        <w:instrText xml:space="preserve"> AUTONUM  </w:instrText>
      </w:r>
      <w:r w:rsidRPr="00C866ED">
        <w:rPr>
          <w:rFonts w:ascii="SimSun" w:eastAsia="SimSun" w:hAnsi="SimSun"/>
          <w:sz w:val="21"/>
          <w:lang w:val="en-GB"/>
        </w:rPr>
        <w:fldChar w:fldCharType="end"/>
      </w:r>
      <w:r w:rsidR="00E84363">
        <w:rPr>
          <w:rFonts w:ascii="SimSun" w:eastAsia="SimSun" w:hAnsi="SimSun"/>
          <w:sz w:val="21"/>
          <w:lang w:val="en-GB"/>
        </w:rPr>
        <w:t>.</w:t>
      </w:r>
      <w:r w:rsidR="00E84363">
        <w:rPr>
          <w:rFonts w:ascii="SimSun" w:eastAsia="SimSun" w:hAnsi="SimSun"/>
          <w:sz w:val="21"/>
          <w:lang w:val="en-GB"/>
        </w:rPr>
        <w:tab/>
      </w:r>
      <w:r w:rsidRPr="00C866ED">
        <w:rPr>
          <w:rFonts w:ascii="SimSun" w:eastAsia="SimSun" w:hAnsi="SimSun" w:hint="eastAsia"/>
          <w:sz w:val="21"/>
          <w:lang w:val="en-GB"/>
        </w:rPr>
        <w:t>最常见的做法就是，在争议产生之前，在当事各方之间的协议所管理的已有关系下，提请仲裁作为该协议的一项条款，当事各方往往会商定将“依据协议的、协议派生的或与协议有关的任何纠纷、争议或主张”提请仲裁。</w:t>
      </w:r>
    </w:p>
    <w:p w:rsidR="00C866ED" w:rsidRPr="00C866ED" w:rsidRDefault="00A86E9B" w:rsidP="00E84363">
      <w:pPr>
        <w:spacing w:afterLines="50" w:after="120" w:line="340" w:lineRule="atLeast"/>
        <w:jc w:val="both"/>
        <w:rPr>
          <w:rFonts w:ascii="SimSun" w:eastAsia="SimSun" w:hAnsi="SimSun"/>
          <w:sz w:val="21"/>
          <w:lang w:val="en-GB"/>
        </w:rPr>
      </w:pPr>
      <w:r w:rsidRPr="00C866ED">
        <w:rPr>
          <w:rFonts w:ascii="SimSun" w:eastAsia="SimSun" w:hAnsi="SimSun"/>
          <w:sz w:val="21"/>
          <w:lang w:val="en-GB"/>
        </w:rPr>
        <w:fldChar w:fldCharType="begin"/>
      </w:r>
      <w:r w:rsidRPr="00C866ED">
        <w:rPr>
          <w:rFonts w:ascii="SimSun" w:eastAsia="SimSun" w:hAnsi="SimSun"/>
          <w:sz w:val="21"/>
          <w:lang w:val="en-GB"/>
        </w:rPr>
        <w:instrText xml:space="preserve"> AUTONUM  </w:instrText>
      </w:r>
      <w:r w:rsidRPr="00C866ED">
        <w:rPr>
          <w:rFonts w:ascii="SimSun" w:eastAsia="SimSun" w:hAnsi="SimSun"/>
          <w:sz w:val="21"/>
          <w:lang w:val="en-GB"/>
        </w:rPr>
        <w:fldChar w:fldCharType="end"/>
      </w:r>
      <w:r w:rsidR="00E84363">
        <w:rPr>
          <w:rFonts w:ascii="SimSun" w:eastAsia="SimSun" w:hAnsi="SimSun"/>
          <w:sz w:val="21"/>
          <w:lang w:val="en-GB"/>
        </w:rPr>
        <w:t>.</w:t>
      </w:r>
      <w:r w:rsidR="00E84363">
        <w:rPr>
          <w:rFonts w:ascii="SimSun" w:eastAsia="SimSun" w:hAnsi="SimSun"/>
          <w:sz w:val="21"/>
          <w:lang w:val="en-GB"/>
        </w:rPr>
        <w:tab/>
      </w:r>
      <w:r w:rsidRPr="00C866ED">
        <w:rPr>
          <w:rFonts w:ascii="SimSun" w:eastAsia="SimSun" w:hAnsi="SimSun" w:hint="eastAsia"/>
          <w:sz w:val="21"/>
          <w:lang w:val="en-GB"/>
        </w:rPr>
        <w:t>当事各方能够将问题提请仲裁所采取的另一种办法就是通过达成提请协议，一旦产生争议，协议即可生效，该协议(不同</w:t>
      </w:r>
      <w:proofErr w:type="gramStart"/>
      <w:r w:rsidRPr="00C866ED">
        <w:rPr>
          <w:rFonts w:ascii="SimSun" w:eastAsia="SimSun" w:hAnsi="SimSun" w:hint="eastAsia"/>
          <w:sz w:val="21"/>
          <w:lang w:val="en-GB"/>
        </w:rPr>
        <w:t>于之前</w:t>
      </w:r>
      <w:proofErr w:type="gramEnd"/>
      <w:r w:rsidRPr="00C866ED">
        <w:rPr>
          <w:rFonts w:ascii="SimSun" w:eastAsia="SimSun" w:hAnsi="SimSun" w:hint="eastAsia"/>
          <w:sz w:val="21"/>
          <w:lang w:val="en-GB"/>
        </w:rPr>
        <w:t>提到的仲裁条款)还规定了所涉争议的性质。从知识产权执法角度而言，提请协议是将问题提请仲裁的一种更加有意思的方法，因为其不需要当事各方之间存在任何已有的关系，只需提请协议</w:t>
      </w:r>
      <w:proofErr w:type="gramStart"/>
      <w:r w:rsidRPr="00C866ED">
        <w:rPr>
          <w:rFonts w:ascii="SimSun" w:eastAsia="SimSun" w:hAnsi="SimSun" w:hint="eastAsia"/>
          <w:sz w:val="21"/>
          <w:lang w:val="en-GB"/>
        </w:rPr>
        <w:t>本身规定</w:t>
      </w:r>
      <w:proofErr w:type="gramEnd"/>
      <w:r w:rsidRPr="00C866ED">
        <w:rPr>
          <w:rFonts w:ascii="SimSun" w:eastAsia="SimSun" w:hAnsi="SimSun" w:hint="eastAsia"/>
          <w:sz w:val="21"/>
          <w:lang w:val="en-GB"/>
        </w:rPr>
        <w:t>当事各方之间具有仲裁所需的关系。</w:t>
      </w:r>
    </w:p>
    <w:p w:rsidR="00C866ED" w:rsidRPr="00C866ED" w:rsidRDefault="00A86E9B" w:rsidP="00E84363">
      <w:pPr>
        <w:spacing w:afterLines="50" w:after="120" w:line="340" w:lineRule="atLeast"/>
        <w:jc w:val="both"/>
        <w:rPr>
          <w:rFonts w:ascii="SimSun" w:eastAsia="SimSun" w:hAnsi="SimSun"/>
          <w:sz w:val="21"/>
          <w:lang w:val="en-GB"/>
        </w:rPr>
      </w:pPr>
      <w:r w:rsidRPr="00C866ED">
        <w:rPr>
          <w:rFonts w:ascii="SimSun" w:eastAsia="SimSun" w:hAnsi="SimSun"/>
          <w:sz w:val="21"/>
          <w:lang w:val="en-GB"/>
        </w:rPr>
        <w:fldChar w:fldCharType="begin"/>
      </w:r>
      <w:r w:rsidRPr="00C866ED">
        <w:rPr>
          <w:rFonts w:ascii="SimSun" w:eastAsia="SimSun" w:hAnsi="SimSun"/>
          <w:sz w:val="21"/>
          <w:lang w:val="en-GB"/>
        </w:rPr>
        <w:instrText xml:space="preserve"> AUTONUM  </w:instrText>
      </w:r>
      <w:r w:rsidRPr="00C866ED">
        <w:rPr>
          <w:rFonts w:ascii="SimSun" w:eastAsia="SimSun" w:hAnsi="SimSun"/>
          <w:sz w:val="21"/>
          <w:lang w:val="en-GB"/>
        </w:rPr>
        <w:fldChar w:fldCharType="end"/>
      </w:r>
      <w:r w:rsidR="00E84363">
        <w:rPr>
          <w:rFonts w:ascii="SimSun" w:eastAsia="SimSun" w:hAnsi="SimSun"/>
          <w:sz w:val="21"/>
          <w:lang w:val="en-GB"/>
        </w:rPr>
        <w:t>.</w:t>
      </w:r>
      <w:r w:rsidR="00E84363">
        <w:rPr>
          <w:rFonts w:ascii="SimSun" w:eastAsia="SimSun" w:hAnsi="SimSun"/>
          <w:sz w:val="21"/>
          <w:lang w:val="en-GB"/>
        </w:rPr>
        <w:tab/>
      </w:r>
      <w:r w:rsidRPr="00C866ED">
        <w:rPr>
          <w:rFonts w:ascii="SimSun" w:eastAsia="SimSun" w:hAnsi="SimSun" w:hint="eastAsia"/>
          <w:sz w:val="21"/>
          <w:lang w:val="en-GB"/>
        </w:rPr>
        <w:t>无论仲裁规定先于还是晚于争议，这种规定都应指明仲裁的某些方面，诸如至少规定仲裁地点、仲裁语言、仲裁员人数、将采用其仲裁规则的仲裁机构身份、以及还将由哪家机构来管理仲裁员遴选程序。</w:t>
      </w:r>
    </w:p>
    <w:p w:rsidR="00C866ED" w:rsidRPr="00C866ED" w:rsidRDefault="00A86E9B" w:rsidP="00E84363">
      <w:pPr>
        <w:spacing w:afterLines="50" w:after="120" w:line="340" w:lineRule="atLeast"/>
        <w:jc w:val="both"/>
        <w:rPr>
          <w:rFonts w:ascii="SimSun" w:eastAsia="SimSun" w:hAnsi="SimSun"/>
          <w:sz w:val="21"/>
          <w:lang w:val="en-GB"/>
        </w:rPr>
      </w:pPr>
      <w:r w:rsidRPr="00C866ED">
        <w:rPr>
          <w:rFonts w:ascii="SimSun" w:eastAsia="SimSun" w:hAnsi="SimSun"/>
          <w:sz w:val="21"/>
          <w:lang w:val="en-GB"/>
        </w:rPr>
        <w:fldChar w:fldCharType="begin"/>
      </w:r>
      <w:r w:rsidRPr="00C866ED">
        <w:rPr>
          <w:rFonts w:ascii="SimSun" w:eastAsia="SimSun" w:hAnsi="SimSun"/>
          <w:sz w:val="21"/>
          <w:lang w:val="en-GB"/>
        </w:rPr>
        <w:instrText xml:space="preserve"> AUTONUM  </w:instrText>
      </w:r>
      <w:r w:rsidRPr="00C866ED">
        <w:rPr>
          <w:rFonts w:ascii="SimSun" w:eastAsia="SimSun" w:hAnsi="SimSun"/>
          <w:sz w:val="21"/>
          <w:lang w:val="en-GB"/>
        </w:rPr>
        <w:fldChar w:fldCharType="end"/>
      </w:r>
      <w:r w:rsidR="00E84363">
        <w:rPr>
          <w:rFonts w:ascii="SimSun" w:eastAsia="SimSun" w:hAnsi="SimSun"/>
          <w:sz w:val="21"/>
          <w:lang w:val="en-GB"/>
        </w:rPr>
        <w:t>.</w:t>
      </w:r>
      <w:r w:rsidR="00E84363">
        <w:rPr>
          <w:rFonts w:ascii="SimSun" w:eastAsia="SimSun" w:hAnsi="SimSun"/>
          <w:sz w:val="21"/>
          <w:lang w:val="en-GB"/>
        </w:rPr>
        <w:tab/>
      </w:r>
      <w:r w:rsidRPr="00C866ED">
        <w:rPr>
          <w:rFonts w:ascii="SimSun" w:eastAsia="SimSun" w:hAnsi="SimSun" w:hint="eastAsia"/>
          <w:sz w:val="21"/>
          <w:lang w:val="en-GB"/>
        </w:rPr>
        <w:t>总体而言，作为解决商业纠纷的方法，仲裁相比于诉讼所具有的优势在于当事各方具有自主权、保持中立、终局性、保密性、以及便于依照《承认和执行外国仲裁</w:t>
      </w:r>
      <w:r w:rsidR="00E84363">
        <w:rPr>
          <w:rFonts w:ascii="SimSun" w:eastAsia="SimSun" w:hAnsi="SimSun" w:hint="eastAsia"/>
          <w:sz w:val="21"/>
          <w:lang w:val="en-GB"/>
        </w:rPr>
        <w:t>裁决</w:t>
      </w:r>
      <w:r w:rsidRPr="00C866ED">
        <w:rPr>
          <w:rFonts w:ascii="SimSun" w:eastAsia="SimSun" w:hAnsi="SimSun" w:hint="eastAsia"/>
          <w:sz w:val="21"/>
          <w:lang w:val="en-GB"/>
        </w:rPr>
        <w:t>公约》(《纽约公约》)进行国际执行，这些优势都得到了很好的认可，在此无需赘述。</w:t>
      </w:r>
    </w:p>
    <w:p w:rsidR="00C866ED" w:rsidRPr="00C866ED" w:rsidRDefault="00E84363" w:rsidP="00DC712D">
      <w:pPr>
        <w:keepNext/>
        <w:numPr>
          <w:ilvl w:val="0"/>
          <w:numId w:val="9"/>
        </w:numPr>
        <w:adjustRightInd w:val="0"/>
        <w:spacing w:beforeLines="100" w:before="240" w:afterLines="100" w:after="240" w:line="340" w:lineRule="atLeast"/>
        <w:ind w:left="1134" w:hanging="567"/>
        <w:jc w:val="both"/>
        <w:rPr>
          <w:rFonts w:eastAsia="SimSun"/>
          <w:sz w:val="21"/>
        </w:rPr>
      </w:pPr>
      <w:r>
        <w:rPr>
          <w:rFonts w:eastAsia="SimSun" w:hint="eastAsia"/>
          <w:sz w:val="21"/>
        </w:rPr>
        <w:t>专家鉴定</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00E84363">
        <w:rPr>
          <w:rFonts w:ascii="SimSun" w:eastAsia="SimSun" w:hAnsi="SimSun" w:hint="eastAsia"/>
          <w:sz w:val="21"/>
        </w:rPr>
        <w:t>专家鉴定</w:t>
      </w:r>
      <w:r w:rsidRPr="00C866ED">
        <w:rPr>
          <w:rFonts w:ascii="SimSun" w:eastAsia="SimSun" w:hAnsi="SimSun" w:hint="eastAsia"/>
          <w:sz w:val="21"/>
        </w:rPr>
        <w:t>定义如下：当事各方将</w:t>
      </w:r>
      <w:proofErr w:type="gramStart"/>
      <w:r w:rsidRPr="00C866ED">
        <w:rPr>
          <w:rFonts w:ascii="SimSun" w:eastAsia="SimSun" w:hAnsi="SimSun" w:hint="eastAsia"/>
          <w:sz w:val="21"/>
        </w:rPr>
        <w:t>其之间</w:t>
      </w:r>
      <w:proofErr w:type="gramEnd"/>
      <w:r w:rsidRPr="00C866ED">
        <w:rPr>
          <w:rFonts w:ascii="SimSun" w:eastAsia="SimSun" w:hAnsi="SimSun" w:hint="eastAsia"/>
          <w:sz w:val="21"/>
        </w:rPr>
        <w:t>科技或相关商业问题提交给一名或多名专家来就此问题</w:t>
      </w:r>
      <w:proofErr w:type="gramStart"/>
      <w:r w:rsidRPr="00C866ED">
        <w:rPr>
          <w:rFonts w:ascii="SimSun" w:eastAsia="SimSun" w:hAnsi="SimSun" w:hint="eastAsia"/>
          <w:sz w:val="21"/>
        </w:rPr>
        <w:t>作出</w:t>
      </w:r>
      <w:proofErr w:type="gramEnd"/>
      <w:r w:rsidRPr="00C866ED">
        <w:rPr>
          <w:rFonts w:ascii="SimSun" w:eastAsia="SimSun" w:hAnsi="SimSun" w:hint="eastAsia"/>
          <w:sz w:val="21"/>
        </w:rPr>
        <w:t>决定的一种程序。除非当事</w:t>
      </w:r>
      <w:r w:rsidRPr="00E84363">
        <w:rPr>
          <w:rFonts w:ascii="SimSun" w:eastAsia="SimSun" w:hAnsi="SimSun" w:hint="eastAsia"/>
          <w:sz w:val="21"/>
          <w:lang w:val="en-GB"/>
        </w:rPr>
        <w:t>各方</w:t>
      </w:r>
      <w:r w:rsidRPr="00C866ED">
        <w:rPr>
          <w:rFonts w:ascii="SimSun" w:eastAsia="SimSun" w:hAnsi="SimSun" w:hint="eastAsia"/>
          <w:sz w:val="21"/>
        </w:rPr>
        <w:t>商定，否则该决定具有约束力。</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00E84363">
        <w:rPr>
          <w:rFonts w:ascii="SimSun" w:eastAsia="SimSun" w:hAnsi="SimSun" w:hint="eastAsia"/>
          <w:sz w:val="21"/>
        </w:rPr>
        <w:t>专家鉴定</w:t>
      </w:r>
      <w:r w:rsidRPr="00C866ED">
        <w:rPr>
          <w:rFonts w:ascii="SimSun" w:eastAsia="SimSun" w:hAnsi="SimSun" w:hint="eastAsia"/>
          <w:sz w:val="21"/>
        </w:rPr>
        <w:t>程序最终会带来一项决定，一般而言是关于某个具体的问题，该决定可以具有约束力也可以不具约束力，但如果具有约束力的话，其通常在规定此类</w:t>
      </w:r>
      <w:r w:rsidR="00E84363">
        <w:rPr>
          <w:rFonts w:ascii="SimSun" w:eastAsia="SimSun" w:hAnsi="SimSun" w:hint="eastAsia"/>
          <w:sz w:val="21"/>
        </w:rPr>
        <w:t>专家鉴定</w:t>
      </w:r>
      <w:r w:rsidRPr="00C866ED">
        <w:rPr>
          <w:rFonts w:ascii="SimSun" w:eastAsia="SimSun" w:hAnsi="SimSun" w:hint="eastAsia"/>
          <w:sz w:val="21"/>
        </w:rPr>
        <w:t>的合同框架内是可以实施的。</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lastRenderedPageBreak/>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00E84363">
        <w:rPr>
          <w:rFonts w:ascii="SimSun" w:eastAsia="SimSun" w:hAnsi="SimSun" w:hint="eastAsia"/>
          <w:sz w:val="21"/>
        </w:rPr>
        <w:t>专家鉴定</w:t>
      </w:r>
      <w:r w:rsidRPr="00C866ED">
        <w:rPr>
          <w:rFonts w:ascii="SimSun" w:eastAsia="SimSun" w:hAnsi="SimSun" w:hint="eastAsia"/>
          <w:sz w:val="21"/>
        </w:rPr>
        <w:t>的优势在于：“该程序成本较低且更加迅速，可以避免刻板应用证据规则和程序，而且做出的决定是终局决定，从而可以避免拖延、</w:t>
      </w:r>
      <w:r w:rsidRPr="00E84363">
        <w:rPr>
          <w:rFonts w:ascii="SimSun" w:eastAsia="SimSun" w:hAnsi="SimSun" w:hint="eastAsia"/>
          <w:sz w:val="21"/>
          <w:lang w:val="en-GB"/>
        </w:rPr>
        <w:t>可能</w:t>
      </w:r>
      <w:r w:rsidRPr="00C866ED">
        <w:rPr>
          <w:rFonts w:ascii="SimSun" w:eastAsia="SimSun" w:hAnsi="SimSun" w:hint="eastAsia"/>
          <w:sz w:val="21"/>
        </w:rPr>
        <w:t>的重新听证和上诉，特别适用于要求具备该主题专家知识的情况或当事各方可继续保持关系的情况”(</w:t>
      </w:r>
      <w:r w:rsidRPr="00C866ED">
        <w:rPr>
          <w:rFonts w:ascii="SimSun" w:eastAsia="SimSun" w:hAnsi="SimSun"/>
          <w:i/>
          <w:sz w:val="21"/>
        </w:rPr>
        <w:t xml:space="preserve">The Heart Research Institute Ltd v </w:t>
      </w:r>
      <w:proofErr w:type="spellStart"/>
      <w:r w:rsidRPr="00C866ED">
        <w:rPr>
          <w:rFonts w:ascii="SimSun" w:eastAsia="SimSun" w:hAnsi="SimSun"/>
          <w:i/>
          <w:sz w:val="21"/>
        </w:rPr>
        <w:t>Psiron</w:t>
      </w:r>
      <w:proofErr w:type="spellEnd"/>
      <w:r w:rsidRPr="00C866ED">
        <w:rPr>
          <w:rFonts w:ascii="SimSun" w:eastAsia="SimSun" w:hAnsi="SimSun"/>
          <w:i/>
          <w:sz w:val="21"/>
        </w:rPr>
        <w:t xml:space="preserve"> Ltd</w:t>
      </w:r>
      <w:r w:rsidRPr="00C866ED">
        <w:rPr>
          <w:rFonts w:ascii="SimSun" w:eastAsia="SimSun" w:hAnsi="SimSun"/>
          <w:sz w:val="21"/>
        </w:rPr>
        <w:t xml:space="preserve"> [2002] NSWC 646</w:t>
      </w:r>
      <w:r w:rsidRPr="00C866ED">
        <w:rPr>
          <w:rFonts w:ascii="SimSun" w:eastAsia="SimSun" w:hAnsi="SimSun" w:hint="eastAsia"/>
          <w:sz w:val="21"/>
        </w:rPr>
        <w:t>)。</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00E84363">
        <w:rPr>
          <w:rFonts w:ascii="SimSun" w:eastAsia="SimSun" w:hAnsi="SimSun" w:hint="eastAsia"/>
          <w:sz w:val="21"/>
        </w:rPr>
        <w:t>专家鉴定</w:t>
      </w:r>
      <w:r w:rsidRPr="00C866ED">
        <w:rPr>
          <w:rFonts w:ascii="SimSun" w:eastAsia="SimSun" w:hAnsi="SimSun" w:hint="eastAsia"/>
          <w:sz w:val="21"/>
        </w:rPr>
        <w:t>通常涉及问题所产生的合同中所明确的具体问题。</w:t>
      </w:r>
      <w:r w:rsidR="00E84363">
        <w:rPr>
          <w:rFonts w:ascii="SimSun" w:eastAsia="SimSun" w:hAnsi="SimSun" w:hint="eastAsia"/>
          <w:sz w:val="21"/>
        </w:rPr>
        <w:t>专家鉴定</w:t>
      </w:r>
      <w:r w:rsidRPr="00C866ED">
        <w:rPr>
          <w:rFonts w:ascii="SimSun" w:eastAsia="SimSun" w:hAnsi="SimSun" w:hint="eastAsia"/>
          <w:sz w:val="21"/>
        </w:rPr>
        <w:t>所解决的一个典型问题就是对资产的评估，与其他法律方面一样，这也同样地适用于知识产权领域，就知识产权而言，在专利组合出售合同中对专利组合价值进行调整或对知识产权许可规定的许可费进行调整，以反映执行协议时无法得到量化的某些专门事项。</w:t>
      </w:r>
      <w:r w:rsidRPr="00E84363">
        <w:rPr>
          <w:rFonts w:ascii="SimSun" w:eastAsia="SimSun" w:hAnsi="SimSun" w:hint="eastAsia"/>
          <w:sz w:val="21"/>
          <w:lang w:val="en-GB"/>
        </w:rPr>
        <w:t>但是</w:t>
      </w:r>
      <w:r w:rsidRPr="00C866ED">
        <w:rPr>
          <w:rFonts w:ascii="SimSun" w:eastAsia="SimSun" w:hAnsi="SimSun" w:hint="eastAsia"/>
          <w:sz w:val="21"/>
        </w:rPr>
        <w:t>，与仲裁一样，</w:t>
      </w:r>
      <w:r w:rsidR="00E84363">
        <w:rPr>
          <w:rFonts w:ascii="SimSun" w:eastAsia="SimSun" w:hAnsi="SimSun" w:hint="eastAsia"/>
          <w:sz w:val="21"/>
        </w:rPr>
        <w:t>专家鉴定</w:t>
      </w:r>
      <w:r w:rsidRPr="00C866ED">
        <w:rPr>
          <w:rFonts w:ascii="SimSun" w:eastAsia="SimSun" w:hAnsi="SimSun" w:hint="eastAsia"/>
          <w:sz w:val="21"/>
        </w:rPr>
        <w:t>也能用来处理其他知识产权问题，诸如那些传统意义上认为应交由法院来处理的问题。</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尽管在知识产权以外的领域中已经设立起关于</w:t>
      </w:r>
      <w:r w:rsidR="00E84363">
        <w:rPr>
          <w:rFonts w:ascii="SimSun" w:eastAsia="SimSun" w:hAnsi="SimSun" w:hint="eastAsia"/>
          <w:sz w:val="21"/>
        </w:rPr>
        <w:t>专家鉴定</w:t>
      </w:r>
      <w:r w:rsidRPr="00C866ED">
        <w:rPr>
          <w:rFonts w:ascii="SimSun" w:eastAsia="SimSun" w:hAnsi="SimSun" w:hint="eastAsia"/>
          <w:sz w:val="21"/>
        </w:rPr>
        <w:t>的法律，特别是那些与建筑施工相关的领域，尽管在知识产权领域尚未如此</w:t>
      </w:r>
      <w:r w:rsidRPr="00E84363">
        <w:rPr>
          <w:rFonts w:ascii="SimSun" w:eastAsia="SimSun" w:hAnsi="SimSun" w:hint="eastAsia"/>
          <w:sz w:val="21"/>
          <w:lang w:val="en-GB"/>
        </w:rPr>
        <w:t>明确</w:t>
      </w:r>
      <w:r w:rsidRPr="00C866ED">
        <w:rPr>
          <w:rFonts w:ascii="SimSun" w:eastAsia="SimSun" w:hAnsi="SimSun" w:hint="eastAsia"/>
          <w:sz w:val="21"/>
        </w:rPr>
        <w:t>，但</w:t>
      </w:r>
      <w:r w:rsidR="00E84363">
        <w:rPr>
          <w:rFonts w:ascii="SimSun" w:eastAsia="SimSun" w:hAnsi="SimSun" w:hint="eastAsia"/>
          <w:sz w:val="21"/>
        </w:rPr>
        <w:t>专家鉴定</w:t>
      </w:r>
      <w:r w:rsidRPr="00C866ED">
        <w:rPr>
          <w:rFonts w:ascii="SimSun" w:eastAsia="SimSun" w:hAnsi="SimSun" w:hint="eastAsia"/>
          <w:sz w:val="21"/>
        </w:rPr>
        <w:t>实际上已经在该领域得到广泛应用，即便看上去这种方式貌似还没有得到广泛认可。</w:t>
      </w:r>
    </w:p>
    <w:p w:rsidR="00C866ED" w:rsidRPr="00C866ED" w:rsidRDefault="00A86E9B" w:rsidP="00E84363">
      <w:pPr>
        <w:spacing w:afterLines="50" w:after="120" w:line="340" w:lineRule="atLeast"/>
        <w:jc w:val="both"/>
        <w:rPr>
          <w:rFonts w:ascii="SimSun" w:eastAsia="SimSun" w:hAnsi="SimSun"/>
          <w:sz w:val="21"/>
          <w:lang w:val="en-GB"/>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lang w:val="en-GB"/>
        </w:rPr>
        <w:t>因此，对域名争议的解决办法，诸如那些根据《</w:t>
      </w:r>
      <w:r w:rsidRPr="00C866ED">
        <w:rPr>
          <w:rFonts w:ascii="SimSun" w:eastAsia="SimSun" w:hAnsi="SimSun" w:cs="SimSun" w:hint="eastAsia"/>
          <w:sz w:val="21"/>
        </w:rPr>
        <w:t>统一域名争议解决政策》</w:t>
      </w:r>
      <w:r w:rsidRPr="00C866ED">
        <w:rPr>
          <w:rFonts w:ascii="SimSun" w:eastAsia="SimSun" w:hAnsi="SimSun"/>
          <w:sz w:val="21"/>
        </w:rPr>
        <w:t>(UDRP)</w:t>
      </w:r>
      <w:r w:rsidRPr="00C866ED">
        <w:rPr>
          <w:rFonts w:ascii="SimSun" w:eastAsia="SimSun" w:hAnsi="SimSun" w:hint="eastAsia"/>
          <w:sz w:val="21"/>
        </w:rPr>
        <w:t>所进行的争议解决，可被视为一种</w:t>
      </w:r>
      <w:r w:rsidR="00E84363">
        <w:rPr>
          <w:rFonts w:ascii="SimSun" w:eastAsia="SimSun" w:hAnsi="SimSun" w:hint="eastAsia"/>
          <w:sz w:val="21"/>
        </w:rPr>
        <w:t>专家鉴定</w:t>
      </w:r>
      <w:r w:rsidRPr="00C866ED">
        <w:rPr>
          <w:rFonts w:ascii="SimSun" w:eastAsia="SimSun" w:hAnsi="SimSun" w:hint="eastAsia"/>
          <w:sz w:val="21"/>
        </w:rPr>
        <w:t>。通过与UDRP批准的特定域名注册机构签署合同，域名申请人能够自愿提请采用UDRP的规则。在申请人与注册机构所签署的合同框架内，UDRP决定自动生效。UDRP程序不是要取代国家法院决定域名的使用是否侵犯商标权的司法权。但是商标侵权诉讼成本很高，在互联网国际化和非物质化性质的情况下，若尝试将其用于域名纠纷，在为所涉商标、域名申请人或域名注册机构确定具有相关司法管辖权的国家法院方面会存在实际困难。因而，实际情况下，采用UDRP决定可以处理绝大部分此类存在问题的商标诉讼。</w:t>
      </w:r>
    </w:p>
    <w:p w:rsidR="00C866ED" w:rsidRPr="00C866ED" w:rsidRDefault="00A86E9B" w:rsidP="00E84363">
      <w:pPr>
        <w:spacing w:afterLines="50" w:after="120" w:line="340" w:lineRule="atLeast"/>
        <w:jc w:val="both"/>
        <w:rPr>
          <w:rFonts w:ascii="SimSun" w:eastAsia="SimSun" w:hAnsi="SimSun"/>
          <w:sz w:val="21"/>
          <w:lang w:val="en-GB"/>
        </w:rPr>
      </w:pPr>
      <w:r w:rsidRPr="00C866ED">
        <w:rPr>
          <w:rFonts w:ascii="SimSun" w:eastAsia="SimSun" w:hAnsi="SimSun"/>
          <w:sz w:val="21"/>
          <w:lang w:val="en-GB"/>
        </w:rPr>
        <w:fldChar w:fldCharType="begin"/>
      </w:r>
      <w:r w:rsidRPr="00C866ED">
        <w:rPr>
          <w:rFonts w:ascii="SimSun" w:eastAsia="SimSun" w:hAnsi="SimSun"/>
          <w:sz w:val="21"/>
          <w:lang w:val="en-GB"/>
        </w:rPr>
        <w:instrText xml:space="preserve"> AUTONUM  </w:instrText>
      </w:r>
      <w:r w:rsidRPr="00C866ED">
        <w:rPr>
          <w:rFonts w:ascii="SimSun" w:eastAsia="SimSun" w:hAnsi="SimSun"/>
          <w:sz w:val="21"/>
          <w:lang w:val="en-GB"/>
        </w:rPr>
        <w:fldChar w:fldCharType="end"/>
      </w:r>
      <w:r w:rsidR="00E84363">
        <w:rPr>
          <w:rFonts w:ascii="SimSun" w:eastAsia="SimSun" w:hAnsi="SimSun"/>
          <w:sz w:val="21"/>
          <w:lang w:val="en-GB"/>
        </w:rPr>
        <w:t>.</w:t>
      </w:r>
      <w:r w:rsidR="00E84363">
        <w:rPr>
          <w:rFonts w:ascii="SimSun" w:eastAsia="SimSun" w:hAnsi="SimSun"/>
          <w:sz w:val="21"/>
          <w:lang w:val="en-GB"/>
        </w:rPr>
        <w:tab/>
      </w:r>
      <w:r w:rsidRPr="00C866ED">
        <w:rPr>
          <w:rFonts w:ascii="SimSun" w:eastAsia="SimSun" w:hAnsi="SimSun" w:hint="eastAsia"/>
          <w:sz w:val="21"/>
          <w:lang w:val="en-GB"/>
        </w:rPr>
        <w:t>关于知识产权的</w:t>
      </w:r>
      <w:r w:rsidR="00E84363">
        <w:rPr>
          <w:rFonts w:ascii="SimSun" w:eastAsia="SimSun" w:hAnsi="SimSun" w:hint="eastAsia"/>
          <w:sz w:val="21"/>
          <w:lang w:val="en-GB"/>
        </w:rPr>
        <w:t>专家鉴定</w:t>
      </w:r>
      <w:r w:rsidRPr="00C866ED">
        <w:rPr>
          <w:rFonts w:ascii="SimSun" w:eastAsia="SimSun" w:hAnsi="SimSun" w:hint="eastAsia"/>
          <w:sz w:val="21"/>
          <w:lang w:val="en-GB"/>
        </w:rPr>
        <w:t>的另一个例子来自信息通信技术(ICT)领域所存在的某些与标准相关的专利池规则，例如有关语音或视频编解码器规定需要采用</w:t>
      </w:r>
      <w:r w:rsidR="00E84363">
        <w:rPr>
          <w:rFonts w:ascii="SimSun" w:eastAsia="SimSun" w:hAnsi="SimSun" w:hint="eastAsia"/>
          <w:sz w:val="21"/>
          <w:lang w:val="en-GB"/>
        </w:rPr>
        <w:t>专家鉴定</w:t>
      </w:r>
      <w:r w:rsidRPr="00C866ED">
        <w:rPr>
          <w:rFonts w:ascii="SimSun" w:eastAsia="SimSun" w:hAnsi="SimSun" w:hint="eastAsia"/>
          <w:sz w:val="21"/>
          <w:lang w:val="en-GB"/>
        </w:rPr>
        <w:t>。</w:t>
      </w:r>
    </w:p>
    <w:p w:rsidR="00C866ED" w:rsidRPr="00C866ED" w:rsidRDefault="00A86E9B" w:rsidP="00DC712D">
      <w:pPr>
        <w:keepNext/>
        <w:numPr>
          <w:ilvl w:val="0"/>
          <w:numId w:val="9"/>
        </w:numPr>
        <w:adjustRightInd w:val="0"/>
        <w:spacing w:beforeLines="100" w:before="240" w:afterLines="100" w:after="240" w:line="340" w:lineRule="atLeast"/>
        <w:ind w:left="1134" w:hanging="567"/>
        <w:jc w:val="both"/>
        <w:rPr>
          <w:rFonts w:eastAsia="SimSun"/>
          <w:sz w:val="21"/>
        </w:rPr>
      </w:pPr>
      <w:r w:rsidRPr="00C866ED">
        <w:rPr>
          <w:rFonts w:eastAsia="SimSun" w:hint="eastAsia"/>
          <w:sz w:val="21"/>
        </w:rPr>
        <w:t>中立评估</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在问题尤为复杂以及当事各方如果需要了解假如争议要诉诸法院或审判庭时可能产生的结果的情况下，事先进行中立评估及就某些问题提供不具有约束力的意见，就会显现出特殊的作用。</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在知识产权案例中利用中立评估的一个饶有趣味的例子来自联合王国知识产权局的咨询服务。根据该服务，应任何人的请求，联合王国知识产权局将在请求提出三个月内就针对在联合王国有效的专利的侵权行为以及这些专利的有效性的某些方面提供咨询意见，其他人也可发表意见，在某些情况下，专利权人或其独占被许可人可就此类咨询意见提出质疑。</w:t>
      </w:r>
    </w:p>
    <w:p w:rsidR="00C866ED" w:rsidRPr="00C866ED" w:rsidRDefault="00A86E9B" w:rsidP="00DC712D">
      <w:pPr>
        <w:keepNext/>
        <w:numPr>
          <w:ilvl w:val="0"/>
          <w:numId w:val="9"/>
        </w:numPr>
        <w:adjustRightInd w:val="0"/>
        <w:spacing w:beforeLines="100" w:before="240" w:afterLines="100" w:after="240" w:line="340" w:lineRule="atLeast"/>
        <w:ind w:left="1134" w:hanging="567"/>
        <w:jc w:val="both"/>
        <w:rPr>
          <w:rFonts w:eastAsia="SimSun"/>
          <w:sz w:val="21"/>
        </w:rPr>
      </w:pPr>
      <w:r w:rsidRPr="00C866ED">
        <w:rPr>
          <w:rFonts w:eastAsia="SimSun" w:hint="eastAsia"/>
          <w:sz w:val="21"/>
        </w:rPr>
        <w:t>调</w:t>
      </w:r>
      <w:r w:rsidR="00C866ED">
        <w:rPr>
          <w:rFonts w:eastAsia="SimSun" w:hint="eastAsia"/>
          <w:sz w:val="21"/>
        </w:rPr>
        <w:t xml:space="preserve">　</w:t>
      </w:r>
      <w:r w:rsidRPr="00C866ED">
        <w:rPr>
          <w:rFonts w:eastAsia="SimSun" w:hint="eastAsia"/>
          <w:sz w:val="21"/>
        </w:rPr>
        <w:t>解</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调解被定义为一种非正式的程序，一名中立的中间人</w:t>
      </w:r>
      <w:r w:rsidR="00C320BF">
        <w:rPr>
          <w:rFonts w:ascii="SimSun" w:eastAsia="SimSun" w:hAnsi="SimSun" w:hint="eastAsia"/>
          <w:sz w:val="21"/>
        </w:rPr>
        <w:t>——</w:t>
      </w:r>
      <w:r w:rsidRPr="00C866ED">
        <w:rPr>
          <w:rFonts w:ascii="SimSun" w:eastAsia="SimSun" w:hAnsi="SimSun" w:hint="eastAsia"/>
          <w:sz w:val="21"/>
        </w:rPr>
        <w:t>调解员</w:t>
      </w:r>
      <w:r w:rsidR="00C320BF">
        <w:rPr>
          <w:rFonts w:ascii="SimSun" w:eastAsia="SimSun" w:hAnsi="SimSun" w:hint="eastAsia"/>
          <w:sz w:val="21"/>
        </w:rPr>
        <w:t>——</w:t>
      </w:r>
      <w:r w:rsidRPr="00C866ED">
        <w:rPr>
          <w:rFonts w:ascii="SimSun" w:eastAsia="SimSun" w:hAnsi="SimSun" w:hint="eastAsia"/>
          <w:sz w:val="21"/>
        </w:rPr>
        <w:t>协助当事各方来就争议达成和解方案。在知识产权争议的解决中，</w:t>
      </w:r>
      <w:r w:rsidRPr="00E84363">
        <w:rPr>
          <w:rFonts w:ascii="SimSun" w:eastAsia="SimSun" w:hAnsi="SimSun" w:hint="eastAsia"/>
          <w:sz w:val="21"/>
          <w:lang w:val="en-GB"/>
        </w:rPr>
        <w:t>调解</w:t>
      </w:r>
      <w:r w:rsidRPr="00C866ED">
        <w:rPr>
          <w:rFonts w:ascii="SimSun" w:eastAsia="SimSun" w:hAnsi="SimSun" w:hint="eastAsia"/>
          <w:sz w:val="21"/>
        </w:rPr>
        <w:t>具有重大的价值。但是，由于其完全是由双方自愿达成的，以及其灵活性和所采用程序的变通性，并由于其主要是可控的谈判，因此其并未带来特别的法律问题。</w:t>
      </w:r>
    </w:p>
    <w:p w:rsidR="00C866ED" w:rsidRDefault="00C866ED" w:rsidP="00C866ED">
      <w:pPr>
        <w:pStyle w:val="1"/>
        <w:spacing w:beforeLines="100" w:afterLines="100" w:after="240" w:line="340" w:lineRule="atLeast"/>
        <w:jc w:val="both"/>
        <w:rPr>
          <w:rFonts w:ascii="SimHei" w:eastAsia="SimHei" w:hAnsi="SimHei"/>
          <w:b w:val="0"/>
          <w:sz w:val="21"/>
        </w:rPr>
      </w:pPr>
      <w:r>
        <w:rPr>
          <w:rFonts w:ascii="SimHei" w:eastAsia="SimHei" w:hAnsi="SimHei" w:hint="eastAsia"/>
          <w:b w:val="0"/>
          <w:sz w:val="21"/>
        </w:rPr>
        <w:lastRenderedPageBreak/>
        <w:t>二、</w:t>
      </w:r>
      <w:r w:rsidR="00A86E9B" w:rsidRPr="00C866ED">
        <w:rPr>
          <w:rFonts w:ascii="SimHei" w:eastAsia="SimHei" w:hAnsi="SimHei" w:hint="eastAsia"/>
          <w:b w:val="0"/>
          <w:sz w:val="21"/>
        </w:rPr>
        <w:t>知识产权执法环境下的 ADR法律和法规框架</w:t>
      </w:r>
    </w:p>
    <w:p w:rsidR="00C866ED" w:rsidRPr="00C866ED" w:rsidRDefault="00A86E9B" w:rsidP="00DC712D">
      <w:pPr>
        <w:numPr>
          <w:ilvl w:val="0"/>
          <w:numId w:val="10"/>
        </w:numPr>
        <w:spacing w:beforeLines="100" w:before="240" w:afterLines="100" w:after="240" w:line="340" w:lineRule="atLeast"/>
        <w:ind w:left="1134" w:hanging="567"/>
        <w:jc w:val="both"/>
        <w:rPr>
          <w:rFonts w:ascii="SimSun" w:eastAsia="SimSun" w:hAnsi="SimSun"/>
          <w:sz w:val="21"/>
        </w:rPr>
      </w:pPr>
      <w:r w:rsidRPr="00C866ED">
        <w:rPr>
          <w:rFonts w:ascii="SimSun" w:eastAsia="SimSun" w:hAnsi="SimSun" w:hint="eastAsia"/>
          <w:sz w:val="21"/>
        </w:rPr>
        <w:t>导</w:t>
      </w:r>
      <w:r w:rsidR="00C866ED">
        <w:rPr>
          <w:rFonts w:ascii="SimSun" w:eastAsia="SimSun" w:hAnsi="SimSun" w:hint="eastAsia"/>
          <w:sz w:val="21"/>
        </w:rPr>
        <w:t xml:space="preserve">　</w:t>
      </w:r>
      <w:r w:rsidRPr="00C866ED">
        <w:rPr>
          <w:rFonts w:ascii="SimSun" w:eastAsia="SimSun" w:hAnsi="SimSun" w:hint="eastAsia"/>
          <w:sz w:val="21"/>
        </w:rPr>
        <w:t>言</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仲裁领域的ADR法律法规</w:t>
      </w:r>
      <w:r w:rsidRPr="00E84363">
        <w:rPr>
          <w:rFonts w:ascii="SimSun" w:eastAsia="SimSun" w:hAnsi="SimSun" w:hint="eastAsia"/>
          <w:sz w:val="21"/>
          <w:lang w:val="en-GB"/>
        </w:rPr>
        <w:t>框架</w:t>
      </w:r>
      <w:r w:rsidRPr="00C866ED">
        <w:rPr>
          <w:rFonts w:ascii="SimSun" w:eastAsia="SimSun" w:hAnsi="SimSun" w:hint="eastAsia"/>
          <w:sz w:val="21"/>
        </w:rPr>
        <w:t>最为完备。</w:t>
      </w:r>
    </w:p>
    <w:p w:rsidR="00C866ED" w:rsidRPr="00C866ED" w:rsidRDefault="00A86E9B" w:rsidP="00DC712D">
      <w:pPr>
        <w:numPr>
          <w:ilvl w:val="0"/>
          <w:numId w:val="10"/>
        </w:numPr>
        <w:spacing w:beforeLines="100" w:before="240" w:afterLines="100" w:after="240" w:line="340" w:lineRule="atLeast"/>
        <w:ind w:left="1134" w:hanging="567"/>
        <w:jc w:val="both"/>
        <w:rPr>
          <w:rFonts w:ascii="SimSun" w:eastAsia="SimSun" w:hAnsi="SimSun"/>
          <w:sz w:val="21"/>
        </w:rPr>
      </w:pPr>
      <w:r w:rsidRPr="00C866ED">
        <w:rPr>
          <w:rFonts w:ascii="SimSun" w:eastAsia="SimSun" w:hAnsi="SimSun" w:hint="eastAsia"/>
          <w:sz w:val="21"/>
        </w:rPr>
        <w:t>用于知识产权的适用法律和司法管辖权问题</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知识产权由国家法律(有时是地区法律)来加以规定，因而一般只在当地(或地区)有效，而知识产权通常又会存在于不同的司法管辖区内，每个司法辖区都有其知识产权实体法律，也有其自身的国家法院和知识产权局，这些权利就可以通过这些机构得以实施或对其进行质疑。</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对于处理国际层面上日益增长的争议的</w:t>
      </w:r>
      <w:r w:rsidRPr="00E84363">
        <w:rPr>
          <w:rFonts w:ascii="SimSun" w:eastAsia="SimSun" w:hAnsi="SimSun" w:hint="eastAsia"/>
          <w:sz w:val="21"/>
          <w:lang w:val="en-GB"/>
        </w:rPr>
        <w:t>程序</w:t>
      </w:r>
      <w:r w:rsidRPr="00C866ED">
        <w:rPr>
          <w:rFonts w:ascii="SimSun" w:eastAsia="SimSun" w:hAnsi="SimSun" w:hint="eastAsia"/>
          <w:sz w:val="21"/>
        </w:rPr>
        <w:t>角度而言，这些争议必然会涉及到多个司法管辖区内的并行存在的知识产权，同时也受制于不同的法律规定，因而知识产权的这种地域性会产生重要的后果。这基本上是因为国家法院系统无法解决国际层面上的此类争议，即由于这类权利的地域性所导致的，同时也使得一部分这些国家法院不愿意对这类争议提出意见。</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但是，这并未成为国际知识产权仲裁的障碍。事实上，国际知识产权仲裁往往不仅要考虑到仲裁协议本身的法律问题和仲裁地问题，即在国际仲裁中传统上需要考虑的问题，同时还要考虑争议实质问题的适用法律问题，即对争议实质问题——所涉知识产权的侵权和/或有效性问题——进行裁决所依据的法律。</w:t>
      </w:r>
    </w:p>
    <w:p w:rsidR="00C866ED" w:rsidRPr="00C866ED" w:rsidRDefault="00A86E9B" w:rsidP="00DC712D">
      <w:pPr>
        <w:numPr>
          <w:ilvl w:val="0"/>
          <w:numId w:val="10"/>
        </w:numPr>
        <w:spacing w:beforeLines="100" w:before="240" w:afterLines="100" w:after="240" w:line="340" w:lineRule="atLeast"/>
        <w:ind w:left="1134" w:hanging="567"/>
        <w:jc w:val="both"/>
        <w:rPr>
          <w:rFonts w:ascii="SimSun" w:eastAsia="SimSun" w:hAnsi="SimSun"/>
          <w:sz w:val="21"/>
        </w:rPr>
      </w:pPr>
      <w:r w:rsidRPr="00C866ED">
        <w:rPr>
          <w:rFonts w:ascii="SimSun" w:eastAsia="SimSun" w:hAnsi="SimSun" w:hint="eastAsia"/>
          <w:sz w:val="21"/>
        </w:rPr>
        <w:t>仲裁决定的国际执行</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在所讨论的各类ADR中，只有仲裁可以说是由国际法规框架来加以规定，并允许外国仲裁决定在当地得以执行。相对而言，还</w:t>
      </w:r>
      <w:r w:rsidRPr="00E84363">
        <w:rPr>
          <w:rFonts w:ascii="SimSun" w:eastAsia="SimSun" w:hAnsi="SimSun" w:hint="eastAsia"/>
          <w:sz w:val="21"/>
          <w:lang w:val="en-GB"/>
        </w:rPr>
        <w:t>没有</w:t>
      </w:r>
      <w:r w:rsidRPr="00C866ED">
        <w:rPr>
          <w:rFonts w:ascii="SimSun" w:eastAsia="SimSun" w:hAnsi="SimSun" w:hint="eastAsia"/>
          <w:sz w:val="21"/>
        </w:rPr>
        <w:t>任何国际公约来规定当地执行外国法庭的判决。</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WIPO仲裁与调解中心的实际</w:t>
      </w:r>
      <w:r w:rsidRPr="00E84363">
        <w:rPr>
          <w:rFonts w:ascii="SimSun" w:eastAsia="SimSun" w:hAnsi="SimSun" w:hint="eastAsia"/>
          <w:sz w:val="21"/>
          <w:lang w:val="en-GB"/>
        </w:rPr>
        <w:t>经验</w:t>
      </w:r>
      <w:r w:rsidRPr="00C866ED">
        <w:rPr>
          <w:rFonts w:ascii="SimSun" w:eastAsia="SimSun" w:hAnsi="SimSun" w:hint="eastAsia"/>
          <w:sz w:val="21"/>
        </w:rPr>
        <w:t>已表明，多数仲裁决定都得到了自愿的执行。但是，在有必要执行的情况下，当事各方必须依靠其期望这些仲裁决定得以执行的国家的国家法院。如果希望在仲裁所在国以外的国家执行决定，当事各方可依靠《纽约公约》所规定的单一国际法律框架来执行外国仲裁决定。根据《纽约公约》被要求执行一项仲裁决定的法庭通常无法对仲裁决定的实质问题进行审查，而只能根据《公约》第五条所规定的一条或多条以下理由对仲裁决定不予承认和执行。</w:t>
      </w:r>
    </w:p>
    <w:p w:rsidR="00C866ED" w:rsidRPr="00C866ED" w:rsidRDefault="00A86E9B" w:rsidP="00DC712D">
      <w:pPr>
        <w:numPr>
          <w:ilvl w:val="0"/>
          <w:numId w:val="10"/>
        </w:numPr>
        <w:spacing w:beforeLines="100" w:before="240" w:afterLines="100" w:after="240" w:line="340" w:lineRule="atLeast"/>
        <w:ind w:left="1134" w:hanging="567"/>
        <w:jc w:val="both"/>
        <w:rPr>
          <w:rFonts w:ascii="SimSun" w:eastAsia="SimSun" w:hAnsi="SimSun"/>
          <w:sz w:val="21"/>
        </w:rPr>
      </w:pPr>
      <w:r w:rsidRPr="00C866ED">
        <w:rPr>
          <w:rFonts w:ascii="SimSun" w:eastAsia="SimSun" w:hAnsi="SimSun" w:hint="eastAsia"/>
          <w:sz w:val="21"/>
        </w:rPr>
        <w:t>国家针对知识产权可仲裁性的观点</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多数国家的知识产权法律对于知识产权和仲裁之间的关系并未加以规定。一些国家或地区法律专门对知识产权仲裁加以认可。美利坚合众国认可，对与美国专利有关的争议可以进行仲裁，尽管只对当事各方有效。在欧盟，《统一专利法庭协议》也认可，专利争议可以进行仲裁，因为其规定要建立专利调解与仲裁中心来“为该《协议》所涵盖的专利争议的调解和仲裁提供便利。”比利时法律更进一步，不仅明确规定了专利仲裁，还明确认可其可具有</w:t>
      </w:r>
      <w:r w:rsidRPr="00E84363">
        <w:rPr>
          <w:rFonts w:ascii="KaiTi" w:eastAsia="KaiTi" w:hAnsi="SimSun" w:hint="eastAsia"/>
          <w:i/>
          <w:sz w:val="21"/>
        </w:rPr>
        <w:t>普适</w:t>
      </w:r>
      <w:r w:rsidRPr="00C866ED">
        <w:rPr>
          <w:rFonts w:ascii="SimSun" w:eastAsia="SimSun" w:hAnsi="SimSun" w:hint="eastAsia"/>
          <w:sz w:val="21"/>
        </w:rPr>
        <w:t>效力。瑞士法律甚至将这种方法扩展到广泛意义上的知识产权。</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这一问题得到了知识产权仲裁方面众多法律人士的关注和评论，已经成为知识产权可仲裁性问题，一些人对知识产权相关争议可适当成为仲裁目标的范围提出质疑。这个问题很重要，因为如果知识产权——仲裁的对象无法适当地作为仲裁决定的对象，那么该仲裁决定就无法执行。在此类知识产</w:t>
      </w:r>
      <w:r w:rsidRPr="00C866ED">
        <w:rPr>
          <w:rFonts w:ascii="SimSun" w:eastAsia="SimSun" w:hAnsi="SimSun" w:hint="eastAsia"/>
          <w:sz w:val="21"/>
        </w:rPr>
        <w:lastRenderedPageBreak/>
        <w:t>权——如专利——在一国知识产权局注册从而被授予独占权的情况下，这些人士就认为这一问题尤为麻烦。但是，除了比利时和瑞士的极少数例外情况之外，有关知识产权的仲裁决定无法具有</w:t>
      </w:r>
      <w:r w:rsidRPr="00E84363">
        <w:rPr>
          <w:rFonts w:ascii="KaiTi" w:eastAsia="KaiTi" w:hAnsi="SimSun" w:hint="eastAsia"/>
          <w:i/>
          <w:sz w:val="21"/>
        </w:rPr>
        <w:t>普适</w:t>
      </w:r>
      <w:r w:rsidRPr="00C866ED">
        <w:rPr>
          <w:rFonts w:ascii="SimSun" w:eastAsia="SimSun" w:hAnsi="SimSun" w:hint="eastAsia"/>
          <w:sz w:val="21"/>
        </w:rPr>
        <w:t>效力，与世界大部分地区不符，这一点千真万确，与此同时，这不应对其当事各方之间的效力产生任何影响。</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如上所述，一项仲裁决定在知识产权有效性和范围方面的</w:t>
      </w:r>
      <w:r w:rsidRPr="00E84363">
        <w:rPr>
          <w:rFonts w:ascii="SimSun" w:eastAsia="SimSun" w:hAnsi="SimSun" w:hint="eastAsia"/>
          <w:sz w:val="21"/>
        </w:rPr>
        <w:t>当事各方之间的</w:t>
      </w:r>
      <w:r w:rsidRPr="00C866ED">
        <w:rPr>
          <w:rFonts w:ascii="SimSun" w:eastAsia="SimSun" w:hAnsi="SimSun" w:hint="eastAsia"/>
          <w:sz w:val="21"/>
        </w:rPr>
        <w:t>效力与此类决定缺乏任何</w:t>
      </w:r>
      <w:r w:rsidRPr="00E84363">
        <w:rPr>
          <w:rFonts w:ascii="KaiTi" w:eastAsia="KaiTi" w:hAnsi="SimSun" w:hint="eastAsia"/>
          <w:i/>
          <w:sz w:val="21"/>
        </w:rPr>
        <w:t>普适</w:t>
      </w:r>
      <w:r w:rsidRPr="00C866ED">
        <w:rPr>
          <w:rFonts w:ascii="SimSun" w:eastAsia="SimSun" w:hAnsi="SimSun" w:hint="eastAsia"/>
          <w:sz w:val="21"/>
        </w:rPr>
        <w:t>效力之间的区别得到了美国法律的明确认可。这种明确的规定可以被有效地纳入到其他国家法律中，如果这些国家并不打算像那少数几个国家一样认可仲裁决定的</w:t>
      </w:r>
      <w:r w:rsidRPr="00E84363">
        <w:rPr>
          <w:rFonts w:ascii="KaiTi" w:eastAsia="KaiTi" w:hAnsi="SimSun" w:hint="eastAsia"/>
          <w:i/>
          <w:sz w:val="21"/>
        </w:rPr>
        <w:t>普适</w:t>
      </w:r>
      <w:r w:rsidRPr="00C866ED">
        <w:rPr>
          <w:rFonts w:ascii="SimSun" w:eastAsia="SimSun" w:hAnsi="SimSun" w:hint="eastAsia"/>
          <w:sz w:val="21"/>
        </w:rPr>
        <w:t>效力。这样做会完全消除针对可仲裁性的所有担忧，不管其如何应用不当。</w:t>
      </w:r>
    </w:p>
    <w:p w:rsidR="00C866ED" w:rsidRDefault="00C866ED" w:rsidP="00C866ED">
      <w:pPr>
        <w:pStyle w:val="1"/>
        <w:spacing w:beforeLines="100" w:afterLines="100" w:after="240" w:line="340" w:lineRule="atLeast"/>
        <w:jc w:val="both"/>
        <w:rPr>
          <w:rFonts w:ascii="SimHei" w:eastAsia="SimHei" w:hAnsi="SimHei"/>
          <w:b w:val="0"/>
          <w:sz w:val="21"/>
        </w:rPr>
      </w:pPr>
      <w:r>
        <w:rPr>
          <w:rFonts w:ascii="SimHei" w:eastAsia="SimHei" w:hAnsi="SimHei" w:hint="eastAsia"/>
          <w:b w:val="0"/>
          <w:sz w:val="21"/>
        </w:rPr>
        <w:t>三、</w:t>
      </w:r>
      <w:r w:rsidR="00A86E9B" w:rsidRPr="00C866ED">
        <w:rPr>
          <w:rFonts w:ascii="SimHei" w:eastAsia="SimHei" w:hAnsi="SimHei" w:hint="eastAsia"/>
          <w:b w:val="0"/>
          <w:sz w:val="21"/>
        </w:rPr>
        <w:t>ADR作为知识产权执法工具的优势和局限</w:t>
      </w:r>
    </w:p>
    <w:p w:rsidR="00C866ED" w:rsidRPr="00C866ED" w:rsidRDefault="00A86E9B" w:rsidP="00DC712D">
      <w:pPr>
        <w:numPr>
          <w:ilvl w:val="0"/>
          <w:numId w:val="17"/>
        </w:numPr>
        <w:spacing w:beforeLines="100" w:before="240" w:afterLines="100" w:after="240" w:line="340" w:lineRule="atLeast"/>
        <w:ind w:left="1134" w:hanging="567"/>
        <w:jc w:val="both"/>
        <w:rPr>
          <w:rFonts w:ascii="SimSun" w:eastAsia="SimSun" w:hAnsi="SimSun"/>
          <w:sz w:val="21"/>
        </w:rPr>
      </w:pPr>
      <w:r w:rsidRPr="00C866ED">
        <w:rPr>
          <w:rFonts w:ascii="SimSun" w:eastAsia="SimSun" w:hAnsi="SimSun" w:hint="eastAsia"/>
          <w:sz w:val="21"/>
        </w:rPr>
        <w:t>导</w:t>
      </w:r>
      <w:r w:rsidR="00DC712D">
        <w:rPr>
          <w:rFonts w:ascii="SimSun" w:eastAsia="SimSun" w:hAnsi="SimSun" w:hint="eastAsia"/>
          <w:sz w:val="21"/>
        </w:rPr>
        <w:t xml:space="preserve">  </w:t>
      </w:r>
      <w:r w:rsidRPr="00C866ED">
        <w:rPr>
          <w:rFonts w:ascii="SimSun" w:eastAsia="SimSun" w:hAnsi="SimSun" w:hint="eastAsia"/>
          <w:sz w:val="21"/>
        </w:rPr>
        <w:t>言</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这一部分集中针对仲裁，因为仲裁与诉讼的对比最为明晰，在各类ADR中，也只有仲裁可进行此类对比，本文所讨论的各类ADR中，只有通过采用仲裁才能在当事各方之间就任何类型的争议达成可执行的决定。</w:t>
      </w:r>
    </w:p>
    <w:p w:rsidR="00C866ED" w:rsidRPr="00C866ED" w:rsidRDefault="00A86E9B" w:rsidP="00DC712D">
      <w:pPr>
        <w:numPr>
          <w:ilvl w:val="0"/>
          <w:numId w:val="17"/>
        </w:numPr>
        <w:spacing w:beforeLines="100" w:before="240" w:afterLines="100" w:after="240" w:line="340" w:lineRule="atLeast"/>
        <w:ind w:left="1134" w:hanging="567"/>
        <w:jc w:val="both"/>
        <w:rPr>
          <w:rFonts w:ascii="SimSun" w:eastAsia="SimSun" w:hAnsi="SimSun"/>
          <w:sz w:val="21"/>
        </w:rPr>
      </w:pPr>
      <w:r w:rsidRPr="00C866ED">
        <w:rPr>
          <w:rFonts w:ascii="SimSun" w:eastAsia="SimSun" w:hAnsi="SimSun" w:hint="eastAsia"/>
          <w:sz w:val="21"/>
        </w:rPr>
        <w:t>仲裁作为知识产权执法工具的优势和局限</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总体而言，作为解决商业纠纷的一种方法，仲裁对于诉讼的优势在于</w:t>
      </w:r>
      <w:r w:rsidRPr="00C866ED">
        <w:rPr>
          <w:rFonts w:ascii="SimSun" w:eastAsia="SimSun" w:hAnsi="SimSun" w:hint="eastAsia"/>
          <w:sz w:val="21"/>
          <w:lang w:val="en-GB"/>
        </w:rPr>
        <w:t>当事各方具有自主权、保持中立、达成最终决定、保密性、以及国际执行，这些优势都得到了很好的认可。但是吗，仲裁相对于诉讼具有的一系列优势要归功于当事各方具有自主权这一概念，这一概念是知识产权领域所独有的。</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仲裁在知识产权方面具有特别价值的一个优势在于，其能够规定各方根据争议的具体需求来调整仲裁庭的人员组成。在知识产权领域中，这就意味着利用具有相关领域知识产权法律熟练知识的专家和知识产权从业者，就专利领域而言，还意味着挑选在技术或科技方面具备适当资格的仲裁庭成员的范围。</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仲裁之于知识产权争议的另一个优势在于，其能够使得当事各方根据其具体需求来调整所采用的程序以及可能采用的补偿性质。</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知识产权争议仲裁的另一个长期</w:t>
      </w:r>
      <w:r w:rsidRPr="00E84363">
        <w:rPr>
          <w:rFonts w:ascii="SimSun" w:eastAsia="SimSun" w:hAnsi="SimSun" w:hint="eastAsia"/>
          <w:sz w:val="21"/>
          <w:lang w:val="en-GB"/>
        </w:rPr>
        <w:t>而言</w:t>
      </w:r>
      <w:r w:rsidRPr="00C866ED">
        <w:rPr>
          <w:rFonts w:ascii="SimSun" w:eastAsia="SimSun" w:hAnsi="SimSun" w:hint="eastAsia"/>
          <w:sz w:val="21"/>
        </w:rPr>
        <w:t>可能最为重要的优势在于，其能够提供一个单一程序来解决</w:t>
      </w:r>
      <w:proofErr w:type="gramStart"/>
      <w:r w:rsidRPr="00C866ED">
        <w:rPr>
          <w:rFonts w:ascii="SimSun" w:eastAsia="SimSun" w:hAnsi="SimSun" w:hint="eastAsia"/>
          <w:sz w:val="21"/>
        </w:rPr>
        <w:t>跨司法</w:t>
      </w:r>
      <w:proofErr w:type="gramEnd"/>
      <w:r w:rsidRPr="00C866ED">
        <w:rPr>
          <w:rFonts w:ascii="SimSun" w:eastAsia="SimSun" w:hAnsi="SimSun" w:hint="eastAsia"/>
          <w:sz w:val="21"/>
        </w:rPr>
        <w:t>管辖区的争议。知识产权的国家或地区特性与日益增长的贸易国际性和技术的国际性传播之间产生着结合，同时也意味着，将知识产权争议仅仅囿于一个国家渐渐变得少之甚少。其结果就是越来越多的关于同一个被诉侵权主题的知识产权争议在不同的法庭被根据日益协调一致但略微不同的适用法律来加以裁定，这些法庭在程序上也存在着极大的区别。此类争议往往同时发生，除了多个并行的程序所带来的成本倍增这一点显而易见以外，在这种情况下对</w:t>
      </w:r>
      <w:proofErr w:type="gramStart"/>
      <w:r w:rsidRPr="00C866ED">
        <w:rPr>
          <w:rFonts w:ascii="SimSun" w:eastAsia="SimSun" w:hAnsi="SimSun" w:hint="eastAsia"/>
          <w:sz w:val="21"/>
        </w:rPr>
        <w:t>跨司法</w:t>
      </w:r>
      <w:proofErr w:type="gramEnd"/>
      <w:r w:rsidRPr="00C866ED">
        <w:rPr>
          <w:rFonts w:ascii="SimSun" w:eastAsia="SimSun" w:hAnsi="SimSun" w:hint="eastAsia"/>
          <w:sz w:val="21"/>
        </w:rPr>
        <w:t>管辖区的知识产权诉讼进行有效管理的成本和难度都随着这类并行诉讼的数量的增多而呈指数型增长，因为必须要确保在一个司法辖区的诉讼中所采取的立场与在其他司法辖区所采取的立场相符。</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国家法院通常不愿意对外国知识产权的侵权提出意见，甚至更不愿意对此</w:t>
      </w:r>
      <w:proofErr w:type="gramStart"/>
      <w:r w:rsidRPr="00C866ED">
        <w:rPr>
          <w:rFonts w:ascii="SimSun" w:eastAsia="SimSun" w:hAnsi="SimSun" w:hint="eastAsia"/>
          <w:sz w:val="21"/>
        </w:rPr>
        <w:t>类权利</w:t>
      </w:r>
      <w:proofErr w:type="gramEnd"/>
      <w:r w:rsidRPr="00C866ED">
        <w:rPr>
          <w:rFonts w:ascii="SimSun" w:eastAsia="SimSun" w:hAnsi="SimSun" w:hint="eastAsia"/>
          <w:sz w:val="21"/>
        </w:rPr>
        <w:t>的有效性</w:t>
      </w:r>
      <w:proofErr w:type="gramStart"/>
      <w:r w:rsidRPr="00C866ED">
        <w:rPr>
          <w:rFonts w:ascii="SimSun" w:eastAsia="SimSun" w:hAnsi="SimSun" w:hint="eastAsia"/>
          <w:sz w:val="21"/>
        </w:rPr>
        <w:t>作出</w:t>
      </w:r>
      <w:proofErr w:type="gramEnd"/>
      <w:r w:rsidRPr="00C866ED">
        <w:rPr>
          <w:rFonts w:ascii="SimSun" w:eastAsia="SimSun" w:hAnsi="SimSun" w:hint="eastAsia"/>
          <w:sz w:val="21"/>
        </w:rPr>
        <w:t>评论。相对而言，仲裁使得当事各方通过单一程序在不同的国家来决定多项并行的知识产权的侵权情况和有效性，从而形成一项具有</w:t>
      </w:r>
      <w:r w:rsidRPr="00E84363">
        <w:rPr>
          <w:rFonts w:ascii="SimSun" w:eastAsia="SimSun" w:hAnsi="SimSun" w:hint="eastAsia"/>
          <w:sz w:val="21"/>
        </w:rPr>
        <w:t>当事各方之间</w:t>
      </w:r>
      <w:r w:rsidRPr="00C866ED">
        <w:rPr>
          <w:rFonts w:ascii="SimSun" w:eastAsia="SimSun" w:hAnsi="SimSun" w:hint="eastAsia"/>
          <w:sz w:val="21"/>
        </w:rPr>
        <w:t>效力的决定，该决定并不意在具有</w:t>
      </w:r>
      <w:r w:rsidRPr="00E84363">
        <w:rPr>
          <w:rFonts w:ascii="KaiTi" w:eastAsia="KaiTi" w:hAnsi="SimSun" w:hint="eastAsia"/>
          <w:i/>
          <w:sz w:val="21"/>
        </w:rPr>
        <w:t>普适</w:t>
      </w:r>
      <w:r w:rsidRPr="00C866ED">
        <w:rPr>
          <w:rFonts w:ascii="SimSun" w:eastAsia="SimSun" w:hAnsi="SimSun" w:hint="eastAsia"/>
          <w:sz w:val="21"/>
        </w:rPr>
        <w:t>效力。在不同司法管辖区同时产生知识产权相关仲裁的情况下，尽管每项主题都要应用不同的适用法律，如果仲裁当事各方希望，他们可以指定对其争议适用一部单一的法律。或者，当事各方可以将争议留待被诉侵权</w:t>
      </w:r>
      <w:r w:rsidRPr="00C866ED">
        <w:rPr>
          <w:rFonts w:ascii="SimSun" w:eastAsia="SimSun" w:hAnsi="SimSun" w:hint="eastAsia"/>
          <w:sz w:val="21"/>
        </w:rPr>
        <w:lastRenderedPageBreak/>
        <w:t>行为发生的各国根据不同的适用法律来作出裁决。此类程序对于任何一个国家法院来说难以实施，但实际上仲裁员确实在执行。</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但是，知识产权仲裁也有其局限性，最大的一个局限来自其须各方同意达成一致的特性，这无可避免地对程序的适当性带来了一些限制，例如关于</w:t>
      </w:r>
      <w:r w:rsidRPr="00E84363">
        <w:rPr>
          <w:rFonts w:ascii="SimSun" w:eastAsia="SimSun" w:hAnsi="SimSun" w:hint="eastAsia"/>
          <w:sz w:val="21"/>
          <w:lang w:val="en-GB"/>
        </w:rPr>
        <w:t>民事法庭</w:t>
      </w:r>
      <w:r w:rsidRPr="00C866ED">
        <w:rPr>
          <w:rFonts w:ascii="SimSun" w:eastAsia="SimSun" w:hAnsi="SimSun" w:hint="eastAsia"/>
          <w:sz w:val="21"/>
        </w:rPr>
        <w:t>、刑事法庭和</w:t>
      </w:r>
      <w:proofErr w:type="gramStart"/>
      <w:r w:rsidRPr="00C866ED">
        <w:rPr>
          <w:rFonts w:ascii="SimSun" w:eastAsia="SimSun" w:hAnsi="SimSun" w:hint="eastAsia"/>
          <w:sz w:val="21"/>
        </w:rPr>
        <w:t>边境措施</w:t>
      </w:r>
      <w:proofErr w:type="gramEnd"/>
      <w:r w:rsidRPr="00C866ED">
        <w:rPr>
          <w:rFonts w:ascii="SimSun" w:eastAsia="SimSun" w:hAnsi="SimSun" w:hint="eastAsia"/>
          <w:sz w:val="21"/>
        </w:rPr>
        <w:t>所打击的有意侵权行为。此外，根据《纽约公约》，临时决定以及不同国家对其加以不同处理所带来的不确定状态可能意味着，对于可能会涉及到要求予以临时赔偿的知识产权争议而言，诉讼比仲裁可能更为妥当。但是，这个问题并不仅限于知识产权。</w:t>
      </w:r>
    </w:p>
    <w:p w:rsidR="00C866ED" w:rsidRDefault="00C866ED" w:rsidP="00C866ED">
      <w:pPr>
        <w:pStyle w:val="1"/>
        <w:spacing w:beforeLines="100" w:afterLines="100" w:after="240" w:line="340" w:lineRule="atLeast"/>
        <w:jc w:val="both"/>
        <w:rPr>
          <w:rFonts w:ascii="SimHei" w:eastAsia="SimHei" w:hAnsi="SimHei"/>
          <w:b w:val="0"/>
          <w:sz w:val="21"/>
        </w:rPr>
      </w:pPr>
      <w:r>
        <w:rPr>
          <w:rFonts w:ascii="SimHei" w:eastAsia="SimHei" w:hAnsi="SimHei" w:hint="eastAsia"/>
          <w:b w:val="0"/>
          <w:sz w:val="21"/>
        </w:rPr>
        <w:t>四、</w:t>
      </w:r>
      <w:r w:rsidR="00A86E9B" w:rsidRPr="00C866ED">
        <w:rPr>
          <w:rFonts w:ascii="SimHei" w:eastAsia="SimHei" w:hAnsi="SimHei" w:hint="eastAsia"/>
          <w:b w:val="0"/>
          <w:sz w:val="21"/>
        </w:rPr>
        <w:t>ADR用于知识产权执法的当前情况</w:t>
      </w:r>
    </w:p>
    <w:p w:rsidR="00C866ED" w:rsidRPr="00C866ED" w:rsidRDefault="00A86E9B" w:rsidP="00DC712D">
      <w:pPr>
        <w:numPr>
          <w:ilvl w:val="0"/>
          <w:numId w:val="18"/>
        </w:numPr>
        <w:adjustRightInd w:val="0"/>
        <w:spacing w:beforeLines="100" w:before="240" w:afterLines="100" w:after="240" w:line="340" w:lineRule="atLeast"/>
        <w:ind w:left="1134" w:hanging="567"/>
        <w:jc w:val="both"/>
        <w:rPr>
          <w:rFonts w:ascii="SimSun" w:eastAsia="SimSun" w:hAnsi="SimSun"/>
          <w:sz w:val="21"/>
        </w:rPr>
      </w:pPr>
      <w:r w:rsidRPr="00C866ED">
        <w:rPr>
          <w:rFonts w:ascii="SimSun" w:eastAsia="SimSun" w:hAnsi="SimSun" w:hint="eastAsia"/>
          <w:sz w:val="21"/>
        </w:rPr>
        <w:t>合同性和(初始)非合同性争议中的侵权主张</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ADR、特别是仲裁，可用</w:t>
      </w:r>
      <w:proofErr w:type="gramStart"/>
      <w:r w:rsidRPr="00C866ED">
        <w:rPr>
          <w:rFonts w:ascii="SimSun" w:eastAsia="SimSun" w:hAnsi="SimSun" w:hint="eastAsia"/>
          <w:sz w:val="21"/>
        </w:rPr>
        <w:t>于无论</w:t>
      </w:r>
      <w:proofErr w:type="gramEnd"/>
      <w:r w:rsidRPr="00C866ED">
        <w:rPr>
          <w:rFonts w:ascii="SimSun" w:eastAsia="SimSun" w:hAnsi="SimSun" w:hint="eastAsia"/>
          <w:sz w:val="21"/>
        </w:rPr>
        <w:t>知识产权是否遭侵权的争议中。同时在合同性争议和非合同性争议中，这都会涉及到根据一部或多部适用法律或根据当事各方选用的一部或多部法律针对所涉一项或多项知识产权的保护范围进行的评估。在作为提请仲裁协议主题的非合同性争议的情况下，</w:t>
      </w:r>
      <w:proofErr w:type="gramStart"/>
      <w:r w:rsidRPr="00C866ED">
        <w:rPr>
          <w:rFonts w:ascii="SimSun" w:eastAsia="SimSun" w:hAnsi="SimSun" w:hint="eastAsia"/>
          <w:sz w:val="21"/>
        </w:rPr>
        <w:t>其尤其</w:t>
      </w:r>
      <w:proofErr w:type="gramEnd"/>
      <w:r w:rsidRPr="00C866ED">
        <w:rPr>
          <w:rFonts w:ascii="SimSun" w:eastAsia="SimSun" w:hAnsi="SimSun" w:hint="eastAsia"/>
          <w:sz w:val="21"/>
        </w:rPr>
        <w:t>还可能会扩展到当事各方之间针对所涉一项或多项知识产权的有效性问题、以及根据一部或多部相关适用法律规定的任何一个特定被告方。</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由于调解几乎总是保密的，而仲裁往往也是保密的，因此除了一般意义而言，无法从调解和仲裁中提取实例，除了在诉讼中可能需要参考到某一次仲裁之外。</w:t>
      </w:r>
    </w:p>
    <w:p w:rsidR="00C866ED" w:rsidRPr="00C866ED" w:rsidRDefault="00A86E9B" w:rsidP="00DC712D">
      <w:pPr>
        <w:numPr>
          <w:ilvl w:val="0"/>
          <w:numId w:val="18"/>
        </w:numPr>
        <w:adjustRightInd w:val="0"/>
        <w:spacing w:beforeLines="100" w:before="240" w:afterLines="100" w:after="240" w:line="340" w:lineRule="atLeast"/>
        <w:ind w:left="1134" w:hanging="567"/>
        <w:jc w:val="both"/>
        <w:rPr>
          <w:rFonts w:ascii="SimSun" w:eastAsia="SimSun" w:hAnsi="SimSun"/>
          <w:sz w:val="21"/>
        </w:rPr>
      </w:pPr>
      <w:r w:rsidRPr="00C866ED">
        <w:rPr>
          <w:rFonts w:ascii="SimSun" w:eastAsia="SimSun" w:hAnsi="SimSun" w:hint="eastAsia"/>
          <w:sz w:val="21"/>
        </w:rPr>
        <w:t>调解和其他与公共机构(法庭、知识产权局等)相关的ADR</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针对那些无正当理由拒绝参与ADR的当事人，一些法庭利用诉讼费用制裁。许多法庭和知识产权局，诸如联合王国知识产权局和欧盟内部市场协调局(OHIM)，其本身就提供调解服务。</w:t>
      </w:r>
    </w:p>
    <w:p w:rsidR="00C866ED" w:rsidRPr="00C866ED" w:rsidRDefault="00A86E9B" w:rsidP="00DC712D">
      <w:pPr>
        <w:numPr>
          <w:ilvl w:val="0"/>
          <w:numId w:val="18"/>
        </w:numPr>
        <w:adjustRightInd w:val="0"/>
        <w:spacing w:beforeLines="100" w:before="240" w:afterLines="100" w:after="240" w:line="340" w:lineRule="atLeast"/>
        <w:ind w:left="1134" w:hanging="567"/>
        <w:jc w:val="both"/>
        <w:rPr>
          <w:rFonts w:ascii="SimSun" w:eastAsia="SimSun" w:hAnsi="SimSun"/>
          <w:sz w:val="21"/>
        </w:rPr>
      </w:pPr>
      <w:r w:rsidRPr="00C866ED">
        <w:rPr>
          <w:rFonts w:ascii="SimSun" w:eastAsia="SimSun" w:hAnsi="SimSun" w:hint="eastAsia"/>
          <w:sz w:val="21"/>
        </w:rPr>
        <w:t>调解和ADR Pledge</w:t>
      </w:r>
    </w:p>
    <w:p w:rsidR="00C866ED" w:rsidRPr="00C866ED" w:rsidRDefault="00A86E9B" w:rsidP="00E84363">
      <w:pPr>
        <w:spacing w:afterLines="50" w:after="120" w:line="340" w:lineRule="atLeast"/>
        <w:jc w:val="both"/>
        <w:rPr>
          <w:rFonts w:ascii="SimSun" w:eastAsia="SimSun" w:hAnsi="SimSun"/>
          <w:sz w:val="21"/>
          <w:lang w:val="en-GB"/>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lang w:val="en-GB"/>
        </w:rPr>
        <w:t>尽管多数仲裁机构提供调解服务</w:t>
      </w:r>
      <w:r w:rsidRPr="00C866ED">
        <w:rPr>
          <w:rFonts w:ascii="SimSun" w:eastAsia="SimSun" w:hAnsi="SimSun" w:hint="eastAsia"/>
          <w:sz w:val="21"/>
        </w:rPr>
        <w:t>，</w:t>
      </w:r>
      <w:r w:rsidRPr="00C866ED">
        <w:rPr>
          <w:rFonts w:ascii="SimSun" w:eastAsia="SimSun" w:hAnsi="SimSun" w:hint="eastAsia"/>
          <w:sz w:val="21"/>
          <w:lang w:val="en-GB"/>
        </w:rPr>
        <w:t>还有众多其他机构和个人也提供此类服务。此类调解服务并不旨在专门针对知识产权争议</w:t>
      </w:r>
      <w:r w:rsidRPr="00C866ED">
        <w:rPr>
          <w:rFonts w:ascii="SimSun" w:eastAsia="SimSun" w:hAnsi="SimSun" w:hint="eastAsia"/>
          <w:sz w:val="21"/>
        </w:rPr>
        <w:t>，</w:t>
      </w:r>
      <w:r w:rsidRPr="00C866ED">
        <w:rPr>
          <w:rFonts w:ascii="SimSun" w:eastAsia="SimSun" w:hAnsi="SimSun" w:hint="eastAsia"/>
          <w:sz w:val="21"/>
          <w:lang w:val="en-GB"/>
        </w:rPr>
        <w:t>但是许多产业机构也提供专门针对知识产权争议的服务。许多主要的工业公司还签约加入了ADR Pledge体系。</w:t>
      </w:r>
    </w:p>
    <w:p w:rsidR="00C866ED" w:rsidRPr="00C866ED" w:rsidRDefault="00A86E9B" w:rsidP="00DC712D">
      <w:pPr>
        <w:numPr>
          <w:ilvl w:val="0"/>
          <w:numId w:val="18"/>
        </w:numPr>
        <w:adjustRightInd w:val="0"/>
        <w:spacing w:beforeLines="100" w:before="240" w:afterLines="100" w:after="240" w:line="340" w:lineRule="atLeast"/>
        <w:ind w:left="1134" w:hanging="567"/>
        <w:jc w:val="both"/>
        <w:rPr>
          <w:rFonts w:ascii="SimSun" w:eastAsia="SimSun" w:hAnsi="SimSun"/>
          <w:sz w:val="21"/>
        </w:rPr>
      </w:pPr>
      <w:r w:rsidRPr="00C866ED">
        <w:rPr>
          <w:rFonts w:ascii="SimSun" w:eastAsia="SimSun" w:hAnsi="SimSun" w:hint="eastAsia"/>
          <w:sz w:val="21"/>
        </w:rPr>
        <w:t>自我监管机制(包括在线执法工具)</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某些行为可能会涉及知识产权侵权，这些行为需要利用诸如域名注册机构或管理实体或电子市场的机构这样的第三方所提供的便利，针对这些行为，合同性条款就会让此类便利的用户利用ADR制度来维护此类知识产权。</w:t>
      </w:r>
    </w:p>
    <w:p w:rsidR="007E5220"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ADR可用于互联网平台相关的争议，诸如在线市场，从而有助于解决在线争议，并且可能被用于与互联网平台相关的知识产权争议中，如根据《通知和删除》(NTA)程序。</w:t>
      </w:r>
    </w:p>
    <w:p w:rsidR="007E5220" w:rsidRDefault="007E5220">
      <w:pPr>
        <w:rPr>
          <w:rFonts w:ascii="SimSun" w:eastAsia="SimSun" w:hAnsi="SimSun"/>
          <w:sz w:val="21"/>
        </w:rPr>
      </w:pPr>
      <w:r>
        <w:rPr>
          <w:rFonts w:ascii="SimSun" w:eastAsia="SimSun" w:hAnsi="SimSun"/>
          <w:sz w:val="21"/>
        </w:rPr>
        <w:br w:type="page"/>
      </w:r>
    </w:p>
    <w:p w:rsidR="00C866ED" w:rsidRPr="00C866ED" w:rsidRDefault="00A86E9B" w:rsidP="00DC712D">
      <w:pPr>
        <w:numPr>
          <w:ilvl w:val="0"/>
          <w:numId w:val="18"/>
        </w:numPr>
        <w:adjustRightInd w:val="0"/>
        <w:spacing w:beforeLines="100" w:before="240" w:afterLines="100" w:after="240" w:line="340" w:lineRule="atLeast"/>
        <w:ind w:left="1134" w:hanging="567"/>
        <w:jc w:val="both"/>
        <w:rPr>
          <w:rFonts w:ascii="SimSun" w:eastAsia="SimSun" w:hAnsi="SimSun"/>
          <w:sz w:val="21"/>
        </w:rPr>
      </w:pPr>
      <w:r w:rsidRPr="00C866ED">
        <w:rPr>
          <w:rFonts w:ascii="SimSun" w:eastAsia="SimSun" w:hAnsi="SimSun" w:hint="eastAsia"/>
          <w:sz w:val="21"/>
        </w:rPr>
        <w:lastRenderedPageBreak/>
        <w:t>其</w:t>
      </w:r>
      <w:r w:rsidR="007E5220">
        <w:rPr>
          <w:rFonts w:ascii="SimSun" w:eastAsia="SimSun" w:hAnsi="SimSun" w:hint="eastAsia"/>
          <w:sz w:val="21"/>
        </w:rPr>
        <w:t xml:space="preserve">  </w:t>
      </w:r>
      <w:r w:rsidRPr="00C866ED">
        <w:rPr>
          <w:rFonts w:ascii="SimSun" w:eastAsia="SimSun" w:hAnsi="SimSun" w:hint="eastAsia"/>
          <w:sz w:val="21"/>
        </w:rPr>
        <w:t>他</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ADR用于知识产权执法方面还有众多的其他实例(诸如商品交易会的自我监管、商号的监管等)。另一个发展迅速的领域就是将</w:t>
      </w:r>
      <w:r w:rsidR="00E84363">
        <w:rPr>
          <w:rFonts w:ascii="SimSun" w:eastAsia="SimSun" w:hAnsi="SimSun" w:hint="eastAsia"/>
          <w:sz w:val="21"/>
        </w:rPr>
        <w:t>专家鉴定</w:t>
      </w:r>
      <w:r w:rsidRPr="00C866ED">
        <w:rPr>
          <w:rFonts w:ascii="SimSun" w:eastAsia="SimSun" w:hAnsi="SimSun" w:hint="eastAsia"/>
          <w:sz w:val="21"/>
        </w:rPr>
        <w:t>和仲裁用于解决标准制定组织和标准涉及的核心专利情况下产生的争议。</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00E84363">
        <w:rPr>
          <w:rFonts w:ascii="SimSun" w:eastAsia="SimSun" w:hAnsi="SimSun" w:hint="eastAsia"/>
          <w:sz w:val="21"/>
        </w:rPr>
        <w:t>专家鉴定</w:t>
      </w:r>
      <w:r w:rsidRPr="00C866ED">
        <w:rPr>
          <w:rFonts w:ascii="SimSun" w:eastAsia="SimSun" w:hAnsi="SimSun" w:hint="eastAsia"/>
          <w:sz w:val="21"/>
        </w:rPr>
        <w:t>可用于标准专利的专利池情况，其被用于提供一种机制来判定专利</w:t>
      </w:r>
      <w:proofErr w:type="gramStart"/>
      <w:r w:rsidRPr="00C866ED">
        <w:rPr>
          <w:rFonts w:ascii="SimSun" w:eastAsia="SimSun" w:hAnsi="SimSun" w:hint="eastAsia"/>
          <w:sz w:val="21"/>
        </w:rPr>
        <w:t>池成员</w:t>
      </w:r>
      <w:proofErr w:type="gramEnd"/>
      <w:r w:rsidRPr="00C866ED">
        <w:rPr>
          <w:rFonts w:ascii="SimSun" w:eastAsia="SimSun" w:hAnsi="SimSun" w:hint="eastAsia"/>
          <w:sz w:val="21"/>
        </w:rPr>
        <w:t>向专利池提供的专利是否对于相关标准是必不可少的。</w:t>
      </w:r>
    </w:p>
    <w:p w:rsidR="00C866ED" w:rsidRPr="00C866ED" w:rsidRDefault="00A86E9B" w:rsidP="00E84363">
      <w:pPr>
        <w:spacing w:afterLines="50" w:after="120" w:line="340" w:lineRule="atLeast"/>
        <w:jc w:val="both"/>
        <w:rPr>
          <w:rFonts w:ascii="SimSun" w:eastAsia="SimSun" w:hAnsi="SimSun"/>
          <w:sz w:val="21"/>
        </w:rPr>
      </w:pPr>
      <w:r w:rsidRPr="00C866ED">
        <w:rPr>
          <w:rFonts w:ascii="SimSun" w:eastAsia="SimSun" w:hAnsi="SimSun"/>
          <w:sz w:val="21"/>
        </w:rPr>
        <w:fldChar w:fldCharType="begin"/>
      </w:r>
      <w:r w:rsidRPr="00C866ED">
        <w:rPr>
          <w:rFonts w:ascii="SimSun" w:eastAsia="SimSun" w:hAnsi="SimSun"/>
          <w:sz w:val="21"/>
        </w:rPr>
        <w:instrText xml:space="preserve"> AUTONUM  </w:instrText>
      </w:r>
      <w:r w:rsidRPr="00C866ED">
        <w:rPr>
          <w:rFonts w:ascii="SimSun" w:eastAsia="SimSun" w:hAnsi="SimSun"/>
          <w:sz w:val="21"/>
        </w:rPr>
        <w:fldChar w:fldCharType="end"/>
      </w:r>
      <w:r w:rsidR="00E84363">
        <w:rPr>
          <w:rFonts w:ascii="SimSun" w:eastAsia="SimSun" w:hAnsi="SimSun"/>
          <w:sz w:val="21"/>
        </w:rPr>
        <w:t>.</w:t>
      </w:r>
      <w:r w:rsidR="00E84363">
        <w:rPr>
          <w:rFonts w:ascii="SimSun" w:eastAsia="SimSun" w:hAnsi="SimSun"/>
          <w:sz w:val="21"/>
        </w:rPr>
        <w:tab/>
      </w:r>
      <w:r w:rsidRPr="00C866ED">
        <w:rPr>
          <w:rFonts w:ascii="SimSun" w:eastAsia="SimSun" w:hAnsi="SimSun" w:hint="eastAsia"/>
          <w:sz w:val="21"/>
        </w:rPr>
        <w:t>仲裁还可用于信息通信技术(ICT)领域，目前正越来越多地被建议用作为一种解决判定标准涉及的核心专利“[公平、]合理和非歧视性(</w:t>
      </w:r>
      <w:r w:rsidRPr="00C866ED">
        <w:rPr>
          <w:rFonts w:ascii="SimSun" w:eastAsia="SimSun" w:hAnsi="SimSun"/>
          <w:sz w:val="21"/>
        </w:rPr>
        <w:t>[F]RAND</w:t>
      </w:r>
      <w:r w:rsidRPr="00C866ED">
        <w:rPr>
          <w:rFonts w:ascii="SimSun" w:eastAsia="SimSun" w:hAnsi="SimSun" w:hint="eastAsia"/>
          <w:sz w:val="21"/>
        </w:rPr>
        <w:t>)”使用费的争议解决方法。</w:t>
      </w:r>
    </w:p>
    <w:p w:rsidR="00C866ED" w:rsidRPr="00C866ED" w:rsidRDefault="00C866ED">
      <w:pPr>
        <w:rPr>
          <w:rFonts w:ascii="SimSun" w:eastAsia="SimSun" w:hAnsi="SimSun"/>
          <w:sz w:val="21"/>
        </w:rPr>
      </w:pPr>
    </w:p>
    <w:p w:rsidR="00DC712D" w:rsidRDefault="00DC712D" w:rsidP="00E84363">
      <w:pPr>
        <w:pStyle w:val="Endofdocument-Annex"/>
        <w:spacing w:afterLines="50" w:after="120" w:line="340" w:lineRule="atLeast"/>
        <w:rPr>
          <w:rFonts w:ascii="KaiTi" w:eastAsia="KaiTi" w:hAnsi="KaiTi" w:hint="eastAsia"/>
          <w:sz w:val="21"/>
        </w:rPr>
      </w:pPr>
    </w:p>
    <w:p w:rsidR="009B0FBC" w:rsidRPr="00E84363" w:rsidRDefault="00A86E9B" w:rsidP="00E84363">
      <w:pPr>
        <w:pStyle w:val="Endofdocument-Annex"/>
        <w:spacing w:afterLines="50" w:after="120" w:line="340" w:lineRule="atLeast"/>
        <w:rPr>
          <w:rFonts w:ascii="KaiTi" w:eastAsia="KaiTi" w:hAnsi="KaiTi"/>
          <w:sz w:val="21"/>
        </w:rPr>
      </w:pPr>
      <w:r w:rsidRPr="00E84363">
        <w:rPr>
          <w:rFonts w:ascii="KaiTi" w:eastAsia="KaiTi" w:hAnsi="KaiTi"/>
          <w:sz w:val="21"/>
        </w:rPr>
        <w:t>[</w:t>
      </w:r>
      <w:r w:rsidRPr="00E84363">
        <w:rPr>
          <w:rFonts w:ascii="KaiTi" w:eastAsia="KaiTi" w:hAnsi="KaiTi" w:hint="eastAsia"/>
          <w:sz w:val="21"/>
        </w:rPr>
        <w:t>文件完</w:t>
      </w:r>
      <w:r w:rsidRPr="00E84363">
        <w:rPr>
          <w:rFonts w:ascii="KaiTi" w:eastAsia="KaiTi" w:hAnsi="KaiTi"/>
          <w:sz w:val="21"/>
        </w:rPr>
        <w:t>]</w:t>
      </w:r>
    </w:p>
    <w:sectPr w:rsidR="009B0FBC" w:rsidRPr="00E8436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BC" w:rsidRDefault="00A86E9B">
      <w:r>
        <w:separator/>
      </w:r>
    </w:p>
  </w:endnote>
  <w:endnote w:type="continuationSeparator" w:id="0">
    <w:p w:rsidR="009B0FBC" w:rsidRDefault="00A86E9B">
      <w:r>
        <w:separator/>
      </w:r>
    </w:p>
    <w:p w:rsidR="009B0FBC" w:rsidRDefault="00A86E9B">
      <w:pPr>
        <w:spacing w:after="60"/>
        <w:rPr>
          <w:sz w:val="17"/>
        </w:rPr>
      </w:pPr>
      <w:r>
        <w:rPr>
          <w:sz w:val="17"/>
        </w:rPr>
        <w:t>[Endnote continued from previous page]</w:t>
      </w:r>
    </w:p>
  </w:endnote>
  <w:endnote w:type="continuationNotice" w:id="1">
    <w:p w:rsidR="009B0FBC" w:rsidRDefault="00A86E9B">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BC" w:rsidRDefault="00A86E9B">
      <w:r>
        <w:separator/>
      </w:r>
    </w:p>
  </w:footnote>
  <w:footnote w:type="continuationSeparator" w:id="0">
    <w:p w:rsidR="009B0FBC" w:rsidRDefault="00A86E9B">
      <w:r>
        <w:separator/>
      </w:r>
    </w:p>
    <w:p w:rsidR="009B0FBC" w:rsidRDefault="00A86E9B">
      <w:pPr>
        <w:spacing w:after="60"/>
        <w:rPr>
          <w:sz w:val="17"/>
          <w:szCs w:val="17"/>
        </w:rPr>
      </w:pPr>
      <w:r>
        <w:rPr>
          <w:sz w:val="17"/>
          <w:szCs w:val="17"/>
        </w:rPr>
        <w:t>[Footnote continued from previous page]</w:t>
      </w:r>
    </w:p>
  </w:footnote>
  <w:footnote w:type="continuationNotice" w:id="1">
    <w:p w:rsidR="009B0FBC" w:rsidRDefault="00A86E9B">
      <w:pPr>
        <w:spacing w:before="60"/>
        <w:jc w:val="right"/>
        <w:rPr>
          <w:sz w:val="17"/>
          <w:szCs w:val="17"/>
        </w:rPr>
      </w:pPr>
      <w:r>
        <w:rPr>
          <w:sz w:val="17"/>
          <w:szCs w:val="17"/>
        </w:rPr>
        <w:t>[Footnote continued on next page]</w:t>
      </w:r>
    </w:p>
  </w:footnote>
  <w:footnote w:id="2">
    <w:p w:rsidR="009B0FBC" w:rsidRPr="00E84363" w:rsidRDefault="00A86E9B" w:rsidP="00DC712D">
      <w:pPr>
        <w:pStyle w:val="a9"/>
        <w:adjustRightInd w:val="0"/>
        <w:spacing w:afterLines="30" w:after="72" w:line="320" w:lineRule="atLeast"/>
        <w:jc w:val="both"/>
        <w:rPr>
          <w:rFonts w:ascii="SimSun" w:eastAsia="SimSun" w:hAnsi="SimSun"/>
        </w:rPr>
      </w:pPr>
      <w:r w:rsidRPr="00E84363">
        <w:rPr>
          <w:rStyle w:val="ae"/>
          <w:rFonts w:ascii="SimSun" w:eastAsia="SimSun" w:hAnsi="SimSun" w:cs="Arial"/>
          <w:szCs w:val="18"/>
        </w:rPr>
        <w:sym w:font="Symbol" w:char="F02A"/>
      </w:r>
      <w:r w:rsidRPr="00E84363">
        <w:rPr>
          <w:rFonts w:ascii="SimSun" w:eastAsia="SimSun" w:hAnsi="SimSun"/>
        </w:rPr>
        <w:t xml:space="preserve"> </w:t>
      </w:r>
      <w:r w:rsidRPr="00E84363">
        <w:rPr>
          <w:rFonts w:ascii="SimSun" w:eastAsia="SimSun" w:hAnsi="SimSun"/>
        </w:rPr>
        <w:tab/>
      </w:r>
      <w:r w:rsidRPr="00E84363">
        <w:rPr>
          <w:rFonts w:ascii="SimSun" w:eastAsia="SimSun" w:hAnsi="SimSun" w:hint="eastAsia"/>
        </w:rPr>
        <w:t>本文为《替代性争议解决方案(ADR)作为知识产权(IP)执法工具》</w:t>
      </w:r>
      <w:r w:rsidRPr="00E84363">
        <w:rPr>
          <w:rFonts w:ascii="SimSun" w:eastAsia="SimSun" w:hAnsi="SimSun"/>
        </w:rPr>
        <w:t>(WIPO/ACE/9/3)</w:t>
      </w:r>
      <w:r w:rsidRPr="00E84363">
        <w:rPr>
          <w:rFonts w:ascii="SimSun" w:eastAsia="SimSun" w:hAnsi="SimSun" w:hint="eastAsia"/>
        </w:rPr>
        <w:t>的</w:t>
      </w:r>
      <w:r w:rsidR="00E84363">
        <w:rPr>
          <w:rFonts w:ascii="SimSun" w:eastAsia="SimSun" w:hAnsi="SimSun" w:hint="eastAsia"/>
        </w:rPr>
        <w:t>内容提</w:t>
      </w:r>
      <w:r w:rsidRPr="00E84363">
        <w:rPr>
          <w:rFonts w:ascii="SimSun" w:eastAsia="SimSun" w:hAnsi="SimSun" w:hint="eastAsia"/>
        </w:rPr>
        <w:t>要。</w:t>
      </w:r>
    </w:p>
  </w:footnote>
  <w:footnote w:id="3">
    <w:p w:rsidR="009B0FBC" w:rsidRDefault="00A86E9B" w:rsidP="00DC712D">
      <w:pPr>
        <w:pStyle w:val="a9"/>
        <w:adjustRightInd w:val="0"/>
        <w:spacing w:afterLines="30" w:after="72" w:line="320" w:lineRule="atLeast"/>
        <w:jc w:val="both"/>
        <w:rPr>
          <w:rFonts w:eastAsia="SimSun"/>
        </w:rPr>
      </w:pPr>
      <w:r w:rsidRPr="00E84363">
        <w:rPr>
          <w:rStyle w:val="ae"/>
          <w:rFonts w:ascii="SimSun" w:eastAsia="SimSun" w:hAnsi="SimSun" w:cs="Arial"/>
          <w:szCs w:val="18"/>
        </w:rPr>
        <w:sym w:font="Symbol" w:char="F02A"/>
      </w:r>
      <w:r w:rsidRPr="00E84363">
        <w:rPr>
          <w:rStyle w:val="ae"/>
          <w:rFonts w:ascii="SimSun" w:eastAsia="SimSun" w:hAnsi="SimSun" w:cs="Arial"/>
          <w:szCs w:val="18"/>
        </w:rPr>
        <w:sym w:font="Symbol" w:char="F02A"/>
      </w:r>
      <w:r w:rsidRPr="00E84363">
        <w:rPr>
          <w:rFonts w:ascii="SimSun" w:eastAsia="SimSun" w:hAnsi="SimSun"/>
        </w:rPr>
        <w:t xml:space="preserve"> </w:t>
      </w:r>
      <w:r w:rsidRPr="00E84363">
        <w:rPr>
          <w:rFonts w:ascii="SimSun" w:eastAsia="SimSun" w:hAnsi="SimSun"/>
        </w:rPr>
        <w:tab/>
      </w:r>
      <w:r w:rsidRPr="00E84363">
        <w:rPr>
          <w:rFonts w:ascii="SimSun" w:eastAsia="SimSun" w:hAnsi="SimSun" w:hint="eastAsia"/>
        </w:rPr>
        <w:t>著有《专利用户指南》</w:t>
      </w:r>
      <w:r w:rsidRPr="00E84363">
        <w:rPr>
          <w:rFonts w:ascii="SimSun" w:eastAsia="SimSun" w:hAnsi="SimSun"/>
        </w:rPr>
        <w:t>(Bloomsbury 2011</w:t>
      </w:r>
      <w:r w:rsidRPr="00E84363">
        <w:rPr>
          <w:rFonts w:ascii="SimSun" w:eastAsia="SimSun" w:hAnsi="SimSun" w:hint="eastAsia"/>
        </w:rPr>
        <w:t>年第三版</w:t>
      </w:r>
      <w:r w:rsidRPr="00E84363">
        <w:rPr>
          <w:rFonts w:ascii="SimSun" w:eastAsia="SimSun" w:hAnsi="SimSun"/>
        </w:rPr>
        <w:t>)</w:t>
      </w:r>
      <w:r w:rsidRPr="00E84363">
        <w:rPr>
          <w:rFonts w:ascii="SimSun" w:eastAsia="SimSun" w:hAnsi="SimSun" w:hint="eastAsia"/>
        </w:rPr>
        <w:t>、《欧盟知识产权法》</w:t>
      </w:r>
      <w:r w:rsidRPr="00E84363">
        <w:rPr>
          <w:rFonts w:ascii="SimSun" w:eastAsia="SimSun" w:hAnsi="SimSun"/>
        </w:rPr>
        <w:t>(</w:t>
      </w:r>
      <w:r w:rsidRPr="00E84363">
        <w:rPr>
          <w:rFonts w:ascii="SimSun" w:eastAsia="SimSun" w:hAnsi="SimSun" w:hint="eastAsia"/>
        </w:rPr>
        <w:t>牛津大学出版社</w:t>
      </w:r>
      <w:r w:rsidRPr="00E84363">
        <w:rPr>
          <w:rFonts w:ascii="SimSun" w:eastAsia="SimSun" w:hAnsi="SimSun"/>
        </w:rPr>
        <w:t>2010</w:t>
      </w:r>
      <w:r w:rsidRPr="00E84363">
        <w:rPr>
          <w:rFonts w:ascii="SimSun" w:eastAsia="SimSun" w:hAnsi="SimSun" w:hint="eastAsia"/>
        </w:rPr>
        <w:t>年版</w:t>
      </w:r>
      <w:r w:rsidRPr="00E84363">
        <w:rPr>
          <w:rFonts w:ascii="SimSun" w:eastAsia="SimSun" w:hAnsi="SimSun"/>
        </w:rPr>
        <w:t>)</w:t>
      </w:r>
      <w:r w:rsidRPr="00E84363">
        <w:rPr>
          <w:rFonts w:ascii="SimSun" w:eastAsia="SimSun" w:hAnsi="SimSun" w:hint="eastAsia"/>
        </w:rPr>
        <w:t>、《制药生物技术与法律》</w:t>
      </w:r>
      <w:r w:rsidRPr="00E84363">
        <w:rPr>
          <w:rFonts w:ascii="SimSun" w:eastAsia="SimSun" w:hAnsi="SimSun"/>
        </w:rPr>
        <w:t>(2009</w:t>
      </w:r>
      <w:r w:rsidRPr="00E84363">
        <w:rPr>
          <w:rFonts w:ascii="SimSun" w:eastAsia="SimSun" w:hAnsi="SimSun" w:hint="eastAsia"/>
        </w:rPr>
        <w:t>年第二版</w:t>
      </w:r>
      <w:r w:rsidR="00E84363">
        <w:rPr>
          <w:rFonts w:ascii="SimSun" w:eastAsia="SimSun" w:hAnsi="SimSun" w:hint="eastAsia"/>
        </w:rPr>
        <w:t>，</w:t>
      </w:r>
      <w:r w:rsidRPr="00E84363">
        <w:rPr>
          <w:rFonts w:ascii="SimSun" w:eastAsia="SimSun" w:hAnsi="SimSun"/>
        </w:rPr>
        <w:t>LexisNexis)</w:t>
      </w:r>
      <w:r w:rsidRPr="00E84363">
        <w:rPr>
          <w:rFonts w:ascii="SimSun" w:eastAsia="SimSun" w:hAnsi="SimSun" w:hint="eastAsia"/>
        </w:rPr>
        <w:t>以及《知识产权仲裁》</w:t>
      </w:r>
      <w:r w:rsidRPr="00E84363">
        <w:rPr>
          <w:rFonts w:ascii="SimSun" w:eastAsia="SimSun" w:hAnsi="SimSun"/>
        </w:rPr>
        <w:t>(</w:t>
      </w:r>
      <w:proofErr w:type="spellStart"/>
      <w:r w:rsidRPr="00E84363">
        <w:rPr>
          <w:rFonts w:ascii="SimSun" w:eastAsia="SimSun" w:hAnsi="SimSun"/>
        </w:rPr>
        <w:t>Wolters</w:t>
      </w:r>
      <w:proofErr w:type="spellEnd"/>
      <w:r w:rsidRPr="00E84363">
        <w:rPr>
          <w:rFonts w:ascii="SimSun" w:eastAsia="SimSun" w:hAnsi="SimSun"/>
        </w:rPr>
        <w:t xml:space="preserve"> Kluwer 2010</w:t>
      </w:r>
      <w:r w:rsidRPr="00E84363">
        <w:rPr>
          <w:rFonts w:ascii="SimSun" w:eastAsia="SimSun" w:hAnsi="SimSun" w:hint="eastAsia"/>
        </w:rPr>
        <w:t>年</w:t>
      </w:r>
      <w:r w:rsidRPr="00E84363">
        <w:rPr>
          <w:rFonts w:ascii="SimSun" w:eastAsia="SimSun" w:hAnsi="SimSun"/>
        </w:rPr>
        <w:t>)(</w:t>
      </w:r>
      <w:r w:rsidRPr="00E84363">
        <w:rPr>
          <w:rFonts w:ascii="SimSun" w:eastAsia="SimSun" w:hAnsi="SimSun" w:hint="eastAsia"/>
        </w:rPr>
        <w:t>与</w:t>
      </w:r>
      <w:r w:rsidRPr="00E84363">
        <w:rPr>
          <w:rFonts w:ascii="SimSun" w:eastAsia="SimSun" w:hAnsi="SimSun"/>
        </w:rPr>
        <w:t>Alejandro Garcia</w:t>
      </w:r>
      <w:r w:rsidRPr="00E84363">
        <w:rPr>
          <w:rFonts w:ascii="SimSun" w:eastAsia="SimSun" w:hAnsi="SimSun" w:hint="eastAsia"/>
        </w:rPr>
        <w:t>合著</w:t>
      </w:r>
      <w:r w:rsidRPr="00E84363">
        <w:rPr>
          <w:rFonts w:ascii="SimSun" w:eastAsia="SimSun" w:hAnsi="SimSun"/>
        </w:rPr>
        <w:t>)</w:t>
      </w:r>
      <w:r w:rsidRPr="00E84363">
        <w:rPr>
          <w:rFonts w:ascii="SimSun" w:eastAsia="SimSun" w:hAnsi="SimSun" w:hint="eastAsia"/>
        </w:rPr>
        <w:t>。本文所表达的观点仅代表作者观点，并不代表秘书处或WIPO任何成员国的观点。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BC" w:rsidRPr="00C866ED" w:rsidRDefault="00A86E9B">
    <w:pPr>
      <w:pStyle w:val="aa"/>
      <w:jc w:val="right"/>
      <w:rPr>
        <w:rFonts w:ascii="SimSun" w:eastAsia="SimSun" w:hAnsi="SimSun"/>
        <w:sz w:val="21"/>
        <w:lang w:val="fr-FR"/>
      </w:rPr>
    </w:pPr>
    <w:r w:rsidRPr="00C866ED">
      <w:rPr>
        <w:rFonts w:ascii="SimSun" w:eastAsia="SimSun" w:hAnsi="SimSun"/>
        <w:sz w:val="21"/>
        <w:lang w:val="fr-FR"/>
      </w:rPr>
      <w:t>WIPO/ACE/9/3</w:t>
    </w:r>
  </w:p>
  <w:p w:rsidR="009B0FBC" w:rsidRPr="00C866ED" w:rsidRDefault="00A86E9B">
    <w:pPr>
      <w:pStyle w:val="aa"/>
      <w:jc w:val="right"/>
      <w:rPr>
        <w:rFonts w:ascii="SimSun" w:eastAsia="SimSun" w:hAnsi="SimSun"/>
        <w:sz w:val="21"/>
        <w:lang w:val="fr-FR"/>
      </w:rPr>
    </w:pPr>
    <w:r w:rsidRPr="00C866ED">
      <w:rPr>
        <w:rFonts w:ascii="SimSun" w:eastAsia="SimSun" w:hAnsi="SimSun" w:hint="eastAsia"/>
        <w:sz w:val="21"/>
        <w:lang w:val="fr-FR"/>
      </w:rPr>
      <w:t>第</w:t>
    </w:r>
    <w:r w:rsidRPr="00C866ED">
      <w:rPr>
        <w:rFonts w:ascii="SimSun" w:eastAsia="SimSun" w:hAnsi="SimSun"/>
        <w:sz w:val="21"/>
      </w:rPr>
      <w:fldChar w:fldCharType="begin"/>
    </w:r>
    <w:r w:rsidRPr="00C866ED">
      <w:rPr>
        <w:rFonts w:ascii="SimSun" w:eastAsia="SimSun" w:hAnsi="SimSun"/>
        <w:sz w:val="21"/>
        <w:lang w:val="fr-FR"/>
      </w:rPr>
      <w:instrText xml:space="preserve"> PAGE   \* MERGEFORMAT </w:instrText>
    </w:r>
    <w:r w:rsidRPr="00C866ED">
      <w:rPr>
        <w:rFonts w:ascii="SimSun" w:eastAsia="SimSun" w:hAnsi="SimSun"/>
        <w:sz w:val="21"/>
      </w:rPr>
      <w:fldChar w:fldCharType="separate"/>
    </w:r>
    <w:r w:rsidR="001C4BFF">
      <w:rPr>
        <w:rFonts w:ascii="SimSun" w:eastAsia="SimSun" w:hAnsi="SimSun"/>
        <w:noProof/>
        <w:sz w:val="21"/>
        <w:lang w:val="fr-FR"/>
      </w:rPr>
      <w:t>7</w:t>
    </w:r>
    <w:r w:rsidRPr="00C866ED">
      <w:rPr>
        <w:rFonts w:ascii="SimSun" w:eastAsia="SimSun" w:hAnsi="SimSun"/>
        <w:sz w:val="21"/>
      </w:rPr>
      <w:fldChar w:fldCharType="end"/>
    </w:r>
    <w:r w:rsidRPr="00C866ED">
      <w:rPr>
        <w:rFonts w:ascii="SimSun" w:eastAsia="SimSun" w:hAnsi="SimSun" w:hint="eastAsia"/>
        <w:sz w:val="21"/>
      </w:rPr>
      <w:t>页</w:t>
    </w:r>
  </w:p>
  <w:p w:rsidR="009B0FBC" w:rsidRPr="00C866ED" w:rsidRDefault="009B0FBC">
    <w:pPr>
      <w:jc w:val="right"/>
      <w:rPr>
        <w:rFonts w:ascii="SimSun" w:eastAsia="SimSun" w:hAnsi="SimSun"/>
        <w:sz w:val="21"/>
        <w:lang w:val="fr-FR"/>
      </w:rPr>
    </w:pPr>
  </w:p>
  <w:p w:rsidR="009B0FBC" w:rsidRPr="00C866ED" w:rsidRDefault="009B0FBC">
    <w:pPr>
      <w:jc w:val="right"/>
      <w:rPr>
        <w:rFonts w:ascii="SimSun" w:eastAsia="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180348E"/>
    <w:multiLevelType w:val="hybridMultilevel"/>
    <w:tmpl w:val="4E1049E6"/>
    <w:lvl w:ilvl="0" w:tplc="04090017">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055B147D"/>
    <w:multiLevelType w:val="hybridMultilevel"/>
    <w:tmpl w:val="4296D4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A7523DA"/>
    <w:multiLevelType w:val="hybridMultilevel"/>
    <w:tmpl w:val="E6B405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2A3FAA"/>
    <w:multiLevelType w:val="hybridMultilevel"/>
    <w:tmpl w:val="4E1049E6"/>
    <w:lvl w:ilvl="0" w:tplc="04090017">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20564AAE"/>
    <w:multiLevelType w:val="hybridMultilevel"/>
    <w:tmpl w:val="7180B6CA"/>
    <w:lvl w:ilvl="0" w:tplc="8772A708">
      <w:start w:val="1"/>
      <w:numFmt w:val="lowerLetter"/>
      <w:lvlText w:val="%1)"/>
      <w:lvlJc w:val="left"/>
      <w:pPr>
        <w:ind w:left="720" w:hanging="360"/>
      </w:pPr>
      <w:rPr>
        <w:rFonts w:ascii="SimSun" w:eastAsia="SimSun"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B0592A"/>
    <w:multiLevelType w:val="hybridMultilevel"/>
    <w:tmpl w:val="CE40F6F2"/>
    <w:lvl w:ilvl="0" w:tplc="8B22299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B24782"/>
    <w:multiLevelType w:val="hybridMultilevel"/>
    <w:tmpl w:val="5582E44E"/>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7D7CFE"/>
    <w:multiLevelType w:val="hybridMultilevel"/>
    <w:tmpl w:val="4E1049E6"/>
    <w:lvl w:ilvl="0" w:tplc="04090017">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2FF21F43"/>
    <w:multiLevelType w:val="hybridMultilevel"/>
    <w:tmpl w:val="5254F860"/>
    <w:lvl w:ilvl="0" w:tplc="1F0C7F18">
      <w:start w:val="1"/>
      <w:numFmt w:val="low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734D0F"/>
    <w:multiLevelType w:val="hybridMultilevel"/>
    <w:tmpl w:val="40FA3CE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6703F"/>
    <w:multiLevelType w:val="hybridMultilevel"/>
    <w:tmpl w:val="7CC06A12"/>
    <w:lvl w:ilvl="0" w:tplc="8B22299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9A48A6"/>
    <w:multiLevelType w:val="hybridMultilevel"/>
    <w:tmpl w:val="A66CE7D4"/>
    <w:lvl w:ilvl="0" w:tplc="8B22299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3096119"/>
    <w:multiLevelType w:val="hybridMultilevel"/>
    <w:tmpl w:val="D0108644"/>
    <w:lvl w:ilvl="0" w:tplc="0712A934">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1F4273"/>
    <w:multiLevelType w:val="hybridMultilevel"/>
    <w:tmpl w:val="A7D8ADA8"/>
    <w:lvl w:ilvl="0" w:tplc="D658A6A6">
      <w:start w:val="3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465FD"/>
    <w:multiLevelType w:val="hybridMultilevel"/>
    <w:tmpl w:val="9A7609D4"/>
    <w:lvl w:ilvl="0" w:tplc="C7524BB4">
      <w:start w:val="1"/>
      <w:numFmt w:val="low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285EE4"/>
    <w:multiLevelType w:val="hybridMultilevel"/>
    <w:tmpl w:val="192CFF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9B1549"/>
    <w:multiLevelType w:val="hybridMultilevel"/>
    <w:tmpl w:val="231439CC"/>
    <w:lvl w:ilvl="0" w:tplc="06B47B00">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584EE2"/>
    <w:multiLevelType w:val="hybridMultilevel"/>
    <w:tmpl w:val="6C044798"/>
    <w:lvl w:ilvl="0" w:tplc="E3BC4968">
      <w:start w:val="1"/>
      <w:numFmt w:val="low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00A1B9E"/>
    <w:multiLevelType w:val="hybridMultilevel"/>
    <w:tmpl w:val="8CF4FBC2"/>
    <w:lvl w:ilvl="0" w:tplc="75DAD02A">
      <w:start w:val="1"/>
      <w:numFmt w:val="low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3806671"/>
    <w:multiLevelType w:val="hybridMultilevel"/>
    <w:tmpl w:val="E564E628"/>
    <w:lvl w:ilvl="0" w:tplc="05DAFF6E">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04F64E8"/>
    <w:multiLevelType w:val="hybridMultilevel"/>
    <w:tmpl w:val="5628D7A8"/>
    <w:lvl w:ilvl="0" w:tplc="D2B02C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F861726"/>
    <w:multiLevelType w:val="hybridMultilevel"/>
    <w:tmpl w:val="A672E498"/>
    <w:lvl w:ilvl="0" w:tplc="8B22299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7"/>
  </w:num>
  <w:num w:numId="4">
    <w:abstractNumId w:val="0"/>
  </w:num>
  <w:num w:numId="5">
    <w:abstractNumId w:val="21"/>
  </w:num>
  <w:num w:numId="6">
    <w:abstractNumId w:val="3"/>
  </w:num>
  <w:num w:numId="7">
    <w:abstractNumId w:val="7"/>
  </w:num>
  <w:num w:numId="8">
    <w:abstractNumId w:val="13"/>
  </w:num>
  <w:num w:numId="9">
    <w:abstractNumId w:val="8"/>
  </w:num>
  <w:num w:numId="10">
    <w:abstractNumId w:val="11"/>
  </w:num>
  <w:num w:numId="11">
    <w:abstractNumId w:val="5"/>
  </w:num>
  <w:num w:numId="12">
    <w:abstractNumId w:val="10"/>
  </w:num>
  <w:num w:numId="13">
    <w:abstractNumId w:val="14"/>
  </w:num>
  <w:num w:numId="14">
    <w:abstractNumId w:val="15"/>
  </w:num>
  <w:num w:numId="15">
    <w:abstractNumId w:val="27"/>
  </w:num>
  <w:num w:numId="16">
    <w:abstractNumId w:val="9"/>
  </w:num>
  <w:num w:numId="17">
    <w:abstractNumId w:val="1"/>
  </w:num>
  <w:num w:numId="18">
    <w:abstractNumId w:val="6"/>
  </w:num>
  <w:num w:numId="19">
    <w:abstractNumId w:val="22"/>
  </w:num>
  <w:num w:numId="20">
    <w:abstractNumId w:val="26"/>
  </w:num>
  <w:num w:numId="21">
    <w:abstractNumId w:val="16"/>
  </w:num>
  <w:num w:numId="22">
    <w:abstractNumId w:val="2"/>
  </w:num>
  <w:num w:numId="23">
    <w:abstractNumId w:val="18"/>
  </w:num>
  <w:num w:numId="24">
    <w:abstractNumId w:val="25"/>
  </w:num>
  <w:num w:numId="25">
    <w:abstractNumId w:val="19"/>
  </w:num>
  <w:num w:numId="26">
    <w:abstractNumId w:val="12"/>
  </w:num>
  <w:num w:numId="27">
    <w:abstractNumId w:val="23"/>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9B"/>
    <w:rsid w:val="001C4BFF"/>
    <w:rsid w:val="007E5220"/>
    <w:rsid w:val="009B0FBC"/>
    <w:rsid w:val="00A86E9B"/>
    <w:rsid w:val="00B426EE"/>
    <w:rsid w:val="00C320BF"/>
    <w:rsid w:val="00C866ED"/>
    <w:rsid w:val="00CD334B"/>
    <w:rsid w:val="00D549CA"/>
    <w:rsid w:val="00DC712D"/>
    <w:rsid w:val="00E8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eastAsia="Times New Roma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semiHidden/>
    <w:rPr>
      <w:sz w:val="18"/>
    </w:rPr>
  </w:style>
  <w:style w:type="paragraph" w:styleId="aa">
    <w:name w:val="header"/>
    <w:basedOn w:val="a0"/>
    <w:semiHidden/>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7"/>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footnote reference"/>
    <w:semiHidden/>
    <w:rPr>
      <w:rFonts w:cs="Times New Roman"/>
      <w:vertAlign w:val="superscript"/>
    </w:rPr>
  </w:style>
  <w:style w:type="character" w:customStyle="1" w:styleId="Heading1Char">
    <w:name w:val="Heading 1 Char"/>
    <w:locked/>
    <w:rPr>
      <w:rFonts w:ascii="Arial" w:eastAsia="Times New Roman" w:hAnsi="Arial" w:cs="Arial"/>
      <w:b/>
      <w:bCs/>
      <w:caps/>
      <w:kern w:val="32"/>
      <w:sz w:val="32"/>
      <w:szCs w:val="32"/>
      <w:lang w:val="x-none" w:eastAsia="zh-CN"/>
    </w:rPr>
  </w:style>
  <w:style w:type="character" w:customStyle="1" w:styleId="Heading2Char">
    <w:name w:val="Heading 2 Char"/>
    <w:locked/>
    <w:rPr>
      <w:rFonts w:ascii="Arial" w:eastAsia="Times New Roman" w:hAnsi="Arial" w:cs="Arial"/>
      <w:bCs/>
      <w:iCs/>
      <w:caps/>
      <w:sz w:val="28"/>
      <w:szCs w:val="28"/>
      <w:lang w:val="x-none" w:eastAsia="zh-CN"/>
    </w:rPr>
  </w:style>
  <w:style w:type="character" w:customStyle="1" w:styleId="Heading3Char">
    <w:name w:val="Heading 3 Char"/>
    <w:locked/>
    <w:rPr>
      <w:rFonts w:ascii="Arial" w:eastAsia="Times New Roman" w:hAnsi="Arial" w:cs="Arial"/>
      <w:bCs/>
      <w:sz w:val="26"/>
      <w:szCs w:val="26"/>
      <w:u w:val="single"/>
      <w:lang w:val="x-none" w:eastAsia="zh-CN"/>
    </w:rPr>
  </w:style>
  <w:style w:type="character" w:customStyle="1" w:styleId="Heading4Char">
    <w:name w:val="Heading 4 Char"/>
    <w:locked/>
    <w:rPr>
      <w:rFonts w:ascii="Arial" w:eastAsia="Times New Roman" w:hAnsi="Arial" w:cs="Arial"/>
      <w:bCs/>
      <w:i/>
      <w:sz w:val="28"/>
      <w:szCs w:val="28"/>
      <w:lang w:val="x-none" w:eastAsia="zh-CN"/>
    </w:rPr>
  </w:style>
  <w:style w:type="character" w:customStyle="1" w:styleId="BodyTextChar">
    <w:name w:val="Body Text Char"/>
    <w:locked/>
    <w:rPr>
      <w:rFonts w:ascii="Arial" w:eastAsia="Times New Roman" w:hAnsi="Arial" w:cs="Arial"/>
      <w:sz w:val="22"/>
      <w:lang w:val="x-none" w:eastAsia="zh-CN"/>
    </w:rPr>
  </w:style>
  <w:style w:type="character" w:customStyle="1" w:styleId="CommentTextChar">
    <w:name w:val="Comment Text Char"/>
    <w:semiHidden/>
    <w:rPr>
      <w:rFonts w:ascii="Arial" w:eastAsia="Times New Roman" w:hAnsi="Arial" w:cs="Arial"/>
      <w:lang w:val="x-none" w:eastAsia="zh-CN"/>
    </w:rPr>
  </w:style>
  <w:style w:type="character" w:customStyle="1" w:styleId="EndnoteTextChar">
    <w:name w:val="Endnote Text Char"/>
    <w:semiHidden/>
    <w:locked/>
    <w:rPr>
      <w:rFonts w:ascii="Arial" w:eastAsia="Times New Roman" w:hAnsi="Arial" w:cs="Arial"/>
      <w:sz w:val="18"/>
      <w:lang w:val="x-none" w:eastAsia="zh-CN"/>
    </w:rPr>
  </w:style>
  <w:style w:type="character" w:customStyle="1" w:styleId="FooterChar">
    <w:name w:val="Footer Char"/>
    <w:locked/>
    <w:rPr>
      <w:rFonts w:ascii="Arial" w:eastAsia="Times New Roman" w:hAnsi="Arial" w:cs="Arial"/>
      <w:sz w:val="22"/>
      <w:lang w:val="x-none" w:eastAsia="zh-CN"/>
    </w:rPr>
  </w:style>
  <w:style w:type="character" w:customStyle="1" w:styleId="FootnoteTextChar">
    <w:name w:val="Footnote Text Char"/>
    <w:locked/>
    <w:rPr>
      <w:rFonts w:ascii="Arial" w:eastAsia="Times New Roman" w:hAnsi="Arial" w:cs="Arial"/>
      <w:sz w:val="18"/>
      <w:lang w:val="x-none" w:eastAsia="zh-CN"/>
    </w:rPr>
  </w:style>
  <w:style w:type="character" w:customStyle="1" w:styleId="HeaderChar">
    <w:name w:val="Header Char"/>
    <w:locked/>
    <w:rPr>
      <w:rFonts w:ascii="Arial" w:eastAsia="Times New Roman" w:hAnsi="Arial" w:cs="Arial"/>
      <w:sz w:val="22"/>
      <w:lang w:val="x-none" w:eastAsia="zh-CN"/>
    </w:rPr>
  </w:style>
  <w:style w:type="character" w:customStyle="1" w:styleId="SalutationChar">
    <w:name w:val="Salutation Char"/>
    <w:semiHidden/>
    <w:locked/>
    <w:rPr>
      <w:rFonts w:ascii="Arial" w:eastAsia="Times New Roman" w:hAnsi="Arial" w:cs="Arial"/>
      <w:sz w:val="22"/>
      <w:lang w:val="x-none" w:eastAsia="zh-CN"/>
    </w:rPr>
  </w:style>
  <w:style w:type="character" w:customStyle="1" w:styleId="SignatureChar">
    <w:name w:val="Signature Char"/>
    <w:semiHidden/>
    <w:locked/>
    <w:rPr>
      <w:rFonts w:ascii="Arial" w:eastAsia="Times New Roman" w:hAnsi="Arial" w:cs="Arial"/>
      <w:sz w:val="22"/>
      <w:lang w:val="x-none" w:eastAsia="zh-CN"/>
    </w:rPr>
  </w:style>
  <w:style w:type="character" w:styleId="af">
    <w:name w:val="annotation reference"/>
    <w:semiHidden/>
    <w:rPr>
      <w:rFonts w:cs="Times New Roman"/>
      <w:sz w:val="16"/>
      <w:szCs w:val="16"/>
    </w:rPr>
  </w:style>
  <w:style w:type="paragraph" w:styleId="af0">
    <w:name w:val="annotation subject"/>
    <w:basedOn w:val="a6"/>
    <w:next w:val="a6"/>
    <w:pPr>
      <w:spacing w:after="200"/>
      <w:jc w:val="both"/>
    </w:pPr>
    <w:rPr>
      <w:rFonts w:ascii="Calibri" w:hAnsi="Calibri" w:cs="Times New Roman"/>
      <w:b/>
      <w:bCs/>
      <w:sz w:val="20"/>
      <w:lang w:val="en-GB" w:eastAsia="en-US"/>
    </w:rPr>
  </w:style>
  <w:style w:type="character" w:customStyle="1" w:styleId="CommentTextChar1">
    <w:name w:val="Comment Text Char1"/>
    <w:semiHidden/>
    <w:locked/>
    <w:rPr>
      <w:rFonts w:ascii="Arial" w:eastAsia="Times New Roman" w:hAnsi="Arial" w:cs="Arial"/>
      <w:sz w:val="18"/>
      <w:lang w:val="x-none" w:eastAsia="zh-CN"/>
    </w:rPr>
  </w:style>
  <w:style w:type="character" w:customStyle="1" w:styleId="CommentSubjectChar">
    <w:name w:val="Comment Subject Char"/>
    <w:locked/>
    <w:rPr>
      <w:rFonts w:ascii="Calibri" w:eastAsia="Times New Roman" w:hAnsi="Calibri" w:cs="Times New Roman"/>
      <w:b/>
      <w:bCs/>
      <w:sz w:val="18"/>
      <w:lang w:val="en-GB" w:eastAsia="zh-CN"/>
    </w:rPr>
  </w:style>
  <w:style w:type="paragraph" w:customStyle="1" w:styleId="10">
    <w:name w:val="列出段落1"/>
    <w:basedOn w:val="a0"/>
    <w:pPr>
      <w:spacing w:after="200" w:line="276" w:lineRule="auto"/>
      <w:ind w:left="720"/>
      <w:contextualSpacing/>
      <w:jc w:val="both"/>
    </w:pPr>
    <w:rPr>
      <w:rFonts w:ascii="Calibri" w:hAnsi="Calibri" w:cs="Times New Roman"/>
      <w:szCs w:val="22"/>
      <w:lang w:val="en-GB" w:eastAsia="en-US"/>
    </w:rPr>
  </w:style>
  <w:style w:type="character" w:styleId="af1">
    <w:name w:val="Hyperlink"/>
    <w:semiHidden/>
    <w:rPr>
      <w:rFonts w:cs="Times New Roman"/>
      <w:color w:val="0000FF"/>
      <w:u w:val="single"/>
    </w:rPr>
  </w:style>
  <w:style w:type="character" w:styleId="af2">
    <w:name w:val="FollowedHyperlink"/>
    <w:semiHidden/>
    <w:rPr>
      <w:rFonts w:cs="Times New Roman"/>
      <w:color w:val="800080"/>
      <w:u w:val="single"/>
    </w:rPr>
  </w:style>
  <w:style w:type="character" w:customStyle="1" w:styleId="A50">
    <w:name w:val="A5"/>
    <w:rPr>
      <w:color w:val="000000"/>
      <w:sz w:val="14"/>
    </w:rPr>
  </w:style>
  <w:style w:type="character" w:styleId="af3">
    <w:name w:val="endnote reference"/>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eastAsia="Times New Roma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semiHidden/>
    <w:rPr>
      <w:sz w:val="18"/>
    </w:rPr>
  </w:style>
  <w:style w:type="paragraph" w:styleId="aa">
    <w:name w:val="header"/>
    <w:basedOn w:val="a0"/>
    <w:semiHidden/>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7"/>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footnote reference"/>
    <w:semiHidden/>
    <w:rPr>
      <w:rFonts w:cs="Times New Roman"/>
      <w:vertAlign w:val="superscript"/>
    </w:rPr>
  </w:style>
  <w:style w:type="character" w:customStyle="1" w:styleId="Heading1Char">
    <w:name w:val="Heading 1 Char"/>
    <w:locked/>
    <w:rPr>
      <w:rFonts w:ascii="Arial" w:eastAsia="Times New Roman" w:hAnsi="Arial" w:cs="Arial"/>
      <w:b/>
      <w:bCs/>
      <w:caps/>
      <w:kern w:val="32"/>
      <w:sz w:val="32"/>
      <w:szCs w:val="32"/>
      <w:lang w:val="x-none" w:eastAsia="zh-CN"/>
    </w:rPr>
  </w:style>
  <w:style w:type="character" w:customStyle="1" w:styleId="Heading2Char">
    <w:name w:val="Heading 2 Char"/>
    <w:locked/>
    <w:rPr>
      <w:rFonts w:ascii="Arial" w:eastAsia="Times New Roman" w:hAnsi="Arial" w:cs="Arial"/>
      <w:bCs/>
      <w:iCs/>
      <w:caps/>
      <w:sz w:val="28"/>
      <w:szCs w:val="28"/>
      <w:lang w:val="x-none" w:eastAsia="zh-CN"/>
    </w:rPr>
  </w:style>
  <w:style w:type="character" w:customStyle="1" w:styleId="Heading3Char">
    <w:name w:val="Heading 3 Char"/>
    <w:locked/>
    <w:rPr>
      <w:rFonts w:ascii="Arial" w:eastAsia="Times New Roman" w:hAnsi="Arial" w:cs="Arial"/>
      <w:bCs/>
      <w:sz w:val="26"/>
      <w:szCs w:val="26"/>
      <w:u w:val="single"/>
      <w:lang w:val="x-none" w:eastAsia="zh-CN"/>
    </w:rPr>
  </w:style>
  <w:style w:type="character" w:customStyle="1" w:styleId="Heading4Char">
    <w:name w:val="Heading 4 Char"/>
    <w:locked/>
    <w:rPr>
      <w:rFonts w:ascii="Arial" w:eastAsia="Times New Roman" w:hAnsi="Arial" w:cs="Arial"/>
      <w:bCs/>
      <w:i/>
      <w:sz w:val="28"/>
      <w:szCs w:val="28"/>
      <w:lang w:val="x-none" w:eastAsia="zh-CN"/>
    </w:rPr>
  </w:style>
  <w:style w:type="character" w:customStyle="1" w:styleId="BodyTextChar">
    <w:name w:val="Body Text Char"/>
    <w:locked/>
    <w:rPr>
      <w:rFonts w:ascii="Arial" w:eastAsia="Times New Roman" w:hAnsi="Arial" w:cs="Arial"/>
      <w:sz w:val="22"/>
      <w:lang w:val="x-none" w:eastAsia="zh-CN"/>
    </w:rPr>
  </w:style>
  <w:style w:type="character" w:customStyle="1" w:styleId="CommentTextChar">
    <w:name w:val="Comment Text Char"/>
    <w:semiHidden/>
    <w:rPr>
      <w:rFonts w:ascii="Arial" w:eastAsia="Times New Roman" w:hAnsi="Arial" w:cs="Arial"/>
      <w:lang w:val="x-none" w:eastAsia="zh-CN"/>
    </w:rPr>
  </w:style>
  <w:style w:type="character" w:customStyle="1" w:styleId="EndnoteTextChar">
    <w:name w:val="Endnote Text Char"/>
    <w:semiHidden/>
    <w:locked/>
    <w:rPr>
      <w:rFonts w:ascii="Arial" w:eastAsia="Times New Roman" w:hAnsi="Arial" w:cs="Arial"/>
      <w:sz w:val="18"/>
      <w:lang w:val="x-none" w:eastAsia="zh-CN"/>
    </w:rPr>
  </w:style>
  <w:style w:type="character" w:customStyle="1" w:styleId="FooterChar">
    <w:name w:val="Footer Char"/>
    <w:locked/>
    <w:rPr>
      <w:rFonts w:ascii="Arial" w:eastAsia="Times New Roman" w:hAnsi="Arial" w:cs="Arial"/>
      <w:sz w:val="22"/>
      <w:lang w:val="x-none" w:eastAsia="zh-CN"/>
    </w:rPr>
  </w:style>
  <w:style w:type="character" w:customStyle="1" w:styleId="FootnoteTextChar">
    <w:name w:val="Footnote Text Char"/>
    <w:locked/>
    <w:rPr>
      <w:rFonts w:ascii="Arial" w:eastAsia="Times New Roman" w:hAnsi="Arial" w:cs="Arial"/>
      <w:sz w:val="18"/>
      <w:lang w:val="x-none" w:eastAsia="zh-CN"/>
    </w:rPr>
  </w:style>
  <w:style w:type="character" w:customStyle="1" w:styleId="HeaderChar">
    <w:name w:val="Header Char"/>
    <w:locked/>
    <w:rPr>
      <w:rFonts w:ascii="Arial" w:eastAsia="Times New Roman" w:hAnsi="Arial" w:cs="Arial"/>
      <w:sz w:val="22"/>
      <w:lang w:val="x-none" w:eastAsia="zh-CN"/>
    </w:rPr>
  </w:style>
  <w:style w:type="character" w:customStyle="1" w:styleId="SalutationChar">
    <w:name w:val="Salutation Char"/>
    <w:semiHidden/>
    <w:locked/>
    <w:rPr>
      <w:rFonts w:ascii="Arial" w:eastAsia="Times New Roman" w:hAnsi="Arial" w:cs="Arial"/>
      <w:sz w:val="22"/>
      <w:lang w:val="x-none" w:eastAsia="zh-CN"/>
    </w:rPr>
  </w:style>
  <w:style w:type="character" w:customStyle="1" w:styleId="SignatureChar">
    <w:name w:val="Signature Char"/>
    <w:semiHidden/>
    <w:locked/>
    <w:rPr>
      <w:rFonts w:ascii="Arial" w:eastAsia="Times New Roman" w:hAnsi="Arial" w:cs="Arial"/>
      <w:sz w:val="22"/>
      <w:lang w:val="x-none" w:eastAsia="zh-CN"/>
    </w:rPr>
  </w:style>
  <w:style w:type="character" w:styleId="af">
    <w:name w:val="annotation reference"/>
    <w:semiHidden/>
    <w:rPr>
      <w:rFonts w:cs="Times New Roman"/>
      <w:sz w:val="16"/>
      <w:szCs w:val="16"/>
    </w:rPr>
  </w:style>
  <w:style w:type="paragraph" w:styleId="af0">
    <w:name w:val="annotation subject"/>
    <w:basedOn w:val="a6"/>
    <w:next w:val="a6"/>
    <w:pPr>
      <w:spacing w:after="200"/>
      <w:jc w:val="both"/>
    </w:pPr>
    <w:rPr>
      <w:rFonts w:ascii="Calibri" w:hAnsi="Calibri" w:cs="Times New Roman"/>
      <w:b/>
      <w:bCs/>
      <w:sz w:val="20"/>
      <w:lang w:val="en-GB" w:eastAsia="en-US"/>
    </w:rPr>
  </w:style>
  <w:style w:type="character" w:customStyle="1" w:styleId="CommentTextChar1">
    <w:name w:val="Comment Text Char1"/>
    <w:semiHidden/>
    <w:locked/>
    <w:rPr>
      <w:rFonts w:ascii="Arial" w:eastAsia="Times New Roman" w:hAnsi="Arial" w:cs="Arial"/>
      <w:sz w:val="18"/>
      <w:lang w:val="x-none" w:eastAsia="zh-CN"/>
    </w:rPr>
  </w:style>
  <w:style w:type="character" w:customStyle="1" w:styleId="CommentSubjectChar">
    <w:name w:val="Comment Subject Char"/>
    <w:locked/>
    <w:rPr>
      <w:rFonts w:ascii="Calibri" w:eastAsia="Times New Roman" w:hAnsi="Calibri" w:cs="Times New Roman"/>
      <w:b/>
      <w:bCs/>
      <w:sz w:val="18"/>
      <w:lang w:val="en-GB" w:eastAsia="zh-CN"/>
    </w:rPr>
  </w:style>
  <w:style w:type="paragraph" w:customStyle="1" w:styleId="10">
    <w:name w:val="列出段落1"/>
    <w:basedOn w:val="a0"/>
    <w:pPr>
      <w:spacing w:after="200" w:line="276" w:lineRule="auto"/>
      <w:ind w:left="720"/>
      <w:contextualSpacing/>
      <w:jc w:val="both"/>
    </w:pPr>
    <w:rPr>
      <w:rFonts w:ascii="Calibri" w:hAnsi="Calibri" w:cs="Times New Roman"/>
      <w:szCs w:val="22"/>
      <w:lang w:val="en-GB" w:eastAsia="en-US"/>
    </w:rPr>
  </w:style>
  <w:style w:type="character" w:styleId="af1">
    <w:name w:val="Hyperlink"/>
    <w:semiHidden/>
    <w:rPr>
      <w:rFonts w:cs="Times New Roman"/>
      <w:color w:val="0000FF"/>
      <w:u w:val="single"/>
    </w:rPr>
  </w:style>
  <w:style w:type="character" w:styleId="af2">
    <w:name w:val="FollowedHyperlink"/>
    <w:semiHidden/>
    <w:rPr>
      <w:rFonts w:cs="Times New Roman"/>
      <w:color w:val="800080"/>
      <w:u w:val="single"/>
    </w:rPr>
  </w:style>
  <w:style w:type="character" w:customStyle="1" w:styleId="A50">
    <w:name w:val="A5"/>
    <w:rPr>
      <w:color w:val="000000"/>
      <w:sz w:val="14"/>
    </w:rPr>
  </w:style>
  <w:style w:type="character" w:styleId="af3">
    <w:name w:val="endnote reference"/>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0E7A-5453-4E06-897F-DC54021C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6087</Words>
  <Characters>881</Characters>
  <Application>Microsoft Office Word</Application>
  <DocSecurity>0</DocSecurity>
  <Lines>7</Lines>
  <Paragraphs>13</Paragraphs>
  <ScaleCrop>false</ScaleCrop>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2014-02-11T09:59:00Z</dcterms:created>
  <dcterms:modified xsi:type="dcterms:W3CDTF">2014-02-11T10:38:00Z</dcterms:modified>
</cp:coreProperties>
</file>