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A344B" w:rsidRPr="004A344B" w:rsidTr="007F07D3">
        <w:trPr>
          <w:trHeight w:val="1977"/>
        </w:trPr>
        <w:tc>
          <w:tcPr>
            <w:tcW w:w="4594" w:type="dxa"/>
            <w:tcBorders>
              <w:bottom w:val="single" w:sz="4" w:space="0" w:color="auto"/>
            </w:tcBorders>
            <w:tcMar>
              <w:bottom w:w="170" w:type="dxa"/>
            </w:tcMar>
          </w:tcPr>
          <w:p w:rsidR="004A344B" w:rsidRPr="004A344B" w:rsidRDefault="004A344B" w:rsidP="004A344B">
            <w:pPr>
              <w:jc w:val="both"/>
              <w:rPr>
                <w:rFonts w:eastAsia="SimSun"/>
              </w:rPr>
            </w:pPr>
            <w:bookmarkStart w:id="0" w:name="TitleOfDoc"/>
            <w:bookmarkStart w:id="1" w:name="Prepared"/>
            <w:bookmarkStart w:id="2" w:name="_GoBack"/>
            <w:bookmarkEnd w:id="0"/>
            <w:bookmarkEnd w:id="1"/>
            <w:bookmarkEnd w:id="2"/>
            <w:r w:rsidRPr="004A344B">
              <w:rPr>
                <w:rFonts w:eastAsia="SimSun"/>
                <w:noProof/>
              </w:rPr>
              <w:drawing>
                <wp:anchor distT="0" distB="0" distL="114300" distR="114300" simplePos="0" relativeHeight="251659264" behindDoc="1" locked="0" layoutInCell="0" allowOverlap="1" wp14:anchorId="22E1442C" wp14:editId="37011E0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A344B" w:rsidRPr="004A344B" w:rsidRDefault="004A344B" w:rsidP="004A344B">
            <w:pPr>
              <w:rPr>
                <w:rFonts w:eastAsia="SimSun"/>
              </w:rPr>
            </w:pPr>
          </w:p>
        </w:tc>
        <w:tc>
          <w:tcPr>
            <w:tcW w:w="425" w:type="dxa"/>
            <w:tcBorders>
              <w:bottom w:val="single" w:sz="4" w:space="0" w:color="auto"/>
            </w:tcBorders>
            <w:tcMar>
              <w:left w:w="0" w:type="dxa"/>
              <w:right w:w="0" w:type="dxa"/>
            </w:tcMar>
          </w:tcPr>
          <w:p w:rsidR="004A344B" w:rsidRPr="004A344B" w:rsidRDefault="004A344B" w:rsidP="004A344B">
            <w:pPr>
              <w:jc w:val="right"/>
              <w:rPr>
                <w:rFonts w:eastAsia="SimSun"/>
              </w:rPr>
            </w:pPr>
            <w:r w:rsidRPr="004A344B">
              <w:rPr>
                <w:rFonts w:eastAsia="SimSun"/>
                <w:b/>
                <w:sz w:val="40"/>
                <w:szCs w:val="40"/>
              </w:rPr>
              <w:t>C</w:t>
            </w:r>
          </w:p>
        </w:tc>
      </w:tr>
      <w:tr w:rsidR="004A344B" w:rsidRPr="004A344B" w:rsidTr="007F07D3">
        <w:trPr>
          <w:trHeight w:hRule="exact" w:val="340"/>
        </w:trPr>
        <w:tc>
          <w:tcPr>
            <w:tcW w:w="9356" w:type="dxa"/>
            <w:gridSpan w:val="3"/>
            <w:tcBorders>
              <w:top w:val="single" w:sz="4" w:space="0" w:color="auto"/>
            </w:tcBorders>
            <w:tcMar>
              <w:top w:w="170" w:type="dxa"/>
              <w:left w:w="0" w:type="dxa"/>
              <w:right w:w="0" w:type="dxa"/>
            </w:tcMar>
            <w:vAlign w:val="bottom"/>
          </w:tcPr>
          <w:p w:rsidR="004A344B" w:rsidRPr="004A344B" w:rsidRDefault="004A344B" w:rsidP="004A344B">
            <w:pPr>
              <w:jc w:val="right"/>
              <w:rPr>
                <w:rFonts w:ascii="Arial Black" w:eastAsia="SimSun" w:hAnsi="Arial Black"/>
                <w:caps/>
                <w:sz w:val="15"/>
              </w:rPr>
            </w:pPr>
            <w:r w:rsidRPr="004A344B">
              <w:rPr>
                <w:rFonts w:ascii="Arial Black" w:eastAsia="SimSun" w:hAnsi="Arial Black" w:hint="eastAsia"/>
                <w:caps/>
                <w:sz w:val="15"/>
              </w:rPr>
              <w:t>wipo</w:t>
            </w:r>
            <w:r w:rsidRPr="004A344B">
              <w:rPr>
                <w:rFonts w:ascii="Arial Black" w:eastAsia="SimSun" w:hAnsi="Arial Black"/>
                <w:caps/>
                <w:sz w:val="15"/>
              </w:rPr>
              <w:t>/</w:t>
            </w:r>
            <w:r w:rsidRPr="004A344B">
              <w:rPr>
                <w:rFonts w:ascii="Arial Black" w:eastAsia="SimSun" w:hAnsi="Arial Black" w:hint="eastAsia"/>
                <w:caps/>
                <w:sz w:val="15"/>
              </w:rPr>
              <w:t>ace/9</w:t>
            </w:r>
            <w:r w:rsidRPr="004A344B">
              <w:rPr>
                <w:rFonts w:ascii="Arial Black" w:eastAsia="SimSun" w:hAnsi="Arial Black"/>
                <w:caps/>
                <w:sz w:val="15"/>
              </w:rPr>
              <w:t>/</w:t>
            </w:r>
            <w:r w:rsidRPr="004A344B">
              <w:rPr>
                <w:rFonts w:ascii="Arial Black" w:eastAsia="SimSun" w:hAnsi="Arial Black" w:hint="eastAsia"/>
                <w:caps/>
                <w:sz w:val="15"/>
              </w:rPr>
              <w:t>1</w:t>
            </w:r>
            <w:r>
              <w:rPr>
                <w:rFonts w:ascii="Arial Black" w:eastAsia="SimSun" w:hAnsi="Arial Black" w:hint="eastAsia"/>
                <w:caps/>
                <w:sz w:val="15"/>
              </w:rPr>
              <w:t>5</w:t>
            </w:r>
            <w:bookmarkStart w:id="3" w:name="Code"/>
            <w:bookmarkEnd w:id="3"/>
          </w:p>
        </w:tc>
      </w:tr>
      <w:tr w:rsidR="004A344B" w:rsidRPr="004A344B" w:rsidTr="007F07D3">
        <w:trPr>
          <w:trHeight w:hRule="exact" w:val="170"/>
        </w:trPr>
        <w:tc>
          <w:tcPr>
            <w:tcW w:w="9356" w:type="dxa"/>
            <w:gridSpan w:val="3"/>
            <w:noWrap/>
            <w:tcMar>
              <w:left w:w="0" w:type="dxa"/>
              <w:right w:w="0" w:type="dxa"/>
            </w:tcMar>
            <w:vAlign w:val="bottom"/>
          </w:tcPr>
          <w:p w:rsidR="004A344B" w:rsidRPr="004A344B" w:rsidRDefault="004A344B" w:rsidP="004A344B">
            <w:pPr>
              <w:jc w:val="right"/>
              <w:rPr>
                <w:rFonts w:ascii="Arial Black" w:eastAsia="SimSun" w:hAnsi="Arial Black"/>
                <w:b/>
                <w:caps/>
                <w:sz w:val="15"/>
                <w:szCs w:val="15"/>
              </w:rPr>
            </w:pPr>
            <w:r w:rsidRPr="004A344B">
              <w:rPr>
                <w:rFonts w:eastAsia="SimHei" w:hint="eastAsia"/>
                <w:b/>
                <w:sz w:val="15"/>
                <w:szCs w:val="15"/>
              </w:rPr>
              <w:t>原</w:t>
            </w:r>
            <w:r w:rsidRPr="004A344B">
              <w:rPr>
                <w:rFonts w:eastAsia="SimHei"/>
                <w:b/>
                <w:sz w:val="15"/>
                <w:szCs w:val="15"/>
                <w:lang w:val="pt-BR"/>
              </w:rPr>
              <w:t xml:space="preserve"> </w:t>
            </w:r>
            <w:r w:rsidRPr="004A344B">
              <w:rPr>
                <w:rFonts w:eastAsia="SimHei" w:hint="eastAsia"/>
                <w:b/>
                <w:sz w:val="15"/>
                <w:szCs w:val="15"/>
              </w:rPr>
              <w:t>文</w:t>
            </w:r>
            <w:r w:rsidRPr="004A344B">
              <w:rPr>
                <w:rFonts w:eastAsia="SimHei" w:hint="eastAsia"/>
                <w:b/>
                <w:sz w:val="15"/>
                <w:szCs w:val="15"/>
                <w:lang w:val="pt-BR"/>
              </w:rPr>
              <w:t>：英</w:t>
            </w:r>
            <w:r w:rsidRPr="004A344B">
              <w:rPr>
                <w:rFonts w:eastAsia="SimHei" w:hint="eastAsia"/>
                <w:b/>
                <w:sz w:val="15"/>
                <w:szCs w:val="15"/>
              </w:rPr>
              <w:t>文</w:t>
            </w:r>
          </w:p>
        </w:tc>
      </w:tr>
      <w:tr w:rsidR="004A344B" w:rsidRPr="004A344B" w:rsidTr="007F07D3">
        <w:trPr>
          <w:trHeight w:hRule="exact" w:val="198"/>
        </w:trPr>
        <w:tc>
          <w:tcPr>
            <w:tcW w:w="9356" w:type="dxa"/>
            <w:gridSpan w:val="3"/>
            <w:tcMar>
              <w:left w:w="0" w:type="dxa"/>
              <w:right w:w="0" w:type="dxa"/>
            </w:tcMar>
            <w:vAlign w:val="bottom"/>
          </w:tcPr>
          <w:p w:rsidR="004A344B" w:rsidRPr="004A344B" w:rsidRDefault="004A344B" w:rsidP="004A344B">
            <w:pPr>
              <w:jc w:val="right"/>
              <w:rPr>
                <w:rFonts w:ascii="SimHei" w:eastAsia="SimHei" w:hAnsi="Arial Black"/>
                <w:b/>
                <w:caps/>
                <w:sz w:val="15"/>
                <w:szCs w:val="15"/>
              </w:rPr>
            </w:pPr>
            <w:r w:rsidRPr="004A344B">
              <w:rPr>
                <w:rFonts w:ascii="SimHei" w:eastAsia="SimHei" w:hint="eastAsia"/>
                <w:b/>
                <w:sz w:val="15"/>
                <w:szCs w:val="15"/>
              </w:rPr>
              <w:t>日</w:t>
            </w:r>
            <w:r w:rsidRPr="004A344B">
              <w:rPr>
                <w:rFonts w:ascii="SimHei" w:eastAsia="SimHei" w:hint="eastAsia"/>
                <w:b/>
                <w:sz w:val="15"/>
                <w:szCs w:val="15"/>
                <w:lang w:val="pt-BR"/>
              </w:rPr>
              <w:t xml:space="preserve"> </w:t>
            </w:r>
            <w:r w:rsidRPr="004A344B">
              <w:rPr>
                <w:rFonts w:ascii="SimHei" w:eastAsia="SimHei" w:hint="eastAsia"/>
                <w:b/>
                <w:sz w:val="15"/>
                <w:szCs w:val="15"/>
              </w:rPr>
              <w:t>期</w:t>
            </w:r>
            <w:r w:rsidRPr="004A344B">
              <w:rPr>
                <w:rFonts w:ascii="SimHei" w:eastAsia="SimHei" w:hAnsi="SimSun" w:hint="eastAsia"/>
                <w:b/>
                <w:sz w:val="15"/>
                <w:szCs w:val="15"/>
                <w:lang w:val="pt-BR"/>
              </w:rPr>
              <w:t>：</w:t>
            </w:r>
            <w:r w:rsidRPr="004A344B">
              <w:rPr>
                <w:rFonts w:ascii="Arial Black" w:eastAsia="SimHei" w:hAnsi="Arial Black"/>
                <w:b/>
                <w:sz w:val="15"/>
                <w:szCs w:val="15"/>
                <w:lang w:val="pt-BR"/>
              </w:rPr>
              <w:t>2013</w:t>
            </w:r>
            <w:r w:rsidRPr="004A344B">
              <w:rPr>
                <w:rFonts w:ascii="SimHei" w:eastAsia="SimHei" w:hAnsi="Times New Roman" w:hint="eastAsia"/>
                <w:b/>
                <w:sz w:val="15"/>
                <w:szCs w:val="15"/>
              </w:rPr>
              <w:t>年</w:t>
            </w:r>
            <w:r w:rsidRPr="004A344B">
              <w:rPr>
                <w:rFonts w:ascii="Arial Black" w:eastAsia="SimHei" w:hAnsi="Arial Black" w:hint="eastAsia"/>
                <w:b/>
                <w:sz w:val="15"/>
                <w:szCs w:val="15"/>
                <w:lang w:val="pt-BR"/>
              </w:rPr>
              <w:t>1</w:t>
            </w:r>
            <w:r>
              <w:rPr>
                <w:rFonts w:ascii="Arial Black" w:eastAsia="SimHei" w:hAnsi="Arial Black" w:hint="eastAsia"/>
                <w:b/>
                <w:sz w:val="15"/>
                <w:szCs w:val="15"/>
                <w:lang w:val="pt-BR"/>
              </w:rPr>
              <w:t>2</w:t>
            </w:r>
            <w:r w:rsidRPr="004A344B">
              <w:rPr>
                <w:rFonts w:ascii="SimHei" w:eastAsia="SimHei" w:hAnsi="Times New Roman" w:hint="eastAsia"/>
                <w:b/>
                <w:sz w:val="15"/>
                <w:szCs w:val="15"/>
              </w:rPr>
              <w:t>月</w:t>
            </w:r>
            <w:r w:rsidRPr="004A344B">
              <w:rPr>
                <w:rFonts w:ascii="Arial Black" w:eastAsia="SimHei" w:hAnsi="Arial Black" w:hint="eastAsia"/>
                <w:b/>
                <w:sz w:val="15"/>
                <w:szCs w:val="15"/>
              </w:rPr>
              <w:t>2</w:t>
            </w:r>
            <w:r>
              <w:rPr>
                <w:rFonts w:ascii="Arial Black" w:eastAsia="SimHei" w:hAnsi="Arial Black" w:hint="eastAsia"/>
                <w:b/>
                <w:sz w:val="15"/>
                <w:szCs w:val="15"/>
              </w:rPr>
              <w:t>0</w:t>
            </w:r>
            <w:r w:rsidRPr="004A344B">
              <w:rPr>
                <w:rFonts w:ascii="SimHei" w:eastAsia="SimHei" w:hAnsi="Times New Roman" w:hint="eastAsia"/>
                <w:b/>
                <w:sz w:val="15"/>
                <w:szCs w:val="15"/>
              </w:rPr>
              <w:t>日</w:t>
            </w:r>
            <w:r w:rsidRPr="004A344B">
              <w:rPr>
                <w:rFonts w:ascii="SimHei" w:eastAsia="SimHei" w:hAnsi="Arial Black" w:hint="eastAsia"/>
                <w:b/>
                <w:caps/>
                <w:sz w:val="15"/>
                <w:szCs w:val="15"/>
              </w:rPr>
              <w:t xml:space="preserve">  </w:t>
            </w:r>
            <w:bookmarkStart w:id="4" w:name="Date"/>
            <w:bookmarkEnd w:id="4"/>
          </w:p>
        </w:tc>
      </w:tr>
    </w:tbl>
    <w:p w:rsidR="004A344B" w:rsidRPr="004A344B" w:rsidRDefault="004A344B" w:rsidP="004A344B">
      <w:pPr>
        <w:rPr>
          <w:rFonts w:eastAsia="SimSun"/>
        </w:rPr>
      </w:pPr>
    </w:p>
    <w:p w:rsidR="004A344B" w:rsidRPr="004A344B" w:rsidRDefault="004A344B" w:rsidP="004A344B">
      <w:pPr>
        <w:rPr>
          <w:rFonts w:eastAsia="SimSun"/>
        </w:rPr>
      </w:pPr>
    </w:p>
    <w:p w:rsidR="004A344B" w:rsidRPr="004A344B" w:rsidRDefault="004A344B" w:rsidP="004A344B">
      <w:pPr>
        <w:rPr>
          <w:rFonts w:eastAsia="SimSun"/>
        </w:rPr>
      </w:pPr>
    </w:p>
    <w:p w:rsidR="004A344B" w:rsidRPr="004A344B" w:rsidRDefault="004A344B" w:rsidP="004A344B">
      <w:pPr>
        <w:rPr>
          <w:rFonts w:eastAsia="SimSun"/>
        </w:rPr>
      </w:pPr>
    </w:p>
    <w:p w:rsidR="004A344B" w:rsidRPr="004A344B" w:rsidRDefault="004A344B" w:rsidP="004A344B">
      <w:pPr>
        <w:rPr>
          <w:rFonts w:eastAsia="SimSun"/>
        </w:rPr>
      </w:pPr>
    </w:p>
    <w:p w:rsidR="004A344B" w:rsidRPr="004A344B" w:rsidRDefault="004A344B" w:rsidP="004A344B">
      <w:pPr>
        <w:spacing w:line="360" w:lineRule="atLeast"/>
        <w:rPr>
          <w:rFonts w:ascii="SimHei" w:eastAsia="SimHei"/>
          <w:sz w:val="28"/>
          <w:szCs w:val="28"/>
        </w:rPr>
      </w:pPr>
      <w:r w:rsidRPr="004A344B">
        <w:rPr>
          <w:rFonts w:ascii="SimHei" w:eastAsia="SimHei" w:hint="eastAsia"/>
          <w:sz w:val="28"/>
          <w:szCs w:val="28"/>
        </w:rPr>
        <w:t>执法咨询委员会</w:t>
      </w:r>
    </w:p>
    <w:p w:rsidR="004A344B" w:rsidRPr="004A344B" w:rsidRDefault="004A344B" w:rsidP="004A344B">
      <w:pPr>
        <w:rPr>
          <w:rFonts w:eastAsia="SimSun"/>
          <w:szCs w:val="22"/>
        </w:rPr>
      </w:pPr>
    </w:p>
    <w:p w:rsidR="004A344B" w:rsidRPr="004A344B" w:rsidRDefault="004A344B" w:rsidP="004A344B">
      <w:pPr>
        <w:rPr>
          <w:rFonts w:eastAsia="SimSun"/>
          <w:sz w:val="24"/>
          <w:szCs w:val="24"/>
        </w:rPr>
      </w:pPr>
    </w:p>
    <w:p w:rsidR="004A344B" w:rsidRPr="004A344B" w:rsidRDefault="004A344B" w:rsidP="004A344B">
      <w:pPr>
        <w:spacing w:line="360" w:lineRule="atLeast"/>
        <w:textAlignment w:val="bottom"/>
        <w:rPr>
          <w:rFonts w:ascii="KaiTi" w:eastAsia="KaiTi"/>
          <w:b/>
          <w:sz w:val="24"/>
          <w:szCs w:val="24"/>
        </w:rPr>
      </w:pPr>
      <w:r w:rsidRPr="004A344B">
        <w:rPr>
          <w:rFonts w:ascii="KaiTi" w:eastAsia="KaiTi" w:hint="eastAsia"/>
          <w:b/>
          <w:sz w:val="24"/>
          <w:szCs w:val="24"/>
        </w:rPr>
        <w:t>第九届会议</w:t>
      </w:r>
    </w:p>
    <w:p w:rsidR="004A344B" w:rsidRPr="004A344B" w:rsidRDefault="004A344B" w:rsidP="004A344B">
      <w:pPr>
        <w:spacing w:line="360" w:lineRule="atLeast"/>
        <w:textAlignment w:val="bottom"/>
        <w:rPr>
          <w:rFonts w:ascii="KaiTi" w:eastAsia="KaiTi" w:hAnsi="KaiTi"/>
          <w:b/>
          <w:sz w:val="24"/>
          <w:szCs w:val="24"/>
        </w:rPr>
      </w:pPr>
      <w:r w:rsidRPr="004A344B">
        <w:rPr>
          <w:rFonts w:ascii="KaiTi" w:eastAsia="KaiTi" w:hAnsi="KaiTi" w:hint="eastAsia"/>
          <w:sz w:val="24"/>
          <w:szCs w:val="24"/>
        </w:rPr>
        <w:t>2014</w:t>
      </w:r>
      <w:r w:rsidRPr="004A344B">
        <w:rPr>
          <w:rFonts w:ascii="KaiTi" w:eastAsia="KaiTi" w:hAnsi="KaiTi" w:hint="eastAsia"/>
          <w:b/>
          <w:sz w:val="24"/>
          <w:szCs w:val="24"/>
        </w:rPr>
        <w:t>年</w:t>
      </w:r>
      <w:r w:rsidRPr="004A344B">
        <w:rPr>
          <w:rFonts w:ascii="KaiTi" w:eastAsia="KaiTi" w:hAnsi="KaiTi" w:hint="eastAsia"/>
          <w:sz w:val="24"/>
          <w:szCs w:val="24"/>
        </w:rPr>
        <w:t>3</w:t>
      </w:r>
      <w:r w:rsidRPr="004A344B">
        <w:rPr>
          <w:rFonts w:ascii="KaiTi" w:eastAsia="KaiTi" w:hAnsi="KaiTi" w:hint="eastAsia"/>
          <w:b/>
          <w:sz w:val="24"/>
          <w:szCs w:val="24"/>
        </w:rPr>
        <w:t>月</w:t>
      </w:r>
      <w:r w:rsidRPr="004A344B">
        <w:rPr>
          <w:rFonts w:ascii="KaiTi" w:eastAsia="KaiTi" w:hAnsi="KaiTi" w:hint="eastAsia"/>
          <w:sz w:val="24"/>
          <w:szCs w:val="24"/>
        </w:rPr>
        <w:t>3</w:t>
      </w:r>
      <w:r w:rsidRPr="004A344B">
        <w:rPr>
          <w:rFonts w:ascii="KaiTi" w:eastAsia="KaiTi" w:hAnsi="KaiTi" w:hint="eastAsia"/>
          <w:b/>
          <w:sz w:val="24"/>
          <w:szCs w:val="24"/>
        </w:rPr>
        <w:t>日至</w:t>
      </w:r>
      <w:r w:rsidRPr="004A344B">
        <w:rPr>
          <w:rFonts w:ascii="KaiTi" w:eastAsia="KaiTi" w:hAnsi="KaiTi" w:hint="eastAsia"/>
          <w:sz w:val="24"/>
          <w:szCs w:val="24"/>
        </w:rPr>
        <w:t>5</w:t>
      </w:r>
      <w:r w:rsidRPr="004A344B">
        <w:rPr>
          <w:rFonts w:ascii="KaiTi" w:eastAsia="KaiTi" w:hAnsi="KaiTi" w:hint="eastAsia"/>
          <w:b/>
          <w:sz w:val="24"/>
          <w:szCs w:val="24"/>
        </w:rPr>
        <w:t>日，日内瓦</w:t>
      </w:r>
    </w:p>
    <w:p w:rsidR="004A344B" w:rsidRPr="004A344B" w:rsidRDefault="004A344B" w:rsidP="004A344B">
      <w:pPr>
        <w:rPr>
          <w:rFonts w:eastAsia="SimSun"/>
        </w:rPr>
      </w:pPr>
    </w:p>
    <w:p w:rsidR="004A344B" w:rsidRPr="004A344B" w:rsidRDefault="004A344B" w:rsidP="004A344B">
      <w:pPr>
        <w:rPr>
          <w:rFonts w:eastAsia="SimSun"/>
        </w:rPr>
      </w:pPr>
    </w:p>
    <w:p w:rsidR="004A344B" w:rsidRPr="004A344B" w:rsidRDefault="004A344B" w:rsidP="004A344B">
      <w:pPr>
        <w:rPr>
          <w:rFonts w:eastAsia="SimSun"/>
        </w:rPr>
      </w:pPr>
    </w:p>
    <w:p w:rsidR="004A344B" w:rsidRPr="004A344B" w:rsidRDefault="004A344B" w:rsidP="004A344B">
      <w:pPr>
        <w:rPr>
          <w:rFonts w:ascii="KaiTi" w:eastAsia="KaiTi" w:hAnsi="KaiTi" w:cs="Times New Roman"/>
          <w:kern w:val="2"/>
          <w:sz w:val="24"/>
          <w:szCs w:val="32"/>
        </w:rPr>
      </w:pPr>
      <w:r w:rsidRPr="004A344B">
        <w:rPr>
          <w:rFonts w:ascii="KaiTi" w:eastAsia="KaiTi" w:hAnsi="KaiTi" w:cs="Times New Roman" w:hint="eastAsia"/>
          <w:kern w:val="2"/>
          <w:sz w:val="24"/>
          <w:szCs w:val="32"/>
        </w:rPr>
        <w:t>特立尼达和多巴哥的经验：</w:t>
      </w:r>
      <w:r>
        <w:rPr>
          <w:rFonts w:ascii="KaiTi" w:eastAsia="KaiTi" w:hAnsi="KaiTi" w:cs="Times New Roman"/>
          <w:kern w:val="2"/>
          <w:sz w:val="24"/>
          <w:szCs w:val="32"/>
        </w:rPr>
        <w:br/>
      </w:r>
      <w:r w:rsidRPr="004A344B">
        <w:rPr>
          <w:rFonts w:ascii="KaiTi" w:eastAsia="KaiTi" w:hAnsi="KaiTi" w:cs="Times New Roman" w:hint="eastAsia"/>
          <w:kern w:val="2"/>
          <w:sz w:val="24"/>
          <w:szCs w:val="32"/>
        </w:rPr>
        <w:t>关于树立尊重知识产权风尚项目的国家经验</w:t>
      </w:r>
    </w:p>
    <w:p w:rsidR="004A344B" w:rsidRPr="004A344B" w:rsidRDefault="004A344B" w:rsidP="004A344B">
      <w:pPr>
        <w:rPr>
          <w:rFonts w:ascii="SimSun" w:eastAsia="SimSun" w:hAnsi="SimSun"/>
          <w:szCs w:val="22"/>
        </w:rPr>
      </w:pPr>
    </w:p>
    <w:p w:rsidR="004A344B" w:rsidRPr="004A344B" w:rsidRDefault="004A344B" w:rsidP="004A344B">
      <w:pPr>
        <w:rPr>
          <w:rFonts w:ascii="KaiTi" w:eastAsia="KaiTi" w:hAnsi="STKaiti" w:cs="Times New Roman"/>
          <w:i/>
          <w:kern w:val="2"/>
          <w:sz w:val="21"/>
          <w:szCs w:val="24"/>
        </w:rPr>
      </w:pPr>
      <w:r w:rsidRPr="004A344B">
        <w:rPr>
          <w:rFonts w:ascii="KaiTi" w:eastAsia="KaiTi" w:hAnsi="STKaiti" w:cs="Times New Roman" w:hint="eastAsia"/>
          <w:i/>
          <w:kern w:val="2"/>
          <w:sz w:val="21"/>
          <w:szCs w:val="24"/>
        </w:rPr>
        <w:t>由特立尼达和多巴哥知识产权局技术审查</w:t>
      </w:r>
      <w:proofErr w:type="gramStart"/>
      <w:r w:rsidRPr="004A344B">
        <w:rPr>
          <w:rFonts w:ascii="KaiTi" w:eastAsia="KaiTi" w:hAnsi="STKaiti" w:cs="Times New Roman" w:hint="eastAsia"/>
          <w:i/>
          <w:kern w:val="2"/>
          <w:sz w:val="21"/>
          <w:szCs w:val="24"/>
        </w:rPr>
        <w:t>部</w:t>
      </w:r>
      <w:proofErr w:type="gramEnd"/>
      <w:r w:rsidRPr="004A344B">
        <w:rPr>
          <w:rFonts w:ascii="KaiTi" w:eastAsia="KaiTi" w:hAnsi="STKaiti" w:cs="Times New Roman" w:hint="eastAsia"/>
          <w:i/>
          <w:kern w:val="2"/>
          <w:sz w:val="21"/>
          <w:szCs w:val="24"/>
        </w:rPr>
        <w:t>部长</w:t>
      </w:r>
      <w:r w:rsidRPr="004A344B">
        <w:rPr>
          <w:rFonts w:ascii="KaiTi" w:eastAsia="KaiTi" w:hAnsi="STKaiti" w:cs="Times New Roman"/>
          <w:i/>
          <w:kern w:val="2"/>
          <w:sz w:val="21"/>
          <w:szCs w:val="24"/>
        </w:rPr>
        <w:t>Richard Achin</w:t>
      </w:r>
      <w:r w:rsidRPr="004A344B">
        <w:rPr>
          <w:rFonts w:ascii="KaiTi" w:eastAsia="KaiTi" w:hAnsi="STKaiti" w:cs="Times New Roman" w:hint="eastAsia"/>
          <w:i/>
          <w:kern w:val="2"/>
          <w:sz w:val="21"/>
          <w:szCs w:val="24"/>
        </w:rPr>
        <w:t>g编拟</w:t>
      </w:r>
      <w:r w:rsidRPr="004A344B">
        <w:rPr>
          <w:rFonts w:ascii="KaiTi" w:eastAsia="KaiTi" w:hAnsi="STKaiti" w:cs="Times New Roman"/>
          <w:i/>
          <w:kern w:val="2"/>
          <w:sz w:val="21"/>
          <w:szCs w:val="24"/>
          <w:vertAlign w:val="superscript"/>
        </w:rPr>
        <w:footnoteReference w:id="2"/>
      </w:r>
    </w:p>
    <w:p w:rsidR="004A344B" w:rsidRPr="004A344B" w:rsidRDefault="004A344B" w:rsidP="004A344B">
      <w:pPr>
        <w:rPr>
          <w:rFonts w:ascii="KaiTi" w:eastAsia="KaiTi" w:hAnsi="STKaiti" w:cs="Times New Roman"/>
          <w:i/>
          <w:kern w:val="2"/>
          <w:sz w:val="21"/>
          <w:szCs w:val="24"/>
        </w:rPr>
      </w:pPr>
    </w:p>
    <w:p w:rsidR="004A344B" w:rsidRPr="004A344B" w:rsidRDefault="004A344B" w:rsidP="004A344B">
      <w:pPr>
        <w:rPr>
          <w:rFonts w:ascii="KaiTi" w:eastAsia="SimSun" w:hAnsi="SimSun"/>
          <w:szCs w:val="22"/>
        </w:rPr>
      </w:pPr>
    </w:p>
    <w:p w:rsidR="004A344B" w:rsidRPr="004A344B" w:rsidRDefault="004A344B" w:rsidP="004A344B">
      <w:pPr>
        <w:rPr>
          <w:rFonts w:ascii="KaiTi" w:eastAsia="SimSun" w:hAnsi="SimSun"/>
          <w:szCs w:val="22"/>
        </w:rPr>
      </w:pPr>
    </w:p>
    <w:p w:rsidR="00AC28D6" w:rsidRDefault="00AC28D6">
      <w:pPr>
        <w:jc w:val="both"/>
      </w:pPr>
    </w:p>
    <w:p w:rsidR="00AC28D6" w:rsidRPr="00C02B05" w:rsidRDefault="00361DF1" w:rsidP="00C02B05">
      <w:pPr>
        <w:pStyle w:val="1"/>
        <w:keepNext w:val="0"/>
        <w:adjustRightInd w:val="0"/>
        <w:spacing w:before="0" w:afterLines="100" w:after="240" w:line="340" w:lineRule="atLeast"/>
        <w:jc w:val="both"/>
        <w:rPr>
          <w:rFonts w:ascii="SimHei" w:eastAsia="SimHei" w:hAnsi="SimHei"/>
          <w:b w:val="0"/>
          <w:sz w:val="21"/>
          <w:szCs w:val="21"/>
        </w:rPr>
      </w:pPr>
      <w:r w:rsidRPr="00C02B05">
        <w:rPr>
          <w:rFonts w:ascii="SimHei" w:eastAsia="SimHei" w:hAnsi="SimHei" w:hint="eastAsia"/>
          <w:b w:val="0"/>
          <w:sz w:val="21"/>
          <w:szCs w:val="21"/>
        </w:rPr>
        <w:t>一、</w:t>
      </w:r>
      <w:r w:rsidR="00AC28D6" w:rsidRPr="00C02B05">
        <w:rPr>
          <w:rFonts w:ascii="SimHei" w:eastAsia="SimHei" w:hAnsi="SimHei" w:hint="eastAsia"/>
          <w:b w:val="0"/>
          <w:sz w:val="21"/>
          <w:szCs w:val="21"/>
        </w:rPr>
        <w:t>执法宣传活动的以往经验</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与其他很多国家一样，本国在国家知识产权(IP)制度各方面的发展中一直都面临着挑战。特立尼达和多巴哥在知识产权制度现代化和设立特立尼达和多巴哥知识产权局(IPO)方面所走的发展道路涉及到同时改善多个方面。这些方面主要涉及行政、立法、信息技术和培训。现代化知识产权局的法定职责包括授予知识产权、提供专利信息服务和促进特立尼达和多巴哥公民的创造力。其他一些变化使得知识产权局能够负责商标、专利、工业品外观设计、地理标志、集成电路和植物新品种等工业产权的实质审查和授予。即使版权和相关权是自动生成的，在主管部长的指导下，如果知识产权制度的用户和权利持有人需要指导意见，知识产权局</w:t>
      </w:r>
      <w:proofErr w:type="gramStart"/>
      <w:r w:rsidRPr="00361DF1">
        <w:rPr>
          <w:rFonts w:ascii="SimSun" w:eastAsia="SimSun" w:hAnsi="SimSun" w:hint="eastAsia"/>
          <w:sz w:val="21"/>
          <w:szCs w:val="21"/>
        </w:rPr>
        <w:t>仍参与</w:t>
      </w:r>
      <w:proofErr w:type="gramEnd"/>
      <w:r w:rsidRPr="00361DF1">
        <w:rPr>
          <w:rFonts w:ascii="SimSun" w:eastAsia="SimSun" w:hAnsi="SimSun" w:hint="eastAsia"/>
          <w:sz w:val="21"/>
          <w:szCs w:val="21"/>
        </w:rPr>
        <w:t>了许多版权问题。</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由于知识产权局主管工业产权的授权，因此其无法直接参与执法过程。但是，多年来知识产权局也为针对知识产权执法主管机构举办的若干执法培训活动提供便利，这些机构如警署、海关和执法机关、检察长和司法执行局。执法活动常常要针对版权盗版行为，因为这是最为明显和常见的知识产权犯罪。世界知识产权组织(WIPO)经常会为培训提供便利，该组织有时会与其他机构开展合作，譬如美国海关和边境保护局。这些培训活动产生了明显的效果，特别是在活动开展后的一段时期内。但是，对于随后进行的额外的、高级的或后续的培训活动，由于是不同的官员参加，因此知识获取并没有得</w:t>
      </w:r>
      <w:r w:rsidRPr="00361DF1">
        <w:rPr>
          <w:rFonts w:ascii="SimSun" w:eastAsia="SimSun" w:hAnsi="SimSun" w:hint="eastAsia"/>
          <w:sz w:val="21"/>
          <w:szCs w:val="21"/>
        </w:rPr>
        <w:lastRenderedPageBreak/>
        <w:t>到积累。多数执法机构也没有专门部门来处理知识产权执法问题，这样的部门需要累积和集中化的专门技能来培养解决专门问题的专家。</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此外，向法庭提出指控和提交证据的过程是非常冗长乏味的，因为对每件侵权物品的指控都必须以书面形式提交，尽管某件侵权物品已经出现过多次。如果权利持有人是没有</w:t>
      </w:r>
      <w:proofErr w:type="gramStart"/>
      <w:r w:rsidRPr="00361DF1">
        <w:rPr>
          <w:rFonts w:ascii="SimSun" w:eastAsia="SimSun" w:hAnsi="SimSun" w:hint="eastAsia"/>
          <w:sz w:val="21"/>
          <w:szCs w:val="21"/>
        </w:rPr>
        <w:t>本地代表</w:t>
      </w:r>
      <w:proofErr w:type="gramEnd"/>
      <w:r w:rsidRPr="00361DF1">
        <w:rPr>
          <w:rFonts w:ascii="SimSun" w:eastAsia="SimSun" w:hAnsi="SimSun" w:hint="eastAsia"/>
          <w:sz w:val="21"/>
          <w:szCs w:val="21"/>
        </w:rPr>
        <w:t>的外国艺术家或电影工作室，通常就没有代表来出面表明其并未授予被告方许可来复制侵权作品。该案件随后就可能被驳回。在成功定罪后，宣判本身有时并不足以防范累犯。这进一步阻碍了执法机构进行知识产权执法。后来1997年《版权法》进行的修订规定了在提出指控时进行抽样并对能够出庭的代表加以授权。</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尽管存在着这样的障碍，在警署副署长这一级别启动了针对街头盗版行为的定期执法活动。WIPO往往会利用他的专门技能在特立尼达和多巴哥开展各类执法活动。</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由于知识产权通常会保障权利持有人的经济利益，故意的知识产权侵权行为常常被视为一种经济犯罪，有时这种犯罪的严重程度并不足以得到资源有限的执法机构和法院的关注和资源。大家认为，盗版并不会给人们带来实实在在的损害。</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多年来，执法培训对看似简单的街头盗版行为的相近领域进行了探讨。逃税和洗钱领域的专家针对支持街头盗版行为的大量不受监管且未征税的非法地下经济提出了一些看法。一些专家分享的经验是要通过执行其他法律来加强消除街头盗版行为，街头盗版行为可能会违反非法街头贩卖、税法和洗钱规定，因为街头盗版、洗钱和有组织犯罪之间似乎存在着重大联系。这表明，街头盗版行为并不是完全无害的，可能会直接或间接地用来支持更加非法的犯罪行为，并为严重犯罪活动提供资金。由于官员被分配从事其他非知识产权方面的任务，所以知识产权方面的工作并不是持续的，官员掌握的知识也是分散的。</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权利持有人及其代表组织</w:t>
      </w:r>
      <w:proofErr w:type="gramStart"/>
      <w:r w:rsidRPr="00361DF1">
        <w:rPr>
          <w:rFonts w:ascii="SimSun" w:eastAsia="SimSun" w:hAnsi="SimSun" w:hint="eastAsia"/>
          <w:sz w:val="21"/>
          <w:szCs w:val="21"/>
        </w:rPr>
        <w:t>还启动</w:t>
      </w:r>
      <w:proofErr w:type="gramEnd"/>
      <w:r w:rsidRPr="00361DF1">
        <w:rPr>
          <w:rFonts w:ascii="SimSun" w:eastAsia="SimSun" w:hAnsi="SimSun" w:hint="eastAsia"/>
          <w:sz w:val="21"/>
          <w:szCs w:val="21"/>
        </w:rPr>
        <w:t>开展了软件盗版领域的专项活动。商业软件联盟(BSA)代表了众多的大型商业和生产软件企业，在1997年12月1日特立尼达和多巴哥一系列新的知识产权法律生效后不久非常活跃。它们所采用的方法就是首先向企业界宣传知识产权以及其软件获取和安装行为如何会误入盗版领域。包括公共机构在内的商业机构及政府都被鼓励对其各自存在的广泛安装未经许可软件的情况加以调整。向企业提供优惠的许可条款和覆盖整个企业的许可，以使其符合法律规定。可以很便利地向企业说明，其违反了1997年《版权法》以及企业所面临的赔偿和罚款。这种活动扩展到个人计算机零售商、装配商以及品牌计算机进口商，令其能够在销售前为这些计算机安装正版软件，并为客户提供带有正版软件的合法载体供其随后安装。</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公众教育和正版</w:t>
      </w:r>
      <w:proofErr w:type="gramStart"/>
      <w:r w:rsidRPr="00361DF1">
        <w:rPr>
          <w:rFonts w:ascii="SimSun" w:eastAsia="SimSun" w:hAnsi="SimSun" w:hint="eastAsia"/>
          <w:sz w:val="21"/>
          <w:szCs w:val="21"/>
        </w:rPr>
        <w:t>化活动</w:t>
      </w:r>
      <w:proofErr w:type="gramEnd"/>
      <w:r w:rsidRPr="00361DF1">
        <w:rPr>
          <w:rFonts w:ascii="SimSun" w:eastAsia="SimSun" w:hAnsi="SimSun" w:hint="eastAsia"/>
          <w:sz w:val="21"/>
          <w:szCs w:val="21"/>
        </w:rPr>
        <w:t>持续开展了约一年，之后BSA开始对余下的不符合法律规定的企业和零售商展开行动，成功定罪多起并查封了盗版软件零售商。这种方法得以成功的另一个原因在于，BSA及其成员准备好在必要时出庭来支持针对被告方所提出的指控。目前的情况是企业和政府的正版率非常高。软件公司会对作为被许可方的政府定期进行审计以确认其是否符合规定。被盗版的软件目前主要存在于家庭下载而非零售软件。多年来，知识产权局借助多种媒体渠道开展了多次反盗版专项行动。一些专项行动采用现场表演的形式，让演员在街头表演反盗版小品，并安排受到盗版影响并乐于提供支持的本地艺术家参演。还在美国大使的赞助下与教育部和美国大使馆联合举办了一次竞赛。该竞赛主要在狂欢节时针对小学生，让其参与编写并表演关于盗版的歌曲的比赛。</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所有这些工作都实现了其直接目标，而且在完成之后其效果还会保持一段时间。但是据观察，在资料和媒体停止传播后或参与者不再从事相关工作时，这些效果就会有所减弱。此外，公共机构的</w:t>
      </w:r>
      <w:r w:rsidRPr="00361DF1">
        <w:rPr>
          <w:rFonts w:ascii="SimSun" w:eastAsia="SimSun" w:hAnsi="SimSun" w:hint="eastAsia"/>
          <w:sz w:val="21"/>
          <w:szCs w:val="21"/>
        </w:rPr>
        <w:lastRenderedPageBreak/>
        <w:t>预算反复无常且无法保持一致，专项行动主要是根据周期性支出可用的资金水平而消长盈亏。和其他众多知识产权局一样，知识产权局并不能控制其收入，因而不得不依赖于中央政府的财政拨款。开展有效的利于知识产权/反盗版专项行动需要获得持续性的工作。这种持续性的工作需要</w:t>
      </w:r>
      <w:proofErr w:type="gramStart"/>
      <w:r w:rsidRPr="00361DF1">
        <w:rPr>
          <w:rFonts w:ascii="SimSun" w:eastAsia="SimSun" w:hAnsi="SimSun" w:hint="eastAsia"/>
          <w:sz w:val="21"/>
          <w:szCs w:val="21"/>
        </w:rPr>
        <w:t>最</w:t>
      </w:r>
      <w:proofErr w:type="gramEnd"/>
      <w:r w:rsidRPr="00361DF1">
        <w:rPr>
          <w:rFonts w:ascii="SimSun" w:eastAsia="SimSun" w:hAnsi="SimSun" w:hint="eastAsia"/>
          <w:sz w:val="21"/>
          <w:szCs w:val="21"/>
        </w:rPr>
        <w:t>高层、特别是中央驱动的政府的</w:t>
      </w:r>
      <w:proofErr w:type="gramStart"/>
      <w:r w:rsidRPr="00361DF1">
        <w:rPr>
          <w:rFonts w:ascii="SimSun" w:eastAsia="SimSun" w:hAnsi="SimSun" w:hint="eastAsia"/>
          <w:sz w:val="21"/>
          <w:szCs w:val="21"/>
        </w:rPr>
        <w:t>最</w:t>
      </w:r>
      <w:proofErr w:type="gramEnd"/>
      <w:r w:rsidRPr="00361DF1">
        <w:rPr>
          <w:rFonts w:ascii="SimSun" w:eastAsia="SimSun" w:hAnsi="SimSun" w:hint="eastAsia"/>
          <w:sz w:val="21"/>
          <w:szCs w:val="21"/>
        </w:rPr>
        <w:t>高层对知识产权的理解，这种理解不仅存在于财政支持，同时也存在</w:t>
      </w:r>
      <w:r w:rsidR="004A344B">
        <w:rPr>
          <w:rFonts w:ascii="SimSun" w:eastAsia="SimSun" w:hAnsi="SimSun" w:hint="eastAsia"/>
          <w:sz w:val="21"/>
          <w:szCs w:val="21"/>
        </w:rPr>
        <w:t>于</w:t>
      </w:r>
      <w:r w:rsidRPr="00361DF1">
        <w:rPr>
          <w:rFonts w:ascii="SimSun" w:eastAsia="SimSun" w:hAnsi="SimSun" w:hint="eastAsia"/>
          <w:sz w:val="21"/>
          <w:szCs w:val="21"/>
        </w:rPr>
        <w:t>公共管理方面，因为宣传活动须依赖于专家才能有效落实。</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多年来，知识产权局发现，仅靠主动执法无法消除盗版。也要面对消费者的实际需求问题。通过威慑和提倡道德并不一定能使消费者相信，消费盗版商品既会危害产业大局，也会有损其个人安全。知识产权局一直都在强调知识产权的整个覆盖范围，并避免将知识产权仅仅与版权挂钩。这还意味着必须要对消费者产品以外的商标侵权和盗版行为加以宣传，并扩展到药品、器械和其他专利盗版行为。在公共教育和宣传期间，多年来其发现，如果人们之前对其使用盗版和假冒商品所产生的经济影响并不在意，而一旦其拥有了自身的知识产权并通过支持知识产权制度和执法工作为其自身赢得了经济利益，那么这些人会突然间转变为倾向于知识产权保护的消费者。</w:t>
      </w:r>
    </w:p>
    <w:p w:rsidR="00AC28D6" w:rsidRPr="00C02B05" w:rsidRDefault="00AC28D6" w:rsidP="00C02B05">
      <w:pPr>
        <w:pStyle w:val="10"/>
        <w:numPr>
          <w:ilvl w:val="0"/>
          <w:numId w:val="19"/>
        </w:numPr>
        <w:adjustRightInd w:val="0"/>
        <w:spacing w:beforeLines="100" w:before="240" w:afterLines="50" w:after="120" w:line="340" w:lineRule="atLeast"/>
        <w:contextualSpacing w:val="0"/>
        <w:jc w:val="both"/>
        <w:rPr>
          <w:rFonts w:ascii="SimHei" w:eastAsia="SimHei" w:hAnsi="SimHei"/>
          <w:sz w:val="21"/>
          <w:szCs w:val="21"/>
        </w:rPr>
      </w:pPr>
      <w:r w:rsidRPr="00C02B05">
        <w:rPr>
          <w:rFonts w:ascii="SimHei" w:eastAsia="SimHei" w:hAnsi="SimHei" w:hint="eastAsia"/>
          <w:sz w:val="21"/>
          <w:szCs w:val="21"/>
        </w:rPr>
        <w:t>特立尼达和多巴哥树立尊重知识产权风尚专项活动</w:t>
      </w:r>
    </w:p>
    <w:p w:rsidR="00AC28D6" w:rsidRPr="00361DF1" w:rsidRDefault="00AC28D6" w:rsidP="00C02B05">
      <w:pPr>
        <w:adjustRightInd w:val="0"/>
        <w:spacing w:beforeLines="100" w:before="240" w:afterLines="100" w:after="24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该项目集合了所有这些经验，包括哪些工作没有产生效果、需要开展哪些工作、长期实施需要哪些、需要说服</w:t>
      </w:r>
      <w:proofErr w:type="gramStart"/>
      <w:r w:rsidRPr="00361DF1">
        <w:rPr>
          <w:rFonts w:ascii="SimSun" w:eastAsia="SimSun" w:hAnsi="SimSun" w:hint="eastAsia"/>
          <w:sz w:val="21"/>
          <w:szCs w:val="21"/>
        </w:rPr>
        <w:t>谁以及</w:t>
      </w:r>
      <w:proofErr w:type="gramEnd"/>
      <w:r w:rsidRPr="00361DF1">
        <w:rPr>
          <w:rFonts w:ascii="SimSun" w:eastAsia="SimSun" w:hAnsi="SimSun" w:hint="eastAsia"/>
          <w:sz w:val="21"/>
          <w:szCs w:val="21"/>
        </w:rPr>
        <w:t>消费者需要采取什么样的态度等。最终结果或最终所需要达成的目标是实现依靠知识经济取得繁荣的尊重知识产权的社会。这包括了树立尊重知识产权的风尚。和社会其他方面中一样，执法应成为最后的制裁手段。多数人尊重物质财产，只需要对少数人采取执法措施。但这并不能就被理解为对无形资产或知识产权的尊重，对知识产权而言，这是成反比的。</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为了继续开展宣传活动，知识产权局借用了周期性支出以外公共部门投资计划(PSIP)下可用的资金。PSIP项目是作为</w:t>
      </w:r>
      <w:proofErr w:type="gramStart"/>
      <w:r w:rsidRPr="00361DF1">
        <w:rPr>
          <w:rFonts w:ascii="SimSun" w:eastAsia="SimSun" w:hAnsi="SimSun" w:hint="eastAsia"/>
          <w:sz w:val="21"/>
          <w:szCs w:val="21"/>
        </w:rPr>
        <w:t>临时项目</w:t>
      </w:r>
      <w:proofErr w:type="gramEnd"/>
      <w:r w:rsidRPr="00361DF1">
        <w:rPr>
          <w:rFonts w:ascii="SimSun" w:eastAsia="SimSun" w:hAnsi="SimSun" w:hint="eastAsia"/>
          <w:sz w:val="21"/>
          <w:szCs w:val="21"/>
        </w:rPr>
        <w:t>或可能成为知识产权常规工作一部分然后划入周期性支出的项目得到资金。为此，知识产权局与WIPO树立尊重知识产权风尚司就项目的制定开展了广泛的合作。知识产权局认为，执法并不是首选，提升对知识产权作为经济工具和知识型企业保障的理解和认识应先于执法专项行动。</w:t>
      </w:r>
    </w:p>
    <w:p w:rsidR="00AC28D6" w:rsidRPr="00C02B05" w:rsidRDefault="00AC28D6" w:rsidP="00C02B05">
      <w:pPr>
        <w:pStyle w:val="10"/>
        <w:numPr>
          <w:ilvl w:val="0"/>
          <w:numId w:val="19"/>
        </w:numPr>
        <w:adjustRightInd w:val="0"/>
        <w:spacing w:beforeLines="100" w:before="240" w:afterLines="100" w:after="240" w:line="340" w:lineRule="atLeast"/>
        <w:contextualSpacing w:val="0"/>
        <w:jc w:val="both"/>
        <w:rPr>
          <w:rFonts w:ascii="SimHei" w:eastAsia="SimHei" w:hAnsi="SimHei"/>
          <w:sz w:val="21"/>
          <w:szCs w:val="21"/>
        </w:rPr>
      </w:pPr>
      <w:r w:rsidRPr="00C02B05">
        <w:rPr>
          <w:rFonts w:ascii="SimHei" w:eastAsia="SimHei" w:hAnsi="SimHei" w:hint="eastAsia"/>
          <w:sz w:val="21"/>
          <w:szCs w:val="21"/>
        </w:rPr>
        <w:t>项目具体情况</w:t>
      </w:r>
    </w:p>
    <w:p w:rsidR="00AC28D6" w:rsidRPr="00361DF1" w:rsidRDefault="00AC28D6" w:rsidP="00361DF1">
      <w:pPr>
        <w:adjustRightInd w:val="0"/>
        <w:spacing w:afterLines="50" w:after="120" w:line="340" w:lineRule="atLeast"/>
        <w:jc w:val="both"/>
        <w:rPr>
          <w:rFonts w:ascii="SimSun" w:eastAsia="SimSun" w:hAnsi="SimSun"/>
          <w:sz w:val="21"/>
          <w:szCs w:val="21"/>
          <w:u w:val="single"/>
        </w:rPr>
      </w:pPr>
      <w:r w:rsidRPr="00361DF1">
        <w:rPr>
          <w:rFonts w:ascii="SimSun" w:eastAsia="SimSun" w:hAnsi="SimSun" w:hint="eastAsia"/>
          <w:sz w:val="21"/>
          <w:szCs w:val="21"/>
          <w:u w:val="single"/>
        </w:rPr>
        <w:t>最终目标</w:t>
      </w:r>
      <w:r w:rsidRPr="00361DF1">
        <w:rPr>
          <w:rFonts w:ascii="SimSun" w:eastAsia="SimSun" w:hAnsi="SimSun" w:hint="eastAsia"/>
          <w:sz w:val="21"/>
          <w:szCs w:val="21"/>
        </w:rPr>
        <w:t>：</w:t>
      </w:r>
    </w:p>
    <w:p w:rsidR="00AC28D6" w:rsidRPr="00361DF1" w:rsidRDefault="00AC28D6" w:rsidP="00361DF1">
      <w:pPr>
        <w:numPr>
          <w:ilvl w:val="0"/>
          <w:numId w:val="13"/>
        </w:numPr>
        <w:tabs>
          <w:tab w:val="clear" w:pos="928"/>
          <w:tab w:val="num" w:pos="1134"/>
        </w:tabs>
        <w:adjustRightInd w:val="0"/>
        <w:spacing w:afterLines="50" w:after="120" w:line="340" w:lineRule="atLeast"/>
        <w:ind w:left="567" w:firstLine="1"/>
        <w:jc w:val="both"/>
        <w:rPr>
          <w:rFonts w:ascii="SimSun" w:eastAsia="SimSun" w:hAnsi="SimSun"/>
          <w:sz w:val="21"/>
          <w:szCs w:val="21"/>
        </w:rPr>
      </w:pPr>
      <w:r w:rsidRPr="00361DF1">
        <w:rPr>
          <w:rFonts w:ascii="SimSun" w:eastAsia="SimSun" w:hAnsi="SimSun" w:hint="eastAsia"/>
          <w:sz w:val="21"/>
          <w:szCs w:val="21"/>
        </w:rPr>
        <w:t>通过减少盗版和假冒行为，改进针对创新产品和服务的本地市场环境；以及</w:t>
      </w:r>
    </w:p>
    <w:p w:rsidR="00AC28D6" w:rsidRPr="00361DF1" w:rsidRDefault="00AC28D6" w:rsidP="00361DF1">
      <w:pPr>
        <w:numPr>
          <w:ilvl w:val="0"/>
          <w:numId w:val="13"/>
        </w:numPr>
        <w:tabs>
          <w:tab w:val="clear" w:pos="928"/>
          <w:tab w:val="num" w:pos="1134"/>
        </w:tabs>
        <w:adjustRightInd w:val="0"/>
        <w:spacing w:afterLines="50" w:after="120" w:line="340" w:lineRule="atLeast"/>
        <w:ind w:left="567" w:firstLine="1"/>
        <w:jc w:val="both"/>
        <w:rPr>
          <w:rFonts w:ascii="SimSun" w:eastAsia="SimSun" w:hAnsi="SimSun"/>
          <w:sz w:val="21"/>
          <w:szCs w:val="21"/>
        </w:rPr>
      </w:pPr>
      <w:r w:rsidRPr="00361DF1">
        <w:rPr>
          <w:rFonts w:ascii="SimSun" w:eastAsia="SimSun" w:hAnsi="SimSun" w:hint="eastAsia"/>
          <w:sz w:val="21"/>
          <w:szCs w:val="21"/>
        </w:rPr>
        <w:t>通过提高全社会对知识产权和知识产权制度的理解和价值的认识，创建一个尊重知识产权的社会。</w:t>
      </w:r>
    </w:p>
    <w:p w:rsidR="00AC28D6" w:rsidRPr="00361DF1" w:rsidRDefault="00AC28D6" w:rsidP="00361DF1">
      <w:pPr>
        <w:adjustRightInd w:val="0"/>
        <w:spacing w:afterLines="50" w:after="120" w:line="340" w:lineRule="atLeast"/>
        <w:jc w:val="both"/>
        <w:rPr>
          <w:rFonts w:ascii="SimSun" w:eastAsia="SimSun" w:hAnsi="SimSun"/>
          <w:sz w:val="21"/>
          <w:szCs w:val="21"/>
          <w:u w:val="single"/>
        </w:rPr>
      </w:pPr>
      <w:r w:rsidRPr="00361DF1">
        <w:rPr>
          <w:rFonts w:ascii="SimSun" w:eastAsia="SimSun" w:hAnsi="SimSun" w:hint="eastAsia"/>
          <w:sz w:val="21"/>
          <w:szCs w:val="21"/>
          <w:u w:val="single"/>
        </w:rPr>
        <w:t>目</w:t>
      </w:r>
      <w:r w:rsidR="00361DF1">
        <w:rPr>
          <w:rFonts w:ascii="SimSun" w:eastAsia="SimSun" w:hAnsi="SimSun" w:hint="eastAsia"/>
          <w:sz w:val="21"/>
          <w:szCs w:val="21"/>
          <w:u w:val="single"/>
        </w:rPr>
        <w:t xml:space="preserve">  </w:t>
      </w:r>
      <w:r w:rsidRPr="00361DF1">
        <w:rPr>
          <w:rFonts w:ascii="SimSun" w:eastAsia="SimSun" w:hAnsi="SimSun" w:hint="eastAsia"/>
          <w:sz w:val="21"/>
          <w:szCs w:val="21"/>
          <w:u w:val="single"/>
        </w:rPr>
        <w:t>的</w:t>
      </w:r>
      <w:r w:rsidRPr="00361DF1">
        <w:rPr>
          <w:rFonts w:ascii="SimSun" w:eastAsia="SimSun" w:hAnsi="SimSun" w:hint="eastAsia"/>
          <w:sz w:val="21"/>
          <w:szCs w:val="21"/>
        </w:rPr>
        <w:t>：</w:t>
      </w:r>
    </w:p>
    <w:p w:rsidR="00AC28D6" w:rsidRPr="00361DF1" w:rsidRDefault="00AC28D6" w:rsidP="00361DF1">
      <w:pPr>
        <w:pStyle w:val="20"/>
        <w:adjustRightInd w:val="0"/>
        <w:spacing w:afterLines="50" w:after="120" w:line="340" w:lineRule="atLeast"/>
        <w:rPr>
          <w:rFonts w:ascii="SimSun" w:hAnsi="SimSun"/>
          <w:sz w:val="21"/>
          <w:szCs w:val="21"/>
        </w:rPr>
      </w:pPr>
      <w:r w:rsidRPr="00361DF1">
        <w:rPr>
          <w:rFonts w:ascii="SimSun" w:hAnsi="SimSun" w:hint="eastAsia"/>
          <w:sz w:val="21"/>
          <w:szCs w:val="21"/>
        </w:rPr>
        <w:t>面向知识产权制度利益攸关者开展知识产权教育、信息和培训活动。该计划面向七个群体，包括：</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政策决策者；</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公众；</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年轻人群(小学、中学)；</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执法官员；</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lastRenderedPageBreak/>
        <w:t>学术机构和研发中心；</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私营部门(重点面向中小企业和创作者)；以及</w:t>
      </w:r>
    </w:p>
    <w:p w:rsidR="00AC28D6" w:rsidRPr="00361DF1" w:rsidRDefault="00AC28D6" w:rsidP="00361DF1">
      <w:pPr>
        <w:numPr>
          <w:ilvl w:val="0"/>
          <w:numId w:val="11"/>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媒体。</w:t>
      </w:r>
    </w:p>
    <w:p w:rsidR="00AC28D6" w:rsidRPr="00361DF1" w:rsidRDefault="00AC28D6" w:rsidP="00361DF1">
      <w:pPr>
        <w:adjustRightInd w:val="0"/>
        <w:spacing w:afterLines="50" w:after="120" w:line="340" w:lineRule="atLeast"/>
        <w:jc w:val="both"/>
        <w:rPr>
          <w:rFonts w:ascii="SimSun" w:eastAsia="SimSun" w:hAnsi="SimSun"/>
          <w:sz w:val="21"/>
          <w:szCs w:val="21"/>
          <w:u w:val="single"/>
        </w:rPr>
      </w:pPr>
      <w:r w:rsidRPr="00361DF1">
        <w:rPr>
          <w:rFonts w:ascii="SimSun" w:eastAsia="SimSun" w:hAnsi="SimSun" w:hint="eastAsia"/>
          <w:sz w:val="21"/>
          <w:szCs w:val="21"/>
          <w:u w:val="single"/>
        </w:rPr>
        <w:t>目</w:t>
      </w:r>
      <w:r w:rsidR="00361DF1">
        <w:rPr>
          <w:rFonts w:ascii="SimSun" w:eastAsia="SimSun" w:hAnsi="SimSun" w:hint="eastAsia"/>
          <w:sz w:val="21"/>
          <w:szCs w:val="21"/>
          <w:u w:val="single"/>
        </w:rPr>
        <w:t xml:space="preserve">  </w:t>
      </w:r>
      <w:r w:rsidRPr="00361DF1">
        <w:rPr>
          <w:rFonts w:ascii="SimSun" w:eastAsia="SimSun" w:hAnsi="SimSun" w:hint="eastAsia"/>
          <w:sz w:val="21"/>
          <w:szCs w:val="21"/>
          <w:u w:val="single"/>
        </w:rPr>
        <w:t>标</w:t>
      </w:r>
      <w:r w:rsidRPr="00361DF1">
        <w:rPr>
          <w:rFonts w:ascii="SimSun" w:eastAsia="SimSun" w:hAnsi="SimSun" w:hint="eastAsia"/>
          <w:sz w:val="21"/>
          <w:szCs w:val="21"/>
        </w:rPr>
        <w:t>：</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政策决策者：提升对在社会经济可持续发展情况下知识产权效益的认识。</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公众：提升认识，促进对知识产权及其价值的尊重。</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年轻人群(小学、中学)：培养未来的创新者和创作者。</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执法官员：提升执法官员对于知识产权在社会经济发展中的重要性认识，改进并增强知识产权犯罪侦察和定罪的确定性。提高法律程序的成本和时间效力。</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学术机构和研发中心：提升知识产权意识，促进知识产权制度的使用为演讲者、学生和研究人员带来的益处。</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私营部门(重点面向中小企业和创作者)：鼓励对知识产权制度的理解和使用以及对国家经济增长的贡献。</w:t>
      </w:r>
    </w:p>
    <w:p w:rsidR="00AC28D6" w:rsidRPr="00361DF1" w:rsidRDefault="00AC28D6" w:rsidP="00361DF1">
      <w:pPr>
        <w:numPr>
          <w:ilvl w:val="0"/>
          <w:numId w:val="14"/>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媒体：使媒体能够在该战略中发挥主要作用，</w:t>
      </w:r>
      <w:proofErr w:type="gramStart"/>
      <w:r w:rsidRPr="00361DF1">
        <w:rPr>
          <w:rFonts w:ascii="SimSun" w:eastAsia="SimSun" w:hAnsi="SimSun" w:hint="eastAsia"/>
          <w:sz w:val="21"/>
          <w:szCs w:val="21"/>
        </w:rPr>
        <w:t>令媒体</w:t>
      </w:r>
      <w:proofErr w:type="gramEnd"/>
      <w:r w:rsidRPr="00361DF1">
        <w:rPr>
          <w:rFonts w:ascii="SimSun" w:eastAsia="SimSun" w:hAnsi="SimSun" w:hint="eastAsia"/>
          <w:sz w:val="21"/>
          <w:szCs w:val="21"/>
        </w:rPr>
        <w:t>理解该项目与国家的相关性至关重要。</w:t>
      </w:r>
    </w:p>
    <w:p w:rsidR="00AC28D6" w:rsidRPr="00361DF1" w:rsidRDefault="00AC28D6" w:rsidP="00361DF1">
      <w:pPr>
        <w:adjustRightInd w:val="0"/>
        <w:spacing w:afterLines="50" w:after="120" w:line="340" w:lineRule="atLeast"/>
        <w:jc w:val="both"/>
        <w:rPr>
          <w:rFonts w:ascii="SimSun" w:eastAsia="SimSun" w:hAnsi="SimSun"/>
          <w:sz w:val="21"/>
          <w:szCs w:val="21"/>
          <w:u w:val="single"/>
        </w:rPr>
      </w:pPr>
      <w:r w:rsidRPr="00361DF1">
        <w:rPr>
          <w:rFonts w:ascii="SimSun" w:eastAsia="SimSun" w:hAnsi="SimSun" w:hint="eastAsia"/>
          <w:sz w:val="21"/>
          <w:szCs w:val="21"/>
          <w:u w:val="single"/>
        </w:rPr>
        <w:t>问题和机遇</w:t>
      </w:r>
      <w:r w:rsidRPr="00361DF1">
        <w:rPr>
          <w:rFonts w:ascii="SimSun" w:eastAsia="SimSun" w:hAnsi="SimSun" w:hint="eastAsia"/>
          <w:sz w:val="21"/>
          <w:szCs w:val="21"/>
        </w:rPr>
        <w:t>：</w:t>
      </w:r>
    </w:p>
    <w:p w:rsidR="00AC28D6" w:rsidRPr="00361DF1" w:rsidRDefault="00AC28D6" w:rsidP="00361DF1">
      <w:pPr>
        <w:numPr>
          <w:ilvl w:val="0"/>
          <w:numId w:val="8"/>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目前，只有知识产权局在提供知识产权和知识产权制度方面的教育、信息和培训服务。在实现能够参与知识型经济的政策过程中，将大学和产业界其他培训机构以及在授课计划中提供知识产权教育、信息和培训的学校纳入进来，这一点至关重要。</w:t>
      </w:r>
    </w:p>
    <w:p w:rsidR="00AC28D6" w:rsidRPr="00361DF1" w:rsidRDefault="00AC28D6" w:rsidP="00361DF1">
      <w:pPr>
        <w:numPr>
          <w:ilvl w:val="0"/>
          <w:numId w:val="8"/>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政府已经着眼于创意产业的发展。知识产权制度是获得成功的方法。缺少对知识产权对于商业、竞争力和技术转让的增长和发展所带来的价值和重要性的理解会影响发展的动力。还有一种现象，就是众多有价值的知识产权被闲置而无法得到利用或在未得到利益分配或对创作者加以认可的情况下被他人盗版。盗版行为对创作者和创新者继续开展创作造成了阻碍。在特立尼达和多巴哥，音乐、视频和其他受版权保护的资料被盗版的水平和持续上升的趋势非常显著，需要得到关注。盗版行为存在于现有商业活动中。许多创作者，特别是那些狂欢节相关产业中的创作者对此趋势非常关注。他们担心非法盗版行为的屡禁不止会导致这一产业的消亡。知识产权局设立了一些委员会来对知识产权问题加以审查，这些委员会建议要对这些问题加以解决，并建议知识产权局继续开展教育、信息和培训活动来提供解决方案。</w:t>
      </w:r>
    </w:p>
    <w:p w:rsidR="00AC28D6" w:rsidRPr="00361DF1" w:rsidRDefault="00AC28D6" w:rsidP="00361DF1">
      <w:pPr>
        <w:numPr>
          <w:ilvl w:val="0"/>
          <w:numId w:val="9"/>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治理知识产权犯罪和知识产权执法工作未受重视或几乎并不存在。此外，许多人认为，仅靠法律并不能够解决这一问题，有必要在全社会中培养一种针对知识产权的道德价值观，从而催生出良好的行为。</w:t>
      </w:r>
    </w:p>
    <w:p w:rsidR="00AC28D6" w:rsidRPr="00361DF1" w:rsidRDefault="00AC28D6" w:rsidP="00361DF1">
      <w:pPr>
        <w:numPr>
          <w:ilvl w:val="0"/>
          <w:numId w:val="9"/>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知识产权局负有法定职责来提供专利信息服务，促进创造力，并在特立尼达和多巴哥提供知识产权教育信息和培训。知识产权</w:t>
      </w:r>
      <w:proofErr w:type="gramStart"/>
      <w:r w:rsidRPr="00361DF1">
        <w:rPr>
          <w:rFonts w:ascii="SimSun" w:eastAsia="SimSun" w:hAnsi="SimSun" w:hint="eastAsia"/>
          <w:sz w:val="21"/>
          <w:szCs w:val="21"/>
        </w:rPr>
        <w:t>局过去</w:t>
      </w:r>
      <w:proofErr w:type="gramEnd"/>
      <w:r w:rsidRPr="00361DF1">
        <w:rPr>
          <w:rFonts w:ascii="SimSun" w:eastAsia="SimSun" w:hAnsi="SimSun" w:hint="eastAsia"/>
          <w:sz w:val="21"/>
          <w:szCs w:val="21"/>
        </w:rPr>
        <w:t>曾开展过反盗版专项行动，教育、信息和培训计划，但开展的水平和</w:t>
      </w:r>
      <w:proofErr w:type="gramStart"/>
      <w:r w:rsidRPr="00361DF1">
        <w:rPr>
          <w:rFonts w:ascii="SimSun" w:eastAsia="SimSun" w:hAnsi="SimSun" w:hint="eastAsia"/>
          <w:sz w:val="21"/>
          <w:szCs w:val="21"/>
        </w:rPr>
        <w:t>可</w:t>
      </w:r>
      <w:proofErr w:type="gramEnd"/>
      <w:r w:rsidRPr="00361DF1">
        <w:rPr>
          <w:rFonts w:ascii="SimSun" w:eastAsia="SimSun" w:hAnsi="SimSun" w:hint="eastAsia"/>
          <w:sz w:val="21"/>
          <w:szCs w:val="21"/>
        </w:rPr>
        <w:t>持续性并未达到实现预期成果所需的程度。</w:t>
      </w:r>
    </w:p>
    <w:p w:rsidR="00AC28D6" w:rsidRPr="00361DF1" w:rsidRDefault="00AC28D6" w:rsidP="00361DF1">
      <w:pPr>
        <w:numPr>
          <w:ilvl w:val="0"/>
          <w:numId w:val="9"/>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创意产业利益攸关者呼吁知识产权局对知识产权盗版问题、知识产权的管理和商业化/货币化加以处理。</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hint="eastAsia"/>
          <w:sz w:val="21"/>
          <w:szCs w:val="21"/>
        </w:rPr>
        <w:lastRenderedPageBreak/>
        <w:t>知识产权局通过WIPO面向发展中国家的技术援助计划与WIPO三名顾问合作，该计划帮助知识产权局制定短期(</w:t>
      </w:r>
      <w:r w:rsidR="009E26ED" w:rsidRPr="00361DF1">
        <w:rPr>
          <w:rFonts w:ascii="SimSun" w:eastAsia="SimSun" w:hAnsi="SimSun" w:hint="eastAsia"/>
          <w:sz w:val="21"/>
          <w:szCs w:val="21"/>
        </w:rPr>
        <w:t>一</w:t>
      </w:r>
      <w:r w:rsidRPr="00361DF1">
        <w:rPr>
          <w:rFonts w:ascii="SimSun" w:eastAsia="SimSun" w:hAnsi="SimSun" w:hint="eastAsia"/>
          <w:sz w:val="21"/>
          <w:szCs w:val="21"/>
        </w:rPr>
        <w:t>年)公共教育和意识战略以及中期</w:t>
      </w:r>
      <w:r w:rsidR="009E26ED" w:rsidRPr="00361DF1">
        <w:rPr>
          <w:rFonts w:ascii="SimSun" w:eastAsia="SimSun" w:hAnsi="SimSun" w:hint="eastAsia"/>
          <w:sz w:val="21"/>
          <w:szCs w:val="21"/>
        </w:rPr>
        <w:t>(两</w:t>
      </w:r>
      <w:r w:rsidRPr="00361DF1">
        <w:rPr>
          <w:rFonts w:ascii="SimSun" w:eastAsia="SimSun" w:hAnsi="SimSun" w:hint="eastAsia"/>
          <w:sz w:val="21"/>
          <w:szCs w:val="21"/>
        </w:rPr>
        <w:t>年和</w:t>
      </w:r>
      <w:r w:rsidR="009E26ED" w:rsidRPr="00361DF1">
        <w:rPr>
          <w:rFonts w:ascii="SimSun" w:eastAsia="SimSun" w:hAnsi="SimSun" w:hint="eastAsia"/>
          <w:sz w:val="21"/>
          <w:szCs w:val="21"/>
        </w:rPr>
        <w:t>三</w:t>
      </w:r>
      <w:r w:rsidRPr="00361DF1">
        <w:rPr>
          <w:rFonts w:ascii="SimSun" w:eastAsia="SimSun" w:hAnsi="SimSun" w:hint="eastAsia"/>
          <w:sz w:val="21"/>
          <w:szCs w:val="21"/>
        </w:rPr>
        <w:t>年)教育、信息和培训战略，来解决以上这些问题。</w:t>
      </w:r>
    </w:p>
    <w:p w:rsidR="00AC28D6" w:rsidRPr="00C02B05" w:rsidRDefault="00AC28D6" w:rsidP="00C02B05">
      <w:pPr>
        <w:pStyle w:val="10"/>
        <w:numPr>
          <w:ilvl w:val="0"/>
          <w:numId w:val="19"/>
        </w:numPr>
        <w:adjustRightInd w:val="0"/>
        <w:spacing w:beforeLines="100" w:before="240" w:afterLines="100" w:after="240" w:line="340" w:lineRule="atLeast"/>
        <w:contextualSpacing w:val="0"/>
        <w:jc w:val="both"/>
        <w:rPr>
          <w:rFonts w:ascii="SimHei" w:eastAsia="SimHei" w:hAnsi="SimHei"/>
          <w:sz w:val="21"/>
          <w:szCs w:val="21"/>
        </w:rPr>
      </w:pPr>
      <w:r w:rsidRPr="00C02B05">
        <w:rPr>
          <w:rFonts w:ascii="SimHei" w:eastAsia="SimHei" w:hAnsi="SimHei" w:hint="eastAsia"/>
          <w:sz w:val="21"/>
          <w:szCs w:val="21"/>
        </w:rPr>
        <w:t>计划范围</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该计划是国家范围的，面向若干群体：政策决策者、公众、年轻人群(小学和中学)、执法官员、学术机构和研发中心、私营部门(重点面向中小企业和创作者)以及媒体。该计划会向跨领域人群提供教育、信息和培训(EIT)，旨在通过针对知识产权的产生、商业化和适当利用以及和知识产权制度的教育、信息和培训活动培养对知识产权和知识产权制度的认识和理解。该计划为期三年。WIPO通过其技术援助计划参与该计划。</w:t>
      </w:r>
    </w:p>
    <w:p w:rsidR="00AC28D6" w:rsidRPr="00C02B05" w:rsidRDefault="00AC28D6" w:rsidP="00C02B05">
      <w:pPr>
        <w:pStyle w:val="10"/>
        <w:numPr>
          <w:ilvl w:val="0"/>
          <w:numId w:val="19"/>
        </w:numPr>
        <w:adjustRightInd w:val="0"/>
        <w:spacing w:beforeLines="100" w:before="240" w:afterLines="100" w:after="240" w:line="340" w:lineRule="atLeast"/>
        <w:contextualSpacing w:val="0"/>
        <w:jc w:val="both"/>
        <w:rPr>
          <w:rFonts w:ascii="SimHei" w:eastAsia="SimHei" w:hAnsi="SimHei"/>
          <w:sz w:val="21"/>
          <w:szCs w:val="21"/>
        </w:rPr>
      </w:pPr>
      <w:r w:rsidRPr="00C02B05">
        <w:rPr>
          <w:rFonts w:ascii="SimHei" w:eastAsia="SimHei" w:hAnsi="SimHei" w:hint="eastAsia"/>
          <w:sz w:val="21"/>
          <w:szCs w:val="21"/>
        </w:rPr>
        <w:t>计划成果</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该计划的成果如下：</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完成了巡回展览的试运行，展品涉及所有知识产权领域，其来自于取得成功的创作者/发明者，为展览和广告提供支持以及为来访者提供信息。这一模式将被用于宣传活动，以提高对知识产权和知识产权制度的价值和重要性以及版权盗版和商标假冒行为带来的危害的认识。</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收集数字和印刷两种形式的信息资源材料，用以提高以下目标群体对知识产权的理解和认识水平：</w:t>
      </w:r>
    </w:p>
    <w:p w:rsidR="00AC28D6" w:rsidRPr="00361DF1" w:rsidRDefault="00AC28D6" w:rsidP="00361DF1">
      <w:pPr>
        <w:numPr>
          <w:ilvl w:val="1"/>
          <w:numId w:val="10"/>
        </w:numPr>
        <w:tabs>
          <w:tab w:val="clear" w:pos="1440"/>
          <w:tab w:val="num" w:pos="1134"/>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小学生：彩色图书、漫画书、知识产权和知识产权制度教学游戏；</w:t>
      </w:r>
    </w:p>
    <w:p w:rsidR="00AC28D6" w:rsidRPr="00361DF1" w:rsidRDefault="00AC28D6" w:rsidP="00361DF1">
      <w:pPr>
        <w:numPr>
          <w:ilvl w:val="1"/>
          <w:numId w:val="10"/>
        </w:numPr>
        <w:tabs>
          <w:tab w:val="clear" w:pos="1440"/>
          <w:tab w:val="num" w:pos="1134"/>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中学生：用于笔记本电脑的互动软件、漫画书、小册子等；</w:t>
      </w:r>
    </w:p>
    <w:p w:rsidR="00AC28D6" w:rsidRPr="00361DF1" w:rsidRDefault="00AC28D6" w:rsidP="00361DF1">
      <w:pPr>
        <w:numPr>
          <w:ilvl w:val="1"/>
          <w:numId w:val="10"/>
        </w:numPr>
        <w:tabs>
          <w:tab w:val="clear" w:pos="1440"/>
          <w:tab w:val="num" w:pos="1134"/>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大学生：关于各类知识产权及知识产权制度的小册子；以及</w:t>
      </w:r>
    </w:p>
    <w:p w:rsidR="00AC28D6" w:rsidRPr="00361DF1" w:rsidRDefault="00AC28D6" w:rsidP="00361DF1">
      <w:pPr>
        <w:numPr>
          <w:ilvl w:val="1"/>
          <w:numId w:val="10"/>
        </w:numPr>
        <w:tabs>
          <w:tab w:val="clear" w:pos="1440"/>
          <w:tab w:val="num" w:pos="1134"/>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公众：关于各类知识产权及知识产权制度信息的传单、散页印刷品、小册子。</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教育、信息和培训资料的汇编；用以应对中小企业、警署和海关官员所面临的知识产权问题的小册子/传单，并在知识产权局网站和办公场所公布。</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知识产权文献汇编，用以支持中小学校和大学以及其他高等学校(法学院、公共服务、警察和海关学院)的知识产权教学。这些汇编材料在知识产权局网站和办公场所公布。</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针对创作者/发明人、企业、特别是中小企业、孵化器和研发机构的知识产权巡回诊断中心，配合以工具来收集并记录数据、对数据加以分析以确定其“知识产权健康度”、并就修正措施进行报告/提出建议。</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向公众、公务员、经理人、中小企业、警署和海关官员、大学生、教师/讲师提供介绍性的知识产权课程，并由知识产权局等加以管理。</w:t>
      </w:r>
    </w:p>
    <w:p w:rsidR="00AC28D6" w:rsidRPr="00361DF1" w:rsidRDefault="00AC28D6" w:rsidP="00361DF1">
      <w:pPr>
        <w:numPr>
          <w:ilvl w:val="0"/>
          <w:numId w:val="10"/>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增强知识产权局管理《意识、教育、信息和培训计划》的能力，包括以下资源：</w:t>
      </w:r>
    </w:p>
    <w:p w:rsidR="00AC28D6" w:rsidRPr="00361DF1" w:rsidRDefault="00AC28D6" w:rsidP="00361DF1">
      <w:pPr>
        <w:numPr>
          <w:ilvl w:val="1"/>
          <w:numId w:val="10"/>
        </w:numPr>
        <w:tabs>
          <w:tab w:val="clear" w:pos="1440"/>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在知识产权局网站上开设信息资源的在线数字图书馆，知识产权局利用和管理新媒体的能力：将</w:t>
      </w:r>
      <w:r w:rsidR="004A344B">
        <w:rPr>
          <w:rFonts w:ascii="SimSun" w:eastAsia="SimSun" w:hAnsi="SimSun" w:hint="eastAsia"/>
          <w:sz w:val="21"/>
          <w:szCs w:val="21"/>
        </w:rPr>
        <w:t>Twitter</w:t>
      </w:r>
      <w:r w:rsidRPr="00361DF1">
        <w:rPr>
          <w:rFonts w:ascii="SimSun" w:eastAsia="SimSun" w:hAnsi="SimSun" w:hint="eastAsia"/>
          <w:sz w:val="21"/>
          <w:szCs w:val="21"/>
        </w:rPr>
        <w:t>、</w:t>
      </w:r>
      <w:r w:rsidRPr="004A344B">
        <w:rPr>
          <w:rFonts w:ascii="SimSun" w:eastAsia="SimSun" w:hAnsi="SimSun" w:hint="eastAsia"/>
          <w:sz w:val="21"/>
          <w:szCs w:val="21"/>
        </w:rPr>
        <w:t>YouTube和</w:t>
      </w:r>
      <w:r w:rsidR="004A344B" w:rsidRPr="004A344B">
        <w:rPr>
          <w:rFonts w:ascii="SimSun" w:eastAsia="SimSun" w:hAnsi="SimSun" w:hint="eastAsia"/>
          <w:sz w:val="21"/>
          <w:szCs w:val="21"/>
        </w:rPr>
        <w:t>Facebook</w:t>
      </w:r>
      <w:r w:rsidRPr="004A344B">
        <w:rPr>
          <w:rFonts w:ascii="SimSun" w:eastAsia="SimSun" w:hAnsi="SimSun" w:hint="eastAsia"/>
          <w:sz w:val="21"/>
          <w:szCs w:val="21"/>
        </w:rPr>
        <w:t>作为</w:t>
      </w:r>
      <w:r w:rsidRPr="00361DF1">
        <w:rPr>
          <w:rFonts w:ascii="SimSun" w:eastAsia="SimSun" w:hAnsi="SimSun" w:hint="eastAsia"/>
          <w:sz w:val="21"/>
          <w:szCs w:val="21"/>
        </w:rPr>
        <w:t>存储和向利益攸关者和公众广播/传播并交流知识产权相关信息资源的媒体/渠道；</w:t>
      </w:r>
    </w:p>
    <w:p w:rsidR="00AC28D6" w:rsidRPr="00361DF1" w:rsidRDefault="00AC28D6" w:rsidP="00361DF1">
      <w:pPr>
        <w:numPr>
          <w:ilvl w:val="1"/>
          <w:numId w:val="10"/>
        </w:numPr>
        <w:tabs>
          <w:tab w:val="clear" w:pos="1440"/>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lastRenderedPageBreak/>
        <w:t>在知识产权局开设技术图书馆职能，配以人力资源来管理上述的文献集；</w:t>
      </w:r>
    </w:p>
    <w:p w:rsidR="00AC28D6" w:rsidRPr="00361DF1" w:rsidRDefault="00AC28D6" w:rsidP="00361DF1">
      <w:pPr>
        <w:numPr>
          <w:ilvl w:val="1"/>
          <w:numId w:val="10"/>
        </w:numPr>
        <w:tabs>
          <w:tab w:val="clear" w:pos="1440"/>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加强知识产权局设计和管理知识产权基础培训计划的能力、通过WIPO和其他知识产权机构的技术援助来安排提供专家用以协助大学和学校等其他本地机构的能力、以及设计和管理知识产权教育、信息和培训计划的能力；</w:t>
      </w:r>
    </w:p>
    <w:p w:rsidR="00AC28D6" w:rsidRPr="00361DF1" w:rsidRDefault="00AC28D6" w:rsidP="00361DF1">
      <w:pPr>
        <w:numPr>
          <w:ilvl w:val="1"/>
          <w:numId w:val="10"/>
        </w:numPr>
        <w:tabs>
          <w:tab w:val="clear" w:pos="1440"/>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知识产权局利用数字视频设备来记录、编辑、复制和显示视频资料以及复制CD、DVD和其他数字信息产品以便向公众和利益攸关者加以传播的能力；</w:t>
      </w:r>
    </w:p>
    <w:p w:rsidR="00AC28D6" w:rsidRPr="00361DF1" w:rsidRDefault="00AC28D6" w:rsidP="00361DF1">
      <w:pPr>
        <w:numPr>
          <w:ilvl w:val="1"/>
          <w:numId w:val="10"/>
        </w:numPr>
        <w:tabs>
          <w:tab w:val="clear" w:pos="1440"/>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积极参与全球知识产权学院网络，以吸收信息和新技术，改进知识产权局在管理《意识、教育、信息和培训计划》方面的效率和有效性。</w:t>
      </w:r>
    </w:p>
    <w:p w:rsidR="00AC28D6" w:rsidRPr="00C02B05" w:rsidRDefault="00AC28D6" w:rsidP="00C02B05">
      <w:pPr>
        <w:pStyle w:val="10"/>
        <w:numPr>
          <w:ilvl w:val="0"/>
          <w:numId w:val="19"/>
        </w:numPr>
        <w:adjustRightInd w:val="0"/>
        <w:spacing w:beforeLines="100" w:before="240" w:afterLines="100" w:after="240" w:line="340" w:lineRule="atLeast"/>
        <w:contextualSpacing w:val="0"/>
        <w:jc w:val="both"/>
        <w:rPr>
          <w:rFonts w:ascii="SimHei" w:eastAsia="SimHei" w:hAnsi="SimHei"/>
          <w:sz w:val="21"/>
          <w:szCs w:val="21"/>
        </w:rPr>
      </w:pPr>
      <w:r w:rsidRPr="00C02B05">
        <w:rPr>
          <w:rFonts w:ascii="SimHei" w:eastAsia="SimHei" w:hAnsi="SimHei" w:hint="eastAsia"/>
          <w:sz w:val="21"/>
          <w:szCs w:val="21"/>
        </w:rPr>
        <w:t>预期收效和成果</w:t>
      </w:r>
    </w:p>
    <w:p w:rsidR="00AC28D6" w:rsidRPr="00361DF1" w:rsidRDefault="00AC28D6" w:rsidP="00361DF1">
      <w:pPr>
        <w:numPr>
          <w:ilvl w:val="0"/>
          <w:numId w:val="12"/>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全社会和各机构充分了解信息，更好地理解和认识知识产权和知识产权问题；</w:t>
      </w:r>
    </w:p>
    <w:p w:rsidR="00AC28D6" w:rsidRPr="00361DF1" w:rsidRDefault="00AC28D6" w:rsidP="00361DF1">
      <w:pPr>
        <w:numPr>
          <w:ilvl w:val="0"/>
          <w:numId w:val="12"/>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减少盗版和假冒商品和服务，改善创意作品的本地市场环境。这会为创作者/创新者进一步开展创造提供一种激励机制；</w:t>
      </w:r>
    </w:p>
    <w:p w:rsidR="00AC28D6" w:rsidRPr="00361DF1" w:rsidRDefault="00AC28D6" w:rsidP="00361DF1">
      <w:pPr>
        <w:numPr>
          <w:ilvl w:val="0"/>
          <w:numId w:val="12"/>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创作者/发明人的数量增长，进入市场的创意产品和服务的数量和品种也增长；</w:t>
      </w:r>
    </w:p>
    <w:p w:rsidR="00AC28D6" w:rsidRPr="00361DF1" w:rsidRDefault="00AC28D6" w:rsidP="00361DF1">
      <w:pPr>
        <w:numPr>
          <w:ilvl w:val="0"/>
          <w:numId w:val="12"/>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本地创意产业和研发机构的进一步增长和发展；</w:t>
      </w:r>
    </w:p>
    <w:p w:rsidR="00AC28D6" w:rsidRPr="00361DF1" w:rsidRDefault="00AC28D6" w:rsidP="00361DF1">
      <w:pPr>
        <w:numPr>
          <w:ilvl w:val="0"/>
          <w:numId w:val="12"/>
        </w:numPr>
        <w:tabs>
          <w:tab w:val="clear" w:pos="720"/>
          <w:tab w:val="num" w:pos="1134"/>
        </w:tabs>
        <w:adjustRightInd w:val="0"/>
        <w:spacing w:afterLines="50" w:after="120" w:line="340" w:lineRule="atLeast"/>
        <w:ind w:left="567" w:firstLine="0"/>
        <w:jc w:val="both"/>
        <w:rPr>
          <w:rFonts w:ascii="SimSun" w:eastAsia="SimSun" w:hAnsi="SimSun"/>
          <w:sz w:val="21"/>
          <w:szCs w:val="21"/>
        </w:rPr>
      </w:pPr>
      <w:r w:rsidRPr="00361DF1">
        <w:rPr>
          <w:rFonts w:ascii="SimSun" w:eastAsia="SimSun" w:hAnsi="SimSun" w:hint="eastAsia"/>
          <w:sz w:val="21"/>
          <w:szCs w:val="21"/>
        </w:rPr>
        <w:t>更加了解以下方面的相关政策需求：</w:t>
      </w:r>
    </w:p>
    <w:p w:rsidR="00AC28D6" w:rsidRPr="00361DF1" w:rsidRDefault="00AC28D6" w:rsidP="00361DF1">
      <w:pPr>
        <w:numPr>
          <w:ilvl w:val="1"/>
          <w:numId w:val="12"/>
        </w:numPr>
        <w:tabs>
          <w:tab w:val="clear" w:pos="1440"/>
          <w:tab w:val="num" w:pos="1134"/>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知识产权犯罪的治理和执法；以及</w:t>
      </w:r>
    </w:p>
    <w:p w:rsidR="00AC28D6" w:rsidRPr="00361DF1" w:rsidRDefault="00AC28D6" w:rsidP="00361DF1">
      <w:pPr>
        <w:numPr>
          <w:ilvl w:val="1"/>
          <w:numId w:val="12"/>
        </w:numPr>
        <w:tabs>
          <w:tab w:val="clear" w:pos="1440"/>
          <w:tab w:val="num" w:pos="1134"/>
          <w:tab w:val="num" w:pos="1701"/>
        </w:tabs>
        <w:adjustRightInd w:val="0"/>
        <w:spacing w:afterLines="50" w:after="120" w:line="340" w:lineRule="atLeast"/>
        <w:ind w:left="1134" w:firstLine="0"/>
        <w:jc w:val="both"/>
        <w:rPr>
          <w:rFonts w:ascii="SimSun" w:eastAsia="SimSun" w:hAnsi="SimSun"/>
          <w:sz w:val="21"/>
          <w:szCs w:val="21"/>
        </w:rPr>
      </w:pPr>
      <w:r w:rsidRPr="00361DF1">
        <w:rPr>
          <w:rFonts w:ascii="SimSun" w:eastAsia="SimSun" w:hAnsi="SimSun" w:hint="eastAsia"/>
          <w:sz w:val="21"/>
          <w:szCs w:val="21"/>
        </w:rPr>
        <w:t>学校和大学中的知识产权教育工作。</w:t>
      </w:r>
    </w:p>
    <w:p w:rsidR="00AC28D6" w:rsidRPr="00C02B05" w:rsidRDefault="004A344B" w:rsidP="00C02B05">
      <w:pPr>
        <w:pStyle w:val="10"/>
        <w:numPr>
          <w:ilvl w:val="0"/>
          <w:numId w:val="19"/>
        </w:numPr>
        <w:adjustRightInd w:val="0"/>
        <w:spacing w:beforeLines="100" w:before="240" w:afterLines="100" w:after="240" w:line="340" w:lineRule="atLeast"/>
        <w:contextualSpacing w:val="0"/>
        <w:jc w:val="both"/>
        <w:rPr>
          <w:rFonts w:ascii="SimHei" w:eastAsia="SimHei" w:hAnsi="SimHei"/>
          <w:sz w:val="21"/>
          <w:szCs w:val="21"/>
        </w:rPr>
      </w:pPr>
      <w:r>
        <w:rPr>
          <w:rFonts w:ascii="SimHei" w:eastAsia="SimHei" w:hAnsi="SimHei" w:hint="eastAsia"/>
          <w:sz w:val="21"/>
          <w:szCs w:val="21"/>
        </w:rPr>
        <w:t>结束语</w:t>
      </w:r>
    </w:p>
    <w:p w:rsidR="00AC28D6" w:rsidRPr="00361DF1" w:rsidRDefault="00AC28D6" w:rsidP="00361DF1">
      <w:pPr>
        <w:adjustRightInd w:val="0"/>
        <w:spacing w:afterLines="50" w:after="120" w:line="340" w:lineRule="atLeast"/>
        <w:jc w:val="both"/>
        <w:rPr>
          <w:rFonts w:ascii="SimSun" w:eastAsia="SimSun" w:hAnsi="SimSun"/>
          <w:sz w:val="21"/>
          <w:szCs w:val="21"/>
        </w:rPr>
      </w:pPr>
      <w:r w:rsidRPr="00361DF1">
        <w:rPr>
          <w:rFonts w:ascii="SimSun" w:eastAsia="SimSun" w:hAnsi="SimSun"/>
          <w:sz w:val="21"/>
          <w:szCs w:val="21"/>
        </w:rPr>
        <w:fldChar w:fldCharType="begin"/>
      </w:r>
      <w:r w:rsidRPr="00361DF1">
        <w:rPr>
          <w:rFonts w:ascii="SimSun" w:eastAsia="SimSun" w:hAnsi="SimSun"/>
          <w:sz w:val="21"/>
          <w:szCs w:val="21"/>
        </w:rPr>
        <w:instrText xml:space="preserve"> AUTONUM  </w:instrText>
      </w:r>
      <w:r w:rsidRPr="00361DF1">
        <w:rPr>
          <w:rFonts w:ascii="SimSun" w:eastAsia="SimSun" w:hAnsi="SimSun"/>
          <w:sz w:val="21"/>
          <w:szCs w:val="21"/>
        </w:rPr>
        <w:fldChar w:fldCharType="end"/>
      </w:r>
      <w:r w:rsidR="00361DF1">
        <w:rPr>
          <w:rFonts w:ascii="SimSun" w:eastAsia="SimSun" w:hAnsi="SimSun"/>
          <w:sz w:val="21"/>
          <w:szCs w:val="21"/>
        </w:rPr>
        <w:t>.</w:t>
      </w:r>
      <w:r w:rsidR="00361DF1">
        <w:rPr>
          <w:rFonts w:ascii="SimSun" w:eastAsia="SimSun" w:hAnsi="SimSun"/>
          <w:sz w:val="21"/>
          <w:szCs w:val="21"/>
        </w:rPr>
        <w:tab/>
      </w:r>
      <w:r w:rsidRPr="00361DF1">
        <w:rPr>
          <w:rFonts w:ascii="SimSun" w:eastAsia="SimSun" w:hAnsi="SimSun" w:hint="eastAsia"/>
          <w:sz w:val="21"/>
          <w:szCs w:val="21"/>
        </w:rPr>
        <w:t>该项目有望实现其各项目的与目标。其还有望能够对诸如知识产权战略、版权产业对GDP贡献的量化研究、国家知识产权政策和国家创新政策这样的政府其他倡议和政策所带来的成果加以补充和增强。特立尼达和多巴哥关注向知识型经济的转型趋势，并认为这是知识产权制度的管理者、使用者和消费者都需要做好的准备工作。</w:t>
      </w:r>
    </w:p>
    <w:p w:rsidR="00821B4E" w:rsidRPr="00361DF1" w:rsidRDefault="00821B4E" w:rsidP="00361DF1">
      <w:pPr>
        <w:adjustRightInd w:val="0"/>
        <w:spacing w:afterLines="50" w:after="120" w:line="340" w:lineRule="atLeast"/>
        <w:jc w:val="both"/>
        <w:rPr>
          <w:rFonts w:ascii="SimSun" w:eastAsia="SimSun" w:hAnsi="SimSun"/>
          <w:sz w:val="21"/>
          <w:szCs w:val="21"/>
        </w:rPr>
      </w:pPr>
    </w:p>
    <w:p w:rsidR="00AC28D6" w:rsidRPr="00361DF1" w:rsidRDefault="00AC28D6" w:rsidP="004A344B">
      <w:pPr>
        <w:adjustRightInd w:val="0"/>
        <w:spacing w:afterLines="50" w:after="120" w:line="340" w:lineRule="atLeast"/>
        <w:ind w:left="5534"/>
        <w:jc w:val="both"/>
        <w:rPr>
          <w:rFonts w:ascii="KaiTi" w:eastAsia="KaiTi" w:hAnsi="KaiTi"/>
          <w:sz w:val="21"/>
          <w:szCs w:val="21"/>
        </w:rPr>
      </w:pPr>
      <w:r w:rsidRPr="00361DF1">
        <w:rPr>
          <w:rFonts w:ascii="KaiTi" w:eastAsia="KaiTi" w:hAnsi="KaiTi"/>
          <w:sz w:val="21"/>
          <w:szCs w:val="21"/>
        </w:rPr>
        <w:t>[</w:t>
      </w:r>
      <w:r w:rsidRPr="00361DF1">
        <w:rPr>
          <w:rFonts w:ascii="KaiTi" w:eastAsia="KaiTi" w:hAnsi="KaiTi" w:hint="eastAsia"/>
          <w:sz w:val="21"/>
          <w:szCs w:val="21"/>
        </w:rPr>
        <w:t>文件完</w:t>
      </w:r>
      <w:r w:rsidRPr="00361DF1">
        <w:rPr>
          <w:rFonts w:ascii="KaiTi" w:eastAsia="KaiTi" w:hAnsi="KaiTi"/>
          <w:sz w:val="21"/>
          <w:szCs w:val="21"/>
        </w:rPr>
        <w:t>]</w:t>
      </w:r>
    </w:p>
    <w:sectPr w:rsidR="00AC28D6" w:rsidRPr="00361DF1">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D6" w:rsidRDefault="00AC28D6">
      <w:r>
        <w:separator/>
      </w:r>
    </w:p>
  </w:endnote>
  <w:endnote w:type="continuationSeparator" w:id="0">
    <w:p w:rsidR="00AC28D6" w:rsidRDefault="00AC28D6">
      <w:r>
        <w:separator/>
      </w:r>
    </w:p>
    <w:p w:rsidR="00AC28D6" w:rsidRDefault="00AC28D6">
      <w:pPr>
        <w:spacing w:after="60"/>
        <w:rPr>
          <w:sz w:val="17"/>
        </w:rPr>
      </w:pPr>
      <w:r>
        <w:rPr>
          <w:sz w:val="17"/>
        </w:rPr>
        <w:t>[Endnote continued from previous page]</w:t>
      </w:r>
    </w:p>
  </w:endnote>
  <w:endnote w:type="continuationNotice" w:id="1">
    <w:p w:rsidR="00AC28D6" w:rsidRDefault="00AC28D6">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D6" w:rsidRDefault="00AC28D6">
      <w:r>
        <w:separator/>
      </w:r>
    </w:p>
  </w:footnote>
  <w:footnote w:type="continuationSeparator" w:id="0">
    <w:p w:rsidR="00AC28D6" w:rsidRDefault="00AC28D6">
      <w:r>
        <w:separator/>
      </w:r>
    </w:p>
    <w:p w:rsidR="00AC28D6" w:rsidRDefault="00AC28D6">
      <w:pPr>
        <w:spacing w:after="60"/>
        <w:rPr>
          <w:sz w:val="17"/>
          <w:szCs w:val="17"/>
        </w:rPr>
      </w:pPr>
      <w:r>
        <w:rPr>
          <w:sz w:val="17"/>
          <w:szCs w:val="17"/>
        </w:rPr>
        <w:t>[Footnote continued from previous page]</w:t>
      </w:r>
    </w:p>
  </w:footnote>
  <w:footnote w:type="continuationNotice" w:id="1">
    <w:p w:rsidR="00AC28D6" w:rsidRDefault="00AC28D6">
      <w:pPr>
        <w:spacing w:before="60"/>
        <w:jc w:val="right"/>
        <w:rPr>
          <w:sz w:val="17"/>
          <w:szCs w:val="17"/>
        </w:rPr>
      </w:pPr>
      <w:r>
        <w:rPr>
          <w:sz w:val="17"/>
          <w:szCs w:val="17"/>
        </w:rPr>
        <w:t>[Footnote continued on next page]</w:t>
      </w:r>
    </w:p>
  </w:footnote>
  <w:footnote w:id="2">
    <w:p w:rsidR="004A344B" w:rsidRPr="004A344B" w:rsidRDefault="004A344B" w:rsidP="004A344B">
      <w:pPr>
        <w:spacing w:line="320" w:lineRule="atLeast"/>
        <w:rPr>
          <w:rFonts w:ascii="SimSun" w:eastAsia="SimSun" w:hAnsi="SimSun"/>
          <w:sz w:val="18"/>
          <w:szCs w:val="21"/>
        </w:rPr>
      </w:pPr>
      <w:r w:rsidRPr="004A344B">
        <w:rPr>
          <w:rStyle w:val="ae"/>
          <w:rFonts w:ascii="SimSun" w:eastAsia="SimSun" w:hAnsi="SimSun" w:cs="Arial"/>
          <w:sz w:val="18"/>
          <w:szCs w:val="21"/>
        </w:rPr>
        <w:footnoteRef/>
      </w:r>
      <w:r w:rsidRPr="004A344B">
        <w:rPr>
          <w:rFonts w:ascii="SimSun" w:eastAsia="SimSun" w:hAnsi="SimSun"/>
          <w:sz w:val="18"/>
          <w:szCs w:val="21"/>
        </w:rPr>
        <w:t xml:space="preserve"> </w:t>
      </w:r>
      <w:r w:rsidRPr="004A344B">
        <w:rPr>
          <w:rFonts w:ascii="SimSun" w:eastAsia="SimSun" w:hAnsi="SimSun"/>
          <w:sz w:val="18"/>
          <w:szCs w:val="21"/>
        </w:rPr>
        <w:tab/>
      </w:r>
      <w:r w:rsidRPr="004A344B">
        <w:rPr>
          <w:rFonts w:ascii="SimSun" w:eastAsia="SimSun" w:hAnsi="SimSun" w:hint="eastAsia"/>
          <w:sz w:val="18"/>
          <w:szCs w:val="21"/>
        </w:rPr>
        <w:t>本文所表达的观点只代表作者观点，并不一定代表秘书处或WIPO成员国的观点。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F2" w:rsidRPr="00C02B05" w:rsidRDefault="009636F2">
    <w:pPr>
      <w:jc w:val="right"/>
      <w:rPr>
        <w:rFonts w:ascii="SimSun" w:eastAsia="SimSun" w:hAnsi="SimSun"/>
        <w:sz w:val="21"/>
        <w:szCs w:val="21"/>
        <w:lang w:val="fr-FR"/>
      </w:rPr>
    </w:pPr>
    <w:bookmarkStart w:id="5" w:name="Code2"/>
    <w:bookmarkEnd w:id="5"/>
    <w:r w:rsidRPr="00C02B05">
      <w:rPr>
        <w:rFonts w:ascii="SimSun" w:eastAsia="SimSun" w:hAnsi="SimSun"/>
        <w:sz w:val="21"/>
        <w:szCs w:val="21"/>
        <w:lang w:val="fr-FR"/>
      </w:rPr>
      <w:t>WIPO/ACE/9/15</w:t>
    </w:r>
  </w:p>
  <w:p w:rsidR="009636F2" w:rsidRDefault="009636F2">
    <w:pPr>
      <w:jc w:val="right"/>
      <w:rPr>
        <w:rFonts w:ascii="SimSun" w:eastAsia="SimSun" w:hAnsi="SimSun"/>
        <w:sz w:val="21"/>
        <w:szCs w:val="21"/>
      </w:rPr>
    </w:pPr>
    <w:r w:rsidRPr="00C02B05">
      <w:rPr>
        <w:rFonts w:ascii="SimSun" w:eastAsia="SimSun" w:hAnsi="SimSun" w:hint="eastAsia"/>
        <w:sz w:val="21"/>
        <w:szCs w:val="21"/>
        <w:lang w:val="fr-FR"/>
      </w:rPr>
      <w:t>第</w:t>
    </w:r>
    <w:r w:rsidRPr="00C02B05">
      <w:rPr>
        <w:rFonts w:ascii="SimSun" w:eastAsia="SimSun" w:hAnsi="SimSun"/>
        <w:sz w:val="21"/>
        <w:szCs w:val="21"/>
      </w:rPr>
      <w:fldChar w:fldCharType="begin"/>
    </w:r>
    <w:r w:rsidRPr="00C02B05">
      <w:rPr>
        <w:rFonts w:ascii="SimSun" w:eastAsia="SimSun" w:hAnsi="SimSun"/>
        <w:sz w:val="21"/>
        <w:szCs w:val="21"/>
        <w:lang w:val="fr-FR"/>
      </w:rPr>
      <w:instrText xml:space="preserve"> PAGE  \* MERGEFORMAT </w:instrText>
    </w:r>
    <w:r w:rsidRPr="00C02B05">
      <w:rPr>
        <w:rFonts w:ascii="SimSun" w:eastAsia="SimSun" w:hAnsi="SimSun"/>
        <w:sz w:val="21"/>
        <w:szCs w:val="21"/>
      </w:rPr>
      <w:fldChar w:fldCharType="separate"/>
    </w:r>
    <w:r w:rsidR="00472370">
      <w:rPr>
        <w:rFonts w:ascii="SimSun" w:eastAsia="SimSun" w:hAnsi="SimSun"/>
        <w:noProof/>
        <w:sz w:val="21"/>
        <w:szCs w:val="21"/>
        <w:lang w:val="fr-FR"/>
      </w:rPr>
      <w:t>6</w:t>
    </w:r>
    <w:r w:rsidRPr="00C02B05">
      <w:rPr>
        <w:rFonts w:ascii="SimSun" w:eastAsia="SimSun" w:hAnsi="SimSun"/>
        <w:sz w:val="21"/>
        <w:szCs w:val="21"/>
      </w:rPr>
      <w:fldChar w:fldCharType="end"/>
    </w:r>
    <w:r w:rsidRPr="00C02B05">
      <w:rPr>
        <w:rFonts w:ascii="SimSun" w:eastAsia="SimSun" w:hAnsi="SimSun" w:hint="eastAsia"/>
        <w:sz w:val="21"/>
        <w:szCs w:val="21"/>
      </w:rPr>
      <w:t>页</w:t>
    </w:r>
  </w:p>
  <w:p w:rsidR="00C02B05" w:rsidRPr="00C02B05" w:rsidRDefault="00C02B05">
    <w:pPr>
      <w:jc w:val="right"/>
      <w:rPr>
        <w:rFonts w:ascii="SimSun" w:eastAsia="SimSun" w:hAnsi="SimSun"/>
        <w:sz w:val="21"/>
        <w:szCs w:val="21"/>
        <w:lang w:val="fr-FR"/>
      </w:rPr>
    </w:pPr>
  </w:p>
  <w:p w:rsidR="009636F2" w:rsidRDefault="009636F2">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F402C31"/>
    <w:multiLevelType w:val="hybridMultilevel"/>
    <w:tmpl w:val="028032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BF4C34"/>
    <w:multiLevelType w:val="hybridMultilevel"/>
    <w:tmpl w:val="60E0040E"/>
    <w:lvl w:ilvl="0" w:tplc="0409000F">
      <w:start w:val="1"/>
      <w:numFmt w:val="decimal"/>
      <w:lvlText w:val="%1."/>
      <w:lvlJc w:val="left"/>
      <w:pPr>
        <w:tabs>
          <w:tab w:val="num" w:pos="928"/>
        </w:tabs>
        <w:ind w:left="928" w:hanging="360"/>
      </w:pPr>
      <w:rPr>
        <w:rFonts w:cs="Times New Roman"/>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29142042"/>
    <w:multiLevelType w:val="hybridMultilevel"/>
    <w:tmpl w:val="CA9A1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562B70"/>
    <w:multiLevelType w:val="hybridMultilevel"/>
    <w:tmpl w:val="E074807A"/>
    <w:lvl w:ilvl="0" w:tplc="2032933C">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152D8B"/>
    <w:multiLevelType w:val="hybridMultilevel"/>
    <w:tmpl w:val="CF4E9A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9974C3"/>
    <w:multiLevelType w:val="hybridMultilevel"/>
    <w:tmpl w:val="DBB89FCC"/>
    <w:lvl w:ilvl="0" w:tplc="94A4EA7A">
      <w:start w:val="2"/>
      <w:numFmt w:val="japaneseCounting"/>
      <w:lvlText w:val="%1、"/>
      <w:lvlJc w:val="left"/>
      <w:pPr>
        <w:ind w:left="996" w:hanging="456"/>
      </w:pPr>
      <w:rPr>
        <w:rFonts w:eastAsia="SimSun"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EAB49F8"/>
    <w:multiLevelType w:val="hybridMultilevel"/>
    <w:tmpl w:val="447CD55A"/>
    <w:lvl w:ilvl="0" w:tplc="044AE290">
      <w:start w:val="1"/>
      <w:numFmt w:val="upperRoman"/>
      <w:lvlText w:val="%1."/>
      <w:lvlJc w:val="left"/>
      <w:pPr>
        <w:ind w:left="72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241BFD"/>
    <w:multiLevelType w:val="hybridMultilevel"/>
    <w:tmpl w:val="01985B38"/>
    <w:lvl w:ilvl="0" w:tplc="8B22299E">
      <w:start w:val="1"/>
      <w:numFmt w:val="upperRoman"/>
      <w:lvlText w:val="%1."/>
      <w:lvlJc w:val="left"/>
      <w:pPr>
        <w:ind w:left="72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9B7F64"/>
    <w:multiLevelType w:val="hybridMultilevel"/>
    <w:tmpl w:val="C4D257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603C358F"/>
    <w:multiLevelType w:val="hybridMultilevel"/>
    <w:tmpl w:val="160621C0"/>
    <w:lvl w:ilvl="0" w:tplc="08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79E214E9"/>
    <w:multiLevelType w:val="hybridMultilevel"/>
    <w:tmpl w:val="18FA8D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7CBD44B6"/>
    <w:multiLevelType w:val="hybridMultilevel"/>
    <w:tmpl w:val="E2125A1E"/>
    <w:lvl w:ilvl="0" w:tplc="45DA17E4">
      <w:start w:val="2"/>
      <w:numFmt w:val="japaneseCounting"/>
      <w:lvlText w:val="%1、"/>
      <w:lvlJc w:val="left"/>
      <w:pPr>
        <w:ind w:left="456" w:hanging="456"/>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9"/>
  </w:num>
  <w:num w:numId="4">
    <w:abstractNumId w:val="0"/>
  </w:num>
  <w:num w:numId="5">
    <w:abstractNumId w:val="11"/>
  </w:num>
  <w:num w:numId="6">
    <w:abstractNumId w:val="1"/>
  </w:num>
  <w:num w:numId="7">
    <w:abstractNumId w:val="5"/>
  </w:num>
  <w:num w:numId="8">
    <w:abstractNumId w:val="6"/>
  </w:num>
  <w:num w:numId="9">
    <w:abstractNumId w:val="16"/>
  </w:num>
  <w:num w:numId="10">
    <w:abstractNumId w:val="15"/>
  </w:num>
  <w:num w:numId="11">
    <w:abstractNumId w:val="14"/>
  </w:num>
  <w:num w:numId="12">
    <w:abstractNumId w:val="2"/>
  </w:num>
  <w:num w:numId="13">
    <w:abstractNumId w:val="3"/>
  </w:num>
  <w:num w:numId="14">
    <w:abstractNumId w:val="8"/>
  </w:num>
  <w:num w:numId="15">
    <w:abstractNumId w:val="13"/>
  </w:num>
  <w:num w:numId="16">
    <w:abstractNumId w:val="7"/>
  </w:num>
  <w:num w:numId="17">
    <w:abstractNumId w:val="1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5121"/>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ED"/>
    <w:rsid w:val="00361DF1"/>
    <w:rsid w:val="00472370"/>
    <w:rsid w:val="004A344B"/>
    <w:rsid w:val="004A45E7"/>
    <w:rsid w:val="005727FD"/>
    <w:rsid w:val="00821B4E"/>
    <w:rsid w:val="009636F2"/>
    <w:rsid w:val="009E26ED"/>
    <w:rsid w:val="00A10864"/>
    <w:rsid w:val="00AC28D6"/>
    <w:rsid w:val="00C02B05"/>
    <w:rsid w:val="00F9282F"/>
    <w:rsid w:val="00FC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Times New Roma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pPr>
      <w:tabs>
        <w:tab w:val="center" w:pos="4320"/>
        <w:tab w:val="right" w:pos="8640"/>
      </w:tabs>
    </w:pPr>
  </w:style>
  <w:style w:type="paragraph" w:customStyle="1" w:styleId="Meetingtitle">
    <w:name w:val="Meeting title"/>
    <w:basedOn w:val="a0"/>
    <w:next w:val="a0"/>
    <w:pPr>
      <w:spacing w:line="336" w:lineRule="exact"/>
      <w:ind w:left="1021"/>
    </w:pPr>
    <w:rPr>
      <w:rFonts w:eastAsia="Batang" w:cs="Times New Roman"/>
      <w:b/>
      <w:sz w:val="28"/>
      <w:lang w:eastAsia="en-US"/>
    </w:rPr>
  </w:style>
  <w:style w:type="paragraph" w:styleId="a9">
    <w:name w:val="footnote text"/>
    <w:basedOn w:val="a0"/>
    <w:semiHidden/>
    <w:rPr>
      <w:sz w:val="18"/>
    </w:rPr>
  </w:style>
  <w:style w:type="paragraph" w:styleId="aa">
    <w:name w:val="header"/>
    <w:basedOn w:val="a0"/>
    <w:pPr>
      <w:tabs>
        <w:tab w:val="center" w:pos="4536"/>
        <w:tab w:val="right" w:pos="9072"/>
      </w:tabs>
    </w:pPr>
  </w:style>
  <w:style w:type="paragraph" w:styleId="a">
    <w:name w:val="List Number"/>
    <w:basedOn w:val="a0"/>
    <w:pPr>
      <w:numPr>
        <w:numId w:val="5"/>
      </w:numPr>
    </w:pPr>
  </w:style>
  <w:style w:type="paragraph" w:customStyle="1" w:styleId="ONUME">
    <w:name w:val="ONUM E"/>
    <w:basedOn w:val="a4"/>
    <w:pPr>
      <w:numPr>
        <w:numId w:val="6"/>
      </w:numPr>
    </w:pPr>
  </w:style>
  <w:style w:type="paragraph" w:customStyle="1" w:styleId="ONUMFS">
    <w:name w:val="ONUM FS"/>
    <w:basedOn w:val="a4"/>
    <w:pPr>
      <w:numPr>
        <w:numId w:val="7"/>
      </w:numPr>
    </w:pPr>
  </w:style>
  <w:style w:type="paragraph" w:styleId="ab">
    <w:name w:val="Salutation"/>
    <w:basedOn w:val="a0"/>
    <w:next w:val="a0"/>
  </w:style>
  <w:style w:type="paragraph" w:styleId="ac">
    <w:name w:val="Signature"/>
    <w:basedOn w:val="a0"/>
    <w:pPr>
      <w:ind w:left="5250"/>
    </w:p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a0"/>
    <w:pPr>
      <w:spacing w:before="0"/>
      <w:contextualSpacing w:val="0"/>
    </w:pPr>
  </w:style>
  <w:style w:type="paragraph" w:styleId="ad">
    <w:name w:val="Balloon Text"/>
    <w:basedOn w:val="a0"/>
    <w:rPr>
      <w:rFonts w:ascii="Tahoma" w:hAnsi="Tahoma" w:cs="Tahoma"/>
      <w:sz w:val="16"/>
      <w:szCs w:val="16"/>
    </w:rPr>
  </w:style>
  <w:style w:type="character" w:customStyle="1" w:styleId="BalloonTextChar">
    <w:name w:val="Balloon Text Char"/>
    <w:basedOn w:val="a1"/>
    <w:locked/>
    <w:rPr>
      <w:rFonts w:ascii="Tahoma" w:eastAsia="Times New Roman" w:hAnsi="Tahoma" w:cs="Tahoma"/>
      <w:sz w:val="16"/>
      <w:szCs w:val="16"/>
      <w:lang w:val="x-none" w:eastAsia="zh-CN"/>
    </w:rPr>
  </w:style>
  <w:style w:type="paragraph" w:customStyle="1" w:styleId="10">
    <w:name w:val="列出段落1"/>
    <w:basedOn w:val="a0"/>
    <w:pPr>
      <w:ind w:left="720"/>
      <w:contextualSpacing/>
    </w:pPr>
  </w:style>
  <w:style w:type="character" w:styleId="ae">
    <w:name w:val="footnote reference"/>
    <w:basedOn w:val="a1"/>
    <w:semiHidden/>
    <w:rPr>
      <w:rFonts w:cs="Times New Roman"/>
      <w:vertAlign w:val="superscript"/>
    </w:rPr>
  </w:style>
  <w:style w:type="character" w:styleId="af">
    <w:name w:val="annotation reference"/>
    <w:basedOn w:val="a1"/>
    <w:semiHidden/>
    <w:rPr>
      <w:rFonts w:cs="Times New Roman"/>
      <w:sz w:val="16"/>
      <w:szCs w:val="16"/>
    </w:rPr>
  </w:style>
  <w:style w:type="paragraph" w:styleId="af0">
    <w:name w:val="annotation subject"/>
    <w:basedOn w:val="a6"/>
    <w:next w:val="a6"/>
    <w:rPr>
      <w:b/>
      <w:bCs/>
      <w:sz w:val="20"/>
    </w:rPr>
  </w:style>
  <w:style w:type="character" w:customStyle="1" w:styleId="CommentTextChar">
    <w:name w:val="Comment Text Char"/>
    <w:basedOn w:val="a1"/>
    <w:semiHidden/>
    <w:locked/>
    <w:rPr>
      <w:rFonts w:ascii="Arial" w:eastAsia="Times New Roman" w:hAnsi="Arial" w:cs="Arial"/>
      <w:sz w:val="18"/>
      <w:lang w:val="x-none" w:eastAsia="zh-CN"/>
    </w:rPr>
  </w:style>
  <w:style w:type="character" w:customStyle="1" w:styleId="CommentSubjectChar">
    <w:name w:val="Comment Subject Char"/>
    <w:basedOn w:val="CommentTextChar"/>
    <w:locked/>
    <w:rPr>
      <w:rFonts w:ascii="Arial" w:eastAsia="Times New Roman" w:hAnsi="Arial" w:cs="Arial"/>
      <w:b/>
      <w:bCs/>
      <w:sz w:val="18"/>
      <w:lang w:val="x-none" w:eastAsia="zh-CN"/>
    </w:rPr>
  </w:style>
  <w:style w:type="paragraph" w:styleId="20">
    <w:name w:val="Body Text 2"/>
    <w:basedOn w:val="a0"/>
    <w:pPr>
      <w:jc w:val="both"/>
    </w:pPr>
    <w:rPr>
      <w:rFonts w:eastAsia="SimSu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Times New Roma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pPr>
      <w:tabs>
        <w:tab w:val="center" w:pos="4320"/>
        <w:tab w:val="right" w:pos="8640"/>
      </w:tabs>
    </w:pPr>
  </w:style>
  <w:style w:type="paragraph" w:customStyle="1" w:styleId="Meetingtitle">
    <w:name w:val="Meeting title"/>
    <w:basedOn w:val="a0"/>
    <w:next w:val="a0"/>
    <w:pPr>
      <w:spacing w:line="336" w:lineRule="exact"/>
      <w:ind w:left="1021"/>
    </w:pPr>
    <w:rPr>
      <w:rFonts w:eastAsia="Batang" w:cs="Times New Roman"/>
      <w:b/>
      <w:sz w:val="28"/>
      <w:lang w:eastAsia="en-US"/>
    </w:rPr>
  </w:style>
  <w:style w:type="paragraph" w:styleId="a9">
    <w:name w:val="footnote text"/>
    <w:basedOn w:val="a0"/>
    <w:semiHidden/>
    <w:rPr>
      <w:sz w:val="18"/>
    </w:rPr>
  </w:style>
  <w:style w:type="paragraph" w:styleId="aa">
    <w:name w:val="header"/>
    <w:basedOn w:val="a0"/>
    <w:pPr>
      <w:tabs>
        <w:tab w:val="center" w:pos="4536"/>
        <w:tab w:val="right" w:pos="9072"/>
      </w:tabs>
    </w:pPr>
  </w:style>
  <w:style w:type="paragraph" w:styleId="a">
    <w:name w:val="List Number"/>
    <w:basedOn w:val="a0"/>
    <w:pPr>
      <w:numPr>
        <w:numId w:val="5"/>
      </w:numPr>
    </w:pPr>
  </w:style>
  <w:style w:type="paragraph" w:customStyle="1" w:styleId="ONUME">
    <w:name w:val="ONUM E"/>
    <w:basedOn w:val="a4"/>
    <w:pPr>
      <w:numPr>
        <w:numId w:val="6"/>
      </w:numPr>
    </w:pPr>
  </w:style>
  <w:style w:type="paragraph" w:customStyle="1" w:styleId="ONUMFS">
    <w:name w:val="ONUM FS"/>
    <w:basedOn w:val="a4"/>
    <w:pPr>
      <w:numPr>
        <w:numId w:val="7"/>
      </w:numPr>
    </w:pPr>
  </w:style>
  <w:style w:type="paragraph" w:styleId="ab">
    <w:name w:val="Salutation"/>
    <w:basedOn w:val="a0"/>
    <w:next w:val="a0"/>
  </w:style>
  <w:style w:type="paragraph" w:styleId="ac">
    <w:name w:val="Signature"/>
    <w:basedOn w:val="a0"/>
    <w:pPr>
      <w:ind w:left="5250"/>
    </w:p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a0"/>
    <w:pPr>
      <w:spacing w:before="0"/>
      <w:contextualSpacing w:val="0"/>
    </w:pPr>
  </w:style>
  <w:style w:type="paragraph" w:styleId="ad">
    <w:name w:val="Balloon Text"/>
    <w:basedOn w:val="a0"/>
    <w:rPr>
      <w:rFonts w:ascii="Tahoma" w:hAnsi="Tahoma" w:cs="Tahoma"/>
      <w:sz w:val="16"/>
      <w:szCs w:val="16"/>
    </w:rPr>
  </w:style>
  <w:style w:type="character" w:customStyle="1" w:styleId="BalloonTextChar">
    <w:name w:val="Balloon Text Char"/>
    <w:basedOn w:val="a1"/>
    <w:locked/>
    <w:rPr>
      <w:rFonts w:ascii="Tahoma" w:eastAsia="Times New Roman" w:hAnsi="Tahoma" w:cs="Tahoma"/>
      <w:sz w:val="16"/>
      <w:szCs w:val="16"/>
      <w:lang w:val="x-none" w:eastAsia="zh-CN"/>
    </w:rPr>
  </w:style>
  <w:style w:type="paragraph" w:customStyle="1" w:styleId="10">
    <w:name w:val="列出段落1"/>
    <w:basedOn w:val="a0"/>
    <w:pPr>
      <w:ind w:left="720"/>
      <w:contextualSpacing/>
    </w:pPr>
  </w:style>
  <w:style w:type="character" w:styleId="ae">
    <w:name w:val="footnote reference"/>
    <w:basedOn w:val="a1"/>
    <w:semiHidden/>
    <w:rPr>
      <w:rFonts w:cs="Times New Roman"/>
      <w:vertAlign w:val="superscript"/>
    </w:rPr>
  </w:style>
  <w:style w:type="character" w:styleId="af">
    <w:name w:val="annotation reference"/>
    <w:basedOn w:val="a1"/>
    <w:semiHidden/>
    <w:rPr>
      <w:rFonts w:cs="Times New Roman"/>
      <w:sz w:val="16"/>
      <w:szCs w:val="16"/>
    </w:rPr>
  </w:style>
  <w:style w:type="paragraph" w:styleId="af0">
    <w:name w:val="annotation subject"/>
    <w:basedOn w:val="a6"/>
    <w:next w:val="a6"/>
    <w:rPr>
      <w:b/>
      <w:bCs/>
      <w:sz w:val="20"/>
    </w:rPr>
  </w:style>
  <w:style w:type="character" w:customStyle="1" w:styleId="CommentTextChar">
    <w:name w:val="Comment Text Char"/>
    <w:basedOn w:val="a1"/>
    <w:semiHidden/>
    <w:locked/>
    <w:rPr>
      <w:rFonts w:ascii="Arial" w:eastAsia="Times New Roman" w:hAnsi="Arial" w:cs="Arial"/>
      <w:sz w:val="18"/>
      <w:lang w:val="x-none" w:eastAsia="zh-CN"/>
    </w:rPr>
  </w:style>
  <w:style w:type="character" w:customStyle="1" w:styleId="CommentSubjectChar">
    <w:name w:val="Comment Subject Char"/>
    <w:basedOn w:val="CommentTextChar"/>
    <w:locked/>
    <w:rPr>
      <w:rFonts w:ascii="Arial" w:eastAsia="Times New Roman" w:hAnsi="Arial" w:cs="Arial"/>
      <w:b/>
      <w:bCs/>
      <w:sz w:val="18"/>
      <w:lang w:val="x-none" w:eastAsia="zh-CN"/>
    </w:rPr>
  </w:style>
  <w:style w:type="paragraph" w:styleId="20">
    <w:name w:val="Body Text 2"/>
    <w:basedOn w:val="a0"/>
    <w:pPr>
      <w:jc w:val="both"/>
    </w:pPr>
    <w:rPr>
      <w:rFonts w:eastAsia="SimSu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2014-01-24T14:08:00Z</dcterms:created>
  <dcterms:modified xsi:type="dcterms:W3CDTF">2014-01-24T14:35:00Z</dcterms:modified>
</cp:coreProperties>
</file>