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60AD2" w:rsidRPr="0089232A" w:rsidTr="00EC22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60AD2" w:rsidRPr="0089232A" w:rsidRDefault="00960AD2" w:rsidP="00EC224E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89232A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67A8AEAE" wp14:editId="4D423EB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0AD2" w:rsidRPr="0089232A" w:rsidRDefault="00960AD2" w:rsidP="00EC224E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0AD2" w:rsidRPr="0089232A" w:rsidRDefault="00960AD2" w:rsidP="00EC224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89232A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960AD2" w:rsidRPr="0089232A" w:rsidTr="00EC22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60AD2" w:rsidRPr="0089232A" w:rsidRDefault="00960AD2" w:rsidP="00F12011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lI</w:t>
            </w:r>
            <w:r w:rsidRPr="0089232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R/PM</w:t>
            </w:r>
            <w:r w:rsidRPr="0089232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1" w:name="Code"/>
            <w:bookmarkEnd w:id="1"/>
            <w:r w:rsidR="00F12011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</w:p>
        </w:tc>
      </w:tr>
      <w:tr w:rsidR="00960AD2" w:rsidRPr="0089232A" w:rsidTr="00EC22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60AD2" w:rsidRPr="0089232A" w:rsidRDefault="00960AD2" w:rsidP="00EC224E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89232A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英文</w:t>
            </w:r>
          </w:p>
        </w:tc>
      </w:tr>
      <w:tr w:rsidR="00960AD2" w:rsidRPr="0089232A" w:rsidTr="00EC22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60AD2" w:rsidRPr="0089232A" w:rsidRDefault="00960AD2" w:rsidP="000B73C9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89232A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2014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8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0B73C9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25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89232A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  <w:bookmarkStart w:id="3" w:name="TitleOfDoc"/>
      <w:bookmarkEnd w:id="3"/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Default="00960AD2" w:rsidP="00960AD2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>
        <w:rPr>
          <w:rFonts w:ascii="SimHei" w:eastAsia="SimHei" w:hAnsi="Arial" w:cs="Arial" w:hint="eastAsia"/>
          <w:sz w:val="28"/>
          <w:szCs w:val="28"/>
          <w:lang w:eastAsia="zh-CN"/>
        </w:rPr>
        <w:t>通过经修订的原产地名称和地理标志里斯本协定</w:t>
      </w:r>
      <w:r>
        <w:rPr>
          <w:rFonts w:ascii="SimHei" w:eastAsia="SimHei" w:hAnsi="Arial" w:cs="Arial"/>
          <w:sz w:val="28"/>
          <w:szCs w:val="28"/>
          <w:lang w:eastAsia="zh-CN"/>
        </w:rPr>
        <w:br/>
      </w:r>
      <w:r>
        <w:rPr>
          <w:rFonts w:ascii="SimHei" w:eastAsia="SimHei" w:hAnsi="Arial" w:cs="Arial" w:hint="eastAsia"/>
          <w:sz w:val="28"/>
          <w:szCs w:val="28"/>
          <w:lang w:eastAsia="zh-CN"/>
        </w:rPr>
        <w:t>外交会议筹备委员会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lang w:eastAsia="zh-CN"/>
        </w:rPr>
      </w:pPr>
    </w:p>
    <w:p w:rsidR="00960AD2" w:rsidRPr="00312A45" w:rsidRDefault="00960AD2" w:rsidP="00960AD2">
      <w:pPr>
        <w:spacing w:after="0" w:line="240" w:lineRule="auto"/>
        <w:rPr>
          <w:rFonts w:ascii="Arial" w:hAnsi="Arial" w:cs="Arial"/>
          <w:szCs w:val="24"/>
          <w:lang w:eastAsia="zh-CN"/>
        </w:rPr>
      </w:pPr>
    </w:p>
    <w:p w:rsidR="00960AD2" w:rsidRPr="0089232A" w:rsidRDefault="00960AD2" w:rsidP="00960AD2">
      <w:pPr>
        <w:spacing w:after="0" w:line="360" w:lineRule="atLeast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89232A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4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30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日</w:t>
      </w:r>
      <w:r>
        <w:rPr>
          <w:rFonts w:ascii="KaiTi" w:eastAsia="KaiTi" w:hAnsi="KaiTi" w:cs="Arial" w:hint="eastAsia"/>
          <w:b/>
          <w:sz w:val="24"/>
          <w:szCs w:val="24"/>
          <w:lang w:eastAsia="zh-CN"/>
        </w:rPr>
        <w:t>和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31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89232A" w:rsidRDefault="002F23C2" w:rsidP="002F23C2">
      <w:pPr>
        <w:spacing w:after="0" w:line="360" w:lineRule="atLeast"/>
        <w:rPr>
          <w:rFonts w:ascii="KaiTi" w:eastAsia="KaiTi" w:hAnsi="KaiTi" w:cs="Arial"/>
          <w:sz w:val="24"/>
          <w:szCs w:val="32"/>
          <w:lang w:eastAsia="zh-CN"/>
        </w:rPr>
      </w:pPr>
      <w:r w:rsidRPr="00F42C59">
        <w:rPr>
          <w:rFonts w:ascii="KaiTi" w:eastAsia="KaiTi" w:hAnsi="KaiTi" w:cs="Arial" w:hint="eastAsia"/>
          <w:sz w:val="24"/>
          <w:szCs w:val="32"/>
          <w:lang w:eastAsia="zh-CN"/>
        </w:rPr>
        <w:t>外交会议的议程、日期</w:t>
      </w:r>
      <w:r>
        <w:rPr>
          <w:rFonts w:ascii="KaiTi" w:eastAsia="KaiTi" w:hAnsi="KaiTi" w:cs="Arial" w:hint="eastAsia"/>
          <w:sz w:val="24"/>
          <w:szCs w:val="32"/>
          <w:lang w:eastAsia="zh-CN"/>
        </w:rPr>
        <w:t>和</w:t>
      </w:r>
      <w:r w:rsidRPr="00F42C59">
        <w:rPr>
          <w:rFonts w:ascii="KaiTi" w:eastAsia="KaiTi" w:hAnsi="KaiTi" w:cs="Arial" w:hint="eastAsia"/>
          <w:sz w:val="24"/>
          <w:szCs w:val="32"/>
          <w:lang w:eastAsia="zh-CN"/>
        </w:rPr>
        <w:t>地点</w:t>
      </w:r>
    </w:p>
    <w:p w:rsidR="002F23C2" w:rsidRPr="0089232A" w:rsidRDefault="002F23C2" w:rsidP="002F23C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89232A" w:rsidRDefault="002F23C2" w:rsidP="002F23C2">
      <w:pPr>
        <w:spacing w:after="0" w:line="240" w:lineRule="auto"/>
        <w:rPr>
          <w:rFonts w:ascii="KaiTi" w:eastAsia="KaiTi" w:hAnsi="KaiTi" w:cs="Arial"/>
          <w:i/>
          <w:sz w:val="21"/>
          <w:szCs w:val="21"/>
          <w:lang w:eastAsia="zh-CN"/>
        </w:rPr>
      </w:pPr>
      <w:r>
        <w:rPr>
          <w:rFonts w:ascii="KaiTi" w:eastAsia="KaiTi" w:hAnsi="KaiTi" w:cs="Arial" w:hint="eastAsia"/>
          <w:i/>
          <w:sz w:val="21"/>
          <w:szCs w:val="21"/>
          <w:lang w:eastAsia="zh-CN"/>
        </w:rPr>
        <w:t>总干事编拟</w:t>
      </w:r>
    </w:p>
    <w:p w:rsidR="002F23C2" w:rsidRPr="0089232A" w:rsidRDefault="002F23C2" w:rsidP="002F23C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89232A" w:rsidRDefault="002F23C2" w:rsidP="002F23C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Default="002F23C2" w:rsidP="002F23C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89232A" w:rsidRDefault="002F23C2" w:rsidP="002F23C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2F23C2" w:rsidRPr="00312A45" w:rsidRDefault="002F23C2" w:rsidP="002F23C2">
      <w:pPr>
        <w:spacing w:after="0" w:line="240" w:lineRule="auto"/>
        <w:rPr>
          <w:rFonts w:ascii="SimSun" w:hAnsi="SimSun"/>
          <w:lang w:eastAsia="zh-CN"/>
        </w:rPr>
      </w:pPr>
      <w:r w:rsidRPr="00312A45">
        <w:rPr>
          <w:rFonts w:ascii="SimSun" w:hAnsi="SimSun"/>
          <w:lang w:eastAsia="zh-CN"/>
        </w:rPr>
        <w:br w:type="page"/>
      </w:r>
    </w:p>
    <w:p w:rsidR="002F23C2" w:rsidRPr="002F23C2" w:rsidRDefault="002F23C2" w:rsidP="002F23C2">
      <w:pPr>
        <w:spacing w:afterLines="50" w:after="120" w:line="240" w:lineRule="auto"/>
        <w:rPr>
          <w:rFonts w:ascii="SimHei" w:eastAsia="SimHei" w:hAnsi="SimHei" w:cs="Arial"/>
          <w:sz w:val="21"/>
          <w:szCs w:val="24"/>
          <w:u w:val="single"/>
          <w:lang w:eastAsia="zh-CN"/>
        </w:rPr>
      </w:pPr>
      <w:r w:rsidRPr="002F23C2">
        <w:rPr>
          <w:rFonts w:ascii="SimHei" w:eastAsia="SimHei" w:hAnsi="SimHei" w:cs="Arial" w:hint="eastAsia"/>
          <w:sz w:val="21"/>
          <w:szCs w:val="24"/>
          <w:u w:val="single"/>
          <w:lang w:eastAsia="zh-CN"/>
        </w:rPr>
        <w:lastRenderedPageBreak/>
        <w:t>导　言</w:t>
      </w:r>
    </w:p>
    <w:p w:rsidR="002F23C2" w:rsidRPr="00312A45" w:rsidRDefault="00BD5434" w:rsidP="00F12011">
      <w:pPr>
        <w:pStyle w:val="ListBullet"/>
      </w:pPr>
      <w:r w:rsidRPr="00312A45">
        <w:rPr>
          <w:rFonts w:hint="eastAsia"/>
        </w:rPr>
        <w:t>里斯本联盟大会在2008年9月22日至30日举行的第二十三届会议</w:t>
      </w:r>
      <w:r w:rsidR="00F12011">
        <w:rPr>
          <w:rFonts w:hint="eastAsia"/>
        </w:rPr>
        <w:t>(</w:t>
      </w:r>
      <w:r w:rsidRPr="00312A45">
        <w:rPr>
          <w:rFonts w:hint="eastAsia"/>
        </w:rPr>
        <w:t>第6次特别会议</w:t>
      </w:r>
      <w:r w:rsidR="00F12011">
        <w:rPr>
          <w:rFonts w:hint="eastAsia"/>
        </w:rPr>
        <w:t>)</w:t>
      </w:r>
      <w:r w:rsidRPr="00312A45">
        <w:rPr>
          <w:rFonts w:hint="eastAsia"/>
        </w:rPr>
        <w:t>上，成立了里斯本体系发展问题工作组</w:t>
      </w:r>
      <w:r w:rsidR="00F12011">
        <w:rPr>
          <w:rFonts w:hint="eastAsia"/>
        </w:rPr>
        <w:t>(</w:t>
      </w:r>
      <w:r w:rsidRPr="00312A45">
        <w:rPr>
          <w:rFonts w:hint="eastAsia"/>
        </w:rPr>
        <w:t>下称“工作组”</w:t>
      </w:r>
      <w:r w:rsidR="00F12011">
        <w:rPr>
          <w:rFonts w:hint="eastAsia"/>
        </w:rPr>
        <w:t>)</w:t>
      </w:r>
      <w:r w:rsidRPr="00312A45">
        <w:rPr>
          <w:rFonts w:hint="eastAsia"/>
        </w:rPr>
        <w:t>，</w:t>
      </w:r>
      <w:r w:rsidR="00C13F78" w:rsidRPr="00312A45">
        <w:rPr>
          <w:rFonts w:cs="Times New Roman" w:hint="eastAsia"/>
        </w:rPr>
        <w:t>负责研究《里斯本协定》下各项程序的可能</w:t>
      </w:r>
      <w:r w:rsidR="00C13F78" w:rsidRPr="00F12011">
        <w:rPr>
          <w:rFonts w:hint="eastAsia"/>
        </w:rPr>
        <w:t>改进</w:t>
      </w:r>
      <w:r w:rsidR="00C13F78" w:rsidRPr="00312A45">
        <w:rPr>
          <w:rFonts w:cs="Times New Roman" w:hint="eastAsia"/>
        </w:rPr>
        <w:t>。工作组</w:t>
      </w:r>
      <w:r w:rsidRPr="00312A45">
        <w:rPr>
          <w:rFonts w:hint="eastAsia"/>
        </w:rPr>
        <w:t>由里斯本联盟的所有成员组成，其他WIPO成员国和有关的组织</w:t>
      </w:r>
      <w:r w:rsidR="00C13F78" w:rsidRPr="00312A45">
        <w:rPr>
          <w:rFonts w:hint="eastAsia"/>
        </w:rPr>
        <w:t>可</w:t>
      </w:r>
      <w:r w:rsidRPr="00312A45">
        <w:rPr>
          <w:rFonts w:hint="eastAsia"/>
        </w:rPr>
        <w:t>作为观察员</w:t>
      </w:r>
      <w:r w:rsidR="00C13F78" w:rsidRPr="00312A45">
        <w:rPr>
          <w:rFonts w:hint="eastAsia"/>
        </w:rPr>
        <w:t>参加。</w:t>
      </w:r>
      <w:r w:rsidRPr="00312A45">
        <w:rPr>
          <w:rFonts w:hint="eastAsia"/>
        </w:rPr>
        <w:t>在2009年9月22日至10月1日举行的第二十五届会议</w:t>
      </w:r>
      <w:r w:rsidR="00F12011">
        <w:rPr>
          <w:rFonts w:hint="eastAsia"/>
        </w:rPr>
        <w:t>(</w:t>
      </w:r>
      <w:r w:rsidRPr="00312A45">
        <w:rPr>
          <w:rFonts w:hint="eastAsia"/>
        </w:rPr>
        <w:t>第18次例会</w:t>
      </w:r>
      <w:r w:rsidR="00F12011">
        <w:rPr>
          <w:rFonts w:hint="eastAsia"/>
        </w:rPr>
        <w:t>)</w:t>
      </w:r>
      <w:r w:rsidRPr="00312A45">
        <w:rPr>
          <w:rFonts w:hint="eastAsia"/>
        </w:rPr>
        <w:t>上，大会鉴于有必要作出改进，</w:t>
      </w:r>
      <w:r w:rsidR="00C13F78" w:rsidRPr="00312A45">
        <w:rPr>
          <w:rFonts w:hint="eastAsia"/>
        </w:rPr>
        <w:t>提高</w:t>
      </w:r>
      <w:r w:rsidRPr="00312A45">
        <w:rPr>
          <w:rFonts w:hint="eastAsia"/>
        </w:rPr>
        <w:t>里斯本体系</w:t>
      </w:r>
      <w:r w:rsidR="00C13F78" w:rsidRPr="00312A45">
        <w:rPr>
          <w:rFonts w:hint="eastAsia"/>
        </w:rPr>
        <w:t>对各国和用户的吸引力，同时</w:t>
      </w:r>
      <w:r w:rsidR="00C13F78" w:rsidRPr="00312A45">
        <w:rPr>
          <w:rFonts w:cs="SimSun" w:hint="eastAsia"/>
        </w:rPr>
        <w:t>保持《里斯本协定》</w:t>
      </w:r>
      <w:r w:rsidR="00C60533">
        <w:rPr>
          <w:rFonts w:cs="SimSun" w:hint="eastAsia"/>
        </w:rPr>
        <w:t>的</w:t>
      </w:r>
      <w:r w:rsidR="00C13F78" w:rsidRPr="00312A45">
        <w:rPr>
          <w:rFonts w:cs="SimSun" w:hint="eastAsia"/>
        </w:rPr>
        <w:t>各项原则和目标，</w:t>
      </w:r>
      <w:r w:rsidRPr="00312A45">
        <w:rPr>
          <w:rFonts w:hint="eastAsia"/>
        </w:rPr>
        <w:t>授权工作组对里斯本体系进行全面审查</w:t>
      </w:r>
      <w:r w:rsidR="00F12011">
        <w:rPr>
          <w:rFonts w:cs="SimSun" w:hint="eastAsia"/>
        </w:rPr>
        <w:t>(</w:t>
      </w:r>
      <w:r w:rsidRPr="00312A45">
        <w:rPr>
          <w:rFonts w:cs="SimSun" w:hint="eastAsia"/>
        </w:rPr>
        <w:t>文件</w:t>
      </w:r>
      <w:r w:rsidRPr="00312A45">
        <w:rPr>
          <w:rFonts w:hint="eastAsia"/>
        </w:rPr>
        <w:t>LI/A/25/</w:t>
      </w:r>
      <w:r w:rsidR="00C13F78" w:rsidRPr="00312A45">
        <w:rPr>
          <w:rFonts w:hint="eastAsia"/>
        </w:rPr>
        <w:t>1和2</w:t>
      </w:r>
      <w:r w:rsidR="00F12011">
        <w:rPr>
          <w:rFonts w:cs="SimSun" w:hint="eastAsia"/>
        </w:rPr>
        <w:t>)</w:t>
      </w:r>
      <w:r w:rsidRPr="00312A45">
        <w:rPr>
          <w:rFonts w:cs="SimSun" w:hint="eastAsia"/>
        </w:rPr>
        <w:t>。</w:t>
      </w:r>
    </w:p>
    <w:p w:rsidR="002F23C2" w:rsidRPr="00312A45" w:rsidRDefault="00C13F78" w:rsidP="00F12011">
      <w:pPr>
        <w:pStyle w:val="ListBullet"/>
      </w:pPr>
      <w:r w:rsidRPr="00312A45">
        <w:rPr>
          <w:rFonts w:asciiTheme="minorEastAsia" w:hAnsiTheme="minorEastAsia" w:hint="eastAsia"/>
        </w:rPr>
        <w:t>2012年以来，这项审查的重点是：</w:t>
      </w:r>
      <w:r w:rsidR="00BD5434" w:rsidRPr="00312A45">
        <w:rPr>
          <w:rFonts w:hint="eastAsia"/>
        </w:rPr>
        <w:t>(i)修订《里斯本协定》，包括完善其目前的法律框架和增加政府间组织加入的可能性，同时保持该《协定》的各项原则和目标；以及(ii)建立一个地理标志国际注册体系。</w:t>
      </w:r>
    </w:p>
    <w:p w:rsidR="002F23C2" w:rsidRPr="00F12011" w:rsidRDefault="00BD5434" w:rsidP="00F12011">
      <w:pPr>
        <w:pStyle w:val="ListBullet"/>
      </w:pPr>
      <w:r w:rsidRPr="00F12011">
        <w:rPr>
          <w:rFonts w:hint="eastAsia"/>
        </w:rPr>
        <w:t>在</w:t>
      </w:r>
      <w:r w:rsidR="000B73C9" w:rsidRPr="00F12011">
        <w:rPr>
          <w:rFonts w:hint="eastAsia"/>
        </w:rPr>
        <w:t>2013年9月23日至10月2日</w:t>
      </w:r>
      <w:r w:rsidR="000B73C9">
        <w:rPr>
          <w:rFonts w:hint="eastAsia"/>
        </w:rPr>
        <w:t>举行的</w:t>
      </w:r>
      <w:r w:rsidRPr="00F12011">
        <w:rPr>
          <w:rFonts w:hint="eastAsia"/>
        </w:rPr>
        <w:t>第二十九届会议(第20次例会)上，里斯本联盟大会批准于2015年召开通过经修订的原产地名称和地理标志里斯本协定外交会议，具体时间和地点将由</w:t>
      </w:r>
      <w:r w:rsidR="00C13F78" w:rsidRPr="00F12011">
        <w:rPr>
          <w:rFonts w:hint="eastAsia"/>
        </w:rPr>
        <w:t>该次外交会议的</w:t>
      </w:r>
      <w:r w:rsidRPr="00F12011">
        <w:rPr>
          <w:rFonts w:hint="eastAsia"/>
        </w:rPr>
        <w:t>筹备委员会决定</w:t>
      </w:r>
      <w:r w:rsidR="00C13F78" w:rsidRPr="00F12011">
        <w:t>(</w:t>
      </w:r>
      <w:r w:rsidR="00C13F78" w:rsidRPr="00F12011">
        <w:rPr>
          <w:rFonts w:hAnsiTheme="minorEastAsia" w:hint="eastAsia"/>
        </w:rPr>
        <w:t>见文件</w:t>
      </w:r>
      <w:r w:rsidR="00C13F78" w:rsidRPr="00F12011">
        <w:t>LI/A/29/1</w:t>
      </w:r>
      <w:r w:rsidR="009B5333" w:rsidRPr="00F12011">
        <w:rPr>
          <w:rFonts w:hAnsiTheme="minorEastAsia" w:hint="eastAsia"/>
        </w:rPr>
        <w:t>和</w:t>
      </w:r>
      <w:r w:rsidR="00C13F78" w:rsidRPr="00F12011">
        <w:t>2)</w:t>
      </w:r>
      <w:r w:rsidRPr="00F12011">
        <w:rPr>
          <w:rFonts w:hint="eastAsia"/>
        </w:rPr>
        <w:t>。</w:t>
      </w:r>
    </w:p>
    <w:p w:rsidR="002F23C2" w:rsidRPr="00312A45" w:rsidRDefault="009B5333" w:rsidP="00F12011">
      <w:pPr>
        <w:pStyle w:val="ListBullet"/>
      </w:pPr>
      <w:r w:rsidRPr="00312A45">
        <w:rPr>
          <w:rFonts w:hint="eastAsia"/>
        </w:rPr>
        <w:t>2009年3月至2014年6月，工作组共举行了九</w:t>
      </w:r>
      <w:r w:rsidR="00F12011">
        <w:rPr>
          <w:rFonts w:hint="eastAsia"/>
        </w:rPr>
        <w:t>届</w:t>
      </w:r>
      <w:r w:rsidRPr="00312A45">
        <w:rPr>
          <w:rFonts w:hint="eastAsia"/>
        </w:rPr>
        <w:t>会议。工作组的第十</w:t>
      </w:r>
      <w:r w:rsidR="00F12011">
        <w:rPr>
          <w:rFonts w:hint="eastAsia"/>
        </w:rPr>
        <w:t>届</w:t>
      </w:r>
      <w:r w:rsidRPr="00312A45">
        <w:rPr>
          <w:rFonts w:hint="eastAsia"/>
        </w:rPr>
        <w:t>会议定于2014年10月27日至31日举行，和筹备委员会会议同期举行。</w:t>
      </w:r>
    </w:p>
    <w:p w:rsidR="002F23C2" w:rsidRDefault="009B5333" w:rsidP="00F12011">
      <w:pPr>
        <w:pStyle w:val="ListBullet"/>
      </w:pPr>
      <w:r w:rsidRPr="00312A45">
        <w:rPr>
          <w:rFonts w:hint="eastAsia"/>
        </w:rPr>
        <w:t>自第七届会议以来，工作组的工作一直以《</w:t>
      </w:r>
      <w:r w:rsidRPr="00312A45">
        <w:rPr>
          <w:rFonts w:cs="Times New Roman" w:hint="eastAsia"/>
        </w:rPr>
        <w:t>经修订的原产地名称和地理标志里斯本协定</w:t>
      </w:r>
      <w:r w:rsidRPr="00312A45">
        <w:rPr>
          <w:rFonts w:hint="eastAsia"/>
        </w:rPr>
        <w:t>》</w:t>
      </w:r>
      <w:r w:rsidR="00312A45" w:rsidRPr="00312A45">
        <w:rPr>
          <w:rFonts w:hint="eastAsia"/>
        </w:rPr>
        <w:t>和《</w:t>
      </w:r>
      <w:r w:rsidR="00312A45" w:rsidRPr="00312A45">
        <w:rPr>
          <w:rFonts w:cs="Times New Roman" w:hint="eastAsia"/>
        </w:rPr>
        <w:t>经修订的里斯本协定实施细则</w:t>
      </w:r>
      <w:r w:rsidR="00312A45" w:rsidRPr="00312A45">
        <w:rPr>
          <w:rFonts w:hint="eastAsia"/>
        </w:rPr>
        <w:t>》的条文和细则草案为基础。</w:t>
      </w:r>
    </w:p>
    <w:p w:rsidR="002F23C2" w:rsidRPr="00F42C59" w:rsidRDefault="002F23C2" w:rsidP="00F12011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Sun" w:cs="Arial"/>
          <w:bCs/>
          <w:iCs/>
          <w:caps/>
          <w:sz w:val="21"/>
          <w:szCs w:val="21"/>
          <w:lang w:eastAsia="zh-CN"/>
        </w:rPr>
      </w:pPr>
      <w:r w:rsidRPr="00F42C59">
        <w:rPr>
          <w:rFonts w:ascii="SimHei" w:eastAsia="SimHei" w:hAnsi="SimSun" w:cs="Arial" w:hint="eastAsia"/>
          <w:bCs/>
          <w:iCs/>
          <w:caps/>
          <w:sz w:val="21"/>
          <w:szCs w:val="21"/>
          <w:lang w:eastAsia="zh-CN"/>
        </w:rPr>
        <w:t>外交会议的议程</w:t>
      </w:r>
    </w:p>
    <w:p w:rsidR="002F23C2" w:rsidRPr="00F42C59" w:rsidRDefault="002F23C2" w:rsidP="00F12011">
      <w:pPr>
        <w:pStyle w:val="ListBullet"/>
      </w:pPr>
      <w:r w:rsidRPr="00F42C59">
        <w:rPr>
          <w:rFonts w:hint="eastAsia"/>
        </w:rPr>
        <w:t>附件中</w:t>
      </w:r>
      <w:r>
        <w:rPr>
          <w:rFonts w:hint="eastAsia"/>
        </w:rPr>
        <w:t>载有拟议的</w:t>
      </w:r>
      <w:r w:rsidRPr="00F42C59">
        <w:rPr>
          <w:rFonts w:hint="eastAsia"/>
        </w:rPr>
        <w:t>外交会议议程草案。</w:t>
      </w:r>
    </w:p>
    <w:p w:rsidR="002F23C2" w:rsidRPr="00F42C59" w:rsidRDefault="002F23C2" w:rsidP="00F12011">
      <w:pPr>
        <w:pStyle w:val="ListBullet"/>
        <w:rPr>
          <w:u w:val="single"/>
        </w:rPr>
      </w:pPr>
      <w:r>
        <w:rPr>
          <w:rFonts w:hint="eastAsia"/>
        </w:rPr>
        <w:t>议程</w:t>
      </w:r>
      <w:r w:rsidRPr="00F42C59">
        <w:rPr>
          <w:rFonts w:hint="eastAsia"/>
        </w:rPr>
        <w:t>草案</w:t>
      </w:r>
      <w:r>
        <w:rPr>
          <w:rFonts w:hint="eastAsia"/>
        </w:rPr>
        <w:t>参照了在WIPO主持下举行的2012年保护音像表演北京外交会议和2013年</w:t>
      </w:r>
      <w:r w:rsidRPr="007B0C72">
        <w:rPr>
          <w:rFonts w:hint="eastAsia"/>
        </w:rPr>
        <w:t>关于一项为视力障碍者和</w:t>
      </w:r>
      <w:r w:rsidRPr="00312A45">
        <w:rPr>
          <w:rFonts w:hint="eastAsia"/>
        </w:rPr>
        <w:t>印刷品</w:t>
      </w:r>
      <w:r w:rsidRPr="007B0C72">
        <w:rPr>
          <w:rFonts w:hint="eastAsia"/>
        </w:rPr>
        <w:t>阅读障碍者获取已发表的作品提供便利的条约的</w:t>
      </w:r>
      <w:r>
        <w:rPr>
          <w:rFonts w:hint="eastAsia"/>
        </w:rPr>
        <w:t>马拉喀什</w:t>
      </w:r>
      <w:r w:rsidRPr="007B0C72">
        <w:rPr>
          <w:rFonts w:hint="eastAsia"/>
        </w:rPr>
        <w:t>外交会议</w:t>
      </w:r>
      <w:r>
        <w:rPr>
          <w:rFonts w:hint="eastAsia"/>
        </w:rPr>
        <w:t>的议程</w:t>
      </w:r>
      <w:r w:rsidRPr="00F42C59">
        <w:rPr>
          <w:rFonts w:hint="eastAsia"/>
        </w:rPr>
        <w:t>。</w:t>
      </w:r>
    </w:p>
    <w:p w:rsidR="002F23C2" w:rsidRPr="00F42C59" w:rsidRDefault="002F23C2" w:rsidP="00F12011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Sun" w:cs="Arial"/>
          <w:bCs/>
          <w:iCs/>
          <w:caps/>
          <w:sz w:val="21"/>
          <w:szCs w:val="21"/>
          <w:lang w:eastAsia="zh-CN"/>
        </w:rPr>
      </w:pPr>
      <w:r w:rsidRPr="00F42C59">
        <w:rPr>
          <w:rFonts w:ascii="SimHei" w:eastAsia="SimHei" w:hAnsi="SimSun" w:cs="Arial" w:hint="eastAsia"/>
          <w:bCs/>
          <w:iCs/>
          <w:caps/>
          <w:sz w:val="21"/>
          <w:szCs w:val="21"/>
          <w:lang w:eastAsia="zh-CN"/>
        </w:rPr>
        <w:t>外交会议的日期</w:t>
      </w:r>
      <w:r>
        <w:rPr>
          <w:rFonts w:ascii="SimHei" w:eastAsia="SimHei" w:hAnsi="SimSun" w:cs="Arial" w:hint="eastAsia"/>
          <w:bCs/>
          <w:iCs/>
          <w:caps/>
          <w:sz w:val="21"/>
          <w:szCs w:val="21"/>
          <w:lang w:eastAsia="zh-CN"/>
        </w:rPr>
        <w:t>和</w:t>
      </w:r>
      <w:r w:rsidRPr="00F42C59">
        <w:rPr>
          <w:rFonts w:ascii="SimHei" w:eastAsia="SimHei" w:hAnsi="SimSun" w:cs="Arial" w:hint="eastAsia"/>
          <w:bCs/>
          <w:iCs/>
          <w:caps/>
          <w:sz w:val="21"/>
          <w:szCs w:val="21"/>
          <w:lang w:eastAsia="zh-CN"/>
        </w:rPr>
        <w:t>地点</w:t>
      </w:r>
    </w:p>
    <w:p w:rsidR="002F23C2" w:rsidRPr="00312A45" w:rsidRDefault="00312A45" w:rsidP="000B73C9">
      <w:pPr>
        <w:pStyle w:val="ListBullet"/>
      </w:pPr>
      <w:r w:rsidRPr="00312A45">
        <w:rPr>
          <w:rFonts w:hint="eastAsia"/>
          <w:szCs w:val="21"/>
        </w:rPr>
        <w:t>在本文件</w:t>
      </w:r>
      <w:r w:rsidRPr="00312A45">
        <w:rPr>
          <w:rFonts w:hint="eastAsia"/>
        </w:rPr>
        <w:t>定稿</w:t>
      </w:r>
      <w:r w:rsidRPr="00312A45">
        <w:rPr>
          <w:rFonts w:hint="eastAsia"/>
          <w:szCs w:val="21"/>
        </w:rPr>
        <w:t>时，</w:t>
      </w:r>
      <w:r w:rsidR="00186344">
        <w:rPr>
          <w:rFonts w:hint="eastAsia"/>
          <w:szCs w:val="21"/>
        </w:rPr>
        <w:t>WIPO</w:t>
      </w:r>
      <w:r w:rsidRPr="00312A45">
        <w:rPr>
          <w:rFonts w:hint="eastAsia"/>
          <w:szCs w:val="21"/>
        </w:rPr>
        <w:t>国际局</w:t>
      </w:r>
      <w:r w:rsidR="00186344">
        <w:rPr>
          <w:rFonts w:hint="eastAsia"/>
          <w:szCs w:val="21"/>
        </w:rPr>
        <w:t>已收到葡萄牙政府</w:t>
      </w:r>
      <w:r w:rsidR="000B73C9">
        <w:rPr>
          <w:rFonts w:hint="eastAsia"/>
          <w:szCs w:val="21"/>
        </w:rPr>
        <w:t>2014年1月13日的函中</w:t>
      </w:r>
      <w:r w:rsidRPr="00312A45">
        <w:rPr>
          <w:rFonts w:hint="eastAsia"/>
          <w:szCs w:val="21"/>
        </w:rPr>
        <w:t>关于承办外交会议的正式邀请</w:t>
      </w:r>
      <w:r w:rsidR="000B73C9">
        <w:rPr>
          <w:rFonts w:hint="eastAsia"/>
          <w:szCs w:val="21"/>
        </w:rPr>
        <w:t>，该函已通过2014年2月10日第</w:t>
      </w:r>
      <w:r w:rsidR="000B73C9" w:rsidRPr="000B73C9">
        <w:rPr>
          <w:szCs w:val="21"/>
        </w:rPr>
        <w:t>C. LIS 79</w:t>
      </w:r>
      <w:r w:rsidR="000B73C9">
        <w:rPr>
          <w:rFonts w:hint="eastAsia"/>
          <w:szCs w:val="21"/>
        </w:rPr>
        <w:t>号通函印发给里斯本联盟成员国</w:t>
      </w:r>
      <w:r w:rsidRPr="00312A45">
        <w:rPr>
          <w:rFonts w:hint="eastAsia"/>
          <w:szCs w:val="21"/>
        </w:rPr>
        <w:t>。</w:t>
      </w:r>
      <w:r w:rsidR="002F23C2" w:rsidRPr="00312A45">
        <w:rPr>
          <w:rFonts w:cs="SimSun" w:hint="eastAsia"/>
        </w:rPr>
        <w:t>建议外交会议于</w:t>
      </w:r>
      <w:r w:rsidR="002F23C2" w:rsidRPr="00312A45">
        <w:rPr>
          <w:rFonts w:hint="eastAsia"/>
        </w:rPr>
        <w:t>201</w:t>
      </w:r>
      <w:r w:rsidRPr="00312A45">
        <w:rPr>
          <w:rFonts w:asciiTheme="minorEastAsia" w:hAnsiTheme="minorEastAsia" w:hint="eastAsia"/>
        </w:rPr>
        <w:t>5</w:t>
      </w:r>
      <w:r w:rsidR="002F23C2" w:rsidRPr="00312A45">
        <w:rPr>
          <w:rFonts w:cs="SimSun" w:hint="eastAsia"/>
        </w:rPr>
        <w:t>年</w:t>
      </w:r>
      <w:r w:rsidR="000B73C9">
        <w:rPr>
          <w:rFonts w:cs="SimSun" w:hint="eastAsia"/>
        </w:rPr>
        <w:t>5</w:t>
      </w:r>
      <w:r w:rsidR="002F23C2" w:rsidRPr="00312A45">
        <w:rPr>
          <w:rFonts w:cs="SimSun" w:hint="eastAsia"/>
        </w:rPr>
        <w:t>月</w:t>
      </w:r>
      <w:r w:rsidR="000B73C9">
        <w:rPr>
          <w:rFonts w:cs="SimSun" w:hint="eastAsia"/>
        </w:rPr>
        <w:t>11</w:t>
      </w:r>
      <w:r w:rsidR="002F23C2" w:rsidRPr="00312A45">
        <w:rPr>
          <w:rFonts w:cs="SimSun" w:hint="eastAsia"/>
        </w:rPr>
        <w:t>日至</w:t>
      </w:r>
      <w:r w:rsidR="000B73C9">
        <w:rPr>
          <w:rFonts w:cs="SimSun" w:hint="eastAsia"/>
        </w:rPr>
        <w:t>21</w:t>
      </w:r>
      <w:r w:rsidR="002F23C2" w:rsidRPr="00312A45">
        <w:rPr>
          <w:rFonts w:cs="SimSun" w:hint="eastAsia"/>
        </w:rPr>
        <w:t>日举行。</w:t>
      </w:r>
    </w:p>
    <w:p w:rsidR="002F23C2" w:rsidRDefault="002F23C2" w:rsidP="00F12011">
      <w:pPr>
        <w:pStyle w:val="ListParagraph"/>
        <w:numPr>
          <w:ilvl w:val="0"/>
          <w:numId w:val="3"/>
        </w:numPr>
        <w:spacing w:afterLines="50" w:after="120" w:line="340" w:lineRule="atLeast"/>
        <w:ind w:left="5534" w:firstLine="0"/>
        <w:contextualSpacing w:val="0"/>
        <w:jc w:val="both"/>
        <w:rPr>
          <w:rFonts w:ascii="KaiTi" w:eastAsia="KaiTi" w:hAnsi="Arial" w:cs="Arial"/>
          <w:i/>
          <w:sz w:val="21"/>
          <w:lang w:eastAsia="zh-CN"/>
        </w:rPr>
      </w:pPr>
      <w:r w:rsidRPr="00F42C59">
        <w:rPr>
          <w:rFonts w:ascii="KaiTi" w:eastAsia="KaiTi" w:hAnsi="Arial" w:cs="Arial" w:hint="eastAsia"/>
          <w:i/>
          <w:sz w:val="21"/>
          <w:lang w:eastAsia="zh-CN"/>
        </w:rPr>
        <w:t>请筹备委员会</w:t>
      </w:r>
      <w:r>
        <w:rPr>
          <w:rFonts w:ascii="KaiTi" w:eastAsia="KaiTi" w:hAnsi="Arial" w:cs="Arial" w:hint="eastAsia"/>
          <w:i/>
          <w:sz w:val="21"/>
          <w:lang w:eastAsia="zh-CN"/>
        </w:rPr>
        <w:t>批准外交会议的议程草案并就外交会议</w:t>
      </w:r>
      <w:r w:rsidRPr="00F42C59">
        <w:rPr>
          <w:rFonts w:ascii="KaiTi" w:eastAsia="KaiTi" w:hAnsi="Arial" w:cs="Arial" w:hint="eastAsia"/>
          <w:i/>
          <w:sz w:val="21"/>
          <w:lang w:eastAsia="zh-CN"/>
        </w:rPr>
        <w:t>地点和日期</w:t>
      </w:r>
      <w:r>
        <w:rPr>
          <w:rFonts w:ascii="KaiTi" w:eastAsia="KaiTi" w:hAnsi="Arial" w:cs="Arial" w:hint="eastAsia"/>
          <w:i/>
          <w:sz w:val="21"/>
          <w:lang w:eastAsia="zh-CN"/>
        </w:rPr>
        <w:t>作出决定</w:t>
      </w:r>
      <w:r w:rsidRPr="00F42C59">
        <w:rPr>
          <w:rFonts w:ascii="KaiTi" w:eastAsia="KaiTi" w:hAnsi="Arial" w:cs="Arial" w:hint="eastAsia"/>
          <w:i/>
          <w:sz w:val="21"/>
          <w:lang w:eastAsia="zh-CN"/>
        </w:rPr>
        <w:t>。</w:t>
      </w:r>
    </w:p>
    <w:p w:rsidR="002F23C2" w:rsidRPr="002F23C2" w:rsidRDefault="002F23C2" w:rsidP="002F23C2">
      <w:pPr>
        <w:spacing w:after="120" w:line="340" w:lineRule="atLeast"/>
        <w:ind w:left="5534"/>
        <w:jc w:val="both"/>
        <w:rPr>
          <w:rFonts w:ascii="KaiTi" w:eastAsia="KaiTi" w:hAnsi="Arial" w:cs="Arial"/>
          <w:i/>
          <w:sz w:val="21"/>
          <w:lang w:eastAsia="zh-CN"/>
        </w:rPr>
      </w:pPr>
    </w:p>
    <w:p w:rsidR="002F23C2" w:rsidRPr="009443B0" w:rsidRDefault="002F23C2" w:rsidP="00F12011">
      <w:pPr>
        <w:pStyle w:val="ListParagraph"/>
        <w:spacing w:afterLines="50" w:after="120" w:line="340" w:lineRule="atLeast"/>
        <w:ind w:left="5534"/>
        <w:contextualSpacing w:val="0"/>
        <w:jc w:val="both"/>
        <w:rPr>
          <w:rFonts w:ascii="KaiTi" w:eastAsia="KaiTi" w:hAnsi="Arial" w:cs="Arial"/>
          <w:sz w:val="21"/>
          <w:lang w:eastAsia="zh-CN"/>
        </w:rPr>
      </w:pPr>
      <w:r w:rsidRPr="009443B0">
        <w:rPr>
          <w:rFonts w:ascii="KaiTi" w:eastAsia="KaiTi" w:hAnsi="Arial" w:cs="Arial" w:hint="eastAsia"/>
          <w:sz w:val="21"/>
          <w:lang w:eastAsia="zh-CN"/>
        </w:rPr>
        <w:t>[后接附件]</w:t>
      </w:r>
    </w:p>
    <w:p w:rsidR="002F23C2" w:rsidRPr="00312A45" w:rsidRDefault="002F23C2" w:rsidP="002F23C2">
      <w:pPr>
        <w:spacing w:before="120" w:after="240" w:line="340" w:lineRule="atLeast"/>
        <w:jc w:val="both"/>
        <w:outlineLvl w:val="1"/>
        <w:rPr>
          <w:rFonts w:ascii="SimSun" w:hAnsi="SimSun" w:cs="Arial"/>
          <w:bCs/>
          <w:iCs/>
          <w:caps/>
          <w:sz w:val="21"/>
          <w:szCs w:val="28"/>
          <w:lang w:eastAsia="zh-CN"/>
        </w:rPr>
        <w:sectPr w:rsidR="002F23C2" w:rsidRPr="00312A45" w:rsidSect="002F23C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F23C2" w:rsidRPr="00F42C59" w:rsidRDefault="002F23C2" w:rsidP="00F12011">
      <w:pPr>
        <w:spacing w:beforeLines="100" w:before="240" w:afterLines="200" w:after="480" w:line="340" w:lineRule="atLeast"/>
        <w:jc w:val="both"/>
        <w:outlineLvl w:val="1"/>
        <w:rPr>
          <w:rFonts w:ascii="SimHei" w:eastAsia="SimHei" w:hAnsi="SimSun" w:cs="Arial"/>
          <w:bCs/>
          <w:iCs/>
          <w:caps/>
          <w:sz w:val="21"/>
          <w:szCs w:val="21"/>
          <w:lang w:eastAsia="zh-CN"/>
        </w:rPr>
      </w:pPr>
      <w:r w:rsidRPr="00F42C59">
        <w:rPr>
          <w:rFonts w:ascii="SimHei" w:eastAsia="SimHei" w:hAnsi="SimSun" w:cs="Arial" w:hint="eastAsia"/>
          <w:bCs/>
          <w:iCs/>
          <w:caps/>
          <w:sz w:val="21"/>
          <w:szCs w:val="21"/>
          <w:lang w:eastAsia="zh-CN"/>
        </w:rPr>
        <w:lastRenderedPageBreak/>
        <w:t>外交会议的议程草案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由世界知识产权组织总干事宣布会议开幕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2.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审议并通过《议事规则》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3.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选举会议主席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4.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审议并通过议程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5.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选举会议副主席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6.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选举资格证书委员会成员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7.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选举起草委员会成员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8.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选举资格证书委员会、各主要委员会和起草委员会的主席团成员</w:t>
      </w:r>
    </w:p>
    <w:p w:rsidR="002F23C2" w:rsidRDefault="00BD5434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9</w:t>
      </w:r>
      <w:r w:rsidR="002F23C2" w:rsidRPr="00F42C59">
        <w:rPr>
          <w:rFonts w:ascii="SimSun" w:hAnsi="Arial" w:cs="Arial"/>
          <w:sz w:val="21"/>
          <w:lang w:eastAsia="zh-CN"/>
        </w:rPr>
        <w:t>.</w:t>
      </w:r>
      <w:r w:rsidR="002F23C2" w:rsidRPr="00F42C59">
        <w:rPr>
          <w:rFonts w:ascii="SimSun" w:hAnsi="Arial" w:cs="Arial"/>
          <w:sz w:val="21"/>
          <w:lang w:eastAsia="zh-CN"/>
        </w:rPr>
        <w:tab/>
      </w:r>
      <w:r w:rsidR="002F23C2" w:rsidRPr="00F42C59">
        <w:rPr>
          <w:rFonts w:ascii="SimSun" w:hAnsi="Arial" w:cs="Arial" w:hint="eastAsia"/>
          <w:sz w:val="21"/>
          <w:lang w:eastAsia="zh-CN"/>
        </w:rPr>
        <w:t>由代表团和观察员代表作开幕发言</w:t>
      </w:r>
    </w:p>
    <w:p w:rsidR="00BD5434" w:rsidRPr="00F42C59" w:rsidRDefault="00BD5434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10</w:t>
      </w:r>
      <w:r w:rsidRPr="00F42C59">
        <w:rPr>
          <w:rFonts w:ascii="SimSun" w:hAnsi="Arial" w:cs="Arial"/>
          <w:sz w:val="21"/>
          <w:lang w:eastAsia="zh-CN"/>
        </w:rPr>
        <w:t>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审议资格证书委员会第一次报告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11.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审议各主要委员会提出的案文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12.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审议资格证书委员会第二次报告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13.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通过条约</w:t>
      </w:r>
      <w:r>
        <w:rPr>
          <w:rFonts w:ascii="SimSun" w:hAnsi="Arial" w:cs="Arial" w:hint="eastAsia"/>
          <w:sz w:val="21"/>
          <w:lang w:eastAsia="zh-CN"/>
        </w:rPr>
        <w:t>和实施细则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14.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通过任何建议、决议、议定声明或最后文件</w:t>
      </w:r>
    </w:p>
    <w:p w:rsidR="002F23C2" w:rsidRPr="00F42C59" w:rsidRDefault="002F23C2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 w:rsidRPr="00F42C59">
        <w:rPr>
          <w:rFonts w:ascii="SimSun" w:hAnsi="Arial" w:cs="Arial"/>
          <w:sz w:val="21"/>
          <w:lang w:eastAsia="zh-CN"/>
        </w:rPr>
        <w:t>15.</w:t>
      </w:r>
      <w:r w:rsidRPr="00F42C59">
        <w:rPr>
          <w:rFonts w:ascii="SimSun" w:hAnsi="Arial" w:cs="Arial"/>
          <w:sz w:val="21"/>
          <w:lang w:eastAsia="zh-CN"/>
        </w:rPr>
        <w:tab/>
      </w:r>
      <w:r w:rsidRPr="00F42C59">
        <w:rPr>
          <w:rFonts w:ascii="SimSun" w:hAnsi="Arial" w:cs="Arial" w:hint="eastAsia"/>
          <w:sz w:val="21"/>
          <w:lang w:eastAsia="zh-CN"/>
        </w:rPr>
        <w:t>由代表团和观察员代表作闭幕发言</w:t>
      </w:r>
    </w:p>
    <w:p w:rsidR="002F23C2" w:rsidRPr="00F42C59" w:rsidRDefault="00F12011" w:rsidP="00F12011">
      <w:pPr>
        <w:spacing w:after="0" w:line="480" w:lineRule="auto"/>
        <w:jc w:val="both"/>
        <w:rPr>
          <w:rFonts w:ascii="SimSun" w:hAnsi="Arial" w:cs="Arial"/>
          <w:sz w:val="21"/>
          <w:lang w:eastAsia="zh-CN"/>
        </w:rPr>
      </w:pPr>
      <w:r>
        <w:rPr>
          <w:rFonts w:ascii="SimSun" w:hAnsi="Arial" w:cs="Arial" w:hint="eastAsia"/>
          <w:sz w:val="21"/>
          <w:lang w:eastAsia="zh-CN"/>
        </w:rPr>
        <w:t>16.</w:t>
      </w:r>
      <w:r>
        <w:rPr>
          <w:rFonts w:ascii="SimSun" w:hAnsi="Arial" w:cs="Arial" w:hint="eastAsia"/>
          <w:sz w:val="21"/>
          <w:lang w:eastAsia="zh-CN"/>
        </w:rPr>
        <w:tab/>
      </w:r>
      <w:r w:rsidR="002F23C2" w:rsidRPr="00F42C59">
        <w:rPr>
          <w:rFonts w:ascii="SimSun" w:hAnsi="Arial" w:cs="Arial" w:hint="eastAsia"/>
          <w:sz w:val="21"/>
          <w:lang w:eastAsia="zh-CN"/>
        </w:rPr>
        <w:t>由主席宣布会议闭幕</w:t>
      </w:r>
      <w:r w:rsidR="002F23C2" w:rsidRPr="00F42C59">
        <w:rPr>
          <w:rFonts w:ascii="SimSun" w:hAnsi="Arial" w:cs="Arial"/>
          <w:sz w:val="21"/>
          <w:vertAlign w:val="superscript"/>
          <w:lang w:eastAsia="zh-CN"/>
        </w:rPr>
        <w:footnoteReference w:customMarkFollows="1" w:id="1"/>
        <w:sym w:font="Symbol" w:char="F02A"/>
      </w:r>
    </w:p>
    <w:p w:rsidR="002F23C2" w:rsidRDefault="002F23C2" w:rsidP="00F12011">
      <w:pPr>
        <w:pStyle w:val="ListParagraph"/>
        <w:tabs>
          <w:tab w:val="left" w:pos="630"/>
        </w:tabs>
        <w:spacing w:afterLines="50" w:after="120" w:line="340" w:lineRule="atLeast"/>
        <w:ind w:left="5534"/>
        <w:contextualSpacing w:val="0"/>
        <w:jc w:val="both"/>
        <w:rPr>
          <w:rFonts w:ascii="KaiTi" w:eastAsia="KaiTi" w:hAnsi="KaiTi"/>
          <w:sz w:val="21"/>
          <w:lang w:eastAsia="zh-CN"/>
        </w:rPr>
      </w:pPr>
    </w:p>
    <w:p w:rsidR="002F23C2" w:rsidRPr="000D3F47" w:rsidRDefault="002F23C2" w:rsidP="00F12011">
      <w:pPr>
        <w:pStyle w:val="ListParagraph"/>
        <w:tabs>
          <w:tab w:val="left" w:pos="630"/>
        </w:tabs>
        <w:spacing w:afterLines="50" w:after="120" w:line="340" w:lineRule="atLeast"/>
        <w:ind w:left="5534"/>
        <w:contextualSpacing w:val="0"/>
        <w:jc w:val="both"/>
        <w:rPr>
          <w:rFonts w:ascii="KaiTi" w:eastAsia="KaiTi" w:hAnsi="KaiTi"/>
          <w:sz w:val="21"/>
          <w:lang w:eastAsia="zh-CN"/>
        </w:rPr>
      </w:pPr>
      <w:r w:rsidRPr="000D3F47">
        <w:rPr>
          <w:rFonts w:ascii="KaiTi" w:eastAsia="KaiTi" w:hAnsi="KaiTi" w:hint="eastAsia"/>
          <w:sz w:val="21"/>
          <w:lang w:eastAsia="zh-CN"/>
        </w:rPr>
        <w:t>[</w:t>
      </w:r>
      <w:r>
        <w:rPr>
          <w:rFonts w:ascii="KaiTi" w:eastAsia="KaiTi" w:hAnsi="KaiTi" w:hint="eastAsia"/>
          <w:sz w:val="21"/>
          <w:lang w:eastAsia="zh-CN"/>
        </w:rPr>
        <w:t>附件和</w:t>
      </w:r>
      <w:r w:rsidRPr="000D3F47">
        <w:rPr>
          <w:rFonts w:ascii="KaiTi" w:eastAsia="KaiTi" w:hAnsi="KaiTi" w:hint="eastAsia"/>
          <w:sz w:val="21"/>
          <w:lang w:eastAsia="zh-CN"/>
        </w:rPr>
        <w:t>文件完]</w:t>
      </w:r>
    </w:p>
    <w:sectPr w:rsidR="002F23C2" w:rsidRPr="000D3F47" w:rsidSect="002F23C2">
      <w:headerReference w:type="default" r:id="rId10"/>
      <w:pgSz w:w="11906" w:h="16838" w:code="9"/>
      <w:pgMar w:top="567" w:right="1134" w:bottom="1418" w:left="1418" w:header="510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D2" w:rsidRDefault="00960AD2" w:rsidP="00960AD2">
      <w:pPr>
        <w:spacing w:after="0" w:line="240" w:lineRule="auto"/>
      </w:pPr>
      <w:r>
        <w:separator/>
      </w:r>
    </w:p>
  </w:endnote>
  <w:end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D2" w:rsidRDefault="00960AD2" w:rsidP="00960AD2">
      <w:pPr>
        <w:spacing w:after="0" w:line="240" w:lineRule="auto"/>
      </w:pPr>
      <w:r>
        <w:separator/>
      </w:r>
    </w:p>
  </w:footnote>
  <w:foot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footnote>
  <w:footnote w:id="1">
    <w:p w:rsidR="002F23C2" w:rsidRPr="00965853" w:rsidRDefault="002F23C2" w:rsidP="00F12011">
      <w:pPr>
        <w:pStyle w:val="FootnoteText"/>
        <w:spacing w:after="0" w:line="240" w:lineRule="auto"/>
        <w:rPr>
          <w:rFonts w:ascii="SimSun"/>
          <w:sz w:val="16"/>
          <w:szCs w:val="16"/>
          <w:lang w:eastAsia="zh-CN"/>
        </w:rPr>
      </w:pPr>
      <w:r w:rsidRPr="00965853">
        <w:rPr>
          <w:rStyle w:val="FootnoteReference"/>
          <w:rFonts w:ascii="SimSun"/>
        </w:rPr>
        <w:sym w:font="Symbol" w:char="F02A"/>
      </w:r>
      <w:r w:rsidRPr="00965853">
        <w:rPr>
          <w:rFonts w:ascii="SimSun"/>
          <w:sz w:val="16"/>
          <w:szCs w:val="16"/>
          <w:lang w:eastAsia="zh-CN"/>
        </w:rPr>
        <w:tab/>
      </w:r>
      <w:r w:rsidRPr="00965853">
        <w:rPr>
          <w:rFonts w:ascii="SimSun" w:hint="eastAsia"/>
          <w:lang w:eastAsia="zh-CN"/>
        </w:rPr>
        <w:t>在会议闭幕之后，最后文件</w:t>
      </w:r>
      <w:r w:rsidRPr="00965853">
        <w:rPr>
          <w:rFonts w:ascii="SimSun" w:hAnsi="Times New Roman"/>
          <w:lang w:eastAsia="zh-CN"/>
        </w:rPr>
        <w:t>(</w:t>
      </w:r>
      <w:r w:rsidRPr="00965853">
        <w:rPr>
          <w:rFonts w:ascii="SimSun" w:hint="eastAsia"/>
          <w:lang w:eastAsia="zh-CN"/>
        </w:rPr>
        <w:t>如有的话</w:t>
      </w:r>
      <w:r w:rsidRPr="00965853">
        <w:rPr>
          <w:rFonts w:ascii="SimSun" w:hAnsi="Times New Roman"/>
          <w:lang w:eastAsia="zh-CN"/>
        </w:rPr>
        <w:t>)</w:t>
      </w:r>
      <w:r w:rsidRPr="00965853">
        <w:rPr>
          <w:rFonts w:ascii="SimSun" w:hint="eastAsia"/>
          <w:lang w:eastAsia="zh-CN"/>
        </w:rPr>
        <w:t>和文书即开放供签字。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  <w:lang w:eastAsia="zh-CN"/>
      </w:rPr>
    </w:pPr>
    <w:r>
      <w:rPr>
        <w:rFonts w:ascii="SimSun" w:hint="eastAsia"/>
        <w:sz w:val="21"/>
        <w:szCs w:val="21"/>
        <w:lang w:eastAsia="zh-CN"/>
      </w:rPr>
      <w:t>LI</w:t>
    </w:r>
    <w:r w:rsidRPr="006071DE">
      <w:rPr>
        <w:rFonts w:ascii="SimSun"/>
        <w:sz w:val="21"/>
        <w:szCs w:val="21"/>
      </w:rPr>
      <w:t>/</w:t>
    </w:r>
    <w:r>
      <w:rPr>
        <w:rFonts w:ascii="SimSun" w:hint="eastAsia"/>
        <w:sz w:val="21"/>
        <w:szCs w:val="21"/>
        <w:lang w:eastAsia="zh-CN"/>
      </w:rPr>
      <w:t>R/</w:t>
    </w:r>
    <w:r w:rsidRPr="006071DE">
      <w:rPr>
        <w:rFonts w:ascii="SimSun" w:hint="eastAsia"/>
        <w:sz w:val="21"/>
        <w:szCs w:val="21"/>
      </w:rPr>
      <w:t>PM</w:t>
    </w:r>
    <w:r w:rsidRPr="006071DE">
      <w:rPr>
        <w:rFonts w:ascii="SimSun"/>
        <w:sz w:val="21"/>
        <w:szCs w:val="21"/>
      </w:rPr>
      <w:t>/</w:t>
    </w:r>
    <w:r>
      <w:rPr>
        <w:rFonts w:ascii="SimSun" w:hint="eastAsia"/>
        <w:sz w:val="21"/>
        <w:szCs w:val="21"/>
        <w:lang w:eastAsia="zh-CN"/>
      </w:rPr>
      <w:t>4</w:t>
    </w: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  <w:r w:rsidRPr="006071DE">
      <w:rPr>
        <w:rFonts w:ascii="SimSun" w:hAnsi="SimSun" w:hint="eastAsia"/>
        <w:sz w:val="21"/>
        <w:szCs w:val="21"/>
        <w:lang w:val="fr-CH"/>
      </w:rPr>
      <w:t>第</w:t>
    </w:r>
    <w:r w:rsidRPr="006071DE">
      <w:rPr>
        <w:rFonts w:ascii="SimSun"/>
        <w:sz w:val="21"/>
        <w:szCs w:val="21"/>
      </w:rPr>
      <w:fldChar w:fldCharType="begin"/>
    </w:r>
    <w:r w:rsidRPr="006071DE">
      <w:rPr>
        <w:rFonts w:ascii="SimSun"/>
        <w:sz w:val="21"/>
        <w:szCs w:val="21"/>
      </w:rPr>
      <w:instrText xml:space="preserve"> PAGE  \* MERGEFORMAT </w:instrText>
    </w:r>
    <w:r w:rsidRPr="006071DE">
      <w:rPr>
        <w:rFonts w:ascii="SimSun"/>
        <w:sz w:val="21"/>
        <w:szCs w:val="21"/>
      </w:rPr>
      <w:fldChar w:fldCharType="separate"/>
    </w:r>
    <w:r w:rsidR="004D62AE">
      <w:rPr>
        <w:rFonts w:ascii="SimSun"/>
        <w:noProof/>
        <w:sz w:val="21"/>
        <w:szCs w:val="21"/>
      </w:rPr>
      <w:t>2</w:t>
    </w:r>
    <w:r w:rsidRPr="006071DE">
      <w:rPr>
        <w:rFonts w:ascii="SimSun"/>
        <w:sz w:val="21"/>
        <w:szCs w:val="21"/>
      </w:rPr>
      <w:fldChar w:fldCharType="end"/>
    </w:r>
    <w:r w:rsidRPr="006071DE">
      <w:rPr>
        <w:rFonts w:ascii="SimSun" w:hAnsi="SimSun" w:hint="eastAsia"/>
        <w:sz w:val="21"/>
        <w:szCs w:val="21"/>
      </w:rPr>
      <w:t>页</w:t>
    </w: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  <w:lang w:eastAsia="zh-CN"/>
      </w:rPr>
    </w:pPr>
    <w:r>
      <w:rPr>
        <w:rFonts w:ascii="SimSun" w:hint="eastAsia"/>
        <w:sz w:val="21"/>
        <w:szCs w:val="21"/>
        <w:lang w:eastAsia="zh-CN"/>
      </w:rPr>
      <w:t>LI</w:t>
    </w:r>
    <w:r w:rsidRPr="006071DE">
      <w:rPr>
        <w:rFonts w:ascii="SimSun"/>
        <w:sz w:val="21"/>
        <w:szCs w:val="21"/>
      </w:rPr>
      <w:t>/</w:t>
    </w:r>
    <w:r>
      <w:rPr>
        <w:rFonts w:ascii="SimSun" w:hint="eastAsia"/>
        <w:sz w:val="21"/>
        <w:szCs w:val="21"/>
        <w:lang w:eastAsia="zh-CN"/>
      </w:rPr>
      <w:t>R/</w:t>
    </w:r>
    <w:r w:rsidRPr="006071DE">
      <w:rPr>
        <w:rFonts w:ascii="SimSun" w:hint="eastAsia"/>
        <w:sz w:val="21"/>
        <w:szCs w:val="21"/>
      </w:rPr>
      <w:t>PM</w:t>
    </w:r>
    <w:r w:rsidRPr="006071DE">
      <w:rPr>
        <w:rFonts w:ascii="SimSun"/>
        <w:sz w:val="21"/>
        <w:szCs w:val="21"/>
      </w:rPr>
      <w:t>/</w:t>
    </w:r>
    <w:r>
      <w:rPr>
        <w:rFonts w:ascii="SimSun" w:hint="eastAsia"/>
        <w:sz w:val="21"/>
        <w:szCs w:val="21"/>
        <w:lang w:eastAsia="zh-CN"/>
      </w:rPr>
      <w:t>4</w:t>
    </w: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  <w:r>
      <w:rPr>
        <w:rFonts w:ascii="SimSun" w:hAnsi="SimSun" w:hint="eastAsia"/>
        <w:sz w:val="21"/>
        <w:szCs w:val="21"/>
        <w:lang w:val="fr-CH" w:eastAsia="zh-CN"/>
      </w:rPr>
      <w:t>附　件</w:t>
    </w: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</w:p>
  <w:p w:rsidR="002F23C2" w:rsidRPr="006071DE" w:rsidRDefault="002F23C2" w:rsidP="00F42C59">
    <w:pPr>
      <w:spacing w:after="0" w:line="240" w:lineRule="auto"/>
      <w:jc w:val="right"/>
      <w:rPr>
        <w:rFonts w:asci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B0151"/>
    <w:multiLevelType w:val="hybridMultilevel"/>
    <w:tmpl w:val="8DFA1AB8"/>
    <w:lvl w:ilvl="0" w:tplc="4CB67344">
      <w:start w:val="1"/>
      <w:numFmt w:val="decimal"/>
      <w:pStyle w:val="ListBullet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F"/>
    <w:rsid w:val="000B73C9"/>
    <w:rsid w:val="00186344"/>
    <w:rsid w:val="001E4D3E"/>
    <w:rsid w:val="002F23C2"/>
    <w:rsid w:val="00312A45"/>
    <w:rsid w:val="00393AB7"/>
    <w:rsid w:val="004D62AE"/>
    <w:rsid w:val="00557384"/>
    <w:rsid w:val="00627E13"/>
    <w:rsid w:val="008470FA"/>
    <w:rsid w:val="008D6C2D"/>
    <w:rsid w:val="00960AD2"/>
    <w:rsid w:val="009B5333"/>
    <w:rsid w:val="00A863B8"/>
    <w:rsid w:val="00AF72BF"/>
    <w:rsid w:val="00AF7FD9"/>
    <w:rsid w:val="00BC0FA5"/>
    <w:rsid w:val="00BD5434"/>
    <w:rsid w:val="00C13F78"/>
    <w:rsid w:val="00C37E4C"/>
    <w:rsid w:val="00C60533"/>
    <w:rsid w:val="00C92FCF"/>
    <w:rsid w:val="00E62D05"/>
    <w:rsid w:val="00F12011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0AD2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0AD2"/>
    <w:rPr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3C2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semiHidden/>
    <w:rsid w:val="002F23C2"/>
    <w:rPr>
      <w:vertAlign w:val="superscript"/>
    </w:rPr>
  </w:style>
  <w:style w:type="paragraph" w:styleId="ListBullet">
    <w:name w:val="List Bullet"/>
    <w:basedOn w:val="Normal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0AD2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0AD2"/>
    <w:rPr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3C2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3C2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semiHidden/>
    <w:rsid w:val="002F23C2"/>
    <w:rPr>
      <w:vertAlign w:val="superscript"/>
    </w:rPr>
  </w:style>
  <w:style w:type="paragraph" w:styleId="ListBullet">
    <w:name w:val="List Bullet"/>
    <w:basedOn w:val="Normal"/>
    <w:autoRedefine/>
    <w:rsid w:val="00F12011"/>
    <w:pPr>
      <w:numPr>
        <w:numId w:val="3"/>
      </w:numPr>
      <w:spacing w:afterLines="50" w:after="120" w:line="340" w:lineRule="atLeast"/>
      <w:ind w:left="0" w:firstLine="0"/>
      <w:jc w:val="both"/>
    </w:pPr>
    <w:rPr>
      <w:rFonts w:ascii="SimSun" w:hAnsi="SimSun" w:cs="Arial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LI/R/PM/4</vt:lpstr>
    </vt:vector>
  </TitlesOfParts>
  <Company>World Intellectual Property Organization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LI/R/PM/4</dc:title>
  <dc:subject>外交会议的议程、日期和地点</dc:subject>
  <dc:creator>VINCENT Anouck</dc:creator>
  <cp:lastModifiedBy>VINCENT Anouck</cp:lastModifiedBy>
  <cp:revision>2</cp:revision>
  <cp:lastPrinted>2014-08-29T14:46:00Z</cp:lastPrinted>
  <dcterms:created xsi:type="dcterms:W3CDTF">2014-09-16T15:48:00Z</dcterms:created>
  <dcterms:modified xsi:type="dcterms:W3CDTF">2014-09-16T15:48:00Z</dcterms:modified>
</cp:coreProperties>
</file>