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27EDF" w14:textId="77777777" w:rsidR="005B6CF6" w:rsidRPr="00E22BD8" w:rsidRDefault="005B6CF6" w:rsidP="005B6CF6">
      <w:pPr>
        <w:jc w:val="right"/>
        <w:rPr>
          <w:rFonts w:ascii="Arial Black" w:hAnsi="Arial Black"/>
          <w:caps/>
          <w:sz w:val="15"/>
        </w:rPr>
      </w:pPr>
      <w:bookmarkStart w:id="0" w:name="_GoBack"/>
      <w:bookmarkEnd w:id="0"/>
      <w:r w:rsidRPr="00E22BD8">
        <w:rPr>
          <w:rFonts w:cs="Times New Roman"/>
          <w:noProof/>
          <w:lang w:val="fr-CH" w:eastAsia="fr-CH"/>
        </w:rPr>
        <w:drawing>
          <wp:inline distT="0" distB="0" distL="0" distR="0" wp14:anchorId="2A8A820A" wp14:editId="1EAB811E">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049F99F" w14:textId="3990B5F8" w:rsidR="005B6CF6" w:rsidRPr="00E22BD8" w:rsidRDefault="005B6CF6" w:rsidP="005B6CF6">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6</w:t>
      </w:r>
      <w:r w:rsidRPr="00E22BD8">
        <w:rPr>
          <w:rFonts w:ascii="Arial Black" w:hAnsi="Arial Black"/>
          <w:b/>
          <w:caps/>
          <w:sz w:val="15"/>
        </w:rPr>
        <w:t>/</w:t>
      </w:r>
      <w:bookmarkStart w:id="1" w:name="Code"/>
      <w:r>
        <w:rPr>
          <w:rFonts w:ascii="Arial Black" w:hAnsi="Arial Black" w:hint="eastAsia"/>
          <w:b/>
          <w:caps/>
          <w:sz w:val="15"/>
        </w:rPr>
        <w:t>8</w:t>
      </w:r>
      <w:bookmarkEnd w:id="1"/>
    </w:p>
    <w:p w14:paraId="00F9FC9E" w14:textId="77777777" w:rsidR="005B6CF6" w:rsidRPr="00E22BD8" w:rsidRDefault="005B6CF6" w:rsidP="005B6CF6">
      <w:pPr>
        <w:jc w:val="right"/>
        <w:rPr>
          <w:rFonts w:ascii="Arial Black" w:hAnsi="Arial Black"/>
          <w:b/>
          <w:caps/>
          <w:sz w:val="15"/>
          <w:szCs w:val="15"/>
        </w:rPr>
      </w:pPr>
      <w:r w:rsidRPr="00E22BD8">
        <w:rPr>
          <w:rFonts w:eastAsia="SimHei" w:hint="eastAsia"/>
          <w:b/>
          <w:sz w:val="15"/>
          <w:szCs w:val="15"/>
        </w:rPr>
        <w:t>原文</w:t>
      </w:r>
      <w:r w:rsidRPr="00894D97">
        <w:rPr>
          <w:rFonts w:eastAsia="SimHei" w:hint="eastAsia"/>
          <w:b/>
          <w:sz w:val="15"/>
          <w:szCs w:val="15"/>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14:paraId="115CE130" w14:textId="280DCF66" w:rsidR="005B6CF6" w:rsidRPr="00E22BD8" w:rsidRDefault="005B6CF6" w:rsidP="005B6CF6">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894D97">
        <w:rPr>
          <w:rFonts w:ascii="SimHei" w:eastAsia="SimHei" w:hAnsi="SimSun" w:hint="eastAsia"/>
          <w:b/>
          <w:sz w:val="15"/>
          <w:szCs w:val="15"/>
        </w:rPr>
        <w:t>：</w:t>
      </w:r>
      <w:bookmarkStart w:id="3" w:name="Date"/>
      <w:r w:rsidRPr="00894D97">
        <w:rPr>
          <w:rFonts w:ascii="Arial Black" w:eastAsia="SimHei" w:hAnsi="Arial Black"/>
          <w:b/>
          <w:sz w:val="15"/>
          <w:szCs w:val="15"/>
        </w:rPr>
        <w:t>20</w:t>
      </w:r>
      <w:r w:rsidRPr="00894D97">
        <w:rPr>
          <w:rFonts w:ascii="Arial Black" w:eastAsia="SimHei" w:hAnsi="Arial Black" w:hint="eastAsia"/>
          <w:b/>
          <w:sz w:val="15"/>
          <w:szCs w:val="15"/>
        </w:rPr>
        <w:t>2</w:t>
      </w:r>
      <w:r w:rsidRPr="00894D97">
        <w:rPr>
          <w:rFonts w:ascii="Arial Black" w:eastAsia="SimHei" w:hAnsi="Arial Black"/>
          <w:b/>
          <w:sz w:val="15"/>
          <w:szCs w:val="15"/>
        </w:rPr>
        <w:t>1</w:t>
      </w:r>
      <w:r w:rsidRPr="00E22BD8">
        <w:rPr>
          <w:rFonts w:ascii="SimHei" w:eastAsia="SimHei" w:hAnsi="Times New Roman" w:hint="eastAsia"/>
          <w:b/>
          <w:sz w:val="15"/>
          <w:szCs w:val="15"/>
        </w:rPr>
        <w:t>年</w:t>
      </w:r>
      <w:r w:rsidRPr="00894D97">
        <w:rPr>
          <w:rFonts w:ascii="Arial Black" w:eastAsia="SimHei" w:hAnsi="Arial Black"/>
          <w:b/>
          <w:sz w:val="15"/>
          <w:szCs w:val="15"/>
        </w:rPr>
        <w:t>5</w:t>
      </w:r>
      <w:r w:rsidRPr="00E22BD8">
        <w:rPr>
          <w:rFonts w:ascii="SimHei" w:eastAsia="SimHei" w:hAnsi="Times New Roman" w:hint="eastAsia"/>
          <w:b/>
          <w:sz w:val="15"/>
          <w:szCs w:val="15"/>
        </w:rPr>
        <w:t>月</w:t>
      </w:r>
      <w:r w:rsidRPr="00894D97">
        <w:rPr>
          <w:rFonts w:ascii="Arial Black" w:eastAsia="SimHei" w:hAnsi="Arial Black"/>
          <w:b/>
          <w:sz w:val="15"/>
          <w:szCs w:val="15"/>
        </w:rPr>
        <w:t>2</w:t>
      </w:r>
      <w:r w:rsidRPr="00894D97">
        <w:rPr>
          <w:rFonts w:ascii="Arial Black" w:eastAsia="SimHei" w:hAnsi="Arial Black" w:hint="eastAsia"/>
          <w:b/>
          <w:sz w:val="15"/>
          <w:szCs w:val="15"/>
        </w:rPr>
        <w:t>5</w:t>
      </w:r>
      <w:r w:rsidRPr="00E22BD8">
        <w:rPr>
          <w:rFonts w:ascii="SimHei" w:eastAsia="SimHei" w:hAnsi="Times New Roman" w:hint="eastAsia"/>
          <w:b/>
          <w:sz w:val="15"/>
          <w:szCs w:val="15"/>
        </w:rPr>
        <w:t>日</w:t>
      </w:r>
      <w:bookmarkEnd w:id="3"/>
    </w:p>
    <w:p w14:paraId="3337B339" w14:textId="77777777" w:rsidR="005B6CF6" w:rsidRPr="00E22BD8" w:rsidRDefault="005B6CF6" w:rsidP="005B6CF6">
      <w:pPr>
        <w:spacing w:after="600"/>
        <w:rPr>
          <w:rFonts w:ascii="SimHei" w:eastAsia="SimHei"/>
          <w:sz w:val="28"/>
          <w:szCs w:val="28"/>
        </w:rPr>
      </w:pPr>
      <w:r w:rsidRPr="00E22BD8">
        <w:rPr>
          <w:rFonts w:ascii="SimHei" w:eastAsia="SimHei" w:hint="eastAsia"/>
          <w:sz w:val="28"/>
          <w:szCs w:val="28"/>
        </w:rPr>
        <w:t>发展与知识产权委员会（CDIP）</w:t>
      </w:r>
    </w:p>
    <w:p w14:paraId="7AE36D4E" w14:textId="77777777" w:rsidR="005B6CF6" w:rsidRPr="0080619C" w:rsidRDefault="005B6CF6" w:rsidP="005B6CF6">
      <w:pPr>
        <w:spacing w:after="720"/>
        <w:textAlignment w:val="bottom"/>
        <w:rPr>
          <w:rFonts w:ascii="KaiTi" w:eastAsia="KaiTi" w:hAnsi="KaiTi"/>
          <w:b/>
          <w:sz w:val="24"/>
        </w:rPr>
      </w:pPr>
      <w:r w:rsidRPr="0080619C">
        <w:rPr>
          <w:rFonts w:ascii="KaiTi" w:eastAsia="KaiTi" w:hint="eastAsia"/>
          <w:b/>
          <w:sz w:val="24"/>
        </w:rPr>
        <w:t>第二十六届会议</w:t>
      </w:r>
      <w:r w:rsidRPr="0080619C">
        <w:rPr>
          <w:rFonts w:ascii="KaiTi" w:eastAsia="KaiTi"/>
          <w:b/>
          <w:sz w:val="24"/>
        </w:rPr>
        <w:br/>
      </w:r>
      <w:r w:rsidRPr="0080619C">
        <w:rPr>
          <w:rFonts w:ascii="KaiTi" w:eastAsia="KaiTi" w:hAnsi="KaiTi" w:hint="eastAsia"/>
          <w:sz w:val="24"/>
        </w:rPr>
        <w:t>2021</w:t>
      </w:r>
      <w:r w:rsidRPr="0080619C">
        <w:rPr>
          <w:rFonts w:ascii="KaiTi" w:eastAsia="KaiTi" w:hAnsi="KaiTi" w:hint="eastAsia"/>
          <w:b/>
          <w:sz w:val="24"/>
        </w:rPr>
        <w:t>年</w:t>
      </w:r>
      <w:r w:rsidRPr="0080619C">
        <w:rPr>
          <w:rFonts w:ascii="KaiTi" w:eastAsia="KaiTi" w:hAnsi="KaiTi" w:hint="eastAsia"/>
          <w:sz w:val="24"/>
        </w:rPr>
        <w:t>7</w:t>
      </w:r>
      <w:r w:rsidRPr="0080619C">
        <w:rPr>
          <w:rFonts w:ascii="KaiTi" w:eastAsia="KaiTi" w:hAnsi="KaiTi" w:hint="eastAsia"/>
          <w:b/>
          <w:sz w:val="24"/>
        </w:rPr>
        <w:t>月</w:t>
      </w:r>
      <w:r w:rsidRPr="0080619C">
        <w:rPr>
          <w:rFonts w:ascii="KaiTi" w:eastAsia="KaiTi" w:hAnsi="KaiTi" w:hint="eastAsia"/>
          <w:sz w:val="24"/>
        </w:rPr>
        <w:t>26</w:t>
      </w:r>
      <w:r w:rsidRPr="0080619C">
        <w:rPr>
          <w:rFonts w:ascii="KaiTi" w:eastAsia="KaiTi" w:hAnsi="KaiTi" w:hint="eastAsia"/>
          <w:b/>
          <w:sz w:val="24"/>
        </w:rPr>
        <w:t>日至</w:t>
      </w:r>
      <w:r w:rsidRPr="0080619C">
        <w:rPr>
          <w:rFonts w:ascii="KaiTi" w:eastAsia="KaiTi" w:hAnsi="KaiTi"/>
          <w:sz w:val="24"/>
        </w:rPr>
        <w:t>3</w:t>
      </w:r>
      <w:r w:rsidRPr="0080619C">
        <w:rPr>
          <w:rFonts w:ascii="KaiTi" w:eastAsia="KaiTi" w:hAnsi="KaiTi" w:hint="eastAsia"/>
          <w:sz w:val="24"/>
        </w:rPr>
        <w:t>0</w:t>
      </w:r>
      <w:r w:rsidRPr="0080619C">
        <w:rPr>
          <w:rFonts w:ascii="KaiTi" w:eastAsia="KaiTi" w:hAnsi="KaiTi" w:hint="eastAsia"/>
          <w:b/>
          <w:sz w:val="24"/>
        </w:rPr>
        <w:t>日，日内瓦</w:t>
      </w:r>
    </w:p>
    <w:p w14:paraId="01E5387F" w14:textId="5D70041F" w:rsidR="005B6CF6" w:rsidRPr="003142A5" w:rsidRDefault="005B6CF6" w:rsidP="005B6CF6">
      <w:pPr>
        <w:spacing w:after="360"/>
        <w:rPr>
          <w:rFonts w:ascii="KaiTi" w:eastAsia="KaiTi" w:hAnsi="KaiTi" w:cs="Times New Roman"/>
          <w:sz w:val="24"/>
          <w:szCs w:val="32"/>
        </w:rPr>
      </w:pPr>
      <w:bookmarkStart w:id="4" w:name="TitleOfDoc"/>
      <w:r w:rsidRPr="005B6CF6">
        <w:rPr>
          <w:rFonts w:ascii="KaiTi" w:eastAsia="KaiTi" w:hAnsi="KaiTi" w:cs="Times New Roman" w:hint="eastAsia"/>
          <w:sz w:val="24"/>
          <w:szCs w:val="32"/>
        </w:rPr>
        <w:t>关于“妇女与知识产权：性别平等主流化、</w:t>
      </w:r>
      <w:r>
        <w:rPr>
          <w:rFonts w:ascii="KaiTi" w:eastAsia="KaiTi" w:hAnsi="KaiTi" w:cs="Times New Roman"/>
          <w:sz w:val="24"/>
          <w:szCs w:val="32"/>
        </w:rPr>
        <w:br/>
      </w:r>
      <w:r w:rsidRPr="005B6CF6">
        <w:rPr>
          <w:rFonts w:ascii="KaiTi" w:eastAsia="KaiTi" w:hAnsi="KaiTi" w:cs="Times New Roman" w:hint="eastAsia"/>
          <w:sz w:val="24"/>
          <w:szCs w:val="32"/>
        </w:rPr>
        <w:t>能力建设和对成员国的援助”报告</w:t>
      </w:r>
    </w:p>
    <w:p w14:paraId="51B51243" w14:textId="77777777" w:rsidR="005B6CF6" w:rsidRPr="006646AD" w:rsidRDefault="005B6CF6" w:rsidP="005B6CF6">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秘书处</w:t>
      </w:r>
      <w:r w:rsidRPr="006646AD">
        <w:rPr>
          <w:rFonts w:ascii="KaiTi" w:eastAsia="KaiTi" w:hAnsi="KaiTi" w:cs="Times New Roman" w:hint="eastAsia"/>
          <w:sz w:val="21"/>
          <w:szCs w:val="21"/>
        </w:rPr>
        <w:t>编拟</w:t>
      </w:r>
    </w:p>
    <w:bookmarkEnd w:id="5"/>
    <w:p w14:paraId="67FF1963" w14:textId="2F1497F9" w:rsidR="00736FEB" w:rsidRPr="005B6CF6" w:rsidRDefault="00EC312D"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723F5">
        <w:rPr>
          <w:rFonts w:asciiTheme="minorEastAsia" w:eastAsiaTheme="minorEastAsia" w:hAnsiTheme="minorEastAsia"/>
          <w:sz w:val="21"/>
        </w:rPr>
        <w:t>发展与知识产权委员会（CDIP）在2018年11月19日至23日举行的第二十二届会议上，在</w:t>
      </w:r>
      <w:r w:rsidRPr="009723F5">
        <w:rPr>
          <w:rFonts w:asciiTheme="minorEastAsia" w:eastAsiaTheme="minorEastAsia" w:hAnsiTheme="minorEastAsia" w:hint="eastAsia"/>
          <w:sz w:val="21"/>
        </w:rPr>
        <w:t>“</w:t>
      </w:r>
      <w:r w:rsidRPr="009723F5">
        <w:rPr>
          <w:rFonts w:asciiTheme="minorEastAsia" w:eastAsiaTheme="minorEastAsia" w:hAnsiTheme="minorEastAsia"/>
          <w:sz w:val="21"/>
        </w:rPr>
        <w:t>知识产权与发展</w:t>
      </w:r>
      <w:r w:rsidRPr="009723F5">
        <w:rPr>
          <w:rFonts w:asciiTheme="minorEastAsia" w:eastAsiaTheme="minorEastAsia" w:hAnsiTheme="minorEastAsia" w:hint="eastAsia"/>
          <w:sz w:val="21"/>
        </w:rPr>
        <w:t>”议程项目</w:t>
      </w:r>
      <w:r w:rsidRPr="009723F5">
        <w:rPr>
          <w:rFonts w:asciiTheme="minorEastAsia" w:eastAsiaTheme="minorEastAsia" w:hAnsiTheme="minorEastAsia"/>
          <w:sz w:val="21"/>
        </w:rPr>
        <w:t>下讨论</w:t>
      </w:r>
      <w:r w:rsidRPr="009723F5">
        <w:rPr>
          <w:rFonts w:asciiTheme="minorEastAsia" w:eastAsiaTheme="minorEastAsia" w:hAnsiTheme="minorEastAsia" w:hint="eastAsia"/>
          <w:sz w:val="21"/>
        </w:rPr>
        <w:t>“</w:t>
      </w:r>
      <w:r w:rsidRPr="009723F5">
        <w:rPr>
          <w:rFonts w:asciiTheme="minorEastAsia" w:eastAsiaTheme="minorEastAsia" w:hAnsiTheme="minorEastAsia"/>
          <w:sz w:val="21"/>
        </w:rPr>
        <w:t>妇女与知识产权</w:t>
      </w:r>
      <w:r w:rsidRPr="009723F5">
        <w:rPr>
          <w:rFonts w:asciiTheme="minorEastAsia" w:eastAsiaTheme="minorEastAsia" w:hAnsiTheme="minorEastAsia" w:hint="eastAsia"/>
          <w:sz w:val="21"/>
        </w:rPr>
        <w:t>”</w:t>
      </w:r>
      <w:r w:rsidRPr="009723F5">
        <w:rPr>
          <w:rFonts w:asciiTheme="minorEastAsia" w:eastAsiaTheme="minorEastAsia" w:hAnsiTheme="minorEastAsia"/>
          <w:sz w:val="21"/>
        </w:rPr>
        <w:t>这一主题时，</w:t>
      </w:r>
      <w:r w:rsidR="001A3BEC">
        <w:rPr>
          <w:rFonts w:asciiTheme="minorEastAsia" w:eastAsiaTheme="minorEastAsia" w:hAnsiTheme="minorEastAsia" w:hint="eastAsia"/>
          <w:sz w:val="21"/>
        </w:rPr>
        <w:t>决定通过墨西哥代表团的提案（载于</w:t>
      </w:r>
      <w:hyperlink r:id="rId9" w:history="1">
        <w:r w:rsidR="001A3BEC" w:rsidRPr="005A704A">
          <w:rPr>
            <w:rStyle w:val="Hyperlink"/>
            <w:rFonts w:asciiTheme="minorEastAsia" w:eastAsiaTheme="minorEastAsia" w:hAnsiTheme="minorEastAsia" w:hint="eastAsia"/>
            <w:sz w:val="21"/>
          </w:rPr>
          <w:t>主席总结</w:t>
        </w:r>
      </w:hyperlink>
      <w:r w:rsidR="001A3BEC">
        <w:rPr>
          <w:rFonts w:asciiTheme="minorEastAsia" w:eastAsiaTheme="minorEastAsia" w:hAnsiTheme="minorEastAsia" w:hint="eastAsia"/>
          <w:sz w:val="21"/>
        </w:rPr>
        <w:t>附件）</w:t>
      </w:r>
      <w:r>
        <w:rPr>
          <w:rFonts w:asciiTheme="minorEastAsia" w:eastAsiaTheme="minorEastAsia" w:hAnsiTheme="minorEastAsia" w:hint="eastAsia"/>
          <w:sz w:val="21"/>
        </w:rPr>
        <w:t>，</w:t>
      </w:r>
      <w:r w:rsidR="001A3BEC">
        <w:rPr>
          <w:rFonts w:asciiTheme="minorEastAsia" w:eastAsiaTheme="minorEastAsia" w:hAnsiTheme="minorEastAsia" w:hint="eastAsia"/>
          <w:sz w:val="21"/>
        </w:rPr>
        <w:t>该提案</w:t>
      </w:r>
      <w:r>
        <w:rPr>
          <w:rFonts w:asciiTheme="minorEastAsia" w:eastAsiaTheme="minorEastAsia" w:hAnsiTheme="minorEastAsia" w:hint="eastAsia"/>
          <w:sz w:val="21"/>
        </w:rPr>
        <w:t>除其他外，要求秘书处采取一系列行动，并决定“</w:t>
      </w:r>
      <w:r w:rsidRPr="002B3BF9">
        <w:rPr>
          <w:rFonts w:ascii="KaiTi" w:eastAsia="KaiTi" w:hAnsi="KaiTi" w:hint="eastAsia"/>
          <w:sz w:val="21"/>
        </w:rPr>
        <w:t>在第二十六届会议上再次审议</w:t>
      </w:r>
      <w:r w:rsidR="00BA7686" w:rsidRPr="002B3BF9">
        <w:rPr>
          <w:rFonts w:ascii="KaiTi" w:eastAsia="KaiTi" w:hAnsi="KaiTi" w:hint="eastAsia"/>
          <w:sz w:val="21"/>
        </w:rPr>
        <w:t>‘妇女与知识产权’议题的未来方向</w:t>
      </w:r>
      <w:r w:rsidR="002B3BF9">
        <w:rPr>
          <w:rFonts w:asciiTheme="minorEastAsia" w:eastAsiaTheme="minorEastAsia" w:hAnsiTheme="minorEastAsia" w:hint="eastAsia"/>
          <w:sz w:val="21"/>
        </w:rPr>
        <w:t>”</w:t>
      </w:r>
      <w:r w:rsidR="00BA7686">
        <w:rPr>
          <w:rFonts w:asciiTheme="minorEastAsia" w:eastAsiaTheme="minorEastAsia" w:hAnsiTheme="minorEastAsia" w:hint="eastAsia"/>
          <w:sz w:val="21"/>
        </w:rPr>
        <w:t>。</w:t>
      </w:r>
    </w:p>
    <w:p w14:paraId="292DFDD8" w14:textId="1A4052B5" w:rsidR="00A578D9" w:rsidRPr="005B6CF6" w:rsidRDefault="00BA7686"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9723F5">
        <w:rPr>
          <w:rFonts w:asciiTheme="minorEastAsia" w:eastAsiaTheme="minorEastAsia" w:hAnsiTheme="minorEastAsia"/>
          <w:sz w:val="21"/>
        </w:rPr>
        <w:t>本文件与</w:t>
      </w:r>
      <w:r w:rsidRPr="009723F5">
        <w:rPr>
          <w:rFonts w:asciiTheme="minorEastAsia" w:eastAsiaTheme="minorEastAsia" w:hAnsiTheme="minorEastAsia" w:hint="eastAsia"/>
          <w:sz w:val="21"/>
        </w:rPr>
        <w:t>文件</w:t>
      </w:r>
      <w:r w:rsidRPr="009723F5">
        <w:rPr>
          <w:rFonts w:asciiTheme="minorEastAsia" w:eastAsiaTheme="minorEastAsia" w:hAnsiTheme="minorEastAsia"/>
          <w:sz w:val="21"/>
        </w:rPr>
        <w:t>CDIP/26</w:t>
      </w:r>
      <w:r>
        <w:rPr>
          <w:rFonts w:asciiTheme="minorEastAsia" w:eastAsiaTheme="minorEastAsia" w:hAnsiTheme="minorEastAsia"/>
          <w:sz w:val="21"/>
        </w:rPr>
        <w:t>/</w:t>
      </w:r>
      <w:r>
        <w:rPr>
          <w:rFonts w:asciiTheme="minorEastAsia" w:eastAsiaTheme="minorEastAsia" w:hAnsiTheme="minorEastAsia" w:hint="eastAsia"/>
          <w:sz w:val="21"/>
        </w:rPr>
        <w:t>7</w:t>
      </w:r>
      <w:r w:rsidRPr="009723F5">
        <w:rPr>
          <w:rFonts w:asciiTheme="minorEastAsia" w:eastAsiaTheme="minorEastAsia" w:hAnsiTheme="minorEastAsia"/>
          <w:sz w:val="21"/>
        </w:rPr>
        <w:t>一起，旨在</w:t>
      </w:r>
      <w:r w:rsidRPr="009723F5">
        <w:rPr>
          <w:rFonts w:asciiTheme="minorEastAsia" w:eastAsiaTheme="minorEastAsia" w:hAnsiTheme="minorEastAsia" w:hint="eastAsia"/>
          <w:sz w:val="21"/>
        </w:rPr>
        <w:t>为</w:t>
      </w:r>
      <w:r w:rsidRPr="009723F5">
        <w:rPr>
          <w:rFonts w:asciiTheme="minorEastAsia" w:eastAsiaTheme="minorEastAsia" w:hAnsiTheme="minorEastAsia"/>
          <w:sz w:val="21"/>
        </w:rPr>
        <w:t>委员会在本届会议上</w:t>
      </w:r>
      <w:r w:rsidRPr="009723F5">
        <w:rPr>
          <w:rFonts w:asciiTheme="minorEastAsia" w:eastAsiaTheme="minorEastAsia" w:hAnsiTheme="minorEastAsia" w:hint="eastAsia"/>
          <w:sz w:val="21"/>
        </w:rPr>
        <w:t>再次</w:t>
      </w:r>
      <w:r w:rsidRPr="009723F5">
        <w:rPr>
          <w:rFonts w:asciiTheme="minorEastAsia" w:eastAsiaTheme="minorEastAsia" w:hAnsiTheme="minorEastAsia"/>
          <w:sz w:val="21"/>
        </w:rPr>
        <w:t>审议</w:t>
      </w:r>
      <w:r w:rsidRPr="009723F5">
        <w:rPr>
          <w:rFonts w:asciiTheme="minorEastAsia" w:eastAsiaTheme="minorEastAsia" w:hAnsiTheme="minorEastAsia" w:hint="eastAsia"/>
          <w:sz w:val="21"/>
        </w:rPr>
        <w:t>“</w:t>
      </w:r>
      <w:r w:rsidRPr="009723F5">
        <w:rPr>
          <w:rFonts w:asciiTheme="minorEastAsia" w:eastAsiaTheme="minorEastAsia" w:hAnsiTheme="minorEastAsia"/>
          <w:sz w:val="21"/>
        </w:rPr>
        <w:t>妇女与知识产权</w:t>
      </w:r>
      <w:r w:rsidRPr="009723F5">
        <w:rPr>
          <w:rFonts w:asciiTheme="minorEastAsia" w:eastAsiaTheme="minorEastAsia" w:hAnsiTheme="minorEastAsia" w:hint="eastAsia"/>
          <w:sz w:val="21"/>
        </w:rPr>
        <w:t>”议题提供便利</w:t>
      </w:r>
      <w:r w:rsidRPr="009723F5">
        <w:rPr>
          <w:rFonts w:asciiTheme="minorEastAsia" w:eastAsiaTheme="minorEastAsia" w:hAnsiTheme="minorEastAsia"/>
          <w:sz w:val="21"/>
        </w:rPr>
        <w:t>。</w:t>
      </w:r>
      <w:r>
        <w:rPr>
          <w:rFonts w:asciiTheme="minorEastAsia" w:eastAsiaTheme="minorEastAsia" w:hAnsiTheme="minorEastAsia" w:hint="eastAsia"/>
          <w:sz w:val="21"/>
        </w:rPr>
        <w:t>文件</w:t>
      </w:r>
      <w:r w:rsidRPr="009723F5">
        <w:rPr>
          <w:rFonts w:asciiTheme="minorEastAsia" w:eastAsiaTheme="minorEastAsia" w:hAnsiTheme="minorEastAsia"/>
          <w:sz w:val="21"/>
        </w:rPr>
        <w:t>CDIP/26</w:t>
      </w:r>
      <w:r>
        <w:rPr>
          <w:rFonts w:asciiTheme="minorEastAsia" w:eastAsiaTheme="minorEastAsia" w:hAnsiTheme="minorEastAsia"/>
          <w:sz w:val="21"/>
        </w:rPr>
        <w:t>/</w:t>
      </w:r>
      <w:r>
        <w:rPr>
          <w:rFonts w:asciiTheme="minorEastAsia" w:eastAsiaTheme="minorEastAsia" w:hAnsiTheme="minorEastAsia" w:hint="eastAsia"/>
          <w:sz w:val="21"/>
        </w:rPr>
        <w:t>7</w:t>
      </w:r>
      <w:r w:rsidRPr="009723F5">
        <w:rPr>
          <w:rFonts w:asciiTheme="minorEastAsia" w:eastAsiaTheme="minorEastAsia" w:hAnsiTheme="minorEastAsia"/>
          <w:sz w:val="21"/>
        </w:rPr>
        <w:t>回应了墨西哥提案中</w:t>
      </w:r>
      <w:r w:rsidRPr="009723F5">
        <w:rPr>
          <w:rFonts w:asciiTheme="minorEastAsia" w:eastAsiaTheme="minorEastAsia" w:hAnsiTheme="minorEastAsia" w:hint="eastAsia"/>
          <w:sz w:val="21"/>
        </w:rPr>
        <w:t>的</w:t>
      </w:r>
      <w:r w:rsidRPr="009723F5">
        <w:rPr>
          <w:rFonts w:asciiTheme="minorEastAsia" w:eastAsiaTheme="minorEastAsia" w:hAnsiTheme="minorEastAsia"/>
          <w:sz w:val="21"/>
        </w:rPr>
        <w:t>要求1和2，而</w:t>
      </w:r>
      <w:r>
        <w:rPr>
          <w:rFonts w:asciiTheme="minorEastAsia" w:eastAsiaTheme="minorEastAsia" w:hAnsiTheme="minorEastAsia" w:hint="eastAsia"/>
          <w:sz w:val="21"/>
        </w:rPr>
        <w:t>本文件</w:t>
      </w:r>
      <w:r w:rsidRPr="009723F5">
        <w:rPr>
          <w:rFonts w:asciiTheme="minorEastAsia" w:eastAsiaTheme="minorEastAsia" w:hAnsiTheme="minorEastAsia"/>
          <w:sz w:val="21"/>
        </w:rPr>
        <w:t>则报告了秘书处为落实要求3、4和5</w:t>
      </w:r>
      <w:r w:rsidR="002B3BF9" w:rsidRPr="009723F5">
        <w:rPr>
          <w:rFonts w:asciiTheme="minorEastAsia" w:eastAsiaTheme="minorEastAsia" w:hAnsiTheme="minorEastAsia"/>
          <w:sz w:val="21"/>
        </w:rPr>
        <w:t>所采取的行动</w:t>
      </w:r>
      <w:r w:rsidR="002B3BF9">
        <w:rPr>
          <w:rFonts w:asciiTheme="minorEastAsia" w:eastAsiaTheme="minorEastAsia" w:hAnsiTheme="minorEastAsia" w:hint="eastAsia"/>
          <w:sz w:val="21"/>
        </w:rPr>
        <w:t>，关于“妇女与知识产权”议题方面涉及</w:t>
      </w:r>
      <w:r w:rsidR="001A3BEC">
        <w:rPr>
          <w:rFonts w:asciiTheme="minorEastAsia" w:eastAsiaTheme="minorEastAsia" w:hAnsiTheme="minorEastAsia" w:hint="eastAsia"/>
          <w:sz w:val="21"/>
        </w:rPr>
        <w:t>产权组织</w:t>
      </w:r>
      <w:r>
        <w:rPr>
          <w:rFonts w:asciiTheme="minorEastAsia" w:eastAsiaTheme="minorEastAsia" w:hAnsiTheme="minorEastAsia" w:hint="eastAsia"/>
          <w:sz w:val="21"/>
        </w:rPr>
        <w:t>性别</w:t>
      </w:r>
      <w:r w:rsidR="00485B68">
        <w:rPr>
          <w:rFonts w:asciiTheme="minorEastAsia" w:eastAsiaTheme="minorEastAsia" w:hAnsiTheme="minorEastAsia" w:hint="eastAsia"/>
          <w:sz w:val="21"/>
        </w:rPr>
        <w:t>平等</w:t>
      </w:r>
      <w:r>
        <w:rPr>
          <w:rFonts w:asciiTheme="minorEastAsia" w:eastAsiaTheme="minorEastAsia" w:hAnsiTheme="minorEastAsia" w:hint="eastAsia"/>
          <w:sz w:val="21"/>
        </w:rPr>
        <w:t>主流化、能力建设和对</w:t>
      </w:r>
      <w:r w:rsidR="00D13A11">
        <w:rPr>
          <w:rFonts w:asciiTheme="minorEastAsia" w:eastAsiaTheme="minorEastAsia" w:hAnsiTheme="minorEastAsia" w:hint="eastAsia"/>
          <w:sz w:val="21"/>
        </w:rPr>
        <w:t>成员国的援助</w:t>
      </w:r>
      <w:r w:rsidRPr="009723F5">
        <w:rPr>
          <w:rFonts w:asciiTheme="minorEastAsia" w:eastAsiaTheme="minorEastAsia" w:hAnsiTheme="minorEastAsia"/>
          <w:sz w:val="21"/>
        </w:rPr>
        <w:t>。报告</w:t>
      </w:r>
      <w:r w:rsidRPr="009723F5">
        <w:rPr>
          <w:rFonts w:asciiTheme="minorEastAsia" w:eastAsiaTheme="minorEastAsia" w:hAnsiTheme="minorEastAsia" w:hint="eastAsia"/>
          <w:sz w:val="21"/>
        </w:rPr>
        <w:t>所涉期间是</w:t>
      </w:r>
      <w:r w:rsidRPr="009723F5">
        <w:rPr>
          <w:rFonts w:asciiTheme="minorEastAsia" w:eastAsiaTheme="minorEastAsia" w:hAnsiTheme="minorEastAsia"/>
          <w:sz w:val="21"/>
        </w:rPr>
        <w:t>2019年和2020年</w:t>
      </w:r>
      <w:r w:rsidR="00D7729A">
        <w:rPr>
          <w:rFonts w:asciiTheme="minorEastAsia" w:eastAsiaTheme="minorEastAsia" w:hAnsiTheme="minorEastAsia" w:hint="eastAsia"/>
          <w:sz w:val="21"/>
        </w:rPr>
        <w:t>。</w:t>
      </w:r>
    </w:p>
    <w:p w14:paraId="647017CA" w14:textId="75F301D1" w:rsidR="00D54B0F" w:rsidRPr="000F0DF7" w:rsidRDefault="002B3BF9" w:rsidP="000F0DF7">
      <w:pPr>
        <w:keepNext/>
        <w:overflowPunct w:val="0"/>
        <w:spacing w:beforeLines="100" w:before="240" w:afterLines="50" w:after="120" w:line="340" w:lineRule="atLeast"/>
        <w:rPr>
          <w:rFonts w:ascii="SimHei" w:eastAsia="SimHei" w:hAnsi="SimHei"/>
          <w:sz w:val="21"/>
        </w:rPr>
      </w:pPr>
      <w:r w:rsidRPr="000F0DF7">
        <w:rPr>
          <w:rFonts w:ascii="SimHei" w:eastAsia="SimHei" w:hAnsi="SimHei" w:hint="eastAsia"/>
          <w:sz w:val="21"/>
        </w:rPr>
        <w:t>一、</w:t>
      </w:r>
      <w:r w:rsidR="00DB2C6C" w:rsidRPr="000F0DF7">
        <w:rPr>
          <w:rFonts w:ascii="SimHei" w:eastAsia="SimHei" w:hAnsi="SimHei"/>
          <w:sz w:val="21"/>
        </w:rPr>
        <w:t>秘书处对墨西哥提案的</w:t>
      </w:r>
      <w:r w:rsidR="00DB2C6C" w:rsidRPr="000F0DF7">
        <w:rPr>
          <w:rFonts w:ascii="SimHei" w:eastAsia="SimHei" w:hAnsi="SimHei" w:hint="eastAsia"/>
          <w:sz w:val="21"/>
        </w:rPr>
        <w:t>落实</w:t>
      </w:r>
      <w:r w:rsidR="00DB2C6C" w:rsidRPr="000F0DF7">
        <w:rPr>
          <w:rFonts w:ascii="SimHei" w:eastAsia="SimHei" w:hAnsi="SimHei"/>
          <w:sz w:val="21"/>
        </w:rPr>
        <w:t>情况</w:t>
      </w:r>
    </w:p>
    <w:p w14:paraId="2A787ECA" w14:textId="2D3EC3F6" w:rsidR="00D54B0F" w:rsidRPr="005B6CF6" w:rsidRDefault="001A3BEC"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下文介绍了秘书处在落实墨西哥提案中的要求3至5方面的行动。</w:t>
      </w:r>
    </w:p>
    <w:p w14:paraId="6BA4D064" w14:textId="3831CC5B" w:rsidR="00A578D9" w:rsidRPr="005B6CF6" w:rsidRDefault="00A02725" w:rsidP="000F0DF7">
      <w:pPr>
        <w:pStyle w:val="ListParagraph"/>
        <w:keepNext/>
        <w:overflowPunct w:val="0"/>
        <w:spacing w:afterLines="50" w:after="120" w:line="340" w:lineRule="atLeast"/>
        <w:ind w:left="567"/>
        <w:contextualSpacing w:val="0"/>
        <w:jc w:val="both"/>
        <w:rPr>
          <w:rFonts w:ascii="SimSun" w:hAnsi="SimSun"/>
          <w:i/>
          <w:sz w:val="21"/>
        </w:rPr>
      </w:pPr>
      <w:r w:rsidRPr="005B6CF6">
        <w:rPr>
          <w:rFonts w:ascii="SimHei" w:eastAsia="SimHei" w:hAnsi="SimHei" w:hint="eastAsia"/>
          <w:sz w:val="21"/>
        </w:rPr>
        <w:lastRenderedPageBreak/>
        <w:t>要求3：</w:t>
      </w:r>
      <w:r w:rsidRPr="00BC6167">
        <w:rPr>
          <w:rFonts w:ascii="KaiTi" w:eastAsia="KaiTi" w:hAnsi="KaiTi" w:hint="eastAsia"/>
          <w:sz w:val="21"/>
          <w:szCs w:val="21"/>
        </w:rPr>
        <w:t>根据《工作人员条例与细则》，继续将性别问题纳入产权组织各项计划和政策的主流，包括落实产权组织性别平等政策</w:t>
      </w:r>
      <w:r>
        <w:rPr>
          <w:rFonts w:ascii="SimSun" w:hAnsi="SimSun" w:hint="eastAsia"/>
          <w:sz w:val="21"/>
          <w:szCs w:val="21"/>
        </w:rPr>
        <w:t>。</w:t>
      </w:r>
    </w:p>
    <w:p w14:paraId="388E58B2" w14:textId="0C9F3E7B" w:rsidR="00F64A44" w:rsidRPr="005B6CF6" w:rsidRDefault="00BC6167"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SimSun" w:hAnsi="SimSun" w:hint="eastAsia"/>
          <w:sz w:val="21"/>
          <w:lang w:val="en-GB"/>
        </w:rPr>
        <w:t>为了在运用</w:t>
      </w:r>
      <w:r w:rsidR="00871D65" w:rsidRPr="005B6CF6">
        <w:rPr>
          <w:rFonts w:ascii="SimSun" w:hAnsi="SimSun" w:hint="eastAsia"/>
          <w:sz w:val="21"/>
          <w:lang w:val="en-GB"/>
        </w:rPr>
        <w:t>知识产权制度方面追求更大</w:t>
      </w:r>
      <w:r w:rsidRPr="005B6CF6">
        <w:rPr>
          <w:rFonts w:ascii="SimSun" w:hAnsi="SimSun" w:hint="eastAsia"/>
          <w:sz w:val="21"/>
          <w:lang w:val="en-GB"/>
        </w:rPr>
        <w:t>程度</w:t>
      </w:r>
      <w:r w:rsidR="00871D65" w:rsidRPr="005B6CF6">
        <w:rPr>
          <w:rFonts w:ascii="SimSun" w:hAnsi="SimSun" w:hint="eastAsia"/>
          <w:sz w:val="21"/>
          <w:lang w:val="en-GB"/>
        </w:rPr>
        <w:t>的性别平等，产权组织采取了一种双管齐下的方法，将</w:t>
      </w:r>
      <w:r w:rsidR="00325955" w:rsidRPr="005B6CF6">
        <w:rPr>
          <w:rFonts w:ascii="SimSun" w:hAnsi="SimSun" w:hint="eastAsia"/>
          <w:sz w:val="21"/>
          <w:lang w:val="en-GB"/>
        </w:rPr>
        <w:t>有性别区分</w:t>
      </w:r>
      <w:r w:rsidR="00871D65" w:rsidRPr="005B6CF6">
        <w:rPr>
          <w:rFonts w:ascii="SimSun" w:hAnsi="SimSun" w:hint="eastAsia"/>
          <w:sz w:val="21"/>
          <w:lang w:val="en-GB"/>
        </w:rPr>
        <w:t>的活动和性别</w:t>
      </w:r>
      <w:r w:rsidR="00B86DEE" w:rsidRPr="005B6CF6">
        <w:rPr>
          <w:rFonts w:ascii="SimSun" w:hAnsi="SimSun" w:hint="eastAsia"/>
          <w:sz w:val="21"/>
          <w:lang w:val="en-GB"/>
        </w:rPr>
        <w:t>平等</w:t>
      </w:r>
      <w:r w:rsidRPr="005B6CF6">
        <w:rPr>
          <w:rFonts w:ascii="SimSun" w:hAnsi="SimSun" w:hint="eastAsia"/>
          <w:sz w:val="21"/>
          <w:lang w:val="en-GB"/>
        </w:rPr>
        <w:t>主流化活动结合起来。该方法是根据国际层面</w:t>
      </w:r>
      <w:r w:rsidR="00871D65" w:rsidRPr="005B6CF6">
        <w:rPr>
          <w:rFonts w:ascii="SimSun" w:hAnsi="SimSun" w:hint="eastAsia"/>
          <w:sz w:val="21"/>
          <w:lang w:val="en-GB"/>
        </w:rPr>
        <w:t>的良好做法和经验教训而制定的，以产权组织性别平等政策为基础，并扩展到产权组织工作的所有领域，包括计划性和非计划性工作。</w:t>
      </w:r>
    </w:p>
    <w:p w14:paraId="213CCD31" w14:textId="2D9DA18E" w:rsidR="00637943" w:rsidRPr="005B6CF6" w:rsidRDefault="00DD5322"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t>一方面，性别平等主流化是联合国系统和国际社会</w:t>
      </w:r>
      <w:r w:rsidR="00B86DEE" w:rsidRPr="005B6CF6">
        <w:rPr>
          <w:rFonts w:asciiTheme="minorEastAsia" w:eastAsiaTheme="minorEastAsia" w:hAnsiTheme="minorEastAsia" w:hint="eastAsia"/>
          <w:sz w:val="21"/>
          <w:lang w:val="en-GB"/>
        </w:rPr>
        <w:t>为妇女实现与男性</w:t>
      </w:r>
      <w:r w:rsidR="006F4F68" w:rsidRPr="005B6CF6">
        <w:rPr>
          <w:rFonts w:asciiTheme="minorEastAsia" w:eastAsiaTheme="minorEastAsia" w:hAnsiTheme="minorEastAsia" w:hint="eastAsia"/>
          <w:sz w:val="21"/>
          <w:lang w:val="en-GB"/>
        </w:rPr>
        <w:t>相比</w:t>
      </w:r>
      <w:r w:rsidR="00B86DEE" w:rsidRPr="005B6CF6">
        <w:rPr>
          <w:rFonts w:asciiTheme="minorEastAsia" w:eastAsiaTheme="minorEastAsia" w:hAnsiTheme="minorEastAsia" w:hint="eastAsia"/>
          <w:sz w:val="21"/>
          <w:lang w:val="en-GB"/>
        </w:rPr>
        <w:t>更大程度的平等所</w:t>
      </w:r>
      <w:r w:rsidRPr="005B6CF6">
        <w:rPr>
          <w:rFonts w:asciiTheme="minorEastAsia" w:eastAsiaTheme="minorEastAsia" w:hAnsiTheme="minorEastAsia" w:hint="eastAsia"/>
          <w:sz w:val="21"/>
          <w:lang w:val="en-GB"/>
        </w:rPr>
        <w:t>选择</w:t>
      </w:r>
      <w:r w:rsidR="00B86DEE" w:rsidRPr="005B6CF6">
        <w:rPr>
          <w:rFonts w:asciiTheme="minorEastAsia" w:eastAsiaTheme="minorEastAsia" w:hAnsiTheme="minorEastAsia" w:hint="eastAsia"/>
          <w:sz w:val="21"/>
          <w:lang w:val="en-GB"/>
        </w:rPr>
        <w:t>实施的战略。它包含</w:t>
      </w:r>
      <w:r w:rsidR="004B3195" w:rsidRPr="005B6CF6">
        <w:rPr>
          <w:rFonts w:asciiTheme="minorEastAsia" w:eastAsiaTheme="minorEastAsia" w:hAnsiTheme="minorEastAsia" w:hint="eastAsia"/>
          <w:sz w:val="21"/>
          <w:lang w:val="en-GB"/>
        </w:rPr>
        <w:t>对</w:t>
      </w:r>
      <w:r w:rsidRPr="005B6CF6">
        <w:rPr>
          <w:rFonts w:asciiTheme="minorEastAsia" w:eastAsiaTheme="minorEastAsia" w:hAnsiTheme="minorEastAsia" w:hint="eastAsia"/>
          <w:sz w:val="21"/>
          <w:lang w:val="en-GB"/>
        </w:rPr>
        <w:t>任何计划的行动、政策或计划</w:t>
      </w:r>
      <w:r w:rsidR="004B3195" w:rsidRPr="005B6CF6">
        <w:rPr>
          <w:rFonts w:asciiTheme="minorEastAsia" w:eastAsiaTheme="minorEastAsia" w:hAnsiTheme="minorEastAsia" w:hint="eastAsia"/>
          <w:sz w:val="21"/>
          <w:lang w:val="en-GB"/>
        </w:rPr>
        <w:t>的评估</w:t>
      </w:r>
      <w:r w:rsidR="00B86DEE" w:rsidRPr="005B6CF6">
        <w:rPr>
          <w:rFonts w:asciiTheme="minorEastAsia" w:eastAsiaTheme="minorEastAsia" w:hAnsiTheme="minorEastAsia" w:hint="eastAsia"/>
          <w:sz w:val="21"/>
          <w:lang w:val="en-GB"/>
        </w:rPr>
        <w:t>，以确定对</w:t>
      </w:r>
      <w:r w:rsidR="004B3195" w:rsidRPr="005B6CF6">
        <w:rPr>
          <w:rFonts w:asciiTheme="minorEastAsia" w:eastAsiaTheme="minorEastAsia" w:hAnsiTheme="minorEastAsia" w:hint="eastAsia"/>
          <w:sz w:val="21"/>
          <w:lang w:val="en-GB"/>
        </w:rPr>
        <w:t>男女</w:t>
      </w:r>
      <w:r w:rsidR="00DF2144" w:rsidRPr="005B6CF6">
        <w:rPr>
          <w:rFonts w:asciiTheme="minorEastAsia" w:eastAsiaTheme="minorEastAsia" w:hAnsiTheme="minorEastAsia" w:hint="eastAsia"/>
          <w:sz w:val="21"/>
          <w:lang w:val="en-GB"/>
        </w:rPr>
        <w:t>的影响。这种方</w:t>
      </w:r>
      <w:r w:rsidR="00BC6167" w:rsidRPr="005B6CF6">
        <w:rPr>
          <w:rFonts w:asciiTheme="minorEastAsia" w:eastAsiaTheme="minorEastAsia" w:hAnsiTheme="minorEastAsia" w:hint="eastAsia"/>
          <w:sz w:val="21"/>
          <w:lang w:val="en-GB"/>
        </w:rPr>
        <w:t>法可以在设计、实施、监测和评价政策和计划时，将</w:t>
      </w:r>
      <w:r w:rsidR="004B3195" w:rsidRPr="005B6CF6">
        <w:rPr>
          <w:rFonts w:asciiTheme="minorEastAsia" w:eastAsiaTheme="minorEastAsia" w:hAnsiTheme="minorEastAsia" w:hint="eastAsia"/>
          <w:sz w:val="21"/>
          <w:lang w:val="en-GB"/>
        </w:rPr>
        <w:t>妇女</w:t>
      </w:r>
      <w:r w:rsidR="00DF2144" w:rsidRPr="005B6CF6">
        <w:rPr>
          <w:rFonts w:asciiTheme="minorEastAsia" w:eastAsiaTheme="minorEastAsia" w:hAnsiTheme="minorEastAsia" w:hint="eastAsia"/>
          <w:sz w:val="21"/>
          <w:lang w:val="en-GB"/>
        </w:rPr>
        <w:t>和男性的关切和体验作为一个必要的维度，使所有人都能平等受益，不平等现象不会持续下去。另一方面，</w:t>
      </w:r>
      <w:r w:rsidR="00325955" w:rsidRPr="005B6CF6">
        <w:rPr>
          <w:rFonts w:asciiTheme="minorEastAsia" w:eastAsiaTheme="minorEastAsia" w:hAnsiTheme="minorEastAsia" w:hint="eastAsia"/>
          <w:sz w:val="21"/>
          <w:lang w:val="en-GB"/>
        </w:rPr>
        <w:t>有</w:t>
      </w:r>
      <w:r w:rsidR="00DF2144" w:rsidRPr="005B6CF6">
        <w:rPr>
          <w:rFonts w:asciiTheme="minorEastAsia" w:eastAsiaTheme="minorEastAsia" w:hAnsiTheme="minorEastAsia" w:hint="eastAsia"/>
          <w:sz w:val="21"/>
          <w:lang w:val="en-GB"/>
        </w:rPr>
        <w:t>性别</w:t>
      </w:r>
      <w:r w:rsidR="00325955" w:rsidRPr="005B6CF6">
        <w:rPr>
          <w:rFonts w:asciiTheme="minorEastAsia" w:eastAsiaTheme="minorEastAsia" w:hAnsiTheme="minorEastAsia" w:hint="eastAsia"/>
          <w:sz w:val="21"/>
          <w:lang w:val="en-GB"/>
        </w:rPr>
        <w:t>区分</w:t>
      </w:r>
      <w:r w:rsidR="00DF2144" w:rsidRPr="005B6CF6">
        <w:rPr>
          <w:rFonts w:asciiTheme="minorEastAsia" w:eastAsiaTheme="minorEastAsia" w:hAnsiTheme="minorEastAsia" w:hint="eastAsia"/>
          <w:sz w:val="21"/>
          <w:lang w:val="en-GB"/>
        </w:rPr>
        <w:t>的行动针对一个群体（通常要么是男性，要么是</w:t>
      </w:r>
      <w:r w:rsidR="004B3195" w:rsidRPr="005B6CF6">
        <w:rPr>
          <w:rFonts w:asciiTheme="minorEastAsia" w:eastAsiaTheme="minorEastAsia" w:hAnsiTheme="minorEastAsia" w:hint="eastAsia"/>
          <w:sz w:val="21"/>
          <w:lang w:val="en-GB"/>
        </w:rPr>
        <w:t>妇女</w:t>
      </w:r>
      <w:r w:rsidR="00DF2144" w:rsidRPr="005B6CF6">
        <w:rPr>
          <w:rFonts w:asciiTheme="minorEastAsia" w:eastAsiaTheme="minorEastAsia" w:hAnsiTheme="minorEastAsia" w:hint="eastAsia"/>
          <w:sz w:val="21"/>
          <w:lang w:val="en-GB"/>
        </w:rPr>
        <w:t>），以消除差异、提高</w:t>
      </w:r>
      <w:r w:rsidR="003A062A" w:rsidRPr="005B6CF6">
        <w:rPr>
          <w:rFonts w:asciiTheme="minorEastAsia" w:eastAsiaTheme="minorEastAsia" w:hAnsiTheme="minorEastAsia" w:hint="eastAsia"/>
          <w:sz w:val="21"/>
          <w:lang w:val="en-GB"/>
        </w:rPr>
        <w:t>敏感度和参与度，目的是使该群体摆脱不利地位，为人人提供享受平等的机会。</w:t>
      </w:r>
    </w:p>
    <w:p w14:paraId="3F4FEFD4" w14:textId="22A63700" w:rsidR="00637943" w:rsidRPr="005B6CF6" w:rsidRDefault="003A062A"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t>这种双管齐下的方法反映在可持续发展目标（</w:t>
      </w:r>
      <w:r w:rsidRPr="005B6CF6">
        <w:rPr>
          <w:rFonts w:ascii="SimSun" w:hAnsi="SimSun"/>
          <w:sz w:val="21"/>
          <w:lang w:val="en-GB"/>
        </w:rPr>
        <w:t>SDG</w:t>
      </w:r>
      <w:r w:rsidRPr="005B6CF6">
        <w:rPr>
          <w:rFonts w:asciiTheme="minorEastAsia" w:eastAsiaTheme="minorEastAsia" w:hAnsiTheme="minorEastAsia" w:hint="eastAsia"/>
          <w:sz w:val="21"/>
          <w:lang w:val="en-GB"/>
        </w:rPr>
        <w:t>）中，性别平等在一个单独的目标（</w:t>
      </w:r>
      <w:r w:rsidRPr="005B6CF6">
        <w:rPr>
          <w:rFonts w:ascii="KaiTi" w:eastAsia="KaiTi" w:hAnsi="KaiTi" w:hint="eastAsia"/>
          <w:sz w:val="21"/>
          <w:lang w:val="en-GB"/>
        </w:rPr>
        <w:t>可持续发展目标5：实现性别平等，增强所有妇女和女童的权能</w:t>
      </w:r>
      <w:r w:rsidR="00DD5322" w:rsidRPr="005B6CF6">
        <w:rPr>
          <w:rFonts w:asciiTheme="minorEastAsia" w:eastAsiaTheme="minorEastAsia" w:hAnsiTheme="minorEastAsia" w:hint="eastAsia"/>
          <w:sz w:val="21"/>
          <w:lang w:val="en-GB"/>
        </w:rPr>
        <w:t>）中</w:t>
      </w:r>
      <w:r w:rsidRPr="005B6CF6">
        <w:rPr>
          <w:rFonts w:asciiTheme="minorEastAsia" w:eastAsiaTheme="minorEastAsia" w:hAnsiTheme="minorEastAsia" w:hint="eastAsia"/>
          <w:sz w:val="21"/>
          <w:lang w:val="en-GB"/>
        </w:rPr>
        <w:t>作为一个明确的优先事项，并被纳入所有其他目标的主流中（其中的11个目标，包括与性别平等直接相关的指标）。</w:t>
      </w:r>
      <w:r w:rsidR="00E348B3" w:rsidRPr="005B6CF6">
        <w:rPr>
          <w:rFonts w:asciiTheme="minorEastAsia" w:eastAsiaTheme="minorEastAsia" w:hAnsiTheme="minorEastAsia" w:hint="eastAsia"/>
          <w:sz w:val="21"/>
          <w:lang w:val="en-GB"/>
        </w:rPr>
        <w:t>这样，可持续发展目标承认了性别平等的跨领域性质，既是2030年议程目标的推动者又是加速者。</w:t>
      </w:r>
    </w:p>
    <w:p w14:paraId="767622F1" w14:textId="3152CFCB" w:rsidR="00637943" w:rsidRPr="005B6CF6" w:rsidRDefault="00E348B3"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t>自2014</w:t>
      </w:r>
      <w:r w:rsidR="004B3195" w:rsidRPr="005B6CF6">
        <w:rPr>
          <w:rFonts w:asciiTheme="minorEastAsia" w:eastAsiaTheme="minorEastAsia" w:hAnsiTheme="minorEastAsia" w:hint="eastAsia"/>
          <w:sz w:val="21"/>
          <w:lang w:val="en-GB"/>
        </w:rPr>
        <w:t>年推出性别平等政策以来，产权组织</w:t>
      </w:r>
      <w:r w:rsidR="005F6002" w:rsidRPr="005B6CF6">
        <w:rPr>
          <w:rFonts w:asciiTheme="minorEastAsia" w:eastAsiaTheme="minorEastAsia" w:hAnsiTheme="minorEastAsia" w:hint="eastAsia"/>
          <w:sz w:val="21"/>
          <w:lang w:val="en-GB"/>
        </w:rPr>
        <w:t>通过两种方法</w:t>
      </w:r>
      <w:r w:rsidR="00DD5322" w:rsidRPr="005B6CF6">
        <w:rPr>
          <w:rFonts w:asciiTheme="minorEastAsia" w:eastAsiaTheme="minorEastAsia" w:hAnsiTheme="minorEastAsia" w:hint="eastAsia"/>
          <w:sz w:val="21"/>
          <w:lang w:val="en-GB"/>
        </w:rPr>
        <w:t>协同工作。下文</w:t>
      </w:r>
      <w:r w:rsidRPr="005B6CF6">
        <w:rPr>
          <w:rFonts w:asciiTheme="minorEastAsia" w:eastAsiaTheme="minorEastAsia" w:hAnsiTheme="minorEastAsia" w:hint="eastAsia"/>
          <w:sz w:val="21"/>
          <w:lang w:val="en-GB"/>
        </w:rPr>
        <w:t>将介绍这种双重参与的例子。</w:t>
      </w:r>
    </w:p>
    <w:p w14:paraId="72783E3D" w14:textId="7EAD9528" w:rsidR="00485B68" w:rsidRPr="005B6CF6" w:rsidRDefault="00E348B3"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t>产权组织的性别平等政策</w:t>
      </w:r>
      <w:r w:rsidR="00485B68" w:rsidRPr="005B6CF6">
        <w:rPr>
          <w:rFonts w:asciiTheme="minorEastAsia" w:eastAsiaTheme="minorEastAsia" w:hAnsiTheme="minorEastAsia" w:hint="eastAsia"/>
          <w:sz w:val="21"/>
          <w:lang w:val="en-GB"/>
        </w:rPr>
        <w:t>管理这些工作并提供总体方向。它认识到产权组织在性别平等方面，既有内部（对其工作人员）也有外部（对其伙伴和利益攸关方）的机遇和义务，需要在这两个层面协调开展工作。</w:t>
      </w:r>
    </w:p>
    <w:p w14:paraId="4152219E" w14:textId="045A23BA" w:rsidR="00661348" w:rsidRPr="005B6CF6" w:rsidRDefault="00DD5322"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t>该</w:t>
      </w:r>
      <w:r w:rsidR="00485B68" w:rsidRPr="005B6CF6">
        <w:rPr>
          <w:rFonts w:asciiTheme="minorEastAsia" w:eastAsiaTheme="minorEastAsia" w:hAnsiTheme="minorEastAsia" w:hint="eastAsia"/>
          <w:sz w:val="21"/>
          <w:lang w:val="en-GB"/>
        </w:rPr>
        <w:t>政策的</w:t>
      </w:r>
      <w:r w:rsidR="002C25C9" w:rsidRPr="005B6CF6">
        <w:rPr>
          <w:rFonts w:asciiTheme="minorEastAsia" w:eastAsiaTheme="minorEastAsia" w:hAnsiTheme="minorEastAsia" w:hint="eastAsia"/>
          <w:sz w:val="21"/>
          <w:lang w:val="en-GB"/>
        </w:rPr>
        <w:t>实施由人力资源管理部一名性别与多样性专家负责推动和协调。该性别与多样性专家在产权组织所有部门与计划管理人</w:t>
      </w:r>
      <w:r w:rsidR="00485B68" w:rsidRPr="005B6CF6">
        <w:rPr>
          <w:rFonts w:asciiTheme="minorEastAsia" w:eastAsiaTheme="minorEastAsia" w:hAnsiTheme="minorEastAsia" w:hint="eastAsia"/>
          <w:sz w:val="21"/>
          <w:lang w:val="en-GB"/>
        </w:rPr>
        <w:t>合作，支持</w:t>
      </w:r>
      <w:r w:rsidR="002C25C9" w:rsidRPr="005B6CF6">
        <w:rPr>
          <w:rFonts w:asciiTheme="minorEastAsia" w:eastAsiaTheme="minorEastAsia" w:hAnsiTheme="minorEastAsia" w:hint="eastAsia"/>
          <w:sz w:val="21"/>
          <w:lang w:val="en-GB"/>
        </w:rPr>
        <w:t>设计和实施</w:t>
      </w:r>
      <w:r w:rsidR="00325955" w:rsidRPr="005B6CF6">
        <w:rPr>
          <w:rFonts w:asciiTheme="minorEastAsia" w:eastAsiaTheme="minorEastAsia" w:hAnsiTheme="minorEastAsia" w:hint="eastAsia"/>
          <w:sz w:val="21"/>
          <w:lang w:val="en-GB"/>
        </w:rPr>
        <w:t>有性别区分的</w:t>
      </w:r>
      <w:r w:rsidR="00BE4F8E" w:rsidRPr="005B6CF6">
        <w:rPr>
          <w:rFonts w:asciiTheme="minorEastAsia" w:eastAsiaTheme="minorEastAsia" w:hAnsiTheme="minorEastAsia" w:hint="eastAsia"/>
          <w:sz w:val="21"/>
          <w:lang w:val="en-GB"/>
        </w:rPr>
        <w:t>举措</w:t>
      </w:r>
      <w:r w:rsidR="00325955" w:rsidRPr="005B6CF6">
        <w:rPr>
          <w:rFonts w:asciiTheme="minorEastAsia" w:eastAsiaTheme="minorEastAsia" w:hAnsiTheme="minorEastAsia" w:hint="eastAsia"/>
          <w:sz w:val="21"/>
          <w:lang w:val="en-GB"/>
        </w:rPr>
        <w:t>，并支持将性别平等纳入其余工作的主流。</w:t>
      </w:r>
    </w:p>
    <w:p w14:paraId="6CFA0F26" w14:textId="7EF4532D" w:rsidR="00637943" w:rsidRPr="005B6CF6" w:rsidRDefault="00325955"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t>自2014年以来，产权组织还建立了性别问题联络点网络。性别问题联络点是在各部门内就性别平等和包容</w:t>
      </w:r>
      <w:r w:rsidR="002C25C9" w:rsidRPr="005B6CF6">
        <w:rPr>
          <w:rFonts w:asciiTheme="minorEastAsia" w:eastAsiaTheme="minorEastAsia" w:hAnsiTheme="minorEastAsia" w:hint="eastAsia"/>
          <w:sz w:val="21"/>
          <w:lang w:val="en-GB"/>
        </w:rPr>
        <w:t>性</w:t>
      </w:r>
      <w:r w:rsidR="00BE4F8E" w:rsidRPr="005B6CF6">
        <w:rPr>
          <w:rFonts w:asciiTheme="minorEastAsia" w:eastAsiaTheme="minorEastAsia" w:hAnsiTheme="minorEastAsia" w:hint="eastAsia"/>
          <w:sz w:val="21"/>
          <w:lang w:val="en-GB"/>
        </w:rPr>
        <w:t>问题向性别与多样性专家提供支持的志愿者。这是在他们日常工作</w:t>
      </w:r>
      <w:r w:rsidRPr="005B6CF6">
        <w:rPr>
          <w:rFonts w:asciiTheme="minorEastAsia" w:eastAsiaTheme="minorEastAsia" w:hAnsiTheme="minorEastAsia" w:hint="eastAsia"/>
          <w:sz w:val="21"/>
          <w:lang w:val="en-GB"/>
        </w:rPr>
        <w:t>和职责以外进行的。性别问题联络点定期接受培训，以发展和强化能力。</w:t>
      </w:r>
    </w:p>
    <w:p w14:paraId="37E1FA30" w14:textId="1D400581" w:rsidR="004811CB" w:rsidRPr="005B6CF6" w:rsidRDefault="00E530BC"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Theme="minorEastAsia" w:eastAsiaTheme="minorEastAsia" w:hAnsiTheme="minorEastAsia" w:hint="eastAsia"/>
          <w:sz w:val="21"/>
          <w:lang w:val="en-GB"/>
        </w:rPr>
        <w:t>该政策自实施以来，为产权组织提供了良好的服务。2019年进行的一项评估强调了其主要成就，特别是：提高了关于</w:t>
      </w:r>
      <w:r w:rsidR="00BE4F8E" w:rsidRPr="005B6CF6">
        <w:rPr>
          <w:rFonts w:asciiTheme="minorEastAsia" w:eastAsiaTheme="minorEastAsia" w:hAnsiTheme="minorEastAsia" w:hint="eastAsia"/>
          <w:sz w:val="21"/>
          <w:lang w:val="en-GB"/>
        </w:rPr>
        <w:t>知识产权领域</w:t>
      </w:r>
      <w:r w:rsidRPr="005B6CF6">
        <w:rPr>
          <w:rFonts w:asciiTheme="minorEastAsia" w:eastAsiaTheme="minorEastAsia" w:hAnsiTheme="minorEastAsia" w:hint="eastAsia"/>
          <w:sz w:val="21"/>
          <w:lang w:val="en-GB"/>
        </w:rPr>
        <w:t>性别平等和妇女赋权</w:t>
      </w:r>
      <w:r w:rsidR="00BE4F8E" w:rsidRPr="005B6CF6">
        <w:rPr>
          <w:rFonts w:asciiTheme="minorEastAsia" w:eastAsiaTheme="minorEastAsia" w:hAnsiTheme="minorEastAsia" w:hint="eastAsia"/>
          <w:sz w:val="21"/>
          <w:lang w:val="en-GB"/>
        </w:rPr>
        <w:t>相关性</w:t>
      </w:r>
      <w:r w:rsidRPr="005B6CF6">
        <w:rPr>
          <w:rFonts w:asciiTheme="minorEastAsia" w:eastAsiaTheme="minorEastAsia" w:hAnsiTheme="minorEastAsia" w:hint="eastAsia"/>
          <w:sz w:val="21"/>
          <w:lang w:val="en-GB"/>
        </w:rPr>
        <w:t>的认识；建立了一个专门的内部架构开展性别平等活动；以及在该问题上加强与成员国以及联合国系统其他机构的接触等。</w:t>
      </w:r>
    </w:p>
    <w:p w14:paraId="792ED15C" w14:textId="2335ADA6" w:rsidR="007601C9" w:rsidRPr="005B6CF6" w:rsidRDefault="00486CD7" w:rsidP="005B6CF6">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5B6CF6">
        <w:rPr>
          <w:rFonts w:asciiTheme="minorEastAsia" w:eastAsiaTheme="minorEastAsia" w:hAnsiTheme="minorEastAsia" w:hint="eastAsia"/>
          <w:sz w:val="21"/>
          <w:lang w:val="en-GB"/>
        </w:rPr>
        <w:t>产权组织取得的进展体现于它在联合国全系统性别平等和增强妇女权能行动计划（U</w:t>
      </w:r>
      <w:r w:rsidRPr="005B6CF6">
        <w:rPr>
          <w:rFonts w:asciiTheme="minorEastAsia" w:eastAsiaTheme="minorEastAsia" w:hAnsiTheme="minorEastAsia"/>
          <w:sz w:val="21"/>
          <w:lang w:val="en-GB"/>
        </w:rPr>
        <w:t>N-SWAP）</w:t>
      </w:r>
      <w:r w:rsidR="000632FE" w:rsidRPr="005B6CF6">
        <w:rPr>
          <w:rFonts w:asciiTheme="minorEastAsia" w:eastAsiaTheme="minorEastAsia" w:hAnsiTheme="minorEastAsia" w:hint="eastAsia"/>
          <w:sz w:val="21"/>
          <w:lang w:val="en-GB"/>
        </w:rPr>
        <w:t>的表现</w:t>
      </w:r>
      <w:r w:rsidRPr="005B6CF6">
        <w:rPr>
          <w:rFonts w:asciiTheme="minorEastAsia" w:eastAsiaTheme="minorEastAsia" w:hAnsiTheme="minorEastAsia" w:hint="eastAsia"/>
          <w:sz w:val="21"/>
          <w:lang w:val="en-GB"/>
        </w:rPr>
        <w:t>中。U</w:t>
      </w:r>
      <w:r w:rsidRPr="005B6CF6">
        <w:rPr>
          <w:rFonts w:asciiTheme="minorEastAsia" w:eastAsiaTheme="minorEastAsia" w:hAnsiTheme="minorEastAsia"/>
          <w:sz w:val="21"/>
          <w:lang w:val="en-GB"/>
        </w:rPr>
        <w:t>N-SWAP</w:t>
      </w:r>
      <w:r w:rsidRPr="005B6CF6">
        <w:rPr>
          <w:rFonts w:asciiTheme="minorEastAsia" w:eastAsiaTheme="minorEastAsia" w:hAnsiTheme="minorEastAsia" w:hint="eastAsia"/>
          <w:sz w:val="21"/>
          <w:lang w:val="en-GB"/>
        </w:rPr>
        <w:t>是联合国系统行政首长协调理事会（C</w:t>
      </w:r>
      <w:r w:rsidRPr="005B6CF6">
        <w:rPr>
          <w:rFonts w:asciiTheme="minorEastAsia" w:eastAsiaTheme="minorEastAsia" w:hAnsiTheme="minorEastAsia"/>
          <w:sz w:val="21"/>
          <w:lang w:val="en-GB"/>
        </w:rPr>
        <w:t>EB</w:t>
      </w:r>
      <w:r w:rsidRPr="005B6CF6">
        <w:rPr>
          <w:rFonts w:asciiTheme="minorEastAsia" w:eastAsiaTheme="minorEastAsia" w:hAnsiTheme="minorEastAsia" w:hint="eastAsia"/>
          <w:sz w:val="21"/>
          <w:lang w:val="en-GB"/>
        </w:rPr>
        <w:t>）批准的一个问责机制，衡量在组织职能中性别平等主流化的进展。</w:t>
      </w:r>
      <w:r w:rsidR="00913EE5" w:rsidRPr="005B6CF6">
        <w:rPr>
          <w:rFonts w:ascii="SimSun" w:hAnsi="SimSun"/>
          <w:sz w:val="21"/>
          <w:szCs w:val="22"/>
          <w:vertAlign w:val="superscript"/>
        </w:rPr>
        <w:footnoteReference w:id="2"/>
      </w:r>
      <w:r w:rsidR="00452E27" w:rsidRPr="005B6CF6">
        <w:rPr>
          <w:rFonts w:asciiTheme="minorEastAsia" w:eastAsiaTheme="minorEastAsia" w:hAnsiTheme="minorEastAsia" w:hint="eastAsia"/>
          <w:sz w:val="21"/>
          <w:lang w:val="en-GB"/>
        </w:rPr>
        <w:t>它由一个指标框架组成，联合国实体每年都要据此报告。首个U</w:t>
      </w:r>
      <w:r w:rsidR="00452E27" w:rsidRPr="005B6CF6">
        <w:rPr>
          <w:rFonts w:asciiTheme="minorEastAsia" w:eastAsiaTheme="minorEastAsia" w:hAnsiTheme="minorEastAsia"/>
          <w:sz w:val="21"/>
          <w:lang w:val="en-GB"/>
        </w:rPr>
        <w:t>N-SWAP</w:t>
      </w:r>
      <w:r w:rsidR="00452E27" w:rsidRPr="005B6CF6">
        <w:rPr>
          <w:rFonts w:asciiTheme="minorEastAsia" w:eastAsiaTheme="minorEastAsia" w:hAnsiTheme="minorEastAsia" w:hint="eastAsia"/>
          <w:sz w:val="21"/>
          <w:lang w:val="en-GB"/>
        </w:rPr>
        <w:t>周期于2012年开始。到2017年结束时，产权组织的合规率提高了40个百分点，从7%提高到47%。第二个周期——采用不同的阈值和指标——于2018年开始。由于第一个周期开展的工作，产权组织的合规率迅速翻倍，从2018年的24%提高到2020年的47%。</w:t>
      </w:r>
    </w:p>
    <w:p w14:paraId="4AE5CFC3" w14:textId="348CC559" w:rsidR="007601C9" w:rsidRPr="005B6CF6" w:rsidRDefault="00452E27"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lastRenderedPageBreak/>
        <w:t>此外，产权组织</w:t>
      </w:r>
      <w:r w:rsidR="004760C5" w:rsidRPr="005B6CF6">
        <w:rPr>
          <w:rFonts w:asciiTheme="minorEastAsia" w:eastAsiaTheme="minorEastAsia" w:hAnsiTheme="minorEastAsia" w:hint="eastAsia"/>
          <w:sz w:val="21"/>
          <w:lang w:val="en-GB"/>
        </w:rPr>
        <w:t>已设立了</w:t>
      </w:r>
      <w:r w:rsidR="004760C5" w:rsidRPr="005B6CF6">
        <w:rPr>
          <w:rFonts w:ascii="SimSun" w:hAnsi="SimSun"/>
          <w:sz w:val="21"/>
          <w:lang w:val="en-GB"/>
        </w:rPr>
        <w:t>P4</w:t>
      </w:r>
      <w:r w:rsidR="004760C5" w:rsidRPr="005B6CF6">
        <w:rPr>
          <w:rFonts w:asciiTheme="minorEastAsia" w:eastAsiaTheme="minorEastAsia" w:hAnsiTheme="minorEastAsia" w:hint="eastAsia"/>
          <w:sz w:val="21"/>
          <w:lang w:val="en-GB"/>
        </w:rPr>
        <w:t>及以上级别的性别平等目标，并持续进行监测。为2020/2021两年期确定的目标如下：</w:t>
      </w:r>
    </w:p>
    <w:tbl>
      <w:tblPr>
        <w:tblStyle w:val="TableGrid"/>
        <w:tblW w:w="0" w:type="auto"/>
        <w:jc w:val="center"/>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347"/>
      </w:tblGrid>
      <w:tr w:rsidR="005225F7" w:rsidRPr="005B6CF6" w14:paraId="11152170" w14:textId="77777777" w:rsidTr="006D425A">
        <w:trPr>
          <w:tblHeader/>
          <w:jc w:val="center"/>
        </w:trPr>
        <w:tc>
          <w:tcPr>
            <w:tcW w:w="1347" w:type="dxa"/>
          </w:tcPr>
          <w:p w14:paraId="38FF9069" w14:textId="331A0879" w:rsidR="005225F7" w:rsidRPr="005B6CF6" w:rsidRDefault="004760C5" w:rsidP="007B7408">
            <w:pPr>
              <w:keepNext/>
              <w:spacing w:line="340" w:lineRule="atLeast"/>
              <w:contextualSpacing/>
              <w:jc w:val="center"/>
              <w:rPr>
                <w:rFonts w:ascii="SimSun" w:hAnsi="SimSun"/>
                <w:b/>
                <w:sz w:val="21"/>
              </w:rPr>
            </w:pPr>
            <w:r w:rsidRPr="005B6CF6">
              <w:rPr>
                <w:rFonts w:ascii="SimSun" w:hAnsi="SimSun" w:hint="eastAsia"/>
                <w:b/>
                <w:sz w:val="21"/>
              </w:rPr>
              <w:t>级别</w:t>
            </w:r>
          </w:p>
        </w:tc>
        <w:tc>
          <w:tcPr>
            <w:tcW w:w="1347" w:type="dxa"/>
          </w:tcPr>
          <w:p w14:paraId="3F53E8C2" w14:textId="206F3B55" w:rsidR="005225F7" w:rsidRPr="005B6CF6" w:rsidRDefault="004760C5" w:rsidP="005C71F1">
            <w:pPr>
              <w:spacing w:line="340" w:lineRule="atLeast"/>
              <w:contextualSpacing/>
              <w:jc w:val="center"/>
              <w:rPr>
                <w:rFonts w:ascii="SimSun" w:hAnsi="SimSun"/>
                <w:b/>
                <w:sz w:val="21"/>
              </w:rPr>
            </w:pPr>
            <w:r w:rsidRPr="005B6CF6">
              <w:rPr>
                <w:rFonts w:ascii="SimSun" w:hAnsi="SimSun" w:hint="eastAsia"/>
                <w:b/>
                <w:sz w:val="21"/>
              </w:rPr>
              <w:t>目标</w:t>
            </w:r>
          </w:p>
        </w:tc>
      </w:tr>
      <w:tr w:rsidR="005225F7" w:rsidRPr="005B6CF6" w14:paraId="681A9628" w14:textId="77777777" w:rsidTr="006D425A">
        <w:trPr>
          <w:jc w:val="center"/>
        </w:trPr>
        <w:tc>
          <w:tcPr>
            <w:tcW w:w="1347" w:type="dxa"/>
          </w:tcPr>
          <w:p w14:paraId="72B079AF" w14:textId="77777777" w:rsidR="005225F7" w:rsidRPr="005B6CF6" w:rsidRDefault="005225F7" w:rsidP="007B7408">
            <w:pPr>
              <w:keepNext/>
              <w:spacing w:line="340" w:lineRule="atLeast"/>
              <w:contextualSpacing/>
              <w:jc w:val="center"/>
              <w:rPr>
                <w:rFonts w:ascii="SimSun" w:hAnsi="SimSun"/>
                <w:sz w:val="21"/>
              </w:rPr>
            </w:pPr>
            <w:r w:rsidRPr="005B6CF6">
              <w:rPr>
                <w:rFonts w:ascii="SimSun" w:hAnsi="SimSun"/>
                <w:sz w:val="21"/>
              </w:rPr>
              <w:t>D2</w:t>
            </w:r>
          </w:p>
        </w:tc>
        <w:tc>
          <w:tcPr>
            <w:tcW w:w="1347" w:type="dxa"/>
          </w:tcPr>
          <w:p w14:paraId="77393105" w14:textId="77777777" w:rsidR="005225F7" w:rsidRPr="005B6CF6" w:rsidRDefault="005225F7" w:rsidP="005C71F1">
            <w:pPr>
              <w:spacing w:line="340" w:lineRule="atLeast"/>
              <w:contextualSpacing/>
              <w:jc w:val="center"/>
              <w:rPr>
                <w:rFonts w:ascii="SimSun" w:hAnsi="SimSun"/>
                <w:sz w:val="21"/>
              </w:rPr>
            </w:pPr>
            <w:r w:rsidRPr="005B6CF6">
              <w:rPr>
                <w:rFonts w:ascii="SimSun" w:hAnsi="SimSun"/>
                <w:sz w:val="21"/>
              </w:rPr>
              <w:t>24%</w:t>
            </w:r>
          </w:p>
        </w:tc>
      </w:tr>
      <w:tr w:rsidR="005225F7" w:rsidRPr="005B6CF6" w14:paraId="14A18754" w14:textId="77777777" w:rsidTr="006D425A">
        <w:trPr>
          <w:jc w:val="center"/>
        </w:trPr>
        <w:tc>
          <w:tcPr>
            <w:tcW w:w="1347" w:type="dxa"/>
          </w:tcPr>
          <w:p w14:paraId="5EFF7AC9" w14:textId="77777777" w:rsidR="005225F7" w:rsidRPr="005B6CF6" w:rsidRDefault="005225F7" w:rsidP="005C71F1">
            <w:pPr>
              <w:spacing w:line="340" w:lineRule="atLeast"/>
              <w:contextualSpacing/>
              <w:jc w:val="center"/>
              <w:rPr>
                <w:rFonts w:ascii="SimSun" w:hAnsi="SimSun"/>
                <w:sz w:val="21"/>
              </w:rPr>
            </w:pPr>
            <w:r w:rsidRPr="005B6CF6">
              <w:rPr>
                <w:rFonts w:ascii="SimSun" w:hAnsi="SimSun"/>
                <w:sz w:val="21"/>
              </w:rPr>
              <w:t>D1</w:t>
            </w:r>
          </w:p>
        </w:tc>
        <w:tc>
          <w:tcPr>
            <w:tcW w:w="1347" w:type="dxa"/>
          </w:tcPr>
          <w:p w14:paraId="0A164D56" w14:textId="77777777" w:rsidR="005225F7" w:rsidRPr="005B6CF6" w:rsidRDefault="005225F7" w:rsidP="005C71F1">
            <w:pPr>
              <w:spacing w:line="340" w:lineRule="atLeast"/>
              <w:contextualSpacing/>
              <w:jc w:val="center"/>
              <w:rPr>
                <w:rFonts w:ascii="SimSun" w:hAnsi="SimSun"/>
                <w:sz w:val="21"/>
              </w:rPr>
            </w:pPr>
            <w:r w:rsidRPr="005B6CF6">
              <w:rPr>
                <w:rFonts w:ascii="SimSun" w:hAnsi="SimSun"/>
                <w:sz w:val="21"/>
              </w:rPr>
              <w:t>37%</w:t>
            </w:r>
          </w:p>
        </w:tc>
      </w:tr>
      <w:tr w:rsidR="005225F7" w:rsidRPr="005B6CF6" w14:paraId="18E1B37D" w14:textId="77777777" w:rsidTr="006D425A">
        <w:trPr>
          <w:jc w:val="center"/>
        </w:trPr>
        <w:tc>
          <w:tcPr>
            <w:tcW w:w="1347" w:type="dxa"/>
          </w:tcPr>
          <w:p w14:paraId="13D16601" w14:textId="77777777" w:rsidR="005225F7" w:rsidRPr="005B6CF6" w:rsidRDefault="005225F7" w:rsidP="005C71F1">
            <w:pPr>
              <w:spacing w:line="340" w:lineRule="atLeast"/>
              <w:contextualSpacing/>
              <w:jc w:val="center"/>
              <w:rPr>
                <w:rFonts w:ascii="SimSun" w:hAnsi="SimSun"/>
                <w:sz w:val="21"/>
              </w:rPr>
            </w:pPr>
            <w:r w:rsidRPr="005B6CF6">
              <w:rPr>
                <w:rFonts w:ascii="SimSun" w:hAnsi="SimSun"/>
                <w:sz w:val="21"/>
              </w:rPr>
              <w:t>P5</w:t>
            </w:r>
          </w:p>
        </w:tc>
        <w:tc>
          <w:tcPr>
            <w:tcW w:w="1347" w:type="dxa"/>
          </w:tcPr>
          <w:p w14:paraId="6342E896" w14:textId="77777777" w:rsidR="005225F7" w:rsidRPr="005B6CF6" w:rsidRDefault="005225F7" w:rsidP="005C71F1">
            <w:pPr>
              <w:spacing w:line="340" w:lineRule="atLeast"/>
              <w:contextualSpacing/>
              <w:jc w:val="center"/>
              <w:rPr>
                <w:rFonts w:ascii="SimSun" w:hAnsi="SimSun"/>
                <w:sz w:val="21"/>
              </w:rPr>
            </w:pPr>
            <w:r w:rsidRPr="005B6CF6">
              <w:rPr>
                <w:rFonts w:ascii="SimSun" w:hAnsi="SimSun"/>
                <w:sz w:val="21"/>
              </w:rPr>
              <w:t>43%</w:t>
            </w:r>
          </w:p>
        </w:tc>
      </w:tr>
      <w:tr w:rsidR="005225F7" w:rsidRPr="005B6CF6" w14:paraId="65E37FEA" w14:textId="77777777" w:rsidTr="006D425A">
        <w:trPr>
          <w:jc w:val="center"/>
        </w:trPr>
        <w:tc>
          <w:tcPr>
            <w:tcW w:w="1347" w:type="dxa"/>
          </w:tcPr>
          <w:p w14:paraId="25AF7297" w14:textId="77777777" w:rsidR="005225F7" w:rsidRPr="005B6CF6" w:rsidRDefault="005225F7" w:rsidP="005C71F1">
            <w:pPr>
              <w:spacing w:line="340" w:lineRule="atLeast"/>
              <w:contextualSpacing/>
              <w:jc w:val="center"/>
              <w:rPr>
                <w:rFonts w:ascii="SimSun" w:hAnsi="SimSun"/>
                <w:sz w:val="21"/>
              </w:rPr>
            </w:pPr>
            <w:r w:rsidRPr="005B6CF6">
              <w:rPr>
                <w:rFonts w:ascii="SimSun" w:hAnsi="SimSun"/>
                <w:sz w:val="21"/>
              </w:rPr>
              <w:t>P4</w:t>
            </w:r>
          </w:p>
        </w:tc>
        <w:tc>
          <w:tcPr>
            <w:tcW w:w="1347" w:type="dxa"/>
          </w:tcPr>
          <w:p w14:paraId="56CBDCD3" w14:textId="77777777" w:rsidR="005225F7" w:rsidRPr="005B6CF6" w:rsidRDefault="005225F7" w:rsidP="005C71F1">
            <w:pPr>
              <w:spacing w:line="340" w:lineRule="atLeast"/>
              <w:contextualSpacing/>
              <w:jc w:val="center"/>
              <w:rPr>
                <w:rFonts w:ascii="SimSun" w:hAnsi="SimSun"/>
                <w:sz w:val="21"/>
              </w:rPr>
            </w:pPr>
            <w:r w:rsidRPr="005B6CF6">
              <w:rPr>
                <w:rFonts w:ascii="SimSun" w:hAnsi="SimSun"/>
                <w:sz w:val="21"/>
              </w:rPr>
              <w:t>50%</w:t>
            </w:r>
          </w:p>
        </w:tc>
      </w:tr>
    </w:tbl>
    <w:p w14:paraId="73C96F39" w14:textId="19E6C622" w:rsidR="005225F7" w:rsidRPr="005B6CF6" w:rsidRDefault="004760C5"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t>截至2020年12月，产权组织已实现了</w:t>
      </w:r>
      <w:r w:rsidRPr="005B6CF6">
        <w:rPr>
          <w:rFonts w:ascii="SimSun" w:hAnsi="SimSun"/>
          <w:sz w:val="21"/>
          <w:lang w:val="en-GB"/>
        </w:rPr>
        <w:t>P4</w:t>
      </w:r>
      <w:r w:rsidRPr="005B6CF6">
        <w:rPr>
          <w:rFonts w:asciiTheme="minorEastAsia" w:eastAsiaTheme="minorEastAsia" w:hAnsiTheme="minorEastAsia" w:hint="eastAsia"/>
          <w:sz w:val="21"/>
          <w:lang w:val="en-GB"/>
        </w:rPr>
        <w:t>和</w:t>
      </w:r>
      <w:r w:rsidRPr="005B6CF6">
        <w:rPr>
          <w:rFonts w:ascii="SimSun" w:hAnsi="SimSun"/>
          <w:sz w:val="21"/>
          <w:lang w:val="en-GB"/>
        </w:rPr>
        <w:t>D</w:t>
      </w:r>
      <w:r w:rsidRPr="005B6CF6">
        <w:rPr>
          <w:rFonts w:asciiTheme="minorEastAsia" w:eastAsiaTheme="minorEastAsia" w:hAnsiTheme="minorEastAsia" w:hint="eastAsia"/>
          <w:sz w:val="21"/>
          <w:lang w:val="en-GB"/>
        </w:rPr>
        <w:t>1级别的目标，早于2021</w:t>
      </w:r>
      <w:r w:rsidR="0027065A" w:rsidRPr="005B6CF6">
        <w:rPr>
          <w:rFonts w:asciiTheme="minorEastAsia" w:eastAsiaTheme="minorEastAsia" w:hAnsiTheme="minorEastAsia" w:hint="eastAsia"/>
          <w:sz w:val="21"/>
          <w:lang w:val="en-GB"/>
        </w:rPr>
        <w:t>年的截止日期。这些改进得到了征</w:t>
      </w:r>
      <w:r w:rsidRPr="005B6CF6">
        <w:rPr>
          <w:rFonts w:asciiTheme="minorEastAsia" w:eastAsiaTheme="minorEastAsia" w:hAnsiTheme="minorEastAsia" w:hint="eastAsia"/>
          <w:sz w:val="21"/>
          <w:lang w:val="en-GB"/>
        </w:rPr>
        <w:t>聘时有针对性行动的支持。</w:t>
      </w:r>
    </w:p>
    <w:p w14:paraId="2894829C" w14:textId="588B3071" w:rsidR="00387D25" w:rsidRPr="005B6CF6" w:rsidRDefault="00FA7181"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t>产权组织在制定和修订内部政策和办公指令时，一</w:t>
      </w:r>
      <w:r w:rsidR="0027065A" w:rsidRPr="005B6CF6">
        <w:rPr>
          <w:rFonts w:asciiTheme="minorEastAsia" w:eastAsiaTheme="minorEastAsia" w:hAnsiTheme="minorEastAsia" w:hint="eastAsia"/>
          <w:sz w:val="21"/>
          <w:lang w:val="en-GB"/>
        </w:rPr>
        <w:t>直</w:t>
      </w:r>
      <w:r w:rsidR="004760C5" w:rsidRPr="005B6CF6">
        <w:rPr>
          <w:rFonts w:asciiTheme="minorEastAsia" w:eastAsiaTheme="minorEastAsia" w:hAnsiTheme="minorEastAsia" w:hint="eastAsia"/>
          <w:sz w:val="21"/>
          <w:lang w:val="en-GB"/>
        </w:rPr>
        <w:t>将性别平等考虑纳入其中。例如，在包容性语言领域，产权组织在《工作人员条例</w:t>
      </w:r>
      <w:r w:rsidR="007B7408">
        <w:rPr>
          <w:rFonts w:asciiTheme="minorEastAsia" w:eastAsiaTheme="minorEastAsia" w:hAnsiTheme="minorEastAsia" w:hint="eastAsia"/>
          <w:sz w:val="21"/>
          <w:lang w:val="en-GB"/>
        </w:rPr>
        <w:t>与</w:t>
      </w:r>
      <w:r w:rsidR="004760C5" w:rsidRPr="005B6CF6">
        <w:rPr>
          <w:rFonts w:asciiTheme="minorEastAsia" w:eastAsiaTheme="minorEastAsia" w:hAnsiTheme="minorEastAsia" w:hint="eastAsia"/>
          <w:sz w:val="21"/>
          <w:lang w:val="en-GB"/>
        </w:rPr>
        <w:t>细则》中不再</w:t>
      </w:r>
      <w:r w:rsidR="007B7408">
        <w:rPr>
          <w:rFonts w:asciiTheme="minorEastAsia" w:eastAsiaTheme="minorEastAsia" w:hAnsiTheme="minorEastAsia" w:hint="eastAsia"/>
          <w:sz w:val="21"/>
          <w:lang w:val="en-GB"/>
        </w:rPr>
        <w:t>采</w:t>
      </w:r>
      <w:r w:rsidR="004760C5" w:rsidRPr="005B6CF6">
        <w:rPr>
          <w:rFonts w:asciiTheme="minorEastAsia" w:eastAsiaTheme="minorEastAsia" w:hAnsiTheme="minorEastAsia" w:hint="eastAsia"/>
          <w:sz w:val="21"/>
          <w:lang w:val="en-GB"/>
        </w:rPr>
        <w:t>用</w:t>
      </w:r>
      <w:r w:rsidRPr="005B6CF6">
        <w:rPr>
          <w:rFonts w:asciiTheme="minorEastAsia" w:eastAsiaTheme="minorEastAsia" w:hAnsiTheme="minorEastAsia" w:hint="eastAsia"/>
          <w:sz w:val="21"/>
          <w:lang w:val="en-GB"/>
        </w:rPr>
        <w:t>具有泛指意义的男性代词</w:t>
      </w:r>
      <w:r w:rsidR="004760C5" w:rsidRPr="005B6CF6">
        <w:rPr>
          <w:rFonts w:asciiTheme="minorEastAsia" w:eastAsiaTheme="minorEastAsia" w:hAnsiTheme="minorEastAsia" w:hint="eastAsia"/>
          <w:sz w:val="21"/>
          <w:lang w:val="en-GB"/>
        </w:rPr>
        <w:t>。此外，在工作与生活平衡领域，</w:t>
      </w:r>
      <w:r w:rsidR="00AD0275" w:rsidRPr="005B6CF6">
        <w:rPr>
          <w:rFonts w:asciiTheme="minorEastAsia" w:eastAsiaTheme="minorEastAsia" w:hAnsiTheme="minorEastAsia" w:hint="eastAsia"/>
          <w:sz w:val="21"/>
          <w:lang w:val="en-GB"/>
        </w:rPr>
        <w:t>一些变化扩</w:t>
      </w:r>
      <w:r w:rsidR="00493E4C" w:rsidRPr="005B6CF6">
        <w:rPr>
          <w:rFonts w:asciiTheme="minorEastAsia" w:eastAsiaTheme="minorEastAsia" w:hAnsiTheme="minorEastAsia" w:hint="eastAsia"/>
          <w:sz w:val="21"/>
          <w:lang w:val="en-GB"/>
        </w:rPr>
        <w:t>大了父母权利，并使其更具灵活性。例如，收养假现在可</w:t>
      </w:r>
      <w:r w:rsidR="003321F8" w:rsidRPr="005B6CF6">
        <w:rPr>
          <w:rFonts w:asciiTheme="minorEastAsia" w:eastAsiaTheme="minorEastAsia" w:hAnsiTheme="minorEastAsia" w:hint="eastAsia"/>
          <w:sz w:val="21"/>
          <w:lang w:val="en-GB"/>
        </w:rPr>
        <w:t>在被收养子女</w:t>
      </w:r>
      <w:r w:rsidR="00AD0275" w:rsidRPr="005B6CF6">
        <w:rPr>
          <w:rFonts w:asciiTheme="minorEastAsia" w:eastAsiaTheme="minorEastAsia" w:hAnsiTheme="minorEastAsia" w:hint="eastAsia"/>
          <w:sz w:val="21"/>
          <w:lang w:val="en-GB"/>
        </w:rPr>
        <w:t>到达工作人员家中的第一年内分批休，以及所有临时工作人员都有权享受16周的产假，无论服务年限长短。并且，参加产权组织研究金计划的新生儿父母的</w:t>
      </w:r>
      <w:r w:rsidR="00715299" w:rsidRPr="005B6CF6">
        <w:rPr>
          <w:rFonts w:asciiTheme="minorEastAsia" w:eastAsiaTheme="minorEastAsia" w:hAnsiTheme="minorEastAsia" w:hint="eastAsia"/>
          <w:sz w:val="21"/>
          <w:lang w:val="en-GB"/>
        </w:rPr>
        <w:t>陪</w:t>
      </w:r>
      <w:r w:rsidR="00524015" w:rsidRPr="005B6CF6">
        <w:rPr>
          <w:rFonts w:asciiTheme="minorEastAsia" w:eastAsiaTheme="minorEastAsia" w:hAnsiTheme="minorEastAsia" w:hint="eastAsia"/>
          <w:sz w:val="21"/>
          <w:lang w:val="en-GB"/>
        </w:rPr>
        <w:t>产假都得到延长，现在母亲有权</w:t>
      </w:r>
      <w:r w:rsidR="00AD0275" w:rsidRPr="005B6CF6">
        <w:rPr>
          <w:rFonts w:asciiTheme="minorEastAsia" w:eastAsiaTheme="minorEastAsia" w:hAnsiTheme="minorEastAsia" w:hint="eastAsia"/>
          <w:sz w:val="21"/>
          <w:lang w:val="en-GB"/>
        </w:rPr>
        <w:t>享受三个月的全薪产假，父亲有权享受最多三周的全薪</w:t>
      </w:r>
      <w:r w:rsidR="00715299" w:rsidRPr="005B6CF6">
        <w:rPr>
          <w:rFonts w:asciiTheme="minorEastAsia" w:eastAsiaTheme="minorEastAsia" w:hAnsiTheme="minorEastAsia" w:hint="eastAsia"/>
          <w:sz w:val="21"/>
          <w:lang w:val="en-GB"/>
        </w:rPr>
        <w:t>陪</w:t>
      </w:r>
      <w:r w:rsidR="00AD0275" w:rsidRPr="005B6CF6">
        <w:rPr>
          <w:rFonts w:asciiTheme="minorEastAsia" w:eastAsiaTheme="minorEastAsia" w:hAnsiTheme="minorEastAsia" w:hint="eastAsia"/>
          <w:sz w:val="21"/>
          <w:lang w:val="en-GB"/>
        </w:rPr>
        <w:t>产假。</w:t>
      </w:r>
    </w:p>
    <w:p w14:paraId="61FA761D" w14:textId="3CE889F9" w:rsidR="00972728" w:rsidRPr="005B6CF6" w:rsidRDefault="00AC0FE2" w:rsidP="005B6CF6">
      <w:pPr>
        <w:pStyle w:val="ListParagraph"/>
        <w:numPr>
          <w:ilvl w:val="0"/>
          <w:numId w:val="7"/>
        </w:numPr>
        <w:overflowPunct w:val="0"/>
        <w:spacing w:afterLines="50" w:after="120" w:line="340" w:lineRule="atLeast"/>
        <w:ind w:left="0" w:firstLine="0"/>
        <w:contextualSpacing w:val="0"/>
        <w:jc w:val="both"/>
        <w:rPr>
          <w:rFonts w:ascii="SimSun" w:hAnsi="SimSun"/>
          <w:sz w:val="21"/>
          <w:lang w:val="en-GB"/>
        </w:rPr>
      </w:pPr>
      <w:r w:rsidRPr="005B6CF6">
        <w:rPr>
          <w:rFonts w:asciiTheme="minorEastAsia" w:eastAsiaTheme="minorEastAsia" w:hAnsiTheme="minorEastAsia" w:hint="eastAsia"/>
          <w:sz w:val="21"/>
          <w:lang w:val="en-GB"/>
        </w:rPr>
        <w:t>尽管上文强调了良好进展，但差距仍然存在，因为支持性别平等的变革进程在很长的时间框架内产生结果。在该框架下，2019年进行的评估建议修订性别平等政策，以考虑本组织与性别平等有关的新需求以及在国际层面</w:t>
      </w:r>
      <w:r w:rsidR="00524015" w:rsidRPr="005B6CF6">
        <w:rPr>
          <w:rFonts w:asciiTheme="minorEastAsia" w:eastAsiaTheme="minorEastAsia" w:hAnsiTheme="minorEastAsia" w:hint="eastAsia"/>
          <w:sz w:val="21"/>
          <w:lang w:val="en-GB"/>
        </w:rPr>
        <w:t>和</w:t>
      </w:r>
      <w:r w:rsidRPr="005B6CF6">
        <w:rPr>
          <w:rFonts w:asciiTheme="minorEastAsia" w:eastAsiaTheme="minorEastAsia" w:hAnsiTheme="minorEastAsia" w:hint="eastAsia"/>
          <w:sz w:val="21"/>
          <w:lang w:val="en-GB"/>
        </w:rPr>
        <w:t>联合国系统内关于性别平等方法的演变。为此，该政策将于2021年修订。</w:t>
      </w:r>
      <w:r w:rsidR="00524015" w:rsidRPr="005B6CF6">
        <w:rPr>
          <w:rFonts w:asciiTheme="minorEastAsia" w:eastAsiaTheme="minorEastAsia" w:hAnsiTheme="minorEastAsia" w:hint="eastAsia"/>
          <w:sz w:val="21"/>
          <w:lang w:val="en-GB"/>
        </w:rPr>
        <w:t>它</w:t>
      </w:r>
      <w:r w:rsidRPr="005B6CF6">
        <w:rPr>
          <w:rFonts w:asciiTheme="minorEastAsia" w:eastAsiaTheme="minorEastAsia" w:hAnsiTheme="minorEastAsia" w:hint="eastAsia"/>
          <w:sz w:val="21"/>
          <w:lang w:val="en-GB"/>
        </w:rPr>
        <w:t>将</w:t>
      </w:r>
      <w:r w:rsidR="00493E4C" w:rsidRPr="005B6CF6">
        <w:rPr>
          <w:rFonts w:asciiTheme="minorEastAsia" w:eastAsiaTheme="minorEastAsia" w:hAnsiTheme="minorEastAsia" w:hint="eastAsia"/>
          <w:sz w:val="21"/>
          <w:lang w:val="en-GB"/>
        </w:rPr>
        <w:t>继续反映产权组织在该问</w:t>
      </w:r>
      <w:r w:rsidR="00524015" w:rsidRPr="005B6CF6">
        <w:rPr>
          <w:rFonts w:asciiTheme="minorEastAsia" w:eastAsiaTheme="minorEastAsia" w:hAnsiTheme="minorEastAsia" w:hint="eastAsia"/>
          <w:sz w:val="21"/>
          <w:lang w:val="en-GB"/>
        </w:rPr>
        <w:t>题上的双重承诺，即内部承诺（涉及性别平等和为其人员提供</w:t>
      </w:r>
      <w:r w:rsidRPr="005B6CF6">
        <w:rPr>
          <w:rFonts w:asciiTheme="minorEastAsia" w:eastAsiaTheme="minorEastAsia" w:hAnsiTheme="minorEastAsia" w:hint="eastAsia"/>
          <w:sz w:val="21"/>
          <w:lang w:val="en-GB"/>
        </w:rPr>
        <w:t>包容性组织文化）以及外部承诺（基于与利益攸关方和伙伴</w:t>
      </w:r>
      <w:r w:rsidR="00524015" w:rsidRPr="005B6CF6">
        <w:rPr>
          <w:rFonts w:asciiTheme="minorEastAsia" w:eastAsiaTheme="minorEastAsia" w:hAnsiTheme="minorEastAsia" w:hint="eastAsia"/>
          <w:sz w:val="21"/>
          <w:lang w:val="en-GB"/>
        </w:rPr>
        <w:t>关于知识产权</w:t>
      </w:r>
      <w:r w:rsidRPr="005B6CF6">
        <w:rPr>
          <w:rFonts w:asciiTheme="minorEastAsia" w:eastAsiaTheme="minorEastAsia" w:hAnsiTheme="minorEastAsia" w:hint="eastAsia"/>
          <w:sz w:val="21"/>
          <w:lang w:val="en-GB"/>
        </w:rPr>
        <w:t>的知识、经验教训和良好做法的交流）</w:t>
      </w:r>
      <w:r w:rsidR="005C71F1">
        <w:rPr>
          <w:rFonts w:asciiTheme="minorEastAsia" w:eastAsiaTheme="minorEastAsia" w:hAnsiTheme="minorEastAsia" w:hint="eastAsia"/>
          <w:sz w:val="21"/>
          <w:lang w:val="en-GB"/>
        </w:rPr>
        <w:t>。</w:t>
      </w:r>
    </w:p>
    <w:p w14:paraId="53854C37" w14:textId="5D7638ED" w:rsidR="00A578D9" w:rsidRPr="005B6CF6" w:rsidRDefault="00A02725" w:rsidP="000F0DF7">
      <w:pPr>
        <w:pStyle w:val="ListParagraph"/>
        <w:keepNext/>
        <w:overflowPunct w:val="0"/>
        <w:spacing w:afterLines="50" w:after="120" w:line="340" w:lineRule="atLeast"/>
        <w:ind w:left="567"/>
        <w:contextualSpacing w:val="0"/>
        <w:jc w:val="both"/>
        <w:rPr>
          <w:rFonts w:ascii="SimSun" w:hAnsi="SimSun"/>
          <w:i/>
          <w:sz w:val="21"/>
        </w:rPr>
      </w:pPr>
      <w:r w:rsidRPr="005B6CF6">
        <w:rPr>
          <w:rFonts w:ascii="SimHei" w:eastAsia="SimHei" w:hAnsi="SimHei" w:hint="eastAsia"/>
          <w:sz w:val="21"/>
        </w:rPr>
        <w:t>要求4：</w:t>
      </w:r>
      <w:r w:rsidRPr="009607CC">
        <w:rPr>
          <w:rFonts w:ascii="KaiTi" w:eastAsia="KaiTi" w:hAnsi="KaiTi" w:hint="eastAsia"/>
          <w:sz w:val="21"/>
          <w:szCs w:val="21"/>
        </w:rPr>
        <w:t>继续通过</w:t>
      </w:r>
      <w:r w:rsidR="009607CC">
        <w:rPr>
          <w:rFonts w:ascii="KaiTi" w:eastAsia="KaiTi" w:hAnsi="KaiTi" w:hint="eastAsia"/>
          <w:sz w:val="21"/>
          <w:szCs w:val="21"/>
        </w:rPr>
        <w:t>W</w:t>
      </w:r>
      <w:r w:rsidR="009607CC">
        <w:rPr>
          <w:rFonts w:ascii="KaiTi" w:eastAsia="KaiTi" w:hAnsi="KaiTi"/>
          <w:sz w:val="21"/>
          <w:szCs w:val="21"/>
        </w:rPr>
        <w:t>IPO</w:t>
      </w:r>
      <w:r w:rsidRPr="009607CC">
        <w:rPr>
          <w:rFonts w:ascii="KaiTi" w:eastAsia="KaiTi" w:hAnsi="KaiTi" w:hint="eastAsia"/>
          <w:sz w:val="21"/>
          <w:szCs w:val="21"/>
        </w:rPr>
        <w:t>学院广泛的知识产权培训和能力建设项目赋予</w:t>
      </w:r>
      <w:r w:rsidR="00AC0FE2" w:rsidRPr="009607CC">
        <w:rPr>
          <w:rFonts w:ascii="KaiTi" w:eastAsia="KaiTi" w:hAnsi="KaiTi" w:hint="eastAsia"/>
          <w:sz w:val="21"/>
          <w:szCs w:val="21"/>
        </w:rPr>
        <w:t>妇女</w:t>
      </w:r>
      <w:r w:rsidRPr="009607CC">
        <w:rPr>
          <w:rFonts w:ascii="KaiTi" w:eastAsia="KaiTi" w:hAnsi="KaiTi" w:hint="eastAsia"/>
          <w:sz w:val="21"/>
          <w:szCs w:val="21"/>
        </w:rPr>
        <w:t>权能。</w:t>
      </w:r>
    </w:p>
    <w:p w14:paraId="018210A5" w14:textId="24197DCD" w:rsidR="00D61015" w:rsidRPr="005B6CF6" w:rsidRDefault="00442043"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sz w:val="21"/>
        </w:rPr>
        <w:t>WIPO</w:t>
      </w:r>
      <w:r w:rsidRPr="005B6CF6">
        <w:rPr>
          <w:rFonts w:asciiTheme="minorEastAsia" w:eastAsiaTheme="minorEastAsia" w:hAnsiTheme="minorEastAsia" w:hint="eastAsia"/>
          <w:sz w:val="21"/>
        </w:rPr>
        <w:t>学院加强努力，确保缩小知识产权知识方面的性别差距。继续鼓励妇女参与其知识产权培训和能力建设活动，取得积极成果。2019年，64,</w:t>
      </w:r>
      <w:r w:rsidRPr="005B6CF6">
        <w:rPr>
          <w:rFonts w:asciiTheme="minorEastAsia" w:eastAsiaTheme="minorEastAsia" w:hAnsiTheme="minorEastAsia"/>
          <w:sz w:val="21"/>
        </w:rPr>
        <w:t>137</w:t>
      </w:r>
      <w:r w:rsidRPr="005B6CF6">
        <w:rPr>
          <w:rFonts w:asciiTheme="minorEastAsia" w:eastAsiaTheme="minorEastAsia" w:hAnsiTheme="minorEastAsia" w:hint="eastAsia"/>
          <w:sz w:val="21"/>
        </w:rPr>
        <w:t>名女性参与者参加了W</w:t>
      </w:r>
      <w:r w:rsidRPr="005B6CF6">
        <w:rPr>
          <w:rFonts w:asciiTheme="minorEastAsia" w:eastAsiaTheme="minorEastAsia" w:hAnsiTheme="minorEastAsia"/>
          <w:sz w:val="21"/>
        </w:rPr>
        <w:t>IPO</w:t>
      </w:r>
      <w:r w:rsidRPr="005B6CF6">
        <w:rPr>
          <w:rFonts w:asciiTheme="minorEastAsia" w:eastAsiaTheme="minorEastAsia" w:hAnsiTheme="minorEastAsia" w:hint="eastAsia"/>
          <w:sz w:val="21"/>
        </w:rPr>
        <w:t>学院的课程，占学员总数的53%。2020年，这一数字增加到8</w:t>
      </w:r>
      <w:r w:rsidRPr="005B6CF6">
        <w:rPr>
          <w:rFonts w:asciiTheme="minorEastAsia" w:eastAsiaTheme="minorEastAsia" w:hAnsiTheme="minorEastAsia"/>
          <w:sz w:val="21"/>
        </w:rPr>
        <w:t>1,201</w:t>
      </w:r>
      <w:r w:rsidRPr="005B6CF6">
        <w:rPr>
          <w:rFonts w:asciiTheme="minorEastAsia" w:eastAsiaTheme="minorEastAsia" w:hAnsiTheme="minorEastAsia" w:hint="eastAsia"/>
          <w:sz w:val="21"/>
        </w:rPr>
        <w:t>（总数的54%）。该数据证实了自1998</w:t>
      </w:r>
      <w:r w:rsidR="009607CC" w:rsidRPr="005B6CF6">
        <w:rPr>
          <w:rFonts w:asciiTheme="minorEastAsia" w:eastAsiaTheme="minorEastAsia" w:hAnsiTheme="minorEastAsia" w:hint="eastAsia"/>
          <w:sz w:val="21"/>
        </w:rPr>
        <w:t>年成立以来，妇女参与学院课程的人数呈上升趋势。下表提供了按计划</w:t>
      </w:r>
      <w:r w:rsidR="00335AAB" w:rsidRPr="005B6CF6">
        <w:rPr>
          <w:rFonts w:asciiTheme="minorEastAsia" w:eastAsiaTheme="minorEastAsia" w:hAnsiTheme="minorEastAsia" w:hint="eastAsia"/>
          <w:sz w:val="21"/>
        </w:rPr>
        <w:t>分列</w:t>
      </w:r>
      <w:r w:rsidRPr="005B6CF6">
        <w:rPr>
          <w:rFonts w:asciiTheme="minorEastAsia" w:eastAsiaTheme="minorEastAsia" w:hAnsiTheme="minorEastAsia" w:hint="eastAsia"/>
          <w:sz w:val="21"/>
        </w:rPr>
        <w:t>的信息：</w:t>
      </w:r>
    </w:p>
    <w:tbl>
      <w:tblPr>
        <w:tblStyle w:val="TableGrid"/>
        <w:tblW w:w="9270" w:type="dxa"/>
        <w:tblInd w:w="-5" w:type="dxa"/>
        <w:tblLook w:val="04A0" w:firstRow="1" w:lastRow="0" w:firstColumn="1" w:lastColumn="0" w:noHBand="0" w:noVBand="1"/>
        <w:tblCaption w:val="Academy Program"/>
        <w:tblDescription w:val="Professional Development Program, WIPO Summer Schools, WIPO Joint Master's Degree and IP Colloquiums, Distance Learning"/>
      </w:tblPr>
      <w:tblGrid>
        <w:gridCol w:w="4820"/>
        <w:gridCol w:w="2268"/>
        <w:gridCol w:w="2182"/>
      </w:tblGrid>
      <w:tr w:rsidR="00B70F54" w:rsidRPr="005B6CF6" w14:paraId="772E263E" w14:textId="77777777" w:rsidTr="006A5EEC">
        <w:tc>
          <w:tcPr>
            <w:tcW w:w="4820" w:type="dxa"/>
            <w:shd w:val="pct15" w:color="auto" w:fill="auto"/>
          </w:tcPr>
          <w:p w14:paraId="1203EF77" w14:textId="7CD7849C" w:rsidR="00442043" w:rsidRPr="005B6CF6" w:rsidRDefault="009607CC" w:rsidP="005C71F1">
            <w:pPr>
              <w:spacing w:afterLines="50" w:after="120" w:line="340" w:lineRule="atLeast"/>
              <w:jc w:val="center"/>
              <w:rPr>
                <w:rFonts w:ascii="SimSun" w:hAnsi="SimSun"/>
                <w:b/>
                <w:sz w:val="21"/>
              </w:rPr>
            </w:pPr>
            <w:r w:rsidRPr="005B6CF6">
              <w:rPr>
                <w:rFonts w:ascii="SimSun" w:hAnsi="SimSun" w:hint="eastAsia"/>
                <w:b/>
                <w:sz w:val="21"/>
              </w:rPr>
              <w:t>学院计划</w:t>
            </w:r>
          </w:p>
        </w:tc>
        <w:tc>
          <w:tcPr>
            <w:tcW w:w="2268" w:type="dxa"/>
            <w:shd w:val="pct15" w:color="auto" w:fill="auto"/>
          </w:tcPr>
          <w:p w14:paraId="5E011D82" w14:textId="3266FB3A" w:rsidR="00442043" w:rsidRPr="005B6CF6" w:rsidRDefault="00442043" w:rsidP="005C71F1">
            <w:pPr>
              <w:spacing w:afterLines="50" w:after="120" w:line="340" w:lineRule="atLeast"/>
              <w:jc w:val="center"/>
              <w:rPr>
                <w:rFonts w:ascii="SimSun" w:hAnsi="SimSun"/>
                <w:b/>
                <w:sz w:val="21"/>
              </w:rPr>
            </w:pPr>
            <w:r w:rsidRPr="005B6CF6">
              <w:rPr>
                <w:rFonts w:ascii="SimSun" w:hAnsi="SimSun" w:hint="eastAsia"/>
                <w:b/>
                <w:sz w:val="21"/>
              </w:rPr>
              <w:t>2019年女性参与情况</w:t>
            </w:r>
          </w:p>
        </w:tc>
        <w:tc>
          <w:tcPr>
            <w:tcW w:w="2182" w:type="dxa"/>
            <w:shd w:val="pct15" w:color="auto" w:fill="auto"/>
          </w:tcPr>
          <w:p w14:paraId="069E04E3" w14:textId="3AA2806D" w:rsidR="00442043" w:rsidRPr="005B6CF6" w:rsidRDefault="00442043" w:rsidP="005C71F1">
            <w:pPr>
              <w:spacing w:afterLines="50" w:after="120" w:line="340" w:lineRule="atLeast"/>
              <w:jc w:val="center"/>
              <w:rPr>
                <w:rFonts w:ascii="SimSun" w:hAnsi="SimSun"/>
                <w:b/>
                <w:sz w:val="21"/>
              </w:rPr>
            </w:pPr>
            <w:r w:rsidRPr="005B6CF6">
              <w:rPr>
                <w:rFonts w:ascii="SimSun" w:hAnsi="SimSun" w:hint="eastAsia"/>
                <w:b/>
                <w:sz w:val="21"/>
              </w:rPr>
              <w:t>2020年女性参与情况</w:t>
            </w:r>
          </w:p>
        </w:tc>
      </w:tr>
      <w:tr w:rsidR="00B7232B" w:rsidRPr="005B6CF6" w14:paraId="74210930" w14:textId="77777777" w:rsidTr="004061BE">
        <w:tc>
          <w:tcPr>
            <w:tcW w:w="4820" w:type="dxa"/>
          </w:tcPr>
          <w:p w14:paraId="407E180D" w14:textId="30D67EF8" w:rsidR="00B7232B" w:rsidRPr="005B6CF6" w:rsidRDefault="0075247D" w:rsidP="005C71F1">
            <w:pPr>
              <w:spacing w:afterLines="50" w:after="120" w:line="340" w:lineRule="atLeast"/>
              <w:rPr>
                <w:rFonts w:ascii="SimSun" w:hAnsi="SimSun"/>
                <w:sz w:val="21"/>
              </w:rPr>
            </w:pPr>
            <w:r w:rsidRPr="005B6CF6">
              <w:rPr>
                <w:rFonts w:ascii="SimSun" w:hAnsi="SimSun" w:hint="eastAsia"/>
                <w:sz w:val="21"/>
              </w:rPr>
              <w:t>专业发展计划</w:t>
            </w:r>
          </w:p>
        </w:tc>
        <w:tc>
          <w:tcPr>
            <w:tcW w:w="2268" w:type="dxa"/>
          </w:tcPr>
          <w:p w14:paraId="406D8A8E" w14:textId="2A058BD3" w:rsidR="00B7232B" w:rsidRPr="005B6CF6" w:rsidRDefault="00B7232B" w:rsidP="005C71F1">
            <w:pPr>
              <w:spacing w:afterLines="50" w:after="120" w:line="340" w:lineRule="atLeast"/>
              <w:jc w:val="right"/>
              <w:rPr>
                <w:rFonts w:ascii="SimSun" w:hAnsi="SimSun"/>
                <w:sz w:val="21"/>
              </w:rPr>
            </w:pPr>
            <w:r w:rsidRPr="005B6CF6">
              <w:rPr>
                <w:rFonts w:ascii="SimSun" w:hAnsi="SimSun"/>
                <w:sz w:val="21"/>
              </w:rPr>
              <w:t>239</w:t>
            </w:r>
            <w:r w:rsidR="004061BE" w:rsidRPr="005B6CF6">
              <w:rPr>
                <w:rFonts w:ascii="SimSun" w:hAnsi="SimSun"/>
                <w:sz w:val="21"/>
              </w:rPr>
              <w:t>(54%)</w:t>
            </w:r>
          </w:p>
        </w:tc>
        <w:tc>
          <w:tcPr>
            <w:tcW w:w="2182" w:type="dxa"/>
          </w:tcPr>
          <w:p w14:paraId="45694FA3" w14:textId="77B434D5" w:rsidR="00B7232B" w:rsidRPr="005B6CF6" w:rsidRDefault="004061BE" w:rsidP="005C71F1">
            <w:pPr>
              <w:spacing w:afterLines="50" w:after="120" w:line="340" w:lineRule="atLeast"/>
              <w:jc w:val="right"/>
              <w:rPr>
                <w:rFonts w:ascii="SimSun" w:hAnsi="SimSun"/>
                <w:sz w:val="21"/>
              </w:rPr>
            </w:pPr>
            <w:r w:rsidRPr="005B6CF6">
              <w:rPr>
                <w:rFonts w:ascii="SimSun" w:hAnsi="SimSun"/>
                <w:sz w:val="21"/>
              </w:rPr>
              <w:t>85(46%)</w:t>
            </w:r>
          </w:p>
        </w:tc>
      </w:tr>
      <w:tr w:rsidR="00B7232B" w:rsidRPr="005B6CF6" w14:paraId="078606AB" w14:textId="77777777" w:rsidTr="004061BE">
        <w:tc>
          <w:tcPr>
            <w:tcW w:w="4820" w:type="dxa"/>
          </w:tcPr>
          <w:p w14:paraId="326A62A3" w14:textId="223AECA8" w:rsidR="00B7232B" w:rsidRPr="005B6CF6" w:rsidRDefault="0075247D" w:rsidP="005C71F1">
            <w:pPr>
              <w:spacing w:afterLines="50" w:after="120" w:line="340" w:lineRule="atLeast"/>
              <w:rPr>
                <w:rFonts w:ascii="SimSun" w:hAnsi="SimSun"/>
                <w:sz w:val="21"/>
              </w:rPr>
            </w:pPr>
            <w:r w:rsidRPr="005B6CF6">
              <w:rPr>
                <w:rFonts w:ascii="SimSun" w:hAnsi="SimSun" w:hint="eastAsia"/>
                <w:sz w:val="21"/>
              </w:rPr>
              <w:t>产权组织暑期班</w:t>
            </w:r>
          </w:p>
        </w:tc>
        <w:tc>
          <w:tcPr>
            <w:tcW w:w="2268" w:type="dxa"/>
          </w:tcPr>
          <w:p w14:paraId="3656C5C8" w14:textId="359C8BCA" w:rsidR="00B7232B" w:rsidRPr="005B6CF6" w:rsidRDefault="00B7232B" w:rsidP="005C71F1">
            <w:pPr>
              <w:spacing w:afterLines="50" w:after="120" w:line="340" w:lineRule="atLeast"/>
              <w:jc w:val="right"/>
              <w:rPr>
                <w:rFonts w:ascii="SimSun" w:hAnsi="SimSun"/>
                <w:sz w:val="21"/>
              </w:rPr>
            </w:pPr>
            <w:r w:rsidRPr="005B6CF6">
              <w:rPr>
                <w:rFonts w:ascii="SimSun" w:hAnsi="SimSun"/>
                <w:sz w:val="21"/>
              </w:rPr>
              <w:t>409</w:t>
            </w:r>
            <w:r w:rsidR="004061BE" w:rsidRPr="005B6CF6">
              <w:rPr>
                <w:rFonts w:ascii="SimSun" w:hAnsi="SimSun"/>
                <w:sz w:val="21"/>
              </w:rPr>
              <w:t>(58%)</w:t>
            </w:r>
          </w:p>
        </w:tc>
        <w:tc>
          <w:tcPr>
            <w:tcW w:w="2182" w:type="dxa"/>
          </w:tcPr>
          <w:p w14:paraId="39EE56D5" w14:textId="3636CE8B" w:rsidR="00B7232B" w:rsidRPr="005B6CF6" w:rsidRDefault="004061BE" w:rsidP="005C71F1">
            <w:pPr>
              <w:spacing w:afterLines="50" w:after="120" w:line="340" w:lineRule="atLeast"/>
              <w:jc w:val="right"/>
              <w:rPr>
                <w:rFonts w:ascii="SimSun" w:hAnsi="SimSun"/>
                <w:sz w:val="21"/>
              </w:rPr>
            </w:pPr>
            <w:r w:rsidRPr="005B6CF6">
              <w:rPr>
                <w:rFonts w:ascii="SimSun" w:hAnsi="SimSun"/>
                <w:sz w:val="21"/>
              </w:rPr>
              <w:t>735(57%)</w:t>
            </w:r>
          </w:p>
        </w:tc>
      </w:tr>
      <w:tr w:rsidR="00B7232B" w:rsidRPr="005B6CF6" w14:paraId="23EF2A8B" w14:textId="77777777" w:rsidTr="004061BE">
        <w:tc>
          <w:tcPr>
            <w:tcW w:w="4820" w:type="dxa"/>
          </w:tcPr>
          <w:p w14:paraId="3BBA8711" w14:textId="7C18C1D0" w:rsidR="00B7232B" w:rsidRPr="005B6CF6" w:rsidRDefault="0075247D" w:rsidP="005C71F1">
            <w:pPr>
              <w:spacing w:afterLines="50" w:after="120" w:line="340" w:lineRule="atLeast"/>
              <w:rPr>
                <w:rFonts w:ascii="SimSun" w:hAnsi="SimSun"/>
                <w:sz w:val="21"/>
              </w:rPr>
            </w:pPr>
            <w:r w:rsidRPr="005B6CF6">
              <w:rPr>
                <w:rFonts w:ascii="SimSun" w:hAnsi="SimSun" w:hint="eastAsia"/>
                <w:sz w:val="21"/>
              </w:rPr>
              <w:t>产权组织联合培养硕士学位和知识产权研讨会</w:t>
            </w:r>
          </w:p>
        </w:tc>
        <w:tc>
          <w:tcPr>
            <w:tcW w:w="2268" w:type="dxa"/>
          </w:tcPr>
          <w:p w14:paraId="7DDC72CF" w14:textId="6789B008" w:rsidR="00B7232B" w:rsidRPr="005B6CF6" w:rsidRDefault="00B7232B" w:rsidP="005C71F1">
            <w:pPr>
              <w:spacing w:afterLines="50" w:after="120" w:line="340" w:lineRule="atLeast"/>
              <w:jc w:val="right"/>
              <w:rPr>
                <w:rFonts w:ascii="SimSun" w:hAnsi="SimSun"/>
                <w:sz w:val="21"/>
              </w:rPr>
            </w:pPr>
            <w:r w:rsidRPr="005B6CF6">
              <w:rPr>
                <w:rFonts w:ascii="SimSun" w:hAnsi="SimSun"/>
                <w:sz w:val="21"/>
              </w:rPr>
              <w:t>132</w:t>
            </w:r>
            <w:r w:rsidR="004061BE" w:rsidRPr="005B6CF6">
              <w:rPr>
                <w:rFonts w:ascii="SimSun" w:hAnsi="SimSun"/>
                <w:sz w:val="21"/>
              </w:rPr>
              <w:t>(57%)</w:t>
            </w:r>
          </w:p>
        </w:tc>
        <w:tc>
          <w:tcPr>
            <w:tcW w:w="2182" w:type="dxa"/>
          </w:tcPr>
          <w:p w14:paraId="0D2D7506" w14:textId="4E070498" w:rsidR="00B7232B" w:rsidRPr="005B6CF6" w:rsidRDefault="004061BE" w:rsidP="005C71F1">
            <w:pPr>
              <w:spacing w:afterLines="50" w:after="120" w:line="340" w:lineRule="atLeast"/>
              <w:jc w:val="right"/>
              <w:rPr>
                <w:rFonts w:ascii="SimSun" w:hAnsi="SimSun"/>
                <w:sz w:val="21"/>
              </w:rPr>
            </w:pPr>
            <w:r w:rsidRPr="005B6CF6">
              <w:rPr>
                <w:rFonts w:ascii="SimSun" w:hAnsi="SimSun"/>
                <w:sz w:val="21"/>
              </w:rPr>
              <w:t>123(56%)</w:t>
            </w:r>
          </w:p>
        </w:tc>
      </w:tr>
      <w:tr w:rsidR="00B7232B" w:rsidRPr="005B6CF6" w14:paraId="10750416" w14:textId="77777777" w:rsidTr="004061BE">
        <w:tc>
          <w:tcPr>
            <w:tcW w:w="4820" w:type="dxa"/>
          </w:tcPr>
          <w:p w14:paraId="293FD54A" w14:textId="42AF9912" w:rsidR="00B7232B" w:rsidRPr="005B6CF6" w:rsidRDefault="0075247D" w:rsidP="005C71F1">
            <w:pPr>
              <w:spacing w:afterLines="50" w:after="120" w:line="340" w:lineRule="atLeast"/>
              <w:rPr>
                <w:rFonts w:ascii="SimSun" w:hAnsi="SimSun"/>
                <w:sz w:val="21"/>
              </w:rPr>
            </w:pPr>
            <w:r w:rsidRPr="005B6CF6">
              <w:rPr>
                <w:rFonts w:ascii="SimSun" w:hAnsi="SimSun" w:hint="eastAsia"/>
                <w:sz w:val="21"/>
              </w:rPr>
              <w:t>远程学习</w:t>
            </w:r>
          </w:p>
        </w:tc>
        <w:tc>
          <w:tcPr>
            <w:tcW w:w="2268" w:type="dxa"/>
          </w:tcPr>
          <w:p w14:paraId="10E6339B" w14:textId="6AA4DF8A" w:rsidR="00B7232B" w:rsidRPr="005B6CF6" w:rsidRDefault="00B7232B" w:rsidP="005C71F1">
            <w:pPr>
              <w:spacing w:afterLines="50" w:after="120" w:line="340" w:lineRule="atLeast"/>
              <w:jc w:val="right"/>
              <w:rPr>
                <w:rFonts w:ascii="SimSun" w:hAnsi="SimSun"/>
                <w:sz w:val="21"/>
              </w:rPr>
            </w:pPr>
            <w:r w:rsidRPr="005B6CF6">
              <w:rPr>
                <w:rFonts w:ascii="SimSun" w:hAnsi="SimSun"/>
                <w:sz w:val="21"/>
              </w:rPr>
              <w:t>63,357</w:t>
            </w:r>
            <w:r w:rsidR="004061BE" w:rsidRPr="005B6CF6">
              <w:rPr>
                <w:rFonts w:ascii="SimSun" w:hAnsi="SimSun"/>
                <w:sz w:val="21"/>
              </w:rPr>
              <w:t>(53%)</w:t>
            </w:r>
          </w:p>
        </w:tc>
        <w:tc>
          <w:tcPr>
            <w:tcW w:w="2182" w:type="dxa"/>
          </w:tcPr>
          <w:p w14:paraId="6A566BDE" w14:textId="645BCF36" w:rsidR="00B7232B" w:rsidRPr="005B6CF6" w:rsidRDefault="004061BE" w:rsidP="005C71F1">
            <w:pPr>
              <w:spacing w:afterLines="50" w:after="120" w:line="340" w:lineRule="atLeast"/>
              <w:jc w:val="right"/>
              <w:rPr>
                <w:rFonts w:ascii="SimSun" w:hAnsi="SimSun"/>
                <w:sz w:val="21"/>
              </w:rPr>
            </w:pPr>
            <w:r w:rsidRPr="005B6CF6">
              <w:rPr>
                <w:rFonts w:ascii="SimSun" w:hAnsi="SimSun"/>
                <w:sz w:val="21"/>
              </w:rPr>
              <w:t>80,258(54%)</w:t>
            </w:r>
          </w:p>
        </w:tc>
      </w:tr>
      <w:tr w:rsidR="00B7232B" w:rsidRPr="005B6CF6" w14:paraId="0F417518" w14:textId="77777777" w:rsidTr="004061BE">
        <w:trPr>
          <w:trHeight w:val="247"/>
        </w:trPr>
        <w:tc>
          <w:tcPr>
            <w:tcW w:w="4820" w:type="dxa"/>
          </w:tcPr>
          <w:p w14:paraId="742A6AB3" w14:textId="6490A798" w:rsidR="00B7232B" w:rsidRPr="005B6CF6" w:rsidRDefault="0075247D" w:rsidP="005C71F1">
            <w:pPr>
              <w:spacing w:afterLines="50" w:after="120" w:line="340" w:lineRule="atLeast"/>
              <w:rPr>
                <w:rFonts w:ascii="SimSun" w:hAnsi="SimSun"/>
                <w:b/>
                <w:sz w:val="21"/>
              </w:rPr>
            </w:pPr>
            <w:r w:rsidRPr="005B6CF6">
              <w:rPr>
                <w:rFonts w:ascii="SimSun" w:hAnsi="SimSun" w:hint="eastAsia"/>
                <w:b/>
                <w:sz w:val="21"/>
              </w:rPr>
              <w:t>女性参与者总数</w:t>
            </w:r>
          </w:p>
        </w:tc>
        <w:tc>
          <w:tcPr>
            <w:tcW w:w="2268" w:type="dxa"/>
          </w:tcPr>
          <w:p w14:paraId="1A4C4366" w14:textId="594EB18E" w:rsidR="00B7232B" w:rsidRPr="005B6CF6" w:rsidRDefault="00B7232B" w:rsidP="005C71F1">
            <w:pPr>
              <w:spacing w:afterLines="50" w:after="120" w:line="340" w:lineRule="atLeast"/>
              <w:jc w:val="right"/>
              <w:rPr>
                <w:rFonts w:ascii="SimSun" w:hAnsi="SimSun"/>
                <w:b/>
                <w:sz w:val="21"/>
              </w:rPr>
            </w:pPr>
            <w:r w:rsidRPr="005B6CF6">
              <w:rPr>
                <w:rFonts w:ascii="SimSun" w:hAnsi="SimSun"/>
                <w:b/>
                <w:sz w:val="21"/>
              </w:rPr>
              <w:t>64,137</w:t>
            </w:r>
            <w:r w:rsidR="004061BE" w:rsidRPr="005B6CF6">
              <w:rPr>
                <w:rFonts w:ascii="SimSun" w:hAnsi="SimSun"/>
                <w:b/>
                <w:sz w:val="21"/>
              </w:rPr>
              <w:t>(53%)</w:t>
            </w:r>
          </w:p>
        </w:tc>
        <w:tc>
          <w:tcPr>
            <w:tcW w:w="2182" w:type="dxa"/>
          </w:tcPr>
          <w:p w14:paraId="7AC268F5" w14:textId="2CEFC4A5" w:rsidR="00B7232B" w:rsidRPr="005B6CF6" w:rsidRDefault="004061BE" w:rsidP="005C71F1">
            <w:pPr>
              <w:spacing w:afterLines="50" w:after="120" w:line="340" w:lineRule="atLeast"/>
              <w:jc w:val="right"/>
              <w:rPr>
                <w:rFonts w:ascii="SimSun" w:hAnsi="SimSun"/>
                <w:b/>
                <w:sz w:val="21"/>
              </w:rPr>
            </w:pPr>
            <w:r w:rsidRPr="005B6CF6">
              <w:rPr>
                <w:rFonts w:ascii="SimSun" w:hAnsi="SimSun"/>
                <w:b/>
                <w:sz w:val="21"/>
              </w:rPr>
              <w:t>81,201(54%)</w:t>
            </w:r>
          </w:p>
        </w:tc>
      </w:tr>
    </w:tbl>
    <w:p w14:paraId="7594B73F" w14:textId="4CF76EEE" w:rsidR="000754CF" w:rsidRPr="005B6CF6" w:rsidRDefault="009607CC"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此外，下列举措</w:t>
      </w:r>
      <w:r w:rsidR="0075247D" w:rsidRPr="005B6CF6">
        <w:rPr>
          <w:rFonts w:ascii="SimSun" w:hAnsi="SimSun" w:hint="eastAsia"/>
          <w:sz w:val="21"/>
        </w:rPr>
        <w:t>是为支持知识产权领域</w:t>
      </w:r>
      <w:r w:rsidRPr="005B6CF6">
        <w:rPr>
          <w:rFonts w:ascii="SimSun" w:hAnsi="SimSun" w:hint="eastAsia"/>
          <w:sz w:val="21"/>
        </w:rPr>
        <w:t>的</w:t>
      </w:r>
      <w:r w:rsidR="0075247D" w:rsidRPr="005B6CF6">
        <w:rPr>
          <w:rFonts w:ascii="SimSun" w:hAnsi="SimSun" w:hint="eastAsia"/>
          <w:sz w:val="21"/>
        </w:rPr>
        <w:t>妇女而专门设计的：</w:t>
      </w:r>
    </w:p>
    <w:p w14:paraId="6546D443" w14:textId="030AC945" w:rsidR="001E6EFE" w:rsidRPr="005B6CF6" w:rsidRDefault="00740B52" w:rsidP="005C71F1">
      <w:pPr>
        <w:numPr>
          <w:ilvl w:val="0"/>
          <w:numId w:val="8"/>
        </w:numPr>
        <w:overflowPunct w:val="0"/>
        <w:spacing w:afterLines="50" w:after="120" w:line="340" w:lineRule="atLeast"/>
        <w:ind w:left="567" w:firstLine="0"/>
        <w:jc w:val="both"/>
        <w:rPr>
          <w:rFonts w:ascii="SimSun" w:hAnsi="SimSun"/>
          <w:sz w:val="21"/>
        </w:rPr>
      </w:pPr>
      <w:r w:rsidRPr="005B6CF6">
        <w:rPr>
          <w:rFonts w:asciiTheme="minorEastAsia" w:eastAsiaTheme="minorEastAsia" w:hAnsiTheme="minorEastAsia" w:hint="eastAsia"/>
          <w:sz w:val="21"/>
        </w:rPr>
        <w:lastRenderedPageBreak/>
        <w:t>为欧莱雅-教科文组织的</w:t>
      </w:r>
      <w:r w:rsidRPr="005B6CF6">
        <w:rPr>
          <w:rFonts w:ascii="KaiTi" w:eastAsia="KaiTi" w:hAnsi="KaiTi" w:hint="eastAsia"/>
          <w:sz w:val="21"/>
        </w:rPr>
        <w:t>女性参与科学项目</w:t>
      </w:r>
      <w:r w:rsidR="004C5427" w:rsidRPr="005B6CF6">
        <w:rPr>
          <w:rFonts w:ascii="SimSun" w:hAnsi="SimSun"/>
          <w:sz w:val="21"/>
          <w:vertAlign w:val="superscript"/>
        </w:rPr>
        <w:footnoteReference w:id="3"/>
      </w:r>
      <w:r w:rsidRPr="005B6CF6">
        <w:rPr>
          <w:rFonts w:asciiTheme="minorEastAsia" w:eastAsiaTheme="minorEastAsia" w:hAnsiTheme="minorEastAsia" w:hint="eastAsia"/>
          <w:sz w:val="21"/>
        </w:rPr>
        <w:t>获奖者举办第二期产权组织知识产权培训课程</w:t>
      </w:r>
      <w:r w:rsidR="0075247D" w:rsidRPr="005B6CF6">
        <w:rPr>
          <w:rFonts w:asciiTheme="minorEastAsia" w:eastAsiaTheme="minorEastAsia" w:hAnsiTheme="minorEastAsia" w:hint="eastAsia"/>
          <w:sz w:val="21"/>
        </w:rPr>
        <w:t>。该课程于2018年3月推出，是产权组织开展的第一个只面向妇女的知识产权培训计划，旨在为女性科学家提供与保护其科研成果并为其增值有关的知识产权知识。</w:t>
      </w:r>
    </w:p>
    <w:p w14:paraId="53853C92" w14:textId="1BCB1445" w:rsidR="001E6EFE" w:rsidRPr="005B6CF6" w:rsidRDefault="0075247D" w:rsidP="005C71F1">
      <w:pPr>
        <w:numPr>
          <w:ilvl w:val="0"/>
          <w:numId w:val="8"/>
        </w:numPr>
        <w:overflowPunct w:val="0"/>
        <w:spacing w:afterLines="50" w:after="120" w:line="340" w:lineRule="atLeast"/>
        <w:ind w:left="567" w:firstLine="0"/>
        <w:jc w:val="both"/>
        <w:rPr>
          <w:rFonts w:ascii="SimSun" w:hAnsi="SimSun"/>
          <w:sz w:val="21"/>
        </w:rPr>
      </w:pPr>
      <w:r w:rsidRPr="005B6CF6">
        <w:rPr>
          <w:rFonts w:asciiTheme="minorEastAsia" w:eastAsiaTheme="minorEastAsia" w:hAnsiTheme="minorEastAsia" w:hint="eastAsia"/>
          <w:sz w:val="21"/>
        </w:rPr>
        <w:t>与韩国信托基金</w:t>
      </w:r>
      <w:r w:rsidR="00556827" w:rsidRPr="005B6CF6">
        <w:rPr>
          <w:rFonts w:asciiTheme="minorEastAsia" w:eastAsiaTheme="minorEastAsia" w:hAnsiTheme="minorEastAsia" w:hint="eastAsia"/>
          <w:sz w:val="21"/>
        </w:rPr>
        <w:t>（F</w:t>
      </w:r>
      <w:r w:rsidR="00556827" w:rsidRPr="005B6CF6">
        <w:rPr>
          <w:rFonts w:asciiTheme="minorEastAsia" w:eastAsiaTheme="minorEastAsia" w:hAnsiTheme="minorEastAsia"/>
          <w:sz w:val="21"/>
        </w:rPr>
        <w:t>IT-KREDU）</w:t>
      </w:r>
      <w:r w:rsidRPr="005B6CF6">
        <w:rPr>
          <w:rFonts w:asciiTheme="minorEastAsia" w:eastAsiaTheme="minorEastAsia" w:hAnsiTheme="minorEastAsia" w:hint="eastAsia"/>
          <w:sz w:val="21"/>
        </w:rPr>
        <w:t>合作的知识产权资产管理国际证书高级课程</w:t>
      </w:r>
      <w:r w:rsidR="002F386E" w:rsidRPr="005B6CF6">
        <w:rPr>
          <w:rFonts w:asciiTheme="minorEastAsia" w:eastAsiaTheme="minorEastAsia" w:hAnsiTheme="minorEastAsia" w:hint="eastAsia"/>
          <w:sz w:val="21"/>
        </w:rPr>
        <w:t>。该课程的目的是为女性科学家提供机会，加深对知识产权资产管理的理解和实践知识。</w:t>
      </w:r>
    </w:p>
    <w:p w14:paraId="56191756" w14:textId="03905011" w:rsidR="004C5427" w:rsidRPr="005B6CF6" w:rsidRDefault="002F386E" w:rsidP="005C71F1">
      <w:pPr>
        <w:numPr>
          <w:ilvl w:val="0"/>
          <w:numId w:val="8"/>
        </w:numPr>
        <w:overflowPunct w:val="0"/>
        <w:spacing w:afterLines="50" w:after="120" w:line="340" w:lineRule="atLeast"/>
        <w:ind w:left="567" w:firstLine="0"/>
        <w:jc w:val="both"/>
        <w:rPr>
          <w:rFonts w:ascii="SimSun" w:hAnsi="SimSun"/>
          <w:sz w:val="21"/>
        </w:rPr>
      </w:pPr>
      <w:r w:rsidRPr="005B6CF6">
        <w:rPr>
          <w:rFonts w:asciiTheme="minorEastAsia" w:eastAsiaTheme="minorEastAsia" w:hAnsiTheme="minorEastAsia" w:hint="eastAsia"/>
          <w:sz w:val="21"/>
        </w:rPr>
        <w:t>在国际妇女节的背景下，向</w:t>
      </w:r>
      <w:r w:rsidR="002541C0" w:rsidRPr="005B6CF6">
        <w:rPr>
          <w:rFonts w:asciiTheme="minorEastAsia" w:eastAsiaTheme="minorEastAsia" w:hAnsiTheme="minorEastAsia" w:hint="eastAsia"/>
          <w:sz w:val="21"/>
        </w:rPr>
        <w:t>来自发展中国家申请参加高级远程学习课程</w:t>
      </w:r>
      <w:r w:rsidRPr="005B6CF6">
        <w:rPr>
          <w:rFonts w:asciiTheme="minorEastAsia" w:eastAsiaTheme="minorEastAsia" w:hAnsiTheme="minorEastAsia" w:hint="eastAsia"/>
          <w:sz w:val="21"/>
        </w:rPr>
        <w:t>的30名女性申请人提供奖学金。</w:t>
      </w:r>
    </w:p>
    <w:p w14:paraId="498F31CB" w14:textId="66CC3C5C" w:rsidR="00AA19E9" w:rsidRPr="005B6CF6" w:rsidRDefault="00A02725" w:rsidP="000F0DF7">
      <w:pPr>
        <w:pStyle w:val="ListParagraph"/>
        <w:keepNext/>
        <w:overflowPunct w:val="0"/>
        <w:spacing w:afterLines="50" w:after="120" w:line="340" w:lineRule="atLeast"/>
        <w:ind w:left="567"/>
        <w:contextualSpacing w:val="0"/>
        <w:jc w:val="both"/>
        <w:rPr>
          <w:rFonts w:ascii="SimSun" w:hAnsi="SimSun"/>
          <w:i/>
          <w:sz w:val="21"/>
        </w:rPr>
      </w:pPr>
      <w:r w:rsidRPr="005B6CF6">
        <w:rPr>
          <w:rFonts w:ascii="SimHei" w:eastAsia="SimHei" w:hAnsi="SimHei" w:hint="eastAsia"/>
          <w:sz w:val="21"/>
        </w:rPr>
        <w:t>要求5：</w:t>
      </w:r>
      <w:r w:rsidRPr="002541C0">
        <w:rPr>
          <w:rFonts w:ascii="KaiTi" w:eastAsia="KaiTi" w:hAnsi="KaiTi" w:hint="eastAsia"/>
          <w:sz w:val="21"/>
          <w:szCs w:val="21"/>
        </w:rPr>
        <w:t>根据要求，</w:t>
      </w:r>
      <w:r w:rsidR="002F386E" w:rsidRPr="002541C0">
        <w:rPr>
          <w:rFonts w:ascii="KaiTi" w:eastAsia="KaiTi" w:hAnsi="KaiTi" w:hint="eastAsia"/>
          <w:sz w:val="21"/>
          <w:szCs w:val="21"/>
        </w:rPr>
        <w:t>帮助成员国落实旨在鼓励妇女</w:t>
      </w:r>
      <w:r w:rsidRPr="002541C0">
        <w:rPr>
          <w:rFonts w:ascii="KaiTi" w:eastAsia="KaiTi" w:hAnsi="KaiTi" w:hint="eastAsia"/>
          <w:sz w:val="21"/>
          <w:szCs w:val="21"/>
        </w:rPr>
        <w:t>和女童参与知识产权领域的措施和计划。</w:t>
      </w:r>
    </w:p>
    <w:p w14:paraId="252EC78C" w14:textId="7CB02594" w:rsidR="00645D1C" w:rsidRPr="005B6CF6" w:rsidRDefault="002F386E"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产权组织对成员国的援助包括各种计划和活动，旨在(</w:t>
      </w:r>
      <w:r w:rsidRPr="005B6CF6">
        <w:rPr>
          <w:rFonts w:ascii="SimSun" w:hAnsi="SimSun"/>
          <w:sz w:val="21"/>
        </w:rPr>
        <w:t>i)</w:t>
      </w:r>
      <w:r w:rsidRPr="005B6CF6">
        <w:rPr>
          <w:rFonts w:ascii="SimSun" w:hAnsi="SimSun" w:hint="eastAsia"/>
          <w:sz w:val="21"/>
        </w:rPr>
        <w:t>鼓励妇女和女童参与各领域的知识产权活动，(</w:t>
      </w:r>
      <w:r w:rsidRPr="005B6CF6">
        <w:rPr>
          <w:rFonts w:ascii="SimSun" w:hAnsi="SimSun"/>
          <w:sz w:val="21"/>
        </w:rPr>
        <w:t>ii)</w:t>
      </w:r>
      <w:r w:rsidRPr="005B6CF6">
        <w:rPr>
          <w:rFonts w:ascii="SimSun" w:hAnsi="SimSun" w:hint="eastAsia"/>
          <w:sz w:val="21"/>
        </w:rPr>
        <w:t>通过收集和分析定性和定量数据，包括按性别分列的数据，编写研究和研究</w:t>
      </w:r>
      <w:r w:rsidR="00001725" w:rsidRPr="005B6CF6">
        <w:rPr>
          <w:rFonts w:ascii="SimSun" w:hAnsi="SimSun" w:hint="eastAsia"/>
          <w:sz w:val="21"/>
        </w:rPr>
        <w:t>报告</w:t>
      </w:r>
      <w:r w:rsidRPr="005B6CF6">
        <w:rPr>
          <w:rFonts w:ascii="SimSun" w:hAnsi="SimSun" w:hint="eastAsia"/>
          <w:sz w:val="21"/>
        </w:rPr>
        <w:t>，以及</w:t>
      </w:r>
      <w:r w:rsidRPr="005B6CF6">
        <w:rPr>
          <w:rFonts w:ascii="SimSun" w:hAnsi="SimSun"/>
          <w:sz w:val="21"/>
        </w:rPr>
        <w:t>(iii)</w:t>
      </w:r>
      <w:r w:rsidRPr="005B6CF6">
        <w:rPr>
          <w:rFonts w:ascii="SimSun" w:hAnsi="SimSun" w:hint="eastAsia"/>
          <w:sz w:val="21"/>
        </w:rPr>
        <w:t>对知识产权政策和战略进行性别分析。</w:t>
      </w:r>
    </w:p>
    <w:p w14:paraId="67B58F3D" w14:textId="3F30AE0B" w:rsidR="0024324E" w:rsidRPr="005B6CF6" w:rsidRDefault="002F386E"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此外，在所有活动中，产权组织始终致力于确保妇女的均衡参与，在不同层面促进性别平等（例如，在选择小组成员/发言人和专家时，以及通过鼓励妇女参与</w:t>
      </w:r>
      <w:r w:rsidR="00BB26A6" w:rsidRPr="005B6CF6">
        <w:rPr>
          <w:rFonts w:ascii="SimSun" w:hAnsi="SimSun" w:hint="eastAsia"/>
          <w:sz w:val="21"/>
        </w:rPr>
        <w:t>所有活动）。采取的形式是</w:t>
      </w:r>
      <w:r w:rsidRPr="005B6CF6">
        <w:rPr>
          <w:rFonts w:ascii="SimSun" w:hAnsi="SimSun" w:hint="eastAsia"/>
          <w:sz w:val="21"/>
        </w:rPr>
        <w:t>与伙伴和组织者一同作出积极努力，明确邀请女性代表参加。</w:t>
      </w:r>
    </w:p>
    <w:p w14:paraId="5CEC7989" w14:textId="24790F33" w:rsidR="00343E8E" w:rsidRPr="005B6CF6" w:rsidRDefault="002F386E"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除可持续发展目标5外，产权组织在知识产权性别平等方面的工作支持多个可持续发展目标的落实，特别是体面工作和经济增长（</w:t>
      </w:r>
      <w:r w:rsidR="00646530" w:rsidRPr="005B6CF6">
        <w:rPr>
          <w:rFonts w:ascii="SimSun" w:hAnsi="SimSun" w:hint="eastAsia"/>
          <w:sz w:val="21"/>
        </w:rPr>
        <w:t>可持续发展目标</w:t>
      </w:r>
      <w:r w:rsidRPr="005B6CF6">
        <w:rPr>
          <w:rFonts w:ascii="SimSun" w:hAnsi="SimSun" w:hint="eastAsia"/>
          <w:sz w:val="21"/>
        </w:rPr>
        <w:t>8），无贫穷（</w:t>
      </w:r>
      <w:r w:rsidR="00646530" w:rsidRPr="005B6CF6">
        <w:rPr>
          <w:rFonts w:ascii="SimSun" w:hAnsi="SimSun" w:hint="eastAsia"/>
          <w:sz w:val="21"/>
        </w:rPr>
        <w:t>可持续发展目标</w:t>
      </w:r>
      <w:r w:rsidRPr="005B6CF6">
        <w:rPr>
          <w:rFonts w:ascii="SimSun" w:hAnsi="SimSun" w:hint="eastAsia"/>
          <w:sz w:val="21"/>
        </w:rPr>
        <w:t>1），减少不平等</w:t>
      </w:r>
      <w:r w:rsidR="00646530" w:rsidRPr="005B6CF6">
        <w:rPr>
          <w:rFonts w:ascii="SimSun" w:hAnsi="SimSun" w:hint="eastAsia"/>
          <w:sz w:val="21"/>
        </w:rPr>
        <w:t>（可持续发展目标10），以及产业、创新和基础设施（可持续发展目标9）。</w:t>
      </w:r>
    </w:p>
    <w:p w14:paraId="32CF35C9" w14:textId="2FCC3BEC" w:rsidR="00165296" w:rsidRPr="005B6CF6" w:rsidRDefault="00646530"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通过“</w:t>
      </w:r>
      <w:hyperlink r:id="rId10" w:history="1">
        <w:r w:rsidRPr="005B6CF6">
          <w:rPr>
            <w:rStyle w:val="Hyperlink"/>
            <w:rFonts w:ascii="SimSun" w:hAnsi="SimSun" w:hint="eastAsia"/>
            <w:sz w:val="21"/>
          </w:rPr>
          <w:t>性别平等与知识产权</w:t>
        </w:r>
      </w:hyperlink>
      <w:r w:rsidRPr="005B6CF6">
        <w:rPr>
          <w:rFonts w:ascii="SimSun" w:hAnsi="SimSun" w:hint="eastAsia"/>
          <w:sz w:val="21"/>
        </w:rPr>
        <w:t>”网页，产权组织继续提供最新信息，介绍其促进和实现与性别平等、多样性和包容</w:t>
      </w:r>
      <w:r w:rsidR="00BB26A6" w:rsidRPr="005B6CF6">
        <w:rPr>
          <w:rFonts w:ascii="SimSun" w:hAnsi="SimSun" w:hint="eastAsia"/>
          <w:sz w:val="21"/>
        </w:rPr>
        <w:t>性</w:t>
      </w:r>
      <w:r w:rsidRPr="005B6CF6">
        <w:rPr>
          <w:rFonts w:ascii="SimSun" w:hAnsi="SimSun" w:hint="eastAsia"/>
          <w:sz w:val="21"/>
        </w:rPr>
        <w:t>有关的活动信息。</w:t>
      </w:r>
      <w:r w:rsidR="00BB26A6" w:rsidRPr="005B6CF6">
        <w:rPr>
          <w:rFonts w:ascii="SimSun" w:hAnsi="SimSun" w:hint="eastAsia"/>
          <w:sz w:val="21"/>
        </w:rPr>
        <w:t>该网页介绍了发明者和创造者鼓舞人心的</w:t>
      </w:r>
      <w:r w:rsidR="00001725" w:rsidRPr="005B6CF6">
        <w:rPr>
          <w:rFonts w:ascii="SimSun" w:hAnsi="SimSun" w:hint="eastAsia"/>
          <w:sz w:val="21"/>
        </w:rPr>
        <w:t>故事、最新发表的研究报告以及与知识产权性别创新差距有关的最新全球数据。最近还制作了关于妇女和知识产权数据的引人入胜的视频，用于宣传目的。</w:t>
      </w:r>
    </w:p>
    <w:p w14:paraId="2AF4692A" w14:textId="30DEE604" w:rsidR="009A6C8A" w:rsidRPr="005B6CF6" w:rsidRDefault="00001725"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在向成员国提供援助时，产权组织基于各伙伴的需求、机遇和</w:t>
      </w:r>
      <w:r w:rsidR="00E317FA" w:rsidRPr="005B6CF6">
        <w:rPr>
          <w:rFonts w:ascii="SimSun" w:hAnsi="SimSun" w:hint="eastAsia"/>
          <w:sz w:val="21"/>
        </w:rPr>
        <w:t>优势，采取量身定做的方法。在以下各节中，将</w:t>
      </w:r>
      <w:r w:rsidR="00B30FC2" w:rsidRPr="005B6CF6">
        <w:rPr>
          <w:rFonts w:ascii="SimSun" w:hAnsi="SimSun" w:hint="eastAsia"/>
          <w:sz w:val="21"/>
        </w:rPr>
        <w:t>分两部分介绍本组织的主要工作：第一部分涉及在不同主题下采取的</w:t>
      </w:r>
      <w:r w:rsidR="00541A1A" w:rsidRPr="005B6CF6">
        <w:rPr>
          <w:rFonts w:ascii="SimSun" w:hAnsi="SimSun" w:hint="eastAsia"/>
          <w:sz w:val="21"/>
        </w:rPr>
        <w:t>举措，使众多成员国受益；第二部分聚焦各地区</w:t>
      </w:r>
      <w:r w:rsidR="00E317FA" w:rsidRPr="005B6CF6">
        <w:rPr>
          <w:rFonts w:ascii="SimSun" w:hAnsi="SimSun" w:hint="eastAsia"/>
          <w:sz w:val="21"/>
        </w:rPr>
        <w:t>采取的具体战略。</w:t>
      </w:r>
    </w:p>
    <w:p w14:paraId="395F6022" w14:textId="6C14E396" w:rsidR="001236FF" w:rsidRPr="000F0DF7" w:rsidRDefault="000F0DF7" w:rsidP="000F0DF7">
      <w:pPr>
        <w:keepNext/>
        <w:overflowPunct w:val="0"/>
        <w:spacing w:beforeLines="100" w:before="240" w:afterLines="50" w:after="120" w:line="340" w:lineRule="atLeast"/>
        <w:rPr>
          <w:rFonts w:ascii="SimSun" w:hAnsi="SimSun"/>
          <w:b/>
          <w:sz w:val="21"/>
        </w:rPr>
      </w:pPr>
      <w:r w:rsidRPr="000F0DF7">
        <w:rPr>
          <w:rFonts w:ascii="SimSun" w:hAnsi="SimSun" w:hint="eastAsia"/>
          <w:b/>
          <w:sz w:val="21"/>
        </w:rPr>
        <w:t>A</w:t>
      </w:r>
      <w:r w:rsidRPr="000F0DF7">
        <w:rPr>
          <w:rFonts w:ascii="SimSun" w:hAnsi="SimSun"/>
          <w:b/>
          <w:sz w:val="21"/>
        </w:rPr>
        <w:t>.</w:t>
      </w:r>
      <w:r w:rsidRPr="000F0DF7">
        <w:rPr>
          <w:rFonts w:ascii="SimSun" w:hAnsi="SimSun"/>
          <w:b/>
          <w:sz w:val="21"/>
        </w:rPr>
        <w:tab/>
      </w:r>
      <w:r w:rsidR="00E317FA" w:rsidRPr="000F0DF7">
        <w:rPr>
          <w:rFonts w:ascii="SimSun" w:hAnsi="SimSun" w:hint="eastAsia"/>
          <w:b/>
          <w:sz w:val="21"/>
        </w:rPr>
        <w:t>专题合作</w:t>
      </w:r>
    </w:p>
    <w:p w14:paraId="3B95A2ED" w14:textId="48F85725" w:rsidR="00F71346" w:rsidRPr="005B6CF6" w:rsidRDefault="00C3226A" w:rsidP="005B6CF6">
      <w:pPr>
        <w:pStyle w:val="ListParagraph"/>
        <w:numPr>
          <w:ilvl w:val="0"/>
          <w:numId w:val="7"/>
        </w:numPr>
        <w:overflowPunct w:val="0"/>
        <w:spacing w:afterLines="50" w:after="120" w:line="340" w:lineRule="atLeast"/>
        <w:ind w:left="0" w:firstLine="0"/>
        <w:contextualSpacing w:val="0"/>
        <w:jc w:val="both"/>
        <w:rPr>
          <w:rFonts w:ascii="SimSun" w:hAnsi="SimSun"/>
          <w:color w:val="0070C0"/>
          <w:sz w:val="21"/>
        </w:rPr>
      </w:pPr>
      <w:r w:rsidRPr="005B6CF6">
        <w:rPr>
          <w:rFonts w:ascii="SimSun" w:hAnsi="SimSun" w:hint="eastAsia"/>
          <w:sz w:val="21"/>
        </w:rPr>
        <w:t>关于妇女和其他群体参与知识产权制度</w:t>
      </w:r>
      <w:r w:rsidR="00E2499A" w:rsidRPr="005B6CF6">
        <w:rPr>
          <w:rFonts w:ascii="SimSun" w:hAnsi="SimSun" w:hint="eastAsia"/>
          <w:sz w:val="21"/>
        </w:rPr>
        <w:t>的数据，对于使政策制定者全面了解差距而言至关重要，从而可以制定和实施有效的解决方案。例如，2020年，仅16.5%的P</w:t>
      </w:r>
      <w:r w:rsidR="00E2499A" w:rsidRPr="005B6CF6">
        <w:rPr>
          <w:rFonts w:ascii="SimSun" w:hAnsi="SimSun"/>
          <w:sz w:val="21"/>
        </w:rPr>
        <w:t>CT</w:t>
      </w:r>
      <w:r w:rsidR="00E2499A" w:rsidRPr="005B6CF6">
        <w:rPr>
          <w:rFonts w:ascii="SimSun" w:hAnsi="SimSun" w:hint="eastAsia"/>
          <w:sz w:val="21"/>
        </w:rPr>
        <w:t>申请人</w:t>
      </w:r>
      <w:r w:rsidRPr="005B6CF6">
        <w:rPr>
          <w:rFonts w:ascii="SimSun" w:hAnsi="SimSun" w:hint="eastAsia"/>
          <w:sz w:val="21"/>
        </w:rPr>
        <w:t>为女性</w:t>
      </w:r>
      <w:r w:rsidR="00E2499A" w:rsidRPr="005B6CF6">
        <w:rPr>
          <w:rFonts w:ascii="SimSun" w:hAnsi="SimSun" w:hint="eastAsia"/>
          <w:sz w:val="21"/>
        </w:rPr>
        <w:t>。但关于妇女使用</w:t>
      </w:r>
      <w:r w:rsidRPr="005B6CF6">
        <w:rPr>
          <w:rFonts w:ascii="SimSun" w:hAnsi="SimSun" w:hint="eastAsia"/>
          <w:sz w:val="21"/>
        </w:rPr>
        <w:t>整个知识产权制度的数据仍然很少，限制了政策反应的有效性。国家层面</w:t>
      </w:r>
      <w:r w:rsidR="00E2499A" w:rsidRPr="005B6CF6">
        <w:rPr>
          <w:rFonts w:ascii="SimSun" w:hAnsi="SimSun" w:hint="eastAsia"/>
          <w:sz w:val="21"/>
        </w:rPr>
        <w:t>和国际行为方都日益认识到需要弥合这一数据差距。自2016</w:t>
      </w:r>
      <w:r w:rsidRPr="005B6CF6">
        <w:rPr>
          <w:rFonts w:ascii="SimSun" w:hAnsi="SimSun" w:hint="eastAsia"/>
          <w:sz w:val="21"/>
        </w:rPr>
        <w:t>年以来，产权组织</w:t>
      </w:r>
      <w:r w:rsidR="00E2499A" w:rsidRPr="005B6CF6">
        <w:rPr>
          <w:rFonts w:ascii="SimSun" w:hAnsi="SimSun" w:hint="eastAsia"/>
          <w:sz w:val="21"/>
        </w:rPr>
        <w:t>与不同伙伴合作，共同作出努力。既包括经济和方法研究，也包括在收集和分析按性别分列的数据以及制定和监测对性别问题有敏感认识的指标</w:t>
      </w:r>
      <w:r w:rsidRPr="005B6CF6">
        <w:rPr>
          <w:rFonts w:ascii="SimSun" w:hAnsi="SimSun" w:hint="eastAsia"/>
          <w:sz w:val="21"/>
        </w:rPr>
        <w:t>时</w:t>
      </w:r>
      <w:r w:rsidR="00E2499A" w:rsidRPr="005B6CF6">
        <w:rPr>
          <w:rFonts w:ascii="SimSun" w:hAnsi="SimSun" w:hint="eastAsia"/>
          <w:sz w:val="21"/>
        </w:rPr>
        <w:t>，为知识产权局提供有针对性的支持。关于秘书处在知识产权性别</w:t>
      </w:r>
      <w:r w:rsidRPr="005B6CF6">
        <w:rPr>
          <w:rFonts w:ascii="SimSun" w:hAnsi="SimSun" w:hint="eastAsia"/>
          <w:sz w:val="21"/>
        </w:rPr>
        <w:t>平等</w:t>
      </w:r>
      <w:r w:rsidR="00E2499A" w:rsidRPr="005B6CF6">
        <w:rPr>
          <w:rFonts w:ascii="SimSun" w:hAnsi="SimSun" w:hint="eastAsia"/>
          <w:sz w:val="21"/>
        </w:rPr>
        <w:t>的可比</w:t>
      </w:r>
      <w:r w:rsidRPr="005B6CF6">
        <w:rPr>
          <w:rFonts w:ascii="SimSun" w:hAnsi="SimSun" w:hint="eastAsia"/>
          <w:sz w:val="21"/>
        </w:rPr>
        <w:t>分列</w:t>
      </w:r>
      <w:r w:rsidR="00E2499A" w:rsidRPr="005B6CF6">
        <w:rPr>
          <w:rFonts w:ascii="SimSun" w:hAnsi="SimSun" w:hint="eastAsia"/>
          <w:sz w:val="21"/>
        </w:rPr>
        <w:t>国际数据方面所做工作的更多信息，请参见文件C</w:t>
      </w:r>
      <w:r w:rsidR="00E2499A" w:rsidRPr="005B6CF6">
        <w:rPr>
          <w:rFonts w:ascii="SimSun" w:hAnsi="SimSun"/>
          <w:sz w:val="21"/>
        </w:rPr>
        <w:t>DIP/26/7</w:t>
      </w:r>
      <w:r w:rsidR="00E2499A" w:rsidRPr="005B6CF6">
        <w:rPr>
          <w:rFonts w:ascii="SimSun" w:hAnsi="SimSun" w:hint="eastAsia"/>
          <w:sz w:val="21"/>
        </w:rPr>
        <w:t>。</w:t>
      </w:r>
    </w:p>
    <w:p w14:paraId="5D07CE17" w14:textId="44995655" w:rsidR="00F8742B" w:rsidRPr="005B6CF6" w:rsidRDefault="00E2499A"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在传统知识领域，产权组织的工作旨在加强土著人民和当地社区</w:t>
      </w:r>
      <w:r w:rsidR="00C3226A" w:rsidRPr="005B6CF6">
        <w:rPr>
          <w:rFonts w:ascii="SimSun" w:hAnsi="SimSun" w:hint="eastAsia"/>
          <w:sz w:val="21"/>
        </w:rPr>
        <w:t>（I</w:t>
      </w:r>
      <w:r w:rsidR="00C3226A" w:rsidRPr="005B6CF6">
        <w:rPr>
          <w:rFonts w:ascii="SimSun" w:hAnsi="SimSun"/>
          <w:sz w:val="21"/>
        </w:rPr>
        <w:t>PLC</w:t>
      </w:r>
      <w:r w:rsidR="00C3226A" w:rsidRPr="005B6CF6">
        <w:rPr>
          <w:rFonts w:ascii="SimSun" w:hAnsi="SimSun" w:hint="eastAsia"/>
          <w:sz w:val="21"/>
        </w:rPr>
        <w:t>）</w:t>
      </w:r>
      <w:r w:rsidRPr="005B6CF6">
        <w:rPr>
          <w:rFonts w:ascii="SimSun" w:hAnsi="SimSun" w:hint="eastAsia"/>
          <w:sz w:val="21"/>
        </w:rPr>
        <w:t>的女性企业家的能力，从而：i</w:t>
      </w:r>
      <w:r w:rsidRPr="005B6CF6">
        <w:rPr>
          <w:rFonts w:ascii="SimSun" w:hAnsi="SimSun"/>
          <w:sz w:val="21"/>
        </w:rPr>
        <w:t>)</w:t>
      </w:r>
      <w:r w:rsidRPr="005B6CF6">
        <w:rPr>
          <w:rFonts w:ascii="SimSun" w:hAnsi="SimSun" w:hint="eastAsia"/>
          <w:sz w:val="21"/>
        </w:rPr>
        <w:t>战略性地有效使用知识产权以支持其业务；i</w:t>
      </w:r>
      <w:r w:rsidRPr="005B6CF6">
        <w:rPr>
          <w:rFonts w:ascii="SimSun" w:hAnsi="SimSun"/>
          <w:sz w:val="21"/>
        </w:rPr>
        <w:t>i)</w:t>
      </w:r>
      <w:r w:rsidRPr="005B6CF6">
        <w:rPr>
          <w:rFonts w:ascii="SimSun" w:hAnsi="SimSun" w:hint="eastAsia"/>
          <w:sz w:val="21"/>
        </w:rPr>
        <w:t>鼓励与传统知识和传统文化表现形式相关</w:t>
      </w:r>
      <w:r w:rsidRPr="005B6CF6">
        <w:rPr>
          <w:rFonts w:ascii="SimSun" w:hAnsi="SimSun" w:hint="eastAsia"/>
          <w:sz w:val="21"/>
        </w:rPr>
        <w:lastRenderedPageBreak/>
        <w:t>的创新和</w:t>
      </w:r>
      <w:r w:rsidR="00F9285B" w:rsidRPr="005B6CF6">
        <w:rPr>
          <w:rFonts w:ascii="SimSun" w:hAnsi="SimSun" w:hint="eastAsia"/>
          <w:sz w:val="21"/>
        </w:rPr>
        <w:t>创意；以及i</w:t>
      </w:r>
      <w:r w:rsidR="00F9285B" w:rsidRPr="005B6CF6">
        <w:rPr>
          <w:rFonts w:ascii="SimSun" w:hAnsi="SimSun"/>
          <w:sz w:val="21"/>
        </w:rPr>
        <w:t>ii)</w:t>
      </w:r>
      <w:r w:rsidR="00F9285B" w:rsidRPr="005B6CF6">
        <w:rPr>
          <w:rFonts w:ascii="SimSun" w:hAnsi="SimSun" w:hint="eastAsia"/>
          <w:sz w:val="21"/>
        </w:rPr>
        <w:t>使土著人民和当地社区的企业家及其社区可持续繁荣。根据这些目标，产权组织在其</w:t>
      </w:r>
      <w:r w:rsidR="00F9285B" w:rsidRPr="005B6CF6">
        <w:rPr>
          <w:rFonts w:ascii="KaiTi" w:eastAsia="KaiTi" w:hAnsi="KaiTi" w:hint="eastAsia"/>
          <w:sz w:val="21"/>
        </w:rPr>
        <w:t>土著和当地社区创业计划</w:t>
      </w:r>
      <w:r w:rsidR="00F9285B" w:rsidRPr="005B6CF6">
        <w:rPr>
          <w:rFonts w:ascii="SimSun" w:hAnsi="SimSun" w:hint="eastAsia"/>
          <w:sz w:val="21"/>
        </w:rPr>
        <w:t>中提供能力建设服务和实际援助。</w:t>
      </w:r>
      <w:r w:rsidR="000314B7" w:rsidRPr="005B6CF6">
        <w:rPr>
          <w:rFonts w:ascii="SimSun" w:hAnsi="SimSun" w:hint="eastAsia"/>
          <w:sz w:val="21"/>
        </w:rPr>
        <w:t>2019年启动了</w:t>
      </w:r>
      <w:r w:rsidR="000314B7" w:rsidRPr="005B6CF6">
        <w:rPr>
          <w:rFonts w:ascii="KaiTi" w:eastAsia="KaiTi" w:hAnsi="KaiTi" w:hint="eastAsia"/>
          <w:sz w:val="21"/>
        </w:rPr>
        <w:t>产权组织土著女企业家培训、指导和牵线搭桥计划</w:t>
      </w:r>
      <w:r w:rsidR="000314B7" w:rsidRPr="005B6CF6">
        <w:rPr>
          <w:rFonts w:ascii="SimSun" w:hAnsi="SimSun" w:hint="eastAsia"/>
          <w:sz w:val="21"/>
        </w:rPr>
        <w:t>。24名土著女企业家从数百名申请者中脱颖而出，其中包括</w:t>
      </w:r>
      <w:r w:rsidR="00C3226A" w:rsidRPr="005B6CF6">
        <w:rPr>
          <w:rFonts w:ascii="SimSun" w:hAnsi="SimSun" w:hint="eastAsia"/>
          <w:sz w:val="21"/>
        </w:rPr>
        <w:t>手工业者</w:t>
      </w:r>
      <w:r w:rsidR="006A50B1" w:rsidRPr="005B6CF6">
        <w:rPr>
          <w:rFonts w:ascii="SimSun" w:hAnsi="SimSun" w:hint="eastAsia"/>
          <w:sz w:val="21"/>
        </w:rPr>
        <w:t>、设计师、表演艺术家、研究人员、治疗师或小规模农户</w:t>
      </w:r>
      <w:r w:rsidR="000314B7" w:rsidRPr="005B6CF6">
        <w:rPr>
          <w:rFonts w:ascii="SimSun" w:hAnsi="SimSun" w:hint="eastAsia"/>
          <w:sz w:val="21"/>
        </w:rPr>
        <w:t>。参与者从2019年11月在日内瓦举行的</w:t>
      </w:r>
      <w:r w:rsidR="006A50B1" w:rsidRPr="005B6CF6">
        <w:rPr>
          <w:rFonts w:ascii="SimSun" w:hAnsi="SimSun" w:hint="eastAsia"/>
          <w:sz w:val="21"/>
        </w:rPr>
        <w:t>为期</w:t>
      </w:r>
      <w:r w:rsidR="000314B7" w:rsidRPr="005B6CF6">
        <w:rPr>
          <w:rFonts w:ascii="SimSun" w:hAnsi="SimSun" w:hint="eastAsia"/>
          <w:sz w:val="21"/>
        </w:rPr>
        <w:t>一周</w:t>
      </w:r>
      <w:r w:rsidR="006A50B1" w:rsidRPr="005B6CF6">
        <w:rPr>
          <w:rFonts w:ascii="SimSun" w:hAnsi="SimSun" w:hint="eastAsia"/>
          <w:sz w:val="21"/>
        </w:rPr>
        <w:t>的培训中受益，随后于</w:t>
      </w:r>
      <w:r w:rsidR="000314B7" w:rsidRPr="005B6CF6">
        <w:rPr>
          <w:rFonts w:ascii="SimSun" w:hAnsi="SimSun" w:hint="eastAsia"/>
          <w:sz w:val="21"/>
        </w:rPr>
        <w:t>2020年进行了指导阶段。由于一些参与者在2019冠状病毒病大流行背景下完成项目遇到困难，指导阶段延</w:t>
      </w:r>
      <w:r w:rsidR="006A50B1" w:rsidRPr="005B6CF6">
        <w:rPr>
          <w:rFonts w:ascii="SimSun" w:hAnsi="SimSun" w:hint="eastAsia"/>
          <w:sz w:val="21"/>
        </w:rPr>
        <w:t>至</w:t>
      </w:r>
      <w:r w:rsidR="000314B7" w:rsidRPr="005B6CF6">
        <w:rPr>
          <w:rFonts w:ascii="SimSun" w:hAnsi="SimSun" w:hint="eastAsia"/>
          <w:sz w:val="21"/>
        </w:rPr>
        <w:t>2021年6月。截至目前，8</w:t>
      </w:r>
      <w:r w:rsidR="006A50B1" w:rsidRPr="005B6CF6">
        <w:rPr>
          <w:rFonts w:ascii="SimSun" w:hAnsi="SimSun" w:hint="eastAsia"/>
          <w:sz w:val="21"/>
        </w:rPr>
        <w:t>名参与者已经或正在注册商标或集体商标，作为该计划</w:t>
      </w:r>
      <w:r w:rsidR="000314B7" w:rsidRPr="005B6CF6">
        <w:rPr>
          <w:rFonts w:ascii="SimSun" w:hAnsi="SimSun" w:hint="eastAsia"/>
          <w:sz w:val="21"/>
        </w:rPr>
        <w:t>的一个成果。</w:t>
      </w:r>
    </w:p>
    <w:p w14:paraId="2C809DE6" w14:textId="0B74C997" w:rsidR="00EA3B89" w:rsidRPr="005B6CF6" w:rsidRDefault="000314B7"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产权组织还通过网络研讨会和其他活动为土著妇女能力建设作出贡献，使其获得知识产权方面的实际培训：例如，2020年10月14日由产权组织和国际贸易中心（I</w:t>
      </w:r>
      <w:r w:rsidRPr="005B6CF6">
        <w:rPr>
          <w:rFonts w:ascii="SimSun" w:hAnsi="SimSun"/>
          <w:sz w:val="21"/>
        </w:rPr>
        <w:t>TC</w:t>
      </w:r>
      <w:r w:rsidRPr="005B6CF6">
        <w:rPr>
          <w:rFonts w:ascii="SimSun" w:hAnsi="SimSun" w:hint="eastAsia"/>
          <w:sz w:val="21"/>
        </w:rPr>
        <w:t>）</w:t>
      </w:r>
      <w:r w:rsidR="006A50B1" w:rsidRPr="005B6CF6">
        <w:rPr>
          <w:rFonts w:ascii="SimSun" w:hAnsi="SimSun" w:hint="eastAsia"/>
          <w:sz w:val="21"/>
        </w:rPr>
        <w:t>的</w:t>
      </w:r>
      <w:r w:rsidRPr="005C71F1">
        <w:rPr>
          <w:rFonts w:ascii="KaiTi" w:eastAsia="KaiTi" w:hAnsi="KaiTi" w:hint="eastAsia"/>
          <w:sz w:val="21"/>
        </w:rPr>
        <w:t>S</w:t>
      </w:r>
      <w:r w:rsidRPr="005C71F1">
        <w:rPr>
          <w:rFonts w:ascii="KaiTi" w:eastAsia="KaiTi" w:hAnsi="KaiTi"/>
          <w:sz w:val="21"/>
        </w:rPr>
        <w:t>heTrades</w:t>
      </w:r>
      <w:r w:rsidRPr="005C71F1">
        <w:rPr>
          <w:rFonts w:ascii="KaiTi" w:eastAsia="KaiTi" w:hAnsi="KaiTi" w:hint="eastAsia"/>
          <w:sz w:val="21"/>
        </w:rPr>
        <w:t>倡议</w:t>
      </w:r>
      <w:r w:rsidRPr="005B6CF6">
        <w:rPr>
          <w:rFonts w:ascii="SimSun" w:hAnsi="SimSun" w:hint="eastAsia"/>
          <w:sz w:val="21"/>
        </w:rPr>
        <w:t>共同举办的“非洲女性企业家的知识产权机会”网络研讨会；或者2020年9月11日和11月20日举办的“土著人民和当地社区企业家电子商务和知识产权”网络研讨会</w:t>
      </w:r>
      <w:r w:rsidR="006A50B1" w:rsidRPr="005B6CF6">
        <w:rPr>
          <w:rFonts w:ascii="SimSun" w:hAnsi="SimSun" w:hint="eastAsia"/>
          <w:sz w:val="21"/>
        </w:rPr>
        <w:t>。后者主要由女发言人讲授，鉴于她们</w:t>
      </w:r>
      <w:r w:rsidR="00F01EE8" w:rsidRPr="005B6CF6">
        <w:rPr>
          <w:rFonts w:ascii="SimSun" w:hAnsi="SimSun" w:hint="eastAsia"/>
          <w:sz w:val="21"/>
        </w:rPr>
        <w:t>在许多中小企业中担任领导以及在延续土著社区传统方面的关键作用，尤其使妇女受益。</w:t>
      </w:r>
    </w:p>
    <w:p w14:paraId="66288B57" w14:textId="2199BA84" w:rsidR="00D35414" w:rsidRPr="005B6CF6" w:rsidRDefault="00F01EE8" w:rsidP="005B6CF6">
      <w:pPr>
        <w:pStyle w:val="ListParagraph"/>
        <w:numPr>
          <w:ilvl w:val="0"/>
          <w:numId w:val="7"/>
        </w:numPr>
        <w:overflowPunct w:val="0"/>
        <w:spacing w:afterLines="50" w:after="120" w:line="340" w:lineRule="atLeast"/>
        <w:ind w:left="0" w:firstLine="0"/>
        <w:contextualSpacing w:val="0"/>
        <w:jc w:val="both"/>
        <w:rPr>
          <w:rFonts w:ascii="SimSun" w:hAnsi="SimSun"/>
          <w:color w:val="0070C0"/>
          <w:sz w:val="21"/>
        </w:rPr>
      </w:pPr>
      <w:r w:rsidRPr="005B6CF6">
        <w:rPr>
          <w:rFonts w:ascii="KaiTi" w:eastAsia="KaiTi" w:hAnsi="KaiTi" w:cstheme="minorHAnsi" w:hint="eastAsia"/>
          <w:color w:val="333333"/>
          <w:sz w:val="21"/>
          <w:shd w:val="clear" w:color="auto" w:fill="FFFFFF"/>
        </w:rPr>
        <w:t>产权组织-</w:t>
      </w:r>
      <w:r w:rsidR="00551B15" w:rsidRPr="005B6CF6">
        <w:rPr>
          <w:rFonts w:ascii="KaiTi" w:eastAsia="KaiTi" w:hAnsi="KaiTi" w:hint="eastAsia"/>
          <w:sz w:val="21"/>
        </w:rPr>
        <w:t>瑞典专利和注册局</w:t>
      </w:r>
      <w:r w:rsidRPr="005B6CF6">
        <w:rPr>
          <w:rFonts w:ascii="KaiTi" w:eastAsia="KaiTi" w:hAnsi="KaiTi" w:cstheme="minorHAnsi" w:hint="eastAsia"/>
          <w:color w:val="333333"/>
          <w:sz w:val="21"/>
          <w:shd w:val="clear" w:color="auto" w:fill="FFFFFF"/>
        </w:rPr>
        <w:t>知识产权与遗传资源支持创新国际培训计划</w:t>
      </w:r>
      <w:r w:rsidRPr="005B6CF6">
        <w:rPr>
          <w:rFonts w:asciiTheme="minorHAnsi" w:hAnsiTheme="minorHAnsi" w:cstheme="minorHAnsi" w:hint="eastAsia"/>
          <w:color w:val="333333"/>
          <w:sz w:val="21"/>
          <w:shd w:val="clear" w:color="auto" w:fill="FFFFFF"/>
        </w:rPr>
        <w:t>则是将性别平等纳入培训主流的另一个例子。事实上，它整合了一个关于性别平等、多样化和包容</w:t>
      </w:r>
      <w:r w:rsidR="006A50B1" w:rsidRPr="005B6CF6">
        <w:rPr>
          <w:rFonts w:asciiTheme="minorHAnsi" w:hAnsiTheme="minorHAnsi" w:cstheme="minorHAnsi" w:hint="eastAsia"/>
          <w:color w:val="333333"/>
          <w:sz w:val="21"/>
          <w:shd w:val="clear" w:color="auto" w:fill="FFFFFF"/>
        </w:rPr>
        <w:t>性</w:t>
      </w:r>
      <w:r w:rsidRPr="005B6CF6">
        <w:rPr>
          <w:rFonts w:asciiTheme="minorHAnsi" w:hAnsiTheme="minorHAnsi" w:cstheme="minorHAnsi" w:hint="eastAsia"/>
          <w:color w:val="333333"/>
          <w:sz w:val="21"/>
          <w:shd w:val="clear" w:color="auto" w:fill="FFFFFF"/>
        </w:rPr>
        <w:t>的具体模块，</w:t>
      </w:r>
      <w:r w:rsidR="006A50B1" w:rsidRPr="005B6CF6">
        <w:rPr>
          <w:rFonts w:asciiTheme="minorHAnsi" w:hAnsiTheme="minorHAnsi" w:cstheme="minorHAnsi" w:hint="eastAsia"/>
          <w:color w:val="333333"/>
          <w:sz w:val="21"/>
          <w:shd w:val="clear" w:color="auto" w:fill="FFFFFF"/>
        </w:rPr>
        <w:t>并</w:t>
      </w:r>
      <w:r w:rsidRPr="005B6CF6">
        <w:rPr>
          <w:rFonts w:asciiTheme="minorHAnsi" w:hAnsiTheme="minorHAnsi" w:cstheme="minorHAnsi" w:hint="eastAsia"/>
          <w:color w:val="333333"/>
          <w:sz w:val="21"/>
          <w:shd w:val="clear" w:color="auto" w:fill="FFFFFF"/>
        </w:rPr>
        <w:t>要求参与者在社区、国家和区域实施变革项目时考虑这些问题。</w:t>
      </w:r>
    </w:p>
    <w:p w14:paraId="224F5B41" w14:textId="03962E9B" w:rsidR="00F01EE8" w:rsidRPr="005B6CF6" w:rsidRDefault="00F01EE8"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自2019年1</w:t>
      </w:r>
      <w:r w:rsidR="00541A1A" w:rsidRPr="005B6CF6">
        <w:rPr>
          <w:rFonts w:ascii="SimSun" w:hAnsi="SimSun" w:hint="eastAsia"/>
          <w:sz w:val="21"/>
        </w:rPr>
        <w:t>月来，产权组织还正在实施发展议程项目</w:t>
      </w:r>
      <w:r w:rsidRPr="005B6CF6">
        <w:rPr>
          <w:rFonts w:ascii="KaiTi" w:eastAsia="KaiTi" w:hAnsi="KaiTi" w:hint="eastAsia"/>
          <w:sz w:val="21"/>
        </w:rPr>
        <w:t>加</w:t>
      </w:r>
      <w:r w:rsidR="00541A1A" w:rsidRPr="005B6CF6">
        <w:rPr>
          <w:rFonts w:ascii="KaiTi" w:eastAsia="KaiTi" w:hAnsi="KaiTi" w:hint="eastAsia"/>
          <w:sz w:val="21"/>
        </w:rPr>
        <w:t>大女性在创新创业方面的作用：鼓励发展中国家女性运用知识产权制度</w:t>
      </w:r>
      <w:r w:rsidRPr="005B6CF6">
        <w:rPr>
          <w:rFonts w:ascii="SimSun" w:hAnsi="SimSun" w:hint="eastAsia"/>
          <w:sz w:val="21"/>
        </w:rPr>
        <w:t>，</w:t>
      </w:r>
      <w:r w:rsidR="009B58B5" w:rsidRPr="005B6CF6">
        <w:rPr>
          <w:rFonts w:ascii="SimSun" w:hAnsi="SimSun" w:hint="eastAsia"/>
          <w:sz w:val="21"/>
        </w:rPr>
        <w:t>旨在支持女性发明者</w:t>
      </w:r>
      <w:r w:rsidRPr="005B6CF6">
        <w:rPr>
          <w:rFonts w:ascii="SimSun" w:hAnsi="SimSun" w:hint="eastAsia"/>
          <w:sz w:val="21"/>
        </w:rPr>
        <w:t>和创新者更好地运用知识产权制度，加大她们在国家创新制度中的参与度。该项目正在以下受益国实施：墨西哥、阿曼、巴基斯坦和乌干达。关于实施进展的更多信息，请参见文件C</w:t>
      </w:r>
      <w:r w:rsidRPr="005B6CF6">
        <w:rPr>
          <w:rFonts w:ascii="SimSun" w:hAnsi="SimSun"/>
          <w:sz w:val="21"/>
        </w:rPr>
        <w:t>DIP/26/2</w:t>
      </w:r>
      <w:r w:rsidRPr="005B6CF6">
        <w:rPr>
          <w:rFonts w:ascii="SimSun" w:hAnsi="SimSun" w:hint="eastAsia"/>
          <w:sz w:val="21"/>
        </w:rPr>
        <w:t>。</w:t>
      </w:r>
    </w:p>
    <w:p w14:paraId="16809164" w14:textId="3B0428D8" w:rsidR="00B60ECE" w:rsidRPr="005B6CF6" w:rsidRDefault="009B58B5"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最后，产权组织与联合国系统其他机构在创新中的性别平等方面积极合作，包括通过各种活动。例如，在妇女地位委员会（C</w:t>
      </w:r>
      <w:r w:rsidRPr="005B6CF6">
        <w:rPr>
          <w:rFonts w:ascii="SimSun" w:hAnsi="SimSun"/>
          <w:sz w:val="21"/>
        </w:rPr>
        <w:t>SW</w:t>
      </w:r>
      <w:r w:rsidRPr="005B6CF6">
        <w:rPr>
          <w:rFonts w:ascii="SimSun" w:hAnsi="SimSun" w:hint="eastAsia"/>
          <w:sz w:val="21"/>
        </w:rPr>
        <w:t>）第63届会议期间，产权组织与国际电信联盟（I</w:t>
      </w:r>
      <w:r w:rsidRPr="005B6CF6">
        <w:rPr>
          <w:rFonts w:ascii="SimSun" w:hAnsi="SimSun"/>
          <w:sz w:val="21"/>
        </w:rPr>
        <w:t>TU</w:t>
      </w:r>
      <w:r w:rsidRPr="005B6CF6">
        <w:rPr>
          <w:rFonts w:ascii="SimSun" w:hAnsi="SimSun" w:hint="eastAsia"/>
          <w:sz w:val="21"/>
        </w:rPr>
        <w:t>）在纽约共同举办了一场关于性别、科学、技术和创新的会外活动（2019年3月11日至12日）。该活动的目的是提高对科技创新中性别平等重要性的认识，并</w:t>
      </w:r>
      <w:r w:rsidR="008D0C0C" w:rsidRPr="005B6CF6">
        <w:rPr>
          <w:rFonts w:ascii="SimSun" w:hAnsi="SimSun" w:hint="eastAsia"/>
          <w:sz w:val="21"/>
        </w:rPr>
        <w:t>向</w:t>
      </w:r>
      <w:r w:rsidR="00541A1A" w:rsidRPr="005B6CF6">
        <w:rPr>
          <w:rFonts w:ascii="SimSun" w:hAnsi="SimSun"/>
          <w:sz w:val="21"/>
        </w:rPr>
        <w:t>IATT</w:t>
      </w:r>
      <w:r w:rsidR="0042488E" w:rsidRPr="005B6CF6">
        <w:rPr>
          <w:rStyle w:val="FootnoteReference"/>
          <w:rFonts w:ascii="SimSun" w:hAnsi="SimSun"/>
          <w:sz w:val="21"/>
        </w:rPr>
        <w:footnoteReference w:id="4"/>
      </w:r>
      <w:r w:rsidR="00541A1A" w:rsidRPr="005B6CF6">
        <w:rPr>
          <w:rFonts w:ascii="SimSun" w:hAnsi="SimSun" w:hint="eastAsia"/>
          <w:sz w:val="21"/>
        </w:rPr>
        <w:t>成员介绍联合国机构的工作</w:t>
      </w:r>
      <w:r w:rsidRPr="005B6CF6">
        <w:rPr>
          <w:rFonts w:ascii="SimSun" w:hAnsi="SimSun" w:hint="eastAsia"/>
          <w:sz w:val="21"/>
        </w:rPr>
        <w:t>。在第四届科技创新论坛（2019年5月14日和15日）会间，国际电联、产权组织和教科文组织组织了一场关于妇女和科技创新的展览</w:t>
      </w:r>
      <w:r w:rsidR="00736FEB" w:rsidRPr="005B6CF6">
        <w:rPr>
          <w:rStyle w:val="FootnoteReference"/>
          <w:rFonts w:ascii="SimSun" w:hAnsi="SimSun"/>
          <w:sz w:val="21"/>
        </w:rPr>
        <w:footnoteReference w:id="5"/>
      </w:r>
      <w:r w:rsidR="009D7A8D" w:rsidRPr="005B6CF6">
        <w:rPr>
          <w:rFonts w:ascii="SimSun" w:hAnsi="SimSun" w:hint="eastAsia"/>
          <w:sz w:val="21"/>
        </w:rPr>
        <w:t>。</w:t>
      </w:r>
      <w:r w:rsidR="002D1992" w:rsidRPr="005B6CF6">
        <w:rPr>
          <w:rFonts w:ascii="SimSun" w:hAnsi="SimSun" w:hint="eastAsia"/>
          <w:sz w:val="21"/>
        </w:rPr>
        <w:t>该展览展示了世界各地杰出女性的肖像和故事，她们都在推进科技创新方面取得了重大成就，因此是妇女和女童的榜样。此外，产权组织还是机构间妇女和性别平等网络的成员，该网络是协调规范性和业务</w:t>
      </w:r>
      <w:r w:rsidRPr="005B6CF6">
        <w:rPr>
          <w:rFonts w:ascii="SimSun" w:hAnsi="SimSun" w:hint="eastAsia"/>
          <w:sz w:val="21"/>
        </w:rPr>
        <w:t>性</w:t>
      </w:r>
      <w:r w:rsidR="002D1992" w:rsidRPr="005B6CF6">
        <w:rPr>
          <w:rFonts w:ascii="SimSun" w:hAnsi="SimSun" w:hint="eastAsia"/>
          <w:sz w:val="21"/>
        </w:rPr>
        <w:t>工作、促进交流良好做法并对新</w:t>
      </w:r>
      <w:r w:rsidR="00697BEE" w:rsidRPr="005B6CF6">
        <w:rPr>
          <w:rFonts w:ascii="SimSun" w:hAnsi="SimSun" w:hint="eastAsia"/>
          <w:sz w:val="21"/>
        </w:rPr>
        <w:t>出现的</w:t>
      </w:r>
      <w:r w:rsidR="002D1992" w:rsidRPr="005B6CF6">
        <w:rPr>
          <w:rFonts w:ascii="SimSun" w:hAnsi="SimSun" w:hint="eastAsia"/>
          <w:sz w:val="21"/>
        </w:rPr>
        <w:t>/新</w:t>
      </w:r>
      <w:r w:rsidR="00697BEE" w:rsidRPr="005B6CF6">
        <w:rPr>
          <w:rFonts w:ascii="SimSun" w:hAnsi="SimSun" w:hint="eastAsia"/>
          <w:sz w:val="21"/>
        </w:rPr>
        <w:t>兴</w:t>
      </w:r>
      <w:r w:rsidR="002D1992" w:rsidRPr="005B6CF6">
        <w:rPr>
          <w:rFonts w:ascii="SimSun" w:hAnsi="SimSun" w:hint="eastAsia"/>
          <w:sz w:val="21"/>
        </w:rPr>
        <w:t>问题进行性别分析的论坛。</w:t>
      </w:r>
    </w:p>
    <w:p w14:paraId="1C9A6B9F" w14:textId="5007D4D9" w:rsidR="00FD7487" w:rsidRPr="000F0DF7" w:rsidRDefault="000F0DF7" w:rsidP="000F0DF7">
      <w:pPr>
        <w:keepNext/>
        <w:overflowPunct w:val="0"/>
        <w:spacing w:beforeLines="100" w:before="240" w:afterLines="50" w:after="120" w:line="340" w:lineRule="atLeast"/>
        <w:rPr>
          <w:rFonts w:ascii="SimSun" w:hAnsi="SimSun"/>
          <w:b/>
          <w:sz w:val="21"/>
        </w:rPr>
      </w:pPr>
      <w:r w:rsidRPr="000F0DF7">
        <w:rPr>
          <w:rFonts w:ascii="SimSun" w:hAnsi="SimSun" w:hint="eastAsia"/>
          <w:b/>
          <w:sz w:val="21"/>
        </w:rPr>
        <w:t>B</w:t>
      </w:r>
      <w:r w:rsidRPr="000F0DF7">
        <w:rPr>
          <w:rFonts w:ascii="SimSun" w:hAnsi="SimSun"/>
          <w:b/>
          <w:sz w:val="21"/>
        </w:rPr>
        <w:t>.</w:t>
      </w:r>
      <w:r w:rsidRPr="000F0DF7">
        <w:rPr>
          <w:rFonts w:ascii="SimSun" w:hAnsi="SimSun"/>
          <w:b/>
          <w:sz w:val="21"/>
        </w:rPr>
        <w:tab/>
      </w:r>
      <w:r w:rsidR="00E317FA" w:rsidRPr="000F0DF7">
        <w:rPr>
          <w:rFonts w:ascii="SimSun" w:hAnsi="SimSun" w:hint="eastAsia"/>
          <w:b/>
          <w:sz w:val="21"/>
        </w:rPr>
        <w:t>区域合作</w:t>
      </w:r>
    </w:p>
    <w:p w14:paraId="2CC0DD6A" w14:textId="7A3B2F9E" w:rsidR="00595EDA" w:rsidRPr="005B6CF6" w:rsidRDefault="002D1992" w:rsidP="000F0DF7">
      <w:pPr>
        <w:pStyle w:val="ListParagraph"/>
        <w:keepNext/>
        <w:keepLines/>
        <w:numPr>
          <w:ilvl w:val="0"/>
          <w:numId w:val="30"/>
        </w:numPr>
        <w:overflowPunct w:val="0"/>
        <w:spacing w:afterLines="50" w:after="120" w:line="340" w:lineRule="atLeast"/>
        <w:ind w:left="1134" w:hanging="567"/>
        <w:contextualSpacing w:val="0"/>
        <w:rPr>
          <w:rFonts w:ascii="SimSun" w:hAnsi="SimSun"/>
          <w:sz w:val="21"/>
          <w:u w:val="single"/>
          <w:lang w:eastAsia="en-US"/>
        </w:rPr>
      </w:pPr>
      <w:r w:rsidRPr="005B6CF6">
        <w:rPr>
          <w:rFonts w:asciiTheme="minorEastAsia" w:eastAsiaTheme="minorEastAsia" w:hAnsiTheme="minorEastAsia" w:hint="eastAsia"/>
          <w:sz w:val="21"/>
          <w:u w:val="single"/>
        </w:rPr>
        <w:t>非洲</w:t>
      </w:r>
    </w:p>
    <w:p w14:paraId="7992FC1A" w14:textId="76D92063" w:rsidR="004E5F0E" w:rsidRPr="005B6CF6" w:rsidRDefault="008D0C0C"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szCs w:val="22"/>
        </w:rPr>
        <w:t>在博茨瓦纳和加纳的品牌项目中，对支持妇女</w:t>
      </w:r>
      <w:r w:rsidR="00FD543F" w:rsidRPr="005B6CF6">
        <w:rPr>
          <w:rFonts w:ascii="SimSun" w:hAnsi="SimSun" w:hint="eastAsia"/>
          <w:sz w:val="21"/>
          <w:szCs w:val="22"/>
        </w:rPr>
        <w:t>参与知识产权作出了努力。这些项目是在实施这两个国家各自的国家知识产权战略时启动的，在日本信托基金的支持下进行。这两个国家都有用植物纤维制作的传统篮子，主要由妇女制作。</w:t>
      </w:r>
      <w:r w:rsidR="0007024E" w:rsidRPr="005B6CF6">
        <w:rPr>
          <w:rFonts w:ascii="SimSun" w:hAnsi="SimSun" w:hint="eastAsia"/>
          <w:sz w:val="21"/>
          <w:szCs w:val="22"/>
        </w:rPr>
        <w:t>该项目的目的是协助加纳和博茨瓦纳两个社区（即</w:t>
      </w:r>
      <w:r w:rsidR="0007024E" w:rsidRPr="005B6CF6">
        <w:rPr>
          <w:rFonts w:ascii="SimSun" w:hAnsi="SimSun"/>
          <w:sz w:val="21"/>
          <w:szCs w:val="22"/>
        </w:rPr>
        <w:t>Bolgatanga</w:t>
      </w:r>
      <w:r w:rsidR="0007024E" w:rsidRPr="005B6CF6">
        <w:rPr>
          <w:rFonts w:ascii="SimSun" w:hAnsi="SimSun" w:hint="eastAsia"/>
          <w:sz w:val="21"/>
          <w:szCs w:val="22"/>
        </w:rPr>
        <w:t>和</w:t>
      </w:r>
      <w:r w:rsidR="0007024E" w:rsidRPr="005B6CF6">
        <w:rPr>
          <w:rFonts w:ascii="SimSun" w:hAnsi="SimSun"/>
          <w:sz w:val="21"/>
          <w:szCs w:val="22"/>
        </w:rPr>
        <w:t>Chobe</w:t>
      </w:r>
      <w:r w:rsidR="0007024E" w:rsidRPr="005B6CF6">
        <w:rPr>
          <w:rFonts w:ascii="SimSun" w:hAnsi="SimSun" w:hint="eastAsia"/>
          <w:sz w:val="21"/>
          <w:szCs w:val="22"/>
        </w:rPr>
        <w:t>）的土著篮子编织者有效运用知识产权以提升商业竞争力。这两个国家的项目都已进入最后阶段：</w:t>
      </w:r>
      <w:r w:rsidR="006035AA" w:rsidRPr="005B6CF6">
        <w:rPr>
          <w:rFonts w:ascii="SimSun" w:hAnsi="SimSun"/>
          <w:sz w:val="21"/>
          <w:szCs w:val="22"/>
        </w:rPr>
        <w:t>Chobe</w:t>
      </w:r>
      <w:r w:rsidR="006035AA" w:rsidRPr="005B6CF6">
        <w:rPr>
          <w:rFonts w:ascii="SimSun" w:hAnsi="SimSun" w:hint="eastAsia"/>
          <w:sz w:val="21"/>
          <w:szCs w:val="22"/>
        </w:rPr>
        <w:t>的篮子编织者已采用集体商标，</w:t>
      </w:r>
      <w:r w:rsidRPr="005B6CF6">
        <w:rPr>
          <w:rFonts w:ascii="SimSun" w:hAnsi="SimSun" w:hint="eastAsia"/>
          <w:sz w:val="21"/>
          <w:szCs w:val="22"/>
        </w:rPr>
        <w:t>将于</w:t>
      </w:r>
      <w:r w:rsidR="006035AA" w:rsidRPr="005B6CF6">
        <w:rPr>
          <w:rFonts w:ascii="SimSun" w:hAnsi="SimSun" w:hint="eastAsia"/>
          <w:sz w:val="21"/>
          <w:szCs w:val="22"/>
        </w:rPr>
        <w:t>今年晚些时候推出，而</w:t>
      </w:r>
      <w:r w:rsidR="006035AA" w:rsidRPr="005B6CF6">
        <w:rPr>
          <w:rFonts w:ascii="SimSun" w:hAnsi="SimSun"/>
          <w:sz w:val="21"/>
          <w:szCs w:val="22"/>
        </w:rPr>
        <w:t>Bolgatanga</w:t>
      </w:r>
      <w:r w:rsidR="006035AA" w:rsidRPr="005B6CF6">
        <w:rPr>
          <w:rFonts w:ascii="SimSun" w:hAnsi="SimSun" w:hint="eastAsia"/>
          <w:sz w:val="21"/>
          <w:szCs w:val="22"/>
        </w:rPr>
        <w:t>的利益攸关方正在就一个合适的商标进行协商。</w:t>
      </w:r>
    </w:p>
    <w:p w14:paraId="4F604E95" w14:textId="7C6ED346" w:rsidR="0042488E" w:rsidRPr="005B6CF6" w:rsidRDefault="006035AA"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szCs w:val="22"/>
        </w:rPr>
        <w:lastRenderedPageBreak/>
        <w:t>此外，在赞助</w:t>
      </w:r>
      <w:r w:rsidRPr="005B6CF6">
        <w:rPr>
          <w:rFonts w:ascii="KaiTi" w:eastAsia="KaiTi" w:hAnsi="KaiTi" w:hint="eastAsia"/>
          <w:sz w:val="21"/>
          <w:szCs w:val="22"/>
        </w:rPr>
        <w:t>产权组织/非洲大学知识产权硕士学位计划</w:t>
      </w:r>
      <w:r w:rsidRPr="005B6CF6">
        <w:rPr>
          <w:rFonts w:ascii="SimSun" w:hAnsi="SimSun" w:hint="eastAsia"/>
          <w:sz w:val="21"/>
          <w:szCs w:val="22"/>
        </w:rPr>
        <w:t>的申请者时采用了对性别问题有敏感认识的方法：2019年选定的17名申请者中9名为女性。2020年选定的17名申请人中，有同样数量的女</w:t>
      </w:r>
      <w:r w:rsidR="005C71F1">
        <w:rPr>
          <w:rFonts w:ascii="KaiTi" w:eastAsia="KaiTi" w:hAnsi="KaiTi"/>
          <w:sz w:val="21"/>
          <w:szCs w:val="22"/>
        </w:rPr>
        <w:t>‍</w:t>
      </w:r>
      <w:r w:rsidRPr="005B6CF6">
        <w:rPr>
          <w:rFonts w:ascii="SimSun" w:hAnsi="SimSun" w:hint="eastAsia"/>
          <w:sz w:val="21"/>
          <w:szCs w:val="22"/>
        </w:rPr>
        <w:t>性。</w:t>
      </w:r>
    </w:p>
    <w:p w14:paraId="1A498543" w14:textId="296E989D" w:rsidR="00595EDA" w:rsidRPr="005B6CF6" w:rsidRDefault="006035AA" w:rsidP="000F0DF7">
      <w:pPr>
        <w:pStyle w:val="ListParagraph"/>
        <w:keepNext/>
        <w:keepLines/>
        <w:numPr>
          <w:ilvl w:val="0"/>
          <w:numId w:val="30"/>
        </w:numPr>
        <w:overflowPunct w:val="0"/>
        <w:spacing w:afterLines="50" w:after="120" w:line="340" w:lineRule="atLeast"/>
        <w:ind w:left="1134" w:hanging="567"/>
        <w:contextualSpacing w:val="0"/>
        <w:rPr>
          <w:rFonts w:ascii="SimSun" w:hAnsi="SimSun"/>
          <w:sz w:val="21"/>
        </w:rPr>
      </w:pPr>
      <w:r w:rsidRPr="005B6CF6">
        <w:rPr>
          <w:rFonts w:asciiTheme="minorEastAsia" w:eastAsiaTheme="minorEastAsia" w:hAnsiTheme="minorEastAsia" w:hint="eastAsia"/>
          <w:sz w:val="21"/>
          <w:u w:val="single"/>
        </w:rPr>
        <w:t>阿拉伯国家</w:t>
      </w:r>
    </w:p>
    <w:p w14:paraId="7D1BA368" w14:textId="0901EBF6" w:rsidR="00595EDA" w:rsidRPr="005B6CF6" w:rsidRDefault="00953927"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产权组织为支持阿拉伯</w:t>
      </w:r>
      <w:r w:rsidR="00674646" w:rsidRPr="005B6CF6">
        <w:rPr>
          <w:rFonts w:ascii="SimSun" w:hAnsi="SimSun" w:hint="eastAsia"/>
          <w:sz w:val="21"/>
        </w:rPr>
        <w:t>女性</w:t>
      </w:r>
      <w:r w:rsidRPr="005B6CF6">
        <w:rPr>
          <w:rFonts w:ascii="SimSun" w:hAnsi="SimSun" w:hint="eastAsia"/>
          <w:sz w:val="21"/>
        </w:rPr>
        <w:t>创新者和创造者而提供的援助，侧重于向成员国提供在制定国家知识产权战略时将</w:t>
      </w:r>
      <w:r w:rsidR="00674646" w:rsidRPr="005B6CF6">
        <w:rPr>
          <w:rFonts w:ascii="SimSun" w:hAnsi="SimSun" w:hint="eastAsia"/>
          <w:sz w:val="21"/>
        </w:rPr>
        <w:t>性别平等纳入主流的建议，并组织专门针对妇女和知识产权问题的不同</w:t>
      </w:r>
      <w:r w:rsidRPr="005B6CF6">
        <w:rPr>
          <w:rFonts w:ascii="SimSun" w:hAnsi="SimSun" w:hint="eastAsia"/>
          <w:sz w:val="21"/>
        </w:rPr>
        <w:t>活动。在报告期间举办的主要活动有：</w:t>
      </w:r>
    </w:p>
    <w:p w14:paraId="2858CC29" w14:textId="415D210B" w:rsidR="00595EDA" w:rsidRPr="005B6CF6" w:rsidRDefault="00513C40" w:rsidP="005C71F1">
      <w:pPr>
        <w:pStyle w:val="ListParagraph"/>
        <w:numPr>
          <w:ilvl w:val="0"/>
          <w:numId w:val="20"/>
        </w:numPr>
        <w:overflowPunct w:val="0"/>
        <w:spacing w:afterLines="50" w:after="120" w:line="340" w:lineRule="atLeast"/>
        <w:ind w:left="1134" w:hanging="567"/>
        <w:contextualSpacing w:val="0"/>
        <w:jc w:val="both"/>
        <w:rPr>
          <w:rFonts w:ascii="SimSun" w:hAnsi="SimSun"/>
          <w:sz w:val="21"/>
        </w:rPr>
      </w:pPr>
      <w:r w:rsidRPr="005B6CF6">
        <w:rPr>
          <w:rFonts w:ascii="SimSun" w:hAnsi="SimSun" w:hint="eastAsia"/>
          <w:sz w:val="21"/>
        </w:rPr>
        <w:t>2019年3月举行的</w:t>
      </w:r>
      <w:r w:rsidR="00B20642" w:rsidRPr="005B6CF6">
        <w:rPr>
          <w:rFonts w:ascii="KaiTi" w:eastAsia="KaiTi" w:hAnsi="KaiTi" w:hint="eastAsia"/>
          <w:sz w:val="21"/>
        </w:rPr>
        <w:t>中小企业知识产权资产有效管理</w:t>
      </w:r>
      <w:r w:rsidR="00B20642" w:rsidRPr="005B6CF6">
        <w:rPr>
          <w:rFonts w:ascii="SimSun" w:hAnsi="SimSun" w:hint="eastAsia"/>
          <w:sz w:val="21"/>
        </w:rPr>
        <w:t>的国家讲</w:t>
      </w:r>
      <w:r w:rsidRPr="005B6CF6">
        <w:rPr>
          <w:rFonts w:ascii="SimSun" w:hAnsi="SimSun" w:hint="eastAsia"/>
          <w:sz w:val="21"/>
        </w:rPr>
        <w:t>习班中关于</w:t>
      </w:r>
      <w:r w:rsidR="00953927" w:rsidRPr="005B6CF6">
        <w:rPr>
          <w:rFonts w:ascii="SimSun" w:hAnsi="SimSun" w:hint="eastAsia"/>
          <w:sz w:val="21"/>
        </w:rPr>
        <w:t>“知识产权和女企业家”的小组讨论</w:t>
      </w:r>
      <w:r w:rsidRPr="005B6CF6">
        <w:rPr>
          <w:rFonts w:ascii="SimSun" w:hAnsi="SimSun" w:hint="eastAsia"/>
          <w:sz w:val="21"/>
        </w:rPr>
        <w:t>。</w:t>
      </w:r>
    </w:p>
    <w:p w14:paraId="719D12A3" w14:textId="72AA41FC" w:rsidR="00595EDA" w:rsidRPr="005B6CF6" w:rsidRDefault="00513C40" w:rsidP="005C71F1">
      <w:pPr>
        <w:pStyle w:val="ListParagraph"/>
        <w:numPr>
          <w:ilvl w:val="0"/>
          <w:numId w:val="20"/>
        </w:numPr>
        <w:overflowPunct w:val="0"/>
        <w:spacing w:afterLines="50" w:after="120" w:line="340" w:lineRule="atLeast"/>
        <w:ind w:left="1134" w:hanging="567"/>
        <w:contextualSpacing w:val="0"/>
        <w:jc w:val="both"/>
        <w:rPr>
          <w:rFonts w:ascii="SimSun" w:hAnsi="SimSun"/>
          <w:sz w:val="21"/>
        </w:rPr>
      </w:pPr>
      <w:r w:rsidRPr="005B6CF6">
        <w:rPr>
          <w:rFonts w:ascii="SimSun" w:hAnsi="SimSun" w:hint="eastAsia"/>
          <w:sz w:val="21"/>
        </w:rPr>
        <w:t>2019年9月由约旦哈希姆王国主办的</w:t>
      </w:r>
      <w:r w:rsidRPr="005B6CF6">
        <w:rPr>
          <w:rFonts w:ascii="KaiTi" w:eastAsia="KaiTi" w:hAnsi="KaiTi" w:hint="eastAsia"/>
          <w:sz w:val="21"/>
        </w:rPr>
        <w:t>阿拉伯地区知识产权和女企业家区域会议</w:t>
      </w:r>
      <w:r w:rsidRPr="005B6CF6">
        <w:rPr>
          <w:rFonts w:ascii="SimSun" w:hAnsi="SimSun" w:hint="eastAsia"/>
          <w:sz w:val="21"/>
        </w:rPr>
        <w:t>。</w:t>
      </w:r>
    </w:p>
    <w:p w14:paraId="31E0FDF0" w14:textId="64FC563A" w:rsidR="00595EDA" w:rsidRPr="005B6CF6" w:rsidRDefault="00073A90" w:rsidP="005C71F1">
      <w:pPr>
        <w:pStyle w:val="ListParagraph"/>
        <w:numPr>
          <w:ilvl w:val="0"/>
          <w:numId w:val="20"/>
        </w:numPr>
        <w:overflowPunct w:val="0"/>
        <w:spacing w:afterLines="50" w:after="120" w:line="340" w:lineRule="atLeast"/>
        <w:ind w:left="1134" w:hanging="567"/>
        <w:contextualSpacing w:val="0"/>
        <w:jc w:val="both"/>
        <w:rPr>
          <w:rFonts w:ascii="SimSun" w:hAnsi="SimSun"/>
          <w:sz w:val="21"/>
        </w:rPr>
      </w:pPr>
      <w:r w:rsidRPr="005B6CF6">
        <w:rPr>
          <w:rFonts w:ascii="SimSun" w:hAnsi="SimSun" w:hint="eastAsia"/>
          <w:sz w:val="21"/>
        </w:rPr>
        <w:t>2020年9月，为阿拉伯常驻代表团/</w:t>
      </w:r>
      <w:r w:rsidR="00674646" w:rsidRPr="005B6CF6">
        <w:rPr>
          <w:rFonts w:ascii="SimSun" w:hAnsi="SimSun" w:hint="eastAsia"/>
          <w:sz w:val="21"/>
        </w:rPr>
        <w:t>驻日内瓦观察员代表团的协调人举办信息通报会，题为</w:t>
      </w:r>
      <w:r w:rsidR="00B20642" w:rsidRPr="005B6CF6">
        <w:rPr>
          <w:rFonts w:ascii="SimSun" w:hAnsi="SimSun" w:hint="eastAsia"/>
          <w:sz w:val="21"/>
        </w:rPr>
        <w:t>：</w:t>
      </w:r>
      <w:r w:rsidRPr="005B6CF6">
        <w:rPr>
          <w:rFonts w:ascii="KaiTi" w:eastAsia="KaiTi" w:hAnsi="KaiTi" w:hint="eastAsia"/>
          <w:sz w:val="21"/>
        </w:rPr>
        <w:t>知识产权中的性别问题：阿拉伯地区的性别平等和知识产权近期趋势、发展和概述</w:t>
      </w:r>
      <w:r w:rsidRPr="005B6CF6">
        <w:rPr>
          <w:rFonts w:ascii="SimSun" w:hAnsi="SimSun" w:hint="eastAsia"/>
          <w:sz w:val="21"/>
        </w:rPr>
        <w:t>。</w:t>
      </w:r>
    </w:p>
    <w:p w14:paraId="4E1F44A2" w14:textId="01F25C7B" w:rsidR="006A2AEE" w:rsidRPr="005B6CF6" w:rsidRDefault="00674646"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上述活动有助于促进阿拉伯女发明者</w:t>
      </w:r>
      <w:r w:rsidR="00073A90" w:rsidRPr="005B6CF6">
        <w:rPr>
          <w:rFonts w:ascii="SimSun" w:hAnsi="SimSun" w:hint="eastAsia"/>
          <w:sz w:val="21"/>
        </w:rPr>
        <w:t>、创造者和企业家对知识产权的运用，在他们之间交流经验和最佳做法，以及强调阿拉伯地区与性别有关的知识产权近期趋势。</w:t>
      </w:r>
    </w:p>
    <w:p w14:paraId="3FE98B1D" w14:textId="0E0F3BD6" w:rsidR="00595EDA" w:rsidRPr="005B6CF6" w:rsidRDefault="00073A90" w:rsidP="000F0DF7">
      <w:pPr>
        <w:pStyle w:val="ListParagraph"/>
        <w:keepNext/>
        <w:keepLines/>
        <w:numPr>
          <w:ilvl w:val="0"/>
          <w:numId w:val="30"/>
        </w:numPr>
        <w:overflowPunct w:val="0"/>
        <w:spacing w:afterLines="50" w:after="120" w:line="340" w:lineRule="atLeast"/>
        <w:ind w:left="1134" w:hanging="567"/>
        <w:contextualSpacing w:val="0"/>
        <w:rPr>
          <w:rFonts w:ascii="SimSun" w:hAnsi="SimSun"/>
          <w:sz w:val="21"/>
          <w:u w:val="single"/>
          <w:lang w:eastAsia="en-US"/>
        </w:rPr>
      </w:pPr>
      <w:r w:rsidRPr="005B6CF6">
        <w:rPr>
          <w:rFonts w:asciiTheme="minorEastAsia" w:eastAsiaTheme="minorEastAsia" w:hAnsiTheme="minorEastAsia" w:hint="eastAsia"/>
          <w:sz w:val="21"/>
          <w:u w:val="single"/>
        </w:rPr>
        <w:t>亚洲及太平洋</w:t>
      </w:r>
      <w:r w:rsidR="00E24D75" w:rsidRPr="005B6CF6">
        <w:rPr>
          <w:rFonts w:asciiTheme="minorEastAsia" w:eastAsiaTheme="minorEastAsia" w:hAnsiTheme="minorEastAsia" w:hint="eastAsia"/>
          <w:sz w:val="21"/>
          <w:u w:val="single"/>
        </w:rPr>
        <w:t>地区</w:t>
      </w:r>
    </w:p>
    <w:p w14:paraId="7D8ABE1C" w14:textId="51266899" w:rsidR="00595EDA" w:rsidRPr="005B6CF6" w:rsidRDefault="00E24D75"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在近期对亚洲及太平洋</w:t>
      </w:r>
      <w:r w:rsidR="00B20642" w:rsidRPr="005B6CF6">
        <w:rPr>
          <w:rFonts w:ascii="SimSun" w:hAnsi="SimSun" w:hint="eastAsia"/>
          <w:sz w:val="21"/>
        </w:rPr>
        <w:t>司</w:t>
      </w:r>
      <w:r w:rsidRPr="005B6CF6">
        <w:rPr>
          <w:rFonts w:ascii="SimSun" w:hAnsi="SimSun" w:hint="eastAsia"/>
          <w:sz w:val="21"/>
        </w:rPr>
        <w:t>技术合作框架的评估中，正在加强现有的监测和反馈机制，使性别平等主流化成为项目设计、实施、监测和评估的一个组成部分。作为这些工作的一部分，性别维度正被纳入所有</w:t>
      </w:r>
      <w:r w:rsidR="00892A12" w:rsidRPr="005B6CF6">
        <w:rPr>
          <w:rFonts w:ascii="SimSun" w:hAnsi="SimSun" w:hint="eastAsia"/>
          <w:sz w:val="21"/>
        </w:rPr>
        <w:t>项目的指标、工具和数据收集方法的主流中。此外，在可能的情况下，</w:t>
      </w:r>
      <w:r w:rsidRPr="005B6CF6">
        <w:rPr>
          <w:rFonts w:ascii="SimSun" w:hAnsi="SimSun" w:hint="eastAsia"/>
          <w:sz w:val="21"/>
        </w:rPr>
        <w:t>通过调查问卷和访谈，提供按性别分列的数据，这将使工作人员在设计和实施活动和项目时</w:t>
      </w:r>
      <w:r w:rsidR="00892A12" w:rsidRPr="005B6CF6">
        <w:rPr>
          <w:rFonts w:ascii="SimSun" w:hAnsi="SimSun" w:hint="eastAsia"/>
          <w:sz w:val="21"/>
        </w:rPr>
        <w:t>，更好地考虑到性别平等相关需求。这些行动预计有助于查明挑战和机遇</w:t>
      </w:r>
      <w:r w:rsidRPr="005B6CF6">
        <w:rPr>
          <w:rFonts w:ascii="SimSun" w:hAnsi="SimSun" w:hint="eastAsia"/>
          <w:sz w:val="21"/>
        </w:rPr>
        <w:t>，从而为减少性别不平等作出贡献。</w:t>
      </w:r>
    </w:p>
    <w:p w14:paraId="0742F4F3" w14:textId="03E768A6" w:rsidR="007E2F63" w:rsidRPr="005B6CF6" w:rsidRDefault="00E24D75" w:rsidP="000F0DF7">
      <w:pPr>
        <w:pStyle w:val="ListParagraph"/>
        <w:keepNext/>
        <w:keepLines/>
        <w:numPr>
          <w:ilvl w:val="0"/>
          <w:numId w:val="30"/>
        </w:numPr>
        <w:overflowPunct w:val="0"/>
        <w:spacing w:afterLines="50" w:after="120" w:line="340" w:lineRule="atLeast"/>
        <w:ind w:left="1134" w:hanging="567"/>
        <w:contextualSpacing w:val="0"/>
        <w:rPr>
          <w:rFonts w:ascii="SimSun" w:hAnsi="SimSun"/>
          <w:sz w:val="21"/>
          <w:u w:val="single"/>
          <w:lang w:eastAsia="en-US"/>
        </w:rPr>
      </w:pPr>
      <w:r w:rsidRPr="005B6CF6">
        <w:rPr>
          <w:rFonts w:asciiTheme="minorEastAsia" w:eastAsiaTheme="minorEastAsia" w:hAnsiTheme="minorEastAsia" w:hint="eastAsia"/>
          <w:sz w:val="21"/>
          <w:u w:val="single"/>
        </w:rPr>
        <w:t>拉丁美洲和加勒比地区</w:t>
      </w:r>
    </w:p>
    <w:p w14:paraId="2EBBC2CE" w14:textId="2A66C50B" w:rsidR="00980EC4" w:rsidRPr="005B6CF6" w:rsidRDefault="000E7C6C"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在该地区，产权组织性别有关活动受</w:t>
      </w:r>
      <w:r w:rsidRPr="005B6CF6">
        <w:rPr>
          <w:rFonts w:ascii="KaiTi" w:eastAsia="KaiTi" w:hAnsi="KaiTi" w:hint="eastAsia"/>
          <w:sz w:val="21"/>
        </w:rPr>
        <w:t>知识产权、创新和性别平等的区域计划</w:t>
      </w:r>
      <w:r w:rsidRPr="005B6CF6">
        <w:rPr>
          <w:rFonts w:ascii="SimSun" w:hAnsi="SimSun" w:hint="eastAsia"/>
          <w:sz w:val="21"/>
        </w:rPr>
        <w:t>的管理，旨在：(</w:t>
      </w:r>
      <w:r w:rsidRPr="005B6CF6">
        <w:rPr>
          <w:rFonts w:ascii="SimSun" w:hAnsi="SimSun"/>
          <w:sz w:val="21"/>
        </w:rPr>
        <w:t>i)</w:t>
      </w:r>
      <w:r w:rsidR="00751C03">
        <w:rPr>
          <w:rFonts w:ascii="SimSun" w:hAnsi="SimSun"/>
          <w:sz w:val="21"/>
        </w:rPr>
        <w:t>‍</w:t>
      </w:r>
      <w:r w:rsidRPr="005B6CF6">
        <w:rPr>
          <w:rFonts w:ascii="SimSun" w:hAnsi="SimSun" w:hint="eastAsia"/>
          <w:sz w:val="21"/>
        </w:rPr>
        <w:t>将现有的或可预见的以性别为导向的公共政策与知识产权生态系统联系起来，从而鼓励性别平等，并通过促进</w:t>
      </w:r>
      <w:r w:rsidR="00892A12" w:rsidRPr="005B6CF6">
        <w:rPr>
          <w:rFonts w:ascii="SimSun" w:hAnsi="SimSun" w:hint="eastAsia"/>
          <w:sz w:val="21"/>
        </w:rPr>
        <w:t>妇女</w:t>
      </w:r>
      <w:r w:rsidRPr="005B6CF6">
        <w:rPr>
          <w:rFonts w:ascii="SimSun" w:hAnsi="SimSun" w:hint="eastAsia"/>
          <w:sz w:val="21"/>
        </w:rPr>
        <w:t>的创新潜力为</w:t>
      </w:r>
      <w:r w:rsidR="00892A12" w:rsidRPr="005B6CF6">
        <w:rPr>
          <w:rFonts w:ascii="SimSun" w:hAnsi="SimSun" w:hint="eastAsia"/>
          <w:sz w:val="21"/>
        </w:rPr>
        <w:t>其</w:t>
      </w:r>
      <w:r w:rsidRPr="005B6CF6">
        <w:rPr>
          <w:rFonts w:ascii="SimSun" w:hAnsi="SimSun" w:hint="eastAsia"/>
          <w:sz w:val="21"/>
        </w:rPr>
        <w:t>赋能；(</w:t>
      </w:r>
      <w:r w:rsidRPr="005B6CF6">
        <w:rPr>
          <w:rFonts w:ascii="SimSun" w:hAnsi="SimSun"/>
          <w:sz w:val="21"/>
        </w:rPr>
        <w:t>ii)</w:t>
      </w:r>
      <w:r w:rsidRPr="005B6CF6">
        <w:rPr>
          <w:rFonts w:ascii="SimSun" w:hAnsi="SimSun" w:hint="eastAsia"/>
          <w:sz w:val="21"/>
        </w:rPr>
        <w:t>将对性别问题有敏感认识的管理做法纳入拉丁美洲</w:t>
      </w:r>
      <w:r w:rsidR="00892A12" w:rsidRPr="005B6CF6">
        <w:rPr>
          <w:rFonts w:ascii="SimSun" w:hAnsi="SimSun" w:hint="eastAsia"/>
          <w:sz w:val="21"/>
        </w:rPr>
        <w:t>各</w:t>
      </w:r>
      <w:r w:rsidRPr="005B6CF6">
        <w:rPr>
          <w:rFonts w:ascii="SimSun" w:hAnsi="SimSun" w:hint="eastAsia"/>
          <w:sz w:val="21"/>
        </w:rPr>
        <w:t>知识产权局的工作中。</w:t>
      </w:r>
    </w:p>
    <w:p w14:paraId="742D18F9" w14:textId="04F45F4F" w:rsidR="0019473C" w:rsidRPr="005B6CF6" w:rsidRDefault="000E7C6C"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该计划于2017年启动，旨在支持落实产权组织的性别平等政策。此后，已举办了四次关于知识产权、创新和性别平等的区域会议（2017年在哥伦比亚，2018年在乌拉圭，2019年在秘鲁，2020年在智利以线上形式举办）。在2020年的最后一次会议中，与会的知识产权局分享了与以下方面有关的进展：(</w:t>
      </w:r>
      <w:r w:rsidRPr="005B6CF6">
        <w:rPr>
          <w:rFonts w:ascii="SimSun" w:hAnsi="SimSun"/>
          <w:sz w:val="21"/>
        </w:rPr>
        <w:t>i</w:t>
      </w:r>
      <w:r w:rsidRPr="005B6CF6">
        <w:rPr>
          <w:rFonts w:ascii="SimSun" w:hAnsi="SimSun" w:hint="eastAsia"/>
          <w:sz w:val="21"/>
        </w:rPr>
        <w:t>)促进知识产权局制定性别有关的机制</w:t>
      </w:r>
      <w:r w:rsidR="00892A12" w:rsidRPr="005B6CF6">
        <w:rPr>
          <w:rFonts w:ascii="SimSun" w:hAnsi="SimSun" w:hint="eastAsia"/>
          <w:sz w:val="21"/>
        </w:rPr>
        <w:t>性</w:t>
      </w:r>
      <w:r w:rsidRPr="005B6CF6">
        <w:rPr>
          <w:rFonts w:ascii="SimSun" w:hAnsi="SimSun" w:hint="eastAsia"/>
          <w:sz w:val="21"/>
        </w:rPr>
        <w:t>政策；(</w:t>
      </w:r>
      <w:r w:rsidRPr="005B6CF6">
        <w:rPr>
          <w:rFonts w:ascii="SimSun" w:hAnsi="SimSun"/>
          <w:sz w:val="21"/>
        </w:rPr>
        <w:t>ii)</w:t>
      </w:r>
      <w:r w:rsidRPr="005B6CF6">
        <w:rPr>
          <w:rFonts w:ascii="SimSun" w:hAnsi="SimSun" w:hint="eastAsia"/>
          <w:sz w:val="21"/>
        </w:rPr>
        <w:t>发展促进性别平等的管理环境；(</w:t>
      </w:r>
      <w:r w:rsidRPr="005B6CF6">
        <w:rPr>
          <w:rFonts w:ascii="SimSun" w:hAnsi="SimSun"/>
          <w:sz w:val="21"/>
        </w:rPr>
        <w:t>iii)</w:t>
      </w:r>
      <w:r w:rsidR="00A43C76" w:rsidRPr="005B6CF6">
        <w:rPr>
          <w:rFonts w:ascii="SimSun" w:hAnsi="SimSun" w:hint="eastAsia"/>
          <w:sz w:val="21"/>
        </w:rPr>
        <w:t>分享知识产权局在鼓励妇女运用知识产权制度方面的最佳做法；(</w:t>
      </w:r>
      <w:r w:rsidR="00A43C76" w:rsidRPr="005B6CF6">
        <w:rPr>
          <w:rFonts w:ascii="SimSun" w:hAnsi="SimSun"/>
          <w:sz w:val="21"/>
        </w:rPr>
        <w:t>iv</w:t>
      </w:r>
      <w:r w:rsidR="00A43C76" w:rsidRPr="005B6CF6">
        <w:rPr>
          <w:rFonts w:ascii="SimSun" w:hAnsi="SimSun" w:hint="eastAsia"/>
          <w:sz w:val="21"/>
        </w:rPr>
        <w:t>)</w:t>
      </w:r>
      <w:r w:rsidR="00892A12" w:rsidRPr="005B6CF6">
        <w:rPr>
          <w:rFonts w:ascii="SimSun" w:hAnsi="SimSun" w:hint="eastAsia"/>
          <w:sz w:val="21"/>
        </w:rPr>
        <w:t>查明</w:t>
      </w:r>
      <w:r w:rsidR="00DB25B2" w:rsidRPr="005B6CF6">
        <w:rPr>
          <w:rFonts w:ascii="SimSun" w:hAnsi="SimSun" w:hint="eastAsia"/>
          <w:sz w:val="21"/>
        </w:rPr>
        <w:t>知识产权局在信息管理和建立性别指标方面的内部做法；以及(</w:t>
      </w:r>
      <w:r w:rsidR="00DB25B2" w:rsidRPr="005B6CF6">
        <w:rPr>
          <w:rFonts w:ascii="SimSun" w:hAnsi="SimSun"/>
          <w:sz w:val="21"/>
        </w:rPr>
        <w:t>v</w:t>
      </w:r>
      <w:r w:rsidR="00DB25B2" w:rsidRPr="005B6CF6">
        <w:rPr>
          <w:rFonts w:ascii="SimSun" w:hAnsi="SimSun" w:hint="eastAsia"/>
          <w:sz w:val="21"/>
        </w:rPr>
        <w:t>)建立促进性别平等的知识产权局网络。</w:t>
      </w:r>
    </w:p>
    <w:p w14:paraId="0123F4E2" w14:textId="0B4D660A" w:rsidR="00C442F3" w:rsidRPr="005B6CF6" w:rsidRDefault="00DB25B2"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从最</w:t>
      </w:r>
      <w:r w:rsidR="00892A12" w:rsidRPr="005B6CF6">
        <w:rPr>
          <w:rFonts w:ascii="SimSun" w:hAnsi="SimSun" w:hint="eastAsia"/>
          <w:sz w:val="21"/>
        </w:rPr>
        <w:t>后一点出发，智利、哥伦比亚、哥斯达黎加和秘鲁的知识产权局目前正</w:t>
      </w:r>
      <w:r w:rsidRPr="005B6CF6">
        <w:rPr>
          <w:rFonts w:ascii="SimSun" w:hAnsi="SimSun" w:hint="eastAsia"/>
          <w:sz w:val="21"/>
        </w:rPr>
        <w:t>致力于建立拉丁美洲知识产权局性别平等与知识产权</w:t>
      </w:r>
      <w:r w:rsidR="00892A12" w:rsidRPr="005B6CF6">
        <w:rPr>
          <w:rFonts w:ascii="SimSun" w:hAnsi="SimSun" w:hint="eastAsia"/>
          <w:sz w:val="21"/>
        </w:rPr>
        <w:t>网络</w:t>
      </w:r>
      <w:r w:rsidRPr="005B6CF6">
        <w:rPr>
          <w:rFonts w:ascii="SimSun" w:hAnsi="SimSun" w:hint="eastAsia"/>
          <w:sz w:val="21"/>
        </w:rPr>
        <w:t>。在产权组织的支持下，该网络的概念图</w:t>
      </w:r>
      <w:r w:rsidR="00892A12" w:rsidRPr="005B6CF6">
        <w:rPr>
          <w:rFonts w:ascii="SimSun" w:hAnsi="SimSun" w:hint="eastAsia"/>
          <w:sz w:val="21"/>
        </w:rPr>
        <w:t>、指导原则以及原型已经交付。目前的讨论侧重于未来网络的范围、外联</w:t>
      </w:r>
      <w:r w:rsidRPr="005B6CF6">
        <w:rPr>
          <w:rFonts w:ascii="SimSun" w:hAnsi="SimSun" w:hint="eastAsia"/>
          <w:sz w:val="21"/>
        </w:rPr>
        <w:t>和管理。</w:t>
      </w:r>
    </w:p>
    <w:p w14:paraId="6000CB4D" w14:textId="1BFB9DAF" w:rsidR="00D54B0F" w:rsidRPr="005B6CF6" w:rsidRDefault="00073A90" w:rsidP="000F0DF7">
      <w:pPr>
        <w:pStyle w:val="ListParagraph"/>
        <w:keepNext/>
        <w:keepLines/>
        <w:numPr>
          <w:ilvl w:val="0"/>
          <w:numId w:val="30"/>
        </w:numPr>
        <w:overflowPunct w:val="0"/>
        <w:spacing w:afterLines="50" w:after="120" w:line="340" w:lineRule="atLeast"/>
        <w:ind w:left="1134" w:hanging="567"/>
        <w:contextualSpacing w:val="0"/>
        <w:rPr>
          <w:rFonts w:ascii="SimSun" w:hAnsi="SimSun"/>
          <w:sz w:val="21"/>
          <w:u w:val="single"/>
          <w:lang w:eastAsia="en-US"/>
        </w:rPr>
      </w:pPr>
      <w:r w:rsidRPr="005B6CF6">
        <w:rPr>
          <w:rFonts w:asciiTheme="minorEastAsia" w:eastAsiaTheme="minorEastAsia" w:hAnsiTheme="minorEastAsia" w:hint="eastAsia"/>
          <w:sz w:val="21"/>
          <w:u w:val="single"/>
        </w:rPr>
        <w:lastRenderedPageBreak/>
        <w:t>最不发达国家</w:t>
      </w:r>
    </w:p>
    <w:p w14:paraId="733336CD" w14:textId="2499D8CA" w:rsidR="00EF6C9B" w:rsidRPr="005B6CF6" w:rsidRDefault="00DB25B2"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知识产权和性别平等问题在各种计划和会议中作为一个单独的主题被提出。特别是，在每年至少举办两次的产权组织</w:t>
      </w:r>
      <w:r w:rsidR="00892A12" w:rsidRPr="005B6CF6">
        <w:rPr>
          <w:rFonts w:ascii="SimSun" w:hAnsi="SimSun" w:hint="eastAsia"/>
          <w:sz w:val="21"/>
        </w:rPr>
        <w:t>-</w:t>
      </w:r>
      <w:r w:rsidRPr="005B6CF6">
        <w:rPr>
          <w:rFonts w:ascii="SimSun" w:hAnsi="SimSun" w:hint="eastAsia"/>
          <w:sz w:val="21"/>
        </w:rPr>
        <w:t>瑞典专利和注册局</w:t>
      </w:r>
      <w:r w:rsidR="00892A12" w:rsidRPr="005B6CF6">
        <w:rPr>
          <w:rFonts w:ascii="SimSun" w:hAnsi="SimSun" w:hint="eastAsia"/>
          <w:sz w:val="21"/>
        </w:rPr>
        <w:t>-瑞典国际开发署</w:t>
      </w:r>
      <w:r w:rsidR="00892A12" w:rsidRPr="005B6CF6">
        <w:rPr>
          <w:rFonts w:ascii="KaiTi" w:eastAsia="KaiTi" w:hAnsi="KaiTi" w:hint="eastAsia"/>
          <w:sz w:val="21"/>
        </w:rPr>
        <w:t>关于</w:t>
      </w:r>
      <w:r w:rsidRPr="005B6CF6">
        <w:rPr>
          <w:rFonts w:ascii="KaiTi" w:eastAsia="KaiTi" w:hAnsi="KaiTi" w:hint="eastAsia"/>
          <w:sz w:val="21"/>
        </w:rPr>
        <w:t>最不发达国</w:t>
      </w:r>
      <w:r w:rsidR="00892A12" w:rsidRPr="005B6CF6">
        <w:rPr>
          <w:rFonts w:ascii="KaiTi" w:eastAsia="KaiTi" w:hAnsi="KaiTi" w:hint="eastAsia"/>
          <w:sz w:val="21"/>
        </w:rPr>
        <w:t>家的知识产权</w:t>
      </w:r>
      <w:r w:rsidR="00892A12" w:rsidRPr="005B6CF6">
        <w:rPr>
          <w:rFonts w:ascii="SimSun" w:hAnsi="SimSun" w:hint="eastAsia"/>
          <w:sz w:val="21"/>
        </w:rPr>
        <w:t>高级国际培训计划期间，总有关于“</w:t>
      </w:r>
      <w:r w:rsidR="00892A12" w:rsidRPr="005B6CF6">
        <w:rPr>
          <w:rFonts w:ascii="KaiTi" w:eastAsia="KaiTi" w:hAnsi="KaiTi" w:hint="eastAsia"/>
          <w:sz w:val="21"/>
        </w:rPr>
        <w:t>知识产权和性别平等</w:t>
      </w:r>
      <w:r w:rsidR="00892A12" w:rsidRPr="005B6CF6">
        <w:rPr>
          <w:rFonts w:ascii="SimSun" w:hAnsi="SimSun" w:hint="eastAsia"/>
          <w:sz w:val="21"/>
        </w:rPr>
        <w:t>”</w:t>
      </w:r>
      <w:r w:rsidR="006A5570" w:rsidRPr="005B6CF6">
        <w:rPr>
          <w:rFonts w:ascii="SimSun" w:hAnsi="SimSun" w:hint="eastAsia"/>
          <w:sz w:val="21"/>
        </w:rPr>
        <w:t>的介绍，随后进行互动讨论。介绍的目的是推广</w:t>
      </w:r>
      <w:r w:rsidRPr="005B6CF6">
        <w:rPr>
          <w:rFonts w:ascii="SimSun" w:hAnsi="SimSun" w:hint="eastAsia"/>
          <w:sz w:val="21"/>
        </w:rPr>
        <w:t>对知识产权和性别平等问题的认识，并鼓励最不发达国家在这一领域的国家举措。</w:t>
      </w:r>
    </w:p>
    <w:p w14:paraId="0ECA39E8" w14:textId="17FA6E36" w:rsidR="00EF6C9B" w:rsidRPr="005B6CF6" w:rsidRDefault="00DB25B2"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此外，知识产权和性别平等被纳入基于项目的培训计划的方法中。</w:t>
      </w:r>
      <w:r w:rsidR="006A5570" w:rsidRPr="005B6CF6">
        <w:rPr>
          <w:rFonts w:ascii="SimSun" w:hAnsi="SimSun" w:hint="eastAsia"/>
          <w:sz w:val="21"/>
        </w:rPr>
        <w:t>该司培训计划</w:t>
      </w:r>
      <w:r w:rsidR="00977946" w:rsidRPr="005B6CF6">
        <w:rPr>
          <w:rFonts w:ascii="SimSun" w:hAnsi="SimSun" w:hint="eastAsia"/>
          <w:sz w:val="21"/>
        </w:rPr>
        <w:t>的一个关键实施方式是由参与者制定和实施国家项目，鼓励他们将性别和</w:t>
      </w:r>
      <w:r w:rsidR="006A5570" w:rsidRPr="005B6CF6">
        <w:rPr>
          <w:rFonts w:ascii="SimSun" w:hAnsi="SimSun" w:hint="eastAsia"/>
          <w:sz w:val="21"/>
        </w:rPr>
        <w:t>多样性考虑纳入项目实施的所有阶段中。通过这种方法，与从事性别和知识产权问题</w:t>
      </w:r>
      <w:r w:rsidR="00977946" w:rsidRPr="005B6CF6">
        <w:rPr>
          <w:rFonts w:ascii="SimSun" w:hAnsi="SimSun" w:hint="eastAsia"/>
          <w:sz w:val="21"/>
        </w:rPr>
        <w:t>的机构建立联系，例如在坦桑尼亚和乌干达，特别是在社区一级。</w:t>
      </w:r>
    </w:p>
    <w:p w14:paraId="600F2ED4" w14:textId="30FE4AD0" w:rsidR="00884D54" w:rsidRPr="005B6CF6" w:rsidRDefault="00977946"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最不发达国家司还组织了以促进妇女参与知识产权领域为具体目标的活动，例如2019年6</w:t>
      </w:r>
      <w:r w:rsidR="008007E8" w:rsidRPr="005B6CF6">
        <w:rPr>
          <w:rFonts w:ascii="SimSun" w:hAnsi="SimSun" w:hint="eastAsia"/>
          <w:sz w:val="21"/>
        </w:rPr>
        <w:t>月在坦桑尼亚共和国达累斯萨拉姆组织的</w:t>
      </w:r>
      <w:r w:rsidR="008007E8" w:rsidRPr="005B6CF6">
        <w:rPr>
          <w:rFonts w:ascii="KaiTi" w:eastAsia="KaiTi" w:hAnsi="KaiTi" w:hint="eastAsia"/>
          <w:sz w:val="21"/>
        </w:rPr>
        <w:t>利用知识产权促进女性创业</w:t>
      </w:r>
      <w:r w:rsidRPr="005B6CF6">
        <w:rPr>
          <w:rFonts w:ascii="SimSun" w:hAnsi="SimSun" w:hint="eastAsia"/>
          <w:sz w:val="21"/>
        </w:rPr>
        <w:t>的国家会议。该</w:t>
      </w:r>
      <w:r w:rsidR="008007E8" w:rsidRPr="005B6CF6">
        <w:rPr>
          <w:rFonts w:ascii="SimSun" w:hAnsi="SimSun" w:hint="eastAsia"/>
          <w:sz w:val="21"/>
        </w:rPr>
        <w:t>讲习班</w:t>
      </w:r>
      <w:r w:rsidRPr="005B6CF6">
        <w:rPr>
          <w:rFonts w:ascii="SimSun" w:hAnsi="SimSun" w:hint="eastAsia"/>
          <w:sz w:val="21"/>
        </w:rPr>
        <w:t>为期两天，有34名中小企业女企业家参加，来自水果加工、蜡烛生产、纺织品和葡萄酒生产等领域。会议总结</w:t>
      </w:r>
      <w:r w:rsidR="008007E8" w:rsidRPr="005B6CF6">
        <w:rPr>
          <w:rFonts w:ascii="SimSun" w:hAnsi="SimSun" w:hint="eastAsia"/>
          <w:sz w:val="21"/>
        </w:rPr>
        <w:t>认为</w:t>
      </w:r>
      <w:r w:rsidRPr="005B6CF6">
        <w:rPr>
          <w:rFonts w:ascii="SimSun" w:hAnsi="SimSun" w:hint="eastAsia"/>
          <w:sz w:val="21"/>
        </w:rPr>
        <w:t>有必要开展需求评估工作，以确定坦桑尼亚女企业家在知识产权领域的具体需求和优先事项；并以斯瓦西里语编写了一本关于知识产权注册和使用的知识产权培训手册。这两</w:t>
      </w:r>
      <w:r w:rsidR="008007E8" w:rsidRPr="005B6CF6">
        <w:rPr>
          <w:rFonts w:ascii="SimSun" w:hAnsi="SimSun" w:hint="eastAsia"/>
          <w:sz w:val="21"/>
        </w:rPr>
        <w:t>项举措目前正在实施</w:t>
      </w:r>
      <w:r w:rsidRPr="005B6CF6">
        <w:rPr>
          <w:rFonts w:ascii="SimSun" w:hAnsi="SimSun" w:hint="eastAsia"/>
          <w:sz w:val="21"/>
        </w:rPr>
        <w:t>中。</w:t>
      </w:r>
    </w:p>
    <w:p w14:paraId="47EA1B20" w14:textId="500DFF1E" w:rsidR="00774EBF" w:rsidRPr="005B6CF6" w:rsidRDefault="00977946"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最后，在产权组织的适当技术转</w:t>
      </w:r>
      <w:r w:rsidR="00DA69D5" w:rsidRPr="005B6CF6">
        <w:rPr>
          <w:rFonts w:ascii="SimSun" w:hAnsi="SimSun" w:hint="eastAsia"/>
          <w:sz w:val="21"/>
        </w:rPr>
        <w:t>让计划中也考虑了性别维度。该计划旨在通过利用科技和专利信息，为具体发展需求</w:t>
      </w:r>
      <w:r w:rsidR="00270DDC" w:rsidRPr="005B6CF6">
        <w:rPr>
          <w:rFonts w:ascii="SimSun" w:hAnsi="SimSun" w:hint="eastAsia"/>
          <w:sz w:val="21"/>
        </w:rPr>
        <w:t>查明</w:t>
      </w:r>
      <w:r w:rsidR="00DA69D5" w:rsidRPr="005B6CF6">
        <w:rPr>
          <w:rFonts w:ascii="SimSun" w:hAnsi="SimSun" w:hint="eastAsia"/>
          <w:sz w:val="21"/>
        </w:rPr>
        <w:t>适当的技术。性别平等方法既存在于鼓励以性别平等的方式参与该计划建立的国家机构中，例如国家专家组，也存在于转让技术的应用方面。例如，在尼泊尔，</w:t>
      </w:r>
      <w:r w:rsidR="008007E8">
        <w:rPr>
          <w:rFonts w:ascii="SimSun" w:hAnsi="SimSun" w:hint="eastAsia"/>
          <w:sz w:val="21"/>
          <w:szCs w:val="21"/>
        </w:rPr>
        <w:t>已查明</w:t>
      </w:r>
      <w:r w:rsidR="00DA69D5" w:rsidRPr="00073D03">
        <w:rPr>
          <w:rFonts w:ascii="SimSun" w:hAnsi="SimSun" w:hint="eastAsia"/>
          <w:sz w:val="21"/>
          <w:szCs w:val="21"/>
        </w:rPr>
        <w:t>的生物质压块技术利用农业残留物中的生物质来生产高质量的压块，以替代木材。</w:t>
      </w:r>
      <w:r w:rsidR="008007E8">
        <w:rPr>
          <w:rFonts w:ascii="SimSun" w:hAnsi="SimSun" w:hint="eastAsia"/>
          <w:sz w:val="21"/>
          <w:szCs w:val="21"/>
        </w:rPr>
        <w:t>这种清洁、绿色的替代燃料减少了室内空气污染。这在烹饪时尤其重要，因为烹饪</w:t>
      </w:r>
      <w:r w:rsidR="00DA69D5" w:rsidRPr="00073D03">
        <w:rPr>
          <w:rFonts w:ascii="SimSun" w:hAnsi="SimSun" w:hint="eastAsia"/>
          <w:sz w:val="21"/>
          <w:szCs w:val="21"/>
        </w:rPr>
        <w:t>往往仍然是由妇女</w:t>
      </w:r>
      <w:r w:rsidR="008007E8" w:rsidRPr="00073D03">
        <w:rPr>
          <w:rFonts w:ascii="SimSun" w:hAnsi="SimSun" w:hint="eastAsia"/>
          <w:sz w:val="21"/>
          <w:szCs w:val="21"/>
        </w:rPr>
        <w:t>主要</w:t>
      </w:r>
      <w:r w:rsidR="00E35CC2">
        <w:rPr>
          <w:rFonts w:ascii="SimSun" w:hAnsi="SimSun" w:hint="eastAsia"/>
          <w:sz w:val="21"/>
          <w:szCs w:val="21"/>
        </w:rPr>
        <w:t>进行的活动，这可以改善</w:t>
      </w:r>
      <w:r w:rsidR="00DA69D5" w:rsidRPr="00073D03">
        <w:rPr>
          <w:rFonts w:ascii="SimSun" w:hAnsi="SimSun" w:hint="eastAsia"/>
          <w:sz w:val="21"/>
          <w:szCs w:val="21"/>
        </w:rPr>
        <w:t>健康和福祉</w:t>
      </w:r>
      <w:r w:rsidR="00DA69D5">
        <w:rPr>
          <w:rFonts w:ascii="SimSun" w:hAnsi="SimSun" w:hint="eastAsia"/>
          <w:sz w:val="21"/>
          <w:szCs w:val="21"/>
        </w:rPr>
        <w:t>。</w:t>
      </w:r>
    </w:p>
    <w:p w14:paraId="07A97E61" w14:textId="2ED0F203" w:rsidR="00D54B0F" w:rsidRPr="000F0DF7" w:rsidRDefault="00910AE8" w:rsidP="000F0DF7">
      <w:pPr>
        <w:keepNext/>
        <w:overflowPunct w:val="0"/>
        <w:spacing w:beforeLines="100" w:before="240" w:afterLines="50" w:after="120" w:line="340" w:lineRule="atLeast"/>
        <w:rPr>
          <w:rFonts w:ascii="SimHei" w:eastAsia="SimHei" w:hAnsi="SimHei"/>
          <w:sz w:val="21"/>
        </w:rPr>
      </w:pPr>
      <w:r>
        <w:rPr>
          <w:rFonts w:ascii="SimHei" w:eastAsia="SimHei" w:hAnsi="SimHei" w:hint="eastAsia"/>
          <w:sz w:val="21"/>
        </w:rPr>
        <w:t>二、</w:t>
      </w:r>
      <w:r w:rsidR="00DB2C6C" w:rsidRPr="00910AE8">
        <w:rPr>
          <w:rFonts w:ascii="SimHei" w:eastAsia="SimHei" w:hAnsi="SimHei" w:hint="eastAsia"/>
          <w:sz w:val="21"/>
        </w:rPr>
        <w:t>下一步工作</w:t>
      </w:r>
    </w:p>
    <w:p w14:paraId="5525EB42" w14:textId="7BA394B9" w:rsidR="004640E7" w:rsidRPr="005B6CF6" w:rsidRDefault="00DA69D5" w:rsidP="005B6CF6">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5B6CF6">
        <w:rPr>
          <w:rFonts w:ascii="SimSun" w:hAnsi="SimSun" w:hint="eastAsia"/>
          <w:sz w:val="21"/>
        </w:rPr>
        <w:t>产权组织将继续努力，在知识产权领域实现更大</w:t>
      </w:r>
      <w:r w:rsidR="008007E8" w:rsidRPr="005B6CF6">
        <w:rPr>
          <w:rFonts w:ascii="SimSun" w:hAnsi="SimSun" w:hint="eastAsia"/>
          <w:sz w:val="21"/>
        </w:rPr>
        <w:t>程度</w:t>
      </w:r>
      <w:r w:rsidRPr="005B6CF6">
        <w:rPr>
          <w:rFonts w:ascii="SimSun" w:hAnsi="SimSun" w:hint="eastAsia"/>
          <w:sz w:val="21"/>
        </w:rPr>
        <w:t>的性别平等。为此，正在开展新举措</w:t>
      </w:r>
      <w:r w:rsidR="008007E8" w:rsidRPr="005B6CF6">
        <w:rPr>
          <w:rFonts w:ascii="SimSun" w:hAnsi="SimSun" w:hint="eastAsia"/>
          <w:sz w:val="21"/>
        </w:rPr>
        <w:t>，例</w:t>
      </w:r>
      <w:r w:rsidR="005C71F1">
        <w:rPr>
          <w:rFonts w:ascii="KaiTi" w:eastAsia="KaiTi" w:hAnsi="KaiTi"/>
          <w:sz w:val="21"/>
          <w:szCs w:val="22"/>
        </w:rPr>
        <w:t>‍</w:t>
      </w:r>
      <w:r w:rsidR="008007E8" w:rsidRPr="005B6CF6">
        <w:rPr>
          <w:rFonts w:ascii="SimSun" w:hAnsi="SimSun" w:hint="eastAsia"/>
          <w:sz w:val="21"/>
        </w:rPr>
        <w:t>如</w:t>
      </w:r>
      <w:r w:rsidRPr="005B6CF6">
        <w:rPr>
          <w:rFonts w:ascii="SimSun" w:hAnsi="SimSun" w:hint="eastAsia"/>
          <w:sz w:val="21"/>
        </w:rPr>
        <w:t>：</w:t>
      </w:r>
    </w:p>
    <w:p w14:paraId="0386DCE8" w14:textId="3465F3B1" w:rsidR="002D4888" w:rsidRPr="005B6CF6" w:rsidRDefault="001F3330" w:rsidP="005C71F1">
      <w:pPr>
        <w:pStyle w:val="ListParagraph"/>
        <w:numPr>
          <w:ilvl w:val="0"/>
          <w:numId w:val="12"/>
        </w:numPr>
        <w:overflowPunct w:val="0"/>
        <w:spacing w:afterLines="50" w:after="120" w:line="340" w:lineRule="atLeast"/>
        <w:ind w:left="1134" w:hanging="567"/>
        <w:contextualSpacing w:val="0"/>
        <w:jc w:val="both"/>
        <w:rPr>
          <w:rFonts w:ascii="SimSun" w:hAnsi="SimSun"/>
          <w:sz w:val="21"/>
        </w:rPr>
      </w:pPr>
      <w:r w:rsidRPr="005B6CF6">
        <w:rPr>
          <w:rFonts w:ascii="SimSun" w:hAnsi="SimSun" w:hint="eastAsia"/>
          <w:sz w:val="21"/>
          <w:lang w:val="en-GB"/>
        </w:rPr>
        <w:t>获得技能和知识，建立信心，利用知识产权工具和商业战略，将创新想法进行开发、保护并商业化为创新产品的计划。新的学院短期课程</w:t>
      </w:r>
      <w:r w:rsidRPr="005B6CF6">
        <w:rPr>
          <w:rFonts w:ascii="KaiTi" w:eastAsia="KaiTi" w:hAnsi="KaiTi" w:hint="eastAsia"/>
          <w:sz w:val="21"/>
          <w:lang w:val="en-GB"/>
        </w:rPr>
        <w:t>知识产权和创新计划中的女性领导人：与韩国特许厅以及韩国女发明家协会</w:t>
      </w:r>
      <w:r w:rsidR="00D46144" w:rsidRPr="005B6CF6">
        <w:rPr>
          <w:rFonts w:ascii="KaiTi" w:eastAsia="KaiTi" w:hAnsi="KaiTi" w:hint="eastAsia"/>
          <w:sz w:val="21"/>
          <w:lang w:val="en-GB"/>
        </w:rPr>
        <w:t>合作</w:t>
      </w:r>
      <w:r w:rsidRPr="005B6CF6">
        <w:rPr>
          <w:rFonts w:ascii="KaiTi" w:eastAsia="KaiTi" w:hAnsi="KaiTi" w:hint="eastAsia"/>
          <w:sz w:val="21"/>
          <w:lang w:val="en-GB"/>
        </w:rPr>
        <w:t>的定制培训课程</w:t>
      </w:r>
      <w:r w:rsidRPr="005B6CF6">
        <w:rPr>
          <w:rFonts w:ascii="SimSun" w:hAnsi="SimSun" w:hint="eastAsia"/>
          <w:sz w:val="21"/>
          <w:lang w:val="en-GB"/>
        </w:rPr>
        <w:t>，将具体针对发展中国家的妇女，</w:t>
      </w:r>
      <w:r w:rsidR="00445897" w:rsidRPr="005B6CF6">
        <w:rPr>
          <w:rFonts w:ascii="SimSun" w:hAnsi="SimSun" w:hint="eastAsia"/>
          <w:sz w:val="21"/>
          <w:lang w:val="en-GB"/>
        </w:rPr>
        <w:t>旨在为形成促进参与知识产权和创新的政策条件和社会氛围建立基础能力。</w:t>
      </w:r>
    </w:p>
    <w:p w14:paraId="69A5BDE8" w14:textId="03EA2AC7" w:rsidR="004640E7" w:rsidRPr="005B6CF6" w:rsidRDefault="00445897" w:rsidP="005C71F1">
      <w:pPr>
        <w:pStyle w:val="ListParagraph"/>
        <w:numPr>
          <w:ilvl w:val="0"/>
          <w:numId w:val="12"/>
        </w:numPr>
        <w:overflowPunct w:val="0"/>
        <w:spacing w:afterLines="50" w:after="120" w:line="340" w:lineRule="atLeast"/>
        <w:ind w:left="1134" w:hanging="567"/>
        <w:contextualSpacing w:val="0"/>
        <w:jc w:val="both"/>
        <w:rPr>
          <w:rFonts w:ascii="SimSun" w:hAnsi="SimSun"/>
          <w:sz w:val="21"/>
        </w:rPr>
      </w:pPr>
      <w:r w:rsidRPr="00A817F0">
        <w:rPr>
          <w:rFonts w:ascii="SimSun" w:hAnsi="SimSun" w:hint="eastAsia"/>
          <w:sz w:val="21"/>
          <w:szCs w:val="21"/>
        </w:rPr>
        <w:t>关于女出口商的经验和挑战的培训。</w:t>
      </w:r>
      <w:r w:rsidR="00D46144">
        <w:rPr>
          <w:rFonts w:ascii="SimSun" w:hAnsi="SimSun" w:hint="eastAsia"/>
          <w:sz w:val="21"/>
          <w:szCs w:val="21"/>
        </w:rPr>
        <w:t>将在</w:t>
      </w:r>
      <w:r w:rsidRPr="00D46144">
        <w:rPr>
          <w:rFonts w:ascii="KaiTi" w:eastAsia="KaiTi" w:hAnsi="KaiTi" w:hint="eastAsia"/>
          <w:sz w:val="21"/>
          <w:szCs w:val="21"/>
        </w:rPr>
        <w:t>知识产权</w:t>
      </w:r>
      <w:r w:rsidR="00D46144" w:rsidRPr="00D46144">
        <w:rPr>
          <w:rFonts w:ascii="KaiTi" w:eastAsia="KaiTi" w:hAnsi="KaiTi" w:hint="eastAsia"/>
          <w:sz w:val="21"/>
          <w:szCs w:val="21"/>
        </w:rPr>
        <w:t>与出口</w:t>
      </w:r>
      <w:r w:rsidR="00D46144">
        <w:rPr>
          <w:rFonts w:ascii="SimSun" w:hAnsi="SimSun" w:hint="eastAsia"/>
          <w:sz w:val="21"/>
          <w:szCs w:val="21"/>
        </w:rPr>
        <w:t>行政</w:t>
      </w:r>
      <w:r w:rsidRPr="00A817F0">
        <w:rPr>
          <w:rFonts w:ascii="SimSun" w:hAnsi="SimSun" w:hint="eastAsia"/>
          <w:sz w:val="21"/>
          <w:szCs w:val="21"/>
        </w:rPr>
        <w:t>课程（DL-730）中增加关于这一事项的实质性模块，该课程涉及拉丁美洲和加勒比地区的出口商和出口机构工作人员面临的共同挑战</w:t>
      </w:r>
      <w:r>
        <w:rPr>
          <w:rFonts w:ascii="SimSun" w:hAnsi="SimSun" w:hint="eastAsia"/>
          <w:sz w:val="21"/>
          <w:szCs w:val="21"/>
        </w:rPr>
        <w:t>。</w:t>
      </w:r>
    </w:p>
    <w:p w14:paraId="6619615B" w14:textId="0D8AF1A7" w:rsidR="001236FF" w:rsidRPr="005B6CF6" w:rsidRDefault="00D46144" w:rsidP="005C71F1">
      <w:pPr>
        <w:pStyle w:val="ListParagraph"/>
        <w:numPr>
          <w:ilvl w:val="0"/>
          <w:numId w:val="12"/>
        </w:numPr>
        <w:overflowPunct w:val="0"/>
        <w:spacing w:afterLines="50" w:after="120" w:line="340" w:lineRule="atLeast"/>
        <w:ind w:left="1134" w:hanging="567"/>
        <w:contextualSpacing w:val="0"/>
        <w:jc w:val="both"/>
        <w:rPr>
          <w:rFonts w:ascii="SimSun" w:hAnsi="SimSun"/>
          <w:sz w:val="21"/>
        </w:rPr>
      </w:pPr>
      <w:r>
        <w:rPr>
          <w:rFonts w:ascii="SimSun" w:hAnsi="SimSun" w:hint="eastAsia"/>
          <w:sz w:val="21"/>
          <w:szCs w:val="21"/>
        </w:rPr>
        <w:t>目前正在制定</w:t>
      </w:r>
      <w:r w:rsidR="00E35CC2">
        <w:rPr>
          <w:rFonts w:ascii="KaiTi" w:eastAsia="KaiTi" w:hAnsi="KaiTi" w:hint="eastAsia"/>
          <w:sz w:val="21"/>
          <w:szCs w:val="21"/>
        </w:rPr>
        <w:t>关于</w:t>
      </w:r>
      <w:r w:rsidRPr="00D46144">
        <w:rPr>
          <w:rFonts w:ascii="KaiTi" w:eastAsia="KaiTi" w:hAnsi="KaiTi" w:hint="eastAsia"/>
          <w:sz w:val="21"/>
          <w:szCs w:val="21"/>
        </w:rPr>
        <w:t>运用知识产权制度为妇女在S</w:t>
      </w:r>
      <w:r w:rsidRPr="00D46144">
        <w:rPr>
          <w:rFonts w:ascii="KaiTi" w:eastAsia="KaiTi" w:hAnsi="KaiTi"/>
          <w:sz w:val="21"/>
          <w:szCs w:val="21"/>
        </w:rPr>
        <w:t>TEM</w:t>
      </w:r>
      <w:r w:rsidR="004640E7" w:rsidRPr="005B6CF6">
        <w:rPr>
          <w:rStyle w:val="FootnoteReference"/>
          <w:rFonts w:ascii="KaiTi" w:eastAsia="KaiTi" w:hAnsi="KaiTi"/>
          <w:i/>
          <w:sz w:val="21"/>
        </w:rPr>
        <w:footnoteReference w:id="6"/>
      </w:r>
      <w:r w:rsidRPr="00D46144">
        <w:rPr>
          <w:rFonts w:ascii="KaiTi" w:eastAsia="KaiTi" w:hAnsi="KaiTi" w:hint="eastAsia"/>
          <w:sz w:val="21"/>
          <w:szCs w:val="21"/>
        </w:rPr>
        <w:t>职业中赋能</w:t>
      </w:r>
      <w:r w:rsidRPr="00A817F0">
        <w:rPr>
          <w:rFonts w:ascii="SimSun" w:hAnsi="SimSun" w:hint="eastAsia"/>
          <w:sz w:val="21"/>
          <w:szCs w:val="21"/>
        </w:rPr>
        <w:t>的培训计划，以及</w:t>
      </w:r>
      <w:r w:rsidRPr="00D46144">
        <w:rPr>
          <w:rFonts w:ascii="KaiTi" w:eastAsia="KaiTi" w:hAnsi="KaiTi" w:hint="eastAsia"/>
          <w:sz w:val="21"/>
          <w:szCs w:val="21"/>
        </w:rPr>
        <w:t>为选定的拉丁美洲国家的知识产权局工作人员提供关于性别观点的国家在线培训</w:t>
      </w:r>
      <w:r>
        <w:rPr>
          <w:rFonts w:ascii="SimSun" w:hAnsi="SimSun" w:hint="eastAsia"/>
          <w:sz w:val="21"/>
          <w:szCs w:val="21"/>
        </w:rPr>
        <w:t>。</w:t>
      </w:r>
    </w:p>
    <w:p w14:paraId="2D27C6AA" w14:textId="094A8EA0" w:rsidR="006B3610" w:rsidRPr="005B6CF6" w:rsidRDefault="00445897" w:rsidP="005C71F1">
      <w:pPr>
        <w:pStyle w:val="ListParagraph"/>
        <w:numPr>
          <w:ilvl w:val="0"/>
          <w:numId w:val="12"/>
        </w:numPr>
        <w:overflowPunct w:val="0"/>
        <w:spacing w:afterLines="50" w:after="120" w:line="340" w:lineRule="atLeast"/>
        <w:ind w:left="1134" w:hanging="567"/>
        <w:contextualSpacing w:val="0"/>
        <w:jc w:val="both"/>
        <w:rPr>
          <w:rFonts w:ascii="SimSun" w:hAnsi="SimSun"/>
          <w:sz w:val="21"/>
        </w:rPr>
      </w:pPr>
      <w:r w:rsidRPr="005B6CF6">
        <w:rPr>
          <w:rFonts w:ascii="SimSun" w:hAnsi="SimSun" w:hint="eastAsia"/>
          <w:sz w:val="21"/>
        </w:rPr>
        <w:t>鉴于2019年启动的</w:t>
      </w:r>
      <w:r w:rsidR="00134C11" w:rsidRPr="005B6CF6">
        <w:rPr>
          <w:rFonts w:ascii="KaiTi" w:eastAsia="KaiTi" w:hAnsi="KaiTi" w:hint="eastAsia"/>
          <w:sz w:val="21"/>
        </w:rPr>
        <w:t>产权组织</w:t>
      </w:r>
      <w:r w:rsidRPr="005B6CF6">
        <w:rPr>
          <w:rFonts w:ascii="KaiTi" w:eastAsia="KaiTi" w:hAnsi="KaiTi" w:hint="eastAsia"/>
          <w:sz w:val="21"/>
        </w:rPr>
        <w:t>土著女企业家培训、指导和配对计划</w:t>
      </w:r>
      <w:r w:rsidRPr="005B6CF6">
        <w:rPr>
          <w:rFonts w:ascii="SimSun" w:hAnsi="SimSun" w:hint="eastAsia"/>
          <w:sz w:val="21"/>
        </w:rPr>
        <w:t>的成功和</w:t>
      </w:r>
      <w:r w:rsidR="005F6370" w:rsidRPr="005B6CF6">
        <w:rPr>
          <w:rFonts w:ascii="SimSun" w:hAnsi="SimSun" w:hint="eastAsia"/>
          <w:sz w:val="21"/>
        </w:rPr>
        <w:t>土著女企业家的</w:t>
      </w:r>
      <w:r w:rsidRPr="005B6CF6">
        <w:rPr>
          <w:rFonts w:ascii="SimSun" w:hAnsi="SimSun" w:hint="eastAsia"/>
          <w:sz w:val="21"/>
        </w:rPr>
        <w:t>高度兴趣，计划在2021-2022年推出新一期计划。</w:t>
      </w:r>
    </w:p>
    <w:p w14:paraId="19DC01F0" w14:textId="60D24C0A" w:rsidR="00EC615F" w:rsidRPr="005B6CF6" w:rsidRDefault="00134C11" w:rsidP="005C71F1">
      <w:pPr>
        <w:pStyle w:val="ListParagraph"/>
        <w:numPr>
          <w:ilvl w:val="0"/>
          <w:numId w:val="12"/>
        </w:numPr>
        <w:overflowPunct w:val="0"/>
        <w:spacing w:afterLines="50" w:after="120" w:line="340" w:lineRule="atLeast"/>
        <w:ind w:left="1134" w:hanging="567"/>
        <w:contextualSpacing w:val="0"/>
        <w:jc w:val="both"/>
        <w:rPr>
          <w:rFonts w:ascii="SimSun" w:hAnsi="SimSun"/>
          <w:sz w:val="21"/>
          <w:szCs w:val="22"/>
        </w:rPr>
      </w:pPr>
      <w:r w:rsidRPr="00BE7EC7">
        <w:rPr>
          <w:rFonts w:ascii="SimSun" w:hAnsi="SimSun" w:hint="eastAsia"/>
          <w:sz w:val="21"/>
          <w:szCs w:val="21"/>
        </w:rPr>
        <w:lastRenderedPageBreak/>
        <w:t>2021年3月和4月，</w:t>
      </w:r>
      <w:r w:rsidR="00E35CC2" w:rsidRPr="00BE7EC7">
        <w:rPr>
          <w:rFonts w:ascii="SimSun" w:hAnsi="SimSun" w:hint="eastAsia"/>
          <w:sz w:val="21"/>
          <w:szCs w:val="21"/>
        </w:rPr>
        <w:t>系列</w:t>
      </w:r>
      <w:r w:rsidRPr="00BE7EC7">
        <w:rPr>
          <w:rFonts w:ascii="SimSun" w:hAnsi="SimSun" w:hint="eastAsia"/>
          <w:sz w:val="21"/>
          <w:szCs w:val="21"/>
        </w:rPr>
        <w:t>网络研讨会</w:t>
      </w:r>
      <w:r>
        <w:rPr>
          <w:rFonts w:ascii="SimSun" w:hAnsi="SimSun" w:hint="eastAsia"/>
          <w:sz w:val="21"/>
          <w:szCs w:val="21"/>
        </w:rPr>
        <w:t>“设计性别平等计划：</w:t>
      </w:r>
      <w:r w:rsidRPr="00BE7EC7">
        <w:rPr>
          <w:rFonts w:ascii="SimSun" w:hAnsi="SimSun" w:hint="eastAsia"/>
          <w:sz w:val="21"/>
          <w:szCs w:val="21"/>
        </w:rPr>
        <w:t>拉丁美洲知识产权</w:t>
      </w:r>
      <w:r w:rsidR="006F4F68">
        <w:rPr>
          <w:rFonts w:ascii="SimSun" w:hAnsi="SimSun" w:hint="eastAsia"/>
          <w:sz w:val="21"/>
          <w:szCs w:val="21"/>
        </w:rPr>
        <w:t>局</w:t>
      </w:r>
      <w:r w:rsidRPr="00BE7EC7">
        <w:rPr>
          <w:rFonts w:ascii="SimSun" w:hAnsi="SimSun" w:hint="eastAsia"/>
          <w:sz w:val="21"/>
          <w:szCs w:val="21"/>
        </w:rPr>
        <w:t>和/或版权</w:t>
      </w:r>
      <w:r w:rsidRPr="00E35CC2">
        <w:rPr>
          <w:rFonts w:ascii="SimSun" w:hAnsi="SimSun" w:hint="eastAsia"/>
          <w:sz w:val="21"/>
          <w:szCs w:val="21"/>
        </w:rPr>
        <w:t>局/</w:t>
      </w:r>
      <w:r w:rsidR="00E35CC2">
        <w:rPr>
          <w:rFonts w:ascii="SimSun" w:hAnsi="SimSun" w:hint="eastAsia"/>
          <w:sz w:val="21"/>
          <w:szCs w:val="21"/>
        </w:rPr>
        <w:t>署</w:t>
      </w:r>
      <w:r w:rsidRPr="00BE7EC7">
        <w:rPr>
          <w:rFonts w:ascii="SimSun" w:hAnsi="SimSun" w:hint="eastAsia"/>
          <w:sz w:val="21"/>
          <w:szCs w:val="21"/>
        </w:rPr>
        <w:t>的工具</w:t>
      </w:r>
      <w:r>
        <w:rPr>
          <w:rFonts w:ascii="SimSun" w:hAnsi="SimSun" w:hint="eastAsia"/>
          <w:sz w:val="21"/>
          <w:szCs w:val="21"/>
        </w:rPr>
        <w:t>”</w:t>
      </w:r>
      <w:r w:rsidRPr="00BE7EC7">
        <w:rPr>
          <w:rFonts w:ascii="SimSun" w:hAnsi="SimSun" w:hint="eastAsia"/>
          <w:sz w:val="21"/>
          <w:szCs w:val="21"/>
        </w:rPr>
        <w:t>，针对拉丁美洲和加勒比国家的15个知识产权局，提供与性别平等和包容、对性别问题有敏感认识的政策周期以及使知识产权服务更加注重性别问题的工具和技术有关的知识。鉴</w:t>
      </w:r>
      <w:r w:rsidR="006F4F68">
        <w:rPr>
          <w:rFonts w:ascii="SimSun" w:hAnsi="SimSun" w:hint="eastAsia"/>
          <w:sz w:val="21"/>
          <w:szCs w:val="21"/>
        </w:rPr>
        <w:t>于对这项活动的高度</w:t>
      </w:r>
      <w:r w:rsidRPr="00BE7EC7">
        <w:rPr>
          <w:rFonts w:ascii="SimSun" w:hAnsi="SimSun" w:hint="eastAsia"/>
          <w:sz w:val="21"/>
          <w:szCs w:val="21"/>
        </w:rPr>
        <w:t>参与和兴趣，秘书处目前正在筹备一个新的</w:t>
      </w:r>
      <w:r>
        <w:rPr>
          <w:rFonts w:ascii="SimSun" w:hAnsi="SimSun" w:hint="eastAsia"/>
          <w:sz w:val="21"/>
          <w:szCs w:val="21"/>
        </w:rPr>
        <w:t>“</w:t>
      </w:r>
      <w:r w:rsidRPr="00BE7EC7">
        <w:rPr>
          <w:rFonts w:ascii="SimSun" w:hAnsi="SimSun" w:hint="eastAsia"/>
          <w:sz w:val="21"/>
          <w:szCs w:val="21"/>
        </w:rPr>
        <w:t>高级</w:t>
      </w:r>
      <w:r>
        <w:rPr>
          <w:rFonts w:ascii="SimSun" w:hAnsi="SimSun" w:hint="eastAsia"/>
          <w:sz w:val="21"/>
          <w:szCs w:val="21"/>
        </w:rPr>
        <w:t>”</w:t>
      </w:r>
      <w:r w:rsidR="00E35CC2" w:rsidRPr="00BE7EC7">
        <w:rPr>
          <w:rFonts w:ascii="SimSun" w:hAnsi="SimSun" w:hint="eastAsia"/>
          <w:sz w:val="21"/>
          <w:szCs w:val="21"/>
        </w:rPr>
        <w:t>系列</w:t>
      </w:r>
      <w:r w:rsidRPr="00BE7EC7">
        <w:rPr>
          <w:rFonts w:ascii="SimSun" w:hAnsi="SimSun" w:hint="eastAsia"/>
          <w:sz w:val="21"/>
          <w:szCs w:val="21"/>
        </w:rPr>
        <w:t>网络研讨会，以便在第一次研讨会的基础上，加强该地区知识产权局促进性别平等的举措</w:t>
      </w:r>
      <w:r>
        <w:rPr>
          <w:rFonts w:ascii="SimSun" w:hAnsi="SimSun" w:hint="eastAsia"/>
          <w:sz w:val="21"/>
          <w:szCs w:val="21"/>
        </w:rPr>
        <w:t>。</w:t>
      </w:r>
    </w:p>
    <w:p w14:paraId="2911ADAF" w14:textId="13055A85" w:rsidR="00A15A5E" w:rsidRPr="005C71F1" w:rsidRDefault="002D1992" w:rsidP="005C71F1">
      <w:pPr>
        <w:pStyle w:val="ListParagraph"/>
        <w:numPr>
          <w:ilvl w:val="0"/>
          <w:numId w:val="7"/>
        </w:numPr>
        <w:overflowPunct w:val="0"/>
        <w:spacing w:afterLines="50" w:after="120" w:line="340" w:lineRule="atLeast"/>
        <w:ind w:left="5534" w:firstLine="0"/>
        <w:contextualSpacing w:val="0"/>
        <w:jc w:val="both"/>
        <w:rPr>
          <w:rFonts w:ascii="KaiTi" w:eastAsia="KaiTi" w:hAnsi="KaiTi"/>
          <w:i/>
          <w:sz w:val="21"/>
          <w:szCs w:val="22"/>
        </w:rPr>
      </w:pPr>
      <w:r w:rsidRPr="005C71F1">
        <w:rPr>
          <w:rFonts w:ascii="KaiTi" w:eastAsia="KaiTi" w:hAnsi="KaiTi" w:hint="eastAsia"/>
          <w:sz w:val="21"/>
          <w:szCs w:val="22"/>
        </w:rPr>
        <w:t>请委员会注意本文件中所载的信</w:t>
      </w:r>
      <w:r w:rsidR="005C71F1">
        <w:rPr>
          <w:rFonts w:ascii="KaiTi" w:eastAsia="KaiTi" w:hAnsi="KaiTi"/>
          <w:sz w:val="21"/>
          <w:szCs w:val="22"/>
        </w:rPr>
        <w:t>‍</w:t>
      </w:r>
      <w:r w:rsidRPr="005C71F1">
        <w:rPr>
          <w:rFonts w:ascii="KaiTi" w:eastAsia="KaiTi" w:hAnsi="KaiTi" w:hint="eastAsia"/>
          <w:sz w:val="21"/>
          <w:szCs w:val="22"/>
        </w:rPr>
        <w:t>息。</w:t>
      </w:r>
    </w:p>
    <w:p w14:paraId="3B11520C" w14:textId="38D52180" w:rsidR="00A15A5E" w:rsidRPr="005C71F1" w:rsidRDefault="00CA0660" w:rsidP="005C71F1">
      <w:pPr>
        <w:pStyle w:val="ListParagraph"/>
        <w:overflowPunct w:val="0"/>
        <w:spacing w:before="720" w:afterLines="50" w:after="120" w:line="340" w:lineRule="atLeast"/>
        <w:ind w:left="5534"/>
        <w:contextualSpacing w:val="0"/>
        <w:rPr>
          <w:rFonts w:ascii="KaiTi" w:eastAsia="KaiTi" w:hAnsi="KaiTi"/>
          <w:sz w:val="21"/>
          <w:szCs w:val="22"/>
        </w:rPr>
      </w:pPr>
      <w:r w:rsidRPr="005C71F1">
        <w:rPr>
          <w:rFonts w:ascii="KaiTi" w:eastAsia="KaiTi" w:hAnsi="KaiTi"/>
          <w:sz w:val="21"/>
          <w:szCs w:val="22"/>
        </w:rPr>
        <w:t>[</w:t>
      </w:r>
      <w:r w:rsidR="002D1992" w:rsidRPr="005C71F1">
        <w:rPr>
          <w:rFonts w:ascii="KaiTi" w:eastAsia="KaiTi" w:hAnsi="KaiTi" w:hint="eastAsia"/>
          <w:sz w:val="21"/>
          <w:szCs w:val="22"/>
        </w:rPr>
        <w:t>文件完</w:t>
      </w:r>
      <w:r w:rsidR="00A15A5E" w:rsidRPr="005C71F1">
        <w:rPr>
          <w:rFonts w:ascii="KaiTi" w:eastAsia="KaiTi" w:hAnsi="KaiTi"/>
          <w:sz w:val="21"/>
          <w:szCs w:val="22"/>
        </w:rPr>
        <w:t>]</w:t>
      </w:r>
    </w:p>
    <w:sectPr w:rsidR="00A15A5E" w:rsidRPr="005C71F1" w:rsidSect="00C47FEF">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581F" w14:textId="77777777" w:rsidR="00977946" w:rsidRDefault="00977946">
      <w:r>
        <w:separator/>
      </w:r>
    </w:p>
  </w:endnote>
  <w:endnote w:type="continuationSeparator" w:id="0">
    <w:p w14:paraId="3BB00BFC" w14:textId="77777777" w:rsidR="00977946" w:rsidRDefault="00977946" w:rsidP="003B38C1">
      <w:r>
        <w:separator/>
      </w:r>
    </w:p>
    <w:p w14:paraId="6BC88827" w14:textId="77777777" w:rsidR="00977946" w:rsidRPr="003B38C1" w:rsidRDefault="00977946" w:rsidP="003B38C1">
      <w:pPr>
        <w:spacing w:after="60"/>
        <w:rPr>
          <w:sz w:val="17"/>
        </w:rPr>
      </w:pPr>
      <w:r>
        <w:rPr>
          <w:sz w:val="17"/>
        </w:rPr>
        <w:t>[Endnote continued from previous page]</w:t>
      </w:r>
    </w:p>
  </w:endnote>
  <w:endnote w:type="continuationNotice" w:id="1">
    <w:p w14:paraId="6065BF20" w14:textId="77777777" w:rsidR="00977946" w:rsidRPr="003B38C1" w:rsidRDefault="009779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6D5FC" w14:textId="77777777" w:rsidR="00977946" w:rsidRDefault="00977946">
      <w:r>
        <w:separator/>
      </w:r>
    </w:p>
  </w:footnote>
  <w:footnote w:type="continuationSeparator" w:id="0">
    <w:p w14:paraId="74CD61AE" w14:textId="77777777" w:rsidR="00977946" w:rsidRDefault="00977946" w:rsidP="008B60B2">
      <w:r>
        <w:separator/>
      </w:r>
    </w:p>
    <w:p w14:paraId="0629428E" w14:textId="77777777" w:rsidR="00977946" w:rsidRPr="00ED77FB" w:rsidRDefault="00977946" w:rsidP="008B60B2">
      <w:pPr>
        <w:spacing w:after="60"/>
        <w:rPr>
          <w:sz w:val="17"/>
          <w:szCs w:val="17"/>
        </w:rPr>
      </w:pPr>
      <w:r w:rsidRPr="00ED77FB">
        <w:rPr>
          <w:sz w:val="17"/>
          <w:szCs w:val="17"/>
        </w:rPr>
        <w:t>[Footnote continued from previous page]</w:t>
      </w:r>
    </w:p>
  </w:footnote>
  <w:footnote w:type="continuationNotice" w:id="1">
    <w:p w14:paraId="0CDC2C13" w14:textId="77777777" w:rsidR="00977946" w:rsidRPr="00ED77FB" w:rsidRDefault="00977946" w:rsidP="008B60B2">
      <w:pPr>
        <w:spacing w:before="60"/>
        <w:jc w:val="right"/>
        <w:rPr>
          <w:sz w:val="17"/>
          <w:szCs w:val="17"/>
        </w:rPr>
      </w:pPr>
      <w:r w:rsidRPr="00ED77FB">
        <w:rPr>
          <w:sz w:val="17"/>
          <w:szCs w:val="17"/>
        </w:rPr>
        <w:t>[Footnote continued on next page]</w:t>
      </w:r>
    </w:p>
  </w:footnote>
  <w:footnote w:id="2">
    <w:p w14:paraId="59DE655B" w14:textId="2DC5F9AE" w:rsidR="00977946" w:rsidRPr="005B6CF6" w:rsidRDefault="00977946" w:rsidP="005C71F1">
      <w:pPr>
        <w:pStyle w:val="FootnoteText"/>
        <w:jc w:val="both"/>
        <w:rPr>
          <w:rFonts w:ascii="SimSun" w:hAnsi="SimSun"/>
          <w:sz w:val="16"/>
          <w:szCs w:val="16"/>
        </w:rPr>
      </w:pPr>
      <w:r w:rsidRPr="005B6CF6">
        <w:rPr>
          <w:rStyle w:val="FootnoteReference"/>
          <w:rFonts w:ascii="SimSun" w:hAnsi="SimSun"/>
        </w:rPr>
        <w:footnoteRef/>
      </w:r>
      <w:r w:rsidRPr="005B6CF6">
        <w:rPr>
          <w:rFonts w:ascii="SimSun" w:hAnsi="SimSun"/>
        </w:rPr>
        <w:t xml:space="preserve"> </w:t>
      </w:r>
      <w:r w:rsidRPr="005B6CF6">
        <w:rPr>
          <w:rFonts w:ascii="SimSun" w:hAnsi="SimSun"/>
        </w:rPr>
        <w:tab/>
      </w:r>
      <w:r w:rsidR="00486CD7" w:rsidRPr="005B6CF6">
        <w:rPr>
          <w:rFonts w:ascii="SimSun" w:hAnsi="SimSun"/>
          <w:sz w:val="16"/>
          <w:szCs w:val="16"/>
        </w:rPr>
        <w:t>UN-SWAP</w:t>
      </w:r>
      <w:r w:rsidR="00486CD7" w:rsidRPr="005B6CF6">
        <w:rPr>
          <w:rFonts w:ascii="SimSun" w:hAnsi="SimSun" w:hint="eastAsia"/>
          <w:sz w:val="16"/>
          <w:szCs w:val="16"/>
        </w:rPr>
        <w:t>将2006年行政首长协调理事会通过的联合国全系统性别平等和增强妇女权能</w:t>
      </w:r>
      <w:r w:rsidR="007B26F1" w:rsidRPr="005B6CF6">
        <w:rPr>
          <w:rFonts w:ascii="SimSun" w:hAnsi="SimSun" w:hint="eastAsia"/>
          <w:sz w:val="16"/>
          <w:szCs w:val="16"/>
        </w:rPr>
        <w:t>政策</w:t>
      </w:r>
      <w:r w:rsidR="00486CD7" w:rsidRPr="005B6CF6">
        <w:rPr>
          <w:rFonts w:ascii="SimSun" w:hAnsi="SimSun" w:hint="eastAsia"/>
          <w:sz w:val="16"/>
          <w:szCs w:val="16"/>
        </w:rPr>
        <w:t>付诸实施。</w:t>
      </w:r>
    </w:p>
  </w:footnote>
  <w:footnote w:id="3">
    <w:p w14:paraId="460068A8" w14:textId="706F1F23" w:rsidR="00977946" w:rsidRPr="005B6CF6" w:rsidRDefault="00977946" w:rsidP="005C71F1">
      <w:pPr>
        <w:pStyle w:val="FootnoteText"/>
        <w:jc w:val="both"/>
        <w:rPr>
          <w:rFonts w:ascii="SimSun" w:hAnsi="SimSun"/>
        </w:rPr>
      </w:pPr>
      <w:r w:rsidRPr="005B6CF6">
        <w:rPr>
          <w:rStyle w:val="FootnoteReference"/>
          <w:rFonts w:ascii="SimSun" w:hAnsi="SimSun"/>
        </w:rPr>
        <w:footnoteRef/>
      </w:r>
      <w:r w:rsidR="002541C0" w:rsidRPr="005B6CF6">
        <w:rPr>
          <w:rFonts w:ascii="SimSun" w:hAnsi="SimSun"/>
        </w:rPr>
        <w:t xml:space="preserve"> </w:t>
      </w:r>
      <w:r w:rsidR="005C71F1">
        <w:rPr>
          <w:rFonts w:ascii="SimSun" w:hAnsi="SimSun"/>
        </w:rPr>
        <w:tab/>
      </w:r>
      <w:r w:rsidR="003321F8" w:rsidRPr="005B6CF6">
        <w:rPr>
          <w:rFonts w:ascii="SimSun" w:hAnsi="SimSun" w:hint="eastAsia"/>
        </w:rPr>
        <w:t>教科文组织和欧莱雅基金会于1988年设立了</w:t>
      </w:r>
      <w:r w:rsidR="00740B52" w:rsidRPr="00541A1A">
        <w:rPr>
          <w:rFonts w:ascii="KaiTi" w:eastAsia="KaiTi" w:hAnsi="KaiTi" w:hint="eastAsia"/>
        </w:rPr>
        <w:t>女性参与科学项目</w:t>
      </w:r>
      <w:r w:rsidR="003321F8" w:rsidRPr="005B6CF6">
        <w:rPr>
          <w:rFonts w:ascii="SimSun" w:hAnsi="SimSun" w:hint="eastAsia"/>
        </w:rPr>
        <w:t>。它的目的是表彰在科学领域从事有前</w:t>
      </w:r>
      <w:r w:rsidR="002541C0" w:rsidRPr="005B6CF6">
        <w:rPr>
          <w:rFonts w:ascii="SimSun" w:hAnsi="SimSun" w:hint="eastAsia"/>
        </w:rPr>
        <w:t>景的研究的杰出女科学家，以克服当今的全球挑战。该项目</w:t>
      </w:r>
      <w:r w:rsidR="003321F8" w:rsidRPr="005B6CF6">
        <w:rPr>
          <w:rFonts w:ascii="SimSun" w:hAnsi="SimSun" w:hint="eastAsia"/>
        </w:rPr>
        <w:t>已经表彰了100多位获奖者，包括多位诺贝尔奖得主</w:t>
      </w:r>
    </w:p>
  </w:footnote>
  <w:footnote w:id="4">
    <w:p w14:paraId="77995133" w14:textId="720A6272" w:rsidR="00977946" w:rsidRPr="005B6CF6" w:rsidRDefault="00977946" w:rsidP="005C71F1">
      <w:pPr>
        <w:pStyle w:val="FootnoteText"/>
        <w:jc w:val="both"/>
        <w:rPr>
          <w:rFonts w:ascii="SimSun" w:hAnsi="SimSun"/>
        </w:rPr>
      </w:pPr>
      <w:r w:rsidRPr="005B6CF6">
        <w:rPr>
          <w:rStyle w:val="FootnoteReference"/>
          <w:rFonts w:ascii="SimSun" w:hAnsi="SimSun"/>
        </w:rPr>
        <w:footnoteRef/>
      </w:r>
      <w:r w:rsidR="00697BEE" w:rsidRPr="005B6CF6">
        <w:rPr>
          <w:rFonts w:ascii="SimSun" w:hAnsi="SimSun"/>
        </w:rPr>
        <w:t xml:space="preserve"> </w:t>
      </w:r>
      <w:r w:rsidR="005C71F1">
        <w:rPr>
          <w:rFonts w:ascii="SimSun" w:hAnsi="SimSun"/>
        </w:rPr>
        <w:tab/>
      </w:r>
      <w:r w:rsidR="009B58B5" w:rsidRPr="005B6CF6">
        <w:rPr>
          <w:rFonts w:ascii="SimSun" w:hAnsi="SimSun" w:hint="eastAsia"/>
        </w:rPr>
        <w:t>机构间任务小组。</w:t>
      </w:r>
    </w:p>
  </w:footnote>
  <w:footnote w:id="5">
    <w:p w14:paraId="5462E3B9" w14:textId="136F9C70" w:rsidR="00977946" w:rsidRPr="005B6CF6" w:rsidRDefault="00977946" w:rsidP="005C71F1">
      <w:pPr>
        <w:pStyle w:val="FootnoteText"/>
        <w:jc w:val="both"/>
        <w:rPr>
          <w:rFonts w:ascii="SimSun" w:hAnsi="SimSun"/>
        </w:rPr>
      </w:pPr>
      <w:r w:rsidRPr="005B6CF6">
        <w:rPr>
          <w:rStyle w:val="FootnoteReference"/>
          <w:rFonts w:ascii="SimSun" w:hAnsi="SimSun"/>
        </w:rPr>
        <w:footnoteRef/>
      </w:r>
      <w:r w:rsidR="009B58B5" w:rsidRPr="005B6CF6">
        <w:rPr>
          <w:rFonts w:ascii="SimSun" w:hAnsi="SimSun"/>
        </w:rPr>
        <w:t xml:space="preserve"> </w:t>
      </w:r>
      <w:r w:rsidR="005C71F1">
        <w:rPr>
          <w:rFonts w:ascii="SimSun" w:hAnsi="SimSun"/>
        </w:rPr>
        <w:tab/>
      </w:r>
      <w:r w:rsidR="003321F8" w:rsidRPr="005B6CF6">
        <w:rPr>
          <w:rFonts w:ascii="SimSun" w:hAnsi="SimSun" w:hint="eastAsia"/>
        </w:rPr>
        <w:t>科学、技术和创新。</w:t>
      </w:r>
    </w:p>
  </w:footnote>
  <w:footnote w:id="6">
    <w:p w14:paraId="6A21AB9B" w14:textId="3BD13341" w:rsidR="00977946" w:rsidRPr="005B6CF6" w:rsidRDefault="00977946" w:rsidP="005C71F1">
      <w:pPr>
        <w:pStyle w:val="FootnoteText"/>
        <w:jc w:val="both"/>
        <w:rPr>
          <w:rFonts w:ascii="SimSun" w:hAnsi="SimSun"/>
        </w:rPr>
      </w:pPr>
      <w:r w:rsidRPr="005B6CF6">
        <w:rPr>
          <w:rStyle w:val="FootnoteReference"/>
          <w:rFonts w:ascii="SimSun" w:hAnsi="SimSun"/>
        </w:rPr>
        <w:footnoteRef/>
      </w:r>
      <w:r w:rsidRPr="005B6CF6">
        <w:rPr>
          <w:rFonts w:ascii="SimSun" w:hAnsi="SimSun"/>
        </w:rPr>
        <w:t xml:space="preserve"> </w:t>
      </w:r>
      <w:r w:rsidR="005C71F1">
        <w:rPr>
          <w:rFonts w:ascii="SimSun" w:hAnsi="SimSun"/>
        </w:rPr>
        <w:tab/>
      </w:r>
      <w:r w:rsidR="00FE2037" w:rsidRPr="005B6CF6">
        <w:rPr>
          <w:rFonts w:ascii="SimSun" w:hAnsi="SimSun" w:hint="eastAsia"/>
        </w:rPr>
        <w:t>科学、技术、工程和数学。</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AAE4" w14:textId="225494DB" w:rsidR="00977946" w:rsidRPr="005B6CF6" w:rsidRDefault="00977946" w:rsidP="00477D6B">
    <w:pPr>
      <w:jc w:val="right"/>
      <w:rPr>
        <w:rFonts w:ascii="SimSun" w:hAnsi="SimSun"/>
        <w:caps/>
        <w:sz w:val="21"/>
      </w:rPr>
    </w:pPr>
    <w:bookmarkStart w:id="6" w:name="Code2"/>
    <w:r w:rsidRPr="005B6CF6">
      <w:rPr>
        <w:rFonts w:ascii="SimSun" w:hAnsi="SimSun"/>
        <w:caps/>
        <w:sz w:val="21"/>
      </w:rPr>
      <w:t>CDIP/26/8</w:t>
    </w:r>
  </w:p>
  <w:bookmarkEnd w:id="6"/>
  <w:p w14:paraId="0B5CDFEC" w14:textId="1C47A60F" w:rsidR="00977946" w:rsidRPr="005B6CF6" w:rsidRDefault="006F4F68" w:rsidP="005B6CF6">
    <w:pPr>
      <w:spacing w:afterLines="100" w:after="240"/>
      <w:jc w:val="right"/>
      <w:rPr>
        <w:rFonts w:ascii="SimSun" w:hAnsi="SimSun"/>
        <w:sz w:val="21"/>
      </w:rPr>
    </w:pPr>
    <w:r w:rsidRPr="005B6CF6">
      <w:rPr>
        <w:rFonts w:ascii="SimSun" w:hAnsi="SimSun" w:hint="eastAsia"/>
        <w:sz w:val="21"/>
      </w:rPr>
      <w:t>第</w:t>
    </w:r>
    <w:r w:rsidR="00977946" w:rsidRPr="005B6CF6">
      <w:rPr>
        <w:rFonts w:ascii="SimSun" w:hAnsi="SimSun"/>
        <w:sz w:val="21"/>
      </w:rPr>
      <w:fldChar w:fldCharType="begin"/>
    </w:r>
    <w:r w:rsidR="00977946" w:rsidRPr="005B6CF6">
      <w:rPr>
        <w:rFonts w:ascii="SimSun" w:hAnsi="SimSun"/>
        <w:sz w:val="21"/>
      </w:rPr>
      <w:instrText xml:space="preserve"> PAGE  \* MERGEFORMAT </w:instrText>
    </w:r>
    <w:r w:rsidR="00977946" w:rsidRPr="005B6CF6">
      <w:rPr>
        <w:rFonts w:ascii="SimSun" w:hAnsi="SimSun"/>
        <w:sz w:val="21"/>
      </w:rPr>
      <w:fldChar w:fldCharType="separate"/>
    </w:r>
    <w:r w:rsidR="00894D97">
      <w:rPr>
        <w:rFonts w:ascii="SimSun" w:hAnsi="SimSun"/>
        <w:noProof/>
        <w:sz w:val="21"/>
      </w:rPr>
      <w:t>8</w:t>
    </w:r>
    <w:r w:rsidR="00977946" w:rsidRPr="005B6CF6">
      <w:rPr>
        <w:rFonts w:ascii="SimSun" w:hAnsi="SimSun"/>
        <w:sz w:val="21"/>
      </w:rPr>
      <w:fldChar w:fldCharType="end"/>
    </w:r>
    <w:r w:rsidRPr="005B6CF6">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5pt;height:11.45pt" o:bullet="t">
        <v:imagedata r:id="rId1" o:title="art9B48"/>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57E1A"/>
    <w:multiLevelType w:val="hybridMultilevel"/>
    <w:tmpl w:val="0896BDD8"/>
    <w:lvl w:ilvl="0" w:tplc="560C80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2FFA"/>
    <w:multiLevelType w:val="hybridMultilevel"/>
    <w:tmpl w:val="FDC2C402"/>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C960281"/>
    <w:multiLevelType w:val="hybridMultilevel"/>
    <w:tmpl w:val="27C61C70"/>
    <w:lvl w:ilvl="0" w:tplc="998C37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F4ECB"/>
    <w:multiLevelType w:val="hybridMultilevel"/>
    <w:tmpl w:val="F36C1ACC"/>
    <w:lvl w:ilvl="0" w:tplc="FE48A6B6">
      <w:start w:val="1"/>
      <w:numFmt w:val="lowerRoman"/>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E660C8"/>
    <w:multiLevelType w:val="hybridMultilevel"/>
    <w:tmpl w:val="EAC09060"/>
    <w:lvl w:ilvl="0" w:tplc="560C8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909AC"/>
    <w:multiLevelType w:val="hybridMultilevel"/>
    <w:tmpl w:val="99968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82483"/>
    <w:multiLevelType w:val="hybridMultilevel"/>
    <w:tmpl w:val="A8DEBD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C44E5"/>
    <w:multiLevelType w:val="hybridMultilevel"/>
    <w:tmpl w:val="9E6AF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43759E"/>
    <w:multiLevelType w:val="hybridMultilevel"/>
    <w:tmpl w:val="0A5CAA82"/>
    <w:lvl w:ilvl="0" w:tplc="560C805C">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1C3C16"/>
    <w:multiLevelType w:val="hybridMultilevel"/>
    <w:tmpl w:val="917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069B2"/>
    <w:multiLevelType w:val="hybridMultilevel"/>
    <w:tmpl w:val="DD4420F0"/>
    <w:lvl w:ilvl="0" w:tplc="282A56D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55036"/>
    <w:multiLevelType w:val="hybridMultilevel"/>
    <w:tmpl w:val="E3446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105A4"/>
    <w:multiLevelType w:val="hybridMultilevel"/>
    <w:tmpl w:val="A9FA8F7A"/>
    <w:lvl w:ilvl="0" w:tplc="9EB88EB0">
      <w:start w:val="1"/>
      <w:numFmt w:val="lowerRoman"/>
      <w:lvlText w:val="(%1)"/>
      <w:lvlJc w:val="left"/>
      <w:pPr>
        <w:ind w:left="1080" w:hanging="72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380630"/>
    <w:multiLevelType w:val="hybridMultilevel"/>
    <w:tmpl w:val="6C1AB942"/>
    <w:lvl w:ilvl="0" w:tplc="CCCA04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B4664F"/>
    <w:multiLevelType w:val="hybridMultilevel"/>
    <w:tmpl w:val="E6B431FA"/>
    <w:lvl w:ilvl="0" w:tplc="BA9A245C">
      <w:start w:val="1"/>
      <w:numFmt w:val="lowerRoman"/>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436E65"/>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A794D"/>
    <w:multiLevelType w:val="hybridMultilevel"/>
    <w:tmpl w:val="9898ABEA"/>
    <w:lvl w:ilvl="0" w:tplc="A06E2D80">
      <w:start w:val="1"/>
      <w:numFmt w:val="bullet"/>
      <w:lvlText w:val=""/>
      <w:lvlPicBulletId w:val="0"/>
      <w:lvlJc w:val="left"/>
      <w:pPr>
        <w:tabs>
          <w:tab w:val="num" w:pos="720"/>
        </w:tabs>
        <w:ind w:left="720" w:hanging="360"/>
      </w:pPr>
      <w:rPr>
        <w:rFonts w:ascii="Symbol" w:hAnsi="Symbol" w:hint="default"/>
      </w:rPr>
    </w:lvl>
    <w:lvl w:ilvl="1" w:tplc="13F889FE" w:tentative="1">
      <w:start w:val="1"/>
      <w:numFmt w:val="bullet"/>
      <w:lvlText w:val=""/>
      <w:lvlPicBulletId w:val="0"/>
      <w:lvlJc w:val="left"/>
      <w:pPr>
        <w:tabs>
          <w:tab w:val="num" w:pos="1440"/>
        </w:tabs>
        <w:ind w:left="1440" w:hanging="360"/>
      </w:pPr>
      <w:rPr>
        <w:rFonts w:ascii="Symbol" w:hAnsi="Symbol" w:hint="default"/>
      </w:rPr>
    </w:lvl>
    <w:lvl w:ilvl="2" w:tplc="604C9BA8" w:tentative="1">
      <w:start w:val="1"/>
      <w:numFmt w:val="bullet"/>
      <w:lvlText w:val=""/>
      <w:lvlPicBulletId w:val="0"/>
      <w:lvlJc w:val="left"/>
      <w:pPr>
        <w:tabs>
          <w:tab w:val="num" w:pos="2160"/>
        </w:tabs>
        <w:ind w:left="2160" w:hanging="360"/>
      </w:pPr>
      <w:rPr>
        <w:rFonts w:ascii="Symbol" w:hAnsi="Symbol" w:hint="default"/>
      </w:rPr>
    </w:lvl>
    <w:lvl w:ilvl="3" w:tplc="F790ED12" w:tentative="1">
      <w:start w:val="1"/>
      <w:numFmt w:val="bullet"/>
      <w:lvlText w:val=""/>
      <w:lvlPicBulletId w:val="0"/>
      <w:lvlJc w:val="left"/>
      <w:pPr>
        <w:tabs>
          <w:tab w:val="num" w:pos="2880"/>
        </w:tabs>
        <w:ind w:left="2880" w:hanging="360"/>
      </w:pPr>
      <w:rPr>
        <w:rFonts w:ascii="Symbol" w:hAnsi="Symbol" w:hint="default"/>
      </w:rPr>
    </w:lvl>
    <w:lvl w:ilvl="4" w:tplc="86CA5870" w:tentative="1">
      <w:start w:val="1"/>
      <w:numFmt w:val="bullet"/>
      <w:lvlText w:val=""/>
      <w:lvlPicBulletId w:val="0"/>
      <w:lvlJc w:val="left"/>
      <w:pPr>
        <w:tabs>
          <w:tab w:val="num" w:pos="3600"/>
        </w:tabs>
        <w:ind w:left="3600" w:hanging="360"/>
      </w:pPr>
      <w:rPr>
        <w:rFonts w:ascii="Symbol" w:hAnsi="Symbol" w:hint="default"/>
      </w:rPr>
    </w:lvl>
    <w:lvl w:ilvl="5" w:tplc="16EA5140" w:tentative="1">
      <w:start w:val="1"/>
      <w:numFmt w:val="bullet"/>
      <w:lvlText w:val=""/>
      <w:lvlPicBulletId w:val="0"/>
      <w:lvlJc w:val="left"/>
      <w:pPr>
        <w:tabs>
          <w:tab w:val="num" w:pos="4320"/>
        </w:tabs>
        <w:ind w:left="4320" w:hanging="360"/>
      </w:pPr>
      <w:rPr>
        <w:rFonts w:ascii="Symbol" w:hAnsi="Symbol" w:hint="default"/>
      </w:rPr>
    </w:lvl>
    <w:lvl w:ilvl="6" w:tplc="94420F74" w:tentative="1">
      <w:start w:val="1"/>
      <w:numFmt w:val="bullet"/>
      <w:lvlText w:val=""/>
      <w:lvlPicBulletId w:val="0"/>
      <w:lvlJc w:val="left"/>
      <w:pPr>
        <w:tabs>
          <w:tab w:val="num" w:pos="5040"/>
        </w:tabs>
        <w:ind w:left="5040" w:hanging="360"/>
      </w:pPr>
      <w:rPr>
        <w:rFonts w:ascii="Symbol" w:hAnsi="Symbol" w:hint="default"/>
      </w:rPr>
    </w:lvl>
    <w:lvl w:ilvl="7" w:tplc="3B0A37B2" w:tentative="1">
      <w:start w:val="1"/>
      <w:numFmt w:val="bullet"/>
      <w:lvlText w:val=""/>
      <w:lvlPicBulletId w:val="0"/>
      <w:lvlJc w:val="left"/>
      <w:pPr>
        <w:tabs>
          <w:tab w:val="num" w:pos="5760"/>
        </w:tabs>
        <w:ind w:left="5760" w:hanging="360"/>
      </w:pPr>
      <w:rPr>
        <w:rFonts w:ascii="Symbol" w:hAnsi="Symbol" w:hint="default"/>
      </w:rPr>
    </w:lvl>
    <w:lvl w:ilvl="8" w:tplc="37AC126A"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641253A1"/>
    <w:multiLevelType w:val="hybridMultilevel"/>
    <w:tmpl w:val="27542018"/>
    <w:lvl w:ilvl="0" w:tplc="AEE2C9EC">
      <w:start w:val="1"/>
      <w:numFmt w:val="bullet"/>
      <w:lvlText w:val=""/>
      <w:lvlPicBulletId w:val="0"/>
      <w:lvlJc w:val="left"/>
      <w:pPr>
        <w:tabs>
          <w:tab w:val="num" w:pos="720"/>
        </w:tabs>
        <w:ind w:left="720" w:hanging="360"/>
      </w:pPr>
      <w:rPr>
        <w:rFonts w:ascii="Symbol" w:hAnsi="Symbol" w:hint="default"/>
      </w:rPr>
    </w:lvl>
    <w:lvl w:ilvl="1" w:tplc="11E62300" w:tentative="1">
      <w:start w:val="1"/>
      <w:numFmt w:val="bullet"/>
      <w:lvlText w:val=""/>
      <w:lvlPicBulletId w:val="0"/>
      <w:lvlJc w:val="left"/>
      <w:pPr>
        <w:tabs>
          <w:tab w:val="num" w:pos="1440"/>
        </w:tabs>
        <w:ind w:left="1440" w:hanging="360"/>
      </w:pPr>
      <w:rPr>
        <w:rFonts w:ascii="Symbol" w:hAnsi="Symbol" w:hint="default"/>
      </w:rPr>
    </w:lvl>
    <w:lvl w:ilvl="2" w:tplc="23B8CFEC" w:tentative="1">
      <w:start w:val="1"/>
      <w:numFmt w:val="bullet"/>
      <w:lvlText w:val=""/>
      <w:lvlPicBulletId w:val="0"/>
      <w:lvlJc w:val="left"/>
      <w:pPr>
        <w:tabs>
          <w:tab w:val="num" w:pos="2160"/>
        </w:tabs>
        <w:ind w:left="2160" w:hanging="360"/>
      </w:pPr>
      <w:rPr>
        <w:rFonts w:ascii="Symbol" w:hAnsi="Symbol" w:hint="default"/>
      </w:rPr>
    </w:lvl>
    <w:lvl w:ilvl="3" w:tplc="0A62975E" w:tentative="1">
      <w:start w:val="1"/>
      <w:numFmt w:val="bullet"/>
      <w:lvlText w:val=""/>
      <w:lvlPicBulletId w:val="0"/>
      <w:lvlJc w:val="left"/>
      <w:pPr>
        <w:tabs>
          <w:tab w:val="num" w:pos="2880"/>
        </w:tabs>
        <w:ind w:left="2880" w:hanging="360"/>
      </w:pPr>
      <w:rPr>
        <w:rFonts w:ascii="Symbol" w:hAnsi="Symbol" w:hint="default"/>
      </w:rPr>
    </w:lvl>
    <w:lvl w:ilvl="4" w:tplc="9E885854" w:tentative="1">
      <w:start w:val="1"/>
      <w:numFmt w:val="bullet"/>
      <w:lvlText w:val=""/>
      <w:lvlPicBulletId w:val="0"/>
      <w:lvlJc w:val="left"/>
      <w:pPr>
        <w:tabs>
          <w:tab w:val="num" w:pos="3600"/>
        </w:tabs>
        <w:ind w:left="3600" w:hanging="360"/>
      </w:pPr>
      <w:rPr>
        <w:rFonts w:ascii="Symbol" w:hAnsi="Symbol" w:hint="default"/>
      </w:rPr>
    </w:lvl>
    <w:lvl w:ilvl="5" w:tplc="16F4F9AC" w:tentative="1">
      <w:start w:val="1"/>
      <w:numFmt w:val="bullet"/>
      <w:lvlText w:val=""/>
      <w:lvlPicBulletId w:val="0"/>
      <w:lvlJc w:val="left"/>
      <w:pPr>
        <w:tabs>
          <w:tab w:val="num" w:pos="4320"/>
        </w:tabs>
        <w:ind w:left="4320" w:hanging="360"/>
      </w:pPr>
      <w:rPr>
        <w:rFonts w:ascii="Symbol" w:hAnsi="Symbol" w:hint="default"/>
      </w:rPr>
    </w:lvl>
    <w:lvl w:ilvl="6" w:tplc="03ECB0CA" w:tentative="1">
      <w:start w:val="1"/>
      <w:numFmt w:val="bullet"/>
      <w:lvlText w:val=""/>
      <w:lvlPicBulletId w:val="0"/>
      <w:lvlJc w:val="left"/>
      <w:pPr>
        <w:tabs>
          <w:tab w:val="num" w:pos="5040"/>
        </w:tabs>
        <w:ind w:left="5040" w:hanging="360"/>
      </w:pPr>
      <w:rPr>
        <w:rFonts w:ascii="Symbol" w:hAnsi="Symbol" w:hint="default"/>
      </w:rPr>
    </w:lvl>
    <w:lvl w:ilvl="7" w:tplc="D3E20C34" w:tentative="1">
      <w:start w:val="1"/>
      <w:numFmt w:val="bullet"/>
      <w:lvlText w:val=""/>
      <w:lvlPicBulletId w:val="0"/>
      <w:lvlJc w:val="left"/>
      <w:pPr>
        <w:tabs>
          <w:tab w:val="num" w:pos="5760"/>
        </w:tabs>
        <w:ind w:left="5760" w:hanging="360"/>
      </w:pPr>
      <w:rPr>
        <w:rFonts w:ascii="Symbol" w:hAnsi="Symbol" w:hint="default"/>
      </w:rPr>
    </w:lvl>
    <w:lvl w:ilvl="8" w:tplc="AC049F3A"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641C552E"/>
    <w:multiLevelType w:val="hybridMultilevel"/>
    <w:tmpl w:val="FCA62DF4"/>
    <w:lvl w:ilvl="0" w:tplc="5A82C808">
      <w:start w:val="1"/>
      <w:numFmt w:val="bullet"/>
      <w:lvlText w:val=""/>
      <w:lvlPicBulletId w:val="0"/>
      <w:lvlJc w:val="left"/>
      <w:pPr>
        <w:tabs>
          <w:tab w:val="num" w:pos="720"/>
        </w:tabs>
        <w:ind w:left="720" w:hanging="360"/>
      </w:pPr>
      <w:rPr>
        <w:rFonts w:ascii="Symbol" w:hAnsi="Symbol" w:hint="default"/>
      </w:rPr>
    </w:lvl>
    <w:lvl w:ilvl="1" w:tplc="9066457C">
      <w:numFmt w:val="bullet"/>
      <w:lvlText w:val=""/>
      <w:lvlJc w:val="left"/>
      <w:pPr>
        <w:tabs>
          <w:tab w:val="num" w:pos="1440"/>
        </w:tabs>
        <w:ind w:left="1440" w:hanging="360"/>
      </w:pPr>
      <w:rPr>
        <w:rFonts w:ascii="Wingdings" w:hAnsi="Wingdings" w:hint="default"/>
      </w:rPr>
    </w:lvl>
    <w:lvl w:ilvl="2" w:tplc="1EFE6A70" w:tentative="1">
      <w:start w:val="1"/>
      <w:numFmt w:val="bullet"/>
      <w:lvlText w:val=""/>
      <w:lvlPicBulletId w:val="0"/>
      <w:lvlJc w:val="left"/>
      <w:pPr>
        <w:tabs>
          <w:tab w:val="num" w:pos="2160"/>
        </w:tabs>
        <w:ind w:left="2160" w:hanging="360"/>
      </w:pPr>
      <w:rPr>
        <w:rFonts w:ascii="Symbol" w:hAnsi="Symbol" w:hint="default"/>
      </w:rPr>
    </w:lvl>
    <w:lvl w:ilvl="3" w:tplc="E8687B74" w:tentative="1">
      <w:start w:val="1"/>
      <w:numFmt w:val="bullet"/>
      <w:lvlText w:val=""/>
      <w:lvlPicBulletId w:val="0"/>
      <w:lvlJc w:val="left"/>
      <w:pPr>
        <w:tabs>
          <w:tab w:val="num" w:pos="2880"/>
        </w:tabs>
        <w:ind w:left="2880" w:hanging="360"/>
      </w:pPr>
      <w:rPr>
        <w:rFonts w:ascii="Symbol" w:hAnsi="Symbol" w:hint="default"/>
      </w:rPr>
    </w:lvl>
    <w:lvl w:ilvl="4" w:tplc="8CD4093A" w:tentative="1">
      <w:start w:val="1"/>
      <w:numFmt w:val="bullet"/>
      <w:lvlText w:val=""/>
      <w:lvlPicBulletId w:val="0"/>
      <w:lvlJc w:val="left"/>
      <w:pPr>
        <w:tabs>
          <w:tab w:val="num" w:pos="3600"/>
        </w:tabs>
        <w:ind w:left="3600" w:hanging="360"/>
      </w:pPr>
      <w:rPr>
        <w:rFonts w:ascii="Symbol" w:hAnsi="Symbol" w:hint="default"/>
      </w:rPr>
    </w:lvl>
    <w:lvl w:ilvl="5" w:tplc="2FA65966" w:tentative="1">
      <w:start w:val="1"/>
      <w:numFmt w:val="bullet"/>
      <w:lvlText w:val=""/>
      <w:lvlPicBulletId w:val="0"/>
      <w:lvlJc w:val="left"/>
      <w:pPr>
        <w:tabs>
          <w:tab w:val="num" w:pos="4320"/>
        </w:tabs>
        <w:ind w:left="4320" w:hanging="360"/>
      </w:pPr>
      <w:rPr>
        <w:rFonts w:ascii="Symbol" w:hAnsi="Symbol" w:hint="default"/>
      </w:rPr>
    </w:lvl>
    <w:lvl w:ilvl="6" w:tplc="31620732" w:tentative="1">
      <w:start w:val="1"/>
      <w:numFmt w:val="bullet"/>
      <w:lvlText w:val=""/>
      <w:lvlPicBulletId w:val="0"/>
      <w:lvlJc w:val="left"/>
      <w:pPr>
        <w:tabs>
          <w:tab w:val="num" w:pos="5040"/>
        </w:tabs>
        <w:ind w:left="5040" w:hanging="360"/>
      </w:pPr>
      <w:rPr>
        <w:rFonts w:ascii="Symbol" w:hAnsi="Symbol" w:hint="default"/>
      </w:rPr>
    </w:lvl>
    <w:lvl w:ilvl="7" w:tplc="8514AEDE" w:tentative="1">
      <w:start w:val="1"/>
      <w:numFmt w:val="bullet"/>
      <w:lvlText w:val=""/>
      <w:lvlPicBulletId w:val="0"/>
      <w:lvlJc w:val="left"/>
      <w:pPr>
        <w:tabs>
          <w:tab w:val="num" w:pos="5760"/>
        </w:tabs>
        <w:ind w:left="5760" w:hanging="360"/>
      </w:pPr>
      <w:rPr>
        <w:rFonts w:ascii="Symbol" w:hAnsi="Symbol" w:hint="default"/>
      </w:rPr>
    </w:lvl>
    <w:lvl w:ilvl="8" w:tplc="2092D6CA"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6B4047F7"/>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04EE7"/>
    <w:multiLevelType w:val="hybridMultilevel"/>
    <w:tmpl w:val="F8A0DBEA"/>
    <w:lvl w:ilvl="0" w:tplc="8D8C9DA2">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05708F3"/>
    <w:multiLevelType w:val="hybridMultilevel"/>
    <w:tmpl w:val="979CC580"/>
    <w:lvl w:ilvl="0" w:tplc="9DFE8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A7DD5"/>
    <w:multiLevelType w:val="hybridMultilevel"/>
    <w:tmpl w:val="401E4DFA"/>
    <w:lvl w:ilvl="0" w:tplc="6128C516">
      <w:numFmt w:val="bullet"/>
      <w:lvlText w:val="-"/>
      <w:lvlJc w:val="left"/>
      <w:pPr>
        <w:ind w:left="720" w:hanging="360"/>
      </w:pPr>
      <w:rPr>
        <w:rFonts w:ascii="Arial" w:eastAsia="Times New Roman" w:hAnsi="Arial" w:cs="Aria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A12AC"/>
    <w:multiLevelType w:val="hybridMultilevel"/>
    <w:tmpl w:val="43C2E3A4"/>
    <w:lvl w:ilvl="0" w:tplc="FFBEC6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19"/>
  </w:num>
  <w:num w:numId="5">
    <w:abstractNumId w:val="3"/>
  </w:num>
  <w:num w:numId="6">
    <w:abstractNumId w:val="8"/>
  </w:num>
  <w:num w:numId="7">
    <w:abstractNumId w:val="2"/>
  </w:num>
  <w:num w:numId="8">
    <w:abstractNumId w:val="13"/>
  </w:num>
  <w:num w:numId="9">
    <w:abstractNumId w:val="9"/>
  </w:num>
  <w:num w:numId="10">
    <w:abstractNumId w:val="20"/>
  </w:num>
  <w:num w:numId="11">
    <w:abstractNumId w:val="12"/>
  </w:num>
  <w:num w:numId="12">
    <w:abstractNumId w:val="31"/>
  </w:num>
  <w:num w:numId="13">
    <w:abstractNumId w:val="18"/>
  </w:num>
  <w:num w:numId="14">
    <w:abstractNumId w:val="16"/>
  </w:num>
  <w:num w:numId="15">
    <w:abstractNumId w:val="28"/>
  </w:num>
  <w:num w:numId="16">
    <w:abstractNumId w:val="25"/>
  </w:num>
  <w:num w:numId="17">
    <w:abstractNumId w:val="23"/>
  </w:num>
  <w:num w:numId="18">
    <w:abstractNumId w:val="24"/>
  </w:num>
  <w:num w:numId="19">
    <w:abstractNumId w:val="4"/>
  </w:num>
  <w:num w:numId="20">
    <w:abstractNumId w:val="22"/>
  </w:num>
  <w:num w:numId="21">
    <w:abstractNumId w:val="26"/>
  </w:num>
  <w:num w:numId="22">
    <w:abstractNumId w:val="21"/>
  </w:num>
  <w:num w:numId="23">
    <w:abstractNumId w:val="29"/>
  </w:num>
  <w:num w:numId="24">
    <w:abstractNumId w:val="15"/>
  </w:num>
  <w:num w:numId="25">
    <w:abstractNumId w:val="11"/>
  </w:num>
  <w:num w:numId="26">
    <w:abstractNumId w:val="6"/>
  </w:num>
  <w:num w:numId="27">
    <w:abstractNumId w:val="30"/>
  </w:num>
  <w:num w:numId="28">
    <w:abstractNumId w:val="21"/>
  </w:num>
  <w:num w:numId="29">
    <w:abstractNumId w:val="17"/>
  </w:num>
  <w:num w:numId="30">
    <w:abstractNumId w:val="10"/>
  </w:num>
  <w:num w:numId="31">
    <w:abstractNumId w:val="7"/>
  </w:num>
  <w:num w:numId="32">
    <w:abstractNumId w:val="2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EF"/>
    <w:rsid w:val="00001725"/>
    <w:rsid w:val="00002283"/>
    <w:rsid w:val="00002763"/>
    <w:rsid w:val="000314B7"/>
    <w:rsid w:val="000335D5"/>
    <w:rsid w:val="00041755"/>
    <w:rsid w:val="00043CAA"/>
    <w:rsid w:val="00056816"/>
    <w:rsid w:val="000632FE"/>
    <w:rsid w:val="0007024E"/>
    <w:rsid w:val="00073A90"/>
    <w:rsid w:val="00075432"/>
    <w:rsid w:val="000754CF"/>
    <w:rsid w:val="00077BDF"/>
    <w:rsid w:val="00093CEE"/>
    <w:rsid w:val="000968ED"/>
    <w:rsid w:val="00097C80"/>
    <w:rsid w:val="000A3D97"/>
    <w:rsid w:val="000C67C1"/>
    <w:rsid w:val="000D0AA8"/>
    <w:rsid w:val="000D2711"/>
    <w:rsid w:val="000D3798"/>
    <w:rsid w:val="000E7C6C"/>
    <w:rsid w:val="000F0DF7"/>
    <w:rsid w:val="000F5E56"/>
    <w:rsid w:val="001206B9"/>
    <w:rsid w:val="00122EA7"/>
    <w:rsid w:val="001236FF"/>
    <w:rsid w:val="00131A7F"/>
    <w:rsid w:val="00134C11"/>
    <w:rsid w:val="001362EE"/>
    <w:rsid w:val="00154B0F"/>
    <w:rsid w:val="0015572A"/>
    <w:rsid w:val="00160846"/>
    <w:rsid w:val="001647D5"/>
    <w:rsid w:val="00165296"/>
    <w:rsid w:val="00171175"/>
    <w:rsid w:val="00177D31"/>
    <w:rsid w:val="001832A6"/>
    <w:rsid w:val="0019473C"/>
    <w:rsid w:val="00196F0A"/>
    <w:rsid w:val="001A2F50"/>
    <w:rsid w:val="001A3BEC"/>
    <w:rsid w:val="001B1638"/>
    <w:rsid w:val="001B407D"/>
    <w:rsid w:val="001D4107"/>
    <w:rsid w:val="001E6EFE"/>
    <w:rsid w:val="001F272F"/>
    <w:rsid w:val="001F3330"/>
    <w:rsid w:val="001F5900"/>
    <w:rsid w:val="00203D24"/>
    <w:rsid w:val="00205F5A"/>
    <w:rsid w:val="00210185"/>
    <w:rsid w:val="0021050E"/>
    <w:rsid w:val="0021217E"/>
    <w:rsid w:val="00225EC2"/>
    <w:rsid w:val="002326AB"/>
    <w:rsid w:val="0024324E"/>
    <w:rsid w:val="00243430"/>
    <w:rsid w:val="00252262"/>
    <w:rsid w:val="002541C0"/>
    <w:rsid w:val="002614A8"/>
    <w:rsid w:val="002634C4"/>
    <w:rsid w:val="00265402"/>
    <w:rsid w:val="0027065A"/>
    <w:rsid w:val="00270DDC"/>
    <w:rsid w:val="002761E3"/>
    <w:rsid w:val="002928D3"/>
    <w:rsid w:val="002A4621"/>
    <w:rsid w:val="002A750B"/>
    <w:rsid w:val="002B1C81"/>
    <w:rsid w:val="002B3BF9"/>
    <w:rsid w:val="002B527F"/>
    <w:rsid w:val="002C25C9"/>
    <w:rsid w:val="002D1992"/>
    <w:rsid w:val="002D4888"/>
    <w:rsid w:val="002E2557"/>
    <w:rsid w:val="002E7560"/>
    <w:rsid w:val="002E7AF2"/>
    <w:rsid w:val="002F1FE6"/>
    <w:rsid w:val="002F386E"/>
    <w:rsid w:val="002F4E68"/>
    <w:rsid w:val="002F74FA"/>
    <w:rsid w:val="00302128"/>
    <w:rsid w:val="003104FC"/>
    <w:rsid w:val="00312F7F"/>
    <w:rsid w:val="00320741"/>
    <w:rsid w:val="00325955"/>
    <w:rsid w:val="00331937"/>
    <w:rsid w:val="003321F8"/>
    <w:rsid w:val="00335AAB"/>
    <w:rsid w:val="00341ECA"/>
    <w:rsid w:val="00343E8E"/>
    <w:rsid w:val="00361450"/>
    <w:rsid w:val="00362265"/>
    <w:rsid w:val="003673CF"/>
    <w:rsid w:val="00372811"/>
    <w:rsid w:val="00381719"/>
    <w:rsid w:val="00383EA0"/>
    <w:rsid w:val="003845C1"/>
    <w:rsid w:val="00387D25"/>
    <w:rsid w:val="00390D5A"/>
    <w:rsid w:val="00397AF2"/>
    <w:rsid w:val="003A062A"/>
    <w:rsid w:val="003A43B4"/>
    <w:rsid w:val="003A6F89"/>
    <w:rsid w:val="003B38C1"/>
    <w:rsid w:val="003B5F82"/>
    <w:rsid w:val="003C34E9"/>
    <w:rsid w:val="003C56BD"/>
    <w:rsid w:val="003E0928"/>
    <w:rsid w:val="00401C6F"/>
    <w:rsid w:val="00403286"/>
    <w:rsid w:val="00404CD3"/>
    <w:rsid w:val="004061BE"/>
    <w:rsid w:val="00410D02"/>
    <w:rsid w:val="00423E3E"/>
    <w:rsid w:val="0042488E"/>
    <w:rsid w:val="00427AF4"/>
    <w:rsid w:val="00427E40"/>
    <w:rsid w:val="00440516"/>
    <w:rsid w:val="00442043"/>
    <w:rsid w:val="00445897"/>
    <w:rsid w:val="00446147"/>
    <w:rsid w:val="00452E27"/>
    <w:rsid w:val="00455E80"/>
    <w:rsid w:val="004640E7"/>
    <w:rsid w:val="004647DA"/>
    <w:rsid w:val="00474062"/>
    <w:rsid w:val="004760C5"/>
    <w:rsid w:val="00477D6B"/>
    <w:rsid w:val="004811CB"/>
    <w:rsid w:val="00485B68"/>
    <w:rsid w:val="00486CD7"/>
    <w:rsid w:val="00492B28"/>
    <w:rsid w:val="00493C24"/>
    <w:rsid w:val="00493E4C"/>
    <w:rsid w:val="004A66D1"/>
    <w:rsid w:val="004A6B0A"/>
    <w:rsid w:val="004B3195"/>
    <w:rsid w:val="004B3C59"/>
    <w:rsid w:val="004B62EA"/>
    <w:rsid w:val="004B7692"/>
    <w:rsid w:val="004B7A9C"/>
    <w:rsid w:val="004C5427"/>
    <w:rsid w:val="004C6BBC"/>
    <w:rsid w:val="004D3867"/>
    <w:rsid w:val="004D5CD8"/>
    <w:rsid w:val="004E3DDE"/>
    <w:rsid w:val="004E5F0E"/>
    <w:rsid w:val="004E73A7"/>
    <w:rsid w:val="004F4757"/>
    <w:rsid w:val="005019FF"/>
    <w:rsid w:val="00505341"/>
    <w:rsid w:val="00513C40"/>
    <w:rsid w:val="00516809"/>
    <w:rsid w:val="005218F5"/>
    <w:rsid w:val="005225F7"/>
    <w:rsid w:val="00522EA5"/>
    <w:rsid w:val="00524015"/>
    <w:rsid w:val="0053057A"/>
    <w:rsid w:val="00541A1A"/>
    <w:rsid w:val="00546659"/>
    <w:rsid w:val="00551B15"/>
    <w:rsid w:val="00554638"/>
    <w:rsid w:val="00556076"/>
    <w:rsid w:val="00556827"/>
    <w:rsid w:val="005575E9"/>
    <w:rsid w:val="00560A29"/>
    <w:rsid w:val="0056465D"/>
    <w:rsid w:val="0056527A"/>
    <w:rsid w:val="0058114F"/>
    <w:rsid w:val="00581F39"/>
    <w:rsid w:val="005918DC"/>
    <w:rsid w:val="0059205D"/>
    <w:rsid w:val="0059583E"/>
    <w:rsid w:val="00595EDA"/>
    <w:rsid w:val="005A704A"/>
    <w:rsid w:val="005B3EAC"/>
    <w:rsid w:val="005B6CF6"/>
    <w:rsid w:val="005C0921"/>
    <w:rsid w:val="005C6649"/>
    <w:rsid w:val="005C71F1"/>
    <w:rsid w:val="005D00B4"/>
    <w:rsid w:val="005D1D5C"/>
    <w:rsid w:val="005E473E"/>
    <w:rsid w:val="005E6B89"/>
    <w:rsid w:val="005F00C6"/>
    <w:rsid w:val="005F3796"/>
    <w:rsid w:val="005F6002"/>
    <w:rsid w:val="005F6370"/>
    <w:rsid w:val="006035AA"/>
    <w:rsid w:val="00605827"/>
    <w:rsid w:val="00623C7A"/>
    <w:rsid w:val="00635DC0"/>
    <w:rsid w:val="00637943"/>
    <w:rsid w:val="00645D1C"/>
    <w:rsid w:val="00646050"/>
    <w:rsid w:val="00646530"/>
    <w:rsid w:val="00661348"/>
    <w:rsid w:val="0066150F"/>
    <w:rsid w:val="006713CA"/>
    <w:rsid w:val="00673C23"/>
    <w:rsid w:val="00674646"/>
    <w:rsid w:val="00676C5C"/>
    <w:rsid w:val="00690282"/>
    <w:rsid w:val="00697BEE"/>
    <w:rsid w:val="006A17B9"/>
    <w:rsid w:val="006A2AEE"/>
    <w:rsid w:val="006A49BE"/>
    <w:rsid w:val="006A50B1"/>
    <w:rsid w:val="006A5570"/>
    <w:rsid w:val="006A5EEC"/>
    <w:rsid w:val="006B3610"/>
    <w:rsid w:val="006B6FB9"/>
    <w:rsid w:val="006D0FB9"/>
    <w:rsid w:val="006D425A"/>
    <w:rsid w:val="006F4F68"/>
    <w:rsid w:val="00715299"/>
    <w:rsid w:val="00715779"/>
    <w:rsid w:val="00720212"/>
    <w:rsid w:val="00720516"/>
    <w:rsid w:val="00720EFD"/>
    <w:rsid w:val="00736FEB"/>
    <w:rsid w:val="00740B52"/>
    <w:rsid w:val="007461D5"/>
    <w:rsid w:val="00751C03"/>
    <w:rsid w:val="0075247D"/>
    <w:rsid w:val="007601C9"/>
    <w:rsid w:val="007603D5"/>
    <w:rsid w:val="007663A8"/>
    <w:rsid w:val="00773E16"/>
    <w:rsid w:val="00774EBF"/>
    <w:rsid w:val="007854AF"/>
    <w:rsid w:val="00793A7C"/>
    <w:rsid w:val="00796C39"/>
    <w:rsid w:val="007A398A"/>
    <w:rsid w:val="007B26F1"/>
    <w:rsid w:val="007B7408"/>
    <w:rsid w:val="007C7D04"/>
    <w:rsid w:val="007D1613"/>
    <w:rsid w:val="007D1F15"/>
    <w:rsid w:val="007D627C"/>
    <w:rsid w:val="007D68DF"/>
    <w:rsid w:val="007E2F63"/>
    <w:rsid w:val="007E4C0E"/>
    <w:rsid w:val="007E60FB"/>
    <w:rsid w:val="007E7AAB"/>
    <w:rsid w:val="007F1D80"/>
    <w:rsid w:val="008007E8"/>
    <w:rsid w:val="008105DF"/>
    <w:rsid w:val="008436C6"/>
    <w:rsid w:val="00856E88"/>
    <w:rsid w:val="00863E38"/>
    <w:rsid w:val="00871D65"/>
    <w:rsid w:val="008824DF"/>
    <w:rsid w:val="00884701"/>
    <w:rsid w:val="00884D54"/>
    <w:rsid w:val="00887049"/>
    <w:rsid w:val="00892A12"/>
    <w:rsid w:val="00894D97"/>
    <w:rsid w:val="0089646C"/>
    <w:rsid w:val="008A134B"/>
    <w:rsid w:val="008B2709"/>
    <w:rsid w:val="008B2CC1"/>
    <w:rsid w:val="008B60B2"/>
    <w:rsid w:val="008D0C0C"/>
    <w:rsid w:val="008D1833"/>
    <w:rsid w:val="0090731E"/>
    <w:rsid w:val="00907D5B"/>
    <w:rsid w:val="00910AE8"/>
    <w:rsid w:val="00913EE5"/>
    <w:rsid w:val="00916EE2"/>
    <w:rsid w:val="00923028"/>
    <w:rsid w:val="00932634"/>
    <w:rsid w:val="00953927"/>
    <w:rsid w:val="00955172"/>
    <w:rsid w:val="009570BE"/>
    <w:rsid w:val="00957EB6"/>
    <w:rsid w:val="009607CC"/>
    <w:rsid w:val="00966A22"/>
    <w:rsid w:val="0096722F"/>
    <w:rsid w:val="00967918"/>
    <w:rsid w:val="00972728"/>
    <w:rsid w:val="00973382"/>
    <w:rsid w:val="00977946"/>
    <w:rsid w:val="00980843"/>
    <w:rsid w:val="00980EC4"/>
    <w:rsid w:val="009A6A1C"/>
    <w:rsid w:val="009A6C8A"/>
    <w:rsid w:val="009B363C"/>
    <w:rsid w:val="009B58B5"/>
    <w:rsid w:val="009D504C"/>
    <w:rsid w:val="009D7A8D"/>
    <w:rsid w:val="009E2791"/>
    <w:rsid w:val="009E3F6F"/>
    <w:rsid w:val="009E5D3A"/>
    <w:rsid w:val="009F499F"/>
    <w:rsid w:val="00A02725"/>
    <w:rsid w:val="00A15A5E"/>
    <w:rsid w:val="00A17B0C"/>
    <w:rsid w:val="00A21E51"/>
    <w:rsid w:val="00A23C0D"/>
    <w:rsid w:val="00A309B6"/>
    <w:rsid w:val="00A309F6"/>
    <w:rsid w:val="00A355B9"/>
    <w:rsid w:val="00A37342"/>
    <w:rsid w:val="00A42DAF"/>
    <w:rsid w:val="00A43C76"/>
    <w:rsid w:val="00A45BD8"/>
    <w:rsid w:val="00A578D9"/>
    <w:rsid w:val="00A60463"/>
    <w:rsid w:val="00A6536E"/>
    <w:rsid w:val="00A73DC2"/>
    <w:rsid w:val="00A82232"/>
    <w:rsid w:val="00A869B7"/>
    <w:rsid w:val="00A970BD"/>
    <w:rsid w:val="00AA19E9"/>
    <w:rsid w:val="00AB2F3E"/>
    <w:rsid w:val="00AB7B70"/>
    <w:rsid w:val="00AC0FE2"/>
    <w:rsid w:val="00AC205C"/>
    <w:rsid w:val="00AC6728"/>
    <w:rsid w:val="00AC7CC9"/>
    <w:rsid w:val="00AD0275"/>
    <w:rsid w:val="00AF0A6B"/>
    <w:rsid w:val="00B042C5"/>
    <w:rsid w:val="00B05A69"/>
    <w:rsid w:val="00B1238F"/>
    <w:rsid w:val="00B20642"/>
    <w:rsid w:val="00B302FA"/>
    <w:rsid w:val="00B3034B"/>
    <w:rsid w:val="00B30FC2"/>
    <w:rsid w:val="00B34C0B"/>
    <w:rsid w:val="00B37EF9"/>
    <w:rsid w:val="00B41720"/>
    <w:rsid w:val="00B500A2"/>
    <w:rsid w:val="00B60ECE"/>
    <w:rsid w:val="00B667FB"/>
    <w:rsid w:val="00B70B5D"/>
    <w:rsid w:val="00B70F54"/>
    <w:rsid w:val="00B71A5A"/>
    <w:rsid w:val="00B7232B"/>
    <w:rsid w:val="00B7352F"/>
    <w:rsid w:val="00B75281"/>
    <w:rsid w:val="00B86DEE"/>
    <w:rsid w:val="00B92F1F"/>
    <w:rsid w:val="00B9734B"/>
    <w:rsid w:val="00BA060B"/>
    <w:rsid w:val="00BA30E2"/>
    <w:rsid w:val="00BA6420"/>
    <w:rsid w:val="00BA7686"/>
    <w:rsid w:val="00BB26A6"/>
    <w:rsid w:val="00BB445E"/>
    <w:rsid w:val="00BB6D17"/>
    <w:rsid w:val="00BC22C0"/>
    <w:rsid w:val="00BC6167"/>
    <w:rsid w:val="00BE4F8E"/>
    <w:rsid w:val="00C0506B"/>
    <w:rsid w:val="00C10138"/>
    <w:rsid w:val="00C10E7E"/>
    <w:rsid w:val="00C11BFE"/>
    <w:rsid w:val="00C134A5"/>
    <w:rsid w:val="00C17806"/>
    <w:rsid w:val="00C20F2B"/>
    <w:rsid w:val="00C221BC"/>
    <w:rsid w:val="00C3226A"/>
    <w:rsid w:val="00C340F6"/>
    <w:rsid w:val="00C3529D"/>
    <w:rsid w:val="00C442F3"/>
    <w:rsid w:val="00C47FEF"/>
    <w:rsid w:val="00C5068F"/>
    <w:rsid w:val="00C519B7"/>
    <w:rsid w:val="00C6249B"/>
    <w:rsid w:val="00C739BC"/>
    <w:rsid w:val="00C76D18"/>
    <w:rsid w:val="00C86D74"/>
    <w:rsid w:val="00C912DF"/>
    <w:rsid w:val="00CA0660"/>
    <w:rsid w:val="00CA0E31"/>
    <w:rsid w:val="00CA3651"/>
    <w:rsid w:val="00CB3291"/>
    <w:rsid w:val="00CC12E1"/>
    <w:rsid w:val="00CC3B9A"/>
    <w:rsid w:val="00CD04F1"/>
    <w:rsid w:val="00CD5630"/>
    <w:rsid w:val="00CE14D9"/>
    <w:rsid w:val="00CE7A82"/>
    <w:rsid w:val="00CF681A"/>
    <w:rsid w:val="00CF7DE4"/>
    <w:rsid w:val="00D07C78"/>
    <w:rsid w:val="00D11A01"/>
    <w:rsid w:val="00D13A11"/>
    <w:rsid w:val="00D17B86"/>
    <w:rsid w:val="00D23EA1"/>
    <w:rsid w:val="00D241D7"/>
    <w:rsid w:val="00D35414"/>
    <w:rsid w:val="00D35AEB"/>
    <w:rsid w:val="00D45252"/>
    <w:rsid w:val="00D46144"/>
    <w:rsid w:val="00D54B0F"/>
    <w:rsid w:val="00D61015"/>
    <w:rsid w:val="00D666D9"/>
    <w:rsid w:val="00D71B4D"/>
    <w:rsid w:val="00D74D60"/>
    <w:rsid w:val="00D7729A"/>
    <w:rsid w:val="00D93D55"/>
    <w:rsid w:val="00D95735"/>
    <w:rsid w:val="00DA36B0"/>
    <w:rsid w:val="00DA69D5"/>
    <w:rsid w:val="00DB25B2"/>
    <w:rsid w:val="00DB2C6C"/>
    <w:rsid w:val="00DB40CF"/>
    <w:rsid w:val="00DD5322"/>
    <w:rsid w:val="00DD7B7F"/>
    <w:rsid w:val="00DE0C54"/>
    <w:rsid w:val="00DF2144"/>
    <w:rsid w:val="00DF3207"/>
    <w:rsid w:val="00E15015"/>
    <w:rsid w:val="00E20437"/>
    <w:rsid w:val="00E2499A"/>
    <w:rsid w:val="00E24AD8"/>
    <w:rsid w:val="00E24D75"/>
    <w:rsid w:val="00E317FA"/>
    <w:rsid w:val="00E335FE"/>
    <w:rsid w:val="00E348B3"/>
    <w:rsid w:val="00E35CC2"/>
    <w:rsid w:val="00E400F9"/>
    <w:rsid w:val="00E530BC"/>
    <w:rsid w:val="00E63665"/>
    <w:rsid w:val="00E63A29"/>
    <w:rsid w:val="00E73BFD"/>
    <w:rsid w:val="00E923DD"/>
    <w:rsid w:val="00E966D8"/>
    <w:rsid w:val="00EA3B89"/>
    <w:rsid w:val="00EA7D6E"/>
    <w:rsid w:val="00EB2F76"/>
    <w:rsid w:val="00EB7955"/>
    <w:rsid w:val="00EC312D"/>
    <w:rsid w:val="00EC4E49"/>
    <w:rsid w:val="00EC615F"/>
    <w:rsid w:val="00ED77FB"/>
    <w:rsid w:val="00EE3D62"/>
    <w:rsid w:val="00EE4503"/>
    <w:rsid w:val="00EE45FA"/>
    <w:rsid w:val="00EE588F"/>
    <w:rsid w:val="00EF370C"/>
    <w:rsid w:val="00EF6C9B"/>
    <w:rsid w:val="00F01741"/>
    <w:rsid w:val="00F01EE8"/>
    <w:rsid w:val="00F043DE"/>
    <w:rsid w:val="00F15D75"/>
    <w:rsid w:val="00F2127C"/>
    <w:rsid w:val="00F22EA9"/>
    <w:rsid w:val="00F33856"/>
    <w:rsid w:val="00F538F1"/>
    <w:rsid w:val="00F64A44"/>
    <w:rsid w:val="00F66152"/>
    <w:rsid w:val="00F70A0A"/>
    <w:rsid w:val="00F71346"/>
    <w:rsid w:val="00F749ED"/>
    <w:rsid w:val="00F82ECF"/>
    <w:rsid w:val="00F86BB2"/>
    <w:rsid w:val="00F8742B"/>
    <w:rsid w:val="00F9165B"/>
    <w:rsid w:val="00F91EE5"/>
    <w:rsid w:val="00F9285B"/>
    <w:rsid w:val="00F93591"/>
    <w:rsid w:val="00F97227"/>
    <w:rsid w:val="00FA2A42"/>
    <w:rsid w:val="00FA31F6"/>
    <w:rsid w:val="00FA7181"/>
    <w:rsid w:val="00FB29E2"/>
    <w:rsid w:val="00FC3197"/>
    <w:rsid w:val="00FC482F"/>
    <w:rsid w:val="00FD543F"/>
    <w:rsid w:val="00FD680D"/>
    <w:rsid w:val="00FD7487"/>
    <w:rsid w:val="00FE2037"/>
    <w:rsid w:val="00FE7C85"/>
    <w:rsid w:val="00FF6F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FEDCC"/>
  <w15:docId w15:val="{9416228D-D711-4526-94A0-C847816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33856"/>
    <w:pPr>
      <w:ind w:left="720"/>
      <w:contextualSpacing/>
    </w:pPr>
  </w:style>
  <w:style w:type="character" w:styleId="Hyperlink">
    <w:name w:val="Hyperlink"/>
    <w:basedOn w:val="DefaultParagraphFont"/>
    <w:unhideWhenUsed/>
    <w:rsid w:val="00F33856"/>
    <w:rPr>
      <w:color w:val="0000FF" w:themeColor="hyperlink"/>
      <w:u w:val="single"/>
    </w:rPr>
  </w:style>
  <w:style w:type="table" w:styleId="TableGrid">
    <w:name w:val="Table Grid"/>
    <w:basedOn w:val="TableNormal"/>
    <w:uiPriority w:val="59"/>
    <w:rsid w:val="00B70F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C5427"/>
    <w:rPr>
      <w:rFonts w:ascii="Arial" w:eastAsia="SimSun" w:hAnsi="Arial" w:cs="Arial"/>
      <w:sz w:val="18"/>
      <w:lang w:val="en-US" w:eastAsia="zh-CN"/>
    </w:rPr>
  </w:style>
  <w:style w:type="character" w:styleId="FootnoteReference">
    <w:name w:val="footnote reference"/>
    <w:basedOn w:val="DefaultParagraphFont"/>
    <w:uiPriority w:val="99"/>
    <w:unhideWhenUsed/>
    <w:rsid w:val="004C5427"/>
    <w:rPr>
      <w:vertAlign w:val="superscript"/>
    </w:rPr>
  </w:style>
  <w:style w:type="character" w:styleId="CommentReference">
    <w:name w:val="annotation reference"/>
    <w:basedOn w:val="DefaultParagraphFont"/>
    <w:semiHidden/>
    <w:unhideWhenUsed/>
    <w:rsid w:val="00AA19E9"/>
    <w:rPr>
      <w:sz w:val="16"/>
      <w:szCs w:val="16"/>
    </w:rPr>
  </w:style>
  <w:style w:type="paragraph" w:styleId="CommentSubject">
    <w:name w:val="annotation subject"/>
    <w:basedOn w:val="CommentText"/>
    <w:next w:val="CommentText"/>
    <w:link w:val="CommentSubjectChar"/>
    <w:semiHidden/>
    <w:unhideWhenUsed/>
    <w:rsid w:val="00AA19E9"/>
    <w:rPr>
      <w:b/>
      <w:bCs/>
      <w:sz w:val="20"/>
    </w:rPr>
  </w:style>
  <w:style w:type="character" w:customStyle="1" w:styleId="CommentTextChar">
    <w:name w:val="Comment Text Char"/>
    <w:basedOn w:val="DefaultParagraphFont"/>
    <w:link w:val="CommentText"/>
    <w:semiHidden/>
    <w:rsid w:val="00AA1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A19E9"/>
    <w:rPr>
      <w:rFonts w:ascii="Arial" w:eastAsia="SimSun" w:hAnsi="Arial" w:cs="Arial"/>
      <w:b/>
      <w:bCs/>
      <w:sz w:val="18"/>
      <w:lang w:val="en-US" w:eastAsia="zh-CN"/>
    </w:rPr>
  </w:style>
  <w:style w:type="paragraph" w:styleId="BalloonText">
    <w:name w:val="Balloon Text"/>
    <w:basedOn w:val="Normal"/>
    <w:link w:val="BalloonTextChar"/>
    <w:semiHidden/>
    <w:unhideWhenUsed/>
    <w:rsid w:val="00AA19E9"/>
    <w:rPr>
      <w:rFonts w:ascii="Segoe UI" w:hAnsi="Segoe UI" w:cs="Segoe UI"/>
      <w:sz w:val="18"/>
      <w:szCs w:val="18"/>
    </w:rPr>
  </w:style>
  <w:style w:type="character" w:customStyle="1" w:styleId="BalloonTextChar">
    <w:name w:val="Balloon Text Char"/>
    <w:basedOn w:val="DefaultParagraphFont"/>
    <w:link w:val="BalloonText"/>
    <w:semiHidden/>
    <w:rsid w:val="00AA19E9"/>
    <w:rPr>
      <w:rFonts w:ascii="Segoe UI" w:eastAsia="SimSun" w:hAnsi="Segoe UI" w:cs="Segoe UI"/>
      <w:sz w:val="18"/>
      <w:szCs w:val="18"/>
      <w:lang w:val="en-US" w:eastAsia="zh-CN"/>
    </w:rPr>
  </w:style>
  <w:style w:type="paragraph" w:styleId="NormalWeb">
    <w:name w:val="Normal (Web)"/>
    <w:basedOn w:val="Normal"/>
    <w:uiPriority w:val="99"/>
    <w:semiHidden/>
    <w:unhideWhenUsed/>
    <w:rsid w:val="00AC6728"/>
    <w:pPr>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semiHidden/>
    <w:unhideWhenUsed/>
    <w:rsid w:val="00E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EC615F"/>
    <w:rPr>
      <w:rFonts w:ascii="Courier New" w:hAnsi="Courier New" w:cs="Courier New"/>
      <w:lang w:val="en-US" w:eastAsia="en-US"/>
    </w:rPr>
  </w:style>
  <w:style w:type="character" w:customStyle="1" w:styleId="y2iqfc">
    <w:name w:val="y2iqfc"/>
    <w:basedOn w:val="DefaultParagraphFont"/>
    <w:rsid w:val="00EC615F"/>
  </w:style>
  <w:style w:type="character" w:styleId="FollowedHyperlink">
    <w:name w:val="FollowedHyperlink"/>
    <w:basedOn w:val="DefaultParagraphFont"/>
    <w:semiHidden/>
    <w:unhideWhenUsed/>
    <w:rsid w:val="00DE0C54"/>
    <w:rPr>
      <w:color w:val="800080" w:themeColor="followedHyperlink"/>
      <w:u w:val="single"/>
    </w:rPr>
  </w:style>
  <w:style w:type="character" w:customStyle="1" w:styleId="FooterChar">
    <w:name w:val="Footer Char"/>
    <w:basedOn w:val="DefaultParagraphFont"/>
    <w:link w:val="Footer"/>
    <w:uiPriority w:val="99"/>
    <w:rsid w:val="00486CD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10835">
      <w:bodyDiv w:val="1"/>
      <w:marLeft w:val="0"/>
      <w:marRight w:val="0"/>
      <w:marTop w:val="0"/>
      <w:marBottom w:val="0"/>
      <w:divBdr>
        <w:top w:val="none" w:sz="0" w:space="0" w:color="auto"/>
        <w:left w:val="none" w:sz="0" w:space="0" w:color="auto"/>
        <w:bottom w:val="none" w:sz="0" w:space="0" w:color="auto"/>
        <w:right w:val="none" w:sz="0" w:space="0" w:color="auto"/>
      </w:divBdr>
    </w:div>
    <w:div w:id="292683811">
      <w:bodyDiv w:val="1"/>
      <w:marLeft w:val="0"/>
      <w:marRight w:val="0"/>
      <w:marTop w:val="0"/>
      <w:marBottom w:val="0"/>
      <w:divBdr>
        <w:top w:val="none" w:sz="0" w:space="0" w:color="auto"/>
        <w:left w:val="none" w:sz="0" w:space="0" w:color="auto"/>
        <w:bottom w:val="none" w:sz="0" w:space="0" w:color="auto"/>
        <w:right w:val="none" w:sz="0" w:space="0" w:color="auto"/>
      </w:divBdr>
    </w:div>
    <w:div w:id="1057245073">
      <w:bodyDiv w:val="1"/>
      <w:marLeft w:val="0"/>
      <w:marRight w:val="0"/>
      <w:marTop w:val="0"/>
      <w:marBottom w:val="0"/>
      <w:divBdr>
        <w:top w:val="none" w:sz="0" w:space="0" w:color="auto"/>
        <w:left w:val="none" w:sz="0" w:space="0" w:color="auto"/>
        <w:bottom w:val="none" w:sz="0" w:space="0" w:color="auto"/>
        <w:right w:val="none" w:sz="0" w:space="0" w:color="auto"/>
      </w:divBdr>
    </w:div>
    <w:div w:id="1201287877">
      <w:bodyDiv w:val="1"/>
      <w:marLeft w:val="0"/>
      <w:marRight w:val="0"/>
      <w:marTop w:val="0"/>
      <w:marBottom w:val="0"/>
      <w:divBdr>
        <w:top w:val="none" w:sz="0" w:space="0" w:color="auto"/>
        <w:left w:val="none" w:sz="0" w:space="0" w:color="auto"/>
        <w:bottom w:val="none" w:sz="0" w:space="0" w:color="auto"/>
        <w:right w:val="none" w:sz="0" w:space="0" w:color="auto"/>
      </w:divBdr>
    </w:div>
    <w:div w:id="1213806062">
      <w:bodyDiv w:val="1"/>
      <w:marLeft w:val="0"/>
      <w:marRight w:val="0"/>
      <w:marTop w:val="0"/>
      <w:marBottom w:val="0"/>
      <w:divBdr>
        <w:top w:val="none" w:sz="0" w:space="0" w:color="auto"/>
        <w:left w:val="none" w:sz="0" w:space="0" w:color="auto"/>
        <w:bottom w:val="none" w:sz="0" w:space="0" w:color="auto"/>
        <w:right w:val="none" w:sz="0" w:space="0" w:color="auto"/>
      </w:divBdr>
    </w:div>
    <w:div w:id="1264728672">
      <w:bodyDiv w:val="1"/>
      <w:marLeft w:val="0"/>
      <w:marRight w:val="0"/>
      <w:marTop w:val="0"/>
      <w:marBottom w:val="0"/>
      <w:divBdr>
        <w:top w:val="none" w:sz="0" w:space="0" w:color="auto"/>
        <w:left w:val="none" w:sz="0" w:space="0" w:color="auto"/>
        <w:bottom w:val="none" w:sz="0" w:space="0" w:color="auto"/>
        <w:right w:val="none" w:sz="0" w:space="0" w:color="auto"/>
      </w:divBdr>
    </w:div>
    <w:div w:id="153531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women-and-ip/zh/index.html" TargetMode="External"/><Relationship Id="rId4" Type="http://schemas.openxmlformats.org/officeDocument/2006/relationships/settings" Target="settings.xml"/><Relationship Id="rId9" Type="http://schemas.openxmlformats.org/officeDocument/2006/relationships/hyperlink" Target="https://www.wipo.int/meetings/en/doc_details.jsp?doc_id=42175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5253-6347-4E3A-A384-C18337C3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(E)</Template>
  <TotalTime>0</TotalTime>
  <Pages>8</Pages>
  <Words>7586</Words>
  <Characters>8201</Characters>
  <Application>Microsoft Office Word</Application>
  <DocSecurity>0</DocSecurity>
  <Lines>252</Lines>
  <Paragraphs>102</Paragraphs>
  <ScaleCrop>false</ScaleCrop>
  <HeadingPairs>
    <vt:vector size="2" baseType="variant">
      <vt:variant>
        <vt:lpstr>Title</vt:lpstr>
      </vt:variant>
      <vt:variant>
        <vt:i4>1</vt:i4>
      </vt:variant>
    </vt:vector>
  </HeadingPairs>
  <TitlesOfParts>
    <vt:vector size="1" baseType="lpstr">
      <vt:lpstr>CDIP/26/8</vt:lpstr>
    </vt:vector>
  </TitlesOfParts>
  <Company>WIPO</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CDIP/26/8</dc:title>
  <dc:subject>关于“妇女与知识产权：性别平等主流化、能力建设和对成员国的援助”报告</dc:subject>
  <dc:creator>MARTINEZ LIMÓN Cristina</dc:creator>
  <cp:keywords>FOR OFFICIAL USE ONLY</cp:keywords>
  <cp:lastModifiedBy>ESTEVES DOS SANTOS Anabela</cp:lastModifiedBy>
  <cp:revision>2</cp:revision>
  <cp:lastPrinted>2011-02-15T11:56:00Z</cp:lastPrinted>
  <dcterms:created xsi:type="dcterms:W3CDTF">2021-06-04T15:27:00Z</dcterms:created>
  <dcterms:modified xsi:type="dcterms:W3CDTF">2021-06-04T15:27:00Z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28a50743-3930-4afb-90f1-4e99cb0140af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