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744DE" w:rsidRPr="003744DE" w:rsidTr="003C5FBE">
        <w:trPr>
          <w:trHeight w:val="1977"/>
        </w:trPr>
        <w:tc>
          <w:tcPr>
            <w:tcW w:w="4594" w:type="dxa"/>
            <w:tcBorders>
              <w:bottom w:val="single" w:sz="4" w:space="0" w:color="auto"/>
            </w:tcBorders>
            <w:tcMar>
              <w:bottom w:w="170" w:type="dxa"/>
            </w:tcMar>
          </w:tcPr>
          <w:p w:rsidR="003744DE" w:rsidRPr="003744DE" w:rsidRDefault="003744DE" w:rsidP="003744DE">
            <w:pPr>
              <w:jc w:val="both"/>
            </w:pPr>
            <w:r w:rsidRPr="003744DE">
              <w:rPr>
                <w:noProof/>
              </w:rPr>
              <w:drawing>
                <wp:anchor distT="0" distB="0" distL="114300" distR="114300" simplePos="0" relativeHeight="251659264" behindDoc="1" locked="0" layoutInCell="0" allowOverlap="1" wp14:anchorId="4B152387" wp14:editId="0500BD9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744DE" w:rsidRPr="003744DE" w:rsidRDefault="003744DE" w:rsidP="003744DE"/>
        </w:tc>
        <w:tc>
          <w:tcPr>
            <w:tcW w:w="425" w:type="dxa"/>
            <w:tcBorders>
              <w:bottom w:val="single" w:sz="4" w:space="0" w:color="auto"/>
            </w:tcBorders>
            <w:tcMar>
              <w:left w:w="0" w:type="dxa"/>
              <w:right w:w="0" w:type="dxa"/>
            </w:tcMar>
          </w:tcPr>
          <w:p w:rsidR="003744DE" w:rsidRPr="003744DE" w:rsidRDefault="003744DE" w:rsidP="003744DE">
            <w:pPr>
              <w:jc w:val="right"/>
            </w:pPr>
            <w:r w:rsidRPr="003744DE">
              <w:rPr>
                <w:b/>
                <w:sz w:val="40"/>
                <w:szCs w:val="40"/>
              </w:rPr>
              <w:t>C</w:t>
            </w:r>
          </w:p>
        </w:tc>
      </w:tr>
      <w:tr w:rsidR="003744DE" w:rsidRPr="003744DE" w:rsidTr="003C5FBE">
        <w:trPr>
          <w:trHeight w:hRule="exact" w:val="340"/>
        </w:trPr>
        <w:tc>
          <w:tcPr>
            <w:tcW w:w="9356" w:type="dxa"/>
            <w:gridSpan w:val="3"/>
            <w:tcBorders>
              <w:top w:val="single" w:sz="4" w:space="0" w:color="auto"/>
            </w:tcBorders>
            <w:tcMar>
              <w:top w:w="170" w:type="dxa"/>
              <w:left w:w="0" w:type="dxa"/>
              <w:right w:w="0" w:type="dxa"/>
            </w:tcMar>
            <w:vAlign w:val="bottom"/>
          </w:tcPr>
          <w:p w:rsidR="003744DE" w:rsidRPr="003744DE" w:rsidRDefault="003744DE" w:rsidP="003744DE">
            <w:pPr>
              <w:jc w:val="right"/>
              <w:rPr>
                <w:rFonts w:ascii="Arial Black" w:hAnsi="Arial Black"/>
                <w:caps/>
                <w:sz w:val="15"/>
              </w:rPr>
            </w:pPr>
            <w:r w:rsidRPr="003744DE">
              <w:rPr>
                <w:rFonts w:ascii="Arial Black" w:hAnsi="Arial Black" w:hint="eastAsia"/>
                <w:caps/>
                <w:sz w:val="15"/>
              </w:rPr>
              <w:t>CDIP</w:t>
            </w:r>
            <w:r w:rsidRPr="003744DE">
              <w:rPr>
                <w:rFonts w:ascii="Arial Black" w:hAnsi="Arial Black"/>
                <w:caps/>
                <w:sz w:val="15"/>
              </w:rPr>
              <w:t>/</w:t>
            </w:r>
            <w:r w:rsidRPr="003744DE">
              <w:rPr>
                <w:rFonts w:ascii="Arial Black" w:hAnsi="Arial Black" w:hint="eastAsia"/>
                <w:caps/>
                <w:sz w:val="15"/>
              </w:rPr>
              <w:t>22</w:t>
            </w:r>
            <w:r w:rsidRPr="003744DE">
              <w:rPr>
                <w:rFonts w:ascii="Arial Black" w:hAnsi="Arial Black"/>
                <w:caps/>
                <w:sz w:val="15"/>
              </w:rPr>
              <w:t>/</w:t>
            </w:r>
            <w:bookmarkStart w:id="0" w:name="Code"/>
            <w:bookmarkEnd w:id="0"/>
            <w:r>
              <w:rPr>
                <w:rFonts w:ascii="Arial Black" w:hAnsi="Arial Black" w:hint="eastAsia"/>
                <w:caps/>
                <w:sz w:val="15"/>
              </w:rPr>
              <w:t>15</w:t>
            </w:r>
          </w:p>
        </w:tc>
      </w:tr>
      <w:tr w:rsidR="003744DE" w:rsidRPr="003744DE" w:rsidTr="003C5FBE">
        <w:trPr>
          <w:trHeight w:hRule="exact" w:val="170"/>
        </w:trPr>
        <w:tc>
          <w:tcPr>
            <w:tcW w:w="9356" w:type="dxa"/>
            <w:gridSpan w:val="3"/>
            <w:noWrap/>
            <w:tcMar>
              <w:left w:w="0" w:type="dxa"/>
              <w:right w:w="0" w:type="dxa"/>
            </w:tcMar>
            <w:vAlign w:val="bottom"/>
          </w:tcPr>
          <w:p w:rsidR="003744DE" w:rsidRPr="003744DE" w:rsidRDefault="003744DE" w:rsidP="003744DE">
            <w:pPr>
              <w:jc w:val="right"/>
              <w:rPr>
                <w:rFonts w:ascii="Arial Black" w:hAnsi="Arial Black"/>
                <w:b/>
                <w:caps/>
                <w:sz w:val="15"/>
                <w:szCs w:val="15"/>
              </w:rPr>
            </w:pPr>
            <w:r w:rsidRPr="003744DE">
              <w:rPr>
                <w:rFonts w:eastAsia="SimHei" w:hint="eastAsia"/>
                <w:b/>
                <w:sz w:val="15"/>
                <w:szCs w:val="15"/>
              </w:rPr>
              <w:t>原</w:t>
            </w:r>
            <w:r w:rsidRPr="003744DE">
              <w:rPr>
                <w:rFonts w:eastAsia="SimHei"/>
                <w:b/>
                <w:sz w:val="15"/>
                <w:szCs w:val="15"/>
                <w:lang w:val="pt-BR"/>
              </w:rPr>
              <w:t xml:space="preserve"> </w:t>
            </w:r>
            <w:r w:rsidRPr="003744DE">
              <w:rPr>
                <w:rFonts w:eastAsia="SimHei" w:hint="eastAsia"/>
                <w:b/>
                <w:sz w:val="15"/>
                <w:szCs w:val="15"/>
              </w:rPr>
              <w:t>文</w:t>
            </w:r>
            <w:r w:rsidRPr="003744DE">
              <w:rPr>
                <w:rFonts w:eastAsia="SimHei" w:hint="eastAsia"/>
                <w:b/>
                <w:sz w:val="15"/>
                <w:szCs w:val="15"/>
                <w:lang w:val="pt-BR"/>
              </w:rPr>
              <w:t>：</w:t>
            </w:r>
            <w:bookmarkStart w:id="1" w:name="Original"/>
            <w:bookmarkEnd w:id="1"/>
            <w:r w:rsidRPr="003744DE">
              <w:rPr>
                <w:rFonts w:eastAsia="SimHei" w:hint="eastAsia"/>
                <w:b/>
                <w:sz w:val="15"/>
                <w:szCs w:val="15"/>
                <w:lang w:val="pt-BR"/>
              </w:rPr>
              <w:t>英</w:t>
            </w:r>
            <w:r w:rsidRPr="003744DE">
              <w:rPr>
                <w:rFonts w:eastAsia="SimHei" w:hint="eastAsia"/>
                <w:b/>
                <w:sz w:val="15"/>
                <w:szCs w:val="15"/>
              </w:rPr>
              <w:t>文</w:t>
            </w:r>
          </w:p>
        </w:tc>
      </w:tr>
      <w:tr w:rsidR="003744DE" w:rsidRPr="003744DE" w:rsidTr="003C5FBE">
        <w:trPr>
          <w:trHeight w:hRule="exact" w:val="198"/>
        </w:trPr>
        <w:tc>
          <w:tcPr>
            <w:tcW w:w="9356" w:type="dxa"/>
            <w:gridSpan w:val="3"/>
            <w:tcMar>
              <w:left w:w="0" w:type="dxa"/>
              <w:right w:w="0" w:type="dxa"/>
            </w:tcMar>
            <w:vAlign w:val="bottom"/>
          </w:tcPr>
          <w:p w:rsidR="003744DE" w:rsidRPr="003744DE" w:rsidRDefault="003744DE" w:rsidP="003744DE">
            <w:pPr>
              <w:jc w:val="right"/>
              <w:rPr>
                <w:rFonts w:ascii="SimHei" w:eastAsia="SimHei" w:hAnsi="Arial Black"/>
                <w:b/>
                <w:caps/>
                <w:sz w:val="15"/>
                <w:szCs w:val="15"/>
              </w:rPr>
            </w:pPr>
            <w:r w:rsidRPr="003744DE">
              <w:rPr>
                <w:rFonts w:ascii="SimHei" w:eastAsia="SimHei" w:hint="eastAsia"/>
                <w:b/>
                <w:sz w:val="15"/>
                <w:szCs w:val="15"/>
              </w:rPr>
              <w:t>日</w:t>
            </w:r>
            <w:r w:rsidRPr="003744DE">
              <w:rPr>
                <w:rFonts w:ascii="SimHei" w:eastAsia="SimHei" w:hint="eastAsia"/>
                <w:b/>
                <w:sz w:val="15"/>
                <w:szCs w:val="15"/>
                <w:lang w:val="pt-BR"/>
              </w:rPr>
              <w:t xml:space="preserve"> </w:t>
            </w:r>
            <w:r w:rsidRPr="003744DE">
              <w:rPr>
                <w:rFonts w:ascii="SimHei" w:eastAsia="SimHei" w:hint="eastAsia"/>
                <w:b/>
                <w:sz w:val="15"/>
                <w:szCs w:val="15"/>
              </w:rPr>
              <w:t>期</w:t>
            </w:r>
            <w:r w:rsidRPr="003744DE">
              <w:rPr>
                <w:rFonts w:ascii="SimHei" w:eastAsia="SimHei" w:hAnsi="SimSun" w:hint="eastAsia"/>
                <w:b/>
                <w:sz w:val="15"/>
                <w:szCs w:val="15"/>
                <w:lang w:val="pt-BR"/>
              </w:rPr>
              <w:t>：</w:t>
            </w:r>
            <w:bookmarkStart w:id="2" w:name="Date"/>
            <w:bookmarkEnd w:id="2"/>
            <w:r w:rsidRPr="003744DE">
              <w:rPr>
                <w:rFonts w:ascii="Arial Black" w:eastAsia="SimHei" w:hAnsi="Arial Black"/>
                <w:b/>
                <w:sz w:val="15"/>
                <w:szCs w:val="15"/>
                <w:lang w:val="pt-BR"/>
              </w:rPr>
              <w:t>201</w:t>
            </w:r>
            <w:r w:rsidRPr="003744DE">
              <w:rPr>
                <w:rFonts w:ascii="Arial Black" w:eastAsia="SimHei" w:hAnsi="Arial Black" w:hint="eastAsia"/>
                <w:b/>
                <w:sz w:val="15"/>
                <w:szCs w:val="15"/>
                <w:lang w:val="pt-BR"/>
              </w:rPr>
              <w:t>8</w:t>
            </w:r>
            <w:r w:rsidRPr="003744DE">
              <w:rPr>
                <w:rFonts w:ascii="SimHei" w:eastAsia="SimHei" w:hAnsi="Times New Roman" w:hint="eastAsia"/>
                <w:b/>
                <w:sz w:val="15"/>
                <w:szCs w:val="15"/>
              </w:rPr>
              <w:t>年</w:t>
            </w:r>
            <w:r w:rsidRPr="003744DE">
              <w:rPr>
                <w:rFonts w:ascii="Arial Black" w:eastAsia="SimHei" w:hAnsi="Arial Black" w:hint="eastAsia"/>
                <w:b/>
                <w:sz w:val="15"/>
                <w:szCs w:val="15"/>
                <w:lang w:val="pt-BR"/>
              </w:rPr>
              <w:t>10</w:t>
            </w:r>
            <w:r w:rsidRPr="003744DE">
              <w:rPr>
                <w:rFonts w:ascii="SimHei" w:eastAsia="SimHei" w:hAnsi="Times New Roman" w:hint="eastAsia"/>
                <w:b/>
                <w:sz w:val="15"/>
                <w:szCs w:val="15"/>
              </w:rPr>
              <w:t>月</w:t>
            </w:r>
            <w:r>
              <w:rPr>
                <w:rFonts w:ascii="Arial Black" w:eastAsia="SimHei" w:hAnsi="Arial Black" w:hint="eastAsia"/>
                <w:b/>
                <w:sz w:val="15"/>
                <w:szCs w:val="15"/>
              </w:rPr>
              <w:t>17</w:t>
            </w:r>
            <w:r w:rsidRPr="003744DE">
              <w:rPr>
                <w:rFonts w:ascii="SimHei" w:eastAsia="SimHei" w:hAnsi="Times New Roman" w:hint="eastAsia"/>
                <w:b/>
                <w:sz w:val="15"/>
                <w:szCs w:val="15"/>
              </w:rPr>
              <w:t>日</w:t>
            </w:r>
            <w:r w:rsidRPr="003744DE">
              <w:rPr>
                <w:rFonts w:ascii="SimHei" w:eastAsia="SimHei" w:hAnsi="Arial Black" w:hint="eastAsia"/>
                <w:b/>
                <w:caps/>
                <w:sz w:val="15"/>
                <w:szCs w:val="15"/>
              </w:rPr>
              <w:t xml:space="preserve">  </w:t>
            </w:r>
          </w:p>
        </w:tc>
      </w:tr>
    </w:tbl>
    <w:p w:rsidR="003744DE" w:rsidRPr="003744DE" w:rsidRDefault="003744DE" w:rsidP="003744DE"/>
    <w:p w:rsidR="003744DE" w:rsidRPr="003744DE" w:rsidRDefault="003744DE" w:rsidP="003744DE"/>
    <w:p w:rsidR="003744DE" w:rsidRPr="003744DE" w:rsidRDefault="003744DE" w:rsidP="003744DE"/>
    <w:p w:rsidR="003744DE" w:rsidRPr="003744DE" w:rsidRDefault="003744DE" w:rsidP="003744DE"/>
    <w:p w:rsidR="003744DE" w:rsidRPr="003744DE" w:rsidRDefault="003744DE" w:rsidP="003744DE"/>
    <w:p w:rsidR="003744DE" w:rsidRPr="003744DE" w:rsidRDefault="003744DE" w:rsidP="003744DE">
      <w:pPr>
        <w:rPr>
          <w:rFonts w:ascii="SimHei" w:eastAsia="SimHei"/>
          <w:sz w:val="28"/>
          <w:szCs w:val="28"/>
        </w:rPr>
      </w:pPr>
      <w:r w:rsidRPr="003744DE">
        <w:rPr>
          <w:rFonts w:ascii="SimHei" w:eastAsia="SimHei" w:hint="eastAsia"/>
          <w:sz w:val="28"/>
          <w:szCs w:val="28"/>
        </w:rPr>
        <w:t>发展与知识产权委员会（CDIP）</w:t>
      </w:r>
    </w:p>
    <w:p w:rsidR="003744DE" w:rsidRPr="003744DE" w:rsidRDefault="003744DE" w:rsidP="003744DE"/>
    <w:p w:rsidR="003744DE" w:rsidRPr="003744DE" w:rsidRDefault="003744DE" w:rsidP="003744DE"/>
    <w:p w:rsidR="003744DE" w:rsidRPr="003744DE" w:rsidRDefault="003744DE" w:rsidP="003744DE">
      <w:pPr>
        <w:textAlignment w:val="bottom"/>
        <w:rPr>
          <w:rFonts w:ascii="KaiTi" w:eastAsia="KaiTi"/>
          <w:b/>
          <w:sz w:val="24"/>
          <w:szCs w:val="24"/>
        </w:rPr>
      </w:pPr>
      <w:r w:rsidRPr="003744DE">
        <w:rPr>
          <w:rFonts w:ascii="KaiTi" w:eastAsia="KaiTi" w:hint="eastAsia"/>
          <w:b/>
          <w:sz w:val="24"/>
          <w:szCs w:val="24"/>
        </w:rPr>
        <w:t>第二十二届会议</w:t>
      </w:r>
    </w:p>
    <w:p w:rsidR="003744DE" w:rsidRPr="003744DE" w:rsidRDefault="003744DE" w:rsidP="003744DE">
      <w:pPr>
        <w:textAlignment w:val="bottom"/>
        <w:rPr>
          <w:rFonts w:ascii="KaiTi" w:eastAsia="KaiTi" w:hAnsi="KaiTi"/>
          <w:b/>
          <w:sz w:val="24"/>
          <w:szCs w:val="24"/>
        </w:rPr>
      </w:pPr>
      <w:r w:rsidRPr="003744DE">
        <w:rPr>
          <w:rFonts w:ascii="KaiTi" w:eastAsia="KaiTi" w:hAnsi="KaiTi" w:hint="eastAsia"/>
          <w:sz w:val="24"/>
          <w:szCs w:val="24"/>
        </w:rPr>
        <w:t>2018</w:t>
      </w:r>
      <w:r w:rsidRPr="003744DE">
        <w:rPr>
          <w:rFonts w:ascii="KaiTi" w:eastAsia="KaiTi" w:hAnsi="KaiTi" w:hint="eastAsia"/>
          <w:b/>
          <w:sz w:val="24"/>
          <w:szCs w:val="24"/>
        </w:rPr>
        <w:t>年</w:t>
      </w:r>
      <w:r w:rsidRPr="003744DE">
        <w:rPr>
          <w:rFonts w:ascii="KaiTi" w:eastAsia="KaiTi" w:hAnsi="KaiTi" w:hint="eastAsia"/>
          <w:sz w:val="24"/>
          <w:szCs w:val="24"/>
        </w:rPr>
        <w:t>11</w:t>
      </w:r>
      <w:r w:rsidRPr="003744DE">
        <w:rPr>
          <w:rFonts w:ascii="KaiTi" w:eastAsia="KaiTi" w:hAnsi="KaiTi" w:hint="eastAsia"/>
          <w:b/>
          <w:sz w:val="24"/>
          <w:szCs w:val="24"/>
        </w:rPr>
        <w:t>月</w:t>
      </w:r>
      <w:r w:rsidRPr="003744DE">
        <w:rPr>
          <w:rFonts w:ascii="KaiTi" w:eastAsia="KaiTi" w:hAnsi="KaiTi" w:hint="eastAsia"/>
          <w:sz w:val="24"/>
          <w:szCs w:val="24"/>
        </w:rPr>
        <w:t>19</w:t>
      </w:r>
      <w:r w:rsidRPr="003744DE">
        <w:rPr>
          <w:rFonts w:ascii="KaiTi" w:eastAsia="KaiTi" w:hAnsi="KaiTi" w:hint="eastAsia"/>
          <w:b/>
          <w:sz w:val="24"/>
          <w:szCs w:val="24"/>
        </w:rPr>
        <w:t>日至</w:t>
      </w:r>
      <w:r w:rsidRPr="003744DE">
        <w:rPr>
          <w:rFonts w:ascii="KaiTi" w:eastAsia="KaiTi" w:hAnsi="KaiTi" w:hint="eastAsia"/>
          <w:sz w:val="24"/>
          <w:szCs w:val="24"/>
        </w:rPr>
        <w:t>23</w:t>
      </w:r>
      <w:r w:rsidRPr="003744DE">
        <w:rPr>
          <w:rFonts w:ascii="KaiTi" w:eastAsia="KaiTi" w:hAnsi="KaiTi" w:hint="eastAsia"/>
          <w:b/>
          <w:sz w:val="24"/>
          <w:szCs w:val="24"/>
        </w:rPr>
        <w:t>日，日内瓦</w:t>
      </w:r>
    </w:p>
    <w:p w:rsidR="003744DE" w:rsidRPr="003744DE" w:rsidRDefault="003744DE" w:rsidP="003744DE"/>
    <w:p w:rsidR="003744DE" w:rsidRPr="003744DE" w:rsidRDefault="003744DE" w:rsidP="003744DE"/>
    <w:p w:rsidR="003744DE" w:rsidRPr="003744DE" w:rsidRDefault="003744DE" w:rsidP="003744DE"/>
    <w:p w:rsidR="003744DE" w:rsidRPr="003744DE" w:rsidRDefault="003744DE" w:rsidP="003744DE">
      <w:pPr>
        <w:rPr>
          <w:rFonts w:ascii="KaiTi" w:eastAsia="KaiTi" w:hAnsi="KaiTi" w:cs="Times New Roman"/>
          <w:kern w:val="2"/>
          <w:sz w:val="24"/>
          <w:szCs w:val="32"/>
        </w:rPr>
      </w:pPr>
      <w:bookmarkStart w:id="3" w:name="TitleOfDoc"/>
      <w:bookmarkEnd w:id="3"/>
      <w:r w:rsidRPr="003744DE">
        <w:rPr>
          <w:rFonts w:ascii="KaiTi" w:eastAsia="KaiTi" w:hAnsi="KaiTi" w:cs="Times New Roman" w:hint="eastAsia"/>
          <w:kern w:val="2"/>
          <w:sz w:val="24"/>
          <w:szCs w:val="32"/>
        </w:rPr>
        <w:t>巴西提交的版权与数字环境中的内容分发试点项目提案</w:t>
      </w:r>
    </w:p>
    <w:p w:rsidR="003744DE" w:rsidRPr="003744DE" w:rsidRDefault="003744DE" w:rsidP="003744DE"/>
    <w:p w:rsidR="003744DE" w:rsidRPr="003744DE" w:rsidRDefault="003744DE" w:rsidP="003744DE">
      <w:pPr>
        <w:rPr>
          <w:rFonts w:ascii="KaiTi" w:eastAsia="KaiTi" w:hAnsi="STKaiti" w:cs="Times New Roman"/>
          <w:kern w:val="2"/>
          <w:sz w:val="21"/>
          <w:szCs w:val="24"/>
        </w:rPr>
      </w:pPr>
      <w:bookmarkStart w:id="4" w:name="Prepared"/>
      <w:bookmarkEnd w:id="4"/>
      <w:r w:rsidRPr="003744DE">
        <w:rPr>
          <w:rFonts w:ascii="KaiTi" w:eastAsia="KaiTi" w:hAnsi="STKaiti" w:cs="Times New Roman" w:hint="eastAsia"/>
          <w:kern w:val="2"/>
          <w:sz w:val="21"/>
          <w:szCs w:val="24"/>
        </w:rPr>
        <w:t>秘书处编拟</w:t>
      </w:r>
    </w:p>
    <w:p w:rsidR="003744DE" w:rsidRPr="003744DE" w:rsidRDefault="003744DE" w:rsidP="003744DE"/>
    <w:p w:rsidR="003744DE" w:rsidRPr="003744DE" w:rsidRDefault="003744DE" w:rsidP="003744DE"/>
    <w:p w:rsidR="003744DE" w:rsidRPr="003744DE" w:rsidRDefault="003744DE" w:rsidP="003744DE"/>
    <w:p w:rsidR="003744DE" w:rsidRPr="003744DE" w:rsidRDefault="003744DE" w:rsidP="003744DE"/>
    <w:p w:rsidR="003744DE" w:rsidRDefault="0017367B" w:rsidP="000902BE">
      <w:pPr>
        <w:overflowPunct w:val="0"/>
        <w:spacing w:afterLines="50" w:after="120" w:line="340" w:lineRule="atLeast"/>
        <w:jc w:val="both"/>
        <w:rPr>
          <w:rFonts w:ascii="SimSun" w:hAnsi="SimSun"/>
          <w:sz w:val="21"/>
          <w:szCs w:val="22"/>
        </w:rPr>
      </w:pPr>
      <w:r w:rsidRPr="003744DE">
        <w:rPr>
          <w:rFonts w:ascii="SimSun" w:hAnsi="SimSun"/>
          <w:sz w:val="21"/>
          <w:szCs w:val="22"/>
        </w:rPr>
        <w:fldChar w:fldCharType="begin"/>
      </w:r>
      <w:r w:rsidRPr="003744DE">
        <w:rPr>
          <w:rFonts w:ascii="SimSun" w:hAnsi="SimSun"/>
          <w:sz w:val="21"/>
          <w:szCs w:val="22"/>
        </w:rPr>
        <w:instrText xml:space="preserve"> AUTONUM  </w:instrText>
      </w:r>
      <w:r w:rsidRPr="003744DE">
        <w:rPr>
          <w:rFonts w:ascii="SimSun" w:hAnsi="SimSun"/>
          <w:sz w:val="21"/>
          <w:szCs w:val="22"/>
        </w:rPr>
        <w:fldChar w:fldCharType="end"/>
      </w:r>
      <w:r w:rsidR="000902BE">
        <w:rPr>
          <w:rFonts w:ascii="SimSun" w:hAnsi="SimSun" w:hint="eastAsia"/>
          <w:sz w:val="21"/>
          <w:szCs w:val="22"/>
        </w:rPr>
        <w:t>.</w:t>
      </w:r>
      <w:r w:rsidRPr="003744DE">
        <w:rPr>
          <w:rFonts w:ascii="SimSun" w:hAnsi="SimSun"/>
          <w:sz w:val="21"/>
          <w:szCs w:val="22"/>
        </w:rPr>
        <w:tab/>
      </w:r>
      <w:r w:rsidR="00637125" w:rsidRPr="003744DE">
        <w:rPr>
          <w:rFonts w:ascii="SimSun" w:hAnsi="SimSun" w:hint="eastAsia"/>
          <w:sz w:val="21"/>
          <w:szCs w:val="22"/>
        </w:rPr>
        <w:t>在秘书处收到的2018年10月16日的来文中，巴西常驻世界贸易组织（世贸组织）代表团提出了一个题为“</w:t>
      </w:r>
      <w:r w:rsidR="0069181F" w:rsidRPr="003744DE">
        <w:rPr>
          <w:rFonts w:ascii="SimSun" w:hAnsi="SimSun" w:hint="eastAsia"/>
          <w:sz w:val="21"/>
          <w:szCs w:val="22"/>
        </w:rPr>
        <w:t>版权与数字环境中的内容分发试点项目</w:t>
      </w:r>
      <w:r w:rsidR="00637125" w:rsidRPr="003744DE">
        <w:rPr>
          <w:rFonts w:ascii="SimSun" w:hAnsi="SimSun" w:hint="eastAsia"/>
          <w:sz w:val="21"/>
          <w:szCs w:val="22"/>
        </w:rPr>
        <w:t>”的项目</w:t>
      </w:r>
      <w:r w:rsidR="00483DE9" w:rsidRPr="003744DE">
        <w:rPr>
          <w:rFonts w:ascii="SimSun" w:hAnsi="SimSun" w:hint="eastAsia"/>
          <w:sz w:val="21"/>
          <w:szCs w:val="22"/>
        </w:rPr>
        <w:t>，供</w:t>
      </w:r>
      <w:r w:rsidR="00637125" w:rsidRPr="003744DE">
        <w:rPr>
          <w:rFonts w:ascii="SimSun" w:hAnsi="SimSun" w:hint="eastAsia"/>
          <w:sz w:val="21"/>
          <w:szCs w:val="22"/>
        </w:rPr>
        <w:t>发展与知识产权委员会（CDIP）第二十二届会议</w:t>
      </w:r>
      <w:r w:rsidR="00483DE9" w:rsidRPr="003744DE">
        <w:rPr>
          <w:rFonts w:ascii="SimSun" w:hAnsi="SimSun" w:hint="eastAsia"/>
          <w:sz w:val="21"/>
          <w:szCs w:val="22"/>
        </w:rPr>
        <w:t>审议</w:t>
      </w:r>
      <w:r w:rsidR="00637125" w:rsidRPr="003744DE">
        <w:rPr>
          <w:rFonts w:ascii="SimSun" w:hAnsi="SimSun" w:hint="eastAsia"/>
          <w:sz w:val="21"/>
          <w:szCs w:val="22"/>
        </w:rPr>
        <w:t>。</w:t>
      </w:r>
    </w:p>
    <w:p w:rsidR="003744DE" w:rsidRDefault="0017367B" w:rsidP="000902BE">
      <w:pPr>
        <w:overflowPunct w:val="0"/>
        <w:spacing w:afterLines="50" w:after="120" w:line="340" w:lineRule="atLeast"/>
        <w:jc w:val="both"/>
        <w:rPr>
          <w:rStyle w:val="ONUMFSChar"/>
          <w:rFonts w:ascii="SimSun" w:hAnsi="SimSun"/>
          <w:sz w:val="21"/>
          <w:szCs w:val="22"/>
        </w:rPr>
      </w:pPr>
      <w:r w:rsidRPr="003744DE">
        <w:rPr>
          <w:rStyle w:val="ONUMFSChar"/>
          <w:rFonts w:ascii="SimSun" w:hAnsi="SimSun"/>
          <w:sz w:val="21"/>
          <w:szCs w:val="22"/>
        </w:rPr>
        <w:fldChar w:fldCharType="begin"/>
      </w:r>
      <w:r w:rsidRPr="003744DE">
        <w:rPr>
          <w:rStyle w:val="ONUMFSChar"/>
          <w:rFonts w:ascii="SimSun" w:hAnsi="SimSun"/>
          <w:sz w:val="21"/>
          <w:szCs w:val="22"/>
        </w:rPr>
        <w:instrText xml:space="preserve"> AUTONUM  </w:instrText>
      </w:r>
      <w:r w:rsidRPr="003744DE">
        <w:rPr>
          <w:rStyle w:val="ONUMFSChar"/>
          <w:rFonts w:ascii="SimSun" w:hAnsi="SimSun"/>
          <w:sz w:val="21"/>
          <w:szCs w:val="22"/>
        </w:rPr>
        <w:fldChar w:fldCharType="end"/>
      </w:r>
      <w:r w:rsidR="000902BE">
        <w:rPr>
          <w:rStyle w:val="ONUMFSChar"/>
          <w:rFonts w:ascii="SimSun" w:hAnsi="SimSun" w:hint="eastAsia"/>
          <w:sz w:val="21"/>
          <w:szCs w:val="22"/>
        </w:rPr>
        <w:t>.</w:t>
      </w:r>
      <w:r w:rsidRPr="003744DE">
        <w:rPr>
          <w:rStyle w:val="ONUMFSChar"/>
          <w:rFonts w:ascii="SimSun" w:hAnsi="SimSun"/>
          <w:sz w:val="21"/>
          <w:szCs w:val="22"/>
        </w:rPr>
        <w:tab/>
      </w:r>
      <w:r w:rsidR="003C7D1C" w:rsidRPr="003744DE">
        <w:rPr>
          <w:rFonts w:ascii="SimSun" w:hAnsi="SimSun" w:hint="eastAsia"/>
          <w:sz w:val="21"/>
        </w:rPr>
        <w:t>上述项目提案载于本文件</w:t>
      </w:r>
      <w:r w:rsidR="0012233B" w:rsidRPr="003744DE">
        <w:rPr>
          <w:rFonts w:ascii="SimSun" w:hAnsi="SimSun" w:hint="eastAsia"/>
          <w:sz w:val="21"/>
        </w:rPr>
        <w:t>的</w:t>
      </w:r>
      <w:r w:rsidR="003C7D1C" w:rsidRPr="003744DE">
        <w:rPr>
          <w:rFonts w:ascii="SimSun" w:hAnsi="SimSun" w:hint="eastAsia"/>
          <w:sz w:val="21"/>
        </w:rPr>
        <w:t>附件</w:t>
      </w:r>
      <w:r w:rsidR="0012233B" w:rsidRPr="003744DE">
        <w:rPr>
          <w:rFonts w:ascii="SimSun" w:hAnsi="SimSun" w:hint="eastAsia"/>
          <w:sz w:val="21"/>
        </w:rPr>
        <w:t>中</w:t>
      </w:r>
      <w:r w:rsidR="003C7D1C" w:rsidRPr="003744DE">
        <w:rPr>
          <w:rFonts w:ascii="SimSun" w:hAnsi="SimSun" w:hint="eastAsia"/>
          <w:sz w:val="21"/>
        </w:rPr>
        <w:t>。</w:t>
      </w:r>
    </w:p>
    <w:p w:rsidR="003744DE" w:rsidRPr="000902BE" w:rsidRDefault="0017367B" w:rsidP="000902BE">
      <w:pPr>
        <w:tabs>
          <w:tab w:val="left" w:pos="567"/>
        </w:tabs>
        <w:overflowPunct w:val="0"/>
        <w:spacing w:afterLines="50" w:after="120" w:line="340" w:lineRule="atLeast"/>
        <w:ind w:left="5534"/>
        <w:jc w:val="both"/>
        <w:rPr>
          <w:rStyle w:val="ONUMFSChar"/>
          <w:rFonts w:ascii="KaiTi" w:eastAsia="KaiTi" w:hAnsi="KaiTi"/>
          <w:sz w:val="21"/>
          <w:szCs w:val="22"/>
        </w:rPr>
      </w:pPr>
      <w:r w:rsidRPr="000902BE">
        <w:rPr>
          <w:rStyle w:val="ONUMFSChar"/>
          <w:rFonts w:ascii="KaiTi" w:eastAsia="KaiTi" w:hAnsi="KaiTi"/>
          <w:sz w:val="21"/>
          <w:szCs w:val="22"/>
        </w:rPr>
        <w:fldChar w:fldCharType="begin" w:fldLock="1"/>
      </w:r>
      <w:r w:rsidRPr="000902BE">
        <w:rPr>
          <w:rStyle w:val="ONUMFSChar"/>
          <w:rFonts w:ascii="KaiTi" w:eastAsia="KaiTi" w:hAnsi="KaiTi"/>
          <w:sz w:val="21"/>
          <w:szCs w:val="22"/>
        </w:rPr>
        <w:instrText xml:space="preserve"> AUTONUM  </w:instrText>
      </w:r>
      <w:r w:rsidRPr="000902BE">
        <w:rPr>
          <w:rStyle w:val="ONUMFSChar"/>
          <w:rFonts w:ascii="KaiTi" w:eastAsia="KaiTi" w:hAnsi="KaiTi"/>
          <w:sz w:val="21"/>
          <w:szCs w:val="22"/>
        </w:rPr>
        <w:fldChar w:fldCharType="end"/>
      </w:r>
      <w:r w:rsidR="000902BE" w:rsidRPr="000902BE">
        <w:rPr>
          <w:rStyle w:val="ONUMFSChar"/>
          <w:rFonts w:ascii="KaiTi" w:eastAsia="KaiTi" w:hAnsi="KaiTi" w:hint="eastAsia"/>
          <w:sz w:val="21"/>
          <w:szCs w:val="22"/>
        </w:rPr>
        <w:t>.</w:t>
      </w:r>
      <w:r w:rsidRPr="000902BE">
        <w:rPr>
          <w:rStyle w:val="ONUMFSChar"/>
          <w:rFonts w:ascii="KaiTi" w:eastAsia="KaiTi" w:hAnsi="KaiTi"/>
          <w:sz w:val="21"/>
          <w:szCs w:val="22"/>
        </w:rPr>
        <w:tab/>
      </w:r>
      <w:r w:rsidR="003C7D1C" w:rsidRPr="000902BE">
        <w:rPr>
          <w:rStyle w:val="ONUMFSChar"/>
          <w:rFonts w:ascii="KaiTi" w:eastAsia="KaiTi" w:hAnsi="KaiTi" w:hint="eastAsia"/>
          <w:sz w:val="21"/>
          <w:szCs w:val="22"/>
        </w:rPr>
        <w:t>请CDIP审议本文件附件。</w:t>
      </w:r>
    </w:p>
    <w:p w:rsidR="000902BE" w:rsidRDefault="000902BE" w:rsidP="000902BE">
      <w:pPr>
        <w:pStyle w:val="Endofdocument-Annex"/>
        <w:overflowPunct w:val="0"/>
        <w:spacing w:afterLines="50" w:after="120" w:line="340" w:lineRule="atLeast"/>
        <w:jc w:val="both"/>
        <w:rPr>
          <w:rFonts w:ascii="KaiTi" w:eastAsia="KaiTi" w:hAnsi="KaiTi" w:hint="eastAsia"/>
          <w:sz w:val="21"/>
          <w:szCs w:val="22"/>
        </w:rPr>
      </w:pPr>
    </w:p>
    <w:p w:rsidR="000902BE" w:rsidRDefault="0017367B" w:rsidP="000902BE">
      <w:pPr>
        <w:pStyle w:val="Endofdocument-Annex"/>
        <w:overflowPunct w:val="0"/>
        <w:spacing w:afterLines="50" w:after="120" w:line="340" w:lineRule="atLeast"/>
        <w:jc w:val="both"/>
        <w:rPr>
          <w:rFonts w:ascii="KaiTi" w:eastAsia="KaiTi" w:hAnsi="KaiTi"/>
          <w:sz w:val="21"/>
          <w:szCs w:val="22"/>
        </w:rPr>
      </w:pPr>
      <w:r w:rsidRPr="000902BE">
        <w:rPr>
          <w:rFonts w:ascii="KaiTi" w:eastAsia="KaiTi" w:hAnsi="KaiTi"/>
          <w:sz w:val="21"/>
          <w:szCs w:val="22"/>
        </w:rPr>
        <w:t>[</w:t>
      </w:r>
      <w:r w:rsidR="003C7D1C" w:rsidRPr="000902BE">
        <w:rPr>
          <w:rFonts w:ascii="KaiTi" w:eastAsia="KaiTi" w:hAnsi="KaiTi" w:hint="eastAsia"/>
          <w:sz w:val="21"/>
          <w:szCs w:val="22"/>
        </w:rPr>
        <w:t>后接附件</w:t>
      </w:r>
      <w:r w:rsidRPr="000902BE">
        <w:rPr>
          <w:rFonts w:ascii="KaiTi" w:eastAsia="KaiTi" w:hAnsi="KaiTi"/>
          <w:sz w:val="21"/>
          <w:szCs w:val="22"/>
        </w:rPr>
        <w:t>]</w:t>
      </w:r>
    </w:p>
    <w:p w:rsidR="00407BC5" w:rsidRPr="003744DE" w:rsidRDefault="00407BC5" w:rsidP="006050B4">
      <w:pPr>
        <w:pStyle w:val="Endofdocument-Annex"/>
        <w:rPr>
          <w:rFonts w:ascii="SimSun" w:hAnsi="SimSun"/>
          <w:sz w:val="21"/>
          <w:szCs w:val="22"/>
        </w:rPr>
      </w:pPr>
    </w:p>
    <w:p w:rsidR="00407BC5" w:rsidRPr="003744DE" w:rsidRDefault="00407BC5" w:rsidP="006050B4">
      <w:pPr>
        <w:pStyle w:val="Endofdocument-Annex"/>
        <w:rPr>
          <w:rFonts w:ascii="SimSun" w:hAnsi="SimSun"/>
          <w:sz w:val="21"/>
          <w:szCs w:val="22"/>
        </w:rPr>
        <w:sectPr w:rsidR="00407BC5" w:rsidRPr="003744DE" w:rsidSect="00AC0227">
          <w:headerReference w:type="default" r:id="rId10"/>
          <w:endnotePr>
            <w:numFmt w:val="decimal"/>
          </w:endnotePr>
          <w:pgSz w:w="11907" w:h="16840" w:code="9"/>
          <w:pgMar w:top="567" w:right="1134" w:bottom="1418" w:left="1418" w:header="510" w:footer="1021" w:gutter="0"/>
          <w:cols w:space="720"/>
          <w:titlePg/>
          <w:docGrid w:linePitch="299"/>
        </w:sectPr>
      </w:pPr>
    </w:p>
    <w:p w:rsidR="003744DE" w:rsidRPr="000902BE" w:rsidRDefault="0069181F" w:rsidP="000902BE">
      <w:pPr>
        <w:pStyle w:val="1"/>
        <w:spacing w:beforeLines="100" w:afterLines="50" w:after="120" w:line="340" w:lineRule="atLeast"/>
        <w:rPr>
          <w:rFonts w:ascii="SimHei" w:eastAsia="SimHei" w:hAnsi="SimHei"/>
          <w:b w:val="0"/>
          <w:sz w:val="15"/>
        </w:rPr>
      </w:pPr>
      <w:r w:rsidRPr="000902BE">
        <w:rPr>
          <w:rFonts w:ascii="SimHei" w:eastAsia="SimHei" w:hAnsi="SimHei" w:hint="eastAsia"/>
          <w:b w:val="0"/>
          <w:color w:val="333333"/>
          <w:sz w:val="21"/>
          <w:szCs w:val="30"/>
          <w:shd w:val="clear" w:color="auto" w:fill="FCFCFC"/>
        </w:rPr>
        <w:lastRenderedPageBreak/>
        <w:t>版权与数字环境中的内容分发试点项目</w:t>
      </w:r>
      <w:r w:rsidR="005017BA" w:rsidRPr="000902BE">
        <w:rPr>
          <w:rFonts w:ascii="SimHei" w:eastAsia="SimHei" w:hAnsi="SimHei" w:hint="eastAsia"/>
          <w:b w:val="0"/>
          <w:color w:val="333333"/>
          <w:sz w:val="21"/>
          <w:szCs w:val="30"/>
          <w:shd w:val="clear" w:color="auto" w:fill="FCFCFC"/>
        </w:rPr>
        <w:t>提案</w:t>
      </w:r>
    </w:p>
    <w:tbl>
      <w:tblPr>
        <w:tblStyle w:val="af"/>
        <w:tblW w:w="9610" w:type="dxa"/>
        <w:tblInd w:w="-34" w:type="dxa"/>
        <w:tblLayout w:type="fixed"/>
        <w:tblLook w:val="01E0" w:firstRow="1" w:lastRow="1" w:firstColumn="1" w:lastColumn="1" w:noHBand="0" w:noVBand="0"/>
      </w:tblPr>
      <w:tblGrid>
        <w:gridCol w:w="2410"/>
        <w:gridCol w:w="7200"/>
      </w:tblGrid>
      <w:tr w:rsidR="00E1701D" w:rsidRPr="000902BE" w:rsidTr="00553B2C">
        <w:tc>
          <w:tcPr>
            <w:tcW w:w="9610" w:type="dxa"/>
            <w:gridSpan w:val="2"/>
            <w:shd w:val="clear" w:color="auto" w:fill="auto"/>
          </w:tcPr>
          <w:p w:rsidR="00E1701D" w:rsidRPr="000902BE" w:rsidRDefault="00E1701D" w:rsidP="000902BE">
            <w:pPr>
              <w:spacing w:afterLines="50" w:after="120" w:line="340" w:lineRule="atLeast"/>
              <w:rPr>
                <w:rFonts w:asciiTheme="minorEastAsia" w:eastAsiaTheme="minorEastAsia" w:hAnsiTheme="minorEastAsia"/>
                <w:b/>
                <w:bCs/>
                <w:iCs/>
                <w:sz w:val="21"/>
                <w:szCs w:val="21"/>
              </w:rPr>
            </w:pPr>
            <w:r w:rsidRPr="000902BE">
              <w:rPr>
                <w:rFonts w:asciiTheme="minorEastAsia" w:eastAsiaTheme="minorEastAsia" w:hAnsiTheme="minorEastAsia"/>
                <w:b/>
                <w:bCs/>
                <w:iCs/>
                <w:sz w:val="21"/>
                <w:szCs w:val="21"/>
              </w:rPr>
              <w:t>1.</w:t>
            </w:r>
            <w:r w:rsidR="000902BE" w:rsidRPr="000902BE">
              <w:rPr>
                <w:rFonts w:asciiTheme="minorEastAsia" w:eastAsiaTheme="minorEastAsia" w:hAnsiTheme="minorEastAsia" w:hint="eastAsia"/>
                <w:b/>
                <w:bCs/>
                <w:iCs/>
                <w:sz w:val="21"/>
                <w:szCs w:val="21"/>
              </w:rPr>
              <w:t>概述</w:t>
            </w:r>
          </w:p>
        </w:tc>
      </w:tr>
      <w:tr w:rsidR="00E1701D" w:rsidRPr="000902BE" w:rsidTr="00553B2C">
        <w:tc>
          <w:tcPr>
            <w:tcW w:w="2410" w:type="dxa"/>
            <w:shd w:val="clear" w:color="auto" w:fill="auto"/>
          </w:tcPr>
          <w:p w:rsidR="00E1701D" w:rsidRPr="000902BE" w:rsidRDefault="005017BA" w:rsidP="000902BE">
            <w:pPr>
              <w:spacing w:after="50" w:line="340" w:lineRule="atLeast"/>
              <w:rPr>
                <w:rFonts w:ascii="KaiTi" w:eastAsia="KaiTi" w:hAnsi="KaiTi"/>
                <w:szCs w:val="22"/>
              </w:rPr>
            </w:pPr>
            <w:r w:rsidRPr="000902BE">
              <w:rPr>
                <w:rFonts w:ascii="KaiTi" w:eastAsia="KaiTi" w:hAnsi="KaiTi" w:hint="eastAsia"/>
                <w:sz w:val="21"/>
                <w:szCs w:val="22"/>
              </w:rPr>
              <w:t>项目编号</w:t>
            </w:r>
          </w:p>
        </w:tc>
        <w:tc>
          <w:tcPr>
            <w:tcW w:w="7200" w:type="dxa"/>
          </w:tcPr>
          <w:p w:rsidR="00E1701D" w:rsidRPr="000902BE" w:rsidRDefault="00E1701D" w:rsidP="000902BE">
            <w:pPr>
              <w:spacing w:after="50" w:line="340" w:lineRule="atLeast"/>
              <w:rPr>
                <w:rFonts w:asciiTheme="majorEastAsia" w:eastAsiaTheme="majorEastAsia" w:hAnsiTheme="majorEastAsia"/>
                <w:szCs w:val="22"/>
              </w:rPr>
            </w:pPr>
            <w:r w:rsidRPr="000902BE">
              <w:rPr>
                <w:rFonts w:asciiTheme="majorEastAsia" w:eastAsiaTheme="majorEastAsia" w:hAnsiTheme="majorEastAsia"/>
                <w:sz w:val="21"/>
                <w:szCs w:val="22"/>
              </w:rPr>
              <w:t>DA_1_3_4_10_11_16_25_35_01</w:t>
            </w:r>
          </w:p>
        </w:tc>
      </w:tr>
      <w:tr w:rsidR="00E1701D" w:rsidRPr="000902BE" w:rsidTr="00553B2C">
        <w:tc>
          <w:tcPr>
            <w:tcW w:w="2410" w:type="dxa"/>
            <w:shd w:val="clear" w:color="auto" w:fill="auto"/>
          </w:tcPr>
          <w:p w:rsidR="00E1701D" w:rsidRPr="000902BE" w:rsidRDefault="005017BA" w:rsidP="000902BE">
            <w:pPr>
              <w:spacing w:after="50" w:line="340" w:lineRule="atLeast"/>
              <w:rPr>
                <w:rFonts w:ascii="KaiTi" w:eastAsia="KaiTi" w:hAnsi="KaiTi"/>
                <w:b/>
                <w:sz w:val="21"/>
                <w:szCs w:val="22"/>
              </w:rPr>
            </w:pPr>
            <w:r w:rsidRPr="000902BE">
              <w:rPr>
                <w:rFonts w:ascii="KaiTi" w:eastAsia="KaiTi" w:hAnsi="KaiTi" w:hint="eastAsia"/>
                <w:sz w:val="21"/>
                <w:szCs w:val="22"/>
              </w:rPr>
              <w:t>活动/倡议标题</w:t>
            </w:r>
          </w:p>
        </w:tc>
        <w:tc>
          <w:tcPr>
            <w:tcW w:w="7200" w:type="dxa"/>
          </w:tcPr>
          <w:p w:rsidR="00E1701D" w:rsidRPr="000902BE" w:rsidRDefault="0069181F" w:rsidP="000902BE">
            <w:pPr>
              <w:spacing w:after="50" w:line="340" w:lineRule="atLeast"/>
              <w:rPr>
                <w:rFonts w:asciiTheme="majorEastAsia" w:eastAsiaTheme="majorEastAsia" w:hAnsiTheme="majorEastAsia"/>
                <w:sz w:val="21"/>
                <w:szCs w:val="22"/>
              </w:rPr>
            </w:pPr>
            <w:r w:rsidRPr="000902BE">
              <w:rPr>
                <w:rFonts w:asciiTheme="majorEastAsia" w:eastAsiaTheme="majorEastAsia" w:hAnsiTheme="majorEastAsia" w:hint="eastAsia"/>
                <w:bCs/>
                <w:iCs/>
                <w:caps/>
                <w:sz w:val="21"/>
                <w:szCs w:val="28"/>
              </w:rPr>
              <w:t>版权与数字环境中的内容分发试点项目</w:t>
            </w:r>
          </w:p>
        </w:tc>
      </w:tr>
      <w:tr w:rsidR="00E1701D" w:rsidRPr="000902BE" w:rsidTr="00553B2C">
        <w:tc>
          <w:tcPr>
            <w:tcW w:w="2410" w:type="dxa"/>
            <w:shd w:val="clear" w:color="auto" w:fill="auto"/>
          </w:tcPr>
          <w:p w:rsidR="00E1701D" w:rsidRPr="000902BE" w:rsidRDefault="0089717E" w:rsidP="000902BE">
            <w:pPr>
              <w:spacing w:after="50" w:line="340" w:lineRule="atLeast"/>
              <w:rPr>
                <w:rFonts w:ascii="KaiTi" w:eastAsia="KaiTi" w:hAnsi="KaiTi"/>
                <w:sz w:val="21"/>
                <w:szCs w:val="22"/>
              </w:rPr>
            </w:pPr>
            <w:r w:rsidRPr="000902BE">
              <w:rPr>
                <w:rFonts w:ascii="KaiTi" w:eastAsia="KaiTi" w:hAnsi="KaiTi" w:hint="eastAsia"/>
                <w:sz w:val="21"/>
                <w:szCs w:val="22"/>
              </w:rPr>
              <w:t>发展议程建议</w:t>
            </w:r>
          </w:p>
        </w:tc>
        <w:tc>
          <w:tcPr>
            <w:tcW w:w="7200" w:type="dxa"/>
          </w:tcPr>
          <w:p w:rsidR="00E1701D" w:rsidRPr="000902BE" w:rsidRDefault="0089717E" w:rsidP="000902BE">
            <w:pPr>
              <w:spacing w:after="50" w:line="340" w:lineRule="atLeast"/>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建议</w:t>
            </w:r>
            <w:r w:rsidR="00E1701D" w:rsidRPr="000902BE">
              <w:rPr>
                <w:rFonts w:asciiTheme="majorEastAsia" w:eastAsiaTheme="majorEastAsia" w:hAnsiTheme="majorEastAsia"/>
                <w:sz w:val="21"/>
                <w:szCs w:val="22"/>
              </w:rPr>
              <w:t>1</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3</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4</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10</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11</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16</w:t>
            </w:r>
            <w:r w:rsidRPr="000902BE">
              <w:rPr>
                <w:rFonts w:asciiTheme="majorEastAsia" w:eastAsiaTheme="majorEastAsia" w:hAnsiTheme="majorEastAsia"/>
                <w:sz w:val="21"/>
                <w:szCs w:val="22"/>
              </w:rPr>
              <w:t>、</w:t>
            </w:r>
            <w:r w:rsidR="00E1701D" w:rsidRPr="000902BE">
              <w:rPr>
                <w:rFonts w:asciiTheme="majorEastAsia" w:eastAsiaTheme="majorEastAsia" w:hAnsiTheme="majorEastAsia"/>
                <w:sz w:val="21"/>
                <w:szCs w:val="22"/>
              </w:rPr>
              <w:t>25</w:t>
            </w:r>
            <w:r w:rsidRPr="000902BE">
              <w:rPr>
                <w:rFonts w:asciiTheme="majorEastAsia" w:eastAsiaTheme="majorEastAsia" w:hAnsiTheme="majorEastAsia" w:hint="eastAsia"/>
                <w:sz w:val="21"/>
                <w:szCs w:val="22"/>
              </w:rPr>
              <w:t>和</w:t>
            </w:r>
            <w:r w:rsidRPr="000902BE">
              <w:rPr>
                <w:rFonts w:asciiTheme="majorEastAsia" w:eastAsiaTheme="majorEastAsia" w:hAnsiTheme="majorEastAsia"/>
                <w:sz w:val="21"/>
                <w:szCs w:val="22"/>
              </w:rPr>
              <w:t>35</w:t>
            </w:r>
            <w:r w:rsidRPr="000902BE">
              <w:rPr>
                <w:rFonts w:asciiTheme="majorEastAsia" w:eastAsiaTheme="majorEastAsia" w:hAnsiTheme="majorEastAsia" w:hint="eastAsia"/>
                <w:sz w:val="21"/>
                <w:szCs w:val="22"/>
              </w:rPr>
              <w:t>。</w:t>
            </w:r>
          </w:p>
        </w:tc>
      </w:tr>
      <w:tr w:rsidR="00E1701D" w:rsidRPr="000902BE" w:rsidTr="00553B2C">
        <w:tc>
          <w:tcPr>
            <w:tcW w:w="2410" w:type="dxa"/>
            <w:shd w:val="clear" w:color="auto" w:fill="auto"/>
          </w:tcPr>
          <w:p w:rsidR="00E1701D" w:rsidRPr="000902BE" w:rsidRDefault="0089717E" w:rsidP="000902BE">
            <w:pPr>
              <w:spacing w:after="50" w:line="340" w:lineRule="atLeast"/>
              <w:rPr>
                <w:rFonts w:ascii="KaiTi" w:eastAsia="KaiTi" w:hAnsi="KaiTi"/>
                <w:b/>
                <w:sz w:val="21"/>
                <w:szCs w:val="22"/>
              </w:rPr>
            </w:pPr>
            <w:r w:rsidRPr="000902BE">
              <w:rPr>
                <w:rFonts w:ascii="KaiTi" w:eastAsia="KaiTi" w:hAnsi="KaiTi" w:hint="eastAsia"/>
                <w:sz w:val="21"/>
                <w:szCs w:val="22"/>
              </w:rPr>
              <w:t>活动/倡议简介</w:t>
            </w:r>
          </w:p>
        </w:tc>
        <w:tc>
          <w:tcPr>
            <w:tcW w:w="7200" w:type="dxa"/>
          </w:tcPr>
          <w:p w:rsidR="003744DE" w:rsidRPr="000902BE" w:rsidRDefault="008332B3" w:rsidP="000F3FC3">
            <w:pPr>
              <w:spacing w:after="50" w:line="340" w:lineRule="atLeast"/>
              <w:jc w:val="both"/>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拟议的试点项目旨在提供</w:t>
            </w:r>
            <w:r w:rsidR="001765EB" w:rsidRPr="000902BE">
              <w:rPr>
                <w:rFonts w:asciiTheme="majorEastAsia" w:eastAsiaTheme="majorEastAsia" w:hAnsiTheme="majorEastAsia" w:hint="eastAsia"/>
                <w:sz w:val="21"/>
                <w:szCs w:val="22"/>
              </w:rPr>
              <w:t>明确信息，</w:t>
            </w:r>
            <w:r w:rsidR="001861FA" w:rsidRPr="000902BE">
              <w:rPr>
                <w:rFonts w:asciiTheme="majorEastAsia" w:eastAsiaTheme="majorEastAsia" w:hAnsiTheme="majorEastAsia" w:hint="eastAsia"/>
                <w:sz w:val="21"/>
                <w:szCs w:val="22"/>
              </w:rPr>
              <w:t>介绍</w:t>
            </w:r>
            <w:r w:rsidRPr="000902BE">
              <w:rPr>
                <w:rFonts w:asciiTheme="majorEastAsia" w:eastAsiaTheme="majorEastAsia" w:hAnsiTheme="majorEastAsia" w:hint="eastAsia"/>
                <w:sz w:val="21"/>
                <w:szCs w:val="22"/>
              </w:rPr>
              <w:t>适用于数字环境中视听内容许可</w:t>
            </w:r>
            <w:r w:rsidR="000B3390" w:rsidRPr="000902BE">
              <w:rPr>
                <w:rFonts w:asciiTheme="majorEastAsia" w:eastAsiaTheme="majorEastAsia" w:hAnsiTheme="majorEastAsia" w:hint="eastAsia"/>
                <w:sz w:val="21"/>
                <w:szCs w:val="22"/>
              </w:rPr>
              <w:t>与</w:t>
            </w:r>
            <w:r w:rsidRPr="000902BE">
              <w:rPr>
                <w:rFonts w:asciiTheme="majorEastAsia" w:eastAsiaTheme="majorEastAsia" w:hAnsiTheme="majorEastAsia" w:hint="eastAsia"/>
                <w:sz w:val="21"/>
                <w:szCs w:val="22"/>
              </w:rPr>
              <w:t>分发的版权及相关权</w:t>
            </w:r>
            <w:r w:rsidR="000B3390" w:rsidRPr="000902BE">
              <w:rPr>
                <w:rFonts w:asciiTheme="majorEastAsia" w:eastAsiaTheme="majorEastAsia" w:hAnsiTheme="majorEastAsia" w:hint="eastAsia"/>
                <w:sz w:val="21"/>
                <w:szCs w:val="22"/>
              </w:rPr>
              <w:t>利</w:t>
            </w:r>
            <w:r w:rsidRPr="000902BE">
              <w:rPr>
                <w:rFonts w:asciiTheme="majorEastAsia" w:eastAsiaTheme="majorEastAsia" w:hAnsiTheme="majorEastAsia" w:hint="eastAsia"/>
                <w:sz w:val="21"/>
                <w:szCs w:val="22"/>
              </w:rPr>
              <w:t>国家制度。</w:t>
            </w:r>
          </w:p>
          <w:p w:rsidR="0084472C" w:rsidRPr="000902BE" w:rsidRDefault="001765EB" w:rsidP="000F3FC3">
            <w:pPr>
              <w:spacing w:after="50" w:line="340" w:lineRule="atLeast"/>
              <w:jc w:val="both"/>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特别是，项目将提高创作者和利益攸关方对现行国家规则的认识，并调查参与国家现有的数字视听市场。</w:t>
            </w:r>
          </w:p>
        </w:tc>
      </w:tr>
      <w:tr w:rsidR="00E1701D" w:rsidRPr="000902BE" w:rsidTr="00553B2C">
        <w:tc>
          <w:tcPr>
            <w:tcW w:w="2410" w:type="dxa"/>
            <w:shd w:val="clear" w:color="auto" w:fill="auto"/>
          </w:tcPr>
          <w:p w:rsidR="008D756B" w:rsidRPr="000902BE" w:rsidRDefault="0089717E" w:rsidP="000902BE">
            <w:pPr>
              <w:spacing w:after="50" w:line="340" w:lineRule="atLeast"/>
              <w:rPr>
                <w:rFonts w:ascii="KaiTi" w:eastAsia="KaiTi" w:hAnsi="KaiTi"/>
                <w:sz w:val="21"/>
                <w:szCs w:val="22"/>
              </w:rPr>
            </w:pPr>
            <w:r w:rsidRPr="000902BE">
              <w:rPr>
                <w:rFonts w:ascii="KaiTi" w:eastAsia="KaiTi" w:hAnsi="KaiTi" w:hint="eastAsia"/>
                <w:sz w:val="21"/>
                <w:szCs w:val="22"/>
              </w:rPr>
              <w:t>落实计划</w:t>
            </w:r>
          </w:p>
        </w:tc>
        <w:tc>
          <w:tcPr>
            <w:tcW w:w="7200" w:type="dxa"/>
          </w:tcPr>
          <w:p w:rsidR="00E1701D" w:rsidRPr="000902BE" w:rsidRDefault="000007A0" w:rsidP="000902BE">
            <w:pPr>
              <w:spacing w:after="50" w:line="340" w:lineRule="atLeast"/>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计划</w:t>
            </w:r>
            <w:r w:rsidR="00E1701D" w:rsidRPr="000902BE">
              <w:rPr>
                <w:rFonts w:asciiTheme="majorEastAsia" w:eastAsiaTheme="majorEastAsia" w:hAnsiTheme="majorEastAsia"/>
                <w:sz w:val="21"/>
                <w:szCs w:val="22"/>
              </w:rPr>
              <w:t>3</w:t>
            </w:r>
          </w:p>
        </w:tc>
      </w:tr>
      <w:tr w:rsidR="00E1701D" w:rsidRPr="000902BE" w:rsidTr="00553B2C">
        <w:tc>
          <w:tcPr>
            <w:tcW w:w="2410" w:type="dxa"/>
            <w:shd w:val="clear" w:color="auto" w:fill="auto"/>
          </w:tcPr>
          <w:p w:rsidR="00E1701D" w:rsidRPr="000902BE" w:rsidRDefault="004901AE" w:rsidP="000902BE">
            <w:pPr>
              <w:spacing w:after="50" w:line="340" w:lineRule="atLeast"/>
              <w:rPr>
                <w:rFonts w:ascii="KaiTi" w:eastAsia="KaiTi" w:hAnsi="KaiTi"/>
                <w:sz w:val="21"/>
                <w:szCs w:val="22"/>
              </w:rPr>
            </w:pPr>
            <w:r w:rsidRPr="000902BE">
              <w:rPr>
                <w:rFonts w:ascii="KaiTi" w:eastAsia="KaiTi" w:hAnsi="KaiTi" w:hint="eastAsia"/>
                <w:sz w:val="21"/>
                <w:szCs w:val="22"/>
              </w:rPr>
              <w:t>与其他相关计划/</w:t>
            </w:r>
            <w:r w:rsidR="006B7DD7" w:rsidRPr="000902BE">
              <w:rPr>
                <w:rFonts w:ascii="KaiTi" w:eastAsia="KaiTi" w:hAnsi="KaiTi" w:hint="eastAsia"/>
                <w:sz w:val="21"/>
                <w:szCs w:val="22"/>
              </w:rPr>
              <w:t>发</w:t>
            </w:r>
            <w:r w:rsidRPr="000902BE">
              <w:rPr>
                <w:rFonts w:ascii="KaiTi" w:eastAsia="KaiTi" w:hAnsi="KaiTi" w:hint="eastAsia"/>
                <w:sz w:val="21"/>
                <w:szCs w:val="22"/>
              </w:rPr>
              <w:t>展议程项目的联系</w:t>
            </w:r>
          </w:p>
        </w:tc>
        <w:tc>
          <w:tcPr>
            <w:tcW w:w="7200" w:type="dxa"/>
          </w:tcPr>
          <w:p w:rsidR="00E1701D" w:rsidRPr="000902BE" w:rsidRDefault="00E1701D" w:rsidP="000902BE">
            <w:pPr>
              <w:spacing w:after="50" w:line="340" w:lineRule="atLeast"/>
              <w:rPr>
                <w:rFonts w:asciiTheme="majorEastAsia" w:eastAsiaTheme="majorEastAsia" w:hAnsiTheme="majorEastAsia"/>
                <w:color w:val="FF0000"/>
                <w:sz w:val="21"/>
                <w:szCs w:val="22"/>
              </w:rPr>
            </w:pPr>
            <w:r w:rsidRPr="000902BE">
              <w:rPr>
                <w:rFonts w:asciiTheme="majorEastAsia" w:eastAsiaTheme="majorEastAsia" w:hAnsiTheme="majorEastAsia"/>
                <w:sz w:val="21"/>
                <w:szCs w:val="22"/>
              </w:rPr>
              <w:t>DA_16_20_01</w:t>
            </w:r>
            <w:r w:rsidR="006B7DD7" w:rsidRPr="000902BE">
              <w:rPr>
                <w:rFonts w:asciiTheme="majorEastAsia" w:eastAsiaTheme="majorEastAsia" w:hAnsiTheme="majorEastAsia" w:hint="eastAsia"/>
                <w:sz w:val="21"/>
                <w:szCs w:val="22"/>
              </w:rPr>
              <w:t>、</w:t>
            </w:r>
            <w:r w:rsidRPr="000902BE">
              <w:rPr>
                <w:rFonts w:asciiTheme="majorEastAsia" w:eastAsiaTheme="majorEastAsia" w:hAnsiTheme="majorEastAsia"/>
                <w:sz w:val="21"/>
                <w:szCs w:val="22"/>
              </w:rPr>
              <w:t>DA_19_24_27_01</w:t>
            </w:r>
            <w:r w:rsidR="006B7DD7" w:rsidRPr="000902BE">
              <w:rPr>
                <w:rFonts w:asciiTheme="majorEastAsia" w:eastAsiaTheme="majorEastAsia" w:hAnsiTheme="majorEastAsia" w:hint="eastAsia"/>
                <w:sz w:val="21"/>
                <w:szCs w:val="22"/>
              </w:rPr>
              <w:t>、</w:t>
            </w:r>
            <w:r w:rsidRPr="000902BE">
              <w:rPr>
                <w:rFonts w:asciiTheme="majorEastAsia" w:eastAsiaTheme="majorEastAsia" w:hAnsiTheme="majorEastAsia"/>
                <w:sz w:val="21"/>
                <w:szCs w:val="22"/>
              </w:rPr>
              <w:t>DA_1_2_4_10_11</w:t>
            </w:r>
          </w:p>
        </w:tc>
      </w:tr>
      <w:tr w:rsidR="00E1701D" w:rsidRPr="000902BE" w:rsidTr="00553B2C">
        <w:tc>
          <w:tcPr>
            <w:tcW w:w="2410" w:type="dxa"/>
            <w:shd w:val="clear" w:color="auto" w:fill="auto"/>
          </w:tcPr>
          <w:p w:rsidR="00E1701D" w:rsidRPr="000902BE" w:rsidRDefault="004901AE" w:rsidP="000902BE">
            <w:pPr>
              <w:spacing w:after="50" w:line="340" w:lineRule="atLeast"/>
              <w:rPr>
                <w:rFonts w:ascii="KaiTi" w:eastAsia="KaiTi" w:hAnsi="KaiTi"/>
                <w:sz w:val="21"/>
                <w:szCs w:val="22"/>
              </w:rPr>
            </w:pPr>
            <w:r w:rsidRPr="000902BE">
              <w:rPr>
                <w:rFonts w:ascii="KaiTi" w:eastAsia="KaiTi" w:hAnsi="KaiTi" w:hint="eastAsia"/>
                <w:sz w:val="21"/>
                <w:szCs w:val="22"/>
              </w:rPr>
              <w:t>与计划和预算中预期成果的联系</w:t>
            </w:r>
          </w:p>
        </w:tc>
        <w:tc>
          <w:tcPr>
            <w:tcW w:w="7200" w:type="dxa"/>
          </w:tcPr>
          <w:p w:rsidR="003744DE" w:rsidRPr="000902BE" w:rsidRDefault="000007A0" w:rsidP="000902BE">
            <w:pPr>
              <w:spacing w:after="50" w:line="340" w:lineRule="atLeast"/>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计划</w:t>
            </w:r>
            <w:r w:rsidR="00E1701D" w:rsidRPr="000902BE">
              <w:rPr>
                <w:rFonts w:asciiTheme="majorEastAsia" w:eastAsiaTheme="majorEastAsia" w:hAnsiTheme="majorEastAsia"/>
                <w:sz w:val="21"/>
                <w:szCs w:val="22"/>
              </w:rPr>
              <w:t>3</w:t>
            </w:r>
          </w:p>
          <w:p w:rsidR="003744DE" w:rsidRPr="000902BE" w:rsidRDefault="007C4DF3" w:rsidP="000F3FC3">
            <w:pPr>
              <w:spacing w:after="50" w:line="340" w:lineRule="atLeast"/>
              <w:jc w:val="both"/>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战略目标</w:t>
            </w:r>
            <w:proofErr w:type="gramStart"/>
            <w:r w:rsidR="000902BE">
              <w:rPr>
                <w:rFonts w:asciiTheme="majorEastAsia" w:eastAsiaTheme="majorEastAsia" w:hAnsiTheme="majorEastAsia" w:hint="eastAsia"/>
                <w:sz w:val="21"/>
                <w:szCs w:val="22"/>
              </w:rPr>
              <w:t>一</w:t>
            </w:r>
            <w:proofErr w:type="gramEnd"/>
            <w:r w:rsidRPr="000902BE">
              <w:rPr>
                <w:rFonts w:asciiTheme="majorEastAsia" w:eastAsiaTheme="majorEastAsia" w:hAnsiTheme="majorEastAsia" w:hint="eastAsia"/>
                <w:sz w:val="21"/>
                <w:szCs w:val="22"/>
              </w:rPr>
              <w:t>.2：量身定制的平衡知识产权立法、监管和政策框架。</w:t>
            </w:r>
          </w:p>
          <w:p w:rsidR="003744DE" w:rsidRPr="000902BE" w:rsidRDefault="00987CC9" w:rsidP="000F3FC3">
            <w:pPr>
              <w:spacing w:after="50" w:line="340" w:lineRule="atLeast"/>
              <w:jc w:val="both"/>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战略目标</w:t>
            </w:r>
            <w:r w:rsidR="000902BE">
              <w:rPr>
                <w:rFonts w:asciiTheme="majorEastAsia" w:eastAsiaTheme="majorEastAsia" w:hAnsiTheme="majorEastAsia" w:hint="eastAsia"/>
                <w:sz w:val="21"/>
                <w:szCs w:val="22"/>
              </w:rPr>
              <w:t>三</w:t>
            </w:r>
            <w:r w:rsidRPr="000902BE">
              <w:rPr>
                <w:rFonts w:asciiTheme="majorEastAsia" w:eastAsiaTheme="majorEastAsia" w:hAnsiTheme="majorEastAsia"/>
                <w:sz w:val="21"/>
                <w:szCs w:val="22"/>
              </w:rPr>
              <w:t>.</w:t>
            </w:r>
            <w:r w:rsidRPr="000902BE">
              <w:rPr>
                <w:rFonts w:asciiTheme="majorEastAsia" w:eastAsiaTheme="majorEastAsia" w:hAnsiTheme="majorEastAsia" w:hint="eastAsia"/>
                <w:sz w:val="21"/>
                <w:szCs w:val="22"/>
              </w:rPr>
              <w:t>4：加强与发展中国家、最不发达国家和</w:t>
            </w:r>
            <w:r w:rsidR="003C201B" w:rsidRPr="000902BE">
              <w:rPr>
                <w:rFonts w:asciiTheme="majorEastAsia" w:eastAsiaTheme="majorEastAsia" w:hAnsiTheme="majorEastAsia" w:hint="eastAsia"/>
                <w:sz w:val="21"/>
                <w:szCs w:val="22"/>
              </w:rPr>
              <w:t>经济</w:t>
            </w:r>
            <w:r w:rsidRPr="000902BE">
              <w:rPr>
                <w:rFonts w:asciiTheme="majorEastAsia" w:eastAsiaTheme="majorEastAsia" w:hAnsiTheme="majorEastAsia" w:hint="eastAsia"/>
                <w:sz w:val="21"/>
                <w:szCs w:val="22"/>
              </w:rPr>
              <w:t>转国家</w:t>
            </w:r>
            <w:r w:rsidR="003C201B" w:rsidRPr="000902BE">
              <w:rPr>
                <w:rFonts w:asciiTheme="majorEastAsia" w:eastAsiaTheme="majorEastAsia" w:hAnsiTheme="majorEastAsia" w:hint="eastAsia"/>
                <w:sz w:val="21"/>
                <w:szCs w:val="22"/>
              </w:rPr>
              <w:t>的</w:t>
            </w:r>
            <w:r w:rsidRPr="000902BE">
              <w:rPr>
                <w:rFonts w:asciiTheme="majorEastAsia" w:eastAsiaTheme="majorEastAsia" w:hAnsiTheme="majorEastAsia" w:hint="eastAsia"/>
                <w:sz w:val="21"/>
                <w:szCs w:val="22"/>
              </w:rPr>
              <w:t>机构的合作安排，以满足其需要。</w:t>
            </w:r>
          </w:p>
          <w:p w:rsidR="00E1701D" w:rsidRPr="000902BE" w:rsidRDefault="003C201B" w:rsidP="000F3FC3">
            <w:pPr>
              <w:spacing w:after="50" w:line="340" w:lineRule="atLeast"/>
              <w:jc w:val="both"/>
              <w:rPr>
                <w:rFonts w:asciiTheme="majorEastAsia" w:eastAsiaTheme="majorEastAsia" w:hAnsiTheme="majorEastAsia"/>
                <w:sz w:val="21"/>
                <w:szCs w:val="22"/>
              </w:rPr>
            </w:pPr>
            <w:r w:rsidRPr="000902BE">
              <w:rPr>
                <w:rFonts w:asciiTheme="majorEastAsia" w:eastAsiaTheme="majorEastAsia" w:hAnsiTheme="majorEastAsia" w:hint="eastAsia"/>
                <w:sz w:val="21"/>
                <w:szCs w:val="22"/>
              </w:rPr>
              <w:t>战略目标</w:t>
            </w:r>
            <w:r w:rsidR="000902BE">
              <w:rPr>
                <w:rFonts w:asciiTheme="majorEastAsia" w:eastAsiaTheme="majorEastAsia" w:hAnsiTheme="majorEastAsia" w:hint="eastAsia"/>
                <w:sz w:val="21"/>
                <w:szCs w:val="22"/>
              </w:rPr>
              <w:t>四</w:t>
            </w:r>
            <w:r w:rsidRPr="000902BE">
              <w:rPr>
                <w:rFonts w:asciiTheme="majorEastAsia" w:eastAsiaTheme="majorEastAsia" w:hAnsiTheme="majorEastAsia" w:hint="eastAsia"/>
                <w:sz w:val="21"/>
                <w:szCs w:val="22"/>
              </w:rPr>
              <w:t>.2：加强知识产权机构和公众获取使用知识产权信息，以促进创新</w:t>
            </w:r>
            <w:r w:rsidR="00516777" w:rsidRPr="000902BE">
              <w:rPr>
                <w:rFonts w:asciiTheme="majorEastAsia" w:eastAsiaTheme="majorEastAsia" w:hAnsiTheme="majorEastAsia" w:hint="eastAsia"/>
                <w:sz w:val="21"/>
                <w:szCs w:val="22"/>
              </w:rPr>
              <w:t>，提升</w:t>
            </w:r>
            <w:r w:rsidRPr="000902BE">
              <w:rPr>
                <w:rFonts w:asciiTheme="majorEastAsia" w:eastAsiaTheme="majorEastAsia" w:hAnsiTheme="majorEastAsia" w:hint="eastAsia"/>
                <w:sz w:val="21"/>
                <w:szCs w:val="22"/>
              </w:rPr>
              <w:t>创造</w:t>
            </w:r>
            <w:r w:rsidR="00516777" w:rsidRPr="000902BE">
              <w:rPr>
                <w:rFonts w:asciiTheme="majorEastAsia" w:eastAsiaTheme="majorEastAsia" w:hAnsiTheme="majorEastAsia" w:hint="eastAsia"/>
                <w:sz w:val="21"/>
                <w:szCs w:val="22"/>
              </w:rPr>
              <w:t>力</w:t>
            </w:r>
            <w:r w:rsidRPr="000902BE">
              <w:rPr>
                <w:rFonts w:asciiTheme="majorEastAsia" w:eastAsiaTheme="majorEastAsia" w:hAnsiTheme="majorEastAsia" w:hint="eastAsia"/>
                <w:sz w:val="21"/>
                <w:szCs w:val="22"/>
              </w:rPr>
              <w:t>。</w:t>
            </w:r>
          </w:p>
        </w:tc>
      </w:tr>
      <w:tr w:rsidR="00E1701D" w:rsidRPr="000902BE" w:rsidTr="00553B2C">
        <w:tc>
          <w:tcPr>
            <w:tcW w:w="2410" w:type="dxa"/>
            <w:shd w:val="clear" w:color="auto" w:fill="auto"/>
          </w:tcPr>
          <w:p w:rsidR="008D756B" w:rsidRPr="000902BE" w:rsidRDefault="004901AE" w:rsidP="000902BE">
            <w:pPr>
              <w:spacing w:after="50" w:line="340" w:lineRule="atLeast"/>
              <w:rPr>
                <w:rFonts w:ascii="KaiTi" w:eastAsia="KaiTi" w:hAnsi="KaiTi"/>
                <w:sz w:val="21"/>
                <w:szCs w:val="22"/>
              </w:rPr>
            </w:pPr>
            <w:r w:rsidRPr="000902BE">
              <w:rPr>
                <w:rFonts w:ascii="KaiTi" w:eastAsia="KaiTi" w:hAnsi="KaiTi" w:hint="eastAsia"/>
                <w:sz w:val="21"/>
                <w:szCs w:val="22"/>
              </w:rPr>
              <w:t>项目期限</w:t>
            </w:r>
          </w:p>
        </w:tc>
        <w:tc>
          <w:tcPr>
            <w:tcW w:w="7200" w:type="dxa"/>
          </w:tcPr>
          <w:p w:rsidR="008D756B" w:rsidRPr="000902BE" w:rsidRDefault="00E1701D" w:rsidP="000902BE">
            <w:pPr>
              <w:spacing w:after="50" w:line="340" w:lineRule="atLeast"/>
              <w:rPr>
                <w:rFonts w:asciiTheme="majorEastAsia" w:eastAsiaTheme="majorEastAsia" w:hAnsiTheme="majorEastAsia"/>
                <w:sz w:val="21"/>
                <w:szCs w:val="22"/>
              </w:rPr>
            </w:pPr>
            <w:proofErr w:type="gramStart"/>
            <w:r w:rsidRPr="000902BE">
              <w:rPr>
                <w:rFonts w:asciiTheme="majorEastAsia" w:eastAsiaTheme="majorEastAsia" w:hAnsiTheme="majorEastAsia"/>
                <w:sz w:val="21"/>
                <w:szCs w:val="22"/>
              </w:rPr>
              <w:t>30</w:t>
            </w:r>
            <w:proofErr w:type="gramEnd"/>
            <w:r w:rsidR="00516777" w:rsidRPr="000902BE">
              <w:rPr>
                <w:rFonts w:asciiTheme="majorEastAsia" w:eastAsiaTheme="majorEastAsia" w:hAnsiTheme="majorEastAsia" w:hint="eastAsia"/>
                <w:sz w:val="21"/>
                <w:szCs w:val="22"/>
              </w:rPr>
              <w:t>月</w:t>
            </w:r>
          </w:p>
        </w:tc>
      </w:tr>
    </w:tbl>
    <w:p w:rsidR="000F3FC3" w:rsidRDefault="000F3FC3">
      <w:r>
        <w:br w:type="page"/>
      </w:r>
    </w:p>
    <w:tbl>
      <w:tblPr>
        <w:tblStyle w:val="af"/>
        <w:tblW w:w="9610" w:type="dxa"/>
        <w:tblInd w:w="-34" w:type="dxa"/>
        <w:tblLayout w:type="fixed"/>
        <w:tblLook w:val="01E0" w:firstRow="1" w:lastRow="1" w:firstColumn="1" w:lastColumn="1" w:noHBand="0" w:noVBand="0"/>
      </w:tblPr>
      <w:tblGrid>
        <w:gridCol w:w="2410"/>
        <w:gridCol w:w="7200"/>
      </w:tblGrid>
      <w:tr w:rsidR="00E1701D" w:rsidRPr="000902BE" w:rsidTr="00553B2C">
        <w:tc>
          <w:tcPr>
            <w:tcW w:w="9610" w:type="dxa"/>
            <w:gridSpan w:val="2"/>
            <w:shd w:val="clear" w:color="auto" w:fill="auto"/>
          </w:tcPr>
          <w:p w:rsidR="00E1701D" w:rsidRPr="000902BE" w:rsidRDefault="00E1701D" w:rsidP="000902BE">
            <w:pPr>
              <w:spacing w:afterLines="50" w:after="120" w:line="340" w:lineRule="atLeast"/>
              <w:rPr>
                <w:rFonts w:asciiTheme="minorEastAsia" w:eastAsiaTheme="minorEastAsia" w:hAnsiTheme="minorEastAsia"/>
                <w:b/>
                <w:bCs/>
                <w:iCs/>
                <w:sz w:val="21"/>
                <w:szCs w:val="21"/>
              </w:rPr>
            </w:pPr>
            <w:r w:rsidRPr="000902BE">
              <w:rPr>
                <w:rFonts w:asciiTheme="minorEastAsia" w:eastAsiaTheme="minorEastAsia" w:hAnsiTheme="minorEastAsia"/>
                <w:b/>
                <w:bCs/>
                <w:iCs/>
                <w:sz w:val="21"/>
                <w:szCs w:val="21"/>
              </w:rPr>
              <w:lastRenderedPageBreak/>
              <w:t>2.</w:t>
            </w:r>
            <w:r w:rsidR="008332B3" w:rsidRPr="000902BE">
              <w:rPr>
                <w:rFonts w:asciiTheme="minorEastAsia" w:eastAsiaTheme="minorEastAsia" w:hAnsiTheme="minorEastAsia" w:hint="eastAsia"/>
                <w:b/>
                <w:bCs/>
                <w:iCs/>
                <w:sz w:val="21"/>
                <w:szCs w:val="21"/>
              </w:rPr>
              <w:t>项目说明书</w:t>
            </w:r>
          </w:p>
        </w:tc>
      </w:tr>
      <w:tr w:rsidR="00E1701D" w:rsidRPr="003744DE" w:rsidTr="00553B2C">
        <w:tc>
          <w:tcPr>
            <w:tcW w:w="9610" w:type="dxa"/>
            <w:gridSpan w:val="2"/>
            <w:shd w:val="clear" w:color="auto" w:fill="auto"/>
          </w:tcPr>
          <w:p w:rsidR="003744DE" w:rsidRDefault="00E1701D" w:rsidP="000902BE">
            <w:pPr>
              <w:pStyle w:val="3"/>
              <w:keepNext w:val="0"/>
              <w:spacing w:after="50" w:line="340" w:lineRule="atLeast"/>
              <w:outlineLvl w:val="2"/>
              <w:rPr>
                <w:rFonts w:ascii="SimSun" w:hAnsi="SimSun"/>
                <w:sz w:val="21"/>
              </w:rPr>
            </w:pPr>
            <w:r w:rsidRPr="003744DE">
              <w:rPr>
                <w:rFonts w:ascii="SimSun" w:hAnsi="SimSun"/>
                <w:sz w:val="21"/>
              </w:rPr>
              <w:t>2.1.</w:t>
            </w:r>
            <w:r w:rsidR="008332B3" w:rsidRPr="003744DE">
              <w:rPr>
                <w:rFonts w:ascii="SimSun" w:hAnsi="SimSun" w:hint="eastAsia"/>
                <w:sz w:val="21"/>
              </w:rPr>
              <w:t>背景</w:t>
            </w:r>
          </w:p>
          <w:p w:rsidR="003744DE" w:rsidRDefault="00812D2D" w:rsidP="000F3FC3">
            <w:pPr>
              <w:spacing w:after="50" w:line="340" w:lineRule="atLeast"/>
              <w:jc w:val="both"/>
              <w:rPr>
                <w:rFonts w:ascii="SimSun" w:hAnsi="SimSun"/>
                <w:sz w:val="21"/>
              </w:rPr>
            </w:pPr>
            <w:r w:rsidRPr="003744DE">
              <w:rPr>
                <w:rFonts w:ascii="SimSun" w:hAnsi="SimSun" w:hint="eastAsia"/>
                <w:sz w:val="21"/>
              </w:rPr>
              <w:t>复杂的视听市场一直是政府旨在促进当地制作视听内容的若干举措的目标。这些举措</w:t>
            </w:r>
            <w:r w:rsidR="00492957" w:rsidRPr="003744DE">
              <w:rPr>
                <w:rFonts w:ascii="SimSun" w:hAnsi="SimSun" w:hint="eastAsia"/>
                <w:sz w:val="21"/>
              </w:rPr>
              <w:t>向来</w:t>
            </w:r>
            <w:r w:rsidRPr="003744DE">
              <w:rPr>
                <w:rFonts w:ascii="SimSun" w:hAnsi="SimSun" w:hint="eastAsia"/>
                <w:sz w:val="21"/>
              </w:rPr>
              <w:t>侧重于视听产品创</w:t>
            </w:r>
            <w:r w:rsidR="00492957" w:rsidRPr="003744DE">
              <w:rPr>
                <w:rFonts w:ascii="SimSun" w:hAnsi="SimSun" w:hint="eastAsia"/>
                <w:sz w:val="21"/>
              </w:rPr>
              <w:t>作</w:t>
            </w:r>
            <w:r w:rsidRPr="003744DE">
              <w:rPr>
                <w:rFonts w:ascii="SimSun" w:hAnsi="SimSun" w:hint="eastAsia"/>
                <w:sz w:val="21"/>
              </w:rPr>
              <w:t>的初始阶段，即</w:t>
            </w:r>
            <w:r w:rsidR="00492957" w:rsidRPr="003744DE">
              <w:rPr>
                <w:rFonts w:ascii="SimSun" w:hAnsi="SimSun" w:hint="eastAsia"/>
                <w:sz w:val="21"/>
              </w:rPr>
              <w:t>制作</w:t>
            </w:r>
            <w:r w:rsidRPr="003744DE">
              <w:rPr>
                <w:rFonts w:ascii="SimSun" w:hAnsi="SimSun" w:hint="eastAsia"/>
                <w:sz w:val="21"/>
              </w:rPr>
              <w:t>融资</w:t>
            </w:r>
            <w:r w:rsidR="00E1701D" w:rsidRPr="003744DE">
              <w:rPr>
                <w:rStyle w:val="af3"/>
                <w:rFonts w:ascii="SimSun" w:hAnsi="SimSun"/>
                <w:sz w:val="21"/>
              </w:rPr>
              <w:footnoteReference w:id="2"/>
            </w:r>
            <w:r w:rsidR="00E36736" w:rsidRPr="003744DE">
              <w:rPr>
                <w:rFonts w:ascii="SimSun" w:hAnsi="SimSun" w:hint="eastAsia"/>
                <w:sz w:val="21"/>
              </w:rPr>
              <w:t>。然而，重要的是要指出，在视听产业中，融资和</w:t>
            </w:r>
            <w:r w:rsidR="00DB343D" w:rsidRPr="003744DE">
              <w:rPr>
                <w:rFonts w:ascii="SimSun" w:hAnsi="SimSun" w:hint="eastAsia"/>
                <w:sz w:val="21"/>
              </w:rPr>
              <w:t>分</w:t>
            </w:r>
            <w:r w:rsidR="00E36736" w:rsidRPr="003744DE">
              <w:rPr>
                <w:rFonts w:ascii="SimSun" w:hAnsi="SimSun" w:hint="eastAsia"/>
                <w:sz w:val="21"/>
              </w:rPr>
              <w:t>发通常是相互关联的，确保内容</w:t>
            </w:r>
            <w:r w:rsidR="00DB343D" w:rsidRPr="003744DE">
              <w:rPr>
                <w:rFonts w:ascii="SimSun" w:hAnsi="SimSun" w:hint="eastAsia"/>
                <w:sz w:val="21"/>
              </w:rPr>
              <w:t>分</w:t>
            </w:r>
            <w:r w:rsidR="00E36736" w:rsidRPr="003744DE">
              <w:rPr>
                <w:rFonts w:ascii="SimSun" w:hAnsi="SimSun" w:hint="eastAsia"/>
                <w:sz w:val="21"/>
              </w:rPr>
              <w:t>发对于开展内容制作来说往往至关重要。例如，可以通过向负责</w:t>
            </w:r>
            <w:r w:rsidR="00DB343D" w:rsidRPr="003744DE">
              <w:rPr>
                <w:rFonts w:ascii="SimSun" w:hAnsi="SimSun" w:hint="eastAsia"/>
                <w:sz w:val="21"/>
              </w:rPr>
              <w:t>分</w:t>
            </w:r>
            <w:r w:rsidR="00E36736" w:rsidRPr="003744DE">
              <w:rPr>
                <w:rFonts w:ascii="SimSun" w:hAnsi="SimSun" w:hint="eastAsia"/>
                <w:sz w:val="21"/>
              </w:rPr>
              <w:t>发的买方预售内容的专有知识产权来获得融资</w:t>
            </w:r>
            <w:r w:rsidR="00E1701D" w:rsidRPr="003744DE">
              <w:rPr>
                <w:rStyle w:val="af3"/>
                <w:rFonts w:ascii="SimSun" w:hAnsi="SimSun"/>
                <w:sz w:val="21"/>
              </w:rPr>
              <w:footnoteReference w:id="3"/>
            </w:r>
            <w:r w:rsidR="00E36736" w:rsidRPr="003744DE">
              <w:rPr>
                <w:rFonts w:ascii="SimSun" w:hAnsi="SimSun" w:hint="eastAsia"/>
                <w:sz w:val="21"/>
              </w:rPr>
              <w:t>。</w:t>
            </w:r>
          </w:p>
          <w:p w:rsidR="000F3FC3" w:rsidRDefault="008870EC" w:rsidP="000F3FC3">
            <w:pPr>
              <w:spacing w:after="50" w:line="340" w:lineRule="atLeast"/>
              <w:jc w:val="both"/>
              <w:rPr>
                <w:rFonts w:ascii="SimSun" w:hAnsi="SimSun" w:hint="eastAsia"/>
                <w:sz w:val="21"/>
              </w:rPr>
            </w:pPr>
            <w:r w:rsidRPr="003744DE">
              <w:rPr>
                <w:rFonts w:ascii="SimSun" w:hAnsi="SimSun" w:hint="eastAsia"/>
                <w:sz w:val="21"/>
              </w:rPr>
              <w:t>提供视听服务的数字平台的增长为以前无法通过电影或电视</w:t>
            </w:r>
            <w:r w:rsidR="00C44F56" w:rsidRPr="003744DE">
              <w:rPr>
                <w:rFonts w:ascii="SimSun" w:hAnsi="SimSun" w:hint="eastAsia"/>
                <w:sz w:val="21"/>
              </w:rPr>
              <w:t>直达</w:t>
            </w:r>
            <w:r w:rsidRPr="003744DE">
              <w:rPr>
                <w:rFonts w:ascii="SimSun" w:hAnsi="SimSun" w:hint="eastAsia"/>
                <w:sz w:val="21"/>
              </w:rPr>
              <w:t>公众的本地内容的分发(</w:t>
            </w:r>
            <w:r w:rsidR="00E944F2" w:rsidRPr="003744DE">
              <w:rPr>
                <w:rFonts w:ascii="SimSun" w:hAnsi="SimSun" w:hint="eastAsia"/>
                <w:sz w:val="21"/>
              </w:rPr>
              <w:t>及</w:t>
            </w:r>
            <w:r w:rsidRPr="003744DE">
              <w:rPr>
                <w:rFonts w:ascii="SimSun" w:hAnsi="SimSun" w:hint="eastAsia"/>
                <w:sz w:val="21"/>
              </w:rPr>
              <w:t>融资)提供了替代方案。在</w:t>
            </w:r>
            <w:r w:rsidR="00E944F2" w:rsidRPr="003744DE">
              <w:rPr>
                <w:rFonts w:ascii="SimSun" w:hAnsi="SimSun" w:hint="eastAsia"/>
                <w:sz w:val="21"/>
              </w:rPr>
              <w:t>若干</w:t>
            </w:r>
            <w:r w:rsidRPr="003744DE">
              <w:rPr>
                <w:rFonts w:ascii="SimSun" w:hAnsi="SimSun" w:hint="eastAsia"/>
                <w:sz w:val="21"/>
              </w:rPr>
              <w:t>地区，通过数字手段</w:t>
            </w:r>
            <w:r w:rsidR="000E640D" w:rsidRPr="003744DE">
              <w:rPr>
                <w:rFonts w:ascii="SimSun" w:hAnsi="SimSun" w:hint="eastAsia"/>
                <w:sz w:val="21"/>
              </w:rPr>
              <w:t>（</w:t>
            </w:r>
            <w:r w:rsidRPr="003744DE">
              <w:rPr>
                <w:rFonts w:ascii="SimSun" w:hAnsi="SimSun" w:hint="eastAsia"/>
                <w:sz w:val="21"/>
              </w:rPr>
              <w:t>如流媒体和</w:t>
            </w:r>
            <w:r w:rsidR="000E640D" w:rsidRPr="003744DE">
              <w:rPr>
                <w:rFonts w:ascii="SimSun" w:hAnsi="SimSun" w:hint="eastAsia"/>
                <w:sz w:val="21"/>
              </w:rPr>
              <w:t>追看</w:t>
            </w:r>
            <w:r w:rsidRPr="003744DE">
              <w:rPr>
                <w:rFonts w:ascii="SimSun" w:hAnsi="SimSun" w:hint="eastAsia"/>
                <w:sz w:val="21"/>
              </w:rPr>
              <w:t>服务</w:t>
            </w:r>
            <w:r w:rsidR="000E640D" w:rsidRPr="003744DE">
              <w:rPr>
                <w:rFonts w:ascii="SimSun" w:hAnsi="SimSun" w:hint="eastAsia"/>
                <w:sz w:val="21"/>
              </w:rPr>
              <w:t>）</w:t>
            </w:r>
            <w:r w:rsidR="00103A50" w:rsidRPr="003744DE">
              <w:rPr>
                <w:rFonts w:ascii="SimSun" w:hAnsi="SimSun" w:hint="eastAsia"/>
                <w:sz w:val="21"/>
              </w:rPr>
              <w:t>消费</w:t>
            </w:r>
            <w:r w:rsidRPr="003744DE">
              <w:rPr>
                <w:rFonts w:ascii="SimSun" w:hAnsi="SimSun" w:hint="eastAsia"/>
                <w:sz w:val="21"/>
              </w:rPr>
              <w:t>视听内容呈指数增长。</w:t>
            </w:r>
          </w:p>
          <w:p w:rsidR="003744DE" w:rsidRDefault="008870EC" w:rsidP="000F3FC3">
            <w:pPr>
              <w:spacing w:after="50" w:line="340" w:lineRule="atLeast"/>
              <w:jc w:val="both"/>
              <w:rPr>
                <w:rFonts w:ascii="SimSun" w:hAnsi="SimSun"/>
                <w:sz w:val="21"/>
              </w:rPr>
            </w:pPr>
            <w:r w:rsidRPr="003744DE">
              <w:rPr>
                <w:rFonts w:ascii="SimSun" w:hAnsi="SimSun" w:hint="eastAsia"/>
                <w:sz w:val="21"/>
              </w:rPr>
              <w:t>与此同时，当地广播公司也通过数字</w:t>
            </w:r>
            <w:r w:rsidR="007321FA" w:rsidRPr="003744DE">
              <w:rPr>
                <w:rFonts w:ascii="SimSun" w:hAnsi="SimSun" w:hint="eastAsia"/>
                <w:sz w:val="21"/>
              </w:rPr>
              <w:t>渠</w:t>
            </w:r>
            <w:r w:rsidRPr="003744DE">
              <w:rPr>
                <w:rFonts w:ascii="SimSun" w:hAnsi="SimSun" w:hint="eastAsia"/>
                <w:sz w:val="21"/>
              </w:rPr>
              <w:t>道提供</w:t>
            </w:r>
            <w:r w:rsidR="00BC3137" w:rsidRPr="003744DE">
              <w:rPr>
                <w:rFonts w:ascii="SimSun" w:hAnsi="SimSun" w:hint="eastAsia"/>
                <w:sz w:val="21"/>
              </w:rPr>
              <w:t>其</w:t>
            </w:r>
            <w:r w:rsidRPr="003744DE">
              <w:rPr>
                <w:rFonts w:ascii="SimSun" w:hAnsi="SimSun" w:hint="eastAsia"/>
                <w:sz w:val="21"/>
              </w:rPr>
              <w:t>内容，从而通过数字手段向</w:t>
            </w:r>
            <w:r w:rsidR="00BC3137" w:rsidRPr="003744DE">
              <w:rPr>
                <w:rFonts w:ascii="SimSun" w:hAnsi="SimSun" w:hint="eastAsia"/>
                <w:sz w:val="21"/>
              </w:rPr>
              <w:t>大</w:t>
            </w:r>
            <w:r w:rsidRPr="003744DE">
              <w:rPr>
                <w:rFonts w:ascii="SimSun" w:hAnsi="SimSun" w:hint="eastAsia"/>
                <w:sz w:val="21"/>
              </w:rPr>
              <w:t>众提供更多的视听内容，包括当地制作的内容。</w:t>
            </w:r>
          </w:p>
          <w:p w:rsidR="003744DE" w:rsidRDefault="00BC3137" w:rsidP="000F3FC3">
            <w:pPr>
              <w:spacing w:after="50" w:line="340" w:lineRule="atLeast"/>
              <w:jc w:val="both"/>
              <w:rPr>
                <w:rFonts w:ascii="SimSun" w:hAnsi="SimSun"/>
                <w:sz w:val="21"/>
              </w:rPr>
            </w:pPr>
            <w:r w:rsidRPr="003744DE">
              <w:rPr>
                <w:rFonts w:ascii="SimSun" w:hAnsi="SimSun" w:hint="eastAsia"/>
                <w:sz w:val="21"/>
              </w:rPr>
              <w:t>与传统价值链中的情况一样，视听内容的新</w:t>
            </w:r>
            <w:r w:rsidR="007321FA" w:rsidRPr="003744DE">
              <w:rPr>
                <w:rFonts w:ascii="SimSun" w:hAnsi="SimSun" w:hint="eastAsia"/>
                <w:sz w:val="21"/>
              </w:rPr>
              <w:t>分</w:t>
            </w:r>
            <w:r w:rsidR="00F0395E" w:rsidRPr="003744DE">
              <w:rPr>
                <w:rFonts w:ascii="SimSun" w:hAnsi="SimSun" w:hint="eastAsia"/>
                <w:sz w:val="21"/>
              </w:rPr>
              <w:t>发</w:t>
            </w:r>
            <w:r w:rsidRPr="003744DE">
              <w:rPr>
                <w:rFonts w:ascii="SimSun" w:hAnsi="SimSun" w:hint="eastAsia"/>
                <w:sz w:val="21"/>
              </w:rPr>
              <w:t>渠道也依赖版权和相关权利来确保创作者和权利</w:t>
            </w:r>
            <w:r w:rsidR="0024406A" w:rsidRPr="003744DE">
              <w:rPr>
                <w:rFonts w:ascii="SimSun" w:hAnsi="SimSun" w:hint="eastAsia"/>
                <w:sz w:val="21"/>
              </w:rPr>
              <w:t>人</w:t>
            </w:r>
            <w:r w:rsidRPr="003744DE">
              <w:rPr>
                <w:rFonts w:ascii="SimSun" w:hAnsi="SimSun" w:hint="eastAsia"/>
                <w:sz w:val="21"/>
              </w:rPr>
              <w:t>获得报酬。保护版权变得更加重要，因为内容通过数字分发在</w:t>
            </w:r>
            <w:r w:rsidR="002E5DFE" w:rsidRPr="003744DE">
              <w:rPr>
                <w:rFonts w:ascii="SimSun" w:hAnsi="SimSun" w:hint="eastAsia"/>
                <w:sz w:val="21"/>
              </w:rPr>
              <w:t>众</w:t>
            </w:r>
            <w:r w:rsidRPr="003744DE">
              <w:rPr>
                <w:rFonts w:ascii="SimSun" w:hAnsi="SimSun" w:hint="eastAsia"/>
                <w:sz w:val="21"/>
              </w:rPr>
              <w:t>多地区</w:t>
            </w:r>
            <w:r w:rsidR="002E5DFE" w:rsidRPr="003744DE">
              <w:rPr>
                <w:rFonts w:ascii="SimSun" w:hAnsi="SimSun" w:hint="eastAsia"/>
                <w:sz w:val="21"/>
              </w:rPr>
              <w:t>都</w:t>
            </w:r>
            <w:r w:rsidRPr="003744DE">
              <w:rPr>
                <w:rFonts w:ascii="SimSun" w:hAnsi="SimSun" w:hint="eastAsia"/>
                <w:sz w:val="21"/>
              </w:rPr>
              <w:t>很容易获得。尽管</w:t>
            </w:r>
            <w:r w:rsidR="002E5DFE" w:rsidRPr="003744DE">
              <w:rPr>
                <w:rFonts w:ascii="SimSun" w:hAnsi="SimSun" w:hint="eastAsia"/>
                <w:sz w:val="21"/>
              </w:rPr>
              <w:t>情况</w:t>
            </w:r>
            <w:r w:rsidRPr="003744DE">
              <w:rPr>
                <w:rFonts w:ascii="SimSun" w:hAnsi="SimSun" w:hint="eastAsia"/>
                <w:sz w:val="21"/>
              </w:rPr>
              <w:t>不断变化，但视听内容融资的</w:t>
            </w:r>
            <w:r w:rsidR="00AF2EB9" w:rsidRPr="003744DE">
              <w:rPr>
                <w:rFonts w:ascii="SimSun" w:hAnsi="SimSun" w:hint="eastAsia"/>
                <w:sz w:val="21"/>
              </w:rPr>
              <w:t>一些长期</w:t>
            </w:r>
            <w:r w:rsidRPr="003744DE">
              <w:rPr>
                <w:rFonts w:ascii="SimSun" w:hAnsi="SimSun" w:hint="eastAsia"/>
                <w:sz w:val="21"/>
              </w:rPr>
              <w:t>模式</w:t>
            </w:r>
            <w:r w:rsidR="00E1701D" w:rsidRPr="003744DE">
              <w:rPr>
                <w:rStyle w:val="af3"/>
                <w:rFonts w:ascii="SimSun" w:hAnsi="SimSun"/>
                <w:sz w:val="21"/>
              </w:rPr>
              <w:footnoteReference w:id="4"/>
            </w:r>
            <w:r w:rsidR="00AF2EB9" w:rsidRPr="003744DE">
              <w:rPr>
                <w:rFonts w:ascii="SimSun" w:hAnsi="SimSun" w:hint="eastAsia"/>
                <w:sz w:val="21"/>
              </w:rPr>
              <w:t>，如预售独家许可证，可能仍将发挥重要作用</w:t>
            </w:r>
            <w:r w:rsidR="00E1701D" w:rsidRPr="003744DE">
              <w:rPr>
                <w:rStyle w:val="af3"/>
                <w:rFonts w:ascii="SimSun" w:hAnsi="SimSun"/>
                <w:sz w:val="21"/>
              </w:rPr>
              <w:footnoteReference w:id="5"/>
            </w:r>
            <w:r w:rsidR="00AF2EB9" w:rsidRPr="003744DE">
              <w:rPr>
                <w:rFonts w:ascii="SimSun" w:hAnsi="SimSun" w:hint="eastAsia"/>
                <w:sz w:val="21"/>
              </w:rPr>
              <w:t>。</w:t>
            </w:r>
          </w:p>
          <w:p w:rsidR="003744DE" w:rsidRDefault="00F1678E" w:rsidP="000F3FC3">
            <w:pPr>
              <w:spacing w:after="50" w:line="340" w:lineRule="atLeast"/>
              <w:jc w:val="both"/>
              <w:rPr>
                <w:rFonts w:ascii="SimSun" w:hAnsi="SimSun"/>
                <w:sz w:val="21"/>
              </w:rPr>
            </w:pPr>
            <w:r w:rsidRPr="003744DE">
              <w:rPr>
                <w:rFonts w:ascii="SimSun" w:hAnsi="SimSun" w:hint="eastAsia"/>
                <w:sz w:val="21"/>
              </w:rPr>
              <w:t>在拉丁美洲，过去几年中</w:t>
            </w:r>
            <w:r w:rsidR="008631FB" w:rsidRPr="003744DE">
              <w:rPr>
                <w:rFonts w:ascii="SimSun" w:hAnsi="SimSun" w:hint="eastAsia"/>
                <w:sz w:val="21"/>
              </w:rPr>
              <w:t>，以数字手段分发视听内容</w:t>
            </w:r>
            <w:r w:rsidRPr="003744DE">
              <w:rPr>
                <w:rFonts w:ascii="SimSun" w:hAnsi="SimSun" w:hint="eastAsia"/>
                <w:sz w:val="21"/>
              </w:rPr>
              <w:t>一直在显</w:t>
            </w:r>
            <w:r w:rsidR="0002284F" w:rsidRPr="003744DE">
              <w:rPr>
                <w:rFonts w:ascii="SimSun" w:hAnsi="SimSun" w:hint="eastAsia"/>
                <w:sz w:val="21"/>
              </w:rPr>
              <w:t>著</w:t>
            </w:r>
            <w:r w:rsidR="00E1701D" w:rsidRPr="003744DE">
              <w:rPr>
                <w:rStyle w:val="af3"/>
                <w:rFonts w:ascii="SimSun" w:hAnsi="SimSun"/>
                <w:sz w:val="21"/>
              </w:rPr>
              <w:footnoteReference w:id="6"/>
            </w:r>
            <w:r w:rsidR="00256075" w:rsidRPr="003744DE">
              <w:rPr>
                <w:rFonts w:ascii="SimSun" w:hAnsi="SimSun" w:hint="eastAsia"/>
                <w:sz w:val="21"/>
              </w:rPr>
              <w:t>增长。据估计，到2022年，该地区数字平台的收入将达到46亿美元，而2016年为18.7亿美元，2010年为零</w:t>
            </w:r>
            <w:r w:rsidR="00E1701D" w:rsidRPr="003744DE">
              <w:rPr>
                <w:rStyle w:val="af3"/>
                <w:rFonts w:ascii="SimSun" w:hAnsi="SimSun"/>
                <w:sz w:val="21"/>
              </w:rPr>
              <w:footnoteReference w:id="7"/>
            </w:r>
            <w:r w:rsidR="00256075" w:rsidRPr="003744DE">
              <w:rPr>
                <w:rFonts w:ascii="SimSun" w:hAnsi="SimSun" w:hint="eastAsia"/>
                <w:sz w:val="21"/>
              </w:rPr>
              <w:t>。虽然数字平台可能正在填补传统发行渠道留下的空白</w:t>
            </w:r>
            <w:r w:rsidR="00E1701D" w:rsidRPr="003744DE">
              <w:rPr>
                <w:rStyle w:val="af3"/>
                <w:rFonts w:ascii="SimSun" w:hAnsi="SimSun"/>
                <w:sz w:val="21"/>
              </w:rPr>
              <w:footnoteReference w:id="8"/>
            </w:r>
            <w:r w:rsidR="00E20A5F" w:rsidRPr="003744DE">
              <w:rPr>
                <w:rFonts w:ascii="SimSun" w:hAnsi="SimSun" w:hint="eastAsia"/>
                <w:sz w:val="21"/>
              </w:rPr>
              <w:t>，但它也可能给本地内容创作者和公众带来更多机会。其中一些新的可能机遇已经出现，有50多个拉丁美洲的视听作品由一家大型流媒体服务公司资助</w:t>
            </w:r>
            <w:r w:rsidR="00E1701D" w:rsidRPr="003744DE">
              <w:rPr>
                <w:rStyle w:val="af3"/>
                <w:rFonts w:ascii="SimSun" w:hAnsi="SimSun"/>
                <w:sz w:val="21"/>
              </w:rPr>
              <w:footnoteReference w:id="9"/>
            </w:r>
            <w:r w:rsidR="00E20A5F" w:rsidRPr="003744DE">
              <w:rPr>
                <w:rFonts w:ascii="SimSun" w:hAnsi="SimSun" w:hint="eastAsia"/>
                <w:sz w:val="21"/>
              </w:rPr>
              <w:t>。与此同时，传统的视听服务也已开始通过数字手段提供内容，从而提高在线内容的整体提供率。</w:t>
            </w:r>
          </w:p>
          <w:p w:rsidR="003744DE" w:rsidRDefault="00E1701D" w:rsidP="000902BE">
            <w:pPr>
              <w:pStyle w:val="3"/>
              <w:keepNext w:val="0"/>
              <w:spacing w:after="50" w:line="340" w:lineRule="atLeast"/>
              <w:outlineLvl w:val="2"/>
              <w:rPr>
                <w:rFonts w:ascii="SimSun" w:hAnsi="SimSun"/>
                <w:sz w:val="21"/>
              </w:rPr>
            </w:pPr>
            <w:r w:rsidRPr="003744DE">
              <w:rPr>
                <w:rFonts w:ascii="SimSun" w:hAnsi="SimSun"/>
                <w:sz w:val="21"/>
              </w:rPr>
              <w:t>2.2.</w:t>
            </w:r>
            <w:r w:rsidR="00D56F02" w:rsidRPr="003744DE">
              <w:rPr>
                <w:rFonts w:ascii="SimSun" w:hAnsi="SimSun" w:hint="eastAsia"/>
                <w:sz w:val="21"/>
              </w:rPr>
              <w:t>目标</w:t>
            </w:r>
          </w:p>
          <w:p w:rsidR="003744DE" w:rsidRDefault="00553B2C" w:rsidP="000F3FC3">
            <w:pPr>
              <w:spacing w:after="50" w:line="340" w:lineRule="atLeast"/>
              <w:jc w:val="both"/>
              <w:rPr>
                <w:rFonts w:ascii="SimSun" w:hAnsi="SimSun"/>
                <w:sz w:val="21"/>
              </w:rPr>
            </w:pPr>
            <w:r w:rsidRPr="003744DE">
              <w:rPr>
                <w:rFonts w:ascii="SimSun" w:hAnsi="SimSun" w:hint="eastAsia"/>
                <w:sz w:val="21"/>
              </w:rPr>
              <w:t>拟议项目旨在根据每个国家法律框架确定数字环境中视听内容分发的版权和相关权利，以便</w:t>
            </w:r>
            <w:r w:rsidR="007B77BC" w:rsidRPr="003744DE">
              <w:rPr>
                <w:rFonts w:ascii="SimSun" w:hAnsi="SimSun" w:hint="eastAsia"/>
                <w:sz w:val="21"/>
              </w:rPr>
              <w:t>让</w:t>
            </w:r>
            <w:r w:rsidRPr="003744DE">
              <w:rPr>
                <w:rFonts w:ascii="SimSun" w:hAnsi="SimSun" w:hint="eastAsia"/>
                <w:sz w:val="21"/>
              </w:rPr>
              <w:t>当地创作者</w:t>
            </w:r>
            <w:r w:rsidR="007B77BC" w:rsidRPr="003744DE">
              <w:rPr>
                <w:rFonts w:ascii="SimSun" w:hAnsi="SimSun" w:hint="eastAsia"/>
                <w:sz w:val="21"/>
              </w:rPr>
              <w:t>、</w:t>
            </w:r>
            <w:r w:rsidRPr="003744DE">
              <w:rPr>
                <w:rFonts w:ascii="SimSun" w:hAnsi="SimSun" w:hint="eastAsia"/>
                <w:sz w:val="21"/>
              </w:rPr>
              <w:t>权利人和利益攸关方更好地了解该行业。</w:t>
            </w:r>
            <w:r w:rsidR="00DA5755" w:rsidRPr="003744DE">
              <w:rPr>
                <w:rFonts w:ascii="SimSun" w:hAnsi="SimSun" w:hint="eastAsia"/>
                <w:sz w:val="21"/>
              </w:rPr>
              <w:t>促进</w:t>
            </w:r>
            <w:r w:rsidRPr="003744DE">
              <w:rPr>
                <w:rFonts w:ascii="SimSun" w:hAnsi="SimSun" w:hint="eastAsia"/>
                <w:sz w:val="21"/>
              </w:rPr>
              <w:t>创作者</w:t>
            </w:r>
            <w:r w:rsidR="007B77BC" w:rsidRPr="003744DE">
              <w:rPr>
                <w:rFonts w:ascii="SimSun" w:hAnsi="SimSun" w:hint="eastAsia"/>
                <w:sz w:val="21"/>
              </w:rPr>
              <w:t>、制作</w:t>
            </w:r>
            <w:r w:rsidRPr="003744DE">
              <w:rPr>
                <w:rFonts w:ascii="SimSun" w:hAnsi="SimSun" w:hint="eastAsia"/>
                <w:sz w:val="21"/>
              </w:rPr>
              <w:t>者</w:t>
            </w:r>
            <w:r w:rsidR="007B77BC" w:rsidRPr="003744DE">
              <w:rPr>
                <w:rFonts w:ascii="SimSun" w:hAnsi="SimSun" w:hint="eastAsia"/>
                <w:sz w:val="21"/>
              </w:rPr>
              <w:t>、</w:t>
            </w:r>
            <w:r w:rsidRPr="003744DE">
              <w:rPr>
                <w:rFonts w:ascii="SimSun" w:hAnsi="SimSun" w:hint="eastAsia"/>
                <w:sz w:val="21"/>
              </w:rPr>
              <w:t>数字平台和决策者</w:t>
            </w:r>
            <w:r w:rsidR="007B77BC" w:rsidRPr="003744DE">
              <w:rPr>
                <w:rFonts w:ascii="SimSun" w:hAnsi="SimSun" w:hint="eastAsia"/>
                <w:sz w:val="21"/>
              </w:rPr>
              <w:t>等当地利益攸关方</w:t>
            </w:r>
            <w:r w:rsidR="00DA5755" w:rsidRPr="003744DE">
              <w:rPr>
                <w:rFonts w:ascii="SimSun" w:hAnsi="SimSun" w:hint="eastAsia"/>
                <w:sz w:val="21"/>
              </w:rPr>
              <w:t>获取</w:t>
            </w:r>
            <w:r w:rsidRPr="003744DE">
              <w:rPr>
                <w:rFonts w:ascii="SimSun" w:hAnsi="SimSun" w:hint="eastAsia"/>
                <w:sz w:val="21"/>
              </w:rPr>
              <w:t>版权和相关权</w:t>
            </w:r>
            <w:r w:rsidR="00DA5755" w:rsidRPr="003744DE">
              <w:rPr>
                <w:rFonts w:ascii="SimSun" w:hAnsi="SimSun" w:hint="eastAsia"/>
                <w:sz w:val="21"/>
              </w:rPr>
              <w:t>的</w:t>
            </w:r>
            <w:r w:rsidRPr="003744DE">
              <w:rPr>
                <w:rFonts w:ascii="SimSun" w:hAnsi="SimSun" w:hint="eastAsia"/>
                <w:sz w:val="21"/>
              </w:rPr>
              <w:t>相关信息，可以</w:t>
            </w:r>
            <w:r w:rsidR="00DA5755" w:rsidRPr="003744DE">
              <w:rPr>
                <w:rFonts w:ascii="SimSun" w:hAnsi="SimSun" w:hint="eastAsia"/>
                <w:sz w:val="21"/>
              </w:rPr>
              <w:t>协</w:t>
            </w:r>
            <w:r w:rsidRPr="003744DE">
              <w:rPr>
                <w:rFonts w:ascii="SimSun" w:hAnsi="SimSun" w:hint="eastAsia"/>
                <w:sz w:val="21"/>
              </w:rPr>
              <w:t>助</w:t>
            </w:r>
            <w:r w:rsidR="00DA5755" w:rsidRPr="003744DE">
              <w:rPr>
                <w:rFonts w:ascii="SimSun" w:hAnsi="SimSun" w:hint="eastAsia"/>
                <w:sz w:val="21"/>
              </w:rPr>
              <w:t>发展</w:t>
            </w:r>
            <w:r w:rsidRPr="003744DE">
              <w:rPr>
                <w:rFonts w:ascii="SimSun" w:hAnsi="SimSun" w:hint="eastAsia"/>
                <w:sz w:val="21"/>
              </w:rPr>
              <w:t>本地数字市场和</w:t>
            </w:r>
            <w:r w:rsidR="00DA5755" w:rsidRPr="003744DE">
              <w:rPr>
                <w:rFonts w:ascii="SimSun" w:hAnsi="SimSun" w:hint="eastAsia"/>
                <w:sz w:val="21"/>
              </w:rPr>
              <w:t>开发</w:t>
            </w:r>
            <w:r w:rsidRPr="003744DE">
              <w:rPr>
                <w:rFonts w:ascii="SimSun" w:hAnsi="SimSun" w:hint="eastAsia"/>
                <w:sz w:val="21"/>
              </w:rPr>
              <w:t>当地视听内容。</w:t>
            </w:r>
          </w:p>
          <w:p w:rsidR="00E1701D" w:rsidRPr="003744DE" w:rsidRDefault="00E1701D" w:rsidP="000902BE">
            <w:pPr>
              <w:pStyle w:val="3"/>
              <w:spacing w:after="50" w:line="340" w:lineRule="atLeast"/>
              <w:outlineLvl w:val="2"/>
              <w:rPr>
                <w:rFonts w:ascii="SimSun" w:hAnsi="SimSun"/>
                <w:sz w:val="21"/>
              </w:rPr>
            </w:pPr>
            <w:r w:rsidRPr="003744DE">
              <w:rPr>
                <w:rFonts w:ascii="SimSun" w:hAnsi="SimSun"/>
                <w:sz w:val="21"/>
              </w:rPr>
              <w:t>2.3.</w:t>
            </w:r>
            <w:r w:rsidR="00DA5755" w:rsidRPr="003744DE">
              <w:rPr>
                <w:rFonts w:ascii="SimSun" w:hAnsi="SimSun" w:hint="eastAsia"/>
                <w:sz w:val="21"/>
              </w:rPr>
              <w:t>交付战略</w:t>
            </w:r>
          </w:p>
          <w:p w:rsidR="003744DE" w:rsidRPr="000902BE" w:rsidRDefault="00DA62E7" w:rsidP="000F3FC3">
            <w:pPr>
              <w:pStyle w:val="4"/>
              <w:spacing w:after="50" w:line="340" w:lineRule="atLeast"/>
              <w:jc w:val="both"/>
              <w:outlineLvl w:val="3"/>
              <w:rPr>
                <w:rFonts w:ascii="KaiTi" w:eastAsia="KaiTi" w:hAnsi="KaiTi"/>
                <w:i w:val="0"/>
                <w:sz w:val="21"/>
              </w:rPr>
            </w:pPr>
            <w:r w:rsidRPr="000902BE">
              <w:rPr>
                <w:rFonts w:ascii="KaiTi" w:eastAsia="KaiTi" w:hAnsi="KaiTi" w:hint="eastAsia"/>
                <w:i w:val="0"/>
                <w:sz w:val="21"/>
              </w:rPr>
              <w:t>产出1：</w:t>
            </w:r>
            <w:r w:rsidR="009958CF" w:rsidRPr="000902BE">
              <w:rPr>
                <w:rFonts w:ascii="KaiTi" w:eastAsia="KaiTi" w:hAnsi="KaiTi" w:hint="eastAsia"/>
                <w:i w:val="0"/>
                <w:sz w:val="21"/>
              </w:rPr>
              <w:t>提高对版权及相关权利在线上视听内容分发方面的作用的认识</w:t>
            </w:r>
          </w:p>
          <w:p w:rsidR="003744DE" w:rsidRDefault="004B0FA9" w:rsidP="000F3FC3">
            <w:pPr>
              <w:pStyle w:val="ae"/>
              <w:numPr>
                <w:ilvl w:val="0"/>
                <w:numId w:val="28"/>
              </w:numPr>
              <w:spacing w:after="50" w:line="340" w:lineRule="atLeast"/>
              <w:contextualSpacing w:val="0"/>
              <w:jc w:val="both"/>
              <w:rPr>
                <w:rFonts w:ascii="SimSun" w:eastAsia="SimSun" w:hAnsi="SimSun" w:cs="Arial"/>
                <w:sz w:val="21"/>
                <w:lang w:eastAsia="zh-CN"/>
              </w:rPr>
            </w:pPr>
            <w:r w:rsidRPr="003744DE">
              <w:rPr>
                <w:rFonts w:ascii="SimSun" w:eastAsia="SimSun" w:hAnsi="SimSun" w:cs="Arial" w:hint="eastAsia"/>
                <w:sz w:val="21"/>
                <w:lang w:eastAsia="zh-CN"/>
              </w:rPr>
              <w:lastRenderedPageBreak/>
              <w:t>活动1：委托开展关于数字环境中视听作品的版权法律框架和许可的研究</w:t>
            </w:r>
          </w:p>
          <w:p w:rsidR="003744DE" w:rsidRDefault="00670386" w:rsidP="000F3FC3">
            <w:pPr>
              <w:spacing w:after="50" w:line="340" w:lineRule="atLeast"/>
              <w:jc w:val="both"/>
              <w:rPr>
                <w:rFonts w:ascii="SimSun" w:hAnsi="SimSun"/>
                <w:sz w:val="21"/>
              </w:rPr>
            </w:pPr>
            <w:r w:rsidRPr="003744DE">
              <w:rPr>
                <w:rFonts w:ascii="SimSun" w:hAnsi="SimSun" w:hint="eastAsia"/>
                <w:sz w:val="21"/>
                <w:szCs w:val="22"/>
              </w:rPr>
              <w:t>描述：一项关于所选国家视听作品在线发行许可的研究。这项研究应考虑到每个参与国的国家法律框架，以便了解与视听作品</w:t>
            </w:r>
            <w:r w:rsidR="00047851" w:rsidRPr="003744DE">
              <w:rPr>
                <w:rFonts w:ascii="SimSun" w:hAnsi="SimSun" w:hint="eastAsia"/>
                <w:sz w:val="21"/>
                <w:szCs w:val="22"/>
              </w:rPr>
              <w:t>在线发行</w:t>
            </w:r>
            <w:r w:rsidRPr="003744DE">
              <w:rPr>
                <w:rFonts w:ascii="SimSun" w:hAnsi="SimSun" w:hint="eastAsia"/>
                <w:sz w:val="21"/>
                <w:szCs w:val="22"/>
              </w:rPr>
              <w:t>有关的法律要求和合同惯例。</w:t>
            </w:r>
          </w:p>
          <w:p w:rsidR="003744DE" w:rsidRDefault="00047851" w:rsidP="000F3FC3">
            <w:pPr>
              <w:pStyle w:val="ae"/>
              <w:numPr>
                <w:ilvl w:val="0"/>
                <w:numId w:val="28"/>
              </w:numPr>
              <w:spacing w:after="50" w:line="340" w:lineRule="atLeast"/>
              <w:contextualSpacing w:val="0"/>
              <w:jc w:val="both"/>
              <w:rPr>
                <w:rFonts w:ascii="SimSun" w:eastAsia="SimSun" w:hAnsi="SimSun" w:cs="Arial"/>
                <w:sz w:val="21"/>
                <w:lang w:eastAsia="zh-CN"/>
              </w:rPr>
            </w:pPr>
            <w:r w:rsidRPr="003744DE">
              <w:rPr>
                <w:rFonts w:ascii="SimSun" w:eastAsia="SimSun" w:hAnsi="SimSun" w:cs="Arial" w:hint="eastAsia"/>
                <w:sz w:val="21"/>
                <w:lang w:eastAsia="zh-CN"/>
              </w:rPr>
              <w:t>活动2：创建适用于在线视听内容许可的国家版权和相关权</w:t>
            </w:r>
            <w:r w:rsidR="00FD1780" w:rsidRPr="003744DE">
              <w:rPr>
                <w:rFonts w:ascii="SimSun" w:eastAsia="SimSun" w:hAnsi="SimSun" w:cs="Arial" w:hint="eastAsia"/>
                <w:sz w:val="21"/>
                <w:lang w:eastAsia="zh-CN"/>
              </w:rPr>
              <w:t>利</w:t>
            </w:r>
            <w:r w:rsidRPr="003744DE">
              <w:rPr>
                <w:rFonts w:ascii="SimSun" w:eastAsia="SimSun" w:hAnsi="SimSun" w:cs="Arial" w:hint="eastAsia"/>
                <w:sz w:val="21"/>
                <w:lang w:eastAsia="zh-CN"/>
              </w:rPr>
              <w:t>的摘要</w:t>
            </w:r>
          </w:p>
          <w:p w:rsidR="003744DE" w:rsidRDefault="002A7077" w:rsidP="000F3FC3">
            <w:pPr>
              <w:spacing w:after="50" w:line="340" w:lineRule="atLeast"/>
              <w:jc w:val="both"/>
              <w:rPr>
                <w:rFonts w:ascii="SimSun" w:hAnsi="SimSun"/>
                <w:sz w:val="21"/>
              </w:rPr>
            </w:pPr>
            <w:r w:rsidRPr="003744DE">
              <w:rPr>
                <w:rFonts w:ascii="SimSun" w:hAnsi="SimSun" w:hint="eastAsia"/>
                <w:sz w:val="21"/>
              </w:rPr>
              <w:t>描述：活动1中研究的信息将以国家摘要的格式呈现，可用于传播信息并提高对相关版权和相关权</w:t>
            </w:r>
            <w:r w:rsidR="00FD1780" w:rsidRPr="003744DE">
              <w:rPr>
                <w:rFonts w:ascii="SimSun" w:hAnsi="SimSun" w:hint="eastAsia"/>
                <w:sz w:val="21"/>
              </w:rPr>
              <w:t>利</w:t>
            </w:r>
            <w:r w:rsidRPr="003744DE">
              <w:rPr>
                <w:rFonts w:ascii="SimSun" w:hAnsi="SimSun" w:hint="eastAsia"/>
                <w:sz w:val="21"/>
              </w:rPr>
              <w:t>规则的认识</w:t>
            </w:r>
            <w:r w:rsidR="00FD1780" w:rsidRPr="003744DE">
              <w:rPr>
                <w:rFonts w:ascii="SimSun" w:hAnsi="SimSun" w:hint="eastAsia"/>
                <w:sz w:val="21"/>
              </w:rPr>
              <w:t>。</w:t>
            </w:r>
          </w:p>
          <w:p w:rsidR="003744DE" w:rsidRDefault="00FD1780" w:rsidP="000F3FC3">
            <w:pPr>
              <w:pStyle w:val="ae"/>
              <w:numPr>
                <w:ilvl w:val="0"/>
                <w:numId w:val="28"/>
              </w:numPr>
              <w:spacing w:after="50" w:line="340" w:lineRule="atLeast"/>
              <w:contextualSpacing w:val="0"/>
              <w:jc w:val="both"/>
              <w:rPr>
                <w:rFonts w:ascii="SimSun" w:eastAsia="SimSun" w:hAnsi="SimSun" w:cs="Arial"/>
                <w:sz w:val="21"/>
                <w:lang w:eastAsia="zh-CN"/>
              </w:rPr>
            </w:pPr>
            <w:r w:rsidRPr="003744DE">
              <w:rPr>
                <w:rFonts w:ascii="SimSun" w:eastAsia="SimSun" w:hAnsi="SimSun" w:cs="Arial" w:hint="eastAsia"/>
                <w:sz w:val="21"/>
                <w:lang w:eastAsia="zh-CN"/>
              </w:rPr>
              <w:t>活动3：委托对参与国公共领域的视听作品进行研究</w:t>
            </w:r>
          </w:p>
          <w:p w:rsidR="003744DE" w:rsidRDefault="00FD1780" w:rsidP="000F3FC3">
            <w:pPr>
              <w:spacing w:after="50" w:line="340" w:lineRule="atLeast"/>
              <w:jc w:val="both"/>
              <w:rPr>
                <w:rFonts w:ascii="SimSun" w:hAnsi="SimSun"/>
                <w:sz w:val="21"/>
              </w:rPr>
            </w:pPr>
            <w:r w:rsidRPr="003744DE">
              <w:rPr>
                <w:rFonts w:ascii="SimSun" w:hAnsi="SimSun" w:hint="eastAsia"/>
                <w:sz w:val="21"/>
              </w:rPr>
              <w:t>描述：</w:t>
            </w:r>
            <w:r w:rsidR="00821BD4" w:rsidRPr="003744DE">
              <w:rPr>
                <w:rFonts w:ascii="SimSun" w:hAnsi="SimSun" w:hint="eastAsia"/>
                <w:sz w:val="21"/>
              </w:rPr>
              <w:t>本</w:t>
            </w:r>
            <w:r w:rsidRPr="003744DE">
              <w:rPr>
                <w:rFonts w:ascii="SimSun" w:hAnsi="SimSun" w:hint="eastAsia"/>
                <w:sz w:val="21"/>
              </w:rPr>
              <w:t>研究将扩大CDIP</w:t>
            </w:r>
            <w:r w:rsidR="004740BA" w:rsidRPr="003744DE">
              <w:rPr>
                <w:rFonts w:ascii="SimSun" w:hAnsi="SimSun" w:hint="eastAsia"/>
                <w:sz w:val="21"/>
              </w:rPr>
              <w:t>过去</w:t>
            </w:r>
            <w:r w:rsidRPr="003744DE">
              <w:rPr>
                <w:rFonts w:ascii="SimSun" w:hAnsi="SimSun" w:hint="eastAsia"/>
                <w:sz w:val="21"/>
              </w:rPr>
              <w:t>委托</w:t>
            </w:r>
            <w:r w:rsidR="004740BA" w:rsidRPr="003744DE">
              <w:rPr>
                <w:rFonts w:ascii="SimSun" w:hAnsi="SimSun" w:hint="eastAsia"/>
                <w:sz w:val="21"/>
              </w:rPr>
              <w:t>开展的关</w:t>
            </w:r>
            <w:r w:rsidRPr="003744DE">
              <w:rPr>
                <w:rFonts w:ascii="SimSun" w:hAnsi="SimSun" w:hint="eastAsia"/>
                <w:sz w:val="21"/>
              </w:rPr>
              <w:t>于公共领域主题的工作</w:t>
            </w:r>
            <w:r w:rsidR="00467762" w:rsidRPr="003744DE">
              <w:rPr>
                <w:rStyle w:val="af3"/>
                <w:rFonts w:ascii="SimSun" w:hAnsi="SimSun"/>
                <w:sz w:val="21"/>
              </w:rPr>
              <w:footnoteReference w:id="10"/>
            </w:r>
            <w:r w:rsidRPr="003744DE">
              <w:rPr>
                <w:rFonts w:ascii="SimSun" w:hAnsi="SimSun" w:hint="eastAsia"/>
                <w:sz w:val="21"/>
              </w:rPr>
              <w:t>，这次</w:t>
            </w:r>
            <w:r w:rsidR="004740BA" w:rsidRPr="003744DE">
              <w:rPr>
                <w:rFonts w:ascii="SimSun" w:hAnsi="SimSun" w:hint="eastAsia"/>
                <w:sz w:val="21"/>
              </w:rPr>
              <w:t>侧重</w:t>
            </w:r>
            <w:r w:rsidRPr="003744DE">
              <w:rPr>
                <w:rFonts w:ascii="SimSun" w:hAnsi="SimSun" w:hint="eastAsia"/>
                <w:sz w:val="21"/>
              </w:rPr>
              <w:t>于公共领域的视听作品问题，同时考虑到每个参与国的国家法律框架。研究旨在了解适用于公共领域视听内容的使用和分发的现行规则，包括这些材料的允许用</w:t>
            </w:r>
            <w:r w:rsidR="00654BBF" w:rsidRPr="003744DE">
              <w:rPr>
                <w:rFonts w:ascii="SimSun" w:hAnsi="SimSun" w:hint="eastAsia"/>
                <w:sz w:val="21"/>
              </w:rPr>
              <w:t>途</w:t>
            </w:r>
            <w:r w:rsidRPr="003744DE">
              <w:rPr>
                <w:rFonts w:ascii="SimSun" w:hAnsi="SimSun" w:hint="eastAsia"/>
                <w:sz w:val="21"/>
              </w:rPr>
              <w:t>。</w:t>
            </w:r>
          </w:p>
          <w:p w:rsidR="003744DE" w:rsidRDefault="00654BBF" w:rsidP="000902BE">
            <w:pPr>
              <w:pStyle w:val="4"/>
              <w:keepNext w:val="0"/>
              <w:spacing w:after="50" w:line="340" w:lineRule="atLeast"/>
              <w:outlineLvl w:val="3"/>
              <w:rPr>
                <w:rFonts w:ascii="SimSun" w:hAnsi="SimSun"/>
                <w:i w:val="0"/>
                <w:iCs/>
                <w:sz w:val="21"/>
              </w:rPr>
            </w:pPr>
            <w:r w:rsidRPr="000902BE">
              <w:rPr>
                <w:rFonts w:ascii="KaiTi" w:eastAsia="KaiTi" w:hAnsi="KaiTi" w:hint="eastAsia"/>
                <w:i w:val="0"/>
                <w:sz w:val="21"/>
              </w:rPr>
              <w:t>产出2：更好地了解数字环境中许可的现状</w:t>
            </w:r>
          </w:p>
          <w:p w:rsidR="003744DE" w:rsidRDefault="002F64DE" w:rsidP="000F3FC3">
            <w:pPr>
              <w:pStyle w:val="ae"/>
              <w:numPr>
                <w:ilvl w:val="0"/>
                <w:numId w:val="28"/>
              </w:numPr>
              <w:spacing w:after="50" w:line="340" w:lineRule="atLeast"/>
              <w:contextualSpacing w:val="0"/>
              <w:jc w:val="both"/>
              <w:rPr>
                <w:rFonts w:ascii="SimSun" w:eastAsia="SimSun" w:hAnsi="SimSun" w:cs="Arial"/>
                <w:sz w:val="21"/>
                <w:lang w:eastAsia="zh-CN"/>
              </w:rPr>
            </w:pPr>
            <w:r w:rsidRPr="003744DE">
              <w:rPr>
                <w:rFonts w:ascii="SimSun" w:eastAsia="SimSun" w:hAnsi="SimSun" w:cs="Arial" w:hint="eastAsia"/>
                <w:sz w:val="21"/>
                <w:lang w:eastAsia="zh-CN"/>
              </w:rPr>
              <w:t>活动1：评估所选国家通过数字渠道</w:t>
            </w:r>
            <w:r w:rsidR="00B563C3" w:rsidRPr="003744DE">
              <w:rPr>
                <w:rFonts w:ascii="SimSun" w:eastAsia="SimSun" w:hAnsi="SimSun" w:cs="Arial" w:hint="eastAsia"/>
                <w:sz w:val="21"/>
                <w:lang w:eastAsia="zh-CN"/>
              </w:rPr>
              <w:t>分发</w:t>
            </w:r>
            <w:r w:rsidRPr="003744DE">
              <w:rPr>
                <w:rFonts w:ascii="SimSun" w:eastAsia="SimSun" w:hAnsi="SimSun" w:cs="Arial" w:hint="eastAsia"/>
                <w:sz w:val="21"/>
                <w:lang w:eastAsia="zh-CN"/>
              </w:rPr>
              <w:t>内容</w:t>
            </w:r>
            <w:r w:rsidR="00B563C3" w:rsidRPr="003744DE">
              <w:rPr>
                <w:rFonts w:ascii="SimSun" w:eastAsia="SimSun" w:hAnsi="SimSun" w:cs="Arial" w:hint="eastAsia"/>
                <w:sz w:val="21"/>
                <w:lang w:eastAsia="zh-CN"/>
              </w:rPr>
              <w:t>的</w:t>
            </w:r>
            <w:r w:rsidRPr="003744DE">
              <w:rPr>
                <w:rFonts w:ascii="SimSun" w:eastAsia="SimSun" w:hAnsi="SimSun" w:cs="Arial" w:hint="eastAsia"/>
                <w:sz w:val="21"/>
                <w:lang w:eastAsia="zh-CN"/>
              </w:rPr>
              <w:t>过程</w:t>
            </w:r>
          </w:p>
          <w:p w:rsidR="00E1701D" w:rsidRPr="003744DE" w:rsidRDefault="00B563C3" w:rsidP="000F3FC3">
            <w:pPr>
              <w:spacing w:after="50" w:line="340" w:lineRule="atLeast"/>
              <w:jc w:val="both"/>
              <w:rPr>
                <w:rFonts w:ascii="SimSun" w:hAnsi="SimSun"/>
                <w:sz w:val="21"/>
              </w:rPr>
            </w:pPr>
            <w:r w:rsidRPr="003744DE">
              <w:rPr>
                <w:rFonts w:ascii="SimSun" w:hAnsi="SimSun" w:hint="eastAsia"/>
                <w:sz w:val="21"/>
              </w:rPr>
              <w:t>描述：目</w:t>
            </w:r>
            <w:r w:rsidR="00375354" w:rsidRPr="003744DE">
              <w:rPr>
                <w:rFonts w:ascii="SimSun" w:hAnsi="SimSun" w:hint="eastAsia"/>
                <w:sz w:val="21"/>
              </w:rPr>
              <w:t>标</w:t>
            </w:r>
            <w:r w:rsidRPr="003744DE">
              <w:rPr>
                <w:rFonts w:ascii="SimSun" w:hAnsi="SimSun" w:hint="eastAsia"/>
                <w:sz w:val="21"/>
              </w:rPr>
              <w:t>是提供在线发行的一些本地作品的具体例子，以便更好地理解不同</w:t>
            </w:r>
            <w:r w:rsidR="009C1B45" w:rsidRPr="003744DE">
              <w:rPr>
                <w:rFonts w:ascii="SimSun" w:hAnsi="SimSun" w:hint="eastAsia"/>
                <w:sz w:val="21"/>
              </w:rPr>
              <w:t>行为体</w:t>
            </w:r>
            <w:r w:rsidRPr="003744DE">
              <w:rPr>
                <w:rFonts w:ascii="SimSun" w:hAnsi="SimSun" w:hint="eastAsia"/>
                <w:sz w:val="21"/>
              </w:rPr>
              <w:t>在尝试通过数字方式接触用户时所采取的步骤</w:t>
            </w:r>
            <w:r w:rsidR="009C1B45" w:rsidRPr="003744DE">
              <w:rPr>
                <w:rFonts w:ascii="SimSun" w:hAnsi="SimSun" w:hint="eastAsia"/>
                <w:sz w:val="21"/>
              </w:rPr>
              <w:t>。</w:t>
            </w:r>
          </w:p>
          <w:p w:rsidR="003744DE" w:rsidRPr="000902BE" w:rsidRDefault="009C1B45" w:rsidP="000902BE">
            <w:pPr>
              <w:pStyle w:val="4"/>
              <w:keepNext w:val="0"/>
              <w:numPr>
                <w:ilvl w:val="0"/>
                <w:numId w:val="28"/>
              </w:numPr>
              <w:spacing w:after="50" w:line="340" w:lineRule="atLeast"/>
              <w:outlineLvl w:val="3"/>
              <w:rPr>
                <w:rFonts w:ascii="KaiTi" w:eastAsia="KaiTi" w:hAnsi="KaiTi"/>
                <w:i w:val="0"/>
                <w:sz w:val="21"/>
              </w:rPr>
            </w:pPr>
            <w:r w:rsidRPr="000902BE">
              <w:rPr>
                <w:rFonts w:ascii="KaiTi" w:eastAsia="KaiTi" w:hAnsi="KaiTi" w:hint="eastAsia"/>
                <w:i w:val="0"/>
                <w:sz w:val="21"/>
              </w:rPr>
              <w:t>活动2：对数字视听市场的经济评估</w:t>
            </w:r>
          </w:p>
          <w:p w:rsidR="00E1701D" w:rsidRPr="003744DE" w:rsidRDefault="00375354" w:rsidP="000F3FC3">
            <w:pPr>
              <w:spacing w:after="50" w:line="340" w:lineRule="atLeast"/>
              <w:rPr>
                <w:rFonts w:ascii="SimSun" w:hAnsi="SimSun"/>
                <w:sz w:val="21"/>
              </w:rPr>
            </w:pPr>
            <w:r w:rsidRPr="003744DE">
              <w:rPr>
                <w:rFonts w:ascii="SimSun" w:hAnsi="SimSun" w:hint="eastAsia"/>
                <w:sz w:val="21"/>
              </w:rPr>
              <w:t>描述：目标是</w:t>
            </w:r>
            <w:r w:rsidR="00DA6A69" w:rsidRPr="003744DE">
              <w:rPr>
                <w:rFonts w:ascii="SimSun" w:hAnsi="SimSun" w:hint="eastAsia"/>
                <w:sz w:val="21"/>
              </w:rPr>
              <w:t>详细</w:t>
            </w:r>
            <w:r w:rsidRPr="003744DE">
              <w:rPr>
                <w:rFonts w:ascii="SimSun" w:hAnsi="SimSun" w:hint="eastAsia"/>
                <w:sz w:val="21"/>
              </w:rPr>
              <w:t>制定一项研究，评估</w:t>
            </w:r>
            <w:r w:rsidR="00DA6A69" w:rsidRPr="003744DE">
              <w:rPr>
                <w:rFonts w:ascii="SimSun" w:hAnsi="SimSun" w:hint="eastAsia"/>
                <w:sz w:val="21"/>
              </w:rPr>
              <w:t>所</w:t>
            </w:r>
            <w:r w:rsidRPr="003744DE">
              <w:rPr>
                <w:rFonts w:ascii="SimSun" w:hAnsi="SimSun" w:hint="eastAsia"/>
                <w:sz w:val="21"/>
              </w:rPr>
              <w:t>选国家</w:t>
            </w:r>
            <w:r w:rsidR="00143C3F" w:rsidRPr="003744DE">
              <w:rPr>
                <w:rFonts w:ascii="SimSun" w:hAnsi="SimSun" w:hint="eastAsia"/>
                <w:sz w:val="21"/>
              </w:rPr>
              <w:t>的</w:t>
            </w:r>
            <w:r w:rsidRPr="003744DE">
              <w:rPr>
                <w:rFonts w:ascii="SimSun" w:hAnsi="SimSun" w:hint="eastAsia"/>
                <w:sz w:val="21"/>
              </w:rPr>
              <w:t>内容在线</w:t>
            </w:r>
            <w:r w:rsidR="00DA6A69" w:rsidRPr="003744DE">
              <w:rPr>
                <w:rFonts w:ascii="SimSun" w:hAnsi="SimSun" w:hint="eastAsia"/>
                <w:sz w:val="21"/>
              </w:rPr>
              <w:t>提供率。</w:t>
            </w:r>
          </w:p>
          <w:p w:rsidR="003744DE" w:rsidRDefault="00DA6A69" w:rsidP="000902BE">
            <w:pPr>
              <w:pStyle w:val="4"/>
              <w:keepNext w:val="0"/>
              <w:numPr>
                <w:ilvl w:val="0"/>
                <w:numId w:val="28"/>
              </w:numPr>
              <w:spacing w:after="50" w:line="340" w:lineRule="atLeast"/>
              <w:outlineLvl w:val="3"/>
              <w:rPr>
                <w:rFonts w:ascii="SimSun" w:hAnsi="SimSun"/>
                <w:bCs w:val="0"/>
                <w:i w:val="0"/>
                <w:sz w:val="21"/>
                <w:szCs w:val="20"/>
              </w:rPr>
            </w:pPr>
            <w:r w:rsidRPr="003744DE">
              <w:rPr>
                <w:rFonts w:ascii="SimSun" w:hAnsi="SimSun" w:hint="eastAsia"/>
                <w:bCs w:val="0"/>
                <w:i w:val="0"/>
                <w:sz w:val="21"/>
                <w:szCs w:val="20"/>
              </w:rPr>
              <w:t>活动3：两个</w:t>
            </w:r>
            <w:r w:rsidR="007B1747" w:rsidRPr="003744DE">
              <w:rPr>
                <w:rFonts w:ascii="SimSun" w:hAnsi="SimSun" w:hint="eastAsia"/>
                <w:bCs w:val="0"/>
                <w:i w:val="0"/>
                <w:sz w:val="21"/>
                <w:szCs w:val="20"/>
              </w:rPr>
              <w:t>讲习班</w:t>
            </w:r>
            <w:r w:rsidRPr="003744DE">
              <w:rPr>
                <w:rFonts w:ascii="SimSun" w:hAnsi="SimSun" w:hint="eastAsia"/>
                <w:bCs w:val="0"/>
                <w:i w:val="0"/>
                <w:sz w:val="21"/>
                <w:szCs w:val="20"/>
              </w:rPr>
              <w:t>：</w:t>
            </w:r>
            <w:r w:rsidR="007B1747" w:rsidRPr="003744DE">
              <w:rPr>
                <w:rFonts w:ascii="SimSun" w:hAnsi="SimSun" w:hint="eastAsia"/>
                <w:bCs w:val="0"/>
                <w:i w:val="0"/>
                <w:sz w:val="21"/>
                <w:szCs w:val="20"/>
              </w:rPr>
              <w:t>所</w:t>
            </w:r>
            <w:r w:rsidRPr="003744DE">
              <w:rPr>
                <w:rFonts w:ascii="SimSun" w:hAnsi="SimSun" w:hint="eastAsia"/>
                <w:bCs w:val="0"/>
                <w:i w:val="0"/>
                <w:sz w:val="21"/>
                <w:szCs w:val="20"/>
              </w:rPr>
              <w:t>选国家的视听内容许可</w:t>
            </w:r>
          </w:p>
          <w:p w:rsidR="003744DE" w:rsidRDefault="00E77AD4" w:rsidP="000F3FC3">
            <w:pPr>
              <w:spacing w:after="50" w:line="340" w:lineRule="atLeast"/>
              <w:jc w:val="both"/>
              <w:rPr>
                <w:rFonts w:ascii="SimSun" w:hAnsi="SimSun"/>
                <w:sz w:val="21"/>
              </w:rPr>
            </w:pPr>
            <w:r w:rsidRPr="003744DE">
              <w:rPr>
                <w:rFonts w:ascii="SimSun" w:hAnsi="SimSun" w:hint="eastAsia"/>
                <w:sz w:val="21"/>
              </w:rPr>
              <w:t>描述：举办两个讲习班，让</w:t>
            </w:r>
            <w:r w:rsidR="007B1747" w:rsidRPr="003744DE">
              <w:rPr>
                <w:rFonts w:ascii="SimSun" w:hAnsi="SimSun" w:hint="eastAsia"/>
                <w:sz w:val="21"/>
              </w:rPr>
              <w:t>来自少数参与国家的代表和利益攸关方</w:t>
            </w:r>
            <w:r w:rsidRPr="003744DE">
              <w:rPr>
                <w:rFonts w:ascii="SimSun" w:hAnsi="SimSun" w:hint="eastAsia"/>
                <w:sz w:val="21"/>
              </w:rPr>
              <w:t>参加</w:t>
            </w:r>
            <w:r w:rsidR="007B1747" w:rsidRPr="003744DE">
              <w:rPr>
                <w:rFonts w:ascii="SimSun" w:hAnsi="SimSun" w:hint="eastAsia"/>
                <w:sz w:val="21"/>
              </w:rPr>
              <w:t>，以讨论与所选国家有关的数字环境中视听内容的法</w:t>
            </w:r>
            <w:r w:rsidR="00143C3F" w:rsidRPr="003744DE">
              <w:rPr>
                <w:rFonts w:ascii="SimSun" w:hAnsi="SimSun" w:hint="eastAsia"/>
                <w:sz w:val="21"/>
              </w:rPr>
              <w:t>制</w:t>
            </w:r>
            <w:r w:rsidR="007B1747" w:rsidRPr="003744DE">
              <w:rPr>
                <w:rFonts w:ascii="SimSun" w:hAnsi="SimSun" w:hint="eastAsia"/>
                <w:sz w:val="21"/>
              </w:rPr>
              <w:t>环境</w:t>
            </w:r>
            <w:r w:rsidRPr="003744DE">
              <w:rPr>
                <w:rFonts w:ascii="SimSun" w:hAnsi="SimSun" w:hint="eastAsia"/>
                <w:sz w:val="21"/>
              </w:rPr>
              <w:t>、</w:t>
            </w:r>
            <w:r w:rsidR="007B1747" w:rsidRPr="003744DE">
              <w:rPr>
                <w:rFonts w:ascii="SimSun" w:hAnsi="SimSun" w:hint="eastAsia"/>
                <w:sz w:val="21"/>
              </w:rPr>
              <w:t>制作和许可。这些讲习班将有助于交流国家经验，并</w:t>
            </w:r>
            <w:r w:rsidR="00BE1CA0" w:rsidRPr="003744DE">
              <w:rPr>
                <w:rFonts w:ascii="SimSun" w:hAnsi="SimSun" w:hint="eastAsia"/>
                <w:sz w:val="21"/>
              </w:rPr>
              <w:t>便利</w:t>
            </w:r>
            <w:r w:rsidR="007B1747" w:rsidRPr="003744DE">
              <w:rPr>
                <w:rFonts w:ascii="SimSun" w:hAnsi="SimSun" w:hint="eastAsia"/>
                <w:sz w:val="21"/>
              </w:rPr>
              <w:t>为项目剩余活动收集信息</w:t>
            </w:r>
            <w:r w:rsidR="00076F0C" w:rsidRPr="003744DE">
              <w:rPr>
                <w:rFonts w:ascii="SimSun" w:hAnsi="SimSun" w:hint="eastAsia"/>
                <w:sz w:val="21"/>
              </w:rPr>
              <w:t>。</w:t>
            </w:r>
          </w:p>
          <w:p w:rsidR="00E1701D" w:rsidRPr="003744DE" w:rsidRDefault="00076F0C" w:rsidP="000902BE">
            <w:pPr>
              <w:pStyle w:val="ae"/>
              <w:numPr>
                <w:ilvl w:val="0"/>
                <w:numId w:val="28"/>
              </w:numPr>
              <w:spacing w:after="50" w:line="340" w:lineRule="atLeast"/>
              <w:rPr>
                <w:rFonts w:ascii="SimSun" w:eastAsia="SimSun" w:hAnsi="SimSun"/>
                <w:sz w:val="21"/>
                <w:lang w:eastAsia="zh-CN"/>
              </w:rPr>
            </w:pPr>
            <w:r w:rsidRPr="003744DE">
              <w:rPr>
                <w:rFonts w:ascii="SimSun" w:eastAsia="SimSun" w:hAnsi="SimSun" w:cs="Arial" w:hint="eastAsia"/>
                <w:sz w:val="21"/>
                <w:szCs w:val="20"/>
                <w:lang w:eastAsia="zh-CN"/>
              </w:rPr>
              <w:t>活动4：</w:t>
            </w:r>
            <w:r w:rsidR="00143C3F" w:rsidRPr="003744DE">
              <w:rPr>
                <w:rFonts w:ascii="SimSun" w:eastAsia="SimSun" w:hAnsi="SimSun" w:cs="Arial" w:hint="eastAsia"/>
                <w:sz w:val="21"/>
                <w:szCs w:val="20"/>
                <w:lang w:eastAsia="zh-CN"/>
              </w:rPr>
              <w:t>版权与</w:t>
            </w:r>
            <w:r w:rsidRPr="003744DE">
              <w:rPr>
                <w:rFonts w:ascii="SimSun" w:eastAsia="SimSun" w:hAnsi="SimSun" w:cs="Arial" w:hint="eastAsia"/>
                <w:sz w:val="21"/>
                <w:szCs w:val="20"/>
                <w:lang w:eastAsia="zh-CN"/>
              </w:rPr>
              <w:t>数字环境中内容分发</w:t>
            </w:r>
            <w:r w:rsidR="00130F51" w:rsidRPr="003744DE">
              <w:rPr>
                <w:rFonts w:ascii="SimSun" w:eastAsia="SimSun" w:hAnsi="SimSun" w:cs="Arial" w:hint="eastAsia"/>
                <w:sz w:val="21"/>
                <w:szCs w:val="20"/>
                <w:lang w:eastAsia="zh-CN"/>
              </w:rPr>
              <w:t>问题</w:t>
            </w:r>
            <w:r w:rsidRPr="003744DE">
              <w:rPr>
                <w:rFonts w:ascii="SimSun" w:eastAsia="SimSun" w:hAnsi="SimSun" w:cs="Arial" w:hint="eastAsia"/>
                <w:sz w:val="21"/>
                <w:szCs w:val="20"/>
                <w:lang w:eastAsia="zh-CN"/>
              </w:rPr>
              <w:t>区域研讨会</w:t>
            </w:r>
          </w:p>
          <w:p w:rsidR="00E1701D" w:rsidRPr="003744DE" w:rsidRDefault="00984C82" w:rsidP="000F3FC3">
            <w:pPr>
              <w:spacing w:after="50" w:line="340" w:lineRule="atLeast"/>
              <w:jc w:val="both"/>
              <w:rPr>
                <w:rFonts w:ascii="SimSun" w:hAnsi="SimSun"/>
                <w:sz w:val="21"/>
                <w:szCs w:val="22"/>
              </w:rPr>
            </w:pPr>
            <w:r w:rsidRPr="003744DE">
              <w:rPr>
                <w:rFonts w:ascii="SimSun" w:hAnsi="SimSun" w:hint="eastAsia"/>
                <w:sz w:val="21"/>
              </w:rPr>
              <w:t>描述：研讨会将以上述研究和</w:t>
            </w:r>
            <w:r w:rsidR="00812676" w:rsidRPr="003744DE">
              <w:rPr>
                <w:rFonts w:ascii="SimSun" w:hAnsi="SimSun" w:hint="eastAsia"/>
                <w:sz w:val="21"/>
              </w:rPr>
              <w:t>讲习班</w:t>
            </w:r>
            <w:r w:rsidRPr="003744DE">
              <w:rPr>
                <w:rFonts w:ascii="SimSun" w:hAnsi="SimSun" w:hint="eastAsia"/>
                <w:sz w:val="21"/>
              </w:rPr>
              <w:t>的成果为基础，讨论版权及相关权</w:t>
            </w:r>
            <w:r w:rsidR="00812676" w:rsidRPr="003744DE">
              <w:rPr>
                <w:rFonts w:ascii="SimSun" w:hAnsi="SimSun" w:hint="eastAsia"/>
                <w:sz w:val="21"/>
              </w:rPr>
              <w:t>利</w:t>
            </w:r>
            <w:r w:rsidRPr="003744DE">
              <w:rPr>
                <w:rFonts w:ascii="SimSun" w:hAnsi="SimSun" w:hint="eastAsia"/>
                <w:sz w:val="21"/>
              </w:rPr>
              <w:t>如何适用于数字市场视听内容</w:t>
            </w:r>
            <w:r w:rsidR="00CD3588" w:rsidRPr="003744DE">
              <w:rPr>
                <w:rFonts w:ascii="SimSun" w:hAnsi="SimSun" w:hint="eastAsia"/>
                <w:sz w:val="21"/>
              </w:rPr>
              <w:t>在当地市场的</w:t>
            </w:r>
            <w:r w:rsidRPr="003744DE">
              <w:rPr>
                <w:rFonts w:ascii="SimSun" w:hAnsi="SimSun" w:hint="eastAsia"/>
                <w:sz w:val="21"/>
              </w:rPr>
              <w:t>商业化。活动的目</w:t>
            </w:r>
            <w:r w:rsidR="00CD3588" w:rsidRPr="003744DE">
              <w:rPr>
                <w:rFonts w:ascii="SimSun" w:hAnsi="SimSun" w:hint="eastAsia"/>
                <w:sz w:val="21"/>
              </w:rPr>
              <w:t>标</w:t>
            </w:r>
            <w:r w:rsidRPr="003744DE">
              <w:rPr>
                <w:rFonts w:ascii="SimSun" w:hAnsi="SimSun" w:hint="eastAsia"/>
                <w:sz w:val="21"/>
              </w:rPr>
              <w:t>是</w:t>
            </w:r>
            <w:r w:rsidR="008C1F93" w:rsidRPr="003744DE">
              <w:rPr>
                <w:rFonts w:ascii="SimSun" w:hAnsi="SimSun" w:hint="eastAsia"/>
                <w:sz w:val="21"/>
              </w:rPr>
              <w:t>方便了解和认识</w:t>
            </w:r>
            <w:r w:rsidRPr="003744DE">
              <w:rPr>
                <w:rFonts w:ascii="SimSun" w:hAnsi="SimSun" w:hint="eastAsia"/>
                <w:sz w:val="21"/>
              </w:rPr>
              <w:t>如何在该地区</w:t>
            </w:r>
            <w:r w:rsidR="008C1F93" w:rsidRPr="003744DE">
              <w:rPr>
                <w:rFonts w:ascii="SimSun" w:hAnsi="SimSun" w:hint="eastAsia"/>
                <w:sz w:val="21"/>
              </w:rPr>
              <w:t>营造</w:t>
            </w:r>
            <w:r w:rsidRPr="003744DE">
              <w:rPr>
                <w:rFonts w:ascii="SimSun" w:hAnsi="SimSun" w:hint="eastAsia"/>
                <w:sz w:val="21"/>
              </w:rPr>
              <w:t>动态许可环境，</w:t>
            </w:r>
            <w:r w:rsidR="00E05129" w:rsidRPr="003744DE">
              <w:rPr>
                <w:rFonts w:ascii="SimSun" w:hAnsi="SimSun" w:hint="eastAsia"/>
                <w:sz w:val="21"/>
              </w:rPr>
              <w:t>同时提供一个从版权角度讨论数字视听市场核心问题的论坛。</w:t>
            </w:r>
          </w:p>
        </w:tc>
      </w:tr>
      <w:tr w:rsidR="00E1701D" w:rsidRPr="000902BE" w:rsidTr="00553B2C">
        <w:tc>
          <w:tcPr>
            <w:tcW w:w="2410" w:type="dxa"/>
            <w:shd w:val="clear" w:color="auto" w:fill="auto"/>
          </w:tcPr>
          <w:p w:rsidR="00E1701D" w:rsidRPr="000902BE" w:rsidRDefault="00212B33" w:rsidP="000902BE">
            <w:pPr>
              <w:spacing w:after="50" w:line="340" w:lineRule="atLeast"/>
              <w:rPr>
                <w:rFonts w:ascii="KaiTi" w:eastAsia="KaiTi" w:hAnsi="KaiTi"/>
                <w:sz w:val="21"/>
                <w:szCs w:val="22"/>
              </w:rPr>
            </w:pPr>
            <w:r w:rsidRPr="000902BE">
              <w:rPr>
                <w:rFonts w:ascii="KaiTi" w:eastAsia="KaiTi" w:hAnsi="KaiTi" w:hint="eastAsia"/>
                <w:sz w:val="21"/>
                <w:szCs w:val="22"/>
              </w:rPr>
              <w:lastRenderedPageBreak/>
              <w:t>风险和减缓战略</w:t>
            </w:r>
          </w:p>
        </w:tc>
        <w:tc>
          <w:tcPr>
            <w:tcW w:w="7200" w:type="dxa"/>
          </w:tcPr>
          <w:p w:rsidR="003744DE" w:rsidRPr="000902BE" w:rsidRDefault="00024140" w:rsidP="000902BE">
            <w:pPr>
              <w:spacing w:after="50" w:line="340" w:lineRule="atLeast"/>
              <w:rPr>
                <w:rFonts w:asciiTheme="majorEastAsia" w:eastAsiaTheme="majorEastAsia" w:hAnsiTheme="majorEastAsia"/>
                <w:sz w:val="21"/>
                <w:szCs w:val="22"/>
                <w:lang w:val="it-IT"/>
              </w:rPr>
            </w:pPr>
            <w:r w:rsidRPr="000902BE">
              <w:rPr>
                <w:rFonts w:asciiTheme="majorEastAsia" w:eastAsiaTheme="majorEastAsia" w:hAnsiTheme="majorEastAsia" w:hint="eastAsia"/>
                <w:sz w:val="21"/>
                <w:szCs w:val="22"/>
                <w:lang w:val="it-IT"/>
              </w:rPr>
              <w:t>风险1：缺乏关于在线视听内容许可的充足信息。</w:t>
            </w:r>
          </w:p>
          <w:p w:rsidR="003744DE" w:rsidRPr="000902BE" w:rsidRDefault="00024140" w:rsidP="000F3FC3">
            <w:pPr>
              <w:spacing w:after="50" w:line="340" w:lineRule="atLeast"/>
              <w:rPr>
                <w:rFonts w:asciiTheme="majorEastAsia" w:eastAsiaTheme="majorEastAsia" w:hAnsiTheme="majorEastAsia"/>
                <w:sz w:val="21"/>
                <w:szCs w:val="22"/>
                <w:lang w:val="it-IT"/>
              </w:rPr>
            </w:pPr>
            <w:r w:rsidRPr="000902BE">
              <w:rPr>
                <w:rFonts w:asciiTheme="majorEastAsia" w:eastAsiaTheme="majorEastAsia" w:hAnsiTheme="majorEastAsia" w:hint="eastAsia"/>
                <w:sz w:val="21"/>
                <w:szCs w:val="22"/>
                <w:lang w:val="it-IT"/>
              </w:rPr>
              <w:t>缓解措施1：寻求地方政府</w:t>
            </w:r>
            <w:r w:rsidR="00381DDB" w:rsidRPr="000902BE">
              <w:rPr>
                <w:rFonts w:asciiTheme="majorEastAsia" w:eastAsiaTheme="majorEastAsia" w:hAnsiTheme="majorEastAsia" w:hint="eastAsia"/>
                <w:sz w:val="21"/>
                <w:szCs w:val="22"/>
                <w:lang w:val="it-IT"/>
              </w:rPr>
              <w:t>、</w:t>
            </w:r>
            <w:r w:rsidRPr="000902BE">
              <w:rPr>
                <w:rFonts w:asciiTheme="majorEastAsia" w:eastAsiaTheme="majorEastAsia" w:hAnsiTheme="majorEastAsia" w:hint="eastAsia"/>
                <w:sz w:val="21"/>
                <w:szCs w:val="22"/>
                <w:lang w:val="it-IT"/>
              </w:rPr>
              <w:t>机构和主要利益</w:t>
            </w:r>
            <w:r w:rsidR="00381DDB" w:rsidRPr="000902BE">
              <w:rPr>
                <w:rFonts w:asciiTheme="majorEastAsia" w:eastAsiaTheme="majorEastAsia" w:hAnsiTheme="majorEastAsia" w:hint="eastAsia"/>
                <w:sz w:val="21"/>
                <w:szCs w:val="22"/>
                <w:lang w:val="it-IT"/>
              </w:rPr>
              <w:t>攸</w:t>
            </w:r>
            <w:r w:rsidRPr="000902BE">
              <w:rPr>
                <w:rFonts w:asciiTheme="majorEastAsia" w:eastAsiaTheme="majorEastAsia" w:hAnsiTheme="majorEastAsia" w:hint="eastAsia"/>
                <w:sz w:val="21"/>
                <w:szCs w:val="22"/>
                <w:lang w:val="it-IT"/>
              </w:rPr>
              <w:t>关方的合作，以便检索相关信息。</w:t>
            </w:r>
          </w:p>
          <w:p w:rsidR="003744DE" w:rsidRPr="000902BE" w:rsidRDefault="00381DDB" w:rsidP="000F3FC3">
            <w:pPr>
              <w:spacing w:after="50" w:line="340" w:lineRule="atLeast"/>
              <w:jc w:val="both"/>
              <w:rPr>
                <w:rFonts w:asciiTheme="majorEastAsia" w:eastAsiaTheme="majorEastAsia" w:hAnsiTheme="majorEastAsia"/>
                <w:sz w:val="21"/>
                <w:szCs w:val="22"/>
                <w:lang w:val="it-IT"/>
              </w:rPr>
            </w:pPr>
            <w:r w:rsidRPr="000902BE">
              <w:rPr>
                <w:rFonts w:asciiTheme="majorEastAsia" w:eastAsiaTheme="majorEastAsia" w:hAnsiTheme="majorEastAsia" w:hint="eastAsia"/>
                <w:sz w:val="21"/>
                <w:szCs w:val="22"/>
                <w:lang w:val="it-IT"/>
              </w:rPr>
              <w:t>风险2：由于市场规模或缺乏有关数字平台内容的可用数据和来源，所选国家的条件可能会妨碍项目实施。</w:t>
            </w:r>
          </w:p>
          <w:p w:rsidR="00E1701D" w:rsidRPr="000902BE" w:rsidRDefault="009E7252" w:rsidP="000F3FC3">
            <w:pPr>
              <w:spacing w:after="50" w:line="340" w:lineRule="atLeast"/>
              <w:jc w:val="both"/>
              <w:rPr>
                <w:rFonts w:ascii="KaiTi" w:eastAsia="KaiTi" w:hAnsi="KaiTi"/>
                <w:sz w:val="21"/>
                <w:szCs w:val="22"/>
                <w:lang w:val="it-IT"/>
              </w:rPr>
            </w:pPr>
            <w:r w:rsidRPr="000902BE">
              <w:rPr>
                <w:rFonts w:asciiTheme="majorEastAsia" w:eastAsiaTheme="majorEastAsia" w:hAnsiTheme="majorEastAsia" w:hint="eastAsia"/>
                <w:sz w:val="21"/>
                <w:szCs w:val="22"/>
                <w:lang w:val="it-IT"/>
              </w:rPr>
              <w:t>缓解措施2：与视听行业的当地利益攸关方进行广泛磋商和密切合作。此外，如果一个或多个国家没有可用信息或数据质量不足，活动可能会暂停或推迟。</w:t>
            </w:r>
          </w:p>
        </w:tc>
      </w:tr>
    </w:tbl>
    <w:p w:rsidR="000902BE" w:rsidRDefault="000902BE">
      <w:r>
        <w:br w:type="page"/>
      </w:r>
    </w:p>
    <w:tbl>
      <w:tblPr>
        <w:tblStyle w:val="af"/>
        <w:tblW w:w="9610" w:type="dxa"/>
        <w:tblInd w:w="-34" w:type="dxa"/>
        <w:tblLayout w:type="fixed"/>
        <w:tblLook w:val="01E0" w:firstRow="1" w:lastRow="1" w:firstColumn="1" w:lastColumn="1" w:noHBand="0" w:noVBand="0"/>
      </w:tblPr>
      <w:tblGrid>
        <w:gridCol w:w="3261"/>
        <w:gridCol w:w="1134"/>
        <w:gridCol w:w="2551"/>
        <w:gridCol w:w="2664"/>
      </w:tblGrid>
      <w:tr w:rsidR="00E1701D" w:rsidRPr="000902BE" w:rsidTr="00553B2C">
        <w:tc>
          <w:tcPr>
            <w:tcW w:w="9610" w:type="dxa"/>
            <w:gridSpan w:val="4"/>
            <w:shd w:val="clear" w:color="auto" w:fill="auto"/>
          </w:tcPr>
          <w:p w:rsidR="00E1701D" w:rsidRPr="000902BE" w:rsidRDefault="00E1701D" w:rsidP="000902BE">
            <w:pPr>
              <w:spacing w:afterLines="50" w:after="120" w:line="340" w:lineRule="atLeast"/>
              <w:rPr>
                <w:rFonts w:asciiTheme="minorEastAsia" w:eastAsiaTheme="minorEastAsia" w:hAnsiTheme="minorEastAsia"/>
                <w:b/>
                <w:bCs/>
                <w:iCs/>
                <w:sz w:val="21"/>
                <w:szCs w:val="21"/>
              </w:rPr>
            </w:pPr>
            <w:r w:rsidRPr="000902BE">
              <w:rPr>
                <w:rFonts w:asciiTheme="minorEastAsia" w:eastAsiaTheme="minorEastAsia" w:hAnsiTheme="minorEastAsia"/>
                <w:b/>
                <w:bCs/>
                <w:iCs/>
                <w:sz w:val="21"/>
                <w:szCs w:val="21"/>
              </w:rPr>
              <w:lastRenderedPageBreak/>
              <w:t>3.</w:t>
            </w:r>
            <w:r w:rsidR="003A3D07" w:rsidRPr="000902BE">
              <w:rPr>
                <w:rFonts w:asciiTheme="minorEastAsia" w:eastAsiaTheme="minorEastAsia" w:hAnsiTheme="minorEastAsia" w:hint="eastAsia"/>
                <w:b/>
                <w:bCs/>
                <w:iCs/>
                <w:sz w:val="21"/>
                <w:szCs w:val="21"/>
              </w:rPr>
              <w:t>审查与评价</w:t>
            </w:r>
          </w:p>
        </w:tc>
      </w:tr>
      <w:tr w:rsidR="00E1701D" w:rsidRPr="003744DE" w:rsidTr="00553B2C">
        <w:tc>
          <w:tcPr>
            <w:tcW w:w="9610" w:type="dxa"/>
            <w:gridSpan w:val="4"/>
            <w:tcBorders>
              <w:bottom w:val="nil"/>
            </w:tcBorders>
            <w:shd w:val="clear" w:color="auto" w:fill="auto"/>
          </w:tcPr>
          <w:p w:rsidR="003744DE" w:rsidRDefault="00E1701D" w:rsidP="000902BE">
            <w:pPr>
              <w:pStyle w:val="3"/>
              <w:spacing w:after="50" w:line="340" w:lineRule="atLeast"/>
              <w:outlineLvl w:val="2"/>
              <w:rPr>
                <w:rFonts w:ascii="SimSun" w:hAnsi="SimSun"/>
                <w:sz w:val="21"/>
                <w:lang w:val="it-IT"/>
              </w:rPr>
            </w:pPr>
            <w:r w:rsidRPr="003744DE">
              <w:rPr>
                <w:rFonts w:ascii="SimSun" w:hAnsi="SimSun"/>
                <w:sz w:val="21"/>
                <w:lang w:val="it-IT"/>
              </w:rPr>
              <w:t>3.1.</w:t>
            </w:r>
            <w:r w:rsidR="003A3D07" w:rsidRPr="003744DE">
              <w:rPr>
                <w:rFonts w:ascii="SimSun" w:hAnsi="SimSun" w:hint="eastAsia"/>
                <w:sz w:val="21"/>
                <w:lang w:val="it-IT"/>
              </w:rPr>
              <w:t>项目审查时间表</w:t>
            </w:r>
          </w:p>
          <w:p w:rsidR="00E1701D" w:rsidRPr="003744DE" w:rsidRDefault="00B76420" w:rsidP="000F3FC3">
            <w:pPr>
              <w:spacing w:after="50" w:line="340" w:lineRule="atLeast"/>
              <w:jc w:val="both"/>
              <w:rPr>
                <w:rFonts w:ascii="SimSun" w:hAnsi="SimSun"/>
                <w:sz w:val="21"/>
                <w:szCs w:val="22"/>
                <w:lang w:val="it-IT"/>
              </w:rPr>
            </w:pPr>
            <w:r w:rsidRPr="003744DE">
              <w:rPr>
                <w:rFonts w:ascii="SimSun" w:hAnsi="SimSun" w:hint="eastAsia"/>
                <w:sz w:val="21"/>
                <w:szCs w:val="22"/>
                <w:lang w:val="it-IT"/>
              </w:rPr>
              <w:t>项目将每年审查一次，并向CDIP提交一份进度报告。项目结束时，将进行独立评估，并将其报告提交给CDIP。</w:t>
            </w:r>
          </w:p>
        </w:tc>
      </w:tr>
      <w:tr w:rsidR="00E1701D" w:rsidRPr="003744DE" w:rsidTr="00553B2C">
        <w:tc>
          <w:tcPr>
            <w:tcW w:w="9610" w:type="dxa"/>
            <w:gridSpan w:val="4"/>
            <w:tcBorders>
              <w:top w:val="nil"/>
              <w:bottom w:val="single" w:sz="4" w:space="0" w:color="auto"/>
            </w:tcBorders>
            <w:shd w:val="clear" w:color="auto" w:fill="auto"/>
          </w:tcPr>
          <w:p w:rsidR="00E1701D" w:rsidRPr="003744DE" w:rsidRDefault="00E1701D" w:rsidP="000902BE">
            <w:pPr>
              <w:pStyle w:val="3"/>
              <w:spacing w:after="50" w:line="340" w:lineRule="atLeast"/>
              <w:outlineLvl w:val="2"/>
              <w:rPr>
                <w:rFonts w:ascii="SimSun" w:hAnsi="SimSun"/>
                <w:sz w:val="21"/>
                <w:lang w:val="it-IT"/>
              </w:rPr>
            </w:pPr>
          </w:p>
        </w:tc>
      </w:tr>
      <w:tr w:rsidR="00344737" w:rsidRPr="003744DE" w:rsidTr="00553B2C">
        <w:tc>
          <w:tcPr>
            <w:tcW w:w="9610" w:type="dxa"/>
            <w:gridSpan w:val="4"/>
            <w:tcBorders>
              <w:top w:val="single" w:sz="4" w:space="0" w:color="auto"/>
            </w:tcBorders>
            <w:shd w:val="clear" w:color="auto" w:fill="auto"/>
          </w:tcPr>
          <w:p w:rsidR="00344737" w:rsidRPr="003744DE" w:rsidRDefault="00344737" w:rsidP="000902BE">
            <w:pPr>
              <w:keepNext/>
              <w:keepLines/>
              <w:spacing w:after="50" w:line="340" w:lineRule="atLeast"/>
              <w:rPr>
                <w:rFonts w:ascii="SimSun" w:hAnsi="SimSun"/>
                <w:sz w:val="21"/>
                <w:szCs w:val="22"/>
                <w:lang w:val="it-IT"/>
              </w:rPr>
            </w:pPr>
            <w:r w:rsidRPr="003744DE">
              <w:rPr>
                <w:rFonts w:ascii="SimSun" w:hAnsi="SimSun"/>
                <w:sz w:val="21"/>
                <w:u w:val="single"/>
                <w:lang w:val="it-IT"/>
              </w:rPr>
              <w:t>3.2.</w:t>
            </w:r>
            <w:r w:rsidR="00C10E83" w:rsidRPr="003744DE">
              <w:rPr>
                <w:rFonts w:ascii="SimSun" w:hAnsi="SimSun" w:hint="eastAsia"/>
                <w:sz w:val="21"/>
                <w:u w:val="single"/>
                <w:lang w:val="it-IT"/>
              </w:rPr>
              <w:t>项目自我评价</w:t>
            </w:r>
          </w:p>
        </w:tc>
      </w:tr>
      <w:tr w:rsidR="00E1701D" w:rsidRPr="000902BE" w:rsidTr="00553B2C">
        <w:tc>
          <w:tcPr>
            <w:tcW w:w="3261" w:type="dxa"/>
            <w:tcBorders>
              <w:top w:val="single" w:sz="4" w:space="0" w:color="auto"/>
            </w:tcBorders>
            <w:shd w:val="clear" w:color="auto" w:fill="auto"/>
          </w:tcPr>
          <w:p w:rsidR="00344737" w:rsidRPr="000902BE" w:rsidRDefault="003A3D07" w:rsidP="000902BE">
            <w:pPr>
              <w:keepNext/>
              <w:keepLines/>
              <w:spacing w:after="50" w:line="340" w:lineRule="atLeast"/>
              <w:rPr>
                <w:rFonts w:ascii="KaiTi" w:eastAsia="KaiTi" w:hAnsi="KaiTi"/>
                <w:sz w:val="21"/>
                <w:szCs w:val="22"/>
              </w:rPr>
            </w:pPr>
            <w:r w:rsidRPr="000902BE">
              <w:rPr>
                <w:rFonts w:ascii="KaiTi" w:eastAsia="KaiTi" w:hAnsi="KaiTi" w:hint="eastAsia"/>
                <w:sz w:val="21"/>
                <w:szCs w:val="22"/>
              </w:rPr>
              <w:t>项目产出</w:t>
            </w:r>
          </w:p>
        </w:tc>
        <w:tc>
          <w:tcPr>
            <w:tcW w:w="6349" w:type="dxa"/>
            <w:gridSpan w:val="3"/>
            <w:tcBorders>
              <w:top w:val="single" w:sz="4" w:space="0" w:color="auto"/>
            </w:tcBorders>
          </w:tcPr>
          <w:p w:rsidR="00E1701D" w:rsidRPr="000902BE" w:rsidRDefault="00C10E83" w:rsidP="000902BE">
            <w:pPr>
              <w:keepNext/>
              <w:keepLines/>
              <w:spacing w:after="50" w:line="340" w:lineRule="atLeast"/>
              <w:rPr>
                <w:rFonts w:ascii="KaiTi" w:eastAsia="KaiTi" w:hAnsi="KaiTi"/>
                <w:sz w:val="21"/>
                <w:szCs w:val="22"/>
                <w:lang w:val="it-IT"/>
              </w:rPr>
            </w:pPr>
            <w:r w:rsidRPr="000902BE">
              <w:rPr>
                <w:rFonts w:ascii="KaiTi" w:eastAsia="KaiTi" w:hAnsi="KaiTi" w:hint="eastAsia"/>
                <w:sz w:val="21"/>
                <w:szCs w:val="22"/>
                <w:lang w:val="it-IT"/>
              </w:rPr>
              <w:t>产出指标</w:t>
            </w:r>
          </w:p>
        </w:tc>
      </w:tr>
      <w:tr w:rsidR="00E1701D" w:rsidRPr="000902BE" w:rsidTr="00553B2C">
        <w:tc>
          <w:tcPr>
            <w:tcW w:w="3261" w:type="dxa"/>
            <w:shd w:val="clear" w:color="auto" w:fill="auto"/>
          </w:tcPr>
          <w:p w:rsidR="00E1701D" w:rsidRPr="000902BE" w:rsidRDefault="00B11707" w:rsidP="000902BE">
            <w:pPr>
              <w:pStyle w:val="4"/>
              <w:keepNext w:val="0"/>
              <w:spacing w:after="50" w:line="340" w:lineRule="atLeast"/>
              <w:outlineLvl w:val="3"/>
              <w:rPr>
                <w:rFonts w:ascii="KaiTi" w:eastAsia="KaiTi" w:hAnsi="KaiTi"/>
                <w:i w:val="0"/>
                <w:sz w:val="21"/>
              </w:rPr>
            </w:pPr>
            <w:r w:rsidRPr="000902BE">
              <w:rPr>
                <w:rFonts w:ascii="KaiTi" w:eastAsia="KaiTi" w:hAnsi="KaiTi"/>
                <w:i w:val="0"/>
                <w:sz w:val="21"/>
              </w:rPr>
              <w:t>产出</w:t>
            </w:r>
            <w:r w:rsidR="00E1701D" w:rsidRPr="000902BE">
              <w:rPr>
                <w:rFonts w:ascii="KaiTi" w:eastAsia="KaiTi" w:hAnsi="KaiTi"/>
                <w:i w:val="0"/>
                <w:sz w:val="21"/>
              </w:rPr>
              <w:t>1</w:t>
            </w:r>
            <w:r w:rsidR="003744DE" w:rsidRPr="000902BE">
              <w:rPr>
                <w:rFonts w:ascii="KaiTi" w:eastAsia="KaiTi" w:hAnsi="KaiTi"/>
                <w:i w:val="0"/>
                <w:sz w:val="21"/>
              </w:rPr>
              <w:t>：</w:t>
            </w:r>
            <w:r w:rsidR="009958CF" w:rsidRPr="000902BE">
              <w:rPr>
                <w:rFonts w:ascii="KaiTi" w:eastAsia="KaiTi" w:hAnsi="KaiTi" w:hint="eastAsia"/>
                <w:i w:val="0"/>
                <w:sz w:val="21"/>
              </w:rPr>
              <w:t>提高对版权及相关权利在线上视听内容分发方面的作用的认识</w:t>
            </w:r>
          </w:p>
        </w:tc>
        <w:tc>
          <w:tcPr>
            <w:tcW w:w="6349" w:type="dxa"/>
            <w:gridSpan w:val="3"/>
          </w:tcPr>
          <w:p w:rsidR="003744DE" w:rsidRPr="000902BE" w:rsidRDefault="00561A60" w:rsidP="004B4DDD">
            <w:pPr>
              <w:pStyle w:val="ae"/>
              <w:numPr>
                <w:ilvl w:val="0"/>
                <w:numId w:val="29"/>
              </w:numPr>
              <w:spacing w:after="50" w:line="340" w:lineRule="atLeast"/>
              <w:ind w:left="714" w:hanging="357"/>
              <w:contextualSpacing w:val="0"/>
              <w:jc w:val="both"/>
              <w:rPr>
                <w:rFonts w:asciiTheme="majorEastAsia" w:eastAsiaTheme="majorEastAsia" w:hAnsiTheme="majorEastAsia" w:cs="Arial"/>
                <w:sz w:val="21"/>
                <w:lang w:eastAsia="zh-CN"/>
              </w:rPr>
            </w:pPr>
            <w:r w:rsidRPr="000902BE">
              <w:rPr>
                <w:rFonts w:asciiTheme="majorEastAsia" w:eastAsiaTheme="majorEastAsia" w:hAnsiTheme="majorEastAsia" w:cs="Arial" w:hint="eastAsia"/>
                <w:sz w:val="21"/>
                <w:lang w:val="it-IT" w:eastAsia="zh-CN"/>
              </w:rPr>
              <w:t>交付</w:t>
            </w:r>
            <w:r w:rsidR="00C30C41" w:rsidRPr="000902BE">
              <w:rPr>
                <w:rFonts w:asciiTheme="majorEastAsia" w:eastAsiaTheme="majorEastAsia" w:hAnsiTheme="majorEastAsia" w:cs="Arial" w:hint="eastAsia"/>
                <w:sz w:val="21"/>
                <w:lang w:val="it-IT" w:eastAsia="zh-CN"/>
              </w:rPr>
              <w:t>一份</w:t>
            </w:r>
            <w:r w:rsidR="000007A0" w:rsidRPr="000902BE">
              <w:rPr>
                <w:rFonts w:asciiTheme="majorEastAsia" w:eastAsiaTheme="majorEastAsia" w:hAnsiTheme="majorEastAsia" w:cs="Arial" w:hint="eastAsia"/>
                <w:sz w:val="21"/>
                <w:lang w:val="it-IT" w:eastAsia="zh-CN"/>
              </w:rPr>
              <w:t>关于数字环境中</w:t>
            </w:r>
            <w:r w:rsidRPr="000902BE">
              <w:rPr>
                <w:rFonts w:asciiTheme="majorEastAsia" w:eastAsiaTheme="majorEastAsia" w:hAnsiTheme="majorEastAsia" w:cs="Arial" w:hint="eastAsia"/>
                <w:sz w:val="21"/>
                <w:lang w:val="it-IT" w:eastAsia="zh-CN"/>
              </w:rPr>
              <w:t>视听</w:t>
            </w:r>
            <w:r w:rsidR="000007A0" w:rsidRPr="000902BE">
              <w:rPr>
                <w:rFonts w:asciiTheme="majorEastAsia" w:eastAsiaTheme="majorEastAsia" w:hAnsiTheme="majorEastAsia" w:cs="Arial" w:hint="eastAsia"/>
                <w:sz w:val="21"/>
                <w:lang w:val="it-IT" w:eastAsia="zh-CN"/>
              </w:rPr>
              <w:t>作品的版权法律框架和许可的研究。</w:t>
            </w:r>
          </w:p>
          <w:p w:rsidR="003744DE" w:rsidRPr="000902BE" w:rsidRDefault="00561A60" w:rsidP="004B4DDD">
            <w:pPr>
              <w:pStyle w:val="ae"/>
              <w:numPr>
                <w:ilvl w:val="0"/>
                <w:numId w:val="29"/>
              </w:numPr>
              <w:spacing w:after="50" w:line="340" w:lineRule="atLeast"/>
              <w:ind w:left="714" w:hanging="357"/>
              <w:contextualSpacing w:val="0"/>
              <w:jc w:val="both"/>
              <w:rPr>
                <w:rFonts w:asciiTheme="majorEastAsia" w:eastAsiaTheme="majorEastAsia" w:hAnsiTheme="majorEastAsia" w:cs="Arial"/>
                <w:sz w:val="21"/>
                <w:lang w:eastAsia="zh-CN"/>
              </w:rPr>
            </w:pPr>
            <w:r w:rsidRPr="000902BE">
              <w:rPr>
                <w:rFonts w:asciiTheme="majorEastAsia" w:eastAsiaTheme="majorEastAsia" w:hAnsiTheme="majorEastAsia" w:cs="Arial" w:hint="eastAsia"/>
                <w:sz w:val="21"/>
                <w:lang w:eastAsia="zh-CN"/>
              </w:rPr>
              <w:t>交付适用于在线视听内容许可的国家版权和相关权</w:t>
            </w:r>
            <w:r w:rsidR="00C30C41" w:rsidRPr="000902BE">
              <w:rPr>
                <w:rFonts w:asciiTheme="majorEastAsia" w:eastAsiaTheme="majorEastAsia" w:hAnsiTheme="majorEastAsia" w:cs="Arial" w:hint="eastAsia"/>
                <w:sz w:val="21"/>
                <w:lang w:eastAsia="zh-CN"/>
              </w:rPr>
              <w:t>利</w:t>
            </w:r>
            <w:r w:rsidRPr="000902BE">
              <w:rPr>
                <w:rFonts w:asciiTheme="majorEastAsia" w:eastAsiaTheme="majorEastAsia" w:hAnsiTheme="majorEastAsia" w:cs="Arial" w:hint="eastAsia"/>
                <w:sz w:val="21"/>
                <w:lang w:eastAsia="zh-CN"/>
              </w:rPr>
              <w:t>的摘要</w:t>
            </w:r>
          </w:p>
          <w:p w:rsidR="00E1701D" w:rsidRPr="000902BE" w:rsidRDefault="00C30C41" w:rsidP="004B4DDD">
            <w:pPr>
              <w:pStyle w:val="ae"/>
              <w:numPr>
                <w:ilvl w:val="0"/>
                <w:numId w:val="29"/>
              </w:numPr>
              <w:spacing w:after="50" w:line="340" w:lineRule="atLeast"/>
              <w:ind w:left="714" w:hanging="357"/>
              <w:contextualSpacing w:val="0"/>
              <w:jc w:val="both"/>
              <w:rPr>
                <w:rFonts w:asciiTheme="majorEastAsia" w:eastAsiaTheme="majorEastAsia" w:hAnsiTheme="majorEastAsia"/>
                <w:sz w:val="21"/>
                <w:lang w:val="it-IT" w:eastAsia="zh-CN"/>
              </w:rPr>
            </w:pPr>
            <w:r w:rsidRPr="000902BE">
              <w:rPr>
                <w:rFonts w:asciiTheme="majorEastAsia" w:eastAsiaTheme="majorEastAsia" w:hAnsiTheme="majorEastAsia" w:cs="Arial" w:hint="eastAsia"/>
                <w:sz w:val="21"/>
                <w:lang w:eastAsia="zh-CN"/>
              </w:rPr>
              <w:t>交付一份关于参与国家公共领域视听作品的研究</w:t>
            </w:r>
          </w:p>
        </w:tc>
      </w:tr>
      <w:tr w:rsidR="00E1701D" w:rsidRPr="000902BE" w:rsidTr="00553B2C">
        <w:tc>
          <w:tcPr>
            <w:tcW w:w="3261" w:type="dxa"/>
            <w:shd w:val="clear" w:color="auto" w:fill="auto"/>
          </w:tcPr>
          <w:p w:rsidR="00E1701D" w:rsidRPr="000902BE" w:rsidRDefault="00B11707" w:rsidP="000902BE">
            <w:pPr>
              <w:pStyle w:val="4"/>
              <w:spacing w:after="50" w:line="340" w:lineRule="atLeast"/>
              <w:outlineLvl w:val="3"/>
              <w:rPr>
                <w:rFonts w:ascii="KaiTi" w:eastAsia="KaiTi" w:hAnsi="KaiTi"/>
                <w:i w:val="0"/>
                <w:sz w:val="21"/>
              </w:rPr>
            </w:pPr>
            <w:r w:rsidRPr="000902BE">
              <w:rPr>
                <w:rFonts w:ascii="KaiTi" w:eastAsia="KaiTi" w:hAnsi="KaiTi"/>
                <w:i w:val="0"/>
                <w:sz w:val="21"/>
              </w:rPr>
              <w:t>产出</w:t>
            </w:r>
            <w:r w:rsidR="00E1701D" w:rsidRPr="000902BE">
              <w:rPr>
                <w:rFonts w:ascii="KaiTi" w:eastAsia="KaiTi" w:hAnsi="KaiTi"/>
                <w:i w:val="0"/>
                <w:sz w:val="21"/>
              </w:rPr>
              <w:t>2</w:t>
            </w:r>
            <w:r w:rsidR="003744DE" w:rsidRPr="000902BE">
              <w:rPr>
                <w:rFonts w:ascii="KaiTi" w:eastAsia="KaiTi" w:hAnsi="KaiTi"/>
                <w:i w:val="0"/>
                <w:sz w:val="21"/>
              </w:rPr>
              <w:t>：</w:t>
            </w:r>
            <w:r w:rsidR="00C86364" w:rsidRPr="000902BE">
              <w:rPr>
                <w:rFonts w:ascii="KaiTi" w:eastAsia="KaiTi" w:hAnsi="KaiTi" w:hint="eastAsia"/>
                <w:i w:val="0"/>
                <w:sz w:val="21"/>
              </w:rPr>
              <w:t>更好地了解数字环境中许可的现状</w:t>
            </w:r>
          </w:p>
        </w:tc>
        <w:tc>
          <w:tcPr>
            <w:tcW w:w="6349" w:type="dxa"/>
            <w:gridSpan w:val="3"/>
          </w:tcPr>
          <w:p w:rsidR="003744DE" w:rsidRPr="000902BE" w:rsidRDefault="00514824" w:rsidP="004B4DDD">
            <w:pPr>
              <w:pStyle w:val="ae"/>
              <w:numPr>
                <w:ilvl w:val="0"/>
                <w:numId w:val="31"/>
              </w:numPr>
              <w:spacing w:after="50" w:line="340" w:lineRule="atLeast"/>
              <w:contextualSpacing w:val="0"/>
              <w:jc w:val="both"/>
              <w:rPr>
                <w:rFonts w:asciiTheme="majorEastAsia" w:eastAsiaTheme="majorEastAsia" w:hAnsiTheme="majorEastAsia" w:cs="Arial"/>
                <w:sz w:val="21"/>
                <w:lang w:eastAsia="zh-CN"/>
              </w:rPr>
            </w:pPr>
            <w:r w:rsidRPr="000902BE">
              <w:rPr>
                <w:rFonts w:asciiTheme="majorEastAsia" w:eastAsiaTheme="majorEastAsia" w:hAnsiTheme="majorEastAsia" w:cs="Arial" w:hint="eastAsia"/>
                <w:sz w:val="21"/>
                <w:lang w:val="it-IT" w:eastAsia="zh-CN"/>
              </w:rPr>
              <w:t>交付</w:t>
            </w:r>
            <w:r w:rsidR="00442928" w:rsidRPr="000902BE">
              <w:rPr>
                <w:rFonts w:asciiTheme="majorEastAsia" w:eastAsiaTheme="majorEastAsia" w:hAnsiTheme="majorEastAsia" w:cs="Arial" w:hint="eastAsia"/>
                <w:sz w:val="21"/>
                <w:lang w:val="it-IT" w:eastAsia="zh-CN"/>
              </w:rPr>
              <w:t>对</w:t>
            </w:r>
            <w:r w:rsidRPr="000902BE">
              <w:rPr>
                <w:rFonts w:asciiTheme="majorEastAsia" w:eastAsiaTheme="majorEastAsia" w:hAnsiTheme="majorEastAsia" w:cs="Arial" w:hint="eastAsia"/>
                <w:sz w:val="21"/>
                <w:lang w:val="it-IT" w:eastAsia="zh-CN"/>
              </w:rPr>
              <w:t>所选国家通过数字渠道分发内容的过程的评估</w:t>
            </w:r>
          </w:p>
          <w:p w:rsidR="003744DE" w:rsidRPr="000902BE" w:rsidRDefault="00442928" w:rsidP="004B4DDD">
            <w:pPr>
              <w:pStyle w:val="ae"/>
              <w:numPr>
                <w:ilvl w:val="0"/>
                <w:numId w:val="31"/>
              </w:numPr>
              <w:spacing w:after="50" w:line="340" w:lineRule="atLeast"/>
              <w:ind w:left="714" w:hanging="357"/>
              <w:contextualSpacing w:val="0"/>
              <w:jc w:val="both"/>
              <w:rPr>
                <w:rFonts w:asciiTheme="majorEastAsia" w:eastAsiaTheme="majorEastAsia" w:hAnsiTheme="majorEastAsia" w:cs="Arial"/>
                <w:sz w:val="21"/>
                <w:lang w:eastAsia="zh-CN"/>
              </w:rPr>
            </w:pPr>
            <w:r w:rsidRPr="000902BE">
              <w:rPr>
                <w:rFonts w:asciiTheme="majorEastAsia" w:eastAsiaTheme="majorEastAsia" w:hAnsiTheme="majorEastAsia" w:cs="Arial" w:hint="eastAsia"/>
                <w:sz w:val="21"/>
                <w:lang w:eastAsia="zh-CN"/>
              </w:rPr>
              <w:t>交付</w:t>
            </w:r>
            <w:r w:rsidRPr="004B4DDD">
              <w:rPr>
                <w:rFonts w:asciiTheme="majorEastAsia" w:eastAsiaTheme="majorEastAsia" w:hAnsiTheme="majorEastAsia" w:cs="Arial" w:hint="eastAsia"/>
                <w:sz w:val="21"/>
                <w:lang w:val="it-IT" w:eastAsia="zh-CN"/>
              </w:rPr>
              <w:t>关于</w:t>
            </w:r>
            <w:r w:rsidRPr="000902BE">
              <w:rPr>
                <w:rFonts w:asciiTheme="majorEastAsia" w:eastAsiaTheme="majorEastAsia" w:hAnsiTheme="majorEastAsia" w:cs="Arial" w:hint="eastAsia"/>
                <w:sz w:val="21"/>
                <w:lang w:eastAsia="zh-CN"/>
              </w:rPr>
              <w:t>数字视听市场的经济研究</w:t>
            </w:r>
          </w:p>
          <w:p w:rsidR="003744DE" w:rsidRPr="000902BE" w:rsidRDefault="00442928" w:rsidP="004B4DDD">
            <w:pPr>
              <w:pStyle w:val="ae"/>
              <w:numPr>
                <w:ilvl w:val="0"/>
                <w:numId w:val="31"/>
              </w:numPr>
              <w:spacing w:after="50" w:line="340" w:lineRule="atLeast"/>
              <w:ind w:left="714" w:hanging="357"/>
              <w:contextualSpacing w:val="0"/>
              <w:jc w:val="both"/>
              <w:rPr>
                <w:rFonts w:asciiTheme="majorEastAsia" w:eastAsiaTheme="majorEastAsia" w:hAnsiTheme="majorEastAsia" w:cs="Arial"/>
                <w:sz w:val="21"/>
                <w:lang w:eastAsia="zh-CN"/>
              </w:rPr>
            </w:pPr>
            <w:r w:rsidRPr="000902BE">
              <w:rPr>
                <w:rFonts w:asciiTheme="majorEastAsia" w:eastAsiaTheme="majorEastAsia" w:hAnsiTheme="majorEastAsia" w:cs="Arial" w:hint="eastAsia"/>
                <w:sz w:val="21"/>
                <w:lang w:eastAsia="zh-CN"/>
              </w:rPr>
              <w:t>举办两个</w:t>
            </w:r>
            <w:r w:rsidR="00865890" w:rsidRPr="000902BE">
              <w:rPr>
                <w:rFonts w:asciiTheme="majorEastAsia" w:eastAsiaTheme="majorEastAsia" w:hAnsiTheme="majorEastAsia" w:cs="Arial" w:hint="eastAsia"/>
                <w:sz w:val="21"/>
                <w:lang w:eastAsia="zh-CN"/>
              </w:rPr>
              <w:t>讲习班</w:t>
            </w:r>
            <w:r w:rsidRPr="000902BE">
              <w:rPr>
                <w:rFonts w:asciiTheme="majorEastAsia" w:eastAsiaTheme="majorEastAsia" w:hAnsiTheme="majorEastAsia" w:cs="Arial" w:hint="eastAsia"/>
                <w:sz w:val="21"/>
                <w:lang w:eastAsia="zh-CN"/>
              </w:rPr>
              <w:t>（每个两天），交流信息并评估</w:t>
            </w:r>
            <w:r w:rsidR="00865890" w:rsidRPr="000902BE">
              <w:rPr>
                <w:rFonts w:asciiTheme="majorEastAsia" w:eastAsiaTheme="majorEastAsia" w:hAnsiTheme="majorEastAsia" w:cs="Arial" w:hint="eastAsia"/>
                <w:sz w:val="21"/>
                <w:lang w:eastAsia="zh-CN"/>
              </w:rPr>
              <w:t>产出1</w:t>
            </w:r>
            <w:r w:rsidRPr="000902BE">
              <w:rPr>
                <w:rFonts w:asciiTheme="majorEastAsia" w:eastAsiaTheme="majorEastAsia" w:hAnsiTheme="majorEastAsia" w:cs="Arial" w:hint="eastAsia"/>
                <w:sz w:val="21"/>
                <w:lang w:eastAsia="zh-CN"/>
              </w:rPr>
              <w:t>和产出</w:t>
            </w:r>
            <w:r w:rsidR="00865890" w:rsidRPr="000902BE">
              <w:rPr>
                <w:rFonts w:asciiTheme="majorEastAsia" w:eastAsiaTheme="majorEastAsia" w:hAnsiTheme="majorEastAsia" w:cs="Arial" w:hint="eastAsia"/>
                <w:sz w:val="21"/>
                <w:lang w:eastAsia="zh-CN"/>
              </w:rPr>
              <w:t>2</w:t>
            </w:r>
            <w:r w:rsidRPr="000902BE">
              <w:rPr>
                <w:rFonts w:asciiTheme="majorEastAsia" w:eastAsiaTheme="majorEastAsia" w:hAnsiTheme="majorEastAsia" w:cs="Arial" w:hint="eastAsia"/>
                <w:sz w:val="21"/>
                <w:lang w:eastAsia="zh-CN"/>
              </w:rPr>
              <w:t>的实施情况</w:t>
            </w:r>
          </w:p>
          <w:p w:rsidR="00344737" w:rsidRPr="000902BE" w:rsidRDefault="00865890" w:rsidP="004B4DDD">
            <w:pPr>
              <w:pStyle w:val="ae"/>
              <w:numPr>
                <w:ilvl w:val="0"/>
                <w:numId w:val="31"/>
              </w:numPr>
              <w:spacing w:after="50" w:line="340" w:lineRule="atLeast"/>
              <w:ind w:left="714" w:hanging="357"/>
              <w:contextualSpacing w:val="0"/>
              <w:jc w:val="both"/>
              <w:rPr>
                <w:rFonts w:asciiTheme="majorEastAsia" w:eastAsiaTheme="majorEastAsia" w:hAnsiTheme="majorEastAsia"/>
                <w:sz w:val="21"/>
                <w:lang w:eastAsia="zh-CN"/>
              </w:rPr>
            </w:pPr>
            <w:r w:rsidRPr="000902BE">
              <w:rPr>
                <w:rFonts w:asciiTheme="majorEastAsia" w:eastAsiaTheme="majorEastAsia" w:hAnsiTheme="majorEastAsia" w:cs="Arial" w:hint="eastAsia"/>
                <w:sz w:val="21"/>
                <w:lang w:eastAsia="zh-CN"/>
              </w:rPr>
              <w:t>举办</w:t>
            </w:r>
            <w:r w:rsidR="009958CF" w:rsidRPr="000902BE">
              <w:rPr>
                <w:rFonts w:asciiTheme="majorEastAsia" w:eastAsiaTheme="majorEastAsia" w:hAnsiTheme="majorEastAsia" w:cs="Arial" w:hint="eastAsia"/>
                <w:sz w:val="21"/>
                <w:lang w:eastAsia="zh-CN"/>
              </w:rPr>
              <w:t>版权与</w:t>
            </w:r>
            <w:r w:rsidRPr="004B4DDD">
              <w:rPr>
                <w:rFonts w:asciiTheme="majorEastAsia" w:eastAsiaTheme="majorEastAsia" w:hAnsiTheme="majorEastAsia" w:cs="Arial" w:hint="eastAsia"/>
                <w:sz w:val="21"/>
                <w:lang w:val="it-IT" w:eastAsia="zh-CN"/>
              </w:rPr>
              <w:t>数字</w:t>
            </w:r>
            <w:r w:rsidRPr="000902BE">
              <w:rPr>
                <w:rFonts w:asciiTheme="majorEastAsia" w:eastAsiaTheme="majorEastAsia" w:hAnsiTheme="majorEastAsia" w:cs="Arial" w:hint="eastAsia"/>
                <w:sz w:val="21"/>
                <w:lang w:eastAsia="zh-CN"/>
              </w:rPr>
              <w:t>环境中内容分发</w:t>
            </w:r>
            <w:r w:rsidR="009958CF" w:rsidRPr="000902BE">
              <w:rPr>
                <w:rFonts w:asciiTheme="majorEastAsia" w:eastAsiaTheme="majorEastAsia" w:hAnsiTheme="majorEastAsia" w:cs="Arial" w:hint="eastAsia"/>
                <w:sz w:val="21"/>
                <w:lang w:eastAsia="zh-CN"/>
              </w:rPr>
              <w:t>问题</w:t>
            </w:r>
            <w:r w:rsidRPr="000902BE">
              <w:rPr>
                <w:rFonts w:asciiTheme="majorEastAsia" w:eastAsiaTheme="majorEastAsia" w:hAnsiTheme="majorEastAsia" w:cs="Arial" w:hint="eastAsia"/>
                <w:sz w:val="21"/>
                <w:lang w:eastAsia="zh-CN"/>
              </w:rPr>
              <w:t>研讨会。</w:t>
            </w:r>
          </w:p>
        </w:tc>
      </w:tr>
      <w:tr w:rsidR="00E1701D" w:rsidRPr="000902BE" w:rsidTr="00553B2C">
        <w:tc>
          <w:tcPr>
            <w:tcW w:w="3261" w:type="dxa"/>
            <w:shd w:val="clear" w:color="auto" w:fill="auto"/>
          </w:tcPr>
          <w:p w:rsidR="00E1701D" w:rsidRPr="000902BE" w:rsidRDefault="00C10E83" w:rsidP="000902BE">
            <w:pPr>
              <w:pStyle w:val="4"/>
              <w:spacing w:after="50" w:line="340" w:lineRule="atLeast"/>
              <w:outlineLvl w:val="3"/>
              <w:rPr>
                <w:rFonts w:ascii="KaiTi" w:eastAsia="KaiTi" w:hAnsi="KaiTi"/>
                <w:i w:val="0"/>
                <w:sz w:val="21"/>
              </w:rPr>
            </w:pPr>
            <w:r w:rsidRPr="000902BE">
              <w:rPr>
                <w:rFonts w:ascii="KaiTi" w:eastAsia="KaiTi" w:hAnsi="KaiTi" w:hint="eastAsia"/>
                <w:i w:val="0"/>
                <w:sz w:val="21"/>
              </w:rPr>
              <w:t>项目目标</w:t>
            </w:r>
          </w:p>
        </w:tc>
        <w:tc>
          <w:tcPr>
            <w:tcW w:w="6349" w:type="dxa"/>
            <w:gridSpan w:val="3"/>
          </w:tcPr>
          <w:p w:rsidR="00E1701D" w:rsidRPr="000902BE" w:rsidRDefault="00B27BD6" w:rsidP="000902BE">
            <w:pPr>
              <w:pStyle w:val="4"/>
              <w:spacing w:after="50" w:line="340" w:lineRule="atLeast"/>
              <w:outlineLvl w:val="3"/>
              <w:rPr>
                <w:rFonts w:ascii="KaiTi" w:eastAsia="KaiTi" w:hAnsi="KaiTi"/>
                <w:i w:val="0"/>
                <w:sz w:val="21"/>
              </w:rPr>
            </w:pPr>
            <w:r w:rsidRPr="000902BE">
              <w:rPr>
                <w:rFonts w:ascii="KaiTi" w:eastAsia="KaiTi" w:hAnsi="KaiTi" w:hint="eastAsia"/>
                <w:i w:val="0"/>
                <w:sz w:val="21"/>
              </w:rPr>
              <w:t>成果指标</w:t>
            </w:r>
          </w:p>
        </w:tc>
      </w:tr>
      <w:tr w:rsidR="00E1701D" w:rsidRPr="003744DE" w:rsidTr="00553B2C">
        <w:tc>
          <w:tcPr>
            <w:tcW w:w="3261" w:type="dxa"/>
            <w:shd w:val="clear" w:color="auto" w:fill="auto"/>
          </w:tcPr>
          <w:p w:rsidR="00E1701D" w:rsidRPr="003744DE" w:rsidRDefault="00E1701D" w:rsidP="000902BE">
            <w:pPr>
              <w:pStyle w:val="4"/>
              <w:keepNext w:val="0"/>
              <w:spacing w:after="50" w:line="340" w:lineRule="atLeast"/>
              <w:outlineLvl w:val="3"/>
              <w:rPr>
                <w:rFonts w:ascii="SimSun" w:hAnsi="SimSun"/>
                <w:sz w:val="21"/>
              </w:rPr>
            </w:pPr>
            <w:r w:rsidRPr="003744DE">
              <w:rPr>
                <w:rFonts w:ascii="SimSun" w:hAnsi="SimSun"/>
                <w:i w:val="0"/>
                <w:iCs/>
                <w:sz w:val="21"/>
              </w:rPr>
              <w:t>(a)</w:t>
            </w:r>
            <w:r w:rsidRPr="003744DE">
              <w:rPr>
                <w:rFonts w:ascii="SimSun" w:hAnsi="SimSun"/>
                <w:i w:val="0"/>
                <w:iCs/>
                <w:sz w:val="21"/>
              </w:rPr>
              <w:tab/>
            </w:r>
            <w:r w:rsidR="009958CF" w:rsidRPr="000902BE">
              <w:rPr>
                <w:rFonts w:ascii="KaiTi" w:eastAsia="KaiTi" w:hAnsi="KaiTi" w:hint="eastAsia"/>
                <w:i w:val="0"/>
                <w:sz w:val="21"/>
              </w:rPr>
              <w:t>提高对版权及相关权利在线上视听内容分发方面的作用的认识</w:t>
            </w:r>
          </w:p>
        </w:tc>
        <w:tc>
          <w:tcPr>
            <w:tcW w:w="6349" w:type="dxa"/>
            <w:gridSpan w:val="3"/>
          </w:tcPr>
          <w:p w:rsidR="00E1701D" w:rsidRPr="003744DE" w:rsidRDefault="008B49D3" w:rsidP="000F3FC3">
            <w:pPr>
              <w:pStyle w:val="4"/>
              <w:spacing w:after="50" w:line="340" w:lineRule="atLeast"/>
              <w:jc w:val="both"/>
              <w:outlineLvl w:val="3"/>
              <w:rPr>
                <w:rFonts w:ascii="SimSun" w:hAnsi="SimSun"/>
                <w:sz w:val="21"/>
              </w:rPr>
            </w:pPr>
            <w:r w:rsidRPr="003744DE">
              <w:rPr>
                <w:rFonts w:ascii="SimSun" w:hAnsi="SimSun" w:hint="eastAsia"/>
                <w:i w:val="0"/>
                <w:iCs/>
                <w:sz w:val="21"/>
              </w:rPr>
              <w:t>在产权组织网页上公布有关材料，以便于传播此类研究和材料。</w:t>
            </w:r>
          </w:p>
        </w:tc>
      </w:tr>
      <w:tr w:rsidR="00E1701D" w:rsidRPr="003744DE" w:rsidTr="00553B2C">
        <w:tc>
          <w:tcPr>
            <w:tcW w:w="3261" w:type="dxa"/>
            <w:shd w:val="clear" w:color="auto" w:fill="auto"/>
          </w:tcPr>
          <w:p w:rsidR="00E1701D" w:rsidRPr="003744DE" w:rsidRDefault="00E1701D" w:rsidP="000902BE">
            <w:pPr>
              <w:pStyle w:val="4"/>
              <w:spacing w:after="50" w:line="340" w:lineRule="atLeast"/>
              <w:outlineLvl w:val="3"/>
              <w:rPr>
                <w:rFonts w:ascii="SimSun" w:hAnsi="SimSun"/>
                <w:sz w:val="21"/>
              </w:rPr>
            </w:pPr>
            <w:r w:rsidRPr="003744DE">
              <w:rPr>
                <w:rFonts w:ascii="SimSun" w:hAnsi="SimSun"/>
                <w:i w:val="0"/>
                <w:sz w:val="21"/>
              </w:rPr>
              <w:t>(b)</w:t>
            </w:r>
            <w:r w:rsidRPr="000902BE">
              <w:rPr>
                <w:rFonts w:ascii="KaiTi" w:eastAsia="KaiTi" w:hAnsi="KaiTi"/>
                <w:i w:val="0"/>
                <w:sz w:val="21"/>
              </w:rPr>
              <w:tab/>
            </w:r>
            <w:r w:rsidR="00C86364" w:rsidRPr="000902BE">
              <w:rPr>
                <w:rFonts w:ascii="KaiTi" w:eastAsia="KaiTi" w:hAnsi="KaiTi" w:hint="eastAsia"/>
                <w:i w:val="0"/>
                <w:sz w:val="21"/>
              </w:rPr>
              <w:t>更好地了解数字环境中许可的现状</w:t>
            </w:r>
          </w:p>
        </w:tc>
        <w:tc>
          <w:tcPr>
            <w:tcW w:w="6349" w:type="dxa"/>
            <w:gridSpan w:val="3"/>
          </w:tcPr>
          <w:p w:rsidR="00E1701D" w:rsidRPr="003744DE" w:rsidRDefault="008B49D3" w:rsidP="000F3FC3">
            <w:pPr>
              <w:pStyle w:val="4"/>
              <w:spacing w:after="50" w:line="340" w:lineRule="atLeast"/>
              <w:jc w:val="both"/>
              <w:outlineLvl w:val="3"/>
              <w:rPr>
                <w:rFonts w:ascii="SimSun" w:hAnsi="SimSun"/>
                <w:sz w:val="21"/>
              </w:rPr>
            </w:pPr>
            <w:r w:rsidRPr="003744DE">
              <w:rPr>
                <w:rFonts w:ascii="SimSun" w:hAnsi="SimSun" w:hint="eastAsia"/>
                <w:i w:val="0"/>
                <w:iCs/>
                <w:sz w:val="21"/>
              </w:rPr>
              <w:t>对将</w:t>
            </w:r>
            <w:bookmarkStart w:id="6" w:name="_GoBack"/>
            <w:bookmarkEnd w:id="6"/>
            <w:r w:rsidRPr="003744DE">
              <w:rPr>
                <w:rFonts w:ascii="SimSun" w:hAnsi="SimSun" w:hint="eastAsia"/>
                <w:i w:val="0"/>
                <w:iCs/>
                <w:sz w:val="21"/>
              </w:rPr>
              <w:t>在区域</w:t>
            </w:r>
            <w:r w:rsidR="002D4EC6" w:rsidRPr="003744DE">
              <w:rPr>
                <w:rFonts w:ascii="SimSun" w:hAnsi="SimSun" w:hint="eastAsia"/>
                <w:i w:val="0"/>
                <w:iCs/>
                <w:sz w:val="21"/>
              </w:rPr>
              <w:t>讲习班</w:t>
            </w:r>
            <w:r w:rsidRPr="003744DE">
              <w:rPr>
                <w:rFonts w:ascii="SimSun" w:hAnsi="SimSun" w:hint="eastAsia"/>
                <w:i w:val="0"/>
                <w:iCs/>
                <w:sz w:val="21"/>
              </w:rPr>
              <w:t>上分发的评估问卷</w:t>
            </w:r>
            <w:r w:rsidR="002D4EC6" w:rsidRPr="003744DE">
              <w:rPr>
                <w:rFonts w:ascii="SimSun" w:hAnsi="SimSun" w:hint="eastAsia"/>
                <w:i w:val="0"/>
                <w:iCs/>
                <w:sz w:val="21"/>
              </w:rPr>
              <w:t>的</w:t>
            </w:r>
            <w:r w:rsidRPr="003744DE">
              <w:rPr>
                <w:rFonts w:ascii="SimSun" w:hAnsi="SimSun" w:hint="eastAsia"/>
                <w:i w:val="0"/>
                <w:iCs/>
                <w:sz w:val="21"/>
              </w:rPr>
              <w:t>分析表明</w:t>
            </w:r>
            <w:r w:rsidR="002D4EC6" w:rsidRPr="003744DE">
              <w:rPr>
                <w:rFonts w:ascii="SimSun" w:hAnsi="SimSun" w:hint="eastAsia"/>
                <w:i w:val="0"/>
                <w:iCs/>
                <w:sz w:val="21"/>
              </w:rPr>
              <w:t>，</w:t>
            </w:r>
            <w:r w:rsidRPr="003744DE">
              <w:rPr>
                <w:rFonts w:ascii="SimSun" w:hAnsi="SimSun" w:hint="eastAsia"/>
                <w:i w:val="0"/>
                <w:iCs/>
                <w:sz w:val="21"/>
              </w:rPr>
              <w:t>至少有60</w:t>
            </w:r>
            <w:r w:rsidR="000F3FC3">
              <w:rPr>
                <w:rFonts w:ascii="SimSun" w:hAnsi="SimSun" w:hint="eastAsia"/>
                <w:i w:val="0"/>
                <w:iCs/>
                <w:sz w:val="21"/>
              </w:rPr>
              <w:t>%</w:t>
            </w:r>
            <w:r w:rsidRPr="003744DE">
              <w:rPr>
                <w:rFonts w:ascii="SimSun" w:hAnsi="SimSun" w:hint="eastAsia"/>
                <w:i w:val="0"/>
                <w:iCs/>
                <w:sz w:val="21"/>
              </w:rPr>
              <w:t>的参与者认为在这种</w:t>
            </w:r>
            <w:r w:rsidR="002D4EC6" w:rsidRPr="003744DE">
              <w:rPr>
                <w:rFonts w:ascii="SimSun" w:hAnsi="SimSun" w:hint="eastAsia"/>
                <w:i w:val="0"/>
                <w:iCs/>
                <w:sz w:val="21"/>
              </w:rPr>
              <w:t>活动中</w:t>
            </w:r>
            <w:r w:rsidRPr="003744DE">
              <w:rPr>
                <w:rFonts w:ascii="SimSun" w:hAnsi="SimSun" w:hint="eastAsia"/>
                <w:i w:val="0"/>
                <w:iCs/>
                <w:sz w:val="21"/>
              </w:rPr>
              <w:t>传播的信息是有用的。</w:t>
            </w:r>
          </w:p>
        </w:tc>
      </w:tr>
      <w:tr w:rsidR="00E1701D" w:rsidRPr="000902BE" w:rsidTr="00553B2C">
        <w:tc>
          <w:tcPr>
            <w:tcW w:w="9610" w:type="dxa"/>
            <w:gridSpan w:val="4"/>
            <w:shd w:val="clear" w:color="auto" w:fill="auto"/>
          </w:tcPr>
          <w:p w:rsidR="00686116" w:rsidRPr="000902BE" w:rsidRDefault="00E1701D" w:rsidP="000902BE">
            <w:pPr>
              <w:spacing w:afterLines="50" w:after="120" w:line="340" w:lineRule="atLeast"/>
              <w:rPr>
                <w:rFonts w:asciiTheme="minorEastAsia" w:eastAsiaTheme="minorEastAsia" w:hAnsiTheme="minorEastAsia"/>
                <w:b/>
                <w:bCs/>
                <w:iCs/>
                <w:sz w:val="21"/>
                <w:szCs w:val="21"/>
              </w:rPr>
            </w:pPr>
            <w:r w:rsidRPr="000902BE">
              <w:rPr>
                <w:rFonts w:asciiTheme="minorEastAsia" w:eastAsiaTheme="minorEastAsia" w:hAnsiTheme="minorEastAsia"/>
                <w:b/>
                <w:bCs/>
                <w:iCs/>
                <w:sz w:val="21"/>
                <w:szCs w:val="21"/>
              </w:rPr>
              <w:t>4.</w:t>
            </w:r>
            <w:r w:rsidR="00C10E83" w:rsidRPr="000902BE">
              <w:rPr>
                <w:rFonts w:asciiTheme="minorEastAsia" w:eastAsiaTheme="minorEastAsia" w:hAnsiTheme="minorEastAsia" w:hint="eastAsia"/>
                <w:b/>
                <w:bCs/>
                <w:iCs/>
                <w:sz w:val="21"/>
                <w:szCs w:val="21"/>
              </w:rPr>
              <w:t>预算</w:t>
            </w:r>
            <w:r w:rsidR="00E41A24" w:rsidRPr="000902BE">
              <w:rPr>
                <w:rFonts w:asciiTheme="minorEastAsia" w:eastAsiaTheme="minorEastAsia" w:hAnsiTheme="minorEastAsia"/>
                <w:b/>
                <w:bCs/>
                <w:iCs/>
                <w:szCs w:val="21"/>
                <w:vertAlign w:val="superscript"/>
              </w:rPr>
              <w:footnoteReference w:id="11"/>
            </w:r>
          </w:p>
        </w:tc>
      </w:tr>
      <w:tr w:rsidR="00E1701D" w:rsidRPr="003744DE" w:rsidTr="00553B2C">
        <w:tc>
          <w:tcPr>
            <w:tcW w:w="9610" w:type="dxa"/>
            <w:gridSpan w:val="4"/>
            <w:shd w:val="clear" w:color="auto" w:fill="auto"/>
          </w:tcPr>
          <w:p w:rsidR="00E1701D" w:rsidRPr="003744DE" w:rsidRDefault="002A1F12" w:rsidP="000902BE">
            <w:pPr>
              <w:pStyle w:val="3"/>
              <w:spacing w:after="50" w:line="340" w:lineRule="atLeast"/>
              <w:outlineLvl w:val="2"/>
              <w:rPr>
                <w:rFonts w:ascii="SimSun" w:hAnsi="SimSun"/>
                <w:sz w:val="21"/>
                <w:szCs w:val="28"/>
                <w:u w:val="none"/>
              </w:rPr>
            </w:pPr>
            <w:r w:rsidRPr="003744DE">
              <w:rPr>
                <w:rFonts w:ascii="SimSun" w:hAnsi="SimSun" w:hint="eastAsia"/>
                <w:sz w:val="21"/>
                <w:szCs w:val="28"/>
                <w:u w:val="none"/>
              </w:rPr>
              <w:t>项目预算考虑到了项目在四个国家的部署。</w:t>
            </w:r>
          </w:p>
        </w:tc>
      </w:tr>
      <w:tr w:rsidR="00E1701D" w:rsidRPr="003744DE" w:rsidTr="00553B2C">
        <w:tc>
          <w:tcPr>
            <w:tcW w:w="9610" w:type="dxa"/>
            <w:gridSpan w:val="4"/>
            <w:shd w:val="clear" w:color="auto" w:fill="auto"/>
          </w:tcPr>
          <w:p w:rsidR="00E1701D" w:rsidRPr="003744DE" w:rsidRDefault="00B11707" w:rsidP="000902BE">
            <w:pPr>
              <w:pStyle w:val="3"/>
              <w:spacing w:after="50" w:line="340" w:lineRule="atLeast"/>
              <w:outlineLvl w:val="2"/>
              <w:rPr>
                <w:rFonts w:ascii="SimSun" w:hAnsi="SimSun"/>
                <w:bCs w:val="0"/>
                <w:i/>
                <w:sz w:val="21"/>
                <w:szCs w:val="28"/>
              </w:rPr>
            </w:pPr>
            <w:r w:rsidRPr="000902BE">
              <w:rPr>
                <w:rFonts w:ascii="KaiTi" w:eastAsia="KaiTi" w:hAnsi="KaiTi"/>
                <w:sz w:val="21"/>
                <w:szCs w:val="28"/>
                <w:u w:val="none"/>
              </w:rPr>
              <w:t>产出</w:t>
            </w:r>
            <w:r w:rsidR="00E1701D" w:rsidRPr="000902BE">
              <w:rPr>
                <w:rFonts w:ascii="KaiTi" w:eastAsia="KaiTi" w:hAnsi="KaiTi"/>
                <w:sz w:val="21"/>
                <w:szCs w:val="28"/>
                <w:u w:val="none"/>
              </w:rPr>
              <w:t>1</w:t>
            </w:r>
            <w:r w:rsidR="003744DE" w:rsidRPr="000902BE">
              <w:rPr>
                <w:rFonts w:ascii="KaiTi" w:eastAsia="KaiTi" w:hAnsi="KaiTi"/>
                <w:sz w:val="21"/>
                <w:szCs w:val="28"/>
                <w:u w:val="none"/>
              </w:rPr>
              <w:t>：</w:t>
            </w:r>
            <w:r w:rsidR="009F0117" w:rsidRPr="003744DE">
              <w:rPr>
                <w:rFonts w:ascii="SimSun" w:hAnsi="SimSun" w:hint="eastAsia"/>
                <w:sz w:val="21"/>
                <w:u w:val="none"/>
              </w:rPr>
              <w:t>提高对版权及相关权利在线上视听内容</w:t>
            </w:r>
            <w:r w:rsidR="00543804" w:rsidRPr="003744DE">
              <w:rPr>
                <w:rFonts w:ascii="SimSun" w:hAnsi="SimSun" w:hint="eastAsia"/>
                <w:sz w:val="21"/>
                <w:u w:val="none"/>
              </w:rPr>
              <w:t>分</w:t>
            </w:r>
            <w:r w:rsidR="009F0117" w:rsidRPr="003744DE">
              <w:rPr>
                <w:rFonts w:ascii="SimSun" w:hAnsi="SimSun" w:hint="eastAsia"/>
                <w:sz w:val="21"/>
                <w:u w:val="none"/>
              </w:rPr>
              <w:t>发方面的作用的认识</w:t>
            </w:r>
          </w:p>
        </w:tc>
      </w:tr>
      <w:tr w:rsidR="00E1701D" w:rsidRPr="000902BE" w:rsidTr="00553B2C">
        <w:trPr>
          <w:trHeight w:val="591"/>
        </w:trPr>
        <w:tc>
          <w:tcPr>
            <w:tcW w:w="4395" w:type="dxa"/>
            <w:gridSpan w:val="2"/>
            <w:vMerge w:val="restart"/>
            <w:shd w:val="clear" w:color="auto" w:fill="auto"/>
          </w:tcPr>
          <w:p w:rsidR="00E1701D"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1</w:t>
            </w:r>
            <w:r w:rsidR="003744DE" w:rsidRPr="000902BE">
              <w:rPr>
                <w:rFonts w:ascii="KaiTi" w:eastAsia="KaiTi" w:hAnsi="KaiTi"/>
                <w:bCs/>
                <w:sz w:val="21"/>
                <w:szCs w:val="28"/>
              </w:rPr>
              <w:t>：</w:t>
            </w:r>
            <w:r w:rsidR="005F286F" w:rsidRPr="000902BE">
              <w:rPr>
                <w:rFonts w:ascii="KaiTi" w:eastAsia="KaiTi" w:hAnsi="KaiTi" w:hint="eastAsia"/>
                <w:sz w:val="21"/>
              </w:rPr>
              <w:t>委托开展关于数字环境中视听作品的版权法律框架和许可的研究。</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590"/>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40,000</w:t>
            </w:r>
          </w:p>
        </w:tc>
      </w:tr>
      <w:tr w:rsidR="00E1701D" w:rsidRPr="000902BE" w:rsidTr="00553B2C">
        <w:trPr>
          <w:trHeight w:val="472"/>
        </w:trPr>
        <w:tc>
          <w:tcPr>
            <w:tcW w:w="4395" w:type="dxa"/>
            <w:gridSpan w:val="2"/>
            <w:vMerge w:val="restart"/>
            <w:shd w:val="clear" w:color="auto" w:fill="auto"/>
          </w:tcPr>
          <w:p w:rsidR="00E1701D"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lastRenderedPageBreak/>
              <w:t>活动</w:t>
            </w:r>
            <w:r w:rsidR="00631114" w:rsidRPr="000902BE">
              <w:rPr>
                <w:rFonts w:ascii="KaiTi" w:eastAsia="KaiTi" w:hAnsi="KaiTi"/>
                <w:bCs/>
                <w:sz w:val="21"/>
                <w:szCs w:val="28"/>
              </w:rPr>
              <w:t>2</w:t>
            </w:r>
            <w:r w:rsidR="00631114" w:rsidRPr="000902BE">
              <w:rPr>
                <w:rFonts w:ascii="KaiTi" w:eastAsia="KaiTi" w:hAnsi="KaiTi" w:hint="eastAsia"/>
                <w:bCs/>
                <w:sz w:val="21"/>
                <w:szCs w:val="28"/>
              </w:rPr>
              <w:t>：</w:t>
            </w:r>
            <w:r w:rsidR="00631114" w:rsidRPr="000902BE">
              <w:rPr>
                <w:rFonts w:ascii="KaiTi" w:eastAsia="KaiTi" w:hAnsi="KaiTi" w:hint="eastAsia"/>
                <w:sz w:val="21"/>
              </w:rPr>
              <w:t>创建适用于在线视听内容许可的国家版权和相关权利的摘要</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472"/>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5,000</w:t>
            </w:r>
          </w:p>
        </w:tc>
      </w:tr>
      <w:tr w:rsidR="00E1701D" w:rsidRPr="000902BE" w:rsidTr="00553B2C">
        <w:trPr>
          <w:trHeight w:val="413"/>
        </w:trPr>
        <w:tc>
          <w:tcPr>
            <w:tcW w:w="4395" w:type="dxa"/>
            <w:gridSpan w:val="2"/>
            <w:vMerge w:val="restart"/>
            <w:shd w:val="clear" w:color="auto" w:fill="auto"/>
          </w:tcPr>
          <w:p w:rsidR="00E1701D"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167276" w:rsidRPr="000902BE">
              <w:rPr>
                <w:rFonts w:ascii="KaiTi" w:eastAsia="KaiTi" w:hAnsi="KaiTi"/>
                <w:bCs/>
                <w:sz w:val="21"/>
                <w:szCs w:val="28"/>
              </w:rPr>
              <w:t>3</w:t>
            </w:r>
            <w:r w:rsidR="00167276" w:rsidRPr="000902BE">
              <w:rPr>
                <w:rFonts w:ascii="KaiTi" w:eastAsia="KaiTi" w:hAnsi="KaiTi" w:hint="eastAsia"/>
                <w:bCs/>
                <w:sz w:val="21"/>
                <w:szCs w:val="28"/>
              </w:rPr>
              <w:t>：</w:t>
            </w:r>
            <w:r w:rsidR="00167276" w:rsidRPr="000902BE">
              <w:rPr>
                <w:rFonts w:ascii="KaiTi" w:eastAsia="KaiTi" w:hAnsi="KaiTi" w:hint="eastAsia"/>
                <w:sz w:val="21"/>
              </w:rPr>
              <w:t>委托对参与国公共领域的视听作品进行研究</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412"/>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20,000</w:t>
            </w:r>
          </w:p>
        </w:tc>
      </w:tr>
      <w:tr w:rsidR="00E1701D" w:rsidRPr="003744DE" w:rsidTr="00553B2C">
        <w:tc>
          <w:tcPr>
            <w:tcW w:w="9610" w:type="dxa"/>
            <w:gridSpan w:val="4"/>
            <w:shd w:val="clear" w:color="auto" w:fill="auto"/>
          </w:tcPr>
          <w:p w:rsidR="00E1701D" w:rsidRPr="003744DE" w:rsidRDefault="00B11707" w:rsidP="000902BE">
            <w:pPr>
              <w:pStyle w:val="3"/>
              <w:spacing w:after="50" w:line="340" w:lineRule="atLeast"/>
              <w:outlineLvl w:val="2"/>
              <w:rPr>
                <w:rFonts w:ascii="SimSun" w:hAnsi="SimSun"/>
                <w:bCs w:val="0"/>
                <w:i/>
                <w:sz w:val="21"/>
                <w:szCs w:val="28"/>
              </w:rPr>
            </w:pPr>
            <w:r w:rsidRPr="000902BE">
              <w:rPr>
                <w:rFonts w:ascii="KaiTi" w:eastAsia="KaiTi" w:hAnsi="KaiTi"/>
                <w:sz w:val="21"/>
                <w:szCs w:val="28"/>
                <w:u w:val="none"/>
              </w:rPr>
              <w:t>产出</w:t>
            </w:r>
            <w:r w:rsidR="00E1701D" w:rsidRPr="000902BE">
              <w:rPr>
                <w:rFonts w:ascii="KaiTi" w:eastAsia="KaiTi" w:hAnsi="KaiTi"/>
                <w:sz w:val="21"/>
                <w:szCs w:val="28"/>
                <w:u w:val="none"/>
              </w:rPr>
              <w:t>2</w:t>
            </w:r>
            <w:r w:rsidR="003744DE" w:rsidRPr="000902BE">
              <w:rPr>
                <w:rFonts w:ascii="KaiTi" w:eastAsia="KaiTi" w:hAnsi="KaiTi"/>
                <w:sz w:val="21"/>
                <w:szCs w:val="28"/>
                <w:u w:val="none"/>
              </w:rPr>
              <w:t>：</w:t>
            </w:r>
            <w:r w:rsidR="009F0117" w:rsidRPr="003744DE">
              <w:rPr>
                <w:rFonts w:ascii="SimSun" w:hAnsi="SimSun" w:hint="eastAsia"/>
                <w:sz w:val="21"/>
                <w:u w:val="none"/>
              </w:rPr>
              <w:t>更好地了解数字环境中许可的现状</w:t>
            </w:r>
          </w:p>
        </w:tc>
      </w:tr>
      <w:tr w:rsidR="00E1701D" w:rsidRPr="000902BE" w:rsidTr="00553B2C">
        <w:trPr>
          <w:trHeight w:val="413"/>
        </w:trPr>
        <w:tc>
          <w:tcPr>
            <w:tcW w:w="4395" w:type="dxa"/>
            <w:gridSpan w:val="2"/>
            <w:vMerge w:val="restart"/>
            <w:shd w:val="clear" w:color="auto" w:fill="auto"/>
          </w:tcPr>
          <w:p w:rsidR="00E1701D"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1</w:t>
            </w:r>
            <w:r w:rsidR="003744DE" w:rsidRPr="000902BE">
              <w:rPr>
                <w:rFonts w:ascii="KaiTi" w:eastAsia="KaiTi" w:hAnsi="KaiTi"/>
                <w:bCs/>
                <w:sz w:val="21"/>
                <w:szCs w:val="28"/>
              </w:rPr>
              <w:t>：</w:t>
            </w:r>
            <w:r w:rsidR="008F7BE1" w:rsidRPr="000902BE">
              <w:rPr>
                <w:rFonts w:ascii="KaiTi" w:eastAsia="KaiTi" w:hAnsi="KaiTi" w:hint="eastAsia"/>
                <w:sz w:val="21"/>
              </w:rPr>
              <w:t>评估所选国家通过数字渠道分发内容的情况</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412"/>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25,000</w:t>
            </w:r>
          </w:p>
        </w:tc>
      </w:tr>
      <w:tr w:rsidR="00E1701D" w:rsidRPr="000902BE" w:rsidTr="00553B2C">
        <w:trPr>
          <w:trHeight w:val="234"/>
        </w:trPr>
        <w:tc>
          <w:tcPr>
            <w:tcW w:w="4395" w:type="dxa"/>
            <w:gridSpan w:val="2"/>
            <w:vMerge w:val="restart"/>
            <w:shd w:val="clear" w:color="auto" w:fill="auto"/>
          </w:tcPr>
          <w:p w:rsidR="00686116"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2</w:t>
            </w:r>
            <w:r w:rsidR="003744DE" w:rsidRPr="000902BE">
              <w:rPr>
                <w:rFonts w:ascii="KaiTi" w:eastAsia="KaiTi" w:hAnsi="KaiTi"/>
                <w:bCs/>
                <w:sz w:val="21"/>
                <w:szCs w:val="28"/>
              </w:rPr>
              <w:t>：</w:t>
            </w:r>
            <w:r w:rsidR="00A7487E" w:rsidRPr="000902BE">
              <w:rPr>
                <w:rFonts w:ascii="KaiTi" w:eastAsia="KaiTi" w:hAnsi="KaiTi" w:hint="eastAsia"/>
                <w:sz w:val="21"/>
              </w:rPr>
              <w:t>对数字视听市场的经济研究</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234"/>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40,000</w:t>
            </w:r>
          </w:p>
        </w:tc>
      </w:tr>
      <w:tr w:rsidR="00E1701D" w:rsidRPr="000902BE" w:rsidTr="00553B2C">
        <w:trPr>
          <w:trHeight w:val="179"/>
        </w:trPr>
        <w:tc>
          <w:tcPr>
            <w:tcW w:w="4395" w:type="dxa"/>
            <w:gridSpan w:val="2"/>
            <w:vMerge w:val="restart"/>
            <w:shd w:val="clear" w:color="auto" w:fill="auto"/>
          </w:tcPr>
          <w:p w:rsidR="00686116"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3</w:t>
            </w:r>
            <w:r w:rsidR="003744DE" w:rsidRPr="000902BE">
              <w:rPr>
                <w:rFonts w:ascii="KaiTi" w:eastAsia="KaiTi" w:hAnsi="KaiTi"/>
                <w:bCs/>
                <w:sz w:val="21"/>
                <w:szCs w:val="28"/>
              </w:rPr>
              <w:t>：</w:t>
            </w:r>
            <w:r w:rsidR="00A7487E" w:rsidRPr="000902BE">
              <w:rPr>
                <w:rFonts w:ascii="KaiTi" w:eastAsia="KaiTi" w:hAnsi="KaiTi" w:hint="eastAsia"/>
                <w:bCs/>
                <w:sz w:val="21"/>
              </w:rPr>
              <w:t>两个关于所选国家视听内容许可的</w:t>
            </w:r>
            <w:r w:rsidR="00CB5636" w:rsidRPr="000902BE">
              <w:rPr>
                <w:rFonts w:ascii="KaiTi" w:eastAsia="KaiTi" w:hAnsi="KaiTi" w:hint="eastAsia"/>
                <w:bCs/>
                <w:sz w:val="21"/>
              </w:rPr>
              <w:t>次区域</w:t>
            </w:r>
            <w:r w:rsidR="00A7487E" w:rsidRPr="000902BE">
              <w:rPr>
                <w:rFonts w:ascii="KaiTi" w:eastAsia="KaiTi" w:hAnsi="KaiTi" w:hint="eastAsia"/>
                <w:bCs/>
                <w:sz w:val="21"/>
              </w:rPr>
              <w:t>讲习班</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178"/>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G4</w:t>
            </w:r>
            <w:r w:rsidR="003744DE" w:rsidRPr="000902BE">
              <w:rPr>
                <w:rFonts w:ascii="KaiTi" w:eastAsia="KaiTi" w:hAnsi="KaiTi"/>
                <w:bCs/>
                <w:sz w:val="21"/>
                <w:szCs w:val="28"/>
              </w:rPr>
              <w:t>：</w:t>
            </w:r>
            <w:r w:rsidRPr="000902BE">
              <w:rPr>
                <w:rFonts w:ascii="KaiTi" w:eastAsia="KaiTi" w:hAnsi="KaiTi"/>
                <w:bCs/>
                <w:sz w:val="21"/>
                <w:szCs w:val="28"/>
              </w:rPr>
              <w:t>40,000</w:t>
            </w:r>
          </w:p>
          <w:p w:rsidR="00E1701D" w:rsidRPr="000902BE" w:rsidRDefault="00E1701D" w:rsidP="000902BE">
            <w:pPr>
              <w:spacing w:after="50" w:line="340" w:lineRule="atLeast"/>
              <w:rPr>
                <w:rFonts w:ascii="KaiTi" w:eastAsia="KaiTi" w:hAnsi="KaiTi"/>
                <w:bCs/>
                <w:sz w:val="21"/>
                <w:szCs w:val="28"/>
              </w:rPr>
            </w:pP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80,000</w:t>
            </w:r>
          </w:p>
        </w:tc>
      </w:tr>
      <w:tr w:rsidR="00E1701D" w:rsidRPr="000902BE" w:rsidTr="00553B2C">
        <w:trPr>
          <w:trHeight w:val="294"/>
        </w:trPr>
        <w:tc>
          <w:tcPr>
            <w:tcW w:w="4395" w:type="dxa"/>
            <w:gridSpan w:val="2"/>
            <w:vMerge w:val="restart"/>
            <w:shd w:val="clear" w:color="auto" w:fill="auto"/>
          </w:tcPr>
          <w:p w:rsidR="00E1701D" w:rsidRPr="000902BE" w:rsidRDefault="00B11707" w:rsidP="000902BE">
            <w:pPr>
              <w:spacing w:after="50" w:line="340" w:lineRule="atLeast"/>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4</w:t>
            </w:r>
            <w:r w:rsidR="003744DE" w:rsidRPr="000902BE">
              <w:rPr>
                <w:rFonts w:ascii="KaiTi" w:eastAsia="KaiTi" w:hAnsi="KaiTi"/>
                <w:bCs/>
                <w:sz w:val="21"/>
                <w:szCs w:val="28"/>
              </w:rPr>
              <w:t>：</w:t>
            </w:r>
            <w:r w:rsidR="00CB5636" w:rsidRPr="000902BE">
              <w:rPr>
                <w:rFonts w:ascii="KaiTi" w:eastAsia="KaiTi" w:hAnsi="KaiTi" w:hint="eastAsia"/>
                <w:sz w:val="21"/>
              </w:rPr>
              <w:t>数字视听市场研讨会</w:t>
            </w:r>
          </w:p>
        </w:tc>
        <w:tc>
          <w:tcPr>
            <w:tcW w:w="2551"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人事</w:t>
            </w:r>
          </w:p>
        </w:tc>
        <w:tc>
          <w:tcPr>
            <w:tcW w:w="2664" w:type="dxa"/>
          </w:tcPr>
          <w:p w:rsidR="00E1701D" w:rsidRPr="000902BE" w:rsidRDefault="00C10E83" w:rsidP="000902BE">
            <w:pPr>
              <w:spacing w:after="50" w:line="340" w:lineRule="atLeast"/>
              <w:rPr>
                <w:rFonts w:ascii="KaiTi" w:eastAsia="KaiTi" w:hAnsi="KaiTi"/>
                <w:bCs/>
                <w:sz w:val="21"/>
                <w:szCs w:val="28"/>
              </w:rPr>
            </w:pPr>
            <w:r w:rsidRPr="000902BE">
              <w:rPr>
                <w:rFonts w:ascii="KaiTi" w:eastAsia="KaiTi" w:hAnsi="KaiTi"/>
                <w:bCs/>
                <w:sz w:val="21"/>
                <w:szCs w:val="28"/>
              </w:rPr>
              <w:t>非人事</w:t>
            </w:r>
          </w:p>
        </w:tc>
      </w:tr>
      <w:tr w:rsidR="00E1701D" w:rsidRPr="000902BE" w:rsidTr="00553B2C">
        <w:trPr>
          <w:trHeight w:val="293"/>
        </w:trPr>
        <w:tc>
          <w:tcPr>
            <w:tcW w:w="4395" w:type="dxa"/>
            <w:gridSpan w:val="2"/>
            <w:vMerge/>
            <w:shd w:val="clear" w:color="auto" w:fill="auto"/>
          </w:tcPr>
          <w:p w:rsidR="00E1701D" w:rsidRPr="000902BE" w:rsidRDefault="00E1701D" w:rsidP="000902BE">
            <w:pPr>
              <w:spacing w:after="50" w:line="340" w:lineRule="atLeast"/>
              <w:rPr>
                <w:rFonts w:ascii="KaiTi" w:eastAsia="KaiTi" w:hAnsi="KaiTi"/>
                <w:bCs/>
                <w:sz w:val="21"/>
                <w:szCs w:val="28"/>
              </w:rPr>
            </w:pPr>
          </w:p>
        </w:tc>
        <w:tc>
          <w:tcPr>
            <w:tcW w:w="2551"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G4</w:t>
            </w:r>
            <w:r w:rsidR="003744DE" w:rsidRPr="000902BE">
              <w:rPr>
                <w:rFonts w:ascii="KaiTi" w:eastAsia="KaiTi" w:hAnsi="KaiTi"/>
                <w:bCs/>
                <w:sz w:val="21"/>
                <w:szCs w:val="28"/>
              </w:rPr>
              <w:t>：</w:t>
            </w:r>
            <w:r w:rsidRPr="000902BE">
              <w:rPr>
                <w:rFonts w:ascii="KaiTi" w:eastAsia="KaiTi" w:hAnsi="KaiTi"/>
                <w:bCs/>
                <w:sz w:val="21"/>
                <w:szCs w:val="28"/>
              </w:rPr>
              <w:t>40,000</w:t>
            </w:r>
          </w:p>
        </w:tc>
        <w:tc>
          <w:tcPr>
            <w:tcW w:w="2664" w:type="dxa"/>
          </w:tcPr>
          <w:p w:rsidR="00E1701D" w:rsidRPr="000902BE" w:rsidRDefault="00E1701D" w:rsidP="000902BE">
            <w:pPr>
              <w:spacing w:after="50" w:line="340" w:lineRule="atLeast"/>
              <w:rPr>
                <w:rFonts w:ascii="KaiTi" w:eastAsia="KaiTi" w:hAnsi="KaiTi"/>
                <w:bCs/>
                <w:sz w:val="21"/>
                <w:szCs w:val="28"/>
              </w:rPr>
            </w:pPr>
            <w:r w:rsidRPr="000902BE">
              <w:rPr>
                <w:rFonts w:ascii="KaiTi" w:eastAsia="KaiTi" w:hAnsi="KaiTi"/>
                <w:bCs/>
                <w:sz w:val="21"/>
                <w:szCs w:val="28"/>
              </w:rPr>
              <w:t>200,000</w:t>
            </w:r>
          </w:p>
        </w:tc>
      </w:tr>
      <w:tr w:rsidR="00E1701D" w:rsidRPr="003744DE" w:rsidTr="00553B2C">
        <w:tc>
          <w:tcPr>
            <w:tcW w:w="4395" w:type="dxa"/>
            <w:gridSpan w:val="2"/>
            <w:shd w:val="clear" w:color="auto" w:fill="auto"/>
          </w:tcPr>
          <w:p w:rsidR="00686116" w:rsidRPr="003744DE" w:rsidRDefault="005511C8" w:rsidP="000902BE">
            <w:pPr>
              <w:spacing w:after="50" w:line="340" w:lineRule="atLeast"/>
              <w:rPr>
                <w:rFonts w:ascii="SimSun" w:hAnsi="SimSun"/>
                <w:bCs/>
                <w:i/>
                <w:sz w:val="21"/>
                <w:szCs w:val="28"/>
              </w:rPr>
            </w:pPr>
            <w:r w:rsidRPr="003744DE">
              <w:rPr>
                <w:rFonts w:ascii="SimSun" w:hAnsi="SimSun" w:hint="eastAsia"/>
                <w:bCs/>
                <w:iCs/>
                <w:sz w:val="21"/>
                <w:szCs w:val="28"/>
              </w:rPr>
              <w:t>合计费用</w:t>
            </w:r>
          </w:p>
        </w:tc>
        <w:tc>
          <w:tcPr>
            <w:tcW w:w="5215" w:type="dxa"/>
            <w:gridSpan w:val="2"/>
          </w:tcPr>
          <w:p w:rsidR="00E1701D" w:rsidRPr="003744DE" w:rsidRDefault="00E1701D" w:rsidP="000902BE">
            <w:pPr>
              <w:spacing w:after="50" w:line="340" w:lineRule="atLeast"/>
              <w:rPr>
                <w:rFonts w:ascii="SimSun" w:hAnsi="SimSun"/>
                <w:bCs/>
                <w:iCs/>
                <w:sz w:val="21"/>
                <w:szCs w:val="28"/>
              </w:rPr>
            </w:pPr>
            <w:r w:rsidRPr="003744DE">
              <w:rPr>
                <w:rFonts w:ascii="SimSun" w:hAnsi="SimSun"/>
                <w:bCs/>
                <w:iCs/>
                <w:sz w:val="21"/>
                <w:szCs w:val="28"/>
              </w:rPr>
              <w:t>490,000</w:t>
            </w:r>
          </w:p>
        </w:tc>
      </w:tr>
    </w:tbl>
    <w:p w:rsidR="003744DE" w:rsidRDefault="003744DE">
      <w:pPr>
        <w:rPr>
          <w:rFonts w:ascii="SimSun" w:hAnsi="SimSun"/>
          <w:sz w:val="21"/>
        </w:rPr>
      </w:pPr>
    </w:p>
    <w:p w:rsidR="00686116" w:rsidRPr="003744DE" w:rsidRDefault="00686116">
      <w:pPr>
        <w:rPr>
          <w:rFonts w:ascii="SimSun" w:hAnsi="SimSun"/>
          <w:sz w:val="21"/>
        </w:rPr>
      </w:pPr>
    </w:p>
    <w:tbl>
      <w:tblPr>
        <w:tblStyle w:val="af"/>
        <w:tblW w:w="9610" w:type="dxa"/>
        <w:tblInd w:w="-34" w:type="dxa"/>
        <w:tblLayout w:type="fixed"/>
        <w:tblLook w:val="01E0" w:firstRow="1" w:lastRow="1" w:firstColumn="1" w:lastColumn="1" w:noHBand="0" w:noVBand="0"/>
      </w:tblPr>
      <w:tblGrid>
        <w:gridCol w:w="1135"/>
        <w:gridCol w:w="921"/>
        <w:gridCol w:w="921"/>
        <w:gridCol w:w="921"/>
        <w:gridCol w:w="922"/>
        <w:gridCol w:w="958"/>
        <w:gridCol w:w="958"/>
        <w:gridCol w:w="958"/>
        <w:gridCol w:w="958"/>
        <w:gridCol w:w="958"/>
      </w:tblGrid>
      <w:tr w:rsidR="00E1701D" w:rsidRPr="000902BE" w:rsidTr="00553B2C">
        <w:tc>
          <w:tcPr>
            <w:tcW w:w="9610" w:type="dxa"/>
            <w:gridSpan w:val="10"/>
            <w:shd w:val="clear" w:color="auto" w:fill="auto"/>
          </w:tcPr>
          <w:p w:rsidR="0045103D" w:rsidRPr="000902BE" w:rsidRDefault="000902BE" w:rsidP="000902BE">
            <w:pPr>
              <w:spacing w:afterLines="50" w:after="120" w:line="340" w:lineRule="atLeast"/>
              <w:rPr>
                <w:rFonts w:asciiTheme="minorEastAsia" w:eastAsiaTheme="minorEastAsia" w:hAnsiTheme="minorEastAsia"/>
                <w:b/>
                <w:bCs/>
                <w:iCs/>
                <w:sz w:val="21"/>
                <w:szCs w:val="21"/>
              </w:rPr>
            </w:pPr>
            <w:r>
              <w:rPr>
                <w:rFonts w:asciiTheme="minorEastAsia" w:eastAsiaTheme="minorEastAsia" w:hAnsiTheme="minorEastAsia" w:hint="eastAsia"/>
                <w:b/>
                <w:bCs/>
                <w:iCs/>
                <w:sz w:val="21"/>
                <w:szCs w:val="21"/>
              </w:rPr>
              <w:t>5.</w:t>
            </w:r>
            <w:r w:rsidR="00B76420" w:rsidRPr="000902BE">
              <w:rPr>
                <w:rFonts w:asciiTheme="minorEastAsia" w:eastAsiaTheme="minorEastAsia" w:hAnsiTheme="minorEastAsia" w:hint="eastAsia"/>
                <w:b/>
                <w:bCs/>
                <w:iCs/>
                <w:sz w:val="21"/>
                <w:szCs w:val="21"/>
              </w:rPr>
              <w:t>实施时间表</w:t>
            </w:r>
          </w:p>
        </w:tc>
      </w:tr>
      <w:tr w:rsidR="00E1701D" w:rsidRPr="000902BE" w:rsidTr="00553B2C">
        <w:tblPrEx>
          <w:tblLook w:val="04A0" w:firstRow="1" w:lastRow="0" w:firstColumn="1" w:lastColumn="0" w:noHBand="0" w:noVBand="1"/>
        </w:tblPrEx>
        <w:tc>
          <w:tcPr>
            <w:tcW w:w="1135" w:type="dxa"/>
            <w:vMerge w:val="restart"/>
            <w:vAlign w:val="bottom"/>
          </w:tcPr>
          <w:p w:rsidR="00E1701D" w:rsidRPr="000902BE" w:rsidRDefault="00B11707" w:rsidP="00553B2C">
            <w:pPr>
              <w:jc w:val="center"/>
              <w:rPr>
                <w:rFonts w:ascii="KaiTi" w:eastAsia="KaiTi" w:hAnsi="KaiTi"/>
                <w:b/>
                <w:sz w:val="21"/>
                <w:szCs w:val="28"/>
              </w:rPr>
            </w:pPr>
            <w:r w:rsidRPr="000902BE">
              <w:rPr>
                <w:rFonts w:ascii="KaiTi" w:eastAsia="KaiTi" w:hAnsi="KaiTi"/>
                <w:bCs/>
                <w:sz w:val="21"/>
                <w:szCs w:val="28"/>
              </w:rPr>
              <w:t>产出</w:t>
            </w:r>
            <w:r w:rsidR="00E1701D" w:rsidRPr="000902BE">
              <w:rPr>
                <w:rFonts w:ascii="KaiTi" w:eastAsia="KaiTi" w:hAnsi="KaiTi"/>
                <w:bCs/>
                <w:sz w:val="21"/>
                <w:szCs w:val="28"/>
              </w:rPr>
              <w:t>1</w:t>
            </w:r>
          </w:p>
        </w:tc>
        <w:tc>
          <w:tcPr>
            <w:tcW w:w="3685" w:type="dxa"/>
            <w:gridSpan w:val="4"/>
            <w:tcBorders>
              <w:right w:val="single" w:sz="12" w:space="0" w:color="auto"/>
            </w:tcBorders>
            <w:vAlign w:val="center"/>
          </w:tcPr>
          <w:p w:rsidR="00E1701D" w:rsidRPr="000902BE" w:rsidRDefault="00E1701D" w:rsidP="00553B2C">
            <w:pPr>
              <w:jc w:val="center"/>
              <w:rPr>
                <w:rFonts w:ascii="KaiTi" w:eastAsia="KaiTi" w:hAnsi="KaiTi"/>
                <w:b/>
                <w:sz w:val="21"/>
                <w:szCs w:val="28"/>
              </w:rPr>
            </w:pPr>
            <w:r w:rsidRPr="000902BE">
              <w:rPr>
                <w:rFonts w:ascii="KaiTi" w:eastAsia="KaiTi" w:hAnsi="KaiTi"/>
                <w:b/>
                <w:sz w:val="21"/>
                <w:szCs w:val="28"/>
              </w:rPr>
              <w:t>2019</w:t>
            </w:r>
          </w:p>
        </w:tc>
        <w:tc>
          <w:tcPr>
            <w:tcW w:w="3832" w:type="dxa"/>
            <w:gridSpan w:val="4"/>
            <w:tcBorders>
              <w:left w:val="single" w:sz="12" w:space="0" w:color="auto"/>
              <w:right w:val="single" w:sz="12" w:space="0" w:color="auto"/>
            </w:tcBorders>
            <w:vAlign w:val="center"/>
          </w:tcPr>
          <w:p w:rsidR="00E1701D" w:rsidRPr="000902BE" w:rsidRDefault="00E1701D" w:rsidP="00553B2C">
            <w:pPr>
              <w:jc w:val="center"/>
              <w:rPr>
                <w:rFonts w:ascii="KaiTi" w:eastAsia="KaiTi" w:hAnsi="KaiTi"/>
                <w:b/>
                <w:sz w:val="21"/>
                <w:szCs w:val="28"/>
              </w:rPr>
            </w:pPr>
            <w:r w:rsidRPr="000902BE">
              <w:rPr>
                <w:rFonts w:ascii="KaiTi" w:eastAsia="KaiTi" w:hAnsi="KaiTi"/>
                <w:b/>
                <w:sz w:val="21"/>
                <w:szCs w:val="28"/>
              </w:rPr>
              <w:t>2020</w:t>
            </w:r>
          </w:p>
        </w:tc>
        <w:tc>
          <w:tcPr>
            <w:tcW w:w="958" w:type="dxa"/>
            <w:tcBorders>
              <w:left w:val="single" w:sz="12" w:space="0" w:color="auto"/>
            </w:tcBorders>
            <w:vAlign w:val="center"/>
          </w:tcPr>
          <w:p w:rsidR="00E1701D" w:rsidRPr="000902BE" w:rsidRDefault="00E1701D" w:rsidP="00553B2C">
            <w:pPr>
              <w:jc w:val="center"/>
              <w:rPr>
                <w:rFonts w:ascii="KaiTi" w:eastAsia="KaiTi" w:hAnsi="KaiTi"/>
                <w:b/>
                <w:sz w:val="21"/>
                <w:szCs w:val="28"/>
              </w:rPr>
            </w:pPr>
            <w:r w:rsidRPr="000902BE">
              <w:rPr>
                <w:rFonts w:ascii="KaiTi" w:eastAsia="KaiTi" w:hAnsi="KaiTi"/>
                <w:b/>
                <w:sz w:val="21"/>
                <w:szCs w:val="28"/>
              </w:rPr>
              <w:t>2021</w:t>
            </w:r>
          </w:p>
        </w:tc>
      </w:tr>
      <w:tr w:rsidR="00E1701D" w:rsidRPr="000902BE" w:rsidTr="00553B2C">
        <w:tblPrEx>
          <w:tblLook w:val="04A0" w:firstRow="1" w:lastRow="0" w:firstColumn="1" w:lastColumn="0" w:noHBand="0" w:noVBand="1"/>
        </w:tblPrEx>
        <w:trPr>
          <w:trHeight w:val="460"/>
        </w:trPr>
        <w:tc>
          <w:tcPr>
            <w:tcW w:w="1135" w:type="dxa"/>
            <w:vMerge/>
            <w:tcBorders>
              <w:bottom w:val="single" w:sz="4" w:space="0" w:color="auto"/>
            </w:tcBorders>
          </w:tcPr>
          <w:p w:rsidR="00E1701D" w:rsidRPr="000902BE" w:rsidRDefault="00E1701D" w:rsidP="00553B2C">
            <w:pPr>
              <w:rPr>
                <w:rFonts w:ascii="KaiTi" w:eastAsia="KaiTi" w:hAnsi="KaiTi"/>
                <w:bCs/>
                <w:sz w:val="21"/>
                <w:szCs w:val="28"/>
              </w:rPr>
            </w:pPr>
          </w:p>
        </w:tc>
        <w:tc>
          <w:tcPr>
            <w:tcW w:w="921" w:type="dxa"/>
            <w:tcBorders>
              <w:bottom w:val="single" w:sz="4" w:space="0" w:color="auto"/>
            </w:tcBorders>
            <w:vAlign w:val="center"/>
          </w:tcPr>
          <w:p w:rsidR="004B4DDD" w:rsidRDefault="00B27BD6" w:rsidP="00553B2C">
            <w:pPr>
              <w:jc w:val="center"/>
              <w:rPr>
                <w:rFonts w:ascii="KaiTi" w:eastAsia="KaiTi" w:hAnsi="KaiTi" w:hint="eastAsia"/>
                <w:bCs/>
                <w:sz w:val="21"/>
                <w:szCs w:val="28"/>
              </w:rPr>
            </w:pPr>
            <w:r w:rsidRPr="000902BE">
              <w:rPr>
                <w:rFonts w:ascii="KaiTi" w:eastAsia="KaiTi" w:hAnsi="KaiTi"/>
                <w:bCs/>
                <w:sz w:val="21"/>
                <w:szCs w:val="28"/>
              </w:rPr>
              <w:t>第一</w:t>
            </w:r>
          </w:p>
          <w:p w:rsidR="00E1701D" w:rsidRPr="000902BE" w:rsidRDefault="00B27BD6" w:rsidP="00553B2C">
            <w:pPr>
              <w:jc w:val="center"/>
              <w:rPr>
                <w:rFonts w:ascii="KaiTi" w:eastAsia="KaiTi" w:hAnsi="KaiTi"/>
                <w:bCs/>
                <w:sz w:val="21"/>
                <w:szCs w:val="28"/>
              </w:rPr>
            </w:pPr>
            <w:r w:rsidRPr="000902BE">
              <w:rPr>
                <w:rFonts w:ascii="KaiTi" w:eastAsia="KaiTi" w:hAnsi="KaiTi"/>
                <w:bCs/>
                <w:sz w:val="21"/>
                <w:szCs w:val="28"/>
              </w:rPr>
              <w:t>季度</w:t>
            </w:r>
          </w:p>
        </w:tc>
        <w:tc>
          <w:tcPr>
            <w:tcW w:w="921" w:type="dxa"/>
            <w:tcBorders>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第二</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21" w:type="dxa"/>
            <w:tcBorders>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第三</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22" w:type="dxa"/>
            <w:tcBorders>
              <w:bottom w:val="single" w:sz="4" w:space="0" w:color="auto"/>
              <w:right w:val="single" w:sz="12"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第四</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58" w:type="dxa"/>
            <w:tcBorders>
              <w:left w:val="single" w:sz="12" w:space="0" w:color="auto"/>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第一</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58" w:type="dxa"/>
            <w:tcBorders>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第二</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58" w:type="dxa"/>
            <w:tcBorders>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第三</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58" w:type="dxa"/>
            <w:tcBorders>
              <w:bottom w:val="single" w:sz="4" w:space="0" w:color="auto"/>
              <w:right w:val="single" w:sz="12"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第四</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c>
          <w:tcPr>
            <w:tcW w:w="958" w:type="dxa"/>
            <w:tcBorders>
              <w:left w:val="single" w:sz="12" w:space="0" w:color="auto"/>
              <w:bottom w:val="single" w:sz="4" w:space="0" w:color="auto"/>
            </w:tcBorders>
          </w:tcPr>
          <w:p w:rsidR="004B4DDD" w:rsidRDefault="00B27BD6" w:rsidP="00553B2C">
            <w:pPr>
              <w:rPr>
                <w:rFonts w:ascii="KaiTi" w:eastAsia="KaiTi" w:hAnsi="KaiTi" w:hint="eastAsia"/>
                <w:bCs/>
                <w:sz w:val="21"/>
                <w:szCs w:val="28"/>
              </w:rPr>
            </w:pPr>
            <w:r w:rsidRPr="000902BE">
              <w:rPr>
                <w:rFonts w:ascii="KaiTi" w:eastAsia="KaiTi" w:hAnsi="KaiTi"/>
                <w:bCs/>
                <w:sz w:val="21"/>
                <w:szCs w:val="28"/>
              </w:rPr>
              <w:t>第一</w:t>
            </w:r>
          </w:p>
          <w:p w:rsidR="00E1701D" w:rsidRPr="000902BE" w:rsidRDefault="00B27BD6" w:rsidP="00553B2C">
            <w:pPr>
              <w:rPr>
                <w:rFonts w:ascii="KaiTi" w:eastAsia="KaiTi" w:hAnsi="KaiTi"/>
                <w:bCs/>
                <w:sz w:val="21"/>
                <w:szCs w:val="28"/>
              </w:rPr>
            </w:pPr>
            <w:r w:rsidRPr="000902BE">
              <w:rPr>
                <w:rFonts w:ascii="KaiTi" w:eastAsia="KaiTi" w:hAnsi="KaiTi"/>
                <w:bCs/>
                <w:sz w:val="21"/>
                <w:szCs w:val="28"/>
              </w:rPr>
              <w:t>季度</w:t>
            </w:r>
          </w:p>
        </w:tc>
      </w:tr>
      <w:tr w:rsidR="00E1701D" w:rsidRPr="000902BE" w:rsidTr="00553B2C">
        <w:tblPrEx>
          <w:tblLook w:val="04A0" w:firstRow="1" w:lastRow="0" w:firstColumn="1" w:lastColumn="0" w:noHBand="0" w:noVBand="1"/>
        </w:tblPrEx>
        <w:tc>
          <w:tcPr>
            <w:tcW w:w="1135" w:type="dxa"/>
            <w:shd w:val="clear" w:color="auto" w:fill="FFFFFF" w:themeFill="background1"/>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1</w:t>
            </w: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2" w:type="dxa"/>
            <w:tcBorders>
              <w:righ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righ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c>
          <w:tcPr>
            <w:tcW w:w="1135" w:type="dxa"/>
            <w:shd w:val="clear" w:color="auto" w:fill="FFFFFF" w:themeFill="background1"/>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2</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2"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c>
          <w:tcPr>
            <w:tcW w:w="1135" w:type="dxa"/>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3</w:t>
            </w: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vAlign w:val="center"/>
          </w:tcPr>
          <w:p w:rsidR="00E1701D" w:rsidRPr="000902BE" w:rsidRDefault="00E1701D" w:rsidP="00553B2C">
            <w:pPr>
              <w:pStyle w:val="2"/>
              <w:jc w:val="center"/>
              <w:outlineLvl w:val="1"/>
              <w:rPr>
                <w:rFonts w:ascii="KaiTi" w:eastAsia="KaiTi" w:hAnsi="KaiTi"/>
                <w:iCs w:val="0"/>
                <w:caps w:val="0"/>
                <w:sz w:val="21"/>
              </w:rPr>
            </w:pPr>
          </w:p>
        </w:tc>
        <w:tc>
          <w:tcPr>
            <w:tcW w:w="922" w:type="dxa"/>
            <w:tcBorders>
              <w:righ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righ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rPr>
          <w:trHeight w:val="283"/>
        </w:trPr>
        <w:tc>
          <w:tcPr>
            <w:tcW w:w="1135" w:type="dxa"/>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产出</w:t>
            </w:r>
            <w:r w:rsidR="00E1701D" w:rsidRPr="000902BE">
              <w:rPr>
                <w:rFonts w:ascii="KaiTi" w:eastAsia="KaiTi" w:hAnsi="KaiTi"/>
                <w:bCs/>
                <w:sz w:val="21"/>
                <w:szCs w:val="28"/>
              </w:rPr>
              <w:t>2</w:t>
            </w:r>
          </w:p>
        </w:tc>
        <w:tc>
          <w:tcPr>
            <w:tcW w:w="921" w:type="dxa"/>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22" w:type="dxa"/>
            <w:tcBorders>
              <w:right w:val="single" w:sz="12" w:space="0" w:color="auto"/>
            </w:tcBorders>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right w:val="single" w:sz="12" w:space="0" w:color="auto"/>
            </w:tcBorders>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D9D9D9" w:themeFill="background1" w:themeFillShade="D9"/>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c>
          <w:tcPr>
            <w:tcW w:w="1135" w:type="dxa"/>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1</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2"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c>
          <w:tcPr>
            <w:tcW w:w="1135" w:type="dxa"/>
            <w:shd w:val="clear" w:color="auto" w:fill="FFFFFF" w:themeFill="background1"/>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2</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2"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r>
      <w:tr w:rsidR="00E1701D" w:rsidRPr="000902BE" w:rsidTr="00553B2C">
        <w:tblPrEx>
          <w:tblLook w:val="04A0" w:firstRow="1" w:lastRow="0" w:firstColumn="1" w:lastColumn="0" w:noHBand="0" w:noVBand="1"/>
        </w:tblPrEx>
        <w:tc>
          <w:tcPr>
            <w:tcW w:w="1135" w:type="dxa"/>
            <w:shd w:val="clear" w:color="auto" w:fill="FFFFFF" w:themeFill="background1"/>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3</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22"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r>
      <w:tr w:rsidR="00E1701D" w:rsidRPr="000902BE" w:rsidTr="00553B2C">
        <w:tblPrEx>
          <w:tblLook w:val="04A0" w:firstRow="1" w:lastRow="0" w:firstColumn="1" w:lastColumn="0" w:noHBand="0" w:noVBand="1"/>
        </w:tblPrEx>
        <w:trPr>
          <w:trHeight w:val="50"/>
        </w:trPr>
        <w:tc>
          <w:tcPr>
            <w:tcW w:w="1135" w:type="dxa"/>
            <w:shd w:val="clear" w:color="auto" w:fill="FFFFFF" w:themeFill="background1"/>
            <w:vAlign w:val="center"/>
          </w:tcPr>
          <w:p w:rsidR="00E1701D" w:rsidRPr="000902BE" w:rsidRDefault="00B11707" w:rsidP="00553B2C">
            <w:pPr>
              <w:rPr>
                <w:rFonts w:ascii="KaiTi" w:eastAsia="KaiTi" w:hAnsi="KaiTi"/>
                <w:bCs/>
                <w:sz w:val="21"/>
                <w:szCs w:val="28"/>
              </w:rPr>
            </w:pPr>
            <w:r w:rsidRPr="000902BE">
              <w:rPr>
                <w:rFonts w:ascii="KaiTi" w:eastAsia="KaiTi" w:hAnsi="KaiTi"/>
                <w:bCs/>
                <w:sz w:val="21"/>
                <w:szCs w:val="28"/>
              </w:rPr>
              <w:t>活动</w:t>
            </w:r>
            <w:r w:rsidR="00E1701D" w:rsidRPr="000902BE">
              <w:rPr>
                <w:rFonts w:ascii="KaiTi" w:eastAsia="KaiTi" w:hAnsi="KaiTi"/>
                <w:bCs/>
                <w:sz w:val="21"/>
                <w:szCs w:val="28"/>
              </w:rPr>
              <w:t>4</w:t>
            </w: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1"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22"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r w:rsidRPr="000902BE">
              <w:rPr>
                <w:rFonts w:ascii="KaiTi" w:eastAsia="KaiTi" w:hAnsi="KaiTi"/>
                <w:iCs w:val="0"/>
                <w:caps w:val="0"/>
                <w:sz w:val="21"/>
              </w:rPr>
              <w:t>X</w:t>
            </w:r>
          </w:p>
        </w:tc>
        <w:tc>
          <w:tcPr>
            <w:tcW w:w="958" w:type="dxa"/>
            <w:tcBorders>
              <w:righ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c>
          <w:tcPr>
            <w:tcW w:w="958" w:type="dxa"/>
            <w:tcBorders>
              <w:left w:val="single" w:sz="12" w:space="0" w:color="auto"/>
            </w:tcBorders>
            <w:shd w:val="clear" w:color="auto" w:fill="FFFFFF" w:themeFill="background1"/>
            <w:vAlign w:val="center"/>
          </w:tcPr>
          <w:p w:rsidR="00E1701D" w:rsidRPr="000902BE" w:rsidRDefault="00E1701D" w:rsidP="00553B2C">
            <w:pPr>
              <w:pStyle w:val="2"/>
              <w:jc w:val="center"/>
              <w:outlineLvl w:val="1"/>
              <w:rPr>
                <w:rFonts w:ascii="KaiTi" w:eastAsia="KaiTi" w:hAnsi="KaiTi"/>
                <w:iCs w:val="0"/>
                <w:caps w:val="0"/>
                <w:sz w:val="21"/>
              </w:rPr>
            </w:pPr>
          </w:p>
        </w:tc>
      </w:tr>
    </w:tbl>
    <w:p w:rsidR="000902BE" w:rsidRDefault="000902BE" w:rsidP="000902BE">
      <w:pPr>
        <w:pStyle w:val="Endofdocument-Annex"/>
        <w:overflowPunct w:val="0"/>
        <w:spacing w:afterLines="50" w:after="120" w:line="340" w:lineRule="atLeast"/>
        <w:jc w:val="both"/>
        <w:rPr>
          <w:rFonts w:ascii="KaiTi" w:eastAsia="KaiTi" w:hAnsi="KaiTi" w:hint="eastAsia"/>
          <w:sz w:val="21"/>
          <w:szCs w:val="22"/>
        </w:rPr>
      </w:pPr>
    </w:p>
    <w:p w:rsidR="00BF16EC" w:rsidRPr="000902BE" w:rsidRDefault="00BF16EC" w:rsidP="000902BE">
      <w:pPr>
        <w:pStyle w:val="Endofdocument-Annex"/>
        <w:overflowPunct w:val="0"/>
        <w:spacing w:afterLines="50" w:after="120" w:line="340" w:lineRule="atLeast"/>
        <w:jc w:val="both"/>
        <w:rPr>
          <w:rFonts w:ascii="KaiTi" w:eastAsia="KaiTi" w:hAnsi="KaiTi"/>
          <w:sz w:val="21"/>
          <w:szCs w:val="22"/>
        </w:rPr>
      </w:pPr>
      <w:r w:rsidRPr="000902BE">
        <w:rPr>
          <w:rFonts w:ascii="KaiTi" w:eastAsia="KaiTi" w:hAnsi="KaiTi"/>
          <w:sz w:val="21"/>
          <w:szCs w:val="22"/>
        </w:rPr>
        <w:t>[</w:t>
      </w:r>
      <w:r w:rsidR="00B27BD6" w:rsidRPr="000902BE">
        <w:rPr>
          <w:rFonts w:ascii="KaiTi" w:eastAsia="KaiTi" w:hAnsi="KaiTi" w:hint="eastAsia"/>
          <w:sz w:val="21"/>
          <w:szCs w:val="22"/>
        </w:rPr>
        <w:t>附件和文件完</w:t>
      </w:r>
      <w:r w:rsidRPr="000902BE">
        <w:rPr>
          <w:rFonts w:ascii="KaiTi" w:eastAsia="KaiTi" w:hAnsi="KaiTi"/>
          <w:sz w:val="21"/>
          <w:szCs w:val="22"/>
        </w:rPr>
        <w:t>]</w:t>
      </w:r>
    </w:p>
    <w:sectPr w:rsidR="00BF16EC" w:rsidRPr="000902BE" w:rsidSect="003744DE">
      <w:headerReference w:type="default" r:id="rId11"/>
      <w:foot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C6" w:rsidRDefault="002D4EC6">
      <w:r>
        <w:separator/>
      </w:r>
    </w:p>
  </w:endnote>
  <w:endnote w:type="continuationSeparator" w:id="0">
    <w:p w:rsidR="002D4EC6" w:rsidRDefault="002D4EC6" w:rsidP="003B38C1">
      <w:r>
        <w:separator/>
      </w:r>
    </w:p>
    <w:p w:rsidR="002D4EC6" w:rsidRPr="003B38C1" w:rsidRDefault="002D4EC6" w:rsidP="003B38C1">
      <w:pPr>
        <w:spacing w:after="60"/>
        <w:rPr>
          <w:sz w:val="17"/>
        </w:rPr>
      </w:pPr>
      <w:r>
        <w:rPr>
          <w:sz w:val="17"/>
        </w:rPr>
        <w:t>[Endnote continued from previous page]</w:t>
      </w:r>
    </w:p>
  </w:endnote>
  <w:endnote w:type="continuationNotice" w:id="1">
    <w:p w:rsidR="002D4EC6" w:rsidRPr="003B38C1" w:rsidRDefault="002D4E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6" w:rsidRPr="003744DE" w:rsidRDefault="002D4EC6">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C6" w:rsidRDefault="002D4EC6">
      <w:r>
        <w:separator/>
      </w:r>
    </w:p>
  </w:footnote>
  <w:footnote w:type="continuationSeparator" w:id="0">
    <w:p w:rsidR="002D4EC6" w:rsidRDefault="002D4EC6" w:rsidP="008B60B2">
      <w:r>
        <w:separator/>
      </w:r>
    </w:p>
    <w:p w:rsidR="002D4EC6" w:rsidRPr="00ED77FB" w:rsidRDefault="002D4EC6" w:rsidP="008B60B2">
      <w:pPr>
        <w:spacing w:after="60"/>
        <w:rPr>
          <w:sz w:val="17"/>
          <w:szCs w:val="17"/>
        </w:rPr>
      </w:pPr>
      <w:r w:rsidRPr="00ED77FB">
        <w:rPr>
          <w:sz w:val="17"/>
          <w:szCs w:val="17"/>
        </w:rPr>
        <w:t>[Footnote continued from previous page]</w:t>
      </w:r>
    </w:p>
  </w:footnote>
  <w:footnote w:type="continuationNotice" w:id="1">
    <w:p w:rsidR="002D4EC6" w:rsidRPr="00ED77FB" w:rsidRDefault="002D4EC6" w:rsidP="008B60B2">
      <w:pPr>
        <w:spacing w:before="60"/>
        <w:jc w:val="right"/>
        <w:rPr>
          <w:sz w:val="17"/>
          <w:szCs w:val="17"/>
        </w:rPr>
      </w:pPr>
      <w:r w:rsidRPr="00ED77FB">
        <w:rPr>
          <w:sz w:val="17"/>
          <w:szCs w:val="17"/>
        </w:rPr>
        <w:t>[Footnote continued on next page]</w:t>
      </w:r>
    </w:p>
  </w:footnote>
  <w:footnote w:id="2">
    <w:p w:rsidR="002D4EC6" w:rsidRPr="004B4DDD" w:rsidRDefault="002D4EC6" w:rsidP="00553B2C">
      <w:pPr>
        <w:pStyle w:val="a9"/>
        <w:rPr>
          <w:rFonts w:ascii="SimSun" w:hAnsi="SimSun"/>
        </w:rPr>
      </w:pPr>
      <w:r w:rsidRPr="004B4DDD">
        <w:rPr>
          <w:rStyle w:val="af3"/>
          <w:rFonts w:ascii="SimSun" w:hAnsi="SimSun"/>
        </w:rPr>
        <w:footnoteRef/>
      </w:r>
      <w:r w:rsidR="004B4DDD">
        <w:rPr>
          <w:rFonts w:ascii="SimSun" w:hAnsi="SimSun" w:hint="eastAsia"/>
        </w:rPr>
        <w:tab/>
      </w:r>
      <w:r w:rsidRPr="004B4DDD">
        <w:rPr>
          <w:rFonts w:ascii="SimSun" w:hAnsi="SimSun" w:hint="eastAsia"/>
        </w:rPr>
        <w:t>例如见南共市视听计划。查阅可登陆：</w:t>
      </w:r>
      <w:r w:rsidR="000F3FC3" w:rsidRPr="004B4DDD">
        <w:rPr>
          <w:rFonts w:ascii="SimSun" w:hAnsi="SimSun"/>
        </w:rPr>
        <w:fldChar w:fldCharType="begin"/>
      </w:r>
      <w:r w:rsidR="000F3FC3" w:rsidRPr="004B4DDD">
        <w:rPr>
          <w:rFonts w:ascii="SimSun" w:hAnsi="SimSun"/>
        </w:rPr>
        <w:instrText xml:space="preserve"> HYPERLINK "http://www.recam.org/pma/" </w:instrText>
      </w:r>
      <w:r w:rsidR="000F3FC3" w:rsidRPr="004B4DDD">
        <w:rPr>
          <w:rFonts w:ascii="SimSun" w:hAnsi="SimSun"/>
        </w:rPr>
        <w:fldChar w:fldCharType="separate"/>
      </w:r>
      <w:r w:rsidRPr="004B4DDD">
        <w:rPr>
          <w:rStyle w:val="af4"/>
          <w:rFonts w:ascii="SimSun" w:hAnsi="SimSun"/>
          <w:color w:val="auto"/>
        </w:rPr>
        <w:t>http://www.recam.org/pma/</w:t>
      </w:r>
      <w:r w:rsidR="000F3FC3" w:rsidRPr="004B4DDD">
        <w:rPr>
          <w:rStyle w:val="af4"/>
          <w:rFonts w:ascii="SimSun" w:hAnsi="SimSun"/>
          <w:color w:val="auto"/>
        </w:rPr>
        <w:fldChar w:fldCharType="end"/>
      </w:r>
    </w:p>
  </w:footnote>
  <w:footnote w:id="3">
    <w:p w:rsidR="002D4EC6" w:rsidRPr="004B4DDD" w:rsidRDefault="002D4EC6" w:rsidP="0071526C">
      <w:pPr>
        <w:pStyle w:val="a9"/>
        <w:rPr>
          <w:rFonts w:ascii="SimSun" w:hAnsi="SimSun"/>
        </w:rPr>
      </w:pPr>
      <w:r w:rsidRPr="004B4DDD">
        <w:rPr>
          <w:rStyle w:val="af3"/>
          <w:rFonts w:ascii="SimSun" w:hAnsi="SimSun"/>
        </w:rPr>
        <w:footnoteRef/>
      </w:r>
      <w:r w:rsidR="004B4DDD">
        <w:rPr>
          <w:rFonts w:ascii="SimSun" w:hAnsi="SimSun" w:hint="eastAsia"/>
        </w:rPr>
        <w:tab/>
      </w:r>
      <w:r w:rsidRPr="004B4DDD">
        <w:rPr>
          <w:rFonts w:ascii="SimSun" w:hAnsi="SimSun" w:hint="eastAsia"/>
        </w:rPr>
        <w:t>关于不同的融资模式，请见产权组织“从脚本到屏幕”，查阅可登陆：</w:t>
      </w:r>
      <w:r w:rsidR="000F3FC3" w:rsidRPr="004B4DDD">
        <w:rPr>
          <w:rFonts w:ascii="SimSun" w:hAnsi="SimSun"/>
        </w:rPr>
        <w:fldChar w:fldCharType="begin"/>
      </w:r>
      <w:r w:rsidR="000F3FC3" w:rsidRPr="004B4DDD">
        <w:rPr>
          <w:rFonts w:ascii="SimSun" w:hAnsi="SimSun"/>
        </w:rPr>
        <w:instrText xml:space="preserve"> HYPERLINK "http://www.wipo.int/publications/en/details.jsp?id=261&amp;plang=EN" </w:instrText>
      </w:r>
      <w:r w:rsidR="000F3FC3" w:rsidRPr="004B4DDD">
        <w:rPr>
          <w:rFonts w:ascii="SimSun" w:hAnsi="SimSun"/>
        </w:rPr>
        <w:fldChar w:fldCharType="separate"/>
      </w:r>
      <w:r w:rsidRPr="004B4DDD">
        <w:rPr>
          <w:rStyle w:val="af4"/>
          <w:rFonts w:ascii="SimSun" w:hAnsi="SimSun"/>
          <w:color w:val="auto"/>
        </w:rPr>
        <w:t>http://www.wipo.int/publications/en/details.jsp?id=261&amp;plang=EN</w:t>
      </w:r>
      <w:r w:rsidR="000F3FC3" w:rsidRPr="004B4DDD">
        <w:rPr>
          <w:rStyle w:val="af4"/>
          <w:rFonts w:ascii="SimSun" w:hAnsi="SimSun"/>
          <w:color w:val="auto"/>
        </w:rPr>
        <w:fldChar w:fldCharType="end"/>
      </w:r>
    </w:p>
  </w:footnote>
  <w:footnote w:id="4">
    <w:p w:rsidR="002D4EC6" w:rsidRPr="004B4DDD" w:rsidRDefault="002D4EC6" w:rsidP="00CC6356">
      <w:pPr>
        <w:pStyle w:val="a9"/>
        <w:rPr>
          <w:rFonts w:ascii="SimSun" w:hAnsi="SimSun"/>
        </w:rPr>
      </w:pPr>
      <w:r w:rsidRPr="004B4DDD">
        <w:rPr>
          <w:rStyle w:val="af3"/>
          <w:rFonts w:ascii="SimSun" w:hAnsi="SimSun"/>
        </w:rPr>
        <w:footnoteRef/>
      </w:r>
      <w:r w:rsidR="004B4DDD">
        <w:rPr>
          <w:rFonts w:ascii="SimSun" w:hAnsi="SimSun" w:hint="eastAsia"/>
        </w:rPr>
        <w:tab/>
      </w:r>
      <w:r w:rsidRPr="004B4DDD">
        <w:rPr>
          <w:rFonts w:ascii="SimSun" w:hAnsi="SimSun" w:hint="eastAsia"/>
        </w:rPr>
        <w:t>产权组织“从脚本到屏幕：版权在电影发行中的重要性</w:t>
      </w:r>
      <w:r w:rsidRPr="004B4DDD">
        <w:rPr>
          <w:rFonts w:ascii="SimSun" w:hAnsi="SimSun"/>
        </w:rPr>
        <w:t>”</w:t>
      </w:r>
      <w:r w:rsidRPr="004B4DDD">
        <w:rPr>
          <w:rFonts w:ascii="SimSun" w:hAnsi="SimSun" w:hint="eastAsia"/>
        </w:rPr>
        <w:t>。查阅可登陆：</w:t>
      </w:r>
      <w:r w:rsidR="003744DE" w:rsidRPr="004B4DDD">
        <w:rPr>
          <w:rFonts w:ascii="SimSun" w:hAnsi="SimSun"/>
        </w:rPr>
        <w:fldChar w:fldCharType="begin"/>
      </w:r>
      <w:r w:rsidR="003744DE" w:rsidRPr="004B4DDD">
        <w:rPr>
          <w:rFonts w:ascii="SimSun" w:hAnsi="SimSun"/>
        </w:rPr>
        <w:instrText xml:space="preserve"> HYPERLINK "http://www.wipo.int/publications/en/details.jsp?id=261&amp;plang=EN" </w:instrText>
      </w:r>
      <w:r w:rsidR="003744DE" w:rsidRPr="004B4DDD">
        <w:rPr>
          <w:rFonts w:ascii="SimSun" w:hAnsi="SimSun"/>
        </w:rPr>
        <w:fldChar w:fldCharType="separate"/>
      </w:r>
      <w:r w:rsidRPr="004B4DDD">
        <w:rPr>
          <w:rStyle w:val="af4"/>
          <w:rFonts w:ascii="SimSun" w:hAnsi="SimSun"/>
          <w:color w:val="auto"/>
        </w:rPr>
        <w:t>http://www.wipo.int/publications/en/details.jsp?id=261&amp;plang=EN</w:t>
      </w:r>
      <w:r w:rsidR="003744DE" w:rsidRPr="004B4DDD">
        <w:rPr>
          <w:rStyle w:val="af4"/>
          <w:rFonts w:ascii="SimSun" w:hAnsi="SimSun"/>
          <w:color w:val="auto"/>
        </w:rPr>
        <w:fldChar w:fldCharType="end"/>
      </w:r>
    </w:p>
  </w:footnote>
  <w:footnote w:id="5">
    <w:p w:rsidR="002D4EC6" w:rsidRPr="004B4DDD" w:rsidRDefault="002D4EC6" w:rsidP="00F1678E">
      <w:pPr>
        <w:pStyle w:val="a9"/>
        <w:rPr>
          <w:rFonts w:ascii="SimSun" w:hAnsi="SimSun"/>
        </w:rPr>
      </w:pPr>
      <w:r w:rsidRPr="004B4DDD">
        <w:rPr>
          <w:rStyle w:val="af3"/>
          <w:rFonts w:ascii="SimSun" w:hAnsi="SimSun"/>
        </w:rPr>
        <w:footnoteRef/>
      </w:r>
      <w:r w:rsidRPr="004B4DDD">
        <w:rPr>
          <w:rFonts w:ascii="SimSun" w:hAnsi="SimSun"/>
        </w:rPr>
        <w:t xml:space="preserve"> </w:t>
      </w:r>
      <w:r w:rsidR="004B4DDD">
        <w:rPr>
          <w:rFonts w:ascii="SimSun" w:hAnsi="SimSun" w:hint="eastAsia"/>
        </w:rPr>
        <w:tab/>
      </w:r>
      <w:r w:rsidRPr="004B4DDD">
        <w:rPr>
          <w:rFonts w:ascii="SimSun" w:hAnsi="SimSun" w:hint="eastAsia"/>
        </w:rPr>
        <w:t>欧洲视听观察组织，地域性及其对音像作品融资的影响。斯特拉斯堡，2015年。查阅可登陆：</w:t>
      </w:r>
      <w:r w:rsidR="003744DE" w:rsidRPr="004B4DDD">
        <w:rPr>
          <w:rFonts w:ascii="SimSun" w:hAnsi="SimSun"/>
        </w:rPr>
        <w:fldChar w:fldCharType="begin"/>
      </w:r>
      <w:r w:rsidR="003744DE" w:rsidRPr="004B4DDD">
        <w:rPr>
          <w:rFonts w:ascii="SimSun" w:hAnsi="SimSun"/>
        </w:rPr>
        <w:instrText xml:space="preserve"> HYPERLINK "https://rm.coe.int/168078347f" </w:instrText>
      </w:r>
      <w:r w:rsidR="003744DE" w:rsidRPr="004B4DDD">
        <w:rPr>
          <w:rFonts w:ascii="SimSun" w:hAnsi="SimSun"/>
        </w:rPr>
        <w:fldChar w:fldCharType="separate"/>
      </w:r>
      <w:r w:rsidRPr="004B4DDD">
        <w:rPr>
          <w:rStyle w:val="af4"/>
          <w:rFonts w:ascii="SimSun" w:hAnsi="SimSun"/>
          <w:color w:val="auto"/>
        </w:rPr>
        <w:t>https://rm.coe.int/168078347f</w:t>
      </w:r>
      <w:r w:rsidR="003744DE" w:rsidRPr="004B4DDD">
        <w:rPr>
          <w:rStyle w:val="af4"/>
          <w:rFonts w:ascii="SimSun" w:hAnsi="SimSun"/>
        </w:rPr>
        <w:fldChar w:fldCharType="end"/>
      </w:r>
    </w:p>
  </w:footnote>
  <w:footnote w:id="6">
    <w:p w:rsidR="002D4EC6" w:rsidRPr="004B4DDD" w:rsidRDefault="002D4EC6" w:rsidP="00CC6356">
      <w:pPr>
        <w:pStyle w:val="a9"/>
        <w:rPr>
          <w:rFonts w:ascii="SimSun" w:hAnsi="SimSun"/>
        </w:rPr>
      </w:pPr>
      <w:r w:rsidRPr="004B4DDD">
        <w:rPr>
          <w:rStyle w:val="af3"/>
          <w:rFonts w:ascii="SimSun" w:hAnsi="SimSun"/>
        </w:rPr>
        <w:footnoteRef/>
      </w:r>
      <w:r w:rsidR="004B4DDD">
        <w:rPr>
          <w:rFonts w:ascii="SimSun" w:hAnsi="SimSun" w:hint="eastAsia"/>
        </w:rPr>
        <w:tab/>
      </w:r>
      <w:r w:rsidRPr="004B4DDD">
        <w:rPr>
          <w:rFonts w:ascii="SimSun" w:hAnsi="SimSun" w:hint="eastAsia"/>
        </w:rPr>
        <w:t xml:space="preserve">根据HIS </w:t>
      </w:r>
      <w:proofErr w:type="spellStart"/>
      <w:r w:rsidRPr="004B4DDD">
        <w:rPr>
          <w:rFonts w:ascii="SimSun" w:hAnsi="SimSun" w:hint="eastAsia"/>
        </w:rPr>
        <w:t>Markit</w:t>
      </w:r>
      <w:proofErr w:type="spellEnd"/>
      <w:r w:rsidRPr="004B4DDD">
        <w:rPr>
          <w:rFonts w:ascii="SimSun" w:hAnsi="SimSun" w:hint="eastAsia"/>
        </w:rPr>
        <w:t>，2017年，传统付费电视订阅每增加一份，Netflix和其他OTT服务订阅就会增加三份，查阅可登陆：</w:t>
      </w:r>
      <w:hyperlink r:id="rId1" w:history="1">
        <w:r w:rsidRPr="004B4DDD">
          <w:rPr>
            <w:rStyle w:val="af4"/>
            <w:rFonts w:ascii="SimSun" w:hAnsi="SimSun"/>
            <w:color w:val="auto"/>
          </w:rPr>
          <w:t>https://technology.ihs.com/601159/global-digital-pay-tv-subscriptions-exceeded-one-billion-in-2017-ihs-markit-says</w:t>
        </w:r>
      </w:hyperlink>
    </w:p>
  </w:footnote>
  <w:footnote w:id="7">
    <w:p w:rsidR="002D4EC6" w:rsidRPr="004B4DDD" w:rsidRDefault="002D4EC6" w:rsidP="00CC6356">
      <w:pPr>
        <w:pStyle w:val="a9"/>
        <w:rPr>
          <w:rFonts w:ascii="SimSun" w:hAnsi="SimSun"/>
        </w:rPr>
      </w:pPr>
      <w:r w:rsidRPr="004B4DDD">
        <w:rPr>
          <w:rStyle w:val="af3"/>
          <w:rFonts w:ascii="SimSun" w:hAnsi="SimSun"/>
        </w:rPr>
        <w:footnoteRef/>
      </w:r>
      <w:r w:rsidRPr="004B4DDD">
        <w:rPr>
          <w:rFonts w:ascii="SimSun" w:hAnsi="SimSun"/>
        </w:rPr>
        <w:t xml:space="preserve"> </w:t>
      </w:r>
      <w:r w:rsidR="004B4DDD">
        <w:rPr>
          <w:rFonts w:ascii="SimSun" w:hAnsi="SimSun" w:hint="eastAsia"/>
        </w:rPr>
        <w:tab/>
      </w:r>
      <w:r w:rsidRPr="004B4DDD">
        <w:rPr>
          <w:rFonts w:ascii="SimSun" w:hAnsi="SimSun" w:hint="eastAsia"/>
        </w:rPr>
        <w:t>信息查阅可登陆：</w:t>
      </w:r>
      <w:hyperlink r:id="rId2" w:history="1">
        <w:r w:rsidRPr="004B4DDD">
          <w:rPr>
            <w:rStyle w:val="af4"/>
            <w:rFonts w:ascii="SimSun" w:hAnsi="SimSun"/>
            <w:color w:val="auto"/>
          </w:rPr>
          <w:t>https://www.broadbandtvnews.com/2015/06/21/latin-america-ott-tv-and-video-ready-for-take-off/</w:t>
        </w:r>
      </w:hyperlink>
    </w:p>
  </w:footnote>
  <w:footnote w:id="8">
    <w:p w:rsidR="002D4EC6" w:rsidRPr="004B4DDD" w:rsidRDefault="002D4EC6" w:rsidP="00553B2C">
      <w:pPr>
        <w:pStyle w:val="a9"/>
        <w:jc w:val="both"/>
        <w:rPr>
          <w:rFonts w:ascii="SimSun" w:hAnsi="SimSun"/>
        </w:rPr>
      </w:pPr>
      <w:r w:rsidRPr="004B4DDD">
        <w:rPr>
          <w:rStyle w:val="af3"/>
          <w:rFonts w:ascii="SimSun" w:hAnsi="SimSun"/>
        </w:rPr>
        <w:footnoteRef/>
      </w:r>
      <w:r w:rsidRPr="004B4DDD">
        <w:rPr>
          <w:rFonts w:ascii="SimSun" w:hAnsi="SimSun"/>
        </w:rPr>
        <w:t xml:space="preserve"> </w:t>
      </w:r>
      <w:r w:rsidR="004B4DDD">
        <w:rPr>
          <w:rFonts w:ascii="SimSun" w:hAnsi="SimSun" w:hint="eastAsia"/>
        </w:rPr>
        <w:tab/>
      </w:r>
      <w:r w:rsidRPr="004B4DDD">
        <w:rPr>
          <w:rFonts w:ascii="SimSun" w:hAnsi="SimSun" w:hint="eastAsia"/>
        </w:rPr>
        <w:t>MTM</w:t>
      </w:r>
      <w:r w:rsidRPr="004B4DDD">
        <w:rPr>
          <w:rFonts w:ascii="SimSun" w:hAnsi="SimSun" w:hint="eastAsia"/>
        </w:rPr>
        <w:t>，premium OTT在拉丁美洲的前景。2016年。查阅可登陆：</w:t>
      </w:r>
      <w:hyperlink r:id="rId3" w:history="1">
        <w:r w:rsidRPr="004B4DDD">
          <w:rPr>
            <w:rStyle w:val="af4"/>
            <w:rFonts w:ascii="SimSun" w:hAnsi="SimSun"/>
            <w:color w:val="auto"/>
          </w:rPr>
          <w:t>https://www.vindicia.com/resources/analyst-reports-reviews/prospects-premium-ott-latin-america-mtm</w:t>
        </w:r>
      </w:hyperlink>
    </w:p>
  </w:footnote>
  <w:footnote w:id="9">
    <w:p w:rsidR="002D4EC6" w:rsidRPr="004B4DDD" w:rsidRDefault="002D4EC6" w:rsidP="00553B2C">
      <w:pPr>
        <w:pStyle w:val="a9"/>
        <w:jc w:val="both"/>
        <w:rPr>
          <w:rFonts w:ascii="SimSun" w:hAnsi="SimSun"/>
        </w:rPr>
      </w:pPr>
      <w:r w:rsidRPr="004B4DDD">
        <w:rPr>
          <w:rStyle w:val="af3"/>
          <w:rFonts w:ascii="SimSun" w:hAnsi="SimSun"/>
        </w:rPr>
        <w:footnoteRef/>
      </w:r>
      <w:r w:rsidRPr="004B4DDD">
        <w:rPr>
          <w:rFonts w:ascii="SimSun" w:hAnsi="SimSun"/>
        </w:rPr>
        <w:t xml:space="preserve"> </w:t>
      </w:r>
      <w:hyperlink r:id="rId4" w:history="1">
        <w:r w:rsidRPr="004B4DDD">
          <w:rPr>
            <w:rStyle w:val="af4"/>
            <w:rFonts w:ascii="SimSun" w:hAnsi="SimSun"/>
            <w:color w:val="auto"/>
          </w:rPr>
          <w:t>https://media.netflix.com/en/press-releases/netflix-expands-its-latin-america-investments-announcing-new-original-series-diablero-filmed-entirely-in-mexico</w:t>
        </w:r>
      </w:hyperlink>
    </w:p>
  </w:footnote>
  <w:footnote w:id="10">
    <w:p w:rsidR="002D4EC6" w:rsidRPr="004B4DDD" w:rsidRDefault="002D4EC6">
      <w:pPr>
        <w:pStyle w:val="a9"/>
        <w:rPr>
          <w:rFonts w:ascii="SimSun" w:hAnsi="SimSun"/>
        </w:rPr>
      </w:pPr>
      <w:r w:rsidRPr="004B4DDD">
        <w:rPr>
          <w:rStyle w:val="af3"/>
          <w:rFonts w:ascii="SimSun" w:hAnsi="SimSun"/>
        </w:rPr>
        <w:footnoteRef/>
      </w:r>
      <w:r w:rsidRPr="004B4DDD">
        <w:rPr>
          <w:rFonts w:ascii="SimSun" w:hAnsi="SimSun"/>
        </w:rPr>
        <w:t xml:space="preserve"> </w:t>
      </w:r>
      <w:r w:rsidR="004B4DDD">
        <w:rPr>
          <w:rFonts w:ascii="SimSun" w:hAnsi="SimSun" w:hint="eastAsia"/>
        </w:rPr>
        <w:tab/>
      </w:r>
      <w:r w:rsidRPr="004B4DDD">
        <w:rPr>
          <w:rFonts w:ascii="SimSun" w:hAnsi="SimSun" w:hint="eastAsia"/>
        </w:rPr>
        <w:t>请见文件</w:t>
      </w:r>
      <w:r w:rsidRPr="004B4DDD">
        <w:rPr>
          <w:rFonts w:ascii="SimSun" w:hAnsi="SimSun"/>
        </w:rPr>
        <w:t>CDIP/7/INF/2</w:t>
      </w:r>
      <w:r w:rsidRPr="004B4DDD">
        <w:rPr>
          <w:rFonts w:ascii="SimSun" w:hAnsi="SimSun" w:hint="eastAsia"/>
        </w:rPr>
        <w:t>，查阅可登陆：</w:t>
      </w:r>
      <w:hyperlink r:id="rId5" w:history="1">
        <w:r w:rsidRPr="004B4DDD">
          <w:rPr>
            <w:rStyle w:val="af4"/>
            <w:rFonts w:ascii="SimSun" w:hAnsi="SimSun"/>
            <w:color w:val="auto"/>
          </w:rPr>
          <w:t>http://www.wipo.int/edocs/mdocs/mdocs/en/cdip_7/cdip_7_inf_2.pdf</w:t>
        </w:r>
      </w:hyperlink>
    </w:p>
  </w:footnote>
  <w:footnote w:id="11">
    <w:p w:rsidR="002D4EC6" w:rsidRPr="003744DE" w:rsidRDefault="002D4EC6">
      <w:pPr>
        <w:pStyle w:val="a9"/>
        <w:rPr>
          <w:rFonts w:ascii="SimSun" w:hAnsi="SimSun"/>
        </w:rPr>
      </w:pPr>
      <w:r w:rsidRPr="004B4DDD">
        <w:rPr>
          <w:rStyle w:val="af3"/>
          <w:rFonts w:ascii="SimSun" w:hAnsi="SimSun"/>
        </w:rPr>
        <w:footnoteRef/>
      </w:r>
      <w:r w:rsidR="004B4DDD">
        <w:rPr>
          <w:rFonts w:ascii="SimSun" w:hAnsi="SimSun" w:hint="eastAsia"/>
        </w:rPr>
        <w:tab/>
      </w:r>
      <w:r w:rsidRPr="004B4DDD">
        <w:rPr>
          <w:rFonts w:ascii="SimSun" w:hAnsi="SimSun" w:hint="eastAsia"/>
        </w:rPr>
        <w:t>秘书处将稍后阶段将修订本项目的概算，以便准确反映其有效实施所需的人事和非人事资源。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6" w:rsidRPr="003744DE" w:rsidRDefault="002D4EC6" w:rsidP="000902BE">
    <w:pPr>
      <w:jc w:val="right"/>
      <w:rPr>
        <w:rFonts w:ascii="SimSun" w:hAnsi="SimSun"/>
        <w:sz w:val="21"/>
        <w:lang w:val="en-GB"/>
      </w:rPr>
    </w:pPr>
    <w:bookmarkStart w:id="5" w:name="Code2"/>
    <w:bookmarkEnd w:id="5"/>
    <w:r w:rsidRPr="003744DE">
      <w:rPr>
        <w:rFonts w:ascii="SimSun" w:hAnsi="SimSun"/>
        <w:sz w:val="21"/>
        <w:lang w:val="en-GB"/>
      </w:rPr>
      <w:t>CDIP/22/15</w:t>
    </w:r>
  </w:p>
  <w:p w:rsidR="003744DE" w:rsidRDefault="000902BE" w:rsidP="000902BE">
    <w:pPr>
      <w:pStyle w:val="aa"/>
      <w:tabs>
        <w:tab w:val="clear" w:pos="4536"/>
        <w:tab w:val="clear" w:pos="9072"/>
      </w:tabs>
      <w:jc w:val="right"/>
      <w:rPr>
        <w:rFonts w:ascii="SimSun" w:hAnsi="SimSun"/>
        <w:sz w:val="21"/>
      </w:rPr>
    </w:pPr>
    <w:proofErr w:type="gramStart"/>
    <w:r>
      <w:rPr>
        <w:rFonts w:ascii="SimSun" w:hAnsi="SimSun" w:hint="eastAsia"/>
        <w:sz w:val="21"/>
        <w:lang w:val="en-GB"/>
      </w:rPr>
      <w:t>附件第</w:t>
    </w:r>
    <w:proofErr w:type="gramEnd"/>
    <w:sdt>
      <w:sdtPr>
        <w:rPr>
          <w:rFonts w:ascii="SimSun" w:hAnsi="SimSun"/>
          <w:sz w:val="21"/>
        </w:rPr>
        <w:id w:val="1234130132"/>
        <w:docPartObj>
          <w:docPartGallery w:val="Page Numbers (Top of Page)"/>
          <w:docPartUnique/>
        </w:docPartObj>
      </w:sdtPr>
      <w:sdtEndPr>
        <w:rPr>
          <w:noProof/>
        </w:rPr>
      </w:sdtEndPr>
      <w:sdtContent>
        <w:r w:rsidR="002D4EC6" w:rsidRPr="003744DE">
          <w:rPr>
            <w:rFonts w:ascii="SimSun" w:hAnsi="SimSun"/>
            <w:sz w:val="21"/>
          </w:rPr>
          <w:fldChar w:fldCharType="begin"/>
        </w:r>
        <w:r w:rsidR="002D4EC6" w:rsidRPr="003744DE">
          <w:rPr>
            <w:rFonts w:ascii="SimSun" w:hAnsi="SimSun"/>
            <w:sz w:val="21"/>
          </w:rPr>
          <w:instrText xml:space="preserve"> PAGE   \* MERGEFORMAT </w:instrText>
        </w:r>
        <w:r w:rsidR="002D4EC6" w:rsidRPr="003744DE">
          <w:rPr>
            <w:rFonts w:ascii="SimSun" w:hAnsi="SimSun"/>
            <w:sz w:val="21"/>
          </w:rPr>
          <w:fldChar w:fldCharType="separate"/>
        </w:r>
        <w:r>
          <w:rPr>
            <w:rFonts w:ascii="SimSun" w:hAnsi="SimSun"/>
            <w:noProof/>
            <w:sz w:val="21"/>
          </w:rPr>
          <w:t>2</w:t>
        </w:r>
        <w:r w:rsidR="002D4EC6" w:rsidRPr="003744DE">
          <w:rPr>
            <w:rFonts w:ascii="SimSun" w:hAnsi="SimSun"/>
            <w:noProof/>
            <w:sz w:val="21"/>
          </w:rPr>
          <w:fldChar w:fldCharType="end"/>
        </w:r>
        <w:r>
          <w:rPr>
            <w:rFonts w:ascii="SimSun" w:hAnsi="SimSun" w:hint="eastAsia"/>
            <w:sz w:val="21"/>
            <w:lang w:val="en-GB"/>
          </w:rPr>
          <w:t>页</w:t>
        </w:r>
      </w:sdtContent>
    </w:sdt>
  </w:p>
  <w:p w:rsidR="002D4EC6" w:rsidRPr="003744DE" w:rsidRDefault="002D4EC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6" w:rsidRPr="003744DE" w:rsidRDefault="002D4EC6" w:rsidP="000902BE">
    <w:pPr>
      <w:jc w:val="right"/>
      <w:rPr>
        <w:rFonts w:ascii="SimSun" w:hAnsi="SimSun"/>
        <w:sz w:val="21"/>
        <w:lang w:val="en-GB"/>
      </w:rPr>
    </w:pPr>
    <w:r w:rsidRPr="003744DE">
      <w:rPr>
        <w:rFonts w:ascii="SimSun" w:hAnsi="SimSun"/>
        <w:sz w:val="21"/>
        <w:lang w:val="en-GB"/>
      </w:rPr>
      <w:t>CDIP/22/15</w:t>
    </w:r>
  </w:p>
  <w:p w:rsidR="003744DE" w:rsidRDefault="000902BE" w:rsidP="000902BE">
    <w:pPr>
      <w:pStyle w:val="aa"/>
      <w:tabs>
        <w:tab w:val="clear" w:pos="4536"/>
        <w:tab w:val="clear" w:pos="9072"/>
      </w:tabs>
      <w:jc w:val="right"/>
      <w:rPr>
        <w:rFonts w:ascii="SimSun" w:hAnsi="SimSun"/>
        <w:sz w:val="21"/>
      </w:rPr>
    </w:pPr>
    <w:proofErr w:type="gramStart"/>
    <w:r>
      <w:rPr>
        <w:rFonts w:ascii="SimSun" w:hAnsi="SimSun" w:hint="eastAsia"/>
        <w:sz w:val="21"/>
        <w:lang w:val="en-GB"/>
      </w:rPr>
      <w:t>附件第</w:t>
    </w:r>
    <w:proofErr w:type="gramEnd"/>
    <w:r w:rsidR="002D4EC6" w:rsidRPr="003744DE">
      <w:rPr>
        <w:rFonts w:ascii="SimSun" w:hAnsi="SimSun"/>
        <w:sz w:val="21"/>
        <w:lang w:val="en-GB"/>
      </w:rPr>
      <w:fldChar w:fldCharType="begin"/>
    </w:r>
    <w:r w:rsidR="002D4EC6" w:rsidRPr="003744DE">
      <w:rPr>
        <w:rFonts w:ascii="SimSun" w:hAnsi="SimSun"/>
        <w:sz w:val="21"/>
        <w:lang w:val="en-GB"/>
      </w:rPr>
      <w:instrText xml:space="preserve"> PAGE   \* MERGEFORMAT </w:instrText>
    </w:r>
    <w:r w:rsidR="002D4EC6" w:rsidRPr="003744DE">
      <w:rPr>
        <w:rFonts w:ascii="SimSun" w:hAnsi="SimSun"/>
        <w:sz w:val="21"/>
        <w:lang w:val="en-GB"/>
      </w:rPr>
      <w:fldChar w:fldCharType="separate"/>
    </w:r>
    <w:r w:rsidR="000F3FC3">
      <w:rPr>
        <w:rFonts w:ascii="SimSun" w:hAnsi="SimSun"/>
        <w:noProof/>
        <w:sz w:val="21"/>
        <w:lang w:val="en-GB"/>
      </w:rPr>
      <w:t>5</w:t>
    </w:r>
    <w:r w:rsidR="002D4EC6" w:rsidRPr="003744DE">
      <w:rPr>
        <w:rFonts w:ascii="SimSun" w:hAnsi="SimSun"/>
        <w:noProof/>
        <w:sz w:val="21"/>
        <w:lang w:val="en-GB"/>
      </w:rPr>
      <w:fldChar w:fldCharType="end"/>
    </w:r>
    <w:r>
      <w:rPr>
        <w:rFonts w:ascii="SimSun" w:hAnsi="SimSun" w:hint="eastAsia"/>
        <w:sz w:val="21"/>
        <w:lang w:val="en-GB"/>
      </w:rPr>
      <w:t>页</w:t>
    </w:r>
  </w:p>
  <w:p w:rsidR="002D4EC6" w:rsidRPr="003744DE" w:rsidRDefault="002D4EC6" w:rsidP="000902BE">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62003"/>
      <w:docPartObj>
        <w:docPartGallery w:val="Page Numbers (Top of Page)"/>
        <w:docPartUnique/>
      </w:docPartObj>
    </w:sdtPr>
    <w:sdtEndPr>
      <w:rPr>
        <w:rFonts w:ascii="SimSun" w:hAnsi="SimSun"/>
        <w:noProof/>
        <w:sz w:val="21"/>
      </w:rPr>
    </w:sdtEndPr>
    <w:sdtContent>
      <w:p w:rsidR="000902BE" w:rsidRDefault="002D4EC6" w:rsidP="000902BE">
        <w:pPr>
          <w:jc w:val="right"/>
          <w:rPr>
            <w:rFonts w:ascii="SimSun" w:hAnsi="SimSun" w:hint="eastAsia"/>
            <w:sz w:val="21"/>
          </w:rPr>
        </w:pPr>
        <w:r w:rsidRPr="003744DE">
          <w:rPr>
            <w:rFonts w:ascii="SimSun" w:hAnsi="SimSun"/>
            <w:sz w:val="21"/>
          </w:rPr>
          <w:t>CDIP/22/15</w:t>
        </w:r>
      </w:p>
      <w:p w:rsidR="000902BE" w:rsidRDefault="000902BE" w:rsidP="000902BE">
        <w:pPr>
          <w:jc w:val="right"/>
          <w:rPr>
            <w:rFonts w:ascii="SimSun" w:hAnsi="SimSun" w:hint="eastAsia"/>
            <w:sz w:val="21"/>
          </w:rPr>
        </w:pPr>
        <w:r>
          <w:rPr>
            <w:rFonts w:ascii="SimSun" w:hAnsi="SimSun" w:hint="eastAsia"/>
            <w:sz w:val="21"/>
          </w:rPr>
          <w:t>附　件</w:t>
        </w:r>
      </w:p>
      <w:p w:rsidR="002D4EC6" w:rsidRPr="003744DE" w:rsidRDefault="000F3FC3" w:rsidP="000902BE">
        <w:pPr>
          <w:jc w:val="right"/>
          <w:rPr>
            <w:rFonts w:ascii="SimSun" w:hAnsi="SimSun"/>
            <w:sz w:val="21"/>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1D9B0B77"/>
    <w:multiLevelType w:val="hybridMultilevel"/>
    <w:tmpl w:val="0320635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0291F"/>
    <w:multiLevelType w:val="hybridMultilevel"/>
    <w:tmpl w:val="6F36EC0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A093BEA"/>
    <w:multiLevelType w:val="hybridMultilevel"/>
    <w:tmpl w:val="866A07BC"/>
    <w:lvl w:ilvl="0" w:tplc="0220CBA4">
      <w:start w:val="1"/>
      <w:numFmt w:val="decimal"/>
      <w:lvlText w:val="%1."/>
      <w:lvlJc w:val="center"/>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696DEA"/>
    <w:multiLevelType w:val="hybridMultilevel"/>
    <w:tmpl w:val="0252832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0"/>
  </w:num>
  <w:num w:numId="4">
    <w:abstractNumId w:val="17"/>
  </w:num>
  <w:num w:numId="5">
    <w:abstractNumId w:val="1"/>
  </w:num>
  <w:num w:numId="6">
    <w:abstractNumId w:val="7"/>
  </w:num>
  <w:num w:numId="7">
    <w:abstractNumId w:val="28"/>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3"/>
  </w:num>
  <w:num w:numId="13">
    <w:abstractNumId w:val="22"/>
  </w:num>
  <w:num w:numId="14">
    <w:abstractNumId w:val="16"/>
  </w:num>
  <w:num w:numId="15">
    <w:abstractNumId w:val="21"/>
  </w:num>
  <w:num w:numId="16">
    <w:abstractNumId w:val="11"/>
  </w:num>
  <w:num w:numId="17">
    <w:abstractNumId w:val="14"/>
  </w:num>
  <w:num w:numId="18">
    <w:abstractNumId w:val="19"/>
  </w:num>
  <w:num w:numId="19">
    <w:abstractNumId w:val="5"/>
  </w:num>
  <w:num w:numId="20">
    <w:abstractNumId w:val="13"/>
  </w:num>
  <w:num w:numId="21">
    <w:abstractNumId w:val="3"/>
  </w:num>
  <w:num w:numId="22">
    <w:abstractNumId w:val="27"/>
  </w:num>
  <w:num w:numId="23">
    <w:abstractNumId w:val="26"/>
  </w:num>
  <w:num w:numId="24">
    <w:abstractNumId w:val="8"/>
  </w:num>
  <w:num w:numId="25">
    <w:abstractNumId w:val="2"/>
  </w:num>
  <w:num w:numId="26">
    <w:abstractNumId w:val="18"/>
  </w:num>
  <w:num w:numId="27">
    <w:abstractNumId w:val="6"/>
  </w:num>
  <w:num w:numId="28">
    <w:abstractNumId w:val="25"/>
  </w:num>
  <w:num w:numId="29">
    <w:abstractNumId w:val="12"/>
  </w:num>
  <w:num w:numId="30">
    <w:abstractNumId w:val="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7B"/>
    <w:rsid w:val="000007A0"/>
    <w:rsid w:val="00001E20"/>
    <w:rsid w:val="00005B24"/>
    <w:rsid w:val="0002284F"/>
    <w:rsid w:val="00024140"/>
    <w:rsid w:val="00043CAA"/>
    <w:rsid w:val="00047851"/>
    <w:rsid w:val="000734F4"/>
    <w:rsid w:val="00075432"/>
    <w:rsid w:val="00076F0C"/>
    <w:rsid w:val="0008512B"/>
    <w:rsid w:val="000902BE"/>
    <w:rsid w:val="0009240D"/>
    <w:rsid w:val="000968ED"/>
    <w:rsid w:val="000B1400"/>
    <w:rsid w:val="000B3390"/>
    <w:rsid w:val="000B5D38"/>
    <w:rsid w:val="000B5E68"/>
    <w:rsid w:val="000D2D55"/>
    <w:rsid w:val="000E640D"/>
    <w:rsid w:val="000E6BCF"/>
    <w:rsid w:val="000F3FC3"/>
    <w:rsid w:val="000F5E56"/>
    <w:rsid w:val="00102DB2"/>
    <w:rsid w:val="00103A50"/>
    <w:rsid w:val="00104484"/>
    <w:rsid w:val="00112D55"/>
    <w:rsid w:val="0012233B"/>
    <w:rsid w:val="00130F51"/>
    <w:rsid w:val="001362EE"/>
    <w:rsid w:val="00140712"/>
    <w:rsid w:val="00143C3F"/>
    <w:rsid w:val="00167276"/>
    <w:rsid w:val="00170EC7"/>
    <w:rsid w:val="0017367B"/>
    <w:rsid w:val="001765EB"/>
    <w:rsid w:val="0018311E"/>
    <w:rsid w:val="001832A6"/>
    <w:rsid w:val="001861FA"/>
    <w:rsid w:val="001C1CA7"/>
    <w:rsid w:val="001C24F8"/>
    <w:rsid w:val="001C6003"/>
    <w:rsid w:val="001D353E"/>
    <w:rsid w:val="001F4F85"/>
    <w:rsid w:val="0021217E"/>
    <w:rsid w:val="00212B33"/>
    <w:rsid w:val="00220246"/>
    <w:rsid w:val="00232811"/>
    <w:rsid w:val="0024312A"/>
    <w:rsid w:val="0024406A"/>
    <w:rsid w:val="00252446"/>
    <w:rsid w:val="00256075"/>
    <w:rsid w:val="002634C4"/>
    <w:rsid w:val="00264CA6"/>
    <w:rsid w:val="0027373F"/>
    <w:rsid w:val="00280148"/>
    <w:rsid w:val="002928D3"/>
    <w:rsid w:val="00294792"/>
    <w:rsid w:val="002A1F12"/>
    <w:rsid w:val="002A7077"/>
    <w:rsid w:val="002B363E"/>
    <w:rsid w:val="002C22A2"/>
    <w:rsid w:val="002C4F0F"/>
    <w:rsid w:val="002D4EC6"/>
    <w:rsid w:val="002E5171"/>
    <w:rsid w:val="002E5DFE"/>
    <w:rsid w:val="002F1919"/>
    <w:rsid w:val="002F1AB3"/>
    <w:rsid w:val="002F1FE6"/>
    <w:rsid w:val="002F4E68"/>
    <w:rsid w:val="002F64DE"/>
    <w:rsid w:val="00312F7F"/>
    <w:rsid w:val="00344737"/>
    <w:rsid w:val="00350DC1"/>
    <w:rsid w:val="00351410"/>
    <w:rsid w:val="00361450"/>
    <w:rsid w:val="003673CF"/>
    <w:rsid w:val="003744DE"/>
    <w:rsid w:val="00375354"/>
    <w:rsid w:val="003817DA"/>
    <w:rsid w:val="00381DDB"/>
    <w:rsid w:val="003845C1"/>
    <w:rsid w:val="003A3D07"/>
    <w:rsid w:val="003A6F89"/>
    <w:rsid w:val="003B38C1"/>
    <w:rsid w:val="003C1E62"/>
    <w:rsid w:val="003C201B"/>
    <w:rsid w:val="003C7D1C"/>
    <w:rsid w:val="003F28FD"/>
    <w:rsid w:val="00407BC5"/>
    <w:rsid w:val="004147EB"/>
    <w:rsid w:val="00415CFE"/>
    <w:rsid w:val="00416217"/>
    <w:rsid w:val="00420A19"/>
    <w:rsid w:val="0042363E"/>
    <w:rsid w:val="00423E3E"/>
    <w:rsid w:val="00427AF4"/>
    <w:rsid w:val="004309E7"/>
    <w:rsid w:val="00442928"/>
    <w:rsid w:val="00443EEE"/>
    <w:rsid w:val="0045103D"/>
    <w:rsid w:val="00462019"/>
    <w:rsid w:val="004647DA"/>
    <w:rsid w:val="00467762"/>
    <w:rsid w:val="00474062"/>
    <w:rsid w:val="004740BA"/>
    <w:rsid w:val="00477D6B"/>
    <w:rsid w:val="00483DB4"/>
    <w:rsid w:val="00483DE9"/>
    <w:rsid w:val="004901AE"/>
    <w:rsid w:val="004909BC"/>
    <w:rsid w:val="00492957"/>
    <w:rsid w:val="004B0FA9"/>
    <w:rsid w:val="004B4DDD"/>
    <w:rsid w:val="004B77F7"/>
    <w:rsid w:val="004D4EA1"/>
    <w:rsid w:val="004E7C31"/>
    <w:rsid w:val="004F0C92"/>
    <w:rsid w:val="005017BA"/>
    <w:rsid w:val="005019FF"/>
    <w:rsid w:val="0050525D"/>
    <w:rsid w:val="00514824"/>
    <w:rsid w:val="00516777"/>
    <w:rsid w:val="00522740"/>
    <w:rsid w:val="0053057A"/>
    <w:rsid w:val="00531970"/>
    <w:rsid w:val="00543804"/>
    <w:rsid w:val="005511C8"/>
    <w:rsid w:val="00553B2C"/>
    <w:rsid w:val="00560A29"/>
    <w:rsid w:val="00561A60"/>
    <w:rsid w:val="00561C31"/>
    <w:rsid w:val="0058189B"/>
    <w:rsid w:val="00582635"/>
    <w:rsid w:val="00584ACA"/>
    <w:rsid w:val="005861BD"/>
    <w:rsid w:val="005A2486"/>
    <w:rsid w:val="005C6649"/>
    <w:rsid w:val="005D1335"/>
    <w:rsid w:val="005F286F"/>
    <w:rsid w:val="006027FD"/>
    <w:rsid w:val="006050B4"/>
    <w:rsid w:val="00605827"/>
    <w:rsid w:val="0063009C"/>
    <w:rsid w:val="00631114"/>
    <w:rsid w:val="00637125"/>
    <w:rsid w:val="00646050"/>
    <w:rsid w:val="00654BBF"/>
    <w:rsid w:val="00670386"/>
    <w:rsid w:val="006713CA"/>
    <w:rsid w:val="00672401"/>
    <w:rsid w:val="00676C5C"/>
    <w:rsid w:val="0068421A"/>
    <w:rsid w:val="00686116"/>
    <w:rsid w:val="0069181F"/>
    <w:rsid w:val="0069459B"/>
    <w:rsid w:val="006A3F6E"/>
    <w:rsid w:val="006A450E"/>
    <w:rsid w:val="006A47A4"/>
    <w:rsid w:val="006B7DD7"/>
    <w:rsid w:val="006D25E0"/>
    <w:rsid w:val="00701209"/>
    <w:rsid w:val="00710493"/>
    <w:rsid w:val="0071526C"/>
    <w:rsid w:val="0073174F"/>
    <w:rsid w:val="007321FA"/>
    <w:rsid w:val="00735329"/>
    <w:rsid w:val="0074462A"/>
    <w:rsid w:val="0076127C"/>
    <w:rsid w:val="007618B4"/>
    <w:rsid w:val="00775CBA"/>
    <w:rsid w:val="00792503"/>
    <w:rsid w:val="007B1747"/>
    <w:rsid w:val="007B2B4F"/>
    <w:rsid w:val="007B77BC"/>
    <w:rsid w:val="007C4DF3"/>
    <w:rsid w:val="007C72EB"/>
    <w:rsid w:val="007D1613"/>
    <w:rsid w:val="007D1BFF"/>
    <w:rsid w:val="007E4C0E"/>
    <w:rsid w:val="007E51A8"/>
    <w:rsid w:val="007F2A85"/>
    <w:rsid w:val="007F3EF9"/>
    <w:rsid w:val="00812676"/>
    <w:rsid w:val="00812D2D"/>
    <w:rsid w:val="00821BD4"/>
    <w:rsid w:val="008332B3"/>
    <w:rsid w:val="0084472C"/>
    <w:rsid w:val="008575E1"/>
    <w:rsid w:val="008631FB"/>
    <w:rsid w:val="00865890"/>
    <w:rsid w:val="00880B42"/>
    <w:rsid w:val="008828F2"/>
    <w:rsid w:val="008870EC"/>
    <w:rsid w:val="0089717E"/>
    <w:rsid w:val="008B2CC1"/>
    <w:rsid w:val="008B49D3"/>
    <w:rsid w:val="008B60B2"/>
    <w:rsid w:val="008C1F93"/>
    <w:rsid w:val="008C74F7"/>
    <w:rsid w:val="008D5C9B"/>
    <w:rsid w:val="008D6398"/>
    <w:rsid w:val="008D756B"/>
    <w:rsid w:val="008E47FE"/>
    <w:rsid w:val="008F7BE1"/>
    <w:rsid w:val="0090731E"/>
    <w:rsid w:val="00916EE2"/>
    <w:rsid w:val="00946100"/>
    <w:rsid w:val="00962E35"/>
    <w:rsid w:val="00966A22"/>
    <w:rsid w:val="0096722F"/>
    <w:rsid w:val="00976B7A"/>
    <w:rsid w:val="00980843"/>
    <w:rsid w:val="0098282D"/>
    <w:rsid w:val="009837FD"/>
    <w:rsid w:val="00984C82"/>
    <w:rsid w:val="00987CC9"/>
    <w:rsid w:val="009958CF"/>
    <w:rsid w:val="009B02B7"/>
    <w:rsid w:val="009B4B11"/>
    <w:rsid w:val="009C1B45"/>
    <w:rsid w:val="009C7374"/>
    <w:rsid w:val="009D123C"/>
    <w:rsid w:val="009E2791"/>
    <w:rsid w:val="009E3F6F"/>
    <w:rsid w:val="009E7252"/>
    <w:rsid w:val="009F0117"/>
    <w:rsid w:val="009F1E4A"/>
    <w:rsid w:val="009F499F"/>
    <w:rsid w:val="00A14BC3"/>
    <w:rsid w:val="00A16CC0"/>
    <w:rsid w:val="00A170C2"/>
    <w:rsid w:val="00A42DAF"/>
    <w:rsid w:val="00A45BD8"/>
    <w:rsid w:val="00A47582"/>
    <w:rsid w:val="00A62819"/>
    <w:rsid w:val="00A7487E"/>
    <w:rsid w:val="00A81C3B"/>
    <w:rsid w:val="00A82B93"/>
    <w:rsid w:val="00A85C13"/>
    <w:rsid w:val="00A869B7"/>
    <w:rsid w:val="00A93AB1"/>
    <w:rsid w:val="00AA1C15"/>
    <w:rsid w:val="00AB73D3"/>
    <w:rsid w:val="00AC0227"/>
    <w:rsid w:val="00AC205C"/>
    <w:rsid w:val="00AC4445"/>
    <w:rsid w:val="00AF0A6B"/>
    <w:rsid w:val="00AF2EB9"/>
    <w:rsid w:val="00AF2FCD"/>
    <w:rsid w:val="00B019A5"/>
    <w:rsid w:val="00B02E44"/>
    <w:rsid w:val="00B05A69"/>
    <w:rsid w:val="00B0682E"/>
    <w:rsid w:val="00B0709A"/>
    <w:rsid w:val="00B11707"/>
    <w:rsid w:val="00B249E2"/>
    <w:rsid w:val="00B27BD6"/>
    <w:rsid w:val="00B42656"/>
    <w:rsid w:val="00B55C51"/>
    <w:rsid w:val="00B563C3"/>
    <w:rsid w:val="00B76420"/>
    <w:rsid w:val="00B7770E"/>
    <w:rsid w:val="00B9734B"/>
    <w:rsid w:val="00BA30E2"/>
    <w:rsid w:val="00BC3137"/>
    <w:rsid w:val="00BD7D4A"/>
    <w:rsid w:val="00BE100D"/>
    <w:rsid w:val="00BE1CA0"/>
    <w:rsid w:val="00BF16EC"/>
    <w:rsid w:val="00BF2FE1"/>
    <w:rsid w:val="00C10E83"/>
    <w:rsid w:val="00C11BFE"/>
    <w:rsid w:val="00C26C40"/>
    <w:rsid w:val="00C30C41"/>
    <w:rsid w:val="00C30D2F"/>
    <w:rsid w:val="00C34FD7"/>
    <w:rsid w:val="00C44F56"/>
    <w:rsid w:val="00C5068F"/>
    <w:rsid w:val="00C568D0"/>
    <w:rsid w:val="00C57D65"/>
    <w:rsid w:val="00C86364"/>
    <w:rsid w:val="00C975E9"/>
    <w:rsid w:val="00CB1DF6"/>
    <w:rsid w:val="00CB5636"/>
    <w:rsid w:val="00CC1E33"/>
    <w:rsid w:val="00CC6356"/>
    <w:rsid w:val="00CD04F1"/>
    <w:rsid w:val="00CD3588"/>
    <w:rsid w:val="00CF04CC"/>
    <w:rsid w:val="00D05030"/>
    <w:rsid w:val="00D10B47"/>
    <w:rsid w:val="00D172EB"/>
    <w:rsid w:val="00D2548A"/>
    <w:rsid w:val="00D266AC"/>
    <w:rsid w:val="00D332CA"/>
    <w:rsid w:val="00D45252"/>
    <w:rsid w:val="00D56F02"/>
    <w:rsid w:val="00D71B4D"/>
    <w:rsid w:val="00D8609C"/>
    <w:rsid w:val="00D93D55"/>
    <w:rsid w:val="00DA3748"/>
    <w:rsid w:val="00DA5755"/>
    <w:rsid w:val="00DA62E7"/>
    <w:rsid w:val="00DA6A69"/>
    <w:rsid w:val="00DB28AD"/>
    <w:rsid w:val="00DB343D"/>
    <w:rsid w:val="00DB70C8"/>
    <w:rsid w:val="00DE3538"/>
    <w:rsid w:val="00DF2E76"/>
    <w:rsid w:val="00E01ED7"/>
    <w:rsid w:val="00E05129"/>
    <w:rsid w:val="00E15015"/>
    <w:rsid w:val="00E1701D"/>
    <w:rsid w:val="00E20A5F"/>
    <w:rsid w:val="00E335FE"/>
    <w:rsid w:val="00E36736"/>
    <w:rsid w:val="00E408D1"/>
    <w:rsid w:val="00E413D4"/>
    <w:rsid w:val="00E41A24"/>
    <w:rsid w:val="00E57F79"/>
    <w:rsid w:val="00E77AD4"/>
    <w:rsid w:val="00E90AF3"/>
    <w:rsid w:val="00E92B34"/>
    <w:rsid w:val="00E944F2"/>
    <w:rsid w:val="00EC4E49"/>
    <w:rsid w:val="00ED77FB"/>
    <w:rsid w:val="00EE155C"/>
    <w:rsid w:val="00EE33B0"/>
    <w:rsid w:val="00EE45FA"/>
    <w:rsid w:val="00EF6EF3"/>
    <w:rsid w:val="00F01569"/>
    <w:rsid w:val="00F02BE9"/>
    <w:rsid w:val="00F0395E"/>
    <w:rsid w:val="00F0546A"/>
    <w:rsid w:val="00F1678E"/>
    <w:rsid w:val="00F1718E"/>
    <w:rsid w:val="00F4339B"/>
    <w:rsid w:val="00F6103C"/>
    <w:rsid w:val="00F66152"/>
    <w:rsid w:val="00F868A4"/>
    <w:rsid w:val="00FA173F"/>
    <w:rsid w:val="00FB31DB"/>
    <w:rsid w:val="00FC0BC6"/>
    <w:rsid w:val="00FD1780"/>
    <w:rsid w:val="00FD46E5"/>
    <w:rsid w:val="00FE5FC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rsid w:val="00CB1DF6"/>
    <w:rPr>
      <w:rFonts w:ascii="Tahoma" w:hAnsi="Tahoma" w:cs="Tahoma"/>
      <w:sz w:val="16"/>
      <w:szCs w:val="16"/>
    </w:rPr>
  </w:style>
  <w:style w:type="character" w:customStyle="1" w:styleId="Char4">
    <w:name w:val="批注框文本 Char"/>
    <w:basedOn w:val="a1"/>
    <w:link w:val="ad"/>
    <w:uiPriority w:val="99"/>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Char1">
    <w:name w:val="页脚 Char"/>
    <w:basedOn w:val="a1"/>
    <w:link w:val="a8"/>
    <w:rsid w:val="0068421A"/>
    <w:rPr>
      <w:rFonts w:ascii="Arial" w:eastAsia="SimSun" w:hAnsi="Arial" w:cs="Arial"/>
      <w:sz w:val="22"/>
      <w:lang w:val="en-US" w:eastAsia="zh-CN"/>
    </w:rPr>
  </w:style>
  <w:style w:type="character" w:customStyle="1" w:styleId="2Char">
    <w:name w:val="标题 2 Char"/>
    <w:basedOn w:val="a1"/>
    <w:link w:val="2"/>
    <w:rsid w:val="004147EB"/>
    <w:rPr>
      <w:rFonts w:ascii="Arial" w:eastAsia="SimSun" w:hAnsi="Arial" w:cs="Arial"/>
      <w:bCs/>
      <w:iCs/>
      <w:caps/>
      <w:sz w:val="22"/>
      <w:szCs w:val="28"/>
      <w:lang w:val="en-US" w:eastAsia="zh-CN"/>
    </w:rPr>
  </w:style>
  <w:style w:type="character" w:customStyle="1" w:styleId="Char3">
    <w:name w:val="页眉 Char"/>
    <w:basedOn w:val="a1"/>
    <w:link w:val="aa"/>
    <w:uiPriority w:val="99"/>
    <w:rsid w:val="004147EB"/>
    <w:rPr>
      <w:rFonts w:ascii="Arial" w:eastAsia="SimSun" w:hAnsi="Arial" w:cs="Arial"/>
      <w:sz w:val="22"/>
      <w:lang w:val="en-US" w:eastAsia="zh-CN"/>
    </w:rPr>
  </w:style>
  <w:style w:type="character" w:customStyle="1" w:styleId="Char">
    <w:name w:val="正文文本 Char"/>
    <w:basedOn w:val="a1"/>
    <w:link w:val="a4"/>
    <w:uiPriority w:val="99"/>
    <w:rsid w:val="004147EB"/>
    <w:rPr>
      <w:rFonts w:ascii="Arial" w:eastAsia="SimSun" w:hAnsi="Arial" w:cs="Arial"/>
      <w:sz w:val="22"/>
      <w:lang w:val="en-US" w:eastAsia="zh-CN"/>
    </w:rPr>
  </w:style>
  <w:style w:type="table" w:styleId="af">
    <w:name w:val="Table Grid"/>
    <w:basedOn w:val="a2"/>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af1">
    <w:name w:val="annotation reference"/>
    <w:basedOn w:val="a1"/>
    <w:uiPriority w:val="99"/>
    <w:semiHidden/>
    <w:unhideWhenUsed/>
    <w:rsid w:val="004147EB"/>
    <w:rPr>
      <w:sz w:val="16"/>
      <w:szCs w:val="16"/>
    </w:rPr>
  </w:style>
  <w:style w:type="character" w:customStyle="1" w:styleId="CommentTextChar">
    <w:name w:val="Comment Text Char"/>
    <w:basedOn w:val="a1"/>
    <w:uiPriority w:val="99"/>
    <w:semiHidden/>
    <w:rsid w:val="004147EB"/>
    <w:rPr>
      <w:rFonts w:ascii="Arial" w:eastAsia="SimSun" w:hAnsi="Arial" w:cs="Arial"/>
      <w:sz w:val="20"/>
      <w:szCs w:val="20"/>
      <w:lang w:eastAsia="zh-CN"/>
    </w:rPr>
  </w:style>
  <w:style w:type="paragraph" w:styleId="af2">
    <w:name w:val="annotation subject"/>
    <w:basedOn w:val="a6"/>
    <w:next w:val="a6"/>
    <w:link w:val="Char5"/>
    <w:uiPriority w:val="99"/>
    <w:semiHidden/>
    <w:unhideWhenUsed/>
    <w:rsid w:val="004147EB"/>
    <w:rPr>
      <w:b/>
      <w:bCs/>
      <w:sz w:val="20"/>
    </w:rPr>
  </w:style>
  <w:style w:type="character" w:customStyle="1" w:styleId="Char0">
    <w:name w:val="批注文字 Char"/>
    <w:basedOn w:val="a1"/>
    <w:link w:val="a6"/>
    <w:uiPriority w:val="99"/>
    <w:semiHidden/>
    <w:rsid w:val="004147EB"/>
    <w:rPr>
      <w:rFonts w:ascii="Arial" w:eastAsia="SimSun" w:hAnsi="Arial" w:cs="Arial"/>
      <w:sz w:val="18"/>
      <w:lang w:val="en-US" w:eastAsia="zh-CN"/>
    </w:rPr>
  </w:style>
  <w:style w:type="character" w:customStyle="1" w:styleId="Char5">
    <w:name w:val="批注主题 Char"/>
    <w:basedOn w:val="Char0"/>
    <w:link w:val="af2"/>
    <w:uiPriority w:val="99"/>
    <w:semiHidden/>
    <w:rsid w:val="004147EB"/>
    <w:rPr>
      <w:rFonts w:ascii="Arial" w:eastAsia="SimSun" w:hAnsi="Arial" w:cs="Arial"/>
      <w:b/>
      <w:bCs/>
      <w:sz w:val="18"/>
      <w:lang w:val="en-US" w:eastAsia="zh-CN"/>
    </w:rPr>
  </w:style>
  <w:style w:type="character" w:styleId="af3">
    <w:name w:val="footnote reference"/>
    <w:basedOn w:val="a1"/>
    <w:uiPriority w:val="99"/>
    <w:semiHidden/>
    <w:unhideWhenUsed/>
    <w:rsid w:val="00B249E2"/>
    <w:rPr>
      <w:vertAlign w:val="superscript"/>
    </w:rPr>
  </w:style>
  <w:style w:type="paragraph" w:styleId="HTML">
    <w:name w:val="HTML Preformatted"/>
    <w:basedOn w:val="a0"/>
    <w:link w:val="HTML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Char">
    <w:name w:val="HTML 预设格式 Char"/>
    <w:basedOn w:val="a1"/>
    <w:link w:val="HTML"/>
    <w:uiPriority w:val="99"/>
    <w:rsid w:val="004F0C92"/>
    <w:rPr>
      <w:rFonts w:ascii="Courier New" w:hAnsi="Courier New" w:cs="Courier New"/>
      <w:lang w:val="es-PE" w:eastAsia="es-PE"/>
    </w:rPr>
  </w:style>
  <w:style w:type="character" w:styleId="af4">
    <w:name w:val="Hyperlink"/>
    <w:basedOn w:val="a1"/>
    <w:uiPriority w:val="99"/>
    <w:unhideWhenUsed/>
    <w:rsid w:val="00E1701D"/>
    <w:rPr>
      <w:color w:val="0000FF" w:themeColor="hyperlink"/>
      <w:u w:val="single"/>
    </w:rPr>
  </w:style>
  <w:style w:type="character" w:customStyle="1" w:styleId="Char2">
    <w:name w:val="脚注文本 Char"/>
    <w:basedOn w:val="a1"/>
    <w:link w:val="a9"/>
    <w:uiPriority w:val="99"/>
    <w:semiHidden/>
    <w:rsid w:val="00E1701D"/>
    <w:rPr>
      <w:rFonts w:ascii="Arial" w:eastAsia="SimSun" w:hAnsi="Arial" w:cs="Arial"/>
      <w:sz w:val="18"/>
      <w:lang w:val="en-US" w:eastAsia="zh-CN"/>
    </w:rPr>
  </w:style>
  <w:style w:type="character" w:customStyle="1" w:styleId="1Char">
    <w:name w:val="标题 1 Char"/>
    <w:basedOn w:val="a1"/>
    <w:link w:val="1"/>
    <w:rsid w:val="00E1701D"/>
    <w:rPr>
      <w:rFonts w:ascii="Arial" w:eastAsia="SimSun" w:hAnsi="Arial" w:cs="Arial"/>
      <w:b/>
      <w:bCs/>
      <w:caps/>
      <w:kern w:val="32"/>
      <w:sz w:val="22"/>
      <w:szCs w:val="32"/>
      <w:lang w:val="en-US" w:eastAsia="zh-CN"/>
    </w:rPr>
  </w:style>
  <w:style w:type="character" w:customStyle="1" w:styleId="3Char">
    <w:name w:val="标题 3 Char"/>
    <w:basedOn w:val="a1"/>
    <w:link w:val="3"/>
    <w:rsid w:val="00E1701D"/>
    <w:rPr>
      <w:rFonts w:ascii="Arial" w:eastAsia="SimSun" w:hAnsi="Arial" w:cs="Arial"/>
      <w:bCs/>
      <w:sz w:val="22"/>
      <w:szCs w:val="26"/>
      <w:u w:val="single"/>
      <w:lang w:val="en-US" w:eastAsia="zh-CN"/>
    </w:rPr>
  </w:style>
  <w:style w:type="character" w:customStyle="1" w:styleId="4Char">
    <w:name w:val="标题 4 Char"/>
    <w:basedOn w:val="a1"/>
    <w:link w:val="4"/>
    <w:rsid w:val="00E1701D"/>
    <w:rPr>
      <w:rFonts w:ascii="Arial" w:eastAsia="SimSun" w:hAnsi="Arial" w:cs="Arial"/>
      <w:bCs/>
      <w:i/>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rsid w:val="00CB1DF6"/>
    <w:rPr>
      <w:rFonts w:ascii="Tahoma" w:hAnsi="Tahoma" w:cs="Tahoma"/>
      <w:sz w:val="16"/>
      <w:szCs w:val="16"/>
    </w:rPr>
  </w:style>
  <w:style w:type="character" w:customStyle="1" w:styleId="Char4">
    <w:name w:val="批注框文本 Char"/>
    <w:basedOn w:val="a1"/>
    <w:link w:val="ad"/>
    <w:uiPriority w:val="99"/>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Char1">
    <w:name w:val="页脚 Char"/>
    <w:basedOn w:val="a1"/>
    <w:link w:val="a8"/>
    <w:rsid w:val="0068421A"/>
    <w:rPr>
      <w:rFonts w:ascii="Arial" w:eastAsia="SimSun" w:hAnsi="Arial" w:cs="Arial"/>
      <w:sz w:val="22"/>
      <w:lang w:val="en-US" w:eastAsia="zh-CN"/>
    </w:rPr>
  </w:style>
  <w:style w:type="character" w:customStyle="1" w:styleId="2Char">
    <w:name w:val="标题 2 Char"/>
    <w:basedOn w:val="a1"/>
    <w:link w:val="2"/>
    <w:rsid w:val="004147EB"/>
    <w:rPr>
      <w:rFonts w:ascii="Arial" w:eastAsia="SimSun" w:hAnsi="Arial" w:cs="Arial"/>
      <w:bCs/>
      <w:iCs/>
      <w:caps/>
      <w:sz w:val="22"/>
      <w:szCs w:val="28"/>
      <w:lang w:val="en-US" w:eastAsia="zh-CN"/>
    </w:rPr>
  </w:style>
  <w:style w:type="character" w:customStyle="1" w:styleId="Char3">
    <w:name w:val="页眉 Char"/>
    <w:basedOn w:val="a1"/>
    <w:link w:val="aa"/>
    <w:uiPriority w:val="99"/>
    <w:rsid w:val="004147EB"/>
    <w:rPr>
      <w:rFonts w:ascii="Arial" w:eastAsia="SimSun" w:hAnsi="Arial" w:cs="Arial"/>
      <w:sz w:val="22"/>
      <w:lang w:val="en-US" w:eastAsia="zh-CN"/>
    </w:rPr>
  </w:style>
  <w:style w:type="character" w:customStyle="1" w:styleId="Char">
    <w:name w:val="正文文本 Char"/>
    <w:basedOn w:val="a1"/>
    <w:link w:val="a4"/>
    <w:uiPriority w:val="99"/>
    <w:rsid w:val="004147EB"/>
    <w:rPr>
      <w:rFonts w:ascii="Arial" w:eastAsia="SimSun" w:hAnsi="Arial" w:cs="Arial"/>
      <w:sz w:val="22"/>
      <w:lang w:val="en-US" w:eastAsia="zh-CN"/>
    </w:rPr>
  </w:style>
  <w:style w:type="table" w:styleId="af">
    <w:name w:val="Table Grid"/>
    <w:basedOn w:val="a2"/>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af1">
    <w:name w:val="annotation reference"/>
    <w:basedOn w:val="a1"/>
    <w:uiPriority w:val="99"/>
    <w:semiHidden/>
    <w:unhideWhenUsed/>
    <w:rsid w:val="004147EB"/>
    <w:rPr>
      <w:sz w:val="16"/>
      <w:szCs w:val="16"/>
    </w:rPr>
  </w:style>
  <w:style w:type="character" w:customStyle="1" w:styleId="CommentTextChar">
    <w:name w:val="Comment Text Char"/>
    <w:basedOn w:val="a1"/>
    <w:uiPriority w:val="99"/>
    <w:semiHidden/>
    <w:rsid w:val="004147EB"/>
    <w:rPr>
      <w:rFonts w:ascii="Arial" w:eastAsia="SimSun" w:hAnsi="Arial" w:cs="Arial"/>
      <w:sz w:val="20"/>
      <w:szCs w:val="20"/>
      <w:lang w:eastAsia="zh-CN"/>
    </w:rPr>
  </w:style>
  <w:style w:type="paragraph" w:styleId="af2">
    <w:name w:val="annotation subject"/>
    <w:basedOn w:val="a6"/>
    <w:next w:val="a6"/>
    <w:link w:val="Char5"/>
    <w:uiPriority w:val="99"/>
    <w:semiHidden/>
    <w:unhideWhenUsed/>
    <w:rsid w:val="004147EB"/>
    <w:rPr>
      <w:b/>
      <w:bCs/>
      <w:sz w:val="20"/>
    </w:rPr>
  </w:style>
  <w:style w:type="character" w:customStyle="1" w:styleId="Char0">
    <w:name w:val="批注文字 Char"/>
    <w:basedOn w:val="a1"/>
    <w:link w:val="a6"/>
    <w:uiPriority w:val="99"/>
    <w:semiHidden/>
    <w:rsid w:val="004147EB"/>
    <w:rPr>
      <w:rFonts w:ascii="Arial" w:eastAsia="SimSun" w:hAnsi="Arial" w:cs="Arial"/>
      <w:sz w:val="18"/>
      <w:lang w:val="en-US" w:eastAsia="zh-CN"/>
    </w:rPr>
  </w:style>
  <w:style w:type="character" w:customStyle="1" w:styleId="Char5">
    <w:name w:val="批注主题 Char"/>
    <w:basedOn w:val="Char0"/>
    <w:link w:val="af2"/>
    <w:uiPriority w:val="99"/>
    <w:semiHidden/>
    <w:rsid w:val="004147EB"/>
    <w:rPr>
      <w:rFonts w:ascii="Arial" w:eastAsia="SimSun" w:hAnsi="Arial" w:cs="Arial"/>
      <w:b/>
      <w:bCs/>
      <w:sz w:val="18"/>
      <w:lang w:val="en-US" w:eastAsia="zh-CN"/>
    </w:rPr>
  </w:style>
  <w:style w:type="character" w:styleId="af3">
    <w:name w:val="footnote reference"/>
    <w:basedOn w:val="a1"/>
    <w:uiPriority w:val="99"/>
    <w:semiHidden/>
    <w:unhideWhenUsed/>
    <w:rsid w:val="00B249E2"/>
    <w:rPr>
      <w:vertAlign w:val="superscript"/>
    </w:rPr>
  </w:style>
  <w:style w:type="paragraph" w:styleId="HTML">
    <w:name w:val="HTML Preformatted"/>
    <w:basedOn w:val="a0"/>
    <w:link w:val="HTML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Char">
    <w:name w:val="HTML 预设格式 Char"/>
    <w:basedOn w:val="a1"/>
    <w:link w:val="HTML"/>
    <w:uiPriority w:val="99"/>
    <w:rsid w:val="004F0C92"/>
    <w:rPr>
      <w:rFonts w:ascii="Courier New" w:hAnsi="Courier New" w:cs="Courier New"/>
      <w:lang w:val="es-PE" w:eastAsia="es-PE"/>
    </w:rPr>
  </w:style>
  <w:style w:type="character" w:styleId="af4">
    <w:name w:val="Hyperlink"/>
    <w:basedOn w:val="a1"/>
    <w:uiPriority w:val="99"/>
    <w:unhideWhenUsed/>
    <w:rsid w:val="00E1701D"/>
    <w:rPr>
      <w:color w:val="0000FF" w:themeColor="hyperlink"/>
      <w:u w:val="single"/>
    </w:rPr>
  </w:style>
  <w:style w:type="character" w:customStyle="1" w:styleId="Char2">
    <w:name w:val="脚注文本 Char"/>
    <w:basedOn w:val="a1"/>
    <w:link w:val="a9"/>
    <w:uiPriority w:val="99"/>
    <w:semiHidden/>
    <w:rsid w:val="00E1701D"/>
    <w:rPr>
      <w:rFonts w:ascii="Arial" w:eastAsia="SimSun" w:hAnsi="Arial" w:cs="Arial"/>
      <w:sz w:val="18"/>
      <w:lang w:val="en-US" w:eastAsia="zh-CN"/>
    </w:rPr>
  </w:style>
  <w:style w:type="character" w:customStyle="1" w:styleId="1Char">
    <w:name w:val="标题 1 Char"/>
    <w:basedOn w:val="a1"/>
    <w:link w:val="1"/>
    <w:rsid w:val="00E1701D"/>
    <w:rPr>
      <w:rFonts w:ascii="Arial" w:eastAsia="SimSun" w:hAnsi="Arial" w:cs="Arial"/>
      <w:b/>
      <w:bCs/>
      <w:caps/>
      <w:kern w:val="32"/>
      <w:sz w:val="22"/>
      <w:szCs w:val="32"/>
      <w:lang w:val="en-US" w:eastAsia="zh-CN"/>
    </w:rPr>
  </w:style>
  <w:style w:type="character" w:customStyle="1" w:styleId="3Char">
    <w:name w:val="标题 3 Char"/>
    <w:basedOn w:val="a1"/>
    <w:link w:val="3"/>
    <w:rsid w:val="00E1701D"/>
    <w:rPr>
      <w:rFonts w:ascii="Arial" w:eastAsia="SimSun" w:hAnsi="Arial" w:cs="Arial"/>
      <w:bCs/>
      <w:sz w:val="22"/>
      <w:szCs w:val="26"/>
      <w:u w:val="single"/>
      <w:lang w:val="en-US" w:eastAsia="zh-CN"/>
    </w:rPr>
  </w:style>
  <w:style w:type="character" w:customStyle="1" w:styleId="4Char">
    <w:name w:val="标题 4 Char"/>
    <w:basedOn w:val="a1"/>
    <w:link w:val="4"/>
    <w:rsid w:val="00E1701D"/>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9519">
      <w:bodyDiv w:val="1"/>
      <w:marLeft w:val="0"/>
      <w:marRight w:val="0"/>
      <w:marTop w:val="0"/>
      <w:marBottom w:val="0"/>
      <w:divBdr>
        <w:top w:val="none" w:sz="0" w:space="0" w:color="auto"/>
        <w:left w:val="none" w:sz="0" w:space="0" w:color="auto"/>
        <w:bottom w:val="none" w:sz="0" w:space="0" w:color="auto"/>
        <w:right w:val="none" w:sz="0" w:space="0" w:color="auto"/>
      </w:divBdr>
      <w:divsChild>
        <w:div w:id="596520263">
          <w:marLeft w:val="0"/>
          <w:marRight w:val="0"/>
          <w:marTop w:val="0"/>
          <w:marBottom w:val="0"/>
          <w:divBdr>
            <w:top w:val="none" w:sz="0" w:space="0" w:color="auto"/>
            <w:left w:val="none" w:sz="0" w:space="0" w:color="auto"/>
            <w:bottom w:val="none" w:sz="0" w:space="0" w:color="auto"/>
            <w:right w:val="none" w:sz="0" w:space="0" w:color="auto"/>
          </w:divBdr>
          <w:divsChild>
            <w:div w:id="207954861">
              <w:marLeft w:val="0"/>
              <w:marRight w:val="60"/>
              <w:marTop w:val="0"/>
              <w:marBottom w:val="0"/>
              <w:divBdr>
                <w:top w:val="none" w:sz="0" w:space="0" w:color="auto"/>
                <w:left w:val="none" w:sz="0" w:space="0" w:color="auto"/>
                <w:bottom w:val="none" w:sz="0" w:space="0" w:color="auto"/>
                <w:right w:val="none" w:sz="0" w:space="0" w:color="auto"/>
              </w:divBdr>
              <w:divsChild>
                <w:div w:id="1546872142">
                  <w:marLeft w:val="0"/>
                  <w:marRight w:val="0"/>
                  <w:marTop w:val="0"/>
                  <w:marBottom w:val="120"/>
                  <w:divBdr>
                    <w:top w:val="single" w:sz="6" w:space="0" w:color="C0C0C0"/>
                    <w:left w:val="single" w:sz="6" w:space="0" w:color="D9D9D9"/>
                    <w:bottom w:val="single" w:sz="6" w:space="0" w:color="D9D9D9"/>
                    <w:right w:val="single" w:sz="6" w:space="0" w:color="D9D9D9"/>
                  </w:divBdr>
                  <w:divsChild>
                    <w:div w:id="1961573608">
                      <w:marLeft w:val="0"/>
                      <w:marRight w:val="0"/>
                      <w:marTop w:val="0"/>
                      <w:marBottom w:val="0"/>
                      <w:divBdr>
                        <w:top w:val="none" w:sz="0" w:space="0" w:color="auto"/>
                        <w:left w:val="none" w:sz="0" w:space="0" w:color="auto"/>
                        <w:bottom w:val="none" w:sz="0" w:space="0" w:color="auto"/>
                        <w:right w:val="none" w:sz="0" w:space="0" w:color="auto"/>
                      </w:divBdr>
                    </w:div>
                    <w:div w:id="9931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334">
          <w:marLeft w:val="0"/>
          <w:marRight w:val="0"/>
          <w:marTop w:val="0"/>
          <w:marBottom w:val="0"/>
          <w:divBdr>
            <w:top w:val="none" w:sz="0" w:space="0" w:color="auto"/>
            <w:left w:val="none" w:sz="0" w:space="0" w:color="auto"/>
            <w:bottom w:val="none" w:sz="0" w:space="0" w:color="auto"/>
            <w:right w:val="none" w:sz="0" w:space="0" w:color="auto"/>
          </w:divBdr>
          <w:divsChild>
            <w:div w:id="1328168018">
              <w:marLeft w:val="60"/>
              <w:marRight w:val="0"/>
              <w:marTop w:val="0"/>
              <w:marBottom w:val="0"/>
              <w:divBdr>
                <w:top w:val="none" w:sz="0" w:space="0" w:color="auto"/>
                <w:left w:val="none" w:sz="0" w:space="0" w:color="auto"/>
                <w:bottom w:val="none" w:sz="0" w:space="0" w:color="auto"/>
                <w:right w:val="none" w:sz="0" w:space="0" w:color="auto"/>
              </w:divBdr>
              <w:divsChild>
                <w:div w:id="1254776260">
                  <w:marLeft w:val="0"/>
                  <w:marRight w:val="0"/>
                  <w:marTop w:val="0"/>
                  <w:marBottom w:val="0"/>
                  <w:divBdr>
                    <w:top w:val="none" w:sz="0" w:space="0" w:color="auto"/>
                    <w:left w:val="none" w:sz="0" w:space="0" w:color="auto"/>
                    <w:bottom w:val="none" w:sz="0" w:space="0" w:color="auto"/>
                    <w:right w:val="none" w:sz="0" w:space="0" w:color="auto"/>
                  </w:divBdr>
                  <w:divsChild>
                    <w:div w:id="1884754073">
                      <w:marLeft w:val="0"/>
                      <w:marRight w:val="0"/>
                      <w:marTop w:val="0"/>
                      <w:marBottom w:val="120"/>
                      <w:divBdr>
                        <w:top w:val="single" w:sz="6" w:space="0" w:color="F5F5F5"/>
                        <w:left w:val="single" w:sz="6" w:space="0" w:color="F5F5F5"/>
                        <w:bottom w:val="single" w:sz="6" w:space="0" w:color="F5F5F5"/>
                        <w:right w:val="single" w:sz="6" w:space="0" w:color="F5F5F5"/>
                      </w:divBdr>
                      <w:divsChild>
                        <w:div w:id="273832239">
                          <w:marLeft w:val="0"/>
                          <w:marRight w:val="0"/>
                          <w:marTop w:val="0"/>
                          <w:marBottom w:val="0"/>
                          <w:divBdr>
                            <w:top w:val="none" w:sz="0" w:space="0" w:color="auto"/>
                            <w:left w:val="none" w:sz="0" w:space="0" w:color="auto"/>
                            <w:bottom w:val="none" w:sz="0" w:space="0" w:color="auto"/>
                            <w:right w:val="none" w:sz="0" w:space="0" w:color="auto"/>
                          </w:divBdr>
                          <w:divsChild>
                            <w:div w:id="2046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indicia.com/resources/analyst-reports-reviews/prospects-premium-ott-latin-america-mtm" TargetMode="External"/><Relationship Id="rId2" Type="http://schemas.openxmlformats.org/officeDocument/2006/relationships/hyperlink" Target="https://www.broadbandtvnews.com/2015/06/21/latin-america-ott-tv-and-video-ready-for-take-off/" TargetMode="External"/><Relationship Id="rId1" Type="http://schemas.openxmlformats.org/officeDocument/2006/relationships/hyperlink" Target="https://technology.ihs.com/601159/global-digital-pay-tv-subscriptions-exceeded-one-billion-in-2017-ihs-markit-says" TargetMode="External"/><Relationship Id="rId5" Type="http://schemas.openxmlformats.org/officeDocument/2006/relationships/hyperlink" Target="http://www.wipo.int/edocs/mdocs/mdocs/en/cdip_7/cdip_7_inf_2.pdf" TargetMode="External"/><Relationship Id="rId4" Type="http://schemas.openxmlformats.org/officeDocument/2006/relationships/hyperlink" Target="https://media.netflix.com/en/press-releases/netflix-expands-its-latin-america-investments-announcing-new-original-series-diablero-filmed-entirely-in-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76B1-BD5F-41B4-9F0E-8B0A438C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27</TotalTime>
  <Pages>6</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CDIP/22/15</dc:title>
  <dc:subject>巴西提交的版权与数字环境中的内容分发试点项目提案</dc:subject>
  <dc:creator>BRACI Biljana</dc:creator>
  <cp:lastModifiedBy>MA Weihai</cp:lastModifiedBy>
  <cp:revision>5</cp:revision>
  <cp:lastPrinted>2018-10-16T16:26:00Z</cp:lastPrinted>
  <dcterms:created xsi:type="dcterms:W3CDTF">2018-10-30T09:34:00Z</dcterms:created>
  <dcterms:modified xsi:type="dcterms:W3CDTF">2018-10-30T16:02:00Z</dcterms:modified>
</cp:coreProperties>
</file>