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74755" w:rsidRPr="00174755" w14:paraId="4FC4BD64" w14:textId="77777777" w:rsidTr="000C15CD">
        <w:trPr>
          <w:trHeight w:val="1977"/>
        </w:trPr>
        <w:tc>
          <w:tcPr>
            <w:tcW w:w="4594" w:type="dxa"/>
            <w:tcBorders>
              <w:bottom w:val="single" w:sz="4" w:space="0" w:color="auto"/>
            </w:tcBorders>
            <w:tcMar>
              <w:bottom w:w="170" w:type="dxa"/>
            </w:tcMar>
          </w:tcPr>
          <w:p w14:paraId="5A826171" w14:textId="77777777" w:rsidR="00174755" w:rsidRPr="00174755" w:rsidRDefault="00174755" w:rsidP="00174755">
            <w:pPr>
              <w:spacing w:after="0" w:line="240" w:lineRule="auto"/>
              <w:jc w:val="both"/>
              <w:rPr>
                <w:rFonts w:ascii="Arial" w:eastAsia="SimSun" w:hAnsi="Arial" w:cs="Arial"/>
                <w:szCs w:val="20"/>
                <w:lang w:val="en-US" w:eastAsia="zh-CN"/>
              </w:rPr>
            </w:pPr>
            <w:r w:rsidRPr="00174755">
              <w:rPr>
                <w:rFonts w:ascii="Arial" w:eastAsia="SimSun" w:hAnsi="Arial" w:cs="Arial"/>
                <w:noProof/>
                <w:szCs w:val="20"/>
                <w:lang w:val="en-US" w:eastAsia="zh-CN"/>
              </w:rPr>
              <w:drawing>
                <wp:anchor distT="0" distB="0" distL="114300" distR="114300" simplePos="0" relativeHeight="251659264" behindDoc="1" locked="0" layoutInCell="0" allowOverlap="1" wp14:anchorId="33FE13E1" wp14:editId="354D8012">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56E10849" w14:textId="77777777" w:rsidR="00174755" w:rsidRPr="00174755" w:rsidRDefault="00174755" w:rsidP="00174755">
            <w:pPr>
              <w:spacing w:after="0" w:line="240" w:lineRule="auto"/>
              <w:rPr>
                <w:rFonts w:ascii="Arial" w:eastAsia="SimSun" w:hAnsi="Arial" w:cs="Arial"/>
                <w:szCs w:val="20"/>
                <w:lang w:val="en-US" w:eastAsia="zh-CN"/>
              </w:rPr>
            </w:pPr>
          </w:p>
        </w:tc>
        <w:tc>
          <w:tcPr>
            <w:tcW w:w="425" w:type="dxa"/>
            <w:tcBorders>
              <w:bottom w:val="single" w:sz="4" w:space="0" w:color="auto"/>
            </w:tcBorders>
            <w:tcMar>
              <w:left w:w="0" w:type="dxa"/>
              <w:right w:w="0" w:type="dxa"/>
            </w:tcMar>
          </w:tcPr>
          <w:p w14:paraId="1207C95D" w14:textId="77777777" w:rsidR="00174755" w:rsidRPr="00174755" w:rsidRDefault="00174755" w:rsidP="00174755">
            <w:pPr>
              <w:spacing w:after="0" w:line="240" w:lineRule="auto"/>
              <w:jc w:val="right"/>
              <w:rPr>
                <w:rFonts w:ascii="Arial" w:eastAsia="SimSun" w:hAnsi="Arial" w:cs="Arial"/>
                <w:szCs w:val="20"/>
                <w:lang w:val="en-US" w:eastAsia="zh-CN"/>
              </w:rPr>
            </w:pPr>
            <w:r w:rsidRPr="00174755">
              <w:rPr>
                <w:rFonts w:ascii="Arial" w:eastAsia="SimSun" w:hAnsi="Arial" w:cs="Arial"/>
                <w:b/>
                <w:sz w:val="40"/>
                <w:szCs w:val="40"/>
                <w:lang w:val="en-US" w:eastAsia="zh-CN"/>
              </w:rPr>
              <w:t>C</w:t>
            </w:r>
          </w:p>
        </w:tc>
      </w:tr>
      <w:tr w:rsidR="00174755" w:rsidRPr="00174755" w14:paraId="7A03C5A5" w14:textId="77777777" w:rsidTr="000C15CD">
        <w:trPr>
          <w:trHeight w:hRule="exact" w:val="340"/>
        </w:trPr>
        <w:tc>
          <w:tcPr>
            <w:tcW w:w="9356" w:type="dxa"/>
            <w:gridSpan w:val="3"/>
            <w:tcBorders>
              <w:top w:val="single" w:sz="4" w:space="0" w:color="auto"/>
            </w:tcBorders>
            <w:tcMar>
              <w:top w:w="170" w:type="dxa"/>
              <w:left w:w="0" w:type="dxa"/>
              <w:right w:w="0" w:type="dxa"/>
            </w:tcMar>
            <w:vAlign w:val="bottom"/>
          </w:tcPr>
          <w:p w14:paraId="49A27F8B" w14:textId="34157CA0" w:rsidR="00174755" w:rsidRPr="00174755" w:rsidRDefault="00174755" w:rsidP="00174755">
            <w:pPr>
              <w:spacing w:after="0" w:line="240" w:lineRule="auto"/>
              <w:jc w:val="right"/>
              <w:rPr>
                <w:rFonts w:ascii="Arial Black" w:eastAsia="SimSun" w:hAnsi="Arial Black" w:cs="Arial"/>
                <w:caps/>
                <w:sz w:val="15"/>
                <w:szCs w:val="20"/>
                <w:lang w:val="en-US" w:eastAsia="zh-CN"/>
              </w:rPr>
            </w:pPr>
            <w:r w:rsidRPr="00174755">
              <w:rPr>
                <w:rFonts w:ascii="Arial Black" w:eastAsia="SimSun" w:hAnsi="Arial Black" w:cs="Arial" w:hint="eastAsia"/>
                <w:caps/>
                <w:sz w:val="15"/>
                <w:szCs w:val="20"/>
                <w:lang w:val="en-US" w:eastAsia="zh-CN"/>
              </w:rPr>
              <w:t>CDIP</w:t>
            </w:r>
            <w:r w:rsidRPr="00174755">
              <w:rPr>
                <w:rFonts w:ascii="Arial Black" w:eastAsia="SimSun" w:hAnsi="Arial Black" w:cs="Arial"/>
                <w:caps/>
                <w:sz w:val="15"/>
                <w:szCs w:val="20"/>
                <w:lang w:val="en-US" w:eastAsia="zh-CN"/>
              </w:rPr>
              <w:t>/</w:t>
            </w:r>
            <w:r w:rsidRPr="00174755">
              <w:rPr>
                <w:rFonts w:ascii="Arial Black" w:eastAsia="SimSun" w:hAnsi="Arial Black" w:cs="Arial" w:hint="eastAsia"/>
                <w:caps/>
                <w:sz w:val="15"/>
                <w:szCs w:val="20"/>
                <w:lang w:val="en-US" w:eastAsia="zh-CN"/>
              </w:rPr>
              <w:t>21</w:t>
            </w:r>
            <w:r w:rsidRPr="00174755">
              <w:rPr>
                <w:rFonts w:ascii="Arial Black" w:eastAsia="SimSun" w:hAnsi="Arial Black" w:cs="Arial"/>
                <w:caps/>
                <w:sz w:val="15"/>
                <w:szCs w:val="20"/>
                <w:lang w:val="en-US" w:eastAsia="zh-CN"/>
              </w:rPr>
              <w:t>/</w:t>
            </w:r>
            <w:bookmarkStart w:id="0" w:name="Code"/>
            <w:bookmarkEnd w:id="0"/>
            <w:r w:rsidRPr="00174755">
              <w:rPr>
                <w:rFonts w:ascii="Arial Black" w:eastAsia="SimSun" w:hAnsi="Arial Black" w:cs="Arial" w:hint="eastAsia"/>
                <w:caps/>
                <w:sz w:val="15"/>
                <w:szCs w:val="20"/>
                <w:lang w:val="en-US" w:eastAsia="zh-CN"/>
              </w:rPr>
              <w:t>inf/</w:t>
            </w:r>
            <w:r>
              <w:rPr>
                <w:rFonts w:ascii="Arial Black" w:eastAsia="SimSun" w:hAnsi="Arial Black" w:cs="Arial" w:hint="eastAsia"/>
                <w:caps/>
                <w:sz w:val="15"/>
                <w:szCs w:val="20"/>
                <w:lang w:val="en-US" w:eastAsia="zh-CN"/>
              </w:rPr>
              <w:t>5</w:t>
            </w:r>
          </w:p>
        </w:tc>
      </w:tr>
      <w:tr w:rsidR="00174755" w:rsidRPr="00174755" w14:paraId="1EA1E075" w14:textId="77777777" w:rsidTr="000C15CD">
        <w:trPr>
          <w:trHeight w:hRule="exact" w:val="170"/>
        </w:trPr>
        <w:tc>
          <w:tcPr>
            <w:tcW w:w="9356" w:type="dxa"/>
            <w:gridSpan w:val="3"/>
            <w:noWrap/>
            <w:tcMar>
              <w:left w:w="0" w:type="dxa"/>
              <w:right w:w="0" w:type="dxa"/>
            </w:tcMar>
            <w:vAlign w:val="bottom"/>
          </w:tcPr>
          <w:p w14:paraId="7DC23616" w14:textId="77777777" w:rsidR="00174755" w:rsidRPr="00174755" w:rsidRDefault="00174755" w:rsidP="00174755">
            <w:pPr>
              <w:spacing w:after="0" w:line="240" w:lineRule="auto"/>
              <w:jc w:val="right"/>
              <w:rPr>
                <w:rFonts w:ascii="Arial Black" w:eastAsia="SimSun" w:hAnsi="Arial Black" w:cs="Arial"/>
                <w:b/>
                <w:caps/>
                <w:sz w:val="15"/>
                <w:szCs w:val="15"/>
                <w:lang w:val="en-US" w:eastAsia="zh-CN"/>
              </w:rPr>
            </w:pPr>
            <w:r w:rsidRPr="00174755">
              <w:rPr>
                <w:rFonts w:ascii="Arial" w:eastAsia="SimHei" w:hAnsi="Arial" w:cs="Arial" w:hint="eastAsia"/>
                <w:b/>
                <w:sz w:val="15"/>
                <w:szCs w:val="15"/>
                <w:lang w:val="en-US" w:eastAsia="zh-CN"/>
              </w:rPr>
              <w:t>原</w:t>
            </w:r>
            <w:r w:rsidRPr="00174755">
              <w:rPr>
                <w:rFonts w:ascii="Arial" w:eastAsia="SimHei" w:hAnsi="Arial" w:cs="Arial"/>
                <w:b/>
                <w:sz w:val="15"/>
                <w:szCs w:val="15"/>
                <w:lang w:val="pt-BR" w:eastAsia="zh-CN"/>
              </w:rPr>
              <w:t xml:space="preserve"> </w:t>
            </w:r>
            <w:r w:rsidRPr="00174755">
              <w:rPr>
                <w:rFonts w:ascii="Arial" w:eastAsia="SimHei" w:hAnsi="Arial" w:cs="Arial" w:hint="eastAsia"/>
                <w:b/>
                <w:sz w:val="15"/>
                <w:szCs w:val="15"/>
                <w:lang w:val="en-US" w:eastAsia="zh-CN"/>
              </w:rPr>
              <w:t>文</w:t>
            </w:r>
            <w:r w:rsidRPr="00174755">
              <w:rPr>
                <w:rFonts w:ascii="Arial" w:eastAsia="SimHei" w:hAnsi="Arial" w:cs="Arial" w:hint="eastAsia"/>
                <w:b/>
                <w:sz w:val="15"/>
                <w:szCs w:val="15"/>
                <w:lang w:val="pt-BR" w:eastAsia="zh-CN"/>
              </w:rPr>
              <w:t>：</w:t>
            </w:r>
            <w:bookmarkStart w:id="1" w:name="Original"/>
            <w:bookmarkEnd w:id="1"/>
            <w:r w:rsidRPr="00174755">
              <w:rPr>
                <w:rFonts w:ascii="Arial" w:eastAsia="SimHei" w:hAnsi="Arial" w:cs="Arial" w:hint="eastAsia"/>
                <w:b/>
                <w:sz w:val="15"/>
                <w:szCs w:val="15"/>
                <w:lang w:val="pt-BR" w:eastAsia="zh-CN"/>
              </w:rPr>
              <w:t>英</w:t>
            </w:r>
            <w:r w:rsidRPr="00174755">
              <w:rPr>
                <w:rFonts w:ascii="Arial" w:eastAsia="SimHei" w:hAnsi="Arial" w:cs="Arial" w:hint="eastAsia"/>
                <w:b/>
                <w:sz w:val="15"/>
                <w:szCs w:val="15"/>
                <w:lang w:val="en-US" w:eastAsia="zh-CN"/>
              </w:rPr>
              <w:t>文</w:t>
            </w:r>
          </w:p>
        </w:tc>
      </w:tr>
      <w:tr w:rsidR="00174755" w:rsidRPr="00174755" w14:paraId="226B7238" w14:textId="77777777" w:rsidTr="000C15CD">
        <w:trPr>
          <w:trHeight w:hRule="exact" w:val="198"/>
        </w:trPr>
        <w:tc>
          <w:tcPr>
            <w:tcW w:w="9356" w:type="dxa"/>
            <w:gridSpan w:val="3"/>
            <w:tcMar>
              <w:left w:w="0" w:type="dxa"/>
              <w:right w:w="0" w:type="dxa"/>
            </w:tcMar>
            <w:vAlign w:val="bottom"/>
          </w:tcPr>
          <w:p w14:paraId="432CA2B9" w14:textId="19D324EF" w:rsidR="00174755" w:rsidRPr="00174755" w:rsidRDefault="00174755" w:rsidP="00174755">
            <w:pPr>
              <w:spacing w:after="0" w:line="240" w:lineRule="auto"/>
              <w:jc w:val="right"/>
              <w:rPr>
                <w:rFonts w:ascii="SimHei" w:eastAsia="SimHei" w:hAnsi="Arial Black" w:cs="Arial"/>
                <w:b/>
                <w:caps/>
                <w:sz w:val="15"/>
                <w:szCs w:val="15"/>
                <w:lang w:val="en-US" w:eastAsia="zh-CN"/>
              </w:rPr>
            </w:pPr>
            <w:r w:rsidRPr="00174755">
              <w:rPr>
                <w:rFonts w:ascii="SimHei" w:eastAsia="SimHei" w:hAnsi="Arial" w:cs="Arial" w:hint="eastAsia"/>
                <w:b/>
                <w:sz w:val="15"/>
                <w:szCs w:val="15"/>
                <w:lang w:val="en-US" w:eastAsia="zh-CN"/>
              </w:rPr>
              <w:t>日</w:t>
            </w:r>
            <w:r w:rsidRPr="00174755">
              <w:rPr>
                <w:rFonts w:ascii="SimHei" w:eastAsia="SimHei" w:hAnsi="Arial" w:cs="Arial" w:hint="eastAsia"/>
                <w:b/>
                <w:sz w:val="15"/>
                <w:szCs w:val="15"/>
                <w:lang w:val="pt-BR" w:eastAsia="zh-CN"/>
              </w:rPr>
              <w:t xml:space="preserve"> </w:t>
            </w:r>
            <w:r w:rsidRPr="00174755">
              <w:rPr>
                <w:rFonts w:ascii="SimHei" w:eastAsia="SimHei" w:hAnsi="Arial" w:cs="Arial" w:hint="eastAsia"/>
                <w:b/>
                <w:sz w:val="15"/>
                <w:szCs w:val="15"/>
                <w:lang w:val="en-US" w:eastAsia="zh-CN"/>
              </w:rPr>
              <w:t>期</w:t>
            </w:r>
            <w:r w:rsidRPr="00174755">
              <w:rPr>
                <w:rFonts w:ascii="SimHei" w:eastAsia="SimHei" w:hAnsi="SimSun" w:cs="Arial" w:hint="eastAsia"/>
                <w:b/>
                <w:sz w:val="15"/>
                <w:szCs w:val="15"/>
                <w:lang w:val="pt-BR" w:eastAsia="zh-CN"/>
              </w:rPr>
              <w:t>：</w:t>
            </w:r>
            <w:bookmarkStart w:id="2" w:name="Date"/>
            <w:bookmarkEnd w:id="2"/>
            <w:r w:rsidRPr="00174755">
              <w:rPr>
                <w:rFonts w:ascii="Arial Black" w:eastAsia="SimHei" w:hAnsi="Arial Black" w:cs="Arial"/>
                <w:b/>
                <w:sz w:val="15"/>
                <w:szCs w:val="15"/>
                <w:lang w:val="pt-BR" w:eastAsia="zh-CN"/>
              </w:rPr>
              <w:t>201</w:t>
            </w:r>
            <w:r w:rsidRPr="00174755">
              <w:rPr>
                <w:rFonts w:ascii="Arial Black" w:eastAsia="SimHei" w:hAnsi="Arial Black" w:cs="Arial" w:hint="eastAsia"/>
                <w:b/>
                <w:sz w:val="15"/>
                <w:szCs w:val="15"/>
                <w:lang w:val="pt-BR" w:eastAsia="zh-CN"/>
              </w:rPr>
              <w:t>8</w:t>
            </w:r>
            <w:r w:rsidRPr="00174755">
              <w:rPr>
                <w:rFonts w:ascii="SimHei" w:eastAsia="SimHei" w:hAnsi="Times New Roman" w:cs="Arial" w:hint="eastAsia"/>
                <w:b/>
                <w:sz w:val="15"/>
                <w:szCs w:val="15"/>
                <w:lang w:val="en-US" w:eastAsia="zh-CN"/>
              </w:rPr>
              <w:t>年</w:t>
            </w:r>
            <w:r>
              <w:rPr>
                <w:rFonts w:ascii="Arial Black" w:eastAsia="SimHei" w:hAnsi="Arial Black" w:cs="Arial" w:hint="eastAsia"/>
                <w:b/>
                <w:sz w:val="15"/>
                <w:szCs w:val="15"/>
                <w:lang w:val="pt-BR" w:eastAsia="zh-CN"/>
              </w:rPr>
              <w:t>4</w:t>
            </w:r>
            <w:r w:rsidRPr="00174755">
              <w:rPr>
                <w:rFonts w:ascii="SimHei" w:eastAsia="SimHei" w:hAnsi="Times New Roman" w:cs="Arial" w:hint="eastAsia"/>
                <w:b/>
                <w:sz w:val="15"/>
                <w:szCs w:val="15"/>
                <w:lang w:val="en-US" w:eastAsia="zh-CN"/>
              </w:rPr>
              <w:t>月</w:t>
            </w:r>
            <w:r>
              <w:rPr>
                <w:rFonts w:ascii="Arial Black" w:eastAsia="SimHei" w:hAnsi="Arial Black" w:cs="Arial" w:hint="eastAsia"/>
                <w:b/>
                <w:sz w:val="15"/>
                <w:szCs w:val="15"/>
                <w:lang w:val="en-US" w:eastAsia="zh-CN"/>
              </w:rPr>
              <w:t>11</w:t>
            </w:r>
            <w:r w:rsidRPr="00174755">
              <w:rPr>
                <w:rFonts w:ascii="SimHei" w:eastAsia="SimHei" w:hAnsi="Times New Roman" w:cs="Arial" w:hint="eastAsia"/>
                <w:b/>
                <w:sz w:val="15"/>
                <w:szCs w:val="15"/>
                <w:lang w:val="en-US" w:eastAsia="zh-CN"/>
              </w:rPr>
              <w:t>日</w:t>
            </w:r>
            <w:r w:rsidRPr="00174755">
              <w:rPr>
                <w:rFonts w:ascii="SimHei" w:eastAsia="SimHei" w:hAnsi="Arial Black" w:cs="Arial" w:hint="eastAsia"/>
                <w:b/>
                <w:caps/>
                <w:sz w:val="15"/>
                <w:szCs w:val="15"/>
                <w:lang w:val="en-US" w:eastAsia="zh-CN"/>
              </w:rPr>
              <w:t xml:space="preserve">  </w:t>
            </w:r>
          </w:p>
        </w:tc>
      </w:tr>
    </w:tbl>
    <w:p w14:paraId="0F098E1C" w14:textId="77777777" w:rsidR="00174755" w:rsidRPr="00174755" w:rsidRDefault="00174755" w:rsidP="00174755">
      <w:pPr>
        <w:spacing w:after="0" w:line="240" w:lineRule="auto"/>
        <w:rPr>
          <w:rFonts w:ascii="Arial" w:eastAsia="SimSun" w:hAnsi="Arial" w:cs="Arial"/>
          <w:szCs w:val="20"/>
          <w:lang w:val="en-US" w:eastAsia="zh-CN"/>
        </w:rPr>
      </w:pPr>
    </w:p>
    <w:p w14:paraId="7C9D91C0" w14:textId="77777777" w:rsidR="00174755" w:rsidRPr="00174755" w:rsidRDefault="00174755" w:rsidP="00174755">
      <w:pPr>
        <w:spacing w:after="0" w:line="240" w:lineRule="auto"/>
        <w:rPr>
          <w:rFonts w:ascii="Arial" w:eastAsia="SimSun" w:hAnsi="Arial" w:cs="Arial"/>
          <w:szCs w:val="20"/>
          <w:lang w:val="en-US" w:eastAsia="zh-CN"/>
        </w:rPr>
      </w:pPr>
    </w:p>
    <w:p w14:paraId="43ED5AD3" w14:textId="77777777" w:rsidR="00174755" w:rsidRPr="00174755" w:rsidRDefault="00174755" w:rsidP="00174755">
      <w:pPr>
        <w:spacing w:after="0" w:line="240" w:lineRule="auto"/>
        <w:rPr>
          <w:rFonts w:ascii="Arial" w:eastAsia="SimSun" w:hAnsi="Arial" w:cs="Arial"/>
          <w:szCs w:val="20"/>
          <w:lang w:val="en-US" w:eastAsia="zh-CN"/>
        </w:rPr>
      </w:pPr>
    </w:p>
    <w:p w14:paraId="03C23609" w14:textId="77777777" w:rsidR="00174755" w:rsidRPr="00174755" w:rsidRDefault="00174755" w:rsidP="00174755">
      <w:pPr>
        <w:spacing w:after="0" w:line="240" w:lineRule="auto"/>
        <w:rPr>
          <w:rFonts w:ascii="Arial" w:eastAsia="SimSun" w:hAnsi="Arial" w:cs="Arial"/>
          <w:szCs w:val="20"/>
          <w:lang w:val="en-US" w:eastAsia="zh-CN"/>
        </w:rPr>
      </w:pPr>
    </w:p>
    <w:p w14:paraId="4C9FA187" w14:textId="77777777" w:rsidR="00174755" w:rsidRPr="00174755" w:rsidRDefault="00174755" w:rsidP="00174755">
      <w:pPr>
        <w:spacing w:after="0" w:line="240" w:lineRule="auto"/>
        <w:rPr>
          <w:rFonts w:ascii="Arial" w:eastAsia="SimSun" w:hAnsi="Arial" w:cs="Arial"/>
          <w:szCs w:val="20"/>
          <w:lang w:val="en-US" w:eastAsia="zh-CN"/>
        </w:rPr>
      </w:pPr>
    </w:p>
    <w:p w14:paraId="2304A2F8" w14:textId="77777777" w:rsidR="00174755" w:rsidRPr="00174755" w:rsidRDefault="00174755" w:rsidP="00174755">
      <w:pPr>
        <w:spacing w:after="0" w:line="240" w:lineRule="auto"/>
        <w:rPr>
          <w:rFonts w:ascii="SimHei" w:eastAsia="SimHei" w:hAnsi="Arial" w:cs="Arial"/>
          <w:sz w:val="28"/>
          <w:szCs w:val="28"/>
          <w:lang w:val="en-US" w:eastAsia="zh-CN"/>
        </w:rPr>
      </w:pPr>
      <w:r w:rsidRPr="00174755">
        <w:rPr>
          <w:rFonts w:ascii="SimHei" w:eastAsia="SimHei" w:hAnsi="Arial" w:cs="Arial" w:hint="eastAsia"/>
          <w:sz w:val="28"/>
          <w:szCs w:val="28"/>
          <w:lang w:val="en-US" w:eastAsia="zh-CN"/>
        </w:rPr>
        <w:t>发展与知识产权委员会（CDIP）</w:t>
      </w:r>
    </w:p>
    <w:p w14:paraId="03ECBF4B" w14:textId="77777777" w:rsidR="00174755" w:rsidRPr="00174755" w:rsidRDefault="00174755" w:rsidP="00174755">
      <w:pPr>
        <w:spacing w:after="0" w:line="240" w:lineRule="auto"/>
        <w:rPr>
          <w:rFonts w:ascii="Arial" w:eastAsia="SimSun" w:hAnsi="Arial" w:cs="Arial"/>
          <w:szCs w:val="20"/>
          <w:lang w:val="en-US" w:eastAsia="zh-CN"/>
        </w:rPr>
      </w:pPr>
    </w:p>
    <w:p w14:paraId="2C734064" w14:textId="77777777" w:rsidR="00174755" w:rsidRPr="00174755" w:rsidRDefault="00174755" w:rsidP="00174755">
      <w:pPr>
        <w:spacing w:after="0" w:line="240" w:lineRule="auto"/>
        <w:rPr>
          <w:rFonts w:ascii="Arial" w:eastAsia="SimSun" w:hAnsi="Arial" w:cs="Arial"/>
          <w:szCs w:val="20"/>
          <w:lang w:val="en-US" w:eastAsia="zh-CN"/>
        </w:rPr>
      </w:pPr>
    </w:p>
    <w:p w14:paraId="5C7A133E" w14:textId="77777777" w:rsidR="00174755" w:rsidRPr="00174755" w:rsidRDefault="00174755" w:rsidP="00174755">
      <w:pPr>
        <w:spacing w:after="0" w:line="240" w:lineRule="auto"/>
        <w:textAlignment w:val="bottom"/>
        <w:rPr>
          <w:rFonts w:ascii="KaiTi" w:eastAsia="KaiTi" w:hAnsi="Arial" w:cs="Arial"/>
          <w:b/>
          <w:sz w:val="24"/>
          <w:szCs w:val="24"/>
          <w:lang w:val="en-US" w:eastAsia="zh-CN"/>
        </w:rPr>
      </w:pPr>
      <w:r w:rsidRPr="00174755">
        <w:rPr>
          <w:rFonts w:ascii="KaiTi" w:eastAsia="KaiTi" w:hAnsi="Arial" w:cs="Arial" w:hint="eastAsia"/>
          <w:b/>
          <w:sz w:val="24"/>
          <w:szCs w:val="24"/>
          <w:lang w:val="en-US" w:eastAsia="zh-CN"/>
        </w:rPr>
        <w:t>第二十一届会议</w:t>
      </w:r>
    </w:p>
    <w:p w14:paraId="52412656" w14:textId="77777777" w:rsidR="00174755" w:rsidRPr="00174755" w:rsidRDefault="00174755" w:rsidP="00174755">
      <w:pPr>
        <w:spacing w:after="0" w:line="240" w:lineRule="auto"/>
        <w:textAlignment w:val="bottom"/>
        <w:rPr>
          <w:rFonts w:ascii="KaiTi" w:eastAsia="KaiTi" w:hAnsi="KaiTi" w:cs="Arial"/>
          <w:b/>
          <w:sz w:val="24"/>
          <w:szCs w:val="24"/>
          <w:lang w:val="en-US" w:eastAsia="zh-CN"/>
        </w:rPr>
      </w:pPr>
      <w:r w:rsidRPr="00174755">
        <w:rPr>
          <w:rFonts w:ascii="KaiTi" w:eastAsia="KaiTi" w:hAnsi="KaiTi" w:cs="Arial" w:hint="eastAsia"/>
          <w:sz w:val="24"/>
          <w:szCs w:val="24"/>
          <w:lang w:val="en-US" w:eastAsia="zh-CN"/>
        </w:rPr>
        <w:t>2018</w:t>
      </w:r>
      <w:r w:rsidRPr="00174755">
        <w:rPr>
          <w:rFonts w:ascii="KaiTi" w:eastAsia="KaiTi" w:hAnsi="KaiTi" w:cs="Arial" w:hint="eastAsia"/>
          <w:b/>
          <w:sz w:val="24"/>
          <w:szCs w:val="24"/>
          <w:lang w:val="en-US" w:eastAsia="zh-CN"/>
        </w:rPr>
        <w:t>年</w:t>
      </w:r>
      <w:r w:rsidRPr="00174755">
        <w:rPr>
          <w:rFonts w:ascii="KaiTi" w:eastAsia="KaiTi" w:hAnsi="KaiTi" w:cs="Arial" w:hint="eastAsia"/>
          <w:sz w:val="24"/>
          <w:szCs w:val="24"/>
          <w:lang w:val="en-US" w:eastAsia="zh-CN"/>
        </w:rPr>
        <w:t>5</w:t>
      </w:r>
      <w:r w:rsidRPr="00174755">
        <w:rPr>
          <w:rFonts w:ascii="KaiTi" w:eastAsia="KaiTi" w:hAnsi="KaiTi" w:cs="Arial" w:hint="eastAsia"/>
          <w:b/>
          <w:sz w:val="24"/>
          <w:szCs w:val="24"/>
          <w:lang w:val="en-US" w:eastAsia="zh-CN"/>
        </w:rPr>
        <w:t>月</w:t>
      </w:r>
      <w:r w:rsidRPr="00174755">
        <w:rPr>
          <w:rFonts w:ascii="KaiTi" w:eastAsia="KaiTi" w:hAnsi="KaiTi" w:cs="Arial" w:hint="eastAsia"/>
          <w:sz w:val="24"/>
          <w:szCs w:val="24"/>
          <w:lang w:val="en-US" w:eastAsia="zh-CN"/>
        </w:rPr>
        <w:t>14</w:t>
      </w:r>
      <w:r w:rsidRPr="00174755">
        <w:rPr>
          <w:rFonts w:ascii="KaiTi" w:eastAsia="KaiTi" w:hAnsi="KaiTi" w:cs="Arial" w:hint="eastAsia"/>
          <w:b/>
          <w:sz w:val="24"/>
          <w:szCs w:val="24"/>
          <w:lang w:val="en-US" w:eastAsia="zh-CN"/>
        </w:rPr>
        <w:t>日至</w:t>
      </w:r>
      <w:r w:rsidRPr="00174755">
        <w:rPr>
          <w:rFonts w:ascii="KaiTi" w:eastAsia="KaiTi" w:hAnsi="KaiTi" w:cs="Arial" w:hint="eastAsia"/>
          <w:sz w:val="24"/>
          <w:szCs w:val="24"/>
          <w:lang w:val="en-US" w:eastAsia="zh-CN"/>
        </w:rPr>
        <w:t>18</w:t>
      </w:r>
      <w:r w:rsidRPr="00174755">
        <w:rPr>
          <w:rFonts w:ascii="KaiTi" w:eastAsia="KaiTi" w:hAnsi="KaiTi" w:cs="Arial" w:hint="eastAsia"/>
          <w:b/>
          <w:sz w:val="24"/>
          <w:szCs w:val="24"/>
          <w:lang w:val="en-US" w:eastAsia="zh-CN"/>
        </w:rPr>
        <w:t>日，日内瓦</w:t>
      </w:r>
    </w:p>
    <w:p w14:paraId="286891E7" w14:textId="77777777" w:rsidR="00174755" w:rsidRPr="00174755" w:rsidRDefault="00174755" w:rsidP="00174755">
      <w:pPr>
        <w:spacing w:after="0" w:line="240" w:lineRule="auto"/>
        <w:rPr>
          <w:rFonts w:ascii="Arial" w:eastAsia="SimSun" w:hAnsi="Arial" w:cs="Arial"/>
          <w:szCs w:val="20"/>
          <w:lang w:val="en-US" w:eastAsia="zh-CN"/>
        </w:rPr>
      </w:pPr>
    </w:p>
    <w:p w14:paraId="4EB20A88" w14:textId="77777777" w:rsidR="00174755" w:rsidRPr="00174755" w:rsidRDefault="00174755" w:rsidP="00174755">
      <w:pPr>
        <w:spacing w:after="0" w:line="240" w:lineRule="auto"/>
        <w:rPr>
          <w:rFonts w:ascii="Arial" w:eastAsia="SimSun" w:hAnsi="Arial" w:cs="Arial"/>
          <w:szCs w:val="20"/>
          <w:lang w:val="en-US" w:eastAsia="zh-CN"/>
        </w:rPr>
      </w:pPr>
    </w:p>
    <w:p w14:paraId="1F4AE56A" w14:textId="77777777" w:rsidR="00174755" w:rsidRPr="00174755" w:rsidRDefault="00174755" w:rsidP="00174755">
      <w:pPr>
        <w:spacing w:after="0" w:line="240" w:lineRule="auto"/>
        <w:rPr>
          <w:rFonts w:ascii="Arial" w:eastAsia="SimSun" w:hAnsi="Arial" w:cs="Arial"/>
          <w:szCs w:val="20"/>
          <w:lang w:val="en-US" w:eastAsia="zh-CN"/>
        </w:rPr>
      </w:pPr>
    </w:p>
    <w:p w14:paraId="174FDD77" w14:textId="18443D70" w:rsidR="00174755" w:rsidRPr="00174755" w:rsidRDefault="00174755" w:rsidP="00174755">
      <w:pPr>
        <w:spacing w:after="0" w:line="240" w:lineRule="auto"/>
        <w:rPr>
          <w:rFonts w:ascii="KaiTi" w:eastAsia="KaiTi" w:hAnsi="KaiTi" w:cs="Times New Roman"/>
          <w:kern w:val="2"/>
          <w:sz w:val="24"/>
          <w:szCs w:val="32"/>
          <w:lang w:val="en-US" w:eastAsia="zh-CN"/>
        </w:rPr>
      </w:pPr>
      <w:bookmarkStart w:id="3" w:name="TitleOfDoc"/>
      <w:bookmarkEnd w:id="3"/>
      <w:r>
        <w:rPr>
          <w:rFonts w:ascii="KaiTi" w:eastAsia="KaiTi" w:hAnsi="KaiTi" w:cs="Times New Roman" w:hint="eastAsia"/>
          <w:kern w:val="2"/>
          <w:sz w:val="24"/>
          <w:szCs w:val="32"/>
          <w:lang w:val="en-US" w:eastAsia="zh-CN"/>
        </w:rPr>
        <w:t>“</w:t>
      </w:r>
      <w:r w:rsidRPr="00174755">
        <w:rPr>
          <w:rFonts w:ascii="KaiTi" w:eastAsia="KaiTi" w:hAnsi="KaiTi" w:cs="Times New Roman" w:hint="eastAsia"/>
          <w:kern w:val="2"/>
          <w:sz w:val="24"/>
          <w:szCs w:val="32"/>
          <w:lang w:val="en-US" w:eastAsia="zh-CN"/>
        </w:rPr>
        <w:t>知识产权：</w:t>
      </w:r>
      <w:r>
        <w:rPr>
          <w:rFonts w:ascii="KaiTi" w:eastAsia="KaiTi" w:hAnsi="KaiTi" w:cs="Times New Roman" w:hint="eastAsia"/>
          <w:kern w:val="2"/>
          <w:sz w:val="24"/>
          <w:szCs w:val="32"/>
          <w:lang w:val="en-US" w:eastAsia="zh-CN"/>
        </w:rPr>
        <w:t>在</w:t>
      </w:r>
      <w:r w:rsidRPr="00174755">
        <w:rPr>
          <w:rFonts w:ascii="KaiTi" w:eastAsia="KaiTi" w:hAnsi="KaiTi" w:cs="Times New Roman" w:hint="eastAsia"/>
          <w:kern w:val="2"/>
          <w:sz w:val="24"/>
          <w:szCs w:val="32"/>
          <w:lang w:val="en-US" w:eastAsia="zh-CN"/>
        </w:rPr>
        <w:t>因巴布拉地质公园项目</w:t>
      </w:r>
      <w:r w:rsidR="00DA2DC0">
        <w:rPr>
          <w:rFonts w:ascii="KaiTi" w:eastAsia="KaiTi" w:hAnsi="KaiTi" w:cs="Times New Roman" w:hint="eastAsia"/>
          <w:kern w:val="2"/>
          <w:sz w:val="24"/>
          <w:szCs w:val="32"/>
          <w:lang w:val="en-US" w:eastAsia="zh-CN"/>
        </w:rPr>
        <w:t>的</w:t>
      </w:r>
      <w:r>
        <w:rPr>
          <w:rFonts w:ascii="KaiTi" w:eastAsia="KaiTi" w:hAnsi="KaiTi" w:cs="Times New Roman" w:hint="eastAsia"/>
          <w:kern w:val="2"/>
          <w:sz w:val="24"/>
          <w:szCs w:val="32"/>
          <w:lang w:val="en-US" w:eastAsia="zh-CN"/>
        </w:rPr>
        <w:t>框架内加强该省认同的机制”</w:t>
      </w:r>
      <w:r w:rsidR="00DA2DC0">
        <w:rPr>
          <w:rFonts w:ascii="KaiTi" w:eastAsia="KaiTi" w:hAnsi="KaiTi" w:cs="Times New Roman"/>
          <w:kern w:val="2"/>
          <w:sz w:val="24"/>
          <w:szCs w:val="32"/>
          <w:lang w:val="en-US" w:eastAsia="zh-CN"/>
        </w:rPr>
        <w:br/>
      </w:r>
      <w:r w:rsidRPr="00174755">
        <w:rPr>
          <w:rFonts w:ascii="KaiTi" w:eastAsia="KaiTi" w:hAnsi="KaiTi" w:cs="Times New Roman" w:hint="eastAsia"/>
          <w:kern w:val="2"/>
          <w:sz w:val="24"/>
          <w:szCs w:val="32"/>
          <w:lang w:val="en-US" w:eastAsia="zh-CN"/>
        </w:rPr>
        <w:t>研究摘要</w:t>
      </w:r>
    </w:p>
    <w:p w14:paraId="6DEFDC6B" w14:textId="77777777" w:rsidR="00174755" w:rsidRPr="00174755" w:rsidRDefault="00174755" w:rsidP="00174755">
      <w:pPr>
        <w:spacing w:after="0" w:line="240" w:lineRule="auto"/>
        <w:rPr>
          <w:rFonts w:ascii="Arial" w:eastAsia="SimSun" w:hAnsi="Arial" w:cs="Arial"/>
          <w:szCs w:val="20"/>
          <w:lang w:val="en-US" w:eastAsia="zh-CN"/>
        </w:rPr>
      </w:pPr>
    </w:p>
    <w:p w14:paraId="25E7EBEF" w14:textId="150C8744" w:rsidR="00174755" w:rsidRPr="00174755" w:rsidRDefault="00174755" w:rsidP="00174755">
      <w:pPr>
        <w:spacing w:after="0" w:line="240" w:lineRule="auto"/>
        <w:rPr>
          <w:rFonts w:ascii="KaiTi" w:eastAsia="KaiTi" w:hAnsi="STKaiti" w:cs="Times New Roman"/>
          <w:kern w:val="2"/>
          <w:sz w:val="21"/>
          <w:szCs w:val="24"/>
          <w:lang w:val="en-US" w:eastAsia="zh-CN"/>
        </w:rPr>
      </w:pPr>
      <w:bookmarkStart w:id="4" w:name="Prepared"/>
      <w:bookmarkEnd w:id="4"/>
      <w:r>
        <w:rPr>
          <w:rFonts w:ascii="KaiTi" w:eastAsia="KaiTi" w:hAnsi="STKaiti" w:cs="Times New Roman" w:hint="eastAsia"/>
          <w:kern w:val="2"/>
          <w:sz w:val="21"/>
          <w:szCs w:val="24"/>
          <w:lang w:val="en-US" w:eastAsia="zh-CN"/>
        </w:rPr>
        <w:t>撰稿：</w:t>
      </w:r>
      <w:proofErr w:type="spellStart"/>
      <w:r w:rsidRPr="00174755">
        <w:rPr>
          <w:rFonts w:ascii="KaiTi" w:eastAsia="KaiTi" w:hAnsi="STKaiti" w:cs="Times New Roman"/>
          <w:kern w:val="2"/>
          <w:sz w:val="21"/>
          <w:szCs w:val="24"/>
          <w:lang w:val="en-US" w:eastAsia="zh-CN"/>
        </w:rPr>
        <w:t>Kompany</w:t>
      </w:r>
      <w:proofErr w:type="spellEnd"/>
      <w:r w:rsidRPr="00174755">
        <w:rPr>
          <w:rFonts w:ascii="KaiTi" w:eastAsia="KaiTi" w:hAnsi="STKaiti" w:cs="Times New Roman"/>
          <w:kern w:val="2"/>
          <w:sz w:val="21"/>
          <w:szCs w:val="24"/>
          <w:lang w:val="en-US" w:eastAsia="zh-CN"/>
        </w:rPr>
        <w:t xml:space="preserve"> </w:t>
      </w:r>
      <w:proofErr w:type="spellStart"/>
      <w:r w:rsidRPr="00174755">
        <w:rPr>
          <w:rFonts w:ascii="KaiTi" w:eastAsia="KaiTi" w:hAnsi="STKaiti" w:cs="Times New Roman"/>
          <w:kern w:val="2"/>
          <w:sz w:val="21"/>
          <w:szCs w:val="24"/>
          <w:lang w:val="en-US" w:eastAsia="zh-CN"/>
        </w:rPr>
        <w:t>Latam</w:t>
      </w:r>
      <w:proofErr w:type="spellEnd"/>
      <w:r>
        <w:rPr>
          <w:rFonts w:ascii="KaiTi" w:eastAsia="KaiTi" w:hAnsi="STKaiti" w:cs="Times New Roman" w:hint="eastAsia"/>
          <w:kern w:val="2"/>
          <w:sz w:val="21"/>
          <w:szCs w:val="24"/>
          <w:lang w:val="en-US" w:eastAsia="zh-CN"/>
        </w:rPr>
        <w:t>创始人、创意主任</w:t>
      </w:r>
      <w:proofErr w:type="spellStart"/>
      <w:r w:rsidRPr="00174755">
        <w:rPr>
          <w:rFonts w:ascii="KaiTi" w:eastAsia="KaiTi" w:hAnsi="STKaiti" w:cs="Times New Roman"/>
          <w:kern w:val="2"/>
          <w:sz w:val="21"/>
          <w:szCs w:val="24"/>
          <w:lang w:val="en-US" w:eastAsia="zh-CN"/>
        </w:rPr>
        <w:t>Sebasti</w:t>
      </w:r>
      <w:r w:rsidRPr="00174755">
        <w:rPr>
          <w:rFonts w:ascii="KaiTi" w:eastAsia="KaiTi" w:hAnsi="STKaiti" w:cs="Times New Roman"/>
          <w:kern w:val="2"/>
          <w:sz w:val="21"/>
          <w:szCs w:val="24"/>
          <w:lang w:val="en-US" w:eastAsia="zh-CN"/>
        </w:rPr>
        <w:t>á</w:t>
      </w:r>
      <w:r w:rsidRPr="00174755">
        <w:rPr>
          <w:rFonts w:ascii="KaiTi" w:eastAsia="KaiTi" w:hAnsi="STKaiti" w:cs="Times New Roman"/>
          <w:kern w:val="2"/>
          <w:sz w:val="21"/>
          <w:szCs w:val="24"/>
          <w:lang w:val="en-US" w:eastAsia="zh-CN"/>
        </w:rPr>
        <w:t>n</w:t>
      </w:r>
      <w:proofErr w:type="spellEnd"/>
      <w:r w:rsidRPr="00174755">
        <w:rPr>
          <w:rFonts w:ascii="KaiTi" w:eastAsia="KaiTi" w:hAnsi="STKaiti" w:cs="Times New Roman"/>
          <w:kern w:val="2"/>
          <w:sz w:val="21"/>
          <w:szCs w:val="24"/>
          <w:lang w:val="en-US" w:eastAsia="zh-CN"/>
        </w:rPr>
        <w:t xml:space="preserve"> Barrera</w:t>
      </w:r>
      <w:r>
        <w:rPr>
          <w:rFonts w:ascii="KaiTi" w:eastAsia="KaiTi" w:hAnsi="STKaiti" w:cs="Times New Roman" w:hint="eastAsia"/>
          <w:kern w:val="2"/>
          <w:sz w:val="21"/>
          <w:szCs w:val="24"/>
          <w:lang w:val="en-US" w:eastAsia="zh-CN"/>
        </w:rPr>
        <w:t>，基多</w:t>
      </w:r>
    </w:p>
    <w:p w14:paraId="4D52FB6D" w14:textId="77777777" w:rsidR="00174755" w:rsidRPr="00174755" w:rsidRDefault="00174755" w:rsidP="00174755">
      <w:pPr>
        <w:spacing w:after="0" w:line="240" w:lineRule="auto"/>
        <w:rPr>
          <w:rFonts w:ascii="Arial" w:eastAsia="SimSun" w:hAnsi="Arial" w:cs="Arial"/>
          <w:szCs w:val="20"/>
          <w:lang w:val="en-US" w:eastAsia="zh-CN"/>
        </w:rPr>
      </w:pPr>
    </w:p>
    <w:p w14:paraId="03846901" w14:textId="77777777" w:rsidR="00174755" w:rsidRPr="00174755" w:rsidRDefault="00174755" w:rsidP="00174755">
      <w:pPr>
        <w:spacing w:after="0" w:line="240" w:lineRule="auto"/>
        <w:rPr>
          <w:rFonts w:ascii="Arial" w:eastAsia="SimSun" w:hAnsi="Arial" w:cs="Arial"/>
          <w:szCs w:val="20"/>
          <w:lang w:val="en-US" w:eastAsia="zh-CN"/>
        </w:rPr>
      </w:pPr>
    </w:p>
    <w:p w14:paraId="09BD0E21" w14:textId="77777777" w:rsidR="00174755" w:rsidRPr="00174755" w:rsidRDefault="00174755" w:rsidP="00174755">
      <w:pPr>
        <w:spacing w:after="0" w:line="240" w:lineRule="auto"/>
        <w:rPr>
          <w:rFonts w:ascii="Arial" w:eastAsia="SimSun" w:hAnsi="Arial" w:cs="Arial"/>
          <w:szCs w:val="20"/>
          <w:lang w:val="en-US" w:eastAsia="zh-CN"/>
        </w:rPr>
      </w:pPr>
    </w:p>
    <w:p w14:paraId="34D3B565" w14:textId="77777777" w:rsidR="00174755" w:rsidRPr="00174755" w:rsidRDefault="00174755" w:rsidP="00174755">
      <w:pPr>
        <w:spacing w:after="0" w:line="240" w:lineRule="auto"/>
        <w:rPr>
          <w:rFonts w:ascii="Arial" w:eastAsia="SimSun" w:hAnsi="Arial" w:cs="Arial"/>
          <w:szCs w:val="20"/>
          <w:lang w:val="en-US" w:eastAsia="zh-CN"/>
        </w:rPr>
      </w:pPr>
    </w:p>
    <w:p w14:paraId="38E2C061" w14:textId="4E57D0C5" w:rsidR="00174755" w:rsidRPr="00174755" w:rsidRDefault="00174755" w:rsidP="00174755">
      <w:pPr>
        <w:overflowPunct w:val="0"/>
        <w:spacing w:afterLines="50" w:after="120" w:line="340" w:lineRule="atLeast"/>
        <w:jc w:val="both"/>
        <w:rPr>
          <w:rFonts w:ascii="SimSun" w:eastAsia="SimSun" w:hAnsi="SimSun" w:cs="Arial"/>
          <w:sz w:val="21"/>
          <w:szCs w:val="20"/>
          <w:lang w:val="en-US" w:eastAsia="zh-CN"/>
        </w:rPr>
      </w:pPr>
      <w:r w:rsidRPr="00174755">
        <w:rPr>
          <w:rFonts w:ascii="SimSun" w:eastAsia="SimSun" w:hAnsi="SimSun" w:cs="Arial"/>
          <w:sz w:val="21"/>
          <w:szCs w:val="20"/>
          <w:lang w:val="en-US" w:eastAsia="zh-CN"/>
        </w:rPr>
        <w:t>1.</w:t>
      </w:r>
      <w:r w:rsidRPr="00174755">
        <w:rPr>
          <w:rFonts w:ascii="SimSun" w:eastAsia="SimSun" w:hAnsi="SimSun" w:cs="Arial"/>
          <w:sz w:val="21"/>
          <w:szCs w:val="20"/>
          <w:lang w:val="en-US" w:eastAsia="zh-CN"/>
        </w:rPr>
        <w:tab/>
      </w:r>
      <w:r w:rsidRPr="00174755">
        <w:rPr>
          <w:rFonts w:ascii="SimSun" w:eastAsia="SimSun" w:hAnsi="SimSun" w:cs="SimSun" w:hint="eastAsia"/>
          <w:sz w:val="21"/>
          <w:szCs w:val="20"/>
          <w:lang w:val="en-US" w:eastAsia="zh-CN"/>
        </w:rPr>
        <w:t>本文件附件载有</w:t>
      </w:r>
      <w:r w:rsidRPr="00174755">
        <w:rPr>
          <w:rFonts w:ascii="SimSun" w:eastAsia="SimSun" w:hAnsi="SimSun" w:cs="SimSun" w:hint="eastAsia"/>
          <w:sz w:val="21"/>
          <w:szCs w:val="20"/>
          <w:lang w:val="en-US" w:eastAsia="zh-CN"/>
        </w:rPr>
        <w:t>在“知识产权、旅游业与文化：在埃及和其他发展中国家支持发展目标、推广文化遗产项目”（CDIP/15/7 Rev.）的框架下</w:t>
      </w:r>
      <w:r w:rsidRPr="00174755">
        <w:rPr>
          <w:rFonts w:ascii="SimSun" w:eastAsia="SimSun" w:hAnsi="SimSun" w:cs="SimSun" w:hint="eastAsia"/>
          <w:sz w:val="21"/>
          <w:szCs w:val="20"/>
          <w:lang w:val="en-US" w:eastAsia="zh-CN"/>
        </w:rPr>
        <w:t>开展的</w:t>
      </w:r>
      <w:r w:rsidRPr="00174755">
        <w:rPr>
          <w:rFonts w:ascii="SimSun" w:eastAsia="SimSun" w:hAnsi="SimSun" w:cs="SimSun" w:hint="eastAsia"/>
          <w:sz w:val="21"/>
          <w:szCs w:val="20"/>
          <w:lang w:val="en-US" w:eastAsia="zh-CN"/>
        </w:rPr>
        <w:t>“知识产权：在因巴布拉地质公园项目</w:t>
      </w:r>
      <w:r w:rsidR="002202FF">
        <w:rPr>
          <w:rFonts w:ascii="SimSun" w:eastAsia="SimSun" w:hAnsi="SimSun" w:cs="SimSun" w:hint="eastAsia"/>
          <w:sz w:val="21"/>
          <w:szCs w:val="20"/>
          <w:lang w:val="en-US" w:eastAsia="zh-CN"/>
        </w:rPr>
        <w:t>的</w:t>
      </w:r>
      <w:r w:rsidRPr="00174755">
        <w:rPr>
          <w:rFonts w:ascii="SimSun" w:eastAsia="SimSun" w:hAnsi="SimSun" w:cs="SimSun" w:hint="eastAsia"/>
          <w:sz w:val="21"/>
          <w:szCs w:val="20"/>
          <w:lang w:val="en-US" w:eastAsia="zh-CN"/>
        </w:rPr>
        <w:t>框架内加强该省认同的机制”</w:t>
      </w:r>
      <w:r w:rsidRPr="00174755">
        <w:rPr>
          <w:rFonts w:ascii="SimSun" w:eastAsia="SimSun" w:hAnsi="SimSun" w:cs="SimSun" w:hint="eastAsia"/>
          <w:sz w:val="21"/>
          <w:szCs w:val="20"/>
          <w:lang w:val="en-US" w:eastAsia="zh-CN"/>
        </w:rPr>
        <w:t>的</w:t>
      </w:r>
      <w:r>
        <w:rPr>
          <w:rFonts w:ascii="SimSun" w:eastAsia="SimSun" w:hAnsi="SimSun" w:cs="SimSun" w:hint="eastAsia"/>
          <w:sz w:val="21"/>
          <w:szCs w:val="20"/>
          <w:lang w:val="en-US" w:eastAsia="zh-CN"/>
        </w:rPr>
        <w:t>研究</w:t>
      </w:r>
      <w:r w:rsidRPr="00174755">
        <w:rPr>
          <w:rFonts w:ascii="SimSun" w:eastAsia="SimSun" w:hAnsi="SimSun" w:cs="SimSun" w:hint="eastAsia"/>
          <w:sz w:val="21"/>
          <w:szCs w:val="20"/>
          <w:lang w:val="en-US" w:eastAsia="zh-CN"/>
        </w:rPr>
        <w:t>摘要。</w:t>
      </w:r>
    </w:p>
    <w:p w14:paraId="6DFB1729" w14:textId="15FE9323" w:rsidR="00174755" w:rsidRPr="00174755" w:rsidRDefault="00174755" w:rsidP="00174755">
      <w:pPr>
        <w:overflowPunct w:val="0"/>
        <w:spacing w:afterLines="50" w:after="120" w:line="340" w:lineRule="atLeast"/>
        <w:jc w:val="both"/>
        <w:rPr>
          <w:rFonts w:ascii="SimSun" w:eastAsia="SimSun" w:hAnsi="SimSun" w:cs="Arial"/>
          <w:sz w:val="21"/>
          <w:szCs w:val="20"/>
          <w:lang w:val="en-US" w:eastAsia="zh-CN"/>
        </w:rPr>
      </w:pPr>
      <w:r w:rsidRPr="00174755">
        <w:rPr>
          <w:rFonts w:ascii="SimSun" w:eastAsia="SimSun" w:hAnsi="SimSun" w:cs="Arial"/>
          <w:sz w:val="21"/>
          <w:szCs w:val="20"/>
          <w:lang w:val="en-US" w:eastAsia="zh-CN"/>
        </w:rPr>
        <w:t>2.</w:t>
      </w:r>
      <w:r w:rsidRPr="00174755">
        <w:rPr>
          <w:rFonts w:ascii="SimSun" w:eastAsia="SimSun" w:hAnsi="SimSun" w:cs="Arial"/>
          <w:sz w:val="21"/>
          <w:szCs w:val="20"/>
          <w:lang w:val="en-US" w:eastAsia="zh-CN"/>
        </w:rPr>
        <w:tab/>
      </w:r>
      <w:r w:rsidRPr="00174755">
        <w:rPr>
          <w:rFonts w:ascii="SimSun" w:eastAsia="SimSun" w:hAnsi="SimSun" w:cs="Arial" w:hint="eastAsia"/>
          <w:sz w:val="21"/>
          <w:szCs w:val="20"/>
          <w:lang w:val="en-US" w:eastAsia="zh-CN"/>
        </w:rPr>
        <w:t>本</w:t>
      </w:r>
      <w:r w:rsidRPr="00174755">
        <w:rPr>
          <w:rFonts w:ascii="SimSun" w:eastAsia="SimSun" w:hAnsi="SimSun" w:cs="SimSun" w:hint="eastAsia"/>
          <w:sz w:val="21"/>
          <w:szCs w:val="20"/>
          <w:lang w:val="en-US" w:eastAsia="zh-CN"/>
        </w:rPr>
        <w:t>研究报告</w:t>
      </w:r>
      <w:r>
        <w:rPr>
          <w:rFonts w:ascii="SimSun" w:eastAsia="SimSun" w:hAnsi="SimSun" w:cs="SimSun" w:hint="eastAsia"/>
          <w:sz w:val="21"/>
          <w:szCs w:val="20"/>
          <w:lang w:val="en-US" w:eastAsia="zh-CN"/>
        </w:rPr>
        <w:t>是由基多</w:t>
      </w:r>
      <w:proofErr w:type="spellStart"/>
      <w:r w:rsidRPr="00174755">
        <w:rPr>
          <w:rFonts w:ascii="SimSun" w:eastAsia="SimSun" w:hAnsi="SimSun" w:cs="SimSun" w:hint="eastAsia"/>
          <w:sz w:val="21"/>
          <w:szCs w:val="20"/>
          <w:lang w:val="en-US" w:eastAsia="zh-CN"/>
        </w:rPr>
        <w:t>Kompany</w:t>
      </w:r>
      <w:proofErr w:type="spellEnd"/>
      <w:r w:rsidRPr="00174755">
        <w:rPr>
          <w:rFonts w:ascii="SimSun" w:eastAsia="SimSun" w:hAnsi="SimSun" w:cs="SimSun" w:hint="eastAsia"/>
          <w:sz w:val="21"/>
          <w:szCs w:val="20"/>
          <w:lang w:val="en-US" w:eastAsia="zh-CN"/>
        </w:rPr>
        <w:t xml:space="preserve"> </w:t>
      </w:r>
      <w:proofErr w:type="spellStart"/>
      <w:r w:rsidRPr="00174755">
        <w:rPr>
          <w:rFonts w:ascii="SimSun" w:eastAsia="SimSun" w:hAnsi="SimSun" w:cs="SimSun" w:hint="eastAsia"/>
          <w:sz w:val="21"/>
          <w:szCs w:val="20"/>
          <w:lang w:val="en-US" w:eastAsia="zh-CN"/>
        </w:rPr>
        <w:t>Latam</w:t>
      </w:r>
      <w:proofErr w:type="spellEnd"/>
      <w:r w:rsidRPr="00174755">
        <w:rPr>
          <w:rFonts w:ascii="SimSun" w:eastAsia="SimSun" w:hAnsi="SimSun" w:cs="SimSun" w:hint="eastAsia"/>
          <w:sz w:val="21"/>
          <w:szCs w:val="20"/>
          <w:lang w:val="en-US" w:eastAsia="zh-CN"/>
        </w:rPr>
        <w:t>创始人、创意主任</w:t>
      </w:r>
      <w:proofErr w:type="spellStart"/>
      <w:r w:rsidRPr="00174755">
        <w:rPr>
          <w:rFonts w:ascii="SimSun" w:eastAsia="SimSun" w:hAnsi="SimSun" w:cs="SimSun" w:hint="eastAsia"/>
          <w:sz w:val="21"/>
          <w:szCs w:val="20"/>
          <w:lang w:val="en-US" w:eastAsia="zh-CN"/>
        </w:rPr>
        <w:t>Sebasti</w:t>
      </w:r>
      <w:proofErr w:type="spellEnd"/>
      <w:r w:rsidRPr="00174755">
        <w:rPr>
          <w:rFonts w:ascii="SimSun" w:eastAsia="SimSun" w:hAnsi="SimSun" w:cs="SimSun" w:hint="eastAsia"/>
          <w:sz w:val="21"/>
          <w:szCs w:val="20"/>
          <w:lang w:val="en-US" w:eastAsia="zh-CN"/>
        </w:rPr>
        <w:t>án Barrera</w:t>
      </w:r>
      <w:r w:rsidRPr="00174755">
        <w:rPr>
          <w:rFonts w:ascii="SimSun" w:eastAsia="SimSun" w:hAnsi="SimSun" w:cs="SimSun" w:hint="eastAsia"/>
          <w:sz w:val="21"/>
          <w:szCs w:val="20"/>
          <w:lang w:val="en-US" w:eastAsia="zh-CN"/>
        </w:rPr>
        <w:t>编写的。</w:t>
      </w:r>
    </w:p>
    <w:p w14:paraId="54B47C80" w14:textId="77777777" w:rsidR="00174755" w:rsidRPr="00174755" w:rsidRDefault="00174755" w:rsidP="002202FF">
      <w:pPr>
        <w:overflowPunct w:val="0"/>
        <w:spacing w:afterLines="50" w:after="120" w:line="340" w:lineRule="atLeast"/>
        <w:ind w:left="5534"/>
        <w:jc w:val="both"/>
        <w:rPr>
          <w:rFonts w:ascii="KaiTi" w:eastAsia="KaiTi" w:hAnsi="KaiTi" w:cs="Arial"/>
          <w:sz w:val="21"/>
          <w:szCs w:val="20"/>
          <w:lang w:val="en-US" w:eastAsia="zh-CN"/>
        </w:rPr>
      </w:pPr>
      <w:r w:rsidRPr="00174755">
        <w:rPr>
          <w:rFonts w:ascii="KaiTi" w:eastAsia="KaiTi" w:hAnsi="KaiTi" w:cs="Arial"/>
          <w:iCs/>
          <w:sz w:val="21"/>
          <w:szCs w:val="20"/>
          <w:lang w:val="en-US" w:eastAsia="zh-CN"/>
        </w:rPr>
        <w:t>3.</w:t>
      </w:r>
      <w:r w:rsidRPr="00174755">
        <w:rPr>
          <w:rFonts w:ascii="KaiTi" w:eastAsia="KaiTi" w:hAnsi="KaiTi" w:cs="Arial" w:hint="eastAsia"/>
          <w:iCs/>
          <w:sz w:val="21"/>
          <w:szCs w:val="20"/>
          <w:lang w:val="en-US" w:eastAsia="zh-CN"/>
        </w:rPr>
        <w:tab/>
        <w:t>请CDIP注意本文件附件中所载的信息。</w:t>
      </w:r>
    </w:p>
    <w:p w14:paraId="4EEFC781" w14:textId="77777777" w:rsidR="00174755" w:rsidRPr="00174755" w:rsidRDefault="00174755" w:rsidP="00174755">
      <w:pPr>
        <w:overflowPunct w:val="0"/>
        <w:spacing w:afterLines="50" w:after="120" w:line="340" w:lineRule="atLeast"/>
        <w:ind w:left="5534"/>
        <w:jc w:val="both"/>
        <w:rPr>
          <w:rFonts w:ascii="KaiTi" w:eastAsia="KaiTi" w:hAnsi="KaiTi" w:cs="Arial"/>
          <w:sz w:val="21"/>
          <w:szCs w:val="20"/>
          <w:lang w:val="en-US" w:eastAsia="zh-CN"/>
        </w:rPr>
      </w:pPr>
    </w:p>
    <w:p w14:paraId="7C959A9E" w14:textId="77777777" w:rsidR="00174755" w:rsidRPr="00174755" w:rsidRDefault="00174755" w:rsidP="00174755">
      <w:pPr>
        <w:overflowPunct w:val="0"/>
        <w:spacing w:afterLines="50" w:after="120" w:line="340" w:lineRule="atLeast"/>
        <w:ind w:left="5534"/>
        <w:jc w:val="both"/>
        <w:rPr>
          <w:rFonts w:ascii="KaiTi" w:eastAsia="KaiTi" w:hAnsi="KaiTi" w:cs="Arial"/>
          <w:sz w:val="21"/>
          <w:szCs w:val="20"/>
          <w:lang w:val="en-US" w:eastAsia="zh-CN"/>
        </w:rPr>
      </w:pPr>
      <w:r w:rsidRPr="00174755">
        <w:rPr>
          <w:rFonts w:ascii="KaiTi" w:eastAsia="KaiTi" w:hAnsi="KaiTi" w:cs="Arial"/>
          <w:sz w:val="21"/>
          <w:szCs w:val="20"/>
          <w:lang w:val="en-US" w:eastAsia="zh-CN"/>
        </w:rPr>
        <w:t>[</w:t>
      </w:r>
      <w:r w:rsidRPr="00174755">
        <w:rPr>
          <w:rFonts w:ascii="KaiTi" w:eastAsia="KaiTi" w:hAnsi="KaiTi" w:cs="Arial" w:hint="eastAsia"/>
          <w:sz w:val="21"/>
          <w:szCs w:val="20"/>
          <w:lang w:val="en-US" w:eastAsia="zh-CN"/>
        </w:rPr>
        <w:t>后接附件</w:t>
      </w:r>
      <w:r w:rsidRPr="00174755">
        <w:rPr>
          <w:rFonts w:ascii="KaiTi" w:eastAsia="KaiTi" w:hAnsi="KaiTi" w:cs="Arial"/>
          <w:sz w:val="21"/>
          <w:szCs w:val="20"/>
          <w:lang w:val="en-US" w:eastAsia="zh-CN"/>
        </w:rPr>
        <w:t>]</w:t>
      </w:r>
    </w:p>
    <w:p w14:paraId="1259A440" w14:textId="77777777" w:rsidR="00174755" w:rsidRPr="00174755" w:rsidRDefault="00174755" w:rsidP="00174755">
      <w:pPr>
        <w:spacing w:after="0" w:line="240" w:lineRule="auto"/>
        <w:rPr>
          <w:rFonts w:ascii="SimSun" w:eastAsia="SimSun" w:hAnsi="SimSun" w:cs="Arial"/>
          <w:sz w:val="21"/>
          <w:szCs w:val="20"/>
          <w:lang w:val="en-US" w:eastAsia="zh-CN"/>
        </w:rPr>
      </w:pPr>
    </w:p>
    <w:p w14:paraId="13FEE0AD" w14:textId="77777777" w:rsidR="00174755" w:rsidRPr="00174755" w:rsidRDefault="00174755" w:rsidP="00174755">
      <w:pPr>
        <w:spacing w:after="0" w:line="240" w:lineRule="auto"/>
        <w:rPr>
          <w:rFonts w:ascii="SimSun" w:eastAsia="SimSun" w:hAnsi="SimSun" w:cs="Arial"/>
          <w:sz w:val="21"/>
          <w:szCs w:val="20"/>
          <w:lang w:val="en-US" w:eastAsia="zh-CN"/>
        </w:rPr>
        <w:sectPr w:rsidR="00174755" w:rsidRPr="00174755" w:rsidSect="00174755">
          <w:headerReference w:type="default" r:id="rId9"/>
          <w:footerReference w:type="default" r:id="rId10"/>
          <w:endnotePr>
            <w:numFmt w:val="decimal"/>
          </w:endnotePr>
          <w:pgSz w:w="11907" w:h="16840" w:code="9"/>
          <w:pgMar w:top="567" w:right="1134" w:bottom="1418" w:left="1418" w:header="510" w:footer="1021" w:gutter="0"/>
          <w:cols w:space="720"/>
          <w:titlePg/>
          <w:docGrid w:linePitch="299"/>
        </w:sectPr>
      </w:pPr>
    </w:p>
    <w:p w14:paraId="09E5292A" w14:textId="0FDBBC98" w:rsidR="00337ECC" w:rsidRPr="00773898" w:rsidRDefault="00174755" w:rsidP="00773898">
      <w:pPr>
        <w:spacing w:beforeLines="100" w:before="240" w:afterLines="50" w:after="120" w:line="340" w:lineRule="atLeast"/>
        <w:jc w:val="center"/>
        <w:rPr>
          <w:rFonts w:asciiTheme="minorEastAsia" w:hAnsiTheme="minorEastAsia"/>
          <w:b/>
          <w:bCs/>
          <w:sz w:val="21"/>
          <w:lang w:val="en-US" w:eastAsia="zh-CN"/>
        </w:rPr>
      </w:pPr>
      <w:r w:rsidRPr="00773898">
        <w:rPr>
          <w:rFonts w:asciiTheme="minorEastAsia" w:hAnsiTheme="minorEastAsia" w:hint="eastAsia"/>
          <w:b/>
          <w:bCs/>
          <w:sz w:val="21"/>
          <w:lang w:val="en-US" w:eastAsia="zh-CN"/>
        </w:rPr>
        <w:lastRenderedPageBreak/>
        <w:t>知识产权：在因巴布拉地质公园项目</w:t>
      </w:r>
      <w:r w:rsidR="00DA2DC0">
        <w:rPr>
          <w:rFonts w:asciiTheme="minorEastAsia" w:hAnsiTheme="minorEastAsia" w:hint="eastAsia"/>
          <w:b/>
          <w:bCs/>
          <w:sz w:val="21"/>
          <w:lang w:val="en-US" w:eastAsia="zh-CN"/>
        </w:rPr>
        <w:t>的</w:t>
      </w:r>
      <w:r w:rsidRPr="00773898">
        <w:rPr>
          <w:rFonts w:asciiTheme="minorEastAsia" w:hAnsiTheme="minorEastAsia" w:hint="eastAsia"/>
          <w:b/>
          <w:bCs/>
          <w:sz w:val="21"/>
          <w:lang w:val="en-US" w:eastAsia="zh-CN"/>
        </w:rPr>
        <w:t>框架内加强该省认同的机制</w:t>
      </w:r>
    </w:p>
    <w:p w14:paraId="3768F3B2" w14:textId="3DA52A8E" w:rsidR="00337ECC" w:rsidRPr="00773898" w:rsidRDefault="00BB3972" w:rsidP="00773898">
      <w:pPr>
        <w:spacing w:beforeLines="100" w:before="240" w:afterLines="50" w:after="120" w:line="340" w:lineRule="atLeast"/>
        <w:rPr>
          <w:rFonts w:ascii="SimHei" w:eastAsia="SimHei" w:hAnsi="SimHei"/>
          <w:bCs/>
          <w:sz w:val="21"/>
          <w:lang w:val="en-US" w:eastAsia="zh-CN"/>
        </w:rPr>
      </w:pPr>
      <w:r w:rsidRPr="00773898">
        <w:rPr>
          <w:rFonts w:ascii="SimHei" w:eastAsia="SimHei" w:hAnsi="SimHei" w:hint="eastAsia"/>
          <w:bCs/>
          <w:sz w:val="21"/>
          <w:lang w:val="en-US" w:eastAsia="zh-CN"/>
        </w:rPr>
        <w:t>摘</w:t>
      </w:r>
      <w:r w:rsidR="006822B9" w:rsidRPr="00773898">
        <w:rPr>
          <w:rFonts w:ascii="SimHei" w:eastAsia="SimHei" w:hAnsi="SimHei" w:hint="eastAsia"/>
          <w:bCs/>
          <w:sz w:val="21"/>
          <w:lang w:val="en-US" w:eastAsia="zh-CN"/>
        </w:rPr>
        <w:t xml:space="preserve">  </w:t>
      </w:r>
      <w:r w:rsidRPr="00773898">
        <w:rPr>
          <w:rFonts w:ascii="SimHei" w:eastAsia="SimHei" w:hAnsi="SimHei" w:hint="eastAsia"/>
          <w:bCs/>
          <w:sz w:val="21"/>
          <w:lang w:val="en-US" w:eastAsia="zh-CN"/>
        </w:rPr>
        <w:t>要</w:t>
      </w:r>
      <w:bookmarkStart w:id="6" w:name="_GoBack"/>
      <w:bookmarkEnd w:id="6"/>
    </w:p>
    <w:p w14:paraId="0B47D577" w14:textId="0A57A43E" w:rsidR="00BB3972" w:rsidRPr="00773898" w:rsidRDefault="00BB3972"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在与因巴布拉地质公园项目相关的知识产权、旅游</w:t>
      </w:r>
      <w:r w:rsidR="00F63BC9" w:rsidRPr="00773898">
        <w:rPr>
          <w:rFonts w:asciiTheme="minorEastAsia" w:hAnsiTheme="minorEastAsia" w:hint="eastAsia"/>
          <w:bCs/>
          <w:sz w:val="21"/>
          <w:lang w:val="en-US" w:eastAsia="zh-CN"/>
        </w:rPr>
        <w:t>业</w:t>
      </w:r>
      <w:r w:rsidRPr="00773898">
        <w:rPr>
          <w:rFonts w:asciiTheme="minorEastAsia" w:hAnsiTheme="minorEastAsia" w:hint="eastAsia"/>
          <w:bCs/>
          <w:sz w:val="21"/>
          <w:lang w:val="en-US" w:eastAsia="zh-CN"/>
        </w:rPr>
        <w:t>和文化项目框架内开展的这项研究旨在作为一个支持工具，用于确定因巴布拉省</w:t>
      </w:r>
      <w:r w:rsidR="00623928" w:rsidRPr="00773898">
        <w:rPr>
          <w:rFonts w:asciiTheme="minorEastAsia" w:hAnsiTheme="minorEastAsia" w:hint="eastAsia"/>
          <w:bCs/>
          <w:sz w:val="21"/>
          <w:lang w:val="en-US" w:eastAsia="zh-CN"/>
        </w:rPr>
        <w:t>现有</w:t>
      </w:r>
      <w:r w:rsidRPr="00773898">
        <w:rPr>
          <w:rFonts w:asciiTheme="minorEastAsia" w:hAnsiTheme="minorEastAsia" w:hint="eastAsia"/>
          <w:bCs/>
          <w:sz w:val="21"/>
          <w:lang w:val="en-US" w:eastAsia="zh-CN"/>
        </w:rPr>
        <w:t>的</w:t>
      </w:r>
      <w:r w:rsidR="00676280" w:rsidRPr="00773898">
        <w:rPr>
          <w:rFonts w:asciiTheme="minorEastAsia" w:hAnsiTheme="minorEastAsia" w:hint="eastAsia"/>
          <w:bCs/>
          <w:sz w:val="21"/>
          <w:lang w:val="en-US" w:eastAsia="zh-CN"/>
        </w:rPr>
        <w:t>旅游资源，以便</w:t>
      </w:r>
      <w:r w:rsidR="00623928" w:rsidRPr="00773898">
        <w:rPr>
          <w:rFonts w:asciiTheme="minorEastAsia" w:hAnsiTheme="minorEastAsia" w:hint="eastAsia"/>
          <w:bCs/>
          <w:sz w:val="21"/>
          <w:lang w:val="en-US" w:eastAsia="zh-CN"/>
        </w:rPr>
        <w:t>将其</w:t>
      </w:r>
      <w:r w:rsidR="00676280" w:rsidRPr="00773898">
        <w:rPr>
          <w:rFonts w:asciiTheme="minorEastAsia" w:hAnsiTheme="minorEastAsia" w:hint="eastAsia"/>
          <w:bCs/>
          <w:sz w:val="21"/>
          <w:lang w:val="en-US" w:eastAsia="zh-CN"/>
        </w:rPr>
        <w:t>与知识产权联系起来。摘要如下。</w:t>
      </w:r>
    </w:p>
    <w:p w14:paraId="18CBD04E" w14:textId="3AB251D6" w:rsidR="00676280" w:rsidRPr="00773898" w:rsidRDefault="00676280"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该研究从对环</w:t>
      </w:r>
      <w:r w:rsidR="00623928" w:rsidRPr="00773898">
        <w:rPr>
          <w:rFonts w:asciiTheme="minorEastAsia" w:hAnsiTheme="minorEastAsia" w:hint="eastAsia"/>
          <w:bCs/>
          <w:sz w:val="21"/>
          <w:lang w:val="en-US" w:eastAsia="zh-CN"/>
        </w:rPr>
        <w:t>境和旅游资源的概述</w:t>
      </w:r>
      <w:r w:rsidRPr="00773898">
        <w:rPr>
          <w:rFonts w:asciiTheme="minorEastAsia" w:hAnsiTheme="minorEastAsia" w:hint="eastAsia"/>
          <w:bCs/>
          <w:sz w:val="21"/>
          <w:lang w:val="en-US" w:eastAsia="zh-CN"/>
        </w:rPr>
        <w:t>入手，介绍了旅游部门的各项指数，例如厄瓜多尔的外国游客类型。</w:t>
      </w:r>
    </w:p>
    <w:p w14:paraId="24076A8E" w14:textId="4EF89DAF" w:rsidR="00676280" w:rsidRPr="00773898" w:rsidRDefault="00676280"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还</w:t>
      </w:r>
      <w:r w:rsidR="00623928" w:rsidRPr="00773898">
        <w:rPr>
          <w:rFonts w:asciiTheme="minorEastAsia" w:hAnsiTheme="minorEastAsia" w:hint="eastAsia"/>
          <w:bCs/>
          <w:sz w:val="21"/>
          <w:lang w:val="en-US" w:eastAsia="zh-CN"/>
        </w:rPr>
        <w:t>对</w:t>
      </w:r>
      <w:r w:rsidRPr="00773898">
        <w:rPr>
          <w:rFonts w:asciiTheme="minorEastAsia" w:hAnsiTheme="minorEastAsia" w:hint="eastAsia"/>
          <w:bCs/>
          <w:sz w:val="21"/>
          <w:lang w:val="en-US" w:eastAsia="zh-CN"/>
        </w:rPr>
        <w:t>因巴布拉</w:t>
      </w:r>
      <w:proofErr w:type="gramStart"/>
      <w:r w:rsidRPr="00773898">
        <w:rPr>
          <w:rFonts w:asciiTheme="minorEastAsia" w:hAnsiTheme="minorEastAsia" w:hint="eastAsia"/>
          <w:bCs/>
          <w:sz w:val="21"/>
          <w:lang w:val="en-US" w:eastAsia="zh-CN"/>
        </w:rPr>
        <w:t>省当地</w:t>
      </w:r>
      <w:proofErr w:type="gramEnd"/>
      <w:r w:rsidRPr="00773898">
        <w:rPr>
          <w:rFonts w:asciiTheme="minorEastAsia" w:hAnsiTheme="minorEastAsia" w:hint="eastAsia"/>
          <w:bCs/>
          <w:sz w:val="21"/>
          <w:lang w:val="en-US" w:eastAsia="zh-CN"/>
        </w:rPr>
        <w:t>旅游业的</w:t>
      </w:r>
      <w:r w:rsidR="00623928" w:rsidRPr="00773898">
        <w:rPr>
          <w:rFonts w:asciiTheme="minorEastAsia" w:hAnsiTheme="minorEastAsia" w:hint="eastAsia"/>
          <w:bCs/>
          <w:sz w:val="21"/>
          <w:lang w:val="en-US" w:eastAsia="zh-CN"/>
        </w:rPr>
        <w:t>管理情况进行了概述</w:t>
      </w:r>
      <w:r w:rsidR="005E1C4F" w:rsidRPr="00773898">
        <w:rPr>
          <w:rFonts w:asciiTheme="minorEastAsia" w:hAnsiTheme="minorEastAsia" w:hint="eastAsia"/>
          <w:bCs/>
          <w:sz w:val="21"/>
          <w:lang w:val="en-US" w:eastAsia="zh-CN"/>
        </w:rPr>
        <w:t>。这部分的侧重点是</w:t>
      </w:r>
      <w:r w:rsidRPr="00773898">
        <w:rPr>
          <w:rFonts w:asciiTheme="minorEastAsia" w:hAnsiTheme="minorEastAsia" w:hint="eastAsia"/>
          <w:bCs/>
          <w:sz w:val="21"/>
          <w:lang w:val="en-US" w:eastAsia="zh-CN"/>
        </w:rPr>
        <w:t>制造</w:t>
      </w:r>
      <w:r w:rsidR="005E1C4F" w:rsidRPr="00773898">
        <w:rPr>
          <w:rFonts w:asciiTheme="minorEastAsia" w:hAnsiTheme="minorEastAsia" w:hint="eastAsia"/>
          <w:bCs/>
          <w:sz w:val="21"/>
          <w:lang w:val="en-US" w:eastAsia="zh-CN"/>
        </w:rPr>
        <w:t>业</w:t>
      </w:r>
      <w:r w:rsidRPr="00773898">
        <w:rPr>
          <w:rFonts w:asciiTheme="minorEastAsia" w:hAnsiTheme="minorEastAsia" w:hint="eastAsia"/>
          <w:bCs/>
          <w:sz w:val="21"/>
          <w:lang w:val="en-US" w:eastAsia="zh-CN"/>
        </w:rPr>
        <w:t>，以及生产部门</w:t>
      </w:r>
      <w:r w:rsidR="005E1C4F" w:rsidRPr="00773898">
        <w:rPr>
          <w:rFonts w:asciiTheme="minorEastAsia" w:hAnsiTheme="minorEastAsia" w:hint="eastAsia"/>
          <w:bCs/>
          <w:sz w:val="21"/>
          <w:lang w:val="en-US" w:eastAsia="zh-CN"/>
        </w:rPr>
        <w:t>对该省</w:t>
      </w:r>
      <w:r w:rsidRPr="00773898">
        <w:rPr>
          <w:rFonts w:asciiTheme="minorEastAsia" w:hAnsiTheme="minorEastAsia" w:hint="eastAsia"/>
          <w:bCs/>
          <w:sz w:val="21"/>
          <w:lang w:val="en-US" w:eastAsia="zh-CN"/>
        </w:rPr>
        <w:t>经济情况</w:t>
      </w:r>
      <w:r w:rsidR="005E1C4F" w:rsidRPr="00773898">
        <w:rPr>
          <w:rFonts w:asciiTheme="minorEastAsia" w:hAnsiTheme="minorEastAsia" w:hint="eastAsia"/>
          <w:bCs/>
          <w:sz w:val="21"/>
          <w:lang w:val="en-US" w:eastAsia="zh-CN"/>
        </w:rPr>
        <w:t>的影响</w:t>
      </w:r>
      <w:r w:rsidRPr="00773898">
        <w:rPr>
          <w:rFonts w:asciiTheme="minorEastAsia" w:hAnsiTheme="minorEastAsia" w:hint="eastAsia"/>
          <w:bCs/>
          <w:sz w:val="21"/>
          <w:lang w:val="en-US" w:eastAsia="zh-CN"/>
        </w:rPr>
        <w:t>。</w:t>
      </w:r>
    </w:p>
    <w:p w14:paraId="790FD261" w14:textId="28A7AF82" w:rsidR="00AE7359" w:rsidRPr="00773898" w:rsidRDefault="00E506B6"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对</w:t>
      </w:r>
      <w:r w:rsidR="00074D76" w:rsidRPr="00773898">
        <w:rPr>
          <w:rFonts w:asciiTheme="minorEastAsia" w:hAnsiTheme="minorEastAsia" w:hint="eastAsia"/>
          <w:bCs/>
          <w:sz w:val="21"/>
          <w:lang w:val="en-US" w:eastAsia="zh-CN"/>
        </w:rPr>
        <w:t>因巴布拉省以及</w:t>
      </w:r>
      <w:r w:rsidR="00AE7359" w:rsidRPr="00773898">
        <w:rPr>
          <w:rFonts w:asciiTheme="minorEastAsia" w:hAnsiTheme="minorEastAsia" w:hint="eastAsia"/>
          <w:bCs/>
          <w:sz w:val="21"/>
          <w:lang w:val="en-US" w:eastAsia="zh-CN"/>
        </w:rPr>
        <w:t>全国范围内手工艺品生产对于经济的影响</w:t>
      </w:r>
      <w:r w:rsidRPr="00773898">
        <w:rPr>
          <w:rFonts w:asciiTheme="minorEastAsia" w:hAnsiTheme="minorEastAsia" w:hint="eastAsia"/>
          <w:bCs/>
          <w:sz w:val="21"/>
          <w:lang w:val="en-US" w:eastAsia="zh-CN"/>
        </w:rPr>
        <w:t>作了简要介绍</w:t>
      </w:r>
      <w:r w:rsidR="00AE7359" w:rsidRPr="00773898">
        <w:rPr>
          <w:rFonts w:asciiTheme="minorEastAsia" w:hAnsiTheme="minorEastAsia" w:hint="eastAsia"/>
          <w:bCs/>
          <w:sz w:val="21"/>
          <w:lang w:val="en-US" w:eastAsia="zh-CN"/>
        </w:rPr>
        <w:t>。</w:t>
      </w:r>
    </w:p>
    <w:p w14:paraId="2B4525EC" w14:textId="2E62A8A3" w:rsidR="0041697D" w:rsidRPr="00773898" w:rsidRDefault="00452E44"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强调了</w:t>
      </w:r>
      <w:r w:rsidR="0041697D" w:rsidRPr="00773898">
        <w:rPr>
          <w:rFonts w:asciiTheme="minorEastAsia" w:hAnsiTheme="minorEastAsia" w:hint="eastAsia"/>
          <w:bCs/>
          <w:sz w:val="21"/>
          <w:lang w:val="en-US" w:eastAsia="zh-CN"/>
        </w:rPr>
        <w:t>返璞归真的重要性</w:t>
      </w:r>
      <w:r w:rsidRPr="00773898">
        <w:rPr>
          <w:rFonts w:asciiTheme="minorEastAsia" w:hAnsiTheme="minorEastAsia" w:hint="eastAsia"/>
          <w:bCs/>
          <w:sz w:val="21"/>
          <w:lang w:val="en-US" w:eastAsia="zh-CN"/>
        </w:rPr>
        <w:t>（</w:t>
      </w:r>
      <w:r w:rsidR="00407ABB" w:rsidRPr="00773898">
        <w:rPr>
          <w:rFonts w:asciiTheme="minorEastAsia" w:hAnsiTheme="minorEastAsia" w:hint="eastAsia"/>
          <w:bCs/>
          <w:sz w:val="21"/>
          <w:lang w:val="en-US" w:eastAsia="zh-CN"/>
        </w:rPr>
        <w:t>这</w:t>
      </w:r>
      <w:r w:rsidRPr="00773898">
        <w:rPr>
          <w:rFonts w:asciiTheme="minorEastAsia" w:hAnsiTheme="minorEastAsia" w:hint="eastAsia"/>
          <w:bCs/>
          <w:sz w:val="21"/>
          <w:lang w:val="en-US" w:eastAsia="zh-CN"/>
        </w:rPr>
        <w:t>点</w:t>
      </w:r>
      <w:r w:rsidR="00407ABB" w:rsidRPr="00773898">
        <w:rPr>
          <w:rFonts w:asciiTheme="minorEastAsia" w:hAnsiTheme="minorEastAsia" w:hint="eastAsia"/>
          <w:bCs/>
          <w:sz w:val="21"/>
          <w:lang w:val="en-US" w:eastAsia="zh-CN"/>
        </w:rPr>
        <w:t>体现在土著文化的影响上</w:t>
      </w:r>
      <w:r w:rsidRPr="00773898">
        <w:rPr>
          <w:rFonts w:asciiTheme="minorEastAsia" w:hAnsiTheme="minorEastAsia" w:hint="eastAsia"/>
          <w:bCs/>
          <w:sz w:val="21"/>
          <w:lang w:val="en-US" w:eastAsia="zh-CN"/>
        </w:rPr>
        <w:t>）</w:t>
      </w:r>
      <w:r w:rsidR="0041697D" w:rsidRPr="00773898">
        <w:rPr>
          <w:rFonts w:asciiTheme="minorEastAsia" w:hAnsiTheme="minorEastAsia" w:hint="eastAsia"/>
          <w:bCs/>
          <w:sz w:val="21"/>
          <w:lang w:val="en-US" w:eastAsia="zh-CN"/>
        </w:rPr>
        <w:t>，</w:t>
      </w:r>
      <w:r w:rsidRPr="00773898">
        <w:rPr>
          <w:rFonts w:asciiTheme="minorEastAsia" w:hAnsiTheme="minorEastAsia" w:hint="eastAsia"/>
          <w:bCs/>
          <w:sz w:val="21"/>
          <w:lang w:val="en-US" w:eastAsia="zh-CN"/>
        </w:rPr>
        <w:t>以及如何将其</w:t>
      </w:r>
      <w:r w:rsidR="00407ABB" w:rsidRPr="00773898">
        <w:rPr>
          <w:rFonts w:asciiTheme="minorEastAsia" w:hAnsiTheme="minorEastAsia" w:hint="eastAsia"/>
          <w:bCs/>
          <w:sz w:val="21"/>
          <w:lang w:val="en-US" w:eastAsia="zh-CN"/>
        </w:rPr>
        <w:t>与</w:t>
      </w:r>
      <w:r w:rsidR="0041697D" w:rsidRPr="00773898">
        <w:rPr>
          <w:rFonts w:asciiTheme="minorEastAsia" w:hAnsiTheme="minorEastAsia" w:hint="eastAsia"/>
          <w:bCs/>
          <w:sz w:val="21"/>
          <w:lang w:val="en-US" w:eastAsia="zh-CN"/>
        </w:rPr>
        <w:t>旅游业，特别是探险旅游结合在一起。</w:t>
      </w:r>
      <w:r w:rsidR="000B41BB" w:rsidRPr="00773898">
        <w:rPr>
          <w:rFonts w:asciiTheme="minorEastAsia" w:hAnsiTheme="minorEastAsia" w:hint="eastAsia"/>
          <w:bCs/>
          <w:sz w:val="21"/>
          <w:lang w:val="en-US" w:eastAsia="zh-CN"/>
        </w:rPr>
        <w:t>该研究表明，</w:t>
      </w:r>
      <w:r w:rsidR="00407ABB" w:rsidRPr="00773898">
        <w:rPr>
          <w:rFonts w:asciiTheme="minorEastAsia" w:hAnsiTheme="minorEastAsia" w:hint="eastAsia"/>
          <w:bCs/>
          <w:sz w:val="21"/>
          <w:lang w:val="en-US" w:eastAsia="zh-CN"/>
        </w:rPr>
        <w:t>游客们不仅</w:t>
      </w:r>
      <w:r w:rsidR="000B41BB" w:rsidRPr="00773898">
        <w:rPr>
          <w:rFonts w:asciiTheme="minorEastAsia" w:hAnsiTheme="minorEastAsia" w:hint="eastAsia"/>
          <w:bCs/>
          <w:sz w:val="21"/>
          <w:lang w:val="en-US" w:eastAsia="zh-CN"/>
        </w:rPr>
        <w:t>希望</w:t>
      </w:r>
      <w:r w:rsidR="00407ABB" w:rsidRPr="00773898">
        <w:rPr>
          <w:rFonts w:asciiTheme="minorEastAsia" w:hAnsiTheme="minorEastAsia" w:hint="eastAsia"/>
          <w:bCs/>
          <w:sz w:val="21"/>
          <w:lang w:val="en-US" w:eastAsia="zh-CN"/>
        </w:rPr>
        <w:t>作为外国人</w:t>
      </w:r>
      <w:r w:rsidRPr="00773898">
        <w:rPr>
          <w:rFonts w:asciiTheme="minorEastAsia" w:hAnsiTheme="minorEastAsia" w:hint="eastAsia"/>
          <w:bCs/>
          <w:sz w:val="21"/>
          <w:lang w:val="en-US" w:eastAsia="zh-CN"/>
        </w:rPr>
        <w:t>进行</w:t>
      </w:r>
      <w:r w:rsidR="000B41BB" w:rsidRPr="00773898">
        <w:rPr>
          <w:rFonts w:asciiTheme="minorEastAsia" w:hAnsiTheme="minorEastAsia" w:hint="eastAsia"/>
          <w:bCs/>
          <w:sz w:val="21"/>
          <w:lang w:val="en-US" w:eastAsia="zh-CN"/>
        </w:rPr>
        <w:t>参观和享受体验</w:t>
      </w:r>
      <w:r w:rsidR="00783644" w:rsidRPr="00773898">
        <w:rPr>
          <w:rFonts w:asciiTheme="minorEastAsia" w:hAnsiTheme="minorEastAsia" w:hint="eastAsia"/>
          <w:bCs/>
          <w:sz w:val="21"/>
          <w:lang w:val="en-US" w:eastAsia="zh-CN"/>
        </w:rPr>
        <w:t>，与之相反，他们希望沉浸入</w:t>
      </w:r>
      <w:r w:rsidR="000B41BB" w:rsidRPr="00773898">
        <w:rPr>
          <w:rFonts w:asciiTheme="minorEastAsia" w:hAnsiTheme="minorEastAsia" w:hint="eastAsia"/>
          <w:bCs/>
          <w:sz w:val="21"/>
          <w:lang w:val="en-US" w:eastAsia="zh-CN"/>
        </w:rPr>
        <w:t>体验中并成为社区的一部分。</w:t>
      </w:r>
    </w:p>
    <w:p w14:paraId="3621B998" w14:textId="2065EBC0" w:rsidR="00801DD9" w:rsidRPr="00773898" w:rsidRDefault="00801DD9"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鉴于</w:t>
      </w:r>
      <w:r w:rsidR="005A1E81" w:rsidRPr="00773898">
        <w:rPr>
          <w:rFonts w:asciiTheme="minorEastAsia" w:hAnsiTheme="minorEastAsia" w:hint="eastAsia"/>
          <w:bCs/>
          <w:sz w:val="21"/>
          <w:lang w:val="en-US" w:eastAsia="zh-CN"/>
        </w:rPr>
        <w:t>该项目的形式取决于</w:t>
      </w:r>
      <w:r w:rsidR="00452E44" w:rsidRPr="00773898">
        <w:rPr>
          <w:rFonts w:asciiTheme="minorEastAsia" w:hAnsiTheme="minorEastAsia" w:hint="eastAsia"/>
          <w:bCs/>
          <w:sz w:val="21"/>
          <w:lang w:val="en-US" w:eastAsia="zh-CN"/>
        </w:rPr>
        <w:t>一旦经联合国教科文组织批准后</w:t>
      </w:r>
      <w:r w:rsidR="005A1E81" w:rsidRPr="00773898">
        <w:rPr>
          <w:rFonts w:asciiTheme="minorEastAsia" w:hAnsiTheme="minorEastAsia" w:hint="eastAsia"/>
          <w:bCs/>
          <w:sz w:val="21"/>
          <w:lang w:val="en-US" w:eastAsia="zh-CN"/>
        </w:rPr>
        <w:t>，</w:t>
      </w:r>
      <w:r w:rsidRPr="00773898">
        <w:rPr>
          <w:rFonts w:asciiTheme="minorEastAsia" w:hAnsiTheme="minorEastAsia" w:hint="eastAsia"/>
          <w:bCs/>
          <w:sz w:val="21"/>
          <w:lang w:val="en-US" w:eastAsia="zh-CN"/>
        </w:rPr>
        <w:t>因巴布拉地质公园</w:t>
      </w:r>
      <w:r w:rsidR="005A1E81" w:rsidRPr="00773898">
        <w:rPr>
          <w:rFonts w:asciiTheme="minorEastAsia" w:hAnsiTheme="minorEastAsia" w:hint="eastAsia"/>
          <w:bCs/>
          <w:sz w:val="21"/>
          <w:lang w:val="en-US" w:eastAsia="zh-CN"/>
        </w:rPr>
        <w:t>将展现的形式</w:t>
      </w:r>
      <w:r w:rsidRPr="00773898">
        <w:rPr>
          <w:rFonts w:asciiTheme="minorEastAsia" w:hAnsiTheme="minorEastAsia" w:hint="eastAsia"/>
          <w:bCs/>
          <w:sz w:val="21"/>
          <w:lang w:val="en-US" w:eastAsia="zh-CN"/>
        </w:rPr>
        <w:t>，它还审查了拉丁美洲其他地质公园</w:t>
      </w:r>
      <w:r w:rsidR="00EC536F" w:rsidRPr="00773898">
        <w:rPr>
          <w:rFonts w:asciiTheme="minorEastAsia" w:hAnsiTheme="minorEastAsia" w:hint="eastAsia"/>
          <w:bCs/>
          <w:sz w:val="21"/>
          <w:lang w:val="en-US" w:eastAsia="zh-CN"/>
        </w:rPr>
        <w:t>的经验及其开发方式。因此，对于</w:t>
      </w:r>
      <w:r w:rsidR="00E62A41" w:rsidRPr="00773898">
        <w:rPr>
          <w:rFonts w:asciiTheme="minorEastAsia" w:hAnsiTheme="minorEastAsia" w:hint="eastAsia"/>
          <w:bCs/>
          <w:sz w:val="21"/>
          <w:lang w:val="en-US" w:eastAsia="zh-CN"/>
        </w:rPr>
        <w:t>开发</w:t>
      </w:r>
      <w:r w:rsidR="00EC536F" w:rsidRPr="00773898">
        <w:rPr>
          <w:rFonts w:asciiTheme="minorEastAsia" w:hAnsiTheme="minorEastAsia" w:hint="eastAsia"/>
          <w:bCs/>
          <w:sz w:val="21"/>
          <w:lang w:val="en-US" w:eastAsia="zh-CN"/>
        </w:rPr>
        <w:t>旅游活动的特定市场进行了</w:t>
      </w:r>
      <w:r w:rsidR="005A1E81" w:rsidRPr="00773898">
        <w:rPr>
          <w:rFonts w:asciiTheme="minorEastAsia" w:hAnsiTheme="minorEastAsia" w:hint="eastAsia"/>
          <w:bCs/>
          <w:sz w:val="21"/>
          <w:lang w:val="en-US" w:eastAsia="zh-CN"/>
        </w:rPr>
        <w:t>确切的</w:t>
      </w:r>
      <w:r w:rsidR="00EC536F" w:rsidRPr="00773898">
        <w:rPr>
          <w:rFonts w:asciiTheme="minorEastAsia" w:hAnsiTheme="minorEastAsia" w:hint="eastAsia"/>
          <w:bCs/>
          <w:sz w:val="21"/>
          <w:lang w:val="en-US" w:eastAsia="zh-CN"/>
        </w:rPr>
        <w:t>分析，并对美利坚合众国、加拿大、德国和联合王国等国家进行了审查，这些国家的国外旅游率很高，其国民是因巴布拉地质公园的潜在游客。</w:t>
      </w:r>
    </w:p>
    <w:p w14:paraId="148DF483" w14:textId="29B72029" w:rsidR="00A94027" w:rsidRPr="00773898" w:rsidRDefault="00A94027"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对因巴布拉现有的旅游资源作了介绍，并对该省</w:t>
      </w:r>
      <w:r w:rsidR="005A1E81" w:rsidRPr="00773898">
        <w:rPr>
          <w:rFonts w:asciiTheme="minorEastAsia" w:hAnsiTheme="minorEastAsia" w:hint="eastAsia"/>
          <w:bCs/>
          <w:sz w:val="21"/>
          <w:lang w:val="en-US" w:eastAsia="zh-CN"/>
        </w:rPr>
        <w:t>各地区</w:t>
      </w:r>
      <w:r w:rsidRPr="00773898">
        <w:rPr>
          <w:rFonts w:asciiTheme="minorEastAsia" w:hAnsiTheme="minorEastAsia" w:hint="eastAsia"/>
          <w:bCs/>
          <w:sz w:val="21"/>
          <w:lang w:val="en-US" w:eastAsia="zh-CN"/>
        </w:rPr>
        <w:t>和主要城市及其旅游服务方面的侧重点进行了分析，</w:t>
      </w:r>
      <w:r w:rsidR="00E62A41" w:rsidRPr="00773898">
        <w:rPr>
          <w:rFonts w:asciiTheme="minorEastAsia" w:hAnsiTheme="minorEastAsia" w:hint="eastAsia"/>
          <w:bCs/>
          <w:sz w:val="21"/>
          <w:lang w:val="en-US" w:eastAsia="zh-CN"/>
        </w:rPr>
        <w:t>这些城市</w:t>
      </w:r>
      <w:r w:rsidRPr="00773898">
        <w:rPr>
          <w:rFonts w:asciiTheme="minorEastAsia" w:hAnsiTheme="minorEastAsia" w:hint="eastAsia"/>
          <w:bCs/>
          <w:sz w:val="21"/>
          <w:lang w:val="en-US" w:eastAsia="zh-CN"/>
        </w:rPr>
        <w:t>包括：奥塔瓦洛</w:t>
      </w:r>
      <w:r w:rsidRPr="00773898">
        <w:rPr>
          <w:rFonts w:asciiTheme="minorEastAsia" w:hAnsiTheme="minorEastAsia" w:cs="Arial" w:hint="eastAsia"/>
          <w:color w:val="222222"/>
          <w:sz w:val="21"/>
          <w:lang w:eastAsia="zh-CN"/>
        </w:rPr>
        <w:t>、伊瓦拉、科塔卡奇、皮马普罗、安东尼奥安特和乌尔奎基。</w:t>
      </w:r>
    </w:p>
    <w:p w14:paraId="710228C2" w14:textId="2E01E7B6" w:rsidR="00A94027" w:rsidRPr="00773898" w:rsidRDefault="00A94027"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对每个地区的土著居</w:t>
      </w:r>
      <w:r w:rsidR="00E62A41" w:rsidRPr="00773898">
        <w:rPr>
          <w:rFonts w:asciiTheme="minorEastAsia" w:hAnsiTheme="minorEastAsia" w:hint="eastAsia"/>
          <w:bCs/>
          <w:sz w:val="21"/>
          <w:lang w:val="en-US" w:eastAsia="zh-CN"/>
        </w:rPr>
        <w:t>民和当地居民所开展</w:t>
      </w:r>
      <w:r w:rsidRPr="00773898">
        <w:rPr>
          <w:rFonts w:asciiTheme="minorEastAsia" w:hAnsiTheme="minorEastAsia" w:hint="eastAsia"/>
          <w:bCs/>
          <w:sz w:val="21"/>
          <w:lang w:val="en-US" w:eastAsia="zh-CN"/>
        </w:rPr>
        <w:t>活动的开发情况</w:t>
      </w:r>
      <w:r w:rsidR="0085025D" w:rsidRPr="00773898">
        <w:rPr>
          <w:rFonts w:asciiTheme="minorEastAsia" w:hAnsiTheme="minorEastAsia" w:hint="eastAsia"/>
          <w:bCs/>
          <w:sz w:val="21"/>
          <w:lang w:val="en-US" w:eastAsia="zh-CN"/>
        </w:rPr>
        <w:t>，</w:t>
      </w:r>
      <w:r w:rsidRPr="00773898">
        <w:rPr>
          <w:rFonts w:asciiTheme="minorEastAsia" w:hAnsiTheme="minorEastAsia" w:hint="eastAsia"/>
          <w:bCs/>
          <w:sz w:val="21"/>
          <w:lang w:val="en-US" w:eastAsia="zh-CN"/>
        </w:rPr>
        <w:t>以及他们的主要</w:t>
      </w:r>
      <w:r w:rsidR="0085025D" w:rsidRPr="00773898">
        <w:rPr>
          <w:rFonts w:asciiTheme="minorEastAsia" w:hAnsiTheme="minorEastAsia" w:hint="eastAsia"/>
          <w:bCs/>
          <w:sz w:val="21"/>
          <w:lang w:val="en-US" w:eastAsia="zh-CN"/>
        </w:rPr>
        <w:t>庆祝活动进行了讨论。“</w:t>
      </w:r>
      <w:r w:rsidR="0085025D" w:rsidRPr="00773898">
        <w:rPr>
          <w:rFonts w:asciiTheme="minorEastAsia" w:hAnsiTheme="minorEastAsia"/>
          <w:bCs/>
          <w:sz w:val="21"/>
          <w:lang w:val="en-US" w:eastAsia="zh-CN"/>
        </w:rPr>
        <w:t xml:space="preserve">Inti </w:t>
      </w:r>
      <w:proofErr w:type="spellStart"/>
      <w:r w:rsidR="0085025D" w:rsidRPr="00773898">
        <w:rPr>
          <w:rFonts w:asciiTheme="minorEastAsia" w:hAnsiTheme="minorEastAsia"/>
          <w:bCs/>
          <w:sz w:val="21"/>
          <w:lang w:val="en-US" w:eastAsia="zh-CN"/>
        </w:rPr>
        <w:t>Raymi</w:t>
      </w:r>
      <w:proofErr w:type="spellEnd"/>
      <w:r w:rsidR="0085025D" w:rsidRPr="00773898">
        <w:rPr>
          <w:rFonts w:asciiTheme="minorEastAsia" w:hAnsiTheme="minorEastAsia" w:hint="eastAsia"/>
          <w:bCs/>
          <w:iCs/>
          <w:sz w:val="21"/>
          <w:lang w:val="en-US" w:eastAsia="zh-CN"/>
        </w:rPr>
        <w:t>”，</w:t>
      </w:r>
      <w:r w:rsidR="00773898" w:rsidRPr="00773898">
        <w:rPr>
          <w:rFonts w:asciiTheme="minorEastAsia" w:hAnsiTheme="minorEastAsia" w:hint="eastAsia"/>
          <w:bCs/>
          <w:iCs/>
          <w:sz w:val="21"/>
          <w:lang w:val="en-US" w:eastAsia="zh-CN"/>
        </w:rPr>
        <w:t>即</w:t>
      </w:r>
      <w:r w:rsidR="0085025D" w:rsidRPr="00773898">
        <w:rPr>
          <w:rFonts w:asciiTheme="minorEastAsia" w:hAnsiTheme="minorEastAsia" w:hint="eastAsia"/>
          <w:bCs/>
          <w:iCs/>
          <w:sz w:val="21"/>
          <w:lang w:val="en-US" w:eastAsia="zh-CN"/>
        </w:rPr>
        <w:t>太阳节，是几乎所有地区的主要庆祝活动之一。对外国游客的另一主要吸引力是该省的传统美食。一些地区的美食大同小异，而在例如伊巴拉市，有各种各样的特色产品，如</w:t>
      </w:r>
      <w:proofErr w:type="spellStart"/>
      <w:r w:rsidR="0085025D" w:rsidRPr="00773898">
        <w:rPr>
          <w:rFonts w:asciiTheme="minorEastAsia" w:hAnsiTheme="minorEastAsia"/>
          <w:bCs/>
          <w:sz w:val="21"/>
          <w:lang w:val="en-US" w:eastAsia="zh-CN"/>
        </w:rPr>
        <w:t>paila</w:t>
      </w:r>
      <w:proofErr w:type="spellEnd"/>
      <w:r w:rsidR="0085025D" w:rsidRPr="00773898">
        <w:rPr>
          <w:rFonts w:asciiTheme="minorEastAsia" w:hAnsiTheme="minorEastAsia" w:hint="eastAsia"/>
          <w:bCs/>
          <w:iCs/>
          <w:sz w:val="21"/>
          <w:lang w:val="en-US" w:eastAsia="zh-CN"/>
        </w:rPr>
        <w:t>冰淇淋或黑莓糖浆。</w:t>
      </w:r>
    </w:p>
    <w:p w14:paraId="48604BE9" w14:textId="69DB686F" w:rsidR="0085025D" w:rsidRPr="00773898" w:rsidRDefault="007F4861"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确定了每个地区</w:t>
      </w:r>
      <w:r w:rsidR="00074D76" w:rsidRPr="00773898">
        <w:rPr>
          <w:rFonts w:asciiTheme="minorEastAsia" w:hAnsiTheme="minorEastAsia" w:hint="eastAsia"/>
          <w:bCs/>
          <w:sz w:val="21"/>
          <w:lang w:val="en-US" w:eastAsia="zh-CN"/>
        </w:rPr>
        <w:t>面向</w:t>
      </w:r>
      <w:r w:rsidRPr="00773898">
        <w:rPr>
          <w:rFonts w:asciiTheme="minorEastAsia" w:hAnsiTheme="minorEastAsia" w:hint="eastAsia"/>
          <w:bCs/>
          <w:sz w:val="21"/>
          <w:lang w:val="en-US" w:eastAsia="zh-CN"/>
        </w:rPr>
        <w:t>游客</w:t>
      </w:r>
      <w:r w:rsidR="00074D76" w:rsidRPr="00773898">
        <w:rPr>
          <w:rFonts w:asciiTheme="minorEastAsia" w:hAnsiTheme="minorEastAsia" w:hint="eastAsia"/>
          <w:bCs/>
          <w:sz w:val="21"/>
          <w:lang w:val="en-US" w:eastAsia="zh-CN"/>
        </w:rPr>
        <w:t>的景点</w:t>
      </w:r>
      <w:r w:rsidRPr="00773898">
        <w:rPr>
          <w:rFonts w:asciiTheme="minorEastAsia" w:hAnsiTheme="minorEastAsia" w:hint="eastAsia"/>
          <w:bCs/>
          <w:sz w:val="21"/>
          <w:lang w:val="en-US" w:eastAsia="zh-CN"/>
        </w:rPr>
        <w:t>。由于该省不同的小气候，这些</w:t>
      </w:r>
      <w:r w:rsidR="00074D76" w:rsidRPr="00773898">
        <w:rPr>
          <w:rFonts w:asciiTheme="minorEastAsia" w:hAnsiTheme="minorEastAsia" w:hint="eastAsia"/>
          <w:bCs/>
          <w:sz w:val="21"/>
          <w:lang w:val="en-US" w:eastAsia="zh-CN"/>
        </w:rPr>
        <w:t>景点</w:t>
      </w:r>
      <w:r w:rsidRPr="00773898">
        <w:rPr>
          <w:rFonts w:asciiTheme="minorEastAsia" w:hAnsiTheme="minorEastAsia" w:hint="eastAsia"/>
          <w:bCs/>
          <w:sz w:val="21"/>
          <w:lang w:val="en-US" w:eastAsia="zh-CN"/>
        </w:rPr>
        <w:t>主要是具有独特和多样地貌的地区。</w:t>
      </w:r>
    </w:p>
    <w:p w14:paraId="1D2E1180" w14:textId="68E22FF8" w:rsidR="007F4861" w:rsidRPr="00773898" w:rsidRDefault="00E62A41"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针对旅游资源确定的特色，该省</w:t>
      </w:r>
      <w:r w:rsidR="00074D76" w:rsidRPr="00773898">
        <w:rPr>
          <w:rFonts w:asciiTheme="minorEastAsia" w:hAnsiTheme="minorEastAsia" w:hint="eastAsia"/>
          <w:bCs/>
          <w:sz w:val="21"/>
          <w:lang w:val="en-US" w:eastAsia="zh-CN"/>
        </w:rPr>
        <w:t>的现有资源</w:t>
      </w:r>
      <w:r w:rsidR="00804FE2" w:rsidRPr="00773898">
        <w:rPr>
          <w:rFonts w:asciiTheme="minorEastAsia" w:hAnsiTheme="minorEastAsia" w:hint="eastAsia"/>
          <w:bCs/>
          <w:sz w:val="21"/>
          <w:lang w:val="en-US" w:eastAsia="zh-CN"/>
        </w:rPr>
        <w:t>在知识产权方面得到了加强。已经发现</w:t>
      </w:r>
      <w:r w:rsidRPr="00773898">
        <w:rPr>
          <w:rFonts w:asciiTheme="minorEastAsia" w:hAnsiTheme="minorEastAsia" w:hint="eastAsia"/>
          <w:bCs/>
          <w:sz w:val="21"/>
          <w:lang w:val="en-US" w:eastAsia="zh-CN"/>
        </w:rPr>
        <w:t>鉴于拥有</w:t>
      </w:r>
      <w:proofErr w:type="gramStart"/>
      <w:r w:rsidR="00804FE2" w:rsidRPr="00773898">
        <w:rPr>
          <w:rFonts w:asciiTheme="minorEastAsia" w:hAnsiTheme="minorEastAsia" w:hint="eastAsia"/>
          <w:bCs/>
          <w:sz w:val="21"/>
          <w:lang w:val="en-US" w:eastAsia="zh-CN"/>
        </w:rPr>
        <w:t>有</w:t>
      </w:r>
      <w:proofErr w:type="gramEnd"/>
      <w:r w:rsidR="00804FE2" w:rsidRPr="00773898">
        <w:rPr>
          <w:rFonts w:asciiTheme="minorEastAsia" w:hAnsiTheme="minorEastAsia" w:hint="eastAsia"/>
          <w:bCs/>
          <w:sz w:val="21"/>
          <w:lang w:val="en-US" w:eastAsia="zh-CN"/>
        </w:rPr>
        <w:t>旅游资源，</w:t>
      </w:r>
      <w:r w:rsidRPr="00773898">
        <w:rPr>
          <w:rFonts w:asciiTheme="minorEastAsia" w:hAnsiTheme="minorEastAsia" w:hint="eastAsia"/>
          <w:bCs/>
          <w:sz w:val="21"/>
          <w:lang w:val="en-US" w:eastAsia="zh-CN"/>
        </w:rPr>
        <w:t>在知识产权方面</w:t>
      </w:r>
      <w:r w:rsidR="00804FE2" w:rsidRPr="00773898">
        <w:rPr>
          <w:rFonts w:asciiTheme="minorEastAsia" w:hAnsiTheme="minorEastAsia" w:hint="eastAsia"/>
          <w:bCs/>
          <w:sz w:val="21"/>
          <w:lang w:val="en-US" w:eastAsia="zh-CN"/>
        </w:rPr>
        <w:t>需要</w:t>
      </w:r>
      <w:r w:rsidRPr="00773898">
        <w:rPr>
          <w:rFonts w:asciiTheme="minorEastAsia" w:hAnsiTheme="minorEastAsia" w:hint="eastAsia"/>
          <w:bCs/>
          <w:sz w:val="21"/>
          <w:lang w:val="en-US" w:eastAsia="zh-CN"/>
        </w:rPr>
        <w:t>给予更多</w:t>
      </w:r>
      <w:r w:rsidR="00804FE2" w:rsidRPr="00773898">
        <w:rPr>
          <w:rFonts w:asciiTheme="minorEastAsia" w:hAnsiTheme="minorEastAsia" w:hint="eastAsia"/>
          <w:bCs/>
          <w:sz w:val="21"/>
          <w:lang w:val="en-US" w:eastAsia="zh-CN"/>
        </w:rPr>
        <w:t>关注，服务方面也</w:t>
      </w:r>
      <w:r w:rsidRPr="00773898">
        <w:rPr>
          <w:rFonts w:asciiTheme="minorEastAsia" w:hAnsiTheme="minorEastAsia" w:hint="eastAsia"/>
          <w:bCs/>
          <w:sz w:val="21"/>
          <w:lang w:val="en-US" w:eastAsia="zh-CN"/>
        </w:rPr>
        <w:t>是如此</w:t>
      </w:r>
      <w:r w:rsidR="00804FE2" w:rsidRPr="00773898">
        <w:rPr>
          <w:rFonts w:asciiTheme="minorEastAsia" w:hAnsiTheme="minorEastAsia" w:hint="eastAsia"/>
          <w:bCs/>
          <w:sz w:val="21"/>
          <w:lang w:val="en-US" w:eastAsia="zh-CN"/>
        </w:rPr>
        <w:t>。</w:t>
      </w:r>
      <w:r w:rsidRPr="00773898">
        <w:rPr>
          <w:rFonts w:asciiTheme="minorEastAsia" w:hAnsiTheme="minorEastAsia" w:hint="eastAsia"/>
          <w:bCs/>
          <w:sz w:val="21"/>
          <w:lang w:val="en-US" w:eastAsia="zh-CN"/>
        </w:rPr>
        <w:t>尽管如此</w:t>
      </w:r>
      <w:r w:rsidR="00804FE2" w:rsidRPr="00773898">
        <w:rPr>
          <w:rFonts w:asciiTheme="minorEastAsia" w:hAnsiTheme="minorEastAsia" w:hint="eastAsia"/>
          <w:bCs/>
          <w:sz w:val="21"/>
          <w:lang w:val="en-US" w:eastAsia="zh-CN"/>
        </w:rPr>
        <w:t>，还考虑到</w:t>
      </w:r>
      <w:r w:rsidR="00010F90" w:rsidRPr="00773898">
        <w:rPr>
          <w:rFonts w:asciiTheme="minorEastAsia" w:hAnsiTheme="minorEastAsia" w:hint="eastAsia"/>
          <w:bCs/>
          <w:sz w:val="21"/>
          <w:lang w:val="en-US" w:eastAsia="zh-CN"/>
        </w:rPr>
        <w:t>有必要创建一个或多个品牌，使这些服务的提供商能够互相支持，以完善、改进他们的工作或为其提供附加价值。</w:t>
      </w:r>
    </w:p>
    <w:p w14:paraId="194F20B2" w14:textId="3B9C42F5" w:rsidR="00010F90" w:rsidRPr="00773898" w:rsidRDefault="00783644"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同样</w:t>
      </w:r>
      <w:r w:rsidR="00010F90" w:rsidRPr="00773898">
        <w:rPr>
          <w:rFonts w:asciiTheme="minorEastAsia" w:hAnsiTheme="minorEastAsia" w:hint="eastAsia"/>
          <w:bCs/>
          <w:sz w:val="21"/>
          <w:lang w:val="en-US" w:eastAsia="zh-CN"/>
        </w:rPr>
        <w:t>，对于像手工艺品、服装这样的产品及其他产品，该研究强调了解决这</w:t>
      </w:r>
      <w:r w:rsidR="001663FC" w:rsidRPr="00773898">
        <w:rPr>
          <w:rFonts w:asciiTheme="minorEastAsia" w:hAnsiTheme="minorEastAsia" w:hint="eastAsia"/>
          <w:bCs/>
          <w:sz w:val="21"/>
          <w:lang w:val="en-US" w:eastAsia="zh-CN"/>
        </w:rPr>
        <w:t>一差距</w:t>
      </w:r>
      <w:r w:rsidR="00010F90" w:rsidRPr="00773898">
        <w:rPr>
          <w:rFonts w:asciiTheme="minorEastAsia" w:hAnsiTheme="minorEastAsia" w:hint="eastAsia"/>
          <w:bCs/>
          <w:sz w:val="21"/>
          <w:lang w:val="en-US" w:eastAsia="zh-CN"/>
        </w:rPr>
        <w:t>的必要性，因巴布拉地质公园旨在建造一个将为该省居民的生产发展提供支持的公园。</w:t>
      </w:r>
    </w:p>
    <w:p w14:paraId="325FCA0F" w14:textId="537C7245" w:rsidR="00010F90" w:rsidRPr="00773898" w:rsidRDefault="00010F90" w:rsidP="00773898">
      <w:pPr>
        <w:spacing w:afterLines="50" w:after="120" w:line="340" w:lineRule="atLeast"/>
        <w:ind w:firstLineChars="200" w:firstLine="420"/>
        <w:jc w:val="both"/>
        <w:rPr>
          <w:rFonts w:asciiTheme="minorEastAsia" w:hAnsiTheme="minorEastAsia"/>
          <w:bCs/>
          <w:sz w:val="21"/>
          <w:lang w:val="en-US" w:eastAsia="zh-CN"/>
        </w:rPr>
      </w:pPr>
      <w:r w:rsidRPr="00773898">
        <w:rPr>
          <w:rFonts w:asciiTheme="minorEastAsia" w:hAnsiTheme="minorEastAsia" w:hint="eastAsia"/>
          <w:bCs/>
          <w:sz w:val="21"/>
          <w:lang w:val="en-US" w:eastAsia="zh-CN"/>
        </w:rPr>
        <w:t>应当强调每个地区的典型特色，例如科塔卡奇的皮革或苏莱塔的刺绣。还应确定用该地区的产品或以特色方式制作的典型菜肴</w:t>
      </w:r>
    </w:p>
    <w:p w14:paraId="1B43EA86" w14:textId="6EC4C84B" w:rsidR="00010F90" w:rsidRPr="00773898" w:rsidRDefault="00010F90" w:rsidP="00773898">
      <w:pPr>
        <w:spacing w:afterLines="50" w:after="120" w:line="340" w:lineRule="atLeast"/>
        <w:ind w:firstLineChars="200" w:firstLine="420"/>
        <w:jc w:val="both"/>
        <w:rPr>
          <w:rFonts w:asciiTheme="minorEastAsia" w:hAnsiTheme="minorEastAsia" w:hint="eastAsia"/>
          <w:bCs/>
          <w:sz w:val="21"/>
          <w:lang w:val="en-US" w:eastAsia="zh-CN"/>
        </w:rPr>
      </w:pPr>
      <w:r w:rsidRPr="00773898">
        <w:rPr>
          <w:rFonts w:asciiTheme="minorEastAsia" w:hAnsiTheme="minorEastAsia" w:hint="eastAsia"/>
          <w:bCs/>
          <w:sz w:val="21"/>
          <w:lang w:val="en-US" w:eastAsia="zh-CN"/>
        </w:rPr>
        <w:t>同样值得强调的是利用原产地</w:t>
      </w:r>
      <w:r w:rsidR="00A66FB0" w:rsidRPr="00773898">
        <w:rPr>
          <w:rFonts w:asciiTheme="minorEastAsia" w:hAnsiTheme="minorEastAsia" w:hint="eastAsia"/>
          <w:bCs/>
          <w:sz w:val="21"/>
          <w:lang w:val="en-US" w:eastAsia="zh-CN"/>
        </w:rPr>
        <w:t>名称或地理标志的建议，这将增加具有这些特征的产品的附加值，弘扬</w:t>
      </w:r>
      <w:r w:rsidRPr="00773898">
        <w:rPr>
          <w:rFonts w:asciiTheme="minorEastAsia" w:hAnsiTheme="minorEastAsia" w:hint="eastAsia"/>
          <w:bCs/>
          <w:sz w:val="21"/>
          <w:lang w:val="en-US" w:eastAsia="zh-CN"/>
        </w:rPr>
        <w:t>文化和</w:t>
      </w:r>
      <w:r w:rsidR="00A66FB0" w:rsidRPr="00773898">
        <w:rPr>
          <w:rFonts w:asciiTheme="minorEastAsia" w:hAnsiTheme="minorEastAsia" w:hint="eastAsia"/>
          <w:bCs/>
          <w:sz w:val="21"/>
          <w:lang w:val="en-US" w:eastAsia="zh-CN"/>
        </w:rPr>
        <w:t>促进对</w:t>
      </w:r>
      <w:r w:rsidRPr="00773898">
        <w:rPr>
          <w:rFonts w:asciiTheme="minorEastAsia" w:hAnsiTheme="minorEastAsia" w:hint="eastAsia"/>
          <w:bCs/>
          <w:sz w:val="21"/>
          <w:lang w:val="en-US" w:eastAsia="zh-CN"/>
        </w:rPr>
        <w:t>自然资源的保护</w:t>
      </w:r>
      <w:r w:rsidR="00A66FB0" w:rsidRPr="00773898">
        <w:rPr>
          <w:rFonts w:asciiTheme="minorEastAsia" w:hAnsiTheme="minorEastAsia" w:hint="eastAsia"/>
          <w:bCs/>
          <w:sz w:val="21"/>
          <w:lang w:val="en-US" w:eastAsia="zh-CN"/>
        </w:rPr>
        <w:t>，同时注重在自然和文化环境中可持续发展的旅游业。</w:t>
      </w:r>
    </w:p>
    <w:p w14:paraId="6CDD5962" w14:textId="0EBC69B3" w:rsidR="00773898" w:rsidRPr="00773898" w:rsidRDefault="00773898" w:rsidP="00773898">
      <w:pPr>
        <w:overflowPunct w:val="0"/>
        <w:spacing w:beforeLines="100" w:before="240" w:afterLines="50" w:after="120" w:line="340" w:lineRule="atLeast"/>
        <w:ind w:left="5534"/>
        <w:jc w:val="both"/>
        <w:rPr>
          <w:rFonts w:asciiTheme="minorEastAsia" w:hAnsiTheme="minorEastAsia"/>
          <w:bCs/>
          <w:sz w:val="21"/>
          <w:lang w:val="en-US" w:eastAsia="zh-CN"/>
        </w:rPr>
      </w:pPr>
      <w:r w:rsidRPr="00174755">
        <w:rPr>
          <w:rFonts w:ascii="KaiTi" w:eastAsia="KaiTi" w:hAnsi="KaiTi" w:cs="Arial"/>
          <w:sz w:val="21"/>
          <w:szCs w:val="20"/>
          <w:lang w:val="en-US" w:eastAsia="zh-CN"/>
        </w:rPr>
        <w:t>[</w:t>
      </w:r>
      <w:r w:rsidRPr="00174755">
        <w:rPr>
          <w:rFonts w:ascii="KaiTi" w:eastAsia="KaiTi" w:hAnsi="KaiTi" w:cs="Arial" w:hint="eastAsia"/>
          <w:sz w:val="21"/>
          <w:szCs w:val="20"/>
          <w:lang w:val="en-US" w:eastAsia="zh-CN"/>
        </w:rPr>
        <w:t>附件</w:t>
      </w:r>
      <w:r>
        <w:rPr>
          <w:rFonts w:ascii="KaiTi" w:eastAsia="KaiTi" w:hAnsi="KaiTi" w:cs="Arial" w:hint="eastAsia"/>
          <w:sz w:val="21"/>
          <w:szCs w:val="20"/>
          <w:lang w:val="en-US" w:eastAsia="zh-CN"/>
        </w:rPr>
        <w:t>和文件完</w:t>
      </w:r>
      <w:r w:rsidRPr="00174755">
        <w:rPr>
          <w:rFonts w:ascii="KaiTi" w:eastAsia="KaiTi" w:hAnsi="KaiTi" w:cs="Arial"/>
          <w:sz w:val="21"/>
          <w:szCs w:val="20"/>
          <w:lang w:val="en-US" w:eastAsia="zh-CN"/>
        </w:rPr>
        <w:t>]</w:t>
      </w:r>
    </w:p>
    <w:sectPr w:rsidR="00773898" w:rsidRPr="00773898" w:rsidSect="00773898">
      <w:headerReference w:type="default" r:id="rId11"/>
      <w:headerReference w:type="first" r:id="rId12"/>
      <w:pgSz w:w="11907" w:h="16840"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D7818" w14:textId="77777777" w:rsidR="00BB3972" w:rsidRPr="00773898" w:rsidRDefault="00BB3972" w:rsidP="00BB3972">
      <w:pPr>
        <w:spacing w:after="0" w:line="240" w:lineRule="auto"/>
      </w:pPr>
      <w:r w:rsidRPr="00773898">
        <w:separator/>
      </w:r>
    </w:p>
  </w:endnote>
  <w:endnote w:type="continuationSeparator" w:id="0">
    <w:p w14:paraId="2B80D33F" w14:textId="77777777" w:rsidR="00BB3972" w:rsidRPr="00773898" w:rsidRDefault="00BB3972" w:rsidP="00BB3972">
      <w:pPr>
        <w:spacing w:after="0" w:line="240" w:lineRule="auto"/>
      </w:pPr>
      <w:r w:rsidRPr="0077389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1D28E" w14:textId="77777777" w:rsidR="00174755" w:rsidRPr="00773898" w:rsidRDefault="00174755">
    <w:pPr>
      <w:jc w:val="right"/>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B2E84" w14:textId="77777777" w:rsidR="00BB3972" w:rsidRPr="00773898" w:rsidRDefault="00BB3972" w:rsidP="00BB3972">
      <w:pPr>
        <w:spacing w:after="0" w:line="240" w:lineRule="auto"/>
      </w:pPr>
      <w:r w:rsidRPr="00773898">
        <w:separator/>
      </w:r>
    </w:p>
  </w:footnote>
  <w:footnote w:type="continuationSeparator" w:id="0">
    <w:p w14:paraId="05EA107C" w14:textId="77777777" w:rsidR="00BB3972" w:rsidRPr="00773898" w:rsidRDefault="00BB3972" w:rsidP="00BB3972">
      <w:pPr>
        <w:spacing w:after="0" w:line="240" w:lineRule="auto"/>
      </w:pPr>
      <w:r w:rsidRPr="0077389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70A80" w14:textId="0CEE0FF2" w:rsidR="00174755" w:rsidRPr="00773898" w:rsidRDefault="00174755" w:rsidP="00773898">
    <w:pPr>
      <w:tabs>
        <w:tab w:val="center" w:pos="4536"/>
        <w:tab w:val="right" w:pos="9072"/>
      </w:tabs>
      <w:spacing w:after="0" w:line="240" w:lineRule="auto"/>
      <w:jc w:val="right"/>
      <w:rPr>
        <w:rFonts w:ascii="SimSun" w:hAnsi="SimSun"/>
        <w:sz w:val="21"/>
      </w:rPr>
    </w:pPr>
    <w:bookmarkStart w:id="5" w:name="Code2"/>
    <w:bookmarkEnd w:id="5"/>
    <w:r w:rsidRPr="00773898">
      <w:rPr>
        <w:rFonts w:ascii="SimSun" w:hAnsi="SimSun"/>
        <w:sz w:val="21"/>
      </w:rPr>
      <w:t>CDIP/2</w:t>
    </w:r>
    <w:r w:rsidRPr="00773898">
      <w:rPr>
        <w:rFonts w:ascii="SimSun" w:hAnsi="SimSun" w:hint="eastAsia"/>
        <w:sz w:val="21"/>
        <w:lang w:eastAsia="zh-CN"/>
      </w:rPr>
      <w:t>1</w:t>
    </w:r>
    <w:r w:rsidRPr="00773898">
      <w:rPr>
        <w:rFonts w:ascii="SimSun" w:hAnsi="SimSun"/>
        <w:sz w:val="21"/>
      </w:rPr>
      <w:t>/</w:t>
    </w:r>
    <w:r w:rsidRPr="00773898">
      <w:rPr>
        <w:rFonts w:ascii="SimSun" w:hAnsi="SimSun" w:hint="eastAsia"/>
        <w:sz w:val="21"/>
        <w:lang w:eastAsia="zh-CN"/>
      </w:rPr>
      <w:t>INF/</w:t>
    </w:r>
    <w:r w:rsidR="00773898" w:rsidRPr="00773898">
      <w:rPr>
        <w:rFonts w:ascii="SimSun" w:hAnsi="SimSun" w:hint="eastAsia"/>
        <w:sz w:val="21"/>
        <w:lang w:eastAsia="zh-CN"/>
      </w:rPr>
      <w:t>5</w:t>
    </w:r>
  </w:p>
  <w:p w14:paraId="4F9ADA25" w14:textId="77777777" w:rsidR="00174755" w:rsidRPr="00773898" w:rsidRDefault="00174755" w:rsidP="00773898">
    <w:pPr>
      <w:tabs>
        <w:tab w:val="center" w:pos="4536"/>
        <w:tab w:val="right" w:pos="9072"/>
      </w:tabs>
      <w:spacing w:after="0" w:line="240" w:lineRule="auto"/>
      <w:jc w:val="right"/>
      <w:rPr>
        <w:rFonts w:ascii="SimSun" w:hAnsi="SimSun"/>
        <w:noProof/>
        <w:sz w:val="21"/>
        <w:lang w:eastAsia="zh-CN"/>
      </w:rPr>
    </w:pPr>
    <w:r w:rsidRPr="00773898">
      <w:rPr>
        <w:rFonts w:ascii="SimSun" w:hAnsi="SimSun" w:hint="eastAsia"/>
        <w:sz w:val="21"/>
        <w:lang w:eastAsia="zh-CN"/>
      </w:rPr>
      <w:t>第</w:t>
    </w:r>
    <w:r w:rsidRPr="00773898">
      <w:rPr>
        <w:rFonts w:ascii="SimSun" w:hAnsi="SimSun"/>
        <w:sz w:val="21"/>
      </w:rPr>
      <w:fldChar w:fldCharType="begin"/>
    </w:r>
    <w:r w:rsidRPr="00773898">
      <w:rPr>
        <w:rFonts w:ascii="SimSun" w:hAnsi="SimSun"/>
        <w:sz w:val="21"/>
      </w:rPr>
      <w:instrText xml:space="preserve"> PAGE   \* MERGEFORMAT </w:instrText>
    </w:r>
    <w:r w:rsidRPr="00773898">
      <w:rPr>
        <w:rFonts w:ascii="SimSun" w:hAnsi="SimSun"/>
        <w:sz w:val="21"/>
      </w:rPr>
      <w:fldChar w:fldCharType="separate"/>
    </w:r>
    <w:r w:rsidR="00773898" w:rsidRPr="00773898">
      <w:rPr>
        <w:rFonts w:ascii="SimSun" w:hAnsi="SimSun"/>
        <w:noProof/>
        <w:sz w:val="21"/>
      </w:rPr>
      <w:t>2</w:t>
    </w:r>
    <w:r w:rsidRPr="00773898">
      <w:rPr>
        <w:rFonts w:ascii="SimSun" w:hAnsi="SimSun"/>
        <w:noProof/>
        <w:sz w:val="21"/>
      </w:rPr>
      <w:fldChar w:fldCharType="end"/>
    </w:r>
    <w:r w:rsidRPr="00773898">
      <w:rPr>
        <w:rFonts w:ascii="SimSun" w:hAnsi="SimSun" w:hint="eastAsia"/>
        <w:noProof/>
        <w:sz w:val="21"/>
        <w:lang w:eastAsia="zh-CN"/>
      </w:rPr>
      <w:t>页</w:t>
    </w:r>
  </w:p>
  <w:p w14:paraId="02AF8AD9" w14:textId="77777777" w:rsidR="00174755" w:rsidRPr="00773898" w:rsidRDefault="00174755" w:rsidP="00773898">
    <w:pPr>
      <w:tabs>
        <w:tab w:val="center" w:pos="4536"/>
        <w:tab w:val="right" w:pos="9072"/>
      </w:tabs>
      <w:spacing w:after="0" w:line="240" w:lineRule="auto"/>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986BE" w14:textId="5F5D06D4" w:rsidR="00773898" w:rsidRPr="00773898" w:rsidRDefault="00773898" w:rsidP="00773898">
    <w:pPr>
      <w:tabs>
        <w:tab w:val="center" w:pos="4536"/>
        <w:tab w:val="right" w:pos="9072"/>
      </w:tabs>
      <w:spacing w:after="0" w:line="240" w:lineRule="auto"/>
      <w:jc w:val="right"/>
      <w:rPr>
        <w:rFonts w:ascii="SimSun" w:hAnsi="SimSun"/>
        <w:sz w:val="21"/>
      </w:rPr>
    </w:pPr>
    <w:r w:rsidRPr="00773898">
      <w:rPr>
        <w:rFonts w:ascii="SimSun" w:hAnsi="SimSun"/>
        <w:sz w:val="21"/>
      </w:rPr>
      <w:t>CDIP/2</w:t>
    </w:r>
    <w:r w:rsidRPr="00773898">
      <w:rPr>
        <w:rFonts w:ascii="SimSun" w:hAnsi="SimSun" w:hint="eastAsia"/>
        <w:sz w:val="21"/>
        <w:lang w:eastAsia="zh-CN"/>
      </w:rPr>
      <w:t>1</w:t>
    </w:r>
    <w:r w:rsidRPr="00773898">
      <w:rPr>
        <w:rFonts w:ascii="SimSun" w:hAnsi="SimSun"/>
        <w:sz w:val="21"/>
      </w:rPr>
      <w:t>/</w:t>
    </w:r>
    <w:r w:rsidRPr="00773898">
      <w:rPr>
        <w:rFonts w:ascii="SimSun" w:hAnsi="SimSun" w:hint="eastAsia"/>
        <w:sz w:val="21"/>
        <w:lang w:eastAsia="zh-CN"/>
      </w:rPr>
      <w:t>INF/</w:t>
    </w:r>
    <w:r w:rsidRPr="00773898">
      <w:rPr>
        <w:rFonts w:ascii="SimSun" w:hAnsi="SimSun" w:hint="eastAsia"/>
        <w:sz w:val="21"/>
        <w:lang w:eastAsia="zh-CN"/>
      </w:rPr>
      <w:t>5</w:t>
    </w:r>
  </w:p>
  <w:p w14:paraId="29631804" w14:textId="6E868472" w:rsidR="00773898" w:rsidRPr="00773898" w:rsidRDefault="00773898" w:rsidP="00773898">
    <w:pPr>
      <w:tabs>
        <w:tab w:val="center" w:pos="4536"/>
        <w:tab w:val="right" w:pos="9072"/>
      </w:tabs>
      <w:spacing w:after="0" w:line="240" w:lineRule="auto"/>
      <w:jc w:val="right"/>
      <w:rPr>
        <w:rFonts w:ascii="SimSun" w:hAnsi="SimSun"/>
        <w:noProof/>
        <w:sz w:val="21"/>
        <w:lang w:eastAsia="zh-CN"/>
      </w:rPr>
    </w:pPr>
    <w:proofErr w:type="gramStart"/>
    <w:r w:rsidRPr="00773898">
      <w:rPr>
        <w:rFonts w:ascii="SimSun" w:hAnsi="SimSun" w:hint="eastAsia"/>
        <w:sz w:val="21"/>
        <w:lang w:eastAsia="zh-CN"/>
      </w:rPr>
      <w:t>附件第</w:t>
    </w:r>
    <w:proofErr w:type="gramEnd"/>
    <w:r w:rsidRPr="00773898">
      <w:rPr>
        <w:rFonts w:ascii="SimSun" w:hAnsi="SimSun"/>
        <w:sz w:val="21"/>
      </w:rPr>
      <w:fldChar w:fldCharType="begin"/>
    </w:r>
    <w:r w:rsidRPr="00773898">
      <w:rPr>
        <w:rFonts w:ascii="SimSun" w:hAnsi="SimSun"/>
        <w:sz w:val="21"/>
      </w:rPr>
      <w:instrText xml:space="preserve"> PAGE   \* MERGEFORMAT </w:instrText>
    </w:r>
    <w:r w:rsidRPr="00773898">
      <w:rPr>
        <w:rFonts w:ascii="SimSun" w:hAnsi="SimSun"/>
        <w:sz w:val="21"/>
      </w:rPr>
      <w:fldChar w:fldCharType="separate"/>
    </w:r>
    <w:r w:rsidRPr="00773898">
      <w:rPr>
        <w:rFonts w:ascii="SimSun" w:hAnsi="SimSun"/>
        <w:noProof/>
        <w:sz w:val="21"/>
      </w:rPr>
      <w:t>2</w:t>
    </w:r>
    <w:r w:rsidRPr="00773898">
      <w:rPr>
        <w:rFonts w:ascii="SimSun" w:hAnsi="SimSun"/>
        <w:noProof/>
        <w:sz w:val="21"/>
      </w:rPr>
      <w:fldChar w:fldCharType="end"/>
    </w:r>
    <w:r w:rsidRPr="00773898">
      <w:rPr>
        <w:rFonts w:ascii="SimSun" w:hAnsi="SimSun" w:hint="eastAsia"/>
        <w:noProof/>
        <w:sz w:val="21"/>
        <w:lang w:eastAsia="zh-CN"/>
      </w:rPr>
      <w:t>页</w:t>
    </w:r>
  </w:p>
  <w:p w14:paraId="599D27FE" w14:textId="77777777" w:rsidR="00773898" w:rsidRPr="00773898" w:rsidRDefault="00773898" w:rsidP="00773898">
    <w:pPr>
      <w:tabs>
        <w:tab w:val="center" w:pos="4536"/>
        <w:tab w:val="right" w:pos="9072"/>
      </w:tabs>
      <w:spacing w:after="0" w:line="240" w:lineRule="auto"/>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1613E" w14:textId="25F1F01C" w:rsidR="00174755" w:rsidRPr="00773898" w:rsidRDefault="00174755" w:rsidP="00174755">
    <w:pPr>
      <w:pStyle w:val="a8"/>
      <w:pBdr>
        <w:bottom w:val="none" w:sz="0" w:space="0" w:color="auto"/>
      </w:pBdr>
      <w:tabs>
        <w:tab w:val="clear" w:pos="4513"/>
        <w:tab w:val="clear" w:pos="9026"/>
      </w:tabs>
      <w:overflowPunct w:val="0"/>
      <w:spacing w:after="0"/>
      <w:jc w:val="right"/>
      <w:rPr>
        <w:rFonts w:asciiTheme="minorEastAsia" w:hAnsiTheme="minorEastAsia" w:hint="eastAsia"/>
        <w:sz w:val="21"/>
        <w:lang w:eastAsia="zh-CN"/>
      </w:rPr>
    </w:pPr>
    <w:r w:rsidRPr="00773898">
      <w:rPr>
        <w:rFonts w:asciiTheme="minorEastAsia" w:hAnsiTheme="minorEastAsia" w:hint="eastAsia"/>
        <w:sz w:val="21"/>
        <w:lang w:eastAsia="zh-CN"/>
      </w:rPr>
      <w:t>CDIP/21/INF/5</w:t>
    </w:r>
  </w:p>
  <w:p w14:paraId="4D953724" w14:textId="7FCDD618" w:rsidR="00174755" w:rsidRPr="00773898" w:rsidRDefault="00174755" w:rsidP="00174755">
    <w:pPr>
      <w:pStyle w:val="a8"/>
      <w:pBdr>
        <w:bottom w:val="none" w:sz="0" w:space="0" w:color="auto"/>
      </w:pBdr>
      <w:tabs>
        <w:tab w:val="clear" w:pos="4513"/>
        <w:tab w:val="clear" w:pos="9026"/>
      </w:tabs>
      <w:overflowPunct w:val="0"/>
      <w:spacing w:after="0"/>
      <w:jc w:val="right"/>
      <w:rPr>
        <w:rFonts w:asciiTheme="minorEastAsia" w:hAnsiTheme="minorEastAsia" w:hint="eastAsia"/>
        <w:sz w:val="21"/>
        <w:lang w:eastAsia="zh-CN"/>
      </w:rPr>
    </w:pPr>
    <w:r w:rsidRPr="00773898">
      <w:rPr>
        <w:rFonts w:asciiTheme="minorEastAsia" w:hAnsiTheme="minorEastAsia" w:hint="eastAsia"/>
        <w:sz w:val="21"/>
        <w:lang w:eastAsia="zh-CN"/>
      </w:rPr>
      <w:t>附　件</w:t>
    </w:r>
  </w:p>
  <w:p w14:paraId="169B57E6" w14:textId="77777777" w:rsidR="00174755" w:rsidRPr="00773898" w:rsidRDefault="00174755" w:rsidP="00174755">
    <w:pPr>
      <w:pStyle w:val="a8"/>
      <w:pBdr>
        <w:bottom w:val="none" w:sz="0" w:space="0" w:color="auto"/>
      </w:pBdr>
      <w:tabs>
        <w:tab w:val="clear" w:pos="4513"/>
        <w:tab w:val="clear" w:pos="9026"/>
      </w:tabs>
      <w:overflowPunct w:val="0"/>
      <w:spacing w:after="0"/>
      <w:jc w:val="right"/>
      <w:rPr>
        <w:rFonts w:asciiTheme="minorEastAsia" w:hAnsiTheme="minorEastAsia"/>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543D2"/>
    <w:multiLevelType w:val="hybridMultilevel"/>
    <w:tmpl w:val="891C9466"/>
    <w:lvl w:ilvl="0" w:tplc="C25A7456">
      <w:start w:val="2018"/>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7"/>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1E"/>
    <w:rsid w:val="00010F90"/>
    <w:rsid w:val="0002336B"/>
    <w:rsid w:val="000336D4"/>
    <w:rsid w:val="00074D76"/>
    <w:rsid w:val="000B41BB"/>
    <w:rsid w:val="00133B05"/>
    <w:rsid w:val="00140796"/>
    <w:rsid w:val="001663FC"/>
    <w:rsid w:val="00174755"/>
    <w:rsid w:val="001A3BC6"/>
    <w:rsid w:val="001B6AE8"/>
    <w:rsid w:val="001D1237"/>
    <w:rsid w:val="00207AA6"/>
    <w:rsid w:val="002202FF"/>
    <w:rsid w:val="002A3B6A"/>
    <w:rsid w:val="002A580A"/>
    <w:rsid w:val="002C69D2"/>
    <w:rsid w:val="0031623E"/>
    <w:rsid w:val="00337ECC"/>
    <w:rsid w:val="003676AF"/>
    <w:rsid w:val="00407ABB"/>
    <w:rsid w:val="0041697D"/>
    <w:rsid w:val="00452E44"/>
    <w:rsid w:val="00456C61"/>
    <w:rsid w:val="004D73FB"/>
    <w:rsid w:val="005A142E"/>
    <w:rsid w:val="005A1E81"/>
    <w:rsid w:val="005C2EB6"/>
    <w:rsid w:val="005E1C4F"/>
    <w:rsid w:val="0061691F"/>
    <w:rsid w:val="006238F4"/>
    <w:rsid w:val="00623928"/>
    <w:rsid w:val="00636C23"/>
    <w:rsid w:val="00676280"/>
    <w:rsid w:val="006822B9"/>
    <w:rsid w:val="006C4937"/>
    <w:rsid w:val="006D6005"/>
    <w:rsid w:val="0070685C"/>
    <w:rsid w:val="00736480"/>
    <w:rsid w:val="00773898"/>
    <w:rsid w:val="00783644"/>
    <w:rsid w:val="0079331C"/>
    <w:rsid w:val="007F4861"/>
    <w:rsid w:val="00801DD9"/>
    <w:rsid w:val="00804FE2"/>
    <w:rsid w:val="00811B6C"/>
    <w:rsid w:val="0085025D"/>
    <w:rsid w:val="00871C27"/>
    <w:rsid w:val="008C42BB"/>
    <w:rsid w:val="009F074A"/>
    <w:rsid w:val="00A6512F"/>
    <w:rsid w:val="00A66FB0"/>
    <w:rsid w:val="00A76BE8"/>
    <w:rsid w:val="00A94027"/>
    <w:rsid w:val="00AE7359"/>
    <w:rsid w:val="00B7323D"/>
    <w:rsid w:val="00B73383"/>
    <w:rsid w:val="00BB3972"/>
    <w:rsid w:val="00BC2500"/>
    <w:rsid w:val="00C244BA"/>
    <w:rsid w:val="00C3499B"/>
    <w:rsid w:val="00CD1FB1"/>
    <w:rsid w:val="00CF42E8"/>
    <w:rsid w:val="00D04722"/>
    <w:rsid w:val="00D47E2B"/>
    <w:rsid w:val="00DA2DC0"/>
    <w:rsid w:val="00DA4AC2"/>
    <w:rsid w:val="00DF198E"/>
    <w:rsid w:val="00E01B7B"/>
    <w:rsid w:val="00E506B6"/>
    <w:rsid w:val="00E62A41"/>
    <w:rsid w:val="00EB3DCA"/>
    <w:rsid w:val="00EC536F"/>
    <w:rsid w:val="00F63BC9"/>
    <w:rsid w:val="00F8221E"/>
    <w:rsid w:val="00F87E0B"/>
    <w:rsid w:val="00FA262E"/>
  </w:rsids>
  <m:mathPr>
    <m:mathFont m:val="Cambria Math"/>
    <m:brkBin m:val="before"/>
    <m:brkBinSub m:val="--"/>
    <m:smallFrac/>
    <m:dispDef/>
    <m:lMargin m:val="0"/>
    <m:rMargin m:val="0"/>
    <m:defJc m:val="centerGroup"/>
    <m:wrapIndent m:val="1440"/>
    <m:intLim m:val="subSup"/>
    <m:naryLim m:val="undOvr"/>
  </m:mathPr>
  <w:themeFontLang w:val="es-EC"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237"/>
    <w:pPr>
      <w:ind w:left="720"/>
      <w:contextualSpacing/>
    </w:pPr>
  </w:style>
  <w:style w:type="character" w:styleId="a4">
    <w:name w:val="annotation reference"/>
    <w:basedOn w:val="a0"/>
    <w:uiPriority w:val="99"/>
    <w:semiHidden/>
    <w:unhideWhenUsed/>
    <w:rsid w:val="0070685C"/>
    <w:rPr>
      <w:sz w:val="16"/>
      <w:szCs w:val="16"/>
    </w:rPr>
  </w:style>
  <w:style w:type="paragraph" w:styleId="a5">
    <w:name w:val="annotation text"/>
    <w:basedOn w:val="a"/>
    <w:link w:val="Char"/>
    <w:uiPriority w:val="99"/>
    <w:semiHidden/>
    <w:unhideWhenUsed/>
    <w:rsid w:val="0070685C"/>
    <w:pPr>
      <w:spacing w:line="240" w:lineRule="auto"/>
    </w:pPr>
    <w:rPr>
      <w:sz w:val="20"/>
      <w:szCs w:val="20"/>
    </w:rPr>
  </w:style>
  <w:style w:type="character" w:customStyle="1" w:styleId="Char">
    <w:name w:val="批注文字 Char"/>
    <w:basedOn w:val="a0"/>
    <w:link w:val="a5"/>
    <w:uiPriority w:val="99"/>
    <w:semiHidden/>
    <w:rsid w:val="0070685C"/>
    <w:rPr>
      <w:sz w:val="20"/>
      <w:szCs w:val="20"/>
    </w:rPr>
  </w:style>
  <w:style w:type="paragraph" w:styleId="a6">
    <w:name w:val="annotation subject"/>
    <w:basedOn w:val="a5"/>
    <w:next w:val="a5"/>
    <w:link w:val="Char0"/>
    <w:uiPriority w:val="99"/>
    <w:semiHidden/>
    <w:unhideWhenUsed/>
    <w:rsid w:val="0070685C"/>
    <w:rPr>
      <w:b/>
      <w:bCs/>
    </w:rPr>
  </w:style>
  <w:style w:type="character" w:customStyle="1" w:styleId="Char0">
    <w:name w:val="批注主题 Char"/>
    <w:basedOn w:val="Char"/>
    <w:link w:val="a6"/>
    <w:uiPriority w:val="99"/>
    <w:semiHidden/>
    <w:rsid w:val="0070685C"/>
    <w:rPr>
      <w:b/>
      <w:bCs/>
      <w:sz w:val="20"/>
      <w:szCs w:val="20"/>
    </w:rPr>
  </w:style>
  <w:style w:type="paragraph" w:styleId="a7">
    <w:name w:val="Balloon Text"/>
    <w:basedOn w:val="a"/>
    <w:link w:val="Char1"/>
    <w:uiPriority w:val="99"/>
    <w:semiHidden/>
    <w:unhideWhenUsed/>
    <w:rsid w:val="0070685C"/>
    <w:pPr>
      <w:spacing w:after="0" w:line="240" w:lineRule="auto"/>
    </w:pPr>
    <w:rPr>
      <w:rFonts w:ascii="Segoe UI" w:hAnsi="Segoe UI" w:cs="Segoe UI"/>
      <w:sz w:val="18"/>
      <w:szCs w:val="18"/>
    </w:rPr>
  </w:style>
  <w:style w:type="character" w:customStyle="1" w:styleId="Char1">
    <w:name w:val="批注框文本 Char"/>
    <w:basedOn w:val="a0"/>
    <w:link w:val="a7"/>
    <w:uiPriority w:val="99"/>
    <w:semiHidden/>
    <w:rsid w:val="0070685C"/>
    <w:rPr>
      <w:rFonts w:ascii="Segoe UI" w:hAnsi="Segoe UI" w:cs="Segoe UI"/>
      <w:sz w:val="18"/>
      <w:szCs w:val="18"/>
    </w:rPr>
  </w:style>
  <w:style w:type="paragraph" w:styleId="a8">
    <w:name w:val="header"/>
    <w:basedOn w:val="a"/>
    <w:link w:val="Char2"/>
    <w:uiPriority w:val="99"/>
    <w:unhideWhenUsed/>
    <w:rsid w:val="00BB397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2">
    <w:name w:val="页眉 Char"/>
    <w:basedOn w:val="a0"/>
    <w:link w:val="a8"/>
    <w:uiPriority w:val="99"/>
    <w:rsid w:val="00BB3972"/>
    <w:rPr>
      <w:sz w:val="18"/>
      <w:szCs w:val="18"/>
    </w:rPr>
  </w:style>
  <w:style w:type="paragraph" w:styleId="a9">
    <w:name w:val="footer"/>
    <w:basedOn w:val="a"/>
    <w:link w:val="Char3"/>
    <w:uiPriority w:val="99"/>
    <w:unhideWhenUsed/>
    <w:rsid w:val="00BB3972"/>
    <w:pPr>
      <w:tabs>
        <w:tab w:val="center" w:pos="4513"/>
        <w:tab w:val="right" w:pos="9026"/>
      </w:tabs>
      <w:snapToGrid w:val="0"/>
      <w:spacing w:line="240" w:lineRule="auto"/>
    </w:pPr>
    <w:rPr>
      <w:sz w:val="18"/>
      <w:szCs w:val="18"/>
    </w:rPr>
  </w:style>
  <w:style w:type="character" w:customStyle="1" w:styleId="Char3">
    <w:name w:val="页脚 Char"/>
    <w:basedOn w:val="a0"/>
    <w:link w:val="a9"/>
    <w:uiPriority w:val="99"/>
    <w:rsid w:val="00BB39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237"/>
    <w:pPr>
      <w:ind w:left="720"/>
      <w:contextualSpacing/>
    </w:pPr>
  </w:style>
  <w:style w:type="character" w:styleId="a4">
    <w:name w:val="annotation reference"/>
    <w:basedOn w:val="a0"/>
    <w:uiPriority w:val="99"/>
    <w:semiHidden/>
    <w:unhideWhenUsed/>
    <w:rsid w:val="0070685C"/>
    <w:rPr>
      <w:sz w:val="16"/>
      <w:szCs w:val="16"/>
    </w:rPr>
  </w:style>
  <w:style w:type="paragraph" w:styleId="a5">
    <w:name w:val="annotation text"/>
    <w:basedOn w:val="a"/>
    <w:link w:val="Char"/>
    <w:uiPriority w:val="99"/>
    <w:semiHidden/>
    <w:unhideWhenUsed/>
    <w:rsid w:val="0070685C"/>
    <w:pPr>
      <w:spacing w:line="240" w:lineRule="auto"/>
    </w:pPr>
    <w:rPr>
      <w:sz w:val="20"/>
      <w:szCs w:val="20"/>
    </w:rPr>
  </w:style>
  <w:style w:type="character" w:customStyle="1" w:styleId="Char">
    <w:name w:val="批注文字 Char"/>
    <w:basedOn w:val="a0"/>
    <w:link w:val="a5"/>
    <w:uiPriority w:val="99"/>
    <w:semiHidden/>
    <w:rsid w:val="0070685C"/>
    <w:rPr>
      <w:sz w:val="20"/>
      <w:szCs w:val="20"/>
    </w:rPr>
  </w:style>
  <w:style w:type="paragraph" w:styleId="a6">
    <w:name w:val="annotation subject"/>
    <w:basedOn w:val="a5"/>
    <w:next w:val="a5"/>
    <w:link w:val="Char0"/>
    <w:uiPriority w:val="99"/>
    <w:semiHidden/>
    <w:unhideWhenUsed/>
    <w:rsid w:val="0070685C"/>
    <w:rPr>
      <w:b/>
      <w:bCs/>
    </w:rPr>
  </w:style>
  <w:style w:type="character" w:customStyle="1" w:styleId="Char0">
    <w:name w:val="批注主题 Char"/>
    <w:basedOn w:val="Char"/>
    <w:link w:val="a6"/>
    <w:uiPriority w:val="99"/>
    <w:semiHidden/>
    <w:rsid w:val="0070685C"/>
    <w:rPr>
      <w:b/>
      <w:bCs/>
      <w:sz w:val="20"/>
      <w:szCs w:val="20"/>
    </w:rPr>
  </w:style>
  <w:style w:type="paragraph" w:styleId="a7">
    <w:name w:val="Balloon Text"/>
    <w:basedOn w:val="a"/>
    <w:link w:val="Char1"/>
    <w:uiPriority w:val="99"/>
    <w:semiHidden/>
    <w:unhideWhenUsed/>
    <w:rsid w:val="0070685C"/>
    <w:pPr>
      <w:spacing w:after="0" w:line="240" w:lineRule="auto"/>
    </w:pPr>
    <w:rPr>
      <w:rFonts w:ascii="Segoe UI" w:hAnsi="Segoe UI" w:cs="Segoe UI"/>
      <w:sz w:val="18"/>
      <w:szCs w:val="18"/>
    </w:rPr>
  </w:style>
  <w:style w:type="character" w:customStyle="1" w:styleId="Char1">
    <w:name w:val="批注框文本 Char"/>
    <w:basedOn w:val="a0"/>
    <w:link w:val="a7"/>
    <w:uiPriority w:val="99"/>
    <w:semiHidden/>
    <w:rsid w:val="0070685C"/>
    <w:rPr>
      <w:rFonts w:ascii="Segoe UI" w:hAnsi="Segoe UI" w:cs="Segoe UI"/>
      <w:sz w:val="18"/>
      <w:szCs w:val="18"/>
    </w:rPr>
  </w:style>
  <w:style w:type="paragraph" w:styleId="a8">
    <w:name w:val="header"/>
    <w:basedOn w:val="a"/>
    <w:link w:val="Char2"/>
    <w:uiPriority w:val="99"/>
    <w:unhideWhenUsed/>
    <w:rsid w:val="00BB3972"/>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2">
    <w:name w:val="页眉 Char"/>
    <w:basedOn w:val="a0"/>
    <w:link w:val="a8"/>
    <w:uiPriority w:val="99"/>
    <w:rsid w:val="00BB3972"/>
    <w:rPr>
      <w:sz w:val="18"/>
      <w:szCs w:val="18"/>
    </w:rPr>
  </w:style>
  <w:style w:type="paragraph" w:styleId="a9">
    <w:name w:val="footer"/>
    <w:basedOn w:val="a"/>
    <w:link w:val="Char3"/>
    <w:uiPriority w:val="99"/>
    <w:unhideWhenUsed/>
    <w:rsid w:val="00BB3972"/>
    <w:pPr>
      <w:tabs>
        <w:tab w:val="center" w:pos="4513"/>
        <w:tab w:val="right" w:pos="9026"/>
      </w:tabs>
      <w:snapToGrid w:val="0"/>
      <w:spacing w:line="240" w:lineRule="auto"/>
    </w:pPr>
    <w:rPr>
      <w:sz w:val="18"/>
      <w:szCs w:val="18"/>
    </w:rPr>
  </w:style>
  <w:style w:type="character" w:customStyle="1" w:styleId="Char3">
    <w:name w:val="页脚 Char"/>
    <w:basedOn w:val="a0"/>
    <w:link w:val="a9"/>
    <w:uiPriority w:val="99"/>
    <w:rsid w:val="00BB39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TotalTime>
  <Pages>2</Pages>
  <Words>758</Words>
  <Characters>775</Characters>
  <Application>Microsoft Office Word</Application>
  <DocSecurity>0</DocSecurity>
  <Lines>31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CDIP/21/INF/5</dc:title>
  <dc:subject>“知识产权：在因巴布拉地质公园项目框架内加强该省认同的机制”研究摘要</dc:subject>
  <dc:creator/>
  <dc:description/>
  <cp:lastModifiedBy>MA Weihai</cp:lastModifiedBy>
  <cp:revision>30</cp:revision>
  <dcterms:created xsi:type="dcterms:W3CDTF">2018-04-03T09:02:00Z</dcterms:created>
  <dcterms:modified xsi:type="dcterms:W3CDTF">2018-04-16T09:44:00Z</dcterms:modified>
</cp:coreProperties>
</file>