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776E81" w:rsidRPr="00776E81" w:rsidTr="00776E81">
        <w:trPr>
          <w:trHeight w:val="1977"/>
        </w:trPr>
        <w:tc>
          <w:tcPr>
            <w:tcW w:w="4594" w:type="dxa"/>
            <w:tcBorders>
              <w:bottom w:val="single" w:sz="4" w:space="0" w:color="auto"/>
            </w:tcBorders>
            <w:tcMar>
              <w:bottom w:w="170" w:type="dxa"/>
            </w:tcMar>
          </w:tcPr>
          <w:p w:rsidR="00776E81" w:rsidRPr="00776E81" w:rsidRDefault="00776E81" w:rsidP="00776E81">
            <w:pPr>
              <w:ind w:left="0"/>
              <w:rPr>
                <w:lang w:eastAsia="zh-CN"/>
              </w:rPr>
            </w:pPr>
            <w:r w:rsidRPr="00776E81">
              <w:rPr>
                <w:rFonts w:eastAsia="Times New Roman"/>
                <w:noProof/>
              </w:rPr>
              <w:drawing>
                <wp:anchor distT="0" distB="0" distL="114300" distR="114300" simplePos="0" relativeHeight="251665408" behindDoc="1" locked="0" layoutInCell="0" allowOverlap="1" wp14:anchorId="71067D41" wp14:editId="2100288B">
                  <wp:simplePos x="0" y="0"/>
                  <wp:positionH relativeFrom="page">
                    <wp:posOffset>3834130</wp:posOffset>
                  </wp:positionH>
                  <wp:positionV relativeFrom="margin">
                    <wp:posOffset>0</wp:posOffset>
                  </wp:positionV>
                  <wp:extent cx="866775" cy="1323975"/>
                  <wp:effectExtent l="0" t="0" r="9525" b="9525"/>
                  <wp:wrapNone/>
                  <wp:docPr id="1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76E81" w:rsidRPr="00776E81" w:rsidRDefault="00776E81" w:rsidP="00776E81">
            <w:pPr>
              <w:rPr>
                <w:rFonts w:eastAsia="Times New Roman"/>
              </w:rPr>
            </w:pPr>
          </w:p>
        </w:tc>
        <w:tc>
          <w:tcPr>
            <w:tcW w:w="429" w:type="dxa"/>
            <w:tcBorders>
              <w:bottom w:val="single" w:sz="4" w:space="0" w:color="auto"/>
            </w:tcBorders>
            <w:tcMar>
              <w:left w:w="0" w:type="dxa"/>
              <w:right w:w="0" w:type="dxa"/>
            </w:tcMar>
          </w:tcPr>
          <w:p w:rsidR="00776E81" w:rsidRPr="00776E81" w:rsidRDefault="00776E81" w:rsidP="00776E81">
            <w:pPr>
              <w:spacing w:after="0" w:line="240" w:lineRule="auto"/>
              <w:ind w:left="0"/>
              <w:jc w:val="right"/>
              <w:rPr>
                <w:rFonts w:eastAsia="Times New Roman"/>
              </w:rPr>
            </w:pPr>
            <w:r w:rsidRPr="00776E81">
              <w:rPr>
                <w:rFonts w:eastAsia="Times New Roman"/>
                <w:b/>
                <w:sz w:val="40"/>
                <w:szCs w:val="40"/>
              </w:rPr>
              <w:t>C</w:t>
            </w:r>
          </w:p>
        </w:tc>
      </w:tr>
      <w:tr w:rsidR="00776E81" w:rsidRPr="00776E81" w:rsidTr="00776E81">
        <w:trPr>
          <w:trHeight w:hRule="exact" w:val="340"/>
        </w:trPr>
        <w:tc>
          <w:tcPr>
            <w:tcW w:w="9360" w:type="dxa"/>
            <w:gridSpan w:val="3"/>
            <w:tcBorders>
              <w:top w:val="single" w:sz="4" w:space="0" w:color="auto"/>
            </w:tcBorders>
            <w:tcMar>
              <w:top w:w="170" w:type="dxa"/>
              <w:left w:w="0" w:type="dxa"/>
              <w:right w:w="0" w:type="dxa"/>
            </w:tcMar>
            <w:vAlign w:val="bottom"/>
          </w:tcPr>
          <w:p w:rsidR="00776E81" w:rsidRPr="00776E81" w:rsidRDefault="00776E81" w:rsidP="00776E81">
            <w:pPr>
              <w:wordWrap w:val="0"/>
              <w:spacing w:after="0" w:line="240" w:lineRule="auto"/>
              <w:jc w:val="right"/>
              <w:rPr>
                <w:rFonts w:ascii="Arial Black" w:hAnsi="Arial Black"/>
                <w:caps/>
                <w:sz w:val="15"/>
                <w:lang w:eastAsia="zh-CN"/>
              </w:rPr>
            </w:pPr>
            <w:bookmarkStart w:id="0" w:name="Code"/>
            <w:bookmarkEnd w:id="0"/>
            <w:r w:rsidRPr="00776E81">
              <w:rPr>
                <w:rFonts w:ascii="Arial Black" w:hAnsi="Arial Black" w:hint="eastAsia"/>
                <w:caps/>
                <w:sz w:val="15"/>
                <w:lang w:eastAsia="zh-CN"/>
              </w:rPr>
              <w:t>CDIP</w:t>
            </w:r>
            <w:r w:rsidRPr="00776E81">
              <w:rPr>
                <w:rFonts w:ascii="Arial Black" w:hAnsi="Arial Black"/>
                <w:caps/>
                <w:sz w:val="15"/>
                <w:lang w:eastAsia="zh-CN"/>
              </w:rPr>
              <w:t>/</w:t>
            </w:r>
            <w:r w:rsidRPr="00776E81">
              <w:rPr>
                <w:rFonts w:ascii="Arial Black" w:hAnsi="Arial Black" w:hint="eastAsia"/>
                <w:caps/>
                <w:sz w:val="15"/>
                <w:lang w:eastAsia="zh-CN"/>
              </w:rPr>
              <w:t>12</w:t>
            </w:r>
            <w:r w:rsidRPr="00776E81">
              <w:rPr>
                <w:rFonts w:ascii="Arial Black" w:hAnsi="Arial Black"/>
                <w:caps/>
                <w:sz w:val="15"/>
                <w:lang w:eastAsia="zh-CN"/>
              </w:rPr>
              <w:t>/</w:t>
            </w:r>
            <w:r>
              <w:rPr>
                <w:rFonts w:ascii="Arial Black" w:hAnsi="Arial Black" w:hint="eastAsia"/>
                <w:caps/>
                <w:sz w:val="15"/>
                <w:lang w:eastAsia="zh-CN"/>
              </w:rPr>
              <w:t>INF/6</w:t>
            </w:r>
          </w:p>
        </w:tc>
      </w:tr>
      <w:tr w:rsidR="00776E81" w:rsidRPr="00776E81" w:rsidTr="00776E81">
        <w:trPr>
          <w:trHeight w:hRule="exact" w:val="170"/>
        </w:trPr>
        <w:tc>
          <w:tcPr>
            <w:tcW w:w="9360" w:type="dxa"/>
            <w:gridSpan w:val="3"/>
            <w:noWrap/>
            <w:tcMar>
              <w:left w:w="0" w:type="dxa"/>
              <w:right w:w="0" w:type="dxa"/>
            </w:tcMar>
            <w:vAlign w:val="bottom"/>
          </w:tcPr>
          <w:p w:rsidR="00776E81" w:rsidRPr="00776E81" w:rsidRDefault="00776E81" w:rsidP="00776E81">
            <w:pPr>
              <w:spacing w:after="0" w:line="240" w:lineRule="auto"/>
              <w:jc w:val="right"/>
              <w:rPr>
                <w:rFonts w:ascii="Arial Black" w:eastAsia="Times New Roman" w:hAnsi="Arial Black"/>
                <w:b/>
                <w:caps/>
                <w:sz w:val="15"/>
                <w:szCs w:val="15"/>
              </w:rPr>
            </w:pPr>
            <w:r w:rsidRPr="00776E81">
              <w:rPr>
                <w:rFonts w:eastAsia="SimHei" w:hint="eastAsia"/>
                <w:b/>
                <w:sz w:val="15"/>
                <w:szCs w:val="15"/>
              </w:rPr>
              <w:t>原</w:t>
            </w:r>
            <w:r w:rsidRPr="00776E81">
              <w:rPr>
                <w:rFonts w:eastAsia="SimHei"/>
                <w:b/>
                <w:sz w:val="15"/>
                <w:szCs w:val="15"/>
                <w:lang w:val="pt-BR"/>
              </w:rPr>
              <w:t xml:space="preserve"> </w:t>
            </w:r>
            <w:proofErr w:type="spellStart"/>
            <w:r w:rsidRPr="00776E81">
              <w:rPr>
                <w:rFonts w:eastAsia="SimHei" w:hint="eastAsia"/>
                <w:b/>
                <w:sz w:val="15"/>
                <w:szCs w:val="15"/>
              </w:rPr>
              <w:t>文</w:t>
            </w:r>
            <w:r w:rsidRPr="00776E81">
              <w:rPr>
                <w:rFonts w:eastAsia="SimHei" w:hint="eastAsia"/>
                <w:b/>
                <w:sz w:val="15"/>
                <w:szCs w:val="15"/>
                <w:lang w:val="pt-BR"/>
              </w:rPr>
              <w:t>：</w:t>
            </w:r>
            <w:r w:rsidRPr="00776E81">
              <w:rPr>
                <w:rFonts w:eastAsia="SimHei" w:hint="eastAsia"/>
                <w:b/>
                <w:sz w:val="15"/>
                <w:szCs w:val="15"/>
              </w:rPr>
              <w:t>英文</w:t>
            </w:r>
            <w:proofErr w:type="spellEnd"/>
          </w:p>
        </w:tc>
      </w:tr>
      <w:tr w:rsidR="00776E81" w:rsidRPr="00776E81" w:rsidTr="00776E81">
        <w:trPr>
          <w:trHeight w:hRule="exact" w:val="198"/>
        </w:trPr>
        <w:tc>
          <w:tcPr>
            <w:tcW w:w="9360" w:type="dxa"/>
            <w:gridSpan w:val="3"/>
            <w:tcMar>
              <w:left w:w="0" w:type="dxa"/>
              <w:right w:w="0" w:type="dxa"/>
            </w:tcMar>
            <w:vAlign w:val="bottom"/>
          </w:tcPr>
          <w:p w:rsidR="00776E81" w:rsidRPr="00776E81" w:rsidRDefault="00776E81" w:rsidP="00776E81">
            <w:pPr>
              <w:spacing w:after="0" w:line="240" w:lineRule="auto"/>
              <w:jc w:val="right"/>
              <w:rPr>
                <w:rFonts w:ascii="SimHei" w:eastAsia="SimHei" w:hAnsi="Arial Black"/>
                <w:b/>
                <w:caps/>
                <w:sz w:val="15"/>
                <w:szCs w:val="15"/>
              </w:rPr>
            </w:pPr>
            <w:r w:rsidRPr="00776E81">
              <w:rPr>
                <w:rFonts w:ascii="SimHei" w:eastAsia="SimHei" w:hint="eastAsia"/>
                <w:b/>
                <w:sz w:val="15"/>
                <w:szCs w:val="15"/>
              </w:rPr>
              <w:t>日</w:t>
            </w:r>
            <w:r w:rsidRPr="00776E81">
              <w:rPr>
                <w:rFonts w:ascii="SimHei" w:eastAsia="SimHei" w:hint="eastAsia"/>
                <w:b/>
                <w:sz w:val="15"/>
                <w:szCs w:val="15"/>
                <w:lang w:val="pt-BR"/>
              </w:rPr>
              <w:t xml:space="preserve"> </w:t>
            </w:r>
            <w:r w:rsidRPr="00776E81">
              <w:rPr>
                <w:rFonts w:ascii="SimHei" w:eastAsia="SimHei" w:hint="eastAsia"/>
                <w:b/>
                <w:sz w:val="15"/>
                <w:szCs w:val="15"/>
              </w:rPr>
              <w:t>期</w:t>
            </w:r>
            <w:r w:rsidRPr="00776E81">
              <w:rPr>
                <w:rFonts w:ascii="SimHei" w:eastAsia="SimHei" w:hAnsi="SimSun" w:hint="eastAsia"/>
                <w:b/>
                <w:sz w:val="15"/>
                <w:szCs w:val="15"/>
                <w:lang w:val="pt-BR"/>
              </w:rPr>
              <w:t>：</w:t>
            </w:r>
            <w:r w:rsidRPr="00776E81">
              <w:rPr>
                <w:rFonts w:ascii="Arial Black" w:eastAsia="SimHei" w:hAnsi="Arial Black"/>
                <w:b/>
                <w:sz w:val="15"/>
                <w:szCs w:val="15"/>
                <w:lang w:val="pt-BR"/>
              </w:rPr>
              <w:t>201</w:t>
            </w:r>
            <w:r w:rsidRPr="00776E81">
              <w:rPr>
                <w:rFonts w:ascii="Arial Black" w:eastAsia="SimHei" w:hAnsi="Arial Black"/>
                <w:b/>
                <w:sz w:val="15"/>
                <w:szCs w:val="15"/>
                <w:lang w:val="pt-BR" w:eastAsia="zh-CN"/>
              </w:rPr>
              <w:t>3</w:t>
            </w:r>
            <w:r w:rsidRPr="00776E81">
              <w:rPr>
                <w:rFonts w:ascii="SimHei" w:eastAsia="SimHei" w:hAnsi="Times New Roman" w:hint="eastAsia"/>
                <w:b/>
                <w:sz w:val="15"/>
                <w:szCs w:val="15"/>
              </w:rPr>
              <w:t>年</w:t>
            </w:r>
            <w:r>
              <w:rPr>
                <w:rFonts w:ascii="Arial Black" w:eastAsia="SimHei" w:hAnsi="Arial Black" w:hint="eastAsia"/>
                <w:b/>
                <w:sz w:val="15"/>
                <w:szCs w:val="15"/>
                <w:lang w:val="pt-BR" w:eastAsia="zh-CN"/>
              </w:rPr>
              <w:t>10</w:t>
            </w:r>
            <w:r w:rsidRPr="00776E81">
              <w:rPr>
                <w:rFonts w:ascii="SimHei" w:eastAsia="SimHei" w:hAnsi="Times New Roman" w:hint="eastAsia"/>
                <w:b/>
                <w:sz w:val="15"/>
                <w:szCs w:val="15"/>
              </w:rPr>
              <w:t>月</w:t>
            </w:r>
            <w:r>
              <w:rPr>
                <w:rFonts w:ascii="Arial Black" w:eastAsia="SimHei" w:hAnsi="Arial Black" w:hint="eastAsia"/>
                <w:b/>
                <w:sz w:val="15"/>
                <w:szCs w:val="15"/>
                <w:lang w:eastAsia="zh-CN"/>
              </w:rPr>
              <w:t>7</w:t>
            </w:r>
            <w:r w:rsidRPr="00776E81">
              <w:rPr>
                <w:rFonts w:ascii="SimHei" w:eastAsia="SimHei" w:hAnsi="Times New Roman" w:hint="eastAsia"/>
                <w:b/>
                <w:sz w:val="15"/>
                <w:szCs w:val="15"/>
              </w:rPr>
              <w:t>日</w:t>
            </w:r>
            <w:r w:rsidRPr="00776E81">
              <w:rPr>
                <w:rFonts w:ascii="SimHei" w:eastAsia="SimHei" w:hAnsi="Arial Black" w:hint="eastAsia"/>
                <w:b/>
                <w:caps/>
                <w:sz w:val="15"/>
                <w:szCs w:val="15"/>
              </w:rPr>
              <w:t xml:space="preserve">  </w:t>
            </w:r>
            <w:bookmarkStart w:id="1" w:name="Date"/>
            <w:bookmarkEnd w:id="1"/>
          </w:p>
        </w:tc>
      </w:tr>
    </w:tbl>
    <w:p w:rsidR="00776E81" w:rsidRPr="00776E81" w:rsidRDefault="00776E81" w:rsidP="00776E81">
      <w:pPr>
        <w:spacing w:after="0" w:line="240" w:lineRule="auto"/>
        <w:ind w:left="0"/>
        <w:rPr>
          <w:rFonts w:eastAsia="SimHei"/>
          <w:b/>
          <w:caps/>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autoSpaceDE w:val="0"/>
        <w:autoSpaceDN w:val="0"/>
        <w:spacing w:after="0" w:line="240" w:lineRule="auto"/>
        <w:ind w:left="0"/>
        <w:textAlignment w:val="bottom"/>
        <w:rPr>
          <w:rFonts w:ascii="SimHei" w:eastAsia="Times New Roman"/>
          <w:szCs w:val="21"/>
          <w:lang w:eastAsia="zh-CN"/>
        </w:rPr>
      </w:pPr>
      <w:r w:rsidRPr="00776E81">
        <w:rPr>
          <w:rFonts w:ascii="SimHei" w:eastAsia="SimHei" w:hint="eastAsia"/>
          <w:sz w:val="28"/>
          <w:szCs w:val="30"/>
          <w:lang w:eastAsia="zh-CN"/>
        </w:rPr>
        <w:t>发展与知识产权委员会</w:t>
      </w:r>
      <w:r w:rsidRPr="00776E81">
        <w:rPr>
          <w:rFonts w:ascii="SimHei" w:eastAsia="SimHei" w:cs="Arial"/>
          <w:sz w:val="28"/>
          <w:szCs w:val="30"/>
          <w:lang w:eastAsia="zh-CN"/>
        </w:rPr>
        <w:t>(CDIP)</w:t>
      </w:r>
    </w:p>
    <w:p w:rsidR="00776E81" w:rsidRPr="00776E81" w:rsidRDefault="00776E81" w:rsidP="00776E81">
      <w:pPr>
        <w:spacing w:after="0" w:line="240" w:lineRule="auto"/>
        <w:ind w:left="0"/>
        <w:jc w:val="both"/>
        <w:rPr>
          <w:rFonts w:eastAsia="SimHei"/>
          <w:b/>
          <w:caps/>
          <w:sz w:val="22"/>
          <w:szCs w:val="22"/>
          <w:lang w:val="pt-BR" w:eastAsia="zh-CN"/>
        </w:rPr>
      </w:pPr>
    </w:p>
    <w:p w:rsidR="00776E81" w:rsidRPr="00776E81" w:rsidRDefault="00776E81" w:rsidP="00776E81">
      <w:pPr>
        <w:spacing w:after="0" w:line="240" w:lineRule="auto"/>
        <w:ind w:left="0"/>
        <w:jc w:val="both"/>
        <w:rPr>
          <w:rFonts w:eastAsia="SimHei"/>
          <w:b/>
          <w:caps/>
          <w:sz w:val="22"/>
          <w:szCs w:val="22"/>
          <w:lang w:val="pt-BR" w:eastAsia="zh-CN"/>
        </w:rPr>
      </w:pPr>
    </w:p>
    <w:p w:rsidR="00776E81" w:rsidRPr="00776E81" w:rsidRDefault="00776E81" w:rsidP="00776E81">
      <w:pPr>
        <w:autoSpaceDE w:val="0"/>
        <w:autoSpaceDN w:val="0"/>
        <w:spacing w:after="0" w:line="380" w:lineRule="atLeast"/>
        <w:ind w:left="0"/>
        <w:textAlignment w:val="bottom"/>
        <w:rPr>
          <w:rFonts w:ascii="KaiTi" w:eastAsia="KaiTi"/>
          <w:b/>
          <w:sz w:val="24"/>
          <w:szCs w:val="24"/>
          <w:lang w:eastAsia="zh-CN"/>
        </w:rPr>
      </w:pPr>
      <w:r w:rsidRPr="00776E81">
        <w:rPr>
          <w:rFonts w:ascii="KaiTi" w:eastAsia="KaiTi" w:hint="eastAsia"/>
          <w:b/>
          <w:sz w:val="24"/>
          <w:szCs w:val="24"/>
          <w:lang w:eastAsia="zh-CN"/>
        </w:rPr>
        <w:t>第十二届会议</w:t>
      </w:r>
    </w:p>
    <w:p w:rsidR="00776E81" w:rsidRPr="00776E81" w:rsidRDefault="00776E81" w:rsidP="00776E81">
      <w:pPr>
        <w:spacing w:after="0" w:line="240" w:lineRule="auto"/>
        <w:ind w:left="0"/>
        <w:rPr>
          <w:rFonts w:ascii="KaiTi" w:eastAsia="SimHei"/>
          <w:b/>
          <w:lang w:val="pt-BR" w:eastAsia="zh-CN"/>
        </w:rPr>
      </w:pPr>
      <w:r w:rsidRPr="00776E81">
        <w:rPr>
          <w:rFonts w:ascii="KaiTi" w:eastAsia="KaiTi" w:hAnsi="Times New Roman"/>
          <w:sz w:val="24"/>
          <w:szCs w:val="24"/>
          <w:lang w:eastAsia="zh-CN"/>
        </w:rPr>
        <w:t>201</w:t>
      </w:r>
      <w:r w:rsidRPr="00776E81">
        <w:rPr>
          <w:rFonts w:ascii="KaiTi" w:eastAsia="KaiTi" w:hAnsi="Times New Roman" w:hint="eastAsia"/>
          <w:sz w:val="24"/>
          <w:szCs w:val="24"/>
          <w:lang w:eastAsia="zh-CN"/>
        </w:rPr>
        <w:t>3</w:t>
      </w:r>
      <w:r w:rsidRPr="00776E81">
        <w:rPr>
          <w:rFonts w:ascii="KaiTi" w:eastAsia="KaiTi" w:hAnsi="Times New Roman"/>
          <w:b/>
          <w:sz w:val="24"/>
          <w:szCs w:val="24"/>
          <w:lang w:eastAsia="zh-CN"/>
        </w:rPr>
        <w:t>年</w:t>
      </w:r>
      <w:r w:rsidRPr="00776E81">
        <w:rPr>
          <w:rFonts w:ascii="KaiTi" w:eastAsia="KaiTi" w:hAnsi="Times New Roman" w:hint="eastAsia"/>
          <w:sz w:val="24"/>
          <w:szCs w:val="24"/>
          <w:lang w:eastAsia="zh-CN"/>
        </w:rPr>
        <w:t>11</w:t>
      </w:r>
      <w:r w:rsidRPr="00776E81">
        <w:rPr>
          <w:rFonts w:ascii="KaiTi" w:eastAsia="KaiTi" w:hAnsi="Times New Roman"/>
          <w:b/>
          <w:sz w:val="24"/>
          <w:szCs w:val="24"/>
          <w:lang w:eastAsia="zh-CN"/>
        </w:rPr>
        <w:t>月</w:t>
      </w:r>
      <w:r w:rsidRPr="00776E81">
        <w:rPr>
          <w:rFonts w:ascii="KaiTi" w:eastAsia="KaiTi" w:hAnsi="Times New Roman" w:hint="eastAsia"/>
          <w:sz w:val="24"/>
          <w:szCs w:val="24"/>
          <w:lang w:eastAsia="zh-CN"/>
        </w:rPr>
        <w:t>18</w:t>
      </w:r>
      <w:r w:rsidRPr="00776E81">
        <w:rPr>
          <w:rFonts w:ascii="KaiTi" w:eastAsia="KaiTi" w:hAnsi="Times New Roman"/>
          <w:b/>
          <w:sz w:val="24"/>
          <w:szCs w:val="24"/>
          <w:lang w:eastAsia="zh-CN"/>
        </w:rPr>
        <w:t>日至</w:t>
      </w:r>
      <w:r w:rsidRPr="00776E81">
        <w:rPr>
          <w:rFonts w:ascii="KaiTi" w:eastAsia="KaiTi" w:hAnsi="Times New Roman" w:hint="eastAsia"/>
          <w:sz w:val="24"/>
          <w:szCs w:val="24"/>
          <w:lang w:eastAsia="zh-CN"/>
        </w:rPr>
        <w:t>21</w:t>
      </w:r>
      <w:r w:rsidRPr="00776E81">
        <w:rPr>
          <w:rFonts w:ascii="KaiTi" w:eastAsia="KaiTi" w:hAnsi="Times New Roman"/>
          <w:b/>
          <w:sz w:val="24"/>
          <w:szCs w:val="24"/>
          <w:lang w:eastAsia="zh-CN"/>
        </w:rPr>
        <w:t>日，日内瓦</w:t>
      </w: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776E81" w:rsidRPr="00776E81" w:rsidRDefault="00776E81" w:rsidP="00776E81">
      <w:pPr>
        <w:spacing w:after="0" w:line="240" w:lineRule="auto"/>
        <w:ind w:left="0"/>
        <w:rPr>
          <w:rFonts w:eastAsia="SimHei"/>
          <w:sz w:val="22"/>
          <w:szCs w:val="22"/>
          <w:lang w:val="pt-BR" w:eastAsia="zh-CN"/>
        </w:rPr>
      </w:pPr>
    </w:p>
    <w:p w:rsidR="00E463C3" w:rsidRPr="00414BD6" w:rsidRDefault="00E463C3" w:rsidP="00414BD6">
      <w:pPr>
        <w:spacing w:after="0" w:line="240" w:lineRule="auto"/>
        <w:ind w:left="0"/>
        <w:textAlignment w:val="bottom"/>
        <w:rPr>
          <w:rFonts w:ascii="KaiTi" w:eastAsia="KaiTi" w:hAnsi="STKaiti"/>
          <w:sz w:val="24"/>
          <w:szCs w:val="24"/>
          <w:lang w:eastAsia="zh-CN"/>
        </w:rPr>
      </w:pPr>
      <w:r>
        <w:rPr>
          <w:rFonts w:ascii="KaiTi" w:eastAsia="KaiTi" w:hAnsi="STKaiti" w:hint="eastAsia"/>
          <w:sz w:val="24"/>
          <w:szCs w:val="24"/>
          <w:lang w:val="pt-BR" w:eastAsia="zh-CN"/>
        </w:rPr>
        <w:t>泰国实用新型使用情况研究摘要</w:t>
      </w:r>
    </w:p>
    <w:p w:rsidR="00E463C3" w:rsidRPr="00414BD6" w:rsidRDefault="00E463C3" w:rsidP="00850EBD">
      <w:pPr>
        <w:autoSpaceDE w:val="0"/>
        <w:autoSpaceDN w:val="0"/>
        <w:spacing w:after="0" w:line="240" w:lineRule="auto"/>
        <w:ind w:left="0"/>
        <w:textAlignment w:val="bottom"/>
        <w:rPr>
          <w:rFonts w:ascii="STKaiti" w:eastAsia="KaiTi" w:hAnsi="STKaiti"/>
          <w:sz w:val="22"/>
          <w:szCs w:val="22"/>
          <w:lang w:eastAsia="zh-CN"/>
        </w:rPr>
      </w:pPr>
    </w:p>
    <w:p w:rsidR="00E463C3" w:rsidRPr="00846972" w:rsidRDefault="00E463C3" w:rsidP="006554EC">
      <w:pPr>
        <w:spacing w:after="0" w:line="240" w:lineRule="auto"/>
        <w:ind w:left="0"/>
        <w:rPr>
          <w:i/>
          <w:lang w:eastAsia="zh-CN"/>
        </w:rPr>
      </w:pPr>
      <w:r w:rsidRPr="006554EC">
        <w:rPr>
          <w:rFonts w:ascii="KaiTi" w:eastAsia="KaiTi" w:hAnsi="KaiTi" w:hint="eastAsia"/>
          <w:i/>
          <w:sz w:val="21"/>
          <w:lang w:val="pt-BR" w:eastAsia="zh-CN"/>
        </w:rPr>
        <w:t>由泰国发展研究院研究主任</w:t>
      </w:r>
      <w:r w:rsidRPr="006554EC">
        <w:rPr>
          <w:rFonts w:ascii="KaiTi" w:eastAsia="KaiTi" w:hAnsi="KaiTi"/>
          <w:i/>
          <w:sz w:val="21"/>
          <w:lang w:val="pt-BR" w:eastAsia="zh-CN"/>
        </w:rPr>
        <w:t>Deunden Nikomborirak</w:t>
      </w:r>
      <w:r w:rsidRPr="006554EC">
        <w:rPr>
          <w:rFonts w:ascii="KaiTi" w:eastAsia="KaiTi" w:hAnsi="KaiTi" w:hint="eastAsia"/>
          <w:i/>
          <w:sz w:val="21"/>
          <w:lang w:val="pt-BR" w:eastAsia="zh-CN"/>
        </w:rPr>
        <w:t>女士</w:t>
      </w:r>
      <w:r w:rsidR="00776E81" w:rsidRPr="006554EC">
        <w:rPr>
          <w:rFonts w:ascii="KaiTi" w:eastAsia="KaiTi" w:hAnsi="KaiTi"/>
          <w:i/>
          <w:sz w:val="21"/>
          <w:lang w:val="pt-BR" w:eastAsia="zh-CN"/>
        </w:rPr>
        <w:t>(</w:t>
      </w:r>
      <w:r w:rsidR="00776E81" w:rsidRPr="006554EC">
        <w:rPr>
          <w:rFonts w:ascii="KaiTi" w:eastAsia="KaiTi" w:hAnsi="KaiTi" w:hint="eastAsia"/>
          <w:i/>
          <w:sz w:val="21"/>
          <w:lang w:val="pt-BR" w:eastAsia="zh-CN"/>
        </w:rPr>
        <w:t>泰国</w:t>
      </w:r>
      <w:r w:rsidR="00776E81" w:rsidRPr="006554EC">
        <w:rPr>
          <w:rFonts w:ascii="KaiTi" w:eastAsia="KaiTi" w:hAnsi="KaiTi"/>
          <w:i/>
          <w:sz w:val="21"/>
          <w:lang w:val="pt-BR" w:eastAsia="zh-CN"/>
        </w:rPr>
        <w:t>)</w:t>
      </w:r>
      <w:r w:rsidRPr="006554EC">
        <w:rPr>
          <w:rFonts w:ascii="KaiTi" w:eastAsia="KaiTi" w:hAnsi="KaiTi" w:hint="eastAsia"/>
          <w:i/>
          <w:sz w:val="21"/>
          <w:lang w:val="pt-BR" w:eastAsia="zh-CN"/>
        </w:rPr>
        <w:t>和</w:t>
      </w:r>
      <w:r>
        <w:rPr>
          <w:rFonts w:ascii="KaiTi" w:eastAsia="KaiTi" w:hAnsi="KaiTi"/>
          <w:i/>
          <w:sz w:val="21"/>
          <w:lang w:val="pt-BR" w:eastAsia="zh-CN"/>
        </w:rPr>
        <w:br/>
      </w:r>
      <w:r w:rsidRPr="00776E81">
        <w:rPr>
          <w:rFonts w:ascii="KaiTi" w:eastAsia="KaiTi" w:hAnsi="KaiTi" w:hint="eastAsia"/>
          <w:i/>
          <w:sz w:val="21"/>
          <w:lang w:val="pt-BR" w:eastAsia="zh-CN"/>
        </w:rPr>
        <w:t>泰国发展研究院高级研究员</w:t>
      </w:r>
      <w:r w:rsidRPr="00776E81">
        <w:rPr>
          <w:rFonts w:ascii="KaiTi" w:eastAsia="KaiTi" w:hAnsi="KaiTi"/>
          <w:i/>
          <w:sz w:val="21"/>
          <w:lang w:val="pt-BR" w:eastAsia="zh-CN"/>
        </w:rPr>
        <w:t>Weerawan Paibunkott-aree</w:t>
      </w:r>
      <w:r w:rsidRPr="00776E81">
        <w:rPr>
          <w:rFonts w:ascii="KaiTi" w:eastAsia="KaiTi" w:hAnsi="KaiTi" w:hint="eastAsia"/>
          <w:i/>
          <w:sz w:val="21"/>
          <w:lang w:val="pt-BR" w:eastAsia="zh-CN"/>
        </w:rPr>
        <w:t>女士</w:t>
      </w:r>
      <w:r w:rsidR="00776E81" w:rsidRPr="00776E81">
        <w:rPr>
          <w:rFonts w:ascii="KaiTi" w:eastAsia="KaiTi" w:hAnsi="KaiTi"/>
          <w:i/>
          <w:sz w:val="21"/>
          <w:lang w:val="pt-BR" w:eastAsia="zh-CN"/>
        </w:rPr>
        <w:t>(</w:t>
      </w:r>
      <w:r w:rsidR="00776E81" w:rsidRPr="00776E81">
        <w:rPr>
          <w:rFonts w:ascii="KaiTi" w:eastAsia="KaiTi" w:hAnsi="KaiTi" w:hint="eastAsia"/>
          <w:i/>
          <w:sz w:val="21"/>
          <w:lang w:val="pt-BR" w:eastAsia="zh-CN"/>
        </w:rPr>
        <w:t>泰国</w:t>
      </w:r>
      <w:r w:rsidR="00776E81" w:rsidRPr="00776E81">
        <w:rPr>
          <w:rFonts w:ascii="KaiTi" w:eastAsia="KaiTi" w:hAnsi="KaiTi"/>
          <w:i/>
          <w:sz w:val="21"/>
          <w:lang w:val="pt-BR" w:eastAsia="zh-CN"/>
        </w:rPr>
        <w:t>)</w:t>
      </w:r>
      <w:r w:rsidRPr="00776E81">
        <w:rPr>
          <w:rFonts w:ascii="KaiTi" w:eastAsia="KaiTi" w:hAnsi="KaiTi" w:hint="eastAsia"/>
          <w:i/>
          <w:sz w:val="21"/>
          <w:lang w:val="pt-BR" w:eastAsia="zh-CN"/>
        </w:rPr>
        <w:t>编拟</w:t>
      </w:r>
      <w:r w:rsidRPr="00776E81">
        <w:rPr>
          <w:rStyle w:val="FootnoteReference"/>
          <w:i/>
        </w:rPr>
        <w:footnoteReference w:id="1"/>
      </w:r>
    </w:p>
    <w:p w:rsidR="00E463C3" w:rsidRPr="008022F2" w:rsidRDefault="00E463C3" w:rsidP="00850EBD">
      <w:pPr>
        <w:spacing w:after="0" w:line="240" w:lineRule="auto"/>
        <w:ind w:left="0"/>
        <w:rPr>
          <w:rFonts w:eastAsia="Times New Roman"/>
          <w:sz w:val="22"/>
          <w:szCs w:val="22"/>
          <w:lang w:val="pt-BR" w:eastAsia="zh-CN"/>
        </w:rPr>
      </w:pPr>
    </w:p>
    <w:p w:rsidR="00E463C3" w:rsidRPr="00965FDE" w:rsidRDefault="00E463C3" w:rsidP="00850EBD">
      <w:pPr>
        <w:spacing w:after="0" w:line="240" w:lineRule="auto"/>
        <w:ind w:left="0"/>
        <w:rPr>
          <w:rFonts w:eastAsia="Times New Roman"/>
          <w:sz w:val="22"/>
          <w:szCs w:val="22"/>
          <w:lang w:val="pt-BR" w:eastAsia="zh-CN"/>
        </w:rPr>
      </w:pPr>
    </w:p>
    <w:p w:rsidR="00E463C3" w:rsidRPr="00965FDE" w:rsidRDefault="00E463C3" w:rsidP="00850EBD">
      <w:pPr>
        <w:spacing w:after="0" w:line="240" w:lineRule="auto"/>
        <w:ind w:left="0"/>
        <w:rPr>
          <w:rFonts w:eastAsia="Times New Roman"/>
          <w:sz w:val="22"/>
          <w:szCs w:val="22"/>
          <w:lang w:val="pt-BR" w:eastAsia="zh-CN"/>
        </w:rPr>
      </w:pPr>
    </w:p>
    <w:p w:rsidR="00E463C3" w:rsidRPr="00965FDE" w:rsidRDefault="00E463C3" w:rsidP="00850EBD">
      <w:pPr>
        <w:autoSpaceDE w:val="0"/>
        <w:autoSpaceDN w:val="0"/>
        <w:spacing w:after="0" w:line="240" w:lineRule="auto"/>
        <w:ind w:left="0"/>
        <w:textAlignment w:val="bottom"/>
        <w:rPr>
          <w:rFonts w:eastAsia="Times New Roman"/>
          <w:sz w:val="22"/>
          <w:szCs w:val="22"/>
          <w:lang w:eastAsia="zh-CN"/>
        </w:rPr>
      </w:pPr>
    </w:p>
    <w:p w:rsidR="00E463C3" w:rsidRPr="00512FFD" w:rsidRDefault="00E463C3" w:rsidP="00776E81">
      <w:pPr>
        <w:adjustRightInd w:val="0"/>
        <w:spacing w:afterLines="50" w:line="340" w:lineRule="atLeast"/>
        <w:ind w:left="0"/>
        <w:jc w:val="both"/>
        <w:rPr>
          <w:rFonts w:ascii="SimSun" w:eastAsia="Times New Roman" w:hAnsi="SimSun" w:cs="Arial"/>
          <w:color w:val="000000"/>
          <w:sz w:val="21"/>
          <w:szCs w:val="21"/>
          <w:lang w:eastAsia="zh-CN"/>
        </w:rPr>
      </w:pPr>
      <w:r w:rsidRPr="00512FFD">
        <w:rPr>
          <w:rFonts w:ascii="SimSun" w:eastAsia="Times New Roman" w:hAnsi="SimSun" w:cs="Arial"/>
          <w:color w:val="000000"/>
          <w:sz w:val="21"/>
          <w:szCs w:val="21"/>
          <w:lang w:eastAsia="zh-CN"/>
        </w:rPr>
        <w:t>1.</w:t>
      </w:r>
      <w:r w:rsidRPr="00512FFD">
        <w:rPr>
          <w:rFonts w:ascii="SimSun" w:eastAsia="Times New Roman" w:hAnsi="SimSun" w:cs="Arial"/>
          <w:color w:val="000000"/>
          <w:sz w:val="21"/>
          <w:szCs w:val="21"/>
          <w:lang w:eastAsia="zh-CN"/>
        </w:rPr>
        <w:tab/>
      </w:r>
      <w:r>
        <w:rPr>
          <w:rFonts w:ascii="SimSun" w:hAnsi="SimSun" w:cs="SimSun" w:hint="eastAsia"/>
          <w:color w:val="000000"/>
          <w:sz w:val="21"/>
          <w:szCs w:val="21"/>
          <w:lang w:eastAsia="zh-CN"/>
        </w:rPr>
        <w:t>本文件的附件中载有</w:t>
      </w:r>
      <w:r>
        <w:rPr>
          <w:rFonts w:ascii="SimSun" w:eastAsia="Times New Roman" w:hAnsi="SimSun" w:cs="Arial"/>
          <w:color w:val="000000"/>
          <w:sz w:val="21"/>
          <w:szCs w:val="21"/>
          <w:lang w:eastAsia="zh-CN"/>
        </w:rPr>
        <w:t>“</w:t>
      </w:r>
      <w:r w:rsidRPr="00425B3C">
        <w:rPr>
          <w:rFonts w:ascii="SimSun" w:hAnsi="SimSun" w:cs="SimSun" w:hint="eastAsia"/>
          <w:color w:val="000000"/>
          <w:sz w:val="21"/>
          <w:szCs w:val="21"/>
          <w:lang w:eastAsia="zh-CN"/>
        </w:rPr>
        <w:t>泰国实用新型使用情况研究</w:t>
      </w:r>
      <w:r>
        <w:rPr>
          <w:rFonts w:ascii="SimSun" w:eastAsia="Times New Roman" w:hAnsi="SimSun" w:cs="Arial"/>
          <w:color w:val="000000"/>
          <w:sz w:val="21"/>
          <w:szCs w:val="21"/>
          <w:lang w:eastAsia="zh-CN"/>
        </w:rPr>
        <w:t>”</w:t>
      </w:r>
      <w:r>
        <w:rPr>
          <w:rFonts w:ascii="SimSun" w:hAnsi="SimSun" w:cs="SimSun" w:hint="eastAsia"/>
          <w:color w:val="000000"/>
          <w:sz w:val="21"/>
          <w:szCs w:val="21"/>
          <w:lang w:eastAsia="zh-CN"/>
        </w:rPr>
        <w:t>的</w:t>
      </w:r>
      <w:r w:rsidRPr="00425B3C">
        <w:rPr>
          <w:rFonts w:ascii="SimSun" w:hAnsi="SimSun" w:cs="SimSun" w:hint="eastAsia"/>
          <w:color w:val="000000"/>
          <w:sz w:val="21"/>
          <w:szCs w:val="21"/>
          <w:lang w:eastAsia="zh-CN"/>
        </w:rPr>
        <w:t>摘要</w:t>
      </w:r>
      <w:r>
        <w:rPr>
          <w:rFonts w:ascii="SimSun" w:hAnsi="SimSun" w:cs="SimSun" w:hint="eastAsia"/>
          <w:color w:val="000000"/>
          <w:sz w:val="21"/>
          <w:szCs w:val="21"/>
          <w:lang w:eastAsia="zh-CN"/>
        </w:rPr>
        <w:t>，这项研究是在发展与知识产权委员会</w:t>
      </w:r>
      <w:r w:rsidRPr="00512FFD">
        <w:rPr>
          <w:rFonts w:ascii="SimSun" w:eastAsia="Times New Roman" w:hAnsi="SimSun" w:cs="Arial"/>
          <w:color w:val="000000"/>
          <w:sz w:val="21"/>
          <w:szCs w:val="21"/>
          <w:lang w:eastAsia="zh-CN"/>
        </w:rPr>
        <w:t>(</w:t>
      </w:r>
      <w:r>
        <w:rPr>
          <w:rFonts w:ascii="SimSun" w:eastAsia="Times New Roman" w:hAnsi="SimSun" w:cs="Arial"/>
          <w:color w:val="000000"/>
          <w:sz w:val="21"/>
          <w:szCs w:val="21"/>
          <w:lang w:eastAsia="zh-CN"/>
        </w:rPr>
        <w:t>CDIP</w:t>
      </w:r>
      <w:r w:rsidRPr="00512FFD">
        <w:rPr>
          <w:rFonts w:ascii="SimSun" w:eastAsia="Times New Roman" w:hAnsi="SimSun" w:cs="Arial"/>
          <w:color w:val="000000"/>
          <w:sz w:val="21"/>
          <w:szCs w:val="21"/>
          <w:lang w:eastAsia="zh-CN"/>
        </w:rPr>
        <w:t>)</w:t>
      </w:r>
      <w:r w:rsidR="003C5966">
        <w:rPr>
          <w:rFonts w:asciiTheme="minorEastAsia" w:eastAsiaTheme="minorEastAsia" w:hAnsiTheme="minorEastAsia" w:cs="Arial" w:hint="eastAsia"/>
          <w:color w:val="000000"/>
          <w:sz w:val="21"/>
          <w:szCs w:val="21"/>
          <w:lang w:eastAsia="zh-CN"/>
        </w:rPr>
        <w:t>于</w:t>
      </w:r>
      <w:r>
        <w:rPr>
          <w:rFonts w:ascii="SimSun" w:eastAsia="Times New Roman" w:hAnsi="SimSun" w:cs="Arial"/>
          <w:color w:val="000000"/>
          <w:sz w:val="21"/>
          <w:szCs w:val="21"/>
          <w:lang w:eastAsia="zh-CN"/>
        </w:rPr>
        <w:t>2010</w:t>
      </w:r>
      <w:r>
        <w:rPr>
          <w:rFonts w:ascii="SimSun" w:hAnsi="SimSun" w:cs="SimSun" w:hint="eastAsia"/>
          <w:color w:val="000000"/>
          <w:sz w:val="21"/>
          <w:szCs w:val="21"/>
          <w:lang w:eastAsia="zh-CN"/>
        </w:rPr>
        <w:t>年</w:t>
      </w:r>
      <w:r>
        <w:rPr>
          <w:rFonts w:ascii="SimSun" w:eastAsia="Times New Roman" w:hAnsi="SimSun" w:cs="Arial"/>
          <w:color w:val="000000"/>
          <w:sz w:val="21"/>
          <w:szCs w:val="21"/>
          <w:lang w:eastAsia="zh-CN"/>
        </w:rPr>
        <w:t>4</w:t>
      </w:r>
      <w:r>
        <w:rPr>
          <w:rFonts w:ascii="SimSun" w:hAnsi="SimSun" w:cs="SimSun" w:hint="eastAsia"/>
          <w:color w:val="000000"/>
          <w:sz w:val="21"/>
          <w:szCs w:val="21"/>
          <w:lang w:eastAsia="zh-CN"/>
        </w:rPr>
        <w:t>月举行的第五届会议上批准的</w:t>
      </w:r>
      <w:r>
        <w:rPr>
          <w:rFonts w:ascii="SimSun" w:eastAsia="Times New Roman" w:hAnsi="SimSun" w:cs="Arial"/>
          <w:color w:val="000000"/>
          <w:sz w:val="21"/>
          <w:szCs w:val="21"/>
          <w:lang w:eastAsia="zh-CN"/>
        </w:rPr>
        <w:t>“</w:t>
      </w:r>
      <w:r>
        <w:rPr>
          <w:rFonts w:ascii="SimSun" w:hAnsi="SimSun" w:cs="SimSun" w:hint="eastAsia"/>
          <w:color w:val="000000"/>
          <w:sz w:val="21"/>
          <w:szCs w:val="21"/>
          <w:lang w:eastAsia="zh-CN"/>
        </w:rPr>
        <w:t>知识产权与社会经济发展项目</w:t>
      </w:r>
      <w:r>
        <w:rPr>
          <w:rFonts w:ascii="SimSun" w:eastAsia="Times New Roman" w:hAnsi="SimSun" w:cs="Arial"/>
          <w:color w:val="000000"/>
          <w:sz w:val="21"/>
          <w:szCs w:val="21"/>
          <w:lang w:eastAsia="zh-CN"/>
        </w:rPr>
        <w:t>”</w:t>
      </w:r>
      <w:r w:rsidRPr="00512FFD">
        <w:rPr>
          <w:rFonts w:ascii="SimSun" w:eastAsia="Times New Roman" w:hAnsi="SimSun" w:cs="Arial"/>
          <w:color w:val="000000"/>
          <w:sz w:val="21"/>
          <w:szCs w:val="21"/>
          <w:lang w:eastAsia="zh-CN"/>
        </w:rPr>
        <w:t>(CDIP/</w:t>
      </w:r>
      <w:r>
        <w:rPr>
          <w:rFonts w:ascii="SimSun" w:eastAsia="Times New Roman" w:hAnsi="SimSun" w:cs="Arial"/>
          <w:color w:val="000000"/>
          <w:sz w:val="21"/>
          <w:szCs w:val="21"/>
          <w:lang w:eastAsia="zh-CN"/>
        </w:rPr>
        <w:t>5</w:t>
      </w:r>
      <w:r w:rsidRPr="00512FFD">
        <w:rPr>
          <w:rFonts w:ascii="SimSun" w:eastAsia="Times New Roman" w:hAnsi="SimSun" w:cs="Arial"/>
          <w:color w:val="000000"/>
          <w:sz w:val="21"/>
          <w:szCs w:val="21"/>
          <w:lang w:eastAsia="zh-CN"/>
        </w:rPr>
        <w:t>/</w:t>
      </w:r>
      <w:r>
        <w:rPr>
          <w:rFonts w:ascii="SimSun" w:eastAsia="Times New Roman" w:hAnsi="SimSun" w:cs="Arial"/>
          <w:color w:val="000000"/>
          <w:sz w:val="21"/>
          <w:szCs w:val="21"/>
          <w:lang w:eastAsia="zh-CN"/>
        </w:rPr>
        <w:t>7</w:t>
      </w:r>
      <w:r w:rsidRPr="00512FFD">
        <w:rPr>
          <w:rFonts w:ascii="SimSun" w:eastAsia="Times New Roman" w:hAnsi="SimSun" w:cs="Arial"/>
          <w:color w:val="000000"/>
          <w:sz w:val="21"/>
          <w:szCs w:val="21"/>
          <w:lang w:eastAsia="zh-CN"/>
        </w:rPr>
        <w:t>)</w:t>
      </w:r>
      <w:r>
        <w:rPr>
          <w:rFonts w:ascii="SimSun" w:hAnsi="SimSun" w:cs="SimSun" w:hint="eastAsia"/>
          <w:color w:val="000000"/>
          <w:sz w:val="21"/>
          <w:szCs w:val="21"/>
          <w:lang w:eastAsia="zh-CN"/>
        </w:rPr>
        <w:t>的框架内开展的。这项研究对泰国实用新型的实施和使用情况进行了描述性分析，并对泰国知识产权制度在这一新的政策工具方面所面临的潜在挑战进行了探讨。</w:t>
      </w:r>
    </w:p>
    <w:p w:rsidR="00E463C3" w:rsidRPr="00553C03" w:rsidRDefault="00E463C3" w:rsidP="00776E81">
      <w:pPr>
        <w:spacing w:afterLines="50" w:line="340" w:lineRule="atLeast"/>
        <w:ind w:left="5534"/>
        <w:jc w:val="both"/>
        <w:rPr>
          <w:rFonts w:ascii="KaiTi" w:eastAsia="KaiTi" w:hAnsi="KaiTi"/>
          <w:i/>
          <w:sz w:val="21"/>
          <w:szCs w:val="21"/>
          <w:lang w:eastAsia="zh-CN"/>
        </w:rPr>
      </w:pPr>
      <w:r w:rsidRPr="00553C03">
        <w:rPr>
          <w:rFonts w:ascii="KaiTi" w:eastAsia="KaiTi" w:hAnsi="KaiTi"/>
          <w:i/>
          <w:sz w:val="21"/>
          <w:szCs w:val="21"/>
          <w:lang w:eastAsia="zh-CN"/>
        </w:rPr>
        <w:t>2.</w:t>
      </w:r>
      <w:r w:rsidRPr="00553C03">
        <w:rPr>
          <w:rFonts w:ascii="KaiTi" w:eastAsia="KaiTi" w:hAnsi="KaiTi"/>
          <w:i/>
          <w:sz w:val="21"/>
          <w:szCs w:val="21"/>
          <w:lang w:eastAsia="zh-CN"/>
        </w:rPr>
        <w:tab/>
      </w:r>
      <w:r>
        <w:rPr>
          <w:rFonts w:ascii="KaiTi" w:eastAsia="KaiTi" w:hAnsi="KaiTi" w:hint="eastAsia"/>
          <w:i/>
          <w:sz w:val="21"/>
          <w:szCs w:val="21"/>
          <w:lang w:eastAsia="zh-CN"/>
        </w:rPr>
        <w:t>请</w:t>
      </w:r>
      <w:r w:rsidRPr="00553C03">
        <w:rPr>
          <w:rFonts w:ascii="KaiTi" w:eastAsia="KaiTi" w:hAnsi="KaiTi"/>
          <w:i/>
          <w:sz w:val="21"/>
          <w:szCs w:val="21"/>
          <w:lang w:eastAsia="zh-CN"/>
        </w:rPr>
        <w:t>CDIP</w:t>
      </w:r>
      <w:r>
        <w:rPr>
          <w:rFonts w:ascii="KaiTi" w:eastAsia="KaiTi" w:hAnsi="KaiTi" w:hint="eastAsia"/>
          <w:i/>
          <w:sz w:val="21"/>
          <w:szCs w:val="21"/>
          <w:lang w:eastAsia="zh-CN"/>
        </w:rPr>
        <w:t>注意本文件附件中所载的信息。</w:t>
      </w:r>
    </w:p>
    <w:p w:rsidR="00E463C3" w:rsidRPr="00512FFD" w:rsidRDefault="00E463C3" w:rsidP="00512FFD">
      <w:pPr>
        <w:spacing w:afterLines="50" w:line="340" w:lineRule="atLeast"/>
        <w:ind w:left="4550" w:hanging="14"/>
        <w:jc w:val="both"/>
        <w:rPr>
          <w:rFonts w:ascii="SimSun" w:eastAsia="Times New Roman" w:hAnsi="SimSun" w:cs="Arial"/>
          <w:sz w:val="21"/>
          <w:szCs w:val="21"/>
          <w:lang w:eastAsia="zh-CN"/>
        </w:rPr>
      </w:pPr>
    </w:p>
    <w:p w:rsidR="00776E81" w:rsidRDefault="00E463C3" w:rsidP="00776E81">
      <w:pPr>
        <w:spacing w:afterLines="50" w:line="340" w:lineRule="atLeast"/>
        <w:ind w:left="5534"/>
        <w:rPr>
          <w:rFonts w:ascii="SimSun" w:eastAsia="Times New Roman" w:hAnsi="SimSun" w:cs="Arial"/>
          <w:sz w:val="21"/>
          <w:szCs w:val="21"/>
          <w:lang w:val="en-GB" w:eastAsia="zh-CN"/>
        </w:rPr>
        <w:sectPr w:rsidR="00776E81" w:rsidSect="00776E81">
          <w:headerReference w:type="default" r:id="rId10"/>
          <w:footerReference w:type="default" r:id="rId11"/>
          <w:pgSz w:w="11907" w:h="16840" w:code="9"/>
          <w:pgMar w:top="567" w:right="1134" w:bottom="1418" w:left="1418" w:header="510" w:footer="1021" w:gutter="0"/>
          <w:cols w:space="720"/>
          <w:titlePg/>
          <w:docGrid w:linePitch="360"/>
        </w:sectPr>
      </w:pPr>
      <w:r w:rsidRPr="00512FFD">
        <w:rPr>
          <w:rFonts w:ascii="SimSun" w:eastAsia="Times New Roman" w:hAnsi="SimSun" w:cs="Arial"/>
          <w:sz w:val="21"/>
          <w:szCs w:val="21"/>
          <w:lang w:val="en-GB" w:eastAsia="zh-CN"/>
        </w:rPr>
        <w:t>[</w:t>
      </w:r>
      <w:r w:rsidRPr="00553C03">
        <w:rPr>
          <w:rFonts w:ascii="KaiTi" w:eastAsia="KaiTi" w:hAnsi="KaiTi" w:hint="eastAsia"/>
          <w:sz w:val="21"/>
          <w:szCs w:val="21"/>
          <w:lang w:eastAsia="zh-CN"/>
        </w:rPr>
        <w:t>后接附件</w:t>
      </w:r>
      <w:r w:rsidRPr="00512FFD">
        <w:rPr>
          <w:rFonts w:ascii="SimSun" w:eastAsia="Times New Roman" w:hAnsi="SimSun" w:cs="Arial"/>
          <w:sz w:val="21"/>
          <w:szCs w:val="21"/>
          <w:lang w:val="en-GB" w:eastAsia="zh-CN"/>
        </w:rPr>
        <w:t>]</w:t>
      </w:r>
    </w:p>
    <w:p w:rsidR="00E463C3" w:rsidRPr="00776E81" w:rsidRDefault="00E463C3" w:rsidP="000F425B">
      <w:pPr>
        <w:spacing w:line="340" w:lineRule="atLeast"/>
        <w:ind w:left="0"/>
        <w:jc w:val="center"/>
        <w:rPr>
          <w:rFonts w:ascii="SimHei" w:eastAsia="SimHei" w:hAnsi="SimHei"/>
          <w:sz w:val="24"/>
          <w:szCs w:val="24"/>
          <w:lang w:eastAsia="zh-CN"/>
        </w:rPr>
      </w:pPr>
      <w:bookmarkStart w:id="2" w:name="_GoBack"/>
      <w:bookmarkEnd w:id="2"/>
      <w:r w:rsidRPr="00776E81">
        <w:rPr>
          <w:rFonts w:ascii="SimHei" w:eastAsia="SimHei" w:hAnsi="SimHei" w:hint="eastAsia"/>
          <w:sz w:val="24"/>
          <w:szCs w:val="24"/>
          <w:lang w:eastAsia="zh-CN"/>
        </w:rPr>
        <w:lastRenderedPageBreak/>
        <w:t>泰国实用新型使用情况</w:t>
      </w:r>
    </w:p>
    <w:p w:rsidR="00E463C3" w:rsidRDefault="00E463C3" w:rsidP="000F425B">
      <w:pPr>
        <w:pStyle w:val="Heading1"/>
        <w:spacing w:before="240" w:after="360" w:line="340" w:lineRule="atLeast"/>
        <w:ind w:left="0"/>
        <w:jc w:val="center"/>
        <w:rPr>
          <w:lang w:eastAsia="zh-CN"/>
        </w:rPr>
      </w:pPr>
      <w:bookmarkStart w:id="3" w:name="_Toc368405230"/>
      <w:r w:rsidRPr="000F425B">
        <w:rPr>
          <w:rFonts w:hint="eastAsia"/>
          <w:sz w:val="24"/>
          <w:szCs w:val="24"/>
          <w:lang w:eastAsia="zh-CN"/>
        </w:rPr>
        <w:t>内容提要</w:t>
      </w:r>
      <w:bookmarkEnd w:id="3"/>
    </w:p>
    <w:p w:rsidR="00E463C3" w:rsidRPr="000F425B" w:rsidRDefault="00E463C3" w:rsidP="000F425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人们在更深入</w:t>
      </w:r>
      <w:r w:rsidR="003D0A1A">
        <w:rPr>
          <w:rFonts w:ascii="SimSun" w:hAnsi="SimSun" w:cs="SimSun" w:hint="eastAsia"/>
          <w:sz w:val="21"/>
          <w:szCs w:val="21"/>
          <w:lang w:eastAsia="zh-CN"/>
        </w:rPr>
        <w:t>地</w:t>
      </w:r>
      <w:r>
        <w:rPr>
          <w:rFonts w:ascii="SimSun" w:hAnsi="SimSun" w:cs="SimSun" w:hint="eastAsia"/>
          <w:sz w:val="21"/>
          <w:szCs w:val="21"/>
          <w:lang w:eastAsia="zh-CN"/>
        </w:rPr>
        <w:t>了解较不发达国家的知识产权保护对</w:t>
      </w:r>
      <w:r w:rsidR="003D0A1A">
        <w:rPr>
          <w:rFonts w:ascii="SimSun" w:hAnsi="SimSun" w:cs="SimSun" w:hint="eastAsia"/>
          <w:sz w:val="21"/>
          <w:szCs w:val="21"/>
          <w:lang w:eastAsia="zh-CN"/>
        </w:rPr>
        <w:t>社会与</w:t>
      </w:r>
      <w:r>
        <w:rPr>
          <w:rFonts w:ascii="SimSun" w:hAnsi="SimSun" w:cs="SimSun" w:hint="eastAsia"/>
          <w:sz w:val="21"/>
          <w:szCs w:val="21"/>
          <w:lang w:eastAsia="zh-CN"/>
        </w:rPr>
        <w:t>经济</w:t>
      </w:r>
      <w:r w:rsidR="00E84340">
        <w:rPr>
          <w:rFonts w:ascii="SimSun" w:hAnsi="SimSun" w:cs="SimSun" w:hint="eastAsia"/>
          <w:sz w:val="21"/>
          <w:szCs w:val="21"/>
          <w:lang w:eastAsia="zh-CN"/>
        </w:rPr>
        <w:t>业绩</w:t>
      </w:r>
      <w:r>
        <w:rPr>
          <w:rFonts w:ascii="SimSun" w:hAnsi="SimSun" w:cs="SimSun" w:hint="eastAsia"/>
          <w:sz w:val="21"/>
          <w:szCs w:val="21"/>
          <w:lang w:eastAsia="zh-CN"/>
        </w:rPr>
        <w:t>的具体措施以及对更广泛的经济发展进程的影响方面，具有浓厚的兴趣。许多经济学家反对在设计和实施知识产权制度时采用一种</w:t>
      </w:r>
      <w:r w:rsidRPr="000F425B">
        <w:rPr>
          <w:rFonts w:ascii="SimSun" w:eastAsia="Times New Roman" w:hAnsi="SimSun"/>
          <w:sz w:val="21"/>
          <w:szCs w:val="21"/>
          <w:lang w:eastAsia="zh-CN"/>
        </w:rPr>
        <w:t xml:space="preserve"> “</w:t>
      </w:r>
      <w:r>
        <w:rPr>
          <w:rFonts w:ascii="SimSun" w:hAnsi="SimSun" w:cs="SimSun" w:hint="eastAsia"/>
          <w:sz w:val="21"/>
          <w:szCs w:val="21"/>
          <w:lang w:eastAsia="zh-CN"/>
        </w:rPr>
        <w:t>一刀切</w:t>
      </w:r>
      <w:r w:rsidRPr="000F425B">
        <w:rPr>
          <w:rFonts w:ascii="SimSun" w:eastAsia="Times New Roman" w:hAnsi="SimSun"/>
          <w:sz w:val="21"/>
          <w:szCs w:val="21"/>
          <w:lang w:eastAsia="zh-CN"/>
        </w:rPr>
        <w:t>”</w:t>
      </w:r>
      <w:r>
        <w:rPr>
          <w:rFonts w:ascii="SimSun" w:hAnsi="SimSun" w:cs="SimSun" w:hint="eastAsia"/>
          <w:sz w:val="21"/>
          <w:szCs w:val="21"/>
          <w:lang w:eastAsia="zh-CN"/>
        </w:rPr>
        <w:t>的方法。与此同时，发展中国家的决策者，在打造符合其国家能力与需求的知识产权制度方面缺少可以依赖的实用指南。</w:t>
      </w:r>
    </w:p>
    <w:p w:rsidR="003D0A1A" w:rsidRDefault="00E463C3" w:rsidP="000F425B">
      <w:pPr>
        <w:spacing w:line="340" w:lineRule="atLeast"/>
        <w:ind w:left="0"/>
        <w:jc w:val="both"/>
        <w:rPr>
          <w:rFonts w:ascii="SimSun" w:hAnsi="SimSun" w:cs="SimSun"/>
          <w:sz w:val="21"/>
          <w:szCs w:val="21"/>
          <w:lang w:eastAsia="zh-CN"/>
        </w:rPr>
      </w:pPr>
      <w:r>
        <w:rPr>
          <w:rFonts w:ascii="SimSun" w:hAnsi="SimSun" w:cs="SimSun" w:hint="eastAsia"/>
          <w:sz w:val="21"/>
          <w:szCs w:val="21"/>
          <w:lang w:eastAsia="zh-CN"/>
        </w:rPr>
        <w:t>在这一背景下，许多经济学家和法律专家曾指出，在经济发展初期，实用新型可能是一种比</w:t>
      </w:r>
      <w:r w:rsidR="003D0A1A">
        <w:rPr>
          <w:rFonts w:ascii="SimSun" w:hAnsi="SimSun" w:cs="SimSun" w:hint="eastAsia"/>
          <w:sz w:val="21"/>
          <w:szCs w:val="21"/>
          <w:lang w:eastAsia="zh-CN"/>
        </w:rPr>
        <w:t>常规发明专利更合适的知识产权保护形式。此外，通过使用这种知识产权工具，可以让当地发明家熟悉总的知识产权制度，并鼓励在不久之后使用其他知识产权形式。但是，处于不同发展阶段的国家对实用新型的采用及其效果，现有证据极少。</w:t>
      </w:r>
    </w:p>
    <w:p w:rsidR="00E463C3" w:rsidRPr="000F425B" w:rsidRDefault="003D0A1A" w:rsidP="000F425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1999年，</w:t>
      </w:r>
      <w:r w:rsidR="00E84340">
        <w:rPr>
          <w:rFonts w:ascii="SimSun" w:hAnsi="SimSun" w:cs="SimSun" w:hint="eastAsia"/>
          <w:sz w:val="21"/>
          <w:szCs w:val="21"/>
          <w:lang w:eastAsia="zh-CN"/>
        </w:rPr>
        <w:t>作为</w:t>
      </w:r>
      <w:r>
        <w:rPr>
          <w:rFonts w:ascii="SimSun" w:hAnsi="SimSun" w:cs="SimSun" w:hint="eastAsia"/>
          <w:sz w:val="21"/>
          <w:szCs w:val="21"/>
          <w:lang w:eastAsia="zh-CN"/>
        </w:rPr>
        <w:t>世界贸易组织签字成员的义务之一，泰国依照《与贸易有关的知识产权协定》(TRIPS)改革了本国的知识产权法，通过了修订后的《知识产权法》(第三次修正)。这次改革的一个要素——尽管不是TRIPS的要求——是采用了实用新型保护，目标</w:t>
      </w:r>
      <w:r w:rsidR="00E84340">
        <w:rPr>
          <w:rFonts w:ascii="SimSun" w:hAnsi="SimSun" w:cs="SimSun" w:hint="eastAsia"/>
          <w:sz w:val="21"/>
          <w:szCs w:val="21"/>
          <w:lang w:eastAsia="zh-CN"/>
        </w:rPr>
        <w:t>具体</w:t>
      </w:r>
      <w:r>
        <w:rPr>
          <w:rFonts w:ascii="SimSun" w:hAnsi="SimSun" w:cs="SimSun" w:hint="eastAsia"/>
          <w:sz w:val="21"/>
          <w:szCs w:val="21"/>
          <w:lang w:eastAsia="zh-CN"/>
        </w:rPr>
        <w:t>是鼓励当地创新。</w:t>
      </w:r>
      <w:r w:rsidR="00E463C3">
        <w:rPr>
          <w:rFonts w:ascii="SimSun" w:hAnsi="SimSun" w:cs="SimSun" w:hint="eastAsia"/>
          <w:sz w:val="21"/>
          <w:szCs w:val="21"/>
          <w:lang w:eastAsia="zh-CN"/>
        </w:rPr>
        <w:t>泰国实用新型立法要求发明具有新颖性，能够进行工业应用。不要求实用新型申请经过实质审查。申请人或任何有关的第三方可以在注册公布后一年内要求进行实质审查。</w:t>
      </w:r>
    </w:p>
    <w:p w:rsidR="00E463C3" w:rsidRPr="000F425B" w:rsidRDefault="00E463C3" w:rsidP="000F425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作为</w:t>
      </w:r>
      <w:r>
        <w:rPr>
          <w:rFonts w:ascii="SimSun" w:eastAsia="Times New Roman" w:hAnsi="SimSun"/>
          <w:sz w:val="21"/>
          <w:szCs w:val="21"/>
          <w:lang w:eastAsia="zh-CN"/>
        </w:rPr>
        <w:t>2010</w:t>
      </w:r>
      <w:r>
        <w:rPr>
          <w:rFonts w:ascii="SimSun" w:hAnsi="SimSun" w:cs="SimSun" w:hint="eastAsia"/>
          <w:sz w:val="21"/>
          <w:szCs w:val="21"/>
          <w:lang w:eastAsia="zh-CN"/>
        </w:rPr>
        <w:t>年</w:t>
      </w:r>
      <w:r>
        <w:rPr>
          <w:rFonts w:ascii="SimSun" w:eastAsia="Times New Roman" w:hAnsi="SimSun"/>
          <w:sz w:val="21"/>
          <w:szCs w:val="21"/>
          <w:lang w:eastAsia="zh-CN"/>
        </w:rPr>
        <w:t>4</w:t>
      </w:r>
      <w:r>
        <w:rPr>
          <w:rFonts w:ascii="SimSun" w:hAnsi="SimSun" w:cs="SimSun" w:hint="eastAsia"/>
          <w:sz w:val="21"/>
          <w:szCs w:val="21"/>
          <w:lang w:eastAsia="zh-CN"/>
        </w:rPr>
        <w:t>月</w:t>
      </w:r>
      <w:r>
        <w:rPr>
          <w:rFonts w:ascii="SimSun" w:eastAsia="Times New Roman" w:hAnsi="SimSun"/>
          <w:sz w:val="21"/>
          <w:szCs w:val="21"/>
          <w:lang w:eastAsia="zh-CN"/>
        </w:rPr>
        <w:t>CDIP</w:t>
      </w:r>
      <w:r>
        <w:rPr>
          <w:rFonts w:ascii="SimSun" w:hAnsi="SimSun" w:cs="SimSun" w:hint="eastAsia"/>
          <w:sz w:val="21"/>
          <w:szCs w:val="21"/>
          <w:lang w:eastAsia="zh-CN"/>
        </w:rPr>
        <w:t>在第五届会议上批准的</w:t>
      </w:r>
      <w:r>
        <w:rPr>
          <w:rFonts w:ascii="SimSun" w:eastAsia="Times New Roman" w:hAnsi="SimSun"/>
          <w:sz w:val="21"/>
          <w:szCs w:val="21"/>
          <w:lang w:eastAsia="zh-CN"/>
        </w:rPr>
        <w:t>“</w:t>
      </w:r>
      <w:r>
        <w:rPr>
          <w:rFonts w:ascii="SimSun" w:hAnsi="SimSun" w:cs="SimSun" w:hint="eastAsia"/>
          <w:sz w:val="21"/>
          <w:szCs w:val="21"/>
          <w:lang w:eastAsia="zh-CN"/>
        </w:rPr>
        <w:t>知识产权与社会经济发展</w:t>
      </w:r>
      <w:r>
        <w:rPr>
          <w:rFonts w:ascii="SimSun" w:eastAsia="Times New Roman" w:hAnsi="SimSun"/>
          <w:sz w:val="21"/>
          <w:szCs w:val="21"/>
          <w:lang w:eastAsia="zh-CN"/>
        </w:rPr>
        <w:t>”</w:t>
      </w:r>
      <w:r>
        <w:rPr>
          <w:rFonts w:ascii="SimSun" w:hAnsi="SimSun" w:cs="SimSun" w:hint="eastAsia"/>
          <w:sz w:val="21"/>
          <w:szCs w:val="21"/>
          <w:lang w:eastAsia="zh-CN"/>
        </w:rPr>
        <w:t>项目</w:t>
      </w:r>
      <w:r w:rsidRPr="000F425B">
        <w:rPr>
          <w:rFonts w:ascii="SimSun" w:eastAsia="Times New Roman" w:hAnsi="SimSun"/>
          <w:sz w:val="21"/>
          <w:szCs w:val="21"/>
          <w:lang w:eastAsia="zh-CN"/>
        </w:rPr>
        <w:t>(CDIP/5/7)</w:t>
      </w:r>
      <w:r>
        <w:rPr>
          <w:rFonts w:ascii="SimSun" w:hAnsi="SimSun" w:cs="SimSun" w:hint="eastAsia"/>
          <w:sz w:val="21"/>
          <w:szCs w:val="21"/>
          <w:lang w:eastAsia="zh-CN"/>
        </w:rPr>
        <w:t>的一部分，关于泰国的本国别研究对泰国实施实用新型的情况进行了描述性分析。本文使用详细、新颖的实用新型注册单位记录数据，对这一知识产权工具正在如何得到使用、由谁使用以及在哪些部门使用进行了研究。它还指出了泰国知识产权制度在这一新的政策工具方面未来可能面对的潜在挑战。</w:t>
      </w:r>
    </w:p>
    <w:p w:rsidR="00E463C3" w:rsidRDefault="00E463C3" w:rsidP="000F425B">
      <w:pPr>
        <w:spacing w:line="340" w:lineRule="atLeast"/>
        <w:ind w:left="0"/>
        <w:jc w:val="both"/>
        <w:rPr>
          <w:lang w:eastAsia="zh-CN"/>
        </w:rPr>
      </w:pPr>
      <w:r>
        <w:rPr>
          <w:rFonts w:ascii="SimSun" w:hAnsi="SimSun" w:cs="SimSun" w:hint="eastAsia"/>
          <w:sz w:val="21"/>
          <w:szCs w:val="21"/>
          <w:lang w:eastAsia="zh-CN"/>
        </w:rPr>
        <w:t>这项研究是泰国发展研究院</w:t>
      </w:r>
      <w:r w:rsidRPr="000F425B">
        <w:rPr>
          <w:rFonts w:ascii="SimSun" w:eastAsia="Times New Roman" w:hAnsi="SimSun"/>
          <w:sz w:val="21"/>
          <w:szCs w:val="21"/>
          <w:lang w:eastAsia="zh-CN"/>
        </w:rPr>
        <w:t>(TDRI)</w:t>
      </w:r>
      <w:r>
        <w:rPr>
          <w:rFonts w:ascii="SimSun" w:hAnsi="SimSun" w:cs="SimSun" w:hint="eastAsia"/>
          <w:sz w:val="21"/>
          <w:szCs w:val="21"/>
          <w:lang w:eastAsia="zh-CN"/>
        </w:rPr>
        <w:t>和</w:t>
      </w:r>
      <w:r w:rsidR="00E84340">
        <w:rPr>
          <w:rFonts w:ascii="SimSun" w:hAnsi="SimSun" w:cs="SimSun" w:hint="eastAsia"/>
          <w:sz w:val="21"/>
          <w:szCs w:val="21"/>
          <w:lang w:eastAsia="zh-CN"/>
        </w:rPr>
        <w:t>世界</w:t>
      </w:r>
      <w:r>
        <w:rPr>
          <w:rFonts w:ascii="SimSun" w:hAnsi="SimSun" w:cs="SimSun" w:hint="eastAsia"/>
          <w:sz w:val="21"/>
          <w:szCs w:val="21"/>
          <w:lang w:eastAsia="zh-CN"/>
        </w:rPr>
        <w:t>知识产权组织</w:t>
      </w:r>
      <w:r w:rsidRPr="000F425B">
        <w:rPr>
          <w:rFonts w:ascii="SimSun" w:eastAsia="Times New Roman" w:hAnsi="SimSun"/>
          <w:sz w:val="21"/>
          <w:szCs w:val="21"/>
          <w:lang w:eastAsia="zh-CN"/>
        </w:rPr>
        <w:t>(WIPO)</w:t>
      </w:r>
      <w:r>
        <w:rPr>
          <w:rFonts w:ascii="SimSun" w:hAnsi="SimSun" w:cs="SimSun" w:hint="eastAsia"/>
          <w:sz w:val="21"/>
          <w:szCs w:val="21"/>
          <w:lang w:eastAsia="zh-CN"/>
        </w:rPr>
        <w:t>的一个合作项目。具体而言，在泰国商务部知识产权厅</w:t>
      </w:r>
      <w:r w:rsidRPr="000F425B">
        <w:rPr>
          <w:rFonts w:ascii="SimSun" w:eastAsia="Times New Roman" w:hAnsi="SimSun"/>
          <w:sz w:val="21"/>
          <w:szCs w:val="21"/>
          <w:lang w:eastAsia="zh-CN"/>
        </w:rPr>
        <w:t>(DIP)</w:t>
      </w:r>
      <w:r>
        <w:rPr>
          <w:rFonts w:ascii="SimSun" w:hAnsi="SimSun" w:cs="SimSun" w:hint="eastAsia"/>
          <w:sz w:val="21"/>
          <w:szCs w:val="21"/>
          <w:lang w:eastAsia="zh-CN"/>
        </w:rPr>
        <w:t>的密切合作下，</w:t>
      </w:r>
      <w:r w:rsidRPr="000F425B">
        <w:rPr>
          <w:rFonts w:ascii="SimSun" w:eastAsia="Times New Roman" w:hAnsi="SimSun"/>
          <w:sz w:val="21"/>
          <w:szCs w:val="21"/>
          <w:lang w:eastAsia="zh-CN"/>
        </w:rPr>
        <w:t>TDRI</w:t>
      </w:r>
      <w:r>
        <w:rPr>
          <w:rFonts w:ascii="SimSun" w:hAnsi="SimSun" w:cs="SimSun" w:hint="eastAsia"/>
          <w:sz w:val="21"/>
          <w:szCs w:val="21"/>
          <w:lang w:eastAsia="zh-CN"/>
        </w:rPr>
        <w:t>和</w:t>
      </w:r>
      <w:r w:rsidRPr="000F425B">
        <w:rPr>
          <w:rFonts w:ascii="SimSun" w:eastAsia="Times New Roman" w:hAnsi="SimSun"/>
          <w:sz w:val="21"/>
          <w:szCs w:val="21"/>
          <w:lang w:eastAsia="zh-CN"/>
        </w:rPr>
        <w:t>WIPO</w:t>
      </w:r>
      <w:r>
        <w:rPr>
          <w:rFonts w:ascii="SimSun" w:hAnsi="SimSun" w:cs="SimSun" w:hint="eastAsia"/>
          <w:sz w:val="21"/>
          <w:szCs w:val="21"/>
          <w:lang w:eastAsia="zh-CN"/>
        </w:rPr>
        <w:t>就泰国的实用新型使用情况制作了一个详尽的数据库。数据库含有</w:t>
      </w:r>
      <w:r w:rsidRPr="000F425B">
        <w:rPr>
          <w:rFonts w:ascii="SimSun" w:eastAsia="Times New Roman" w:hAnsi="SimSun"/>
          <w:sz w:val="21"/>
          <w:szCs w:val="21"/>
          <w:lang w:eastAsia="zh-CN"/>
        </w:rPr>
        <w:t>1996</w:t>
      </w:r>
      <w:r>
        <w:rPr>
          <w:rFonts w:ascii="SimSun" w:hAnsi="SimSun" w:cs="SimSun" w:hint="eastAsia"/>
          <w:sz w:val="21"/>
          <w:szCs w:val="21"/>
          <w:lang w:eastAsia="zh-CN"/>
        </w:rPr>
        <w:t>年</w:t>
      </w:r>
      <w:r>
        <w:rPr>
          <w:rFonts w:ascii="SimSun" w:eastAsia="Times New Roman" w:hAnsi="SimSun"/>
          <w:sz w:val="21"/>
          <w:szCs w:val="21"/>
          <w:lang w:eastAsia="zh-CN"/>
        </w:rPr>
        <w:t>10</w:t>
      </w:r>
      <w:r>
        <w:rPr>
          <w:rFonts w:ascii="SimSun" w:hAnsi="SimSun" w:cs="SimSun" w:hint="eastAsia"/>
          <w:sz w:val="21"/>
          <w:szCs w:val="21"/>
          <w:lang w:eastAsia="zh-CN"/>
        </w:rPr>
        <w:t>日至</w:t>
      </w:r>
      <w:r>
        <w:rPr>
          <w:rFonts w:ascii="SimSun" w:eastAsia="Times New Roman" w:hAnsi="SimSun"/>
          <w:sz w:val="21"/>
          <w:szCs w:val="21"/>
          <w:lang w:eastAsia="zh-CN"/>
        </w:rPr>
        <w:t>2012</w:t>
      </w:r>
      <w:r>
        <w:rPr>
          <w:rFonts w:ascii="SimSun" w:hAnsi="SimSun" w:cs="SimSun" w:hint="eastAsia"/>
          <w:sz w:val="21"/>
          <w:szCs w:val="21"/>
          <w:lang w:eastAsia="zh-CN"/>
        </w:rPr>
        <w:t>年</w:t>
      </w:r>
      <w:r>
        <w:rPr>
          <w:rFonts w:ascii="SimSun" w:eastAsia="Times New Roman" w:hAnsi="SimSun"/>
          <w:sz w:val="21"/>
          <w:szCs w:val="21"/>
          <w:lang w:eastAsia="zh-CN"/>
        </w:rPr>
        <w:t>9</w:t>
      </w:r>
      <w:r>
        <w:rPr>
          <w:rFonts w:ascii="SimSun" w:hAnsi="SimSun" w:cs="SimSun" w:hint="eastAsia"/>
          <w:sz w:val="21"/>
          <w:szCs w:val="21"/>
          <w:lang w:eastAsia="zh-CN"/>
        </w:rPr>
        <w:t>月间泰国所有实用新型注册以及其他相关信息。</w:t>
      </w:r>
    </w:p>
    <w:p w:rsidR="00E463C3" w:rsidRDefault="00E463C3" w:rsidP="00956465">
      <w:pPr>
        <w:spacing w:after="200" w:line="276" w:lineRule="auto"/>
        <w:ind w:left="0"/>
        <w:rPr>
          <w:lang w:eastAsia="zh-CN"/>
        </w:rPr>
      </w:pPr>
      <w:r>
        <w:rPr>
          <w:lang w:eastAsia="zh-CN"/>
        </w:rPr>
        <w:br w:type="page"/>
      </w:r>
    </w:p>
    <w:p w:rsidR="00E463C3" w:rsidRPr="003D0A1A" w:rsidRDefault="00E463C3" w:rsidP="003D0A1A">
      <w:pPr>
        <w:pStyle w:val="Heading2"/>
        <w:spacing w:before="240" w:after="240" w:line="340" w:lineRule="atLeast"/>
        <w:ind w:left="0"/>
        <w:rPr>
          <w:rFonts w:ascii="KaiTi" w:eastAsia="KaiTi" w:hAnsi="KaiTi"/>
          <w:i/>
          <w:sz w:val="21"/>
          <w:szCs w:val="24"/>
          <w:lang w:eastAsia="zh-CN"/>
        </w:rPr>
      </w:pPr>
      <w:r w:rsidRPr="003D0A1A">
        <w:rPr>
          <w:rFonts w:ascii="KaiTi" w:eastAsia="KaiTi" w:hAnsi="KaiTi" w:cs="SimSun" w:hint="eastAsia"/>
          <w:i/>
          <w:sz w:val="21"/>
          <w:szCs w:val="24"/>
          <w:lang w:eastAsia="zh-CN"/>
        </w:rPr>
        <w:lastRenderedPageBreak/>
        <w:t>用户对新的实用新型制度反响如何</w:t>
      </w:r>
      <w:r w:rsidR="003D0A1A" w:rsidRPr="003D0A1A">
        <w:rPr>
          <w:rFonts w:ascii="KaiTi" w:eastAsia="KaiTi" w:hAnsi="KaiTi"/>
          <w:i/>
          <w:sz w:val="21"/>
          <w:szCs w:val="24"/>
          <w:lang w:eastAsia="zh-CN"/>
        </w:rPr>
        <w:t>？</w:t>
      </w:r>
    </w:p>
    <w:p w:rsidR="00E463C3" w:rsidRPr="00E21702" w:rsidRDefault="00B20E50" w:rsidP="00E21702">
      <w:pPr>
        <w:spacing w:line="320" w:lineRule="atLeast"/>
        <w:ind w:left="0"/>
        <w:jc w:val="both"/>
        <w:rPr>
          <w:rFonts w:ascii="SimSun" w:eastAsia="Times New Roman" w:hAnsi="SimSun"/>
          <w:sz w:val="21"/>
          <w:szCs w:val="21"/>
          <w:lang w:eastAsia="zh-CN"/>
        </w:rPr>
      </w:pPr>
      <w:r>
        <w:rPr>
          <w:noProof/>
          <w:sz w:val="18"/>
          <w:szCs w:val="24"/>
        </w:rPr>
        <w:drawing>
          <wp:anchor distT="0" distB="0" distL="114300" distR="114300" simplePos="0" relativeHeight="251666432" behindDoc="0" locked="0" layoutInCell="1" allowOverlap="1" wp14:anchorId="1E200EA0" wp14:editId="4EDDD775">
            <wp:simplePos x="0" y="0"/>
            <wp:positionH relativeFrom="column">
              <wp:posOffset>0</wp:posOffset>
            </wp:positionH>
            <wp:positionV relativeFrom="paragraph">
              <wp:posOffset>810895</wp:posOffset>
            </wp:positionV>
            <wp:extent cx="5205600" cy="2476800"/>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600" cy="24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3C3">
        <w:rPr>
          <w:rFonts w:ascii="SimSun" w:hAnsi="SimSun" w:cs="SimSun" w:hint="eastAsia"/>
          <w:sz w:val="21"/>
          <w:szCs w:val="21"/>
          <w:lang w:eastAsia="zh-CN"/>
        </w:rPr>
        <w:t>要回答这个问题，可以研究实用新型使用情况的两个方面。第一，就绝对数而言，泰国实体在多大程度上接受了实用新型制度？第二，实用新型是补充了泰国已有的知识产权工具，还是简单地将其取代？</w:t>
      </w:r>
    </w:p>
    <w:p w:rsidR="00E463C3" w:rsidRPr="00B20E50" w:rsidRDefault="00B20E50" w:rsidP="00E91355">
      <w:pPr>
        <w:pStyle w:val="captionnotes"/>
        <w:spacing w:beforeLines="100" w:before="240"/>
        <w:rPr>
          <w:rFonts w:ascii="KaiTi" w:eastAsia="KaiTi" w:hAnsi="KaiTi"/>
          <w:b/>
          <w:sz w:val="18"/>
          <w:szCs w:val="18"/>
          <w:lang w:eastAsia="zh-CN"/>
        </w:rPr>
      </w:pPr>
      <w:bookmarkStart w:id="4" w:name="_Ref368385712"/>
      <w:r>
        <w:rPr>
          <w:rFonts w:ascii="KaiTi" w:eastAsia="KaiTi" w:hAnsi="KaiTi"/>
          <w:b/>
          <w:sz w:val="18"/>
          <w:szCs w:val="18"/>
          <w:lang w:eastAsia="zh-CN"/>
        </w:rPr>
        <w:t>图表</w:t>
      </w:r>
      <w:r w:rsidR="00E463C3" w:rsidRPr="00B20E50">
        <w:rPr>
          <w:rFonts w:ascii="KaiTi" w:eastAsia="KaiTi" w:hAnsi="KaiTi"/>
          <w:b/>
          <w:sz w:val="18"/>
          <w:szCs w:val="18"/>
          <w:lang w:eastAsia="zh-CN"/>
        </w:rPr>
        <w:t xml:space="preserve">E - </w:t>
      </w:r>
      <w:r w:rsidR="00E463C3" w:rsidRPr="00B20E50">
        <w:rPr>
          <w:rFonts w:ascii="KaiTi" w:eastAsia="KaiTi" w:hAnsi="KaiTi"/>
          <w:b/>
          <w:sz w:val="18"/>
          <w:szCs w:val="18"/>
        </w:rPr>
        <w:fldChar w:fldCharType="begin"/>
      </w:r>
      <w:r w:rsidR="00E463C3" w:rsidRPr="00B20E50">
        <w:rPr>
          <w:rFonts w:ascii="KaiTi" w:eastAsia="KaiTi" w:hAnsi="KaiTi"/>
          <w:b/>
          <w:sz w:val="18"/>
          <w:szCs w:val="18"/>
          <w:lang w:eastAsia="zh-CN"/>
        </w:rPr>
        <w:instrText xml:space="preserve"> SEQ Figure_E_- \* ARABIC </w:instrText>
      </w:r>
      <w:r w:rsidR="00E463C3" w:rsidRPr="00B20E50">
        <w:rPr>
          <w:rFonts w:ascii="KaiTi" w:eastAsia="KaiTi" w:hAnsi="KaiTi"/>
          <w:b/>
          <w:sz w:val="18"/>
          <w:szCs w:val="18"/>
        </w:rPr>
        <w:fldChar w:fldCharType="separate"/>
      </w:r>
      <w:r w:rsidR="003C3DC0">
        <w:rPr>
          <w:rFonts w:ascii="KaiTi" w:eastAsia="KaiTi" w:hAnsi="KaiTi"/>
          <w:b/>
          <w:noProof/>
          <w:sz w:val="18"/>
          <w:szCs w:val="18"/>
          <w:lang w:eastAsia="zh-CN"/>
        </w:rPr>
        <w:t>1</w:t>
      </w:r>
      <w:r w:rsidR="00E463C3" w:rsidRPr="00B20E50">
        <w:rPr>
          <w:rFonts w:ascii="KaiTi" w:eastAsia="KaiTi" w:hAnsi="KaiTi"/>
          <w:b/>
          <w:sz w:val="18"/>
          <w:szCs w:val="18"/>
        </w:rPr>
        <w:fldChar w:fldCharType="end"/>
      </w:r>
      <w:bookmarkEnd w:id="4"/>
      <w:r w:rsidR="003D0A1A" w:rsidRPr="00B20E50">
        <w:rPr>
          <w:rFonts w:ascii="KaiTi" w:eastAsia="KaiTi" w:hAnsi="KaiTi" w:hint="eastAsia"/>
          <w:b/>
          <w:sz w:val="18"/>
          <w:szCs w:val="18"/>
          <w:lang w:eastAsia="zh-CN"/>
        </w:rPr>
        <w:t>：实用新型申请</w:t>
      </w:r>
      <w:r w:rsidR="00E463C3" w:rsidRPr="00B20E50">
        <w:rPr>
          <w:rFonts w:ascii="KaiTi" w:eastAsia="KaiTi" w:hAnsi="KaiTi"/>
          <w:b/>
          <w:sz w:val="18"/>
          <w:szCs w:val="18"/>
          <w:lang w:eastAsia="zh-CN"/>
        </w:rPr>
        <w:t>(</w:t>
      </w:r>
      <w:r w:rsidR="003D0A1A" w:rsidRPr="00B20E50">
        <w:rPr>
          <w:rFonts w:ascii="KaiTi" w:eastAsia="KaiTi" w:hAnsi="KaiTi" w:hint="eastAsia"/>
          <w:b/>
          <w:sz w:val="18"/>
          <w:szCs w:val="18"/>
          <w:lang w:eastAsia="zh-CN"/>
        </w:rPr>
        <w:t>直接和</w:t>
      </w:r>
      <w:r w:rsidR="00E463C3" w:rsidRPr="00B20E50">
        <w:rPr>
          <w:rFonts w:ascii="KaiTi" w:eastAsia="KaiTi" w:hAnsi="KaiTi"/>
          <w:b/>
          <w:sz w:val="18"/>
          <w:szCs w:val="18"/>
          <w:lang w:eastAsia="zh-CN"/>
        </w:rPr>
        <w:t>PCT)</w:t>
      </w:r>
    </w:p>
    <w:p w:rsidR="00114A36" w:rsidRPr="00B20E50" w:rsidRDefault="003D0A1A" w:rsidP="00B20E50">
      <w:pPr>
        <w:pStyle w:val="captionnotes"/>
        <w:rPr>
          <w:rFonts w:ascii="KaiTi" w:eastAsia="KaiTi" w:hAnsi="KaiTi"/>
          <w:lang w:eastAsia="zh-CN"/>
        </w:rPr>
      </w:pPr>
      <w:r w:rsidRPr="00B20E50">
        <w:rPr>
          <w:rFonts w:ascii="KaiTi" w:eastAsia="KaiTi" w:hAnsi="KaiTi" w:hint="eastAsia"/>
          <w:lang w:eastAsia="zh-CN"/>
        </w:rPr>
        <w:t>来源：</w:t>
      </w:r>
      <w:r w:rsidR="00114A36" w:rsidRPr="00B20E50">
        <w:rPr>
          <w:rFonts w:ascii="KaiTi" w:eastAsia="KaiTi" w:hAnsi="KaiTi"/>
          <w:lang w:eastAsia="zh-CN"/>
        </w:rPr>
        <w:t>WIPO</w:t>
      </w:r>
      <w:r w:rsidRPr="00B20E50">
        <w:rPr>
          <w:rFonts w:ascii="KaiTi" w:eastAsia="KaiTi" w:hAnsi="KaiTi" w:hint="eastAsia"/>
          <w:lang w:eastAsia="zh-CN"/>
        </w:rPr>
        <w:t>统计数据库，</w:t>
      </w:r>
      <w:r w:rsidR="00114A36" w:rsidRPr="00B20E50">
        <w:rPr>
          <w:rFonts w:ascii="KaiTi" w:eastAsia="KaiTi" w:hAnsi="KaiTi"/>
          <w:lang w:eastAsia="zh-CN"/>
        </w:rPr>
        <w:t>2013</w:t>
      </w:r>
      <w:r w:rsidRPr="00B20E50">
        <w:rPr>
          <w:rFonts w:ascii="KaiTi" w:eastAsia="KaiTi" w:hAnsi="KaiTi" w:hint="eastAsia"/>
          <w:lang w:eastAsia="zh-CN"/>
        </w:rPr>
        <w:t>年。</w:t>
      </w:r>
    </w:p>
    <w:p w:rsidR="00114A36" w:rsidRDefault="00114A36" w:rsidP="00114A36">
      <w:pPr>
        <w:ind w:left="0"/>
        <w:rPr>
          <w:lang w:eastAsia="zh-CN"/>
        </w:rPr>
      </w:pPr>
    </w:p>
    <w:p w:rsidR="00E463C3" w:rsidRPr="00637ADB" w:rsidRDefault="00E463C3" w:rsidP="00637AD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自</w:t>
      </w:r>
      <w:r>
        <w:rPr>
          <w:rFonts w:ascii="SimSun" w:eastAsia="Times New Roman" w:hAnsi="SimSun"/>
          <w:sz w:val="21"/>
          <w:szCs w:val="21"/>
          <w:lang w:eastAsia="zh-CN"/>
        </w:rPr>
        <w:t>1999</w:t>
      </w:r>
      <w:r>
        <w:rPr>
          <w:rFonts w:ascii="SimSun" w:hAnsi="SimSun" w:cs="SimSun" w:hint="eastAsia"/>
          <w:sz w:val="21"/>
          <w:szCs w:val="21"/>
          <w:lang w:eastAsia="zh-CN"/>
        </w:rPr>
        <w:t>年泰国引入实用新型保护以来，实用新型申请量从</w:t>
      </w:r>
      <w:r w:rsidRPr="00637ADB">
        <w:rPr>
          <w:rFonts w:ascii="SimSun" w:eastAsia="Times New Roman" w:hAnsi="SimSun"/>
          <w:sz w:val="21"/>
          <w:szCs w:val="21"/>
          <w:lang w:eastAsia="zh-CN"/>
        </w:rPr>
        <w:t>202</w:t>
      </w:r>
      <w:r>
        <w:rPr>
          <w:rFonts w:ascii="SimSun" w:hAnsi="SimSun" w:cs="SimSun" w:hint="eastAsia"/>
          <w:sz w:val="21"/>
          <w:szCs w:val="21"/>
          <w:lang w:eastAsia="zh-CN"/>
        </w:rPr>
        <w:t>件申请迅速增长到</w:t>
      </w:r>
      <w:r>
        <w:rPr>
          <w:rFonts w:ascii="SimSun" w:eastAsia="Times New Roman" w:hAnsi="SimSun"/>
          <w:sz w:val="21"/>
          <w:szCs w:val="21"/>
          <w:lang w:eastAsia="zh-CN"/>
        </w:rPr>
        <w:t>2006</w:t>
      </w:r>
      <w:r>
        <w:rPr>
          <w:rFonts w:ascii="SimSun" w:hAnsi="SimSun" w:cs="SimSun" w:hint="eastAsia"/>
          <w:sz w:val="21"/>
          <w:szCs w:val="21"/>
          <w:lang w:eastAsia="zh-CN"/>
        </w:rPr>
        <w:t>年的高峰值</w:t>
      </w:r>
      <w:r w:rsidRPr="00637ADB">
        <w:rPr>
          <w:rFonts w:ascii="SimSun" w:eastAsia="Times New Roman" w:hAnsi="SimSun"/>
          <w:sz w:val="21"/>
          <w:szCs w:val="21"/>
          <w:lang w:eastAsia="zh-CN"/>
        </w:rPr>
        <w:t>2,062</w:t>
      </w:r>
      <w:r>
        <w:rPr>
          <w:rFonts w:ascii="SimSun" w:hAnsi="SimSun" w:cs="SimSun" w:hint="eastAsia"/>
          <w:sz w:val="21"/>
          <w:szCs w:val="21"/>
          <w:lang w:eastAsia="zh-CN"/>
        </w:rPr>
        <w:t>件申请</w:t>
      </w:r>
      <w:r w:rsidRPr="00637ADB">
        <w:rPr>
          <w:rFonts w:ascii="SimSun" w:eastAsia="Times New Roman" w:hAnsi="SimSun"/>
          <w:sz w:val="21"/>
          <w:szCs w:val="21"/>
          <w:lang w:eastAsia="zh-CN"/>
        </w:rPr>
        <w:t>(</w:t>
      </w:r>
      <w:r>
        <w:rPr>
          <w:rFonts w:ascii="SimSun" w:hAnsi="SimSun" w:cs="SimSun" w:hint="eastAsia"/>
          <w:sz w:val="21"/>
          <w:szCs w:val="21"/>
          <w:lang w:eastAsia="zh-CN"/>
        </w:rPr>
        <w:t>图表</w:t>
      </w:r>
      <w:r w:rsidRPr="00637ADB">
        <w:rPr>
          <w:rFonts w:ascii="SimSun" w:eastAsia="Times New Roman" w:hAnsi="SimSun"/>
          <w:sz w:val="21"/>
          <w:szCs w:val="21"/>
          <w:lang w:eastAsia="zh-CN"/>
        </w:rPr>
        <w:t>E-1)</w:t>
      </w:r>
      <w:r>
        <w:rPr>
          <w:rFonts w:ascii="SimSun" w:hAnsi="SimSun" w:cs="SimSun" w:hint="eastAsia"/>
          <w:sz w:val="21"/>
          <w:szCs w:val="21"/>
          <w:lang w:eastAsia="zh-CN"/>
        </w:rPr>
        <w:t>。这意味着年均增长率</w:t>
      </w:r>
      <w:r w:rsidRPr="00637ADB">
        <w:rPr>
          <w:rFonts w:ascii="SimSun" w:eastAsia="Times New Roman" w:hAnsi="SimSun"/>
          <w:sz w:val="21"/>
          <w:szCs w:val="21"/>
          <w:lang w:eastAsia="zh-CN"/>
        </w:rPr>
        <w:t>27.4%</w:t>
      </w:r>
      <w:r>
        <w:rPr>
          <w:rFonts w:ascii="SimSun" w:hAnsi="SimSun" w:cs="SimSun" w:hint="eastAsia"/>
          <w:sz w:val="21"/>
          <w:szCs w:val="21"/>
          <w:lang w:eastAsia="zh-CN"/>
        </w:rPr>
        <w:t>，超过了</w:t>
      </w:r>
      <w:r w:rsidR="00E84340">
        <w:rPr>
          <w:rFonts w:ascii="SimSun" w:hAnsi="SimSun" w:cs="SimSun" w:hint="eastAsia"/>
          <w:sz w:val="21"/>
          <w:szCs w:val="21"/>
          <w:lang w:eastAsia="zh-CN"/>
        </w:rPr>
        <w:t>相</w:t>
      </w:r>
      <w:r>
        <w:rPr>
          <w:rFonts w:ascii="SimSun" w:hAnsi="SimSun" w:cs="SimSun" w:hint="eastAsia"/>
          <w:sz w:val="21"/>
          <w:szCs w:val="21"/>
          <w:lang w:eastAsia="zh-CN"/>
        </w:rPr>
        <w:t>同</w:t>
      </w:r>
      <w:r w:rsidR="00E84340">
        <w:rPr>
          <w:rFonts w:ascii="SimSun" w:hAnsi="SimSun" w:cs="SimSun" w:hint="eastAsia"/>
          <w:sz w:val="21"/>
          <w:szCs w:val="21"/>
          <w:lang w:eastAsia="zh-CN"/>
        </w:rPr>
        <w:t>八</w:t>
      </w:r>
      <w:r>
        <w:rPr>
          <w:rFonts w:ascii="SimSun" w:hAnsi="SimSun" w:cs="SimSun" w:hint="eastAsia"/>
          <w:sz w:val="21"/>
          <w:szCs w:val="21"/>
          <w:lang w:eastAsia="zh-CN"/>
        </w:rPr>
        <w:t>年期间工业品外观设计</w:t>
      </w:r>
      <w:r w:rsidRPr="00637ADB">
        <w:rPr>
          <w:rFonts w:ascii="SimSun" w:eastAsia="Times New Roman" w:hAnsi="SimSun"/>
          <w:sz w:val="21"/>
          <w:szCs w:val="21"/>
          <w:lang w:eastAsia="zh-CN"/>
        </w:rPr>
        <w:t>(10.3%)</w:t>
      </w:r>
      <w:r w:rsidR="00E84340">
        <w:rPr>
          <w:rFonts w:asciiTheme="minorEastAsia" w:eastAsiaTheme="minorEastAsia" w:hAnsiTheme="minorEastAsia" w:hint="eastAsia"/>
          <w:sz w:val="21"/>
          <w:szCs w:val="21"/>
          <w:lang w:eastAsia="zh-CN"/>
        </w:rPr>
        <w:t>、</w:t>
      </w:r>
      <w:r>
        <w:rPr>
          <w:rFonts w:ascii="SimSun" w:hAnsi="SimSun" w:cs="SimSun" w:hint="eastAsia"/>
          <w:sz w:val="21"/>
          <w:szCs w:val="21"/>
          <w:lang w:eastAsia="zh-CN"/>
        </w:rPr>
        <w:t>商标</w:t>
      </w:r>
      <w:r w:rsidRPr="00637ADB">
        <w:rPr>
          <w:rFonts w:ascii="SimSun" w:eastAsia="Times New Roman" w:hAnsi="SimSun"/>
          <w:sz w:val="21"/>
          <w:szCs w:val="21"/>
          <w:lang w:eastAsia="zh-CN"/>
        </w:rPr>
        <w:t>(6.6%)</w:t>
      </w:r>
      <w:r>
        <w:rPr>
          <w:rFonts w:ascii="SimSun" w:hAnsi="SimSun" w:cs="SimSun" w:hint="eastAsia"/>
          <w:sz w:val="21"/>
          <w:szCs w:val="21"/>
          <w:lang w:eastAsia="zh-CN"/>
        </w:rPr>
        <w:t>和专利</w:t>
      </w:r>
      <w:r w:rsidRPr="00637ADB">
        <w:rPr>
          <w:rFonts w:ascii="SimSun" w:eastAsia="Times New Roman" w:hAnsi="SimSun"/>
          <w:sz w:val="21"/>
          <w:szCs w:val="21"/>
          <w:lang w:eastAsia="zh-CN"/>
        </w:rPr>
        <w:t>(3.1%)</w:t>
      </w:r>
      <w:r>
        <w:rPr>
          <w:rFonts w:ascii="SimSun" w:hAnsi="SimSun" w:cs="SimSun" w:hint="eastAsia"/>
          <w:sz w:val="21"/>
          <w:szCs w:val="21"/>
          <w:lang w:eastAsia="zh-CN"/>
        </w:rPr>
        <w:t>的对应增长率。</w:t>
      </w:r>
    </w:p>
    <w:p w:rsidR="00E463C3" w:rsidRPr="00637ADB" w:rsidRDefault="00E463C3" w:rsidP="00637AD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但是，这种积极的趋势在</w:t>
      </w:r>
      <w:r>
        <w:rPr>
          <w:rFonts w:ascii="SimSun" w:eastAsia="Times New Roman" w:hAnsi="SimSun"/>
          <w:sz w:val="21"/>
          <w:szCs w:val="21"/>
          <w:lang w:eastAsia="zh-CN"/>
        </w:rPr>
        <w:t>2007</w:t>
      </w:r>
      <w:r>
        <w:rPr>
          <w:rFonts w:ascii="SimSun" w:hAnsi="SimSun" w:cs="SimSun" w:hint="eastAsia"/>
          <w:sz w:val="21"/>
          <w:szCs w:val="21"/>
          <w:lang w:eastAsia="zh-CN"/>
        </w:rPr>
        <w:t>年发生了逆转，当年申请减少了约三分之一。之后，趋势相对持平</w:t>
      </w:r>
      <w:r w:rsidR="00E84340">
        <w:rPr>
          <w:rFonts w:ascii="SimSun" w:hAnsi="SimSun" w:cs="SimSun" w:hint="eastAsia"/>
          <w:sz w:val="21"/>
          <w:szCs w:val="21"/>
          <w:lang w:eastAsia="zh-CN"/>
        </w:rPr>
        <w:t>——</w:t>
      </w:r>
      <w:r>
        <w:rPr>
          <w:rFonts w:ascii="SimSun" w:hAnsi="SimSun" w:cs="SimSun" w:hint="eastAsia"/>
          <w:sz w:val="21"/>
          <w:szCs w:val="21"/>
          <w:lang w:eastAsia="zh-CN"/>
        </w:rPr>
        <w:t>年均约</w:t>
      </w:r>
      <w:r w:rsidRPr="00637ADB">
        <w:rPr>
          <w:rFonts w:ascii="SimSun" w:eastAsia="Times New Roman" w:hAnsi="SimSun"/>
          <w:sz w:val="21"/>
          <w:szCs w:val="21"/>
          <w:lang w:eastAsia="zh-CN"/>
        </w:rPr>
        <w:t>1,400</w:t>
      </w:r>
      <w:r>
        <w:rPr>
          <w:rFonts w:ascii="SimSun" w:hAnsi="SimSun" w:cs="SimSun" w:hint="eastAsia"/>
          <w:sz w:val="21"/>
          <w:szCs w:val="21"/>
          <w:lang w:eastAsia="zh-CN"/>
        </w:rPr>
        <w:t>件申请。但是，观察到的下滑不限于实用新型，专利、商标和工业品外观设计的居民申请同期也出现下降。</w:t>
      </w:r>
    </w:p>
    <w:p w:rsidR="00E463C3" w:rsidRPr="00637ADB" w:rsidRDefault="00E463C3" w:rsidP="00637ADB">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图表</w:t>
      </w:r>
      <w:r>
        <w:rPr>
          <w:rFonts w:ascii="SimSun" w:eastAsia="Times New Roman" w:hAnsi="SimSun"/>
          <w:sz w:val="21"/>
          <w:szCs w:val="21"/>
          <w:lang w:eastAsia="zh-CN"/>
        </w:rPr>
        <w:t>E-</w:t>
      </w:r>
      <w:r w:rsidRPr="00637ADB">
        <w:rPr>
          <w:rFonts w:ascii="SimSun" w:eastAsia="Times New Roman" w:hAnsi="SimSun"/>
          <w:sz w:val="21"/>
          <w:szCs w:val="21"/>
          <w:lang w:eastAsia="zh-CN"/>
        </w:rPr>
        <w:t xml:space="preserve">2 </w:t>
      </w:r>
      <w:r>
        <w:rPr>
          <w:rFonts w:ascii="SimSun" w:hAnsi="SimSun" w:cs="SimSun" w:hint="eastAsia"/>
          <w:sz w:val="21"/>
          <w:szCs w:val="21"/>
          <w:lang w:eastAsia="zh-CN"/>
        </w:rPr>
        <w:t>描绘了</w:t>
      </w:r>
      <w:r>
        <w:rPr>
          <w:rFonts w:ascii="SimSun" w:eastAsia="Times New Roman" w:hAnsi="SimSun"/>
          <w:sz w:val="21"/>
          <w:szCs w:val="21"/>
          <w:lang w:eastAsia="zh-CN"/>
        </w:rPr>
        <w:t>1995</w:t>
      </w:r>
      <w:r w:rsidRPr="00637ADB">
        <w:rPr>
          <w:rFonts w:ascii="SimSun" w:eastAsia="Times New Roman" w:hAnsi="SimSun"/>
          <w:sz w:val="21"/>
          <w:szCs w:val="21"/>
          <w:lang w:eastAsia="zh-CN"/>
        </w:rPr>
        <w:t>-2011</w:t>
      </w:r>
      <w:r>
        <w:rPr>
          <w:rFonts w:ascii="SimSun" w:hAnsi="SimSun" w:cs="SimSun" w:hint="eastAsia"/>
          <w:sz w:val="21"/>
          <w:szCs w:val="21"/>
          <w:lang w:eastAsia="zh-CN"/>
        </w:rPr>
        <w:t>年期间居民知识产权申请的演变；除实用新型、专利和工业品外观设计外，图中还显示了专利与实用新型申请之和。该图显示，居民的实用新型和专利申请总规模变大，增速快于</w:t>
      </w:r>
      <w:r>
        <w:rPr>
          <w:rFonts w:ascii="SimSun" w:eastAsia="Times New Roman" w:hAnsi="SimSun"/>
          <w:sz w:val="21"/>
          <w:szCs w:val="21"/>
          <w:lang w:eastAsia="zh-CN"/>
        </w:rPr>
        <w:t>1999</w:t>
      </w:r>
      <w:r>
        <w:rPr>
          <w:rFonts w:ascii="SimSun" w:hAnsi="SimSun" w:cs="SimSun" w:hint="eastAsia"/>
          <w:sz w:val="21"/>
          <w:szCs w:val="21"/>
          <w:lang w:eastAsia="zh-CN"/>
        </w:rPr>
        <w:t>年之前仅有居民专利申请时的速度。尽管一些实用新型申请很可能取代了专利申请，然而这样看来，似乎</w:t>
      </w:r>
      <w:r w:rsidR="00E84340">
        <w:rPr>
          <w:rFonts w:ascii="SimSun" w:hAnsi="SimSun" w:cs="SimSun" w:hint="eastAsia"/>
          <w:sz w:val="21"/>
          <w:szCs w:val="21"/>
          <w:lang w:eastAsia="zh-CN"/>
        </w:rPr>
        <w:t>总体上</w:t>
      </w:r>
      <w:r>
        <w:rPr>
          <w:rFonts w:ascii="SimSun" w:hAnsi="SimSun" w:cs="SimSun" w:hint="eastAsia"/>
          <w:sz w:val="21"/>
          <w:szCs w:val="21"/>
          <w:lang w:eastAsia="zh-CN"/>
        </w:rPr>
        <w:t>是一种互补的关系。</w:t>
      </w:r>
    </w:p>
    <w:p w:rsidR="00E463C3" w:rsidRDefault="00E463C3">
      <w:pPr>
        <w:spacing w:after="0" w:line="240" w:lineRule="auto"/>
        <w:ind w:left="0"/>
        <w:rPr>
          <w:lang w:eastAsia="zh-CN"/>
        </w:rPr>
      </w:pPr>
      <w:r>
        <w:rPr>
          <w:lang w:eastAsia="zh-CN"/>
        </w:rPr>
        <w:br w:type="page"/>
      </w:r>
    </w:p>
    <w:p w:rsidR="00E463C3" w:rsidRPr="00B20E50" w:rsidRDefault="00B20E50" w:rsidP="00B20E50">
      <w:pPr>
        <w:pStyle w:val="captionnotes"/>
        <w:spacing w:beforeLines="100" w:before="240"/>
        <w:rPr>
          <w:rFonts w:ascii="KaiTi" w:eastAsia="KaiTi" w:hAnsi="KaiTi"/>
          <w:b/>
          <w:sz w:val="18"/>
          <w:szCs w:val="18"/>
          <w:lang w:eastAsia="zh-CN"/>
        </w:rPr>
      </w:pPr>
      <w:bookmarkStart w:id="5" w:name="_Ref368386905"/>
      <w:r w:rsidRPr="00B20E50">
        <w:rPr>
          <w:rFonts w:ascii="KaiTi" w:eastAsia="KaiTi" w:hAnsi="KaiTi"/>
          <w:b/>
          <w:sz w:val="18"/>
          <w:szCs w:val="18"/>
          <w:lang w:eastAsia="zh-CN"/>
        </w:rPr>
        <w:lastRenderedPageBreak/>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2</w:t>
      </w:r>
      <w:r w:rsidR="00776E81" w:rsidRPr="00B20E50">
        <w:rPr>
          <w:rFonts w:ascii="KaiTi" w:eastAsia="KaiTi" w:hAnsi="KaiTi"/>
          <w:b/>
          <w:sz w:val="18"/>
          <w:szCs w:val="18"/>
          <w:lang w:eastAsia="zh-CN"/>
        </w:rPr>
        <w:fldChar w:fldCharType="end"/>
      </w:r>
      <w:bookmarkEnd w:id="5"/>
      <w:r w:rsidRPr="00B20E50">
        <w:rPr>
          <w:rFonts w:ascii="KaiTi" w:eastAsia="KaiTi" w:hAnsi="KaiTi" w:hint="eastAsia"/>
          <w:b/>
          <w:sz w:val="18"/>
          <w:szCs w:val="18"/>
          <w:lang w:eastAsia="zh-CN"/>
        </w:rPr>
        <w:t>：居民知识产权申请的演变</w:t>
      </w:r>
    </w:p>
    <w:p w:rsidR="00E463C3" w:rsidRPr="00C15FE1" w:rsidRDefault="00E91355" w:rsidP="00C15FE1">
      <w:pPr>
        <w:pStyle w:val="captionnotes"/>
        <w:rPr>
          <w:rFonts w:ascii="KaiTi" w:eastAsia="KaiTi" w:hAnsi="KaiTi"/>
          <w:lang w:eastAsia="zh-CN"/>
        </w:rPr>
      </w:pPr>
      <w:r w:rsidRPr="00C15FE1">
        <w:rPr>
          <w:rFonts w:ascii="KaiTi" w:eastAsia="KaiTi" w:hAnsi="KaiTi"/>
          <w:noProof/>
        </w:rPr>
        <w:drawing>
          <wp:anchor distT="0" distB="0" distL="114300" distR="114300" simplePos="0" relativeHeight="251659264" behindDoc="1" locked="0" layoutInCell="1" allowOverlap="1" wp14:anchorId="2F9F7A59" wp14:editId="14256FD1">
            <wp:simplePos x="0" y="0"/>
            <wp:positionH relativeFrom="column">
              <wp:posOffset>0</wp:posOffset>
            </wp:positionH>
            <wp:positionV relativeFrom="paragraph">
              <wp:posOffset>87688</wp:posOffset>
            </wp:positionV>
            <wp:extent cx="5353200" cy="3344400"/>
            <wp:effectExtent l="0" t="0" r="0" b="889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200" cy="3344400"/>
                    </a:xfrm>
                    <a:prstGeom prst="rect">
                      <a:avLst/>
                    </a:prstGeom>
                    <a:noFill/>
                  </pic:spPr>
                </pic:pic>
              </a:graphicData>
            </a:graphic>
            <wp14:sizeRelH relativeFrom="page">
              <wp14:pctWidth>0</wp14:pctWidth>
            </wp14:sizeRelH>
            <wp14:sizeRelV relativeFrom="page">
              <wp14:pctHeight>0</wp14:pctHeight>
            </wp14:sizeRelV>
          </wp:anchor>
        </w:drawing>
      </w:r>
      <w:r w:rsidR="00B20E50" w:rsidRPr="00B20E50">
        <w:rPr>
          <w:rFonts w:ascii="KaiTi" w:eastAsia="KaiTi" w:hAnsi="KaiTi" w:hint="eastAsia"/>
          <w:lang w:eastAsia="zh-CN"/>
        </w:rPr>
        <w:t>来源：</w:t>
      </w:r>
      <w:r w:rsidR="00E463C3" w:rsidRPr="00B20E50">
        <w:rPr>
          <w:rFonts w:ascii="KaiTi" w:eastAsia="KaiTi" w:hAnsi="KaiTi"/>
          <w:lang w:eastAsia="zh-CN"/>
        </w:rPr>
        <w:t>WIPO</w:t>
      </w:r>
      <w:r w:rsidR="00B20E50" w:rsidRPr="00B20E50">
        <w:rPr>
          <w:rFonts w:ascii="KaiTi" w:eastAsia="KaiTi" w:hAnsi="KaiTi" w:hint="eastAsia"/>
          <w:lang w:eastAsia="zh-CN"/>
        </w:rPr>
        <w:t>统计数据库，</w:t>
      </w:r>
      <w:r w:rsidR="00E463C3" w:rsidRPr="00B20E50">
        <w:rPr>
          <w:rFonts w:ascii="KaiTi" w:eastAsia="KaiTi" w:hAnsi="KaiTi"/>
          <w:lang w:eastAsia="zh-CN"/>
        </w:rPr>
        <w:t>2013</w:t>
      </w:r>
      <w:r w:rsidR="00B20E50" w:rsidRPr="00B20E50">
        <w:rPr>
          <w:rFonts w:ascii="KaiTi" w:eastAsia="KaiTi" w:hAnsi="KaiTi" w:hint="eastAsia"/>
          <w:lang w:eastAsia="zh-CN"/>
        </w:rPr>
        <w:t>年</w:t>
      </w:r>
    </w:p>
    <w:p w:rsidR="00E463C3" w:rsidRPr="00C15FE1" w:rsidRDefault="00E463C3" w:rsidP="00956465">
      <w:pPr>
        <w:ind w:left="0"/>
        <w:rPr>
          <w:lang w:eastAsia="zh-CN"/>
        </w:rPr>
      </w:pPr>
    </w:p>
    <w:p w:rsidR="00E463C3" w:rsidRPr="003D0A1A" w:rsidRDefault="00E463C3" w:rsidP="003D0A1A">
      <w:pPr>
        <w:pStyle w:val="Heading2"/>
        <w:spacing w:before="240" w:after="240" w:line="340" w:lineRule="atLeast"/>
        <w:ind w:left="0"/>
        <w:rPr>
          <w:rFonts w:ascii="KaiTi" w:eastAsia="KaiTi" w:hAnsi="KaiTi" w:cs="SimSun"/>
          <w:i/>
          <w:sz w:val="21"/>
          <w:szCs w:val="24"/>
          <w:lang w:eastAsia="zh-CN"/>
        </w:rPr>
      </w:pPr>
      <w:r w:rsidRPr="003D0A1A">
        <w:rPr>
          <w:rFonts w:ascii="KaiTi" w:eastAsia="KaiTi" w:hAnsi="KaiTi" w:cs="SimSun" w:hint="eastAsia"/>
          <w:i/>
          <w:sz w:val="21"/>
          <w:szCs w:val="24"/>
          <w:lang w:eastAsia="zh-CN"/>
        </w:rPr>
        <w:t>实用新型对泰国创新者是否是最合适的</w:t>
      </w:r>
      <w:r w:rsidR="003D0A1A" w:rsidRPr="003D0A1A">
        <w:rPr>
          <w:rFonts w:ascii="KaiTi" w:eastAsia="KaiTi" w:hAnsi="KaiTi" w:cs="SimSun"/>
          <w:i/>
          <w:sz w:val="21"/>
          <w:szCs w:val="24"/>
          <w:lang w:eastAsia="zh-CN"/>
        </w:rPr>
        <w:t>？</w:t>
      </w:r>
    </w:p>
    <w:p w:rsidR="00E463C3" w:rsidRPr="00F604D7" w:rsidRDefault="00E463C3" w:rsidP="00F604D7">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图表</w:t>
      </w:r>
      <w:r w:rsidRPr="00F604D7">
        <w:rPr>
          <w:rFonts w:ascii="SimSun" w:eastAsia="Times New Roman" w:hAnsi="SimSun"/>
          <w:sz w:val="21"/>
          <w:szCs w:val="21"/>
          <w:lang w:eastAsia="zh-CN"/>
        </w:rPr>
        <w:t xml:space="preserve">E-1 </w:t>
      </w:r>
      <w:r>
        <w:rPr>
          <w:rFonts w:ascii="SimSun" w:hAnsi="SimSun" w:cs="SimSun" w:hint="eastAsia"/>
          <w:sz w:val="21"/>
          <w:szCs w:val="21"/>
          <w:lang w:eastAsia="zh-CN"/>
        </w:rPr>
        <w:t>还提供了居民和非居民实用新型申请的分组数据。与商标和工业品外观设计类似，但与专利相反，实用新型申请中的绝大多数是泰国居民提交的。这样，可以说实用新型保护在吸引当地创新者方面是成功的。实用新型</w:t>
      </w:r>
      <w:r>
        <w:rPr>
          <w:rFonts w:ascii="SimSun" w:eastAsia="Times New Roman" w:hAnsi="SimSun"/>
          <w:sz w:val="21"/>
          <w:szCs w:val="21"/>
          <w:lang w:eastAsia="zh-CN"/>
        </w:rPr>
        <w:t>95%</w:t>
      </w:r>
      <w:r>
        <w:rPr>
          <w:rFonts w:ascii="SimSun" w:hAnsi="SimSun" w:cs="SimSun" w:hint="eastAsia"/>
          <w:sz w:val="21"/>
          <w:szCs w:val="21"/>
          <w:lang w:eastAsia="zh-CN"/>
        </w:rPr>
        <w:t>的居民份额大大高于工业品外观设计</w:t>
      </w:r>
      <w:r w:rsidRPr="00F604D7">
        <w:rPr>
          <w:rFonts w:ascii="SimSun" w:eastAsia="Times New Roman" w:hAnsi="SimSun"/>
          <w:sz w:val="21"/>
          <w:szCs w:val="21"/>
          <w:lang w:eastAsia="zh-CN"/>
        </w:rPr>
        <w:t>(74%)</w:t>
      </w:r>
      <w:r>
        <w:rPr>
          <w:rFonts w:ascii="SimSun" w:hAnsi="SimSun" w:cs="SimSun" w:hint="eastAsia"/>
          <w:sz w:val="21"/>
          <w:szCs w:val="21"/>
          <w:lang w:eastAsia="zh-CN"/>
        </w:rPr>
        <w:t>和商标</w:t>
      </w:r>
      <w:r w:rsidRPr="00F604D7">
        <w:rPr>
          <w:rFonts w:ascii="SimSun" w:eastAsia="Times New Roman" w:hAnsi="SimSun"/>
          <w:sz w:val="21"/>
          <w:szCs w:val="21"/>
          <w:lang w:eastAsia="zh-CN"/>
        </w:rPr>
        <w:t>(66%)</w:t>
      </w:r>
      <w:r>
        <w:rPr>
          <w:rFonts w:ascii="SimSun" w:hAnsi="SimSun" w:cs="SimSun" w:hint="eastAsia"/>
          <w:sz w:val="21"/>
          <w:szCs w:val="21"/>
          <w:lang w:eastAsia="zh-CN"/>
        </w:rPr>
        <w:t>的对应份额。至于专利，居民仅占</w:t>
      </w:r>
      <w:r w:rsidRPr="00F604D7">
        <w:rPr>
          <w:rFonts w:ascii="SimSun" w:eastAsia="Times New Roman" w:hAnsi="SimSun"/>
          <w:sz w:val="21"/>
          <w:szCs w:val="21"/>
          <w:lang w:eastAsia="zh-CN"/>
        </w:rPr>
        <w:t>14%</w:t>
      </w:r>
      <w:r>
        <w:rPr>
          <w:rFonts w:ascii="SimSun" w:hAnsi="SimSun" w:cs="SimSun" w:hint="eastAsia"/>
          <w:sz w:val="21"/>
          <w:szCs w:val="21"/>
          <w:lang w:eastAsia="zh-CN"/>
        </w:rPr>
        <w:t>的申请</w:t>
      </w:r>
      <w:r w:rsidR="00E84340">
        <w:rPr>
          <w:rFonts w:ascii="SimSun" w:hAnsi="SimSun" w:cs="SimSun" w:hint="eastAsia"/>
          <w:sz w:val="21"/>
          <w:szCs w:val="21"/>
          <w:lang w:eastAsia="zh-CN"/>
        </w:rPr>
        <w:t>——</w:t>
      </w:r>
      <w:r>
        <w:rPr>
          <w:rFonts w:ascii="SimSun" w:hAnsi="SimSun" w:cs="SimSun" w:hint="eastAsia"/>
          <w:sz w:val="21"/>
          <w:szCs w:val="21"/>
          <w:lang w:eastAsia="zh-CN"/>
        </w:rPr>
        <w:t>与许多其他中等收入经济体相近</w:t>
      </w:r>
      <w:r>
        <w:rPr>
          <w:rFonts w:ascii="SimSun" w:eastAsia="Times New Roman" w:hAnsi="SimSun"/>
          <w:sz w:val="21"/>
          <w:szCs w:val="21"/>
          <w:lang w:eastAsia="zh-CN"/>
        </w:rPr>
        <w:t>(WIPO</w:t>
      </w:r>
      <w:r>
        <w:rPr>
          <w:rFonts w:ascii="SimSun" w:hAnsi="SimSun" w:cs="SimSun" w:hint="eastAsia"/>
          <w:sz w:val="21"/>
          <w:szCs w:val="21"/>
          <w:lang w:eastAsia="zh-CN"/>
        </w:rPr>
        <w:t>，</w:t>
      </w:r>
      <w:r w:rsidRPr="00F604D7">
        <w:rPr>
          <w:rFonts w:ascii="SimSun" w:eastAsia="Times New Roman" w:hAnsi="SimSun"/>
          <w:sz w:val="21"/>
          <w:szCs w:val="21"/>
          <w:lang w:eastAsia="zh-CN"/>
        </w:rPr>
        <w:t>2012</w:t>
      </w:r>
      <w:r>
        <w:rPr>
          <w:rFonts w:ascii="SimSun" w:hAnsi="SimSun" w:cs="SimSun" w:hint="eastAsia"/>
          <w:sz w:val="21"/>
          <w:szCs w:val="21"/>
          <w:lang w:eastAsia="zh-CN"/>
        </w:rPr>
        <w:t>年</w:t>
      </w:r>
      <w:r w:rsidRPr="00F604D7">
        <w:rPr>
          <w:rFonts w:ascii="SimSun" w:eastAsia="Times New Roman" w:hAnsi="SimSun"/>
          <w:sz w:val="21"/>
          <w:szCs w:val="21"/>
          <w:lang w:eastAsia="zh-CN"/>
        </w:rPr>
        <w:t>)</w:t>
      </w:r>
      <w:r>
        <w:rPr>
          <w:rFonts w:ascii="SimSun" w:hAnsi="SimSun" w:cs="SimSun" w:hint="eastAsia"/>
          <w:sz w:val="21"/>
          <w:szCs w:val="21"/>
          <w:lang w:eastAsia="zh-CN"/>
        </w:rPr>
        <w:t>。</w:t>
      </w:r>
    </w:p>
    <w:p w:rsidR="00E463C3" w:rsidRPr="00F604D7" w:rsidRDefault="00E463C3" w:rsidP="00F604D7">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如表</w:t>
      </w:r>
      <w:r w:rsidRPr="00F604D7">
        <w:rPr>
          <w:rFonts w:ascii="SimSun" w:eastAsia="Times New Roman" w:hAnsi="SimSun"/>
          <w:sz w:val="21"/>
          <w:szCs w:val="21"/>
          <w:lang w:eastAsia="zh-CN"/>
        </w:rPr>
        <w:t>E-1</w:t>
      </w:r>
      <w:r>
        <w:rPr>
          <w:rFonts w:ascii="SimSun" w:hAnsi="SimSun" w:cs="SimSun" w:hint="eastAsia"/>
          <w:sz w:val="21"/>
          <w:szCs w:val="21"/>
          <w:lang w:eastAsia="zh-CN"/>
        </w:rPr>
        <w:t>所示，企业在</w:t>
      </w:r>
      <w:r w:rsidR="00E84340">
        <w:rPr>
          <w:rFonts w:ascii="SimSun" w:hAnsi="SimSun" w:cs="SimSun" w:hint="eastAsia"/>
          <w:sz w:val="21"/>
          <w:szCs w:val="21"/>
          <w:lang w:eastAsia="zh-CN"/>
        </w:rPr>
        <w:t>已</w:t>
      </w:r>
      <w:r>
        <w:rPr>
          <w:rFonts w:ascii="SimSun" w:hAnsi="SimSun" w:cs="SimSun" w:hint="eastAsia"/>
          <w:sz w:val="21"/>
          <w:szCs w:val="21"/>
          <w:lang w:eastAsia="zh-CN"/>
        </w:rPr>
        <w:t>注册实用新型中占四分之一</w:t>
      </w:r>
      <w:r w:rsidRPr="00F604D7">
        <w:rPr>
          <w:rFonts w:ascii="SimSun" w:eastAsia="Times New Roman" w:hAnsi="SimSun"/>
          <w:sz w:val="21"/>
          <w:szCs w:val="21"/>
          <w:lang w:eastAsia="zh-CN"/>
        </w:rPr>
        <w:t>(25%)</w:t>
      </w:r>
      <w:r>
        <w:rPr>
          <w:rFonts w:ascii="SimSun" w:hAnsi="SimSun" w:cs="SimSun" w:hint="eastAsia"/>
          <w:sz w:val="21"/>
          <w:szCs w:val="21"/>
          <w:lang w:eastAsia="zh-CN"/>
        </w:rPr>
        <w:t>，公共机构合计略少于四分之一</w:t>
      </w:r>
      <w:r w:rsidRPr="00F604D7">
        <w:rPr>
          <w:rFonts w:ascii="SimSun" w:eastAsia="Times New Roman" w:hAnsi="SimSun"/>
          <w:sz w:val="21"/>
          <w:szCs w:val="21"/>
          <w:lang w:eastAsia="zh-CN"/>
        </w:rPr>
        <w:t>(22%)</w:t>
      </w:r>
      <w:r>
        <w:rPr>
          <w:rFonts w:ascii="SimSun" w:hAnsi="SimSun" w:cs="SimSun" w:hint="eastAsia"/>
          <w:sz w:val="21"/>
          <w:szCs w:val="21"/>
          <w:lang w:eastAsia="zh-CN"/>
        </w:rPr>
        <w:t>。这意味着已授权的实用新型中有一半以上属于个人。但是，</w:t>
      </w:r>
      <w:r w:rsidR="00E84340">
        <w:rPr>
          <w:rFonts w:ascii="SimSun" w:hAnsi="SimSun" w:cs="SimSun" w:hint="eastAsia"/>
          <w:sz w:val="21"/>
          <w:szCs w:val="21"/>
          <w:lang w:eastAsia="zh-CN"/>
        </w:rPr>
        <w:t>轶事</w:t>
      </w:r>
      <w:r>
        <w:rPr>
          <w:rFonts w:ascii="SimSun" w:hAnsi="SimSun" w:cs="SimSun" w:hint="eastAsia"/>
          <w:sz w:val="21"/>
          <w:szCs w:val="21"/>
          <w:lang w:eastAsia="zh-CN"/>
        </w:rPr>
        <w:t>证据显示，一些年轻的和小的企业</w:t>
      </w:r>
      <w:r w:rsidR="00E84340">
        <w:rPr>
          <w:rFonts w:ascii="SimSun" w:hAnsi="SimSun" w:cs="SimSun" w:hint="eastAsia"/>
          <w:sz w:val="21"/>
          <w:szCs w:val="21"/>
          <w:lang w:eastAsia="zh-CN"/>
        </w:rPr>
        <w:t>——</w:t>
      </w:r>
      <w:r>
        <w:rPr>
          <w:rFonts w:ascii="SimSun" w:hAnsi="SimSun" w:cs="SimSun" w:hint="eastAsia"/>
          <w:sz w:val="21"/>
          <w:szCs w:val="21"/>
          <w:lang w:eastAsia="zh-CN"/>
        </w:rPr>
        <w:t>尤其是首次申请时</w:t>
      </w:r>
      <w:r w:rsidR="00E84340">
        <w:rPr>
          <w:rFonts w:ascii="SimSun" w:hAnsi="SimSun" w:cs="SimSun" w:hint="eastAsia"/>
          <w:sz w:val="21"/>
          <w:szCs w:val="21"/>
          <w:lang w:eastAsia="zh-CN"/>
        </w:rPr>
        <w:t>——</w:t>
      </w:r>
      <w:r>
        <w:rPr>
          <w:rFonts w:ascii="SimSun" w:hAnsi="SimSun" w:cs="SimSun" w:hint="eastAsia"/>
          <w:sz w:val="21"/>
          <w:szCs w:val="21"/>
          <w:lang w:eastAsia="zh-CN"/>
        </w:rPr>
        <w:t>倾向于用企业所有人的名</w:t>
      </w:r>
      <w:r w:rsidR="00E84340">
        <w:rPr>
          <w:rFonts w:ascii="SimSun" w:hAnsi="SimSun" w:cs="SimSun" w:hint="eastAsia"/>
          <w:sz w:val="21"/>
          <w:szCs w:val="21"/>
          <w:lang w:eastAsia="zh-CN"/>
        </w:rPr>
        <w:t>义</w:t>
      </w:r>
      <w:r>
        <w:rPr>
          <w:rFonts w:ascii="SimSun" w:hAnsi="SimSun" w:cs="SimSun" w:hint="eastAsia"/>
          <w:sz w:val="21"/>
          <w:szCs w:val="21"/>
          <w:lang w:eastAsia="zh-CN"/>
        </w:rPr>
        <w:t>而非企业本身注册实用新型权利。一个解释可能是新的创业</w:t>
      </w:r>
      <w:r w:rsidR="00E84340">
        <w:rPr>
          <w:rFonts w:ascii="SimSun" w:hAnsi="SimSun" w:cs="SimSun" w:hint="eastAsia"/>
          <w:sz w:val="21"/>
          <w:szCs w:val="21"/>
          <w:lang w:eastAsia="zh-CN"/>
        </w:rPr>
        <w:t>型</w:t>
      </w:r>
      <w:r>
        <w:rPr>
          <w:rFonts w:ascii="SimSun" w:hAnsi="SimSun" w:cs="SimSun" w:hint="eastAsia"/>
          <w:sz w:val="21"/>
          <w:szCs w:val="21"/>
          <w:lang w:eastAsia="zh-CN"/>
        </w:rPr>
        <w:t>企业面临的风险较高。在这些情况中，在业务失败之后保留知识产权的前景可能发挥了促使</w:t>
      </w:r>
      <w:r w:rsidR="00E84340">
        <w:rPr>
          <w:rFonts w:ascii="SimSun" w:hAnsi="SimSun" w:cs="SimSun" w:hint="eastAsia"/>
          <w:sz w:val="21"/>
          <w:szCs w:val="21"/>
          <w:lang w:eastAsia="zh-CN"/>
        </w:rPr>
        <w:t>人们</w:t>
      </w:r>
      <w:r>
        <w:rPr>
          <w:rFonts w:ascii="SimSun" w:hAnsi="SimSun" w:cs="SimSun" w:hint="eastAsia"/>
          <w:sz w:val="21"/>
          <w:szCs w:val="21"/>
          <w:lang w:eastAsia="zh-CN"/>
        </w:rPr>
        <w:t>用个人姓名注册实用新型的作用。另一个解释可能涉及的事实是，实用新型所有人根据刑法要为知识产权侵权承担责任，可能使企业管理人员卷入其中。</w:t>
      </w:r>
    </w:p>
    <w:p w:rsidR="00E463C3" w:rsidRPr="00F604D7" w:rsidRDefault="00E463C3" w:rsidP="00F604D7">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公共机构申请人中包括职业教育委员会办公室</w:t>
      </w:r>
      <w:r w:rsidRPr="00F604D7">
        <w:rPr>
          <w:rFonts w:ascii="SimSun" w:eastAsia="Times New Roman" w:hAnsi="SimSun"/>
          <w:sz w:val="21"/>
          <w:szCs w:val="21"/>
          <w:lang w:eastAsia="zh-CN"/>
        </w:rPr>
        <w:t>(OVEC)</w:t>
      </w:r>
      <w:r>
        <w:rPr>
          <w:rFonts w:ascii="SimSun" w:hAnsi="SimSun" w:cs="SimSun" w:hint="eastAsia"/>
          <w:sz w:val="21"/>
          <w:szCs w:val="21"/>
          <w:lang w:eastAsia="zh-CN"/>
        </w:rPr>
        <w:t>、国家科技发展署</w:t>
      </w:r>
      <w:r w:rsidRPr="00F604D7">
        <w:rPr>
          <w:rFonts w:ascii="SimSun" w:eastAsia="Times New Roman" w:hAnsi="SimSun"/>
          <w:sz w:val="21"/>
          <w:szCs w:val="21"/>
          <w:lang w:eastAsia="zh-CN"/>
        </w:rPr>
        <w:t>(NSTDA)</w:t>
      </w:r>
      <w:r>
        <w:rPr>
          <w:rFonts w:ascii="SimSun" w:hAnsi="SimSun" w:cs="SimSun" w:hint="eastAsia"/>
          <w:sz w:val="21"/>
          <w:szCs w:val="21"/>
          <w:lang w:eastAsia="zh-CN"/>
        </w:rPr>
        <w:t>、政府制药组织和几所高校</w:t>
      </w:r>
      <w:r w:rsidRPr="00F604D7">
        <w:rPr>
          <w:rFonts w:ascii="SimSun" w:eastAsia="Times New Roman" w:hAnsi="SimSun"/>
          <w:sz w:val="21"/>
          <w:szCs w:val="21"/>
          <w:lang w:eastAsia="zh-CN"/>
        </w:rPr>
        <w:t>(</w:t>
      </w:r>
      <w:r>
        <w:rPr>
          <w:rFonts w:ascii="SimSun" w:hAnsi="SimSun" w:cs="SimSun" w:hint="eastAsia"/>
          <w:sz w:val="21"/>
          <w:szCs w:val="21"/>
          <w:lang w:eastAsia="zh-CN"/>
        </w:rPr>
        <w:t>另见表</w:t>
      </w:r>
      <w:r w:rsidRPr="00F604D7">
        <w:rPr>
          <w:rFonts w:ascii="SimSun" w:eastAsia="Times New Roman" w:hAnsi="SimSun"/>
          <w:sz w:val="21"/>
          <w:szCs w:val="21"/>
          <w:lang w:eastAsia="zh-CN"/>
        </w:rPr>
        <w:t>E-1)</w:t>
      </w:r>
      <w:r>
        <w:rPr>
          <w:rFonts w:ascii="SimSun" w:hAnsi="SimSun" w:cs="SimSun" w:hint="eastAsia"/>
          <w:sz w:val="21"/>
          <w:szCs w:val="21"/>
          <w:lang w:eastAsia="zh-CN"/>
        </w:rPr>
        <w:t>。观察到这些公共机构作为实用新型申请人，反映了它们在促进创新活动，以及在为研究工作和其他创新相关活动提供财</w:t>
      </w:r>
      <w:r w:rsidR="00E84340">
        <w:rPr>
          <w:rFonts w:ascii="SimSun" w:hAnsi="SimSun" w:cs="SimSun" w:hint="eastAsia"/>
          <w:sz w:val="21"/>
          <w:szCs w:val="21"/>
          <w:lang w:eastAsia="zh-CN"/>
        </w:rPr>
        <w:t>政</w:t>
      </w:r>
      <w:r>
        <w:rPr>
          <w:rFonts w:ascii="SimSun" w:hAnsi="SimSun" w:cs="SimSun" w:hint="eastAsia"/>
          <w:sz w:val="21"/>
          <w:szCs w:val="21"/>
          <w:lang w:eastAsia="zh-CN"/>
        </w:rPr>
        <w:t>支持方面的作用。这些机构注册的一些实用新型很可能随后产生创业活动，包括初创企业。</w:t>
      </w:r>
    </w:p>
    <w:p w:rsidR="00C15FE1" w:rsidRDefault="00C15FE1">
      <w:pPr>
        <w:spacing w:after="0" w:line="240" w:lineRule="auto"/>
        <w:ind w:left="0"/>
        <w:rPr>
          <w:rFonts w:ascii="KaiTi" w:eastAsia="KaiTi" w:hAnsi="KaiTi"/>
          <w:b/>
          <w:i/>
          <w:sz w:val="18"/>
          <w:szCs w:val="18"/>
          <w:lang w:eastAsia="zh-CN"/>
        </w:rPr>
      </w:pPr>
      <w:bookmarkStart w:id="6" w:name="_Ref368387239"/>
      <w:r>
        <w:rPr>
          <w:rFonts w:ascii="KaiTi" w:eastAsia="KaiTi" w:hAnsi="KaiTi"/>
          <w:b/>
          <w:sz w:val="18"/>
          <w:szCs w:val="18"/>
          <w:lang w:eastAsia="zh-CN"/>
        </w:rPr>
        <w:br w:type="page"/>
      </w:r>
    </w:p>
    <w:p w:rsidR="00E463C3" w:rsidRPr="00B20E50" w:rsidRDefault="00E463C3" w:rsidP="00B20E50">
      <w:pPr>
        <w:pStyle w:val="captionnotes"/>
        <w:spacing w:beforeLines="100" w:before="240"/>
        <w:rPr>
          <w:rFonts w:ascii="KaiTi" w:eastAsia="KaiTi" w:hAnsi="KaiTi"/>
          <w:b/>
          <w:sz w:val="18"/>
          <w:szCs w:val="18"/>
          <w:lang w:eastAsia="zh-CN"/>
        </w:rPr>
      </w:pPr>
      <w:r w:rsidRPr="00B20E50">
        <w:rPr>
          <w:rFonts w:ascii="KaiTi" w:eastAsia="KaiTi" w:hAnsi="KaiTi" w:hint="eastAsia"/>
          <w:b/>
          <w:sz w:val="18"/>
          <w:szCs w:val="18"/>
          <w:lang w:eastAsia="zh-CN"/>
        </w:rPr>
        <w:lastRenderedPageBreak/>
        <w:t>表</w:t>
      </w:r>
      <w:r w:rsidRPr="00B20E50">
        <w:rPr>
          <w:rFonts w:ascii="KaiTi" w:eastAsia="KaiTi" w:hAnsi="KaiTi"/>
          <w:b/>
          <w:sz w:val="18"/>
          <w:szCs w:val="18"/>
          <w:lang w:eastAsia="zh-CN"/>
        </w:rPr>
        <w:t>E-</w:t>
      </w:r>
      <w:r w:rsidRPr="00B20E50">
        <w:rPr>
          <w:rFonts w:ascii="KaiTi" w:eastAsia="KaiTi" w:hAnsi="KaiTi"/>
          <w:b/>
          <w:sz w:val="18"/>
          <w:szCs w:val="18"/>
          <w:lang w:eastAsia="zh-CN"/>
        </w:rPr>
        <w:fldChar w:fldCharType="begin"/>
      </w:r>
      <w:r w:rsidRPr="00B20E50">
        <w:rPr>
          <w:rFonts w:ascii="KaiTi" w:eastAsia="KaiTi" w:hAnsi="KaiTi"/>
          <w:b/>
          <w:sz w:val="18"/>
          <w:szCs w:val="18"/>
          <w:lang w:eastAsia="zh-CN"/>
        </w:rPr>
        <w:instrText xml:space="preserve"> SEQ Table_E_- \* ARABIC </w:instrText>
      </w:r>
      <w:r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1</w:t>
      </w:r>
      <w:r w:rsidRPr="00B20E50">
        <w:rPr>
          <w:rFonts w:ascii="KaiTi" w:eastAsia="KaiTi" w:hAnsi="KaiTi"/>
          <w:b/>
          <w:sz w:val="18"/>
          <w:szCs w:val="18"/>
          <w:lang w:eastAsia="zh-CN"/>
        </w:rPr>
        <w:fldChar w:fldCharType="end"/>
      </w:r>
      <w:bookmarkEnd w:id="6"/>
      <w:r w:rsidRPr="00B20E50">
        <w:rPr>
          <w:rFonts w:ascii="KaiTi" w:eastAsia="KaiTi" w:hAnsi="KaiTi" w:hint="eastAsia"/>
          <w:b/>
          <w:sz w:val="18"/>
          <w:szCs w:val="18"/>
          <w:lang w:eastAsia="zh-CN"/>
        </w:rPr>
        <w:t>：各类申请人的注册数</w:t>
      </w:r>
    </w:p>
    <w:tbl>
      <w:tblPr>
        <w:tblW w:w="3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1305"/>
        <w:gridCol w:w="1489"/>
      </w:tblGrid>
      <w:tr w:rsidR="00E463C3" w:rsidRPr="004F45F4" w:rsidTr="00C15FE1">
        <w:tc>
          <w:tcPr>
            <w:tcW w:w="2735" w:type="pct"/>
            <w:shd w:val="clear" w:color="auto" w:fill="B6DDE8"/>
            <w:noWrap/>
            <w:vAlign w:val="center"/>
          </w:tcPr>
          <w:p w:rsidR="00E463C3" w:rsidRPr="008D6186" w:rsidRDefault="00E463C3" w:rsidP="00956465">
            <w:pPr>
              <w:spacing w:before="60" w:after="60"/>
              <w:ind w:left="0"/>
              <w:jc w:val="center"/>
              <w:rPr>
                <w:b/>
                <w:bCs/>
                <w:lang w:eastAsia="zh-CN"/>
              </w:rPr>
            </w:pPr>
            <w:r>
              <w:rPr>
                <w:rFonts w:hint="eastAsia"/>
                <w:b/>
                <w:bCs/>
                <w:lang w:eastAsia="zh-CN"/>
              </w:rPr>
              <w:t>申请人类型</w:t>
            </w:r>
          </w:p>
        </w:tc>
        <w:tc>
          <w:tcPr>
            <w:tcW w:w="1058" w:type="pct"/>
            <w:shd w:val="clear" w:color="auto" w:fill="B6DDE8"/>
            <w:noWrap/>
            <w:vAlign w:val="center"/>
          </w:tcPr>
          <w:p w:rsidR="00E463C3" w:rsidRPr="008D6186" w:rsidRDefault="00E463C3" w:rsidP="00956465">
            <w:pPr>
              <w:spacing w:before="60" w:after="60"/>
              <w:ind w:left="0"/>
              <w:jc w:val="center"/>
              <w:rPr>
                <w:b/>
                <w:bCs/>
                <w:lang w:eastAsia="zh-CN"/>
              </w:rPr>
            </w:pPr>
            <w:r>
              <w:rPr>
                <w:rFonts w:hint="eastAsia"/>
                <w:b/>
                <w:bCs/>
                <w:lang w:eastAsia="zh-CN"/>
              </w:rPr>
              <w:t>总</w:t>
            </w:r>
            <w:r w:rsidR="00A37486">
              <w:rPr>
                <w:rFonts w:hint="eastAsia"/>
                <w:b/>
                <w:bCs/>
                <w:lang w:eastAsia="zh-CN"/>
              </w:rPr>
              <w:t xml:space="preserve">  </w:t>
            </w:r>
            <w:r>
              <w:rPr>
                <w:rFonts w:hint="eastAsia"/>
                <w:b/>
                <w:bCs/>
                <w:lang w:eastAsia="zh-CN"/>
              </w:rPr>
              <w:t>数</w:t>
            </w:r>
          </w:p>
        </w:tc>
        <w:tc>
          <w:tcPr>
            <w:tcW w:w="1208" w:type="pct"/>
            <w:shd w:val="clear" w:color="auto" w:fill="B6DDE8"/>
            <w:noWrap/>
            <w:vAlign w:val="center"/>
          </w:tcPr>
          <w:p w:rsidR="00E463C3" w:rsidRPr="004F45F4" w:rsidRDefault="00E463C3" w:rsidP="00956465">
            <w:pPr>
              <w:spacing w:before="60" w:after="60"/>
              <w:ind w:left="0"/>
              <w:jc w:val="center"/>
              <w:rPr>
                <w:b/>
                <w:bCs/>
              </w:rPr>
            </w:pPr>
            <w:r w:rsidRPr="004F45F4">
              <w:rPr>
                <w:b/>
                <w:bCs/>
              </w:rPr>
              <w:t>%</w:t>
            </w:r>
          </w:p>
        </w:tc>
      </w:tr>
      <w:tr w:rsidR="00E463C3" w:rsidRPr="004F45F4" w:rsidTr="00C15FE1">
        <w:tc>
          <w:tcPr>
            <w:tcW w:w="2735" w:type="pct"/>
            <w:tcBorders>
              <w:bottom w:val="nil"/>
            </w:tcBorders>
            <w:noWrap/>
            <w:vAlign w:val="center"/>
          </w:tcPr>
          <w:p w:rsidR="00E463C3" w:rsidRPr="003F026A" w:rsidRDefault="00E463C3" w:rsidP="00956465">
            <w:pPr>
              <w:spacing w:before="60" w:after="60"/>
              <w:ind w:left="0"/>
              <w:rPr>
                <w:lang w:eastAsia="zh-CN"/>
              </w:rPr>
            </w:pPr>
            <w:r>
              <w:rPr>
                <w:rFonts w:hint="eastAsia"/>
                <w:lang w:eastAsia="zh-CN"/>
              </w:rPr>
              <w:t>自然人</w:t>
            </w:r>
          </w:p>
        </w:tc>
        <w:tc>
          <w:tcPr>
            <w:tcW w:w="1058" w:type="pct"/>
            <w:tcBorders>
              <w:bottom w:val="nil"/>
            </w:tcBorders>
            <w:noWrap/>
            <w:vAlign w:val="center"/>
          </w:tcPr>
          <w:p w:rsidR="00E463C3" w:rsidRPr="004F45F4" w:rsidRDefault="00E463C3" w:rsidP="00956465">
            <w:pPr>
              <w:spacing w:before="60" w:after="60"/>
              <w:ind w:left="0"/>
              <w:jc w:val="center"/>
            </w:pPr>
            <w:r w:rsidRPr="004F45F4">
              <w:t>3,950</w:t>
            </w:r>
          </w:p>
        </w:tc>
        <w:tc>
          <w:tcPr>
            <w:tcW w:w="1208" w:type="pct"/>
            <w:tcBorders>
              <w:bottom w:val="nil"/>
            </w:tcBorders>
            <w:noWrap/>
            <w:vAlign w:val="center"/>
          </w:tcPr>
          <w:p w:rsidR="00E463C3" w:rsidRPr="004F45F4" w:rsidRDefault="00E463C3" w:rsidP="00956465">
            <w:pPr>
              <w:spacing w:before="60" w:after="60"/>
              <w:ind w:left="0"/>
              <w:jc w:val="center"/>
            </w:pPr>
            <w:r w:rsidRPr="004F45F4">
              <w:t>52.7</w:t>
            </w:r>
          </w:p>
        </w:tc>
      </w:tr>
      <w:tr w:rsidR="00E463C3" w:rsidRPr="004F45F4" w:rsidTr="00C15FE1">
        <w:tc>
          <w:tcPr>
            <w:tcW w:w="2735" w:type="pct"/>
            <w:tcBorders>
              <w:top w:val="nil"/>
              <w:bottom w:val="nil"/>
            </w:tcBorders>
            <w:noWrap/>
            <w:vAlign w:val="center"/>
          </w:tcPr>
          <w:p w:rsidR="00E463C3" w:rsidRPr="004F45F4" w:rsidRDefault="00E463C3" w:rsidP="003F026A">
            <w:pPr>
              <w:spacing w:before="60" w:after="60"/>
              <w:ind w:left="0"/>
            </w:pPr>
            <w:r>
              <w:rPr>
                <w:rFonts w:hint="eastAsia"/>
                <w:lang w:eastAsia="zh-CN"/>
              </w:rPr>
              <w:t>公司</w:t>
            </w:r>
          </w:p>
        </w:tc>
        <w:tc>
          <w:tcPr>
            <w:tcW w:w="1058" w:type="pct"/>
            <w:tcBorders>
              <w:top w:val="nil"/>
              <w:bottom w:val="nil"/>
            </w:tcBorders>
            <w:noWrap/>
            <w:vAlign w:val="center"/>
          </w:tcPr>
          <w:p w:rsidR="00E463C3" w:rsidRPr="004F45F4" w:rsidRDefault="00E463C3" w:rsidP="00956465">
            <w:pPr>
              <w:spacing w:before="60" w:after="60"/>
              <w:ind w:left="0"/>
              <w:jc w:val="center"/>
            </w:pPr>
            <w:r w:rsidRPr="004F45F4">
              <w:t>1,895</w:t>
            </w:r>
          </w:p>
        </w:tc>
        <w:tc>
          <w:tcPr>
            <w:tcW w:w="1208" w:type="pct"/>
            <w:tcBorders>
              <w:top w:val="nil"/>
              <w:bottom w:val="nil"/>
            </w:tcBorders>
            <w:noWrap/>
            <w:vAlign w:val="center"/>
          </w:tcPr>
          <w:p w:rsidR="00E463C3" w:rsidRPr="004F45F4" w:rsidRDefault="00E463C3" w:rsidP="00956465">
            <w:pPr>
              <w:spacing w:before="60" w:after="60"/>
              <w:ind w:left="0"/>
              <w:jc w:val="center"/>
            </w:pPr>
            <w:r w:rsidRPr="004F45F4">
              <w:t>25.3</w:t>
            </w:r>
          </w:p>
        </w:tc>
      </w:tr>
      <w:tr w:rsidR="00E463C3" w:rsidRPr="004F45F4" w:rsidTr="00C15FE1">
        <w:tc>
          <w:tcPr>
            <w:tcW w:w="2735" w:type="pct"/>
            <w:tcBorders>
              <w:top w:val="nil"/>
              <w:bottom w:val="nil"/>
            </w:tcBorders>
            <w:noWrap/>
            <w:vAlign w:val="center"/>
          </w:tcPr>
          <w:p w:rsidR="00E463C3" w:rsidRPr="004F45F4" w:rsidRDefault="00E463C3" w:rsidP="003F026A">
            <w:pPr>
              <w:spacing w:before="60" w:after="60"/>
              <w:ind w:left="0"/>
            </w:pPr>
            <w:r>
              <w:rPr>
                <w:rFonts w:hint="eastAsia"/>
                <w:lang w:eastAsia="zh-CN"/>
              </w:rPr>
              <w:t>高校</w:t>
            </w:r>
          </w:p>
        </w:tc>
        <w:tc>
          <w:tcPr>
            <w:tcW w:w="1058" w:type="pct"/>
            <w:tcBorders>
              <w:top w:val="nil"/>
              <w:bottom w:val="nil"/>
            </w:tcBorders>
            <w:noWrap/>
            <w:vAlign w:val="center"/>
          </w:tcPr>
          <w:p w:rsidR="00E463C3" w:rsidRPr="004F45F4" w:rsidRDefault="00E463C3" w:rsidP="00956465">
            <w:pPr>
              <w:spacing w:before="60" w:after="60"/>
              <w:ind w:left="0"/>
              <w:jc w:val="center"/>
            </w:pPr>
            <w:r w:rsidRPr="004F45F4">
              <w:t>696</w:t>
            </w:r>
          </w:p>
        </w:tc>
        <w:tc>
          <w:tcPr>
            <w:tcW w:w="1208" w:type="pct"/>
            <w:tcBorders>
              <w:top w:val="nil"/>
              <w:bottom w:val="nil"/>
            </w:tcBorders>
            <w:noWrap/>
            <w:vAlign w:val="center"/>
          </w:tcPr>
          <w:p w:rsidR="00E463C3" w:rsidRPr="004F45F4" w:rsidRDefault="00E463C3" w:rsidP="00956465">
            <w:pPr>
              <w:spacing w:before="60" w:after="60"/>
              <w:ind w:left="0"/>
              <w:jc w:val="center"/>
            </w:pPr>
            <w:r w:rsidRPr="004F45F4">
              <w:t>9.3</w:t>
            </w:r>
          </w:p>
        </w:tc>
      </w:tr>
      <w:tr w:rsidR="00E463C3" w:rsidRPr="004F45F4" w:rsidTr="00C15FE1">
        <w:tc>
          <w:tcPr>
            <w:tcW w:w="2735" w:type="pct"/>
            <w:tcBorders>
              <w:top w:val="nil"/>
              <w:bottom w:val="nil"/>
            </w:tcBorders>
            <w:noWrap/>
            <w:vAlign w:val="center"/>
          </w:tcPr>
          <w:p w:rsidR="00E463C3" w:rsidRPr="004F45F4" w:rsidRDefault="00E463C3" w:rsidP="00956465">
            <w:pPr>
              <w:spacing w:before="60" w:after="60"/>
              <w:ind w:left="0"/>
            </w:pPr>
            <w:r w:rsidRPr="004F45F4">
              <w:t>OVEC</w:t>
            </w:r>
          </w:p>
        </w:tc>
        <w:tc>
          <w:tcPr>
            <w:tcW w:w="1058" w:type="pct"/>
            <w:tcBorders>
              <w:top w:val="nil"/>
              <w:bottom w:val="nil"/>
            </w:tcBorders>
            <w:noWrap/>
            <w:vAlign w:val="center"/>
          </w:tcPr>
          <w:p w:rsidR="00E463C3" w:rsidRPr="004F45F4" w:rsidRDefault="00E463C3" w:rsidP="00956465">
            <w:pPr>
              <w:spacing w:before="60" w:after="60"/>
              <w:ind w:left="0"/>
              <w:jc w:val="center"/>
            </w:pPr>
            <w:r w:rsidRPr="004F45F4">
              <w:t>528</w:t>
            </w:r>
          </w:p>
        </w:tc>
        <w:tc>
          <w:tcPr>
            <w:tcW w:w="1208" w:type="pct"/>
            <w:tcBorders>
              <w:top w:val="nil"/>
              <w:bottom w:val="nil"/>
            </w:tcBorders>
            <w:noWrap/>
            <w:vAlign w:val="center"/>
          </w:tcPr>
          <w:p w:rsidR="00E463C3" w:rsidRPr="004F45F4" w:rsidRDefault="00E463C3" w:rsidP="00956465">
            <w:pPr>
              <w:spacing w:before="60" w:after="60"/>
              <w:ind w:left="0"/>
              <w:jc w:val="center"/>
            </w:pPr>
            <w:r w:rsidRPr="004F45F4">
              <w:t>7.0</w:t>
            </w:r>
          </w:p>
        </w:tc>
      </w:tr>
      <w:tr w:rsidR="00E463C3" w:rsidRPr="004F45F4" w:rsidTr="00C15FE1">
        <w:tc>
          <w:tcPr>
            <w:tcW w:w="2735" w:type="pct"/>
            <w:tcBorders>
              <w:top w:val="nil"/>
              <w:bottom w:val="nil"/>
            </w:tcBorders>
            <w:noWrap/>
            <w:vAlign w:val="center"/>
          </w:tcPr>
          <w:p w:rsidR="00E463C3" w:rsidRPr="004F45F4" w:rsidRDefault="00E463C3" w:rsidP="003F026A">
            <w:pPr>
              <w:spacing w:before="60" w:after="60"/>
              <w:ind w:left="0"/>
            </w:pPr>
            <w:r>
              <w:rPr>
                <w:rFonts w:hint="eastAsia"/>
                <w:lang w:eastAsia="zh-CN"/>
              </w:rPr>
              <w:t>政府机构</w:t>
            </w:r>
          </w:p>
        </w:tc>
        <w:tc>
          <w:tcPr>
            <w:tcW w:w="1058" w:type="pct"/>
            <w:tcBorders>
              <w:top w:val="nil"/>
              <w:bottom w:val="nil"/>
            </w:tcBorders>
            <w:noWrap/>
            <w:vAlign w:val="center"/>
          </w:tcPr>
          <w:p w:rsidR="00E463C3" w:rsidRPr="004F45F4" w:rsidRDefault="00E463C3" w:rsidP="00956465">
            <w:pPr>
              <w:spacing w:before="60" w:after="60"/>
              <w:ind w:left="0"/>
              <w:jc w:val="center"/>
            </w:pPr>
            <w:r w:rsidRPr="004F45F4">
              <w:t>238</w:t>
            </w:r>
          </w:p>
        </w:tc>
        <w:tc>
          <w:tcPr>
            <w:tcW w:w="1208" w:type="pct"/>
            <w:tcBorders>
              <w:top w:val="nil"/>
              <w:bottom w:val="nil"/>
            </w:tcBorders>
            <w:noWrap/>
            <w:vAlign w:val="center"/>
          </w:tcPr>
          <w:p w:rsidR="00E463C3" w:rsidRPr="004F45F4" w:rsidRDefault="00E463C3" w:rsidP="00956465">
            <w:pPr>
              <w:spacing w:before="60" w:after="60"/>
              <w:ind w:left="0"/>
              <w:jc w:val="center"/>
            </w:pPr>
            <w:r w:rsidRPr="004F45F4">
              <w:t>3.2</w:t>
            </w:r>
          </w:p>
        </w:tc>
      </w:tr>
      <w:tr w:rsidR="00E463C3" w:rsidRPr="004F45F4" w:rsidTr="00C15FE1">
        <w:tc>
          <w:tcPr>
            <w:tcW w:w="2735" w:type="pct"/>
            <w:tcBorders>
              <w:top w:val="nil"/>
            </w:tcBorders>
            <w:noWrap/>
            <w:vAlign w:val="center"/>
          </w:tcPr>
          <w:p w:rsidR="00E463C3" w:rsidRPr="004F45F4" w:rsidRDefault="00E463C3" w:rsidP="00956465">
            <w:pPr>
              <w:spacing w:before="60" w:after="60"/>
              <w:ind w:left="0"/>
            </w:pPr>
            <w:r w:rsidRPr="004F45F4">
              <w:t>NSTDA</w:t>
            </w:r>
          </w:p>
        </w:tc>
        <w:tc>
          <w:tcPr>
            <w:tcW w:w="1058" w:type="pct"/>
            <w:tcBorders>
              <w:top w:val="nil"/>
            </w:tcBorders>
            <w:noWrap/>
            <w:vAlign w:val="center"/>
          </w:tcPr>
          <w:p w:rsidR="00E463C3" w:rsidRPr="004F45F4" w:rsidRDefault="00E463C3" w:rsidP="00956465">
            <w:pPr>
              <w:spacing w:before="60" w:after="60"/>
              <w:ind w:left="0"/>
              <w:jc w:val="center"/>
            </w:pPr>
            <w:r w:rsidRPr="004F45F4">
              <w:t>191</w:t>
            </w:r>
          </w:p>
        </w:tc>
        <w:tc>
          <w:tcPr>
            <w:tcW w:w="1208" w:type="pct"/>
            <w:tcBorders>
              <w:top w:val="nil"/>
            </w:tcBorders>
            <w:noWrap/>
            <w:vAlign w:val="center"/>
          </w:tcPr>
          <w:p w:rsidR="00E463C3" w:rsidRPr="004F45F4" w:rsidRDefault="00E463C3" w:rsidP="00956465">
            <w:pPr>
              <w:spacing w:before="60" w:after="60"/>
              <w:ind w:left="0"/>
              <w:jc w:val="center"/>
            </w:pPr>
            <w:r w:rsidRPr="004F45F4">
              <w:t>2.6</w:t>
            </w:r>
          </w:p>
        </w:tc>
      </w:tr>
      <w:tr w:rsidR="00E463C3" w:rsidRPr="004F45F4" w:rsidTr="00C15FE1">
        <w:tc>
          <w:tcPr>
            <w:tcW w:w="2735" w:type="pct"/>
            <w:noWrap/>
            <w:vAlign w:val="center"/>
          </w:tcPr>
          <w:p w:rsidR="00E463C3" w:rsidRPr="004F45F4" w:rsidRDefault="00E463C3" w:rsidP="003F026A">
            <w:pPr>
              <w:spacing w:before="60" w:after="60"/>
              <w:ind w:left="0"/>
              <w:rPr>
                <w:b/>
                <w:bCs/>
              </w:rPr>
            </w:pPr>
            <w:r>
              <w:rPr>
                <w:rFonts w:hint="eastAsia"/>
                <w:b/>
                <w:bCs/>
                <w:lang w:eastAsia="zh-CN"/>
              </w:rPr>
              <w:t>合</w:t>
            </w:r>
            <w:r>
              <w:rPr>
                <w:b/>
                <w:bCs/>
                <w:lang w:eastAsia="zh-CN"/>
              </w:rPr>
              <w:t xml:space="preserve">  </w:t>
            </w:r>
            <w:r>
              <w:rPr>
                <w:rFonts w:hint="eastAsia"/>
                <w:b/>
                <w:bCs/>
                <w:lang w:eastAsia="zh-CN"/>
              </w:rPr>
              <w:t>计</w:t>
            </w:r>
          </w:p>
        </w:tc>
        <w:tc>
          <w:tcPr>
            <w:tcW w:w="1058" w:type="pct"/>
            <w:noWrap/>
            <w:vAlign w:val="center"/>
          </w:tcPr>
          <w:p w:rsidR="00E463C3" w:rsidRPr="004F45F4" w:rsidRDefault="00E463C3" w:rsidP="00956465">
            <w:pPr>
              <w:spacing w:before="60" w:after="60"/>
              <w:ind w:left="0"/>
              <w:jc w:val="center"/>
              <w:rPr>
                <w:b/>
                <w:bCs/>
              </w:rPr>
            </w:pPr>
            <w:r w:rsidRPr="004F45F4">
              <w:rPr>
                <w:b/>
                <w:bCs/>
              </w:rPr>
              <w:t>7,498</w:t>
            </w:r>
          </w:p>
        </w:tc>
        <w:tc>
          <w:tcPr>
            <w:tcW w:w="1208" w:type="pct"/>
            <w:noWrap/>
            <w:vAlign w:val="center"/>
          </w:tcPr>
          <w:p w:rsidR="00E463C3" w:rsidRPr="004F45F4" w:rsidRDefault="00E463C3" w:rsidP="00956465">
            <w:pPr>
              <w:spacing w:before="60" w:after="60"/>
              <w:ind w:left="0"/>
              <w:jc w:val="center"/>
              <w:rPr>
                <w:b/>
                <w:bCs/>
              </w:rPr>
            </w:pPr>
            <w:r w:rsidRPr="004F45F4">
              <w:rPr>
                <w:b/>
                <w:bCs/>
              </w:rPr>
              <w:t>100%</w:t>
            </w:r>
          </w:p>
        </w:tc>
      </w:tr>
    </w:tbl>
    <w:p w:rsidR="00E463C3" w:rsidRPr="00B20E50" w:rsidRDefault="00E463C3" w:rsidP="00B20E50">
      <w:pPr>
        <w:pStyle w:val="captionnotes"/>
        <w:rPr>
          <w:rFonts w:ascii="KaiTi" w:eastAsia="KaiTi" w:hAnsi="KaiTi"/>
          <w:lang w:eastAsia="zh-CN"/>
        </w:rPr>
      </w:pPr>
      <w:r w:rsidRPr="00B20E50">
        <w:rPr>
          <w:rFonts w:ascii="KaiTi" w:eastAsia="KaiTi" w:hAnsi="KaiTi" w:hint="eastAsia"/>
          <w:lang w:eastAsia="zh-CN"/>
        </w:rPr>
        <w:t>来源：自行</w:t>
      </w:r>
      <w:r w:rsidR="00B20E50" w:rsidRPr="00B20E50">
        <w:rPr>
          <w:rFonts w:ascii="KaiTi" w:eastAsia="KaiTi" w:hAnsi="KaiTi" w:hint="eastAsia"/>
          <w:lang w:eastAsia="zh-CN"/>
        </w:rPr>
        <w:t>统计</w:t>
      </w:r>
      <w:r w:rsidRPr="00B20E50">
        <w:rPr>
          <w:rFonts w:ascii="KaiTi" w:eastAsia="KaiTi" w:hAnsi="KaiTi" w:hint="eastAsia"/>
          <w:lang w:eastAsia="zh-CN"/>
        </w:rPr>
        <w:t>，基于知识产权厅数据。</w:t>
      </w:r>
      <w:r w:rsidRPr="00B20E50">
        <w:rPr>
          <w:rFonts w:ascii="KaiTi" w:eastAsia="KaiTi" w:hAnsi="KaiTi"/>
          <w:lang w:eastAsia="zh-CN"/>
        </w:rPr>
        <w:br/>
      </w:r>
      <w:r w:rsidRPr="00B20E50">
        <w:rPr>
          <w:rFonts w:ascii="KaiTi" w:eastAsia="KaiTi" w:hAnsi="KaiTi" w:hint="eastAsia"/>
          <w:lang w:eastAsia="zh-CN"/>
        </w:rPr>
        <w:t>注：仅考虑第</w:t>
      </w:r>
      <w:r w:rsidR="00E84340">
        <w:rPr>
          <w:rFonts w:ascii="KaiTi" w:eastAsia="KaiTi" w:hAnsi="KaiTi" w:hint="eastAsia"/>
          <w:lang w:eastAsia="zh-CN"/>
        </w:rPr>
        <w:t>一</w:t>
      </w:r>
      <w:r w:rsidRPr="00B20E50">
        <w:rPr>
          <w:rFonts w:ascii="KaiTi" w:eastAsia="KaiTi" w:hAnsi="KaiTi" w:hint="eastAsia"/>
          <w:lang w:eastAsia="zh-CN"/>
        </w:rPr>
        <w:t>申请人</w:t>
      </w:r>
    </w:p>
    <w:p w:rsidR="00E463C3" w:rsidRPr="003F026A" w:rsidRDefault="00E463C3" w:rsidP="00E91355">
      <w:pPr>
        <w:pStyle w:val="captionnotes"/>
        <w:spacing w:beforeLines="50" w:before="120"/>
        <w:rPr>
          <w:rFonts w:ascii="KaiTi" w:eastAsia="KaiTi" w:hAnsi="KaiTi"/>
          <w:sz w:val="18"/>
          <w:szCs w:val="18"/>
          <w:lang w:eastAsia="zh-CN"/>
        </w:rPr>
      </w:pPr>
    </w:p>
    <w:p w:rsidR="00E463C3" w:rsidRPr="003F026A" w:rsidRDefault="00E463C3" w:rsidP="003F026A">
      <w:pPr>
        <w:spacing w:line="340" w:lineRule="atLeast"/>
        <w:ind w:left="0"/>
        <w:jc w:val="both"/>
        <w:rPr>
          <w:rFonts w:ascii="SimSun" w:eastAsia="Times New Roman" w:hAnsi="SimSun"/>
          <w:sz w:val="21"/>
          <w:szCs w:val="21"/>
          <w:lang w:eastAsia="zh-CN"/>
        </w:rPr>
      </w:pPr>
      <w:r w:rsidRPr="003F026A">
        <w:rPr>
          <w:rFonts w:ascii="SimSun" w:hAnsi="SimSun" w:cs="SimSun" w:hint="eastAsia"/>
          <w:sz w:val="21"/>
          <w:szCs w:val="21"/>
          <w:lang w:eastAsia="zh-CN"/>
        </w:rPr>
        <w:t>图表</w:t>
      </w:r>
      <w:r w:rsidRPr="003F026A">
        <w:rPr>
          <w:rFonts w:ascii="SimSun" w:eastAsia="Times New Roman" w:hAnsi="SimSun"/>
          <w:sz w:val="21"/>
          <w:szCs w:val="21"/>
          <w:lang w:eastAsia="zh-CN"/>
        </w:rPr>
        <w:t>E-3</w:t>
      </w:r>
      <w:r>
        <w:rPr>
          <w:rFonts w:ascii="SimSun" w:hAnsi="SimSun" w:cs="SimSun" w:hint="eastAsia"/>
          <w:sz w:val="21"/>
          <w:szCs w:val="21"/>
          <w:lang w:eastAsia="zh-CN"/>
        </w:rPr>
        <w:t>描绘了前</w:t>
      </w:r>
      <w:r w:rsidR="00E84340">
        <w:rPr>
          <w:rFonts w:ascii="SimSun" w:hAnsi="SimSun" w:cs="SimSun" w:hint="eastAsia"/>
          <w:sz w:val="21"/>
          <w:szCs w:val="21"/>
          <w:lang w:eastAsia="zh-CN"/>
        </w:rPr>
        <w:t>十</w:t>
      </w:r>
      <w:r>
        <w:rPr>
          <w:rFonts w:ascii="SimSun" w:hAnsi="SimSun" w:cs="SimSun" w:hint="eastAsia"/>
          <w:sz w:val="21"/>
          <w:szCs w:val="21"/>
          <w:lang w:eastAsia="zh-CN"/>
        </w:rPr>
        <w:t>大技术领域，约占已注册实用新型的三分之二。排名第一的领域涉及</w:t>
      </w:r>
      <w:r>
        <w:rPr>
          <w:rFonts w:ascii="SimSun" w:eastAsia="Times New Roman" w:hAnsi="SimSun"/>
          <w:sz w:val="21"/>
          <w:szCs w:val="21"/>
          <w:lang w:eastAsia="zh-CN"/>
        </w:rPr>
        <w:t>“</w:t>
      </w:r>
      <w:r>
        <w:rPr>
          <w:rFonts w:ascii="SimSun" w:hAnsi="SimSun" w:cs="SimSun" w:hint="eastAsia"/>
          <w:sz w:val="21"/>
          <w:szCs w:val="21"/>
          <w:lang w:eastAsia="zh-CN"/>
        </w:rPr>
        <w:t>食品化学</w:t>
      </w:r>
      <w:r>
        <w:rPr>
          <w:rFonts w:ascii="SimSun" w:eastAsia="Times New Roman" w:hAnsi="SimSun"/>
          <w:sz w:val="21"/>
          <w:szCs w:val="21"/>
          <w:lang w:eastAsia="zh-CN"/>
        </w:rPr>
        <w:t>”</w:t>
      </w:r>
      <w:r>
        <w:rPr>
          <w:rFonts w:ascii="SimSun" w:hAnsi="SimSun" w:cs="SimSun" w:hint="eastAsia"/>
          <w:sz w:val="21"/>
          <w:szCs w:val="21"/>
          <w:lang w:eastAsia="zh-CN"/>
        </w:rPr>
        <w:t>技术，占比超过所有已注册实用新型的</w:t>
      </w:r>
      <w:r w:rsidRPr="003F026A">
        <w:rPr>
          <w:rFonts w:ascii="SimSun" w:eastAsia="Times New Roman" w:hAnsi="SimSun"/>
          <w:sz w:val="21"/>
          <w:szCs w:val="21"/>
          <w:lang w:eastAsia="zh-CN"/>
        </w:rPr>
        <w:t>10%</w:t>
      </w:r>
      <w:r>
        <w:rPr>
          <w:rFonts w:ascii="SimSun" w:hAnsi="SimSun" w:cs="SimSun" w:hint="eastAsia"/>
          <w:sz w:val="21"/>
          <w:szCs w:val="21"/>
          <w:lang w:eastAsia="zh-CN"/>
        </w:rPr>
        <w:t>。该领域的注册从</w:t>
      </w:r>
      <w:r>
        <w:rPr>
          <w:rFonts w:ascii="SimSun" w:eastAsia="Times New Roman" w:hAnsi="SimSun"/>
          <w:sz w:val="21"/>
          <w:szCs w:val="21"/>
          <w:lang w:eastAsia="zh-CN"/>
        </w:rPr>
        <w:t>1999</w:t>
      </w:r>
      <w:r>
        <w:rPr>
          <w:rFonts w:ascii="SimSun" w:hAnsi="SimSun" w:cs="SimSun" w:hint="eastAsia"/>
          <w:sz w:val="21"/>
          <w:szCs w:val="21"/>
          <w:lang w:eastAsia="zh-CN"/>
        </w:rPr>
        <w:t>年采用实用新型保护一直到</w:t>
      </w:r>
      <w:r w:rsidRPr="003F026A">
        <w:rPr>
          <w:rFonts w:ascii="SimSun" w:eastAsia="Times New Roman" w:hAnsi="SimSun"/>
          <w:sz w:val="21"/>
          <w:szCs w:val="21"/>
          <w:lang w:eastAsia="zh-CN"/>
        </w:rPr>
        <w:t>2005</w:t>
      </w:r>
      <w:r>
        <w:rPr>
          <w:rFonts w:ascii="SimSun" w:hAnsi="SimSun" w:cs="SimSun" w:hint="eastAsia"/>
          <w:sz w:val="21"/>
          <w:szCs w:val="21"/>
          <w:lang w:eastAsia="zh-CN"/>
        </w:rPr>
        <w:t>年</w:t>
      </w:r>
      <w:r w:rsidR="00E84340">
        <w:rPr>
          <w:rFonts w:ascii="SimSun" w:hAnsi="SimSun" w:cs="SimSun" w:hint="eastAsia"/>
          <w:sz w:val="21"/>
          <w:szCs w:val="21"/>
          <w:lang w:eastAsia="zh-CN"/>
        </w:rPr>
        <w:t>均</w:t>
      </w:r>
      <w:r>
        <w:rPr>
          <w:rFonts w:ascii="SimSun" w:hAnsi="SimSun" w:cs="SimSun" w:hint="eastAsia"/>
          <w:sz w:val="21"/>
          <w:szCs w:val="21"/>
          <w:lang w:eastAsia="zh-CN"/>
        </w:rPr>
        <w:t>出现较大增长，与泰国实用新型申请快速增长期相吻合。然而，该领域此后</w:t>
      </w:r>
      <w:r w:rsidR="00E84340">
        <w:rPr>
          <w:rFonts w:ascii="SimSun" w:hAnsi="SimSun" w:cs="SimSun" w:hint="eastAsia"/>
          <w:sz w:val="21"/>
          <w:szCs w:val="21"/>
          <w:lang w:eastAsia="zh-CN"/>
        </w:rPr>
        <w:t>的</w:t>
      </w:r>
      <w:r>
        <w:rPr>
          <w:rFonts w:ascii="SimSun" w:hAnsi="SimSun" w:cs="SimSun" w:hint="eastAsia"/>
          <w:sz w:val="21"/>
          <w:szCs w:val="21"/>
          <w:lang w:eastAsia="zh-CN"/>
        </w:rPr>
        <w:t>注册数急剧减少。与之相反的模式发生在</w:t>
      </w:r>
      <w:r>
        <w:rPr>
          <w:rFonts w:ascii="SimSun" w:eastAsia="Times New Roman" w:hAnsi="SimSun"/>
          <w:sz w:val="21"/>
          <w:szCs w:val="21"/>
          <w:lang w:eastAsia="zh-CN"/>
        </w:rPr>
        <w:t>“</w:t>
      </w:r>
      <w:r>
        <w:rPr>
          <w:rFonts w:ascii="SimSun" w:hAnsi="SimSun" w:cs="SimSun" w:hint="eastAsia"/>
          <w:sz w:val="21"/>
          <w:szCs w:val="21"/>
          <w:lang w:eastAsia="zh-CN"/>
        </w:rPr>
        <w:t>土木工程</w:t>
      </w:r>
      <w:r>
        <w:rPr>
          <w:rFonts w:ascii="SimSun" w:eastAsia="Times New Roman" w:hAnsi="SimSun"/>
          <w:sz w:val="21"/>
          <w:szCs w:val="21"/>
          <w:lang w:eastAsia="zh-CN"/>
        </w:rPr>
        <w:t>”</w:t>
      </w:r>
      <w:r>
        <w:rPr>
          <w:rFonts w:ascii="SimSun" w:hAnsi="SimSun" w:cs="SimSun" w:hint="eastAsia"/>
          <w:sz w:val="21"/>
          <w:szCs w:val="21"/>
          <w:lang w:eastAsia="zh-CN"/>
        </w:rPr>
        <w:t>、</w:t>
      </w:r>
      <w:r>
        <w:rPr>
          <w:rFonts w:ascii="SimSun" w:eastAsia="Times New Roman" w:hAnsi="SimSun"/>
          <w:sz w:val="21"/>
          <w:szCs w:val="21"/>
          <w:lang w:eastAsia="zh-CN"/>
        </w:rPr>
        <w:t>“</w:t>
      </w:r>
      <w:r>
        <w:rPr>
          <w:rFonts w:ascii="SimSun" w:hAnsi="SimSun" w:cs="SimSun" w:hint="eastAsia"/>
          <w:sz w:val="21"/>
          <w:szCs w:val="21"/>
          <w:lang w:eastAsia="zh-CN"/>
        </w:rPr>
        <w:t>其他专用机械</w:t>
      </w:r>
      <w:r>
        <w:rPr>
          <w:rFonts w:ascii="SimSun" w:eastAsia="Times New Roman" w:hAnsi="SimSun"/>
          <w:sz w:val="21"/>
          <w:szCs w:val="21"/>
          <w:lang w:eastAsia="zh-CN"/>
        </w:rPr>
        <w:t>”</w:t>
      </w:r>
      <w:r>
        <w:rPr>
          <w:rFonts w:ascii="SimSun" w:hAnsi="SimSun" w:cs="SimSun" w:hint="eastAsia"/>
          <w:sz w:val="21"/>
          <w:szCs w:val="21"/>
          <w:lang w:eastAsia="zh-CN"/>
        </w:rPr>
        <w:t>、</w:t>
      </w:r>
      <w:r>
        <w:rPr>
          <w:rFonts w:ascii="SimSun" w:eastAsia="Times New Roman" w:hAnsi="SimSun"/>
          <w:sz w:val="21"/>
          <w:szCs w:val="21"/>
          <w:lang w:eastAsia="zh-CN"/>
        </w:rPr>
        <w:t>“</w:t>
      </w:r>
      <w:r>
        <w:rPr>
          <w:rFonts w:ascii="SimSun" w:hAnsi="SimSun" w:cs="SimSun" w:hint="eastAsia"/>
          <w:sz w:val="21"/>
          <w:szCs w:val="21"/>
          <w:lang w:eastAsia="zh-CN"/>
        </w:rPr>
        <w:t>家具和游戏</w:t>
      </w:r>
      <w:r>
        <w:rPr>
          <w:rFonts w:ascii="SimSun" w:eastAsia="Times New Roman" w:hAnsi="SimSun"/>
          <w:sz w:val="21"/>
          <w:szCs w:val="21"/>
          <w:lang w:eastAsia="zh-CN"/>
        </w:rPr>
        <w:t>”</w:t>
      </w:r>
      <w:r>
        <w:rPr>
          <w:rFonts w:ascii="SimSun" w:hAnsi="SimSun" w:cs="SimSun" w:hint="eastAsia"/>
          <w:sz w:val="21"/>
          <w:szCs w:val="21"/>
          <w:lang w:eastAsia="zh-CN"/>
        </w:rPr>
        <w:t>和</w:t>
      </w:r>
      <w:r>
        <w:rPr>
          <w:rFonts w:ascii="SimSun" w:eastAsia="Times New Roman" w:hAnsi="SimSun"/>
          <w:sz w:val="21"/>
          <w:szCs w:val="21"/>
          <w:lang w:eastAsia="zh-CN"/>
        </w:rPr>
        <w:t>“</w:t>
      </w:r>
      <w:r>
        <w:rPr>
          <w:rFonts w:ascii="SimSun" w:hAnsi="SimSun" w:cs="SimSun" w:hint="eastAsia"/>
          <w:sz w:val="21"/>
          <w:szCs w:val="21"/>
          <w:lang w:eastAsia="zh-CN"/>
        </w:rPr>
        <w:t>搬运</w:t>
      </w:r>
      <w:r>
        <w:rPr>
          <w:rFonts w:ascii="SimSun" w:eastAsia="Times New Roman" w:hAnsi="SimSun"/>
          <w:sz w:val="21"/>
          <w:szCs w:val="21"/>
          <w:lang w:eastAsia="zh-CN"/>
        </w:rPr>
        <w:t>”</w:t>
      </w:r>
      <w:r>
        <w:rPr>
          <w:rFonts w:ascii="SimSun" w:hAnsi="SimSun" w:cs="SimSun" w:hint="eastAsia"/>
          <w:sz w:val="21"/>
          <w:szCs w:val="21"/>
          <w:lang w:eastAsia="zh-CN"/>
        </w:rPr>
        <w:t>技术上，</w:t>
      </w:r>
      <w:r>
        <w:rPr>
          <w:rFonts w:ascii="SimSun" w:eastAsia="Times New Roman" w:hAnsi="SimSun"/>
          <w:sz w:val="21"/>
          <w:szCs w:val="21"/>
          <w:lang w:eastAsia="zh-CN"/>
        </w:rPr>
        <w:t>2005</w:t>
      </w:r>
      <w:r>
        <w:rPr>
          <w:rFonts w:ascii="SimSun" w:hAnsi="SimSun" w:cs="SimSun" w:hint="eastAsia"/>
          <w:sz w:val="21"/>
          <w:szCs w:val="21"/>
          <w:lang w:eastAsia="zh-CN"/>
        </w:rPr>
        <w:t>年之后的多数注册活动发生在这些领域。</w:t>
      </w:r>
    </w:p>
    <w:p w:rsidR="00E463C3" w:rsidRDefault="00E463C3" w:rsidP="00956465">
      <w:pPr>
        <w:spacing w:after="200" w:line="276" w:lineRule="auto"/>
        <w:ind w:left="0"/>
        <w:rPr>
          <w:lang w:eastAsia="zh-CN"/>
        </w:rPr>
      </w:pPr>
      <w:r>
        <w:rPr>
          <w:lang w:eastAsia="zh-CN"/>
        </w:rPr>
        <w:br w:type="page"/>
      </w:r>
    </w:p>
    <w:p w:rsidR="00E463C3" w:rsidRPr="00B20E50" w:rsidRDefault="00B20E50" w:rsidP="00B20E50">
      <w:pPr>
        <w:pStyle w:val="captionnotes"/>
        <w:spacing w:beforeLines="100" w:before="240"/>
        <w:rPr>
          <w:rFonts w:ascii="KaiTi" w:eastAsia="KaiTi" w:hAnsi="KaiTi"/>
          <w:b/>
          <w:sz w:val="18"/>
          <w:szCs w:val="18"/>
          <w:lang w:eastAsia="zh-CN"/>
        </w:rPr>
      </w:pPr>
      <w:bookmarkStart w:id="7" w:name="_Ref368388063"/>
      <w:r w:rsidRPr="00B20E50">
        <w:rPr>
          <w:rFonts w:ascii="KaiTi" w:eastAsia="KaiTi" w:hAnsi="KaiTi"/>
          <w:b/>
          <w:sz w:val="18"/>
          <w:szCs w:val="18"/>
          <w:lang w:eastAsia="zh-CN"/>
        </w:rPr>
        <w:lastRenderedPageBreak/>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3</w:t>
      </w:r>
      <w:r w:rsidR="00776E81" w:rsidRPr="00B20E50">
        <w:rPr>
          <w:rFonts w:ascii="KaiTi" w:eastAsia="KaiTi" w:hAnsi="KaiTi"/>
          <w:b/>
          <w:sz w:val="18"/>
          <w:szCs w:val="18"/>
          <w:lang w:eastAsia="zh-CN"/>
        </w:rPr>
        <w:fldChar w:fldCharType="end"/>
      </w:r>
      <w:bookmarkEnd w:id="7"/>
      <w:r w:rsidRPr="00B20E50">
        <w:rPr>
          <w:rFonts w:ascii="KaiTi" w:eastAsia="KaiTi" w:hAnsi="KaiTi" w:hint="eastAsia"/>
          <w:b/>
          <w:sz w:val="18"/>
          <w:szCs w:val="18"/>
          <w:lang w:eastAsia="zh-CN"/>
        </w:rPr>
        <w:t>：前十大技术领域</w:t>
      </w:r>
    </w:p>
    <w:p w:rsidR="00E463C3" w:rsidRPr="00C15FE1" w:rsidRDefault="00E91355" w:rsidP="00C15FE1">
      <w:pPr>
        <w:ind w:left="0"/>
        <w:rPr>
          <w:rFonts w:ascii="KaiTi" w:eastAsia="KaiTi" w:hAnsi="KaiTi"/>
          <w:i/>
          <w:lang w:eastAsia="zh-CN"/>
        </w:rPr>
      </w:pPr>
      <w:r w:rsidRPr="00C15FE1">
        <w:rPr>
          <w:i/>
          <w:noProof/>
          <w:sz w:val="16"/>
        </w:rPr>
        <w:drawing>
          <wp:anchor distT="0" distB="0" distL="114300" distR="114300" simplePos="0" relativeHeight="251660288" behindDoc="1" locked="0" layoutInCell="1" allowOverlap="1" wp14:anchorId="7B3F6356" wp14:editId="49D2E635">
            <wp:simplePos x="0" y="0"/>
            <wp:positionH relativeFrom="column">
              <wp:posOffset>67409</wp:posOffset>
            </wp:positionH>
            <wp:positionV relativeFrom="paragraph">
              <wp:posOffset>63937</wp:posOffset>
            </wp:positionV>
            <wp:extent cx="5497200" cy="5277600"/>
            <wp:effectExtent l="0" t="0" r="8255" b="0"/>
            <wp:wrapTopAndBottom/>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7200" cy="5277600"/>
                    </a:xfrm>
                    <a:prstGeom prst="rect">
                      <a:avLst/>
                    </a:prstGeom>
                    <a:noFill/>
                  </pic:spPr>
                </pic:pic>
              </a:graphicData>
            </a:graphic>
            <wp14:sizeRelH relativeFrom="page">
              <wp14:pctWidth>0</wp14:pctWidth>
            </wp14:sizeRelH>
            <wp14:sizeRelV relativeFrom="page">
              <wp14:pctHeight>0</wp14:pctHeight>
            </wp14:sizeRelV>
          </wp:anchor>
        </w:drawing>
      </w:r>
      <w:r w:rsidR="00B20E50" w:rsidRPr="00C15FE1">
        <w:rPr>
          <w:rFonts w:ascii="KaiTi" w:eastAsia="KaiTi" w:hAnsi="KaiTi" w:hint="eastAsia"/>
          <w:i/>
          <w:sz w:val="16"/>
          <w:lang w:eastAsia="zh-CN"/>
        </w:rPr>
        <w:t>来源：自行统计，基于知识产权厅数据和WIPO的IPC技术对照表。</w:t>
      </w:r>
      <w:r w:rsidR="00E463C3" w:rsidRPr="00C15FE1">
        <w:rPr>
          <w:rFonts w:ascii="KaiTi" w:eastAsia="KaiTi" w:hAnsi="KaiTi"/>
          <w:i/>
          <w:sz w:val="16"/>
          <w:lang w:eastAsia="zh-CN"/>
        </w:rPr>
        <w:br/>
      </w:r>
      <w:r w:rsidR="00B20E50" w:rsidRPr="00C15FE1">
        <w:rPr>
          <w:rFonts w:ascii="KaiTi" w:eastAsia="KaiTi" w:hAnsi="KaiTi" w:hint="eastAsia"/>
          <w:i/>
          <w:sz w:val="16"/>
          <w:lang w:eastAsia="zh-CN"/>
        </w:rPr>
        <w:t>注：百分比之和可能大于</w:t>
      </w:r>
      <w:r w:rsidR="00E463C3" w:rsidRPr="00C15FE1">
        <w:rPr>
          <w:rFonts w:ascii="KaiTi" w:eastAsia="KaiTi" w:hAnsi="KaiTi"/>
          <w:i/>
          <w:sz w:val="16"/>
          <w:lang w:eastAsia="zh-CN"/>
        </w:rPr>
        <w:t>100%</w:t>
      </w:r>
      <w:r w:rsidR="00B20E50" w:rsidRPr="00C15FE1">
        <w:rPr>
          <w:rFonts w:ascii="KaiTi" w:eastAsia="KaiTi" w:hAnsi="KaiTi" w:hint="eastAsia"/>
          <w:i/>
          <w:sz w:val="16"/>
          <w:lang w:eastAsia="zh-CN"/>
        </w:rPr>
        <w:t>，原因是504件实用新型注册被划入一个以上技术领域。</w:t>
      </w:r>
    </w:p>
    <w:p w:rsidR="00E463C3" w:rsidRDefault="00E463C3" w:rsidP="00956465">
      <w:pPr>
        <w:spacing w:after="200" w:line="276" w:lineRule="auto"/>
        <w:ind w:left="0"/>
        <w:rPr>
          <w:lang w:eastAsia="zh-CN"/>
        </w:rPr>
      </w:pPr>
      <w:r>
        <w:rPr>
          <w:lang w:eastAsia="zh-CN"/>
        </w:rPr>
        <w:br w:type="page"/>
      </w:r>
    </w:p>
    <w:p w:rsidR="00E463C3" w:rsidRPr="003D0A1A" w:rsidRDefault="00E463C3" w:rsidP="003D0A1A">
      <w:pPr>
        <w:pStyle w:val="Heading2"/>
        <w:spacing w:before="240" w:after="240" w:line="340" w:lineRule="atLeast"/>
        <w:ind w:left="0"/>
        <w:rPr>
          <w:rFonts w:ascii="KaiTi" w:eastAsia="KaiTi" w:hAnsi="KaiTi" w:cs="SimSun"/>
          <w:i/>
          <w:sz w:val="21"/>
          <w:szCs w:val="24"/>
          <w:lang w:eastAsia="zh-CN"/>
        </w:rPr>
      </w:pPr>
      <w:r w:rsidRPr="003D0A1A">
        <w:rPr>
          <w:rFonts w:ascii="KaiTi" w:eastAsia="KaiTi" w:hAnsi="KaiTi" w:cs="SimSun" w:hint="eastAsia"/>
          <w:i/>
          <w:sz w:val="21"/>
          <w:szCs w:val="24"/>
          <w:lang w:eastAsia="zh-CN"/>
        </w:rPr>
        <w:lastRenderedPageBreak/>
        <w:t>实用新型在多大程度上补充了其他知识产权形式</w:t>
      </w:r>
      <w:r w:rsidR="003D0A1A" w:rsidRPr="003D0A1A">
        <w:rPr>
          <w:rFonts w:ascii="KaiTi" w:eastAsia="KaiTi" w:hAnsi="KaiTi" w:cs="SimSun"/>
          <w:i/>
          <w:sz w:val="21"/>
          <w:szCs w:val="24"/>
          <w:lang w:eastAsia="zh-CN"/>
        </w:rPr>
        <w:t>？</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基于上述有关实用新型和专利使用情况互补性方面的发现，可以更详细地研究实用新型在多大程度上填补了泰国知识产权制度的一个空缺。具体而言，可以分析实用新型持有人是否首次为泰国的知识产权制度引入了技术，与之对应的是仅仅要求别处</w:t>
      </w:r>
      <w:r w:rsidR="00E84340">
        <w:rPr>
          <w:rFonts w:ascii="SimSun" w:hAnsi="SimSun" w:cs="SimSun" w:hint="eastAsia"/>
          <w:sz w:val="21"/>
          <w:szCs w:val="21"/>
          <w:lang w:eastAsia="zh-CN"/>
        </w:rPr>
        <w:t>已</w:t>
      </w:r>
      <w:r>
        <w:rPr>
          <w:rFonts w:ascii="SimSun" w:hAnsi="SimSun" w:cs="SimSun" w:hint="eastAsia"/>
          <w:sz w:val="21"/>
          <w:szCs w:val="21"/>
          <w:lang w:eastAsia="zh-CN"/>
        </w:rPr>
        <w:t>有知识产权申请的优先权。图表</w:t>
      </w:r>
      <w:r w:rsidRPr="00C707F6">
        <w:rPr>
          <w:rFonts w:ascii="SimSun" w:eastAsia="Times New Roman" w:hAnsi="SimSun"/>
          <w:sz w:val="21"/>
          <w:szCs w:val="21"/>
          <w:lang w:eastAsia="zh-CN"/>
        </w:rPr>
        <w:t>E</w:t>
      </w:r>
      <w:r>
        <w:rPr>
          <w:rFonts w:ascii="SimSun" w:eastAsia="Times New Roman" w:hAnsi="SimSun"/>
          <w:sz w:val="21"/>
          <w:szCs w:val="21"/>
          <w:lang w:eastAsia="zh-CN"/>
        </w:rPr>
        <w:t>-4</w:t>
      </w:r>
      <w:r>
        <w:rPr>
          <w:rFonts w:ascii="SimSun" w:hAnsi="SimSun" w:cs="SimSun" w:hint="eastAsia"/>
          <w:sz w:val="21"/>
          <w:szCs w:val="21"/>
          <w:lang w:eastAsia="zh-CN"/>
        </w:rPr>
        <w:t>显示，泰国的绝大多数已注册实用新型是首次申请；仅有</w:t>
      </w:r>
      <w:r>
        <w:rPr>
          <w:rFonts w:ascii="SimSun" w:eastAsia="Times New Roman" w:hAnsi="SimSun"/>
          <w:sz w:val="21"/>
          <w:szCs w:val="21"/>
          <w:lang w:eastAsia="zh-CN"/>
        </w:rPr>
        <w:t>4%</w:t>
      </w:r>
      <w:r>
        <w:rPr>
          <w:rFonts w:ascii="SimSun" w:hAnsi="SimSun" w:cs="SimSun" w:hint="eastAsia"/>
          <w:sz w:val="21"/>
          <w:szCs w:val="21"/>
          <w:lang w:eastAsia="zh-CN"/>
        </w:rPr>
        <w:t>的注册要求了国外优先权。这意味着其下的发明被推定为在泰国是新的，确认了泰国实用新型制度在当地的吸引力。</w:t>
      </w:r>
    </w:p>
    <w:p w:rsidR="00E463C3" w:rsidRDefault="00E463C3" w:rsidP="00956465">
      <w:pPr>
        <w:ind w:left="0"/>
        <w:rPr>
          <w:lang w:eastAsia="zh-CN"/>
        </w:rPr>
      </w:pPr>
    </w:p>
    <w:p w:rsidR="00E463C3" w:rsidRPr="00B20E50" w:rsidRDefault="00B20E50" w:rsidP="00B20E50">
      <w:pPr>
        <w:pStyle w:val="captionnotes"/>
        <w:spacing w:beforeLines="100" w:before="240"/>
        <w:rPr>
          <w:rFonts w:ascii="KaiTi" w:eastAsia="KaiTi" w:hAnsi="KaiTi"/>
          <w:b/>
          <w:sz w:val="18"/>
          <w:szCs w:val="18"/>
          <w:lang w:eastAsia="zh-CN"/>
        </w:rPr>
      </w:pPr>
      <w:bookmarkStart w:id="8" w:name="_Ref368390177"/>
      <w:r w:rsidRPr="00B20E50">
        <w:rPr>
          <w:rFonts w:ascii="KaiTi" w:eastAsia="KaiTi" w:hAnsi="KaiTi"/>
          <w:b/>
          <w:sz w:val="18"/>
          <w:szCs w:val="18"/>
          <w:lang w:eastAsia="zh-CN"/>
        </w:rPr>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4</w:t>
      </w:r>
      <w:r w:rsidR="00776E81" w:rsidRPr="00B20E50">
        <w:rPr>
          <w:rFonts w:ascii="KaiTi" w:eastAsia="KaiTi" w:hAnsi="KaiTi"/>
          <w:b/>
          <w:sz w:val="18"/>
          <w:szCs w:val="18"/>
          <w:lang w:eastAsia="zh-CN"/>
        </w:rPr>
        <w:fldChar w:fldCharType="end"/>
      </w:r>
      <w:bookmarkEnd w:id="8"/>
      <w:r w:rsidRPr="00B20E50">
        <w:rPr>
          <w:rFonts w:ascii="KaiTi" w:eastAsia="KaiTi" w:hAnsi="KaiTi" w:hint="eastAsia"/>
          <w:b/>
          <w:sz w:val="18"/>
          <w:szCs w:val="18"/>
          <w:lang w:eastAsia="zh-CN"/>
        </w:rPr>
        <w:t>：按优先权局划分的注册</w:t>
      </w:r>
    </w:p>
    <w:p w:rsidR="00E463C3" w:rsidRPr="00B20E50" w:rsidRDefault="00E91355" w:rsidP="00956465">
      <w:pPr>
        <w:pStyle w:val="captionnotes"/>
        <w:rPr>
          <w:rFonts w:ascii="KaiTi" w:eastAsia="KaiTi" w:hAnsi="KaiTi"/>
          <w:lang w:eastAsia="zh-CN"/>
        </w:rPr>
      </w:pPr>
      <w:r>
        <w:rPr>
          <w:noProof/>
        </w:rPr>
        <w:drawing>
          <wp:anchor distT="0" distB="0" distL="114300" distR="114300" simplePos="0" relativeHeight="251661312" behindDoc="1" locked="0" layoutInCell="1" allowOverlap="1" wp14:anchorId="3AD664C8" wp14:editId="4DE52B37">
            <wp:simplePos x="0" y="0"/>
            <wp:positionH relativeFrom="column">
              <wp:posOffset>67409</wp:posOffset>
            </wp:positionH>
            <wp:positionV relativeFrom="paragraph">
              <wp:posOffset>15611</wp:posOffset>
            </wp:positionV>
            <wp:extent cx="5428800" cy="3056400"/>
            <wp:effectExtent l="0" t="0" r="63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800" cy="3056400"/>
                    </a:xfrm>
                    <a:prstGeom prst="rect">
                      <a:avLst/>
                    </a:prstGeom>
                    <a:noFill/>
                  </pic:spPr>
                </pic:pic>
              </a:graphicData>
            </a:graphic>
            <wp14:sizeRelH relativeFrom="page">
              <wp14:pctWidth>0</wp14:pctWidth>
            </wp14:sizeRelH>
            <wp14:sizeRelV relativeFrom="page">
              <wp14:pctHeight>0</wp14:pctHeight>
            </wp14:sizeRelV>
          </wp:anchor>
        </w:drawing>
      </w:r>
      <w:r w:rsidR="00B20E50" w:rsidRPr="00B20E50">
        <w:rPr>
          <w:rFonts w:ascii="KaiTi" w:eastAsia="KaiTi" w:hAnsi="KaiTi" w:hint="eastAsia"/>
          <w:lang w:eastAsia="zh-CN"/>
        </w:rPr>
        <w:t>来源：自行统计，基于知识产权厅数据。</w:t>
      </w:r>
    </w:p>
    <w:p w:rsidR="00E463C3" w:rsidRDefault="00E463C3" w:rsidP="00956465">
      <w:pPr>
        <w:ind w:left="0"/>
        <w:rPr>
          <w:lang w:eastAsia="zh-CN"/>
        </w:rPr>
      </w:pP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此外，单位记录数据库允许评估实用新型持有人是知识产权制度的初次用户，还是从其他知识产权转向实用新型的有经验用户</w:t>
      </w:r>
      <w:r w:rsidRPr="00C707F6">
        <w:rPr>
          <w:rFonts w:ascii="SimSun" w:eastAsia="Times New Roman" w:hAnsi="SimSun"/>
          <w:sz w:val="21"/>
          <w:szCs w:val="21"/>
          <w:vertAlign w:val="superscript"/>
          <w:lang w:eastAsia="zh-CN"/>
        </w:rPr>
        <w:footnoteReference w:id="2"/>
      </w:r>
      <w:r>
        <w:rPr>
          <w:rFonts w:ascii="SimSun" w:hAnsi="SimSun" w:cs="SimSun" w:hint="eastAsia"/>
          <w:sz w:val="21"/>
          <w:szCs w:val="21"/>
          <w:lang w:eastAsia="zh-CN"/>
        </w:rPr>
        <w:t>。数据显示，仅有约五分之一的实用新型持有人也申请了其他知识产权类型，主要是专利和工业品外观设计。这显示，许多实用新型持有人确实是首次使用知识产权制度。许多泰国企业尤为如此，持有一项实用新型的企业中有四分之三未申请其他知识产权形式。个人申请人同样如此，他们中多达</w:t>
      </w:r>
      <w:r>
        <w:rPr>
          <w:rFonts w:ascii="SimSun" w:eastAsia="Times New Roman" w:hAnsi="SimSun"/>
          <w:sz w:val="21"/>
          <w:szCs w:val="21"/>
          <w:lang w:eastAsia="zh-CN"/>
        </w:rPr>
        <w:t>81%</w:t>
      </w:r>
      <w:r>
        <w:rPr>
          <w:rFonts w:ascii="SimSun" w:hAnsi="SimSun" w:cs="SimSun" w:hint="eastAsia"/>
          <w:sz w:val="21"/>
          <w:szCs w:val="21"/>
          <w:lang w:eastAsia="zh-CN"/>
        </w:rPr>
        <w:t>在</w:t>
      </w:r>
      <w:r>
        <w:rPr>
          <w:rFonts w:ascii="SimSun" w:eastAsia="Times New Roman" w:hAnsi="SimSun"/>
          <w:sz w:val="21"/>
          <w:szCs w:val="21"/>
          <w:lang w:eastAsia="zh-CN"/>
        </w:rPr>
        <w:t>1999</w:t>
      </w:r>
      <w:r>
        <w:rPr>
          <w:rFonts w:ascii="SimSun" w:hAnsi="SimSun" w:cs="SimSun" w:hint="eastAsia"/>
          <w:sz w:val="21"/>
          <w:szCs w:val="21"/>
          <w:lang w:eastAsia="zh-CN"/>
        </w:rPr>
        <w:t>年之后仅申请过这种知识产权。</w:t>
      </w:r>
    </w:p>
    <w:p w:rsidR="00E463C3" w:rsidRDefault="00E463C3" w:rsidP="00956465">
      <w:pPr>
        <w:spacing w:after="200" w:line="276" w:lineRule="auto"/>
        <w:ind w:left="0"/>
        <w:rPr>
          <w:lang w:eastAsia="zh-CN"/>
        </w:rPr>
      </w:pPr>
      <w:r>
        <w:rPr>
          <w:lang w:eastAsia="zh-CN"/>
        </w:rPr>
        <w:br w:type="page"/>
      </w:r>
    </w:p>
    <w:p w:rsidR="00E463C3" w:rsidRPr="003D0A1A" w:rsidRDefault="00E463C3" w:rsidP="003D0A1A">
      <w:pPr>
        <w:pStyle w:val="Heading2"/>
        <w:spacing w:before="240" w:after="240" w:line="340" w:lineRule="atLeast"/>
        <w:ind w:left="0"/>
        <w:rPr>
          <w:rFonts w:ascii="KaiTi" w:eastAsia="KaiTi" w:hAnsi="KaiTi" w:cs="SimSun"/>
          <w:i/>
          <w:sz w:val="21"/>
          <w:szCs w:val="24"/>
          <w:lang w:eastAsia="zh-CN"/>
        </w:rPr>
      </w:pPr>
      <w:r w:rsidRPr="003D0A1A">
        <w:rPr>
          <w:rFonts w:ascii="KaiTi" w:eastAsia="KaiTi" w:hAnsi="KaiTi" w:cs="SimSun" w:hint="eastAsia"/>
          <w:i/>
          <w:sz w:val="21"/>
          <w:szCs w:val="24"/>
          <w:lang w:eastAsia="zh-CN"/>
        </w:rPr>
        <w:lastRenderedPageBreak/>
        <w:t>泰国的实用新型制度发展有哪些重要挑战</w:t>
      </w:r>
      <w:r w:rsidR="003D0A1A" w:rsidRPr="003D0A1A">
        <w:rPr>
          <w:rFonts w:ascii="KaiTi" w:eastAsia="KaiTi" w:hAnsi="KaiTi" w:cs="SimSun"/>
          <w:i/>
          <w:sz w:val="21"/>
          <w:szCs w:val="24"/>
          <w:lang w:eastAsia="zh-CN"/>
        </w:rPr>
        <w:t>？</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尽管实用新型保护在泰国得到成功实施，但对这种具体工具的未来仍存有潜在的关切，更广泛意义上的知识产权制度同样如此。</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由于泰国知识产权法对实用新型有新颖性要求，但并未规定实质审查，一个关切点</w:t>
      </w:r>
      <w:r w:rsidR="00E84340">
        <w:rPr>
          <w:rFonts w:ascii="SimSun" w:hAnsi="SimSun" w:cs="SimSun" w:hint="eastAsia"/>
          <w:sz w:val="21"/>
          <w:szCs w:val="21"/>
          <w:lang w:eastAsia="zh-CN"/>
        </w:rPr>
        <w:t>——</w:t>
      </w:r>
      <w:r>
        <w:rPr>
          <w:rFonts w:ascii="SimSun" w:hAnsi="SimSun" w:cs="SimSun" w:hint="eastAsia"/>
          <w:sz w:val="21"/>
          <w:szCs w:val="21"/>
          <w:lang w:eastAsia="zh-CN"/>
        </w:rPr>
        <w:t>纯粹的注册体系均</w:t>
      </w:r>
      <w:r w:rsidR="00E84340">
        <w:rPr>
          <w:rFonts w:ascii="SimSun" w:hAnsi="SimSun" w:cs="SimSun" w:hint="eastAsia"/>
          <w:sz w:val="21"/>
          <w:szCs w:val="21"/>
          <w:lang w:eastAsia="zh-CN"/>
        </w:rPr>
        <w:t>是这样——</w:t>
      </w:r>
      <w:r>
        <w:rPr>
          <w:rFonts w:ascii="SimSun" w:hAnsi="SimSun" w:cs="SimSun" w:hint="eastAsia"/>
          <w:sz w:val="21"/>
          <w:szCs w:val="21"/>
          <w:lang w:eastAsia="zh-CN"/>
        </w:rPr>
        <w:t>就是，实用新型注册在多大程度上真正满足了新颖性标准。图表</w:t>
      </w:r>
      <w:r>
        <w:rPr>
          <w:rFonts w:ascii="SimSun" w:eastAsia="Times New Roman" w:hAnsi="SimSun"/>
          <w:sz w:val="21"/>
          <w:szCs w:val="21"/>
          <w:lang w:eastAsia="zh-CN"/>
        </w:rPr>
        <w:t>E-5</w:t>
      </w:r>
      <w:r>
        <w:rPr>
          <w:rFonts w:ascii="SimSun" w:hAnsi="SimSun" w:cs="SimSun" w:hint="eastAsia"/>
          <w:sz w:val="21"/>
          <w:szCs w:val="21"/>
          <w:lang w:eastAsia="zh-CN"/>
        </w:rPr>
        <w:t>显示，仅有</w:t>
      </w:r>
      <w:r>
        <w:rPr>
          <w:rFonts w:ascii="SimSun" w:eastAsia="Times New Roman" w:hAnsi="SimSun"/>
          <w:sz w:val="21"/>
          <w:szCs w:val="21"/>
          <w:lang w:eastAsia="zh-CN"/>
        </w:rPr>
        <w:t>40</w:t>
      </w:r>
      <w:r>
        <w:rPr>
          <w:rFonts w:ascii="SimSun" w:hAnsi="SimSun" w:cs="SimSun" w:hint="eastAsia"/>
          <w:sz w:val="21"/>
          <w:szCs w:val="21"/>
          <w:lang w:eastAsia="zh-CN"/>
        </w:rPr>
        <w:t>件已注册实用新型出现了审查请求</w:t>
      </w:r>
      <w:r w:rsidR="00E84340">
        <w:rPr>
          <w:rFonts w:ascii="SimSun" w:hAnsi="SimSun" w:cs="SimSun" w:hint="eastAsia"/>
          <w:sz w:val="21"/>
          <w:szCs w:val="21"/>
          <w:lang w:eastAsia="zh-CN"/>
        </w:rPr>
        <w:t>——</w:t>
      </w:r>
      <w:r>
        <w:rPr>
          <w:rFonts w:ascii="SimSun" w:hAnsi="SimSun" w:cs="SimSun" w:hint="eastAsia"/>
          <w:sz w:val="21"/>
          <w:szCs w:val="21"/>
          <w:lang w:eastAsia="zh-CN"/>
        </w:rPr>
        <w:t>例如，由于第三方异议。此外，泰国的专业知识产权法院仅撤销了几项已注册实用新型。这在实用新型注册的质量方面可能是令人鼓舞的标志。但是，得出这一结论必须慎重。缺少异议也可能反映许多实用新型申请以及最终的注册未实现真正的工业应用，因此经济价值很低。</w:t>
      </w:r>
    </w:p>
    <w:p w:rsidR="00E463C3" w:rsidRPr="009312F0" w:rsidRDefault="00E463C3" w:rsidP="00C707F6">
      <w:pPr>
        <w:spacing w:line="340" w:lineRule="atLeast"/>
        <w:ind w:left="0"/>
        <w:jc w:val="both"/>
        <w:rPr>
          <w:rFonts w:ascii="SimSun" w:hAnsi="SimSun"/>
          <w:sz w:val="21"/>
          <w:szCs w:val="21"/>
          <w:lang w:eastAsia="zh-CN"/>
        </w:rPr>
      </w:pPr>
    </w:p>
    <w:p w:rsidR="00E463C3" w:rsidRPr="00B20E50" w:rsidRDefault="00B20E50" w:rsidP="00B20E50">
      <w:pPr>
        <w:pStyle w:val="captionnotes"/>
        <w:spacing w:beforeLines="100" w:before="240"/>
        <w:rPr>
          <w:rFonts w:ascii="KaiTi" w:eastAsia="KaiTi" w:hAnsi="KaiTi"/>
          <w:b/>
          <w:sz w:val="18"/>
          <w:szCs w:val="18"/>
          <w:lang w:eastAsia="zh-CN"/>
        </w:rPr>
      </w:pPr>
      <w:bookmarkStart w:id="9" w:name="_Ref368394627"/>
      <w:r w:rsidRPr="00B20E50">
        <w:rPr>
          <w:rFonts w:ascii="KaiTi" w:eastAsia="KaiTi" w:hAnsi="KaiTi"/>
          <w:b/>
          <w:sz w:val="18"/>
          <w:szCs w:val="18"/>
          <w:lang w:eastAsia="zh-CN"/>
        </w:rPr>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5</w:t>
      </w:r>
      <w:r w:rsidR="00776E81" w:rsidRPr="00B20E50">
        <w:rPr>
          <w:rFonts w:ascii="KaiTi" w:eastAsia="KaiTi" w:hAnsi="KaiTi"/>
          <w:b/>
          <w:sz w:val="18"/>
          <w:szCs w:val="18"/>
          <w:lang w:eastAsia="zh-CN"/>
        </w:rPr>
        <w:fldChar w:fldCharType="end"/>
      </w:r>
      <w:bookmarkEnd w:id="9"/>
      <w:r w:rsidRPr="00B20E50">
        <w:rPr>
          <w:rFonts w:ascii="KaiTi" w:eastAsia="KaiTi" w:hAnsi="KaiTi" w:hint="eastAsia"/>
          <w:b/>
          <w:sz w:val="18"/>
          <w:szCs w:val="18"/>
          <w:lang w:eastAsia="zh-CN"/>
        </w:rPr>
        <w:t>：实用新型审查请求，按审查年</w:t>
      </w:r>
    </w:p>
    <w:p w:rsidR="00E463C3" w:rsidRPr="00C15FE1" w:rsidRDefault="00E91355" w:rsidP="00C15FE1">
      <w:pPr>
        <w:ind w:left="0"/>
        <w:rPr>
          <w:rFonts w:ascii="KaiTi" w:eastAsia="KaiTi" w:hAnsi="KaiTi"/>
          <w:i/>
          <w:sz w:val="16"/>
          <w:lang w:eastAsia="zh-CN"/>
        </w:rPr>
      </w:pPr>
      <w:r>
        <w:rPr>
          <w:noProof/>
        </w:rPr>
        <w:drawing>
          <wp:anchor distT="0" distB="0" distL="114300" distR="114300" simplePos="0" relativeHeight="251662336" behindDoc="1" locked="0" layoutInCell="1" allowOverlap="1" wp14:anchorId="6BB7BFA9" wp14:editId="034098B4">
            <wp:simplePos x="0" y="0"/>
            <wp:positionH relativeFrom="column">
              <wp:posOffset>-51344</wp:posOffset>
            </wp:positionH>
            <wp:positionV relativeFrom="paragraph">
              <wp:posOffset>54371</wp:posOffset>
            </wp:positionV>
            <wp:extent cx="5410800" cy="2754000"/>
            <wp:effectExtent l="0" t="0" r="0" b="8255"/>
            <wp:wrapTopAndBottom/>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800" cy="2754000"/>
                    </a:xfrm>
                    <a:prstGeom prst="rect">
                      <a:avLst/>
                    </a:prstGeom>
                    <a:noFill/>
                  </pic:spPr>
                </pic:pic>
              </a:graphicData>
            </a:graphic>
            <wp14:sizeRelH relativeFrom="page">
              <wp14:pctWidth>0</wp14:pctWidth>
            </wp14:sizeRelH>
            <wp14:sizeRelV relativeFrom="page">
              <wp14:pctHeight>0</wp14:pctHeight>
            </wp14:sizeRelV>
          </wp:anchor>
        </w:drawing>
      </w:r>
      <w:r w:rsidR="00B20E50" w:rsidRPr="00C15FE1">
        <w:rPr>
          <w:rFonts w:ascii="KaiTi" w:eastAsia="KaiTi" w:hAnsi="KaiTi" w:hint="eastAsia"/>
          <w:i/>
          <w:sz w:val="16"/>
          <w:lang w:eastAsia="zh-CN"/>
        </w:rPr>
        <w:t>来源：自行统计，基于知识产权厅数据。</w:t>
      </w:r>
    </w:p>
    <w:p w:rsidR="00E463C3" w:rsidRDefault="00E463C3" w:rsidP="00956465">
      <w:pPr>
        <w:ind w:left="0"/>
        <w:rPr>
          <w:lang w:eastAsia="zh-CN"/>
        </w:rPr>
      </w:pP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实用新型质量欠缺的一个间接标志是，</w:t>
      </w:r>
      <w:r>
        <w:rPr>
          <w:rFonts w:ascii="SimSun" w:eastAsia="Times New Roman" w:hAnsi="SimSun"/>
          <w:sz w:val="21"/>
          <w:szCs w:val="21"/>
          <w:lang w:eastAsia="zh-CN"/>
        </w:rPr>
        <w:t>1999</w:t>
      </w:r>
      <w:r>
        <w:rPr>
          <w:rFonts w:ascii="SimSun" w:hAnsi="SimSun" w:cs="SimSun" w:hint="eastAsia"/>
          <w:sz w:val="21"/>
          <w:szCs w:val="21"/>
          <w:lang w:eastAsia="zh-CN"/>
        </w:rPr>
        <w:t>年和</w:t>
      </w:r>
      <w:r>
        <w:rPr>
          <w:rFonts w:ascii="SimSun" w:eastAsia="Times New Roman" w:hAnsi="SimSun"/>
          <w:sz w:val="21"/>
          <w:szCs w:val="21"/>
          <w:lang w:eastAsia="zh-CN"/>
        </w:rPr>
        <w:t>2011</w:t>
      </w:r>
      <w:r>
        <w:rPr>
          <w:rFonts w:ascii="SimSun" w:hAnsi="SimSun" w:cs="SimSun" w:hint="eastAsia"/>
          <w:sz w:val="21"/>
          <w:szCs w:val="21"/>
          <w:lang w:eastAsia="zh-CN"/>
        </w:rPr>
        <w:t>年之间申请的所有实用新型申请中，实际取得注册的不到半数。最近几年，未注册申请中，有一定份额与仍在进行中的申请程序相对应。但是，即使仅考虑</w:t>
      </w:r>
      <w:r>
        <w:rPr>
          <w:rFonts w:ascii="SimSun" w:eastAsia="Times New Roman" w:hAnsi="SimSun"/>
          <w:sz w:val="21"/>
          <w:szCs w:val="21"/>
          <w:lang w:eastAsia="zh-CN"/>
        </w:rPr>
        <w:t>2000</w:t>
      </w:r>
      <w:r>
        <w:rPr>
          <w:rFonts w:ascii="SimSun" w:hAnsi="SimSun" w:cs="SimSun" w:hint="eastAsia"/>
          <w:sz w:val="21"/>
          <w:szCs w:val="21"/>
          <w:lang w:eastAsia="zh-CN"/>
        </w:rPr>
        <w:t>年</w:t>
      </w:r>
      <w:r w:rsidR="00E84340">
        <w:rPr>
          <w:rFonts w:ascii="SimSun" w:hAnsi="SimSun" w:cs="SimSun" w:hint="eastAsia"/>
          <w:sz w:val="21"/>
          <w:szCs w:val="21"/>
          <w:lang w:eastAsia="zh-CN"/>
        </w:rPr>
        <w:t>之</w:t>
      </w:r>
      <w:r>
        <w:rPr>
          <w:rFonts w:ascii="SimSun" w:hAnsi="SimSun" w:cs="SimSun" w:hint="eastAsia"/>
          <w:sz w:val="21"/>
          <w:szCs w:val="21"/>
          <w:lang w:eastAsia="zh-CN"/>
        </w:rPr>
        <w:t>后的前半期，未注册实用新型的份额仍然很高</w:t>
      </w:r>
      <w:r w:rsidR="00E84340">
        <w:rPr>
          <w:rFonts w:ascii="SimSun" w:hAnsi="SimSun" w:cs="SimSun" w:hint="eastAsia"/>
          <w:sz w:val="21"/>
          <w:szCs w:val="21"/>
          <w:lang w:eastAsia="zh-CN"/>
        </w:rPr>
        <w:t>——</w:t>
      </w:r>
      <w:r>
        <w:rPr>
          <w:rFonts w:ascii="SimSun" w:hAnsi="SimSun" w:cs="SimSun" w:hint="eastAsia"/>
          <w:sz w:val="21"/>
          <w:szCs w:val="21"/>
          <w:lang w:eastAsia="zh-CN"/>
        </w:rPr>
        <w:t>在</w:t>
      </w:r>
      <w:r w:rsidRPr="00C707F6">
        <w:rPr>
          <w:rFonts w:ascii="SimSun" w:eastAsia="Times New Roman" w:hAnsi="SimSun"/>
          <w:sz w:val="21"/>
          <w:szCs w:val="21"/>
          <w:lang w:eastAsia="zh-CN"/>
        </w:rPr>
        <w:t>40%</w:t>
      </w:r>
      <w:r>
        <w:rPr>
          <w:rFonts w:ascii="SimSun" w:hAnsi="SimSun" w:cs="SimSun" w:hint="eastAsia"/>
          <w:sz w:val="21"/>
          <w:szCs w:val="21"/>
          <w:lang w:eastAsia="zh-CN"/>
        </w:rPr>
        <w:t>至</w:t>
      </w:r>
      <w:r w:rsidRPr="00C707F6">
        <w:rPr>
          <w:rFonts w:ascii="SimSun" w:eastAsia="Times New Roman" w:hAnsi="SimSun"/>
          <w:sz w:val="21"/>
          <w:szCs w:val="21"/>
          <w:lang w:eastAsia="zh-CN"/>
        </w:rPr>
        <w:t>60%</w:t>
      </w:r>
      <w:r>
        <w:rPr>
          <w:rFonts w:ascii="SimSun" w:hAnsi="SimSun" w:cs="SimSun" w:hint="eastAsia"/>
          <w:sz w:val="21"/>
          <w:szCs w:val="21"/>
          <w:lang w:eastAsia="zh-CN"/>
        </w:rPr>
        <w:t>之间</w:t>
      </w:r>
      <w:r w:rsidRPr="00C707F6">
        <w:rPr>
          <w:rFonts w:ascii="SimSun" w:eastAsia="Times New Roman" w:hAnsi="SimSun"/>
          <w:sz w:val="21"/>
          <w:szCs w:val="21"/>
          <w:lang w:eastAsia="zh-CN"/>
        </w:rPr>
        <w:t>(</w:t>
      </w:r>
      <w:r>
        <w:rPr>
          <w:rFonts w:ascii="SimSun" w:hAnsi="SimSun" w:cs="SimSun" w:hint="eastAsia"/>
          <w:sz w:val="21"/>
          <w:szCs w:val="21"/>
          <w:lang w:eastAsia="zh-CN"/>
        </w:rPr>
        <w:t>见图表</w:t>
      </w:r>
      <w:r>
        <w:rPr>
          <w:rFonts w:ascii="SimSun" w:eastAsia="Times New Roman" w:hAnsi="SimSun"/>
          <w:sz w:val="21"/>
          <w:szCs w:val="21"/>
          <w:lang w:eastAsia="zh-CN"/>
        </w:rPr>
        <w:t>E-6</w:t>
      </w:r>
      <w:r w:rsidRPr="00C707F6">
        <w:rPr>
          <w:rFonts w:ascii="SimSun" w:eastAsia="Times New Roman" w:hAnsi="SimSun"/>
          <w:sz w:val="21"/>
          <w:szCs w:val="21"/>
          <w:lang w:eastAsia="zh-CN"/>
        </w:rPr>
        <w:t>)</w:t>
      </w:r>
      <w:r>
        <w:rPr>
          <w:rFonts w:ascii="SimSun" w:hAnsi="SimSun" w:cs="SimSun" w:hint="eastAsia"/>
          <w:sz w:val="21"/>
          <w:szCs w:val="21"/>
          <w:lang w:eastAsia="zh-CN"/>
        </w:rPr>
        <w:t>。这显示了泰国知识产权局可能面对的申请质量挑战。</w:t>
      </w:r>
    </w:p>
    <w:p w:rsidR="00E463C3" w:rsidRDefault="00E463C3" w:rsidP="00956465">
      <w:pPr>
        <w:spacing w:after="200" w:line="276" w:lineRule="auto"/>
        <w:ind w:left="0"/>
        <w:rPr>
          <w:lang w:eastAsia="zh-CN"/>
        </w:rPr>
      </w:pPr>
      <w:r>
        <w:rPr>
          <w:lang w:eastAsia="zh-CN"/>
        </w:rPr>
        <w:br w:type="page"/>
      </w:r>
    </w:p>
    <w:p w:rsidR="00E463C3" w:rsidRPr="00B20E50" w:rsidRDefault="00B20E50" w:rsidP="00B20E50">
      <w:pPr>
        <w:pStyle w:val="captionnotes"/>
        <w:spacing w:beforeLines="100" w:before="240"/>
        <w:rPr>
          <w:rFonts w:ascii="KaiTi" w:eastAsia="KaiTi" w:hAnsi="KaiTi"/>
          <w:b/>
          <w:sz w:val="18"/>
          <w:szCs w:val="18"/>
          <w:lang w:eastAsia="zh-CN"/>
        </w:rPr>
      </w:pPr>
      <w:bookmarkStart w:id="10" w:name="_Ref368394930"/>
      <w:r w:rsidRPr="00B20E50">
        <w:rPr>
          <w:rFonts w:ascii="KaiTi" w:eastAsia="KaiTi" w:hAnsi="KaiTi"/>
          <w:b/>
          <w:sz w:val="18"/>
          <w:szCs w:val="18"/>
          <w:lang w:eastAsia="zh-CN"/>
        </w:rPr>
        <w:lastRenderedPageBreak/>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6</w:t>
      </w:r>
      <w:r w:rsidR="00776E81" w:rsidRPr="00B20E50">
        <w:rPr>
          <w:rFonts w:ascii="KaiTi" w:eastAsia="KaiTi" w:hAnsi="KaiTi"/>
          <w:b/>
          <w:sz w:val="18"/>
          <w:szCs w:val="18"/>
          <w:lang w:eastAsia="zh-CN"/>
        </w:rPr>
        <w:fldChar w:fldCharType="end"/>
      </w:r>
      <w:bookmarkEnd w:id="10"/>
      <w:r w:rsidRPr="00B20E50">
        <w:rPr>
          <w:rFonts w:ascii="KaiTi" w:eastAsia="KaiTi" w:hAnsi="KaiTi" w:hint="eastAsia"/>
          <w:b/>
          <w:sz w:val="18"/>
          <w:szCs w:val="18"/>
          <w:lang w:eastAsia="zh-CN"/>
        </w:rPr>
        <w:t>：未注册和已注册实用新型</w:t>
      </w:r>
    </w:p>
    <w:p w:rsidR="00E463C3" w:rsidRPr="00C15FE1" w:rsidRDefault="00E91355" w:rsidP="00C15FE1">
      <w:pPr>
        <w:ind w:left="0"/>
        <w:rPr>
          <w:rFonts w:ascii="KaiTi" w:eastAsia="KaiTi" w:hAnsi="KaiTi"/>
          <w:i/>
          <w:sz w:val="16"/>
          <w:lang w:eastAsia="zh-CN"/>
        </w:rPr>
      </w:pPr>
      <w:r>
        <w:rPr>
          <w:noProof/>
        </w:rPr>
        <w:drawing>
          <wp:anchor distT="0" distB="0" distL="114300" distR="114300" simplePos="0" relativeHeight="251663360" behindDoc="1" locked="0" layoutInCell="1" allowOverlap="1" wp14:anchorId="602EF0DA" wp14:editId="03DAD5A2">
            <wp:simplePos x="0" y="0"/>
            <wp:positionH relativeFrom="column">
              <wp:posOffset>67409</wp:posOffset>
            </wp:positionH>
            <wp:positionV relativeFrom="paragraph">
              <wp:posOffset>194566</wp:posOffset>
            </wp:positionV>
            <wp:extent cx="5353200" cy="3344400"/>
            <wp:effectExtent l="0" t="0" r="0" b="8890"/>
            <wp:wrapTopAndBottom/>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200" cy="3344400"/>
                    </a:xfrm>
                    <a:prstGeom prst="rect">
                      <a:avLst/>
                    </a:prstGeom>
                    <a:noFill/>
                  </pic:spPr>
                </pic:pic>
              </a:graphicData>
            </a:graphic>
            <wp14:sizeRelH relativeFrom="page">
              <wp14:pctWidth>0</wp14:pctWidth>
            </wp14:sizeRelH>
            <wp14:sizeRelV relativeFrom="page">
              <wp14:pctHeight>0</wp14:pctHeight>
            </wp14:sizeRelV>
          </wp:anchor>
        </w:drawing>
      </w:r>
      <w:r w:rsidR="00B20E50" w:rsidRPr="00C15FE1">
        <w:rPr>
          <w:rFonts w:ascii="KaiTi" w:eastAsia="KaiTi" w:hAnsi="KaiTi" w:hint="eastAsia"/>
          <w:i/>
          <w:sz w:val="16"/>
          <w:lang w:eastAsia="zh-CN"/>
        </w:rPr>
        <w:t>来源：自行统计，基于知识产权厅数据和WIPO统计数据库，2013年。</w:t>
      </w:r>
    </w:p>
    <w:p w:rsidR="00E463C3" w:rsidRDefault="00E463C3" w:rsidP="00956465">
      <w:pPr>
        <w:ind w:left="0"/>
        <w:rPr>
          <w:lang w:eastAsia="zh-CN"/>
        </w:rPr>
      </w:pP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必须承认，申请数和注册数之间的差异可能</w:t>
      </w:r>
      <w:r w:rsidR="00E84340">
        <w:rPr>
          <w:rFonts w:ascii="SimSun" w:hAnsi="SimSun" w:cs="SimSun" w:hint="eastAsia"/>
          <w:sz w:val="21"/>
          <w:szCs w:val="21"/>
          <w:lang w:eastAsia="zh-CN"/>
        </w:rPr>
        <w:t>仅</w:t>
      </w:r>
      <w:r>
        <w:rPr>
          <w:rFonts w:ascii="SimSun" w:hAnsi="SimSun" w:cs="SimSun" w:hint="eastAsia"/>
          <w:sz w:val="21"/>
          <w:szCs w:val="21"/>
          <w:lang w:eastAsia="zh-CN"/>
        </w:rPr>
        <w:t>反映了注册程序中累积的积压，反映了知识产权厅的处理能力</w:t>
      </w:r>
      <w:r w:rsidR="00E84340">
        <w:rPr>
          <w:rFonts w:ascii="SimSun" w:hAnsi="SimSun" w:cs="SimSun" w:hint="eastAsia"/>
          <w:sz w:val="21"/>
          <w:szCs w:val="21"/>
          <w:lang w:eastAsia="zh-CN"/>
        </w:rPr>
        <w:t>。</w:t>
      </w:r>
      <w:r>
        <w:rPr>
          <w:rFonts w:ascii="SimSun" w:hAnsi="SimSun" w:cs="SimSun" w:hint="eastAsia"/>
          <w:sz w:val="21"/>
          <w:szCs w:val="21"/>
          <w:lang w:eastAsia="zh-CN"/>
        </w:rPr>
        <w:t>确实，通过访谈确认，资源限制是很大一部分申请积压的原因。这种积压问题的一个直接后果是实用新型的审期很长。</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原则上，泰国法律规定实用新型申请在</w:t>
      </w:r>
      <w:r>
        <w:rPr>
          <w:rFonts w:ascii="SimSun" w:eastAsia="Times New Roman" w:hAnsi="SimSun"/>
          <w:sz w:val="21"/>
          <w:szCs w:val="21"/>
          <w:lang w:eastAsia="zh-CN"/>
        </w:rPr>
        <w:t>6</w:t>
      </w:r>
      <w:r>
        <w:rPr>
          <w:rFonts w:ascii="SimSun" w:hAnsi="SimSun" w:cs="SimSun" w:hint="eastAsia"/>
          <w:sz w:val="21"/>
          <w:szCs w:val="21"/>
          <w:lang w:eastAsia="zh-CN"/>
        </w:rPr>
        <w:t>个月内处理完毕。但是，实践中，多数申请需要</w:t>
      </w:r>
      <w:r>
        <w:rPr>
          <w:rFonts w:ascii="SimSun" w:eastAsia="Times New Roman" w:hAnsi="SimSun"/>
          <w:sz w:val="21"/>
          <w:szCs w:val="21"/>
          <w:lang w:eastAsia="zh-CN"/>
        </w:rPr>
        <w:t>6</w:t>
      </w:r>
      <w:r>
        <w:rPr>
          <w:rFonts w:ascii="SimSun" w:hAnsi="SimSun" w:cs="SimSun" w:hint="eastAsia"/>
          <w:sz w:val="21"/>
          <w:szCs w:val="21"/>
          <w:lang w:eastAsia="zh-CN"/>
        </w:rPr>
        <w:t>个月以上才能注册</w:t>
      </w:r>
      <w:r w:rsidRPr="00C707F6">
        <w:rPr>
          <w:rFonts w:ascii="SimSun" w:eastAsia="Times New Roman" w:hAnsi="SimSun"/>
          <w:sz w:val="21"/>
          <w:szCs w:val="21"/>
          <w:lang w:eastAsia="zh-CN"/>
        </w:rPr>
        <w:t>(</w:t>
      </w:r>
      <w:r>
        <w:rPr>
          <w:rFonts w:ascii="SimSun" w:hAnsi="SimSun" w:cs="SimSun" w:hint="eastAsia"/>
          <w:sz w:val="21"/>
          <w:szCs w:val="21"/>
          <w:lang w:eastAsia="zh-CN"/>
        </w:rPr>
        <w:t>图表</w:t>
      </w:r>
      <w:r w:rsidRPr="00C707F6">
        <w:rPr>
          <w:rFonts w:ascii="SimSun" w:eastAsia="Times New Roman" w:hAnsi="SimSun"/>
          <w:sz w:val="21"/>
          <w:szCs w:val="21"/>
          <w:lang w:eastAsia="zh-CN"/>
        </w:rPr>
        <w:t>E-7)</w:t>
      </w:r>
      <w:r>
        <w:rPr>
          <w:rFonts w:ascii="SimSun" w:hAnsi="SimSun" w:cs="SimSun" w:hint="eastAsia"/>
          <w:sz w:val="21"/>
          <w:szCs w:val="21"/>
          <w:lang w:eastAsia="zh-CN"/>
        </w:rPr>
        <w:t>。具体而言，在所有已注册实用新型中，约</w:t>
      </w:r>
      <w:r w:rsidRPr="00C707F6">
        <w:rPr>
          <w:rFonts w:ascii="SimSun" w:eastAsia="Times New Roman" w:hAnsi="SimSun"/>
          <w:sz w:val="21"/>
          <w:szCs w:val="21"/>
          <w:lang w:eastAsia="zh-CN"/>
        </w:rPr>
        <w:t>60%</w:t>
      </w:r>
      <w:r>
        <w:rPr>
          <w:rFonts w:ascii="SimSun" w:hAnsi="SimSun" w:cs="SimSun" w:hint="eastAsia"/>
          <w:sz w:val="21"/>
          <w:szCs w:val="21"/>
          <w:lang w:eastAsia="zh-CN"/>
        </w:rPr>
        <w:t>是在一年内处理的，</w:t>
      </w:r>
      <w:r w:rsidRPr="00C707F6">
        <w:rPr>
          <w:rFonts w:ascii="SimSun" w:eastAsia="Times New Roman" w:hAnsi="SimSun"/>
          <w:sz w:val="21"/>
          <w:szCs w:val="21"/>
          <w:lang w:eastAsia="zh-CN"/>
        </w:rPr>
        <w:t>83%</w:t>
      </w:r>
      <w:r>
        <w:rPr>
          <w:rFonts w:ascii="SimSun" w:hAnsi="SimSun" w:cs="SimSun" w:hint="eastAsia"/>
          <w:sz w:val="21"/>
          <w:szCs w:val="21"/>
          <w:lang w:eastAsia="zh-CN"/>
        </w:rPr>
        <w:t>是在两年内处理的；对于</w:t>
      </w:r>
      <w:r w:rsidRPr="00C707F6">
        <w:rPr>
          <w:rFonts w:ascii="SimSun" w:eastAsia="Times New Roman" w:hAnsi="SimSun"/>
          <w:sz w:val="21"/>
          <w:szCs w:val="21"/>
          <w:lang w:eastAsia="zh-CN"/>
        </w:rPr>
        <w:t>17%</w:t>
      </w:r>
      <w:r>
        <w:rPr>
          <w:rFonts w:ascii="SimSun" w:hAnsi="SimSun" w:cs="SimSun" w:hint="eastAsia"/>
          <w:sz w:val="21"/>
          <w:szCs w:val="21"/>
          <w:lang w:eastAsia="zh-CN"/>
        </w:rPr>
        <w:t>的</w:t>
      </w:r>
      <w:r w:rsidR="00E84340">
        <w:rPr>
          <w:rFonts w:ascii="SimSun" w:hAnsi="SimSun" w:cs="SimSun" w:hint="eastAsia"/>
          <w:sz w:val="21"/>
          <w:szCs w:val="21"/>
          <w:lang w:eastAsia="zh-CN"/>
        </w:rPr>
        <w:t>已</w:t>
      </w:r>
      <w:r>
        <w:rPr>
          <w:rFonts w:ascii="SimSun" w:hAnsi="SimSun" w:cs="SimSun" w:hint="eastAsia"/>
          <w:sz w:val="21"/>
          <w:szCs w:val="21"/>
          <w:lang w:eastAsia="zh-CN"/>
        </w:rPr>
        <w:t>注册实用新型，处理用时超过三年。</w:t>
      </w:r>
      <w:r w:rsidR="00E84340">
        <w:rPr>
          <w:rFonts w:ascii="SimSun" w:hAnsi="SimSun" w:cs="SimSun" w:hint="eastAsia"/>
          <w:sz w:val="21"/>
          <w:szCs w:val="21"/>
          <w:lang w:eastAsia="zh-CN"/>
        </w:rPr>
        <w:t>轶事</w:t>
      </w:r>
      <w:r>
        <w:rPr>
          <w:rFonts w:ascii="SimSun" w:hAnsi="SimSun" w:cs="SimSun" w:hint="eastAsia"/>
          <w:sz w:val="21"/>
          <w:szCs w:val="21"/>
          <w:lang w:eastAsia="zh-CN"/>
        </w:rPr>
        <w:t>证据显示，现在的审期</w:t>
      </w:r>
      <w:r w:rsidR="00E84340">
        <w:rPr>
          <w:rFonts w:ascii="SimSun" w:hAnsi="SimSun" w:cs="SimSun" w:hint="eastAsia"/>
          <w:sz w:val="21"/>
          <w:szCs w:val="21"/>
          <w:lang w:eastAsia="zh-CN"/>
        </w:rPr>
        <w:t>甚至</w:t>
      </w:r>
      <w:r>
        <w:rPr>
          <w:rFonts w:ascii="SimSun" w:hAnsi="SimSun" w:cs="SimSun" w:hint="eastAsia"/>
          <w:sz w:val="21"/>
          <w:szCs w:val="21"/>
          <w:lang w:eastAsia="zh-CN"/>
        </w:rPr>
        <w:t>更长，尽管短于繁忙的</w:t>
      </w:r>
      <w:r>
        <w:rPr>
          <w:rFonts w:ascii="SimSun" w:eastAsia="Times New Roman" w:hAnsi="SimSun"/>
          <w:sz w:val="21"/>
          <w:szCs w:val="21"/>
          <w:lang w:eastAsia="zh-CN"/>
        </w:rPr>
        <w:t>2002-2004</w:t>
      </w:r>
      <w:r>
        <w:rPr>
          <w:rFonts w:ascii="SimSun" w:hAnsi="SimSun" w:cs="SimSun" w:hint="eastAsia"/>
          <w:sz w:val="21"/>
          <w:szCs w:val="21"/>
          <w:lang w:eastAsia="zh-CN"/>
        </w:rPr>
        <w:t>年期间。</w:t>
      </w:r>
    </w:p>
    <w:p w:rsidR="00E463C3" w:rsidRDefault="00E463C3" w:rsidP="00956465">
      <w:pPr>
        <w:spacing w:after="200" w:line="276" w:lineRule="auto"/>
        <w:ind w:left="0"/>
        <w:rPr>
          <w:lang w:eastAsia="zh-CN"/>
        </w:rPr>
      </w:pPr>
      <w:r>
        <w:rPr>
          <w:lang w:eastAsia="zh-CN"/>
        </w:rPr>
        <w:br w:type="page"/>
      </w:r>
    </w:p>
    <w:p w:rsidR="00E463C3" w:rsidRPr="00B20E50" w:rsidRDefault="00C15FE1" w:rsidP="00B20E50">
      <w:pPr>
        <w:pStyle w:val="captionnotes"/>
        <w:spacing w:beforeLines="100" w:before="240"/>
        <w:rPr>
          <w:rFonts w:ascii="KaiTi" w:eastAsia="KaiTi" w:hAnsi="KaiTi"/>
          <w:b/>
          <w:sz w:val="18"/>
          <w:szCs w:val="18"/>
          <w:lang w:eastAsia="zh-CN"/>
        </w:rPr>
      </w:pPr>
      <w:bookmarkStart w:id="11" w:name="_Ref368395578"/>
      <w:r>
        <w:rPr>
          <w:noProof/>
        </w:rPr>
        <w:lastRenderedPageBreak/>
        <w:drawing>
          <wp:anchor distT="0" distB="0" distL="114300" distR="114300" simplePos="0" relativeHeight="251667456" behindDoc="0" locked="0" layoutInCell="1" allowOverlap="1" wp14:anchorId="7D426AAF" wp14:editId="7803BCAC">
            <wp:simplePos x="0" y="0"/>
            <wp:positionH relativeFrom="column">
              <wp:posOffset>1905</wp:posOffset>
            </wp:positionH>
            <wp:positionV relativeFrom="paragraph">
              <wp:posOffset>224790</wp:posOffset>
            </wp:positionV>
            <wp:extent cx="5137150" cy="3207385"/>
            <wp:effectExtent l="0" t="0" r="6350" b="0"/>
            <wp:wrapTopAndBottom/>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7150" cy="320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50" w:rsidRPr="00B20E50">
        <w:rPr>
          <w:rFonts w:ascii="KaiTi" w:eastAsia="KaiTi" w:hAnsi="KaiTi"/>
          <w:b/>
          <w:sz w:val="18"/>
          <w:szCs w:val="18"/>
          <w:lang w:eastAsia="zh-CN"/>
        </w:rPr>
        <w:t>图表</w:t>
      </w:r>
      <w:r w:rsidR="00E463C3" w:rsidRPr="00B20E50">
        <w:rPr>
          <w:rFonts w:ascii="KaiTi" w:eastAsia="KaiTi" w:hAnsi="KaiTi"/>
          <w:b/>
          <w:sz w:val="18"/>
          <w:szCs w:val="18"/>
          <w:lang w:eastAsia="zh-CN"/>
        </w:rPr>
        <w:t xml:space="preserve">E - </w:t>
      </w:r>
      <w:r w:rsidR="00776E81" w:rsidRPr="00B20E50">
        <w:rPr>
          <w:rFonts w:ascii="KaiTi" w:eastAsia="KaiTi" w:hAnsi="KaiTi"/>
          <w:b/>
          <w:sz w:val="18"/>
          <w:szCs w:val="18"/>
          <w:lang w:eastAsia="zh-CN"/>
        </w:rPr>
        <w:fldChar w:fldCharType="begin"/>
      </w:r>
      <w:r w:rsidR="00776E81" w:rsidRPr="00B20E50">
        <w:rPr>
          <w:rFonts w:ascii="KaiTi" w:eastAsia="KaiTi" w:hAnsi="KaiTi"/>
          <w:b/>
          <w:sz w:val="18"/>
          <w:szCs w:val="18"/>
          <w:lang w:eastAsia="zh-CN"/>
        </w:rPr>
        <w:instrText xml:space="preserve"> SEQ Figure_E_- \* ARABIC </w:instrText>
      </w:r>
      <w:r w:rsidR="00776E81" w:rsidRPr="00B20E50">
        <w:rPr>
          <w:rFonts w:ascii="KaiTi" w:eastAsia="KaiTi" w:hAnsi="KaiTi"/>
          <w:b/>
          <w:sz w:val="18"/>
          <w:szCs w:val="18"/>
          <w:lang w:eastAsia="zh-CN"/>
        </w:rPr>
        <w:fldChar w:fldCharType="separate"/>
      </w:r>
      <w:r w:rsidR="003C3DC0">
        <w:rPr>
          <w:rFonts w:ascii="KaiTi" w:eastAsia="KaiTi" w:hAnsi="KaiTi"/>
          <w:b/>
          <w:noProof/>
          <w:sz w:val="18"/>
          <w:szCs w:val="18"/>
          <w:lang w:eastAsia="zh-CN"/>
        </w:rPr>
        <w:t>7</w:t>
      </w:r>
      <w:r w:rsidR="00776E81" w:rsidRPr="00B20E50">
        <w:rPr>
          <w:rFonts w:ascii="KaiTi" w:eastAsia="KaiTi" w:hAnsi="KaiTi"/>
          <w:b/>
          <w:sz w:val="18"/>
          <w:szCs w:val="18"/>
          <w:lang w:eastAsia="zh-CN"/>
        </w:rPr>
        <w:fldChar w:fldCharType="end"/>
      </w:r>
      <w:bookmarkEnd w:id="11"/>
      <w:r w:rsidR="00B20E50" w:rsidRPr="00B20E50">
        <w:rPr>
          <w:rFonts w:ascii="KaiTi" w:eastAsia="KaiTi" w:hAnsi="KaiTi" w:hint="eastAsia"/>
          <w:b/>
          <w:sz w:val="18"/>
          <w:szCs w:val="18"/>
          <w:lang w:eastAsia="zh-CN"/>
        </w:rPr>
        <w:t>：注册延时</w:t>
      </w:r>
    </w:p>
    <w:p w:rsidR="00E463C3" w:rsidRPr="00B20E50" w:rsidRDefault="00B20E50" w:rsidP="00956465">
      <w:pPr>
        <w:pStyle w:val="captionnotes"/>
        <w:rPr>
          <w:rFonts w:ascii="KaiTi" w:eastAsia="KaiTi" w:hAnsi="KaiTi"/>
          <w:lang w:eastAsia="zh-CN"/>
        </w:rPr>
      </w:pPr>
      <w:r w:rsidRPr="00B20E50">
        <w:rPr>
          <w:rFonts w:ascii="KaiTi" w:eastAsia="KaiTi" w:hAnsi="KaiTi" w:hint="eastAsia"/>
          <w:lang w:eastAsia="zh-CN"/>
        </w:rPr>
        <w:t>来源：自行统计，基于知识产权厅数据。</w:t>
      </w:r>
    </w:p>
    <w:p w:rsidR="00E463C3" w:rsidRDefault="00E463C3" w:rsidP="00956465">
      <w:pPr>
        <w:ind w:left="0"/>
        <w:rPr>
          <w:lang w:eastAsia="zh-CN"/>
        </w:rPr>
      </w:pPr>
    </w:p>
    <w:p w:rsidR="00C37494" w:rsidRDefault="00C37494" w:rsidP="00C707F6">
      <w:pPr>
        <w:spacing w:line="340" w:lineRule="atLeast"/>
        <w:ind w:left="0"/>
        <w:jc w:val="both"/>
        <w:rPr>
          <w:rFonts w:ascii="SimSun" w:hAnsi="SimSun" w:cs="SimSun"/>
          <w:sz w:val="21"/>
          <w:szCs w:val="21"/>
          <w:lang w:eastAsia="zh-CN"/>
        </w:rPr>
      </w:pPr>
    </w:p>
    <w:p w:rsidR="00C37494" w:rsidRPr="00C37494" w:rsidRDefault="00C37494" w:rsidP="00C37494">
      <w:pPr>
        <w:pStyle w:val="Heading2"/>
        <w:spacing w:before="240" w:after="240" w:line="340" w:lineRule="atLeast"/>
        <w:ind w:left="0"/>
        <w:rPr>
          <w:rFonts w:ascii="KaiTi" w:eastAsia="KaiTi" w:hAnsi="KaiTi" w:cs="SimSun"/>
          <w:i/>
          <w:sz w:val="21"/>
          <w:szCs w:val="24"/>
          <w:lang w:eastAsia="zh-CN"/>
        </w:rPr>
      </w:pPr>
      <w:r w:rsidRPr="00C37494">
        <w:rPr>
          <w:rFonts w:ascii="KaiTi" w:eastAsia="KaiTi" w:hAnsi="KaiTi" w:cs="SimSun" w:hint="eastAsia"/>
          <w:i/>
          <w:sz w:val="21"/>
          <w:szCs w:val="24"/>
          <w:lang w:eastAsia="zh-CN"/>
        </w:rPr>
        <w:t>结束语</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本研究以一个新的单位记录数据集为基础，描述了泰国实用新型自</w:t>
      </w:r>
      <w:r w:rsidRPr="00C707F6">
        <w:rPr>
          <w:rFonts w:ascii="SimSun" w:eastAsia="Times New Roman" w:hAnsi="SimSun"/>
          <w:sz w:val="21"/>
          <w:szCs w:val="21"/>
          <w:lang w:eastAsia="zh-CN"/>
        </w:rPr>
        <w:t>1999</w:t>
      </w:r>
      <w:r>
        <w:rPr>
          <w:rFonts w:ascii="SimSun" w:hAnsi="SimSun" w:cs="SimSun" w:hint="eastAsia"/>
          <w:sz w:val="21"/>
          <w:szCs w:val="21"/>
          <w:lang w:eastAsia="zh-CN"/>
        </w:rPr>
        <w:t>年实施以来的主要使用趋势。</w:t>
      </w:r>
    </w:p>
    <w:p w:rsidR="00E463C3" w:rsidRPr="00C707F6" w:rsidRDefault="00E463C3" w:rsidP="00C707F6">
      <w:pPr>
        <w:spacing w:line="340" w:lineRule="atLeast"/>
        <w:ind w:left="0"/>
        <w:jc w:val="both"/>
        <w:rPr>
          <w:rFonts w:ascii="SimSun" w:eastAsia="Times New Roman" w:hAnsi="SimSun"/>
          <w:sz w:val="21"/>
          <w:szCs w:val="21"/>
          <w:lang w:eastAsia="zh-CN"/>
        </w:rPr>
      </w:pPr>
      <w:r>
        <w:rPr>
          <w:rFonts w:ascii="SimSun" w:hAnsi="SimSun" w:cs="SimSun" w:hint="eastAsia"/>
          <w:sz w:val="21"/>
          <w:szCs w:val="21"/>
          <w:lang w:eastAsia="zh-CN"/>
        </w:rPr>
        <w:t>评价实用新型保护的实施</w:t>
      </w:r>
      <w:r w:rsidR="00E84340">
        <w:rPr>
          <w:rFonts w:ascii="SimSun" w:hAnsi="SimSun" w:cs="SimSun" w:hint="eastAsia"/>
          <w:sz w:val="21"/>
          <w:szCs w:val="21"/>
          <w:lang w:eastAsia="zh-CN"/>
        </w:rPr>
        <w:t>——或者任何知识产权政策变化——</w:t>
      </w:r>
      <w:r>
        <w:rPr>
          <w:rFonts w:ascii="SimSun" w:hAnsi="SimSun" w:cs="SimSun" w:hint="eastAsia"/>
          <w:sz w:val="21"/>
          <w:szCs w:val="21"/>
          <w:lang w:eastAsia="zh-CN"/>
        </w:rPr>
        <w:t>是否成功，不是容易的工作。尽管未提供肯定的答案，但本文中所概括的描述性证据为泰国采用实用新型制度提供了一个鼓舞人心的视</w:t>
      </w:r>
      <w:r w:rsidR="00E84340">
        <w:rPr>
          <w:rFonts w:ascii="SimSun" w:hAnsi="SimSun" w:cs="SimSun" w:hint="eastAsia"/>
          <w:sz w:val="21"/>
          <w:szCs w:val="21"/>
          <w:lang w:eastAsia="zh-CN"/>
        </w:rPr>
        <w:t>角——</w:t>
      </w:r>
      <w:r>
        <w:rPr>
          <w:rFonts w:ascii="SimSun" w:hAnsi="SimSun" w:cs="SimSun" w:hint="eastAsia"/>
          <w:sz w:val="21"/>
          <w:szCs w:val="21"/>
          <w:lang w:eastAsia="zh-CN"/>
        </w:rPr>
        <w:t>考虑到其</w:t>
      </w:r>
      <w:r w:rsidR="00E84340">
        <w:rPr>
          <w:rFonts w:ascii="SimSun" w:hAnsi="SimSun" w:cs="SimSun" w:hint="eastAsia"/>
          <w:sz w:val="21"/>
          <w:szCs w:val="21"/>
          <w:lang w:eastAsia="zh-CN"/>
        </w:rPr>
        <w:t>初衷</w:t>
      </w:r>
      <w:r>
        <w:rPr>
          <w:rFonts w:ascii="SimSun" w:hAnsi="SimSun" w:cs="SimSun" w:hint="eastAsia"/>
          <w:sz w:val="21"/>
          <w:szCs w:val="21"/>
          <w:lang w:eastAsia="zh-CN"/>
        </w:rPr>
        <w:t>，尤为如此。它还指出了决策人面对的几项关切。</w:t>
      </w:r>
    </w:p>
    <w:p w:rsidR="00E463C3" w:rsidRDefault="00E463C3" w:rsidP="00210A5C">
      <w:pPr>
        <w:spacing w:line="340" w:lineRule="atLeast"/>
        <w:ind w:left="0"/>
        <w:jc w:val="both"/>
        <w:rPr>
          <w:lang w:eastAsia="zh-CN"/>
        </w:rPr>
      </w:pPr>
      <w:r>
        <w:rPr>
          <w:rFonts w:ascii="SimSun" w:hAnsi="SimSun" w:cs="SimSun" w:hint="eastAsia"/>
          <w:sz w:val="21"/>
          <w:szCs w:val="21"/>
          <w:lang w:eastAsia="zh-CN"/>
        </w:rPr>
        <w:t>本研究中提出的数据和分析完全聚焦于知识产权制度。为了评估实用新型保护对更广泛的创新和经济表现的影响，必须将实用新型数据与泰国创新者、尤其是泰国企业的效绩数据结合起来。这项工作正在同一个</w:t>
      </w:r>
      <w:r>
        <w:rPr>
          <w:rFonts w:ascii="SimSun" w:eastAsia="Times New Roman" w:hAnsi="SimSun"/>
          <w:sz w:val="21"/>
          <w:szCs w:val="21"/>
          <w:lang w:eastAsia="zh-CN"/>
        </w:rPr>
        <w:t>CDIP</w:t>
      </w:r>
      <w:r>
        <w:rPr>
          <w:rFonts w:ascii="SimSun" w:hAnsi="SimSun" w:cs="SimSun" w:hint="eastAsia"/>
          <w:sz w:val="21"/>
          <w:szCs w:val="21"/>
          <w:lang w:eastAsia="zh-CN"/>
        </w:rPr>
        <w:t>项目</w:t>
      </w:r>
      <w:r w:rsidRPr="00C707F6">
        <w:rPr>
          <w:rFonts w:ascii="SimSun" w:eastAsia="Times New Roman" w:hAnsi="SimSun"/>
          <w:sz w:val="21"/>
          <w:szCs w:val="21"/>
          <w:lang w:eastAsia="zh-CN"/>
        </w:rPr>
        <w:t>(CDIP/5/7)</w:t>
      </w:r>
      <w:r>
        <w:rPr>
          <w:rFonts w:ascii="SimSun" w:hAnsi="SimSun" w:cs="SimSun" w:hint="eastAsia"/>
          <w:sz w:val="21"/>
          <w:szCs w:val="21"/>
          <w:lang w:eastAsia="zh-CN"/>
        </w:rPr>
        <w:t>下的一个补充性调查中进行，调查结果将另行报告。</w:t>
      </w:r>
    </w:p>
    <w:p w:rsidR="00E463C3" w:rsidRDefault="00E463C3" w:rsidP="00956465">
      <w:pPr>
        <w:ind w:left="0"/>
        <w:rPr>
          <w:lang w:eastAsia="zh-CN"/>
        </w:rPr>
      </w:pPr>
    </w:p>
    <w:p w:rsidR="00E463C3" w:rsidRPr="00956465" w:rsidRDefault="00E463C3" w:rsidP="00956465">
      <w:pPr>
        <w:pStyle w:val="Text"/>
        <w:rPr>
          <w:rFonts w:ascii="SimSun" w:eastAsia="Times New Roman" w:hAnsi="SimSun"/>
          <w:sz w:val="21"/>
          <w:szCs w:val="21"/>
          <w:lang w:eastAsia="zh-CN"/>
        </w:rPr>
      </w:pPr>
    </w:p>
    <w:p w:rsidR="00E463C3" w:rsidRPr="00C046ED" w:rsidRDefault="00E463C3" w:rsidP="00956465">
      <w:pPr>
        <w:spacing w:line="340" w:lineRule="atLeast"/>
        <w:ind w:leftChars="2580" w:left="5160"/>
        <w:textAlignment w:val="bottom"/>
        <w:rPr>
          <w:rFonts w:ascii="KaiTi" w:eastAsia="KaiTi" w:hAnsi="KaiTi"/>
          <w:sz w:val="21"/>
          <w:szCs w:val="21"/>
          <w:lang w:eastAsia="zh-CN"/>
        </w:rPr>
      </w:pPr>
      <w:r w:rsidRPr="00C046ED">
        <w:rPr>
          <w:rFonts w:ascii="KaiTi" w:eastAsia="KaiTi" w:hAnsi="KaiTi"/>
          <w:sz w:val="21"/>
          <w:szCs w:val="21"/>
          <w:lang w:eastAsia="zh-CN"/>
        </w:rPr>
        <w:t>[</w:t>
      </w:r>
      <w:r w:rsidRPr="00C046ED">
        <w:rPr>
          <w:rFonts w:ascii="KaiTi" w:eastAsia="KaiTi" w:hAnsi="KaiTi" w:hint="eastAsia"/>
          <w:sz w:val="21"/>
          <w:szCs w:val="21"/>
          <w:lang w:eastAsia="zh-CN"/>
        </w:rPr>
        <w:t>附件和文件完</w:t>
      </w:r>
      <w:r w:rsidRPr="00C046ED">
        <w:rPr>
          <w:rFonts w:ascii="KaiTi" w:eastAsia="KaiTi" w:hAnsi="KaiTi"/>
          <w:sz w:val="21"/>
          <w:szCs w:val="21"/>
          <w:lang w:eastAsia="zh-CN"/>
        </w:rPr>
        <w:t>]</w:t>
      </w:r>
    </w:p>
    <w:sectPr w:rsidR="00E463C3" w:rsidRPr="00C046ED" w:rsidSect="00776E81">
      <w:headerReference w:type="default" r:id="rId19"/>
      <w:footerReference w:type="default" r:id="rId20"/>
      <w:headerReference w:type="first" r:id="rId21"/>
      <w:footerReference w:type="first" r:id="rId22"/>
      <w:pgSz w:w="11907" w:h="16840" w:code="9"/>
      <w:pgMar w:top="567" w:right="1134" w:bottom="1418" w:left="1418" w:header="510"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1A" w:rsidRDefault="003D0A1A">
      <w:r>
        <w:separator/>
      </w:r>
    </w:p>
  </w:endnote>
  <w:endnote w:type="continuationSeparator" w:id="0">
    <w:p w:rsidR="003D0A1A" w:rsidRDefault="003D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1A" w:rsidRDefault="003D0A1A">
    <w:pPr>
      <w:pStyle w:val="Footer"/>
      <w:jc w:val="right"/>
    </w:pPr>
  </w:p>
  <w:p w:rsidR="003D0A1A" w:rsidRDefault="003D0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1" w:rsidRPr="00C15FE1" w:rsidRDefault="00C15FE1" w:rsidP="00C15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1" w:rsidRDefault="00C1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1A" w:rsidRDefault="003D0A1A" w:rsidP="00C046ED">
      <w:pPr>
        <w:ind w:left="0"/>
      </w:pPr>
      <w:r>
        <w:separator/>
      </w:r>
    </w:p>
  </w:footnote>
  <w:footnote w:type="continuationSeparator" w:id="0">
    <w:p w:rsidR="003D0A1A" w:rsidRDefault="003D0A1A">
      <w:r>
        <w:continuationSeparator/>
      </w:r>
    </w:p>
  </w:footnote>
  <w:footnote w:id="1">
    <w:p w:rsidR="003D0A1A" w:rsidRDefault="003D0A1A" w:rsidP="00776E81">
      <w:pPr>
        <w:pStyle w:val="FootnoteText"/>
        <w:spacing w:line="240" w:lineRule="auto"/>
        <w:ind w:left="0"/>
        <w:rPr>
          <w:lang w:eastAsia="zh-CN"/>
        </w:rPr>
      </w:pPr>
      <w:r>
        <w:rPr>
          <w:rStyle w:val="FootnoteReference"/>
        </w:rPr>
        <w:footnoteRef/>
      </w:r>
      <w:r>
        <w:rPr>
          <w:lang w:eastAsia="zh-CN"/>
        </w:rPr>
        <w:t xml:space="preserve"> </w:t>
      </w:r>
      <w:r w:rsidRPr="008F3D13">
        <w:rPr>
          <w:lang w:eastAsia="zh-CN"/>
        </w:rPr>
        <w:tab/>
      </w:r>
      <w:r w:rsidRPr="00C046ED">
        <w:rPr>
          <w:rFonts w:ascii="SimSun" w:hAnsi="SimSun" w:cs="SimSun" w:hint="eastAsia"/>
          <w:lang w:eastAsia="zh-CN"/>
        </w:rPr>
        <w:t>本研究中所表达的观点</w:t>
      </w:r>
      <w:r>
        <w:rPr>
          <w:rFonts w:ascii="SimSun" w:hAnsi="SimSun" w:cs="SimSun" w:hint="eastAsia"/>
          <w:lang w:eastAsia="zh-CN"/>
        </w:rPr>
        <w:t>是</w:t>
      </w:r>
      <w:r w:rsidRPr="00C046ED">
        <w:rPr>
          <w:rFonts w:ascii="SimSun" w:hAnsi="SimSun" w:cs="SimSun" w:hint="eastAsia"/>
          <w:lang w:eastAsia="zh-CN"/>
        </w:rPr>
        <w:t>作者的观点，不一定</w:t>
      </w:r>
      <w:r>
        <w:rPr>
          <w:rFonts w:ascii="SimSun" w:hAnsi="SimSun" w:cs="SimSun" w:hint="eastAsia"/>
          <w:lang w:eastAsia="zh-CN"/>
        </w:rPr>
        <w:t>反映</w:t>
      </w:r>
      <w:r>
        <w:rPr>
          <w:rFonts w:ascii="SimSun" w:eastAsia="Times New Roman" w:hAnsi="SimSun" w:cs="SimSun"/>
          <w:lang w:eastAsia="zh-CN"/>
        </w:rPr>
        <w:t>WIPO</w:t>
      </w:r>
      <w:r>
        <w:rPr>
          <w:rFonts w:ascii="SimSun" w:hAnsi="SimSun" w:cs="SimSun" w:hint="eastAsia"/>
          <w:lang w:eastAsia="zh-CN"/>
        </w:rPr>
        <w:t>秘书处或本组织任何</w:t>
      </w:r>
      <w:r w:rsidRPr="00C046ED">
        <w:rPr>
          <w:rFonts w:ascii="SimSun" w:hAnsi="SimSun" w:cs="SimSun" w:hint="eastAsia"/>
          <w:lang w:eastAsia="zh-CN"/>
        </w:rPr>
        <w:t>成员国</w:t>
      </w:r>
      <w:r>
        <w:rPr>
          <w:rFonts w:ascii="SimSun" w:hAnsi="SimSun" w:cs="SimSun" w:hint="eastAsia"/>
          <w:lang w:eastAsia="zh-CN"/>
        </w:rPr>
        <w:t>的</w:t>
      </w:r>
      <w:r w:rsidRPr="00C046ED">
        <w:rPr>
          <w:rFonts w:ascii="SimSun" w:hAnsi="SimSun" w:cs="SimSun" w:hint="eastAsia"/>
          <w:lang w:eastAsia="zh-CN"/>
        </w:rPr>
        <w:t>观点。</w:t>
      </w:r>
    </w:p>
  </w:footnote>
  <w:footnote w:id="2">
    <w:p w:rsidR="003D0A1A" w:rsidRDefault="003D0A1A" w:rsidP="00E84340">
      <w:pPr>
        <w:pStyle w:val="FootnoteText"/>
        <w:spacing w:line="240" w:lineRule="auto"/>
        <w:ind w:left="0"/>
        <w:rPr>
          <w:lang w:eastAsia="zh-CN"/>
        </w:rPr>
      </w:pPr>
      <w:r w:rsidRPr="00C707F6">
        <w:rPr>
          <w:rStyle w:val="FootnoteReference"/>
          <w:rFonts w:ascii="SimSun" w:eastAsia="Times New Roman" w:hAnsi="SimSun"/>
        </w:rPr>
        <w:footnoteRef/>
      </w:r>
      <w:r w:rsidRPr="00C707F6">
        <w:rPr>
          <w:rFonts w:ascii="SimSun" w:eastAsia="Times New Roman" w:hAnsi="SimSun"/>
          <w:lang w:eastAsia="zh-CN"/>
        </w:rPr>
        <w:t xml:space="preserve"> </w:t>
      </w:r>
      <w:r w:rsidRPr="00C707F6">
        <w:rPr>
          <w:rFonts w:ascii="SimSun" w:eastAsia="Times New Roman" w:hAnsi="SimSun"/>
          <w:lang w:eastAsia="zh-CN"/>
        </w:rPr>
        <w:tab/>
      </w:r>
      <w:r w:rsidRPr="00C707F6">
        <w:rPr>
          <w:rFonts w:ascii="SimSun" w:hAnsi="SimSun" w:cs="SimSun" w:hint="eastAsia"/>
          <w:lang w:eastAsia="zh-CN"/>
        </w:rPr>
        <w:t>本分析未考虑商标申请。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1A" w:rsidRPr="00C232AB" w:rsidRDefault="003D0A1A" w:rsidP="00956465">
    <w:pPr>
      <w:pStyle w:val="Header"/>
      <w:jc w:val="right"/>
      <w:rPr>
        <w:rFonts w:ascii="SimSun" w:eastAsia="Times New Roman" w:hAnsi="SimSun"/>
        <w:sz w:val="21"/>
        <w:szCs w:val="21"/>
        <w:lang w:val="fr-CH"/>
      </w:rPr>
    </w:pPr>
    <w:r w:rsidRPr="00C232AB">
      <w:rPr>
        <w:rFonts w:ascii="SimSun" w:eastAsia="Times New Roman" w:hAnsi="SimSun"/>
        <w:sz w:val="21"/>
        <w:szCs w:val="21"/>
        <w:lang w:val="fr-CH"/>
      </w:rPr>
      <w:t>CDIP/12/INF/6</w:t>
    </w:r>
  </w:p>
  <w:p w:rsidR="003D0A1A" w:rsidRDefault="003D0A1A" w:rsidP="00C232AB">
    <w:pPr>
      <w:pStyle w:val="Header"/>
      <w:wordWrap w:val="0"/>
      <w:jc w:val="right"/>
    </w:pPr>
    <w:r>
      <w:rPr>
        <w:rFonts w:ascii="SimSun" w:hAnsi="SimSun" w:cs="SimSun" w:hint="eastAsia"/>
        <w:sz w:val="21"/>
        <w:szCs w:val="21"/>
        <w:lang w:eastAsia="zh-CN"/>
      </w:rPr>
      <w:t>附</w:t>
    </w:r>
    <w:r>
      <w:rPr>
        <w:rFonts w:ascii="SimSun" w:eastAsia="Times New Roman" w:hAnsi="SimSun"/>
        <w:sz w:val="21"/>
        <w:szCs w:val="21"/>
        <w:lang w:eastAsia="zh-CN"/>
      </w:rPr>
      <w:t xml:space="preserve">  </w:t>
    </w:r>
    <w:r>
      <w:rPr>
        <w:rFonts w:ascii="SimSun" w:hAnsi="SimSun" w:cs="SimSun" w:hint="eastAsia"/>
        <w:sz w:val="21"/>
        <w:szCs w:val="21"/>
        <w:lang w:eastAsia="zh-CN"/>
      </w:rPr>
      <w:t>件</w:t>
    </w:r>
  </w:p>
  <w:p w:rsidR="003D0A1A" w:rsidRPr="00B144F5" w:rsidRDefault="003D0A1A" w:rsidP="00956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1A" w:rsidRPr="00512FFD" w:rsidRDefault="003D0A1A" w:rsidP="00512FFD">
    <w:pPr>
      <w:pStyle w:val="Apendix"/>
      <w:jc w:val="right"/>
      <w:rPr>
        <w:rFonts w:ascii="SimSun" w:eastAsia="Times New Roman" w:hAnsi="SimSun"/>
        <w:b w:val="0"/>
        <w:sz w:val="21"/>
        <w:szCs w:val="21"/>
      </w:rPr>
    </w:pPr>
    <w:r w:rsidRPr="00512FFD">
      <w:rPr>
        <w:rFonts w:ascii="SimSun" w:eastAsia="Times New Roman" w:hAnsi="SimSun"/>
        <w:b w:val="0"/>
        <w:sz w:val="21"/>
        <w:szCs w:val="21"/>
      </w:rPr>
      <w:t>CDIP/12/INF/</w:t>
    </w:r>
    <w:r>
      <w:rPr>
        <w:rFonts w:asciiTheme="minorEastAsia" w:eastAsiaTheme="minorEastAsia" w:hAnsiTheme="minorEastAsia" w:hint="eastAsia"/>
        <w:b w:val="0"/>
        <w:sz w:val="21"/>
        <w:szCs w:val="21"/>
        <w:lang w:eastAsia="zh-CN"/>
      </w:rPr>
      <w:t>6</w:t>
    </w:r>
  </w:p>
  <w:p w:rsidR="003D0A1A" w:rsidRDefault="003D0A1A" w:rsidP="00C232AB">
    <w:pPr>
      <w:pStyle w:val="Apendix"/>
      <w:wordWrap w:val="0"/>
      <w:jc w:val="right"/>
    </w:pPr>
    <w:r w:rsidRPr="00512FFD">
      <w:rPr>
        <w:rFonts w:ascii="SimSun" w:hAnsi="SimSun" w:cs="SimSun" w:hint="eastAsia"/>
        <w:b w:val="0"/>
        <w:sz w:val="21"/>
        <w:szCs w:val="21"/>
        <w:lang w:eastAsia="zh-CN"/>
      </w:rPr>
      <w:t>附件第</w:t>
    </w:r>
    <w:r>
      <w:rPr>
        <w:rFonts w:ascii="SimSun" w:eastAsia="Times New Roman" w:hAnsi="SimSun"/>
        <w:b w:val="0"/>
        <w:sz w:val="21"/>
        <w:szCs w:val="21"/>
        <w:lang w:eastAsia="zh-CN"/>
      </w:rPr>
      <w:t xml:space="preserve"> </w:t>
    </w:r>
    <w:r w:rsidRPr="00776E81">
      <w:rPr>
        <w:rFonts w:ascii="SimSun" w:eastAsia="Times New Roman" w:hAnsi="SimSun"/>
        <w:b w:val="0"/>
        <w:sz w:val="21"/>
        <w:szCs w:val="21"/>
        <w:lang w:eastAsia="zh-CN"/>
      </w:rPr>
      <w:fldChar w:fldCharType="begin"/>
    </w:r>
    <w:r w:rsidRPr="00776E81">
      <w:rPr>
        <w:rFonts w:ascii="SimSun" w:eastAsia="Times New Roman" w:hAnsi="SimSun"/>
        <w:b w:val="0"/>
        <w:sz w:val="21"/>
        <w:szCs w:val="21"/>
        <w:lang w:eastAsia="zh-CN"/>
      </w:rPr>
      <w:instrText>PAGE   \* MERGEFORMAT</w:instrText>
    </w:r>
    <w:r w:rsidRPr="00776E81">
      <w:rPr>
        <w:rFonts w:ascii="SimSun" w:eastAsia="Times New Roman" w:hAnsi="SimSun"/>
        <w:b w:val="0"/>
        <w:sz w:val="21"/>
        <w:szCs w:val="21"/>
        <w:lang w:eastAsia="zh-CN"/>
      </w:rPr>
      <w:fldChar w:fldCharType="separate"/>
    </w:r>
    <w:r w:rsidR="003C3DC0" w:rsidRPr="003C3DC0">
      <w:rPr>
        <w:rFonts w:ascii="SimSun" w:eastAsia="Times New Roman" w:hAnsi="SimSun"/>
        <w:b w:val="0"/>
        <w:noProof/>
        <w:sz w:val="21"/>
        <w:szCs w:val="21"/>
        <w:lang w:val="zh-CN" w:eastAsia="zh-CN"/>
      </w:rPr>
      <w:t>9</w:t>
    </w:r>
    <w:r w:rsidRPr="00776E81">
      <w:rPr>
        <w:rFonts w:ascii="SimSun" w:eastAsia="Times New Roman" w:hAnsi="SimSun"/>
        <w:b w:val="0"/>
        <w:sz w:val="21"/>
        <w:szCs w:val="21"/>
        <w:lang w:eastAsia="zh-CN"/>
      </w:rPr>
      <w:fldChar w:fldCharType="end"/>
    </w:r>
    <w:r>
      <w:rPr>
        <w:rFonts w:ascii="SimSun" w:eastAsia="Times New Roman" w:hAnsi="SimSun"/>
        <w:b w:val="0"/>
        <w:sz w:val="21"/>
        <w:szCs w:val="21"/>
        <w:lang w:eastAsia="zh-CN"/>
      </w:rPr>
      <w:t xml:space="preserve"> </w:t>
    </w:r>
    <w:r w:rsidRPr="00512FFD">
      <w:rPr>
        <w:rFonts w:ascii="SimSun" w:hAnsi="SimSun" w:cs="SimSun" w:hint="eastAsia"/>
        <w:b w:val="0"/>
        <w:sz w:val="21"/>
        <w:szCs w:val="21"/>
        <w:lang w:eastAsia="zh-CN"/>
      </w:rPr>
      <w:t>页</w:t>
    </w:r>
  </w:p>
  <w:p w:rsidR="003D0A1A" w:rsidRDefault="003D0A1A" w:rsidP="00512FFD">
    <w:pPr>
      <w:pStyle w:val="Apendix"/>
      <w:jc w:val="right"/>
      <w:rPr>
        <w:lang w:eastAsia="zh-CN"/>
      </w:rPr>
    </w:pPr>
  </w:p>
  <w:p w:rsidR="003D0A1A" w:rsidRPr="00512FFD" w:rsidRDefault="003D0A1A" w:rsidP="00512FFD">
    <w:pPr>
      <w:pStyle w:val="Header"/>
      <w:spacing w:line="240" w:lineRule="auto"/>
      <w:jc w:val="right"/>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1A" w:rsidRPr="00C232AB" w:rsidRDefault="003D0A1A" w:rsidP="00776E81">
    <w:pPr>
      <w:pStyle w:val="Header"/>
      <w:spacing w:after="0" w:line="240" w:lineRule="auto"/>
      <w:ind w:left="0"/>
      <w:jc w:val="right"/>
      <w:rPr>
        <w:rFonts w:ascii="SimSun" w:eastAsia="Times New Roman" w:hAnsi="SimSun"/>
        <w:sz w:val="21"/>
        <w:szCs w:val="21"/>
        <w:lang w:val="fr-CH"/>
      </w:rPr>
    </w:pPr>
    <w:r w:rsidRPr="00C232AB">
      <w:rPr>
        <w:rFonts w:ascii="SimSun" w:eastAsia="Times New Roman" w:hAnsi="SimSun"/>
        <w:sz w:val="21"/>
        <w:szCs w:val="21"/>
        <w:lang w:val="fr-CH"/>
      </w:rPr>
      <w:t>CDIP/12/INF/6</w:t>
    </w:r>
  </w:p>
  <w:p w:rsidR="003D0A1A" w:rsidRDefault="003D0A1A" w:rsidP="00776E81">
    <w:pPr>
      <w:pStyle w:val="Header"/>
      <w:spacing w:after="0" w:line="240" w:lineRule="auto"/>
      <w:ind w:left="0"/>
      <w:jc w:val="right"/>
      <w:rPr>
        <w:rFonts w:ascii="SimSun" w:hAnsi="SimSun" w:cs="SimSun"/>
        <w:sz w:val="21"/>
        <w:szCs w:val="21"/>
        <w:lang w:eastAsia="zh-CN"/>
      </w:rPr>
    </w:pPr>
    <w:r>
      <w:rPr>
        <w:rFonts w:ascii="SimSun" w:hAnsi="SimSun" w:cs="SimSun" w:hint="eastAsia"/>
        <w:sz w:val="21"/>
        <w:szCs w:val="21"/>
        <w:lang w:eastAsia="zh-CN"/>
      </w:rPr>
      <w:t>附　件</w:t>
    </w:r>
  </w:p>
  <w:p w:rsidR="003D0A1A" w:rsidRDefault="003D0A1A" w:rsidP="00776E81">
    <w:pPr>
      <w:pStyle w:val="Header"/>
      <w:spacing w:after="0" w:line="240" w:lineRule="auto"/>
      <w:ind w:left="0"/>
      <w:jc w:val="right"/>
      <w:rPr>
        <w:rFonts w:ascii="SimSun" w:hAnsi="SimSun" w:cs="SimSun"/>
        <w:sz w:val="21"/>
        <w:szCs w:val="21"/>
        <w:lang w:eastAsia="zh-CN"/>
      </w:rPr>
    </w:pPr>
  </w:p>
  <w:p w:rsidR="003D0A1A" w:rsidRDefault="003D0A1A" w:rsidP="00776E81">
    <w:pPr>
      <w:pStyle w:val="Header"/>
      <w:spacing w:after="0" w:line="240" w:lineRule="auto"/>
      <w:ind w:left="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75E"/>
    <w:multiLevelType w:val="hybridMultilevel"/>
    <w:tmpl w:val="525640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9732E1A"/>
    <w:multiLevelType w:val="hybridMultilevel"/>
    <w:tmpl w:val="429CB222"/>
    <w:lvl w:ilvl="0" w:tplc="6D4C57DE">
      <w:start w:val="1"/>
      <w:numFmt w:val="decimal"/>
      <w:pStyle w:val="Section"/>
      <w:lvlText w:val="%1."/>
      <w:lvlJc w:val="left"/>
      <w:pPr>
        <w:tabs>
          <w:tab w:val="num" w:pos="720"/>
        </w:tabs>
        <w:ind w:left="720" w:hanging="360"/>
      </w:pPr>
      <w:rPr>
        <w:rFonts w:cs="Times New Roman" w:hint="default"/>
      </w:rPr>
    </w:lvl>
    <w:lvl w:ilvl="1" w:tplc="BBE0135C">
      <w:start w:val="1"/>
      <w:numFmt w:val="none"/>
      <w:lvlText w:val="1.2"/>
      <w:lvlJc w:val="left"/>
      <w:pPr>
        <w:tabs>
          <w:tab w:val="num" w:pos="720"/>
        </w:tabs>
        <w:ind w:left="720" w:hanging="360"/>
      </w:pPr>
      <w:rPr>
        <w:rFonts w:cs="Times New Roman" w:hint="default"/>
      </w:rPr>
    </w:lvl>
    <w:lvl w:ilvl="2" w:tplc="5A1E9A1E">
      <w:start w:val="5"/>
      <w:numFmt w:val="bullet"/>
      <w:lvlText w:val="-"/>
      <w:lvlJc w:val="left"/>
      <w:pPr>
        <w:tabs>
          <w:tab w:val="num" w:pos="2340"/>
        </w:tabs>
        <w:ind w:left="2340" w:hanging="360"/>
      </w:pPr>
      <w:rPr>
        <w:rFonts w:ascii="Arial" w:eastAsia="Times New Roman" w:hAnsi="Arial" w:hint="default"/>
      </w:rPr>
    </w:lvl>
    <w:lvl w:ilvl="3" w:tplc="37F89D40">
      <w:start w:val="1"/>
      <w:numFmt w:val="decimal"/>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1F5"/>
    <w:rsid w:val="00031B05"/>
    <w:rsid w:val="000377CA"/>
    <w:rsid w:val="000448B8"/>
    <w:rsid w:val="0006178D"/>
    <w:rsid w:val="00064354"/>
    <w:rsid w:val="0006474E"/>
    <w:rsid w:val="00070C1D"/>
    <w:rsid w:val="000773B0"/>
    <w:rsid w:val="00085EC1"/>
    <w:rsid w:val="00086F20"/>
    <w:rsid w:val="000904D6"/>
    <w:rsid w:val="00090501"/>
    <w:rsid w:val="000917C1"/>
    <w:rsid w:val="00091B9D"/>
    <w:rsid w:val="00093E84"/>
    <w:rsid w:val="00097C32"/>
    <w:rsid w:val="000A0BDD"/>
    <w:rsid w:val="000A4170"/>
    <w:rsid w:val="000A41FA"/>
    <w:rsid w:val="000B4502"/>
    <w:rsid w:val="000C0374"/>
    <w:rsid w:val="000C5E9E"/>
    <w:rsid w:val="000D4498"/>
    <w:rsid w:val="000E2127"/>
    <w:rsid w:val="000E720E"/>
    <w:rsid w:val="000F0290"/>
    <w:rsid w:val="000F425B"/>
    <w:rsid w:val="000F76E6"/>
    <w:rsid w:val="00105D8B"/>
    <w:rsid w:val="00114A36"/>
    <w:rsid w:val="001158B9"/>
    <w:rsid w:val="001160AD"/>
    <w:rsid w:val="0012496A"/>
    <w:rsid w:val="00132855"/>
    <w:rsid w:val="00134E65"/>
    <w:rsid w:val="001370A6"/>
    <w:rsid w:val="00140674"/>
    <w:rsid w:val="00146070"/>
    <w:rsid w:val="00156A89"/>
    <w:rsid w:val="0016301F"/>
    <w:rsid w:val="00175A88"/>
    <w:rsid w:val="00181FDA"/>
    <w:rsid w:val="001830D6"/>
    <w:rsid w:val="001832A6"/>
    <w:rsid w:val="001832EE"/>
    <w:rsid w:val="001A03E0"/>
    <w:rsid w:val="001A0ED5"/>
    <w:rsid w:val="001A6EF3"/>
    <w:rsid w:val="001B0881"/>
    <w:rsid w:val="001B4734"/>
    <w:rsid w:val="001C2405"/>
    <w:rsid w:val="001C3489"/>
    <w:rsid w:val="001C4187"/>
    <w:rsid w:val="001F2A02"/>
    <w:rsid w:val="00201EF0"/>
    <w:rsid w:val="00205D95"/>
    <w:rsid w:val="00205EA8"/>
    <w:rsid w:val="00210A5C"/>
    <w:rsid w:val="00213102"/>
    <w:rsid w:val="002158BE"/>
    <w:rsid w:val="002264CB"/>
    <w:rsid w:val="00226551"/>
    <w:rsid w:val="00232C1B"/>
    <w:rsid w:val="00240377"/>
    <w:rsid w:val="002404CC"/>
    <w:rsid w:val="00244F97"/>
    <w:rsid w:val="002462E5"/>
    <w:rsid w:val="00247E51"/>
    <w:rsid w:val="0025228A"/>
    <w:rsid w:val="0025572B"/>
    <w:rsid w:val="00256BCE"/>
    <w:rsid w:val="00264303"/>
    <w:rsid w:val="00273E9D"/>
    <w:rsid w:val="00274740"/>
    <w:rsid w:val="0028650F"/>
    <w:rsid w:val="0028654E"/>
    <w:rsid w:val="00291154"/>
    <w:rsid w:val="00291854"/>
    <w:rsid w:val="00293176"/>
    <w:rsid w:val="00293A05"/>
    <w:rsid w:val="002A00DD"/>
    <w:rsid w:val="002B5262"/>
    <w:rsid w:val="002B5B20"/>
    <w:rsid w:val="002B728D"/>
    <w:rsid w:val="002C155A"/>
    <w:rsid w:val="002C2437"/>
    <w:rsid w:val="002C288F"/>
    <w:rsid w:val="002D142C"/>
    <w:rsid w:val="002D53AD"/>
    <w:rsid w:val="002D7CB7"/>
    <w:rsid w:val="002F782F"/>
    <w:rsid w:val="003014EF"/>
    <w:rsid w:val="00302029"/>
    <w:rsid w:val="00302FE8"/>
    <w:rsid w:val="003213F2"/>
    <w:rsid w:val="00321F76"/>
    <w:rsid w:val="00322193"/>
    <w:rsid w:val="003309FF"/>
    <w:rsid w:val="00330B63"/>
    <w:rsid w:val="0033155A"/>
    <w:rsid w:val="00341A47"/>
    <w:rsid w:val="00344CD2"/>
    <w:rsid w:val="00346F9E"/>
    <w:rsid w:val="00347080"/>
    <w:rsid w:val="00357949"/>
    <w:rsid w:val="003611DE"/>
    <w:rsid w:val="0036528C"/>
    <w:rsid w:val="0037006C"/>
    <w:rsid w:val="00372993"/>
    <w:rsid w:val="0037648D"/>
    <w:rsid w:val="003823DC"/>
    <w:rsid w:val="00384B67"/>
    <w:rsid w:val="00384FB7"/>
    <w:rsid w:val="00386416"/>
    <w:rsid w:val="00392667"/>
    <w:rsid w:val="00393269"/>
    <w:rsid w:val="0039500E"/>
    <w:rsid w:val="003A0542"/>
    <w:rsid w:val="003B0B74"/>
    <w:rsid w:val="003B716F"/>
    <w:rsid w:val="003C10CD"/>
    <w:rsid w:val="003C3DC0"/>
    <w:rsid w:val="003C5966"/>
    <w:rsid w:val="003C7376"/>
    <w:rsid w:val="003D0A1A"/>
    <w:rsid w:val="003D1C9C"/>
    <w:rsid w:val="003F026A"/>
    <w:rsid w:val="003F1FD3"/>
    <w:rsid w:val="003F6CAE"/>
    <w:rsid w:val="003F7803"/>
    <w:rsid w:val="003F7FF4"/>
    <w:rsid w:val="00402C4C"/>
    <w:rsid w:val="00406315"/>
    <w:rsid w:val="00411008"/>
    <w:rsid w:val="00414BD6"/>
    <w:rsid w:val="00421954"/>
    <w:rsid w:val="004231B5"/>
    <w:rsid w:val="00425B3C"/>
    <w:rsid w:val="00427697"/>
    <w:rsid w:val="004424C6"/>
    <w:rsid w:val="00444558"/>
    <w:rsid w:val="004525A1"/>
    <w:rsid w:val="0045366E"/>
    <w:rsid w:val="0045504C"/>
    <w:rsid w:val="004560A2"/>
    <w:rsid w:val="00456D39"/>
    <w:rsid w:val="004613E7"/>
    <w:rsid w:val="004632F6"/>
    <w:rsid w:val="00465B21"/>
    <w:rsid w:val="00495EBC"/>
    <w:rsid w:val="004A01A5"/>
    <w:rsid w:val="004A154C"/>
    <w:rsid w:val="004A17A5"/>
    <w:rsid w:val="004B58B6"/>
    <w:rsid w:val="004B79B8"/>
    <w:rsid w:val="004C4E6A"/>
    <w:rsid w:val="004D51D3"/>
    <w:rsid w:val="004E4C69"/>
    <w:rsid w:val="004F45F4"/>
    <w:rsid w:val="004F6918"/>
    <w:rsid w:val="00500E0F"/>
    <w:rsid w:val="0050123E"/>
    <w:rsid w:val="00512FFD"/>
    <w:rsid w:val="00520262"/>
    <w:rsid w:val="005213A2"/>
    <w:rsid w:val="00525871"/>
    <w:rsid w:val="00525DB2"/>
    <w:rsid w:val="00526D39"/>
    <w:rsid w:val="00543E72"/>
    <w:rsid w:val="0054406B"/>
    <w:rsid w:val="005475E7"/>
    <w:rsid w:val="00552CD7"/>
    <w:rsid w:val="00553C03"/>
    <w:rsid w:val="0055521A"/>
    <w:rsid w:val="005563CE"/>
    <w:rsid w:val="00564887"/>
    <w:rsid w:val="005674BF"/>
    <w:rsid w:val="0057047F"/>
    <w:rsid w:val="00570713"/>
    <w:rsid w:val="00571F96"/>
    <w:rsid w:val="00574D9A"/>
    <w:rsid w:val="00576C4E"/>
    <w:rsid w:val="00580CE2"/>
    <w:rsid w:val="00583E76"/>
    <w:rsid w:val="0058445E"/>
    <w:rsid w:val="00585741"/>
    <w:rsid w:val="00597A4E"/>
    <w:rsid w:val="005A5581"/>
    <w:rsid w:val="005B4064"/>
    <w:rsid w:val="005B7489"/>
    <w:rsid w:val="005C4325"/>
    <w:rsid w:val="005D1283"/>
    <w:rsid w:val="005D5FBE"/>
    <w:rsid w:val="005D773E"/>
    <w:rsid w:val="005E1D9E"/>
    <w:rsid w:val="005F08E6"/>
    <w:rsid w:val="005F25A2"/>
    <w:rsid w:val="005F5C26"/>
    <w:rsid w:val="006007EC"/>
    <w:rsid w:val="00602288"/>
    <w:rsid w:val="00602E81"/>
    <w:rsid w:val="00605EC9"/>
    <w:rsid w:val="00607FE9"/>
    <w:rsid w:val="00611210"/>
    <w:rsid w:val="00614000"/>
    <w:rsid w:val="0061585A"/>
    <w:rsid w:val="00637ADB"/>
    <w:rsid w:val="00637C3E"/>
    <w:rsid w:val="00641A4E"/>
    <w:rsid w:val="00642B40"/>
    <w:rsid w:val="00643B5E"/>
    <w:rsid w:val="0064434B"/>
    <w:rsid w:val="00645157"/>
    <w:rsid w:val="00652F2B"/>
    <w:rsid w:val="00653588"/>
    <w:rsid w:val="006554EC"/>
    <w:rsid w:val="0065761A"/>
    <w:rsid w:val="00661CDB"/>
    <w:rsid w:val="00662441"/>
    <w:rsid w:val="0066253E"/>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481"/>
    <w:rsid w:val="006B7A90"/>
    <w:rsid w:val="006B7E82"/>
    <w:rsid w:val="006C6129"/>
    <w:rsid w:val="006C7059"/>
    <w:rsid w:val="006E2D6D"/>
    <w:rsid w:val="006F01AE"/>
    <w:rsid w:val="006F3648"/>
    <w:rsid w:val="006F61F8"/>
    <w:rsid w:val="006F661C"/>
    <w:rsid w:val="00701059"/>
    <w:rsid w:val="007036AA"/>
    <w:rsid w:val="007056C0"/>
    <w:rsid w:val="00714C2C"/>
    <w:rsid w:val="007151EE"/>
    <w:rsid w:val="00730AC1"/>
    <w:rsid w:val="00740B28"/>
    <w:rsid w:val="0074637D"/>
    <w:rsid w:val="007566EA"/>
    <w:rsid w:val="00765255"/>
    <w:rsid w:val="0076766B"/>
    <w:rsid w:val="00770402"/>
    <w:rsid w:val="00770DD9"/>
    <w:rsid w:val="00771FC9"/>
    <w:rsid w:val="00772D77"/>
    <w:rsid w:val="00775136"/>
    <w:rsid w:val="00776E81"/>
    <w:rsid w:val="00777E56"/>
    <w:rsid w:val="007809BE"/>
    <w:rsid w:val="00792A5D"/>
    <w:rsid w:val="00792AFC"/>
    <w:rsid w:val="007A1052"/>
    <w:rsid w:val="007A136F"/>
    <w:rsid w:val="007A5860"/>
    <w:rsid w:val="007A6312"/>
    <w:rsid w:val="007C4F2C"/>
    <w:rsid w:val="007C6599"/>
    <w:rsid w:val="007D2593"/>
    <w:rsid w:val="007D4B2C"/>
    <w:rsid w:val="007F0595"/>
    <w:rsid w:val="007F07B1"/>
    <w:rsid w:val="007F2BF0"/>
    <w:rsid w:val="007F3C03"/>
    <w:rsid w:val="007F682A"/>
    <w:rsid w:val="00800096"/>
    <w:rsid w:val="00800DF8"/>
    <w:rsid w:val="00801B84"/>
    <w:rsid w:val="008022F2"/>
    <w:rsid w:val="00805155"/>
    <w:rsid w:val="0081225D"/>
    <w:rsid w:val="00813212"/>
    <w:rsid w:val="00836088"/>
    <w:rsid w:val="008377E2"/>
    <w:rsid w:val="00837C3A"/>
    <w:rsid w:val="00841A2D"/>
    <w:rsid w:val="00846972"/>
    <w:rsid w:val="00846A44"/>
    <w:rsid w:val="0084712F"/>
    <w:rsid w:val="00850388"/>
    <w:rsid w:val="00850A32"/>
    <w:rsid w:val="00850EBD"/>
    <w:rsid w:val="00865775"/>
    <w:rsid w:val="008725E2"/>
    <w:rsid w:val="00875115"/>
    <w:rsid w:val="008827FC"/>
    <w:rsid w:val="008831F5"/>
    <w:rsid w:val="00885C36"/>
    <w:rsid w:val="008870B2"/>
    <w:rsid w:val="008A40A4"/>
    <w:rsid w:val="008A47F9"/>
    <w:rsid w:val="008A580D"/>
    <w:rsid w:val="008A58A2"/>
    <w:rsid w:val="008B162B"/>
    <w:rsid w:val="008B1705"/>
    <w:rsid w:val="008B1C07"/>
    <w:rsid w:val="008B2CC1"/>
    <w:rsid w:val="008B4C3F"/>
    <w:rsid w:val="008C4DB9"/>
    <w:rsid w:val="008C7B52"/>
    <w:rsid w:val="008D226F"/>
    <w:rsid w:val="008D3FB5"/>
    <w:rsid w:val="008D60B0"/>
    <w:rsid w:val="008D6186"/>
    <w:rsid w:val="008E6611"/>
    <w:rsid w:val="008F3D13"/>
    <w:rsid w:val="008F6C61"/>
    <w:rsid w:val="008F770C"/>
    <w:rsid w:val="00905656"/>
    <w:rsid w:val="009115FF"/>
    <w:rsid w:val="00913A31"/>
    <w:rsid w:val="00917974"/>
    <w:rsid w:val="009208D8"/>
    <w:rsid w:val="00924A4C"/>
    <w:rsid w:val="009308D6"/>
    <w:rsid w:val="009312F0"/>
    <w:rsid w:val="00934C72"/>
    <w:rsid w:val="00935DC7"/>
    <w:rsid w:val="0094336A"/>
    <w:rsid w:val="0094437F"/>
    <w:rsid w:val="0094543E"/>
    <w:rsid w:val="00946470"/>
    <w:rsid w:val="00956465"/>
    <w:rsid w:val="00965FDE"/>
    <w:rsid w:val="00977B88"/>
    <w:rsid w:val="00983228"/>
    <w:rsid w:val="00985FFC"/>
    <w:rsid w:val="009860E1"/>
    <w:rsid w:val="00986F26"/>
    <w:rsid w:val="00987E43"/>
    <w:rsid w:val="00996567"/>
    <w:rsid w:val="009C0343"/>
    <w:rsid w:val="009D2920"/>
    <w:rsid w:val="009E5230"/>
    <w:rsid w:val="009E6080"/>
    <w:rsid w:val="00A0519E"/>
    <w:rsid w:val="00A1080D"/>
    <w:rsid w:val="00A24BEB"/>
    <w:rsid w:val="00A25AAB"/>
    <w:rsid w:val="00A27CC2"/>
    <w:rsid w:val="00A3208A"/>
    <w:rsid w:val="00A3419E"/>
    <w:rsid w:val="00A356B1"/>
    <w:rsid w:val="00A37486"/>
    <w:rsid w:val="00A41BB9"/>
    <w:rsid w:val="00A53BD6"/>
    <w:rsid w:val="00A53EA3"/>
    <w:rsid w:val="00A54236"/>
    <w:rsid w:val="00A557D3"/>
    <w:rsid w:val="00A56497"/>
    <w:rsid w:val="00A61318"/>
    <w:rsid w:val="00A64D6A"/>
    <w:rsid w:val="00A65F1F"/>
    <w:rsid w:val="00A73A7F"/>
    <w:rsid w:val="00A7429C"/>
    <w:rsid w:val="00A956E8"/>
    <w:rsid w:val="00AA110A"/>
    <w:rsid w:val="00AB003C"/>
    <w:rsid w:val="00AB0F3B"/>
    <w:rsid w:val="00AB5A2F"/>
    <w:rsid w:val="00AC1BB6"/>
    <w:rsid w:val="00AC71F8"/>
    <w:rsid w:val="00AC7922"/>
    <w:rsid w:val="00AD4C22"/>
    <w:rsid w:val="00AD79C7"/>
    <w:rsid w:val="00AE2B65"/>
    <w:rsid w:val="00AE3BB1"/>
    <w:rsid w:val="00B03499"/>
    <w:rsid w:val="00B03DA0"/>
    <w:rsid w:val="00B0755D"/>
    <w:rsid w:val="00B113BB"/>
    <w:rsid w:val="00B1155D"/>
    <w:rsid w:val="00B12697"/>
    <w:rsid w:val="00B144F5"/>
    <w:rsid w:val="00B201EA"/>
    <w:rsid w:val="00B20E50"/>
    <w:rsid w:val="00B2142D"/>
    <w:rsid w:val="00B22F37"/>
    <w:rsid w:val="00B23FC1"/>
    <w:rsid w:val="00B272B4"/>
    <w:rsid w:val="00B30C6F"/>
    <w:rsid w:val="00B31FDD"/>
    <w:rsid w:val="00B331F3"/>
    <w:rsid w:val="00B365DE"/>
    <w:rsid w:val="00B37A39"/>
    <w:rsid w:val="00B51F79"/>
    <w:rsid w:val="00B53459"/>
    <w:rsid w:val="00B54CCC"/>
    <w:rsid w:val="00B55BAD"/>
    <w:rsid w:val="00B5691B"/>
    <w:rsid w:val="00B661E2"/>
    <w:rsid w:val="00B66C93"/>
    <w:rsid w:val="00B77084"/>
    <w:rsid w:val="00BA5520"/>
    <w:rsid w:val="00BB06D3"/>
    <w:rsid w:val="00BB4F16"/>
    <w:rsid w:val="00BB65D8"/>
    <w:rsid w:val="00BB65DF"/>
    <w:rsid w:val="00BB7654"/>
    <w:rsid w:val="00BC20E9"/>
    <w:rsid w:val="00BC6C8E"/>
    <w:rsid w:val="00BD2032"/>
    <w:rsid w:val="00BE13CA"/>
    <w:rsid w:val="00BE2681"/>
    <w:rsid w:val="00BE5A51"/>
    <w:rsid w:val="00C04423"/>
    <w:rsid w:val="00C046ED"/>
    <w:rsid w:val="00C05DE8"/>
    <w:rsid w:val="00C109BC"/>
    <w:rsid w:val="00C11E38"/>
    <w:rsid w:val="00C122A3"/>
    <w:rsid w:val="00C142AF"/>
    <w:rsid w:val="00C14B05"/>
    <w:rsid w:val="00C14D0E"/>
    <w:rsid w:val="00C15FE1"/>
    <w:rsid w:val="00C17DEF"/>
    <w:rsid w:val="00C21D77"/>
    <w:rsid w:val="00C22946"/>
    <w:rsid w:val="00C232AB"/>
    <w:rsid w:val="00C23E7C"/>
    <w:rsid w:val="00C251E1"/>
    <w:rsid w:val="00C30172"/>
    <w:rsid w:val="00C34D4E"/>
    <w:rsid w:val="00C34F0B"/>
    <w:rsid w:val="00C37494"/>
    <w:rsid w:val="00C420DB"/>
    <w:rsid w:val="00C513C8"/>
    <w:rsid w:val="00C522B8"/>
    <w:rsid w:val="00C5345B"/>
    <w:rsid w:val="00C60E1F"/>
    <w:rsid w:val="00C611C6"/>
    <w:rsid w:val="00C67EB6"/>
    <w:rsid w:val="00C707F6"/>
    <w:rsid w:val="00C8625F"/>
    <w:rsid w:val="00C86CA3"/>
    <w:rsid w:val="00C87256"/>
    <w:rsid w:val="00C95ADE"/>
    <w:rsid w:val="00CA0F59"/>
    <w:rsid w:val="00CA3113"/>
    <w:rsid w:val="00CB59DF"/>
    <w:rsid w:val="00CB5CCD"/>
    <w:rsid w:val="00CC1146"/>
    <w:rsid w:val="00CC3B2D"/>
    <w:rsid w:val="00CC7941"/>
    <w:rsid w:val="00CD74E8"/>
    <w:rsid w:val="00CE0221"/>
    <w:rsid w:val="00CF1AE3"/>
    <w:rsid w:val="00CF673D"/>
    <w:rsid w:val="00D01D4B"/>
    <w:rsid w:val="00D0542A"/>
    <w:rsid w:val="00D069FD"/>
    <w:rsid w:val="00D15BB6"/>
    <w:rsid w:val="00D23D91"/>
    <w:rsid w:val="00D2585F"/>
    <w:rsid w:val="00D26046"/>
    <w:rsid w:val="00D3095F"/>
    <w:rsid w:val="00D340F3"/>
    <w:rsid w:val="00D373C0"/>
    <w:rsid w:val="00D42A76"/>
    <w:rsid w:val="00D445BC"/>
    <w:rsid w:val="00D5240D"/>
    <w:rsid w:val="00D5454A"/>
    <w:rsid w:val="00D55713"/>
    <w:rsid w:val="00D55866"/>
    <w:rsid w:val="00D577AD"/>
    <w:rsid w:val="00D577D6"/>
    <w:rsid w:val="00D7765F"/>
    <w:rsid w:val="00D802E2"/>
    <w:rsid w:val="00D81384"/>
    <w:rsid w:val="00D816A3"/>
    <w:rsid w:val="00D834A9"/>
    <w:rsid w:val="00D85FB0"/>
    <w:rsid w:val="00D92472"/>
    <w:rsid w:val="00D93E96"/>
    <w:rsid w:val="00D96A63"/>
    <w:rsid w:val="00D97E8B"/>
    <w:rsid w:val="00DA3CD1"/>
    <w:rsid w:val="00DB052F"/>
    <w:rsid w:val="00DB0C63"/>
    <w:rsid w:val="00DC08B8"/>
    <w:rsid w:val="00DD1310"/>
    <w:rsid w:val="00DD398F"/>
    <w:rsid w:val="00DD5384"/>
    <w:rsid w:val="00DE012B"/>
    <w:rsid w:val="00DE70BE"/>
    <w:rsid w:val="00DF10D2"/>
    <w:rsid w:val="00E062C7"/>
    <w:rsid w:val="00E10AD5"/>
    <w:rsid w:val="00E11FDA"/>
    <w:rsid w:val="00E14066"/>
    <w:rsid w:val="00E214CD"/>
    <w:rsid w:val="00E21702"/>
    <w:rsid w:val="00E23119"/>
    <w:rsid w:val="00E24335"/>
    <w:rsid w:val="00E26D06"/>
    <w:rsid w:val="00E309E6"/>
    <w:rsid w:val="00E34F44"/>
    <w:rsid w:val="00E37F23"/>
    <w:rsid w:val="00E44907"/>
    <w:rsid w:val="00E463C3"/>
    <w:rsid w:val="00E528C1"/>
    <w:rsid w:val="00E65464"/>
    <w:rsid w:val="00E708FD"/>
    <w:rsid w:val="00E74680"/>
    <w:rsid w:val="00E84340"/>
    <w:rsid w:val="00E91355"/>
    <w:rsid w:val="00E939D1"/>
    <w:rsid w:val="00E95C7D"/>
    <w:rsid w:val="00EA4994"/>
    <w:rsid w:val="00EA771D"/>
    <w:rsid w:val="00EA7A5F"/>
    <w:rsid w:val="00EB0560"/>
    <w:rsid w:val="00EC54C3"/>
    <w:rsid w:val="00EC703D"/>
    <w:rsid w:val="00ED77BE"/>
    <w:rsid w:val="00EE0CBD"/>
    <w:rsid w:val="00EE1576"/>
    <w:rsid w:val="00EE1C96"/>
    <w:rsid w:val="00EE20AF"/>
    <w:rsid w:val="00EF2B0E"/>
    <w:rsid w:val="00F0100E"/>
    <w:rsid w:val="00F074A6"/>
    <w:rsid w:val="00F075CE"/>
    <w:rsid w:val="00F1171B"/>
    <w:rsid w:val="00F13737"/>
    <w:rsid w:val="00F22736"/>
    <w:rsid w:val="00F2732D"/>
    <w:rsid w:val="00F3672A"/>
    <w:rsid w:val="00F4152E"/>
    <w:rsid w:val="00F42F77"/>
    <w:rsid w:val="00F472A0"/>
    <w:rsid w:val="00F544CA"/>
    <w:rsid w:val="00F5747F"/>
    <w:rsid w:val="00F57B19"/>
    <w:rsid w:val="00F6027C"/>
    <w:rsid w:val="00F604D7"/>
    <w:rsid w:val="00F63AB8"/>
    <w:rsid w:val="00F66CB3"/>
    <w:rsid w:val="00F77139"/>
    <w:rsid w:val="00F875A6"/>
    <w:rsid w:val="00F919C7"/>
    <w:rsid w:val="00F97568"/>
    <w:rsid w:val="00FA354F"/>
    <w:rsid w:val="00FA5E6D"/>
    <w:rsid w:val="00FB6F9D"/>
    <w:rsid w:val="00FC7D2F"/>
    <w:rsid w:val="00FE01F6"/>
    <w:rsid w:val="00FE0A34"/>
    <w:rsid w:val="00FE0DB2"/>
    <w:rsid w:val="00FE2A17"/>
    <w:rsid w:val="00FE52A0"/>
    <w:rsid w:val="00FE7223"/>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99"/>
    <w:qFormat/>
    <w:rsid w:val="00512FFD"/>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956465"/>
    <w:pPr>
      <w:keepNext/>
      <w:keepLines/>
      <w:spacing w:before="260" w:after="260" w:line="416" w:lineRule="atLeast"/>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FFD"/>
    <w:rPr>
      <w:rFonts w:ascii="Arial" w:hAnsi="Arial" w:cs="Times New Roman"/>
      <w:b/>
      <w:bCs/>
      <w:kern w:val="44"/>
      <w:sz w:val="44"/>
      <w:szCs w:val="44"/>
      <w:lang w:eastAsia="en-US"/>
    </w:rPr>
  </w:style>
  <w:style w:type="character" w:customStyle="1" w:styleId="Heading2Char">
    <w:name w:val="Heading 2 Char"/>
    <w:basedOn w:val="DefaultParagraphFont"/>
    <w:link w:val="Heading2"/>
    <w:uiPriority w:val="99"/>
    <w:semiHidden/>
    <w:locked/>
    <w:rsid w:val="00956465"/>
    <w:rPr>
      <w:rFonts w:ascii="Cambria" w:eastAsia="SimSun" w:hAnsi="Cambria" w:cs="Times New Roman"/>
      <w:b/>
      <w:bCs/>
      <w:sz w:val="32"/>
      <w:szCs w:val="32"/>
      <w:lang w:eastAsia="en-US"/>
    </w:rPr>
  </w:style>
  <w:style w:type="paragraph" w:styleId="Header">
    <w:name w:val="header"/>
    <w:basedOn w:val="Normal"/>
    <w:link w:val="HeaderChar"/>
    <w:uiPriority w:val="99"/>
    <w:rsid w:val="007C4F2C"/>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956465"/>
    <w:rPr>
      <w:rFonts w:ascii="Arial" w:hAnsi="Arial" w:cs="Times New Roman"/>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3A53B3"/>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aliases w:val="16 Point,Superscript 6 Point,Ref,de nota al pie"/>
    <w:basedOn w:val="DefaultParagraphFont"/>
    <w:uiPriority w:val="99"/>
    <w:rsid w:val="00C046ED"/>
    <w:rPr>
      <w:rFonts w:cs="Times New Roman"/>
      <w:vertAlign w:val="superscript"/>
    </w:rPr>
  </w:style>
  <w:style w:type="character" w:styleId="Strong">
    <w:name w:val="Strong"/>
    <w:basedOn w:val="DefaultParagraphFont"/>
    <w:uiPriority w:val="99"/>
    <w:qFormat/>
    <w:rsid w:val="00512FFD"/>
    <w:rPr>
      <w:rFonts w:cs="Times New Roman"/>
      <w:b/>
    </w:rPr>
  </w:style>
  <w:style w:type="paragraph" w:customStyle="1" w:styleId="Text">
    <w:name w:val="Text"/>
    <w:basedOn w:val="Normal"/>
    <w:uiPriority w:val="99"/>
    <w:rsid w:val="00512FFD"/>
    <w:pPr>
      <w:spacing w:after="0" w:line="240" w:lineRule="auto"/>
      <w:ind w:left="0"/>
    </w:pPr>
    <w:rPr>
      <w:sz w:val="22"/>
      <w:szCs w:val="22"/>
    </w:rPr>
  </w:style>
  <w:style w:type="paragraph" w:customStyle="1" w:styleId="Section">
    <w:name w:val="Section"/>
    <w:basedOn w:val="Heading1"/>
    <w:uiPriority w:val="99"/>
    <w:rsid w:val="00512FFD"/>
    <w:pPr>
      <w:keepNext w:val="0"/>
      <w:keepLines w:val="0"/>
      <w:numPr>
        <w:numId w:val="1"/>
      </w:numPr>
      <w:spacing w:before="0" w:after="0" w:line="240" w:lineRule="auto"/>
      <w:contextualSpacing/>
    </w:pPr>
    <w:rPr>
      <w:kern w:val="0"/>
      <w:sz w:val="22"/>
      <w:szCs w:val="28"/>
    </w:rPr>
  </w:style>
  <w:style w:type="paragraph" w:customStyle="1" w:styleId="Footnote">
    <w:name w:val="Footnote"/>
    <w:basedOn w:val="FootnoteText"/>
    <w:uiPriority w:val="99"/>
    <w:rsid w:val="00512FFD"/>
    <w:pPr>
      <w:snapToGrid/>
      <w:spacing w:after="0" w:line="240" w:lineRule="auto"/>
      <w:ind w:left="0"/>
    </w:pPr>
    <w:rPr>
      <w:szCs w:val="22"/>
    </w:rPr>
  </w:style>
  <w:style w:type="paragraph" w:customStyle="1" w:styleId="Apendix">
    <w:name w:val="Apendix"/>
    <w:basedOn w:val="Heading1"/>
    <w:uiPriority w:val="99"/>
    <w:rsid w:val="00512FFD"/>
    <w:pPr>
      <w:keepNext w:val="0"/>
      <w:keepLines w:val="0"/>
      <w:spacing w:before="0" w:after="0" w:line="240" w:lineRule="auto"/>
      <w:ind w:left="0"/>
      <w:contextualSpacing/>
    </w:pPr>
    <w:rPr>
      <w:kern w:val="0"/>
      <w:sz w:val="22"/>
      <w:szCs w:val="28"/>
    </w:rPr>
  </w:style>
  <w:style w:type="paragraph" w:styleId="CommentText">
    <w:name w:val="annotation text"/>
    <w:basedOn w:val="Normal"/>
    <w:link w:val="CommentTextChar"/>
    <w:uiPriority w:val="99"/>
    <w:rsid w:val="006554EC"/>
    <w:pPr>
      <w:spacing w:after="0" w:line="240" w:lineRule="auto"/>
      <w:ind w:left="0"/>
    </w:pPr>
  </w:style>
  <w:style w:type="character" w:customStyle="1" w:styleId="CommentTextChar">
    <w:name w:val="Comment Text Char"/>
    <w:basedOn w:val="DefaultParagraphFont"/>
    <w:link w:val="CommentText"/>
    <w:uiPriority w:val="99"/>
    <w:locked/>
    <w:rsid w:val="006554EC"/>
    <w:rPr>
      <w:rFonts w:ascii="Arial" w:eastAsia="SimSun" w:hAnsi="Arial" w:cs="Times New Roman"/>
      <w:lang w:eastAsia="en-US"/>
    </w:rPr>
  </w:style>
  <w:style w:type="paragraph" w:styleId="Caption">
    <w:name w:val="caption"/>
    <w:basedOn w:val="Normal"/>
    <w:next w:val="Normal"/>
    <w:uiPriority w:val="99"/>
    <w:qFormat/>
    <w:rsid w:val="00956465"/>
    <w:pPr>
      <w:spacing w:after="0" w:line="240" w:lineRule="auto"/>
      <w:ind w:left="0"/>
    </w:pPr>
    <w:rPr>
      <w:b/>
      <w:bCs/>
      <w:i/>
      <w:szCs w:val="18"/>
    </w:rPr>
  </w:style>
  <w:style w:type="paragraph" w:customStyle="1" w:styleId="captionnotes">
    <w:name w:val="caption notes"/>
    <w:basedOn w:val="Normal"/>
    <w:link w:val="captionnotesChar"/>
    <w:uiPriority w:val="99"/>
    <w:rsid w:val="00956465"/>
    <w:pPr>
      <w:spacing w:after="0" w:line="240" w:lineRule="auto"/>
      <w:ind w:left="0"/>
    </w:pPr>
    <w:rPr>
      <w:i/>
      <w:sz w:val="16"/>
      <w:szCs w:val="22"/>
    </w:rPr>
  </w:style>
  <w:style w:type="character" w:customStyle="1" w:styleId="captionnotesChar">
    <w:name w:val="caption notes Char"/>
    <w:basedOn w:val="DefaultParagraphFont"/>
    <w:link w:val="captionnotes"/>
    <w:uiPriority w:val="99"/>
    <w:locked/>
    <w:rsid w:val="00956465"/>
    <w:rPr>
      <w:rFonts w:ascii="Arial" w:eastAsia="SimSun" w:hAnsi="Arial" w:cs="Times New Roman"/>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D2"/>
    <w:pPr>
      <w:spacing w:after="120" w:line="260" w:lineRule="exact"/>
      <w:ind w:left="1021"/>
    </w:pPr>
    <w:rPr>
      <w:rFonts w:ascii="Arial" w:hAnsi="Arial"/>
      <w:kern w:val="0"/>
      <w:sz w:val="20"/>
      <w:szCs w:val="20"/>
      <w:lang w:eastAsia="en-US"/>
    </w:rPr>
  </w:style>
  <w:style w:type="paragraph" w:styleId="Heading1">
    <w:name w:val="heading 1"/>
    <w:basedOn w:val="Normal"/>
    <w:next w:val="Normal"/>
    <w:link w:val="Heading1Char"/>
    <w:uiPriority w:val="99"/>
    <w:qFormat/>
    <w:rsid w:val="00512FFD"/>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956465"/>
    <w:pPr>
      <w:keepNext/>
      <w:keepLines/>
      <w:spacing w:before="260" w:after="260" w:line="416" w:lineRule="atLeast"/>
      <w:outlineLvl w:val="1"/>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FFD"/>
    <w:rPr>
      <w:rFonts w:ascii="Arial" w:hAnsi="Arial" w:cs="Times New Roman"/>
      <w:b/>
      <w:bCs/>
      <w:kern w:val="44"/>
      <w:sz w:val="44"/>
      <w:szCs w:val="44"/>
      <w:lang w:eastAsia="en-US"/>
    </w:rPr>
  </w:style>
  <w:style w:type="character" w:customStyle="1" w:styleId="Heading2Char">
    <w:name w:val="Heading 2 Char"/>
    <w:basedOn w:val="DefaultParagraphFont"/>
    <w:link w:val="Heading2"/>
    <w:uiPriority w:val="99"/>
    <w:semiHidden/>
    <w:locked/>
    <w:rsid w:val="00956465"/>
    <w:rPr>
      <w:rFonts w:ascii="Cambria" w:eastAsia="SimSun" w:hAnsi="Cambria" w:cs="Times New Roman"/>
      <w:b/>
      <w:bCs/>
      <w:sz w:val="32"/>
      <w:szCs w:val="32"/>
      <w:lang w:eastAsia="en-US"/>
    </w:rPr>
  </w:style>
  <w:style w:type="paragraph" w:styleId="Header">
    <w:name w:val="header"/>
    <w:basedOn w:val="Normal"/>
    <w:link w:val="HeaderChar"/>
    <w:uiPriority w:val="99"/>
    <w:rsid w:val="007C4F2C"/>
    <w:pPr>
      <w:tabs>
        <w:tab w:val="center" w:pos="4536"/>
        <w:tab w:val="right" w:pos="9072"/>
      </w:tabs>
    </w:pPr>
  </w:style>
  <w:style w:type="character" w:customStyle="1" w:styleId="HeaderChar">
    <w:name w:val="Header Char"/>
    <w:basedOn w:val="DefaultParagraphFont"/>
    <w:link w:val="Header"/>
    <w:uiPriority w:val="99"/>
    <w:locked/>
    <w:rsid w:val="00C046ED"/>
    <w:rPr>
      <w:rFonts w:ascii="Arial" w:hAnsi="Arial" w:cs="Times New Roman"/>
      <w:lang w:eastAsia="en-US"/>
    </w:rPr>
  </w:style>
  <w:style w:type="paragraph" w:customStyle="1" w:styleId="preparedby">
    <w:name w:val="prepared by"/>
    <w:basedOn w:val="Normal"/>
    <w:next w:val="Normal"/>
    <w:uiPriority w:val="99"/>
    <w:rsid w:val="00DF10D2"/>
    <w:pPr>
      <w:spacing w:after="480"/>
    </w:pPr>
    <w:rPr>
      <w:i/>
    </w:rPr>
  </w:style>
  <w:style w:type="paragraph" w:customStyle="1" w:styleId="Documenttitle">
    <w:name w:val="Document title"/>
    <w:basedOn w:val="Normal"/>
    <w:uiPriority w:val="99"/>
    <w:rsid w:val="00DF10D2"/>
    <w:pPr>
      <w:spacing w:before="1200"/>
    </w:pPr>
    <w:rPr>
      <w:b/>
      <w:caps/>
    </w:rPr>
  </w:style>
  <w:style w:type="paragraph" w:customStyle="1" w:styleId="MeetinglanguageDate">
    <w:name w:val="Meeting language &amp; Date"/>
    <w:basedOn w:val="Normal"/>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Normal"/>
    <w:next w:val="Normal"/>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Normal"/>
    <w:next w:val="Normal"/>
    <w:uiPriority w:val="99"/>
    <w:rsid w:val="00DF10D2"/>
    <w:pPr>
      <w:spacing w:after="360"/>
    </w:pPr>
    <w:rPr>
      <w:b/>
      <w:caps/>
      <w:sz w:val="28"/>
      <w:lang w:val="fr-FR"/>
    </w:rPr>
  </w:style>
  <w:style w:type="paragraph" w:customStyle="1" w:styleId="Meetingdateplace">
    <w:name w:val="Meeting date &amp; place"/>
    <w:basedOn w:val="Normal"/>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Normal"/>
    <w:uiPriority w:val="99"/>
    <w:rsid w:val="00CC1146"/>
    <w:pPr>
      <w:ind w:left="5534"/>
    </w:pPr>
    <w:rPr>
      <w:i/>
    </w:rPr>
  </w:style>
  <w:style w:type="paragraph" w:customStyle="1" w:styleId="Endofdocument">
    <w:name w:val="End of document"/>
    <w:basedOn w:val="Normal"/>
    <w:uiPriority w:val="99"/>
    <w:rsid w:val="00CC1146"/>
    <w:pPr>
      <w:ind w:left="5534"/>
    </w:pPr>
  </w:style>
  <w:style w:type="paragraph" w:styleId="Footer">
    <w:name w:val="footer"/>
    <w:basedOn w:val="Normal"/>
    <w:link w:val="FooterChar"/>
    <w:uiPriority w:val="99"/>
    <w:rsid w:val="00D373C0"/>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locked/>
    <w:rsid w:val="00956465"/>
    <w:rPr>
      <w:rFonts w:ascii="Arial" w:hAnsi="Arial" w:cs="Times New Roman"/>
      <w:sz w:val="18"/>
      <w:szCs w:val="18"/>
      <w:lang w:eastAsia="en-US"/>
    </w:rPr>
  </w:style>
  <w:style w:type="character" w:styleId="PageNumber">
    <w:name w:val="page number"/>
    <w:basedOn w:val="DefaultParagraphFont"/>
    <w:uiPriority w:val="99"/>
    <w:rsid w:val="00D373C0"/>
    <w:rPr>
      <w:rFonts w:cs="Times New Roman"/>
    </w:rPr>
  </w:style>
  <w:style w:type="paragraph" w:styleId="BalloonText">
    <w:name w:val="Balloon Text"/>
    <w:basedOn w:val="Normal"/>
    <w:link w:val="BalloonTextChar"/>
    <w:uiPriority w:val="99"/>
    <w:semiHidden/>
    <w:rsid w:val="00C122A3"/>
    <w:rPr>
      <w:sz w:val="18"/>
      <w:szCs w:val="18"/>
    </w:rPr>
  </w:style>
  <w:style w:type="character" w:customStyle="1" w:styleId="BalloonTextChar">
    <w:name w:val="Balloon Text Char"/>
    <w:basedOn w:val="DefaultParagraphFont"/>
    <w:link w:val="BalloonText"/>
    <w:uiPriority w:val="99"/>
    <w:semiHidden/>
    <w:rsid w:val="003A53B3"/>
    <w:rPr>
      <w:rFonts w:ascii="Arial" w:hAnsi="Arial"/>
      <w:kern w:val="0"/>
      <w:sz w:val="0"/>
      <w:szCs w:val="0"/>
      <w:lang w:eastAsia="en-US"/>
    </w:rPr>
  </w:style>
  <w:style w:type="paragraph" w:styleId="FootnoteText">
    <w:name w:val="footnote text"/>
    <w:basedOn w:val="Normal"/>
    <w:link w:val="FootnoteTextChar"/>
    <w:uiPriority w:val="99"/>
    <w:rsid w:val="00C046ED"/>
    <w:pPr>
      <w:snapToGrid w:val="0"/>
    </w:pPr>
    <w:rPr>
      <w:sz w:val="18"/>
      <w:szCs w:val="18"/>
    </w:rPr>
  </w:style>
  <w:style w:type="character" w:customStyle="1" w:styleId="FootnoteTextChar">
    <w:name w:val="Footnote Text Char"/>
    <w:basedOn w:val="DefaultParagraphFont"/>
    <w:link w:val="FootnoteText"/>
    <w:uiPriority w:val="99"/>
    <w:locked/>
    <w:rsid w:val="00C046ED"/>
    <w:rPr>
      <w:rFonts w:ascii="Arial" w:hAnsi="Arial" w:cs="Times New Roman"/>
      <w:sz w:val="18"/>
      <w:szCs w:val="18"/>
      <w:lang w:eastAsia="en-US"/>
    </w:rPr>
  </w:style>
  <w:style w:type="character" w:styleId="FootnoteReference">
    <w:name w:val="footnote reference"/>
    <w:aliases w:val="16 Point,Superscript 6 Point,Ref,de nota al pie"/>
    <w:basedOn w:val="DefaultParagraphFont"/>
    <w:uiPriority w:val="99"/>
    <w:rsid w:val="00C046ED"/>
    <w:rPr>
      <w:rFonts w:cs="Times New Roman"/>
      <w:vertAlign w:val="superscript"/>
    </w:rPr>
  </w:style>
  <w:style w:type="character" w:styleId="Strong">
    <w:name w:val="Strong"/>
    <w:basedOn w:val="DefaultParagraphFont"/>
    <w:uiPriority w:val="99"/>
    <w:qFormat/>
    <w:rsid w:val="00512FFD"/>
    <w:rPr>
      <w:rFonts w:cs="Times New Roman"/>
      <w:b/>
    </w:rPr>
  </w:style>
  <w:style w:type="paragraph" w:customStyle="1" w:styleId="Text">
    <w:name w:val="Text"/>
    <w:basedOn w:val="Normal"/>
    <w:uiPriority w:val="99"/>
    <w:rsid w:val="00512FFD"/>
    <w:pPr>
      <w:spacing w:after="0" w:line="240" w:lineRule="auto"/>
      <w:ind w:left="0"/>
    </w:pPr>
    <w:rPr>
      <w:sz w:val="22"/>
      <w:szCs w:val="22"/>
    </w:rPr>
  </w:style>
  <w:style w:type="paragraph" w:customStyle="1" w:styleId="Section">
    <w:name w:val="Section"/>
    <w:basedOn w:val="Heading1"/>
    <w:uiPriority w:val="99"/>
    <w:rsid w:val="00512FFD"/>
    <w:pPr>
      <w:keepNext w:val="0"/>
      <w:keepLines w:val="0"/>
      <w:numPr>
        <w:numId w:val="1"/>
      </w:numPr>
      <w:spacing w:before="0" w:after="0" w:line="240" w:lineRule="auto"/>
      <w:contextualSpacing/>
    </w:pPr>
    <w:rPr>
      <w:kern w:val="0"/>
      <w:sz w:val="22"/>
      <w:szCs w:val="28"/>
    </w:rPr>
  </w:style>
  <w:style w:type="paragraph" w:customStyle="1" w:styleId="Footnote">
    <w:name w:val="Footnote"/>
    <w:basedOn w:val="FootnoteText"/>
    <w:uiPriority w:val="99"/>
    <w:rsid w:val="00512FFD"/>
    <w:pPr>
      <w:snapToGrid/>
      <w:spacing w:after="0" w:line="240" w:lineRule="auto"/>
      <w:ind w:left="0"/>
    </w:pPr>
    <w:rPr>
      <w:szCs w:val="22"/>
    </w:rPr>
  </w:style>
  <w:style w:type="paragraph" w:customStyle="1" w:styleId="Apendix">
    <w:name w:val="Apendix"/>
    <w:basedOn w:val="Heading1"/>
    <w:uiPriority w:val="99"/>
    <w:rsid w:val="00512FFD"/>
    <w:pPr>
      <w:keepNext w:val="0"/>
      <w:keepLines w:val="0"/>
      <w:spacing w:before="0" w:after="0" w:line="240" w:lineRule="auto"/>
      <w:ind w:left="0"/>
      <w:contextualSpacing/>
    </w:pPr>
    <w:rPr>
      <w:kern w:val="0"/>
      <w:sz w:val="22"/>
      <w:szCs w:val="28"/>
    </w:rPr>
  </w:style>
  <w:style w:type="paragraph" w:styleId="CommentText">
    <w:name w:val="annotation text"/>
    <w:basedOn w:val="Normal"/>
    <w:link w:val="CommentTextChar"/>
    <w:uiPriority w:val="99"/>
    <w:rsid w:val="006554EC"/>
    <w:pPr>
      <w:spacing w:after="0" w:line="240" w:lineRule="auto"/>
      <w:ind w:left="0"/>
    </w:pPr>
  </w:style>
  <w:style w:type="character" w:customStyle="1" w:styleId="CommentTextChar">
    <w:name w:val="Comment Text Char"/>
    <w:basedOn w:val="DefaultParagraphFont"/>
    <w:link w:val="CommentText"/>
    <w:uiPriority w:val="99"/>
    <w:locked/>
    <w:rsid w:val="006554EC"/>
    <w:rPr>
      <w:rFonts w:ascii="Arial" w:eastAsia="SimSun" w:hAnsi="Arial" w:cs="Times New Roman"/>
      <w:lang w:eastAsia="en-US"/>
    </w:rPr>
  </w:style>
  <w:style w:type="paragraph" w:styleId="Caption">
    <w:name w:val="caption"/>
    <w:basedOn w:val="Normal"/>
    <w:next w:val="Normal"/>
    <w:uiPriority w:val="99"/>
    <w:qFormat/>
    <w:rsid w:val="00956465"/>
    <w:pPr>
      <w:spacing w:after="0" w:line="240" w:lineRule="auto"/>
      <w:ind w:left="0"/>
    </w:pPr>
    <w:rPr>
      <w:b/>
      <w:bCs/>
      <w:i/>
      <w:szCs w:val="18"/>
    </w:rPr>
  </w:style>
  <w:style w:type="paragraph" w:customStyle="1" w:styleId="captionnotes">
    <w:name w:val="caption notes"/>
    <w:basedOn w:val="Normal"/>
    <w:link w:val="captionnotesChar"/>
    <w:uiPriority w:val="99"/>
    <w:rsid w:val="00956465"/>
    <w:pPr>
      <w:spacing w:after="0" w:line="240" w:lineRule="auto"/>
      <w:ind w:left="0"/>
    </w:pPr>
    <w:rPr>
      <w:i/>
      <w:sz w:val="16"/>
      <w:szCs w:val="22"/>
    </w:rPr>
  </w:style>
  <w:style w:type="character" w:customStyle="1" w:styleId="captionnotesChar">
    <w:name w:val="caption notes Char"/>
    <w:basedOn w:val="DefaultParagraphFont"/>
    <w:link w:val="captionnotes"/>
    <w:uiPriority w:val="99"/>
    <w:locked/>
    <w:rsid w:val="00956465"/>
    <w:rPr>
      <w:rFonts w:ascii="Arial" w:eastAsia="SimSun" w:hAnsi="Arial" w:cs="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A877-D3B3-4439-A972-5EEBFF40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3974</Words>
  <Characters>832</Characters>
  <Application>Microsoft Office Word</Application>
  <DocSecurity>0</DocSecurity>
  <Lines>6</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2013-10-16T15:15:00Z</dcterms:created>
  <dcterms:modified xsi:type="dcterms:W3CDTF">2013-10-25T11:41:00Z</dcterms:modified>
</cp:coreProperties>
</file>