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40DD8" w14:textId="2E2FEE0A" w:rsidR="008B2CC1" w:rsidRPr="00F043DE" w:rsidRDefault="006E789A" w:rsidP="00E41552">
      <w:pPr>
        <w:pBdr>
          <w:bottom w:val="single" w:sz="4" w:space="11" w:color="auto"/>
        </w:pBdr>
        <w:spacing w:after="120"/>
        <w:jc w:val="right"/>
        <w:rPr>
          <w:b/>
          <w:sz w:val="32"/>
          <w:szCs w:val="40"/>
        </w:rPr>
      </w:pPr>
      <w:r>
        <w:rPr>
          <w:noProof/>
          <w:lang w:val="en-US" w:eastAsia="en-US"/>
        </w:rPr>
        <w:drawing>
          <wp:inline distT="0" distB="0" distL="0" distR="0" wp14:anchorId="6A9D8454" wp14:editId="6C986A39">
            <wp:extent cx="3040380" cy="1402080"/>
            <wp:effectExtent l="0" t="0" r="7620" b="762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3CB3E" w14:textId="77777777" w:rsidR="008B2CC1" w:rsidRPr="002326AB" w:rsidRDefault="00E41552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CDIP/30/</w:t>
      </w:r>
      <w:bookmarkStart w:id="0" w:name="Code"/>
      <w:bookmarkEnd w:id="0"/>
      <w:r>
        <w:rPr>
          <w:rFonts w:ascii="Arial Black" w:hAnsi="Arial Black"/>
          <w:caps/>
          <w:sz w:val="15"/>
          <w:szCs w:val="15"/>
        </w:rPr>
        <w:t xml:space="preserve">INF/2 </w:t>
      </w:r>
    </w:p>
    <w:p w14:paraId="1E68F712" w14:textId="77777777"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 xml:space="preserve">ОРИГИНАЛ: </w:t>
      </w:r>
      <w:bookmarkStart w:id="1" w:name="Original"/>
      <w:r>
        <w:rPr>
          <w:rFonts w:ascii="Arial Black" w:hAnsi="Arial Black"/>
          <w:caps/>
          <w:sz w:val="15"/>
          <w:szCs w:val="15"/>
        </w:rPr>
        <w:t>АНГЛИЙСКИЙ</w:t>
      </w:r>
    </w:p>
    <w:bookmarkEnd w:id="1"/>
    <w:p w14:paraId="3BDB3698" w14:textId="0C454BF8"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 xml:space="preserve">ДАТА: </w:t>
      </w:r>
      <w:bookmarkStart w:id="2" w:name="Date"/>
      <w:r>
        <w:rPr>
          <w:rFonts w:ascii="Arial Black" w:hAnsi="Arial Black"/>
          <w:caps/>
          <w:sz w:val="15"/>
          <w:szCs w:val="15"/>
        </w:rPr>
        <w:t>6 МАРТА 2023 ГОДА</w:t>
      </w:r>
    </w:p>
    <w:bookmarkEnd w:id="2"/>
    <w:p w14:paraId="63CA42E1" w14:textId="77777777" w:rsidR="008B2CC1" w:rsidRPr="00720EFD" w:rsidRDefault="00E41552" w:rsidP="002D58DB">
      <w:pPr>
        <w:pStyle w:val="Heading1"/>
        <w:spacing w:before="0" w:after="600"/>
        <w:rPr>
          <w:sz w:val="28"/>
          <w:szCs w:val="28"/>
        </w:rPr>
      </w:pPr>
      <w:r>
        <w:rPr>
          <w:caps w:val="0"/>
          <w:sz w:val="28"/>
          <w:szCs w:val="28"/>
        </w:rPr>
        <w:t>Комитет по развитию и интеллектуальной собственности (КРИС)</w:t>
      </w:r>
    </w:p>
    <w:p w14:paraId="61748D86" w14:textId="77777777" w:rsidR="00A90F0A" w:rsidRDefault="00E41552" w:rsidP="00A90F0A">
      <w:pPr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Тридцатая сессия</w:t>
      </w:r>
    </w:p>
    <w:p w14:paraId="4F663B13" w14:textId="77777777" w:rsidR="008B2CC1" w:rsidRDefault="00E41552" w:rsidP="00414F40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Женева, 24–28 апреля 2023 года</w:t>
      </w:r>
    </w:p>
    <w:p w14:paraId="1FF5293D" w14:textId="77777777" w:rsidR="00414F40" w:rsidRDefault="00414F40" w:rsidP="000A5724">
      <w:pPr>
        <w:spacing w:after="360"/>
        <w:rPr>
          <w:rFonts w:eastAsia="MS Mincho"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РЕЗЮМЕ ОБЗОРНОГО ИССЛЕДОВАНИЯ «СОДЕЙСТВИЕ ШИРОКОМУ ИСПОЛЬЗОВАНИЮ ИНТЕЛЛЕКТУАЛЬНОЙ СОБСТВЕННОСТИ В ТВОРЧЕСКИХ ОТРАСЛЯХ В ЦИФРОВУЮ ЭПОХУ В ЧИЛИ, ИНДОНЕЗИИ, ОБЪЕДИНЕННЫХ АРАБСКИХ ЭМИРАТАХ И УРУГВАЕ.</w:t>
      </w:r>
    </w:p>
    <w:p w14:paraId="1B3BBAC4" w14:textId="63228910" w:rsidR="000A5724" w:rsidRPr="00414F40" w:rsidRDefault="00120346" w:rsidP="001F2BEB">
      <w:pPr>
        <w:pStyle w:val="Heading4"/>
        <w:spacing w:after="960"/>
      </w:pPr>
      <w:bookmarkStart w:id="3" w:name="_GoBack"/>
      <w:r>
        <w:t>Подготовлено г-ном Игнасио Гарроте Фернандесом-Диэсом, Мадридский автономный университет (Universidad Autónoma de Madrid).</w:t>
      </w:r>
    </w:p>
    <w:bookmarkEnd w:id="3"/>
    <w:p w14:paraId="5D78AE1E" w14:textId="14645BC2" w:rsidR="000A5724" w:rsidRPr="000A5724" w:rsidRDefault="000A5724" w:rsidP="000A5724">
      <w:pPr>
        <w:spacing w:after="360"/>
        <w:rPr>
          <w:rFonts w:eastAsia="MS Mincho"/>
          <w:bCs/>
          <w:iCs/>
          <w:szCs w:val="22"/>
        </w:rPr>
      </w:pPr>
      <w:r w:rsidRPr="000A5724">
        <w:rPr>
          <w:rFonts w:eastAsia="Times New Roman"/>
          <w:color w:val="000000"/>
          <w:szCs w:val="22"/>
        </w:rPr>
        <w:fldChar w:fldCharType="begin"/>
      </w:r>
      <w:r w:rsidRPr="000A5724">
        <w:rPr>
          <w:rFonts w:eastAsia="Times New Roman"/>
          <w:color w:val="000000"/>
          <w:szCs w:val="22"/>
        </w:rPr>
        <w:instrText xml:space="preserve"> AUTONUM  </w:instrText>
      </w:r>
      <w:r w:rsidRPr="000A5724">
        <w:rPr>
          <w:rFonts w:eastAsia="Times New Roman"/>
          <w:color w:val="000000"/>
          <w:szCs w:val="22"/>
        </w:rPr>
        <w:fldChar w:fldCharType="end"/>
      </w:r>
      <w:r>
        <w:t xml:space="preserve"> В приложении к настоящему документу </w:t>
      </w:r>
      <w:r w:rsidR="00BD769C">
        <w:t>представлено</w:t>
      </w:r>
      <w:r>
        <w:t xml:space="preserve"> резюме Обзорного исследования «Содействие широкому использованию интеллектуальной собственности в творческих отраслях в цифровую эпоху в Чили, Индонезии, Объединенных Арабских Эмиратах и Уругвае».</w:t>
      </w:r>
    </w:p>
    <w:p w14:paraId="12A734F4" w14:textId="489E29BC" w:rsidR="00303A96" w:rsidRPr="00303A96" w:rsidRDefault="000A5724" w:rsidP="00303A96">
      <w:pPr>
        <w:spacing w:after="360"/>
        <w:rPr>
          <w:rFonts w:eastAsia="MS Mincho"/>
          <w:bCs/>
          <w:iCs/>
          <w:szCs w:val="22"/>
        </w:rPr>
      </w:pPr>
      <w:r w:rsidRPr="000A5724">
        <w:rPr>
          <w:rFonts w:eastAsia="MS Mincho"/>
          <w:bCs/>
          <w:iCs/>
          <w:szCs w:val="22"/>
        </w:rPr>
        <w:fldChar w:fldCharType="begin"/>
      </w:r>
      <w:r w:rsidRPr="000A5724">
        <w:rPr>
          <w:rFonts w:eastAsia="MS Mincho"/>
          <w:bCs/>
          <w:iCs/>
          <w:szCs w:val="22"/>
        </w:rPr>
        <w:instrText xml:space="preserve"> AUTONUM  </w:instrText>
      </w:r>
      <w:r w:rsidRPr="000A5724">
        <w:rPr>
          <w:rFonts w:eastAsia="MS Mincho"/>
          <w:bCs/>
          <w:iCs/>
          <w:szCs w:val="22"/>
        </w:rPr>
        <w:fldChar w:fldCharType="end"/>
      </w:r>
      <w:r>
        <w:t xml:space="preserve"> Настоящий документ был подготовлен в контексте проекта Повестки дня в области развития «Содействие широкому использованию интеллектуальной собственности в творческих отраслях в цифровую эпоху».</w:t>
      </w:r>
      <w:r w:rsidR="006E789A">
        <w:t xml:space="preserve"> </w:t>
      </w:r>
      <w:r>
        <w:t>Он был подготовлен г-ном Игнасио Гарроте Фернандесом-Диэсом, профессором Мадридского автономного университета (Universidad Autónoma de Madrid).</w:t>
      </w:r>
    </w:p>
    <w:p w14:paraId="559C6DB7" w14:textId="2D8D6FAF" w:rsidR="00414F40" w:rsidRPr="000A5724" w:rsidRDefault="000A5724" w:rsidP="000A5724">
      <w:pPr>
        <w:spacing w:after="360"/>
        <w:ind w:left="5533"/>
        <w:rPr>
          <w:rFonts w:eastAsia="MS Mincho"/>
          <w:bCs/>
          <w:iCs/>
          <w:szCs w:val="22"/>
        </w:rPr>
      </w:pPr>
      <w:r w:rsidRPr="000A5724">
        <w:rPr>
          <w:rFonts w:eastAsia="MS Mincho"/>
          <w:bCs/>
          <w:i/>
          <w:iCs/>
          <w:szCs w:val="22"/>
        </w:rPr>
        <w:fldChar w:fldCharType="begin"/>
      </w:r>
      <w:r w:rsidRPr="000A5724">
        <w:rPr>
          <w:rFonts w:eastAsia="MS Mincho"/>
          <w:bCs/>
          <w:i/>
          <w:iCs/>
          <w:szCs w:val="22"/>
        </w:rPr>
        <w:instrText xml:space="preserve"> AUTONUM  </w:instrText>
      </w:r>
      <w:r w:rsidRPr="000A5724">
        <w:rPr>
          <w:rFonts w:eastAsia="MS Mincho"/>
          <w:bCs/>
          <w:i/>
          <w:iCs/>
          <w:szCs w:val="22"/>
        </w:rPr>
        <w:fldChar w:fldCharType="end"/>
      </w:r>
      <w:r w:rsidR="00BD769C">
        <w:rPr>
          <w:rFonts w:eastAsia="MS Mincho"/>
          <w:bCs/>
          <w:i/>
          <w:iCs/>
          <w:szCs w:val="22"/>
        </w:rPr>
        <w:t xml:space="preserve"> </w:t>
      </w:r>
      <w:r>
        <w:rPr>
          <w:i/>
          <w:color w:val="000000"/>
          <w:szCs w:val="22"/>
        </w:rPr>
        <w:t>КРИС предлагается принять к сведению информацию, содержащуюся в приложении к настоящему документу.</w:t>
      </w:r>
    </w:p>
    <w:p w14:paraId="6D29DC9F" w14:textId="77777777" w:rsidR="00414F40" w:rsidRPr="000A5724" w:rsidRDefault="00414F40" w:rsidP="001203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0"/>
        <w:ind w:left="5530"/>
        <w:rPr>
          <w:rFonts w:eastAsia="Arial"/>
          <w:color w:val="000000"/>
          <w:szCs w:val="22"/>
        </w:rPr>
        <w:sectPr w:rsidR="00414F40" w:rsidRPr="000A5724" w:rsidSect="0028705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326"/>
        </w:sectPr>
      </w:pPr>
      <w:r>
        <w:rPr>
          <w:color w:val="000000"/>
          <w:szCs w:val="22"/>
        </w:rPr>
        <w:t>[Приложение следует]</w:t>
      </w:r>
    </w:p>
    <w:p w14:paraId="7A01A31D" w14:textId="26024752" w:rsidR="00414F40" w:rsidRPr="00AC1B83" w:rsidRDefault="0011372B" w:rsidP="00882F86">
      <w:pPr>
        <w:pStyle w:val="Heading1"/>
        <w:spacing w:after="240"/>
      </w:pPr>
      <w:bookmarkStart w:id="4" w:name="Prepared"/>
      <w:bookmarkEnd w:id="4"/>
      <w:r>
        <w:rPr>
          <w:caps w:val="0"/>
        </w:rPr>
        <w:lastRenderedPageBreak/>
        <w:t>РЕЗЮМЕ ОБЗОРНОГО ИССЛЕДОВАНИЯ «СОДЕЙСТВИЕ ШИРОКОМУ ИСПОЛЬЗОВАНИЮ ИНТЕЛЛЕКТУАЛЬНОЙ СОБСТВЕННОСТИ В ТВОРЧЕСКИХ ОТРАСЛЯХ В ЦИФРОВУЮ ЭПОХУ В ЧИЛИ, ИНДОНЕЗИИ, ОБЪЕДИНЕННЫХ АРАБСКИХ ЭМИРАТАХ И УРУГВАЕ</w:t>
      </w:r>
    </w:p>
    <w:p w14:paraId="498F0903" w14:textId="77777777" w:rsidR="00414F40" w:rsidRPr="00AC1B83" w:rsidRDefault="00414F40" w:rsidP="00882F86">
      <w:pPr>
        <w:pStyle w:val="Heading2"/>
        <w:numPr>
          <w:ilvl w:val="0"/>
          <w:numId w:val="11"/>
        </w:numPr>
        <w:spacing w:after="240"/>
      </w:pPr>
      <w:r>
        <w:t>ЦЕЛИ И ОБЗОР ИССЛЕДОВАНИЯ</w:t>
      </w:r>
    </w:p>
    <w:p w14:paraId="799970A1" w14:textId="48749081" w:rsidR="00414F40" w:rsidRPr="00AC1B83" w:rsidRDefault="00681E3D" w:rsidP="00882F86">
      <w:pPr>
        <w:spacing w:after="240"/>
        <w:rPr>
          <w:szCs w:val="22"/>
        </w:rPr>
      </w:pPr>
      <w:r>
        <w:t>Данное исследование</w:t>
      </w:r>
      <w:r>
        <w:rPr>
          <w:rStyle w:val="FootnoteReference"/>
          <w:szCs w:val="22"/>
        </w:rPr>
        <w:footnoteReference w:id="2"/>
      </w:r>
      <w:r>
        <w:t xml:space="preserve"> призвано охватить вопросы, которые необходимо учитывать в целях содействия использованию прав интеллектуальной собственности (ИС) в цифровую эпоху в Чили, Индонезии, Объединенных Арабских Эмиратах и Уругвае.</w:t>
      </w:r>
    </w:p>
    <w:p w14:paraId="4CCED990" w14:textId="0EA950AD" w:rsidR="00414F40" w:rsidRPr="00AC1B83" w:rsidRDefault="00681E3D" w:rsidP="00882F86">
      <w:pPr>
        <w:spacing w:after="240"/>
        <w:rPr>
          <w:rFonts w:eastAsia="MS Mincho"/>
          <w:iCs/>
          <w:szCs w:val="22"/>
        </w:rPr>
      </w:pPr>
      <w:r>
        <w:t>Цель исследования заключается в разработке стратегических рекомендаций для оказания содействия четырем странам в достижении их национальных целей.</w:t>
      </w:r>
      <w:r w:rsidR="006E789A">
        <w:t xml:space="preserve"> </w:t>
      </w:r>
      <w:r>
        <w:t>В нем отобраны различные вопросы в национальн</w:t>
      </w:r>
      <w:r w:rsidR="003B30B0">
        <w:t>ом законодательстве</w:t>
      </w:r>
      <w:r>
        <w:t xml:space="preserve">, которые </w:t>
      </w:r>
      <w:r w:rsidR="003B30B0">
        <w:t>необходимо учесть</w:t>
      </w:r>
      <w:r>
        <w:t xml:space="preserve"> в пяти выбранных секторах (т. е. в аудиовизуальном секторе, секторе видеоигр/мобильных приложений, музыкальном секторе, издательском секторе и индустрии моды).</w:t>
      </w:r>
    </w:p>
    <w:p w14:paraId="7F5217A7" w14:textId="738E24EC" w:rsidR="00414F40" w:rsidRPr="00AC1B83" w:rsidRDefault="00414F40" w:rsidP="00882F86">
      <w:pPr>
        <w:spacing w:after="240"/>
        <w:rPr>
          <w:rFonts w:eastAsia="MS Mincho"/>
          <w:iCs/>
          <w:szCs w:val="22"/>
        </w:rPr>
      </w:pPr>
      <w:r>
        <w:t>Вместо академического подхода предпочтение отдается практическим решениям и рекомендациям.</w:t>
      </w:r>
      <w:r w:rsidR="006E789A">
        <w:t xml:space="preserve"> </w:t>
      </w:r>
      <w:r>
        <w:t>Таким образом, наиболее важным фактором в анализе является собственная правовая и экономическая реальность страны и ее предполагаемые проблемы, связанные с национальной системой прав ИС.</w:t>
      </w:r>
    </w:p>
    <w:p w14:paraId="5A6541C2" w14:textId="2244C9D6" w:rsidR="00414F40" w:rsidRPr="00AC1B83" w:rsidRDefault="00414F40" w:rsidP="00882F86">
      <w:pPr>
        <w:spacing w:after="240"/>
        <w:rPr>
          <w:rFonts w:eastAsia="MS Mincho"/>
          <w:iCs/>
          <w:szCs w:val="22"/>
        </w:rPr>
      </w:pPr>
      <w:r>
        <w:t xml:space="preserve">С учетом таких практических вопросов в настоящем исследовании основное внимание уделяется проблематике авторских и смежных прав, поскольку именно они </w:t>
      </w:r>
      <w:r w:rsidR="003B30B0">
        <w:t>играют основную роль</w:t>
      </w:r>
      <w:r>
        <w:t>, когда речь идет о продаже продукции и услуг творческих и культурных отраслей в цифровой среде.</w:t>
      </w:r>
    </w:p>
    <w:p w14:paraId="6C825277" w14:textId="2D6BFC37" w:rsidR="00414F40" w:rsidRPr="00AC1B83" w:rsidRDefault="00414F40" w:rsidP="00882F86">
      <w:pPr>
        <w:spacing w:after="240"/>
        <w:rPr>
          <w:rFonts w:eastAsia="MS Mincho"/>
          <w:iCs/>
          <w:szCs w:val="22"/>
        </w:rPr>
      </w:pPr>
      <w:r>
        <w:t>С учетом целей и использованной методологии рекомендации, включенные в данное исследование, не следует считать стандартными.</w:t>
      </w:r>
      <w:r w:rsidR="006E789A">
        <w:t xml:space="preserve"> </w:t>
      </w:r>
      <w:r>
        <w:t>Они представляют собой баланс между стандартными подходами и индивидуальными решениями и призваны стать лишь пожеланиями или предложениями о принятии мер для национальных законодательных органов.</w:t>
      </w:r>
    </w:p>
    <w:p w14:paraId="1DCB8E18" w14:textId="43FFE019" w:rsidR="00414F40" w:rsidRPr="00AC1B83" w:rsidRDefault="00414F40" w:rsidP="00882F86">
      <w:pPr>
        <w:spacing w:after="240"/>
        <w:rPr>
          <w:rFonts w:eastAsia="MS Mincho"/>
          <w:iCs/>
          <w:szCs w:val="22"/>
        </w:rPr>
      </w:pPr>
      <w:r>
        <w:t>После вводной главы исследование разделено на три главы.</w:t>
      </w:r>
      <w:r w:rsidR="006E789A">
        <w:t xml:space="preserve"> </w:t>
      </w:r>
      <w:r>
        <w:t>В главе II рассматривается экономический и деловой ландшафт для развития творческих отраслей в цифровой среде в каждой из четырех стран.</w:t>
      </w:r>
    </w:p>
    <w:p w14:paraId="7B9CB690" w14:textId="21C42B42" w:rsidR="00414F40" w:rsidRPr="00AC1B83" w:rsidRDefault="00414F40" w:rsidP="00882F86">
      <w:pPr>
        <w:spacing w:after="360"/>
        <w:rPr>
          <w:rFonts w:eastAsia="MS Mincho"/>
          <w:iCs/>
          <w:szCs w:val="22"/>
        </w:rPr>
      </w:pPr>
      <w:r>
        <w:t>В главе III описан ландшафт прав ИС на национальном уровне, позволяющий определить, может ли законодательство и его практическое применение должным образом обеспечить цифровое использование произведений и других объектов.</w:t>
      </w:r>
      <w:r w:rsidR="006E789A">
        <w:t xml:space="preserve"> </w:t>
      </w:r>
      <w:r>
        <w:t>Далее в главе IV приведены рекомендации по содействию использованию прав ИС в цифровой среде в пяти выбранных секторах.</w:t>
      </w:r>
    </w:p>
    <w:p w14:paraId="22F764F1" w14:textId="40FA962A" w:rsidR="00414F40" w:rsidRPr="00AC1B83" w:rsidRDefault="0011372B" w:rsidP="00882F86">
      <w:pPr>
        <w:pStyle w:val="Heading2"/>
        <w:numPr>
          <w:ilvl w:val="0"/>
          <w:numId w:val="11"/>
        </w:numPr>
        <w:spacing w:after="240"/>
        <w:rPr>
          <w:rFonts w:eastAsia="MS Mincho"/>
        </w:rPr>
      </w:pPr>
      <w:r>
        <w:rPr>
          <w:caps w:val="0"/>
        </w:rPr>
        <w:t>РЫНОЧНЫЙ ЛАНДШАФТ</w:t>
      </w:r>
      <w:r w:rsidR="003B30B0">
        <w:rPr>
          <w:caps w:val="0"/>
        </w:rPr>
        <w:t xml:space="preserve"> ДЛЯ</w:t>
      </w:r>
      <w:r>
        <w:rPr>
          <w:caps w:val="0"/>
        </w:rPr>
        <w:t xml:space="preserve"> ТВОРЧЕСКИХ ОТРАСЛЕЙ В ЦИФРОВОЙ СРЕДЕ В ЧИЛИ, ИНДОНЕЗИИ, ОБЪЕДИНЕННЫХ АРАБСКИХ ЭМИРАТАХ И УРУГВАЕ</w:t>
      </w:r>
    </w:p>
    <w:p w14:paraId="71B5DA22" w14:textId="399E6503" w:rsidR="00414F40" w:rsidRPr="00AC1B83" w:rsidRDefault="00414F40" w:rsidP="00882F86">
      <w:pPr>
        <w:spacing w:after="240"/>
        <w:rPr>
          <w:szCs w:val="22"/>
        </w:rPr>
      </w:pPr>
      <w:bookmarkStart w:id="5" w:name="_Hlk118008556"/>
      <w:r>
        <w:t>Текущее состояние творческих отраслей в четырех странах сильно различается в зависимости от национальных особенностей.</w:t>
      </w:r>
      <w:r w:rsidR="006E789A">
        <w:t xml:space="preserve"> </w:t>
      </w:r>
      <w:r>
        <w:t>Кроме того, существует множество различий в уровне развития каждого сектора внутри стран.</w:t>
      </w:r>
    </w:p>
    <w:bookmarkEnd w:id="5"/>
    <w:p w14:paraId="4CFF7DCA" w14:textId="632AE14A" w:rsidR="00414F40" w:rsidRPr="00AC1B83" w:rsidRDefault="00414F40" w:rsidP="00882F86">
      <w:pPr>
        <w:spacing w:after="240"/>
        <w:rPr>
          <w:szCs w:val="22"/>
        </w:rPr>
      </w:pPr>
      <w:r>
        <w:lastRenderedPageBreak/>
        <w:t>Однако эти различия не следует преувеличивать.</w:t>
      </w:r>
      <w:r w:rsidR="006E789A">
        <w:t xml:space="preserve"> </w:t>
      </w:r>
      <w:r>
        <w:t xml:space="preserve">С практической точки зрения рынок функционирует довольно сходным образом в сильно интернационализированных цифровых бизнес-средах, таких как аудиовизуальный сектор, музыка, видеоигры/мобильные приложения, и — в меньшей степени — издательское дело и мода. </w:t>
      </w:r>
    </w:p>
    <w:p w14:paraId="3555FA3C" w14:textId="310F7412" w:rsidR="00414F40" w:rsidRPr="00AC1B83" w:rsidRDefault="00414F40" w:rsidP="00882F86">
      <w:pPr>
        <w:spacing w:after="240"/>
        <w:rPr>
          <w:szCs w:val="22"/>
        </w:rPr>
      </w:pPr>
      <w:r>
        <w:t>Что касается структуры рынка в четырех странах, то большинство компаний, действующих в творческих отраслях, принадлежат и управляются национальными субъектами.</w:t>
      </w:r>
      <w:r w:rsidR="006E789A">
        <w:t xml:space="preserve"> </w:t>
      </w:r>
      <w:r>
        <w:t xml:space="preserve">Многие местные компании уже переживают процесс дифференциации своей деятельности (т. е. начинают проводить различие между физическими товарами и цифровыми продуктами и услугами), в то время как другие перешли </w:t>
      </w:r>
      <w:r w:rsidR="003B30B0">
        <w:t>напрямую</w:t>
      </w:r>
      <w:r>
        <w:t xml:space="preserve"> на цифровой рынок.</w:t>
      </w:r>
    </w:p>
    <w:p w14:paraId="10E385F3" w14:textId="01C0A739" w:rsidR="00414F40" w:rsidRPr="00AC1B83" w:rsidRDefault="00414F40" w:rsidP="00882F86">
      <w:pPr>
        <w:spacing w:after="240"/>
        <w:rPr>
          <w:szCs w:val="22"/>
        </w:rPr>
      </w:pPr>
      <w:r>
        <w:t>Что касается развития рынка, то вклад творческих отраслей в национальный ВВП и численность рабочей силы неуклонно растут, составляя значительную часть цифрового рынка в четырех странах.</w:t>
      </w:r>
      <w:r w:rsidR="006E789A">
        <w:t xml:space="preserve"> </w:t>
      </w:r>
      <w:r>
        <w:t>Сектор видеоигр/мобильных приложений вносит значительный вклад в рост продаж в четырех странах.</w:t>
      </w:r>
    </w:p>
    <w:p w14:paraId="402EB0BD" w14:textId="04C89348" w:rsidR="00414F40" w:rsidRPr="00AC1B83" w:rsidRDefault="00414F40" w:rsidP="00882F86">
      <w:pPr>
        <w:spacing w:after="240"/>
        <w:rPr>
          <w:szCs w:val="22"/>
        </w:rPr>
      </w:pPr>
      <w:r>
        <w:t xml:space="preserve">Аудиовизуальная индустрия характеризуется наличием сильного цифрового рынка, на котором в значительной степени доминируют крупные международные платформы, за исключением некоторых стран, таких как Индонезия и Объединенные Арабские Эмираты. </w:t>
      </w:r>
    </w:p>
    <w:p w14:paraId="41801452" w14:textId="4C45D07E" w:rsidR="00414F40" w:rsidRPr="00AC1B83" w:rsidRDefault="00414F40" w:rsidP="00882F86">
      <w:pPr>
        <w:spacing w:after="240"/>
        <w:rPr>
          <w:szCs w:val="22"/>
        </w:rPr>
      </w:pPr>
      <w:r>
        <w:t>Музыкальный сектор почти полностью перешел на модель продажи музыки как цифровой услуги.</w:t>
      </w:r>
      <w:r w:rsidR="006E789A">
        <w:t xml:space="preserve"> </w:t>
      </w:r>
      <w:r>
        <w:t xml:space="preserve">Во всех четырех странах наблюдается значительный ежегодный рост продаж цифровой музыки. </w:t>
      </w:r>
    </w:p>
    <w:p w14:paraId="15650D54" w14:textId="47D942B3" w:rsidR="00414F40" w:rsidRPr="00AC1B83" w:rsidRDefault="00414F40" w:rsidP="00882F86">
      <w:pPr>
        <w:spacing w:after="240"/>
        <w:rPr>
          <w:szCs w:val="22"/>
        </w:rPr>
      </w:pPr>
      <w:r>
        <w:t>Сектор издательского дела отличается разнообразием, и его переход к цифровому рынку не является однородным.</w:t>
      </w:r>
      <w:r w:rsidR="006E789A">
        <w:t xml:space="preserve"> </w:t>
      </w:r>
      <w:r>
        <w:t>Переход к исключительно цифровому использованию почти завершен в четырех странах в области научных публикаций и, в меньшей степени, в области прессы, тогда как в других областях, таких как электронные книги, этот процесс идет медленнее.</w:t>
      </w:r>
    </w:p>
    <w:p w14:paraId="508CE066" w14:textId="6A1DBC6E" w:rsidR="00414F40" w:rsidRPr="00AC1B83" w:rsidRDefault="00414F40" w:rsidP="00882F86">
      <w:pPr>
        <w:spacing w:after="240"/>
        <w:rPr>
          <w:szCs w:val="22"/>
        </w:rPr>
      </w:pPr>
      <w:r>
        <w:t>В индустрии моды наблюдается рост продаж контрафактной продукции, что связано с развитием платформ электронной торговли.</w:t>
      </w:r>
      <w:r w:rsidR="006E789A">
        <w:t xml:space="preserve"> </w:t>
      </w:r>
      <w:r>
        <w:t>Однако появление электронной одежды в метавселенной и аватаров для игровой индустрии, наряду с другими новыми рынками, создает новые возможности для этой индустрии.</w:t>
      </w:r>
    </w:p>
    <w:p w14:paraId="020D75C1" w14:textId="5B19EA2D" w:rsidR="00414F40" w:rsidRPr="00AC1B83" w:rsidRDefault="00414F40" w:rsidP="00882F86">
      <w:pPr>
        <w:spacing w:after="240"/>
        <w:rPr>
          <w:szCs w:val="22"/>
        </w:rPr>
      </w:pPr>
      <w:r>
        <w:t>Пандемия негативно повлияла на некоторые сектора, такие как мода, но также дала толчок развитию изначально цифровых отраслей, таких как сектор видеоигр/мобильных приложений, и ускорила переход к цифровым стриминговым сервисам на музыкальном и аудиовизуальном рынках.</w:t>
      </w:r>
      <w:r w:rsidR="006E789A">
        <w:t xml:space="preserve"> </w:t>
      </w:r>
      <w:r>
        <w:t xml:space="preserve">В любом случае последствия пандемии к настоящему времени преодолены. </w:t>
      </w:r>
    </w:p>
    <w:p w14:paraId="7E43ED39" w14:textId="1C22DC56" w:rsidR="00414F40" w:rsidRPr="00AC1B83" w:rsidRDefault="00414F40" w:rsidP="00882F86">
      <w:pPr>
        <w:spacing w:after="360"/>
        <w:rPr>
          <w:szCs w:val="22"/>
        </w:rPr>
      </w:pPr>
      <w:r>
        <w:t>Все четыре страны проводят активную национальную политику по развитию творческих отраслей</w:t>
      </w:r>
      <w:r w:rsidR="003B30B0">
        <w:t>,</w:t>
      </w:r>
      <w:r>
        <w:t xml:space="preserve"> а недавно в них были проведены законодательные реформы, направленные на </w:t>
      </w:r>
      <w:r w:rsidR="003B30B0">
        <w:t>содействие обеспечению охраны</w:t>
      </w:r>
      <w:r>
        <w:t xml:space="preserve"> прав интеллектуальной и промышленной собственности.</w:t>
      </w:r>
    </w:p>
    <w:p w14:paraId="41DB273C" w14:textId="006B8DA9" w:rsidR="00120346" w:rsidRDefault="0011372B" w:rsidP="00882F86">
      <w:pPr>
        <w:pStyle w:val="Heading2"/>
        <w:numPr>
          <w:ilvl w:val="0"/>
          <w:numId w:val="11"/>
        </w:numPr>
        <w:spacing w:after="240"/>
      </w:pPr>
      <w:r>
        <w:rPr>
          <w:caps w:val="0"/>
        </w:rPr>
        <w:t>ЛАНДШАФТ ПРАВ ИС И ВЫЗОВЫ ДЛЯ ТВОРЧЕСКИХ ОТРАСЛЕЙ В ЦИФРОВОЙ СРЕДЕ В ЧИЛИ, ИНДОНЕЗИИ, ОАЭ И УРУГВАЕ</w:t>
      </w:r>
    </w:p>
    <w:p w14:paraId="4A45541A" w14:textId="4F8DD389" w:rsidR="00414F40" w:rsidRPr="00AC1B83" w:rsidRDefault="00414F40" w:rsidP="00882F86">
      <w:pPr>
        <w:spacing w:after="240"/>
        <w:rPr>
          <w:szCs w:val="22"/>
        </w:rPr>
      </w:pPr>
      <w:r>
        <w:t>Конституционные рамки и правовые традиции в четырех странах, проанализированных в настоящем исследовании, кардинально различаются, но эти различия гораздо менее важны в области законодательства об авторском праве.</w:t>
      </w:r>
    </w:p>
    <w:p w14:paraId="180E384A" w14:textId="395D0513" w:rsidR="00414F40" w:rsidRPr="00AC1B83" w:rsidRDefault="00414F40" w:rsidP="00882F86">
      <w:pPr>
        <w:spacing w:after="240"/>
        <w:rPr>
          <w:szCs w:val="22"/>
        </w:rPr>
      </w:pPr>
      <w:r>
        <w:t>Это часть права, которая выиграла от вступления в силу различных международных многосторонних договоров, содержащих отсылки друг к другу.</w:t>
      </w:r>
      <w:r w:rsidR="006E789A">
        <w:t xml:space="preserve"> </w:t>
      </w:r>
      <w:r>
        <w:t>Это позволило создать действительно международный режим авторского права, который в определенной степени является однородным.</w:t>
      </w:r>
      <w:r w:rsidR="006E789A">
        <w:t xml:space="preserve"> </w:t>
      </w:r>
      <w:r>
        <w:t>Это гарантирует, среди прочего, принципы территориальности и национального режима, систему охраны, не требующую соблюдения формальностей, минимальный уровень охраны в течение предусмотренного срока, экономические права, исключения и ограничения.</w:t>
      </w:r>
      <w:r w:rsidR="006E789A">
        <w:t xml:space="preserve"> </w:t>
      </w:r>
      <w:r>
        <w:t>Во всех четырех странах осуществляется регулирование личных неимущественных прав, причем в трех из них законодательство основывается на гуманистическом подходе континентальной правовой традиции, тогда как в Индонезии оно носит более гибридный характер.</w:t>
      </w:r>
    </w:p>
    <w:p w14:paraId="2698C572" w14:textId="33316228" w:rsidR="00414F40" w:rsidRPr="00AC1B83" w:rsidRDefault="00414F40" w:rsidP="00882F86">
      <w:pPr>
        <w:spacing w:after="240"/>
        <w:rPr>
          <w:szCs w:val="22"/>
        </w:rPr>
      </w:pPr>
      <w:r>
        <w:t>Что касается роли прав ИС в разных странах, то исследование показывает, что авторские и смежные права являются важнейшей частью повседневной деятельности творческих отраслей на цифровых рынках.</w:t>
      </w:r>
      <w:r w:rsidR="006E789A">
        <w:t xml:space="preserve"> </w:t>
      </w:r>
      <w:r>
        <w:t>По сути дела, почти все источники монетизации цифровых произведений и других объектов — от классического стриминга и скачивания до более новых рынков, таких как продажи в социальных сетях, — требуют управления сложными правами ИС.</w:t>
      </w:r>
    </w:p>
    <w:p w14:paraId="78C88FCD" w14:textId="1B6D2941" w:rsidR="00414F40" w:rsidRPr="00AC1B83" w:rsidRDefault="00681E3D" w:rsidP="00882F86">
      <w:pPr>
        <w:spacing w:after="240"/>
        <w:rPr>
          <w:szCs w:val="22"/>
        </w:rPr>
      </w:pPr>
      <w:r>
        <w:t>В исследовании определены четыре области правовой охраны авторских и смежных прав, которые считаются наиболее важными для обеспечения адекватной охраны прав в цифровой среде.</w:t>
      </w:r>
      <w:r w:rsidR="006E789A">
        <w:t xml:space="preserve"> </w:t>
      </w:r>
      <w:r>
        <w:t xml:space="preserve">К числу этих областей относятся: спектр произведений, охраняемых в рамках авторского права, и его адаптация к новым формам творческого выражения в цифровом виде; экономические права, охраняемые авторским правом; ограничения и исключения из экономических прав; а также правила </w:t>
      </w:r>
      <w:r w:rsidR="00D314AC">
        <w:t>владения</w:t>
      </w:r>
      <w:r>
        <w:t xml:space="preserve"> и передачи авторских и смежных прав.</w:t>
      </w:r>
      <w:r w:rsidR="006E789A">
        <w:t xml:space="preserve"> </w:t>
      </w:r>
      <w:r>
        <w:t>Эти области рассматриваются в исследовании по отдельности с опорой на национальное законодательство Чили, Индонезии, Объединенных Арабских Эмиратов и Уругвая.</w:t>
      </w:r>
    </w:p>
    <w:p w14:paraId="0C0B4423" w14:textId="46C29543" w:rsidR="00414F40" w:rsidRPr="00AC1B83" w:rsidRDefault="00414F40" w:rsidP="00882F86">
      <w:pPr>
        <w:spacing w:after="240"/>
        <w:rPr>
          <w:szCs w:val="22"/>
        </w:rPr>
      </w:pPr>
      <w:r>
        <w:t>В исследовании сделан вывод о том, что в целом законодательство разных стран хорошо подготовлено к охране произведений в цифровой форме.</w:t>
      </w:r>
      <w:r w:rsidR="006E789A">
        <w:t xml:space="preserve"> </w:t>
      </w:r>
      <w:r>
        <w:t>Во всех четырех странах также были изменены определения экономических прав с учетом технологических достижений и включены правила присвоения первоначальных авторских прав и передачи экономических прав.</w:t>
      </w:r>
      <w:r w:rsidR="006E789A">
        <w:t xml:space="preserve"> </w:t>
      </w:r>
      <w:r>
        <w:t xml:space="preserve">Однако национальные законодательные органы в основном не внесли изменения в свои национальные исключения и ограничения для новых цифровых видов использования произведений и охраняемых объектов. </w:t>
      </w:r>
    </w:p>
    <w:p w14:paraId="1D9CCB73" w14:textId="7BB34886" w:rsidR="00414F40" w:rsidRPr="00AC1B83" w:rsidRDefault="00414F40" w:rsidP="00882F86">
      <w:pPr>
        <w:spacing w:after="240"/>
        <w:rPr>
          <w:szCs w:val="22"/>
        </w:rPr>
      </w:pPr>
      <w:r>
        <w:t>В исследовании рассматриваются еще три области, касающиеся практического функционирования прав ИС, отдельно для каждой страны, а именно: национальная система коллективного управления правами, защита прав в цифровой среде и регулирование ответственности поставщиков посреднических услуг в Интернете в случаях нарушения авторских прав.</w:t>
      </w:r>
    </w:p>
    <w:p w14:paraId="5D67E56A" w14:textId="77777777" w:rsidR="00414F40" w:rsidRPr="00AC1B83" w:rsidRDefault="00414F40" w:rsidP="00882F86">
      <w:pPr>
        <w:spacing w:after="240"/>
        <w:rPr>
          <w:szCs w:val="22"/>
        </w:rPr>
      </w:pPr>
      <w:r>
        <w:t>Национальная структура и практическое функционирование организаций коллективного управления (ОКУ) в разных странах могут быть улучшены, и на национальном уровне уже предпринимаются значительные усилия.</w:t>
      </w:r>
    </w:p>
    <w:p w14:paraId="1EA31AAB" w14:textId="37D966B3" w:rsidR="00414F40" w:rsidRPr="00AC1B83" w:rsidRDefault="00414F40" w:rsidP="00882F86">
      <w:pPr>
        <w:spacing w:after="240"/>
        <w:rPr>
          <w:szCs w:val="22"/>
        </w:rPr>
      </w:pPr>
      <w:r>
        <w:t>Что касается вопроса правоприменения в цифровой среде, то ландшафт в четырех странах существенно различается, и в исследовании эти различия кратко отражены.</w:t>
      </w:r>
      <w:r w:rsidR="006E789A">
        <w:t xml:space="preserve"> </w:t>
      </w:r>
      <w:r>
        <w:t>В нем также сделан вывод о том, что, несмотря на самые разные усилия правоохранительных органов четырех стран, число нарушений остается высоким, особенно в онлайновой среде.</w:t>
      </w:r>
      <w:r w:rsidR="006E789A">
        <w:t xml:space="preserve"> </w:t>
      </w:r>
      <w:r>
        <w:t>Есть также возможности для улучшений в том, что касается обеспечения мер технической защиты и информации об управлении правами, поскольку правила Договора ВОИС по авторскому праву (ДАП) и Договора ВОИС по исполнениям и фонограммам (ДИФ) по этим вопросам в основном не были должным образом реализованы в национальном законодательстве.</w:t>
      </w:r>
    </w:p>
    <w:p w14:paraId="0AD0A026" w14:textId="4C4A746C" w:rsidR="00414F40" w:rsidRDefault="00414F40" w:rsidP="00882F86">
      <w:pPr>
        <w:spacing w:after="360"/>
        <w:rPr>
          <w:szCs w:val="22"/>
        </w:rPr>
      </w:pPr>
      <w:r>
        <w:t>Что касается регулирования вторичной ответственности интернет-посредников, то, как показано в исследовании, национальные законы существенно различаются.</w:t>
      </w:r>
      <w:r w:rsidR="006E789A">
        <w:t xml:space="preserve"> </w:t>
      </w:r>
      <w:r>
        <w:t>В этой связи сделан вывод о том, что законодательные действия могут помочь обеспечить охрану авторских прав.</w:t>
      </w:r>
    </w:p>
    <w:p w14:paraId="0FDFEAC3" w14:textId="77777777" w:rsidR="00414F40" w:rsidRPr="002F3B4D" w:rsidRDefault="00414F40" w:rsidP="00882F86">
      <w:pPr>
        <w:pStyle w:val="Heading2"/>
        <w:numPr>
          <w:ilvl w:val="0"/>
          <w:numId w:val="11"/>
        </w:numPr>
        <w:spacing w:after="240"/>
      </w:pPr>
      <w:r>
        <w:t>РЕКОМЕНДАЦИИ ПО СОДЕЙСТВИЮ БОЛЕЕ ШИРОКОМУ ИСПОЛЬЗОВАНИЮ ПРАВ ИС В ЦИФРОВОЙ СРЕДЕ В ЧИЛИ, ИНДОНЕЗИИ, ОБЪЕДИНЕННЫХ АРАБСКИХ ЭМИРАТАХ И УРУГВАЕ</w:t>
      </w:r>
    </w:p>
    <w:p w14:paraId="107924C1" w14:textId="7D0DFDBB" w:rsidR="00414F40" w:rsidRDefault="00414F40" w:rsidP="00882F86">
      <w:pPr>
        <w:spacing w:after="240"/>
        <w:rPr>
          <w:szCs w:val="22"/>
        </w:rPr>
      </w:pPr>
      <w:r>
        <w:t xml:space="preserve">В исследовании рекомендации в области регулирования для выбранных стран разделены на четыре основные </w:t>
      </w:r>
      <w:r w:rsidR="006A75E8">
        <w:t>группы</w:t>
      </w:r>
      <w:r>
        <w:t>, а именно: адаптация национального авторско-правового законодательства к цифровой среде, создание здоровой экосистемы коллективного управления правами, содействие защите прав ИС в цифровой среде и регулирование роли поставщиков посреднических услуг в Интернете в связи с нарушением авторских прав.</w:t>
      </w:r>
      <w:r w:rsidR="006E789A">
        <w:t xml:space="preserve"> </w:t>
      </w:r>
      <w:r>
        <w:t>Также предлагаются для принятия некоторые рекомендации по образовательным мерам и адекватным стратегиям.</w:t>
      </w:r>
    </w:p>
    <w:p w14:paraId="64B0E561" w14:textId="4856F41B" w:rsidR="002F3B4D" w:rsidRPr="002F3B4D" w:rsidRDefault="002F3B4D" w:rsidP="00882F86">
      <w:pPr>
        <w:pStyle w:val="Heading3"/>
        <w:numPr>
          <w:ilvl w:val="0"/>
          <w:numId w:val="12"/>
        </w:numPr>
        <w:spacing w:after="240"/>
      </w:pPr>
      <w:r>
        <w:t>Рекомендации по адаптации национального авторско-правового законодательства к цифровой среде</w:t>
      </w:r>
    </w:p>
    <w:p w14:paraId="0A544643" w14:textId="57748CB5" w:rsidR="00414F40" w:rsidRPr="00AC1B83" w:rsidRDefault="00681E3D" w:rsidP="00882F86">
      <w:pPr>
        <w:spacing w:after="240"/>
        <w:rPr>
          <w:szCs w:val="22"/>
        </w:rPr>
      </w:pPr>
      <w:r>
        <w:t>В исследовании показано, что четыре страны обладают прочной правовой базой для охраны прав ИС в цифровую эпоху.</w:t>
      </w:r>
      <w:r w:rsidR="006E789A">
        <w:t xml:space="preserve"> </w:t>
      </w:r>
      <w:r>
        <w:t>Поэтому необходимость в радикальных изменениях отсутствует.</w:t>
      </w:r>
      <w:r w:rsidR="006E789A">
        <w:t xml:space="preserve"> </w:t>
      </w:r>
      <w:r>
        <w:t>Однако национальным законодательным органам рекомендуется в конкретных случаях рассмотреть возможность внесения небольших поправок в свои национальные законы об авторском праве для повышения правовой определенности.</w:t>
      </w:r>
    </w:p>
    <w:p w14:paraId="639D1CD5" w14:textId="14AD552A" w:rsidR="00414F40" w:rsidRPr="00AC1B83" w:rsidRDefault="00414F40" w:rsidP="00882F86">
      <w:pPr>
        <w:spacing w:after="240"/>
        <w:rPr>
          <w:szCs w:val="22"/>
        </w:rPr>
      </w:pPr>
      <w:r>
        <w:t>Рекомендуемые действия по адаптации национального авторско-правового законодательства к цифровой среде охватывают определение объекта авторского права и экономических прав, адаптацию исключений и ограничений к использованию произведений в цифровой среде, а также правила, касающиеся владения авторскими правами.</w:t>
      </w:r>
      <w:r w:rsidR="006E789A">
        <w:t xml:space="preserve"> </w:t>
      </w:r>
      <w:r>
        <w:t xml:space="preserve">Во всех случаях приведенные в исследовании рекомендации учитывают специфику каждой страны. </w:t>
      </w:r>
    </w:p>
    <w:p w14:paraId="3B2FD9E4" w14:textId="01FB3ECD" w:rsidR="00414F40" w:rsidRPr="00AC1B83" w:rsidRDefault="00414F40" w:rsidP="00882F86">
      <w:pPr>
        <w:spacing w:after="240"/>
        <w:rPr>
          <w:szCs w:val="22"/>
        </w:rPr>
      </w:pPr>
      <w:r>
        <w:t xml:space="preserve">При этом в отношении существующих правил передачи и/или лицензирования авторских и смежных прав в исследовании не содержится конкретных рекомендаций </w:t>
      </w:r>
      <w:r w:rsidR="006A75E8">
        <w:t>по причине</w:t>
      </w:r>
      <w:r>
        <w:t xml:space="preserve"> отсутстви</w:t>
      </w:r>
      <w:r w:rsidR="006A75E8">
        <w:t>я</w:t>
      </w:r>
      <w:r>
        <w:t xml:space="preserve"> международного консенсуса по этому вопросу.</w:t>
      </w:r>
      <w:r w:rsidR="006E789A">
        <w:t xml:space="preserve"> </w:t>
      </w:r>
      <w:r>
        <w:t xml:space="preserve">Вместо этого просто изложены общие принципы или обязательные законодательные нормы, которые может быть полезно включить в национальное законодательство, если законодательный орган желает выработать более полный набор норм, касающихся договоров об авторских и смежных правах. </w:t>
      </w:r>
    </w:p>
    <w:p w14:paraId="279C522D" w14:textId="638D8C27" w:rsidR="00414F40" w:rsidRPr="00AC1B83" w:rsidRDefault="00681E3D" w:rsidP="00882F86">
      <w:pPr>
        <w:spacing w:after="240"/>
        <w:rPr>
          <w:szCs w:val="22"/>
        </w:rPr>
      </w:pPr>
      <w:r>
        <w:t>Затем в исследовании рассматриваются новые вопросы охраны прав ИС в цифровой среде, которые могут создавать неопределенность.</w:t>
      </w:r>
      <w:r w:rsidR="006E789A">
        <w:t xml:space="preserve"> </w:t>
      </w:r>
      <w:r>
        <w:t>К ним относится правовой статус произведений, созданных системами искусственного интеллекта, невзаимозаменяемые токены, основанные на охраняемых авторским правом произведениях и других объектах, а также пользовательский контент.</w:t>
      </w:r>
    </w:p>
    <w:p w14:paraId="06D2821A" w14:textId="560D7109" w:rsidR="00414F40" w:rsidRDefault="00414F40" w:rsidP="00882F86">
      <w:pPr>
        <w:spacing w:after="240"/>
        <w:rPr>
          <w:szCs w:val="22"/>
        </w:rPr>
      </w:pPr>
      <w:r>
        <w:t>В этих случаях в исследовании предлагается, что надежное решение обычно может быть найдено национальными судьями просто путем применения действующих национальных и международных норм.</w:t>
      </w:r>
      <w:r w:rsidR="006E789A">
        <w:t xml:space="preserve"> </w:t>
      </w:r>
      <w:r>
        <w:t>Принятие законодательных мер на национальном уровне, касающихся непосредственно этих новых реалий, представляется преждевременным.</w:t>
      </w:r>
    </w:p>
    <w:p w14:paraId="28600C8C" w14:textId="77777777" w:rsidR="002F3B4D" w:rsidRPr="002F3B4D" w:rsidRDefault="002F3B4D" w:rsidP="00882F86">
      <w:pPr>
        <w:pStyle w:val="Heading3"/>
        <w:numPr>
          <w:ilvl w:val="0"/>
          <w:numId w:val="12"/>
        </w:numPr>
        <w:spacing w:after="240"/>
      </w:pPr>
      <w:r>
        <w:t>Рекомендации по экосистеме коллективного управления правами</w:t>
      </w:r>
    </w:p>
    <w:p w14:paraId="0B885C34" w14:textId="57E5B6E9" w:rsidR="00414F40" w:rsidRPr="00AC1B83" w:rsidRDefault="00414F40" w:rsidP="00882F86">
      <w:pPr>
        <w:spacing w:after="240"/>
        <w:rPr>
          <w:szCs w:val="22"/>
        </w:rPr>
      </w:pPr>
      <w:r>
        <w:t>Создание функциональной экосистемы ОКУ является крайне важным для практической работы творческих отраслей на цифровом рынке.</w:t>
      </w:r>
      <w:r w:rsidR="006E789A">
        <w:t xml:space="preserve"> </w:t>
      </w:r>
      <w:r>
        <w:t>Она позволяет более эффективно и с минимальными затратами управлять сложными вопросами прав ИС в отношениях между правообладателями и пользователями.</w:t>
      </w:r>
    </w:p>
    <w:p w14:paraId="5B7EDB56" w14:textId="78B5B06C" w:rsidR="00414F40" w:rsidRPr="00AC1B83" w:rsidRDefault="00681E3D" w:rsidP="00882F86">
      <w:pPr>
        <w:spacing w:after="240"/>
        <w:rPr>
          <w:szCs w:val="22"/>
        </w:rPr>
      </w:pPr>
      <w:r>
        <w:t>В исследовании отмечено, что правовой режим коллективного управления в выбранных странах разнообразен, а значит, универсальные рекомендации нельзя считать адекватными.</w:t>
      </w:r>
      <w:r w:rsidR="006E789A">
        <w:t xml:space="preserve"> </w:t>
      </w:r>
      <w:r>
        <w:t>Вместо этого приводится широкий спектр признанных на международном уровне передовых практик и нормативных правил, которые в случае принятия могут повысить эффективность национальных экосистем коллективного управления.</w:t>
      </w:r>
    </w:p>
    <w:p w14:paraId="28815626" w14:textId="002401A6" w:rsidR="00414F40" w:rsidRPr="00AC1B83" w:rsidRDefault="00414F40" w:rsidP="00882F86">
      <w:pPr>
        <w:spacing w:after="240"/>
        <w:rPr>
          <w:szCs w:val="22"/>
        </w:rPr>
      </w:pPr>
      <w:r>
        <w:t>К ним относится предложение de lege ferenda об идеальной национальной структуре организаций коллективного управления и о том, как национальные правила должны регулировать выдачу разрешений на деятельность ОКУ в стране.</w:t>
      </w:r>
      <w:r w:rsidR="006E789A">
        <w:t xml:space="preserve"> </w:t>
      </w:r>
    </w:p>
    <w:p w14:paraId="21D43B8D" w14:textId="452CBEBC" w:rsidR="00414F40" w:rsidRPr="00AC1B83" w:rsidRDefault="00681E3D" w:rsidP="00882F86">
      <w:pPr>
        <w:spacing w:after="240"/>
        <w:rPr>
          <w:szCs w:val="22"/>
        </w:rPr>
      </w:pPr>
      <w:r>
        <w:t>В исследовании также рекомендуется включить адекватные правила членства и обеспечения прозрачности для национальных ОКУ, а также некоторые нормативные предложения для решения сложных вопросов лицензирования на цифровых рынках (включая внедрение обязательного коллективного управления и механизмов расширенного коллективного лицензирования в отдельных случаях).</w:t>
      </w:r>
    </w:p>
    <w:p w14:paraId="43DB1081" w14:textId="7D14E9C6" w:rsidR="00414F40" w:rsidRDefault="00681E3D" w:rsidP="00882F86">
      <w:pPr>
        <w:spacing w:after="240"/>
        <w:rPr>
          <w:szCs w:val="22"/>
        </w:rPr>
      </w:pPr>
      <w:r>
        <w:t>Наконец, в исследовании подчеркивается важность создания и ведения баз данных для содействия сложному процессу лицензирования на цифровых рынках.</w:t>
      </w:r>
      <w:r w:rsidR="006E789A">
        <w:t xml:space="preserve"> </w:t>
      </w:r>
      <w:r>
        <w:t>Такие базы данных являются гарантией точности и прозрачности, а также важнейшим инструментом для очистки прав на исполнение экономически эффективным образом и в разумные сроки.</w:t>
      </w:r>
    </w:p>
    <w:p w14:paraId="2F1D09D2" w14:textId="77777777" w:rsidR="002F3B4D" w:rsidRPr="002F3B4D" w:rsidRDefault="002F3B4D" w:rsidP="00882F86">
      <w:pPr>
        <w:pStyle w:val="Heading3"/>
        <w:numPr>
          <w:ilvl w:val="0"/>
          <w:numId w:val="12"/>
        </w:numPr>
        <w:spacing w:after="240"/>
      </w:pPr>
      <w:r>
        <w:t>Рекомендации по содействию защите прав ИС в цифровой среде</w:t>
      </w:r>
    </w:p>
    <w:p w14:paraId="32A06079" w14:textId="4950B7EC" w:rsidR="00414F40" w:rsidRPr="00AC1B83" w:rsidRDefault="00681E3D" w:rsidP="00882F86">
      <w:pPr>
        <w:spacing w:after="240"/>
        <w:rPr>
          <w:szCs w:val="22"/>
        </w:rPr>
      </w:pPr>
      <w:r>
        <w:t>Согласно исследованию, на законодательном уровне необходимы лишь незначительные изменения в области гражданских средств правовой защиты, административных и уголовных санкций, а также обеспечения мер технологической защиты и управления правами на доступ к данным.</w:t>
      </w:r>
      <w:r w:rsidR="006E789A">
        <w:t xml:space="preserve"> </w:t>
      </w:r>
      <w:r>
        <w:t>В нем также описано, какие изменения подходят для каждой страны.</w:t>
      </w:r>
    </w:p>
    <w:p w14:paraId="528E9468" w14:textId="77777777" w:rsidR="00414F40" w:rsidRPr="00AC1B83" w:rsidRDefault="00414F40" w:rsidP="00882F86">
      <w:pPr>
        <w:spacing w:after="240"/>
        <w:rPr>
          <w:szCs w:val="22"/>
        </w:rPr>
      </w:pPr>
      <w:r>
        <w:t xml:space="preserve">Всем четырем странам рекомендуется создать административный механизм для контроля за нарушением авторских прав в Интернете и наложения санкций, поскольку это особенно эффективная процедура, гарантирующая адекватную защиту прав в цифровой среде. </w:t>
      </w:r>
    </w:p>
    <w:p w14:paraId="2DB071DE" w14:textId="713D4645" w:rsidR="00414F40" w:rsidRDefault="00681E3D" w:rsidP="00882F86">
      <w:pPr>
        <w:spacing w:after="240"/>
        <w:rPr>
          <w:szCs w:val="22"/>
        </w:rPr>
      </w:pPr>
      <w:r>
        <w:t>В исследовании особо подчеркивается, что этот механизм должен быть тщательно проработан в законодательстве, чтобы гарантировать надлежащее соблюдение таких основополагающих прав, как право на свободу слова и информации.</w:t>
      </w:r>
      <w:r w:rsidR="006E789A">
        <w:t xml:space="preserve"> </w:t>
      </w:r>
      <w:r>
        <w:t>В нем также говорится, что любая внедряемая административная процедура должна обеспечивать баланс между принципами оперативности и эффективной защиты правообладателей и принципами пропорциональности и прав</w:t>
      </w:r>
      <w:r w:rsidR="006A75E8">
        <w:t>ом</w:t>
      </w:r>
      <w:r>
        <w:t xml:space="preserve"> на защиту</w:t>
      </w:r>
      <w:r w:rsidR="006A75E8">
        <w:t>, которое есть у</w:t>
      </w:r>
      <w:r>
        <w:t xml:space="preserve"> нарушителей авторских прав в Интернете</w:t>
      </w:r>
      <w:r w:rsidR="006A75E8">
        <w:t xml:space="preserve"> и</w:t>
      </w:r>
      <w:r>
        <w:t xml:space="preserve"> которые в любом случае должны иметь возможность представить свою позицию.</w:t>
      </w:r>
    </w:p>
    <w:p w14:paraId="426A4D31" w14:textId="77777777" w:rsidR="002F3B4D" w:rsidRPr="002F3B4D" w:rsidRDefault="002F3B4D" w:rsidP="00882F86">
      <w:pPr>
        <w:pStyle w:val="Heading3"/>
        <w:numPr>
          <w:ilvl w:val="0"/>
          <w:numId w:val="12"/>
        </w:numPr>
        <w:spacing w:after="240"/>
      </w:pPr>
      <w:r>
        <w:t>Рекомендации по регулированию роли поставщиков посреднических услуг в Интернете в связи с нарушением авторских прав</w:t>
      </w:r>
    </w:p>
    <w:p w14:paraId="011F8923" w14:textId="7718BA99" w:rsidR="00414F40" w:rsidRPr="00AC1B83" w:rsidRDefault="00681E3D" w:rsidP="00882F86">
      <w:pPr>
        <w:spacing w:after="240"/>
        <w:rPr>
          <w:szCs w:val="22"/>
        </w:rPr>
      </w:pPr>
      <w:r>
        <w:t xml:space="preserve">В исследовании подчеркивается, что важнейшей частью защиты правообладателей от нарушений прав в Интернете является регулирование роли поставщиков онлайновых посреднических услуг (OISP). </w:t>
      </w:r>
    </w:p>
    <w:p w14:paraId="7C3032AC" w14:textId="0779FA8F" w:rsidR="00414F40" w:rsidRPr="00AC1B83" w:rsidRDefault="00414F40" w:rsidP="00882F86">
      <w:pPr>
        <w:spacing w:after="240"/>
        <w:rPr>
          <w:b/>
          <w:bCs/>
          <w:szCs w:val="22"/>
        </w:rPr>
      </w:pPr>
      <w:r>
        <w:t>По этому вопросу Чили рекомендуется адаптировать существующие положения к новым технологическим условиям.</w:t>
      </w:r>
      <w:r w:rsidR="006E789A">
        <w:rPr>
          <w:b/>
          <w:bCs/>
          <w:szCs w:val="22"/>
        </w:rPr>
        <w:t xml:space="preserve"> </w:t>
      </w:r>
      <w:r>
        <w:t>Индонезии, Объединенным Арабским Эмиратам и Уругваю рекомендуется обновить законодательство об авторском праве, чтобы урегулировать ответственность OISP в случае нарушения авторских/смежных прав в соответствии с уже существующими на международном уровне правилами или моделями de lege ferenda.</w:t>
      </w:r>
    </w:p>
    <w:p w14:paraId="1E163527" w14:textId="78985B96" w:rsidR="00414F40" w:rsidRPr="00AC1B83" w:rsidRDefault="00414F40" w:rsidP="00882F86">
      <w:pPr>
        <w:spacing w:after="240"/>
        <w:rPr>
          <w:szCs w:val="22"/>
        </w:rPr>
      </w:pPr>
      <w:r>
        <w:t>Национальным законодательным органам также рекомендуется использовать так называемый «вертикальный» подход, а именно разработать законодательство, определяющее роль OISP в случае нарушения авторских и смежных прав.</w:t>
      </w:r>
      <w:r w:rsidR="006E789A">
        <w:t xml:space="preserve"> </w:t>
      </w:r>
      <w:r>
        <w:t>Для этого в исследовании рекомендуется проводить различие между ситуацией, когда «обычные» OISP выполняют действия по простому посредничеству, и поставщиками услуг по распространению онлайнового контента (OCSSP).</w:t>
      </w:r>
    </w:p>
    <w:p w14:paraId="41B2C080" w14:textId="4731F1D0" w:rsidR="00414F40" w:rsidRPr="00AC1B83" w:rsidRDefault="00414F40" w:rsidP="00882F86">
      <w:pPr>
        <w:spacing w:after="240"/>
        <w:rPr>
          <w:szCs w:val="22"/>
        </w:rPr>
      </w:pPr>
      <w:r>
        <w:t>Для обычных OISP рекомендована стандартная система ограничени</w:t>
      </w:r>
      <w:r w:rsidR="006A75E8">
        <w:t>я</w:t>
      </w:r>
      <w:r>
        <w:t xml:space="preserve"> ответственности или «зон безопасности». В исследовании описаны некоторые ключевые принципы такой системы, которые было бы целесообразно включить, и предлагается, что в некоторых сценариях для обеспечения адекватной охраны правообладателей от нарушений в Интернете может быть достаточно динамического механизма на основе судебного запрета.</w:t>
      </w:r>
    </w:p>
    <w:p w14:paraId="047B5DFB" w14:textId="39033F5D" w:rsidR="00414F40" w:rsidRDefault="00414F40" w:rsidP="00882F86">
      <w:pPr>
        <w:spacing w:after="240"/>
        <w:rPr>
          <w:szCs w:val="22"/>
        </w:rPr>
      </w:pPr>
      <w:r>
        <w:t>Что касается OCCSP, то, согласно исследованию, в принципе предпочтительнее возлагать ответственность за нарушения прав, совершенные пользователями, на поставщика услуг, причем в случае соблюдения определенных условий эту ответственность можно избежать a posteriori.</w:t>
      </w:r>
      <w:r w:rsidR="006E789A">
        <w:t xml:space="preserve"> </w:t>
      </w:r>
      <w:r>
        <w:t xml:space="preserve">В исследовании подробно изложены некоторые конкретные рекомендации о том, как такая система может быть включена в национальное законодательство, и подчеркивается, что в любом случае национальные законодательные органы должны ввести соответствующие гарантии, чтобы избежать необоснованных ограничений свободы выражения мнения пользователя или </w:t>
      </w:r>
      <w:r w:rsidR="006A75E8">
        <w:t>реализации</w:t>
      </w:r>
      <w:r>
        <w:t xml:space="preserve"> национальных исключений и ограничений в отношении авторских и смежных прав.</w:t>
      </w:r>
    </w:p>
    <w:p w14:paraId="6D6E011B" w14:textId="77777777" w:rsidR="00B8278B" w:rsidRPr="00B8278B" w:rsidRDefault="00B8278B" w:rsidP="00882F86">
      <w:pPr>
        <w:pStyle w:val="Heading3"/>
        <w:numPr>
          <w:ilvl w:val="0"/>
          <w:numId w:val="12"/>
        </w:numPr>
        <w:spacing w:after="240"/>
      </w:pPr>
      <w:r>
        <w:t>Рекомендации по образовательным мерам и адекватным стратегиям для содействия использованию прав ИС в цифровую эпоху</w:t>
      </w:r>
    </w:p>
    <w:p w14:paraId="596F4E65" w14:textId="77777777" w:rsidR="00414F40" w:rsidRPr="00AC1B83" w:rsidRDefault="00414F40" w:rsidP="00882F86">
      <w:pPr>
        <w:spacing w:after="240"/>
        <w:rPr>
          <w:szCs w:val="22"/>
        </w:rPr>
      </w:pPr>
      <w:r>
        <w:t xml:space="preserve">Всем четырем странам рекомендуется применять широкий комплекс образовательных мер, ориентированных на пользователей, правоохранительные органы, правообладателей и организации по управлению правами. </w:t>
      </w:r>
    </w:p>
    <w:p w14:paraId="34A50672" w14:textId="7A0E2BA4" w:rsidR="00414F40" w:rsidRPr="00AC1B83" w:rsidRDefault="00414F40" w:rsidP="00882F86">
      <w:pPr>
        <w:spacing w:after="240"/>
        <w:rPr>
          <w:szCs w:val="22"/>
        </w:rPr>
      </w:pPr>
      <w:r>
        <w:t>Эти меры должны использоваться для повышения уровня информированности общественности о необходимости соблюдения авторских и смежных прав в цифровую эпоху.</w:t>
      </w:r>
      <w:r w:rsidR="006E789A">
        <w:t xml:space="preserve"> </w:t>
      </w:r>
      <w:r>
        <w:t>Кроме того, они должны быть направлены на повышение уровня знаний правообладателей о том, какие права распространяются на их контент и как эффективно продавать свои произведения и другие охраняемые объекты во избежание нарушений со стороны третьих сторон.</w:t>
      </w:r>
    </w:p>
    <w:p w14:paraId="0C86EBBE" w14:textId="48DADD3F" w:rsidR="00414F40" w:rsidRPr="00AC1B83" w:rsidRDefault="00681E3D" w:rsidP="00882F86">
      <w:pPr>
        <w:spacing w:after="240"/>
        <w:rPr>
          <w:szCs w:val="22"/>
        </w:rPr>
      </w:pPr>
      <w:r>
        <w:t xml:space="preserve">В исследовании </w:t>
      </w:r>
      <w:r w:rsidR="006A75E8">
        <w:t xml:space="preserve">частным и государственным заинтересованным сторонам </w:t>
      </w:r>
      <w:r>
        <w:t xml:space="preserve">особо рекомендуется инвестировать значительные средства в формирование надлежащих правовых знаний у компаний, использующих творческие продукты и/или услуги в цифровой среде. </w:t>
      </w:r>
    </w:p>
    <w:p w14:paraId="5F4EF989" w14:textId="73E3529C" w:rsidR="00414F40" w:rsidRPr="00AC1B83" w:rsidRDefault="00414F40" w:rsidP="00882F86">
      <w:pPr>
        <w:spacing w:after="240"/>
        <w:rPr>
          <w:szCs w:val="22"/>
        </w:rPr>
      </w:pPr>
      <w:r>
        <w:t xml:space="preserve">Также рекомендуется продолжать усилия по надлежащему обучению судей, рассматривающих споры в области ИС, включая создание судебных органов, специализирующихся на спорах в области ИС. </w:t>
      </w:r>
    </w:p>
    <w:p w14:paraId="58B1201B" w14:textId="6BEC4F8A" w:rsidR="00414F40" w:rsidRPr="00AC1B83" w:rsidRDefault="00414F40" w:rsidP="00882F86">
      <w:pPr>
        <w:spacing w:after="240"/>
        <w:rPr>
          <w:szCs w:val="22"/>
        </w:rPr>
      </w:pPr>
      <w:r>
        <w:t>Основная рекомендация в отношении разработки политики заключается в том, что в четырех странах должна быть разработана конкретная национальная политика по содействию соблюдению прав ИС на цифровых рынках.</w:t>
      </w:r>
      <w:r w:rsidR="006E789A">
        <w:t xml:space="preserve"> </w:t>
      </w:r>
      <w:r>
        <w:t>Цифровая экономика создает вызовы, в силу которых целесообразной в условиях такой экономики представляется политика, ориентированная на использование произведений и других объектов.</w:t>
      </w:r>
    </w:p>
    <w:p w14:paraId="39860826" w14:textId="6A43577A" w:rsidR="00414F40" w:rsidRDefault="00414F40" w:rsidP="00882F86">
      <w:pPr>
        <w:spacing w:after="240"/>
        <w:rPr>
          <w:szCs w:val="22"/>
        </w:rPr>
      </w:pPr>
      <w:r>
        <w:t>С институциональной точки зрения в исследовании рекомендуется создать независимое ведомство по авторскому праву в качестве правительственного агентства, отдельного от ведомства промышленной собственности.</w:t>
      </w:r>
      <w:r w:rsidR="006E789A">
        <w:t xml:space="preserve"> </w:t>
      </w:r>
      <w:r>
        <w:t>Практическое функционирование авторских и смежных прав имеет достаточно особенностей и отличий по сравнению с другими правами ИС, что оправдывает такое разделение.</w:t>
      </w:r>
      <w:r w:rsidR="006E789A">
        <w:t xml:space="preserve"> </w:t>
      </w:r>
      <w:r>
        <w:t>Также рекомендуется создать национальную целевую группу по борьбе с массовыми нарушениями прав в Интернете.</w:t>
      </w:r>
    </w:p>
    <w:p w14:paraId="65F37E95" w14:textId="77777777" w:rsidR="00E31F1F" w:rsidRPr="003B4D58" w:rsidRDefault="00E31F1F" w:rsidP="00E31F1F">
      <w:pPr>
        <w:pStyle w:val="Endofdocument-Annex"/>
        <w:spacing w:before="720"/>
        <w:ind w:left="5530"/>
      </w:pPr>
      <w:r>
        <w:t>[Конец приложения и документа]</w:t>
      </w:r>
    </w:p>
    <w:p w14:paraId="494BFFBB" w14:textId="77777777" w:rsidR="00E31F1F" w:rsidRPr="00E31F1F" w:rsidRDefault="00E31F1F" w:rsidP="00E31F1F">
      <w:pPr>
        <w:ind w:left="5533"/>
        <w:rPr>
          <w:i/>
          <w:szCs w:val="22"/>
        </w:rPr>
      </w:pPr>
    </w:p>
    <w:p w14:paraId="039E8E77" w14:textId="77777777" w:rsidR="002326AB" w:rsidRPr="00AC1B83" w:rsidRDefault="002326AB" w:rsidP="002326AB">
      <w:pPr>
        <w:spacing w:after="220"/>
        <w:rPr>
          <w:szCs w:val="22"/>
        </w:rPr>
      </w:pPr>
    </w:p>
    <w:sectPr w:rsidR="002326AB" w:rsidRPr="00AC1B83" w:rsidSect="00B8278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B9512" w14:textId="77777777" w:rsidR="006977E8" w:rsidRDefault="006977E8">
      <w:r>
        <w:separator/>
      </w:r>
    </w:p>
  </w:endnote>
  <w:endnote w:type="continuationSeparator" w:id="0">
    <w:p w14:paraId="677A618B" w14:textId="77777777" w:rsidR="006977E8" w:rsidRDefault="006977E8" w:rsidP="003B38C1">
      <w:r>
        <w:separator/>
      </w:r>
    </w:p>
    <w:p w14:paraId="5CFD0782" w14:textId="77777777" w:rsidR="006977E8" w:rsidRPr="006E789A" w:rsidRDefault="006977E8" w:rsidP="003B38C1">
      <w:pPr>
        <w:spacing w:after="60"/>
        <w:rPr>
          <w:sz w:val="17"/>
          <w:lang w:val="en-GB"/>
        </w:rPr>
      </w:pPr>
      <w:r w:rsidRPr="006E789A">
        <w:rPr>
          <w:sz w:val="17"/>
          <w:lang w:val="en-GB"/>
        </w:rPr>
        <w:t>[Endnote continued from previous page]</w:t>
      </w:r>
    </w:p>
  </w:endnote>
  <w:endnote w:type="continuationNotice" w:id="1">
    <w:p w14:paraId="4CBD5849" w14:textId="77777777" w:rsidR="006977E8" w:rsidRPr="006E789A" w:rsidRDefault="006977E8" w:rsidP="003B38C1">
      <w:pPr>
        <w:spacing w:before="60"/>
        <w:jc w:val="right"/>
        <w:rPr>
          <w:sz w:val="17"/>
          <w:szCs w:val="17"/>
          <w:lang w:val="en-GB"/>
        </w:rPr>
      </w:pPr>
      <w:r w:rsidRPr="006E789A">
        <w:rPr>
          <w:sz w:val="17"/>
          <w:szCs w:val="17"/>
          <w:lang w:val="en-GB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BB6FE" w14:textId="77777777" w:rsidR="00287050" w:rsidRDefault="00287050" w:rsidP="00287050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2AB81" w14:textId="77777777" w:rsidR="00414F40" w:rsidRDefault="00414F40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E45A8" w14:textId="77777777" w:rsidR="00F566E2" w:rsidRDefault="00F566E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8B75C" w14:textId="77777777" w:rsidR="00287050" w:rsidRDefault="00287050" w:rsidP="00287050">
    <w:pPr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B7039" w14:textId="77777777" w:rsidR="00287050" w:rsidRDefault="00287050">
    <w:pPr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5F831" w14:textId="77777777" w:rsidR="00287050" w:rsidRDefault="002870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44915" w14:textId="77777777" w:rsidR="006977E8" w:rsidRDefault="006977E8">
      <w:r>
        <w:separator/>
      </w:r>
    </w:p>
  </w:footnote>
  <w:footnote w:type="continuationSeparator" w:id="0">
    <w:p w14:paraId="00B499F4" w14:textId="77777777" w:rsidR="006977E8" w:rsidRDefault="006977E8" w:rsidP="008B60B2">
      <w:r>
        <w:separator/>
      </w:r>
    </w:p>
    <w:p w14:paraId="2B82E5DB" w14:textId="77777777" w:rsidR="006977E8" w:rsidRPr="006E789A" w:rsidRDefault="006977E8" w:rsidP="008B60B2">
      <w:pPr>
        <w:spacing w:after="60"/>
        <w:rPr>
          <w:sz w:val="17"/>
          <w:szCs w:val="17"/>
          <w:lang w:val="en-GB"/>
        </w:rPr>
      </w:pPr>
      <w:r w:rsidRPr="006E789A">
        <w:rPr>
          <w:sz w:val="17"/>
          <w:szCs w:val="17"/>
          <w:lang w:val="en-GB"/>
        </w:rPr>
        <w:t>[Footnote continued from previous page]</w:t>
      </w:r>
    </w:p>
  </w:footnote>
  <w:footnote w:type="continuationNotice" w:id="1">
    <w:p w14:paraId="68008857" w14:textId="77777777" w:rsidR="006977E8" w:rsidRPr="006E789A" w:rsidRDefault="006977E8" w:rsidP="008B60B2">
      <w:pPr>
        <w:spacing w:before="60"/>
        <w:jc w:val="right"/>
        <w:rPr>
          <w:sz w:val="17"/>
          <w:szCs w:val="17"/>
          <w:lang w:val="en-GB"/>
        </w:rPr>
      </w:pPr>
      <w:r w:rsidRPr="006E789A">
        <w:rPr>
          <w:sz w:val="17"/>
          <w:szCs w:val="17"/>
          <w:lang w:val="en-GB"/>
        </w:rPr>
        <w:t>[Footnote continued on next page]</w:t>
      </w:r>
    </w:p>
  </w:footnote>
  <w:footnote w:id="2">
    <w:p w14:paraId="67AFF16D" w14:textId="2A438F7A" w:rsidR="00681E3D" w:rsidRDefault="00681E3D">
      <w:pPr>
        <w:pStyle w:val="FootnoteText"/>
      </w:pPr>
      <w:r>
        <w:rPr>
          <w:rStyle w:val="FootnoteReference"/>
        </w:rPr>
        <w:footnoteRef/>
      </w:r>
      <w:r>
        <w:t xml:space="preserve"> Полное исследование будет размещено по адресу:</w:t>
      </w:r>
      <w:r w:rsidR="006E789A">
        <w:t xml:space="preserve"> </w:t>
      </w:r>
      <w:hyperlink r:id="rId1" w:history="1">
        <w:r>
          <w:rPr>
            <w:rStyle w:val="Hyperlink"/>
          </w:rPr>
          <w:t>https://dacatalogue.wipo.int/projects/DA_1_4_10_12_19_24_27_01</w:t>
        </w:r>
      </w:hyperlink>
      <w:r w:rsidR="00BD769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FB469" w14:textId="77777777" w:rsidR="00287050" w:rsidRPr="00262966" w:rsidRDefault="00287050" w:rsidP="00287050">
    <w:pPr>
      <w:tabs>
        <w:tab w:val="center" w:pos="4536"/>
        <w:tab w:val="right" w:pos="9072"/>
      </w:tabs>
      <w:jc w:val="right"/>
    </w:pPr>
    <w:r>
      <w:t>CDIP/20/</w:t>
    </w:r>
    <w:r>
      <w:rPr>
        <w:highlight w:val="yellow"/>
      </w:rPr>
      <w:t>X</w:t>
    </w:r>
  </w:p>
  <w:p w14:paraId="79E8E17B" w14:textId="77777777" w:rsidR="00287050" w:rsidRDefault="00287050" w:rsidP="00287050">
    <w:pPr>
      <w:tabs>
        <w:tab w:val="center" w:pos="4536"/>
        <w:tab w:val="right" w:pos="9072"/>
      </w:tabs>
      <w:jc w:val="right"/>
    </w:pPr>
    <w:r>
      <w:t>Приложение, стр. </w:t>
    </w:r>
    <w:r w:rsidRPr="00262966">
      <w:fldChar w:fldCharType="begin"/>
    </w:r>
    <w:r w:rsidRPr="00262966">
      <w:instrText xml:space="preserve"> PAGE   \* MERGEFORMAT </w:instrText>
    </w:r>
    <w:r w:rsidRPr="00262966">
      <w:fldChar w:fldCharType="separate"/>
    </w:r>
    <w:r>
      <w:t>4</w:t>
    </w:r>
    <w:r w:rsidRPr="00262966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29D90" w14:textId="77777777" w:rsidR="00414F40" w:rsidRPr="00262966" w:rsidRDefault="00414F40" w:rsidP="008C3E9C">
    <w:pPr>
      <w:tabs>
        <w:tab w:val="center" w:pos="4536"/>
        <w:tab w:val="right" w:pos="9072"/>
      </w:tabs>
      <w:jc w:val="right"/>
    </w:pPr>
    <w:r>
      <w:t>CDIP/20/</w:t>
    </w:r>
    <w:r>
      <w:rPr>
        <w:highlight w:val="yellow"/>
      </w:rPr>
      <w:t>X</w:t>
    </w:r>
  </w:p>
  <w:p w14:paraId="5F436B29" w14:textId="77777777" w:rsidR="00414F40" w:rsidRDefault="00414F40" w:rsidP="008C3E9C">
    <w:pPr>
      <w:tabs>
        <w:tab w:val="center" w:pos="4536"/>
        <w:tab w:val="right" w:pos="9072"/>
      </w:tabs>
      <w:jc w:val="right"/>
    </w:pPr>
    <w:r>
      <w:t>Приложение, стр. </w:t>
    </w:r>
    <w:r w:rsidRPr="00262966">
      <w:fldChar w:fldCharType="begin"/>
    </w:r>
    <w:r w:rsidRPr="00262966">
      <w:instrText xml:space="preserve"> PAGE   \* MERGEFORMAT </w:instrText>
    </w:r>
    <w:r w:rsidRPr="00262966">
      <w:fldChar w:fldCharType="separate"/>
    </w:r>
    <w:r>
      <w:t>4</w:t>
    </w:r>
    <w:r w:rsidRPr="00262966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1C843" w14:textId="77777777" w:rsidR="00F566E2" w:rsidRDefault="00F566E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44257" w14:textId="77777777" w:rsidR="00287050" w:rsidRPr="002326AB" w:rsidRDefault="00287050" w:rsidP="00287050">
    <w:pPr>
      <w:jc w:val="right"/>
      <w:rPr>
        <w:caps/>
      </w:rPr>
    </w:pPr>
    <w:r>
      <w:rPr>
        <w:caps/>
      </w:rPr>
      <w:t>CDIP/30/INF/2</w:t>
    </w:r>
  </w:p>
  <w:p w14:paraId="64F1E8E8" w14:textId="429257F6" w:rsidR="00B8278B" w:rsidRDefault="00B8278B" w:rsidP="00B8278B">
    <w:pPr>
      <w:pStyle w:val="Header"/>
      <w:jc w:val="right"/>
    </w:pPr>
    <w:r>
      <w:t xml:space="preserve">Приложение, стр. </w:t>
    </w:r>
    <w:sdt>
      <w:sdtPr>
        <w:id w:val="13536877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6014">
          <w:rPr>
            <w:noProof/>
          </w:rPr>
          <w:t>6</w:t>
        </w:r>
        <w:r>
          <w:fldChar w:fldCharType="end"/>
        </w:r>
      </w:sdtContent>
    </w:sdt>
  </w:p>
  <w:p w14:paraId="2F80FC4D" w14:textId="77777777" w:rsidR="00287050" w:rsidRDefault="00287050" w:rsidP="00287050">
    <w:pPr>
      <w:jc w:val="right"/>
    </w:pPr>
  </w:p>
  <w:p w14:paraId="025BDEA8" w14:textId="77777777" w:rsidR="00287050" w:rsidRDefault="00287050" w:rsidP="00287050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3AE3A" w14:textId="77777777" w:rsidR="00D07C78" w:rsidRPr="002326AB" w:rsidRDefault="00414F40" w:rsidP="00477D6B">
    <w:pPr>
      <w:jc w:val="right"/>
      <w:rPr>
        <w:caps/>
      </w:rPr>
    </w:pPr>
    <w:r>
      <w:rPr>
        <w:caps/>
      </w:rPr>
      <w:t>CDIP/30/INF/2</w:t>
    </w:r>
  </w:p>
  <w:p w14:paraId="2A7FC33C" w14:textId="2969533A" w:rsidR="00B8278B" w:rsidRDefault="00B8278B" w:rsidP="00B8278B">
    <w:pPr>
      <w:pStyle w:val="Header"/>
      <w:jc w:val="right"/>
    </w:pPr>
    <w:r>
      <w:t xml:space="preserve">Приложение, стр. </w:t>
    </w:r>
    <w:sdt>
      <w:sdtPr>
        <w:id w:val="24523400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6014">
          <w:rPr>
            <w:noProof/>
          </w:rPr>
          <w:t>7</w:t>
        </w:r>
        <w:r>
          <w:fldChar w:fldCharType="end"/>
        </w:r>
      </w:sdtContent>
    </w:sdt>
  </w:p>
  <w:p w14:paraId="02719850" w14:textId="77777777" w:rsidR="00D07C78" w:rsidRDefault="00D07C78" w:rsidP="00477D6B">
    <w:pPr>
      <w:jc w:val="right"/>
    </w:pPr>
  </w:p>
  <w:p w14:paraId="5AECDB6D" w14:textId="77777777" w:rsidR="00D07C78" w:rsidRDefault="00D07C78" w:rsidP="00477D6B">
    <w:pPr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AC8FA" w14:textId="77777777" w:rsidR="000A5724" w:rsidRPr="00090EA9" w:rsidRDefault="000A5724" w:rsidP="000A5724">
    <w:pPr>
      <w:pStyle w:val="Header"/>
      <w:jc w:val="right"/>
      <w:rPr>
        <w:szCs w:val="22"/>
      </w:rPr>
    </w:pPr>
    <w:r>
      <w:t>CDIP/30/INF/2</w:t>
    </w:r>
  </w:p>
  <w:p w14:paraId="4D0CDD76" w14:textId="77777777" w:rsidR="000A5724" w:rsidRPr="00090EA9" w:rsidRDefault="000A5724" w:rsidP="000A5724">
    <w:pPr>
      <w:pStyle w:val="Header"/>
      <w:jc w:val="right"/>
      <w:rPr>
        <w:szCs w:val="22"/>
      </w:rPr>
    </w:pPr>
    <w:r>
      <w:t>ПРИЛОЖЕНИЕ</w:t>
    </w:r>
  </w:p>
  <w:p w14:paraId="0198CC04" w14:textId="77777777" w:rsidR="000A5724" w:rsidRDefault="000A5724">
    <w:pPr>
      <w:pStyle w:val="Header"/>
    </w:pPr>
  </w:p>
  <w:p w14:paraId="5DD76841" w14:textId="77777777" w:rsidR="000A5724" w:rsidRDefault="000A57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6E0E93"/>
    <w:multiLevelType w:val="hybridMultilevel"/>
    <w:tmpl w:val="70F28674"/>
    <w:lvl w:ilvl="0" w:tplc="160AD8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671A8"/>
    <w:multiLevelType w:val="hybridMultilevel"/>
    <w:tmpl w:val="FA30BC48"/>
    <w:lvl w:ilvl="0" w:tplc="C9A0793E">
      <w:start w:val="1"/>
      <w:numFmt w:val="upperRoman"/>
      <w:lvlText w:val="%1."/>
      <w:lvlJc w:val="right"/>
      <w:pPr>
        <w:ind w:left="720" w:hanging="18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376650"/>
    <w:multiLevelType w:val="hybridMultilevel"/>
    <w:tmpl w:val="B7BC579C"/>
    <w:lvl w:ilvl="0" w:tplc="100C0013">
      <w:start w:val="1"/>
      <w:numFmt w:val="upperRoman"/>
      <w:lvlText w:val="%1."/>
      <w:lvlJc w:val="right"/>
      <w:pPr>
        <w:ind w:left="720" w:hanging="18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5DD3AD5"/>
    <w:multiLevelType w:val="hybridMultilevel"/>
    <w:tmpl w:val="EAC4E336"/>
    <w:lvl w:ilvl="0" w:tplc="100C0013">
      <w:start w:val="1"/>
      <w:numFmt w:val="upperRoman"/>
      <w:lvlText w:val="%1."/>
      <w:lvlJc w:val="right"/>
      <w:pPr>
        <w:ind w:left="720" w:hanging="18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2081C"/>
    <w:multiLevelType w:val="hybridMultilevel"/>
    <w:tmpl w:val="49E8A0B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0C7642"/>
    <w:multiLevelType w:val="hybridMultilevel"/>
    <w:tmpl w:val="AF086FA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40"/>
    <w:rsid w:val="00043CAA"/>
    <w:rsid w:val="00056816"/>
    <w:rsid w:val="00075432"/>
    <w:rsid w:val="00075445"/>
    <w:rsid w:val="000968ED"/>
    <w:rsid w:val="000A3D97"/>
    <w:rsid w:val="000A5724"/>
    <w:rsid w:val="000C5FD2"/>
    <w:rsid w:val="000C634A"/>
    <w:rsid w:val="000F5E56"/>
    <w:rsid w:val="0011372B"/>
    <w:rsid w:val="00120346"/>
    <w:rsid w:val="001362EE"/>
    <w:rsid w:val="00142C28"/>
    <w:rsid w:val="001551DB"/>
    <w:rsid w:val="001647D5"/>
    <w:rsid w:val="001832A6"/>
    <w:rsid w:val="001D4107"/>
    <w:rsid w:val="001E204D"/>
    <w:rsid w:val="001F1F1B"/>
    <w:rsid w:val="001F2BEB"/>
    <w:rsid w:val="00203D24"/>
    <w:rsid w:val="0021217E"/>
    <w:rsid w:val="002254A8"/>
    <w:rsid w:val="002326AB"/>
    <w:rsid w:val="00243430"/>
    <w:rsid w:val="002634C4"/>
    <w:rsid w:val="00287050"/>
    <w:rsid w:val="002928D3"/>
    <w:rsid w:val="002957D8"/>
    <w:rsid w:val="002D58DB"/>
    <w:rsid w:val="002F1FE6"/>
    <w:rsid w:val="002F3B4D"/>
    <w:rsid w:val="002F4E68"/>
    <w:rsid w:val="00303A96"/>
    <w:rsid w:val="00312F7F"/>
    <w:rsid w:val="00341BC7"/>
    <w:rsid w:val="00361450"/>
    <w:rsid w:val="003673CF"/>
    <w:rsid w:val="003845C1"/>
    <w:rsid w:val="003A6F89"/>
    <w:rsid w:val="003B30B0"/>
    <w:rsid w:val="003B38C1"/>
    <w:rsid w:val="003C34E9"/>
    <w:rsid w:val="00414F40"/>
    <w:rsid w:val="00423E3E"/>
    <w:rsid w:val="00427AF4"/>
    <w:rsid w:val="004647DA"/>
    <w:rsid w:val="00474062"/>
    <w:rsid w:val="00477D6B"/>
    <w:rsid w:val="005019FF"/>
    <w:rsid w:val="0053057A"/>
    <w:rsid w:val="00541F71"/>
    <w:rsid w:val="00556076"/>
    <w:rsid w:val="00560A29"/>
    <w:rsid w:val="005C6649"/>
    <w:rsid w:val="005C6C53"/>
    <w:rsid w:val="005D1AB3"/>
    <w:rsid w:val="00605827"/>
    <w:rsid w:val="006110D8"/>
    <w:rsid w:val="00646050"/>
    <w:rsid w:val="006713CA"/>
    <w:rsid w:val="00676C5C"/>
    <w:rsid w:val="00681E3D"/>
    <w:rsid w:val="006977E8"/>
    <w:rsid w:val="006A75E8"/>
    <w:rsid w:val="006E789A"/>
    <w:rsid w:val="006E7AE2"/>
    <w:rsid w:val="00720EFD"/>
    <w:rsid w:val="007854AF"/>
    <w:rsid w:val="00793A7C"/>
    <w:rsid w:val="007A398A"/>
    <w:rsid w:val="007D1613"/>
    <w:rsid w:val="007E4C0E"/>
    <w:rsid w:val="007F5257"/>
    <w:rsid w:val="00882F86"/>
    <w:rsid w:val="008A134B"/>
    <w:rsid w:val="008B2CC1"/>
    <w:rsid w:val="008B60B2"/>
    <w:rsid w:val="008C2924"/>
    <w:rsid w:val="0090731E"/>
    <w:rsid w:val="00916EE2"/>
    <w:rsid w:val="00933A18"/>
    <w:rsid w:val="009578A8"/>
    <w:rsid w:val="00961841"/>
    <w:rsid w:val="00966A22"/>
    <w:rsid w:val="0096722F"/>
    <w:rsid w:val="00980843"/>
    <w:rsid w:val="00985CD7"/>
    <w:rsid w:val="009E2791"/>
    <w:rsid w:val="009E3F6F"/>
    <w:rsid w:val="009F499F"/>
    <w:rsid w:val="00A37342"/>
    <w:rsid w:val="00A42DAF"/>
    <w:rsid w:val="00A45BD8"/>
    <w:rsid w:val="00A66014"/>
    <w:rsid w:val="00A869B7"/>
    <w:rsid w:val="00A90F0A"/>
    <w:rsid w:val="00AC1B83"/>
    <w:rsid w:val="00AC205C"/>
    <w:rsid w:val="00AF0A6B"/>
    <w:rsid w:val="00B05A69"/>
    <w:rsid w:val="00B27AEA"/>
    <w:rsid w:val="00B73D1D"/>
    <w:rsid w:val="00B75281"/>
    <w:rsid w:val="00B8278B"/>
    <w:rsid w:val="00B92F1F"/>
    <w:rsid w:val="00B9734B"/>
    <w:rsid w:val="00BA30E2"/>
    <w:rsid w:val="00BD769C"/>
    <w:rsid w:val="00C11BFE"/>
    <w:rsid w:val="00C45CD6"/>
    <w:rsid w:val="00C5068F"/>
    <w:rsid w:val="00C8059A"/>
    <w:rsid w:val="00C86D74"/>
    <w:rsid w:val="00CD04F1"/>
    <w:rsid w:val="00CF681A"/>
    <w:rsid w:val="00D07C78"/>
    <w:rsid w:val="00D314AC"/>
    <w:rsid w:val="00D45252"/>
    <w:rsid w:val="00D71B4D"/>
    <w:rsid w:val="00D93D55"/>
    <w:rsid w:val="00DA5916"/>
    <w:rsid w:val="00DD7B7F"/>
    <w:rsid w:val="00E15015"/>
    <w:rsid w:val="00E31F1F"/>
    <w:rsid w:val="00E335FE"/>
    <w:rsid w:val="00E41552"/>
    <w:rsid w:val="00E86E12"/>
    <w:rsid w:val="00EA7D6E"/>
    <w:rsid w:val="00EB2F76"/>
    <w:rsid w:val="00EC4E49"/>
    <w:rsid w:val="00ED77FB"/>
    <w:rsid w:val="00EE45FA"/>
    <w:rsid w:val="00F043DE"/>
    <w:rsid w:val="00F566E2"/>
    <w:rsid w:val="00F66152"/>
    <w:rsid w:val="00F75FE7"/>
    <w:rsid w:val="00F9165B"/>
    <w:rsid w:val="00FC482F"/>
    <w:rsid w:val="00FC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23CD31"/>
  <w15:docId w15:val="{74F36342-3DD7-4800-8884-A0B36C6E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724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erChar">
    <w:name w:val="Header Char"/>
    <w:basedOn w:val="DefaultParagraphFont"/>
    <w:link w:val="Header"/>
    <w:rsid w:val="00414F40"/>
    <w:rPr>
      <w:rFonts w:ascii="Arial" w:eastAsia="SimSun" w:hAnsi="Arial" w:cs="Arial"/>
      <w:sz w:val="22"/>
      <w:lang w:val="ru-RU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414F40"/>
    <w:rPr>
      <w:rFonts w:ascii="Arial" w:eastAsia="SimSun" w:hAnsi="Arial" w:cs="Arial"/>
      <w:sz w:val="22"/>
      <w:lang w:val="ru-RU" w:eastAsia="zh-CN"/>
    </w:rPr>
  </w:style>
  <w:style w:type="paragraph" w:styleId="ListParagraph">
    <w:name w:val="List Paragraph"/>
    <w:basedOn w:val="Normal"/>
    <w:uiPriority w:val="34"/>
    <w:qFormat/>
    <w:rsid w:val="00414F40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2034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0346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0346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120346"/>
    <w:rPr>
      <w:rFonts w:ascii="Arial" w:eastAsia="SimSun" w:hAnsi="Arial" w:cs="Arial"/>
      <w:b/>
      <w:bCs/>
      <w:sz w:val="18"/>
      <w:lang w:val="ru-RU" w:eastAsia="zh-CN"/>
    </w:rPr>
  </w:style>
  <w:style w:type="paragraph" w:styleId="BalloonText">
    <w:name w:val="Balloon Text"/>
    <w:basedOn w:val="Normal"/>
    <w:link w:val="BalloonTextChar"/>
    <w:semiHidden/>
    <w:unhideWhenUsed/>
    <w:rsid w:val="001203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20346"/>
    <w:rPr>
      <w:rFonts w:ascii="Segoe UI" w:eastAsia="SimSun" w:hAnsi="Segoe UI" w:cs="Segoe UI"/>
      <w:sz w:val="18"/>
      <w:szCs w:val="18"/>
      <w:lang w:val="ru-RU" w:eastAsia="zh-CN"/>
    </w:rPr>
  </w:style>
  <w:style w:type="character" w:customStyle="1" w:styleId="Endofdocument-AnnexChar">
    <w:name w:val="[End of document - Annex] Char"/>
    <w:link w:val="Endofdocument-Annex"/>
    <w:rsid w:val="00E31F1F"/>
    <w:rPr>
      <w:rFonts w:ascii="Arial" w:eastAsia="SimSun" w:hAnsi="Arial" w:cs="Arial"/>
      <w:sz w:val="22"/>
      <w:lang w:val="ru-RU" w:eastAsia="zh-CN"/>
    </w:rPr>
  </w:style>
  <w:style w:type="character" w:styleId="FootnoteReference">
    <w:name w:val="footnote reference"/>
    <w:basedOn w:val="DefaultParagraphFont"/>
    <w:semiHidden/>
    <w:unhideWhenUsed/>
    <w:rsid w:val="00681E3D"/>
    <w:rPr>
      <w:vertAlign w:val="superscript"/>
    </w:rPr>
  </w:style>
  <w:style w:type="character" w:styleId="Hyperlink">
    <w:name w:val="Hyperlink"/>
    <w:basedOn w:val="DefaultParagraphFont"/>
    <w:unhideWhenUsed/>
    <w:rsid w:val="00681E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acatalogue.wipo.int/projects/DA_1_4_10_12_19_24_27_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D3D2C-4858-4E58-AB92-8419FC5A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2517</Words>
  <Characters>17842</Characters>
  <Application>Microsoft Office Word</Application>
  <DocSecurity>0</DocSecurity>
  <Lines>305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CDIP/30/INF/2</vt:lpstr>
      <vt:lpstr>CDIP/30/INF/2</vt:lpstr>
    </vt:vector>
  </TitlesOfParts>
  <Company>WIPO</Company>
  <LinksUpToDate>false</LinksUpToDate>
  <CharactersWithSpaces>20301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CDIP/30/INF/2</dc:title>
  <dc:creator>ESTEVES DOS SANTOS Anabela</dc:creator>
  <cp:keywords>FOR OFFICIAL USE ONLY</cp:keywords>
  <cp:lastModifiedBy>PANAKAL Joseph Lazar</cp:lastModifiedBy>
  <cp:revision>2</cp:revision>
  <cp:lastPrinted>2011-02-15T11:56:00Z</cp:lastPrinted>
  <dcterms:created xsi:type="dcterms:W3CDTF">2023-03-15T11:51:00Z</dcterms:created>
  <dcterms:modified xsi:type="dcterms:W3CDTF">2023-03-15T11:51:00Z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ad46094c-a35e-4e27-97f1-921272ad1484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