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BDA4" w14:textId="1548DEF6" w:rsidR="008B2CC1" w:rsidRPr="00F043DE" w:rsidRDefault="00AD62F7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279E2EC1" wp14:editId="7A745C1B">
            <wp:extent cx="3076575" cy="154686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FD0CFB" w14:textId="77777777" w:rsidR="008B2CC1" w:rsidRPr="002326AB" w:rsidRDefault="001F590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CDIP/28/</w:t>
      </w:r>
      <w:bookmarkStart w:id="1" w:name="Code"/>
      <w:bookmarkEnd w:id="1"/>
      <w:r>
        <w:rPr>
          <w:rFonts w:ascii="Arial Black" w:hAnsi="Arial Black"/>
          <w:caps/>
          <w:sz w:val="15"/>
        </w:rPr>
        <w:t>9</w:t>
      </w:r>
    </w:p>
    <w:p w14:paraId="6EE7A8D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2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2"/>
    <w:p w14:paraId="484507A9" w14:textId="7777777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3" w:name="Date"/>
      <w:r>
        <w:rPr>
          <w:rFonts w:ascii="Arial Black" w:hAnsi="Arial Black"/>
          <w:caps/>
          <w:sz w:val="15"/>
        </w:rPr>
        <w:t xml:space="preserve"> 4 АПРЕЛЯ 2022 г.</w:t>
      </w:r>
    </w:p>
    <w:bookmarkEnd w:id="3"/>
    <w:p w14:paraId="1B43CA38" w14:textId="77777777" w:rsidR="008B2CC1" w:rsidRPr="00720EFD" w:rsidRDefault="00446147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12B1886F" w14:textId="77777777" w:rsidR="00DB29C8" w:rsidRPr="003845C1" w:rsidRDefault="00DB29C8" w:rsidP="00DB29C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Двадцать восьмая сессия</w:t>
      </w:r>
      <w:r>
        <w:rPr>
          <w:b/>
          <w:sz w:val="24"/>
        </w:rPr>
        <w:br/>
        <w:t>Женева, 16–20 мая 2022 г.</w:t>
      </w:r>
    </w:p>
    <w:p w14:paraId="3FCBC5BE" w14:textId="77777777" w:rsidR="008B2CC1" w:rsidRPr="00DB29C8" w:rsidRDefault="00B82A7D" w:rsidP="00DB29C8">
      <w:pPr>
        <w:spacing w:after="220"/>
        <w:outlineLvl w:val="1"/>
        <w:rPr>
          <w:caps/>
        </w:rPr>
      </w:pPr>
      <w:bookmarkStart w:id="4" w:name="TitleOfDoc"/>
      <w:bookmarkEnd w:id="4"/>
      <w:r>
        <w:rPr>
          <w:caps/>
        </w:rPr>
        <w:t>ДОКЛАД О ВКЛАДЕ ВОИС В ДОСТИЖЕНИЕ ЦЕЛЕЙ В ОБЛАСТИ УСТОЙЧИВОГО РАЗВИТИЯ И ВЫПОЛНЕНИЕ СВЯЗАННЫХ С НИМИ ЗАДАЧ</w:t>
      </w:r>
    </w:p>
    <w:p w14:paraId="076DE571" w14:textId="77777777" w:rsidR="002928D3" w:rsidRPr="00F9165B" w:rsidRDefault="00EC66C5" w:rsidP="00DB29C8">
      <w:pPr>
        <w:spacing w:after="220"/>
        <w:rPr>
          <w:i/>
        </w:rPr>
      </w:pPr>
      <w:bookmarkStart w:id="5" w:name="Prepared"/>
      <w:bookmarkEnd w:id="5"/>
      <w:r>
        <w:rPr>
          <w:i/>
        </w:rPr>
        <w:t>Подготовлен Секретариатом</w:t>
      </w:r>
    </w:p>
    <w:p w14:paraId="1E07C43E" w14:textId="77777777" w:rsidR="002326AB" w:rsidRDefault="002326AB" w:rsidP="002326AB">
      <w:pPr>
        <w:spacing w:after="220"/>
      </w:pPr>
    </w:p>
    <w:p w14:paraId="2B004E19" w14:textId="77777777" w:rsidR="00C62D6C" w:rsidRDefault="00C62D6C" w:rsidP="00C62D6C">
      <w:pPr>
        <w:pStyle w:val="Default"/>
        <w:ind w:left="720"/>
      </w:pPr>
    </w:p>
    <w:p w14:paraId="45C0EB2D" w14:textId="77777777" w:rsidR="00C62D6C" w:rsidRDefault="00C62D6C" w:rsidP="00C62D6C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Настоящий документ является годовым докладом о вкладе ВОИС в достижение целей в области устойчивого развития (ЦУР) и выполнение связанных с ними задач</w:t>
      </w:r>
      <w:r w:rsidR="009366A8">
        <w:rPr>
          <w:rStyle w:val="FootnoteReference"/>
          <w:sz w:val="22"/>
          <w:szCs w:val="22"/>
        </w:rPr>
        <w:footnoteReference w:id="2"/>
      </w:r>
      <w:r>
        <w:rPr>
          <w:sz w:val="22"/>
        </w:rPr>
        <w:t xml:space="preserve">.  Доклад подготовлен в соответствии с решением, которое было принято Комитетом по развитию и интеллектуальной собственности (КРИС) на его восемнадцатой сессии, состоявшейся 31 октября – 4 ноября 2016 г., и содержало просьбу к Секретариату представлять Комитету доклад по данному вопросу на его первой сессии в году. </w:t>
      </w:r>
    </w:p>
    <w:p w14:paraId="45369C12" w14:textId="77777777" w:rsidR="00C62D6C" w:rsidRPr="00C62D6C" w:rsidRDefault="00C62D6C" w:rsidP="00C62D6C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Это шестой по счету доклад, представленный КРИС во исполнение этой просьбы.  В соответствии с требованиями к структуре доклада, содержащимися в вышеупомянутом решении, он содержит обновленную информацию по состоянию на 2021 г. по следующим направлениям деятельности, связанным с ЦУР:</w:t>
      </w:r>
    </w:p>
    <w:p w14:paraId="5B0E40EB" w14:textId="77777777" w:rsidR="00C62D6C" w:rsidRPr="00D01E88" w:rsidRDefault="00C62D6C" w:rsidP="00C62D6C">
      <w:pPr>
        <w:pStyle w:val="Default"/>
        <w:ind w:left="567"/>
        <w:rPr>
          <w:sz w:val="22"/>
          <w:szCs w:val="22"/>
        </w:rPr>
      </w:pPr>
      <w:r>
        <w:rPr>
          <w:sz w:val="22"/>
        </w:rPr>
        <w:t xml:space="preserve">(a) мероприятия и инициативы, предпринятые ВОИС самостоятельно; </w:t>
      </w:r>
    </w:p>
    <w:p w14:paraId="4CDD642B" w14:textId="77777777" w:rsidR="00C62D6C" w:rsidRPr="00D01E88" w:rsidRDefault="00C62D6C" w:rsidP="00C62D6C">
      <w:pPr>
        <w:pStyle w:val="Default"/>
        <w:ind w:left="567"/>
        <w:rPr>
          <w:sz w:val="22"/>
          <w:szCs w:val="22"/>
        </w:rPr>
      </w:pPr>
      <w:r>
        <w:rPr>
          <w:sz w:val="22"/>
        </w:rPr>
        <w:t xml:space="preserve">(b) мероприятия, проведенные ВОИС в рамках системы ООН, и </w:t>
      </w:r>
    </w:p>
    <w:p w14:paraId="64589591" w14:textId="77777777" w:rsidR="00DB29C8" w:rsidRDefault="00C62D6C" w:rsidP="00C62D6C">
      <w:pPr>
        <w:spacing w:after="240"/>
        <w:ind w:left="567"/>
        <w:rPr>
          <w:szCs w:val="22"/>
        </w:rPr>
      </w:pPr>
      <w:r>
        <w:t>(c) помощь, предоставленная ВОИС государствам-членам по их просьбе.</w:t>
      </w:r>
    </w:p>
    <w:p w14:paraId="356ED49C" w14:textId="77777777" w:rsidR="001B1E49" w:rsidRPr="001B1E49" w:rsidRDefault="004C0BA6" w:rsidP="001B1E49">
      <w:pPr>
        <w:pStyle w:val="Default"/>
        <w:numPr>
          <w:ilvl w:val="0"/>
          <w:numId w:val="7"/>
        </w:numPr>
        <w:spacing w:after="360"/>
        <w:ind w:left="0" w:firstLine="0"/>
        <w:rPr>
          <w:sz w:val="22"/>
          <w:szCs w:val="22"/>
        </w:rPr>
      </w:pPr>
      <w:r>
        <w:rPr>
          <w:sz w:val="22"/>
        </w:rPr>
        <w:t xml:space="preserve">Являясь специализированным учреждением Организации Объединенных Наций, ВОИС продолжает в полной мере участвовать в осуществлении Повестки дня в области устойчивого развития на период до 2030 г. в рамках своего мандата и полна решимости оказывать поддержку достижению целей устойчивого развития: в частности, путем </w:t>
      </w:r>
      <w:r>
        <w:rPr>
          <w:sz w:val="22"/>
        </w:rPr>
        <w:lastRenderedPageBreak/>
        <w:t>обеспечения сбалансированности и эффективности системы ИС, которая стимулирует инновации и творчество, а также облегчает обмен знаниями и технической информацией как внутри отдельных стран, так и между ними.  Повестка дня Организации в области развития продолжает определять ее вклад в реализацию ЦУР.   Инновации, и, следовательно, ЦУР 9, лежат в основе миссии и видения ВОИС.  Однако инновации и творчество являются ключом к реализации многих других ЦУР и к выполнению соответствующих задач.  Таким образом, услуги ВОИС, ее программы и оказываемое ею содействие имеют большое значение для Повестки дня в области развития на период до 2030 г. на различных уровнях, как это объясняется ниже.</w:t>
      </w:r>
    </w:p>
    <w:p w14:paraId="77DF44F4" w14:textId="77777777" w:rsidR="00C62D6C" w:rsidRPr="00233AEB" w:rsidRDefault="00DE2022" w:rsidP="001B1E49">
      <w:pPr>
        <w:pStyle w:val="Heading1"/>
        <w:numPr>
          <w:ilvl w:val="0"/>
          <w:numId w:val="8"/>
        </w:numPr>
        <w:spacing w:after="240"/>
        <w:ind w:left="0" w:firstLine="0"/>
        <w:rPr>
          <w:szCs w:val="22"/>
        </w:rPr>
      </w:pPr>
      <w:r>
        <w:t>МЕРОПРИЯТИЯ И ИНИЦИАТИВЫ, ОСУЩЕСТВЛЯЕМЫЕ ОРГАНИЗАЦИЕЙ САМОСТОЯТЕЛЬНО</w:t>
      </w:r>
    </w:p>
    <w:p w14:paraId="4B652E24" w14:textId="77777777" w:rsidR="00F825E0" w:rsidRPr="00233AEB" w:rsidRDefault="002F4EB7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ГЕНДЕРНОЕ РАВЕНСТВО И СОКРАЩЕНИЕ НЕРАВЕНСТВА</w:t>
      </w:r>
    </w:p>
    <w:p w14:paraId="03A7EB55" w14:textId="62EB173C" w:rsidR="00BD3CEA" w:rsidRPr="0013292C" w:rsidRDefault="005B2A6F" w:rsidP="005A0B16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Гендерное равенство является одновременно и специфической ЦУР (5), и важной частью всех других целей.  Кроме того, оно одновременно делает возможным реализацию Повестки дня в области устойчивого развития на период до 2030 г. и позволяет ускорить ее.  Опираясь на такой многосторонний характер гендерного равенства, ВОИС продолжает применять двусторонний подход.  С одной стороны, всесторонний учет гендерной проблематики означает оценку любых планируемых действий, политики или программ с точки зрения их последствий для женщин и мужчин во всех областях деятельности ВОИС, как связанных, так и не связанных с реализуемыми ею программами.  С другой стороны, конкретные действия по гендерным вопросам, как правило, нацелены на одну группу (либо мужчин, либо женщин), с тем чтобы устранить различия между ними, привлечь к ним внимание и вовлечь в их осуществление, для того чтобы помочь им выйти из своего ущемленного положения.  ВОИС продолжает применять оба подхода комплексно.  Работу </w:t>
      </w:r>
      <w:r w:rsidR="008C228A">
        <w:rPr>
          <w:sz w:val="22"/>
        </w:rPr>
        <w:t>Организации</w:t>
      </w:r>
      <w:r>
        <w:rPr>
          <w:sz w:val="22"/>
        </w:rPr>
        <w:t xml:space="preserve"> в этой области по-прежнему координирует специалист по гендерному разнообразию, поддержку которому оказывает сеть координаторов по гендерным вопросам (КГВ), участвующих в реализации всех программ ВОИС.  В 2021 г. сеть была значительно расширена, и КГВ прошли обучение по гендерным вопросам.</w:t>
      </w:r>
    </w:p>
    <w:p w14:paraId="5BFBBD98" w14:textId="77777777" w:rsidR="00BD3CEA" w:rsidRPr="00BD3CEA" w:rsidRDefault="0013292C" w:rsidP="005345D7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Все больше данных свидетельствует о том, что сокращение многостороннего неравенства внутри стран и между ними является не только важной целью само по себе в соответствии с принципом «никого не оставлять позади», но и способствует обеспечению всеобщего прогресса, повышению экономической эффективности, росту производительности и экологической устойчивости.  Поскольку все эти факторы влияют на гендерное равенство, очевидно, что ЦУР 5 и ЦУР 10 тесно связаны и взаимно усиливают друг друга.  По этой причине эти две цели затрагивают самые различные темы в рамках Программы и бюджета ВОИС.</w:t>
      </w:r>
    </w:p>
    <w:p w14:paraId="63A56661" w14:textId="77777777" w:rsidR="00F825E0" w:rsidRPr="00CF1935" w:rsidRDefault="00443082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ИЗМЕНЕНИЯ КЛИМАТА И ПРОДОВОЛЬСТВЕННАЯ БЕЗОПАСНОСТЬ</w:t>
      </w:r>
    </w:p>
    <w:p w14:paraId="5B55823C" w14:textId="77777777" w:rsidR="003335DB" w:rsidRPr="00CF1935" w:rsidRDefault="003335DB" w:rsidP="003335DB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продолжала вносить ощутимый вклад в достижение ЦУР за счет программы WIPO GREEN, которая объединяет ключевых игроков с целью продвижения инноваций в области экологически чистых технологий и их распространения посредством своих проектов по созданию баз данных, сетей и ускорению.  Основой миссии, структуры и деятельности инициативы WIPO GREEN является ЦУР 17 (признание важности партнерств и определение в качестве их цели содействие разработке, передаче, распространению и освоению экологически безопасных технологий).  Деятельность ВОИС в этой области также распространяется на другие ЦУР, такие как 2, 6, 7, 9, 11, 12, 13 и 15.</w:t>
      </w:r>
    </w:p>
    <w:p w14:paraId="7A722052" w14:textId="6471FD31" w:rsidR="00C853F5" w:rsidRPr="00CF1935" w:rsidRDefault="003335DB" w:rsidP="00C853F5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lastRenderedPageBreak/>
        <w:t xml:space="preserve">В 2021 г. начала функционировать новая база данных WIPO GREEN.  В настоящее время в базе данных перечислено более 125 000 </w:t>
      </w:r>
      <w:proofErr w:type="spellStart"/>
      <w:r>
        <w:rPr>
          <w:sz w:val="22"/>
        </w:rPr>
        <w:t>природосберегающих</w:t>
      </w:r>
      <w:proofErr w:type="spellEnd"/>
      <w:r>
        <w:rPr>
          <w:sz w:val="22"/>
        </w:rPr>
        <w:t xml:space="preserve"> технологий, потребностей и экспертов из более чем 156 стран.  В 2021 г. число зарегистрированных пользователей базы данных превысило 2000, а к осуществлению WIPO GREEN присоединились 17 частных и государственных учреждений, в результате чего общее число партнеров достигло 136.  Платформа, с момента своего запуска в 2013 г., обеспечила налаживание более чем 800 контактов между членами сети.  В 2021 г. к WIPO GREEN присоединились 17 организаций</w:t>
      </w:r>
      <w:r w:rsidR="00A34264" w:rsidRPr="00CF1935">
        <w:rPr>
          <w:rStyle w:val="FootnoteReference"/>
          <w:sz w:val="22"/>
          <w:szCs w:val="22"/>
        </w:rPr>
        <w:footnoteReference w:id="3"/>
      </w:r>
      <w:r>
        <w:rPr>
          <w:sz w:val="22"/>
        </w:rPr>
        <w:t>.  В сотрудничестве с Отделом ВОИС ИС для бизнеса WIPO GREEN организовала «клинику управления ИС», в рамках которой были предоставлены консультации экспертов восьми МСП, работающим в области экологически чистых технологий, в том числе двум компаниям из Бразилии и одной украинской компании.  В качестве конечного результата проекта был опубликован контрольный перечень по управлению ИС для МСП</w:t>
      </w:r>
      <w:r w:rsidR="009366A8">
        <w:rPr>
          <w:rStyle w:val="FootnoteReference"/>
          <w:sz w:val="22"/>
          <w:szCs w:val="22"/>
        </w:rPr>
        <w:footnoteReference w:id="4"/>
      </w:r>
      <w:r>
        <w:rPr>
          <w:sz w:val="22"/>
        </w:rPr>
        <w:t xml:space="preserve">.  Кроме того, в декабре 2021 г. WIPO GREEN опубликовала свое новое резюме </w:t>
      </w:r>
      <w:r w:rsidR="00FF6F65">
        <w:rPr>
          <w:sz w:val="22"/>
        </w:rPr>
        <w:t>«</w:t>
      </w:r>
      <w:r>
        <w:rPr>
          <w:i/>
          <w:sz w:val="22"/>
        </w:rPr>
        <w:t xml:space="preserve">В центре внимания – глобальные проблемы: </w:t>
      </w:r>
      <w:r w:rsidR="00DF2448">
        <w:rPr>
          <w:i/>
          <w:sz w:val="22"/>
        </w:rPr>
        <w:t>п</w:t>
      </w:r>
      <w:r>
        <w:rPr>
          <w:i/>
          <w:sz w:val="22"/>
        </w:rPr>
        <w:t>рогресс в области разработки и внедрения технологий, связанных с водородными топливными элементами, в Китае</w:t>
      </w:r>
      <w:r w:rsidR="00FF6F65">
        <w:rPr>
          <w:i/>
          <w:sz w:val="22"/>
        </w:rPr>
        <w:t>»</w:t>
      </w:r>
      <w:r>
        <w:rPr>
          <w:rStyle w:val="Hyperlink"/>
          <w:sz w:val="22"/>
          <w:u w:val="none"/>
        </w:rPr>
        <w:t xml:space="preserve"> </w:t>
      </w:r>
      <w:r>
        <w:rPr>
          <w:sz w:val="22"/>
        </w:rPr>
        <w:t>(ЦУР 7)</w:t>
      </w:r>
      <w:r w:rsidR="009366A8">
        <w:rPr>
          <w:rStyle w:val="FootnoteReference"/>
          <w:sz w:val="22"/>
          <w:szCs w:val="22"/>
        </w:rPr>
        <w:footnoteReference w:id="5"/>
      </w:r>
      <w:r>
        <w:rPr>
          <w:sz w:val="22"/>
        </w:rPr>
        <w:t>.</w:t>
      </w:r>
    </w:p>
    <w:p w14:paraId="3A1F0207" w14:textId="77777777" w:rsidR="00C853F5" w:rsidRPr="00CF1935" w:rsidRDefault="00C853F5" w:rsidP="00C853F5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Продолжалась работа в рамках реализации проектов ВОИС по ускорению.  В соответствии с ЦУР 2, в сотрудничестве с различными учреждениями Латинской Америки осуществляется проект по ускорению в области климатически ориентированного сельского хозяйства.  Первоначально реализованный в качестве краткосрочной инициативы, в настоящее время проект находится на втором этапе своего осуществления.  Кроме того, в 2021 г. к проекту присоединилась Перу, что еще больше укрепило участие в этой региональной инициативе.  Новые мероприятия на втором этапе включают проведение отраслевых исследований, которые помогут выявить крупных новаторов, технологии и потребности в конкретных областях, а также проведение мероприятий с целью установления контактов с компаниями, производящими экологически чистые технологии.  В настоящее время в коллекцию регионального проекта стран Латинской Америки по климатически ориентированному сельскому хозяйству базы данных WIPO GREEN в общей сложности загружено 115 технологических решений и 70 потребностей, а 51 технология и 43 потребности были добавлены в базу данных или обновлены.  Кроме того, в настоящее время в странах-бенефициарах разрабатываются каталоги потребностей и технологий.</w:t>
      </w:r>
    </w:p>
    <w:p w14:paraId="529D96B7" w14:textId="77777777" w:rsidR="00CF1935" w:rsidRPr="00ED21A5" w:rsidRDefault="00C853F5" w:rsidP="005345D7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соответствии с ЦУР 12 в Индонезии продолжал осуществляться проект ускорения в области переработки и валоризации жидких отходов производства пальмового масла (POME).  Были определены и включены в коллекцию POME 19 потребностей и 23 технологии.  Были подписаны два протокола о намерениях, и проект привел к заключению контракта между производителем пальмового масла и поставщиком системы переработки.  Кульминацией проекта стал каталог доступных технологических вариантов переработки и валоризации жидких отходов производства пальмового масла</w:t>
      </w:r>
      <w:r w:rsidR="009366A8" w:rsidRPr="00ED21A5">
        <w:rPr>
          <w:rStyle w:val="FootnoteReference"/>
          <w:sz w:val="22"/>
          <w:szCs w:val="22"/>
        </w:rPr>
        <w:footnoteReference w:id="6"/>
      </w:r>
      <w:r>
        <w:rPr>
          <w:sz w:val="22"/>
        </w:rPr>
        <w:t xml:space="preserve">.  Третий проект ускорения был запущен в Китае: его целью является поиск решений для потребностей городов в природоохранной области.  Эти 10 потребностей, связанных с изменением климата, включают в себя проблемы энергетики, воды, загрязнения и </w:t>
      </w:r>
      <w:r>
        <w:rPr>
          <w:sz w:val="22"/>
        </w:rPr>
        <w:lastRenderedPageBreak/>
        <w:t>удаления отходов; их можно найти в коллекции базы данных по городам Китая, вместе с 30 связанными с ними технологиями</w:t>
      </w:r>
      <w:r w:rsidR="00ED21A5" w:rsidRPr="00ED21A5">
        <w:rPr>
          <w:rStyle w:val="FootnoteReference"/>
          <w:sz w:val="22"/>
          <w:szCs w:val="22"/>
        </w:rPr>
        <w:footnoteReference w:id="7"/>
      </w:r>
      <w:r>
        <w:rPr>
          <w:sz w:val="22"/>
        </w:rPr>
        <w:t>.  Проект способствовал реализации ЦУР 11.</w:t>
      </w:r>
    </w:p>
    <w:p w14:paraId="37DF835C" w14:textId="77777777" w:rsidR="002F4EB7" w:rsidRPr="004367F1" w:rsidRDefault="00ED21A5" w:rsidP="002F4EB7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  <w:shd w:val="clear" w:color="auto" w:fill="FFFFFF"/>
        </w:rPr>
      </w:pPr>
      <w:r>
        <w:rPr>
          <w:sz w:val="22"/>
        </w:rPr>
        <w:t>ВОИС также продолжала уделять внимание вопросам своей собственной экологической ответственности, в том числе путем сохранения биоразнообразия в комплексе зданий ВОИС (</w:t>
      </w:r>
      <w:r>
        <w:rPr>
          <w:sz w:val="22"/>
          <w:shd w:val="clear" w:color="auto" w:fill="FFFFFF"/>
        </w:rPr>
        <w:t>к его элементам относятся обширный парк с вековыми дубами, три «живые крыши» из местных сортов растений и трав, посадка нескольких видов деревьев и других растений снаружи здания, а также зимние сады)</w:t>
      </w:r>
      <w:r>
        <w:rPr>
          <w:sz w:val="22"/>
        </w:rPr>
        <w:t>, способствуя таким образом реализации ЦУР 6, 7, 11, 12 и 13.</w:t>
      </w:r>
      <w:r>
        <w:rPr>
          <w:color w:val="auto"/>
          <w:sz w:val="22"/>
        </w:rPr>
        <w:t xml:space="preserve">   </w:t>
      </w:r>
      <w:r>
        <w:rPr>
          <w:color w:val="auto"/>
          <w:sz w:val="22"/>
          <w:shd w:val="clear" w:color="auto" w:fill="FFFFFF"/>
        </w:rPr>
        <w:t xml:space="preserve">Критерий «окружающей среды», введенный в качестве одного из нескольких элементов оценки при выполнении ремонта и обслуживания помещений и технических объектов комплекса зданий ВОИС, продолжал систематически учитываться.  В качестве иллюстрации применения данного подхода можно привести следующие элементы, которые являются неотъемлемой частью ежегодной программы работы: использование электричества, на 100 процентов вырабатываемого местными гидроэлектростанциями, применение светодиодных светильников и датчиков присутствия для снижения потребления электроэнергии, охлаждение при помощи воды Женевского озера, систему утилизации отходов с их сортировкой и переработкой, а также контроль расхода воды.  </w:t>
      </w:r>
    </w:p>
    <w:p w14:paraId="14BF3D1C" w14:textId="30D6D29C" w:rsidR="002F4EB7" w:rsidRPr="004367F1" w:rsidRDefault="002F4EB7" w:rsidP="002F4EB7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hd w:val="clear" w:color="auto" w:fill="FFFFFF"/>
        </w:rPr>
        <w:t>Кроме того</w:t>
      </w:r>
      <w:r w:rsidR="00B4029C">
        <w:rPr>
          <w:color w:val="auto"/>
          <w:sz w:val="22"/>
          <w:shd w:val="clear" w:color="auto" w:fill="FFFFFF"/>
        </w:rPr>
        <w:t>,</w:t>
      </w:r>
      <w:r>
        <w:rPr>
          <w:color w:val="auto"/>
          <w:sz w:val="22"/>
          <w:shd w:val="clear" w:color="auto" w:fill="FFFFFF"/>
        </w:rPr>
        <w:t xml:space="preserve"> начиная с 2021 г. потенциальные поставщики ВОИС для участия в торгах обязаны подтверждать взятие на себя твердых обязательств в отношении устойчивости, и предоставлять копию политики своей компании.  ВОИС продолжает активно участвовать в проходящей под эгидой принимающей стороны (на федеральном уровне и уровне кантона) инициативе «2050Today», направленной на достижение нулевых выбросов в кантоне Женева к 2050 г</w:t>
      </w:r>
      <w:r w:rsidR="00BE10EE" w:rsidRPr="00BE10EE">
        <w:rPr>
          <w:color w:val="auto"/>
          <w:sz w:val="22"/>
          <w:shd w:val="clear" w:color="auto" w:fill="FFFFFF"/>
        </w:rPr>
        <w:t>.</w:t>
      </w:r>
      <w:r>
        <w:rPr>
          <w:color w:val="auto"/>
          <w:sz w:val="22"/>
          <w:shd w:val="clear" w:color="auto" w:fill="FFFFFF"/>
        </w:rPr>
        <w:t xml:space="preserve">, в которой также принимают участие ряд международных межправительственных организаций, местный государственный и частный сектора и НПО.  Являясь одним из более чем 50 учреждений и программ ООН, ВОИС также активно участвует (с </w:t>
      </w:r>
      <w:r w:rsidR="006E579A">
        <w:rPr>
          <w:color w:val="auto"/>
          <w:sz w:val="22"/>
          <w:shd w:val="clear" w:color="auto" w:fill="FFFFFF"/>
        </w:rPr>
        <w:t>2010 г.) в инициативе «</w:t>
      </w:r>
      <w:proofErr w:type="spellStart"/>
      <w:r w:rsidR="006E579A">
        <w:rPr>
          <w:color w:val="auto"/>
          <w:sz w:val="22"/>
          <w:shd w:val="clear" w:color="auto" w:fill="FFFFFF"/>
        </w:rPr>
        <w:t>Greening</w:t>
      </w:r>
      <w:proofErr w:type="spellEnd"/>
      <w:r w:rsidR="006E579A">
        <w:rPr>
          <w:color w:val="auto"/>
          <w:sz w:val="22"/>
          <w:shd w:val="clear" w:color="auto" w:fill="FFFFFF"/>
          <w:lang w:val="en-US"/>
        </w:rPr>
        <w:t>T</w:t>
      </w:r>
      <w:proofErr w:type="spellStart"/>
      <w:r>
        <w:rPr>
          <w:color w:val="auto"/>
          <w:sz w:val="22"/>
          <w:shd w:val="clear" w:color="auto" w:fill="FFFFFF"/>
        </w:rPr>
        <w:t>heBlue</w:t>
      </w:r>
      <w:proofErr w:type="spellEnd"/>
      <w:r>
        <w:rPr>
          <w:color w:val="auto"/>
          <w:sz w:val="22"/>
          <w:shd w:val="clear" w:color="auto" w:fill="FFFFFF"/>
        </w:rPr>
        <w:t>» по сбору данных о выбросах углерода и других веществ в рамках программы Организации Объединенных Наций по окружающей среде (ЮНЕП), и продолжает (с 2014 г.) компенсировать оставшиеся неизбежные выбросы углерода путем приобретения сертифицированных квот через механизм ООН, управляемый Рамочной конвенцией ООН об изменении климата (РКООНИК).</w:t>
      </w:r>
    </w:p>
    <w:p w14:paraId="0798291A" w14:textId="77777777" w:rsidR="00443082" w:rsidRPr="00293461" w:rsidRDefault="00443082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ГЛОБАЛЬНОЕ ЗДРАВООХРАНЕНИЕ</w:t>
      </w:r>
    </w:p>
    <w:p w14:paraId="736D7A52" w14:textId="77777777" w:rsidR="00443082" w:rsidRPr="00293461" w:rsidRDefault="00293461" w:rsidP="00293461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Деятельность ВОИС в области глобального здравоохранения в течение 2021 г. продолжала способствовать достижению ЦУР.  Ключевые положения ЦУР 3 и 17 интегрированы в систему партнерства ВОИС Re: Search, новаторского консорциума по борьбе с забытыми тропическими болезнями, малярией и туберкулезом.  Кроме того, Консорциум уделяет первоочередное внимание участию ученых и учреждений в деятельности по сотрудничеству и предоставлению стипендий в странах с доходами ниже средних (СНСУД).  Предоставляя партнерам в СНСУД доступ к ресурсам в области научных исследований и разработок (НИОКР) и ноу-хау, недоступным в их странах, WIPO </w:t>
      </w:r>
      <w:proofErr w:type="spellStart"/>
      <w:r>
        <w:rPr>
          <w:sz w:val="22"/>
        </w:rPr>
        <w:t>Re:Search</w:t>
      </w:r>
      <w:proofErr w:type="spellEnd"/>
      <w:r>
        <w:rPr>
          <w:sz w:val="22"/>
        </w:rPr>
        <w:t xml:space="preserve"> расширяет их возможности проводить инновационные исследования в целях достижения ЦУР 9.</w:t>
      </w:r>
    </w:p>
    <w:p w14:paraId="49FA9E9D" w14:textId="77777777" w:rsidR="00293461" w:rsidRPr="00293461" w:rsidRDefault="00293461" w:rsidP="00C853F5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2021 г. WIPO </w:t>
      </w:r>
      <w:proofErr w:type="spellStart"/>
      <w:r>
        <w:rPr>
          <w:sz w:val="22"/>
        </w:rPr>
        <w:t>Re:Search</w:t>
      </w:r>
      <w:proofErr w:type="spellEnd"/>
      <w:r>
        <w:rPr>
          <w:sz w:val="22"/>
        </w:rPr>
        <w:t xml:space="preserve"> насчитывал 144 члена, представляющих 46 стран с 6 континентов, в том числе более 60 членов, базирующихся в странах с низким и средним уровнем дохода.  На настоящий момент WIPO </w:t>
      </w:r>
      <w:proofErr w:type="spellStart"/>
      <w:r>
        <w:rPr>
          <w:sz w:val="22"/>
        </w:rPr>
        <w:t>Re:Search</w:t>
      </w:r>
      <w:proofErr w:type="spellEnd"/>
      <w:r>
        <w:rPr>
          <w:sz w:val="22"/>
        </w:rPr>
        <w:t xml:space="preserve"> осуществил 173 совместных </w:t>
      </w:r>
      <w:r>
        <w:rPr>
          <w:sz w:val="22"/>
        </w:rPr>
        <w:lastRenderedPageBreak/>
        <w:t>исследовательских проекта.  В 2021 г. к консорциуму присоединились одиннадцать организаций</w:t>
      </w:r>
      <w:r>
        <w:rPr>
          <w:rStyle w:val="FootnoteReference"/>
          <w:sz w:val="22"/>
          <w:szCs w:val="22"/>
        </w:rPr>
        <w:footnoteReference w:id="8"/>
      </w:r>
      <w:r>
        <w:rPr>
          <w:sz w:val="22"/>
        </w:rPr>
        <w:t>.  В 2021 г. в рамках программы WIPO </w:t>
      </w:r>
      <w:proofErr w:type="spellStart"/>
      <w:r>
        <w:rPr>
          <w:sz w:val="22"/>
        </w:rPr>
        <w:t>Re:Search</w:t>
      </w:r>
      <w:proofErr w:type="spellEnd"/>
      <w:r>
        <w:rPr>
          <w:sz w:val="22"/>
        </w:rPr>
        <w:t xml:space="preserve">, финансируемой финансированной правительством Австралии, восемь исследователей из Африки, Азии и Тихоокеанского региона прошли обучение в сфере исследований и разработок в области медикаментов, молекулярной биологии и управления интеллектуальной собственностью для повышения своего научно-исследовательского потенциала.  </w:t>
      </w:r>
    </w:p>
    <w:p w14:paraId="5CEBC737" w14:textId="62CA5B90" w:rsidR="00650A0D" w:rsidRPr="00650A0D" w:rsidRDefault="0059773E" w:rsidP="00650A0D">
      <w:pPr>
        <w:pStyle w:val="Default"/>
        <w:numPr>
          <w:ilvl w:val="0"/>
          <w:numId w:val="7"/>
        </w:numPr>
        <w:spacing w:after="240"/>
        <w:ind w:left="0" w:firstLine="0"/>
        <w:rPr>
          <w:szCs w:val="22"/>
        </w:rPr>
      </w:pPr>
      <w:r>
        <w:rPr>
          <w:sz w:val="22"/>
        </w:rPr>
        <w:t xml:space="preserve">Кроме того, под эгидой ВОИС действует общедоступная база данных </w:t>
      </w:r>
      <w:proofErr w:type="spellStart"/>
      <w:r>
        <w:rPr>
          <w:sz w:val="22"/>
        </w:rPr>
        <w:t>Pat</w:t>
      </w:r>
      <w:proofErr w:type="spellEnd"/>
      <w:r>
        <w:rPr>
          <w:sz w:val="22"/>
        </w:rPr>
        <w:t xml:space="preserve">-INFORMED, созданная по инициативе ВОИС, Международной федерации ассоциаций производителей в области фармацевтики и 20 ведущих наукоемких биофармацевтических компаний.  Она включает в себя поисковую систему, облегчающую агентствам по закупкам и общественности доступ к информации о патентном статусе лекарственных средств.  В конце 2021 г. </w:t>
      </w:r>
      <w:proofErr w:type="spellStart"/>
      <w:r>
        <w:rPr>
          <w:sz w:val="22"/>
        </w:rPr>
        <w:t>Pat</w:t>
      </w:r>
      <w:proofErr w:type="spellEnd"/>
      <w:r>
        <w:rPr>
          <w:sz w:val="22"/>
        </w:rPr>
        <w:t xml:space="preserve">-INFORMED содержала информацию о 232 международных непатентованных названиях фармацевтических веществ или активных фармацевтических ингредиентов, </w:t>
      </w:r>
      <w:r w:rsidR="009655EC">
        <w:rPr>
          <w:sz w:val="22"/>
        </w:rPr>
        <w:t xml:space="preserve">о </w:t>
      </w:r>
      <w:r>
        <w:rPr>
          <w:sz w:val="22"/>
        </w:rPr>
        <w:t xml:space="preserve">660 семействах патентов-аналогов и </w:t>
      </w:r>
      <w:r w:rsidR="00F74FA5">
        <w:rPr>
          <w:sz w:val="22"/>
        </w:rPr>
        <w:t xml:space="preserve">о </w:t>
      </w:r>
      <w:r>
        <w:rPr>
          <w:sz w:val="22"/>
        </w:rPr>
        <w:t>21 492 патентах.  Эта инициатива способствует реализации ЦУР 3, 9 и 17.</w:t>
      </w:r>
    </w:p>
    <w:p w14:paraId="5C468270" w14:textId="77777777" w:rsidR="00057EFE" w:rsidRPr="001A0B81" w:rsidRDefault="00F31369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Инновации, патенты и технологии</w:t>
      </w:r>
    </w:p>
    <w:p w14:paraId="1806ED63" w14:textId="77777777" w:rsidR="005B650D" w:rsidRDefault="00433F5E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Работа Организации в области инноваций, патентов и технологий способствует, прежде всего, ЦУР 9, стимулируя распространение технической информации и способствуя созданию благоприятных условий для инноваций.</w:t>
      </w:r>
    </w:p>
    <w:p w14:paraId="5CCDBB9D" w14:textId="77777777" w:rsidR="009D44E5" w:rsidRDefault="009D44E5" w:rsidP="009D44E5">
      <w:pPr>
        <w:pStyle w:val="Heading3"/>
        <w:numPr>
          <w:ilvl w:val="0"/>
          <w:numId w:val="23"/>
        </w:numPr>
        <w:spacing w:before="0" w:after="240"/>
      </w:pPr>
      <w:r>
        <w:t>Договор о патентной кооперации и связанные с ним услуги</w:t>
      </w:r>
    </w:p>
    <w:p w14:paraId="5BA36F45" w14:textId="31B5ED56" w:rsidR="00563620" w:rsidRPr="001A0B81" w:rsidRDefault="00F31369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Договор о патентной кооперации (PCT) позволяет испрашивать патентную охрану изобретения одновременно во многих странах путем подачи одной «международной» патентной заявки.  Таким образом</w:t>
      </w:r>
      <w:r w:rsidR="005349DF">
        <w:rPr>
          <w:sz w:val="22"/>
        </w:rPr>
        <w:t>,</w:t>
      </w:r>
      <w:r>
        <w:rPr>
          <w:sz w:val="22"/>
        </w:rPr>
        <w:t xml:space="preserve"> РСТ — и, следовательно, ВОИС — способствуют распространению в международном масштабе технической информации об инновациях, содержащейся в общедоступном хранилище.  </w:t>
      </w:r>
    </w:p>
    <w:p w14:paraId="27F07FDC" w14:textId="50A331D1" w:rsidR="005B650D" w:rsidRDefault="00563620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  <w:shd w:val="clear" w:color="auto" w:fill="FFFFFF" w:themeFill="background1"/>
        </w:rPr>
      </w:pPr>
      <w:r>
        <w:rPr>
          <w:sz w:val="22"/>
          <w:shd w:val="clear" w:color="auto" w:fill="FFFFFF" w:themeFill="background1"/>
        </w:rPr>
        <w:t>В базе данных ВОИС PATENTSCOPE</w:t>
      </w:r>
      <w:r w:rsidRPr="001A0B81">
        <w:rPr>
          <w:rStyle w:val="FootnoteReference"/>
          <w:sz w:val="22"/>
          <w:szCs w:val="22"/>
          <w:shd w:val="clear" w:color="auto" w:fill="FFFFFF" w:themeFill="background1"/>
        </w:rPr>
        <w:footnoteReference w:id="9"/>
      </w:r>
      <w:r>
        <w:rPr>
          <w:sz w:val="22"/>
          <w:shd w:val="clear" w:color="auto" w:fill="FFFFFF" w:themeFill="background1"/>
        </w:rPr>
        <w:t xml:space="preserve"> содержится более 100 млн изобретений с возможностью поиска: все опубликованные заявки РСТ и 73 национальных и региональных патентных фонда участвующих ведомств ИС.  В 2021 г. в PATENTSCOPE были добавлены 263 280 новых заявок по процедуре PCT (содержащие раскрытие изобретения) — в среднем более 5000 в неделю.  После добавления в 2020 г. возможности связывать публикации РСТ с другими документами в том же семействе патентов-аналогов (т.</w:t>
      </w:r>
      <w:r w:rsidR="002B0986">
        <w:rPr>
          <w:sz w:val="22"/>
          <w:shd w:val="clear" w:color="auto" w:fill="FFFFFF" w:themeFill="background1"/>
        </w:rPr>
        <w:t xml:space="preserve"> </w:t>
      </w:r>
      <w:r>
        <w:rPr>
          <w:sz w:val="22"/>
          <w:shd w:val="clear" w:color="auto" w:fill="FFFFFF" w:themeFill="background1"/>
        </w:rPr>
        <w:t xml:space="preserve">е. с патентными публикациями, представляющими одно и то же изобретение с общей приоритетной заявкой), эта функция была расширена и теперь охватывает семейства патентных документов, связанных приоритетами по процедуре Парижской конвенции.  </w:t>
      </w:r>
    </w:p>
    <w:p w14:paraId="724C0FEE" w14:textId="77777777" w:rsidR="00563620" w:rsidRPr="001A0B81" w:rsidRDefault="00563620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  <w:shd w:val="clear" w:color="auto" w:fill="FFFFFF" w:themeFill="background1"/>
        </w:rPr>
      </w:pPr>
      <w:r>
        <w:rPr>
          <w:sz w:val="22"/>
          <w:shd w:val="clear" w:color="auto" w:fill="FFFFFF" w:themeFill="background1"/>
        </w:rPr>
        <w:t xml:space="preserve">В 2021 г. в PATENTSCOPE была добавлена функция индексации по структурам </w:t>
      </w:r>
      <w:proofErr w:type="spellStart"/>
      <w:r>
        <w:rPr>
          <w:sz w:val="22"/>
          <w:shd w:val="clear" w:color="auto" w:fill="FFFFFF" w:themeFill="background1"/>
        </w:rPr>
        <w:t>Маркуша</w:t>
      </w:r>
      <w:proofErr w:type="spellEnd"/>
      <w:r>
        <w:rPr>
          <w:sz w:val="22"/>
          <w:shd w:val="clear" w:color="auto" w:fill="FFFFFF" w:themeFill="background1"/>
        </w:rPr>
        <w:t xml:space="preserve">, позволяющая искать химические соединения в патентных документах по любому названию в тексте патентной заявки, по рисунку структуры или по полному соответствию определению </w:t>
      </w:r>
      <w:proofErr w:type="spellStart"/>
      <w:r>
        <w:rPr>
          <w:sz w:val="22"/>
          <w:shd w:val="clear" w:color="auto" w:fill="FFFFFF" w:themeFill="background1"/>
        </w:rPr>
        <w:t>Маркуша</w:t>
      </w:r>
      <w:proofErr w:type="spellEnd"/>
      <w:r>
        <w:rPr>
          <w:sz w:val="22"/>
          <w:shd w:val="clear" w:color="auto" w:fill="FFFFFF" w:themeFill="background1"/>
        </w:rPr>
        <w:t xml:space="preserve">, включенному в заявку.  Эта новая функция впервые сделала функцию поиска химических веществ по структурам </w:t>
      </w:r>
      <w:proofErr w:type="spellStart"/>
      <w:r>
        <w:rPr>
          <w:sz w:val="22"/>
          <w:shd w:val="clear" w:color="auto" w:fill="FFFFFF" w:themeFill="background1"/>
        </w:rPr>
        <w:t>Маркуша</w:t>
      </w:r>
      <w:proofErr w:type="spellEnd"/>
      <w:r>
        <w:rPr>
          <w:sz w:val="22"/>
          <w:shd w:val="clear" w:color="auto" w:fill="FFFFFF" w:themeFill="background1"/>
        </w:rPr>
        <w:t xml:space="preserve"> доступной безвозмездно во всем мире.  Бесплатный доступ к базе данных в интернете </w:t>
      </w:r>
      <w:r>
        <w:rPr>
          <w:sz w:val="22"/>
          <w:shd w:val="clear" w:color="auto" w:fill="FFFFFF" w:themeFill="background1"/>
        </w:rPr>
        <w:lastRenderedPageBreak/>
        <w:t>обеспечивает более широкую доступность патентной информации и способствует достижению ЦУР 9 и, в частности, ее задаче 9.с.</w:t>
      </w:r>
    </w:p>
    <w:p w14:paraId="6B0C242E" w14:textId="1FBB0DE6" w:rsidR="00057EFE" w:rsidRPr="001A0B81" w:rsidRDefault="005F0AE1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Благодаря оказанию технической помощи государствам-членам в развитии их патентной системы и использованию системы ИС в целях социального, экономического и культурного развития, Организация также продолжала поддерживать и развивать инновации.  Программы технической помощи включают в себя мероприятия, имеющие непосредственное отношение к РСТ.  В 2021 г. ВОИС выступила в качестве организатора или участника 76 мероприятий, связанных с РСТ, в интересах развивающихся стран и НРС, включая онлайн-семинары и практикумы по РСТ.  В зависимости от потребностей стран-бенефициаров и ситуации в них, целевой аудиторией этих мероприятий были не только должностные лица ведомств ИС (согласно ЦУР 9.b), но и исследователи (ЦУР 9.5), микро-, малые и средние предприятия (ММСП) (ЦУР 9.3), а также преподаватели.  Благодаря тому, что эти мероприятия из-за пандемии COVID-19 были проведены удаленно, в них приняло участие большее число участников из более широкого круга стран (около 7500 участников из 80 различных стран).  В то же время удаленное проведение обучения по ИТ-инструментам и услугам, связанным с PCT, сопряжено с проблемами, особенно в развивающихся странах и НРС, в связи с техническими ограничениями.  Более подробную информацию о координации деятельности по оказанию технической помощи в рамках РСТ можно найти в документе «Координация деятельности по оказанию технической помощи в рамках РСТ», представленном Рабочей группе по РСТ в 2021 г.</w:t>
      </w:r>
      <w:r w:rsidR="00B51635" w:rsidRPr="001A0B81">
        <w:rPr>
          <w:rStyle w:val="FootnoteReference"/>
          <w:rFonts w:eastAsiaTheme="minorHAnsi"/>
          <w:sz w:val="22"/>
          <w:szCs w:val="22"/>
        </w:rPr>
        <w:footnoteReference w:id="10"/>
      </w:r>
      <w:r>
        <w:rPr>
          <w:sz w:val="22"/>
        </w:rPr>
        <w:t>.</w:t>
      </w:r>
    </w:p>
    <w:p w14:paraId="420815A8" w14:textId="77777777" w:rsidR="00E860C1" w:rsidRDefault="00443082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Деятельность ВОИС в области патентов также способствует осуществлению Повестки дня на период до 2030 г. другими способами, такими, как предоставление скидок в размере 90% от размера международной пошлины за подачу заявки и некоторых других сборов за международные заявки, поданные физическими лицами из развивающихся стран и всеми заявителями из НРС (ЦУР 9.3); или предоставление ряда услуг, связанных с подготовкой и подачей международных заявок по процедуре РСТ в электронном виде и управлением ими (ЦУР 9 и 10).  Онлайновый портал e-PCT упрощает подачу заявок по процедуре РСТ, особенно заявителями из развивающихся стран и малыми ведомствами, которые могут не иметь возможности установить свои собственные системы электронной подачи заявок.  В 2021 г. были выпущены две крупные версии </w:t>
      </w:r>
      <w:proofErr w:type="spellStart"/>
      <w:r>
        <w:rPr>
          <w:sz w:val="22"/>
        </w:rPr>
        <w:t>ePCT</w:t>
      </w:r>
      <w:proofErr w:type="spellEnd"/>
      <w:r>
        <w:rPr>
          <w:sz w:val="22"/>
        </w:rPr>
        <w:t xml:space="preserve"> с новыми функциями и улучшениями для заявителей.  К концу года 98 ведомств имели доступ к сервисам </w:t>
      </w:r>
      <w:proofErr w:type="spellStart"/>
      <w:r>
        <w:rPr>
          <w:sz w:val="22"/>
        </w:rPr>
        <w:t>ePCT</w:t>
      </w:r>
      <w:proofErr w:type="spellEnd"/>
      <w:r>
        <w:rPr>
          <w:sz w:val="22"/>
        </w:rPr>
        <w:t xml:space="preserve"> для ведомств (в их числе 81 ведомство использует </w:t>
      </w:r>
      <w:proofErr w:type="spellStart"/>
      <w:r>
        <w:rPr>
          <w:sz w:val="22"/>
        </w:rPr>
        <w:t>браузерные</w:t>
      </w:r>
      <w:proofErr w:type="spellEnd"/>
      <w:r>
        <w:rPr>
          <w:sz w:val="22"/>
        </w:rPr>
        <w:t xml:space="preserve"> услуги </w:t>
      </w:r>
      <w:proofErr w:type="spellStart"/>
      <w:r>
        <w:rPr>
          <w:sz w:val="22"/>
        </w:rPr>
        <w:t>ePCT</w:t>
      </w:r>
      <w:proofErr w:type="spellEnd"/>
      <w:r>
        <w:rPr>
          <w:sz w:val="22"/>
        </w:rPr>
        <w:t xml:space="preserve"> как основной инструмент обработки международных заявок в качестве получающих ведомств; 73 ведомства, предлагающие услуги по подаче заявок </w:t>
      </w:r>
      <w:proofErr w:type="spellStart"/>
      <w:r>
        <w:rPr>
          <w:sz w:val="22"/>
        </w:rPr>
        <w:t>ePCT</w:t>
      </w:r>
      <w:proofErr w:type="spellEnd"/>
      <w:r>
        <w:rPr>
          <w:sz w:val="22"/>
        </w:rPr>
        <w:t xml:space="preserve">, дают возможность своим клиентам подавать новые международные заявки в режиме онлайн), а сервис </w:t>
      </w:r>
      <w:proofErr w:type="spellStart"/>
      <w:r>
        <w:rPr>
          <w:sz w:val="22"/>
        </w:rPr>
        <w:t>eSearchCopy</w:t>
      </w:r>
      <w:proofErr w:type="spellEnd"/>
      <w:r>
        <w:rPr>
          <w:sz w:val="22"/>
        </w:rPr>
        <w:t xml:space="preserve"> использовался во всех возможных парах (349) получающих ведомств и международных поисковых органов.  </w:t>
      </w:r>
    </w:p>
    <w:p w14:paraId="4B339536" w14:textId="15258867" w:rsidR="006800A9" w:rsidRDefault="006800A9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Кроме того, система централизованного доступа ВОИС к поиску и экспертизе (CASE) позволяет участвующим патентным ведомствам обмениваться документацией в отношении патентных заявок в защищенном режиме.  Система дает патентным экспертам возможность повысить качество и эффективность своей работы за счет обеспечения доступа к технической информации, которая в противном случае могла бы быть для них недоступна.  В настоящее </w:t>
      </w:r>
      <w:r w:rsidR="00E401EA">
        <w:rPr>
          <w:sz w:val="22"/>
        </w:rPr>
        <w:t xml:space="preserve">время </w:t>
      </w:r>
      <w:r>
        <w:rPr>
          <w:sz w:val="22"/>
        </w:rPr>
        <w:t>систему WIPO CASE используют 38 участвующих ведомств ИС; число документов, которыми ведомства ВОИС обмениваются с ее помощью ежегодно, превышает 100 000.</w:t>
      </w:r>
    </w:p>
    <w:p w14:paraId="14F027E3" w14:textId="77777777" w:rsidR="00641827" w:rsidRDefault="00641827" w:rsidP="00641827">
      <w:pPr>
        <w:pStyle w:val="Default"/>
        <w:spacing w:after="240"/>
        <w:rPr>
          <w:sz w:val="22"/>
          <w:szCs w:val="22"/>
        </w:rPr>
      </w:pPr>
    </w:p>
    <w:p w14:paraId="5C36FF30" w14:textId="0C1783C0" w:rsidR="005B650D" w:rsidRDefault="005B650D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соответствии с ЦУР 17 ВОИС продолжала укреплять сотрудничество в области науки, технологий и инноваций и доступ к ним, используя такие свои партнерства, как Программа обеспечения доступа к результатам научных исследований и инновационных проектов (ARDI) и Программа обеспечения доступа к специализированной патентной информации (ASPI).  В рамках ARDI пользователям из соответствующих развивающихся стран и территорий предоставляется</w:t>
      </w:r>
      <w:r w:rsidR="006E579A">
        <w:rPr>
          <w:sz w:val="22"/>
        </w:rPr>
        <w:t xml:space="preserve"> доступ к почти 58 000 подписных</w:t>
      </w:r>
      <w:r>
        <w:rPr>
          <w:sz w:val="22"/>
        </w:rPr>
        <w:t xml:space="preserve"> научно-технически</w:t>
      </w:r>
      <w:r w:rsidR="006E579A">
        <w:rPr>
          <w:sz w:val="22"/>
        </w:rPr>
        <w:t>х</w:t>
      </w:r>
      <w:r>
        <w:rPr>
          <w:sz w:val="22"/>
        </w:rPr>
        <w:t xml:space="preserve"> журнал</w:t>
      </w:r>
      <w:r w:rsidR="006E579A">
        <w:rPr>
          <w:sz w:val="22"/>
        </w:rPr>
        <w:t>ов, книг</w:t>
      </w:r>
      <w:r>
        <w:rPr>
          <w:sz w:val="22"/>
        </w:rPr>
        <w:t xml:space="preserve"> и </w:t>
      </w:r>
      <w:r w:rsidR="006E579A">
        <w:rPr>
          <w:sz w:val="22"/>
        </w:rPr>
        <w:t xml:space="preserve">других </w:t>
      </w:r>
      <w:r>
        <w:rPr>
          <w:sz w:val="22"/>
        </w:rPr>
        <w:t>справочн</w:t>
      </w:r>
      <w:r w:rsidR="006E579A">
        <w:rPr>
          <w:sz w:val="22"/>
        </w:rPr>
        <w:t>ых изданий</w:t>
      </w:r>
      <w:r>
        <w:rPr>
          <w:sz w:val="22"/>
        </w:rPr>
        <w:t>, а число учреждений, активно пользующихся ARDI во всем мире, приблизилось к 2350.  ASPI — еще одно государственно-частное партнерство, управляемое ВОИС, которое осуществляется благодаря сотрудничеству с ведущими провайдерами патентной информации.  Программа позволяет ведомствам из имеющих на это право развивающихся стран и территорий получить бесплатный или льготный доступ к высокотехнологичным инструментам и услугам поиска и анализа патентных данных, а число ее активных пользователей из числа учреждений почти достигло 70.</w:t>
      </w:r>
    </w:p>
    <w:p w14:paraId="44E8B877" w14:textId="77777777" w:rsidR="009D44E5" w:rsidRPr="005B650D" w:rsidRDefault="009D44E5" w:rsidP="009D44E5">
      <w:pPr>
        <w:pStyle w:val="Heading3"/>
        <w:numPr>
          <w:ilvl w:val="0"/>
          <w:numId w:val="23"/>
        </w:numPr>
        <w:spacing w:before="0" w:after="240"/>
        <w:rPr>
          <w:szCs w:val="22"/>
        </w:rPr>
      </w:pPr>
      <w:r>
        <w:t>Патентное право</w:t>
      </w:r>
    </w:p>
    <w:p w14:paraId="2EF999E1" w14:textId="77777777" w:rsidR="000F0D6D" w:rsidRPr="001A0B81" w:rsidRDefault="001851EF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Форумом для обсуждения вопросов, координации и определения основных направлений работы по прогрессивному развитию патентного права в международном масштабе продолжает служить Постоянный комитет по патентному праву (ППКП).  Комитет оказывает государствам-членам информационную поддержку в принятии ими решений в области их политики, законодательства и практики в области патентов, способствуя уменьшению информационной асимметричности между ними в столь сложной области, каким является патентное право, и тем самым обеспечивая реализацию ЦУР 9 и 10.  В 2021 г. продолжительность сессий Комитета была сокращена, а проводились они в гибридном формате, что создало проблемы с точки зрения обсуждений, но позволило участвовать в них большему числу делегатов.  Комитет подготовил ряд документов и исследований, касающихся различных аспектов материальных и процедурных норм патентного права, включая вопросы политики и реализацию законов на практике.  Кроме того, он провел ряд сессий по обмену опытом, в ходе которых государства-члены поделились информацией о своих соответствующих законах и практике, а также своим опытом практической реализации законов.  В 2021 г. состоялась сессия по обмену опытом в области использования искусственного интеллекта для рассмотрения патентных заявок.  Кроме того, Комитет продолжал получать обновленную информацию об инициативах, касающихся общедоступных баз данных о патентном статусе лекарственных средств и вакцин. </w:t>
      </w:r>
    </w:p>
    <w:p w14:paraId="38910EC0" w14:textId="3E9227B9" w:rsidR="00F31369" w:rsidRPr="001A0B81" w:rsidRDefault="000F0D6D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Предоставляя государствам-членам консультации по законодательным вопросам в области патентов, полезных моделей, топологии интегральных микросхем и коммерческой тайны, ВОИС также продолжала вносить свой вклад в достижение ЦУР 8 и 9, и</w:t>
      </w:r>
      <w:r w:rsidR="002E5503">
        <w:rPr>
          <w:sz w:val="22"/>
        </w:rPr>
        <w:t>,</w:t>
      </w:r>
      <w:r>
        <w:rPr>
          <w:sz w:val="22"/>
        </w:rPr>
        <w:t xml:space="preserve"> в частности</w:t>
      </w:r>
      <w:r w:rsidR="002E5503">
        <w:rPr>
          <w:sz w:val="22"/>
        </w:rPr>
        <w:t>,</w:t>
      </w:r>
      <w:r>
        <w:rPr>
          <w:sz w:val="22"/>
        </w:rPr>
        <w:t xml:space="preserve"> в реализацию задач 8.3, 9.5 и 9.b  Законодательная база по патентам и аналогичным формам ИС, направленная на охрану нематериальных активов в области технологий, является важным шагом в поддержку местных инноваций.  В результате технологические достижения не только приносят пользу обществу, но и составляют основу новой деловой деятельности.  В 2021 г. ВОИС оказала консультативную помощь по вопросам законодательства и политики в вышеупомянутых областях 21 стране из числа развивающихся и НРС (4 в африканском регионе, 4 в арабском регионе, 4 в Азиатско-Тихоокеанском регионе, 9 в Латинской Америке и Карибском бассейне).  Такая помощь государствам – членам ВОИС в разработке или изменении их собственной законодательной базы оказывалась в той форме и в той мере, в какой они запрашивали: путем подготовки комментариев к проектам документов, представленным для рассмотрения, или путем разработки новых проектов документов (законов, положений о применении, административных инструкций и руководства).  Перечисленные </w:t>
      </w:r>
      <w:r>
        <w:rPr>
          <w:sz w:val="22"/>
        </w:rPr>
        <w:lastRenderedPageBreak/>
        <w:t>специализированные консультативные мероприятия во всех случаях проводились с учетом, в частности, уровня развития самих запрашивающих государств-членов, их приоритетов в области политики и их международных обязательств.</w:t>
      </w:r>
    </w:p>
    <w:p w14:paraId="2FEFB690" w14:textId="77777777" w:rsidR="009D44E5" w:rsidRDefault="009D44E5" w:rsidP="009D44E5">
      <w:pPr>
        <w:pStyle w:val="Heading3"/>
        <w:numPr>
          <w:ilvl w:val="0"/>
          <w:numId w:val="23"/>
        </w:numPr>
        <w:spacing w:before="0" w:after="240"/>
        <w:rPr>
          <w:szCs w:val="22"/>
        </w:rPr>
      </w:pPr>
      <w:r>
        <w:t>Поддержка новаторов</w:t>
      </w:r>
    </w:p>
    <w:p w14:paraId="1A3B91D9" w14:textId="62C9909B" w:rsidR="00F31369" w:rsidRPr="001A0B81" w:rsidRDefault="00F31369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ВОИС стремится оказывать поддержку новаторам из своих государств-членов, предоставляя им доступ к высококачественной технологической информации и смежным услугам на местном уровне силами собственной сети Центров поддержки технологий и инноваций (ЦПТИ).  Эти сети были созданы в 88 странах и насчитывают свыше 1300 отдельных ЦПТИ, действующих при таких учреждениях, как университеты, научно-исследовательские и опытно-конструкторские центры и т.</w:t>
      </w:r>
      <w:r w:rsidR="003D54B4">
        <w:rPr>
          <w:sz w:val="22"/>
        </w:rPr>
        <w:t xml:space="preserve"> </w:t>
      </w:r>
      <w:r>
        <w:rPr>
          <w:sz w:val="22"/>
        </w:rPr>
        <w:t xml:space="preserve">д.  Они помогают новаторам использовать свой потенциал, создавать, охранять свои права ИС, а также управлять ими.  В 2021 г. обучение проводилось в виртуальном режиме для 24 государств — членов ВОИС по их просьбе.  Кроме того, было проведено одно региональное совещание для центральноазиатских республик, а в ноябре 2021 г. состоялась первая Глобальная конференция ЦПТИ, в работе которой приняли участие почти 1000 участников, представлявших 98 стран.  На конференции были представлены презентации и проведены групповые дискуссии с ведущими экспертами в области управления ИС, передачи технологии и предпринимательства в сфере технологий, а также представителями многочисленных передовых сетей ЦПТИ.  Кроме того, ЦПТИ организуют обмен информацией об эффективных видах практики и опытом в том, что касается патентного поиска, аналитики и смежных областей, через виртуальную сеть платформы э-ЦПТИ. </w:t>
      </w:r>
    </w:p>
    <w:p w14:paraId="7A56FC02" w14:textId="77777777" w:rsidR="00F31369" w:rsidRPr="001A0B81" w:rsidRDefault="00F31369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подготовила ряд инициатив, публикаций, учебных материалов и инструментов, призванных помочь ЦПТИ получить доступ к ценной научно-технической информации и эффективно использовать ее.  Платформа ВОИС INSPIRE («Индекс отчетов специализированной патентной информации») обеспечивает изобретателей, исследователей и предпринимателей точной и объективной информацией по патентным базам данных: в частности, по документации, которая в них содержится, а также по их функциям в области поиска и анализа, чтобы те имели возможность определить и использовать наиболее подходящую патентную базу данных.  Количество отчетов по патентным базам данных продолжало расти и в 2021 г. достигло 38 отчетов.</w:t>
      </w:r>
    </w:p>
    <w:p w14:paraId="760ED22F" w14:textId="77777777" w:rsidR="00F31369" w:rsidRPr="001A0B81" w:rsidRDefault="00F31369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2021 г. ВОИС опубликовала доклад из серии «Тенденции развития технологий» (WITT) по </w:t>
      </w:r>
      <w:proofErr w:type="spellStart"/>
      <w:r>
        <w:rPr>
          <w:sz w:val="22"/>
        </w:rPr>
        <w:t>ассистивным</w:t>
      </w:r>
      <w:proofErr w:type="spellEnd"/>
      <w:r>
        <w:rPr>
          <w:sz w:val="22"/>
        </w:rPr>
        <w:t xml:space="preserve"> технологиям, помогающим лицам с нарушениями функций организма жить полноценной жизнью.  Доклад посвящен семи областям: двигательной активности, слуху, зрению, когнитивной деятельности, речи и общению, искусственной среде и самообслуживанию, а также продуктам традиционных и новых </w:t>
      </w:r>
      <w:proofErr w:type="spellStart"/>
      <w:r>
        <w:rPr>
          <w:sz w:val="22"/>
        </w:rPr>
        <w:t>ассистивных</w:t>
      </w:r>
      <w:proofErr w:type="spellEnd"/>
      <w:r>
        <w:rPr>
          <w:sz w:val="22"/>
        </w:rPr>
        <w:t xml:space="preserve"> технологий.  Публикация доклада WITT совпала с созданием интерактивной и доступной платформы, демонстрирующей уровень готовности технологий, количество патентов, степень сложности освоения и ожидаемое воздействие на ассистивные технологии.</w:t>
      </w:r>
    </w:p>
    <w:p w14:paraId="31A23FD9" w14:textId="77777777" w:rsidR="00D70552" w:rsidRPr="001A0B81" w:rsidRDefault="00D70552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ТОВАРНЫЕ ЗНАКИ, ОБРАЗЦЫ И ГЕОГРАФИЧЕСКИЕ УКАЗАНИЯ</w:t>
      </w:r>
    </w:p>
    <w:p w14:paraId="38783B87" w14:textId="77777777" w:rsidR="00447672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Деятельность Организации в области товарных знаков, образцов и географических указаний продолжала в основном способствовать реализации ЦУР 3, 4, 5, 8, 9, 10, 16 и 17.</w:t>
      </w:r>
    </w:p>
    <w:p w14:paraId="77907FC2" w14:textId="77777777" w:rsidR="00447672" w:rsidRDefault="00447672" w:rsidP="00447672">
      <w:pPr>
        <w:pStyle w:val="Heading3"/>
        <w:numPr>
          <w:ilvl w:val="0"/>
          <w:numId w:val="32"/>
        </w:numPr>
        <w:spacing w:before="0" w:after="240"/>
      </w:pPr>
      <w:r>
        <w:t>Консультации по вопросам законодательства</w:t>
      </w:r>
    </w:p>
    <w:p w14:paraId="7D822DE2" w14:textId="77777777" w:rsidR="00447672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течение отчетного периода, в соответствии с ЦУР 8, 9, 10 и 16, ВОИС по запросу государств-членов продолжала предоставлять им специализированные консультации по вопросам законодательства, уделяя особое внимание развивающимся странам, НРС и </w:t>
      </w:r>
      <w:r>
        <w:rPr>
          <w:sz w:val="22"/>
        </w:rPr>
        <w:lastRenderedPageBreak/>
        <w:t>странам с переходной экономикой.  Организация откликнулась на 16 таких запросов от 11 стран, расположенных в пяти различных географических регионах.  Кроме того, ВОИС предоставляла юридические консультации существующим и потенциальным участникам Сингапурского договора о законах по товарным знакам (СТЛТ), обмениваясь информацией и опытом по правовым, техническим и институциональным аспектам осуществления Договора и возможностям, вытекающими из этого обстоятельства.  В течение 2021 г. ВОИС предоставляла такую поддержку Албании, Бахрейну, Фиджи и Уругваю, способствуя тем самым реализации ЦУР 4 и 16.  Организация также продолжала расширять географический охват Договора, еще больше упрощая процедуры регистрации товарных знаков по всему миру и тем самым способствуя достижению ЦУР 9, 10 и 16.</w:t>
      </w:r>
    </w:p>
    <w:p w14:paraId="06273369" w14:textId="77777777" w:rsidR="00FF25A3" w:rsidRPr="00FF25A3" w:rsidRDefault="00FF25A3" w:rsidP="00FF25A3">
      <w:pPr>
        <w:pStyle w:val="Heading3"/>
        <w:numPr>
          <w:ilvl w:val="0"/>
          <w:numId w:val="32"/>
        </w:numPr>
        <w:spacing w:before="0" w:after="240"/>
      </w:pPr>
      <w:r>
        <w:t>Международные непатентованные наименования фармацевтических веществ</w:t>
      </w:r>
    </w:p>
    <w:p w14:paraId="28EC03CF" w14:textId="77777777" w:rsidR="00447672" w:rsidRPr="00FF25A3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соответствии с ЦУР 3 и ЦУР 17, ВОИС продолжила сотрудничество со Всемирной организацией здравоохранения (ВОЗ) по международным непатентованным наименованиям фармацевтических веществ (МНН)</w:t>
      </w:r>
      <w:r w:rsidRPr="00FF25A3">
        <w:rPr>
          <w:rStyle w:val="FootnoteReference"/>
          <w:sz w:val="22"/>
          <w:szCs w:val="22"/>
        </w:rPr>
        <w:footnoteReference w:id="11"/>
      </w:r>
      <w:r>
        <w:rPr>
          <w:sz w:val="22"/>
        </w:rPr>
        <w:t>, что позволило осуществлять обмен информацией, содержащейся в глобальном центре данных МНН ВОЗ и в Глобальной базе данных ВОИС по брендам (ГБДБ).  Замена бумажной коммуникации и информации на физических носителях (CD-ROM) электронными средствами связи также содействует достижению ЦУР 13.</w:t>
      </w:r>
    </w:p>
    <w:p w14:paraId="18365F79" w14:textId="40E39829" w:rsidR="00447672" w:rsidRPr="00FF25A3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результате этого эксперты по товарным знакам в государствах – членах ВОИС теперь могут вести поиск МНН в ГБДБ в доступном формате, а также с использованием различных фильтров, которые облегчают текстовое сравнение МНН со словесными обозначениями.  Благодаря этому новому инструменту они получат возможность послужить общественному благу, предпринимая шаги в целях сохранения бесплатности и доступности этих названий для фармацевтов и врачей всего мира, что, в свою очередь, позволит избе</w:t>
      </w:r>
      <w:r w:rsidR="00BF38B5">
        <w:rPr>
          <w:sz w:val="22"/>
        </w:rPr>
        <w:t>ж</w:t>
      </w:r>
      <w:r>
        <w:rPr>
          <w:sz w:val="22"/>
        </w:rPr>
        <w:t>ать ошибок при назначении лекарственных средств.  Кроме того, национальные комиссии по фармакопее и эксперты, занимающиеся вопросами подбора названий для лекарственных препаратов, могут использовать данные о товарных знаках, хранящиеся в ГБДБ, для того чтобы избегать внесения предложений или рекомендаций в отношении новых МНН, которые можно</w:t>
      </w:r>
      <w:r w:rsidR="00D4016A">
        <w:rPr>
          <w:sz w:val="22"/>
        </w:rPr>
        <w:t xml:space="preserve"> </w:t>
      </w:r>
      <w:r>
        <w:rPr>
          <w:sz w:val="22"/>
        </w:rPr>
        <w:t xml:space="preserve">спутать с существующими товарными знаками, что, в свою очередь, будет способствовать укреплению </w:t>
      </w:r>
      <w:proofErr w:type="spellStart"/>
      <w:r>
        <w:rPr>
          <w:sz w:val="22"/>
        </w:rPr>
        <w:t>фармаконадзора</w:t>
      </w:r>
      <w:proofErr w:type="spellEnd"/>
      <w:r>
        <w:rPr>
          <w:sz w:val="22"/>
        </w:rPr>
        <w:t xml:space="preserve"> и повышению надежности лекарственных средств.</w:t>
      </w:r>
    </w:p>
    <w:p w14:paraId="78F96864" w14:textId="77777777" w:rsidR="00447672" w:rsidRPr="00FF25A3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ответ на чрезвычайную ситуацию в области здравоохранения, вызванную распространением COVID-19, 14 июня 2021 г. в ГБДБ ВОИС был опубликован специальный выпуск списка (в виде Списка № 125), содержащий предлагаемые МНН препараты, которые будут использоваться в качестве активных веществ вакцин против вариантов тяжелого острого респираторного синдрома SARS-CoV-2.  </w:t>
      </w:r>
    </w:p>
    <w:p w14:paraId="1326BBF4" w14:textId="77777777" w:rsidR="00743197" w:rsidRPr="00743197" w:rsidRDefault="00743197" w:rsidP="00743197">
      <w:pPr>
        <w:pStyle w:val="Heading3"/>
        <w:numPr>
          <w:ilvl w:val="0"/>
          <w:numId w:val="32"/>
        </w:numPr>
        <w:spacing w:before="0" w:after="240"/>
      </w:pPr>
      <w:r>
        <w:t>Глобальные системы ИС и связанные с ними услуги</w:t>
      </w:r>
    </w:p>
    <w:p w14:paraId="500545FF" w14:textId="77777777" w:rsidR="00447672" w:rsidRPr="004A00B4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Благодаря Мадридской, Гаагской и Лиссабонской системам</w:t>
      </w:r>
      <w:r w:rsidR="00DB1496" w:rsidRPr="000E79F8">
        <w:rPr>
          <w:rStyle w:val="FootnoteReference"/>
          <w:sz w:val="22"/>
          <w:szCs w:val="22"/>
        </w:rPr>
        <w:footnoteReference w:id="12"/>
      </w:r>
      <w:r>
        <w:rPr>
          <w:sz w:val="22"/>
        </w:rPr>
        <w:t>, ВОИС упрощает процесс подачи заявок и снижает стоимость получения международной охраны товарных знаков, промышленных образцов и ГУ.  Таким образом, Организация способствует инклюзивному и устойчивому развитию, внося свой вклад в реализацию ЦУР 8.</w:t>
      </w:r>
    </w:p>
    <w:p w14:paraId="475911E0" w14:textId="77777777" w:rsidR="00447672" w:rsidRPr="00D1339B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lastRenderedPageBreak/>
        <w:t>В течение отчетного периода Организация приняла меры по расширению использования и географического охвата международных систем регистрации ИС, уделяя особое внимание развивающимся странам и НРС.   В этом контексте Мадридский реестр предоставил техническую помощь более чем 20 странам в рамках их подготовки к будущему присоединению к Мадридскому протоколу</w:t>
      </w:r>
      <w:r>
        <w:rPr>
          <w:rStyle w:val="FootnoteReference"/>
          <w:sz w:val="22"/>
          <w:szCs w:val="22"/>
        </w:rPr>
        <w:footnoteReference w:id="13"/>
      </w:r>
      <w:r>
        <w:rPr>
          <w:sz w:val="22"/>
        </w:rPr>
        <w:t>.  Кроме того, ведомствам ИС были предложены технические консультации по электронному обмену документами с Мадридской системой, которые обеспечивают им доступ к Мадридскому порталу для ведомств и позволяют получать и передавать уведомления в рамках Мадридской системы.  В 2021 г. подобный доступ был предоставлен двум ведомствам ИС</w:t>
      </w:r>
      <w:r w:rsidRPr="00D1339B">
        <w:rPr>
          <w:rStyle w:val="FootnoteReference"/>
          <w:sz w:val="22"/>
          <w:szCs w:val="22"/>
        </w:rPr>
        <w:footnoteReference w:id="14"/>
      </w:r>
      <w:r>
        <w:rPr>
          <w:sz w:val="22"/>
        </w:rPr>
        <w:t>, в результате чего общее число пользователей портала возросло до 100.  За этот же период Гаагский реестр оказал помощь более чем 20 странам в подготовке их присоединения к Акту Гаагского соглашения 1999 г.</w:t>
      </w:r>
      <w:r w:rsidRPr="00D1339B">
        <w:rPr>
          <w:rStyle w:val="FootnoteReference"/>
          <w:sz w:val="22"/>
          <w:szCs w:val="22"/>
        </w:rPr>
        <w:footnoteReference w:id="15"/>
      </w:r>
      <w:r>
        <w:rPr>
          <w:sz w:val="22"/>
        </w:rPr>
        <w:t>.  Заинтересованность в присоединении к Гаагской системе выразили несколько государств-членов АРОИС</w:t>
      </w:r>
      <w:r w:rsidRPr="00D1339B">
        <w:rPr>
          <w:rStyle w:val="FootnoteReference"/>
          <w:sz w:val="22"/>
          <w:szCs w:val="22"/>
        </w:rPr>
        <w:footnoteReference w:id="16"/>
      </w:r>
      <w:r>
        <w:rPr>
          <w:sz w:val="22"/>
        </w:rPr>
        <w:t>.</w:t>
      </w:r>
    </w:p>
    <w:p w14:paraId="4C32B0DB" w14:textId="77777777" w:rsidR="00447672" w:rsidRPr="00D1339B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нынешним и перспективным членам Мадридской, Гаагской и Лиссабонской систем по их запросу продолжали предоставляться консультации по законодательным вопросам, в частности, по функциональной совместимости между их законодательством и процедурами ведомств ИС с одной стороны и нормативными базами и процедурами упомянутых систем с другой.  В 2021 году Мадридский реестр предоставил консультации по законодательным вопросам 11 странам</w:t>
      </w:r>
      <w:r w:rsidR="00D11E61" w:rsidRPr="00D1339B">
        <w:rPr>
          <w:rStyle w:val="FootnoteReference"/>
          <w:sz w:val="22"/>
          <w:szCs w:val="22"/>
        </w:rPr>
        <w:footnoteReference w:id="17"/>
      </w:r>
      <w:r>
        <w:rPr>
          <w:sz w:val="22"/>
        </w:rPr>
        <w:t>, а Гаагский регистр предоставил их семи странам</w:t>
      </w:r>
      <w:r w:rsidR="00D11E61" w:rsidRPr="00D1339B">
        <w:rPr>
          <w:rStyle w:val="FootnoteReference"/>
          <w:sz w:val="22"/>
          <w:szCs w:val="22"/>
        </w:rPr>
        <w:footnoteReference w:id="18"/>
      </w:r>
      <w:r>
        <w:rPr>
          <w:sz w:val="22"/>
        </w:rPr>
        <w:t>.</w:t>
      </w:r>
    </w:p>
    <w:p w14:paraId="4BB6069D" w14:textId="33659215" w:rsidR="00447672" w:rsidRPr="00F24A27" w:rsidRDefault="00DB1496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2021 г. были внесены поправки в Общую инструкцию к Акту 1999 г. и Акту 1960 г. Гаагского соглашения, которые вступили в силу для обеспечения того, чтобы все пользователи Гаагской системы смогли пользоваться предоставляемой ВОИС услугой электронного обмена документацией.  Ассамблея Гаагского союза, собравшаяся в октябре 2021 г., приняла дополнительные поправки к Общей инструкции, предусматривающие, в том числе (i) продление срока стандартной публикации с 6 до 12 месяцев; (</w:t>
      </w:r>
      <w:proofErr w:type="spellStart"/>
      <w:r>
        <w:rPr>
          <w:sz w:val="22"/>
        </w:rPr>
        <w:t>ii</w:t>
      </w:r>
      <w:proofErr w:type="spellEnd"/>
      <w:r>
        <w:rPr>
          <w:sz w:val="22"/>
        </w:rPr>
        <w:t>) смягчение требований к регистрации изменения владельца, когда запрос представляется новым владельцем; и (</w:t>
      </w:r>
      <w:proofErr w:type="spellStart"/>
      <w:r>
        <w:rPr>
          <w:sz w:val="22"/>
        </w:rPr>
        <w:t>iii</w:t>
      </w:r>
      <w:proofErr w:type="spellEnd"/>
      <w:r>
        <w:rPr>
          <w:sz w:val="22"/>
        </w:rPr>
        <w:t>) смягчение требований в отношении допущения несоблюдения сроков осуществления действий в отношении Международного бюро в связи с форс-мажорным обстоятельством, таким как COVID-19.  Кроме того, сессия Рабочей групп</w:t>
      </w:r>
      <w:r w:rsidR="00AD2F81">
        <w:rPr>
          <w:sz w:val="22"/>
        </w:rPr>
        <w:t>ы</w:t>
      </w:r>
      <w:r>
        <w:rPr>
          <w:sz w:val="22"/>
        </w:rPr>
        <w:t xml:space="preserve"> по правовому развитию Гаагской системы международной регистрации промышленных образцов, состоявшаяся в декабре 2021 г., рассмотрела, среди прочего, возможность включения в Гаагскую систему новых языков и решила продолжить обсуждение этой темы на следующей сессии.</w:t>
      </w:r>
    </w:p>
    <w:p w14:paraId="21288270" w14:textId="77777777" w:rsidR="00447672" w:rsidRPr="00D1339B" w:rsidRDefault="00447672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целях дальнейшего упрощения обработки заявок ВОИС периодически обновляла и публиковала на своем веб-сайте онлайновые решения, электронные услуги, видеоинструкции, ежегодные статистические обзоры и адаптированные образовательные ресурсы для оказания помощи пользователям товарных знаков и образцов на протяжении всего жизненного цикла международной заявки.  Например, онлайновые </w:t>
      </w:r>
      <w:r>
        <w:rPr>
          <w:sz w:val="22"/>
        </w:rPr>
        <w:lastRenderedPageBreak/>
        <w:t xml:space="preserve">интерфейсы для сервисов подачи международных заявок в рамках Мадридской и Гаагской систем, </w:t>
      </w:r>
      <w:proofErr w:type="spellStart"/>
      <w:r>
        <w:rPr>
          <w:sz w:val="22"/>
        </w:rPr>
        <w:t>Madrid</w:t>
      </w:r>
      <w:proofErr w:type="spellEnd"/>
      <w:r>
        <w:rPr>
          <w:sz w:val="22"/>
        </w:rPr>
        <w:t xml:space="preserve"> e-</w:t>
      </w:r>
      <w:proofErr w:type="spellStart"/>
      <w:r>
        <w:rPr>
          <w:sz w:val="22"/>
        </w:rPr>
        <w:t>Filing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e</w:t>
      </w:r>
      <w:r>
        <w:rPr>
          <w:i/>
          <w:sz w:val="22"/>
        </w:rPr>
        <w:t>Hague</w:t>
      </w:r>
      <w:proofErr w:type="spellEnd"/>
      <w:r>
        <w:rPr>
          <w:sz w:val="22"/>
        </w:rPr>
        <w:t>, продолжали предлагать заявителям легкодоступные средства и пошаговые инструкции по безопасной подаче международных заявок и продлению международной регистрации в электронной форме.  В 2021 г. к сервису электронной подачи заявок в рамках Мадридской системы присоединились четыре ведомства ИС</w:t>
      </w:r>
      <w:r w:rsidR="00817C78" w:rsidRPr="00455FE6">
        <w:rPr>
          <w:sz w:val="22"/>
          <w:szCs w:val="22"/>
          <w:vertAlign w:val="superscript"/>
        </w:rPr>
        <w:footnoteReference w:id="19"/>
      </w:r>
      <w:r>
        <w:rPr>
          <w:sz w:val="22"/>
        </w:rPr>
        <w:t>, за счет чего общее число участвующих ведомств увеличилось до 15.  Кроме того, техническая помощь в создании службы электронной подачи и двустороннего электронного обмена документацией с ВОИС была оказана ОАР Гонконг (Китай).</w:t>
      </w:r>
    </w:p>
    <w:p w14:paraId="479F70E6" w14:textId="77777777" w:rsidR="00D1339B" w:rsidRPr="00D1339B" w:rsidRDefault="00D1339B" w:rsidP="00D1339B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ВОИС также </w:t>
      </w:r>
      <w:r>
        <w:rPr>
          <w:color w:val="auto"/>
          <w:sz w:val="22"/>
        </w:rPr>
        <w:t>внесла свой вклад в осуществление Повестки дня до 2030 г.</w:t>
      </w:r>
      <w:r>
        <w:rPr>
          <w:sz w:val="22"/>
        </w:rPr>
        <w:t>, предложив сократить на 90 процентов международную пошлину за подачу заявки и некоторые другие пошлины за подачу заявок владельцами брендов и/или образцов из развивающихся стран.</w:t>
      </w:r>
    </w:p>
    <w:p w14:paraId="4ABB0451" w14:textId="77777777" w:rsidR="00D1339B" w:rsidRPr="00FF25A3" w:rsidRDefault="00D1339B" w:rsidP="00D1339B">
      <w:pPr>
        <w:pStyle w:val="Heading3"/>
        <w:numPr>
          <w:ilvl w:val="0"/>
          <w:numId w:val="32"/>
        </w:numPr>
        <w:spacing w:before="0" w:after="240"/>
        <w:rPr>
          <w:szCs w:val="22"/>
        </w:rPr>
      </w:pPr>
      <w:r>
        <w:t>Укрепление потенциала и повышение уровня информированности</w:t>
      </w:r>
    </w:p>
    <w:p w14:paraId="03A16C53" w14:textId="128DB6D5" w:rsidR="00A3768C" w:rsidRDefault="00A3768C" w:rsidP="00447672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Для повышения информированности и углубления знаний об эффективном использовании товарных знаков, промышленных образцов и географических указаний, а также о преимуществах международных систем регистрации ИС Организация расширила диапазон, охват и доступность своей технической помощи и деятельности по укреплению потенциала, тем самым внося вклад в достижение ЦУР 4, 5, 9 и 10.</w:t>
      </w:r>
      <w:r>
        <w:rPr>
          <w:i/>
          <w:sz w:val="22"/>
        </w:rPr>
        <w:t xml:space="preserve">  </w:t>
      </w:r>
      <w:r>
        <w:rPr>
          <w:sz w:val="22"/>
        </w:rPr>
        <w:t xml:space="preserve">К примерам такой деятельности относятся:  (i) организация </w:t>
      </w:r>
      <w:r>
        <w:rPr>
          <w:i/>
          <w:sz w:val="22"/>
        </w:rPr>
        <w:t>Всемирного симпозиума по географическим указаниям</w:t>
      </w:r>
      <w:r>
        <w:rPr>
          <w:sz w:val="22"/>
        </w:rPr>
        <w:t xml:space="preserve"> и </w:t>
      </w:r>
      <w:r>
        <w:rPr>
          <w:i/>
          <w:sz w:val="22"/>
        </w:rPr>
        <w:t>Виртуальной выставки по географическим указаниям;</w:t>
      </w:r>
      <w:r w:rsidR="003D54B4">
        <w:rPr>
          <w:i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ii</w:t>
      </w:r>
      <w:proofErr w:type="spellEnd"/>
      <w:r>
        <w:rPr>
          <w:sz w:val="22"/>
        </w:rPr>
        <w:t>) разработка и вывод на рынок специализированного курса дистанционного обучения по Мадридской системе международной регистрации знаков (DL-303)</w:t>
      </w:r>
      <w:r>
        <w:rPr>
          <w:rStyle w:val="FootnoteReference"/>
          <w:sz w:val="22"/>
          <w:szCs w:val="22"/>
        </w:rPr>
        <w:footnoteReference w:id="20"/>
      </w:r>
      <w:r>
        <w:rPr>
          <w:sz w:val="22"/>
        </w:rPr>
        <w:t>; (</w:t>
      </w:r>
      <w:proofErr w:type="spellStart"/>
      <w:r>
        <w:rPr>
          <w:sz w:val="22"/>
        </w:rPr>
        <w:t>iii</w:t>
      </w:r>
      <w:proofErr w:type="spellEnd"/>
      <w:r>
        <w:rPr>
          <w:sz w:val="22"/>
        </w:rPr>
        <w:t xml:space="preserve">) организация специализированных семинаров и учебных мероприятий, рассчитанных на конкретные целевые рынки и заинтересованных сторон, таких как учебная серия по Мадридской системе для МСП, являющихся партнерами </w:t>
      </w:r>
      <w:proofErr w:type="spellStart"/>
      <w:r>
        <w:rPr>
          <w:sz w:val="22"/>
        </w:rPr>
        <w:t>Alibaba</w:t>
      </w:r>
      <w:proofErr w:type="spellEnd"/>
      <w:r>
        <w:rPr>
          <w:sz w:val="22"/>
        </w:rPr>
        <w:t>; (</w:t>
      </w:r>
      <w:proofErr w:type="spellStart"/>
      <w:r>
        <w:rPr>
          <w:sz w:val="22"/>
        </w:rPr>
        <w:t>iv</w:t>
      </w:r>
      <w:proofErr w:type="spellEnd"/>
      <w:r>
        <w:rPr>
          <w:sz w:val="22"/>
        </w:rPr>
        <w:t>) проведение форума по брендингу и разработке для МСП; (v) организация вебинара по преимуществам Гаагской системы для разработчиков промышленных образцов из Ботсваны, Намибии, Руанды и Сан-Томе и Принсипи, в котором приняли участие примерно 100 слушателей; и (</w:t>
      </w:r>
      <w:proofErr w:type="spellStart"/>
      <w:r>
        <w:rPr>
          <w:sz w:val="22"/>
        </w:rPr>
        <w:t>vi</w:t>
      </w:r>
      <w:proofErr w:type="spellEnd"/>
      <w:r>
        <w:rPr>
          <w:sz w:val="22"/>
        </w:rPr>
        <w:t xml:space="preserve">) проведение </w:t>
      </w:r>
      <w:proofErr w:type="spellStart"/>
      <w:r>
        <w:rPr>
          <w:sz w:val="22"/>
        </w:rPr>
        <w:t>вебинара</w:t>
      </w:r>
      <w:proofErr w:type="spellEnd"/>
      <w:r>
        <w:rPr>
          <w:sz w:val="22"/>
        </w:rPr>
        <w:t xml:space="preserve"> по Гаагской системе для студентов, обучающихся по программе «магистр права ИС» Университета Анкары (Турция).</w:t>
      </w:r>
    </w:p>
    <w:p w14:paraId="47CA627B" w14:textId="77777777" w:rsidR="00447672" w:rsidRPr="00A3768C" w:rsidRDefault="00A3768C" w:rsidP="00A3768C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О растущем интересе развивающихся стран и НРС к международной регистрации наименований мест происхождения и географических указаний свидетельствует увеличение доли международных регистраций из этих стран</w:t>
      </w:r>
      <w:r w:rsidR="00447672" w:rsidRPr="00FF25A3">
        <w:rPr>
          <w:rStyle w:val="FootnoteReference"/>
          <w:sz w:val="22"/>
          <w:szCs w:val="22"/>
        </w:rPr>
        <w:footnoteReference w:id="21"/>
      </w:r>
      <w:r>
        <w:rPr>
          <w:sz w:val="22"/>
        </w:rPr>
        <w:t>.  Коллективная система подтверждения качества в отношении наименований мест происхождения и географических указаний способствует дальнейшему развитию сельских и местных сообществ, обеспечению продовольственной безопасности, развитию экспорта и местного туризма.  В 2021 г. Лиссабонский реестр по просьбе государств – членов ВОИС провел мероприятия по оказанию технической помощи и укреплению потенциала, которые непосредственно способствовали достижению ЦУР 2, 4, 5, 8, 10, 12 и 15.  Эти мероприятия были направлены на оказание помощи компетентным органам и заинтересованным сторонам в интеграции местных общин и производителей в глобальную экономику путем выявления, разработки и охраны устойчивых наименований мест происхождения и географических указаний.  Примерами проектов в области создания географических указаний и брендов являются «Помпельмусы из Кох-</w:t>
      </w:r>
      <w:proofErr w:type="spellStart"/>
      <w:r>
        <w:rPr>
          <w:sz w:val="22"/>
        </w:rPr>
        <w:t>Трунга</w:t>
      </w:r>
      <w:proofErr w:type="spellEnd"/>
      <w:r>
        <w:rPr>
          <w:sz w:val="22"/>
        </w:rPr>
        <w:t xml:space="preserve">», </w:t>
      </w:r>
      <w:r>
        <w:rPr>
          <w:sz w:val="22"/>
        </w:rPr>
        <w:lastRenderedPageBreak/>
        <w:t>«</w:t>
      </w:r>
      <w:proofErr w:type="spellStart"/>
      <w:r>
        <w:rPr>
          <w:sz w:val="22"/>
        </w:rPr>
        <w:t>Кампотская</w:t>
      </w:r>
      <w:proofErr w:type="spellEnd"/>
      <w:r>
        <w:rPr>
          <w:sz w:val="22"/>
        </w:rPr>
        <w:t xml:space="preserve"> морская соль» и «</w:t>
      </w:r>
      <w:proofErr w:type="spellStart"/>
      <w:r>
        <w:rPr>
          <w:sz w:val="22"/>
        </w:rPr>
        <w:t>Кампотская</w:t>
      </w:r>
      <w:proofErr w:type="spellEnd"/>
      <w:r>
        <w:rPr>
          <w:sz w:val="22"/>
        </w:rPr>
        <w:t xml:space="preserve"> цветочная соль» (Камбоджа), «</w:t>
      </w:r>
      <w:proofErr w:type="spellStart"/>
      <w:r>
        <w:rPr>
          <w:sz w:val="22"/>
        </w:rPr>
        <w:t>Мадд</w:t>
      </w:r>
      <w:proofErr w:type="spellEnd"/>
      <w:r>
        <w:rPr>
          <w:sz w:val="22"/>
        </w:rPr>
        <w:t xml:space="preserve"> де </w:t>
      </w:r>
      <w:proofErr w:type="spellStart"/>
      <w:r>
        <w:rPr>
          <w:sz w:val="22"/>
        </w:rPr>
        <w:t>Казаманс</w:t>
      </w:r>
      <w:proofErr w:type="spellEnd"/>
      <w:r>
        <w:rPr>
          <w:sz w:val="22"/>
        </w:rPr>
        <w:t>» (Сенегал) и «</w:t>
      </w:r>
      <w:proofErr w:type="spellStart"/>
      <w:r>
        <w:rPr>
          <w:sz w:val="22"/>
        </w:rPr>
        <w:t>Ри</w:t>
      </w:r>
      <w:proofErr w:type="spellEnd"/>
      <w:r>
        <w:rPr>
          <w:sz w:val="22"/>
        </w:rPr>
        <w:t xml:space="preserve"> де </w:t>
      </w:r>
      <w:proofErr w:type="spellStart"/>
      <w:r>
        <w:rPr>
          <w:sz w:val="22"/>
        </w:rPr>
        <w:t>Ковье</w:t>
      </w:r>
      <w:proofErr w:type="spellEnd"/>
      <w:r>
        <w:rPr>
          <w:sz w:val="22"/>
        </w:rPr>
        <w:t>» в Того.</w:t>
      </w:r>
    </w:p>
    <w:p w14:paraId="00BC9CDD" w14:textId="77777777" w:rsidR="00015115" w:rsidRPr="00270E0D" w:rsidRDefault="00015115" w:rsidP="00B73236">
      <w:pPr>
        <w:pStyle w:val="Heading2"/>
        <w:numPr>
          <w:ilvl w:val="0"/>
          <w:numId w:val="9"/>
        </w:numPr>
        <w:tabs>
          <w:tab w:val="left" w:pos="540"/>
        </w:tabs>
        <w:spacing w:before="0" w:after="240"/>
        <w:ind w:left="540" w:hanging="540"/>
        <w:rPr>
          <w:szCs w:val="22"/>
        </w:rPr>
      </w:pPr>
      <w:r>
        <w:t>АВТОРСКОЕ ПРАВО И СМЕЖНЫЕ ПРАВА</w:t>
      </w:r>
    </w:p>
    <w:p w14:paraId="5EDA8122" w14:textId="77777777" w:rsidR="00015115" w:rsidRDefault="00D949BF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Деятельность ВОИС в области авторского права продолжала вносить вклад в Повестку дня до 2030 г. на различных уровнях.</w:t>
      </w:r>
    </w:p>
    <w:p w14:paraId="7F98CDB1" w14:textId="77777777" w:rsidR="00D949BF" w:rsidRDefault="00D949BF" w:rsidP="00D949BF">
      <w:pPr>
        <w:pStyle w:val="Heading3"/>
        <w:numPr>
          <w:ilvl w:val="0"/>
          <w:numId w:val="33"/>
        </w:numPr>
        <w:spacing w:before="0" w:after="240"/>
      </w:pPr>
      <w:r>
        <w:t>Техническая помощь и укрепление потенциала</w:t>
      </w:r>
    </w:p>
    <w:p w14:paraId="2417EA86" w14:textId="77777777" w:rsidR="00D949BF" w:rsidRDefault="003A4D96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течение 2021 г. мероприятия по технической помощи и укреплению потенциала в области авторского права по-прежнему руководствовались целями устойчивого развития (особенно 4, 8 и 9), адаптируясь к проблемам, созданным пандемией COVID-19 в развивающихся странах.  Основное внимание было уделено более эффективному использованию ИС для поддержки роста и развития развивающихся стран и НРС, укреплению институционального и кадрового потенциала, расширению знаний и навыков в области авторского права посредством организации практических программ обучения и наставничества.  Эти программы также были направлены на поддержку работы национальных ведомств авторского права и создание возможностей для большего числа авторов, творческих сообществ, руководителей творческих МСП и культурных учреждений успешно использовать авторские права, а также способствовать устойчивому культурному, социальному и экономическому развитию своих стран.</w:t>
      </w:r>
    </w:p>
    <w:p w14:paraId="448CEDD2" w14:textId="77777777" w:rsidR="00F22A58" w:rsidRPr="00F22A58" w:rsidRDefault="003A4D96" w:rsidP="00F22A58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Программы были адаптированы и реализованы на секторальном, национальном, субрегиональном и региональном уровнях.  Они помогли большому числу стран из различных географических регионов.  Некоторые из этих программ были разработаны с учетом конкретных потребностей молодых и новых создателей и руководителей творческих предприятий и стартапов в развивающихся странах и НРС.  Были проведены вебинары, учебные занятия, семинары, практикумы и другие мероприятия по укреплению потенциала и повышению осведомленности по различным темам, в том числе: коллективное управление авторскими и смежными правами; инфраструктура авторского права; контроль и надзор за деятельностью организаций коллективного управления; методы и практика установления тарифных схем в музыкальной сфере; коллективное управление и частное копирование; разработка планов обеспечения гендерного равенства для разработчиков политики в области авторского права. </w:t>
      </w:r>
    </w:p>
    <w:p w14:paraId="6D8C74A4" w14:textId="77777777" w:rsidR="003A4D96" w:rsidRDefault="003A4D96" w:rsidP="005B650D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также расширила осуществление программ и проектов по укреплению потенциала в рамках инициативы «Объединение издателей» (</w:t>
      </w:r>
      <w:proofErr w:type="spellStart"/>
      <w:r>
        <w:rPr>
          <w:sz w:val="22"/>
        </w:rPr>
        <w:t>Publishers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Circle</w:t>
      </w:r>
      <w:proofErr w:type="spellEnd"/>
      <w:r>
        <w:rPr>
          <w:sz w:val="22"/>
        </w:rPr>
        <w:t>), направленной на поддержку развития местной издательской индустрии в развивающихся странах и НРС.  К концу 2021 г. к Хартии Объединения издателей присоединились более 150 национальных и международных правительственных и неправительственных организаций, издателей, библиотек и других партнеров, что подтверждает продолжающуюся широкую поддержку данной инициативы государственно-частного партнерства.  В течение отчетного периода продолжали проводиться учебные занятия и программы наставничества.</w:t>
      </w:r>
    </w:p>
    <w:p w14:paraId="4063B23C" w14:textId="77777777" w:rsidR="00AC505F" w:rsidRPr="0049773A" w:rsidRDefault="00AC505F" w:rsidP="00AC505F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в течение отчетного периода был представлен ряд публикаций: Пособие по преподаванию авторского права и смежных прав; Пособие по обучению авторскому праву и смежным правам; два модельных образца учебного плана по авторскому праву; обновленный вариант Пособия ВОИС по передовой практике для организаций коллективного управления</w:t>
      </w:r>
      <w:r>
        <w:rPr>
          <w:rStyle w:val="FootnoteReference"/>
          <w:sz w:val="22"/>
          <w:szCs w:val="22"/>
        </w:rPr>
        <w:footnoteReference w:id="22"/>
      </w:r>
      <w:r>
        <w:rPr>
          <w:sz w:val="22"/>
        </w:rPr>
        <w:t xml:space="preserve">.  Эти материалы могут использоваться для </w:t>
      </w:r>
      <w:r>
        <w:rPr>
          <w:sz w:val="22"/>
        </w:rPr>
        <w:lastRenderedPageBreak/>
        <w:t>повышения уровня знаний и навыков в области авторского права и в творческих отраслях, особенно в развивающихся странах и НРС (ЦУР 4).</w:t>
      </w:r>
    </w:p>
    <w:p w14:paraId="28AEC4DE" w14:textId="77777777" w:rsidR="00777F06" w:rsidRPr="00E41B2A" w:rsidRDefault="00777F06" w:rsidP="00AC505F">
      <w:pPr>
        <w:pStyle w:val="Default"/>
        <w:numPr>
          <w:ilvl w:val="0"/>
          <w:numId w:val="7"/>
        </w:numPr>
        <w:spacing w:after="240"/>
        <w:ind w:left="0" w:firstLine="0"/>
        <w:rPr>
          <w:rFonts w:asciiTheme="minorBidi" w:hAnsiTheme="minorBidi"/>
          <w:color w:val="000000" w:themeColor="text1"/>
          <w:sz w:val="22"/>
          <w:szCs w:val="22"/>
        </w:rPr>
      </w:pPr>
      <w:r>
        <w:rPr>
          <w:sz w:val="22"/>
        </w:rPr>
        <w:t>Продолжалась реализация текущих проектов Повестки дня в области развития «Авторское право и распространение контента в цифровой среде» и «Повышение уровня использования ИС при разработке мобильных приложений в секторе разработки программного обеспечения». Одновременно началась подготовительная работа к осуществлению проекта ПДР 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(ЗАЭВС)».  Кроме того, Организация продолжала оказывать техническую помощь и осуществлять деятельность по укреплению потенциала и повышению уровня информированности в следующих областях, которые ранее были в центре внимания нескольких проектов ПДР: системы обработки документации в области авторского права (в том числе путем публикации доклада о добровольных системах регистрации авторских прав</w:t>
      </w:r>
      <w:r w:rsidR="00EB34F5" w:rsidRPr="00E41B2A">
        <w:rPr>
          <w:color w:val="auto"/>
          <w:sz w:val="22"/>
          <w:szCs w:val="22"/>
          <w:vertAlign w:val="superscript"/>
        </w:rPr>
        <w:footnoteReference w:id="23"/>
      </w:r>
      <w:r>
        <w:rPr>
          <w:sz w:val="22"/>
        </w:rPr>
        <w:t>), открытое лицензирование и программное обеспечение с открытым исходным кодом, а также информация государственного сектора</w:t>
      </w:r>
      <w:r>
        <w:rPr>
          <w:color w:val="auto"/>
          <w:sz w:val="22"/>
        </w:rPr>
        <w:t>.</w:t>
      </w:r>
      <w:r>
        <w:rPr>
          <w:rFonts w:asciiTheme="minorBidi" w:hAnsiTheme="minorBidi"/>
          <w:color w:val="000000" w:themeColor="text1"/>
          <w:sz w:val="22"/>
        </w:rPr>
        <w:t xml:space="preserve"> </w:t>
      </w:r>
    </w:p>
    <w:p w14:paraId="067CDFE1" w14:textId="77777777" w:rsidR="00AC2F7B" w:rsidRDefault="00AC2F7B" w:rsidP="00AC2F7B">
      <w:pPr>
        <w:pStyle w:val="Heading3"/>
        <w:numPr>
          <w:ilvl w:val="0"/>
          <w:numId w:val="33"/>
        </w:numPr>
        <w:spacing w:before="0" w:after="240"/>
      </w:pPr>
      <w:r>
        <w:t>Авторское право и законодательные рекомендации</w:t>
      </w:r>
    </w:p>
    <w:p w14:paraId="7FA57973" w14:textId="77777777" w:rsidR="00490A81" w:rsidRDefault="00296FD6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2021 г. Постоянный комитет ВОИС по авторскому праву и смежным правам (ПКАП) провел одно заседание (41-ю сессию) в гибком формате.  Повестка дня сессии включала обсуждение вопросов, касающихся ограничений и исключений для библиотек, архивов и музеев, образовательных и научно-исследовательских учреждений, а также для лиц с ограниченными способностями.  Было решено организовать информационную сессию по теме влияния COVID-19 на культурную, творческую и образовательную экосистему, включая авторское право, смежные права, ограничения и исключения, и провести ее в течение той же недели, что и 42-ю сессию Комитета.  Содействуя дискуссиям в рамках ПКАП, ВОИС продолжала способствовать реализации ЦУР 4 и 17.</w:t>
      </w:r>
    </w:p>
    <w:p w14:paraId="0A313242" w14:textId="77777777" w:rsidR="00296FD6" w:rsidRPr="00296FD6" w:rsidRDefault="00296FD6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Организация оказывала нормотворческую помощь государствам-членам, обращавшимся к ней с такими просьбами, с учетом международно-правовой базы и предусмотренных ею гибких возможностей.  За этот период консультативная помощь была оказана в общей сложности 27 развивающимся и наименее развитым странам (7 в Азиатско-Тихоокеанском регионе, 7 в Латинской Америке и Карибском бассейне, 1 в арабском регионе, 12 в Африке) и 3 странам с переходной экономикой.  Кроме того, было предоставлено 20 законодательных рекомендаций по коллективному управлению авторским правом и смежными правами (8 для государств Африки; 2 для государств азиатско-тихоокеанского региона; 2 для государств Центральной Азии, Кавказа и Восточной Европы; 3 для группы государств Центральной Европы и Балтии, а также Группы B; и 5 для государств ГРУЛАК).  Предоставление такой помощи способствовало осуществлению ЦУР 8 и 9, поскольку она создает благоприятные условия для развития творческих отраслей и, следовательно, для экономического роста.</w:t>
      </w:r>
    </w:p>
    <w:p w14:paraId="1C61BCA9" w14:textId="77777777" w:rsidR="00AC2F7B" w:rsidRDefault="00A654D0" w:rsidP="00AC2F7B">
      <w:pPr>
        <w:pStyle w:val="Heading3"/>
        <w:numPr>
          <w:ilvl w:val="0"/>
          <w:numId w:val="33"/>
        </w:numPr>
        <w:spacing w:before="0" w:after="240"/>
      </w:pPr>
      <w:r>
        <w:t>Консорциум доступных книг (ABC).</w:t>
      </w:r>
    </w:p>
    <w:p w14:paraId="6C8F5916" w14:textId="180D72DB" w:rsidR="005345D7" w:rsidRDefault="005345D7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Действующий под руководством ВОИС, АВС продолжал свою деятельность по объединению всех ключевых игроков: организаций, представляющие слепых, слабовидящих или лиц с ограниченными способностями воспринимать печатный текст, а также авторов, издателей, организаций коллективного управления, библиотек и других уполномоченных организаций, и, кроме того, органов по стандартизации.  В течение отчетного периода ABC продвинулся по трем основным направлениям своей работы.  Во-первых, он занимался предоставлением услуг по обучению и технической помощи в области новейших методов производства книг, а также финансировал выпуск книг в </w:t>
      </w:r>
      <w:r>
        <w:rPr>
          <w:sz w:val="22"/>
        </w:rPr>
        <w:lastRenderedPageBreak/>
        <w:t>доступных форматах.  По состоянию на декабрь 2021 г. за счет предоставленного ABC финансирования в 27 странах было выпущено более 17 000 учебных книг в доступных форматах.  В 2021 г. ВОИС также заключила партнерские отношения с консорциумом DAISY для разработки онлайн-курса по книжной продукции в доступных форматах.  В 2021 г. курс прослушали более 100 учащихся, представлявших 46 организаций-партнеров из Доминиканской Республики, Ганы, Лесото, Мали, Малави, Марокко, Мьянмы, Нигерии, Палестины, Перу и Сенегала.  Как прямой результат этого курса, в 2021 г. было выпущено около 3500 учебных пособий в доступных форматах.</w:t>
      </w:r>
    </w:p>
    <w:p w14:paraId="52599BF3" w14:textId="77777777" w:rsidR="002756E9" w:rsidRDefault="002756E9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Во-вторых, ABC продолжал эксплуатировать Глобальный книжный сервис — онлайн-каталог книг в доступных форматах.  По состоянию на конец 2021 г. соглашение об участии в предоставлении сервиса подписали 100 уполномоченных организаций (участвующих библиотек для слепых), 47 из которых находятся в развивающихся странах; при этом для трансграничного обмена было доступно более 730 000 наименований книг.  В апреле 2021 г. ABC запустил дополнительное приложение («ДП»), которое позволяет уполномоченным организациям ABC предлагать своим клиентам с ограниченными способностями воспринимать печатную информацию возможность независимого поиска и немедленной загрузки книг из Глобального книжного сервиса ABC.  По состоянию на конец 2021 г. 29 уполномоченных организаций из 23 стран, в том числе из восьми развивающихся, согласились предложить ДП своим клиентам.</w:t>
      </w:r>
    </w:p>
    <w:p w14:paraId="52C095F6" w14:textId="56FBF746" w:rsidR="002756E9" w:rsidRDefault="002756E9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В-третьих, АВС поощряет создание на базе издательских домов «изначально доступных» произведений, т.</w:t>
      </w:r>
      <w:r w:rsidR="00AB2E58" w:rsidRPr="00AB2E58">
        <w:rPr>
          <w:sz w:val="22"/>
        </w:rPr>
        <w:t xml:space="preserve"> </w:t>
      </w:r>
      <w:r>
        <w:rPr>
          <w:sz w:val="22"/>
        </w:rPr>
        <w:t>е. книг, которые с самого начала могут использоваться как зрячими людьми, так и слабовидящими.  Издателям по всему миру предлагается подписать Хартию издания литературы в доступных форматах.  По состоянию на конец 2021 г. Хартию подписали 117 издателей, в том числе 87 из развивающихся стран.</w:t>
      </w:r>
    </w:p>
    <w:p w14:paraId="4145F2A8" w14:textId="56434A8C" w:rsidR="005345D7" w:rsidRPr="005345D7" w:rsidRDefault="005345D7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Своей деятельностью ABC вносит вклад в производство образовательных изданий в доступных форматах (ЦУР 4); расширяет возможности людей с нарушениями зрения (ЦУР 10 и, в частности, задача 10.2); и содействует созданию произведений, имеющих особое значение для культурного наследия своих партнеров (ЦУР 11).  И кроме того, в этом государственно-частном партнерстве заложен дух партнерства, предусмотренный ЦУР 17. </w:t>
      </w:r>
    </w:p>
    <w:p w14:paraId="337AED46" w14:textId="77777777" w:rsidR="00AC2F7B" w:rsidRPr="00DB6A9F" w:rsidRDefault="00AC2F7B" w:rsidP="00AC2F7B">
      <w:pPr>
        <w:pStyle w:val="Heading3"/>
        <w:numPr>
          <w:ilvl w:val="0"/>
          <w:numId w:val="33"/>
        </w:numPr>
        <w:spacing w:before="0" w:after="240"/>
        <w:rPr>
          <w:szCs w:val="22"/>
        </w:rPr>
      </w:pPr>
      <w:r>
        <w:t>ВОИС для авторов</w:t>
      </w:r>
    </w:p>
    <w:p w14:paraId="0DED72E5" w14:textId="1FE39915" w:rsidR="00AC2F7B" w:rsidRPr="00483898" w:rsidRDefault="00DB6A9F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Консорциум «ВОИС для авторов» продолжал вносить свой вклад в реализацию ключевых ЦУР, а также стратегий корпоративной социальной ответственности своих партнеров.  Целью консорциума является повышения уровня информированности и знаний о правах авторов и соответствующей управленческой практике, а также содействие признанию и справедливому вознаграждению для всех авторов вне зависимости от их географического положения, культурных или экономических условий.  Таким образом, «ВОИС для авторов» способствует справедливому вознаграждению и, следовательно, достойной работе и экономическому росту (ЦУР 8).  При помощи онлайн-приложения </w:t>
      </w:r>
      <w:proofErr w:type="spellStart"/>
      <w:r>
        <w:rPr>
          <w:sz w:val="22"/>
        </w:rPr>
        <w:t>Creators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Platforms</w:t>
      </w:r>
      <w:proofErr w:type="spellEnd"/>
      <w:r>
        <w:rPr>
          <w:sz w:val="22"/>
        </w:rPr>
        <w:t xml:space="preserve"> (которое в течение отчетного периода находилось в разработке) он сможет способствовать улучшению потока данных о правах авторов и их управления в рамках всей цепочки создания стоимости творческих отраслей (ЦУР 9).  В этой инициативе</w:t>
      </w:r>
      <w:r w:rsidR="00B24323">
        <w:rPr>
          <w:sz w:val="22"/>
        </w:rPr>
        <w:t>,</w:t>
      </w:r>
      <w:r>
        <w:rPr>
          <w:sz w:val="22"/>
        </w:rPr>
        <w:t xml:space="preserve"> очевидно</w:t>
      </w:r>
      <w:r w:rsidR="00B24323">
        <w:rPr>
          <w:sz w:val="22"/>
        </w:rPr>
        <w:t>,</w:t>
      </w:r>
      <w:r>
        <w:rPr>
          <w:sz w:val="22"/>
        </w:rPr>
        <w:t xml:space="preserve"> присутствует и дух партнерства, лежащий в основе ЦУР 17.</w:t>
      </w:r>
    </w:p>
    <w:p w14:paraId="695D7436" w14:textId="77777777" w:rsidR="00AC2F7B" w:rsidRPr="00483898" w:rsidRDefault="00AC2F7B" w:rsidP="00AC2F7B">
      <w:pPr>
        <w:pStyle w:val="Heading3"/>
        <w:numPr>
          <w:ilvl w:val="0"/>
          <w:numId w:val="33"/>
        </w:numPr>
        <w:spacing w:before="0" w:after="240"/>
      </w:pPr>
      <w:r>
        <w:t>Инициативы в ответ на пандемию COVID-19</w:t>
      </w:r>
    </w:p>
    <w:p w14:paraId="41401E39" w14:textId="77777777" w:rsidR="004C0A01" w:rsidRPr="00483898" w:rsidRDefault="004C0A01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контексте реализации ответа ВОИС на COVID-19 была начата подготовка к осуществлению нескольких проектов в области авторского права с целью повышения доступности учебных пособий в качестве средства от изоляции, содействия обеспечению готовности к пандемии в области доступа к информации и обеспечения преобразования </w:t>
      </w:r>
      <w:r>
        <w:rPr>
          <w:sz w:val="22"/>
        </w:rPr>
        <w:lastRenderedPageBreak/>
        <w:t xml:space="preserve">материалов музеев и библиотек в цифровой формат для расширения их доступности для учащихся, а также развития навыков и опыта специалистов по культурному наследию в области цифровых технологий.  Эти проекты способствуют реализации ЦУР 4 и 17, поскольку их осуществлению будут способствовать партнерские отношения. </w:t>
      </w:r>
    </w:p>
    <w:p w14:paraId="53D44C0B" w14:textId="77777777" w:rsidR="00D70552" w:rsidRPr="00270E0D" w:rsidRDefault="00D70552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ГЕНЕТИЧЕСКИЕ РЕСУРСЫ, ТРАДИЦИОННЫЕ ЗНАНИЯ И ТРАДИЦИОННЫЕ ВЫРАЖЕНИЯ КУЛЬТУРЫ</w:t>
      </w:r>
    </w:p>
    <w:p w14:paraId="12762BF3" w14:textId="456E2732" w:rsidR="00662487" w:rsidRPr="007255B9" w:rsidRDefault="00662487" w:rsidP="00E41B2A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продолжал поддерживать достижение ЦУР посредством своей нормативной и политической деятельности, усилий по укреплению потенциала в управлении правами интеллектуальной собственности в области генетических ресурсов (ГР) и данных, а также в области охраны ИС, связанной с традиционными знаниями (ТЗ) и традиционными культурными ценностями (ТКЦ).  В 2021 г. работа Организации в этой области деятельности была связана, в частности, с ЦУР 2, 3, 4, 5, 8, 11, 13, 14 и 15.  Дух партнерства, отраженный в ЦУР 17 и, в более общем плане, в Повестке дня до 2030 г., очевидно</w:t>
      </w:r>
      <w:r w:rsidR="00A22096">
        <w:rPr>
          <w:sz w:val="22"/>
        </w:rPr>
        <w:t>,</w:t>
      </w:r>
      <w:r>
        <w:rPr>
          <w:sz w:val="22"/>
        </w:rPr>
        <w:t xml:space="preserve"> присутствовал в осуществленных мероприятиях, поскольку многие из них осуществлялись в сотрудничестве с широким спектром партнеров, таких как национальные ведомства ИС, Международная ассоциация по товарным знакам (INTA), Международная организация труда (МОТ), Центр международной торговли (ЦМТ), «ООН женщины», РКИКООН и т.д.</w:t>
      </w:r>
    </w:p>
    <w:p w14:paraId="5A80B69C" w14:textId="77777777" w:rsidR="00E93A46" w:rsidRPr="007255B9" w:rsidRDefault="00662487" w:rsidP="00662487">
      <w:pPr>
        <w:pStyle w:val="Heading3"/>
        <w:numPr>
          <w:ilvl w:val="0"/>
          <w:numId w:val="29"/>
        </w:numPr>
        <w:spacing w:before="0" w:after="240"/>
        <w:rPr>
          <w:szCs w:val="22"/>
        </w:rPr>
      </w:pPr>
      <w:r>
        <w:t>Учебные программы и другие инициативы</w:t>
      </w:r>
    </w:p>
    <w:p w14:paraId="16EA5465" w14:textId="77777777" w:rsidR="00267096" w:rsidRPr="00832B1A" w:rsidRDefault="00267096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соответствии с ЦУР 2 и 15, относящими к ГР и производительности сельского хозяйства, ВОИС организовала специализированное виртуальное обучение для различных заинтересованных сторон, работающих в сфере ИС и ГР в Бангладеш, Камбодже, Индонезии, Кении, Малави, Мозамбике, Руанде, Шри-Ланке, Танзании, Уганде и Замбии, а также оказала поддержку их проектам.  Цель этого заключалась в повышении квалификации работников в области использования систем ИС в отношении ГР, а также в поддержке инновации как дополнительном факторе интенсификации экономического роста и сокращения бедности.  </w:t>
      </w:r>
    </w:p>
    <w:p w14:paraId="36B45260" w14:textId="77777777" w:rsidR="00B91978" w:rsidRPr="00832B1A" w:rsidRDefault="00267096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000000" w:themeColor="text1"/>
          <w:sz w:val="22"/>
          <w:szCs w:val="22"/>
        </w:rPr>
      </w:pPr>
      <w:r>
        <w:rPr>
          <w:sz w:val="22"/>
        </w:rPr>
        <w:t xml:space="preserve">Учебные мероприятия ВОИС и ее информационные ресурсы по ГР, ТЗ и ТВК также продолжали способствовать реализации ЦУР 4, 5, 8 и 11.  В частности, речь идет о </w:t>
      </w:r>
      <w:r>
        <w:rPr>
          <w:color w:val="000000" w:themeColor="text1"/>
          <w:sz w:val="22"/>
        </w:rPr>
        <w:t xml:space="preserve">содействии проведению ориентированной на развитие политики в поддержку продуктивной деятельности, предпринимательства, творчества и инновации, поощрении формирования и роста ММСП (задача 8.3) и о защите культурного наследия (задача 11.4).  Эти инициативы способствовали расширению прав и возможностей коренных народов и облегчили их доступ к непрерывному образованию, позволяющему им приобретать знания и навыки, необходимые для того, чтобы пользоваться открывающимися возможностями и в полной мере участвовать в жизни общества в соответствии с базовыми установками ЦУР.  </w:t>
      </w:r>
    </w:p>
    <w:p w14:paraId="3EC902BE" w14:textId="77777777" w:rsidR="00267096" w:rsidRPr="00832B1A" w:rsidRDefault="00267096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000000" w:themeColor="text1"/>
          <w:sz w:val="22"/>
          <w:szCs w:val="22"/>
        </w:rPr>
      </w:pPr>
      <w:r>
        <w:rPr>
          <w:sz w:val="22"/>
        </w:rPr>
        <w:t xml:space="preserve">В 2021 г. ВОИС продолжала реализацию наставнического этапа своей </w:t>
      </w:r>
      <w:r>
        <w:rPr>
          <w:i/>
          <w:color w:val="000000" w:themeColor="text1"/>
          <w:sz w:val="22"/>
        </w:rPr>
        <w:t>Программы обучения, наставничества и поиска партнеров в области интеллектуальной собственности для женщин-предпринимателей из числа коренных народов и местных общин</w:t>
      </w:r>
      <w:r>
        <w:rPr>
          <w:color w:val="000000" w:themeColor="text1"/>
          <w:sz w:val="22"/>
        </w:rPr>
        <w:t>, а второй цикл этой программы начался в октябре того же года.  Программа нацелена на поощрение предпринимательской, инновационной и творческой деятельности женщин, связанной с традиционными знаниями и традиционными выражениями культуры, на основе укрепления потенциала женщин-предпринимателей из числа коренных народов и местных общин в целях обеспечения стратегического и эффективного использования инструментов ИС в интересах развития их предпринимательских инициатив (ЦУР 5).</w:t>
      </w:r>
    </w:p>
    <w:p w14:paraId="407B1302" w14:textId="2492C6B3" w:rsidR="00267096" w:rsidRPr="00832B1A" w:rsidRDefault="00832B1A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lastRenderedPageBreak/>
        <w:t xml:space="preserve">В соответствии с ЦУР 13, касающейся борьбы с изменением климата и его последствиями, была учреждена </w:t>
      </w:r>
      <w:proofErr w:type="spellStart"/>
      <w:r>
        <w:rPr>
          <w:i/>
          <w:sz w:val="22"/>
        </w:rPr>
        <w:t>Фотопремия</w:t>
      </w:r>
      <w:proofErr w:type="spellEnd"/>
      <w:r>
        <w:rPr>
          <w:i/>
          <w:sz w:val="22"/>
        </w:rPr>
        <w:t xml:space="preserve"> ВОИС для молодежи из числа коренных народов и местных общин </w:t>
      </w:r>
      <w:r w:rsidR="005B027D">
        <w:rPr>
          <w:i/>
          <w:sz w:val="22"/>
        </w:rPr>
        <w:t xml:space="preserve">2021–2022 </w:t>
      </w:r>
      <w:r>
        <w:rPr>
          <w:i/>
          <w:sz w:val="22"/>
        </w:rPr>
        <w:t xml:space="preserve"> гг.</w:t>
      </w:r>
      <w:r>
        <w:rPr>
          <w:sz w:val="22"/>
        </w:rPr>
        <w:t xml:space="preserve">  Ее цель состояла в поощрении и широком распространении творчества молодежи из числа коренных народов и местных общин, а также в повышении их осведомленности о том, как можно использовать авторское право для защиты своего творчества, выраженного в фотографиях.  Тема </w:t>
      </w:r>
      <w:proofErr w:type="spellStart"/>
      <w:r>
        <w:rPr>
          <w:sz w:val="22"/>
        </w:rPr>
        <w:t>фотопремии</w:t>
      </w:r>
      <w:proofErr w:type="spellEnd"/>
      <w:r>
        <w:rPr>
          <w:sz w:val="22"/>
        </w:rPr>
        <w:t xml:space="preserve"> ВОИС — «Изменение климата и борьба с ним: родная земля нашими глазами».  Участие в конкурсе было призвано побудить молодежь из числа коренных народов и местных общин выразить свою позицию по этому вопросу, имеющему огромное значение для всего мира.</w:t>
      </w:r>
    </w:p>
    <w:p w14:paraId="4C95015A" w14:textId="77777777" w:rsidR="00B91978" w:rsidRPr="00662487" w:rsidRDefault="00B91978" w:rsidP="00B91978">
      <w:pPr>
        <w:pStyle w:val="Heading3"/>
        <w:numPr>
          <w:ilvl w:val="0"/>
          <w:numId w:val="29"/>
        </w:numPr>
        <w:spacing w:before="0" w:after="240"/>
      </w:pPr>
      <w:r>
        <w:t>Межправительственный комитет по интеллектуальной собственности, генетическим ресурсам, традиционным знаниям и фольклору (МКГР)</w:t>
      </w:r>
    </w:p>
    <w:p w14:paraId="0B61BA6E" w14:textId="4C6A0601" w:rsidR="00B91978" w:rsidRPr="00662487" w:rsidRDefault="00B91978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2021 г. МКГР собрался один раз и рекомендовал Генеральной Ассамблее ВОИС 2021 г. продлить мандат МКГР на двухлетний период </w:t>
      </w:r>
      <w:r w:rsidR="004D64A3">
        <w:rPr>
          <w:sz w:val="22"/>
        </w:rPr>
        <w:t xml:space="preserve">2022–2023 </w:t>
      </w:r>
      <w:r>
        <w:rPr>
          <w:sz w:val="22"/>
        </w:rPr>
        <w:t xml:space="preserve">гг.  Он также рекомендовал Генеральной Ассамблее ВОИС 2021 г. принять условия мандата и программу работы на 2022–2023 гг.  В октябре 2021 г. Генеральная Ассамблея ВОИС постановила продлить мандат МКГР на двухлетний период </w:t>
      </w:r>
      <w:r w:rsidR="004D64A3">
        <w:rPr>
          <w:sz w:val="22"/>
        </w:rPr>
        <w:t>2022–2023</w:t>
      </w:r>
      <w:r>
        <w:rPr>
          <w:sz w:val="22"/>
        </w:rPr>
        <w:t xml:space="preserve"> гг.  МКГР продолжит активизировать свою работу в целях достижения договоренности по международному правовому документу (документам) в области ИС,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работы.  ВОИС продолжала содействовать этому процессу, который теснее всего связан с ЦУР 2, 3, 8, 14 и 15.</w:t>
      </w:r>
    </w:p>
    <w:p w14:paraId="3F39D48B" w14:textId="77777777" w:rsidR="007B204B" w:rsidRPr="001A0B81" w:rsidRDefault="007B204B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ИС И ЭКОНОМИКА</w:t>
      </w:r>
    </w:p>
    <w:p w14:paraId="289BB662" w14:textId="77777777" w:rsidR="00A90883" w:rsidRPr="001A0B81" w:rsidRDefault="00A90883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Статистические и аналитические доклады ВОИС способствуют развитию эффективной инновационной экосистемы (ЦУР 9).  В 2021 г. было подготовлено два доклада:</w:t>
      </w:r>
    </w:p>
    <w:p w14:paraId="78B097ED" w14:textId="77777777" w:rsidR="00A90883" w:rsidRPr="001A0B81" w:rsidRDefault="00A90883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Глобальный инновационный индекс (ГИИ) — это рейтинг стран и аналитический инструмент, который помогает государствам оценивать эффективность своей инновационной деятельности при помощи широкого спектра критериев, охватывающих семь различных групп параметров: институты, человеческий капитал и научные исследования, инфраструктура, степень развития рынков, степень развития предпринимательства, результаты в области знаний и технологий и результаты творческой деятельности.  В дополнение к глобальному рейтингу, в ГИИ за 2021 г. был добавлен новый элемент: система отслеживания инноваций на глобальном уровне, позволяющая отслеживать инновационные тенденции во всем мире.  В 2021 г. главное внимание системы отслеживания инноваций было сосредоточено на том, как кризис COVID-19 повлиял на глобальный инновационный ландшафт.</w:t>
      </w:r>
    </w:p>
    <w:p w14:paraId="29C1667F" w14:textId="77777777" w:rsidR="00925356" w:rsidRPr="001A0B81" w:rsidRDefault="00925356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Доклад «Мировые показатели деятельности в области интеллектуальной собственности» (WIPI) — это основной доклад ВОИС в области статистики.  Он охватывает последние глобальные тенденции в сфере ИС на основе статистических данных, полученных от национальных и региональных ведомств ИС.  Его используют в качестве источника информации политики, заинтересованные стороны в сфере ИС и инноваций, исследователи и СМИ во всем мире, чтобы узнать о последних событиях в сфере ИС и принять соответствующие меры.  В WIPI за 2021 г. отмечается, что в 2020 г. количество заявок на патенты по всему миру увеличилось на 1,6% почти до 3,3 млн; отмечен двухпроцентный рост и в области промышленных образцов; а объем заявок на регистрацию товарных знаков увеличился на 13,7%.  Это увеличение произошло за год, в течение которого глобальная экономическая активность резко упала из-за кризиса, </w:t>
      </w:r>
      <w:r>
        <w:rPr>
          <w:sz w:val="22"/>
        </w:rPr>
        <w:lastRenderedPageBreak/>
        <w:t xml:space="preserve">связанного с COVID-19.  </w:t>
      </w:r>
      <w:proofErr w:type="spellStart"/>
      <w:r>
        <w:rPr>
          <w:sz w:val="22"/>
        </w:rPr>
        <w:t>Бóльшая</w:t>
      </w:r>
      <w:proofErr w:type="spellEnd"/>
      <w:r>
        <w:rPr>
          <w:sz w:val="22"/>
        </w:rPr>
        <w:t xml:space="preserve"> часть заявок на регистрацию интеллектуальной собственности в мире приходится на Азию: 66,6% от общего числа заявок на патенты, 70,9% заявок на регистрацию промышленных образцов и 71,8% заявок на регистрацию товарных знаков.</w:t>
      </w:r>
    </w:p>
    <w:p w14:paraId="7B85D24D" w14:textId="77777777" w:rsidR="007B204B" w:rsidRPr="001A0B81" w:rsidRDefault="00641827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rPr>
          <w:caps w:val="0"/>
        </w:rPr>
        <w:t>ИС ДЛЯ БИЗНЕСА</w:t>
      </w:r>
    </w:p>
    <w:p w14:paraId="57E1CEB4" w14:textId="77777777" w:rsidR="001239EB" w:rsidRPr="001A0B81" w:rsidRDefault="00A24D30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Деятельность ВОИС по поддержке бизнеса продолжала способствовать реализации нескольких ЦУР, главным образом 4, 5, 8, 9 и 10.</w:t>
      </w:r>
    </w:p>
    <w:p w14:paraId="0CC3BD9D" w14:textId="77777777" w:rsidR="00F07FCC" w:rsidRDefault="00493931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МСП играют важную роль в создании рабочих мест и генерировании дохода. Поэтому усилия, направленные на повышение новаторства и конкурентоспособности, косвенно способствуют экономическому росту стран и обеспечению достойного труда населению.  Деятельность по укреплению потенциала и повышению уровня информированности, нацеленная на МСП, а также на учреждения, оказывающие поддержку МСП, способствует более эффективному использованию ИС.  Это может способствовать созданию рабочих мест и экономическому росту.  В течение отчетного периода ВОИС продолжала организовывать подобные мероприятия, рассчитанные на заинтересованных лиц из самых разных стран.</w:t>
      </w:r>
    </w:p>
    <w:p w14:paraId="4C4DEAEE" w14:textId="1A7540B7" w:rsidR="00D63779" w:rsidRPr="00F07FCC" w:rsidRDefault="00D63779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Совершенствование навыков подачи патентных заявок является необходимым условием увеличения вероятности того, что местные новаторы найдут местных специалистов, которые помогут им в активном использовании патентной системы, охране местных инноваций, а также в получении ими выгоды от такого использования.  Таким образом, учебная программа ВОИС обучения подготовке патентной документации способствует достижению ЦУР 9 и 10 посредством организации практического обучения, направленного на развитие навыков непосредственной подготовки патентной документации, в ходе которого учащимся оказывают поддержку опытные наставники.  Обучение в рамках этой программы постоянно развивается и адаптируется к потребностям стран-бенефициаров.  В 2021 г. в связи с пандемией эта программа продолжала осуществляться в виде виртуальных семинаров.  Кроме того, в связи с</w:t>
      </w:r>
      <w:r w:rsidR="004D64A3">
        <w:rPr>
          <w:sz w:val="22"/>
        </w:rPr>
        <w:t>о</w:t>
      </w:r>
      <w:r>
        <w:rPr>
          <w:sz w:val="22"/>
        </w:rPr>
        <w:t xml:space="preserve"> стабильно высоким спросом на программу в 2022 г. запланирована к запуску Международная программа ВОИС обучения подготовке патентной документации.  Программа позволит новым специалистам по патентам получить реальный опыт подготовки патентной документации и воспользоваться им на практике. </w:t>
      </w:r>
    </w:p>
    <w:p w14:paraId="643A7D75" w14:textId="77777777" w:rsidR="00D97138" w:rsidRDefault="00D63779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Программа содействия изобретателям (IAP) дает возможность изобретателям и малым предприятиям с ограниченными финансовыми ресурсами ориентироваться в патентной системе и преобразовывать свои идеи в активы. Изобретателям оказывают безвозмездную поддержку в области патентного делопроизводства опытные специалисты по патентам.  Программа помогает изобретателям получать патенты в своей стране и в отдельных юрисдикциях.  Обеспечение получения патента способствует масштабному внедрению инноваций либо самими изобретателями, либо в сотрудничестве с другими сторонами.  Таким образом, при помощи IAP ВОИС помогает стимулировать инновации (ЦУР 9) и уменьшить неравенство (ЦУР 10), одновременно способствуя устойчивому и всеохватному экономическому росту и обеспечению достойного труда для всех (ЦУР 8).  В 2021 г. число бенефициаров, отобранным в рамках IAP, возросло на 34%.  С момента создания Программы помощь была оказана 139 бенефициарам, что привело к выдаче 15 патентов.  В осуществлении IAP участвуют шесть стран: Колумбия, Эквадор, Марокко, Южная Африка, Перу и Филиппины.  В целевых мероприятиях, направленных на повышение квалификации изобретателей в областях, определенных координаторами Программы, в 2021 г. участвовали более 450 потенциальных бенефициаров, что способствовало дальнейшему расширению и повышению отдачи от IAP.</w:t>
      </w:r>
    </w:p>
    <w:p w14:paraId="32EBD8E8" w14:textId="62E835F7" w:rsidR="006C79D2" w:rsidRPr="005659A5" w:rsidRDefault="006C79D2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lastRenderedPageBreak/>
        <w:t xml:space="preserve">Кроме того, продолжалась работа в рамках проекта Повестки дня в области развития «Повышение роли женщин в инновациях и предпринимательстве, а также поощрение женщин в развивающихся странах к использованию системы интеллектуальной собственности».  Проект, который реализуется уже второй год, вносит свой вклад в ЦУР 5, поддерживая женщин-предпринимателей посредством учебных занятий и других мероприятий.  За отчетный период: было выпущено руководство </w:t>
      </w:r>
      <w:r>
        <w:rPr>
          <w:i/>
          <w:sz w:val="22"/>
        </w:rPr>
        <w:t xml:space="preserve">«Инициативные идеи: </w:t>
      </w:r>
      <w:r w:rsidR="00712272">
        <w:rPr>
          <w:i/>
          <w:sz w:val="22"/>
        </w:rPr>
        <w:t>р</w:t>
      </w:r>
      <w:r>
        <w:rPr>
          <w:i/>
          <w:sz w:val="22"/>
        </w:rPr>
        <w:t>уководство по интеллектуальной собственности для стартапов»</w:t>
      </w:r>
      <w:r>
        <w:rPr>
          <w:sz w:val="22"/>
        </w:rPr>
        <w:t>, местным заинтересованным сторонам одной из стран-бенефициаров в онлайновом режиме был представлен доклад по оценке местной ситуации; в трех странах-бенефициарах была осуществлена виртуальная учебная программа по патентной системе для женщин-изобретателей; было начато осуществление международной программы наставничества, цель которой состояла в оказании поддержки женщинам-изобретателям в использовании системы ИС в стратегиях ее коммерциализации.</w:t>
      </w:r>
    </w:p>
    <w:p w14:paraId="1CED093C" w14:textId="77777777" w:rsidR="00810275" w:rsidRPr="001A0B81" w:rsidRDefault="00641827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rPr>
          <w:caps w:val="0"/>
        </w:rPr>
        <w:t xml:space="preserve">ИС И СУДЕБНЫЕ ОРГАНЫ </w:t>
      </w:r>
    </w:p>
    <w:p w14:paraId="4C880B2D" w14:textId="77777777" w:rsidR="001239EB" w:rsidRPr="001A0B81" w:rsidRDefault="00B6297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Работа ВОИС с национальными и региональными судебными органами способствует выполнению их жизненно важной роли в разрешении споров, касающихся ИС, которые имеют значительные последствия для правительств, предприятий, общин и отдельных лиц, а также в обеспечении сбалансированности и эффективности экосистемы ИС.  Это способствует процветанию инноваций (ЦУР 9) и помогает развивать человеческий и институциональный потенциал судебных органов для эффективного разрешения споров по ИС в рамках их существующих правовых систем (ЦУР 16, и, в частности, ее задачи 16.3 и 16.6).</w:t>
      </w:r>
    </w:p>
    <w:p w14:paraId="1A21A906" w14:textId="16FD944E" w:rsidR="00EA31EA" w:rsidRPr="001A0B81" w:rsidRDefault="00F36B33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течение отчетного периода работа ВОИС с судебными органами была сосредоточена на четырех различных областях.  Во-первых, Организация по-прежнему прилагала усилия к созданию платформы для диалога между национальными и региональными судебными органами с целью обеспечения обмена опытом и знаниями по вопросам, представляющим общий интерес для судебного разрешения споров по ИС.  В 2021 г. был проведен ежегодный Форум судей ВОИС по вопросам интеллектуальной собственности, на котором в течение трех дней 360 судей из 88 стран и 6 региональных юрисдикций обменялись мнениями по темам, связанным с судебным</w:t>
      </w:r>
      <w:r w:rsidR="00EE1576">
        <w:rPr>
          <w:sz w:val="22"/>
        </w:rPr>
        <w:t>и</w:t>
      </w:r>
      <w:r>
        <w:rPr>
          <w:sz w:val="22"/>
        </w:rPr>
        <w:t xml:space="preserve"> разбирательствами в спорах по ИС (особое внимание в этот раз уделялось патентным спорам).  Более половины судей-участников представляли развивающиеся и наименее развитые страны.  Кроме того, в 2021 г. ВОИС продолжила проведение серии вебинаров для судей, организованных в 2020 г. в ответ на пандемию COVID-19: в течение года были проведены две сессии, посвященные обмену мнениями и обсуждению недавней судебной практики стран Карибского региона и Суда Андского сообщества по вопросам, представляющим интерес для судебных органов во всем мире.</w:t>
      </w:r>
    </w:p>
    <w:p w14:paraId="185DFF55" w14:textId="77777777" w:rsidR="00745FD9" w:rsidRPr="001A0B81" w:rsidRDefault="00745FD9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  <w:u w:val="single"/>
        </w:rPr>
      </w:pPr>
      <w:r>
        <w:rPr>
          <w:sz w:val="22"/>
        </w:rPr>
        <w:t xml:space="preserve">Во-вторых, ВОИС продолжала выпускать публикации и другие справочные материалы, способствующие углубленному пониманию тем, актуальных для мирового судебного сообщества, занимающегося вопросами ИС, тем самым информируя судей по вопросам, являющимся важными при вынесении ими судебных решений, а также лиц, ответственных за принятие решений в судебных структурах.  В частности, были опубликованы следующие материалы: «Справочник ВОИС по ИС: Филиппины и Вьетнам»; «Международное судебное руководство ВОИС по рассмотрению патентных дел»; а также последующий доклад к </w:t>
      </w:r>
      <w:r>
        <w:rPr>
          <w:rStyle w:val="null"/>
          <w:sz w:val="22"/>
        </w:rPr>
        <w:t>изданию, подготовленному совместно ВОИС и Гаагской конференцией по международному частному праву (HCHC) в 2019 году,</w:t>
      </w:r>
      <w:r>
        <w:rPr>
          <w:sz w:val="22"/>
        </w:rPr>
        <w:t xml:space="preserve"> «Когда международное частное право пересекается с правом интеллектуальной собственности – руководство для судей»</w:t>
      </w:r>
      <w:r w:rsidR="00D43924">
        <w:rPr>
          <w:rStyle w:val="FootnoteReference"/>
          <w:sz w:val="22"/>
          <w:szCs w:val="22"/>
        </w:rPr>
        <w:footnoteReference w:id="24"/>
      </w:r>
      <w:r>
        <w:rPr>
          <w:rStyle w:val="null"/>
          <w:sz w:val="22"/>
        </w:rPr>
        <w:t xml:space="preserve">, который будет посвящен практическим проблемам, с которыми </w:t>
      </w:r>
      <w:r>
        <w:rPr>
          <w:rStyle w:val="null"/>
          <w:sz w:val="22"/>
        </w:rPr>
        <w:lastRenderedPageBreak/>
        <w:t xml:space="preserve">сталкиваются суды и тяжущиеся стороны в международных спорах по интеллектуальной собственности. </w:t>
      </w:r>
    </w:p>
    <w:p w14:paraId="04753FCD" w14:textId="77777777" w:rsidR="00AE299A" w:rsidRPr="001A0B81" w:rsidRDefault="006C7EB1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В-третьих, по-прежнему оказывалась поддержка в укреплении потенциала с целью расширения знаний и навыков судей в области ИС.  В 2021 г. в ответ на просьбы государств-членов об оказании помощи в укреплении потенциала национальной судебной системы по рассмотрению споров в области ИС ВОИС организовала национальные учебные мероприятия в Албании, Коста-Рике, Доминиканской Республике, Марокко и Панаме, а также региональное мероприятие в Латвии.  В соответствии с просьбами Мадагаскара и Мали и после консультаций с этими государствами-членами в этих двух странах были проведены мероприятия по укреплению потенциала на национальном уровне.  В ответ на запрос от Узбекистана были проведены мероприятия по укреплению потенциала на субрегиональном уровне, в которых приняли участие судьи не только из Узбекистана, но и из Казахстана, Кыргызстана, Таджикистана и Туркменистана.  Помимо проведения учебных мероприятий, ВОИС выполнила просьбу Объединенной Республики Танзании о помощи в подготовке Сборника законов и справочника судебных дел (публикация ожидается в 2022 г.).</w:t>
      </w:r>
    </w:p>
    <w:p w14:paraId="211D46B5" w14:textId="77777777" w:rsidR="00AE299A" w:rsidRPr="001A0B81" w:rsidRDefault="00E900BA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В-четвертых, ВОИС продолжала развивать сотрудничество </w:t>
      </w:r>
      <w:r>
        <w:rPr>
          <w:rStyle w:val="null"/>
          <w:sz w:val="22"/>
        </w:rPr>
        <w:t>с государствами-членами в целях расширения</w:t>
      </w:r>
      <w:r>
        <w:rPr>
          <w:sz w:val="22"/>
        </w:rPr>
        <w:t xml:space="preserve"> возможностей WIPO </w:t>
      </w:r>
      <w:proofErr w:type="spellStart"/>
      <w:r>
        <w:rPr>
          <w:sz w:val="22"/>
        </w:rPr>
        <w:t>Lex</w:t>
      </w:r>
      <w:proofErr w:type="spellEnd"/>
      <w:r w:rsidR="00BE0536" w:rsidRPr="00BE0536">
        <w:rPr>
          <w:rStyle w:val="FootnoteReference"/>
          <w:color w:val="auto"/>
          <w:sz w:val="22"/>
          <w:szCs w:val="22"/>
        </w:rPr>
        <w:footnoteReference w:id="25"/>
      </w:r>
      <w:r>
        <w:rPr>
          <w:sz w:val="22"/>
        </w:rPr>
        <w:t>, бесплатного инструмента доступа к правовой информации об ИС со всего мира, организованной в три сборника:</w:t>
      </w:r>
      <w:r>
        <w:rPr>
          <w:rStyle w:val="null"/>
          <w:sz w:val="22"/>
        </w:rPr>
        <w:t xml:space="preserve">  законы, договоры и решения.  </w:t>
      </w:r>
      <w:r>
        <w:rPr>
          <w:sz w:val="22"/>
        </w:rPr>
        <w:t xml:space="preserve">В 2021 г. WIPO </w:t>
      </w:r>
      <w:proofErr w:type="spellStart"/>
      <w:r>
        <w:rPr>
          <w:sz w:val="22"/>
        </w:rPr>
        <w:t>Lex</w:t>
      </w:r>
      <w:proofErr w:type="spellEnd"/>
      <w:r>
        <w:rPr>
          <w:sz w:val="22"/>
        </w:rPr>
        <w:t xml:space="preserve"> расширила свою коллекцию судебных решений, включив в нее ведущие решения из 24 юрисдикций.  Кроме того, сборники законов и договоров WIPO </w:t>
      </w:r>
      <w:proofErr w:type="spellStart"/>
      <w:r>
        <w:rPr>
          <w:sz w:val="22"/>
        </w:rPr>
        <w:t>Lex</w:t>
      </w:r>
      <w:proofErr w:type="spellEnd"/>
      <w:r>
        <w:rPr>
          <w:sz w:val="22"/>
        </w:rPr>
        <w:t xml:space="preserve"> по-прежнему являются наиболее всеобъемлющим, авторитетным и надежным источником правовой информации по ИС, доступной в Интернете.  В 2021 г. в базу данных WIPO </w:t>
      </w:r>
      <w:proofErr w:type="spellStart"/>
      <w:r>
        <w:rPr>
          <w:sz w:val="22"/>
        </w:rPr>
        <w:t>Lex</w:t>
      </w:r>
      <w:proofErr w:type="spellEnd"/>
      <w:r>
        <w:rPr>
          <w:sz w:val="22"/>
        </w:rPr>
        <w:t xml:space="preserve"> были добавлены 660 новых законов из 74 стран и 3 договора, имеющих отношение к ИС.  В настоящее время в базе данных содержится более 16 500 национальных законодательных актов, касающихся ИС и связанных с ним, из 200 юрисдикций; а также 772 договора в области ИС, в том числе 26 договоров, управляемых ВОИС.</w:t>
      </w:r>
    </w:p>
    <w:p w14:paraId="3D2C70B2" w14:textId="77777777" w:rsidR="00FC66A1" w:rsidRPr="001A0B81" w:rsidRDefault="00641827" w:rsidP="00641827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rPr>
          <w:caps w:val="0"/>
        </w:rPr>
        <w:t>АРБИТРАЖ И ПОСРЕДНИЧЕСТВО</w:t>
      </w:r>
    </w:p>
    <w:p w14:paraId="6CEC281D" w14:textId="77777777" w:rsidR="005C635F" w:rsidRPr="001A0B81" w:rsidRDefault="005C635F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Центр по арбитражу и посредничеству (Центр ВОИС) оставался одним из важных элементов глобальных услуг в области ИС, предоставляемых ВОИС в порядке содействия созданию сбалансированной и эффективной международной системы ИС и осуществления ЦУР 9 и 17.  При помощи целого ряда механизмов альтернативного урегулирования споров (АУС) во внесудебном порядке — главным образом в порядке посредничества и арбитража, а также урегулирования споров в области доменных имен — Центр ВОИС способствует разрешению споров между частными компаниями по вопросам инноваций, технологии и других вопросов, связанных с ИС, с минимальными затратами времени и средств.</w:t>
      </w:r>
    </w:p>
    <w:p w14:paraId="3ACBDD5E" w14:textId="77777777" w:rsidR="005C635F" w:rsidRPr="001A0B81" w:rsidRDefault="005C635F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Услуги ВОИС в области посредничества и арбитража дают сторонам возможность осуществлять более полный контроль над процессом урегулирования споров.  Согласительный характер этих процедур часто позволяет ослабить конфронтацию между сторонами, а это означает, что стороны получают возможность начать, продолжить или расширить выгодное деловое сотрудничество.  Процедуры посредничества и арбитража ВОИС также могут помочь снять нагрузку с национальных ведомств ИС и других органов ИС, включая национальные суды.  Имея такие преимущества, услуги ВОИС по посредничеству и арбитражу способствуют оптимальному созданию и использованию активов ИС в экономике, тем самым стимулируя инновации и творчество, необходимые для достижения ЦУР 9 и 17.  Пандемия COVID-19 привела к </w:t>
      </w:r>
      <w:r>
        <w:rPr>
          <w:sz w:val="22"/>
        </w:rPr>
        <w:lastRenderedPageBreak/>
        <w:t>тому, что стороны еще больше стали пользоваться эффективными онлайн-инструментами Центра ВОИС для ведения дел.  В 2021 г. отмечен рост числа случаев АУС, которые рассматривались Центром ВОИС:  им были получены 163 заявки на рассмотрение дел по посредничеству и арбитражу и 100 запросов на предоставление добрых услуг, затрагивавших стороны из 47 стран; также было подано 5128 заявок на рассмотрение споров по доменным именам в отношении 8770 доменных имен с участием сторон из 132 стран.</w:t>
      </w:r>
    </w:p>
    <w:p w14:paraId="39F82A4D" w14:textId="77777777" w:rsidR="001239EB" w:rsidRPr="001A0B81" w:rsidRDefault="005C635F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Центр ВОИС расширил предложение о проведении онлайн-семинаров и учебных мероприятий, которые привлекли около 22 500 участников из более чем 150 стран.  Центр ВОИС, участвуя в реализации ЦУР, активизировал усилия, организовав целый ряд мероприятий, в том числе учебных мероприятий для заинтересованных сторон в области ИС, представляющих промышленность, правовую сферу, научно-исследовательские и образовательные учреждения и др., а также опубликовав и разместив онлайн общедоступные публикации и другую информацию о вариантах АУС.  В ответ на растущий спрос Центр ВОИС сосредоточил еще больше внимания на разработке передовых практик АУС для разрешения споров, связанных с творческими и инновационными процессами в цифровой среде.</w:t>
      </w:r>
    </w:p>
    <w:p w14:paraId="007BACEF" w14:textId="77777777" w:rsidR="001239EB" w:rsidRPr="005A20AD" w:rsidRDefault="00FC66A1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ОБЕСПЕЧЕНИЕ УВАЖЕНИЯ К ИС</w:t>
      </w:r>
    </w:p>
    <w:p w14:paraId="23A601F3" w14:textId="77777777" w:rsidR="001239EB" w:rsidRDefault="005A20AD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ВОИС продолжила свою работу по развитию международного сотрудничества в целях укрепления уважения к ИС, создания условий, в которых ИС может стимулировать инновации и творчество, а также обеспечения прав ИС в интересах социально-экономического развития и защиты прав потребителей, что способствует достижению ЦУР 4, 8, 9 и 16.  Перечисленные ниже проекты и мероприятия, реализованные в 2021 г., имеют особое значение. </w:t>
      </w:r>
    </w:p>
    <w:p w14:paraId="32A598CD" w14:textId="77777777" w:rsidR="00FF50C2" w:rsidRPr="00FF50C2" w:rsidRDefault="00FF50C2" w:rsidP="00FF50C2">
      <w:pPr>
        <w:pStyle w:val="Heading3"/>
        <w:numPr>
          <w:ilvl w:val="0"/>
          <w:numId w:val="31"/>
        </w:numPr>
        <w:spacing w:before="0" w:after="240"/>
        <w:rPr>
          <w:szCs w:val="22"/>
        </w:rPr>
      </w:pPr>
      <w:r>
        <w:t>Диалог по вопросам международной политики</w:t>
      </w:r>
    </w:p>
    <w:p w14:paraId="15E3C76E" w14:textId="77777777" w:rsidR="005A20AD" w:rsidRPr="00FF50C2" w:rsidRDefault="00FF50C2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Консультативный комитет по защите прав (ККЗП) проводит ежегодные совещания и позволяет заинтересованным сторонам обмениваться информацией и опытом по наиболее актуальным вопросам в области применения ИС и формирования уважения к ней.  Хотя 15-я сессия ККЗП (первоначально запланированная на октябрь 2020 г.) была отложена из-за пандемии COVID-19, 21 сентября 2021 г. состоялся онлайн-диалог ККЗП, ставший дополнительным способом проведения политического диалога по теме «Новые тенденции в борьбе с контрафакцией и пиратством в Интернете».  Сессии ККЗП, включая онлайн-диалог ККЗП, вносят свою лепту в реализацию ЦУР 8 (в частности, задачи 8.3) и 9 (в частности, задачи 9.b), содействуя политике, ориентированной на развитие, как на национальном, так и на региональном уровне, которая, в свою очередь, позволяет создавать достойные рабочие места для всех, а также способствует исследованиям, творчеству и инновациям.  Кроме того, ККЗП, сосредоточившись на борьбе с контрафакцией и пиратством, способствует реализации ЦУР 16 (в частности, задач 16.3 и 16.4), помогая сократить незаконную торговлю и бороться с организованной преступностью.</w:t>
      </w:r>
    </w:p>
    <w:p w14:paraId="5E6685B6" w14:textId="70378A3C" w:rsidR="00FF50C2" w:rsidRDefault="00FF50C2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также продолжала содействовать достижению тех же задач (16.3 и 16.4), содействуя международному сотрудничеству в рамках инициативы WIPO ALERT.  WIPO ALERT — это защищенная онлайн-платформа, которая позволяет странам обмениваться информацией о веб</w:t>
      </w:r>
      <w:r w:rsidR="005E17BE">
        <w:rPr>
          <w:sz w:val="22"/>
        </w:rPr>
        <w:t>-</w:t>
      </w:r>
      <w:r>
        <w:rPr>
          <w:sz w:val="22"/>
        </w:rPr>
        <w:t>сайтах или заявках, считающихся нарушителями авторских прав в рекламной индустрии, с целью сокращения незаконных финансовых потоков от рекламы к веб</w:t>
      </w:r>
      <w:r w:rsidR="005E17BE">
        <w:rPr>
          <w:sz w:val="22"/>
        </w:rPr>
        <w:t>-</w:t>
      </w:r>
      <w:r>
        <w:rPr>
          <w:sz w:val="22"/>
        </w:rPr>
        <w:t>сайтам, нарушающим авторские права на коммерческой основе.</w:t>
      </w:r>
    </w:p>
    <w:p w14:paraId="1E2488E6" w14:textId="77777777" w:rsidR="00FF50C2" w:rsidRPr="00FF50C2" w:rsidRDefault="00FF50C2" w:rsidP="00FF50C2">
      <w:pPr>
        <w:pStyle w:val="Heading3"/>
        <w:numPr>
          <w:ilvl w:val="0"/>
          <w:numId w:val="31"/>
        </w:numPr>
        <w:spacing w:before="0" w:after="240"/>
        <w:rPr>
          <w:szCs w:val="22"/>
        </w:rPr>
      </w:pPr>
      <w:r>
        <w:lastRenderedPageBreak/>
        <w:t>Повышение осведомленности</w:t>
      </w:r>
    </w:p>
    <w:p w14:paraId="7AA49F64" w14:textId="77777777" w:rsidR="00807F4E" w:rsidRPr="00807F4E" w:rsidRDefault="00C655FB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Организация внесла свой вклад в ЦУР 4, разрабатывая новые образовательные инструменты для молодежи.  Сделанный в корейском стиле веб-комикс </w:t>
      </w:r>
      <w:proofErr w:type="spellStart"/>
      <w:r>
        <w:rPr>
          <w:sz w:val="22"/>
        </w:rPr>
        <w:t>Manhwa</w:t>
      </w:r>
      <w:proofErr w:type="spellEnd"/>
      <w:r>
        <w:rPr>
          <w:sz w:val="22"/>
        </w:rPr>
        <w:t xml:space="preserve">, посвященный соблюдению авторских прав, был создан на восьми языках, включая корейский и португальский.  Эпизоды популярных мультфильмов для детей про </w:t>
      </w:r>
      <w:proofErr w:type="spellStart"/>
      <w:r>
        <w:rPr>
          <w:sz w:val="22"/>
        </w:rPr>
        <w:t>пингвиненка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Пороро</w:t>
      </w:r>
      <w:proofErr w:type="spellEnd"/>
      <w:r>
        <w:rPr>
          <w:sz w:val="22"/>
        </w:rPr>
        <w:t xml:space="preserve"> на тему промышленной собственности были дублированы на китайский и португальский языки: их можно посмотреть на канале ВОИС на YouTube.  Начались работы по дубляжу мультфильмов про </w:t>
      </w:r>
      <w:proofErr w:type="spellStart"/>
      <w:r>
        <w:rPr>
          <w:sz w:val="22"/>
        </w:rPr>
        <w:t>Пороро</w:t>
      </w:r>
      <w:proofErr w:type="spellEnd"/>
      <w:r>
        <w:rPr>
          <w:sz w:val="22"/>
        </w:rPr>
        <w:t xml:space="preserve"> на тайский язык.  Была подготовлена викторина для молодых людей об уважении к ИС, которая была размещена на информационных страницах веб-сайта ВОИС.  В дополнение к 6 официальным языкам ВОИС эти страницы были переведены на корейский и португальский языки.  </w:t>
      </w:r>
    </w:p>
    <w:p w14:paraId="1883B63E" w14:textId="1DBF2399" w:rsidR="00807F4E" w:rsidRDefault="00807F4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целях содействия устойчивому экономическому росту (ЦУР 8) и инновациям (ЦУР 9) в долгосрочной перспективе на Филиппинах в партнерстве с филиппинским ведомством ИС (IPOPHL) было проведено апробирование Инструментария ВОИС для опроса потребителей, созданного с целью сбора подробной информации о позиции и поведении потребителей в отношении контрафактных товаров и цифрового пиратства.  Эта информация поможет IPOHL эффективно и экономично проводить общественно-информационные кампании с целью уменьшения ущерба, наносимого противозаконной деятельностью законной торговле.  Кроме того, на веб</w:t>
      </w:r>
      <w:r w:rsidR="005E17BE">
        <w:rPr>
          <w:sz w:val="22"/>
        </w:rPr>
        <w:t>-</w:t>
      </w:r>
      <w:r>
        <w:rPr>
          <w:sz w:val="22"/>
        </w:rPr>
        <w:t>сайте ВОИС было опубликованы результаты проведенного исследования по вопросу о взаимосвязи между доступностью лицензированного аудиовизуального контента и спросом на нелицензированный контент в англоговорящих странах Карибского бассейна.</w:t>
      </w:r>
    </w:p>
    <w:p w14:paraId="0FF32631" w14:textId="77777777" w:rsidR="00807F4E" w:rsidRPr="00807F4E" w:rsidRDefault="00807F4E" w:rsidP="00807F4E">
      <w:pPr>
        <w:pStyle w:val="Heading3"/>
        <w:numPr>
          <w:ilvl w:val="0"/>
          <w:numId w:val="31"/>
        </w:numPr>
        <w:spacing w:before="0" w:after="240"/>
        <w:rPr>
          <w:szCs w:val="22"/>
        </w:rPr>
      </w:pPr>
      <w:r>
        <w:t>Наращивание потенциала</w:t>
      </w:r>
    </w:p>
    <w:p w14:paraId="7E0CEC14" w14:textId="77777777" w:rsidR="00FF50C2" w:rsidRPr="00807F4E" w:rsidRDefault="00807F4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течение 2021 г. ВОИС организовала ряд виртуальных мероприятий на национальном, субрегиональном или региональном уровне по укреплению потенциала судей и сотрудников правоохранительных органов из различных государств-членов по вопросам обеспечения соблюдения ИС и уважения к ней</w:t>
      </w:r>
      <w:r w:rsidR="00163915">
        <w:rPr>
          <w:rStyle w:val="FootnoteReference"/>
          <w:sz w:val="22"/>
          <w:szCs w:val="22"/>
        </w:rPr>
        <w:footnoteReference w:id="26"/>
      </w:r>
      <w:r>
        <w:rPr>
          <w:sz w:val="22"/>
        </w:rPr>
        <w:t xml:space="preserve">, а также приняла в них участие.  Кроме того, Организация продолжала оказывать государствам-членам помощь в адаптации учебных материалов для правоохранительных органов, </w:t>
      </w:r>
      <w:r>
        <w:rPr>
          <w:i/>
          <w:sz w:val="22"/>
        </w:rPr>
        <w:t xml:space="preserve"> </w:t>
      </w:r>
      <w:r w:rsidRPr="00863499">
        <w:rPr>
          <w:iCs/>
          <w:sz w:val="22"/>
        </w:rPr>
        <w:t>занимающихся расследованием и преследованием преступлений в области ИС.</w:t>
      </w:r>
      <w:r>
        <w:rPr>
          <w:i/>
          <w:sz w:val="22"/>
        </w:rPr>
        <w:t xml:space="preserve">  </w:t>
      </w:r>
      <w:r>
        <w:rPr>
          <w:sz w:val="22"/>
        </w:rPr>
        <w:t>Были подготовлены два адаптированных варианта (один для государства-члена из Африки, а другой — для Азиатско-Тихоокеанского региона).</w:t>
      </w:r>
    </w:p>
    <w:p w14:paraId="68576340" w14:textId="77777777" w:rsidR="00807F4E" w:rsidRDefault="00807F4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Эти мероприятия и инструменты по укреплению потенциала непосредственно способствуют достижению ЦУР 8 (в частности, выполнению задачи 8.3), содействуя ориентированному на развитие подходу ВОИС к обеспечению соблюдения ИС, что является непременным аспектом содействия инновациям и технологическому прогрессу, а также достижению полной и продуктивной занятости.  Кроме того, они способствуют достижению ЦУР 16 (в частности, выполнению задач 16.3 и 16.6) путем оказания помощи национальным учреждениям в обеспечении того, чтобы их системы были максимально эффективными, прозрачными и справедливыми, а также имели в своем распоряжении все необходимое для борьбы с незаконной торговлей и эффективного обеспечения соблюдения прав ИС.</w:t>
      </w:r>
    </w:p>
    <w:p w14:paraId="7B8774C0" w14:textId="77777777" w:rsidR="00860853" w:rsidRDefault="00860853" w:rsidP="00860853">
      <w:pPr>
        <w:pStyle w:val="Heading3"/>
        <w:numPr>
          <w:ilvl w:val="0"/>
          <w:numId w:val="31"/>
        </w:numPr>
        <w:spacing w:before="0" w:after="240"/>
        <w:rPr>
          <w:szCs w:val="22"/>
        </w:rPr>
      </w:pPr>
      <w:r>
        <w:t>Нормотворческая помощь</w:t>
      </w:r>
    </w:p>
    <w:p w14:paraId="1696D62D" w14:textId="77777777" w:rsidR="00A603EC" w:rsidRDefault="00A603EC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течение 2021 г. ВОИС оказала нормотворческую помощь одиннадцати государствам-членам в целях создания устойчивой среды, в которой уважаются права ИС </w:t>
      </w:r>
      <w:r>
        <w:rPr>
          <w:sz w:val="22"/>
        </w:rPr>
        <w:lastRenderedPageBreak/>
        <w:t>и обеспечивается соблюдение обязательств, вытекающих из части III Соглашения ТРИПС.  Такая деятельность способствует реализации ЦУР 8 (в частности, задачи 8.3) и 9 (в частности, задач 9.5 и 9.b) путем содействия созданию благоприятных условий для экономического роста, достойной занятости, предпринимательства, исследований, творчества и инноваций.  Кроме того, нормотворческая помощь, оказываемая государствам-членам, направлена на предотвращение или противодействие незаконной торговле товарами, охраняемыми как ИС, тем самым способствуя достижению ЦУР 16 (в частности, выполнению задачи 16.4).</w:t>
      </w:r>
    </w:p>
    <w:p w14:paraId="33A32988" w14:textId="77777777" w:rsidR="008D55B3" w:rsidRPr="001A0B81" w:rsidRDefault="008D55B3" w:rsidP="00B73236">
      <w:pPr>
        <w:pStyle w:val="Heading2"/>
        <w:numPr>
          <w:ilvl w:val="0"/>
          <w:numId w:val="9"/>
        </w:numPr>
        <w:spacing w:before="0" w:after="240"/>
        <w:ind w:left="540" w:hanging="540"/>
        <w:rPr>
          <w:szCs w:val="22"/>
        </w:rPr>
      </w:pPr>
      <w:r>
        <w:t>СОТРУДНИЧЕСТВО В ЦЕЛЯХ РАЗВИТИЯ</w:t>
      </w:r>
    </w:p>
    <w:p w14:paraId="157D0E31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Организация продолжала оказывать государствам – членам ВОИС поддержку в целях содействия инновациям, творчеству и эффективному использованию системы ИС для их экономического, технологического, социального и культурного развития.  Деятельность ВОИС в области сотрудничества в целях развития по-прежнему осуществлялась в соответствии с принципами Повестки дня в области развития и способствовала достижению ЦУР.  Ниже приводятся предпринятые в 2021 г. основные инициативы, касающиеся Повестки дня в области развития на период до 2030 г.</w:t>
      </w:r>
    </w:p>
    <w:p w14:paraId="799621B9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Межрегиональные инициативы</w:t>
      </w:r>
    </w:p>
    <w:p w14:paraId="0F98B1B1" w14:textId="03C026BA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рамках Комитета по развитию и интеллектуальной собственности (КРИС), ВОИС провела </w:t>
      </w:r>
      <w:r w:rsidR="00B63BF1">
        <w:rPr>
          <w:sz w:val="22"/>
        </w:rPr>
        <w:t>22–23</w:t>
      </w:r>
      <w:r>
        <w:rPr>
          <w:sz w:val="22"/>
        </w:rPr>
        <w:t xml:space="preserve"> ноября 2021 г. Международную конференцию по теме «Инновационные зеленые технологии для устойчивого развития»</w:t>
      </w:r>
      <w:r>
        <w:rPr>
          <w:rStyle w:val="FootnoteReference"/>
          <w:sz w:val="22"/>
          <w:szCs w:val="22"/>
        </w:rPr>
        <w:footnoteReference w:id="27"/>
      </w:r>
      <w:r>
        <w:rPr>
          <w:sz w:val="22"/>
        </w:rPr>
        <w:t>, которую посетили более 1300 участников.  По итогам мероприятия докладчики и аудитория согласились с важностью поддержки инноваций в области зеленых технологий для обеспечения более безопасного и экологически чистого будущего для следующих поколений для ускорения экономического роста.  Обсуждения затрагивали большинство Целей устойчивого развития, но в первую очередь ЦУР 6, 7, 8, 9, 11, 12, 13, 14 и 15.  По случаю Конференции были представлены примеры наиболее успешных проектов стартапов в области экологически чистых технологий</w:t>
      </w:r>
      <w:r>
        <w:rPr>
          <w:rStyle w:val="FootnoteReference"/>
          <w:sz w:val="22"/>
          <w:szCs w:val="22"/>
        </w:rPr>
        <w:footnoteReference w:id="28"/>
      </w:r>
      <w:r>
        <w:rPr>
          <w:sz w:val="22"/>
        </w:rPr>
        <w:t>.  Представленные практические примеры иллюстрируют, как эти компании задействуют ИС для эффективного использования своих активов, а также раскрывают их вклад в поиск новаторских решений, способствующих достижению целей в области устойчивого развития.</w:t>
      </w:r>
    </w:p>
    <w:p w14:paraId="676E1706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  <w:u w:val="single"/>
        </w:rPr>
      </w:pPr>
      <w:r>
        <w:rPr>
          <w:sz w:val="22"/>
        </w:rPr>
        <w:t>В рамках усилий Организации по содействию достижению ЦУР 5 (см. раздел I) ВОИС содействовала работе по обеспечению гендерного баланса и расширения участия женщин в сфере ИС.  После решения КРИС, основанного на предложении Мексики, в 2021 г. был создан форум для повышения осведомленности о важности участия женщин в экосистеме ИС и расширения их возможностей в этой сфере, в рамках которого был проведен ряд сессий по обмену опытом по теме «Ликвидация гендерного разрыва в сфере интеллектуальной собственности»</w:t>
      </w:r>
      <w:r>
        <w:rPr>
          <w:rStyle w:val="FootnoteReference"/>
          <w:sz w:val="22"/>
          <w:szCs w:val="22"/>
        </w:rPr>
        <w:footnoteReference w:id="29"/>
      </w:r>
      <w:r>
        <w:rPr>
          <w:sz w:val="22"/>
        </w:rPr>
        <w:t>.  В 2021 г. были проведены три подобных сессии.  На них были рассмотрены барьеры, с которыми сталкиваются женщины при доступе к системе ИС, изучены существующие инициативы в этой области с участием многих заинтересованных сторон и представлены некоторые примеры передовой практики в области разработки, распространения и предоставления услуг ИС, профессиональной подготовки по вопросам ИС и культуры сообщества ИС.  В работе сессий по обмену опытом приняли участие более 600 участников из более чем 60 стран.</w:t>
      </w:r>
    </w:p>
    <w:p w14:paraId="23724CE4" w14:textId="25AF64DD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lastRenderedPageBreak/>
        <w:t xml:space="preserve">Кроме того, отмечено дальнейшее улучшение результатов в четырех странах – бенефициарах проекта ПДР «Регистрация коллективных знаков и их роль в </w:t>
      </w:r>
      <w:proofErr w:type="spellStart"/>
      <w:r>
        <w:rPr>
          <w:sz w:val="22"/>
        </w:rPr>
        <w:t>межсекторальном</w:t>
      </w:r>
      <w:proofErr w:type="spellEnd"/>
      <w:r>
        <w:rPr>
          <w:sz w:val="22"/>
        </w:rPr>
        <w:t xml:space="preserve"> экономическом развитии»</w:t>
      </w:r>
      <w:r>
        <w:rPr>
          <w:rStyle w:val="FootnoteReference"/>
          <w:sz w:val="22"/>
          <w:szCs w:val="22"/>
        </w:rPr>
        <w:footnoteReference w:id="30"/>
      </w:r>
      <w:r>
        <w:rPr>
          <w:sz w:val="22"/>
        </w:rPr>
        <w:t xml:space="preserve">: в Боливии, Бразилии, Филиппинах и Тунисе.  Проект направлен на укрепление потенциала и повышение осведомленности о потенциальных преимуществах регистрации и использования коллективных знаков МСП и местными предприятиями в развивающихся странах, а также на расширение возможностей местных и национальных учреждений по оказанию поддержки предприятиям в этой области.  </w:t>
      </w:r>
      <w:r w:rsidR="00B63BF1">
        <w:rPr>
          <w:sz w:val="22"/>
        </w:rPr>
        <w:t>За счет поддержки местных производителей и учреждений</w:t>
      </w:r>
      <w:r>
        <w:rPr>
          <w:sz w:val="22"/>
        </w:rPr>
        <w:t xml:space="preserve"> проект способствует расширению возможностей местных общин в плане работы, их экономическому росту, стимулированию инноваций, сокращению неравенства и укреплению институтов (ЦУР 8, 9, 10 и 16).</w:t>
      </w:r>
    </w:p>
    <w:p w14:paraId="5BA7AB9A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Академия</w:t>
      </w:r>
    </w:p>
    <w:p w14:paraId="4A6F0D15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Академия ВОИС продолжает поддерживать Организацию в ее усилиях по достижению ЦУР (в частности, ЦУР 4, 5, 9, 10 и 17), путем удовлетворения потребностей государств-членов в подготовке кадров.   Объем предложения в рамках программы дистанционного обучения был расширен за счет включения новых программ сертификации для подтверждения уровня квалификации и компетентности в области ИС, а также новых курсов для руководителей и специалистов, посвященных ключевым секторам.  Кроме того, было увеличено число языков, на которых предлагаются курсы.  Продолжая реагировать на рост спроса на виртуальное обучение и подготовку в связи с пандемией COVID-19, она выпустила более 350 учебных занятий и в рамках учебных материалов провела около 250 лекций в режиме реального времени.  Программа дистанционного обучения продолжала осуществляться в рамках членства в руководящем комитете ГУРООН: Обучение, инициативы, созданной ЮНИТАР для обеспечения общего доступа к ресурсам электронного обучения по темам, связанным с ЦУР.  В знак признания активной роли и потенциала молодежи в развитии образования в сфере ИС, ВОИС назначила 7 молодежных послов в области ИС.</w:t>
      </w:r>
    </w:p>
    <w:p w14:paraId="2155CC2D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2021 г. в рамках Совместных магистерских программ Академии, направленных на облегчение доступа к высшему образованию в области ИС, более 227 человек получили дипломы магистра по восьми программам.  Благодаря партнерству с университетами и национальными ведомствами ИС, обучение по 21 программе летней школы ВОИС прошли около 1430 участников.  В рамках Программы повышения квалификации (ППК) Академии ВОИС в 2021 г. совместно с 19 учреждениями-партнерами обучение на курсах повышения квалификации, предлагаемых онлайн, прошли 170 государственных служащих из развивающихся стран, стран с переходной экономикой и наименее развитых стран (54% из них женщины).  Из них 153 участника завершили все его этапы и подготовили в общей сложности 153 проекта, которые в настоящее время осуществляются в их странах.</w:t>
      </w:r>
    </w:p>
    <w:p w14:paraId="7386A340" w14:textId="24345DC0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2021 г. была решена задача адаптации общ</w:t>
      </w:r>
      <w:r w:rsidR="00A05BD7">
        <w:rPr>
          <w:sz w:val="22"/>
        </w:rPr>
        <w:t>его</w:t>
      </w:r>
      <w:r>
        <w:rPr>
          <w:sz w:val="22"/>
        </w:rPr>
        <w:t xml:space="preserve"> курс</w:t>
      </w:r>
      <w:r w:rsidR="00A05BD7">
        <w:rPr>
          <w:sz w:val="22"/>
        </w:rPr>
        <w:t>а</w:t>
      </w:r>
      <w:r>
        <w:rPr>
          <w:sz w:val="22"/>
        </w:rPr>
        <w:t xml:space="preserve"> Академии ВОИС по ИС и других специализированных курсов, включая арабскую версию программы по ИС для молодежи и учителей IP4Youth&amp;Teachers Program, к требованиям отдельных стран.  Кроме того, развитию потенциала стран в области подготовки кадров в области ИС способствует проект Академии по созданию национальных учебных заведений в области ИС (УЗИС), обеспечивающий для них возможность самостоятельно разрабатывать и реализовывать обучение по ИС в соответствии с собственными потребностями в области развития.  С момента начала осуществления этого проекта девять созданных учебных УЗИС организовали более 5000 учебных мероприятий по вопросам ИС для более чем </w:t>
      </w:r>
      <w:r>
        <w:rPr>
          <w:sz w:val="22"/>
        </w:rPr>
        <w:lastRenderedPageBreak/>
        <w:t>250 000 участников, тем самым способствуя выполнению задач по укреплению потенциала, поставленных в ЦУР 17.</w:t>
      </w:r>
    </w:p>
    <w:p w14:paraId="0F31C457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Обеспечивая паритет мужчин и женщин среди участников, программы Академии являются очевидным вкладом в достижение ЦУР 5.  В 2021 г. доля женщин среди участников составляла 54% (мужчин — 46%).  Кроме того, Академия продолжала предлагать Общий курс Академии по ИС (DL-101) в доступных форматах на всех языках ООН, а также на португальском языке.  В 2021 г. обучение по данному курсу, разработанному с целью расширения охвата материалов и для того, чтобы обеспечить лицам с ограниченными возможностями больше перспектив для обучения и образования, а также чтобы позволить им профессионально развиваться (ЦУР 10), прошли 864 участника с нарушениями зрения или иными ограничениями воспринимать печатную информацию.</w:t>
      </w:r>
    </w:p>
    <w:p w14:paraId="0345FB47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Африканские страны</w:t>
      </w:r>
    </w:p>
    <w:p w14:paraId="2EC572B7" w14:textId="77777777" w:rsidR="008D55B3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Помощь, оказываемая государствам-членам из этого региона, продолжала соответствовать Соглашению ВОИС-АРОИС-ОАИС (Соглашение WAO)</w:t>
      </w:r>
      <w:r>
        <w:rPr>
          <w:rStyle w:val="FootnoteReference"/>
          <w:sz w:val="22"/>
          <w:szCs w:val="22"/>
        </w:rPr>
        <w:footnoteReference w:id="31"/>
      </w:r>
      <w:r>
        <w:rPr>
          <w:sz w:val="22"/>
        </w:rPr>
        <w:t xml:space="preserve">.  В 2021 г. в соответствии с Соглашением WAO и </w:t>
      </w:r>
      <w:proofErr w:type="spellStart"/>
      <w:r>
        <w:rPr>
          <w:sz w:val="22"/>
        </w:rPr>
        <w:t>Харарским</w:t>
      </w:r>
      <w:proofErr w:type="spellEnd"/>
      <w:r>
        <w:rPr>
          <w:sz w:val="22"/>
        </w:rPr>
        <w:t xml:space="preserve"> планом действий была завершена подготовка справочников по проведению аудитов механизмов ИС и созданию бюро по передаче технологий (БПТ) при университетах и научно-исследовательских учреждениях.  Кроме того, в соответствии с Соглашением WAO была организована серия семинаров, цель которых состояла в информировании предприятий об основных аспектах управления нематериальными активами в целях повышения конкурентоспособности их бизнеса и снижения деловых рисков.</w:t>
      </w:r>
    </w:p>
    <w:p w14:paraId="7BBD0B96" w14:textId="77777777" w:rsidR="00B73236" w:rsidRPr="001A0B81" w:rsidRDefault="00B73236" w:rsidP="00B73236">
      <w:pPr>
        <w:pStyle w:val="Default"/>
        <w:spacing w:after="240"/>
        <w:rPr>
          <w:sz w:val="22"/>
          <w:szCs w:val="22"/>
        </w:rPr>
      </w:pPr>
    </w:p>
    <w:p w14:paraId="1E727653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течение отчетного периода помощь африканским странам также была сосредоточена на области брендов и образцов.  Была проведена региональная веб-конференция на тему промышленных образцов с целью повышения осведомленности деловых кругов, разработчиков образцов и художников из государств Западной Африки о промышленных образцах.  В Ботсване, Камеруне, Гане, Мадагаскаре и на Маврикии также осуществляются проекты по брендингу ИС с целью продемонстрировать выгоду эффективного использования системы ИС для развития.  Основное внимание в рамках этих проектов уделяется стратегии брендинга для заинтересованных сторон из отдельных стран с целью коммерциализации их продукции в интересах повышения качества и улучшения дизайна их изделий, и даже регистрации товарного знака или коллективного знака, как произошло в случае с вязальщиками корзин из Ботсваны.  Также в 2021 г. был организован региональный вебинар по Лиссабонской системе и социально-экономической системе охраны ГУ для </w:t>
      </w:r>
      <w:proofErr w:type="spellStart"/>
      <w:r>
        <w:rPr>
          <w:sz w:val="22"/>
        </w:rPr>
        <w:t>португалоязычных</w:t>
      </w:r>
      <w:proofErr w:type="spellEnd"/>
      <w:r>
        <w:rPr>
          <w:sz w:val="22"/>
        </w:rPr>
        <w:t xml:space="preserve"> стран.  Данные мероприятия способствовали достижению ЦУР 1, 2, 3, 5, 8 и 10.</w:t>
      </w:r>
    </w:p>
    <w:p w14:paraId="2832194F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в течение отчетного периода была предпринята серия инициатив, направленных на решение различных вопросов, касающихся ИС, в том числе: (i) учреждение степени магистра по программам ИС; (</w:t>
      </w:r>
      <w:proofErr w:type="spellStart"/>
      <w:r>
        <w:rPr>
          <w:sz w:val="22"/>
        </w:rPr>
        <w:t>ii</w:t>
      </w:r>
      <w:proofErr w:type="spellEnd"/>
      <w:r>
        <w:rPr>
          <w:sz w:val="22"/>
        </w:rPr>
        <w:t>) проект подготовки инструкторов; (</w:t>
      </w:r>
      <w:proofErr w:type="spellStart"/>
      <w:r>
        <w:rPr>
          <w:sz w:val="22"/>
        </w:rPr>
        <w:t>iii</w:t>
      </w:r>
      <w:proofErr w:type="spellEnd"/>
      <w:r>
        <w:rPr>
          <w:sz w:val="22"/>
        </w:rPr>
        <w:t>) проект гармонизации систем АОИС и АРОИС; и (</w:t>
      </w:r>
      <w:proofErr w:type="spellStart"/>
      <w:r>
        <w:rPr>
          <w:sz w:val="22"/>
        </w:rPr>
        <w:t>iv</w:t>
      </w:r>
      <w:proofErr w:type="spellEnd"/>
      <w:r>
        <w:rPr>
          <w:sz w:val="22"/>
        </w:rPr>
        <w:t>) региональное мероприятие по случаю Всемирного дня ИС.  Эти инициативы способствуют реализации ЦУР 1, 3, 8 и 16.</w:t>
      </w:r>
    </w:p>
    <w:p w14:paraId="2501A64C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lastRenderedPageBreak/>
        <w:t>Арабские страны</w:t>
      </w:r>
    </w:p>
    <w:p w14:paraId="4B5566BC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Помощь арабским странам по-прежнему была актуальна в отношении достижения ряда ЦУР, главным образом 4, 5, 8, 9, 16 и 17.  Проекты и мероприятия могут быть сгруппированы по трем категориям: региональные, субрегиональные и национальные.  На региональном уровне был проведен вебинар, посвященный ИС и ЦУР, с целью повышения осведомленности по ключевым вопросам, связанным с ИС и ЦУР; на виртуальном координационном совещании глав ведомств по промышленной собственности был рассмотрен ход работы, проделанной с момента проведения предыдущего совещания, а также обсуждены события в области ИС; был организован электронный семинар по информационным технологиям, посвященный системам ВОИС для управления ИС, а также онлайн-услугам для ведомств ИС; а также было проведено виртуальное совещание с целью повышения осведомленности о важности политики в области ИС для развития инноваций в университетах.</w:t>
      </w:r>
    </w:p>
    <w:p w14:paraId="26530BD2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На субрегиональном уровне были организованы семинары и учебные мероприятия по следующим темам: </w:t>
      </w:r>
      <w:r>
        <w:rPr>
          <w:sz w:val="22"/>
        </w:rPr>
        <w:br/>
        <w:t>(i) охрана коммерческой тайны в шести странах, входящих в Совет сотрудничества стран Залива; (</w:t>
      </w:r>
      <w:proofErr w:type="spellStart"/>
      <w:r>
        <w:rPr>
          <w:sz w:val="22"/>
        </w:rPr>
        <w:t>ii</w:t>
      </w:r>
      <w:proofErr w:type="spellEnd"/>
      <w:r>
        <w:rPr>
          <w:sz w:val="22"/>
        </w:rPr>
        <w:t>) администрирование IPAS для повышения качества услуг в области ИС за счет эффективного использования системы, и автоматизация различных типов администрирования ИС; (</w:t>
      </w:r>
      <w:proofErr w:type="spellStart"/>
      <w:r>
        <w:rPr>
          <w:sz w:val="22"/>
        </w:rPr>
        <w:t>iii</w:t>
      </w:r>
      <w:proofErr w:type="spellEnd"/>
      <w:r>
        <w:rPr>
          <w:sz w:val="22"/>
        </w:rPr>
        <w:t>) ИС и предпринимательство среди женщин; (</w:t>
      </w:r>
      <w:proofErr w:type="spellStart"/>
      <w:r>
        <w:rPr>
          <w:sz w:val="22"/>
        </w:rPr>
        <w:t>iv</w:t>
      </w:r>
      <w:proofErr w:type="spellEnd"/>
      <w:r>
        <w:rPr>
          <w:sz w:val="22"/>
        </w:rPr>
        <w:t>) политика в области ИС и стратегические соображения, касающиеся текущей международной ситуации и наметившихся тенденций, передовой практики использования системы ИС для развития, а также возможные области сотрудничества в контексте диалога между Японией и отдельными арабскими государствами в области ИС; и (v) экспертиза во время национальной фазы РСТ в странах, где внутренняя ситуация не позволяла ВОИС провести аналогичные учебные мероприятия в течение длительного времени.</w:t>
      </w:r>
    </w:p>
    <w:p w14:paraId="5AF942BE" w14:textId="77777777" w:rsidR="008D55B3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На национальном уровне в регионе продолжали осуществляться несколько проектов:  Проект по созданию службы оказания услуг в области ИС для МСП и стартапов, специализирующихся в технологиях, направленный на то, чтобы помочь этим организациям стать более успешными пользователями системы ИС.  В июле 2021 г. к проекту присоединились Марокко и Саудовская Аравия.  Проект по разработке руководящих принципов для рассмотрения заявок на регистрацию товарных знаков для Управления внешней торговли и ИС Бахрейна, запущенный в октябре 2021 г., целью которого было содействие стандартизации решений по процедурным вопросам и, следовательно, уменьшение вероятности ошибок и повышение предсказуемости результатов для пользователей системы регистрации товарных знаков.  В Египте и Иордании продолжалась реализация двух проектов по политике в области ИС для университетов.  Также продолжал осуществляться проект в области разработки политики в сфере ИС для Института Пастера (Тунис), с целью поощрения инноваций.  Кроме того, в 2021 г. был подписан ряд соглашений и протоколов о намерениях о гарантированном уровне обслуживания по различным вопросам, а также проведены мероприятия по обучению и повышению информированности на национальном уровне.</w:t>
      </w:r>
    </w:p>
    <w:p w14:paraId="2782497E" w14:textId="77777777" w:rsidR="00B73236" w:rsidRPr="001A0B81" w:rsidRDefault="00B73236" w:rsidP="00B73236">
      <w:pPr>
        <w:pStyle w:val="Default"/>
        <w:spacing w:after="240"/>
        <w:rPr>
          <w:sz w:val="22"/>
          <w:szCs w:val="22"/>
        </w:rPr>
      </w:pPr>
    </w:p>
    <w:p w14:paraId="4C4A31C7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Азиатско-Тихоокеанский регион</w:t>
      </w:r>
    </w:p>
    <w:p w14:paraId="55647250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rFonts w:eastAsia="Calibri"/>
          <w:color w:val="auto"/>
          <w:sz w:val="22"/>
          <w:szCs w:val="22"/>
        </w:rPr>
      </w:pPr>
      <w:r>
        <w:rPr>
          <w:color w:val="auto"/>
          <w:sz w:val="22"/>
        </w:rPr>
        <w:t xml:space="preserve">Помощь, оказанная в 2021 г. в Азиатско-Тихоокеанском регионе, была направлена на то, чтобы наладить контакты с предпринимателями и новаторами напрямую, за счет онлайн-технологий и средств самопомощи, с целью помочь создать благоприятную среду для укрепления брендов, передачи технологий и более эффективного использования ИС в целом.  Эта стратегия предполагает поддержку предприятий и организаций, разрабатывающих новые технологии (университетов), их политики, структуры, практики и </w:t>
      </w:r>
      <w:r>
        <w:rPr>
          <w:color w:val="auto"/>
          <w:sz w:val="22"/>
        </w:rPr>
        <w:lastRenderedPageBreak/>
        <w:t xml:space="preserve">работы, используя ИС в качестве инструмента поддержки итогов и результатов в области инноваций.  </w:t>
      </w:r>
    </w:p>
    <w:p w14:paraId="09824ACC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rFonts w:eastAsia="Calibri"/>
          <w:color w:val="auto"/>
          <w:sz w:val="22"/>
          <w:szCs w:val="22"/>
        </w:rPr>
      </w:pPr>
      <w:r>
        <w:rPr>
          <w:sz w:val="22"/>
        </w:rPr>
        <w:t>Мероприятия по оказанию помощи</w:t>
      </w:r>
      <w:r>
        <w:rPr>
          <w:color w:val="auto"/>
          <w:sz w:val="22"/>
        </w:rPr>
        <w:t xml:space="preserve"> предпринимателям были направлены на укрепление развития бизнеса путем стратегического использования знаний, навыков и инструментов в области разработки брендов.  Среди некоторых из достигнутых результатов следует упомянуть создание </w:t>
      </w:r>
      <w:proofErr w:type="spellStart"/>
      <w:r>
        <w:rPr>
          <w:color w:val="auto"/>
          <w:sz w:val="22"/>
        </w:rPr>
        <w:t>брендинговых</w:t>
      </w:r>
      <w:proofErr w:type="spellEnd"/>
      <w:r>
        <w:rPr>
          <w:color w:val="auto"/>
          <w:sz w:val="22"/>
        </w:rPr>
        <w:t xml:space="preserve"> бюро в странах-бенефициарах с целью оказания поддержки местным деловым сообществам; укрепление бизнеса за счет более активного и инициативного использования ИС при разработке брендов и промышленных образцов продукции; дальнейшее развитие услуг ИС посредством подготовки кадров и создания структуры «Центр и представители»; поддержка отдельных предприятий в разработке полномасштабных проектов в области брендинга; расширение обмена опытом и знаниями на национальном и международном уровнях и управления знаниями через сетевое сообщество специалистов и учреждений.  Странами, воспользовавшимися преимуществами этих инициатив, стали Бутан, Камбоджа, Иран, Лаосская НДР и Самоа.</w:t>
      </w:r>
    </w:p>
    <w:p w14:paraId="667C1E84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rFonts w:eastAsia="Calibri"/>
          <w:color w:val="auto"/>
          <w:sz w:val="22"/>
          <w:szCs w:val="22"/>
        </w:rPr>
      </w:pPr>
      <w:r>
        <w:rPr>
          <w:sz w:val="22"/>
        </w:rPr>
        <w:t>Деятельность по оказанию помощи</w:t>
      </w:r>
      <w:r>
        <w:rPr>
          <w:color w:val="auto"/>
          <w:sz w:val="22"/>
        </w:rPr>
        <w:t xml:space="preserve"> организациям, разрабатывающим новые технологии, была направлена на укрепление потенциала технологических управленцев, исследователей и других субъектов в области изучения и использования ИС для активного участия в процессе преобразования изобретений и технологий в продукцию, услуги и предприятия.  Некоторые из основных инициатив были направлены на оказание помощи в создании компонентов ИС местной инновационной экосистемы за счет отделений по поддержке инноваций и технологий при университетах; развитие опыта в области управления и коммерциализации технологий на основе ИС в научно-технической, промышленной и правительственной сфере; укрепление связей и создание сетевого сообщества участников инноваций в стране и регионе.  Этими инициативами воспользовались Малайзия, Филиппины, Шри-Ланка и Таиланд.</w:t>
      </w:r>
    </w:p>
    <w:p w14:paraId="42ABA6D0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rFonts w:eastAsia="Calibri"/>
          <w:color w:val="auto"/>
          <w:sz w:val="22"/>
          <w:szCs w:val="22"/>
        </w:rPr>
      </w:pPr>
      <w:r>
        <w:rPr>
          <w:sz w:val="22"/>
        </w:rPr>
        <w:t xml:space="preserve">Страны региона также продолжали получать поддержку в укреплении потенциала в целом ряде областей, в том числе: </w:t>
      </w:r>
      <w:r>
        <w:rPr>
          <w:color w:val="auto"/>
          <w:sz w:val="22"/>
        </w:rPr>
        <w:t>во внедрении политических мер в области ИС на уровне учреждений и в управлении ими;</w:t>
      </w:r>
      <w:r>
        <w:rPr>
          <w:sz w:val="22"/>
        </w:rPr>
        <w:t xml:space="preserve"> </w:t>
      </w:r>
      <w:r>
        <w:rPr>
          <w:color w:val="auto"/>
          <w:sz w:val="22"/>
        </w:rPr>
        <w:t>в овладении опытом в области патентной информации и патентного ландшафта;</w:t>
      </w:r>
      <w:r>
        <w:rPr>
          <w:sz w:val="22"/>
        </w:rPr>
        <w:t xml:space="preserve"> </w:t>
      </w:r>
      <w:r>
        <w:rPr>
          <w:color w:val="auto"/>
          <w:sz w:val="22"/>
        </w:rPr>
        <w:t>в освоении подготовки патентной документации и ведения патентного делопроизводства;</w:t>
      </w:r>
      <w:r>
        <w:rPr>
          <w:sz w:val="22"/>
        </w:rPr>
        <w:t xml:space="preserve"> </w:t>
      </w:r>
      <w:r>
        <w:rPr>
          <w:color w:val="auto"/>
          <w:sz w:val="22"/>
        </w:rPr>
        <w:t>в овладении деловым аспектом знаний об ИС (в первую очередь о патентах);</w:t>
      </w:r>
      <w:r>
        <w:rPr>
          <w:sz w:val="22"/>
        </w:rPr>
        <w:t xml:space="preserve"> </w:t>
      </w:r>
      <w:r>
        <w:rPr>
          <w:color w:val="auto"/>
          <w:sz w:val="22"/>
        </w:rPr>
        <w:t>в области практических стратегий использования патентов и другой подобной ИС;</w:t>
      </w:r>
      <w:r>
        <w:rPr>
          <w:sz w:val="22"/>
        </w:rPr>
        <w:t xml:space="preserve"> </w:t>
      </w:r>
      <w:r>
        <w:rPr>
          <w:color w:val="auto"/>
          <w:sz w:val="22"/>
        </w:rPr>
        <w:t>в освоении опыта управления ИС (на каждой стадии производственно-сбытовых цепочек инноваций);</w:t>
      </w:r>
      <w:r>
        <w:rPr>
          <w:sz w:val="22"/>
        </w:rPr>
        <w:t xml:space="preserve"> </w:t>
      </w:r>
      <w:r>
        <w:rPr>
          <w:color w:val="auto"/>
          <w:sz w:val="22"/>
        </w:rPr>
        <w:t>в области организационной структуры, функций и бизнес-модели бюро передачи технологий;</w:t>
      </w:r>
      <w:r>
        <w:rPr>
          <w:sz w:val="22"/>
        </w:rPr>
        <w:t xml:space="preserve"> </w:t>
      </w:r>
      <w:r>
        <w:rPr>
          <w:color w:val="auto"/>
          <w:sz w:val="22"/>
        </w:rPr>
        <w:t>в области механизма финансирования научно-исследовательской и инновационной деятельности при университетах;</w:t>
      </w:r>
      <w:r>
        <w:rPr>
          <w:sz w:val="22"/>
        </w:rPr>
        <w:t xml:space="preserve"> </w:t>
      </w:r>
      <w:r>
        <w:rPr>
          <w:color w:val="auto"/>
          <w:sz w:val="22"/>
        </w:rPr>
        <w:t>в области платформ по взаимодействию между университетами, промышленностью и государственными органами;</w:t>
      </w:r>
      <w:r>
        <w:rPr>
          <w:sz w:val="22"/>
        </w:rPr>
        <w:t xml:space="preserve"> </w:t>
      </w:r>
      <w:r>
        <w:rPr>
          <w:color w:val="auto"/>
          <w:sz w:val="22"/>
        </w:rPr>
        <w:t>и в области государственно-частных партнерств для обеспечения сотрудничества между технологией и бизнесом. </w:t>
      </w:r>
    </w:p>
    <w:p w14:paraId="4E2B52E0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Латинская Америка и Карибский бассейн</w:t>
      </w:r>
    </w:p>
    <w:p w14:paraId="6F1748FE" w14:textId="24B262AB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Помощь государствам-членам этого региона продолжала способствовать достижению ЦУР на нескольких уровнях.  Во-первых, была оказана поддержка в разработке национальных стратегий в области ИС (НСИС) и содействии интеграции ИС в инновационную, экономическую, социальную и культурную политику, что способствовало достижению ЦУР 4, 5, 9 и 16.  К декабрю 2021 г. 24 из 31 страны Латинской Америки и Карибского бассейна сотрудничали с ВОИС в области разработки НСИС.  В течение 2021</w:t>
      </w:r>
      <w:r w:rsidR="0097017F">
        <w:rPr>
          <w:sz w:val="22"/>
          <w:lang w:val="en-GB"/>
        </w:rPr>
        <w:t> </w:t>
      </w:r>
      <w:r>
        <w:rPr>
          <w:sz w:val="22"/>
        </w:rPr>
        <w:t xml:space="preserve">г. была оказана помощь в разработке пяти НСИС: две из них (Сальвадора и Гватемалы) находятся в стадии разработки, а одна (Перу) в настоящее время ожидает окончательного утверждения.  Была также оказана помощь в принятии двух НСИС (Бразилии и Парагвая).  Кроме того, Мексика получила помощь в разработке первой </w:t>
      </w:r>
      <w:r>
        <w:rPr>
          <w:sz w:val="22"/>
        </w:rPr>
        <w:lastRenderedPageBreak/>
        <w:t xml:space="preserve">НСИС в регионе ЛАК, специально разработанной для МСП, тем самым способствуя достижению ЦУР 8 и 9.  Наконец, Панама также получила помощь в разработке и создании соответствующей национальной законодательной базы для стимулирования инноваций и передачи технологий. </w:t>
      </w:r>
    </w:p>
    <w:p w14:paraId="6B582E82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в духе партнерства и сотрудничества, предусмотренных Повесткой дня в области развития в период до 2030 г., были укреплены партнерские отношения с многочисленными партнерами в этом регионе</w:t>
      </w:r>
      <w:r w:rsidRPr="001A0B81">
        <w:rPr>
          <w:rStyle w:val="FootnoteReference"/>
          <w:sz w:val="22"/>
          <w:szCs w:val="22"/>
        </w:rPr>
        <w:footnoteReference w:id="32"/>
      </w:r>
      <w:r>
        <w:rPr>
          <w:sz w:val="22"/>
        </w:rPr>
        <w:t>.  С целью достижения ЦУР 4, 9 и 17 в 2021 г. были организованы учебные занятия и другие мероприятия по укреплению потенциала.  Была организована углубленная онлайн-подготовка для патентных экспертов региона с целью освоения конкретных навыков патентной экспертизы в области биотехнологии, а также укрепления и актуализации опыта проведения патентной экспертизы в соответствующих странах.  Для стран Карибского бассейна был также организован семинар на тему проведения экспертизы по существу в отношении национальной фазы РСТ, целями которого были: (i) развитие навыков персонала ведомств ИС в использовании результатов патентной экспертизы других национальных фаз; (</w:t>
      </w:r>
      <w:proofErr w:type="spellStart"/>
      <w:r>
        <w:rPr>
          <w:sz w:val="22"/>
        </w:rPr>
        <w:t>ii</w:t>
      </w:r>
      <w:proofErr w:type="spellEnd"/>
      <w:r>
        <w:rPr>
          <w:sz w:val="22"/>
        </w:rPr>
        <w:t>) способствование обмену результатами работы между крупными ведомствами и ведомствами с ограниченными экспертными ресурсами с целью оптимизации экспертизы; и (</w:t>
      </w:r>
      <w:proofErr w:type="spellStart"/>
      <w:r>
        <w:rPr>
          <w:sz w:val="22"/>
        </w:rPr>
        <w:t>iii</w:t>
      </w:r>
      <w:proofErr w:type="spellEnd"/>
      <w:r>
        <w:rPr>
          <w:sz w:val="22"/>
        </w:rPr>
        <w:t>) повышение осведомленности руководителей о возможностях и последствиях повышения транспарентности патентной экспертизы во время национальных фаз в связи с появлением платформ обмена результатами работы.</w:t>
      </w:r>
    </w:p>
    <w:p w14:paraId="7A41B305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2021 г. был достигнут прогресс в реализации текущего проекта, направленного на обеспечение подхода к ИС и инновациям, основанного на «платформенном мышлении», в быстро растущей «синей» экономике малых островных развивающихся государств КАРИКОМ (SIDS).  В августе 2021 г. была завершена работа над составлением схемы всей инновационной и предпринимательской деятельности, осуществляемой учреждениями, компаниями и частными лицами в рамках «синей экономики» КАРИКОМ.  В течение августа-декабря были успешно проведены три виртуальных семинара, в том числе по генерированию идей с участием заинтересованных сторон. Семинары были направлены на укрепление потенциала и освоение участниками навыков, инструментов и методологий в области охраны и коммерциализации ИС, которые могут способствовать экономическому росту в «синем секторе» экономики. </w:t>
      </w:r>
    </w:p>
    <w:p w14:paraId="457DAEAB" w14:textId="040B394E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 области гендерного равенства и инноваций (ЦУР 5, 9 и 17) была разработана новая пилотная учебная программа для женщин в НТИМ</w:t>
      </w:r>
      <w:r w:rsidRPr="001A0B81">
        <w:rPr>
          <w:sz w:val="22"/>
          <w:szCs w:val="22"/>
          <w:vertAlign w:val="superscript"/>
        </w:rPr>
        <w:footnoteReference w:id="33"/>
      </w:r>
      <w:r>
        <w:rPr>
          <w:sz w:val="22"/>
        </w:rPr>
        <w:t xml:space="preserve"> по управлению ИС с целью развития у участвующих женщин необходимых навыков и предоставления им возможности повысить ценность своих изобретений и ноу-хау за счет использования ИС, а также с целью оказания им наставнической помощи для включения ИС в их планы развития, бизнеса и инноваций.  Обучение по программе уже прошли тридцать две женщины из Чили, Колумбии, Доминиканской Республики и Мексики.  Кроме того, Чили, Колумбия, Коста-Рика и Перу при поддержке ВОИС создали в июне 2021 г. Латиноамериканскую сет</w:t>
      </w:r>
      <w:r w:rsidR="00665E96">
        <w:rPr>
          <w:sz w:val="22"/>
        </w:rPr>
        <w:t>ь</w:t>
      </w:r>
      <w:r>
        <w:rPr>
          <w:sz w:val="22"/>
        </w:rPr>
        <w:t xml:space="preserve"> по гендерным вопросам и ИС.  Ее главная цель заключается в содействии развитию интеллектуальной собственности на региональном уровне с учетом гендерной проблематики и в сокращении гендерного неравенства, а также в содействии обмену передовым опытом между странами, в обмене информацией и опытом по данной теме и в повышении внимания гендерным вопросам в области промышленной </w:t>
      </w:r>
      <w:r>
        <w:rPr>
          <w:sz w:val="22"/>
        </w:rPr>
        <w:lastRenderedPageBreak/>
        <w:t>собственности.  К сети присоединились Аргентина, Доминиканская Республика, Эквадор и Уругвай.  ВОИС приступила к реализации первого онлайн-обучения по гендерным аспектам в вопросах управления и функционирования ведомств ИС на региональном уровне, которое было предложено соответствующим ведомствам Латинской Америки.</w:t>
      </w:r>
    </w:p>
    <w:p w14:paraId="57E0D213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t>Наименее развитые страны (НРС)</w:t>
      </w:r>
    </w:p>
    <w:p w14:paraId="66E80894" w14:textId="4EC42391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2021 г. продолжалось успешное осуществление проектов по передаче НРС соответствующих технологий с целью оказания этим странам помощи в удовлетворении их потребностей в области развития и укреплении институционального потенциала на основе использования технической, научной и патентной информации.  Помимо помощи в удовлетворении конкретных потребностей стран в области развития, эти проекты способствуют достижению различных ЦУР, в том числе ЦУР 1, 5, 9 и 17.  В течение отчетного периода проекты вступили в решающий этап подготовки бизнес-планов по выявленным технологиям.  </w:t>
      </w:r>
      <w:r>
        <w:rPr>
          <w:color w:val="000000" w:themeColor="text1"/>
          <w:sz w:val="22"/>
        </w:rPr>
        <w:t xml:space="preserve">Применение фермерами анаэробных </w:t>
      </w:r>
      <w:proofErr w:type="spellStart"/>
      <w:r>
        <w:rPr>
          <w:color w:val="000000" w:themeColor="text1"/>
          <w:sz w:val="22"/>
        </w:rPr>
        <w:t>дигестеров</w:t>
      </w:r>
      <w:proofErr w:type="spellEnd"/>
      <w:r>
        <w:rPr>
          <w:color w:val="000000" w:themeColor="text1"/>
          <w:sz w:val="22"/>
        </w:rPr>
        <w:t xml:space="preserve"> для переработки отходов в биогаз и </w:t>
      </w:r>
      <w:proofErr w:type="spellStart"/>
      <w:r>
        <w:rPr>
          <w:color w:val="000000" w:themeColor="text1"/>
          <w:sz w:val="22"/>
        </w:rPr>
        <w:t>биоудобрения</w:t>
      </w:r>
      <w:proofErr w:type="spellEnd"/>
      <w:r>
        <w:rPr>
          <w:color w:val="000000" w:themeColor="text1"/>
          <w:sz w:val="22"/>
        </w:rPr>
        <w:t xml:space="preserve"> на уровне общин окажет положительное влияние на экологическую устойчивость (ЦУР 15), продовольственную безопасность (ЦУР 2), доходы сельских жителей и занятость (ЦУР 8), а технология рыбного инкубатора скажется на продовольственной безопасности и развитии сельских районов (ЦУР 2), а также — в долгосрочной перспективе — на обеспечении достойного труда и экономического роста (ЦУР 8). Обе технологии были выявлены в Мозамбике.  Найденная в Сенегале технология сушки лука и манго положительно скажется на сельском хозяйстве и продовольственной безопасности (ЦУР 2), </w:t>
      </w:r>
      <w:r w:rsidR="00B55F54">
        <w:rPr>
          <w:color w:val="000000" w:themeColor="text1"/>
          <w:sz w:val="22"/>
        </w:rPr>
        <w:t xml:space="preserve">на </w:t>
      </w:r>
      <w:r>
        <w:rPr>
          <w:color w:val="000000" w:themeColor="text1"/>
          <w:sz w:val="22"/>
        </w:rPr>
        <w:t>создании рабочих мест и экономическом росте (ЦУР 8), в том числе благодаря укреплению экспортного потенциала этих продуктов питания.  Выявленные в Уганде технологии сбора дождевой воды, для которых готовится бизнес-план, будут в значительной степени способствовать улучшению доступа к воде (ЦУР 6), а альтернативные технологии для производства обожженного кирпича будут способствовать решению проблем жилья (ЦУР 11).</w:t>
      </w:r>
    </w:p>
    <w:p w14:paraId="6E9E0DB9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sz w:val="22"/>
        </w:rPr>
        <w:t xml:space="preserve">Эта деятельность также продолжала вносить свой вклад в достижение ЦУР 5 в НРС.  </w:t>
      </w:r>
      <w:r>
        <w:rPr>
          <w:color w:val="auto"/>
          <w:sz w:val="22"/>
        </w:rPr>
        <w:t>Это включает в себя содействие обеспечению равенства между мужчинами и женщинами путем использования инструментов ИС в НРС — в качестве одной из приоритетных областей.  В 2021 г. было продолжено осуществление флагманского проекта по проблемам женщин-предпринимателей, рассчитанного на то, чтобы преподать женщинам-предпринимателям, а также ММСП и МСП азы использования ИС при разработке и коммерциализации продукции, а также оказывать им наставническую поддержку и помощь.  После успеха проекта в Уганде, в 2021 г. к его осуществлению приступили Судан и Камбоджа.  В семинарах приняли участие 84 женщины-предпринимателя, заинтересованные в изучении того, как использовать систему ИС для создания добавленной стоимости и развития бизнеса.  Началась подготовка</w:t>
      </w:r>
      <w:r>
        <w:rPr>
          <w:sz w:val="22"/>
        </w:rPr>
        <w:t xml:space="preserve"> оценки </w:t>
      </w:r>
      <w:r>
        <w:rPr>
          <w:color w:val="auto"/>
          <w:sz w:val="22"/>
        </w:rPr>
        <w:t>потребностей в области ИС с целью определения использования женщинами-предпринимателями в Танзании инструментов ИС, а также выявления трудностей, с которыми они сталкиваются при использовании системы ИС.  Проект также позволил создать растущее сообщество опытных женщин-предпринимателей, которые могли бы вдохновить и мотивировать других в НРС, а также укрепить сотрудничество Юг-Юг.</w:t>
      </w:r>
    </w:p>
    <w:p w14:paraId="40816AFE" w14:textId="77777777" w:rsidR="008D55B3" w:rsidRPr="001A0B81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Кроме того, продолжались отраслевые исследования по сквозным тематическим вопросам, касающимся использования ИС для содействия экономическому росту и развитию в НРС.  Было подготовлено исследование для изучения того, как можно использовать инструменты ИС для повышения продовольственной безопасности, получения доходов, смягчения проблемы нищеты и повышения конкурентоспособности экспорта в НРС.  Оно способствует достижению ЦУР 1, 2, 3, 5, 9, 12 и 15.</w:t>
      </w:r>
    </w:p>
    <w:p w14:paraId="3FF2649F" w14:textId="77777777" w:rsidR="008D55B3" w:rsidRPr="001A0B81" w:rsidRDefault="008D55B3" w:rsidP="008D55B3">
      <w:pPr>
        <w:pStyle w:val="Heading3"/>
        <w:numPr>
          <w:ilvl w:val="0"/>
          <w:numId w:val="17"/>
        </w:numPr>
        <w:spacing w:before="0" w:after="240"/>
        <w:rPr>
          <w:szCs w:val="22"/>
        </w:rPr>
      </w:pPr>
      <w:r>
        <w:lastRenderedPageBreak/>
        <w:t>Страны с переходной экономикой и развитые страны (ПРС)</w:t>
      </w:r>
    </w:p>
    <w:p w14:paraId="510AF324" w14:textId="77777777" w:rsidR="008D55B3" w:rsidRPr="00CF459D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Помощь странам с переходной экономикой и развитым странам по-прежнему была актуальна в отношении достижения ряда ЦУР, главным образом 4, 5, 8, 9, 16 и 17.  Приоритетными задачами в 2021 г. оставалось разъяснение важности долгосрочных и комплексных национальных стратегий в области ИС (НСИС), отвечающих потребностям государств-членов, и/или содействие в разработке и реализации таких стратегий.  За этот период две страны (Беларусь и Туркменистан) утвердили новые НСИС, три страны (Албания, Армения, Босния и Герцеговина) завершили разработку НСИС, а еще три (Черногория, Республика Молдова, Таджикистан, Узбекистан и Кыргызстан) начали разработку новых стратегий.  Кроме того, оказывалась помощь, направленная на поддержку и координацию различных проектов и мероприятий в области обучения ИС по различным темам, таким как коммерциализация ИС (ЦУР 4).</w:t>
      </w:r>
    </w:p>
    <w:p w14:paraId="2C1E7B94" w14:textId="77777777" w:rsidR="008D55B3" w:rsidRPr="00A52279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С целью достижения ЦУР 5 продолжали проводиться вебинары по содействию обеспечения гендерного равенства, с целью демонстрации роли женщин в творческом процессе.  Они проводились на разных языках, а число их участников достигло 4080 (при числе регистраций свыше 8404).  ВОИС также сотрудничала с патентным ведомством Республики Польша в деле повышения осведомленности местных женских общин о географических указаниях: в стране было организовано два мероприятия для местных женских общин, которые были посвящены географическим указаниям, причем основное внимание на них было уделено народным ремеслам.</w:t>
      </w:r>
    </w:p>
    <w:p w14:paraId="2877ABE4" w14:textId="77777777" w:rsidR="008D55B3" w:rsidRPr="00182EC6" w:rsidRDefault="008D55B3" w:rsidP="008D55B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С целью достижения ЦУР 8 и 9 в ПРС прошел ряд мероприятий, в которых ВОЗ выступила в качестве соорганизатора и координатора: в частности, это 15-я Международная конференция по инновациям и творчеству в Польше, первая в Литве «Конференция по сотрудничеству между наукой и бизнесом: вопросы и перспективы», а также семинар по Глобальному инновационному индексу в Грузии.  В странах Центральной Европы, Балтии и Средиземноморья был осуществлен проект по составлению схем уровня поддержки и диверсификации услуг, предоставляемых конкретно МСП.  В странах Кавказа, Центральной Азии и Восточной Европы был начат проект по созданию технопарков, направленный на развитие инноваций и поддержку развития технологий.</w:t>
      </w:r>
    </w:p>
    <w:p w14:paraId="120A1C7A" w14:textId="77777777" w:rsidR="008D55B3" w:rsidRPr="00A603EC" w:rsidRDefault="008D55B3" w:rsidP="008D55B3">
      <w:pPr>
        <w:pStyle w:val="Default"/>
        <w:spacing w:after="240"/>
        <w:rPr>
          <w:sz w:val="22"/>
          <w:szCs w:val="22"/>
        </w:rPr>
      </w:pPr>
    </w:p>
    <w:p w14:paraId="28F33536" w14:textId="77777777" w:rsidR="00DE2022" w:rsidRPr="001A0B81" w:rsidRDefault="00DE2022" w:rsidP="00B0472E">
      <w:pPr>
        <w:pStyle w:val="Heading1"/>
        <w:numPr>
          <w:ilvl w:val="0"/>
          <w:numId w:val="8"/>
        </w:numPr>
        <w:spacing w:before="0" w:after="240"/>
        <w:ind w:left="0" w:firstLine="0"/>
        <w:rPr>
          <w:szCs w:val="22"/>
        </w:rPr>
      </w:pPr>
      <w:r>
        <w:t>МЕРОПРИЯТИЯ И ИНИЦИАТИВЫ, ПРОВЕДЕННЫЕ ВОИС В РАМКАХ СИСТЕМЫ ОРГАНИЗАЦИИ ОБЪЕДИНЕННЫХ НАЦИЙ</w:t>
      </w:r>
    </w:p>
    <w:p w14:paraId="154D17A3" w14:textId="77777777" w:rsidR="00B0472E" w:rsidRPr="001957AC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в рамках своего мандата продолжала вносить вклад в соответствующие дискуссии по осуществлению Повестки дня на 2030 г. в качестве члена или наблюдателя на различных форумах.  ВОИС предоставляет специализированные знания и информацию для поддержки профильных многосторонних процессов и инициатив, тем самым обеспечивая полноценный учет в их работе опыта и наработок ВОИС в сфере реализации Повестки дня на период до 2030 г. и ЦУР.  Кроме того, Организация предоставляет фактическую информацию в рамках многочисленных докладов и публикаций, с тем чтобы расширять осведомленность общественности о своих программах и услугах, что, в свою очередь, позволяет использовать их для достижения ЦУР.</w:t>
      </w:r>
    </w:p>
    <w:p w14:paraId="49907279" w14:textId="77777777" w:rsidR="00B0472E" w:rsidRPr="001957AC" w:rsidRDefault="00B0472E" w:rsidP="00B0472E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>Политический форум высокого уровня</w:t>
      </w:r>
    </w:p>
    <w:p w14:paraId="458476E1" w14:textId="77777777" w:rsidR="00B0472E" w:rsidRPr="001957AC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С 6 по 15 июля 2021 г. прошел очередной Политический форум высокого уровня.  В его рамках была проведена серия заседаний на уровне министров, в ходе которых 42 страны представили добровольные национальные обзоры хода осуществления Повестки </w:t>
      </w:r>
      <w:r>
        <w:rPr>
          <w:sz w:val="22"/>
        </w:rPr>
        <w:lastRenderedPageBreak/>
        <w:t>дня в области устойчивого развития на период до 2030 г.  На форуме была обсуждена тема «</w:t>
      </w:r>
      <w:r>
        <w:rPr>
          <w:i/>
          <w:sz w:val="22"/>
        </w:rPr>
        <w:t>Стабильное и устойчивое восстановление после пандемии COVID-19, способствующее экономическим, социальным и экологическим аспектам устойчивого развития: создание всеобъемлющего и эффективного пути осуществления Повестки дня в области развития на период до 2030 г. в контексте Десятилетия действий и обеспечения устойчивого развития</w:t>
      </w:r>
      <w:r>
        <w:rPr>
          <w:sz w:val="22"/>
        </w:rPr>
        <w:t>».  Участники обсудили реакцию на пандемию COVID-19 и ее последствия, а также политику и международное сотрудничество, которые могут помочь в борьбе с пандемией и ее последствиями.  Они также рассмотрели вопрос о том, как вернуть мир на путь реализации ЦУР к 2030 г. в течение Десятилетия действий с целью обеспечения устойчивого развития.</w:t>
      </w:r>
    </w:p>
    <w:p w14:paraId="05D1774C" w14:textId="77777777" w:rsidR="001957AC" w:rsidRPr="001957AC" w:rsidRDefault="001957AC" w:rsidP="001957AC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>Дискуссии по вопросам торговли и здравоохранения</w:t>
      </w:r>
    </w:p>
    <w:p w14:paraId="4FDA651E" w14:textId="77777777" w:rsidR="00E83099" w:rsidRPr="00E83099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0070C0"/>
        </w:rPr>
      </w:pPr>
      <w:r>
        <w:rPr>
          <w:sz w:val="22"/>
        </w:rPr>
        <w:t xml:space="preserve">ВОИС приняла участие во многих межправительственных и </w:t>
      </w:r>
      <w:proofErr w:type="spellStart"/>
      <w:r>
        <w:rPr>
          <w:sz w:val="22"/>
        </w:rPr>
        <w:t>межучрежденческих</w:t>
      </w:r>
      <w:proofErr w:type="spellEnd"/>
      <w:r>
        <w:rPr>
          <w:sz w:val="22"/>
        </w:rPr>
        <w:t xml:space="preserve"> совещаниях по вопросам торговли и здравоохранения в рамках реализации ЦУР 3 (Обеспечение здорового образа жизни и содействие благополучию для всех в любом возрасте).  В контексте COVID-19 ВОИС участвовала в заседаниях Всемирной торговой организации (ВТО) и Совета ТРИПС, на которых состоялись обсуждения предложения об отказе от условий Соглашения ТРИПС в отношении доступа к вакцинам от COVID-19, к лечению и оборудованию.  На заседаниях Совета ТРИПС в июле и октябре 2021 г. ВОИС сделала заявления о мероприятиях по технической помощи и укреплению потенциала при осуществлении Соглашения ТРИПС и об осуществлении своих программ в отношении женщин и ИС.</w:t>
      </w:r>
    </w:p>
    <w:p w14:paraId="086606D2" w14:textId="77777777" w:rsidR="00B0472E" w:rsidRPr="00E83099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>ВОИС приняла участие в сессиях 74-й Всемирной Ассамблеи здравоохранения с 24 по 31 мая 2021 г., проходивших в виртуальном режиме, и в 149-й сессии Исполнительного комитета Всемирной организации здравоохранения (ВОЗ) 2 июня 2021 г.  В резолюции ВОЗ WHA73.1 по вопросу борьбы с COVID-19 содержится прямой призыв к международным организациям использовать гибкие возможности Соглашения ТРИПС в своей работе по обеспечению справедливого и своевременного доступа к лекарствам и вакцинам от COVID-19.  Кроме того, ВОИС приняла участие в дискуссиях в органах ВОЗ, касающихся потенциального заключения договора о пандемии, включая специальную сессию Всемирной Ассамблеи здравоохранения с 29 ноября по 1 декабря 2021 г., и многочисленные официальные сессии и межсессионные совещания Рабочей группы по усилению готовности ВОЗ к чрезвычайным ситуациям в области здравоохранения и реагированию на них (РГГР) в октябре – ноябре 2021 г.</w:t>
      </w:r>
    </w:p>
    <w:p w14:paraId="4D204E60" w14:textId="3FB01565" w:rsidR="00E83099" w:rsidRPr="005D7857" w:rsidRDefault="00E83099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t>Кроме того, ВТО, ВОЗ и ВОИС опубликовали перевод обновленного исследования</w:t>
      </w:r>
      <w:r>
        <w:rPr>
          <w:sz w:val="22"/>
        </w:rPr>
        <w:t xml:space="preserve"> </w:t>
      </w:r>
      <w:r>
        <w:rPr>
          <w:color w:val="auto"/>
          <w:sz w:val="22"/>
        </w:rPr>
        <w:t>о повышении доступности медицинских технологий и инноваций на все языки Организации Объединенных Наций</w:t>
      </w:r>
      <w:r w:rsidR="002A68F3">
        <w:rPr>
          <w:rStyle w:val="FootnoteReference"/>
          <w:color w:val="auto"/>
          <w:sz w:val="22"/>
          <w:szCs w:val="22"/>
        </w:rPr>
        <w:footnoteReference w:id="34"/>
      </w:r>
      <w:r>
        <w:rPr>
          <w:color w:val="auto"/>
          <w:sz w:val="22"/>
        </w:rPr>
        <w:t>.  В исследовании рассматривается взаимодействие между областями политики в области здравоохранения, торговли и ИС, а также его влияние на инновации и доступ к медицинским технологиям, в том числе к лекарствам, вакцинам и медицинскому оборудованию.  В октябре 2021 г. была опубликована обновленная специальная вставка к исследованию о COVID-19</w:t>
      </w:r>
      <w:r w:rsidR="002A68F3">
        <w:rPr>
          <w:rStyle w:val="FootnoteReference"/>
          <w:color w:val="auto"/>
          <w:sz w:val="22"/>
          <w:szCs w:val="22"/>
        </w:rPr>
        <w:footnoteReference w:id="35"/>
      </w:r>
      <w:r>
        <w:rPr>
          <w:color w:val="auto"/>
          <w:sz w:val="22"/>
        </w:rPr>
        <w:t xml:space="preserve">.  На своей встрече 15 июня 2021 г. </w:t>
      </w:r>
      <w:r w:rsidR="004F695D">
        <w:rPr>
          <w:color w:val="auto"/>
          <w:sz w:val="22"/>
        </w:rPr>
        <w:t>г</w:t>
      </w:r>
      <w:r>
        <w:rPr>
          <w:color w:val="auto"/>
          <w:sz w:val="22"/>
        </w:rPr>
        <w:t xml:space="preserve">енеральные директора ВОЗ, ВОИС и ВТО </w:t>
      </w:r>
      <w:r>
        <w:rPr>
          <w:sz w:val="22"/>
        </w:rPr>
        <w:t>договорились</w:t>
      </w:r>
      <w:r>
        <w:rPr>
          <w:color w:val="auto"/>
          <w:sz w:val="22"/>
        </w:rPr>
        <w:t xml:space="preserve"> активизировать и целенаправленно расширять поддержку в контексте пандемии COVID-19 в рамках существующего трехстороннего сотрудничества</w:t>
      </w:r>
      <w:r w:rsidR="002A68F3">
        <w:rPr>
          <w:rStyle w:val="FootnoteReference"/>
          <w:color w:val="auto"/>
          <w:sz w:val="22"/>
          <w:szCs w:val="22"/>
        </w:rPr>
        <w:footnoteReference w:id="36"/>
      </w:r>
      <w:r>
        <w:rPr>
          <w:color w:val="auto"/>
          <w:sz w:val="22"/>
        </w:rPr>
        <w:t xml:space="preserve">.  В частности, они договорились организовать серию семинаров по укреплению потенциала и создать совместную платформу для трехсторонней технической помощи. </w:t>
      </w:r>
      <w:r w:rsidR="00F651AE" w:rsidRPr="00F651AE">
        <w:rPr>
          <w:color w:val="auto"/>
          <w:sz w:val="22"/>
        </w:rPr>
        <w:t xml:space="preserve"> </w:t>
      </w:r>
      <w:r>
        <w:rPr>
          <w:color w:val="auto"/>
          <w:sz w:val="22"/>
        </w:rPr>
        <w:t>Первый семинар состоялся 27 сентября 2021 г.</w:t>
      </w:r>
    </w:p>
    <w:p w14:paraId="26DE7380" w14:textId="77777777" w:rsidR="0047267C" w:rsidRPr="005D7857" w:rsidRDefault="00D10852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lastRenderedPageBreak/>
        <w:t xml:space="preserve">В связи с вопросами торговли и развития ВОИС также укрепила свое сотрудничество с Центром международной торговли (ЦМТ), касающееся Службы поддержки по вопросам международной торговли, — </w:t>
      </w:r>
      <w:proofErr w:type="spellStart"/>
      <w:r>
        <w:rPr>
          <w:color w:val="auto"/>
          <w:sz w:val="22"/>
        </w:rPr>
        <w:t>межучрежденческой</w:t>
      </w:r>
      <w:proofErr w:type="spellEnd"/>
      <w:r>
        <w:rPr>
          <w:color w:val="auto"/>
          <w:sz w:val="22"/>
        </w:rPr>
        <w:t xml:space="preserve"> инициативы, осуществляемой под совместным руководством ЦМТ, ЮНКТАД и ВТО.  Ее целью является облегчение компаниям, особенно МСП, задачи проведения исследований рынка, путем объединения торговой и деловой информации в рамках единого онлайн-портала.  В поддержку этой инициативы ВОИС предоставила информацию о защите прав интеллектуальной собственности для МСП.</w:t>
      </w:r>
    </w:p>
    <w:p w14:paraId="3F01AF92" w14:textId="77777777" w:rsidR="0047267C" w:rsidRDefault="0047267C" w:rsidP="00E83099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>Гендерная проблематика, наука и инновации</w:t>
      </w:r>
    </w:p>
    <w:p w14:paraId="3EB9451D" w14:textId="77777777" w:rsidR="0047267C" w:rsidRPr="00F71414" w:rsidRDefault="0047267C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Бюро ВОИС в Нью-Йорке, в сотрудничестве с рядом государств – членов ООН и с другими учреждениями ООН, МПО и НПО, организовало несколько мероприятий, касающихся важности науки, инноваций и гендерного равенства (ЦУР 5).  К ним относятся: (i) </w:t>
      </w:r>
      <w:r>
        <w:rPr>
          <w:rStyle w:val="xnull"/>
          <w:color w:val="auto"/>
          <w:sz w:val="22"/>
          <w:bdr w:val="none" w:sz="0" w:space="0" w:color="auto" w:frame="1"/>
        </w:rPr>
        <w:t>6-й Международный день женщин и девочек в науке — вне границ: равенство в науке в интересах общества;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(</w:t>
      </w:r>
      <w:proofErr w:type="spellStart"/>
      <w:r>
        <w:rPr>
          <w:rStyle w:val="xnull"/>
          <w:color w:val="auto"/>
          <w:sz w:val="22"/>
          <w:bdr w:val="none" w:sz="0" w:space="0" w:color="auto" w:frame="1"/>
        </w:rPr>
        <w:t>ii</w:t>
      </w:r>
      <w:proofErr w:type="spellEnd"/>
      <w:r>
        <w:rPr>
          <w:rStyle w:val="xnull"/>
          <w:color w:val="auto"/>
          <w:sz w:val="22"/>
          <w:bdr w:val="none" w:sz="0" w:space="0" w:color="auto" w:frame="1"/>
        </w:rPr>
        <w:t>)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Гендерное равенство в науке, технологии и инновациях: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по направлению к инклюзивной экосистеме НТИ;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(</w:t>
      </w:r>
      <w:proofErr w:type="spellStart"/>
      <w:r>
        <w:rPr>
          <w:rStyle w:val="xnull"/>
          <w:color w:val="auto"/>
          <w:sz w:val="22"/>
          <w:bdr w:val="none" w:sz="0" w:space="0" w:color="auto" w:frame="1"/>
        </w:rPr>
        <w:t>iii</w:t>
      </w:r>
      <w:proofErr w:type="spellEnd"/>
      <w:r>
        <w:rPr>
          <w:rStyle w:val="xnull"/>
          <w:color w:val="auto"/>
          <w:sz w:val="22"/>
          <w:bdr w:val="none" w:sz="0" w:space="0" w:color="auto" w:frame="1"/>
        </w:rPr>
        <w:t>)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«Будущее финансирования инноваций после COVID: глобальный инновационный индекс» и «Гендерное равенство в науке, технологии и инновациях: по направлению к инклюзивной системе НТИ и всеобщей связи», организованные в кулуарах 6-го Многостороннего форума по науке, технике и инновациям в интересах достижения целей в области устойчивого развития; и</w:t>
      </w: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>
        <w:rPr>
          <w:rStyle w:val="xnull"/>
          <w:color w:val="auto"/>
          <w:sz w:val="22"/>
          <w:bdr w:val="none" w:sz="0" w:space="0" w:color="auto" w:frame="1"/>
        </w:rPr>
        <w:t>(</w:t>
      </w:r>
      <w:proofErr w:type="spellStart"/>
      <w:r>
        <w:rPr>
          <w:rStyle w:val="xnull"/>
          <w:color w:val="auto"/>
          <w:sz w:val="22"/>
          <w:bdr w:val="none" w:sz="0" w:space="0" w:color="auto" w:frame="1"/>
        </w:rPr>
        <w:t>iv</w:t>
      </w:r>
      <w:proofErr w:type="spellEnd"/>
      <w:r>
        <w:rPr>
          <w:rStyle w:val="xnull"/>
          <w:color w:val="auto"/>
          <w:sz w:val="22"/>
          <w:bdr w:val="none" w:sz="0" w:space="0" w:color="auto" w:frame="1"/>
        </w:rPr>
        <w:t>)</w:t>
      </w:r>
      <w:r>
        <w:rPr>
          <w:color w:val="auto"/>
          <w:sz w:val="22"/>
        </w:rPr>
        <w:t xml:space="preserve"> </w:t>
      </w:r>
      <w:r>
        <w:rPr>
          <w:rStyle w:val="xnull"/>
          <w:color w:val="auto"/>
          <w:sz w:val="22"/>
          <w:bdr w:val="none" w:sz="0" w:space="0" w:color="auto" w:frame="1"/>
        </w:rPr>
        <w:t>«Расширение возможностей молодых предпринимателей за счет системы ИС».</w:t>
      </w:r>
    </w:p>
    <w:p w14:paraId="649D318A" w14:textId="77777777" w:rsidR="00E83099" w:rsidRDefault="0047267C" w:rsidP="00E83099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>Всемирная встреча на высшем уровне по вопросам информационного сообщества (ВВИО)</w:t>
      </w:r>
    </w:p>
    <w:p w14:paraId="7D826A53" w14:textId="5B182DEF" w:rsidR="00B0472E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t>ВВИО 2021 г. прошла в период с января по май 2021 г. в виртуальном режиме.  ВОИС организовала сессию по теме «</w:t>
      </w:r>
      <w:r>
        <w:rPr>
          <w:i/>
          <w:color w:val="auto"/>
          <w:sz w:val="22"/>
        </w:rPr>
        <w:t xml:space="preserve">Мировые тенденции в области </w:t>
      </w:r>
      <w:proofErr w:type="spellStart"/>
      <w:r>
        <w:rPr>
          <w:i/>
          <w:color w:val="auto"/>
          <w:sz w:val="22"/>
        </w:rPr>
        <w:t>ассистивных</w:t>
      </w:r>
      <w:proofErr w:type="spellEnd"/>
      <w:r>
        <w:rPr>
          <w:i/>
          <w:color w:val="auto"/>
          <w:sz w:val="22"/>
        </w:rPr>
        <w:t xml:space="preserve"> технологий: </w:t>
      </w:r>
      <w:r w:rsidR="002B2C03">
        <w:rPr>
          <w:i/>
          <w:color w:val="auto"/>
          <w:sz w:val="22"/>
        </w:rPr>
        <w:t>н</w:t>
      </w:r>
      <w:r>
        <w:rPr>
          <w:i/>
          <w:color w:val="auto"/>
          <w:sz w:val="22"/>
        </w:rPr>
        <w:t xml:space="preserve">овые </w:t>
      </w:r>
      <w:proofErr w:type="spellStart"/>
      <w:r>
        <w:rPr>
          <w:i/>
          <w:color w:val="auto"/>
          <w:sz w:val="22"/>
        </w:rPr>
        <w:t>ассистивные</w:t>
      </w:r>
      <w:proofErr w:type="spellEnd"/>
      <w:r>
        <w:rPr>
          <w:i/>
          <w:color w:val="auto"/>
          <w:sz w:val="22"/>
        </w:rPr>
        <w:t xml:space="preserve"> технологии, инклюзивный дизайн и специальные возможности массовой продукции для обеспечения ее доступности</w:t>
      </w:r>
      <w:r>
        <w:rPr>
          <w:color w:val="auto"/>
          <w:sz w:val="22"/>
        </w:rPr>
        <w:t xml:space="preserve">».  На сессии были рассмотрены тенденции развития </w:t>
      </w:r>
      <w:proofErr w:type="spellStart"/>
      <w:r>
        <w:rPr>
          <w:color w:val="auto"/>
          <w:sz w:val="22"/>
        </w:rPr>
        <w:t>ассистивных</w:t>
      </w:r>
      <w:proofErr w:type="spellEnd"/>
      <w:r>
        <w:rPr>
          <w:color w:val="auto"/>
          <w:sz w:val="22"/>
        </w:rPr>
        <w:t xml:space="preserve"> и поддерживающих технологий, отмеченные в докладе ВОИС «Тенденции в области развития </w:t>
      </w:r>
      <w:proofErr w:type="spellStart"/>
      <w:r>
        <w:rPr>
          <w:color w:val="auto"/>
          <w:sz w:val="22"/>
        </w:rPr>
        <w:t>ассистивных</w:t>
      </w:r>
      <w:proofErr w:type="spellEnd"/>
      <w:r>
        <w:rPr>
          <w:color w:val="auto"/>
          <w:sz w:val="22"/>
        </w:rPr>
        <w:t xml:space="preserve"> технологий», а также то, как ассистивные технологии и программное обеспечение ИКТ могут оказывать поддержку лицам с нарушениями функций организма, включая лиц пожилого и зрелого возраста.  Также на ней было уделено внимание вопросам, находящимся на стыке доступности и авторского права (включая </w:t>
      </w:r>
      <w:proofErr w:type="spellStart"/>
      <w:r>
        <w:rPr>
          <w:color w:val="auto"/>
          <w:sz w:val="22"/>
        </w:rPr>
        <w:t>Марракешский</w:t>
      </w:r>
      <w:proofErr w:type="spellEnd"/>
      <w:r>
        <w:rPr>
          <w:color w:val="auto"/>
          <w:sz w:val="22"/>
        </w:rP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произведениям).</w:t>
      </w:r>
    </w:p>
    <w:p w14:paraId="0F35E146" w14:textId="77777777" w:rsidR="0047267C" w:rsidRPr="0047267C" w:rsidRDefault="0047267C" w:rsidP="0047267C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>Изменение климата</w:t>
      </w:r>
    </w:p>
    <w:p w14:paraId="210FFC4B" w14:textId="77777777" w:rsidR="0047267C" w:rsidRDefault="0047267C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sz w:val="22"/>
        </w:rPr>
        <w:t>ВОИС</w:t>
      </w:r>
      <w:r>
        <w:rPr>
          <w:color w:val="auto"/>
          <w:sz w:val="22"/>
        </w:rPr>
        <w:t xml:space="preserve"> продолжала участвовать в процессе РКИКООН, отслеживая ход обсуждения вопросов, касающихся разработки и передачи технологий.  В качестве наблюдателя ВОИС принимала участие в виртуальном режиме в 17-м и 18-м заседаниях Консультативного совета Центра и сети по технологиям, связанным с изменением климата (CTCN) и 22-м и 23-м заседаниях Исполнительного комитета по технологиям (ИКТ).  Кроме того, ВОИС участвовала в 26-м совещании Конференции Сторон РКИКООН (КС 26).</w:t>
      </w:r>
    </w:p>
    <w:p w14:paraId="7D4E961E" w14:textId="77777777" w:rsidR="00B73236" w:rsidRDefault="00B73236" w:rsidP="00B73236">
      <w:pPr>
        <w:pStyle w:val="Default"/>
        <w:spacing w:after="240"/>
        <w:rPr>
          <w:color w:val="auto"/>
          <w:sz w:val="22"/>
          <w:szCs w:val="22"/>
        </w:rPr>
      </w:pPr>
    </w:p>
    <w:p w14:paraId="4AE20B09" w14:textId="77777777" w:rsidR="00B73236" w:rsidRDefault="00B73236" w:rsidP="00B73236">
      <w:pPr>
        <w:pStyle w:val="Default"/>
        <w:spacing w:after="240"/>
        <w:rPr>
          <w:color w:val="auto"/>
          <w:sz w:val="22"/>
          <w:szCs w:val="22"/>
        </w:rPr>
      </w:pPr>
    </w:p>
    <w:p w14:paraId="5CCE4823" w14:textId="5D8C62D1" w:rsidR="00326668" w:rsidRDefault="00326668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lastRenderedPageBreak/>
        <w:t>МОВ между ВОИС и МАВИЭ был продлен с целью продолжения совместных усилий по содействию инновациям</w:t>
      </w:r>
      <w:r w:rsidR="00214424">
        <w:rPr>
          <w:color w:val="auto"/>
          <w:sz w:val="22"/>
        </w:rPr>
        <w:t xml:space="preserve">, </w:t>
      </w:r>
      <w:r>
        <w:rPr>
          <w:color w:val="auto"/>
          <w:sz w:val="22"/>
        </w:rPr>
        <w:t>передаче и распространению технологий, способствующих решению проблемы изменения климата, которые относятся к возобновляемым источникам энергии, и в этом контексте, с целью содействия пониманию системы ИС и ее более широкому использованию.</w:t>
      </w:r>
    </w:p>
    <w:p w14:paraId="70B247D2" w14:textId="77777777" w:rsidR="0047267C" w:rsidRPr="00326668" w:rsidRDefault="00326668" w:rsidP="00326668">
      <w:pPr>
        <w:pStyle w:val="Heading3"/>
        <w:numPr>
          <w:ilvl w:val="0"/>
          <w:numId w:val="27"/>
        </w:numPr>
        <w:spacing w:before="0" w:after="240"/>
        <w:rPr>
          <w:bCs w:val="0"/>
          <w:szCs w:val="22"/>
        </w:rPr>
      </w:pPr>
      <w:r>
        <w:t>Форум по руководству Интернетом (IGF)</w:t>
      </w:r>
    </w:p>
    <w:p w14:paraId="027A2CB8" w14:textId="3E729EA4" w:rsidR="00B0472E" w:rsidRPr="00326668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16-е ежегодное собрание IGF состоялось с 6 по 10 декабря 2021 г.  ВОИС и патентное ведомство Республики Польша совместно организовали мероприятие на тему «Видеоигры и их объединяющая власть: </w:t>
      </w:r>
      <w:r w:rsidR="00214424">
        <w:rPr>
          <w:color w:val="auto"/>
          <w:sz w:val="22"/>
        </w:rPr>
        <w:t>в</w:t>
      </w:r>
      <w:r>
        <w:rPr>
          <w:color w:val="auto"/>
          <w:sz w:val="22"/>
        </w:rPr>
        <w:t>се, что вам нужно знать о создании благоприятной среды и о новых тенденциях».  На мероприятии была продемонстрирована роль ИС как ключевого стимула для индустрии видеоигр, которая продемонстрировала свою устойчивость, продолжая расширяться во время пандемии COVID-19.</w:t>
      </w:r>
    </w:p>
    <w:p w14:paraId="241231D6" w14:textId="77777777" w:rsidR="00B0472E" w:rsidRPr="00326668" w:rsidRDefault="00326668" w:rsidP="00326668">
      <w:pPr>
        <w:pStyle w:val="Heading3"/>
        <w:numPr>
          <w:ilvl w:val="0"/>
          <w:numId w:val="27"/>
        </w:numPr>
        <w:spacing w:before="0" w:after="240"/>
        <w:rPr>
          <w:szCs w:val="22"/>
        </w:rPr>
      </w:pPr>
      <w:r>
        <w:t xml:space="preserve">Предоставление материалов для других мероприятий </w:t>
      </w:r>
    </w:p>
    <w:p w14:paraId="690EB1EA" w14:textId="3B946D3A" w:rsidR="00B0472E" w:rsidRPr="00326668" w:rsidRDefault="00B0472E" w:rsidP="00DD08C3">
      <w:pPr>
        <w:pStyle w:val="Default"/>
        <w:numPr>
          <w:ilvl w:val="0"/>
          <w:numId w:val="7"/>
        </w:numPr>
        <w:spacing w:after="240"/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</w:rPr>
        <w:t>ВОИС продолжала предоставлять критически важные материалы и информацию к широкому кругу докладов и мероприятий ООН/МГО для повышения осведомленности о ее продуктах и услугах.  Это, в частности: (i) ежегодные материалы по технической помощи ВОИС для Совета ТРИПС ВТО; (</w:t>
      </w:r>
      <w:proofErr w:type="spellStart"/>
      <w:r>
        <w:rPr>
          <w:color w:val="auto"/>
          <w:sz w:val="22"/>
        </w:rPr>
        <w:t>ii</w:t>
      </w:r>
      <w:proofErr w:type="spellEnd"/>
      <w:r>
        <w:rPr>
          <w:color w:val="auto"/>
          <w:sz w:val="22"/>
        </w:rPr>
        <w:t xml:space="preserve">) материалы по приоритетным темам Комиссии по поддержке науки и технологий (CSTD) на 2020-2021 гг. «Использование </w:t>
      </w:r>
      <w:proofErr w:type="spellStart"/>
      <w:r>
        <w:rPr>
          <w:color w:val="auto"/>
          <w:sz w:val="22"/>
        </w:rPr>
        <w:t>блокчейна</w:t>
      </w:r>
      <w:proofErr w:type="spellEnd"/>
      <w:r>
        <w:rPr>
          <w:color w:val="auto"/>
          <w:sz w:val="22"/>
        </w:rPr>
        <w:t xml:space="preserve"> для устойчивого развития» и «Использование науки, технологии и инноваций для ликвидации разрыва в области обеспечения здоровья и благополучия (ЦУР 3)»</w:t>
      </w:r>
      <w:r w:rsidR="00AF0F85" w:rsidRPr="00AF0F85">
        <w:rPr>
          <w:color w:val="auto"/>
          <w:sz w:val="22"/>
        </w:rPr>
        <w:t>;</w:t>
      </w:r>
      <w:r>
        <w:rPr>
          <w:color w:val="auto"/>
          <w:sz w:val="22"/>
        </w:rPr>
        <w:t>  (</w:t>
      </w:r>
      <w:proofErr w:type="spellStart"/>
      <w:r>
        <w:rPr>
          <w:color w:val="auto"/>
          <w:sz w:val="22"/>
        </w:rPr>
        <w:t>iii</w:t>
      </w:r>
      <w:proofErr w:type="spellEnd"/>
      <w:r>
        <w:rPr>
          <w:color w:val="auto"/>
          <w:sz w:val="22"/>
        </w:rPr>
        <w:t xml:space="preserve">) материалы к Сборнику «Деятельность ООН в области искусственного интеллекта» 2021 г. (2021 </w:t>
      </w:r>
      <w:proofErr w:type="spellStart"/>
      <w:r>
        <w:rPr>
          <w:color w:val="auto"/>
          <w:sz w:val="22"/>
        </w:rPr>
        <w:t>Compendium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of</w:t>
      </w:r>
      <w:proofErr w:type="spellEnd"/>
      <w:r>
        <w:rPr>
          <w:color w:val="auto"/>
          <w:sz w:val="22"/>
        </w:rPr>
        <w:t xml:space="preserve"> UN </w:t>
      </w:r>
      <w:proofErr w:type="spellStart"/>
      <w:r>
        <w:rPr>
          <w:color w:val="auto"/>
          <w:sz w:val="22"/>
        </w:rPr>
        <w:t>Activities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on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Artificial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Intelligence</w:t>
      </w:r>
      <w:proofErr w:type="spellEnd"/>
      <w:r>
        <w:rPr>
          <w:color w:val="auto"/>
          <w:sz w:val="22"/>
        </w:rPr>
        <w:t>); (</w:t>
      </w:r>
      <w:proofErr w:type="spellStart"/>
      <w:r>
        <w:rPr>
          <w:color w:val="auto"/>
          <w:sz w:val="22"/>
        </w:rPr>
        <w:t>iv</w:t>
      </w:r>
      <w:proofErr w:type="spellEnd"/>
      <w:r>
        <w:rPr>
          <w:color w:val="auto"/>
          <w:sz w:val="22"/>
        </w:rPr>
        <w:t>) материалы к докладу Генерального секретаря ООН Генеральной Ассамблее ООН по предпринимательству для устойчивого развития и по науке, технологии и инновациям в интересах развития; (</w:t>
      </w:r>
      <w:proofErr w:type="spellStart"/>
      <w:r>
        <w:rPr>
          <w:color w:val="auto"/>
          <w:sz w:val="22"/>
        </w:rPr>
        <w:t>vi</w:t>
      </w:r>
      <w:proofErr w:type="spellEnd"/>
      <w:r>
        <w:rPr>
          <w:color w:val="auto"/>
          <w:sz w:val="22"/>
        </w:rPr>
        <w:t>) материалы к ежегодному докладу Генерального секретаря ООН Экономическому и Социальному Совету (ЭКОСОС) по оценке прогресса, достигнутого в осуществлении итоговых рекомендаций Всемирной встречи на высшем уровне по вопросам информационного общества (ВВИО); (</w:t>
      </w:r>
      <w:proofErr w:type="spellStart"/>
      <w:r>
        <w:rPr>
          <w:color w:val="auto"/>
          <w:sz w:val="22"/>
        </w:rPr>
        <w:t>vii</w:t>
      </w:r>
      <w:proofErr w:type="spellEnd"/>
      <w:r>
        <w:rPr>
          <w:color w:val="auto"/>
          <w:sz w:val="22"/>
        </w:rPr>
        <w:t>) материалы для подготовки к ежегодному Многостороннему форуму по НТИ в интересах достижения ЦУР в рамках Механизма содействия развитию технологий ООН; и (</w:t>
      </w:r>
      <w:proofErr w:type="spellStart"/>
      <w:r>
        <w:rPr>
          <w:color w:val="auto"/>
          <w:sz w:val="22"/>
        </w:rPr>
        <w:t>viii</w:t>
      </w:r>
      <w:proofErr w:type="spellEnd"/>
      <w:r>
        <w:rPr>
          <w:color w:val="auto"/>
          <w:sz w:val="22"/>
        </w:rPr>
        <w:t>) Основной доклад ООН о финансировании устойчивого развития.</w:t>
      </w:r>
    </w:p>
    <w:p w14:paraId="73CC4050" w14:textId="77777777" w:rsidR="00DE2022" w:rsidRPr="001A0B81" w:rsidRDefault="00DE2022" w:rsidP="00B0472E">
      <w:pPr>
        <w:pStyle w:val="Heading1"/>
        <w:numPr>
          <w:ilvl w:val="0"/>
          <w:numId w:val="8"/>
        </w:numPr>
        <w:spacing w:before="0" w:after="240"/>
        <w:ind w:left="0" w:firstLine="0"/>
        <w:rPr>
          <w:szCs w:val="22"/>
        </w:rPr>
      </w:pPr>
      <w:r>
        <w:t>ПОМОЩЬ, ПРЕДОСТАВЛЕННАЯ ВОИС ГОСУДАРСТВАМ-ЧЛЕНАМ ПО ИХ ПРОСЬБЕ</w:t>
      </w:r>
    </w:p>
    <w:p w14:paraId="7DCC22E3" w14:textId="77777777" w:rsidR="00DE2022" w:rsidRDefault="002C6875" w:rsidP="00DD08C3">
      <w:pPr>
        <w:pStyle w:val="Default"/>
        <w:numPr>
          <w:ilvl w:val="0"/>
          <w:numId w:val="7"/>
        </w:numPr>
        <w:spacing w:after="240"/>
        <w:ind w:left="0" w:firstLine="0"/>
        <w:rPr>
          <w:sz w:val="22"/>
          <w:szCs w:val="22"/>
        </w:rPr>
      </w:pPr>
      <w:r>
        <w:rPr>
          <w:sz w:val="22"/>
        </w:rPr>
        <w:t xml:space="preserve">В течение 2021 г. Секретариат не получал от государств-членов каких-либо просьб об оказании помощи, имеющих конкретное отношение к достижению ЦУР. </w:t>
      </w:r>
    </w:p>
    <w:p w14:paraId="1B6358FA" w14:textId="77777777" w:rsidR="00DE2022" w:rsidRDefault="00DE2022" w:rsidP="00DD08C3">
      <w:pPr>
        <w:pStyle w:val="Default"/>
        <w:numPr>
          <w:ilvl w:val="0"/>
          <w:numId w:val="7"/>
        </w:numPr>
        <w:spacing w:after="240"/>
        <w:ind w:left="6237" w:firstLine="0"/>
      </w:pPr>
      <w:r>
        <w:rPr>
          <w:i/>
          <w:sz w:val="22"/>
        </w:rPr>
        <w:t>КРИС предлагается принять к сведению информацию, содержащуюся в настоящем документе.</w:t>
      </w:r>
    </w:p>
    <w:p w14:paraId="4D5921B2" w14:textId="77777777" w:rsidR="00DE2022" w:rsidRPr="00DE2022" w:rsidRDefault="00DE2022" w:rsidP="00DE2022"/>
    <w:sectPr w:rsidR="00DE2022" w:rsidRPr="00DE2022" w:rsidSect="00B82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3A6C" w14:textId="77777777" w:rsidR="00D83A16" w:rsidRDefault="00D83A16">
      <w:r>
        <w:separator/>
      </w:r>
    </w:p>
  </w:endnote>
  <w:endnote w:type="continuationSeparator" w:id="0">
    <w:p w14:paraId="511F0DDC" w14:textId="77777777" w:rsidR="00D83A16" w:rsidRDefault="00D83A16" w:rsidP="003B38C1">
      <w:r>
        <w:separator/>
      </w:r>
    </w:p>
    <w:p w14:paraId="2F63A4D6" w14:textId="77777777" w:rsidR="00D83A16" w:rsidRPr="008C228A" w:rsidRDefault="00D83A16" w:rsidP="003B38C1">
      <w:pPr>
        <w:spacing w:after="60"/>
        <w:rPr>
          <w:sz w:val="17"/>
          <w:lang w:val="en-GB"/>
        </w:rPr>
      </w:pPr>
      <w:r w:rsidRPr="008C228A">
        <w:rPr>
          <w:sz w:val="17"/>
          <w:lang w:val="en-GB"/>
        </w:rPr>
        <w:t>[Endnote continued from previous page]</w:t>
      </w:r>
    </w:p>
  </w:endnote>
  <w:endnote w:type="continuationNotice" w:id="1">
    <w:p w14:paraId="46A368EE" w14:textId="77777777" w:rsidR="00D83A16" w:rsidRPr="008C228A" w:rsidRDefault="00D83A16" w:rsidP="003B38C1">
      <w:pPr>
        <w:spacing w:before="60"/>
        <w:jc w:val="right"/>
        <w:rPr>
          <w:sz w:val="17"/>
          <w:szCs w:val="17"/>
          <w:lang w:val="en-GB"/>
        </w:rPr>
      </w:pPr>
      <w:r w:rsidRPr="008C228A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D30C" w14:textId="77777777" w:rsidR="007F3A92" w:rsidRDefault="007F3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B484" w14:textId="77777777" w:rsidR="007F3A92" w:rsidRDefault="007F3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2B83" w14:textId="77777777" w:rsidR="007F3A92" w:rsidRDefault="007F3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6CCB" w14:textId="77777777" w:rsidR="00D83A16" w:rsidRDefault="00D83A16">
      <w:r>
        <w:separator/>
      </w:r>
    </w:p>
  </w:footnote>
  <w:footnote w:type="continuationSeparator" w:id="0">
    <w:p w14:paraId="28839B24" w14:textId="77777777" w:rsidR="00D83A16" w:rsidRDefault="00D83A16" w:rsidP="008B60B2">
      <w:r>
        <w:separator/>
      </w:r>
    </w:p>
    <w:p w14:paraId="5BE38AD8" w14:textId="77777777" w:rsidR="00D83A16" w:rsidRPr="008C228A" w:rsidRDefault="00D83A16" w:rsidP="008B60B2">
      <w:pPr>
        <w:spacing w:after="60"/>
        <w:rPr>
          <w:sz w:val="17"/>
          <w:szCs w:val="17"/>
          <w:lang w:val="en-GB"/>
        </w:rPr>
      </w:pPr>
      <w:r w:rsidRPr="008C228A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B5383DE" w14:textId="77777777" w:rsidR="00D83A16" w:rsidRPr="008C228A" w:rsidRDefault="00D83A16" w:rsidP="008B60B2">
      <w:pPr>
        <w:spacing w:before="60"/>
        <w:jc w:val="right"/>
        <w:rPr>
          <w:sz w:val="17"/>
          <w:szCs w:val="17"/>
          <w:lang w:val="en-GB"/>
        </w:rPr>
      </w:pPr>
      <w:r w:rsidRPr="008C228A">
        <w:rPr>
          <w:sz w:val="17"/>
          <w:szCs w:val="17"/>
          <w:lang w:val="en-GB"/>
        </w:rPr>
        <w:t>[Footnote continued on next page]</w:t>
      </w:r>
    </w:p>
  </w:footnote>
  <w:footnote w:id="2">
    <w:p w14:paraId="40EFF065" w14:textId="77777777" w:rsidR="005345D7" w:rsidRPr="009366A8" w:rsidRDefault="005345D7">
      <w:pPr>
        <w:pStyle w:val="FootnoteText"/>
      </w:pPr>
      <w:r>
        <w:rPr>
          <w:rStyle w:val="FootnoteReference"/>
        </w:rPr>
        <w:footnoteRef/>
      </w:r>
      <w:r>
        <w:t xml:space="preserve"> Перечень ЦУР и соответствующих задач см. по этой ссылке: </w:t>
      </w:r>
      <w:hyperlink r:id="rId1" w:history="1">
        <w:r>
          <w:rPr>
            <w:rStyle w:val="Hyperlink"/>
          </w:rPr>
          <w:t>https://sdgs.un.org/goals</w:t>
        </w:r>
      </w:hyperlink>
      <w:r>
        <w:t xml:space="preserve"> </w:t>
      </w:r>
    </w:p>
  </w:footnote>
  <w:footnote w:id="3">
    <w:p w14:paraId="4FE62470" w14:textId="77777777" w:rsidR="005345D7" w:rsidRPr="00A34264" w:rsidRDefault="005345D7" w:rsidP="00A34264">
      <w:pPr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proofErr w:type="spellStart"/>
      <w:r>
        <w:rPr>
          <w:sz w:val="18"/>
        </w:rPr>
        <w:t>Ajinomoto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</w:t>
      </w:r>
      <w:proofErr w:type="spellEnd"/>
      <w:r>
        <w:rPr>
          <w:sz w:val="18"/>
        </w:rPr>
        <w:t xml:space="preserve">., </w:t>
      </w:r>
      <w:proofErr w:type="spellStart"/>
      <w:r>
        <w:rPr>
          <w:sz w:val="18"/>
        </w:rPr>
        <w:t>Inc</w:t>
      </w:r>
      <w:proofErr w:type="spellEnd"/>
      <w:r>
        <w:rPr>
          <w:sz w:val="18"/>
        </w:rPr>
        <w:t xml:space="preserve">.; </w:t>
      </w:r>
      <w:proofErr w:type="spellStart"/>
      <w:r>
        <w:rPr>
          <w:sz w:val="18"/>
        </w:rPr>
        <w:t>Amazon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Services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astamuse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company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Ltd</w:t>
      </w:r>
      <w:proofErr w:type="spellEnd"/>
      <w:r>
        <w:rPr>
          <w:sz w:val="18"/>
        </w:rPr>
        <w:t xml:space="preserve">.; </w:t>
      </w:r>
      <w:proofErr w:type="spellStart"/>
      <w:r>
        <w:rPr>
          <w:sz w:val="18"/>
        </w:rPr>
        <w:t>Austria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Wirtschaftsservice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Gesellschaft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mbH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aws</w:t>
      </w:r>
      <w:proofErr w:type="spellEnd"/>
      <w:r>
        <w:rPr>
          <w:sz w:val="18"/>
        </w:rPr>
        <w:t xml:space="preserve">); </w:t>
      </w:r>
      <w:proofErr w:type="spellStart"/>
      <w:r>
        <w:rPr>
          <w:sz w:val="18"/>
        </w:rPr>
        <w:t>Furukawa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Electric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</w:t>
      </w:r>
      <w:proofErr w:type="spellEnd"/>
      <w:r>
        <w:rPr>
          <w:sz w:val="18"/>
        </w:rPr>
        <w:t xml:space="preserve">., Ltd; Global Mobility Service Inc.; HINODE SANGYO CO. LTD.; </w:t>
      </w:r>
      <w:proofErr w:type="spellStart"/>
      <w:r>
        <w:rPr>
          <w:sz w:val="18"/>
        </w:rPr>
        <w:t>Kai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Corporation</w:t>
      </w:r>
      <w:proofErr w:type="spellEnd"/>
      <w:r>
        <w:rPr>
          <w:sz w:val="18"/>
        </w:rPr>
        <w:t xml:space="preserve">; Бюро по экономике, торговле и промышленности Кюсю (Министерство экономики, торговли и промышленности (METI)); Mitsubishi Electric Corporation; PONS IP; Португальский институт промышленной собственности; </w:t>
      </w:r>
      <w:proofErr w:type="spellStart"/>
      <w:r>
        <w:rPr>
          <w:sz w:val="18"/>
        </w:rPr>
        <w:t>Ricoh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Company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Ltd</w:t>
      </w:r>
      <w:proofErr w:type="spellEnd"/>
      <w:r>
        <w:rPr>
          <w:sz w:val="18"/>
        </w:rPr>
        <w:t>.; Токийский университет; Университет Тохоку; Токийский технологический институт, открытая инновационная платформа; университет Ямагата.</w:t>
      </w:r>
    </w:p>
    <w:p w14:paraId="4B10BD0C" w14:textId="77777777" w:rsidR="005345D7" w:rsidRDefault="005345D7">
      <w:pPr>
        <w:pStyle w:val="FootnoteText"/>
      </w:pPr>
    </w:p>
  </w:footnote>
  <w:footnote w:id="4">
    <w:p w14:paraId="5C313F76" w14:textId="77777777" w:rsidR="005345D7" w:rsidRPr="009366A8" w:rsidRDefault="005345D7">
      <w:pPr>
        <w:pStyle w:val="FootnoteText"/>
      </w:pPr>
      <w:r>
        <w:rPr>
          <w:rStyle w:val="FootnoteReference"/>
        </w:rPr>
        <w:footnoteRef/>
      </w:r>
      <w:r>
        <w:t xml:space="preserve"> Контрольный перечень см. по ссылке: </w:t>
      </w:r>
      <w:hyperlink r:id="rId2" w:history="1">
        <w:r>
          <w:rPr>
            <w:rStyle w:val="Hyperlink"/>
          </w:rPr>
          <w:t>https://www.wipo.int/sme/en/checklist.html</w:t>
        </w:r>
      </w:hyperlink>
      <w:r>
        <w:t xml:space="preserve"> </w:t>
      </w:r>
    </w:p>
  </w:footnote>
  <w:footnote w:id="5">
    <w:p w14:paraId="685C845B" w14:textId="77777777" w:rsidR="005345D7" w:rsidRPr="009366A8" w:rsidRDefault="005345D7">
      <w:pPr>
        <w:pStyle w:val="FootnoteText"/>
      </w:pPr>
      <w:r>
        <w:rPr>
          <w:rStyle w:val="FootnoteReference"/>
        </w:rPr>
        <w:footnoteRef/>
      </w:r>
      <w:r>
        <w:t xml:space="preserve"> Резюме см. по ссылке: </w:t>
      </w:r>
      <w:hyperlink r:id="rId3" w:history="1">
        <w:r>
          <w:rPr>
            <w:rStyle w:val="Hyperlink"/>
          </w:rPr>
          <w:t>https://www.wipo.int/publications/ru/details.jsp?id=4583</w:t>
        </w:r>
      </w:hyperlink>
      <w:r>
        <w:t xml:space="preserve"> </w:t>
      </w:r>
    </w:p>
  </w:footnote>
  <w:footnote w:id="6">
    <w:p w14:paraId="404E85E1" w14:textId="77777777" w:rsidR="005345D7" w:rsidRPr="009366A8" w:rsidRDefault="005345D7">
      <w:pPr>
        <w:pStyle w:val="FootnoteText"/>
      </w:pPr>
      <w:r>
        <w:rPr>
          <w:rStyle w:val="FootnoteReference"/>
        </w:rPr>
        <w:footnoteRef/>
      </w:r>
      <w:r>
        <w:t xml:space="preserve"> Каталог см. по ссылке: </w:t>
      </w:r>
      <w:hyperlink r:id="rId4" w:history="1">
        <w:r>
          <w:rPr>
            <w:rStyle w:val="Hyperlink"/>
          </w:rPr>
          <w:t>https://www3.wipo.int/wipogreen/en/pdf/wipogreen-pome-technology-catalog-winrock-Sep-30-2021.pdf</w:t>
        </w:r>
      </w:hyperlink>
      <w:r>
        <w:t xml:space="preserve"> </w:t>
      </w:r>
    </w:p>
  </w:footnote>
  <w:footnote w:id="7">
    <w:p w14:paraId="1F72D505" w14:textId="77777777" w:rsidR="005345D7" w:rsidRPr="00ED21A5" w:rsidRDefault="005345D7">
      <w:pPr>
        <w:pStyle w:val="FootnoteText"/>
      </w:pPr>
      <w:r>
        <w:rPr>
          <w:rStyle w:val="FootnoteReference"/>
        </w:rPr>
        <w:footnoteRef/>
      </w:r>
      <w:r>
        <w:t xml:space="preserve"> Публикацию см. по ссылке: </w:t>
      </w:r>
      <w:hyperlink r:id="rId5" w:history="1">
        <w:r>
          <w:rPr>
            <w:rStyle w:val="Hyperlink"/>
          </w:rPr>
          <w:t>https://wipogreen.wipo.int/wipogreen-database/search?pagination.page=0&amp;pagination.size=10&amp;sort.0.field=CREATED_AT&amp;sort.0.direction=DESC&amp;queryFilters.0.field=COLLECTION&amp;queryFilters.0.value=138827</w:t>
        </w:r>
      </w:hyperlink>
      <w:r>
        <w:t xml:space="preserve"> </w:t>
      </w:r>
    </w:p>
  </w:footnote>
  <w:footnote w:id="8">
    <w:p w14:paraId="1362D0D9" w14:textId="77777777" w:rsidR="005345D7" w:rsidRDefault="005345D7" w:rsidP="00DA6D05"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Университет </w:t>
      </w:r>
      <w:proofErr w:type="spellStart"/>
      <w:r>
        <w:rPr>
          <w:sz w:val="18"/>
        </w:rPr>
        <w:t>Anchor</w:t>
      </w:r>
      <w:proofErr w:type="spellEnd"/>
      <w:r>
        <w:rPr>
          <w:sz w:val="18"/>
        </w:rPr>
        <w:t xml:space="preserve">, Лагос (AUL); </w:t>
      </w:r>
      <w:proofErr w:type="spellStart"/>
      <w:r>
        <w:rPr>
          <w:sz w:val="18"/>
        </w:rPr>
        <w:t>Global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Healthcare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Innovation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Alliance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Accelerator</w:t>
      </w:r>
      <w:proofErr w:type="spellEnd"/>
      <w:r>
        <w:rPr>
          <w:sz w:val="18"/>
        </w:rPr>
        <w:t xml:space="preserve"> (GHIAA); Институт науки и технологий (</w:t>
      </w:r>
      <w:proofErr w:type="spellStart"/>
      <w:r>
        <w:rPr>
          <w:sz w:val="18"/>
        </w:rPr>
        <w:t>INSTech</w:t>
      </w:r>
      <w:proofErr w:type="spellEnd"/>
      <w:r>
        <w:rPr>
          <w:sz w:val="18"/>
        </w:rPr>
        <w:t xml:space="preserve">); медицинский колледж Висконсина (MCW); Национальная программа исследования болезни Хансена (NHDP); Институт общественного здравоохранения (PHI); </w:t>
      </w:r>
      <w:proofErr w:type="spellStart"/>
      <w:r>
        <w:rPr>
          <w:sz w:val="18"/>
        </w:rPr>
        <w:t>Антиокийский</w:t>
      </w:r>
      <w:proofErr w:type="spellEnd"/>
      <w:r>
        <w:rPr>
          <w:sz w:val="18"/>
        </w:rPr>
        <w:t xml:space="preserve"> университет (Колумбия); Перуанский университет им. </w:t>
      </w:r>
      <w:proofErr w:type="spellStart"/>
      <w:r>
        <w:rPr>
          <w:sz w:val="18"/>
        </w:rPr>
        <w:t>Кайетано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Эредии</w:t>
      </w:r>
      <w:proofErr w:type="spellEnd"/>
      <w:r>
        <w:rPr>
          <w:sz w:val="18"/>
        </w:rPr>
        <w:t>; Медицинский центр университета Небраски; Руандийский университет (UR); Университет Республики Уругвай.</w:t>
      </w:r>
    </w:p>
  </w:footnote>
  <w:footnote w:id="9">
    <w:p w14:paraId="50F2D8DE" w14:textId="77777777" w:rsidR="005345D7" w:rsidRPr="00945E78" w:rsidRDefault="005345D7" w:rsidP="005636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 xml:space="preserve">Страница поиска </w:t>
        </w:r>
        <w:proofErr w:type="spellStart"/>
        <w:r>
          <w:rPr>
            <w:rStyle w:val="Hyperlink"/>
          </w:rPr>
          <w:t>Patentscope</w:t>
        </w:r>
        <w:proofErr w:type="spellEnd"/>
      </w:hyperlink>
    </w:p>
  </w:footnote>
  <w:footnote w:id="10">
    <w:p w14:paraId="0F7693CB" w14:textId="41421AEF" w:rsidR="005345D7" w:rsidRPr="00EC0E6F" w:rsidRDefault="005345D7" w:rsidP="00B51635">
      <w:pPr>
        <w:pStyle w:val="FootnoteText"/>
      </w:pPr>
      <w:r>
        <w:rPr>
          <w:rStyle w:val="FootnoteReference"/>
        </w:rPr>
        <w:footnoteRef/>
      </w:r>
      <w:r>
        <w:t xml:space="preserve"> В документе PCT/WG/14/17 перечислены все мероприятия, которые были запланированы и проведены по состоянию на 2 июня 2021 г.  Документ доступен по адресу:  </w:t>
      </w:r>
      <w:hyperlink r:id="rId7" w:history="1">
        <w:r>
          <w:rPr>
            <w:rStyle w:val="Hyperlink"/>
          </w:rPr>
          <w:t>Координация деятельности по оказанию технической помощи</w:t>
        </w:r>
        <w:r w:rsidR="006A245A" w:rsidRPr="006A245A">
          <w:rPr>
            <w:rStyle w:val="Hyperlink"/>
          </w:rPr>
          <w:t xml:space="preserve"> </w:t>
        </w:r>
        <w:r>
          <w:rPr>
            <w:rStyle w:val="Hyperlink"/>
          </w:rPr>
          <w:t>в рамках PCT</w:t>
        </w:r>
      </w:hyperlink>
    </w:p>
  </w:footnote>
  <w:footnote w:id="11">
    <w:p w14:paraId="53108FBD" w14:textId="77777777" w:rsidR="005345D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Меморандум о взаимопонимании между ВОИС и ВОЗ, предусматривающий обмен данными между Международным центром данных ВОЗ и ГБДБ, был подписан в 2018 г.</w:t>
      </w:r>
    </w:p>
  </w:footnote>
  <w:footnote w:id="12">
    <w:p w14:paraId="3D6719F4" w14:textId="77777777" w:rsidR="005345D7" w:rsidRDefault="005345D7" w:rsidP="00DB1496">
      <w:pPr>
        <w:pStyle w:val="FootnoteText"/>
      </w:pPr>
      <w:r>
        <w:rPr>
          <w:rStyle w:val="FootnoteReference"/>
        </w:rPr>
        <w:footnoteRef/>
      </w:r>
      <w:r>
        <w:t xml:space="preserve"> Дополнительную информацию о системах можно найти по ссылкам:  </w:t>
      </w:r>
      <w:hyperlink r:id="rId8" w:history="1">
        <w:r>
          <w:rPr>
            <w:rStyle w:val="Hyperlink"/>
          </w:rPr>
          <w:t>www.wipo.int/madrid/ru/</w:t>
        </w:r>
      </w:hyperlink>
      <w:r>
        <w:rPr>
          <w:rStyle w:val="Hyperlink"/>
        </w:rPr>
        <w:t xml:space="preserve">; </w:t>
      </w:r>
      <w:hyperlink r:id="rId9" w:history="1">
        <w:r>
          <w:rPr>
            <w:rStyle w:val="Hyperlink"/>
          </w:rPr>
          <w:t>www.wipo.int/hague/ru/</w:t>
        </w:r>
      </w:hyperlink>
      <w:r>
        <w:t xml:space="preserve">; и </w:t>
      </w:r>
      <w:hyperlink r:id="rId10" w:history="1">
        <w:r>
          <w:rPr>
            <w:rStyle w:val="Hyperlink"/>
          </w:rPr>
          <w:t>www.wipo.int/lisbon/ru/</w:t>
        </w:r>
      </w:hyperlink>
      <w:r>
        <w:rPr>
          <w:rStyle w:val="Hyperlink"/>
        </w:rPr>
        <w:t>.</w:t>
      </w:r>
    </w:p>
  </w:footnote>
  <w:footnote w:id="13">
    <w:p w14:paraId="375B8CBE" w14:textId="77777777" w:rsidR="005345D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К числу этих стран относятся Бангладеш, Барбадос, Белиз, Кабо-Верде, Чили, Эфиопия, Фиджи, Иордания, Кирибати, Кувейт, Мальта, Маврикий, Непал, Папуа-Новая Гвинея, Катар, Саудовская Аравия, Южная Африка, Шри-Ланка, Тонга, Тувалу и Объединенная Республика Танзания.  </w:t>
      </w:r>
    </w:p>
  </w:footnote>
  <w:footnote w:id="14">
    <w:p w14:paraId="4E332C77" w14:textId="77777777" w:rsidR="005345D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А именно: Ямайка и Пакистан.</w:t>
      </w:r>
    </w:p>
  </w:footnote>
  <w:footnote w:id="15">
    <w:p w14:paraId="1C3DAA19" w14:textId="2CD7DB98" w:rsidR="005345D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К ним относятся Антигуа и Барбуда, Бразилия, Кюрасао, Индонезия, Иордания, Лаосская Народно-Демократическая Республика, Мадагаскар, Малайзия, Марокко, Филиппины, Сент-Китс и Невис, Сент-Винсент и Гренадины, Южная Африка, Таиланд, Тринидад и Тобаго, Узбекистан, Зимбабве, а также одна межправительственная организация, а именно Евразийская патентная организация (ЕАПО).</w:t>
      </w:r>
    </w:p>
  </w:footnote>
  <w:footnote w:id="16">
    <w:p w14:paraId="04B344E5" w14:textId="77777777" w:rsidR="005345D7" w:rsidRPr="0064182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А именно: Гамбия, Кения, Лесото, Малави, Мозамбик и Сьерра-Леоне.</w:t>
      </w:r>
    </w:p>
  </w:footnote>
  <w:footnote w:id="17">
    <w:p w14:paraId="6C66C76D" w14:textId="77777777" w:rsidR="005345D7" w:rsidRPr="00641827" w:rsidRDefault="005345D7" w:rsidP="00D11E61">
      <w:pPr>
        <w:pStyle w:val="FootnoteText"/>
      </w:pPr>
      <w:r>
        <w:rPr>
          <w:rStyle w:val="FootnoteReference"/>
        </w:rPr>
        <w:footnoteRef/>
      </w:r>
      <w:r>
        <w:t xml:space="preserve"> Это Антигуа и Барбуда, Белиз, Гамбия, Гернси, Гонконг, ОАР Гонконг (Китай), Ямайка, Пакистан, Сьерра-Леоне, Шри-Ланка, Тунис и Объединенные Арабские Эмираты.</w:t>
      </w:r>
    </w:p>
  </w:footnote>
  <w:footnote w:id="18">
    <w:p w14:paraId="3DFD9051" w14:textId="77777777" w:rsidR="005345D7" w:rsidRDefault="005345D7" w:rsidP="00D11E61">
      <w:pPr>
        <w:pStyle w:val="FootnoteText"/>
      </w:pPr>
      <w:r>
        <w:rPr>
          <w:rStyle w:val="FootnoteReference"/>
        </w:rPr>
        <w:footnoteRef/>
      </w:r>
      <w:r>
        <w:t xml:space="preserve"> Это Бразилия, Китай, Иордания, Лаосская Народно-Демократическая Республика, Таиланд, Тринидад и Тобаго и Тунис.</w:t>
      </w:r>
    </w:p>
  </w:footnote>
  <w:footnote w:id="19">
    <w:p w14:paraId="439646AC" w14:textId="77777777" w:rsidR="005345D7" w:rsidRDefault="005345D7" w:rsidP="00817C78">
      <w:pPr>
        <w:pStyle w:val="FootnoteText"/>
      </w:pPr>
      <w:r>
        <w:rPr>
          <w:rStyle w:val="FootnoteReference"/>
        </w:rPr>
        <w:footnoteRef/>
      </w:r>
      <w:r>
        <w:t xml:space="preserve"> Исламской Республики Иран, Испании, Турции и Украины</w:t>
      </w:r>
    </w:p>
  </w:footnote>
  <w:footnote w:id="20">
    <w:p w14:paraId="772206C1" w14:textId="77777777" w:rsidR="00A3768C" w:rsidRDefault="00A3768C" w:rsidP="00A3768C">
      <w:pPr>
        <w:pStyle w:val="FootnoteText"/>
      </w:pPr>
      <w:r>
        <w:rPr>
          <w:rStyle w:val="FootnoteReference"/>
        </w:rPr>
        <w:footnoteRef/>
      </w:r>
      <w:r>
        <w:t xml:space="preserve"> Этот курс был разработан Мадридским реестром в сотрудничестве с австралийским ведомством ИС при поддержке Академии ВОИС.  В нем содержится детальный обзор Мадридской системы, включая ее преимущества, основные принципы и различные рабочие процессы.</w:t>
      </w:r>
    </w:p>
  </w:footnote>
  <w:footnote w:id="21">
    <w:p w14:paraId="6F6A04E2" w14:textId="77777777" w:rsidR="005345D7" w:rsidRDefault="005345D7" w:rsidP="00447672">
      <w:pPr>
        <w:pStyle w:val="FootnoteText"/>
      </w:pPr>
      <w:r>
        <w:rPr>
          <w:rStyle w:val="FootnoteReference"/>
        </w:rPr>
        <w:footnoteRef/>
      </w:r>
      <w:r>
        <w:t xml:space="preserve"> Доля международных регистраций из развивающихся стран и НРС увеличилась с 6,6 процента в 2008 г. до 15 процентов в 2021 г.</w:t>
      </w:r>
    </w:p>
  </w:footnote>
  <w:footnote w:id="22">
    <w:p w14:paraId="514A4C29" w14:textId="77777777" w:rsidR="00AC505F" w:rsidRPr="00F22A58" w:rsidRDefault="00AC505F" w:rsidP="00AC505F">
      <w:pPr>
        <w:pStyle w:val="FootnoteText"/>
      </w:pPr>
      <w:r>
        <w:rPr>
          <w:rStyle w:val="FootnoteReference"/>
        </w:rPr>
        <w:footnoteRef/>
      </w:r>
      <w:r>
        <w:t xml:space="preserve"> Публикацию см. по ссылке: </w:t>
      </w:r>
      <w:hyperlink r:id="rId11" w:history="1">
        <w:r>
          <w:rPr>
            <w:rStyle w:val="Hyperlink"/>
          </w:rPr>
          <w:t>https://www.wipo.int/publications/en/details.jsp?id=4561&amp;plang=EN</w:t>
        </w:r>
      </w:hyperlink>
      <w:r>
        <w:rPr>
          <w:rStyle w:val="Hyperlink"/>
        </w:rPr>
        <w:t xml:space="preserve"> </w:t>
      </w:r>
    </w:p>
  </w:footnote>
  <w:footnote w:id="23">
    <w:p w14:paraId="2A5896B0" w14:textId="77777777" w:rsidR="00EB34F5" w:rsidRPr="00EB34F5" w:rsidRDefault="00EB34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>
          <w:rPr>
            <w:rStyle w:val="Hyperlink"/>
          </w:rPr>
          <w:t>https://www.wipo.int/meetings/en/details.jsp?meeting_id=67308</w:t>
        </w:r>
      </w:hyperlink>
      <w:r>
        <w:t xml:space="preserve"> </w:t>
      </w:r>
    </w:p>
  </w:footnote>
  <w:footnote w:id="24">
    <w:p w14:paraId="2399B6F4" w14:textId="77777777" w:rsidR="005345D7" w:rsidRPr="00D43924" w:rsidRDefault="005345D7">
      <w:pPr>
        <w:pStyle w:val="FootnoteText"/>
      </w:pPr>
      <w:r>
        <w:rPr>
          <w:rStyle w:val="FootnoteReference"/>
        </w:rPr>
        <w:footnoteRef/>
      </w:r>
      <w:r>
        <w:t xml:space="preserve"> Публикацию см. по ссылке: </w:t>
      </w:r>
      <w:hyperlink r:id="rId13" w:history="1">
        <w:r>
          <w:rPr>
            <w:rStyle w:val="Hyperlink"/>
          </w:rPr>
          <w:t>https://www.wipo.int/edocs/pubdocs/ru/wipo_pub_1053.pdf</w:t>
        </w:r>
      </w:hyperlink>
      <w:r>
        <w:t xml:space="preserve"> </w:t>
      </w:r>
    </w:p>
  </w:footnote>
  <w:footnote w:id="25">
    <w:p w14:paraId="5B0C8063" w14:textId="77777777" w:rsidR="005345D7" w:rsidRPr="00BE0536" w:rsidRDefault="00534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" w:history="1">
        <w:r>
          <w:rPr>
            <w:rStyle w:val="Hyperlink"/>
          </w:rPr>
          <w:t>https://www.wipo.int/wipolex/ru/index.html</w:t>
        </w:r>
      </w:hyperlink>
      <w:r>
        <w:t xml:space="preserve"> </w:t>
      </w:r>
    </w:p>
  </w:footnote>
  <w:footnote w:id="26">
    <w:p w14:paraId="09A63654" w14:textId="77777777" w:rsidR="005345D7" w:rsidRPr="00163915" w:rsidRDefault="005345D7">
      <w:pPr>
        <w:pStyle w:val="FootnoteText"/>
      </w:pPr>
      <w:r>
        <w:rPr>
          <w:rStyle w:val="FootnoteReference"/>
        </w:rPr>
        <w:footnoteRef/>
      </w:r>
      <w:r>
        <w:t xml:space="preserve"> Подробную информацию об этих мероприятиях можно найти по ссылке: </w:t>
      </w:r>
      <w:hyperlink r:id="rId15" w:history="1">
        <w:r>
          <w:rPr>
            <w:rStyle w:val="Hyperlink"/>
          </w:rPr>
          <w:t>https://www.wipo.int/enforcement/en/activities/current.html</w:t>
        </w:r>
      </w:hyperlink>
      <w:r>
        <w:t xml:space="preserve"> </w:t>
      </w:r>
    </w:p>
  </w:footnote>
  <w:footnote w:id="27">
    <w:p w14:paraId="487ED842" w14:textId="77777777" w:rsidR="008D55B3" w:rsidRPr="002D0EB4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" w:history="1">
        <w:r>
          <w:rPr>
            <w:rStyle w:val="Hyperlink"/>
          </w:rPr>
          <w:t>https://www.wipo.int/meetings/ru/2021/ip-development-conference.html</w:t>
        </w:r>
      </w:hyperlink>
      <w:r>
        <w:t xml:space="preserve"> </w:t>
      </w:r>
    </w:p>
  </w:footnote>
  <w:footnote w:id="28">
    <w:p w14:paraId="453B281B" w14:textId="77777777" w:rsidR="008D55B3" w:rsidRPr="002D0EB4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" w:history="1">
        <w:r>
          <w:rPr>
            <w:rStyle w:val="Hyperlink"/>
          </w:rPr>
          <w:t>https://www.wipo.int/meetings/ru/2021/ip-development-conference.html</w:t>
        </w:r>
      </w:hyperlink>
      <w:r>
        <w:t xml:space="preserve"> </w:t>
      </w:r>
    </w:p>
  </w:footnote>
  <w:footnote w:id="29">
    <w:p w14:paraId="097E5C45" w14:textId="77777777" w:rsidR="008D55B3" w:rsidRPr="00443BA2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" w:history="1">
        <w:r>
          <w:rPr>
            <w:rStyle w:val="Hyperlink"/>
          </w:rPr>
          <w:t>https://www.wipo.int/women-and-ip/ru/news/2021/news_0009.html</w:t>
        </w:r>
      </w:hyperlink>
      <w:r>
        <w:t xml:space="preserve"> </w:t>
      </w:r>
    </w:p>
  </w:footnote>
  <w:footnote w:id="30">
    <w:p w14:paraId="4FA668FB" w14:textId="77777777" w:rsidR="008D55B3" w:rsidRPr="00E62544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Веб-страница проекта: </w:t>
      </w:r>
      <w:hyperlink r:id="rId19" w:history="1">
        <w:r>
          <w:rPr>
            <w:rStyle w:val="Hyperlink"/>
          </w:rPr>
          <w:t>https://www.wipo.int/collective-marks/en/index.html</w:t>
        </w:r>
      </w:hyperlink>
      <w:r>
        <w:t xml:space="preserve"> </w:t>
      </w:r>
    </w:p>
  </w:footnote>
  <w:footnote w:id="31">
    <w:p w14:paraId="3E163B94" w14:textId="77777777" w:rsidR="008D55B3" w:rsidRPr="008E0A28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АОИС: Африканская организация интеллектуальной собственности; АРОИС: Африканская региональная организация интеллектуальной собственности.</w:t>
      </w:r>
    </w:p>
  </w:footnote>
  <w:footnote w:id="32">
    <w:p w14:paraId="75F860CC" w14:textId="77777777" w:rsidR="008D55B3" w:rsidRPr="00E66C5C" w:rsidRDefault="008D55B3" w:rsidP="008D55B3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proofErr w:type="spellStart"/>
      <w:r>
        <w:t>Ибероамериканская</w:t>
      </w:r>
      <w:proofErr w:type="spellEnd"/>
      <w:r>
        <w:t xml:space="preserve"> программа промышленной собственности (IBEPI), Организация </w:t>
      </w:r>
      <w:proofErr w:type="spellStart"/>
      <w:r>
        <w:t>восточнокарибских</w:t>
      </w:r>
      <w:proofErr w:type="spellEnd"/>
      <w:r>
        <w:t xml:space="preserve"> государств (ОВКГ), Карибское сообщество (КАРИКОМ), Андское сообщество наций (CAN), Межамериканская ассоциация интеллектуальной собственности (ASIPI), ведомства по промышленной собственности, входящие в Систему сотрудничества по вопросам оперативной информации и интеллектуальной собственности (PROSUR), Ведомство интеллектуальной собственности Европейского союза (ВИСЕС), Межамериканский банк развития (МБР) и Секретариат по вопросам экономической интеграции стран Центральной Америки (SIECA).</w:t>
      </w:r>
    </w:p>
  </w:footnote>
  <w:footnote w:id="33">
    <w:p w14:paraId="54A66F9D" w14:textId="77777777" w:rsidR="008D55B3" w:rsidRPr="00972637" w:rsidRDefault="008D55B3" w:rsidP="008D55B3">
      <w:pPr>
        <w:pStyle w:val="FootnoteText"/>
      </w:pPr>
      <w:r>
        <w:rPr>
          <w:rStyle w:val="FootnoteReference"/>
        </w:rPr>
        <w:footnoteRef/>
      </w:r>
      <w:r>
        <w:t xml:space="preserve"> Наука, техника, инженерные дисциплины и математика. </w:t>
      </w:r>
    </w:p>
  </w:footnote>
  <w:footnote w:id="34">
    <w:p w14:paraId="1014BD78" w14:textId="77777777" w:rsidR="005345D7" w:rsidRPr="002A68F3" w:rsidRDefault="00534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 w:history="1">
        <w:r>
          <w:rPr>
            <w:rStyle w:val="Hyperlink"/>
          </w:rPr>
          <w:t>https://www.wipo.int/publications/ru/details.jsp?id=4511</w:t>
        </w:r>
      </w:hyperlink>
      <w:r>
        <w:t xml:space="preserve"> </w:t>
      </w:r>
    </w:p>
  </w:footnote>
  <w:footnote w:id="35">
    <w:p w14:paraId="06B5597F" w14:textId="77777777" w:rsidR="005345D7" w:rsidRPr="002A68F3" w:rsidRDefault="00534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 w:history="1">
        <w:r>
          <w:rPr>
            <w:rStyle w:val="Hyperlink"/>
          </w:rPr>
          <w:t>https://www.wipo.int/policy/en/news/global_health/2021/news_0005.html</w:t>
        </w:r>
      </w:hyperlink>
      <w:r>
        <w:t xml:space="preserve"> </w:t>
      </w:r>
    </w:p>
  </w:footnote>
  <w:footnote w:id="36">
    <w:p w14:paraId="763719C0" w14:textId="77777777" w:rsidR="005345D7" w:rsidRPr="002A68F3" w:rsidRDefault="005345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 w:history="1">
        <w:r>
          <w:rPr>
            <w:rStyle w:val="Hyperlink"/>
          </w:rPr>
          <w:t>https://www.wipo.int/pressroom/ru/articles/2021/article_0006.html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476B" w14:textId="77777777" w:rsidR="007F3A92" w:rsidRDefault="007F3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207BC" w14:textId="77777777" w:rsidR="005345D7" w:rsidRPr="002326AB" w:rsidRDefault="005345D7" w:rsidP="00477D6B">
    <w:pPr>
      <w:jc w:val="right"/>
      <w:rPr>
        <w:caps/>
      </w:rPr>
    </w:pPr>
    <w:bookmarkStart w:id="6" w:name="Code2"/>
    <w:bookmarkEnd w:id="6"/>
    <w:r>
      <w:rPr>
        <w:caps/>
      </w:rPr>
      <w:t>CDIP/28/9</w:t>
    </w:r>
  </w:p>
  <w:p w14:paraId="34CFB7E0" w14:textId="6A1308A8" w:rsidR="005345D7" w:rsidRDefault="005345D7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D62F7">
      <w:rPr>
        <w:noProof/>
      </w:rPr>
      <w:t>21</w:t>
    </w:r>
    <w:r>
      <w:fldChar w:fldCharType="end"/>
    </w:r>
  </w:p>
  <w:p w14:paraId="1FCDDA87" w14:textId="77777777" w:rsidR="005345D7" w:rsidRDefault="005345D7" w:rsidP="00477D6B">
    <w:pPr>
      <w:jc w:val="right"/>
    </w:pPr>
  </w:p>
  <w:p w14:paraId="374531D4" w14:textId="77777777" w:rsidR="005345D7" w:rsidRDefault="005345D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68A8" w14:textId="77777777" w:rsidR="007F3A92" w:rsidRDefault="007F3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82DEE"/>
    <w:multiLevelType w:val="hybridMultilevel"/>
    <w:tmpl w:val="D408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24804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0026"/>
    <w:multiLevelType w:val="hybridMultilevel"/>
    <w:tmpl w:val="A2089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E24"/>
    <w:multiLevelType w:val="hybridMultilevel"/>
    <w:tmpl w:val="775A4A36"/>
    <w:lvl w:ilvl="0" w:tplc="B018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79C0947"/>
    <w:multiLevelType w:val="hybridMultilevel"/>
    <w:tmpl w:val="E36C63D0"/>
    <w:lvl w:ilvl="0" w:tplc="BA74A17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54C26"/>
    <w:multiLevelType w:val="hybridMultilevel"/>
    <w:tmpl w:val="88607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72316"/>
    <w:multiLevelType w:val="hybridMultilevel"/>
    <w:tmpl w:val="72F0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0320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5C103208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32327"/>
    <w:multiLevelType w:val="hybridMultilevel"/>
    <w:tmpl w:val="B12E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34CB6"/>
    <w:multiLevelType w:val="hybridMultilevel"/>
    <w:tmpl w:val="5F70A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1C1B"/>
    <w:multiLevelType w:val="hybridMultilevel"/>
    <w:tmpl w:val="DA160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16440C5"/>
    <w:multiLevelType w:val="hybridMultilevel"/>
    <w:tmpl w:val="060E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7F15"/>
    <w:multiLevelType w:val="hybridMultilevel"/>
    <w:tmpl w:val="A07C62CE"/>
    <w:lvl w:ilvl="0" w:tplc="F4E22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11F89"/>
    <w:multiLevelType w:val="hybridMultilevel"/>
    <w:tmpl w:val="112C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97A"/>
    <w:multiLevelType w:val="hybridMultilevel"/>
    <w:tmpl w:val="1A26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B0601"/>
    <w:multiLevelType w:val="hybridMultilevel"/>
    <w:tmpl w:val="2A7AE4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E5C92"/>
    <w:multiLevelType w:val="hybridMultilevel"/>
    <w:tmpl w:val="26ECB8CA"/>
    <w:lvl w:ilvl="0" w:tplc="B35C79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46DC1"/>
    <w:multiLevelType w:val="hybridMultilevel"/>
    <w:tmpl w:val="88607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45D28"/>
    <w:multiLevelType w:val="hybridMultilevel"/>
    <w:tmpl w:val="0C047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E1BB4"/>
    <w:multiLevelType w:val="hybridMultilevel"/>
    <w:tmpl w:val="5996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4C761B"/>
    <w:multiLevelType w:val="hybridMultilevel"/>
    <w:tmpl w:val="9564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93AFD"/>
    <w:multiLevelType w:val="hybridMultilevel"/>
    <w:tmpl w:val="B2F8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62702"/>
    <w:multiLevelType w:val="hybridMultilevel"/>
    <w:tmpl w:val="395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4D04"/>
    <w:multiLevelType w:val="hybridMultilevel"/>
    <w:tmpl w:val="BB46EAE2"/>
    <w:lvl w:ilvl="0" w:tplc="848EB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561CB"/>
    <w:multiLevelType w:val="multilevel"/>
    <w:tmpl w:val="DD9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E3FD7"/>
    <w:multiLevelType w:val="hybridMultilevel"/>
    <w:tmpl w:val="18DE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150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8E26EEB6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F2BEC"/>
    <w:multiLevelType w:val="hybridMultilevel"/>
    <w:tmpl w:val="0C047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62F9E"/>
    <w:multiLevelType w:val="hybridMultilevel"/>
    <w:tmpl w:val="18282748"/>
    <w:lvl w:ilvl="0" w:tplc="D2EC1F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6667D"/>
    <w:multiLevelType w:val="hybridMultilevel"/>
    <w:tmpl w:val="52CA7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55696"/>
    <w:multiLevelType w:val="singleLevel"/>
    <w:tmpl w:val="65284334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  <w:rPr>
        <w:rFonts w:hint="default"/>
        <w:sz w:val="20"/>
      </w:rPr>
    </w:lvl>
  </w:abstractNum>
  <w:abstractNum w:abstractNumId="34" w15:restartNumberingAfterBreak="0">
    <w:nsid w:val="7E874328"/>
    <w:multiLevelType w:val="hybridMultilevel"/>
    <w:tmpl w:val="409A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77345"/>
    <w:multiLevelType w:val="hybridMultilevel"/>
    <w:tmpl w:val="CC3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4"/>
  </w:num>
  <w:num w:numId="5">
    <w:abstractNumId w:val="4"/>
  </w:num>
  <w:num w:numId="6">
    <w:abstractNumId w:val="12"/>
  </w:num>
  <w:num w:numId="7">
    <w:abstractNumId w:val="18"/>
  </w:num>
  <w:num w:numId="8">
    <w:abstractNumId w:val="17"/>
  </w:num>
  <w:num w:numId="9">
    <w:abstractNumId w:val="31"/>
  </w:num>
  <w:num w:numId="10">
    <w:abstractNumId w:val="35"/>
  </w:num>
  <w:num w:numId="11">
    <w:abstractNumId w:val="23"/>
  </w:num>
  <w:num w:numId="12">
    <w:abstractNumId w:val="14"/>
  </w:num>
  <w:num w:numId="13">
    <w:abstractNumId w:val="33"/>
  </w:num>
  <w:num w:numId="14">
    <w:abstractNumId w:val="1"/>
  </w:num>
  <w:num w:numId="15">
    <w:abstractNumId w:val="8"/>
  </w:num>
  <w:num w:numId="16">
    <w:abstractNumId w:val="26"/>
  </w:num>
  <w:num w:numId="17">
    <w:abstractNumId w:val="19"/>
  </w:num>
  <w:num w:numId="18">
    <w:abstractNumId w:val="27"/>
  </w:num>
  <w:num w:numId="19">
    <w:abstractNumId w:val="3"/>
  </w:num>
  <w:num w:numId="20">
    <w:abstractNumId w:val="29"/>
  </w:num>
  <w:num w:numId="21">
    <w:abstractNumId w:val="21"/>
  </w:num>
  <w:num w:numId="22">
    <w:abstractNumId w:val="13"/>
  </w:num>
  <w:num w:numId="23">
    <w:abstractNumId w:val="32"/>
  </w:num>
  <w:num w:numId="24">
    <w:abstractNumId w:val="25"/>
  </w:num>
  <w:num w:numId="25">
    <w:abstractNumId w:val="15"/>
  </w:num>
  <w:num w:numId="26">
    <w:abstractNumId w:val="28"/>
  </w:num>
  <w:num w:numId="27">
    <w:abstractNumId w:val="11"/>
  </w:num>
  <w:num w:numId="28">
    <w:abstractNumId w:val="2"/>
  </w:num>
  <w:num w:numId="29">
    <w:abstractNumId w:val="10"/>
  </w:num>
  <w:num w:numId="30">
    <w:abstractNumId w:val="16"/>
  </w:num>
  <w:num w:numId="31">
    <w:abstractNumId w:val="6"/>
  </w:num>
  <w:num w:numId="32">
    <w:abstractNumId w:val="20"/>
  </w:num>
  <w:num w:numId="33">
    <w:abstractNumId w:val="30"/>
  </w:num>
  <w:num w:numId="34">
    <w:abstractNumId w:val="7"/>
  </w:num>
  <w:num w:numId="35">
    <w:abstractNumId w:val="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7D"/>
    <w:rsid w:val="0000462E"/>
    <w:rsid w:val="000122B7"/>
    <w:rsid w:val="00015115"/>
    <w:rsid w:val="00016CB7"/>
    <w:rsid w:val="00035371"/>
    <w:rsid w:val="000372B0"/>
    <w:rsid w:val="00043CAA"/>
    <w:rsid w:val="00044A24"/>
    <w:rsid w:val="00045F0D"/>
    <w:rsid w:val="000468C7"/>
    <w:rsid w:val="00056816"/>
    <w:rsid w:val="00057EFE"/>
    <w:rsid w:val="0006759E"/>
    <w:rsid w:val="00071360"/>
    <w:rsid w:val="00075432"/>
    <w:rsid w:val="00093C80"/>
    <w:rsid w:val="00095463"/>
    <w:rsid w:val="000968ED"/>
    <w:rsid w:val="000A3D97"/>
    <w:rsid w:val="000C3C45"/>
    <w:rsid w:val="000D18E3"/>
    <w:rsid w:val="000D2BC2"/>
    <w:rsid w:val="000D361F"/>
    <w:rsid w:val="000D4543"/>
    <w:rsid w:val="000D47DB"/>
    <w:rsid w:val="000D5B7E"/>
    <w:rsid w:val="000D77B0"/>
    <w:rsid w:val="000E316B"/>
    <w:rsid w:val="000E6310"/>
    <w:rsid w:val="000E6605"/>
    <w:rsid w:val="000F0D6D"/>
    <w:rsid w:val="000F2B39"/>
    <w:rsid w:val="000F552E"/>
    <w:rsid w:val="000F5DE2"/>
    <w:rsid w:val="000F5E56"/>
    <w:rsid w:val="00103A22"/>
    <w:rsid w:val="001055F2"/>
    <w:rsid w:val="00105712"/>
    <w:rsid w:val="00110552"/>
    <w:rsid w:val="00112E33"/>
    <w:rsid w:val="00113FBB"/>
    <w:rsid w:val="00114151"/>
    <w:rsid w:val="001239EB"/>
    <w:rsid w:val="00126D52"/>
    <w:rsid w:val="00131F67"/>
    <w:rsid w:val="001327A2"/>
    <w:rsid w:val="0013292C"/>
    <w:rsid w:val="00135C56"/>
    <w:rsid w:val="001362EE"/>
    <w:rsid w:val="0013635E"/>
    <w:rsid w:val="00141997"/>
    <w:rsid w:val="00142AD6"/>
    <w:rsid w:val="001430A8"/>
    <w:rsid w:val="00150BAD"/>
    <w:rsid w:val="00154DF4"/>
    <w:rsid w:val="00156897"/>
    <w:rsid w:val="00163915"/>
    <w:rsid w:val="001647D5"/>
    <w:rsid w:val="001649F0"/>
    <w:rsid w:val="00180082"/>
    <w:rsid w:val="001808F3"/>
    <w:rsid w:val="00182EC6"/>
    <w:rsid w:val="001832A6"/>
    <w:rsid w:val="001851EF"/>
    <w:rsid w:val="001874CC"/>
    <w:rsid w:val="00190A79"/>
    <w:rsid w:val="001957AC"/>
    <w:rsid w:val="001A0B81"/>
    <w:rsid w:val="001A0C73"/>
    <w:rsid w:val="001A56DF"/>
    <w:rsid w:val="001A7D43"/>
    <w:rsid w:val="001B1E49"/>
    <w:rsid w:val="001B52D6"/>
    <w:rsid w:val="001C0242"/>
    <w:rsid w:val="001C31D5"/>
    <w:rsid w:val="001C6B09"/>
    <w:rsid w:val="001D11D6"/>
    <w:rsid w:val="001D4107"/>
    <w:rsid w:val="001E0B21"/>
    <w:rsid w:val="001E1E5F"/>
    <w:rsid w:val="001E69BC"/>
    <w:rsid w:val="001F12BA"/>
    <w:rsid w:val="001F5900"/>
    <w:rsid w:val="00203764"/>
    <w:rsid w:val="00203D24"/>
    <w:rsid w:val="002076D7"/>
    <w:rsid w:val="0021072A"/>
    <w:rsid w:val="0021217E"/>
    <w:rsid w:val="00214424"/>
    <w:rsid w:val="00217369"/>
    <w:rsid w:val="002229BF"/>
    <w:rsid w:val="00224BC6"/>
    <w:rsid w:val="00224E1A"/>
    <w:rsid w:val="00225B6E"/>
    <w:rsid w:val="00227390"/>
    <w:rsid w:val="00231AC5"/>
    <w:rsid w:val="002326AB"/>
    <w:rsid w:val="00233AEB"/>
    <w:rsid w:val="00240524"/>
    <w:rsid w:val="0024289D"/>
    <w:rsid w:val="002432B6"/>
    <w:rsid w:val="00243430"/>
    <w:rsid w:val="002457E1"/>
    <w:rsid w:val="00245EFB"/>
    <w:rsid w:val="00254066"/>
    <w:rsid w:val="00256C11"/>
    <w:rsid w:val="002621C9"/>
    <w:rsid w:val="002634C4"/>
    <w:rsid w:val="00267096"/>
    <w:rsid w:val="00270E0D"/>
    <w:rsid w:val="00274929"/>
    <w:rsid w:val="002756E9"/>
    <w:rsid w:val="00275B83"/>
    <w:rsid w:val="00280EEC"/>
    <w:rsid w:val="00282F50"/>
    <w:rsid w:val="00286A77"/>
    <w:rsid w:val="00287146"/>
    <w:rsid w:val="0028759E"/>
    <w:rsid w:val="002928D3"/>
    <w:rsid w:val="00293461"/>
    <w:rsid w:val="0029495D"/>
    <w:rsid w:val="00296FD6"/>
    <w:rsid w:val="002970E8"/>
    <w:rsid w:val="002A1897"/>
    <w:rsid w:val="002A68F3"/>
    <w:rsid w:val="002B05A6"/>
    <w:rsid w:val="002B0986"/>
    <w:rsid w:val="002B2C03"/>
    <w:rsid w:val="002B4655"/>
    <w:rsid w:val="002B4D6D"/>
    <w:rsid w:val="002C1762"/>
    <w:rsid w:val="002C194C"/>
    <w:rsid w:val="002C22B0"/>
    <w:rsid w:val="002C3F24"/>
    <w:rsid w:val="002C6875"/>
    <w:rsid w:val="002D0EB4"/>
    <w:rsid w:val="002D33C1"/>
    <w:rsid w:val="002D7A37"/>
    <w:rsid w:val="002E390D"/>
    <w:rsid w:val="002E5503"/>
    <w:rsid w:val="002F1FE6"/>
    <w:rsid w:val="002F2375"/>
    <w:rsid w:val="002F2FD0"/>
    <w:rsid w:val="002F4E68"/>
    <w:rsid w:val="002F4EB7"/>
    <w:rsid w:val="00302DE8"/>
    <w:rsid w:val="00303CD8"/>
    <w:rsid w:val="003057A4"/>
    <w:rsid w:val="00312134"/>
    <w:rsid w:val="00312F7F"/>
    <w:rsid w:val="00322F93"/>
    <w:rsid w:val="00325081"/>
    <w:rsid w:val="00326668"/>
    <w:rsid w:val="00331428"/>
    <w:rsid w:val="003335DB"/>
    <w:rsid w:val="00337304"/>
    <w:rsid w:val="00337F77"/>
    <w:rsid w:val="00361450"/>
    <w:rsid w:val="00363678"/>
    <w:rsid w:val="003673CF"/>
    <w:rsid w:val="00371453"/>
    <w:rsid w:val="00381265"/>
    <w:rsid w:val="003845C1"/>
    <w:rsid w:val="00385B47"/>
    <w:rsid w:val="003A4D96"/>
    <w:rsid w:val="003A6F89"/>
    <w:rsid w:val="003B38C1"/>
    <w:rsid w:val="003C3285"/>
    <w:rsid w:val="003C34E9"/>
    <w:rsid w:val="003C3522"/>
    <w:rsid w:val="003D18B4"/>
    <w:rsid w:val="003D3C37"/>
    <w:rsid w:val="003D54B4"/>
    <w:rsid w:val="003D57A1"/>
    <w:rsid w:val="003E1739"/>
    <w:rsid w:val="003E1B5C"/>
    <w:rsid w:val="003E4F98"/>
    <w:rsid w:val="003E57AB"/>
    <w:rsid w:val="003E6FA9"/>
    <w:rsid w:val="003E7447"/>
    <w:rsid w:val="003E7D57"/>
    <w:rsid w:val="003F19C0"/>
    <w:rsid w:val="003F55C9"/>
    <w:rsid w:val="00402B92"/>
    <w:rsid w:val="00403257"/>
    <w:rsid w:val="004044E6"/>
    <w:rsid w:val="00404513"/>
    <w:rsid w:val="00405FF2"/>
    <w:rsid w:val="00414364"/>
    <w:rsid w:val="00420666"/>
    <w:rsid w:val="00420A1D"/>
    <w:rsid w:val="00420FDC"/>
    <w:rsid w:val="00422C2B"/>
    <w:rsid w:val="00423E3E"/>
    <w:rsid w:val="00425393"/>
    <w:rsid w:val="00426C13"/>
    <w:rsid w:val="00427AF4"/>
    <w:rsid w:val="00427C44"/>
    <w:rsid w:val="0043005F"/>
    <w:rsid w:val="0043363F"/>
    <w:rsid w:val="00433F5E"/>
    <w:rsid w:val="00435879"/>
    <w:rsid w:val="004367F1"/>
    <w:rsid w:val="004429BF"/>
    <w:rsid w:val="00443082"/>
    <w:rsid w:val="00443BA2"/>
    <w:rsid w:val="00446147"/>
    <w:rsid w:val="00447672"/>
    <w:rsid w:val="00447F78"/>
    <w:rsid w:val="00453DA5"/>
    <w:rsid w:val="004557AD"/>
    <w:rsid w:val="00455FE6"/>
    <w:rsid w:val="00460324"/>
    <w:rsid w:val="004647DA"/>
    <w:rsid w:val="00465D00"/>
    <w:rsid w:val="00465E22"/>
    <w:rsid w:val="00466D15"/>
    <w:rsid w:val="00467577"/>
    <w:rsid w:val="0047267C"/>
    <w:rsid w:val="00474062"/>
    <w:rsid w:val="004744FE"/>
    <w:rsid w:val="004759B2"/>
    <w:rsid w:val="00476CF8"/>
    <w:rsid w:val="00477D6B"/>
    <w:rsid w:val="004808D2"/>
    <w:rsid w:val="00483898"/>
    <w:rsid w:val="00490A15"/>
    <w:rsid w:val="00490A81"/>
    <w:rsid w:val="004930BE"/>
    <w:rsid w:val="00493931"/>
    <w:rsid w:val="00493C24"/>
    <w:rsid w:val="00496260"/>
    <w:rsid w:val="0049634C"/>
    <w:rsid w:val="0049773A"/>
    <w:rsid w:val="004A29A3"/>
    <w:rsid w:val="004A660C"/>
    <w:rsid w:val="004B578F"/>
    <w:rsid w:val="004C0A01"/>
    <w:rsid w:val="004C0BA6"/>
    <w:rsid w:val="004C45F7"/>
    <w:rsid w:val="004D64A3"/>
    <w:rsid w:val="004D6C69"/>
    <w:rsid w:val="004E661B"/>
    <w:rsid w:val="004E7AC8"/>
    <w:rsid w:val="004F0AE4"/>
    <w:rsid w:val="004F570E"/>
    <w:rsid w:val="004F5761"/>
    <w:rsid w:val="004F695D"/>
    <w:rsid w:val="005019FF"/>
    <w:rsid w:val="00504227"/>
    <w:rsid w:val="00505197"/>
    <w:rsid w:val="00510C5B"/>
    <w:rsid w:val="005155C6"/>
    <w:rsid w:val="00527495"/>
    <w:rsid w:val="00530459"/>
    <w:rsid w:val="0053057A"/>
    <w:rsid w:val="00531B61"/>
    <w:rsid w:val="00531F70"/>
    <w:rsid w:val="00532B6D"/>
    <w:rsid w:val="005334C3"/>
    <w:rsid w:val="005345D7"/>
    <w:rsid w:val="005349DF"/>
    <w:rsid w:val="005425DB"/>
    <w:rsid w:val="0054334E"/>
    <w:rsid w:val="00546E13"/>
    <w:rsid w:val="005504CF"/>
    <w:rsid w:val="00556076"/>
    <w:rsid w:val="00560A29"/>
    <w:rsid w:val="00563620"/>
    <w:rsid w:val="00563F65"/>
    <w:rsid w:val="005659A5"/>
    <w:rsid w:val="005728BF"/>
    <w:rsid w:val="00572927"/>
    <w:rsid w:val="0057583F"/>
    <w:rsid w:val="0059773E"/>
    <w:rsid w:val="005A20AD"/>
    <w:rsid w:val="005A296B"/>
    <w:rsid w:val="005A2AD0"/>
    <w:rsid w:val="005B027D"/>
    <w:rsid w:val="005B121C"/>
    <w:rsid w:val="005B2A6F"/>
    <w:rsid w:val="005B3F35"/>
    <w:rsid w:val="005B5A5D"/>
    <w:rsid w:val="005B650D"/>
    <w:rsid w:val="005C635F"/>
    <w:rsid w:val="005C6649"/>
    <w:rsid w:val="005C70F8"/>
    <w:rsid w:val="005D05CD"/>
    <w:rsid w:val="005D7857"/>
    <w:rsid w:val="005E17BE"/>
    <w:rsid w:val="005E7940"/>
    <w:rsid w:val="005F0AE1"/>
    <w:rsid w:val="005F3D89"/>
    <w:rsid w:val="005F4218"/>
    <w:rsid w:val="005F4BAE"/>
    <w:rsid w:val="006055D6"/>
    <w:rsid w:val="00605827"/>
    <w:rsid w:val="00606511"/>
    <w:rsid w:val="00606CE8"/>
    <w:rsid w:val="006134B4"/>
    <w:rsid w:val="006153D1"/>
    <w:rsid w:val="0062003E"/>
    <w:rsid w:val="006227E0"/>
    <w:rsid w:val="006250A6"/>
    <w:rsid w:val="0062642A"/>
    <w:rsid w:val="00632827"/>
    <w:rsid w:val="00641827"/>
    <w:rsid w:val="006429C4"/>
    <w:rsid w:val="006430CE"/>
    <w:rsid w:val="00646050"/>
    <w:rsid w:val="00650A0D"/>
    <w:rsid w:val="00662487"/>
    <w:rsid w:val="00662FF6"/>
    <w:rsid w:val="006638E9"/>
    <w:rsid w:val="00663D4B"/>
    <w:rsid w:val="00665E96"/>
    <w:rsid w:val="006713CA"/>
    <w:rsid w:val="00672E78"/>
    <w:rsid w:val="00676888"/>
    <w:rsid w:val="006768CF"/>
    <w:rsid w:val="00676C5C"/>
    <w:rsid w:val="006779AA"/>
    <w:rsid w:val="006800A9"/>
    <w:rsid w:val="00680CC6"/>
    <w:rsid w:val="006842DF"/>
    <w:rsid w:val="00687242"/>
    <w:rsid w:val="00697E6B"/>
    <w:rsid w:val="006A0A65"/>
    <w:rsid w:val="006A245A"/>
    <w:rsid w:val="006A4A12"/>
    <w:rsid w:val="006A7B59"/>
    <w:rsid w:val="006B106D"/>
    <w:rsid w:val="006B21FB"/>
    <w:rsid w:val="006C003E"/>
    <w:rsid w:val="006C5707"/>
    <w:rsid w:val="006C5849"/>
    <w:rsid w:val="006C6211"/>
    <w:rsid w:val="006C79D2"/>
    <w:rsid w:val="006C7B6D"/>
    <w:rsid w:val="006C7E0C"/>
    <w:rsid w:val="006C7EB1"/>
    <w:rsid w:val="006E0361"/>
    <w:rsid w:val="006E21FE"/>
    <w:rsid w:val="006E579A"/>
    <w:rsid w:val="006F7EDB"/>
    <w:rsid w:val="00701F41"/>
    <w:rsid w:val="00702B61"/>
    <w:rsid w:val="007062C0"/>
    <w:rsid w:val="007067E9"/>
    <w:rsid w:val="0070710D"/>
    <w:rsid w:val="00711423"/>
    <w:rsid w:val="00712272"/>
    <w:rsid w:val="007138AA"/>
    <w:rsid w:val="00720606"/>
    <w:rsid w:val="00720EFD"/>
    <w:rsid w:val="0072130A"/>
    <w:rsid w:val="00723C6B"/>
    <w:rsid w:val="007255B9"/>
    <w:rsid w:val="00725A0D"/>
    <w:rsid w:val="00726CE6"/>
    <w:rsid w:val="007307E0"/>
    <w:rsid w:val="0073333E"/>
    <w:rsid w:val="007426E3"/>
    <w:rsid w:val="00743197"/>
    <w:rsid w:val="0074501B"/>
    <w:rsid w:val="00745FD9"/>
    <w:rsid w:val="00746E8F"/>
    <w:rsid w:val="00752D56"/>
    <w:rsid w:val="00762237"/>
    <w:rsid w:val="00770B84"/>
    <w:rsid w:val="00777F06"/>
    <w:rsid w:val="00783342"/>
    <w:rsid w:val="007854AF"/>
    <w:rsid w:val="00793A09"/>
    <w:rsid w:val="00793A7C"/>
    <w:rsid w:val="00793CE5"/>
    <w:rsid w:val="007A0AD7"/>
    <w:rsid w:val="007A360C"/>
    <w:rsid w:val="007A398A"/>
    <w:rsid w:val="007A428B"/>
    <w:rsid w:val="007A51D1"/>
    <w:rsid w:val="007B000D"/>
    <w:rsid w:val="007B0613"/>
    <w:rsid w:val="007B1078"/>
    <w:rsid w:val="007B204B"/>
    <w:rsid w:val="007B63F7"/>
    <w:rsid w:val="007C6423"/>
    <w:rsid w:val="007D00C5"/>
    <w:rsid w:val="007D1613"/>
    <w:rsid w:val="007D1F15"/>
    <w:rsid w:val="007D4847"/>
    <w:rsid w:val="007D5D6B"/>
    <w:rsid w:val="007D67CC"/>
    <w:rsid w:val="007E0E39"/>
    <w:rsid w:val="007E4C0E"/>
    <w:rsid w:val="007E586A"/>
    <w:rsid w:val="007F3A92"/>
    <w:rsid w:val="007F7E31"/>
    <w:rsid w:val="00801B2C"/>
    <w:rsid w:val="00806DB2"/>
    <w:rsid w:val="00807F4E"/>
    <w:rsid w:val="00810275"/>
    <w:rsid w:val="00811CA4"/>
    <w:rsid w:val="0081205B"/>
    <w:rsid w:val="00817C78"/>
    <w:rsid w:val="00820A21"/>
    <w:rsid w:val="00823A84"/>
    <w:rsid w:val="00823EA9"/>
    <w:rsid w:val="00832B1A"/>
    <w:rsid w:val="008353EB"/>
    <w:rsid w:val="00836507"/>
    <w:rsid w:val="00841F69"/>
    <w:rsid w:val="00845527"/>
    <w:rsid w:val="00851DF0"/>
    <w:rsid w:val="0085443B"/>
    <w:rsid w:val="00855D5C"/>
    <w:rsid w:val="00860853"/>
    <w:rsid w:val="00860B4A"/>
    <w:rsid w:val="008616A8"/>
    <w:rsid w:val="00863499"/>
    <w:rsid w:val="00864746"/>
    <w:rsid w:val="0088550E"/>
    <w:rsid w:val="0088618C"/>
    <w:rsid w:val="00887D7A"/>
    <w:rsid w:val="00890A2B"/>
    <w:rsid w:val="00891913"/>
    <w:rsid w:val="008A0804"/>
    <w:rsid w:val="008A134B"/>
    <w:rsid w:val="008A256D"/>
    <w:rsid w:val="008A3EDF"/>
    <w:rsid w:val="008B2C1B"/>
    <w:rsid w:val="008B2CC1"/>
    <w:rsid w:val="008B5A1B"/>
    <w:rsid w:val="008B60B2"/>
    <w:rsid w:val="008C0E17"/>
    <w:rsid w:val="008C134E"/>
    <w:rsid w:val="008C228A"/>
    <w:rsid w:val="008C288C"/>
    <w:rsid w:val="008C3559"/>
    <w:rsid w:val="008D0A81"/>
    <w:rsid w:val="008D0BD7"/>
    <w:rsid w:val="008D55B3"/>
    <w:rsid w:val="008E0A28"/>
    <w:rsid w:val="008F1D5F"/>
    <w:rsid w:val="008F377A"/>
    <w:rsid w:val="00901950"/>
    <w:rsid w:val="0090731E"/>
    <w:rsid w:val="009076E4"/>
    <w:rsid w:val="009166D3"/>
    <w:rsid w:val="00916EE2"/>
    <w:rsid w:val="00923CD1"/>
    <w:rsid w:val="00925356"/>
    <w:rsid w:val="00926F06"/>
    <w:rsid w:val="00932539"/>
    <w:rsid w:val="00935EA3"/>
    <w:rsid w:val="009366A8"/>
    <w:rsid w:val="00943EF1"/>
    <w:rsid w:val="00947AD8"/>
    <w:rsid w:val="009535E5"/>
    <w:rsid w:val="00954F2C"/>
    <w:rsid w:val="009655EC"/>
    <w:rsid w:val="00966A22"/>
    <w:rsid w:val="00966BC9"/>
    <w:rsid w:val="0096722F"/>
    <w:rsid w:val="0097017F"/>
    <w:rsid w:val="00972637"/>
    <w:rsid w:val="00980843"/>
    <w:rsid w:val="009821D0"/>
    <w:rsid w:val="00982B3A"/>
    <w:rsid w:val="00987643"/>
    <w:rsid w:val="00996689"/>
    <w:rsid w:val="00997709"/>
    <w:rsid w:val="009A128B"/>
    <w:rsid w:val="009A221B"/>
    <w:rsid w:val="009A401D"/>
    <w:rsid w:val="009A58C0"/>
    <w:rsid w:val="009B5A3A"/>
    <w:rsid w:val="009D44E5"/>
    <w:rsid w:val="009D504C"/>
    <w:rsid w:val="009D6F0E"/>
    <w:rsid w:val="009E0B2C"/>
    <w:rsid w:val="009E0EE7"/>
    <w:rsid w:val="009E2791"/>
    <w:rsid w:val="009E3440"/>
    <w:rsid w:val="009E3601"/>
    <w:rsid w:val="009E3F6F"/>
    <w:rsid w:val="009F015F"/>
    <w:rsid w:val="009F499F"/>
    <w:rsid w:val="009F6F99"/>
    <w:rsid w:val="00A02D68"/>
    <w:rsid w:val="00A05BD7"/>
    <w:rsid w:val="00A11E39"/>
    <w:rsid w:val="00A12D5E"/>
    <w:rsid w:val="00A13D94"/>
    <w:rsid w:val="00A14F54"/>
    <w:rsid w:val="00A17808"/>
    <w:rsid w:val="00A22096"/>
    <w:rsid w:val="00A22736"/>
    <w:rsid w:val="00A24D30"/>
    <w:rsid w:val="00A254E7"/>
    <w:rsid w:val="00A265EB"/>
    <w:rsid w:val="00A26DFC"/>
    <w:rsid w:val="00A30A45"/>
    <w:rsid w:val="00A34264"/>
    <w:rsid w:val="00A37342"/>
    <w:rsid w:val="00A3768C"/>
    <w:rsid w:val="00A42DAF"/>
    <w:rsid w:val="00A435BE"/>
    <w:rsid w:val="00A45BD8"/>
    <w:rsid w:val="00A50941"/>
    <w:rsid w:val="00A52279"/>
    <w:rsid w:val="00A55AA8"/>
    <w:rsid w:val="00A572C9"/>
    <w:rsid w:val="00A603EC"/>
    <w:rsid w:val="00A6427B"/>
    <w:rsid w:val="00A654D0"/>
    <w:rsid w:val="00A70DFC"/>
    <w:rsid w:val="00A74783"/>
    <w:rsid w:val="00A74849"/>
    <w:rsid w:val="00A82663"/>
    <w:rsid w:val="00A869B7"/>
    <w:rsid w:val="00A90883"/>
    <w:rsid w:val="00A91324"/>
    <w:rsid w:val="00AA291D"/>
    <w:rsid w:val="00AA41F0"/>
    <w:rsid w:val="00AA6523"/>
    <w:rsid w:val="00AB2E58"/>
    <w:rsid w:val="00AC205C"/>
    <w:rsid w:val="00AC2F7B"/>
    <w:rsid w:val="00AC4309"/>
    <w:rsid w:val="00AC505F"/>
    <w:rsid w:val="00AD0D3A"/>
    <w:rsid w:val="00AD2F81"/>
    <w:rsid w:val="00AD504B"/>
    <w:rsid w:val="00AD62F7"/>
    <w:rsid w:val="00AE299A"/>
    <w:rsid w:val="00AF0A6B"/>
    <w:rsid w:val="00AF0F85"/>
    <w:rsid w:val="00AF3080"/>
    <w:rsid w:val="00AF30D5"/>
    <w:rsid w:val="00AF397B"/>
    <w:rsid w:val="00B01DD4"/>
    <w:rsid w:val="00B0472E"/>
    <w:rsid w:val="00B05A69"/>
    <w:rsid w:val="00B07093"/>
    <w:rsid w:val="00B14B3F"/>
    <w:rsid w:val="00B14F05"/>
    <w:rsid w:val="00B16690"/>
    <w:rsid w:val="00B208F6"/>
    <w:rsid w:val="00B22237"/>
    <w:rsid w:val="00B24323"/>
    <w:rsid w:val="00B265F7"/>
    <w:rsid w:val="00B378A0"/>
    <w:rsid w:val="00B4029C"/>
    <w:rsid w:val="00B51635"/>
    <w:rsid w:val="00B55AF7"/>
    <w:rsid w:val="00B55F54"/>
    <w:rsid w:val="00B609DC"/>
    <w:rsid w:val="00B6297E"/>
    <w:rsid w:val="00B63BF1"/>
    <w:rsid w:val="00B73236"/>
    <w:rsid w:val="00B7420E"/>
    <w:rsid w:val="00B75281"/>
    <w:rsid w:val="00B82A7D"/>
    <w:rsid w:val="00B91978"/>
    <w:rsid w:val="00B92F1F"/>
    <w:rsid w:val="00B941C8"/>
    <w:rsid w:val="00B9734B"/>
    <w:rsid w:val="00BA30E2"/>
    <w:rsid w:val="00BA3518"/>
    <w:rsid w:val="00BA35EA"/>
    <w:rsid w:val="00BB0AE2"/>
    <w:rsid w:val="00BB31CF"/>
    <w:rsid w:val="00BB5D9C"/>
    <w:rsid w:val="00BB6705"/>
    <w:rsid w:val="00BC5A29"/>
    <w:rsid w:val="00BD3CEA"/>
    <w:rsid w:val="00BD4699"/>
    <w:rsid w:val="00BE0536"/>
    <w:rsid w:val="00BE0768"/>
    <w:rsid w:val="00BE10EE"/>
    <w:rsid w:val="00BE11BD"/>
    <w:rsid w:val="00BE6C11"/>
    <w:rsid w:val="00BF014E"/>
    <w:rsid w:val="00BF0C2D"/>
    <w:rsid w:val="00BF38B5"/>
    <w:rsid w:val="00BF3BDA"/>
    <w:rsid w:val="00BF407B"/>
    <w:rsid w:val="00BF5C31"/>
    <w:rsid w:val="00C0648E"/>
    <w:rsid w:val="00C108A3"/>
    <w:rsid w:val="00C10E54"/>
    <w:rsid w:val="00C11BFE"/>
    <w:rsid w:val="00C128E1"/>
    <w:rsid w:val="00C216F9"/>
    <w:rsid w:val="00C35325"/>
    <w:rsid w:val="00C3612B"/>
    <w:rsid w:val="00C42192"/>
    <w:rsid w:val="00C44B2A"/>
    <w:rsid w:val="00C5068F"/>
    <w:rsid w:val="00C50EFD"/>
    <w:rsid w:val="00C550CD"/>
    <w:rsid w:val="00C62D6C"/>
    <w:rsid w:val="00C655FB"/>
    <w:rsid w:val="00C6737F"/>
    <w:rsid w:val="00C73F6E"/>
    <w:rsid w:val="00C74F74"/>
    <w:rsid w:val="00C82308"/>
    <w:rsid w:val="00C84858"/>
    <w:rsid w:val="00C853F5"/>
    <w:rsid w:val="00C86D74"/>
    <w:rsid w:val="00C87273"/>
    <w:rsid w:val="00C91C01"/>
    <w:rsid w:val="00C95334"/>
    <w:rsid w:val="00C954F4"/>
    <w:rsid w:val="00CA7004"/>
    <w:rsid w:val="00CA7948"/>
    <w:rsid w:val="00CC0236"/>
    <w:rsid w:val="00CC0E8A"/>
    <w:rsid w:val="00CC1B49"/>
    <w:rsid w:val="00CC3386"/>
    <w:rsid w:val="00CC345E"/>
    <w:rsid w:val="00CD03A6"/>
    <w:rsid w:val="00CD04F1"/>
    <w:rsid w:val="00CD646F"/>
    <w:rsid w:val="00CE1A67"/>
    <w:rsid w:val="00CE3B9C"/>
    <w:rsid w:val="00CF1935"/>
    <w:rsid w:val="00CF1B49"/>
    <w:rsid w:val="00CF459D"/>
    <w:rsid w:val="00CF681A"/>
    <w:rsid w:val="00CF7409"/>
    <w:rsid w:val="00D01E88"/>
    <w:rsid w:val="00D02CC7"/>
    <w:rsid w:val="00D07C78"/>
    <w:rsid w:val="00D10852"/>
    <w:rsid w:val="00D11E61"/>
    <w:rsid w:val="00D1339B"/>
    <w:rsid w:val="00D13CE8"/>
    <w:rsid w:val="00D15466"/>
    <w:rsid w:val="00D16034"/>
    <w:rsid w:val="00D209F5"/>
    <w:rsid w:val="00D4016A"/>
    <w:rsid w:val="00D43924"/>
    <w:rsid w:val="00D43E8C"/>
    <w:rsid w:val="00D44750"/>
    <w:rsid w:val="00D45252"/>
    <w:rsid w:val="00D46484"/>
    <w:rsid w:val="00D46812"/>
    <w:rsid w:val="00D63779"/>
    <w:rsid w:val="00D70552"/>
    <w:rsid w:val="00D716AB"/>
    <w:rsid w:val="00D71B4D"/>
    <w:rsid w:val="00D7272B"/>
    <w:rsid w:val="00D73214"/>
    <w:rsid w:val="00D74578"/>
    <w:rsid w:val="00D768C5"/>
    <w:rsid w:val="00D776F3"/>
    <w:rsid w:val="00D83A16"/>
    <w:rsid w:val="00D875B3"/>
    <w:rsid w:val="00D93D55"/>
    <w:rsid w:val="00D9499C"/>
    <w:rsid w:val="00D949BF"/>
    <w:rsid w:val="00D97138"/>
    <w:rsid w:val="00DA34E1"/>
    <w:rsid w:val="00DA6D05"/>
    <w:rsid w:val="00DB1496"/>
    <w:rsid w:val="00DB1909"/>
    <w:rsid w:val="00DB29C8"/>
    <w:rsid w:val="00DB6A9F"/>
    <w:rsid w:val="00DB70A3"/>
    <w:rsid w:val="00DB7E84"/>
    <w:rsid w:val="00DC1F6B"/>
    <w:rsid w:val="00DC65C6"/>
    <w:rsid w:val="00DD08C3"/>
    <w:rsid w:val="00DD1564"/>
    <w:rsid w:val="00DD432A"/>
    <w:rsid w:val="00DD7B7F"/>
    <w:rsid w:val="00DE2022"/>
    <w:rsid w:val="00DF21F0"/>
    <w:rsid w:val="00DF2448"/>
    <w:rsid w:val="00DF4018"/>
    <w:rsid w:val="00DF6CC6"/>
    <w:rsid w:val="00E112FC"/>
    <w:rsid w:val="00E141B1"/>
    <w:rsid w:val="00E143D4"/>
    <w:rsid w:val="00E15015"/>
    <w:rsid w:val="00E20200"/>
    <w:rsid w:val="00E22528"/>
    <w:rsid w:val="00E24F0C"/>
    <w:rsid w:val="00E2789F"/>
    <w:rsid w:val="00E32AA0"/>
    <w:rsid w:val="00E335FE"/>
    <w:rsid w:val="00E354D9"/>
    <w:rsid w:val="00E401EA"/>
    <w:rsid w:val="00E41B2A"/>
    <w:rsid w:val="00E43731"/>
    <w:rsid w:val="00E4546A"/>
    <w:rsid w:val="00E51B2D"/>
    <w:rsid w:val="00E54168"/>
    <w:rsid w:val="00E553BB"/>
    <w:rsid w:val="00E62544"/>
    <w:rsid w:val="00E7027A"/>
    <w:rsid w:val="00E74FAA"/>
    <w:rsid w:val="00E7553A"/>
    <w:rsid w:val="00E83099"/>
    <w:rsid w:val="00E860C1"/>
    <w:rsid w:val="00E900BA"/>
    <w:rsid w:val="00E93A46"/>
    <w:rsid w:val="00EA2427"/>
    <w:rsid w:val="00EA31EA"/>
    <w:rsid w:val="00EA5911"/>
    <w:rsid w:val="00EA7D6E"/>
    <w:rsid w:val="00EB2F76"/>
    <w:rsid w:val="00EB34F5"/>
    <w:rsid w:val="00EC1CBC"/>
    <w:rsid w:val="00EC4B60"/>
    <w:rsid w:val="00EC4E49"/>
    <w:rsid w:val="00EC66C5"/>
    <w:rsid w:val="00ED21A5"/>
    <w:rsid w:val="00ED77FB"/>
    <w:rsid w:val="00EE1576"/>
    <w:rsid w:val="00EE1C89"/>
    <w:rsid w:val="00EE45FA"/>
    <w:rsid w:val="00EE76B0"/>
    <w:rsid w:val="00F0023C"/>
    <w:rsid w:val="00F02D3B"/>
    <w:rsid w:val="00F043DE"/>
    <w:rsid w:val="00F07FCC"/>
    <w:rsid w:val="00F1156F"/>
    <w:rsid w:val="00F1661D"/>
    <w:rsid w:val="00F20B44"/>
    <w:rsid w:val="00F22A58"/>
    <w:rsid w:val="00F23B5F"/>
    <w:rsid w:val="00F31369"/>
    <w:rsid w:val="00F36B33"/>
    <w:rsid w:val="00F40241"/>
    <w:rsid w:val="00F576B8"/>
    <w:rsid w:val="00F60DE8"/>
    <w:rsid w:val="00F64627"/>
    <w:rsid w:val="00F64F64"/>
    <w:rsid w:val="00F651AE"/>
    <w:rsid w:val="00F66152"/>
    <w:rsid w:val="00F67B90"/>
    <w:rsid w:val="00F71414"/>
    <w:rsid w:val="00F74FA5"/>
    <w:rsid w:val="00F8068B"/>
    <w:rsid w:val="00F809C9"/>
    <w:rsid w:val="00F825E0"/>
    <w:rsid w:val="00F8733E"/>
    <w:rsid w:val="00F9165B"/>
    <w:rsid w:val="00F92672"/>
    <w:rsid w:val="00F94184"/>
    <w:rsid w:val="00F97FD3"/>
    <w:rsid w:val="00FA0EBD"/>
    <w:rsid w:val="00FA1779"/>
    <w:rsid w:val="00FA280C"/>
    <w:rsid w:val="00FB00CD"/>
    <w:rsid w:val="00FB0AA7"/>
    <w:rsid w:val="00FB5C6F"/>
    <w:rsid w:val="00FC3073"/>
    <w:rsid w:val="00FC482F"/>
    <w:rsid w:val="00FC66A1"/>
    <w:rsid w:val="00FC7E7F"/>
    <w:rsid w:val="00FD13D8"/>
    <w:rsid w:val="00FD1792"/>
    <w:rsid w:val="00FD4291"/>
    <w:rsid w:val="00FD680D"/>
    <w:rsid w:val="00FE2E2D"/>
    <w:rsid w:val="00FE3300"/>
    <w:rsid w:val="00FF25A3"/>
    <w:rsid w:val="00FF50C2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7F05E8E"/>
  <w15:docId w15:val="{C44AC6F3-7D40-48F5-86F2-320604C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C62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Lapis Bulleted List,List Paragraph (numbered (a)),MCHIP_list paragraph,Recommendation,Dot pt,F5 List Paragraph,No Spacing1,List Paragraph Char Char Char,Indicator Text,Numbered Para 1,MAIN CONTENT,Bullet 1,Colorful List - Accent 11"/>
    <w:basedOn w:val="Normal"/>
    <w:link w:val="ListParagraphChar"/>
    <w:uiPriority w:val="34"/>
    <w:qFormat/>
    <w:rsid w:val="00841F69"/>
    <w:pPr>
      <w:spacing w:before="100" w:beforeAutospacing="1" w:after="100" w:afterAutospacing="1"/>
      <w:ind w:left="720"/>
      <w:contextualSpacing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Lapis Bulleted List Char,List Paragraph (numbered (a)) Char,MCHIP_list paragraph Char,Recommendation Char,Dot pt Char,F5 List Paragraph Char,No Spacing1 Char,List Paragraph Char Char Char Char,Indicator Text Char,Numbered Para 1 Char"/>
    <w:basedOn w:val="DefaultParagraphFont"/>
    <w:link w:val="ListParagraph"/>
    <w:uiPriority w:val="34"/>
    <w:rsid w:val="00841F69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Hyperlink">
    <w:name w:val="Hyperlink"/>
    <w:basedOn w:val="DefaultParagraphFont"/>
    <w:unhideWhenUsed/>
    <w:rsid w:val="004F576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6C7E0C"/>
    <w:rPr>
      <w:vertAlign w:val="superscript"/>
    </w:rPr>
  </w:style>
  <w:style w:type="character" w:customStyle="1" w:styleId="null1">
    <w:name w:val="null1"/>
    <w:basedOn w:val="DefaultParagraphFont"/>
    <w:rsid w:val="00A55AA8"/>
  </w:style>
  <w:style w:type="character" w:customStyle="1" w:styleId="FootnoteTextChar">
    <w:name w:val="Footnote Text Char"/>
    <w:basedOn w:val="DefaultParagraphFont"/>
    <w:link w:val="FootnoteText"/>
    <w:semiHidden/>
    <w:rsid w:val="00563620"/>
    <w:rPr>
      <w:rFonts w:ascii="Arial" w:eastAsia="SimSun" w:hAnsi="Arial" w:cs="Arial"/>
      <w:sz w:val="18"/>
      <w:lang w:val="ru-RU" w:eastAsia="zh-CN"/>
    </w:rPr>
  </w:style>
  <w:style w:type="paragraph" w:customStyle="1" w:styleId="Lex-JEndnoteref">
    <w:name w:val="Lex-J Endnote ref"/>
    <w:basedOn w:val="Normal"/>
    <w:qFormat/>
    <w:rsid w:val="005C63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  <w:tab w:val="left" w:pos="6481"/>
        <w:tab w:val="left" w:pos="7201"/>
      </w:tabs>
      <w:spacing w:line="276" w:lineRule="auto"/>
      <w:ind w:left="720"/>
    </w:pPr>
    <w:rPr>
      <w:rFonts w:eastAsia="Times New Roman" w:cs="Times New Roman"/>
      <w:sz w:val="12"/>
      <w:szCs w:val="12"/>
      <w:lang w:eastAsia="en-US"/>
    </w:rPr>
  </w:style>
  <w:style w:type="character" w:customStyle="1" w:styleId="null">
    <w:name w:val="null"/>
    <w:basedOn w:val="DefaultParagraphFont"/>
    <w:rsid w:val="006C7EB1"/>
  </w:style>
  <w:style w:type="character" w:styleId="FollowedHyperlink">
    <w:name w:val="FollowedHyperlink"/>
    <w:basedOn w:val="DefaultParagraphFont"/>
    <w:semiHidden/>
    <w:unhideWhenUsed/>
    <w:rsid w:val="00DF21F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637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472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xnull">
    <w:name w:val="x_null"/>
    <w:basedOn w:val="DefaultParagraphFont"/>
    <w:rsid w:val="00B0472E"/>
  </w:style>
  <w:style w:type="character" w:styleId="Strong">
    <w:name w:val="Strong"/>
    <w:basedOn w:val="DefaultParagraphFont"/>
    <w:uiPriority w:val="22"/>
    <w:qFormat/>
    <w:rsid w:val="001957A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F4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4218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adrid/ru/" TargetMode="External"/><Relationship Id="rId13" Type="http://schemas.openxmlformats.org/officeDocument/2006/relationships/hyperlink" Target="https://www.wipo.int/edocs/pubdocs/ru/wipo_pub_1053.pdf" TargetMode="External"/><Relationship Id="rId18" Type="http://schemas.openxmlformats.org/officeDocument/2006/relationships/hyperlink" Target="https://www.wipo.int/women-and-ip/ru/news/2021/news_0009.html" TargetMode="External"/><Relationship Id="rId3" Type="http://schemas.openxmlformats.org/officeDocument/2006/relationships/hyperlink" Target="https://www.wipo.int/publications/ru/details.jsp?id=4583" TargetMode="External"/><Relationship Id="rId21" Type="http://schemas.openxmlformats.org/officeDocument/2006/relationships/hyperlink" Target="https://www.wipo.int/policy/en/news/global_health/2021/news_0005.html" TargetMode="External"/><Relationship Id="rId7" Type="http://schemas.openxmlformats.org/officeDocument/2006/relationships/hyperlink" Target="https://www.wipo.int/edocs/mdocs/pct/ru/pct_wg_13/pct_wg_13_7_rev.pdf" TargetMode="External"/><Relationship Id="rId12" Type="http://schemas.openxmlformats.org/officeDocument/2006/relationships/hyperlink" Target="https://www.wipo.int/meetings/en/details.jsp?meeting_id=67308" TargetMode="External"/><Relationship Id="rId17" Type="http://schemas.openxmlformats.org/officeDocument/2006/relationships/hyperlink" Target="https://www.wipo.int/meetings/ru/2021/ip-development-conference.html" TargetMode="External"/><Relationship Id="rId2" Type="http://schemas.openxmlformats.org/officeDocument/2006/relationships/hyperlink" Target="https://www.wipo.int/sme/en/checklist.html" TargetMode="External"/><Relationship Id="rId16" Type="http://schemas.openxmlformats.org/officeDocument/2006/relationships/hyperlink" Target="https://www.wipo.int/meetings/ru/2021/ip-development-conference.html" TargetMode="External"/><Relationship Id="rId20" Type="http://schemas.openxmlformats.org/officeDocument/2006/relationships/hyperlink" Target="https://www.wipo.int/publications/ru/details.jsp?id=4511" TargetMode="External"/><Relationship Id="rId1" Type="http://schemas.openxmlformats.org/officeDocument/2006/relationships/hyperlink" Target="https://sdgs.un.org/goals" TargetMode="External"/><Relationship Id="rId6" Type="http://schemas.openxmlformats.org/officeDocument/2006/relationships/hyperlink" Target="https://patentscope.wipo.int/search/ru/search.jsf" TargetMode="External"/><Relationship Id="rId11" Type="http://schemas.openxmlformats.org/officeDocument/2006/relationships/hyperlink" Target="https://www.wipo.int/publications/en/details.jsp?id=4561&amp;plang=EN" TargetMode="External"/><Relationship Id="rId5" Type="http://schemas.openxmlformats.org/officeDocument/2006/relationships/hyperlink" Target="https://wipogreen.wipo.int/wipogreen-database/search?pagination.page=0&amp;pagination.size=10&amp;sort.0.field=CREATED_AT&amp;sort.0.direction=DESC&amp;queryFilters.0.field=COLLECTION&amp;queryFilters.0.value=138827" TargetMode="External"/><Relationship Id="rId15" Type="http://schemas.openxmlformats.org/officeDocument/2006/relationships/hyperlink" Target="https://www.wipo.int/enforcement/en/activities/current.html" TargetMode="External"/><Relationship Id="rId10" Type="http://schemas.openxmlformats.org/officeDocument/2006/relationships/hyperlink" Target="http://www.wipo.int/lisbon/ru/" TargetMode="External"/><Relationship Id="rId19" Type="http://schemas.openxmlformats.org/officeDocument/2006/relationships/hyperlink" Target="https://www.wipo.int/collective-marks/en/index.html" TargetMode="External"/><Relationship Id="rId4" Type="http://schemas.openxmlformats.org/officeDocument/2006/relationships/hyperlink" Target="https://www3.wipo.int/wipogreen/en/pdf/wipogreen-pome-technology-catalog-winrock-Sep-30-2021.pdf" TargetMode="External"/><Relationship Id="rId9" Type="http://schemas.openxmlformats.org/officeDocument/2006/relationships/hyperlink" Target="http://www.wipo.int/hague/ru/" TargetMode="External"/><Relationship Id="rId14" Type="http://schemas.openxmlformats.org/officeDocument/2006/relationships/hyperlink" Target="https://www.wipo.int/wipolex/ru/index.html" TargetMode="External"/><Relationship Id="rId22" Type="http://schemas.openxmlformats.org/officeDocument/2006/relationships/hyperlink" Target="https://www.wipo.int/pressroom/ru/articles/2021/article_00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099A-71D7-48A6-8336-F5D01AA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13920</Words>
  <Characters>90940</Characters>
  <Application>Microsoft Office Word</Application>
  <DocSecurity>4</DocSecurity>
  <Lines>757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104651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</dc:title>
  <dc:creator>MARTINEZ LIMÓN Cristina</dc:creator>
  <cp:keywords>FOR OFFICIAL USE ONLY</cp:keywords>
  <cp:lastModifiedBy>KORCHAGINA Elena</cp:lastModifiedBy>
  <cp:revision>2</cp:revision>
  <cp:lastPrinted>2022-03-30T15:14:00Z</cp:lastPrinted>
  <dcterms:created xsi:type="dcterms:W3CDTF">2022-04-13T07:12:00Z</dcterms:created>
  <dcterms:modified xsi:type="dcterms:W3CDTF">2022-04-13T07:12:00Z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83b678d9-a516-4f52-ad2a-659cd48c9d60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