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D95A39" w:rsidP="00916EE2">
            <w:r w:rsidRPr="007D194C">
              <w:rPr>
                <w:noProof/>
                <w:lang w:eastAsia="en-US"/>
              </w:rPr>
              <w:drawing>
                <wp:inline distT="0" distB="0" distL="0" distR="0" wp14:anchorId="3D48FB00" wp14:editId="33D1F608">
                  <wp:extent cx="1931035" cy="1433830"/>
                  <wp:effectExtent l="0" t="0" r="0" b="0"/>
                  <wp:docPr id="2" name="Picture 2" descr="WIPO-R-BW"/>
                  <wp:cNvGraphicFramePr/>
                  <a:graphic xmlns:a="http://schemas.openxmlformats.org/drawingml/2006/main">
                    <a:graphicData uri="http://schemas.openxmlformats.org/drawingml/2006/picture">
                      <pic:pic xmlns:pic="http://schemas.openxmlformats.org/drawingml/2006/picture">
                        <pic:nvPicPr>
                          <pic:cNvPr id="2" name="Picture 2" descr="WIPO-R-BW"/>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1035" cy="143383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434100" w:rsidP="00916EE2">
            <w:pPr>
              <w:jc w:val="right"/>
            </w:pPr>
            <w:r>
              <w:rPr>
                <w:b/>
                <w:sz w:val="40"/>
                <w:szCs w:val="40"/>
              </w:rPr>
              <w:t>R</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CB1DF6" w:rsidP="000866E8">
            <w:pPr>
              <w:jc w:val="right"/>
              <w:rPr>
                <w:rFonts w:ascii="Arial Black" w:hAnsi="Arial Black"/>
                <w:caps/>
                <w:sz w:val="15"/>
              </w:rPr>
            </w:pPr>
            <w:r>
              <w:rPr>
                <w:rFonts w:ascii="Arial Black" w:hAnsi="Arial Black"/>
                <w:caps/>
                <w:sz w:val="15"/>
              </w:rPr>
              <w:t>CDIP/2</w:t>
            </w:r>
            <w:r w:rsidR="000866E8">
              <w:rPr>
                <w:rFonts w:ascii="Arial Black" w:hAnsi="Arial Black"/>
                <w:caps/>
                <w:sz w:val="15"/>
              </w:rPr>
              <w:t>2</w:t>
            </w:r>
            <w:r w:rsidR="00001E20">
              <w:rPr>
                <w:rFonts w:ascii="Arial Black" w:hAnsi="Arial Black"/>
                <w:caps/>
                <w:sz w:val="15"/>
              </w:rPr>
              <w:t>/</w:t>
            </w:r>
            <w:bookmarkStart w:id="1" w:name="Code"/>
            <w:bookmarkEnd w:id="1"/>
            <w:r w:rsidR="00C943E5">
              <w:rPr>
                <w:rFonts w:ascii="Arial Black" w:hAnsi="Arial Black"/>
                <w:caps/>
                <w:sz w:val="15"/>
              </w:rPr>
              <w:t>INF/</w:t>
            </w:r>
            <w:r w:rsidR="000866E8">
              <w:rPr>
                <w:rFonts w:ascii="Arial Black" w:hAnsi="Arial Black"/>
                <w:caps/>
                <w:sz w:val="15"/>
              </w:rPr>
              <w:t>2</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F309B0" w:rsidP="00CD04F1">
            <w:pPr>
              <w:jc w:val="right"/>
              <w:rPr>
                <w:rFonts w:ascii="Arial Black" w:hAnsi="Arial Black"/>
                <w:caps/>
                <w:sz w:val="15"/>
              </w:rPr>
            </w:pPr>
            <w:r>
              <w:rPr>
                <w:rFonts w:ascii="Arial Black" w:hAnsi="Arial Black"/>
                <w:caps/>
                <w:sz w:val="15"/>
                <w:lang w:val="ru-RU"/>
              </w:rPr>
              <w:t>ОРИГИНАЛ</w:t>
            </w:r>
            <w:r w:rsidR="008B2CC1" w:rsidRPr="0090731E">
              <w:rPr>
                <w:rFonts w:ascii="Arial Black" w:hAnsi="Arial Black"/>
                <w:caps/>
                <w:sz w:val="15"/>
              </w:rPr>
              <w:t xml:space="preserve">: </w:t>
            </w:r>
            <w:bookmarkStart w:id="2" w:name="Original"/>
            <w:bookmarkEnd w:id="2"/>
            <w:r w:rsidR="00D95A39">
              <w:rPr>
                <w:rFonts w:ascii="Arial Black" w:hAnsi="Arial Black"/>
                <w:caps/>
                <w:sz w:val="15"/>
              </w:rPr>
              <w:t xml:space="preserve"> </w:t>
            </w:r>
            <w:r>
              <w:rPr>
                <w:rFonts w:ascii="Arial Black" w:hAnsi="Arial Black"/>
                <w:caps/>
                <w:sz w:val="15"/>
                <w:lang w:val="ru-RU"/>
              </w:rPr>
              <w:t xml:space="preserve">АНГЛИЙСКИЙ </w:t>
            </w:r>
          </w:p>
        </w:tc>
      </w:tr>
      <w:tr w:rsidR="008B2CC1" w:rsidRPr="001832A6" w:rsidTr="00916EE2">
        <w:trPr>
          <w:trHeight w:hRule="exact" w:val="198"/>
        </w:trPr>
        <w:tc>
          <w:tcPr>
            <w:tcW w:w="9356" w:type="dxa"/>
            <w:gridSpan w:val="3"/>
            <w:tcMar>
              <w:left w:w="0" w:type="dxa"/>
              <w:right w:w="0" w:type="dxa"/>
            </w:tcMar>
            <w:vAlign w:val="bottom"/>
          </w:tcPr>
          <w:p w:rsidR="008B2CC1" w:rsidRPr="00F309B0" w:rsidRDefault="00F309B0" w:rsidP="00C61124">
            <w:pPr>
              <w:jc w:val="right"/>
              <w:rPr>
                <w:rFonts w:ascii="Arial Black" w:hAnsi="Arial Black"/>
                <w:caps/>
                <w:sz w:val="15"/>
                <w:lang w:val="ru-RU"/>
              </w:rPr>
            </w:pPr>
            <w:r>
              <w:rPr>
                <w:rFonts w:ascii="Arial Black" w:hAnsi="Arial Black"/>
                <w:caps/>
                <w:sz w:val="15"/>
                <w:lang w:val="ru-RU"/>
              </w:rPr>
              <w:t>ДАТА</w:t>
            </w:r>
            <w:r w:rsidR="008B2CC1" w:rsidRPr="0090731E">
              <w:rPr>
                <w:rFonts w:ascii="Arial Black" w:hAnsi="Arial Black"/>
                <w:caps/>
                <w:sz w:val="15"/>
              </w:rPr>
              <w:t xml:space="preserve">: </w:t>
            </w:r>
            <w:bookmarkStart w:id="3" w:name="Date"/>
            <w:bookmarkEnd w:id="3"/>
            <w:r w:rsidR="00D95A39">
              <w:rPr>
                <w:rFonts w:ascii="Arial Black" w:hAnsi="Arial Black"/>
                <w:caps/>
                <w:sz w:val="15"/>
              </w:rPr>
              <w:t xml:space="preserve"> </w:t>
            </w:r>
            <w:r>
              <w:rPr>
                <w:rFonts w:ascii="Arial Black" w:hAnsi="Arial Black"/>
                <w:caps/>
                <w:sz w:val="15"/>
                <w:lang w:val="ru-RU"/>
              </w:rPr>
              <w:t>8 ОКТЯБРЯ</w:t>
            </w:r>
            <w:r w:rsidR="00C943E5">
              <w:rPr>
                <w:rFonts w:ascii="Arial Black" w:hAnsi="Arial Black"/>
                <w:caps/>
                <w:sz w:val="15"/>
              </w:rPr>
              <w:t xml:space="preserve"> 201</w:t>
            </w:r>
            <w:r w:rsidR="00C61124">
              <w:rPr>
                <w:rFonts w:ascii="Arial Black" w:hAnsi="Arial Black"/>
                <w:caps/>
                <w:sz w:val="15"/>
              </w:rPr>
              <w:t>8</w:t>
            </w:r>
            <w:r>
              <w:rPr>
                <w:rFonts w:ascii="Arial Black" w:hAnsi="Arial Black"/>
                <w:caps/>
                <w:sz w:val="15"/>
                <w:lang w:val="ru-RU"/>
              </w:rPr>
              <w:t xml:space="preserve"> Г.</w:t>
            </w:r>
          </w:p>
        </w:tc>
      </w:tr>
    </w:tbl>
    <w:p w:rsidR="008B2CC1" w:rsidRPr="00F309B0" w:rsidRDefault="008B2CC1" w:rsidP="008B2CC1">
      <w:pPr>
        <w:rPr>
          <w:lang w:val="ru-RU"/>
        </w:rPr>
      </w:pPr>
    </w:p>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01E20" w:rsidRPr="007F724E" w:rsidRDefault="0045081D" w:rsidP="00001E20">
      <w:pPr>
        <w:rPr>
          <w:b/>
          <w:sz w:val="28"/>
          <w:szCs w:val="28"/>
          <w:lang w:val="ru-RU"/>
        </w:rPr>
      </w:pPr>
      <w:r>
        <w:rPr>
          <w:b/>
          <w:sz w:val="28"/>
          <w:szCs w:val="28"/>
          <w:lang w:val="ru-RU"/>
        </w:rPr>
        <w:t>Комитет</w:t>
      </w:r>
      <w:r w:rsidRPr="007F724E">
        <w:rPr>
          <w:b/>
          <w:sz w:val="28"/>
          <w:szCs w:val="28"/>
          <w:lang w:val="ru-RU"/>
        </w:rPr>
        <w:t xml:space="preserve"> </w:t>
      </w:r>
      <w:r>
        <w:rPr>
          <w:b/>
          <w:sz w:val="28"/>
          <w:szCs w:val="28"/>
          <w:lang w:val="ru-RU"/>
        </w:rPr>
        <w:t>по</w:t>
      </w:r>
      <w:r w:rsidRPr="007F724E">
        <w:rPr>
          <w:b/>
          <w:sz w:val="28"/>
          <w:szCs w:val="28"/>
          <w:lang w:val="ru-RU"/>
        </w:rPr>
        <w:t xml:space="preserve"> </w:t>
      </w:r>
      <w:r>
        <w:rPr>
          <w:b/>
          <w:sz w:val="28"/>
          <w:szCs w:val="28"/>
          <w:lang w:val="ru-RU"/>
        </w:rPr>
        <w:t>развитию</w:t>
      </w:r>
      <w:r w:rsidRPr="007F724E">
        <w:rPr>
          <w:b/>
          <w:sz w:val="28"/>
          <w:szCs w:val="28"/>
          <w:lang w:val="ru-RU"/>
        </w:rPr>
        <w:t xml:space="preserve"> </w:t>
      </w:r>
      <w:r>
        <w:rPr>
          <w:b/>
          <w:sz w:val="28"/>
          <w:szCs w:val="28"/>
          <w:lang w:val="ru-RU"/>
        </w:rPr>
        <w:t>и</w:t>
      </w:r>
      <w:r w:rsidRPr="007F724E">
        <w:rPr>
          <w:b/>
          <w:sz w:val="28"/>
          <w:szCs w:val="28"/>
          <w:lang w:val="ru-RU"/>
        </w:rPr>
        <w:t xml:space="preserve"> </w:t>
      </w:r>
      <w:r>
        <w:rPr>
          <w:b/>
          <w:sz w:val="28"/>
          <w:szCs w:val="28"/>
          <w:lang w:val="ru-RU"/>
        </w:rPr>
        <w:t>интеллектуальной</w:t>
      </w:r>
      <w:r w:rsidRPr="007F724E">
        <w:rPr>
          <w:b/>
          <w:sz w:val="28"/>
          <w:szCs w:val="28"/>
          <w:lang w:val="ru-RU"/>
        </w:rPr>
        <w:t xml:space="preserve"> </w:t>
      </w:r>
      <w:r>
        <w:rPr>
          <w:b/>
          <w:sz w:val="28"/>
          <w:szCs w:val="28"/>
          <w:lang w:val="ru-RU"/>
        </w:rPr>
        <w:t>со</w:t>
      </w:r>
      <w:r w:rsidR="007F724E">
        <w:rPr>
          <w:b/>
          <w:sz w:val="28"/>
          <w:szCs w:val="28"/>
          <w:lang w:val="ru-RU"/>
        </w:rPr>
        <w:t xml:space="preserve">бственности </w:t>
      </w:r>
      <w:r w:rsidR="00001E20" w:rsidRPr="007F724E">
        <w:rPr>
          <w:b/>
          <w:sz w:val="28"/>
          <w:szCs w:val="28"/>
          <w:lang w:val="ru-RU"/>
        </w:rPr>
        <w:t>(</w:t>
      </w:r>
      <w:bookmarkStart w:id="4" w:name="_Hlk527479460"/>
      <w:r w:rsidR="007F724E">
        <w:rPr>
          <w:b/>
          <w:sz w:val="28"/>
          <w:szCs w:val="28"/>
          <w:lang w:val="ru-RU"/>
        </w:rPr>
        <w:t>КРИС</w:t>
      </w:r>
      <w:bookmarkEnd w:id="4"/>
      <w:r w:rsidR="00001E20" w:rsidRPr="007F724E">
        <w:rPr>
          <w:b/>
          <w:sz w:val="28"/>
          <w:szCs w:val="28"/>
          <w:lang w:val="ru-RU"/>
        </w:rPr>
        <w:t>)</w:t>
      </w:r>
    </w:p>
    <w:p w:rsidR="003845C1" w:rsidRPr="007F724E" w:rsidRDefault="003845C1" w:rsidP="003845C1">
      <w:pPr>
        <w:rPr>
          <w:lang w:val="ru-RU"/>
        </w:rPr>
      </w:pPr>
    </w:p>
    <w:p w:rsidR="003845C1" w:rsidRPr="007F724E" w:rsidRDefault="003845C1" w:rsidP="003845C1">
      <w:pPr>
        <w:rPr>
          <w:lang w:val="ru-RU"/>
        </w:rPr>
      </w:pPr>
    </w:p>
    <w:p w:rsidR="008B2CC1" w:rsidRPr="00B16FFE" w:rsidRDefault="00F309B0" w:rsidP="008B2CC1">
      <w:pPr>
        <w:rPr>
          <w:b/>
          <w:sz w:val="24"/>
          <w:szCs w:val="24"/>
          <w:lang w:val="ru-RU"/>
        </w:rPr>
      </w:pPr>
      <w:r>
        <w:rPr>
          <w:b/>
          <w:sz w:val="24"/>
          <w:szCs w:val="24"/>
          <w:lang w:val="ru-RU"/>
        </w:rPr>
        <w:t xml:space="preserve">Двадцать вторая сессия </w:t>
      </w:r>
    </w:p>
    <w:p w:rsidR="00001E20" w:rsidRPr="00B16FFE" w:rsidRDefault="00F309B0" w:rsidP="00001E20">
      <w:pPr>
        <w:rPr>
          <w:b/>
          <w:sz w:val="24"/>
          <w:szCs w:val="24"/>
          <w:lang w:val="ru-RU"/>
        </w:rPr>
      </w:pPr>
      <w:r>
        <w:rPr>
          <w:b/>
          <w:sz w:val="24"/>
          <w:szCs w:val="24"/>
          <w:lang w:val="ru-RU"/>
        </w:rPr>
        <w:t>Женева</w:t>
      </w:r>
      <w:r w:rsidR="00001E20" w:rsidRPr="00B16FFE">
        <w:rPr>
          <w:b/>
          <w:sz w:val="24"/>
          <w:szCs w:val="24"/>
          <w:lang w:val="ru-RU"/>
        </w:rPr>
        <w:t xml:space="preserve">, </w:t>
      </w:r>
      <w:r w:rsidR="00490508" w:rsidRPr="00B16FFE">
        <w:rPr>
          <w:b/>
          <w:sz w:val="24"/>
          <w:szCs w:val="24"/>
          <w:lang w:val="ru-RU"/>
        </w:rPr>
        <w:t xml:space="preserve">14 – 18 </w:t>
      </w:r>
      <w:r w:rsidR="00490508">
        <w:rPr>
          <w:b/>
          <w:sz w:val="24"/>
          <w:szCs w:val="24"/>
          <w:lang w:val="ru-RU"/>
        </w:rPr>
        <w:t>мая</w:t>
      </w:r>
      <w:r w:rsidR="00490508" w:rsidRPr="00B16FFE">
        <w:rPr>
          <w:b/>
          <w:sz w:val="24"/>
          <w:szCs w:val="24"/>
          <w:lang w:val="ru-RU"/>
        </w:rPr>
        <w:t xml:space="preserve"> 2018 </w:t>
      </w:r>
      <w:r w:rsidR="00490508">
        <w:rPr>
          <w:b/>
          <w:sz w:val="24"/>
          <w:szCs w:val="24"/>
          <w:lang w:val="ru-RU"/>
        </w:rPr>
        <w:t>г</w:t>
      </w:r>
      <w:r w:rsidR="00490508" w:rsidRPr="00B16FFE">
        <w:rPr>
          <w:b/>
          <w:sz w:val="24"/>
          <w:szCs w:val="24"/>
          <w:lang w:val="ru-RU"/>
        </w:rPr>
        <w:t xml:space="preserve">. </w:t>
      </w:r>
    </w:p>
    <w:p w:rsidR="008B2CC1" w:rsidRPr="00B16FFE" w:rsidRDefault="008B2CC1" w:rsidP="008B2CC1">
      <w:pPr>
        <w:rPr>
          <w:lang w:val="ru-RU"/>
        </w:rPr>
      </w:pPr>
    </w:p>
    <w:p w:rsidR="008B2CC1" w:rsidRPr="00B16FFE" w:rsidRDefault="008B2CC1" w:rsidP="008B2CC1">
      <w:pPr>
        <w:rPr>
          <w:lang w:val="ru-RU"/>
        </w:rPr>
      </w:pPr>
    </w:p>
    <w:p w:rsidR="008B2CC1" w:rsidRPr="00B16FFE" w:rsidRDefault="008B2CC1" w:rsidP="008B2CC1">
      <w:pPr>
        <w:rPr>
          <w:lang w:val="ru-RU"/>
        </w:rPr>
      </w:pPr>
    </w:p>
    <w:p w:rsidR="00C943E5" w:rsidRPr="0053674B" w:rsidRDefault="008F090E" w:rsidP="00AA4374">
      <w:pPr>
        <w:rPr>
          <w:b/>
          <w:bCs/>
          <w:sz w:val="24"/>
          <w:lang w:val="ru-RU"/>
        </w:rPr>
      </w:pPr>
      <w:bookmarkStart w:id="5" w:name="TitleOfDoc"/>
      <w:bookmarkEnd w:id="5"/>
      <w:r w:rsidRPr="008F090E">
        <w:rPr>
          <w:color w:val="222222"/>
          <w:shd w:val="clear" w:color="auto" w:fill="FFFFFF"/>
          <w:lang w:val="ru-RU"/>
        </w:rPr>
        <w:t>РЕЗЮМЕ ИССЛЕДОВАНИЯ ПО ВОПРОСУ О КОНЦЕПЦИИ ИСПОЛЬЗОВАНИЯ ПРОМЫШЛЕННЫХ ОБРАЗЦОВ В СТРАНАХ ЮГО-ВОСТОЧНОЙ АЗИИ НА ПРИМЕРЕ ИНДОНЕЗИИ, ФИЛИППИН И ТАИЛАНДА</w:t>
      </w:r>
    </w:p>
    <w:p w:rsidR="008B2CC1" w:rsidRPr="008F090E" w:rsidRDefault="008B2CC1" w:rsidP="008B2CC1">
      <w:pPr>
        <w:rPr>
          <w:lang w:val="ru-RU"/>
        </w:rPr>
      </w:pPr>
    </w:p>
    <w:p w:rsidR="00C943E5" w:rsidRPr="00B16FFE" w:rsidRDefault="009F667A" w:rsidP="00266416">
      <w:pPr>
        <w:rPr>
          <w:i/>
          <w:lang w:val="ru-RU"/>
        </w:rPr>
      </w:pPr>
      <w:bookmarkStart w:id="6" w:name="Prepared"/>
      <w:bookmarkEnd w:id="6"/>
      <w:r>
        <w:rPr>
          <w:i/>
          <w:lang w:val="ru-RU"/>
        </w:rPr>
        <w:t>подготовлено</w:t>
      </w:r>
      <w:r w:rsidRPr="00B16FFE">
        <w:rPr>
          <w:i/>
          <w:lang w:val="ru-RU"/>
        </w:rPr>
        <w:t xml:space="preserve"> </w:t>
      </w:r>
      <w:r>
        <w:rPr>
          <w:i/>
          <w:lang w:val="ru-RU"/>
        </w:rPr>
        <w:t>Секретариатом</w:t>
      </w:r>
      <w:r w:rsidR="00850CD1" w:rsidRPr="00B16FFE">
        <w:rPr>
          <w:i/>
          <w:lang w:val="ru-RU"/>
        </w:rPr>
        <w:br/>
      </w:r>
    </w:p>
    <w:p w:rsidR="00C943E5" w:rsidRPr="00B16FFE" w:rsidRDefault="00C943E5" w:rsidP="00C943E5">
      <w:pPr>
        <w:rPr>
          <w:i/>
          <w:lang w:val="ru-RU"/>
        </w:rPr>
      </w:pPr>
    </w:p>
    <w:p w:rsidR="00C943E5" w:rsidRPr="00B16FFE" w:rsidRDefault="00C943E5" w:rsidP="00C943E5">
      <w:pPr>
        <w:rPr>
          <w:i/>
          <w:lang w:val="ru-RU"/>
        </w:rPr>
      </w:pPr>
    </w:p>
    <w:p w:rsidR="00C943E5" w:rsidRPr="00B16FFE" w:rsidRDefault="00C943E5" w:rsidP="00C943E5">
      <w:pPr>
        <w:rPr>
          <w:lang w:val="ru-RU"/>
        </w:rPr>
      </w:pPr>
    </w:p>
    <w:p w:rsidR="00266416" w:rsidRPr="0053674B" w:rsidRDefault="00266416" w:rsidP="00C943E5">
      <w:pPr>
        <w:rPr>
          <w:rFonts w:eastAsia="Times New Roman"/>
          <w:b/>
          <w:bCs/>
          <w:lang w:val="ru-RU"/>
        </w:rPr>
      </w:pPr>
      <w:r>
        <w:rPr>
          <w:rFonts w:eastAsia="Times New Roman"/>
        </w:rPr>
        <w:fldChar w:fldCharType="begin"/>
      </w:r>
      <w:r w:rsidRPr="0053674B">
        <w:rPr>
          <w:rFonts w:eastAsia="Times New Roman"/>
          <w:lang w:val="ru-RU"/>
        </w:rPr>
        <w:instrText xml:space="preserve"> </w:instrText>
      </w:r>
      <w:r>
        <w:rPr>
          <w:rFonts w:eastAsia="Times New Roman"/>
        </w:rPr>
        <w:instrText>AUTONUM</w:instrText>
      </w:r>
      <w:r w:rsidRPr="0053674B">
        <w:rPr>
          <w:rFonts w:eastAsia="Times New Roman"/>
          <w:lang w:val="ru-RU"/>
        </w:rPr>
        <w:instrText xml:space="preserve">  </w:instrText>
      </w:r>
      <w:r>
        <w:rPr>
          <w:rFonts w:eastAsia="Times New Roman"/>
        </w:rPr>
        <w:fldChar w:fldCharType="end"/>
      </w:r>
      <w:r w:rsidRPr="0053674B">
        <w:rPr>
          <w:rFonts w:eastAsia="Times New Roman"/>
          <w:lang w:val="ru-RU"/>
        </w:rPr>
        <w:tab/>
      </w:r>
      <w:r w:rsidR="009F667A">
        <w:rPr>
          <w:rFonts w:eastAsia="Times New Roman"/>
          <w:lang w:val="ru-RU"/>
        </w:rPr>
        <w:t>Настоящее</w:t>
      </w:r>
      <w:r w:rsidR="009F667A" w:rsidRPr="0053674B">
        <w:rPr>
          <w:rFonts w:eastAsia="Times New Roman"/>
          <w:lang w:val="ru-RU"/>
        </w:rPr>
        <w:t xml:space="preserve"> </w:t>
      </w:r>
      <w:r w:rsidR="009F667A">
        <w:rPr>
          <w:rFonts w:eastAsia="Times New Roman"/>
          <w:lang w:val="ru-RU"/>
        </w:rPr>
        <w:t>приложение</w:t>
      </w:r>
      <w:r w:rsidR="009F667A" w:rsidRPr="0053674B">
        <w:rPr>
          <w:rFonts w:eastAsia="Times New Roman"/>
          <w:lang w:val="ru-RU"/>
        </w:rPr>
        <w:t xml:space="preserve"> </w:t>
      </w:r>
      <w:r w:rsidR="009F667A">
        <w:rPr>
          <w:rFonts w:eastAsia="Times New Roman"/>
          <w:lang w:val="ru-RU"/>
        </w:rPr>
        <w:t>к</w:t>
      </w:r>
      <w:r w:rsidR="009F667A" w:rsidRPr="0053674B">
        <w:rPr>
          <w:rFonts w:eastAsia="Times New Roman"/>
          <w:lang w:val="ru-RU"/>
        </w:rPr>
        <w:t xml:space="preserve"> </w:t>
      </w:r>
      <w:r w:rsidR="009F667A">
        <w:rPr>
          <w:rFonts w:eastAsia="Times New Roman"/>
          <w:lang w:val="ru-RU"/>
        </w:rPr>
        <w:t>документу</w:t>
      </w:r>
      <w:r w:rsidR="009F667A" w:rsidRPr="0053674B">
        <w:rPr>
          <w:rFonts w:eastAsia="Times New Roman"/>
          <w:lang w:val="ru-RU"/>
        </w:rPr>
        <w:t xml:space="preserve"> </w:t>
      </w:r>
      <w:r w:rsidR="009F667A">
        <w:rPr>
          <w:rFonts w:eastAsia="Times New Roman"/>
          <w:lang w:val="ru-RU"/>
        </w:rPr>
        <w:t>содержит</w:t>
      </w:r>
      <w:r w:rsidR="009F667A" w:rsidRPr="0053674B">
        <w:rPr>
          <w:rFonts w:eastAsia="Times New Roman"/>
          <w:lang w:val="ru-RU"/>
        </w:rPr>
        <w:t xml:space="preserve"> </w:t>
      </w:r>
      <w:r w:rsidR="009F667A">
        <w:rPr>
          <w:rFonts w:eastAsia="Times New Roman"/>
          <w:lang w:val="ru-RU"/>
        </w:rPr>
        <w:t>резюме</w:t>
      </w:r>
      <w:r w:rsidR="009F667A" w:rsidRPr="0053674B">
        <w:rPr>
          <w:rFonts w:eastAsia="Times New Roman"/>
          <w:lang w:val="ru-RU"/>
        </w:rPr>
        <w:t xml:space="preserve"> </w:t>
      </w:r>
      <w:r w:rsidR="009F667A">
        <w:rPr>
          <w:rFonts w:eastAsia="Times New Roman"/>
          <w:lang w:val="ru-RU"/>
        </w:rPr>
        <w:t>исследования</w:t>
      </w:r>
      <w:r w:rsidR="009F667A" w:rsidRPr="0053674B">
        <w:rPr>
          <w:rFonts w:eastAsia="Times New Roman"/>
          <w:lang w:val="ru-RU"/>
        </w:rPr>
        <w:t xml:space="preserve"> </w:t>
      </w:r>
      <w:r w:rsidR="009F667A">
        <w:rPr>
          <w:rFonts w:eastAsia="Times New Roman"/>
          <w:lang w:val="ru-RU"/>
        </w:rPr>
        <w:t>по</w:t>
      </w:r>
      <w:r w:rsidR="009F667A" w:rsidRPr="0053674B">
        <w:rPr>
          <w:rFonts w:eastAsia="Times New Roman"/>
          <w:lang w:val="ru-RU"/>
        </w:rPr>
        <w:t xml:space="preserve"> </w:t>
      </w:r>
      <w:r w:rsidR="009F667A">
        <w:rPr>
          <w:rFonts w:eastAsia="Times New Roman"/>
          <w:lang w:val="ru-RU"/>
        </w:rPr>
        <w:t>вопросу</w:t>
      </w:r>
      <w:r w:rsidR="009F667A" w:rsidRPr="0053674B">
        <w:rPr>
          <w:rFonts w:eastAsia="Times New Roman"/>
          <w:lang w:val="ru-RU"/>
        </w:rPr>
        <w:t xml:space="preserve"> </w:t>
      </w:r>
      <w:r w:rsidR="009F667A">
        <w:rPr>
          <w:rFonts w:eastAsia="Times New Roman"/>
          <w:lang w:val="ru-RU"/>
        </w:rPr>
        <w:t>о</w:t>
      </w:r>
      <w:r w:rsidR="009F667A" w:rsidRPr="0053674B">
        <w:rPr>
          <w:rFonts w:eastAsia="Times New Roman"/>
          <w:lang w:val="ru-RU"/>
        </w:rPr>
        <w:t xml:space="preserve"> </w:t>
      </w:r>
      <w:r w:rsidR="0053674B">
        <w:rPr>
          <w:rFonts w:eastAsia="Times New Roman"/>
          <w:lang w:val="ru-RU"/>
        </w:rPr>
        <w:t>к</w:t>
      </w:r>
      <w:r w:rsidR="009F667A">
        <w:rPr>
          <w:rFonts w:eastAsia="Times New Roman"/>
          <w:lang w:val="ru-RU"/>
        </w:rPr>
        <w:t>онцепции</w:t>
      </w:r>
      <w:r w:rsidR="009F667A" w:rsidRPr="0053674B">
        <w:rPr>
          <w:rFonts w:eastAsia="Times New Roman"/>
          <w:lang w:val="ru-RU"/>
        </w:rPr>
        <w:t xml:space="preserve"> </w:t>
      </w:r>
      <w:r w:rsidR="009F667A">
        <w:rPr>
          <w:rFonts w:eastAsia="Times New Roman"/>
          <w:lang w:val="ru-RU"/>
        </w:rPr>
        <w:t>использования</w:t>
      </w:r>
      <w:r w:rsidR="009F667A" w:rsidRPr="0053674B">
        <w:rPr>
          <w:rFonts w:eastAsia="Times New Roman"/>
          <w:lang w:val="ru-RU"/>
        </w:rPr>
        <w:t xml:space="preserve"> </w:t>
      </w:r>
      <w:r w:rsidR="009F667A">
        <w:rPr>
          <w:rFonts w:eastAsia="Times New Roman"/>
          <w:lang w:val="ru-RU"/>
        </w:rPr>
        <w:t>промышленных</w:t>
      </w:r>
      <w:r w:rsidR="009F667A" w:rsidRPr="0053674B">
        <w:rPr>
          <w:rFonts w:eastAsia="Times New Roman"/>
          <w:lang w:val="ru-RU"/>
        </w:rPr>
        <w:t xml:space="preserve"> </w:t>
      </w:r>
      <w:r w:rsidR="009F667A">
        <w:rPr>
          <w:rFonts w:eastAsia="Times New Roman"/>
          <w:lang w:val="ru-RU"/>
        </w:rPr>
        <w:t>образцов</w:t>
      </w:r>
      <w:r w:rsidR="009F667A" w:rsidRPr="0053674B">
        <w:rPr>
          <w:rFonts w:eastAsia="Times New Roman"/>
          <w:lang w:val="ru-RU"/>
        </w:rPr>
        <w:t xml:space="preserve"> </w:t>
      </w:r>
      <w:r w:rsidR="009F667A">
        <w:rPr>
          <w:rFonts w:eastAsia="Times New Roman"/>
          <w:lang w:val="ru-RU"/>
        </w:rPr>
        <w:t>в</w:t>
      </w:r>
      <w:r w:rsidR="009F667A" w:rsidRPr="0053674B">
        <w:rPr>
          <w:rFonts w:eastAsia="Times New Roman"/>
          <w:lang w:val="ru-RU"/>
        </w:rPr>
        <w:t xml:space="preserve"> </w:t>
      </w:r>
      <w:r w:rsidR="009F667A">
        <w:rPr>
          <w:rFonts w:eastAsia="Times New Roman"/>
          <w:lang w:val="ru-RU"/>
        </w:rPr>
        <w:t>Юго</w:t>
      </w:r>
      <w:r w:rsidR="009F667A" w:rsidRPr="0053674B">
        <w:rPr>
          <w:rFonts w:eastAsia="Times New Roman"/>
          <w:lang w:val="ru-RU"/>
        </w:rPr>
        <w:t>-</w:t>
      </w:r>
      <w:r w:rsidR="009F667A">
        <w:rPr>
          <w:rFonts w:eastAsia="Times New Roman"/>
          <w:lang w:val="ru-RU"/>
        </w:rPr>
        <w:t>Восточной</w:t>
      </w:r>
      <w:r w:rsidR="009F667A" w:rsidRPr="0053674B">
        <w:rPr>
          <w:rFonts w:eastAsia="Times New Roman"/>
          <w:lang w:val="ru-RU"/>
        </w:rPr>
        <w:t xml:space="preserve"> </w:t>
      </w:r>
      <w:r w:rsidR="009F667A">
        <w:rPr>
          <w:rFonts w:eastAsia="Times New Roman"/>
          <w:lang w:val="ru-RU"/>
        </w:rPr>
        <w:t>Азии</w:t>
      </w:r>
      <w:r w:rsidR="009F667A" w:rsidRPr="0053674B">
        <w:rPr>
          <w:rFonts w:eastAsia="Times New Roman"/>
          <w:lang w:val="ru-RU"/>
        </w:rPr>
        <w:t xml:space="preserve"> </w:t>
      </w:r>
      <w:r w:rsidR="009F667A">
        <w:rPr>
          <w:rFonts w:eastAsia="Times New Roman"/>
          <w:lang w:val="ru-RU"/>
        </w:rPr>
        <w:t>на</w:t>
      </w:r>
      <w:r w:rsidR="009F667A" w:rsidRPr="0053674B">
        <w:rPr>
          <w:rFonts w:eastAsia="Times New Roman"/>
          <w:lang w:val="ru-RU"/>
        </w:rPr>
        <w:t xml:space="preserve"> </w:t>
      </w:r>
      <w:r w:rsidR="009F667A">
        <w:rPr>
          <w:rFonts w:eastAsia="Times New Roman"/>
          <w:lang w:val="ru-RU"/>
        </w:rPr>
        <w:t>примере</w:t>
      </w:r>
      <w:r w:rsidR="009F667A" w:rsidRPr="0053674B">
        <w:rPr>
          <w:rFonts w:eastAsia="Times New Roman"/>
          <w:lang w:val="ru-RU"/>
        </w:rPr>
        <w:t xml:space="preserve"> </w:t>
      </w:r>
      <w:r w:rsidR="009F667A">
        <w:rPr>
          <w:rFonts w:eastAsia="Times New Roman"/>
          <w:lang w:val="ru-RU"/>
        </w:rPr>
        <w:t>Индонезии</w:t>
      </w:r>
      <w:r w:rsidR="009F667A" w:rsidRPr="0053674B">
        <w:rPr>
          <w:rFonts w:eastAsia="Times New Roman"/>
          <w:lang w:val="ru-RU"/>
        </w:rPr>
        <w:t xml:space="preserve">, </w:t>
      </w:r>
      <w:r w:rsidR="009F667A">
        <w:rPr>
          <w:rFonts w:eastAsia="Times New Roman"/>
          <w:lang w:val="ru-RU"/>
        </w:rPr>
        <w:t>Филиппин</w:t>
      </w:r>
      <w:r w:rsidR="009F667A" w:rsidRPr="0053674B">
        <w:rPr>
          <w:rFonts w:eastAsia="Times New Roman"/>
          <w:lang w:val="ru-RU"/>
        </w:rPr>
        <w:t xml:space="preserve"> </w:t>
      </w:r>
      <w:r w:rsidR="009F667A">
        <w:rPr>
          <w:rFonts w:eastAsia="Times New Roman"/>
          <w:lang w:val="ru-RU"/>
        </w:rPr>
        <w:t>и</w:t>
      </w:r>
      <w:r w:rsidR="009F667A" w:rsidRPr="0053674B">
        <w:rPr>
          <w:rFonts w:eastAsia="Times New Roman"/>
          <w:lang w:val="ru-RU"/>
        </w:rPr>
        <w:t xml:space="preserve"> </w:t>
      </w:r>
      <w:r w:rsidR="009F667A">
        <w:rPr>
          <w:rFonts w:eastAsia="Times New Roman"/>
          <w:lang w:val="ru-RU"/>
        </w:rPr>
        <w:t>Таиланда</w:t>
      </w:r>
      <w:r w:rsidR="0053674B" w:rsidRPr="0053674B">
        <w:rPr>
          <w:rFonts w:eastAsia="Times New Roman"/>
          <w:lang w:val="ru-RU"/>
        </w:rPr>
        <w:t xml:space="preserve">, </w:t>
      </w:r>
      <w:r w:rsidR="0053674B">
        <w:rPr>
          <w:rFonts w:eastAsia="Times New Roman"/>
          <w:lang w:val="ru-RU"/>
        </w:rPr>
        <w:t>проведенного</w:t>
      </w:r>
      <w:r w:rsidR="0053674B" w:rsidRPr="0053674B">
        <w:rPr>
          <w:rFonts w:eastAsia="Times New Roman"/>
          <w:lang w:val="ru-RU"/>
        </w:rPr>
        <w:t xml:space="preserve"> </w:t>
      </w:r>
      <w:r w:rsidR="0053674B">
        <w:rPr>
          <w:rFonts w:eastAsia="Times New Roman"/>
          <w:lang w:val="ru-RU"/>
        </w:rPr>
        <w:t>в</w:t>
      </w:r>
      <w:r w:rsidR="0053674B" w:rsidRPr="0053674B">
        <w:rPr>
          <w:rFonts w:eastAsia="Times New Roman"/>
          <w:lang w:val="ru-RU"/>
        </w:rPr>
        <w:t xml:space="preserve"> </w:t>
      </w:r>
      <w:r w:rsidR="0053674B">
        <w:rPr>
          <w:rFonts w:eastAsia="Times New Roman"/>
          <w:lang w:val="ru-RU"/>
        </w:rPr>
        <w:t>рамках</w:t>
      </w:r>
      <w:r w:rsidR="009F667A" w:rsidRPr="0053674B">
        <w:rPr>
          <w:rFonts w:eastAsia="Times New Roman"/>
          <w:lang w:val="ru-RU"/>
        </w:rPr>
        <w:t xml:space="preserve"> </w:t>
      </w:r>
      <w:r w:rsidR="0053674B" w:rsidRPr="0053674B">
        <w:rPr>
          <w:rFonts w:eastAsia="Times New Roman"/>
          <w:lang w:val="ru-RU"/>
        </w:rPr>
        <w:t xml:space="preserve">проекта </w:t>
      </w:r>
      <w:r w:rsidR="0053674B">
        <w:rPr>
          <w:rFonts w:eastAsia="Times New Roman"/>
          <w:lang w:val="ru-RU"/>
        </w:rPr>
        <w:t>«</w:t>
      </w:r>
      <w:r w:rsidR="0053674B" w:rsidRPr="0053674B">
        <w:rPr>
          <w:rFonts w:eastAsia="Times New Roman"/>
          <w:lang w:val="ru-RU"/>
        </w:rPr>
        <w:t>Интеллектуальная собственность и социально-экономическое развитие – этап</w:t>
      </w:r>
      <w:r w:rsidR="0053674B">
        <w:rPr>
          <w:rFonts w:eastAsia="Times New Roman"/>
          <w:lang w:val="ru-RU"/>
        </w:rPr>
        <w:t xml:space="preserve"> </w:t>
      </w:r>
      <w:r w:rsidR="0053674B" w:rsidRPr="0053674B">
        <w:rPr>
          <w:rFonts w:eastAsia="Times New Roman"/>
        </w:rPr>
        <w:t>II</w:t>
      </w:r>
      <w:r w:rsidR="0053674B">
        <w:rPr>
          <w:rFonts w:eastAsia="Times New Roman"/>
          <w:lang w:val="ru-RU"/>
        </w:rPr>
        <w:t>»</w:t>
      </w:r>
      <w:r w:rsidR="0053674B" w:rsidRPr="0053674B">
        <w:rPr>
          <w:rFonts w:eastAsia="Times New Roman"/>
          <w:lang w:val="ru-RU"/>
        </w:rPr>
        <w:t xml:space="preserve"> (документ </w:t>
      </w:r>
      <w:r w:rsidR="0053674B" w:rsidRPr="0053674B">
        <w:rPr>
          <w:rFonts w:eastAsia="Times New Roman"/>
        </w:rPr>
        <w:t>CDIP</w:t>
      </w:r>
      <w:r w:rsidR="0053674B" w:rsidRPr="0053674B">
        <w:rPr>
          <w:rFonts w:eastAsia="Times New Roman"/>
          <w:lang w:val="ru-RU"/>
        </w:rPr>
        <w:t>/14/7)</w:t>
      </w:r>
      <w:r w:rsidR="00C943E5" w:rsidRPr="0053674B">
        <w:rPr>
          <w:rFonts w:eastAsia="Times New Roman"/>
          <w:lang w:val="ru-RU"/>
        </w:rPr>
        <w:t xml:space="preserve">.  </w:t>
      </w:r>
    </w:p>
    <w:p w:rsidR="00266416" w:rsidRPr="0053674B" w:rsidRDefault="00266416" w:rsidP="00C943E5">
      <w:pPr>
        <w:rPr>
          <w:rFonts w:eastAsia="Times New Roman"/>
          <w:lang w:val="ru-RU"/>
        </w:rPr>
      </w:pPr>
    </w:p>
    <w:p w:rsidR="00C943E5" w:rsidRPr="001A3B04" w:rsidRDefault="00266416" w:rsidP="00C943E5">
      <w:pPr>
        <w:rPr>
          <w:rFonts w:eastAsia="Times New Roman"/>
          <w:lang w:val="ru-RU"/>
        </w:rPr>
      </w:pPr>
      <w:r>
        <w:rPr>
          <w:rFonts w:eastAsia="Times New Roman"/>
        </w:rPr>
        <w:fldChar w:fldCharType="begin"/>
      </w:r>
      <w:r w:rsidRPr="00592E30">
        <w:rPr>
          <w:rFonts w:eastAsia="Times New Roman"/>
          <w:lang w:val="ru-RU"/>
        </w:rPr>
        <w:instrText xml:space="preserve"> </w:instrText>
      </w:r>
      <w:r>
        <w:rPr>
          <w:rFonts w:eastAsia="Times New Roman"/>
        </w:rPr>
        <w:instrText>AUTONUM</w:instrText>
      </w:r>
      <w:r w:rsidRPr="00592E30">
        <w:rPr>
          <w:rFonts w:eastAsia="Times New Roman"/>
          <w:lang w:val="ru-RU"/>
        </w:rPr>
        <w:instrText xml:space="preserve">  </w:instrText>
      </w:r>
      <w:r>
        <w:rPr>
          <w:rFonts w:eastAsia="Times New Roman"/>
        </w:rPr>
        <w:fldChar w:fldCharType="end"/>
      </w:r>
      <w:r w:rsidRPr="00592E30">
        <w:rPr>
          <w:rFonts w:eastAsia="Times New Roman"/>
          <w:lang w:val="ru-RU"/>
        </w:rPr>
        <w:tab/>
      </w:r>
      <w:r w:rsidR="0053674B" w:rsidRPr="00592E30">
        <w:rPr>
          <w:rFonts w:eastAsia="Times New Roman"/>
          <w:lang w:val="ru-RU"/>
        </w:rPr>
        <w:t xml:space="preserve">Исследование было подготовлено Секретариатом ВОИС в сотрудничестве с </w:t>
      </w:r>
      <w:r w:rsidR="0053674B">
        <w:rPr>
          <w:rFonts w:eastAsia="Times New Roman"/>
          <w:lang w:val="ru-RU"/>
        </w:rPr>
        <w:t>местными</w:t>
      </w:r>
      <w:r w:rsidR="0053674B" w:rsidRPr="00592E30">
        <w:rPr>
          <w:rFonts w:eastAsia="Times New Roman"/>
          <w:lang w:val="ru-RU"/>
        </w:rPr>
        <w:t xml:space="preserve"> </w:t>
      </w:r>
      <w:r w:rsidR="0053674B">
        <w:rPr>
          <w:rFonts w:eastAsia="Times New Roman"/>
          <w:lang w:val="ru-RU"/>
        </w:rPr>
        <w:t>экспертами</w:t>
      </w:r>
      <w:r w:rsidR="0053674B" w:rsidRPr="00592E30">
        <w:rPr>
          <w:rFonts w:eastAsia="Times New Roman"/>
          <w:lang w:val="ru-RU"/>
        </w:rPr>
        <w:t>-</w:t>
      </w:r>
      <w:r w:rsidR="0053674B">
        <w:rPr>
          <w:rFonts w:eastAsia="Times New Roman"/>
          <w:lang w:val="ru-RU"/>
        </w:rPr>
        <w:t>консультантами</w:t>
      </w:r>
      <w:r w:rsidR="0053674B" w:rsidRPr="00592E30">
        <w:rPr>
          <w:rFonts w:eastAsia="Times New Roman"/>
          <w:lang w:val="ru-RU"/>
        </w:rPr>
        <w:t xml:space="preserve"> </w:t>
      </w:r>
      <w:r w:rsidR="0053674B">
        <w:rPr>
          <w:rFonts w:eastAsia="Times New Roman"/>
          <w:lang w:val="ru-RU"/>
        </w:rPr>
        <w:t>в</w:t>
      </w:r>
      <w:r w:rsidR="0053674B" w:rsidRPr="00592E30">
        <w:rPr>
          <w:rFonts w:eastAsia="Times New Roman"/>
          <w:lang w:val="ru-RU"/>
        </w:rPr>
        <w:t xml:space="preserve"> </w:t>
      </w:r>
      <w:r w:rsidR="0053674B">
        <w:rPr>
          <w:rFonts w:eastAsia="Times New Roman"/>
          <w:lang w:val="ru-RU"/>
        </w:rPr>
        <w:t>каждой</w:t>
      </w:r>
      <w:r w:rsidR="0053674B" w:rsidRPr="00592E30">
        <w:rPr>
          <w:rFonts w:eastAsia="Times New Roman"/>
          <w:lang w:val="ru-RU"/>
        </w:rPr>
        <w:t xml:space="preserve"> </w:t>
      </w:r>
      <w:r w:rsidR="0053674B">
        <w:rPr>
          <w:rFonts w:eastAsia="Times New Roman"/>
          <w:lang w:val="ru-RU"/>
        </w:rPr>
        <w:t>из</w:t>
      </w:r>
      <w:r w:rsidR="0053674B" w:rsidRPr="00592E30">
        <w:rPr>
          <w:rFonts w:eastAsia="Times New Roman"/>
          <w:lang w:val="ru-RU"/>
        </w:rPr>
        <w:t xml:space="preserve"> </w:t>
      </w:r>
      <w:r w:rsidR="0053674B">
        <w:rPr>
          <w:rFonts w:eastAsia="Times New Roman"/>
          <w:lang w:val="ru-RU"/>
        </w:rPr>
        <w:t>трех</w:t>
      </w:r>
      <w:r w:rsidR="0053674B" w:rsidRPr="00592E30">
        <w:rPr>
          <w:rFonts w:eastAsia="Times New Roman"/>
          <w:lang w:val="ru-RU"/>
        </w:rPr>
        <w:t xml:space="preserve"> </w:t>
      </w:r>
      <w:r w:rsidR="0053674B">
        <w:rPr>
          <w:rFonts w:eastAsia="Times New Roman"/>
          <w:lang w:val="ru-RU"/>
        </w:rPr>
        <w:t>стран</w:t>
      </w:r>
      <w:r w:rsidR="0053674B" w:rsidRPr="00592E30">
        <w:rPr>
          <w:rFonts w:eastAsia="Times New Roman"/>
          <w:lang w:val="ru-RU"/>
        </w:rPr>
        <w:t xml:space="preserve">: </w:t>
      </w:r>
      <w:r w:rsidR="0053674B">
        <w:rPr>
          <w:rFonts w:eastAsia="Times New Roman"/>
          <w:lang w:val="ru-RU"/>
        </w:rPr>
        <w:t>д</w:t>
      </w:r>
      <w:r w:rsidR="0053674B" w:rsidRPr="00592E30">
        <w:rPr>
          <w:rFonts w:eastAsia="Times New Roman"/>
          <w:lang w:val="ru-RU"/>
        </w:rPr>
        <w:t>-</w:t>
      </w:r>
      <w:r w:rsidR="0053674B">
        <w:rPr>
          <w:rFonts w:eastAsia="Times New Roman"/>
          <w:lang w:val="ru-RU"/>
        </w:rPr>
        <w:t>ром</w:t>
      </w:r>
      <w:r w:rsidR="0053674B" w:rsidRPr="00592E30">
        <w:rPr>
          <w:rFonts w:eastAsia="Times New Roman"/>
          <w:lang w:val="ru-RU"/>
        </w:rPr>
        <w:t xml:space="preserve"> </w:t>
      </w:r>
      <w:r w:rsidR="0053674B">
        <w:rPr>
          <w:rFonts w:eastAsia="Times New Roman"/>
          <w:lang w:val="ru-RU"/>
        </w:rPr>
        <w:t>Йозе</w:t>
      </w:r>
      <w:r w:rsidR="0053674B" w:rsidRPr="00592E30">
        <w:rPr>
          <w:rFonts w:eastAsia="Times New Roman"/>
          <w:lang w:val="ru-RU"/>
        </w:rPr>
        <w:t xml:space="preserve"> </w:t>
      </w:r>
      <w:r w:rsidR="0053674B">
        <w:rPr>
          <w:rFonts w:eastAsia="Times New Roman"/>
          <w:lang w:val="ru-RU"/>
        </w:rPr>
        <w:t>Ризал</w:t>
      </w:r>
      <w:r w:rsidR="00D95A39">
        <w:rPr>
          <w:rFonts w:eastAsia="Times New Roman"/>
          <w:lang w:val="ru-RU"/>
        </w:rPr>
        <w:t>ем</w:t>
      </w:r>
      <w:r w:rsidR="0053674B" w:rsidRPr="00592E30">
        <w:rPr>
          <w:rFonts w:eastAsia="Times New Roman"/>
          <w:lang w:val="ru-RU"/>
        </w:rPr>
        <w:t xml:space="preserve"> </w:t>
      </w:r>
      <w:r w:rsidR="0053674B">
        <w:rPr>
          <w:rFonts w:eastAsia="Times New Roman"/>
          <w:lang w:val="ru-RU"/>
        </w:rPr>
        <w:t>Даймури</w:t>
      </w:r>
      <w:r w:rsidR="0053674B" w:rsidRPr="00592E30">
        <w:rPr>
          <w:rFonts w:eastAsia="Times New Roman"/>
          <w:lang w:val="ru-RU"/>
        </w:rPr>
        <w:t xml:space="preserve">, </w:t>
      </w:r>
      <w:r w:rsidR="0053674B">
        <w:rPr>
          <w:rFonts w:eastAsia="Times New Roman"/>
          <w:lang w:val="ru-RU"/>
        </w:rPr>
        <w:t>Дэнди</w:t>
      </w:r>
      <w:r w:rsidR="0053674B" w:rsidRPr="00592E30">
        <w:rPr>
          <w:rFonts w:eastAsia="Times New Roman"/>
          <w:lang w:val="ru-RU"/>
        </w:rPr>
        <w:t xml:space="preserve"> </w:t>
      </w:r>
      <w:r w:rsidR="0053674B">
        <w:rPr>
          <w:rFonts w:eastAsia="Times New Roman"/>
          <w:lang w:val="ru-RU"/>
        </w:rPr>
        <w:t>Рафитранди</w:t>
      </w:r>
      <w:r w:rsidR="0053674B" w:rsidRPr="00592E30">
        <w:rPr>
          <w:rFonts w:eastAsia="Times New Roman"/>
          <w:lang w:val="ru-RU"/>
        </w:rPr>
        <w:t xml:space="preserve"> </w:t>
      </w:r>
      <w:r w:rsidR="0053674B">
        <w:rPr>
          <w:rFonts w:eastAsia="Times New Roman"/>
          <w:lang w:val="ru-RU"/>
        </w:rPr>
        <w:t>и</w:t>
      </w:r>
      <w:r w:rsidR="0053674B" w:rsidRPr="00592E30">
        <w:rPr>
          <w:rFonts w:eastAsia="Times New Roman"/>
          <w:lang w:val="ru-RU"/>
        </w:rPr>
        <w:t xml:space="preserve"> </w:t>
      </w:r>
      <w:r w:rsidR="00592E30">
        <w:rPr>
          <w:rFonts w:eastAsia="Times New Roman"/>
          <w:lang w:val="ru-RU"/>
        </w:rPr>
        <w:t>Илмой</w:t>
      </w:r>
      <w:r w:rsidR="00592E30" w:rsidRPr="00592E30">
        <w:rPr>
          <w:rFonts w:eastAsia="Times New Roman"/>
          <w:lang w:val="ru-RU"/>
        </w:rPr>
        <w:t xml:space="preserve"> </w:t>
      </w:r>
      <w:r w:rsidR="00592E30">
        <w:rPr>
          <w:rFonts w:eastAsia="Times New Roman"/>
          <w:lang w:val="ru-RU"/>
        </w:rPr>
        <w:t>Фадли</w:t>
      </w:r>
      <w:r w:rsidR="001A3B04">
        <w:rPr>
          <w:rFonts w:eastAsia="Times New Roman"/>
          <w:lang w:val="ru-RU"/>
        </w:rPr>
        <w:t xml:space="preserve">, </w:t>
      </w:r>
      <w:r w:rsidR="00592E30">
        <w:rPr>
          <w:rFonts w:eastAsia="Times New Roman"/>
          <w:lang w:val="ru-RU"/>
        </w:rPr>
        <w:t>Центр</w:t>
      </w:r>
      <w:r w:rsidR="00592E30" w:rsidRPr="00592E30">
        <w:rPr>
          <w:rFonts w:eastAsia="Times New Roman"/>
          <w:lang w:val="ru-RU"/>
        </w:rPr>
        <w:t xml:space="preserve"> </w:t>
      </w:r>
      <w:r w:rsidR="00592E30">
        <w:rPr>
          <w:rFonts w:eastAsia="Times New Roman"/>
          <w:lang w:val="ru-RU"/>
        </w:rPr>
        <w:t>по</w:t>
      </w:r>
      <w:r w:rsidR="00592E30" w:rsidRPr="00592E30">
        <w:rPr>
          <w:rFonts w:eastAsia="Times New Roman"/>
          <w:lang w:val="ru-RU"/>
        </w:rPr>
        <w:t xml:space="preserve"> </w:t>
      </w:r>
      <w:r w:rsidR="00592E30">
        <w:rPr>
          <w:rFonts w:eastAsia="Times New Roman"/>
          <w:lang w:val="ru-RU"/>
        </w:rPr>
        <w:t>стратегическим</w:t>
      </w:r>
      <w:r w:rsidR="00592E30" w:rsidRPr="00592E30">
        <w:rPr>
          <w:rFonts w:eastAsia="Times New Roman"/>
          <w:lang w:val="ru-RU"/>
        </w:rPr>
        <w:t xml:space="preserve"> </w:t>
      </w:r>
      <w:r w:rsidR="00592E30">
        <w:rPr>
          <w:rFonts w:eastAsia="Times New Roman"/>
          <w:lang w:val="ru-RU"/>
        </w:rPr>
        <w:t>и</w:t>
      </w:r>
      <w:r w:rsidR="00592E30" w:rsidRPr="00592E30">
        <w:rPr>
          <w:rFonts w:eastAsia="Times New Roman"/>
          <w:lang w:val="ru-RU"/>
        </w:rPr>
        <w:t xml:space="preserve"> </w:t>
      </w:r>
      <w:r w:rsidR="00592E30">
        <w:rPr>
          <w:rFonts w:eastAsia="Times New Roman"/>
          <w:lang w:val="ru-RU"/>
        </w:rPr>
        <w:t>международным</w:t>
      </w:r>
      <w:r w:rsidR="00592E30" w:rsidRPr="00592E30">
        <w:rPr>
          <w:rFonts w:eastAsia="Times New Roman"/>
          <w:lang w:val="ru-RU"/>
        </w:rPr>
        <w:t xml:space="preserve"> </w:t>
      </w:r>
      <w:r w:rsidR="00592E30">
        <w:rPr>
          <w:rFonts w:eastAsia="Times New Roman"/>
          <w:lang w:val="ru-RU"/>
        </w:rPr>
        <w:t>исследованиям</w:t>
      </w:r>
      <w:r w:rsidR="001A3B04">
        <w:rPr>
          <w:rFonts w:eastAsia="Times New Roman"/>
          <w:lang w:val="ru-RU"/>
        </w:rPr>
        <w:t xml:space="preserve">, </w:t>
      </w:r>
      <w:r w:rsidR="00592E30">
        <w:rPr>
          <w:rFonts w:eastAsia="Times New Roman"/>
          <w:lang w:val="ru-RU"/>
        </w:rPr>
        <w:t>Индонези</w:t>
      </w:r>
      <w:r w:rsidR="001A3B04">
        <w:rPr>
          <w:rFonts w:eastAsia="Times New Roman"/>
          <w:lang w:val="ru-RU"/>
        </w:rPr>
        <w:t>я</w:t>
      </w:r>
      <w:r w:rsidR="00592E30" w:rsidRPr="00592E30">
        <w:rPr>
          <w:rFonts w:eastAsia="Times New Roman"/>
          <w:lang w:val="ru-RU"/>
        </w:rPr>
        <w:t xml:space="preserve">; </w:t>
      </w:r>
      <w:r w:rsidR="00592E30">
        <w:rPr>
          <w:rFonts w:eastAsia="Times New Roman"/>
          <w:lang w:val="ru-RU"/>
        </w:rPr>
        <w:t>д</w:t>
      </w:r>
      <w:r w:rsidR="00592E30" w:rsidRPr="00592E30">
        <w:rPr>
          <w:rFonts w:eastAsia="Times New Roman"/>
          <w:lang w:val="ru-RU"/>
        </w:rPr>
        <w:t>-</w:t>
      </w:r>
      <w:r w:rsidR="00592E30">
        <w:rPr>
          <w:rFonts w:eastAsia="Times New Roman"/>
          <w:lang w:val="ru-RU"/>
        </w:rPr>
        <w:t>ром</w:t>
      </w:r>
      <w:r w:rsidR="00592E30" w:rsidRPr="00592E30">
        <w:rPr>
          <w:rFonts w:eastAsia="Times New Roman"/>
          <w:lang w:val="ru-RU"/>
        </w:rPr>
        <w:t xml:space="preserve"> </w:t>
      </w:r>
      <w:r w:rsidR="00592E30">
        <w:rPr>
          <w:rFonts w:eastAsia="Times New Roman"/>
          <w:lang w:val="ru-RU"/>
        </w:rPr>
        <w:t>Джорджем</w:t>
      </w:r>
      <w:r w:rsidR="00592E30" w:rsidRPr="00592E30">
        <w:rPr>
          <w:rFonts w:eastAsia="Times New Roman"/>
          <w:lang w:val="ru-RU"/>
        </w:rPr>
        <w:t xml:space="preserve"> </w:t>
      </w:r>
      <w:r w:rsidR="00592E30">
        <w:rPr>
          <w:rFonts w:eastAsia="Times New Roman"/>
          <w:lang w:val="ru-RU"/>
        </w:rPr>
        <w:t>Ман</w:t>
      </w:r>
      <w:r w:rsidR="00D95A39">
        <w:rPr>
          <w:rFonts w:eastAsia="Times New Roman"/>
        </w:rPr>
        <w:t>c</w:t>
      </w:r>
      <w:r w:rsidR="00592E30">
        <w:rPr>
          <w:rFonts w:eastAsia="Times New Roman"/>
          <w:lang w:val="ru-RU"/>
        </w:rPr>
        <w:t>ано</w:t>
      </w:r>
      <w:r w:rsidR="00592E30" w:rsidRPr="00592E30">
        <w:rPr>
          <w:rFonts w:eastAsia="Times New Roman"/>
          <w:lang w:val="ru-RU"/>
        </w:rPr>
        <w:t xml:space="preserve">, </w:t>
      </w:r>
      <w:r w:rsidR="00592E30">
        <w:rPr>
          <w:rFonts w:eastAsia="Times New Roman"/>
          <w:lang w:val="ru-RU"/>
        </w:rPr>
        <w:t>Мэри</w:t>
      </w:r>
      <w:r w:rsidR="00592E30" w:rsidRPr="00592E30">
        <w:rPr>
          <w:rFonts w:eastAsia="Times New Roman"/>
          <w:lang w:val="ru-RU"/>
        </w:rPr>
        <w:t xml:space="preserve"> </w:t>
      </w:r>
      <w:r w:rsidR="00592E30">
        <w:rPr>
          <w:rFonts w:eastAsia="Times New Roman"/>
          <w:lang w:val="ru-RU"/>
        </w:rPr>
        <w:t>Грэйс</w:t>
      </w:r>
      <w:r w:rsidR="00592E30" w:rsidRPr="00592E30">
        <w:rPr>
          <w:rFonts w:eastAsia="Times New Roman"/>
          <w:lang w:val="ru-RU"/>
        </w:rPr>
        <w:t xml:space="preserve"> </w:t>
      </w:r>
      <w:r w:rsidR="00592E30">
        <w:rPr>
          <w:rFonts w:eastAsia="Times New Roman"/>
          <w:lang w:val="ru-RU"/>
        </w:rPr>
        <w:t>Агнер</w:t>
      </w:r>
      <w:r w:rsidR="00592E30" w:rsidRPr="00592E30">
        <w:rPr>
          <w:rFonts w:eastAsia="Times New Roman"/>
          <w:lang w:val="ru-RU"/>
        </w:rPr>
        <w:t xml:space="preserve"> </w:t>
      </w:r>
      <w:r w:rsidR="00592E30">
        <w:rPr>
          <w:rFonts w:eastAsia="Times New Roman"/>
          <w:lang w:val="ru-RU"/>
        </w:rPr>
        <w:t>и</w:t>
      </w:r>
      <w:r w:rsidR="00592E30" w:rsidRPr="00592E30">
        <w:rPr>
          <w:rFonts w:eastAsia="Times New Roman"/>
          <w:lang w:val="ru-RU"/>
        </w:rPr>
        <w:t xml:space="preserve"> </w:t>
      </w:r>
      <w:r w:rsidR="00592E30">
        <w:rPr>
          <w:rFonts w:eastAsia="Times New Roman"/>
          <w:lang w:val="ru-RU"/>
        </w:rPr>
        <w:t>Никка Пе</w:t>
      </w:r>
      <w:r w:rsidR="00D95A39">
        <w:rPr>
          <w:rFonts w:eastAsia="Times New Roman"/>
          <w:lang w:val="ru-RU"/>
        </w:rPr>
        <w:t>с</w:t>
      </w:r>
      <w:r w:rsidR="00592E30">
        <w:rPr>
          <w:rFonts w:eastAsia="Times New Roman"/>
          <w:lang w:val="ru-RU"/>
        </w:rPr>
        <w:t>а</w:t>
      </w:r>
      <w:r w:rsidR="001A3B04">
        <w:rPr>
          <w:rFonts w:eastAsia="Times New Roman"/>
          <w:lang w:val="ru-RU"/>
        </w:rPr>
        <w:t>,</w:t>
      </w:r>
      <w:r w:rsidR="00592E30">
        <w:rPr>
          <w:rFonts w:eastAsia="Times New Roman"/>
          <w:lang w:val="ru-RU"/>
        </w:rPr>
        <w:t xml:space="preserve"> </w:t>
      </w:r>
      <w:r w:rsidR="00592E30" w:rsidRPr="00592E30">
        <w:rPr>
          <w:rFonts w:eastAsia="Times New Roman"/>
          <w:lang w:val="ru-RU"/>
        </w:rPr>
        <w:t>Азиатско-Тихоокеанск</w:t>
      </w:r>
      <w:r w:rsidR="001A3B04">
        <w:rPr>
          <w:rFonts w:eastAsia="Times New Roman"/>
          <w:lang w:val="ru-RU"/>
        </w:rPr>
        <w:t>ий</w:t>
      </w:r>
      <w:r w:rsidR="00592E30" w:rsidRPr="00592E30">
        <w:rPr>
          <w:rFonts w:eastAsia="Times New Roman"/>
          <w:lang w:val="ru-RU"/>
        </w:rPr>
        <w:t xml:space="preserve"> университет (UA&amp;P)</w:t>
      </w:r>
      <w:r w:rsidR="001A3B04">
        <w:rPr>
          <w:rFonts w:eastAsia="Times New Roman"/>
          <w:lang w:val="ru-RU"/>
        </w:rPr>
        <w:t xml:space="preserve">, </w:t>
      </w:r>
      <w:r w:rsidR="00592E30">
        <w:rPr>
          <w:rFonts w:eastAsia="Times New Roman"/>
          <w:lang w:val="ru-RU"/>
        </w:rPr>
        <w:t>Филиппин</w:t>
      </w:r>
      <w:r w:rsidR="001A3B04">
        <w:rPr>
          <w:rFonts w:eastAsia="Times New Roman"/>
          <w:lang w:val="ru-RU"/>
        </w:rPr>
        <w:t>ы,</w:t>
      </w:r>
      <w:r w:rsidR="00592E30">
        <w:rPr>
          <w:rFonts w:eastAsia="Times New Roman"/>
          <w:lang w:val="ru-RU"/>
        </w:rPr>
        <w:t xml:space="preserve"> и д-ром Деунден</w:t>
      </w:r>
      <w:r w:rsidR="00696978">
        <w:rPr>
          <w:rFonts w:eastAsia="Times New Roman"/>
          <w:lang w:val="ru-RU"/>
        </w:rPr>
        <w:t>ом Никомборирарком и Вираван Пайбунджит-ари</w:t>
      </w:r>
      <w:r w:rsidR="001A3B04">
        <w:rPr>
          <w:rFonts w:eastAsia="Times New Roman"/>
          <w:lang w:val="ru-RU"/>
        </w:rPr>
        <w:t xml:space="preserve">, </w:t>
      </w:r>
      <w:r w:rsidR="00696978" w:rsidRPr="00696978">
        <w:rPr>
          <w:rFonts w:eastAsia="Times New Roman"/>
          <w:lang w:val="ru-RU"/>
        </w:rPr>
        <w:t>Таиландск</w:t>
      </w:r>
      <w:r w:rsidR="001A3B04">
        <w:rPr>
          <w:rFonts w:eastAsia="Times New Roman"/>
          <w:lang w:val="ru-RU"/>
        </w:rPr>
        <w:t>ий</w:t>
      </w:r>
      <w:r w:rsidR="00696978" w:rsidRPr="00696978">
        <w:rPr>
          <w:rFonts w:eastAsia="Times New Roman"/>
          <w:lang w:val="ru-RU"/>
        </w:rPr>
        <w:t xml:space="preserve"> научно-исследовательск</w:t>
      </w:r>
      <w:r w:rsidR="001A3B04">
        <w:rPr>
          <w:rFonts w:eastAsia="Times New Roman"/>
          <w:lang w:val="ru-RU"/>
        </w:rPr>
        <w:t>ий</w:t>
      </w:r>
      <w:r w:rsidR="00696978" w:rsidRPr="00696978">
        <w:rPr>
          <w:rFonts w:eastAsia="Times New Roman"/>
          <w:lang w:val="ru-RU"/>
        </w:rPr>
        <w:t xml:space="preserve"> институт проблем развития (</w:t>
      </w:r>
      <w:r w:rsidR="0078248B">
        <w:t>TDRI</w:t>
      </w:r>
      <w:r w:rsidR="00696978" w:rsidRPr="00696978">
        <w:rPr>
          <w:rFonts w:eastAsia="Times New Roman"/>
          <w:lang w:val="ru-RU"/>
        </w:rPr>
        <w:t>)</w:t>
      </w:r>
      <w:r w:rsidR="001A3B04">
        <w:rPr>
          <w:rFonts w:eastAsia="Times New Roman"/>
          <w:lang w:val="ru-RU"/>
        </w:rPr>
        <w:t>,</w:t>
      </w:r>
      <w:r w:rsidR="00696978" w:rsidRPr="00696978">
        <w:rPr>
          <w:rFonts w:eastAsia="Times New Roman"/>
          <w:lang w:val="ru-RU"/>
        </w:rPr>
        <w:t xml:space="preserve"> </w:t>
      </w:r>
      <w:r w:rsidR="00696978">
        <w:rPr>
          <w:rFonts w:eastAsia="Times New Roman"/>
          <w:lang w:val="ru-RU"/>
        </w:rPr>
        <w:t xml:space="preserve">Таиланд. Его прорецензировала </w:t>
      </w:r>
      <w:r w:rsidR="001A3B04">
        <w:rPr>
          <w:rFonts w:eastAsia="Times New Roman"/>
          <w:lang w:val="ru-RU"/>
        </w:rPr>
        <w:t xml:space="preserve">г-жа </w:t>
      </w:r>
      <w:r w:rsidR="00696978" w:rsidRPr="00696978">
        <w:rPr>
          <w:rFonts w:eastAsia="Times New Roman"/>
          <w:lang w:val="ru-RU"/>
        </w:rPr>
        <w:t>Мириам Мариани</w:t>
      </w:r>
      <w:r w:rsidR="00696978">
        <w:rPr>
          <w:rFonts w:eastAsia="Times New Roman"/>
          <w:lang w:val="ru-RU"/>
        </w:rPr>
        <w:t xml:space="preserve">, профессор </w:t>
      </w:r>
      <w:r w:rsidR="00696978" w:rsidRPr="00696978">
        <w:rPr>
          <w:rFonts w:eastAsia="Times New Roman"/>
          <w:lang w:val="ru-RU"/>
        </w:rPr>
        <w:t>Университета Боккони</w:t>
      </w:r>
      <w:r w:rsidR="001A3B04">
        <w:rPr>
          <w:rFonts w:eastAsia="Times New Roman"/>
          <w:lang w:val="ru-RU"/>
        </w:rPr>
        <w:t xml:space="preserve">, г. </w:t>
      </w:r>
      <w:r w:rsidR="00696978" w:rsidRPr="00696978">
        <w:rPr>
          <w:rFonts w:eastAsia="Times New Roman"/>
          <w:lang w:val="ru-RU"/>
        </w:rPr>
        <w:t>Милан, Италия.</w:t>
      </w:r>
      <w:r w:rsidR="000866E8" w:rsidRPr="00696978">
        <w:rPr>
          <w:rFonts w:eastAsia="Times New Roman"/>
          <w:lang w:val="ru-RU"/>
        </w:rPr>
        <w:t xml:space="preserve"> </w:t>
      </w:r>
      <w:r w:rsidR="00C03AA4" w:rsidRPr="00696978">
        <w:rPr>
          <w:rFonts w:eastAsia="Times New Roman"/>
          <w:lang w:val="ru-RU"/>
        </w:rPr>
        <w:t xml:space="preserve"> </w:t>
      </w:r>
    </w:p>
    <w:p w:rsidR="00650A29" w:rsidRPr="00696978" w:rsidRDefault="00650A29" w:rsidP="00C943E5">
      <w:pPr>
        <w:rPr>
          <w:rFonts w:eastAsia="Times New Roman"/>
          <w:lang w:val="ru-RU"/>
        </w:rPr>
      </w:pPr>
    </w:p>
    <w:p w:rsidR="00C943E5" w:rsidRPr="00696978" w:rsidRDefault="006A61E2" w:rsidP="00504D19">
      <w:pPr>
        <w:tabs>
          <w:tab w:val="left" w:pos="567"/>
        </w:tabs>
        <w:ind w:left="5533"/>
        <w:rPr>
          <w:i/>
          <w:lang w:val="ru-RU"/>
        </w:rPr>
      </w:pPr>
      <w:r w:rsidRPr="00696978">
        <w:rPr>
          <w:i/>
          <w:iCs/>
          <w:lang w:val="ru-RU"/>
        </w:rPr>
        <w:t>3.</w:t>
      </w:r>
      <w:r w:rsidRPr="00696978">
        <w:rPr>
          <w:i/>
          <w:iCs/>
          <w:lang w:val="ru-RU"/>
        </w:rPr>
        <w:tab/>
      </w:r>
      <w:r w:rsidR="00696978" w:rsidRPr="00696978">
        <w:rPr>
          <w:i/>
          <w:lang w:val="ru-RU"/>
        </w:rPr>
        <w:t>КРИС предлагается принять к сведению информацию, содержащуюся в приложении к настоящему документу.</w:t>
      </w:r>
    </w:p>
    <w:p w:rsidR="00C943E5" w:rsidRPr="00696978" w:rsidRDefault="00C943E5" w:rsidP="00C943E5">
      <w:pPr>
        <w:ind w:left="5534"/>
        <w:rPr>
          <w:lang w:val="ru-RU"/>
        </w:rPr>
      </w:pPr>
    </w:p>
    <w:p w:rsidR="00C943E5" w:rsidRPr="00696978" w:rsidRDefault="00C943E5" w:rsidP="00C943E5">
      <w:pPr>
        <w:ind w:left="5534"/>
        <w:rPr>
          <w:lang w:val="ru-RU"/>
        </w:rPr>
      </w:pPr>
    </w:p>
    <w:p w:rsidR="00C943E5" w:rsidRPr="00696978" w:rsidRDefault="00C943E5" w:rsidP="00C943E5">
      <w:pPr>
        <w:ind w:left="5534"/>
        <w:rPr>
          <w:lang w:val="ru-RU"/>
        </w:rPr>
      </w:pPr>
    </w:p>
    <w:p w:rsidR="00C943E5" w:rsidRPr="00B16FFE" w:rsidRDefault="00C943E5" w:rsidP="00504D19">
      <w:pPr>
        <w:pStyle w:val="Endofdocument-Annex"/>
        <w:rPr>
          <w:lang w:val="ru-RU"/>
        </w:rPr>
      </w:pPr>
      <w:r w:rsidRPr="00B16FFE">
        <w:rPr>
          <w:lang w:val="ru-RU"/>
        </w:rPr>
        <w:t>[</w:t>
      </w:r>
      <w:r w:rsidR="00696978" w:rsidRPr="00B16FFE">
        <w:rPr>
          <w:lang w:val="ru-RU"/>
        </w:rPr>
        <w:t>Приложение следует</w:t>
      </w:r>
      <w:r w:rsidRPr="00B16FFE">
        <w:rPr>
          <w:lang w:val="ru-RU"/>
        </w:rPr>
        <w:t>]</w:t>
      </w:r>
    </w:p>
    <w:p w:rsidR="00C943E5" w:rsidRPr="00B16FFE" w:rsidRDefault="00C943E5" w:rsidP="00C943E5">
      <w:pPr>
        <w:rPr>
          <w:lang w:val="ru-RU"/>
        </w:rPr>
        <w:sectPr w:rsidR="00C943E5" w:rsidRPr="00B16FFE" w:rsidSect="00D27B33">
          <w:headerReference w:type="default" r:id="rId9"/>
          <w:footerReference w:type="default" r:id="rId10"/>
          <w:pgSz w:w="11907" w:h="16839" w:code="9"/>
          <w:pgMar w:top="567" w:right="1134" w:bottom="1418" w:left="1418" w:header="0" w:footer="720" w:gutter="0"/>
          <w:pgNumType w:start="1"/>
          <w:cols w:space="720"/>
          <w:titlePg/>
          <w:docGrid w:linePitch="299"/>
        </w:sectPr>
      </w:pPr>
    </w:p>
    <w:p w:rsidR="000866E8" w:rsidRPr="00B16FFE" w:rsidRDefault="009F013F" w:rsidP="000866E8">
      <w:pPr>
        <w:rPr>
          <w:b/>
          <w:bCs/>
          <w:lang w:val="ru-RU"/>
        </w:rPr>
      </w:pPr>
      <w:r>
        <w:rPr>
          <w:b/>
          <w:bCs/>
          <w:lang w:val="ru-RU"/>
        </w:rPr>
        <w:lastRenderedPageBreak/>
        <w:t>Концепция</w:t>
      </w:r>
      <w:r w:rsidRPr="00B16FFE">
        <w:rPr>
          <w:b/>
          <w:bCs/>
          <w:lang w:val="ru-RU"/>
        </w:rPr>
        <w:t xml:space="preserve"> </w:t>
      </w:r>
      <w:r>
        <w:rPr>
          <w:b/>
          <w:bCs/>
          <w:lang w:val="ru-RU"/>
        </w:rPr>
        <w:t>использования</w:t>
      </w:r>
      <w:r w:rsidRPr="00B16FFE">
        <w:rPr>
          <w:b/>
          <w:bCs/>
          <w:lang w:val="ru-RU"/>
        </w:rPr>
        <w:t xml:space="preserve"> </w:t>
      </w:r>
      <w:r>
        <w:rPr>
          <w:b/>
          <w:bCs/>
          <w:lang w:val="ru-RU"/>
        </w:rPr>
        <w:t>промышленных</w:t>
      </w:r>
      <w:r w:rsidRPr="00B16FFE">
        <w:rPr>
          <w:b/>
          <w:bCs/>
          <w:lang w:val="ru-RU"/>
        </w:rPr>
        <w:t xml:space="preserve"> </w:t>
      </w:r>
      <w:r>
        <w:rPr>
          <w:b/>
          <w:bCs/>
          <w:lang w:val="ru-RU"/>
        </w:rPr>
        <w:t>образцов</w:t>
      </w:r>
      <w:r w:rsidRPr="00B16FFE">
        <w:rPr>
          <w:b/>
          <w:bCs/>
          <w:lang w:val="ru-RU"/>
        </w:rPr>
        <w:t xml:space="preserve"> </w:t>
      </w:r>
      <w:r w:rsidR="00A20351">
        <w:rPr>
          <w:b/>
          <w:bCs/>
          <w:lang w:val="ru-RU"/>
        </w:rPr>
        <w:t>в</w:t>
      </w:r>
      <w:r w:rsidR="00A20351" w:rsidRPr="00B16FFE">
        <w:rPr>
          <w:b/>
          <w:bCs/>
          <w:lang w:val="ru-RU"/>
        </w:rPr>
        <w:t xml:space="preserve"> </w:t>
      </w:r>
      <w:r w:rsidR="00A20351">
        <w:rPr>
          <w:b/>
          <w:bCs/>
          <w:lang w:val="ru-RU"/>
        </w:rPr>
        <w:t>Юго</w:t>
      </w:r>
      <w:r w:rsidR="00A20351" w:rsidRPr="00B16FFE">
        <w:rPr>
          <w:b/>
          <w:bCs/>
          <w:lang w:val="ru-RU"/>
        </w:rPr>
        <w:t>-</w:t>
      </w:r>
      <w:r w:rsidR="00A20351">
        <w:rPr>
          <w:b/>
          <w:bCs/>
          <w:lang w:val="ru-RU"/>
        </w:rPr>
        <w:t>Восточной</w:t>
      </w:r>
      <w:r w:rsidR="00A20351" w:rsidRPr="00B16FFE">
        <w:rPr>
          <w:b/>
          <w:bCs/>
          <w:lang w:val="ru-RU"/>
        </w:rPr>
        <w:t xml:space="preserve"> </w:t>
      </w:r>
      <w:r w:rsidR="00A20351">
        <w:rPr>
          <w:b/>
          <w:bCs/>
          <w:lang w:val="ru-RU"/>
        </w:rPr>
        <w:t>Азии</w:t>
      </w:r>
      <w:r w:rsidR="00A20351" w:rsidRPr="00B16FFE">
        <w:rPr>
          <w:b/>
          <w:bCs/>
          <w:lang w:val="ru-RU"/>
        </w:rPr>
        <w:t xml:space="preserve"> </w:t>
      </w:r>
      <w:r w:rsidR="00A20351">
        <w:rPr>
          <w:b/>
          <w:bCs/>
          <w:lang w:val="ru-RU"/>
        </w:rPr>
        <w:t>на</w:t>
      </w:r>
      <w:r w:rsidR="00A20351" w:rsidRPr="00B16FFE">
        <w:rPr>
          <w:b/>
          <w:bCs/>
          <w:lang w:val="ru-RU"/>
        </w:rPr>
        <w:t xml:space="preserve"> </w:t>
      </w:r>
      <w:r w:rsidR="00A20351">
        <w:rPr>
          <w:b/>
          <w:bCs/>
          <w:lang w:val="ru-RU"/>
        </w:rPr>
        <w:t>примере</w:t>
      </w:r>
      <w:r w:rsidR="00A20351" w:rsidRPr="00B16FFE">
        <w:rPr>
          <w:b/>
          <w:bCs/>
          <w:lang w:val="ru-RU"/>
        </w:rPr>
        <w:t xml:space="preserve"> </w:t>
      </w:r>
      <w:r w:rsidR="00A20351">
        <w:rPr>
          <w:b/>
          <w:bCs/>
          <w:lang w:val="ru-RU"/>
        </w:rPr>
        <w:t>Индонезии</w:t>
      </w:r>
      <w:r w:rsidR="00A20351" w:rsidRPr="00B16FFE">
        <w:rPr>
          <w:b/>
          <w:bCs/>
          <w:lang w:val="ru-RU"/>
        </w:rPr>
        <w:t xml:space="preserve">, </w:t>
      </w:r>
      <w:r w:rsidR="00A20351">
        <w:rPr>
          <w:b/>
          <w:bCs/>
          <w:lang w:val="ru-RU"/>
        </w:rPr>
        <w:t>Филиппин</w:t>
      </w:r>
      <w:r w:rsidR="00A20351" w:rsidRPr="00B16FFE">
        <w:rPr>
          <w:b/>
          <w:bCs/>
          <w:lang w:val="ru-RU"/>
        </w:rPr>
        <w:t xml:space="preserve"> </w:t>
      </w:r>
      <w:r w:rsidR="00A20351">
        <w:rPr>
          <w:b/>
          <w:bCs/>
          <w:lang w:val="ru-RU"/>
        </w:rPr>
        <w:t>и</w:t>
      </w:r>
      <w:r w:rsidR="00A20351" w:rsidRPr="00B16FFE">
        <w:rPr>
          <w:b/>
          <w:bCs/>
          <w:lang w:val="ru-RU"/>
        </w:rPr>
        <w:t xml:space="preserve"> </w:t>
      </w:r>
      <w:r w:rsidR="00A20351">
        <w:rPr>
          <w:b/>
          <w:bCs/>
          <w:lang w:val="ru-RU"/>
        </w:rPr>
        <w:t>Таиланда</w:t>
      </w:r>
      <w:r w:rsidR="00A20351" w:rsidRPr="00B16FFE">
        <w:rPr>
          <w:b/>
          <w:bCs/>
          <w:lang w:val="ru-RU"/>
        </w:rPr>
        <w:t xml:space="preserve"> </w:t>
      </w:r>
    </w:p>
    <w:p w:rsidR="000866E8" w:rsidRPr="00B16FFE" w:rsidRDefault="000866E8" w:rsidP="000866E8">
      <w:pPr>
        <w:rPr>
          <w:lang w:val="ru-RU"/>
        </w:rPr>
      </w:pPr>
    </w:p>
    <w:p w:rsidR="000866E8" w:rsidRPr="002F38B4" w:rsidRDefault="00F76327" w:rsidP="000866E8">
      <w:pPr>
        <w:rPr>
          <w:lang w:val="ru-RU"/>
        </w:rPr>
      </w:pPr>
      <w:r w:rsidRPr="00F76327">
        <w:rPr>
          <w:lang w:val="ru-RU"/>
        </w:rPr>
        <w:t xml:space="preserve">Получены определенные аналитические данные относительно того, как охрана промышленных образцов (ПО) способствует </w:t>
      </w:r>
      <w:r w:rsidR="001B292E">
        <w:rPr>
          <w:lang w:val="ru-RU"/>
        </w:rPr>
        <w:t>разработке новых образцов</w:t>
      </w:r>
      <w:r w:rsidRPr="00F76327">
        <w:rPr>
          <w:lang w:val="ru-RU"/>
        </w:rPr>
        <w:t>, р</w:t>
      </w:r>
      <w:r w:rsidR="001B292E">
        <w:rPr>
          <w:lang w:val="ru-RU"/>
        </w:rPr>
        <w:t>асширению бизнеса</w:t>
      </w:r>
      <w:r w:rsidRPr="00F76327">
        <w:rPr>
          <w:lang w:val="ru-RU"/>
        </w:rPr>
        <w:t xml:space="preserve"> и экономическому развитию в целом.  Статистика ВОИС свидетельствует о том, что на страны с высоким</w:t>
      </w:r>
      <w:r w:rsidR="001B292E">
        <w:rPr>
          <w:lang w:val="ru-RU"/>
        </w:rPr>
        <w:t>и</w:t>
      </w:r>
      <w:r w:rsidRPr="00F76327">
        <w:rPr>
          <w:lang w:val="ru-RU"/>
        </w:rPr>
        <w:t xml:space="preserve"> уровн</w:t>
      </w:r>
      <w:r w:rsidR="001B292E">
        <w:rPr>
          <w:lang w:val="ru-RU"/>
        </w:rPr>
        <w:t>я</w:t>
      </w:r>
      <w:r w:rsidRPr="00F76327">
        <w:rPr>
          <w:lang w:val="ru-RU"/>
        </w:rPr>
        <w:t>м</w:t>
      </w:r>
      <w:r w:rsidR="001B292E">
        <w:rPr>
          <w:lang w:val="ru-RU"/>
        </w:rPr>
        <w:t>и</w:t>
      </w:r>
      <w:r w:rsidRPr="00F76327">
        <w:rPr>
          <w:lang w:val="ru-RU"/>
        </w:rPr>
        <w:t xml:space="preserve"> доход</w:t>
      </w:r>
      <w:r w:rsidR="001B292E">
        <w:rPr>
          <w:lang w:val="ru-RU"/>
        </w:rPr>
        <w:t>ов</w:t>
      </w:r>
      <w:r w:rsidRPr="00F76327">
        <w:rPr>
          <w:lang w:val="ru-RU"/>
        </w:rPr>
        <w:t xml:space="preserve"> и Китай приходится подавляющее большинство заявок на регистрацию </w:t>
      </w:r>
      <w:r w:rsidRPr="002F38B4">
        <w:rPr>
          <w:lang w:val="ru-RU"/>
        </w:rPr>
        <w:t>ПО во всем мире</w:t>
      </w:r>
      <w:r w:rsidR="000866E8" w:rsidRPr="002F38B4">
        <w:rPr>
          <w:lang w:val="ru-RU"/>
        </w:rPr>
        <w:t>.</w:t>
      </w:r>
      <w:r w:rsidR="000866E8" w:rsidRPr="000866E8">
        <w:rPr>
          <w:vertAlign w:val="superscript"/>
        </w:rPr>
        <w:footnoteReference w:id="2"/>
      </w:r>
      <w:r w:rsidR="000866E8" w:rsidRPr="002F38B4">
        <w:rPr>
          <w:lang w:val="ru-RU"/>
        </w:rPr>
        <w:t xml:space="preserve">  </w:t>
      </w:r>
      <w:r w:rsidR="002F38B4" w:rsidRPr="002F38B4">
        <w:rPr>
          <w:lang w:val="ru-RU"/>
        </w:rPr>
        <w:t xml:space="preserve">Исследования показали, что промышленные образцы часто дополняют другие формы прав ИС для поддержки коммерциализации новых продуктов, включающих технологические инновации.  Кроме того, в некоторых “низкотехнологичных” отраслях </w:t>
      </w:r>
      <w:r w:rsidR="00D84DF1">
        <w:rPr>
          <w:lang w:val="ru-RU"/>
        </w:rPr>
        <w:t xml:space="preserve">производства </w:t>
      </w:r>
      <w:r w:rsidR="002F38B4" w:rsidRPr="002F38B4">
        <w:rPr>
          <w:lang w:val="ru-RU"/>
        </w:rPr>
        <w:t xml:space="preserve">потребительских товаров художественная привлекательность может сыграть важную роль в создании </w:t>
      </w:r>
      <w:r w:rsidR="00956492">
        <w:rPr>
          <w:lang w:val="ru-RU"/>
        </w:rPr>
        <w:t xml:space="preserve">компаниями </w:t>
      </w:r>
      <w:r w:rsidR="002F38B4" w:rsidRPr="002F38B4">
        <w:rPr>
          <w:lang w:val="ru-RU"/>
        </w:rPr>
        <w:t xml:space="preserve">дифференцированного потребительского опыта и, таким образом, получении преимущества </w:t>
      </w:r>
      <w:r w:rsidR="001B292E">
        <w:rPr>
          <w:lang w:val="ru-RU"/>
        </w:rPr>
        <w:t>перед конкурентами</w:t>
      </w:r>
      <w:r w:rsidR="000866E8" w:rsidRPr="002F38B4">
        <w:rPr>
          <w:lang w:val="ru-RU"/>
        </w:rPr>
        <w:t>.</w:t>
      </w:r>
      <w:r w:rsidR="000866E8" w:rsidRPr="000866E8">
        <w:rPr>
          <w:vertAlign w:val="superscript"/>
        </w:rPr>
        <w:footnoteReference w:id="3"/>
      </w:r>
    </w:p>
    <w:p w:rsidR="000866E8" w:rsidRPr="002F38B4" w:rsidRDefault="000866E8" w:rsidP="000866E8">
      <w:pPr>
        <w:rPr>
          <w:lang w:val="ru-RU"/>
        </w:rPr>
      </w:pPr>
    </w:p>
    <w:p w:rsidR="000866E8" w:rsidRPr="00E84A27" w:rsidRDefault="00E84A27" w:rsidP="000866E8">
      <w:pPr>
        <w:rPr>
          <w:lang w:val="ru-RU"/>
        </w:rPr>
      </w:pPr>
      <w:r w:rsidRPr="00E84A27">
        <w:rPr>
          <w:lang w:val="ru-RU"/>
        </w:rPr>
        <w:t xml:space="preserve">В странах с низкими и средними уровнями доходов число заявок на регистрацию ПО часто невелико; иногда нерезиденты подают национальные заявки на регистрацию.   Однако есть исключения.  Некоторые страны со средними уровнями доходов в Юго-Восточной Азии, в частности, Индонезия, Филиппины, Таиланд и Вьетнам, </w:t>
      </w:r>
      <w:r w:rsidR="00D84DF1">
        <w:rPr>
          <w:lang w:val="ru-RU"/>
        </w:rPr>
        <w:t>активно</w:t>
      </w:r>
      <w:r w:rsidRPr="00E84A27">
        <w:rPr>
          <w:lang w:val="ru-RU"/>
        </w:rPr>
        <w:t xml:space="preserve"> используют систему для подачи нескольких тысяч заявок на регистрацию ПО </w:t>
      </w:r>
      <w:r w:rsidR="00D84DF1">
        <w:rPr>
          <w:lang w:val="ru-RU"/>
        </w:rPr>
        <w:t>ежегодно</w:t>
      </w:r>
      <w:r w:rsidRPr="00E84A27">
        <w:rPr>
          <w:lang w:val="ru-RU"/>
        </w:rPr>
        <w:t xml:space="preserve">.  Кроме того, на долю местных пользователей </w:t>
      </w:r>
      <w:r w:rsidR="00D84DF1">
        <w:rPr>
          <w:lang w:val="ru-RU"/>
        </w:rPr>
        <w:t xml:space="preserve">системы </w:t>
      </w:r>
      <w:r w:rsidR="00F40C2A" w:rsidRPr="00E84A27">
        <w:rPr>
          <w:lang w:val="ru-RU"/>
        </w:rPr>
        <w:t>приходится</w:t>
      </w:r>
      <w:r w:rsidRPr="00E84A27">
        <w:rPr>
          <w:lang w:val="ru-RU"/>
        </w:rPr>
        <w:t xml:space="preserve"> большинство</w:t>
      </w:r>
      <w:r w:rsidR="00D84DF1">
        <w:rPr>
          <w:lang w:val="ru-RU"/>
        </w:rPr>
        <w:t xml:space="preserve"> </w:t>
      </w:r>
      <w:r w:rsidRPr="00E84A27">
        <w:rPr>
          <w:lang w:val="ru-RU"/>
        </w:rPr>
        <w:t>заявок в этих странах, в отличие от патентов, где самую большую группу пользователей составляют нерезиденты</w:t>
      </w:r>
      <w:r w:rsidR="000866E8" w:rsidRPr="00E84A27">
        <w:rPr>
          <w:lang w:val="ru-RU"/>
        </w:rPr>
        <w:t>.</w:t>
      </w:r>
    </w:p>
    <w:p w:rsidR="000866E8" w:rsidRPr="00E84A27" w:rsidRDefault="000866E8" w:rsidP="000866E8">
      <w:pPr>
        <w:rPr>
          <w:lang w:val="ru-RU"/>
        </w:rPr>
      </w:pPr>
    </w:p>
    <w:p w:rsidR="000866E8" w:rsidRPr="00E77FB2" w:rsidRDefault="007F66DD" w:rsidP="000866E8">
      <w:pPr>
        <w:rPr>
          <w:lang w:val="ru-RU"/>
        </w:rPr>
      </w:pPr>
      <w:r w:rsidRPr="007F66DD">
        <w:rPr>
          <w:lang w:val="ru-RU"/>
        </w:rPr>
        <w:t>Чтобы лучше изучить вопрос о роли охраны промышленных образцов в странах со средними уровнями доходов, Отдел экономики и статистики ВОИС (ОЭС) инициировал региональное исследование с участием трех стран Юго-Восточной Азии, а именно Индонезии, Филиппин и Таиланда</w:t>
      </w:r>
      <w:r w:rsidR="000866E8" w:rsidRPr="007F66DD">
        <w:rPr>
          <w:lang w:val="ru-RU"/>
        </w:rPr>
        <w:t>.</w:t>
      </w:r>
      <w:r w:rsidR="000866E8" w:rsidRPr="000866E8">
        <w:rPr>
          <w:vertAlign w:val="superscript"/>
        </w:rPr>
        <w:footnoteReference w:id="4"/>
      </w:r>
      <w:r w:rsidR="000866E8" w:rsidRPr="007F66DD">
        <w:rPr>
          <w:lang w:val="ru-RU"/>
        </w:rPr>
        <w:t xml:space="preserve">  </w:t>
      </w:r>
      <w:r w:rsidR="00E77FB2" w:rsidRPr="00E77FB2">
        <w:rPr>
          <w:lang w:val="ru-RU"/>
        </w:rPr>
        <w:t>По своей сути исследование было направлено на сбор первичных данных об использовании интеллектуальной собственности (ИС) в странах со средними уровнями доходов путем о</w:t>
      </w:r>
      <w:r w:rsidR="005109F6">
        <w:rPr>
          <w:lang w:val="ru-RU"/>
        </w:rPr>
        <w:t>проса</w:t>
      </w:r>
      <w:r w:rsidR="00E77FB2" w:rsidRPr="00E77FB2">
        <w:rPr>
          <w:lang w:val="ru-RU"/>
        </w:rPr>
        <w:t xml:space="preserve"> местных пользователей ПО в этих трех странах</w:t>
      </w:r>
      <w:r w:rsidR="000866E8" w:rsidRPr="00E77FB2">
        <w:rPr>
          <w:lang w:val="ru-RU"/>
        </w:rPr>
        <w:t xml:space="preserve">. </w:t>
      </w:r>
    </w:p>
    <w:p w:rsidR="000866E8" w:rsidRPr="00E77FB2" w:rsidRDefault="000866E8" w:rsidP="000866E8">
      <w:pPr>
        <w:rPr>
          <w:lang w:val="ru-RU"/>
        </w:rPr>
      </w:pPr>
    </w:p>
    <w:p w:rsidR="000866E8" w:rsidRPr="00EF75C7" w:rsidRDefault="00E77FB2" w:rsidP="000866E8">
      <w:pPr>
        <w:rPr>
          <w:lang w:val="ru-RU"/>
        </w:rPr>
      </w:pPr>
      <w:r w:rsidRPr="00E77FB2">
        <w:rPr>
          <w:lang w:val="ru-RU"/>
        </w:rPr>
        <w:t xml:space="preserve">Следует отметить, что Таиланд уже принимал участие в </w:t>
      </w:r>
      <w:r w:rsidR="00D84DF1">
        <w:rPr>
          <w:lang w:val="ru-RU"/>
        </w:rPr>
        <w:t xml:space="preserve">осуществлении </w:t>
      </w:r>
      <w:r w:rsidRPr="00E77FB2">
        <w:rPr>
          <w:lang w:val="ru-RU"/>
        </w:rPr>
        <w:t>перво</w:t>
      </w:r>
      <w:r w:rsidR="00D84DF1">
        <w:rPr>
          <w:lang w:val="ru-RU"/>
        </w:rPr>
        <w:t>го</w:t>
      </w:r>
      <w:r w:rsidRPr="00E77FB2">
        <w:rPr>
          <w:lang w:val="ru-RU"/>
        </w:rPr>
        <w:t xml:space="preserve"> этап</w:t>
      </w:r>
      <w:r w:rsidR="00D84DF1">
        <w:rPr>
          <w:lang w:val="ru-RU"/>
        </w:rPr>
        <w:t>а</w:t>
      </w:r>
      <w:r w:rsidRPr="00E77FB2">
        <w:rPr>
          <w:lang w:val="ru-RU"/>
        </w:rPr>
        <w:t xml:space="preserve"> зонтичного проекта КРИС </w:t>
      </w:r>
      <w:r>
        <w:rPr>
          <w:lang w:val="ru-RU"/>
        </w:rPr>
        <w:t>«</w:t>
      </w:r>
      <w:r w:rsidRPr="00E77FB2">
        <w:rPr>
          <w:lang w:val="ru-RU"/>
        </w:rPr>
        <w:t>ИС и социально-экономическое развитие</w:t>
      </w:r>
      <w:r>
        <w:rPr>
          <w:lang w:val="ru-RU"/>
        </w:rPr>
        <w:t>»</w:t>
      </w:r>
      <w:r w:rsidR="000866E8" w:rsidRPr="00E77FB2">
        <w:rPr>
          <w:lang w:val="ru-RU"/>
        </w:rPr>
        <w:t>.</w:t>
      </w:r>
      <w:r w:rsidR="000866E8" w:rsidRPr="000866E8">
        <w:rPr>
          <w:vertAlign w:val="superscript"/>
        </w:rPr>
        <w:footnoteReference w:id="5"/>
      </w:r>
      <w:r w:rsidR="000866E8" w:rsidRPr="00E77FB2">
        <w:rPr>
          <w:lang w:val="ru-RU"/>
        </w:rPr>
        <w:t xml:space="preserve">  </w:t>
      </w:r>
      <w:r w:rsidR="00EF75C7">
        <w:rPr>
          <w:lang w:val="ru-RU"/>
        </w:rPr>
        <w:t>Филиппины</w:t>
      </w:r>
      <w:r w:rsidR="00EF75C7" w:rsidRPr="00EF75C7">
        <w:rPr>
          <w:lang w:val="ru-RU"/>
        </w:rPr>
        <w:t xml:space="preserve"> </w:t>
      </w:r>
      <w:r w:rsidR="00EF75C7">
        <w:rPr>
          <w:lang w:val="ru-RU"/>
        </w:rPr>
        <w:t>и</w:t>
      </w:r>
      <w:r w:rsidR="00EF75C7" w:rsidRPr="00EF75C7">
        <w:rPr>
          <w:lang w:val="ru-RU"/>
        </w:rPr>
        <w:t xml:space="preserve"> </w:t>
      </w:r>
      <w:r w:rsidR="00EF75C7">
        <w:rPr>
          <w:lang w:val="ru-RU"/>
        </w:rPr>
        <w:t>Индонезия</w:t>
      </w:r>
      <w:r w:rsidR="00EF75C7" w:rsidRPr="00EF75C7">
        <w:rPr>
          <w:lang w:val="ru-RU"/>
        </w:rPr>
        <w:t xml:space="preserve"> </w:t>
      </w:r>
      <w:r w:rsidR="00EF75C7">
        <w:rPr>
          <w:lang w:val="ru-RU"/>
        </w:rPr>
        <w:t>являются</w:t>
      </w:r>
      <w:r w:rsidR="00EF75C7" w:rsidRPr="00EF75C7">
        <w:rPr>
          <w:lang w:val="ru-RU"/>
        </w:rPr>
        <w:t xml:space="preserve"> </w:t>
      </w:r>
      <w:r w:rsidR="00EF75C7">
        <w:rPr>
          <w:lang w:val="ru-RU"/>
        </w:rPr>
        <w:t>новыми</w:t>
      </w:r>
      <w:r w:rsidR="00EF75C7" w:rsidRPr="00EF75C7">
        <w:rPr>
          <w:lang w:val="ru-RU"/>
        </w:rPr>
        <w:t xml:space="preserve"> </w:t>
      </w:r>
      <w:r w:rsidR="00EF75C7">
        <w:rPr>
          <w:lang w:val="ru-RU"/>
        </w:rPr>
        <w:t>участниками</w:t>
      </w:r>
      <w:r w:rsidR="00EF75C7" w:rsidRPr="00EF75C7">
        <w:rPr>
          <w:lang w:val="ru-RU"/>
        </w:rPr>
        <w:t xml:space="preserve"> </w:t>
      </w:r>
      <w:r w:rsidR="00EF75C7">
        <w:rPr>
          <w:lang w:val="ru-RU"/>
        </w:rPr>
        <w:t>этого</w:t>
      </w:r>
      <w:r w:rsidR="00EF75C7" w:rsidRPr="00EF75C7">
        <w:rPr>
          <w:lang w:val="ru-RU"/>
        </w:rPr>
        <w:t xml:space="preserve"> </w:t>
      </w:r>
      <w:r w:rsidR="00EF75C7">
        <w:rPr>
          <w:lang w:val="ru-RU"/>
        </w:rPr>
        <w:t>проекта</w:t>
      </w:r>
      <w:r w:rsidR="000866E8" w:rsidRPr="00EF75C7">
        <w:rPr>
          <w:lang w:val="ru-RU"/>
        </w:rPr>
        <w:t>.</w:t>
      </w:r>
    </w:p>
    <w:p w:rsidR="000866E8" w:rsidRPr="00EF75C7" w:rsidRDefault="000866E8" w:rsidP="000866E8">
      <w:pPr>
        <w:rPr>
          <w:lang w:val="ru-RU"/>
        </w:rPr>
      </w:pPr>
    </w:p>
    <w:p w:rsidR="000866E8" w:rsidRPr="00EF75C7" w:rsidRDefault="00EF75C7" w:rsidP="000866E8">
      <w:pPr>
        <w:rPr>
          <w:lang w:val="ru-RU"/>
        </w:rPr>
      </w:pPr>
      <w:r w:rsidRPr="00EF75C7">
        <w:rPr>
          <w:lang w:val="ru-RU"/>
        </w:rPr>
        <w:t>Исследование проводилось в течение 27 месяцев, с марта 2016 г</w:t>
      </w:r>
      <w:r w:rsidR="00AD5554">
        <w:rPr>
          <w:lang w:val="ru-RU"/>
        </w:rPr>
        <w:t>.</w:t>
      </w:r>
      <w:r w:rsidRPr="00EF75C7">
        <w:rPr>
          <w:lang w:val="ru-RU"/>
        </w:rPr>
        <w:t xml:space="preserve"> по июнь 2018 г.</w:t>
      </w:r>
    </w:p>
    <w:p w:rsidR="000866E8" w:rsidRPr="00EF75C7" w:rsidRDefault="000866E8" w:rsidP="000866E8">
      <w:pPr>
        <w:rPr>
          <w:lang w:val="ru-RU"/>
        </w:rPr>
      </w:pPr>
    </w:p>
    <w:p w:rsidR="000866E8" w:rsidRPr="00EF75C7" w:rsidRDefault="00EF75C7" w:rsidP="000866E8">
      <w:pPr>
        <w:rPr>
          <w:lang w:val="ru-RU"/>
        </w:rPr>
      </w:pPr>
      <w:r w:rsidRPr="00EF75C7">
        <w:rPr>
          <w:lang w:val="ru-RU"/>
        </w:rPr>
        <w:t>В настоящем документе приводится краткая информация о ходе проведения исследования и его основных результатах.</w:t>
      </w:r>
    </w:p>
    <w:p w:rsidR="000866E8" w:rsidRPr="00EF75C7" w:rsidRDefault="000866E8" w:rsidP="000866E8">
      <w:pPr>
        <w:rPr>
          <w:lang w:val="ru-RU"/>
        </w:rPr>
      </w:pPr>
    </w:p>
    <w:p w:rsidR="00504D19" w:rsidRPr="00AB0B4B" w:rsidRDefault="00504D19" w:rsidP="000866E8">
      <w:pPr>
        <w:rPr>
          <w:lang w:val="ru-RU"/>
        </w:rPr>
      </w:pPr>
    </w:p>
    <w:p w:rsidR="00AB0B4B" w:rsidRPr="00AB0B4B" w:rsidRDefault="00AB0B4B" w:rsidP="000866E8">
      <w:pPr>
        <w:rPr>
          <w:lang w:val="ru-RU"/>
        </w:rPr>
      </w:pPr>
    </w:p>
    <w:p w:rsidR="000866E8" w:rsidRPr="00127BA7" w:rsidRDefault="00EF75C7" w:rsidP="000866E8">
      <w:pPr>
        <w:rPr>
          <w:b/>
          <w:bCs/>
          <w:lang w:val="ru-RU"/>
        </w:rPr>
      </w:pPr>
      <w:r>
        <w:rPr>
          <w:b/>
          <w:bCs/>
          <w:lang w:val="ru-RU"/>
        </w:rPr>
        <w:t>Цели исследования</w:t>
      </w:r>
      <w:r w:rsidR="000866E8" w:rsidRPr="00127BA7">
        <w:rPr>
          <w:b/>
          <w:bCs/>
          <w:lang w:val="ru-RU"/>
        </w:rPr>
        <w:t xml:space="preserve"> </w:t>
      </w:r>
    </w:p>
    <w:p w:rsidR="000866E8" w:rsidRPr="00127BA7" w:rsidRDefault="000866E8" w:rsidP="000866E8">
      <w:pPr>
        <w:rPr>
          <w:lang w:val="ru-RU"/>
        </w:rPr>
      </w:pPr>
    </w:p>
    <w:p w:rsidR="000866E8" w:rsidRPr="009D5218" w:rsidRDefault="00127BA7" w:rsidP="000866E8">
      <w:pPr>
        <w:rPr>
          <w:lang w:val="ru-RU"/>
        </w:rPr>
      </w:pPr>
      <w:r w:rsidRPr="00127BA7">
        <w:rPr>
          <w:lang w:val="ru-RU"/>
        </w:rPr>
        <w:t xml:space="preserve">Цели исследования заключались в том, чтобы лучше разобраться в обстоятельствах и самом процессе </w:t>
      </w:r>
      <w:r w:rsidR="0061385A">
        <w:rPr>
          <w:lang w:val="ru-RU"/>
        </w:rPr>
        <w:t xml:space="preserve">разработки новых </w:t>
      </w:r>
      <w:r w:rsidRPr="00127BA7">
        <w:rPr>
          <w:lang w:val="ru-RU"/>
        </w:rPr>
        <w:t>образцов в соответствующих странах</w:t>
      </w:r>
      <w:r w:rsidR="0061385A">
        <w:rPr>
          <w:lang w:val="ru-RU"/>
        </w:rPr>
        <w:t>,</w:t>
      </w:r>
      <w:r w:rsidRPr="00127BA7">
        <w:rPr>
          <w:lang w:val="ru-RU"/>
        </w:rPr>
        <w:t xml:space="preserve"> </w:t>
      </w:r>
      <w:r w:rsidR="0061385A">
        <w:rPr>
          <w:lang w:val="ru-RU"/>
        </w:rPr>
        <w:t>а также</w:t>
      </w:r>
      <w:r w:rsidRPr="00127BA7">
        <w:rPr>
          <w:lang w:val="ru-RU"/>
        </w:rPr>
        <w:t xml:space="preserve"> понять, что побудило </w:t>
      </w:r>
      <w:r w:rsidR="0061385A">
        <w:rPr>
          <w:lang w:val="ru-RU"/>
        </w:rPr>
        <w:t>разработчиков новых образцов</w:t>
      </w:r>
      <w:r w:rsidRPr="00127BA7">
        <w:rPr>
          <w:lang w:val="ru-RU"/>
        </w:rPr>
        <w:t xml:space="preserve"> использовать такую форму охраны, каким образом права на ПО способствовали выделению инвестиций на </w:t>
      </w:r>
      <w:r w:rsidR="0061385A">
        <w:rPr>
          <w:lang w:val="ru-RU"/>
        </w:rPr>
        <w:t xml:space="preserve">разработку новых </w:t>
      </w:r>
      <w:r w:rsidRPr="00127BA7">
        <w:rPr>
          <w:lang w:val="ru-RU"/>
        </w:rPr>
        <w:t>образцов, и с какими трудностями сталкиваются заявители при использовании системы ПО</w:t>
      </w:r>
      <w:r w:rsidR="000866E8" w:rsidRPr="009D5218">
        <w:rPr>
          <w:lang w:val="ru-RU"/>
        </w:rPr>
        <w:t>.</w:t>
      </w:r>
    </w:p>
    <w:p w:rsidR="000866E8" w:rsidRPr="009D5218" w:rsidRDefault="000866E8" w:rsidP="000866E8">
      <w:pPr>
        <w:rPr>
          <w:lang w:val="ru-RU"/>
        </w:rPr>
      </w:pPr>
    </w:p>
    <w:p w:rsidR="00CA1A98" w:rsidRPr="00E34EA9" w:rsidRDefault="00CA1A98" w:rsidP="000866E8">
      <w:pPr>
        <w:rPr>
          <w:b/>
          <w:bCs/>
          <w:lang w:val="ru-RU"/>
        </w:rPr>
      </w:pPr>
    </w:p>
    <w:p w:rsidR="000866E8" w:rsidRPr="00B16FFE" w:rsidRDefault="009D5218" w:rsidP="000866E8">
      <w:pPr>
        <w:rPr>
          <w:b/>
          <w:bCs/>
          <w:lang w:val="ru-RU"/>
        </w:rPr>
      </w:pPr>
      <w:r>
        <w:rPr>
          <w:b/>
          <w:bCs/>
          <w:lang w:val="ru-RU"/>
        </w:rPr>
        <w:t>Координация</w:t>
      </w:r>
      <w:r w:rsidRPr="00B16FFE">
        <w:rPr>
          <w:b/>
          <w:bCs/>
          <w:lang w:val="ru-RU"/>
        </w:rPr>
        <w:t xml:space="preserve"> </w:t>
      </w:r>
      <w:r>
        <w:rPr>
          <w:b/>
          <w:bCs/>
          <w:lang w:val="ru-RU"/>
        </w:rPr>
        <w:t>и</w:t>
      </w:r>
      <w:r w:rsidRPr="00B16FFE">
        <w:rPr>
          <w:b/>
          <w:bCs/>
          <w:lang w:val="ru-RU"/>
        </w:rPr>
        <w:t xml:space="preserve"> </w:t>
      </w:r>
      <w:r>
        <w:rPr>
          <w:b/>
          <w:bCs/>
          <w:lang w:val="ru-RU"/>
        </w:rPr>
        <w:t>реализация</w:t>
      </w:r>
    </w:p>
    <w:p w:rsidR="000866E8" w:rsidRPr="00B16FFE" w:rsidRDefault="000866E8" w:rsidP="000866E8">
      <w:pPr>
        <w:rPr>
          <w:lang w:val="ru-RU"/>
        </w:rPr>
      </w:pPr>
    </w:p>
    <w:p w:rsidR="000866E8" w:rsidRPr="002E1D48" w:rsidRDefault="002E1D48" w:rsidP="000866E8">
      <w:pPr>
        <w:rPr>
          <w:lang w:val="ru-RU"/>
        </w:rPr>
      </w:pPr>
      <w:r w:rsidRPr="002E1D48">
        <w:rPr>
          <w:lang w:val="ru-RU"/>
        </w:rPr>
        <w:t>В ходе сессий Генеральной Ассамблеи ВОИС 2015 г</w:t>
      </w:r>
      <w:r w:rsidR="00AD5554">
        <w:rPr>
          <w:lang w:val="ru-RU"/>
        </w:rPr>
        <w:t>.</w:t>
      </w:r>
      <w:r w:rsidRPr="002E1D48">
        <w:rPr>
          <w:lang w:val="ru-RU"/>
        </w:rPr>
        <w:t xml:space="preserve"> ОЭС ВОИС </w:t>
      </w:r>
      <w:r w:rsidR="00AD5554">
        <w:rPr>
          <w:lang w:val="ru-RU"/>
        </w:rPr>
        <w:t>определил</w:t>
      </w:r>
      <w:r w:rsidRPr="002E1D48">
        <w:rPr>
          <w:lang w:val="ru-RU"/>
        </w:rPr>
        <w:t xml:space="preserve"> цели </w:t>
      </w:r>
      <w:r w:rsidR="00AD5554" w:rsidRPr="002E1D48">
        <w:rPr>
          <w:lang w:val="ru-RU"/>
        </w:rPr>
        <w:t xml:space="preserve">исследования </w:t>
      </w:r>
      <w:r w:rsidRPr="002E1D48">
        <w:rPr>
          <w:lang w:val="ru-RU"/>
        </w:rPr>
        <w:t xml:space="preserve">для </w:t>
      </w:r>
      <w:r w:rsidR="00AD5554">
        <w:rPr>
          <w:lang w:val="ru-RU"/>
        </w:rPr>
        <w:t xml:space="preserve">его </w:t>
      </w:r>
      <w:r w:rsidRPr="002E1D48">
        <w:rPr>
          <w:lang w:val="ru-RU"/>
        </w:rPr>
        <w:t>проведения этими тремя странами.  Все три страны выразили свою заинтересованность в участии в таком исследовании</w:t>
      </w:r>
      <w:r w:rsidR="000866E8" w:rsidRPr="002E1D48">
        <w:rPr>
          <w:lang w:val="ru-RU"/>
        </w:rPr>
        <w:t>.</w:t>
      </w:r>
    </w:p>
    <w:p w:rsidR="000866E8" w:rsidRPr="002E1D48" w:rsidRDefault="000866E8" w:rsidP="000866E8">
      <w:pPr>
        <w:rPr>
          <w:lang w:val="ru-RU"/>
        </w:rPr>
      </w:pPr>
    </w:p>
    <w:p w:rsidR="000866E8" w:rsidRPr="006307C1" w:rsidRDefault="006307C1" w:rsidP="000866E8">
      <w:pPr>
        <w:rPr>
          <w:lang w:val="ru-RU"/>
        </w:rPr>
      </w:pPr>
      <w:r w:rsidRPr="004069E6">
        <w:rPr>
          <w:lang w:val="ru-RU"/>
        </w:rPr>
        <w:t xml:space="preserve">Со стороны ВОИС </w:t>
      </w:r>
      <w:r w:rsidR="00C7301C">
        <w:rPr>
          <w:lang w:val="ru-RU"/>
        </w:rPr>
        <w:t xml:space="preserve">технические и организационные </w:t>
      </w:r>
      <w:r w:rsidRPr="004069E6">
        <w:rPr>
          <w:lang w:val="ru-RU"/>
        </w:rPr>
        <w:t xml:space="preserve">функции </w:t>
      </w:r>
      <w:r w:rsidR="00C7301C">
        <w:rPr>
          <w:lang w:val="ru-RU"/>
        </w:rPr>
        <w:t xml:space="preserve">в качестве контактного центра </w:t>
      </w:r>
      <w:r w:rsidRPr="004069E6">
        <w:rPr>
          <w:lang w:val="ru-RU"/>
        </w:rPr>
        <w:t xml:space="preserve">осуществлял ОЭС.  </w:t>
      </w:r>
      <w:r w:rsidR="005109F6">
        <w:rPr>
          <w:lang w:val="ru-RU"/>
        </w:rPr>
        <w:t xml:space="preserve">Для проведения обследования, лежащего в основе данного исследования, </w:t>
      </w:r>
      <w:r w:rsidR="0002419F">
        <w:rPr>
          <w:lang w:val="ru-RU"/>
        </w:rPr>
        <w:t xml:space="preserve">ОЭС организовал </w:t>
      </w:r>
      <w:r w:rsidR="0002419F" w:rsidRPr="004069E6">
        <w:rPr>
          <w:lang w:val="ru-RU"/>
        </w:rPr>
        <w:t>в каждой из трех стран</w:t>
      </w:r>
      <w:r w:rsidR="0002419F">
        <w:rPr>
          <w:lang w:val="ru-RU"/>
        </w:rPr>
        <w:t xml:space="preserve"> сотрудничество </w:t>
      </w:r>
      <w:r w:rsidRPr="004069E6">
        <w:rPr>
          <w:lang w:val="ru-RU"/>
        </w:rPr>
        <w:t>с местными экспертами-консультантами: д-ром Йозе Ризалем Даймури, Дэнди Рафитранди и Илмой Фадли</w:t>
      </w:r>
      <w:r w:rsidR="001A3B04">
        <w:rPr>
          <w:lang w:val="ru-RU"/>
        </w:rPr>
        <w:t xml:space="preserve">, </w:t>
      </w:r>
      <w:r w:rsidRPr="004069E6">
        <w:rPr>
          <w:lang w:val="ru-RU"/>
        </w:rPr>
        <w:t xml:space="preserve">Центр по стратегическим и международным исследованиям </w:t>
      </w:r>
      <w:r w:rsidRPr="006307C1">
        <w:rPr>
          <w:lang w:val="ru-RU"/>
        </w:rPr>
        <w:t>(</w:t>
      </w:r>
      <w:r w:rsidRPr="000866E8">
        <w:t>CSIS</w:t>
      </w:r>
      <w:r w:rsidRPr="006307C1">
        <w:rPr>
          <w:lang w:val="ru-RU"/>
        </w:rPr>
        <w:t>)</w:t>
      </w:r>
      <w:r w:rsidR="001A3B04">
        <w:rPr>
          <w:lang w:val="ru-RU"/>
        </w:rPr>
        <w:t xml:space="preserve">, </w:t>
      </w:r>
      <w:r w:rsidRPr="004069E6">
        <w:rPr>
          <w:lang w:val="ru-RU"/>
        </w:rPr>
        <w:t>Индонези</w:t>
      </w:r>
      <w:r w:rsidR="001A3B04">
        <w:rPr>
          <w:lang w:val="ru-RU"/>
        </w:rPr>
        <w:t>я</w:t>
      </w:r>
      <w:r w:rsidRPr="004069E6">
        <w:rPr>
          <w:lang w:val="ru-RU"/>
        </w:rPr>
        <w:t>; д-ром Джорджем Ман</w:t>
      </w:r>
      <w:r w:rsidRPr="004069E6">
        <w:t>c</w:t>
      </w:r>
      <w:r w:rsidRPr="004069E6">
        <w:rPr>
          <w:lang w:val="ru-RU"/>
        </w:rPr>
        <w:t>ано, Мэри Грэйс Агнер и Никка Песа</w:t>
      </w:r>
      <w:r w:rsidR="001A3B04">
        <w:rPr>
          <w:lang w:val="ru-RU"/>
        </w:rPr>
        <w:t xml:space="preserve">, </w:t>
      </w:r>
      <w:r w:rsidRPr="004069E6">
        <w:rPr>
          <w:lang w:val="ru-RU"/>
        </w:rPr>
        <w:t>Азиатско-</w:t>
      </w:r>
      <w:r>
        <w:rPr>
          <w:lang w:val="ru-RU"/>
        </w:rPr>
        <w:t>Т</w:t>
      </w:r>
      <w:r w:rsidRPr="004069E6">
        <w:rPr>
          <w:lang w:val="ru-RU"/>
        </w:rPr>
        <w:t>ихоокеанск</w:t>
      </w:r>
      <w:r w:rsidR="001A3B04">
        <w:rPr>
          <w:lang w:val="ru-RU"/>
        </w:rPr>
        <w:t>ий</w:t>
      </w:r>
      <w:r w:rsidRPr="004069E6">
        <w:rPr>
          <w:lang w:val="ru-RU"/>
        </w:rPr>
        <w:t xml:space="preserve"> университет (</w:t>
      </w:r>
      <w:r w:rsidRPr="004069E6">
        <w:t>UA</w:t>
      </w:r>
      <w:r w:rsidRPr="004069E6">
        <w:rPr>
          <w:lang w:val="ru-RU"/>
        </w:rPr>
        <w:t>&amp;</w:t>
      </w:r>
      <w:r w:rsidRPr="004069E6">
        <w:t>P</w:t>
      </w:r>
      <w:r w:rsidRPr="004069E6">
        <w:rPr>
          <w:lang w:val="ru-RU"/>
        </w:rPr>
        <w:t>)</w:t>
      </w:r>
      <w:r w:rsidR="001A3B04">
        <w:rPr>
          <w:lang w:val="ru-RU"/>
        </w:rPr>
        <w:t>,</w:t>
      </w:r>
      <w:r w:rsidRPr="004069E6">
        <w:rPr>
          <w:lang w:val="ru-RU"/>
        </w:rPr>
        <w:t xml:space="preserve"> Филиппин</w:t>
      </w:r>
      <w:r w:rsidR="001A3B04">
        <w:rPr>
          <w:lang w:val="ru-RU"/>
        </w:rPr>
        <w:t>ы,</w:t>
      </w:r>
      <w:r w:rsidRPr="004069E6">
        <w:rPr>
          <w:lang w:val="ru-RU"/>
        </w:rPr>
        <w:t xml:space="preserve"> и д-ром Деунденом Никомборирарком и Вираван Пайбунджит-ари</w:t>
      </w:r>
      <w:r w:rsidR="001A3B04">
        <w:rPr>
          <w:lang w:val="ru-RU"/>
        </w:rPr>
        <w:t xml:space="preserve">, </w:t>
      </w:r>
      <w:r w:rsidRPr="004069E6">
        <w:rPr>
          <w:lang w:val="ru-RU"/>
        </w:rPr>
        <w:t>Таиландск</w:t>
      </w:r>
      <w:r w:rsidR="001A3B04">
        <w:rPr>
          <w:lang w:val="ru-RU"/>
        </w:rPr>
        <w:t>ий</w:t>
      </w:r>
      <w:r w:rsidRPr="004069E6">
        <w:rPr>
          <w:lang w:val="ru-RU"/>
        </w:rPr>
        <w:t xml:space="preserve"> научно-исследовательск</w:t>
      </w:r>
      <w:r w:rsidR="001A3B04">
        <w:rPr>
          <w:lang w:val="ru-RU"/>
        </w:rPr>
        <w:t>ий</w:t>
      </w:r>
      <w:r w:rsidRPr="004069E6">
        <w:rPr>
          <w:lang w:val="ru-RU"/>
        </w:rPr>
        <w:t xml:space="preserve"> институт проблем развития (</w:t>
      </w:r>
      <w:r w:rsidR="0078248B">
        <w:t>TDRI</w:t>
      </w:r>
      <w:r w:rsidRPr="004069E6">
        <w:rPr>
          <w:lang w:val="ru-RU"/>
        </w:rPr>
        <w:t>)</w:t>
      </w:r>
      <w:r w:rsidR="001A3B04">
        <w:rPr>
          <w:lang w:val="ru-RU"/>
        </w:rPr>
        <w:t xml:space="preserve">, </w:t>
      </w:r>
      <w:r w:rsidRPr="004069E6">
        <w:rPr>
          <w:lang w:val="ru-RU"/>
        </w:rPr>
        <w:t>Таиланд.</w:t>
      </w:r>
    </w:p>
    <w:p w:rsidR="006307C1" w:rsidRDefault="006307C1" w:rsidP="000866E8">
      <w:pPr>
        <w:rPr>
          <w:lang w:val="ru-RU"/>
        </w:rPr>
      </w:pPr>
    </w:p>
    <w:p w:rsidR="000866E8" w:rsidRPr="00DD14E1" w:rsidRDefault="006307C1" w:rsidP="000866E8">
      <w:pPr>
        <w:rPr>
          <w:lang w:val="ru-RU"/>
        </w:rPr>
      </w:pPr>
      <w:r>
        <w:rPr>
          <w:lang w:val="ru-RU"/>
        </w:rPr>
        <w:t>Генеральный</w:t>
      </w:r>
      <w:r w:rsidRPr="00DD14E1">
        <w:rPr>
          <w:lang w:val="ru-RU"/>
        </w:rPr>
        <w:t xml:space="preserve"> </w:t>
      </w:r>
      <w:r>
        <w:rPr>
          <w:lang w:val="ru-RU"/>
        </w:rPr>
        <w:t>директорат</w:t>
      </w:r>
      <w:r w:rsidRPr="00DD14E1">
        <w:rPr>
          <w:lang w:val="ru-RU"/>
        </w:rPr>
        <w:t xml:space="preserve"> </w:t>
      </w:r>
      <w:r>
        <w:rPr>
          <w:lang w:val="ru-RU"/>
        </w:rPr>
        <w:t>Индонезии</w:t>
      </w:r>
      <w:r w:rsidRPr="00DD14E1">
        <w:rPr>
          <w:lang w:val="ru-RU"/>
        </w:rPr>
        <w:t xml:space="preserve"> </w:t>
      </w:r>
      <w:r>
        <w:rPr>
          <w:lang w:val="ru-RU"/>
        </w:rPr>
        <w:t>по</w:t>
      </w:r>
      <w:r w:rsidRPr="00DD14E1">
        <w:rPr>
          <w:lang w:val="ru-RU"/>
        </w:rPr>
        <w:t xml:space="preserve"> </w:t>
      </w:r>
      <w:r>
        <w:rPr>
          <w:lang w:val="ru-RU"/>
        </w:rPr>
        <w:t>правам</w:t>
      </w:r>
      <w:r w:rsidRPr="00DD14E1">
        <w:rPr>
          <w:lang w:val="ru-RU"/>
        </w:rPr>
        <w:t xml:space="preserve"> </w:t>
      </w:r>
      <w:r>
        <w:rPr>
          <w:lang w:val="ru-RU"/>
        </w:rPr>
        <w:t>интеллектуальной</w:t>
      </w:r>
      <w:r w:rsidRPr="00DD14E1">
        <w:rPr>
          <w:lang w:val="ru-RU"/>
        </w:rPr>
        <w:t xml:space="preserve"> </w:t>
      </w:r>
      <w:r>
        <w:rPr>
          <w:lang w:val="ru-RU"/>
        </w:rPr>
        <w:t>собственности</w:t>
      </w:r>
      <w:r w:rsidRPr="00DD14E1">
        <w:rPr>
          <w:lang w:val="ru-RU"/>
        </w:rPr>
        <w:t xml:space="preserve"> </w:t>
      </w:r>
      <w:r w:rsidR="000866E8" w:rsidRPr="00DD14E1">
        <w:rPr>
          <w:lang w:val="ru-RU"/>
        </w:rPr>
        <w:t>(</w:t>
      </w:r>
      <w:r w:rsidR="000866E8" w:rsidRPr="000866E8">
        <w:t>DGIP</w:t>
      </w:r>
      <w:r w:rsidR="000866E8" w:rsidRPr="00DD14E1">
        <w:rPr>
          <w:lang w:val="ru-RU"/>
        </w:rPr>
        <w:t xml:space="preserve">), </w:t>
      </w:r>
      <w:r w:rsidR="00DD14E1" w:rsidRPr="00DD14E1">
        <w:rPr>
          <w:lang w:val="ru-RU"/>
        </w:rPr>
        <w:t>Ведомств</w:t>
      </w:r>
      <w:r w:rsidR="00DD14E1">
        <w:rPr>
          <w:lang w:val="ru-RU"/>
        </w:rPr>
        <w:t>о</w:t>
      </w:r>
      <w:r w:rsidR="00DD14E1" w:rsidRPr="00DD14E1">
        <w:rPr>
          <w:lang w:val="ru-RU"/>
        </w:rPr>
        <w:t xml:space="preserve"> интеллектуальной собственности Филиппин (</w:t>
      </w:r>
      <w:r w:rsidR="00DD14E1" w:rsidRPr="00DD14E1">
        <w:t>IPOPHL</w:t>
      </w:r>
      <w:r w:rsidR="00DD14E1" w:rsidRPr="00DD14E1">
        <w:rPr>
          <w:lang w:val="ru-RU"/>
        </w:rPr>
        <w:t>)</w:t>
      </w:r>
      <w:r w:rsidR="000866E8" w:rsidRPr="00DD14E1">
        <w:rPr>
          <w:lang w:val="ru-RU"/>
        </w:rPr>
        <w:t xml:space="preserve"> </w:t>
      </w:r>
      <w:r w:rsidR="00DD14E1">
        <w:rPr>
          <w:lang w:val="ru-RU"/>
        </w:rPr>
        <w:t xml:space="preserve">и </w:t>
      </w:r>
      <w:r w:rsidR="00DD14E1" w:rsidRPr="00DD14E1">
        <w:rPr>
          <w:lang w:val="ru-RU"/>
        </w:rPr>
        <w:t>Департамент интеллектуальной собственности (</w:t>
      </w:r>
      <w:r w:rsidR="0078248B" w:rsidRPr="000866E8">
        <w:t>DIP</w:t>
      </w:r>
      <w:r w:rsidR="00DD14E1" w:rsidRPr="00DD14E1">
        <w:rPr>
          <w:lang w:val="ru-RU"/>
        </w:rPr>
        <w:t>)</w:t>
      </w:r>
      <w:r w:rsidR="000866E8" w:rsidRPr="00DD14E1">
        <w:rPr>
          <w:lang w:val="ru-RU"/>
        </w:rPr>
        <w:t xml:space="preserve"> </w:t>
      </w:r>
      <w:r w:rsidR="0078248B">
        <w:rPr>
          <w:lang w:val="ru-RU"/>
        </w:rPr>
        <w:t xml:space="preserve">Таиланда </w:t>
      </w:r>
      <w:r w:rsidR="00DD14E1" w:rsidRPr="00DD14E1">
        <w:rPr>
          <w:lang w:val="ru-RU"/>
        </w:rPr>
        <w:t>оказали значительную и важную по</w:t>
      </w:r>
      <w:r w:rsidR="00A90BAA">
        <w:rPr>
          <w:lang w:val="ru-RU"/>
        </w:rPr>
        <w:t>мощь</w:t>
      </w:r>
      <w:r w:rsidR="00DD14E1" w:rsidRPr="00DD14E1">
        <w:rPr>
          <w:lang w:val="ru-RU"/>
        </w:rPr>
        <w:t xml:space="preserve"> в проведени</w:t>
      </w:r>
      <w:r w:rsidR="00A90BAA">
        <w:rPr>
          <w:lang w:val="ru-RU"/>
        </w:rPr>
        <w:t>и</w:t>
      </w:r>
      <w:r w:rsidR="00DD14E1" w:rsidRPr="00DD14E1">
        <w:rPr>
          <w:lang w:val="ru-RU"/>
        </w:rPr>
        <w:t xml:space="preserve"> исследования</w:t>
      </w:r>
      <w:r w:rsidR="000866E8" w:rsidRPr="00DD14E1">
        <w:rPr>
          <w:lang w:val="ru-RU"/>
        </w:rPr>
        <w:t xml:space="preserve">.  </w:t>
      </w:r>
      <w:r w:rsidR="00DD14E1" w:rsidRPr="00DD14E1">
        <w:rPr>
          <w:lang w:val="ru-RU"/>
        </w:rPr>
        <w:t>Региональное бюро ВОИС для Азиатско-Тихоокеанского региона (АТР) о</w:t>
      </w:r>
      <w:r w:rsidR="00F11CBD">
        <w:rPr>
          <w:lang w:val="ru-RU"/>
        </w:rPr>
        <w:t>беспечило</w:t>
      </w:r>
      <w:r w:rsidR="00DD14E1" w:rsidRPr="00DD14E1">
        <w:rPr>
          <w:lang w:val="ru-RU"/>
        </w:rPr>
        <w:t xml:space="preserve"> поддержку в установлении связей с национальными ведомствами ИС</w:t>
      </w:r>
      <w:r w:rsidR="000866E8" w:rsidRPr="00DD14E1">
        <w:rPr>
          <w:lang w:val="ru-RU"/>
        </w:rPr>
        <w:t>.</w:t>
      </w:r>
    </w:p>
    <w:p w:rsidR="000866E8" w:rsidRPr="00DD14E1" w:rsidRDefault="000866E8" w:rsidP="000866E8">
      <w:pPr>
        <w:rPr>
          <w:lang w:val="ru-RU"/>
        </w:rPr>
      </w:pPr>
    </w:p>
    <w:p w:rsidR="000866E8" w:rsidRPr="003A61D4" w:rsidRDefault="003A61D4" w:rsidP="000866E8">
      <w:pPr>
        <w:rPr>
          <w:lang w:val="ru-RU"/>
        </w:rPr>
      </w:pPr>
      <w:r w:rsidRPr="003A61D4">
        <w:rPr>
          <w:lang w:val="ru-RU"/>
        </w:rPr>
        <w:t xml:space="preserve">В заключение исследование было прорецензировано </w:t>
      </w:r>
      <w:r w:rsidR="00AD5554">
        <w:rPr>
          <w:lang w:val="ru-RU"/>
        </w:rPr>
        <w:t xml:space="preserve">г-жой </w:t>
      </w:r>
      <w:r w:rsidRPr="003A61D4">
        <w:rPr>
          <w:lang w:val="ru-RU"/>
        </w:rPr>
        <w:t xml:space="preserve">Мириам Мариани </w:t>
      </w:r>
      <w:r w:rsidR="00AD5554" w:rsidRPr="003A61D4">
        <w:rPr>
          <w:lang w:val="ru-RU"/>
        </w:rPr>
        <w:t xml:space="preserve">профессором </w:t>
      </w:r>
      <w:r w:rsidRPr="003A61D4">
        <w:rPr>
          <w:lang w:val="ru-RU"/>
        </w:rPr>
        <w:t>Университета Боккони</w:t>
      </w:r>
      <w:r w:rsidR="00AD5554">
        <w:rPr>
          <w:lang w:val="ru-RU"/>
        </w:rPr>
        <w:t xml:space="preserve">, г. </w:t>
      </w:r>
      <w:r w:rsidRPr="003A61D4">
        <w:rPr>
          <w:lang w:val="ru-RU"/>
        </w:rPr>
        <w:t>Милан, Италия.  Д-р Мариани высказала критические замечания по структуре вопросника</w:t>
      </w:r>
      <w:r w:rsidR="0014162C">
        <w:rPr>
          <w:lang w:val="ru-RU"/>
        </w:rPr>
        <w:t xml:space="preserve"> для обследования</w:t>
      </w:r>
      <w:r w:rsidRPr="003A61D4">
        <w:rPr>
          <w:lang w:val="ru-RU"/>
        </w:rPr>
        <w:t>, анализу результатов и четырем результатам исследования</w:t>
      </w:r>
      <w:r w:rsidR="000866E8" w:rsidRPr="003A61D4">
        <w:rPr>
          <w:lang w:val="ru-RU"/>
        </w:rPr>
        <w:t>.</w:t>
      </w:r>
      <w:r w:rsidR="000866E8" w:rsidRPr="000866E8">
        <w:rPr>
          <w:vertAlign w:val="superscript"/>
        </w:rPr>
        <w:footnoteReference w:id="6"/>
      </w:r>
    </w:p>
    <w:p w:rsidR="000866E8" w:rsidRPr="003A61D4" w:rsidRDefault="000866E8" w:rsidP="000866E8">
      <w:pPr>
        <w:rPr>
          <w:lang w:val="ru-RU"/>
        </w:rPr>
      </w:pPr>
    </w:p>
    <w:p w:rsidR="00504D19" w:rsidRPr="003A61D4" w:rsidRDefault="00504D19" w:rsidP="000866E8">
      <w:pPr>
        <w:rPr>
          <w:lang w:val="ru-RU"/>
        </w:rPr>
      </w:pPr>
    </w:p>
    <w:p w:rsidR="000866E8" w:rsidRPr="00B16FFE" w:rsidRDefault="00F32079" w:rsidP="000866E8">
      <w:pPr>
        <w:rPr>
          <w:b/>
          <w:bCs/>
          <w:lang w:val="ru-RU"/>
        </w:rPr>
      </w:pPr>
      <w:r>
        <w:rPr>
          <w:b/>
          <w:bCs/>
          <w:lang w:val="ru-RU"/>
        </w:rPr>
        <w:t>Процесс</w:t>
      </w:r>
      <w:r w:rsidRPr="00B16FFE">
        <w:rPr>
          <w:b/>
          <w:bCs/>
          <w:lang w:val="ru-RU"/>
        </w:rPr>
        <w:t xml:space="preserve"> </w:t>
      </w:r>
      <w:r>
        <w:rPr>
          <w:b/>
          <w:bCs/>
          <w:lang w:val="ru-RU"/>
        </w:rPr>
        <w:t>и</w:t>
      </w:r>
      <w:r w:rsidRPr="00B16FFE">
        <w:rPr>
          <w:b/>
          <w:bCs/>
          <w:lang w:val="ru-RU"/>
        </w:rPr>
        <w:t xml:space="preserve"> </w:t>
      </w:r>
      <w:r>
        <w:rPr>
          <w:b/>
          <w:bCs/>
          <w:lang w:val="ru-RU"/>
        </w:rPr>
        <w:t>методика</w:t>
      </w:r>
      <w:r w:rsidRPr="00B16FFE">
        <w:rPr>
          <w:b/>
          <w:bCs/>
          <w:lang w:val="ru-RU"/>
        </w:rPr>
        <w:t xml:space="preserve"> </w:t>
      </w:r>
      <w:r>
        <w:rPr>
          <w:b/>
          <w:bCs/>
          <w:lang w:val="ru-RU"/>
        </w:rPr>
        <w:t>исследования</w:t>
      </w:r>
      <w:r w:rsidRPr="00B16FFE">
        <w:rPr>
          <w:b/>
          <w:bCs/>
          <w:lang w:val="ru-RU"/>
        </w:rPr>
        <w:t xml:space="preserve"> </w:t>
      </w:r>
    </w:p>
    <w:p w:rsidR="000866E8" w:rsidRPr="00B16FFE" w:rsidRDefault="000866E8" w:rsidP="000866E8">
      <w:pPr>
        <w:rPr>
          <w:lang w:val="ru-RU"/>
        </w:rPr>
      </w:pPr>
    </w:p>
    <w:p w:rsidR="000866E8" w:rsidRPr="003B23B2" w:rsidRDefault="00F32079" w:rsidP="000866E8">
      <w:pPr>
        <w:rPr>
          <w:lang w:val="ru-RU"/>
        </w:rPr>
      </w:pPr>
      <w:r>
        <w:rPr>
          <w:lang w:val="ru-RU"/>
        </w:rPr>
        <w:t>Исследование</w:t>
      </w:r>
      <w:r w:rsidRPr="003B23B2">
        <w:rPr>
          <w:lang w:val="ru-RU"/>
        </w:rPr>
        <w:t xml:space="preserve"> </w:t>
      </w:r>
      <w:r>
        <w:rPr>
          <w:lang w:val="ru-RU"/>
        </w:rPr>
        <w:t>проводилось</w:t>
      </w:r>
      <w:r w:rsidRPr="003B23B2">
        <w:rPr>
          <w:lang w:val="ru-RU"/>
        </w:rPr>
        <w:t xml:space="preserve"> </w:t>
      </w:r>
      <w:r>
        <w:rPr>
          <w:lang w:val="ru-RU"/>
        </w:rPr>
        <w:t>в</w:t>
      </w:r>
      <w:r w:rsidRPr="003B23B2">
        <w:rPr>
          <w:lang w:val="ru-RU"/>
        </w:rPr>
        <w:t xml:space="preserve"> </w:t>
      </w:r>
      <w:r>
        <w:rPr>
          <w:lang w:val="ru-RU"/>
        </w:rPr>
        <w:t>три</w:t>
      </w:r>
      <w:r w:rsidRPr="003B23B2">
        <w:rPr>
          <w:lang w:val="ru-RU"/>
        </w:rPr>
        <w:t xml:space="preserve"> </w:t>
      </w:r>
      <w:r>
        <w:rPr>
          <w:lang w:val="ru-RU"/>
        </w:rPr>
        <w:t>этапа</w:t>
      </w:r>
      <w:r w:rsidR="000866E8" w:rsidRPr="003B23B2">
        <w:rPr>
          <w:lang w:val="ru-RU"/>
        </w:rPr>
        <w:t xml:space="preserve">. </w:t>
      </w:r>
      <w:r w:rsidR="00504D19" w:rsidRPr="003B23B2">
        <w:rPr>
          <w:lang w:val="ru-RU"/>
        </w:rPr>
        <w:t xml:space="preserve"> </w:t>
      </w:r>
      <w:r w:rsidR="003B23B2" w:rsidRPr="003B23B2">
        <w:rPr>
          <w:lang w:val="ru-RU"/>
        </w:rPr>
        <w:t>На первом этапе были проведены консультации с соответствующими коллегами из Сектора брендов и образцов ВОИС и Регионального бюро АТР для о</w:t>
      </w:r>
      <w:r w:rsidR="00AD5554">
        <w:rPr>
          <w:lang w:val="ru-RU"/>
        </w:rPr>
        <w:t>кончательного</w:t>
      </w:r>
      <w:r w:rsidR="003B23B2" w:rsidRPr="003B23B2">
        <w:rPr>
          <w:lang w:val="ru-RU"/>
        </w:rPr>
        <w:t xml:space="preserve"> определения направления исследования.  В то же время Секретариат провел кабинетное исследование с целью структурирования вопросника для </w:t>
      </w:r>
      <w:r w:rsidR="0014162C">
        <w:rPr>
          <w:lang w:val="ru-RU"/>
        </w:rPr>
        <w:t>обследования</w:t>
      </w:r>
      <w:r w:rsidR="00C7301C">
        <w:rPr>
          <w:lang w:val="ru-RU"/>
        </w:rPr>
        <w:t xml:space="preserve"> </w:t>
      </w:r>
      <w:r w:rsidR="003B23B2" w:rsidRPr="003B23B2">
        <w:rPr>
          <w:lang w:val="ru-RU"/>
        </w:rPr>
        <w:t>в трех странах</w:t>
      </w:r>
      <w:r w:rsidR="000866E8" w:rsidRPr="003B23B2">
        <w:rPr>
          <w:lang w:val="ru-RU"/>
        </w:rPr>
        <w:t xml:space="preserve">. </w:t>
      </w:r>
    </w:p>
    <w:p w:rsidR="000866E8" w:rsidRPr="003B23B2" w:rsidRDefault="000866E8" w:rsidP="000866E8">
      <w:pPr>
        <w:rPr>
          <w:lang w:val="ru-RU"/>
        </w:rPr>
      </w:pPr>
    </w:p>
    <w:p w:rsidR="000866E8" w:rsidRPr="00A0096D" w:rsidRDefault="00A0096D" w:rsidP="000866E8">
      <w:pPr>
        <w:rPr>
          <w:lang w:val="ru-RU"/>
        </w:rPr>
      </w:pPr>
      <w:r w:rsidRPr="00A0096D">
        <w:rPr>
          <w:lang w:val="ru-RU"/>
        </w:rPr>
        <w:lastRenderedPageBreak/>
        <w:t>Исследовательская работа официально началась в марте 2016 г</w:t>
      </w:r>
      <w:r w:rsidR="00AD5554">
        <w:rPr>
          <w:lang w:val="ru-RU"/>
        </w:rPr>
        <w:t>.</w:t>
      </w:r>
      <w:r w:rsidRPr="00A0096D">
        <w:rPr>
          <w:lang w:val="ru-RU"/>
        </w:rPr>
        <w:t xml:space="preserve"> с проведения параллельных семинаров-практикумов и совещаний на Филиппинах и в Таиланде.  В каждой стране был проведен семинар-практикум, рассчитанный на полдня, в котором приняли участие соответствующие </w:t>
      </w:r>
      <w:r w:rsidR="001B292E">
        <w:rPr>
          <w:lang w:val="ru-RU"/>
        </w:rPr>
        <w:t xml:space="preserve">заинтересованные стороны </w:t>
      </w:r>
      <w:r w:rsidRPr="00A0096D">
        <w:rPr>
          <w:lang w:val="ru-RU"/>
        </w:rPr>
        <w:t xml:space="preserve">системы ПО.  Цель семинара-практикума заключалась в том, чтобы получить комментарии и замечания по вопроснику и стратегии проведения </w:t>
      </w:r>
      <w:r w:rsidR="0014162C">
        <w:rPr>
          <w:lang w:val="ru-RU"/>
        </w:rPr>
        <w:t>обследования</w:t>
      </w:r>
      <w:r w:rsidRPr="00A0096D">
        <w:rPr>
          <w:lang w:val="ru-RU"/>
        </w:rPr>
        <w:t>.  В семинаре-практикуме приняли участие заявители на получение патент</w:t>
      </w:r>
      <w:r w:rsidR="001B292E">
        <w:rPr>
          <w:lang w:val="ru-RU"/>
        </w:rPr>
        <w:t>ов</w:t>
      </w:r>
      <w:r w:rsidRPr="00A0096D">
        <w:rPr>
          <w:lang w:val="ru-RU"/>
        </w:rPr>
        <w:t xml:space="preserve"> на ПО, </w:t>
      </w:r>
      <w:r w:rsidR="001B292E">
        <w:rPr>
          <w:lang w:val="ru-RU"/>
        </w:rPr>
        <w:t>ассоциации разработчиков ПО</w:t>
      </w:r>
      <w:r w:rsidRPr="00A0096D">
        <w:rPr>
          <w:lang w:val="ru-RU"/>
        </w:rPr>
        <w:t>, юридические фирмы, специализирующиеся на подаче заявок на получение патент</w:t>
      </w:r>
      <w:r w:rsidR="001B292E">
        <w:rPr>
          <w:lang w:val="ru-RU"/>
        </w:rPr>
        <w:t>ов</w:t>
      </w:r>
      <w:r w:rsidRPr="00A0096D">
        <w:rPr>
          <w:lang w:val="ru-RU"/>
        </w:rPr>
        <w:t xml:space="preserve"> на ПО, и </w:t>
      </w:r>
      <w:r w:rsidR="005B5E73">
        <w:rPr>
          <w:lang w:val="ru-RU"/>
        </w:rPr>
        <w:t>разработчики образцов</w:t>
      </w:r>
      <w:r w:rsidRPr="00A0096D">
        <w:rPr>
          <w:lang w:val="ru-RU"/>
        </w:rPr>
        <w:t xml:space="preserve">. </w:t>
      </w:r>
      <w:r>
        <w:rPr>
          <w:lang w:val="ru-RU"/>
        </w:rPr>
        <w:t xml:space="preserve"> </w:t>
      </w:r>
      <w:r w:rsidRPr="00A0096D">
        <w:rPr>
          <w:lang w:val="ru-RU"/>
        </w:rPr>
        <w:t xml:space="preserve">Двусторонние встречи с представителями двух ведомств ИС, а именно с экспертами по промышленным образцам, были организованы для более полного ознакомления с процедурами подачи заявок на </w:t>
      </w:r>
      <w:r w:rsidR="005B5E73">
        <w:rPr>
          <w:lang w:val="ru-RU"/>
        </w:rPr>
        <w:t>получени</w:t>
      </w:r>
      <w:r w:rsidR="001B292E">
        <w:rPr>
          <w:lang w:val="ru-RU"/>
        </w:rPr>
        <w:t>е</w:t>
      </w:r>
      <w:r w:rsidRPr="00A0096D">
        <w:rPr>
          <w:lang w:val="ru-RU"/>
        </w:rPr>
        <w:t xml:space="preserve"> патентов на ПО</w:t>
      </w:r>
      <w:r w:rsidR="000866E8" w:rsidRPr="00A0096D">
        <w:rPr>
          <w:lang w:val="ru-RU"/>
        </w:rPr>
        <w:t xml:space="preserve">. </w:t>
      </w:r>
    </w:p>
    <w:p w:rsidR="000866E8" w:rsidRPr="00A0096D" w:rsidRDefault="000866E8" w:rsidP="000866E8">
      <w:pPr>
        <w:rPr>
          <w:lang w:val="ru-RU"/>
        </w:rPr>
      </w:pPr>
    </w:p>
    <w:p w:rsidR="000866E8" w:rsidRPr="002A184B" w:rsidRDefault="002A184B" w:rsidP="000866E8">
      <w:pPr>
        <w:rPr>
          <w:lang w:val="ru-RU"/>
        </w:rPr>
      </w:pPr>
      <w:r w:rsidRPr="00C6541B">
        <w:rPr>
          <w:lang w:val="ru-RU"/>
        </w:rPr>
        <w:t xml:space="preserve">Второй этап исследования включал сбор регистрационных данных о заявках на получение патентов на ПО для </w:t>
      </w:r>
      <w:r>
        <w:rPr>
          <w:lang w:val="ru-RU"/>
        </w:rPr>
        <w:t>проведения</w:t>
      </w:r>
      <w:r w:rsidRPr="00C6541B">
        <w:rPr>
          <w:lang w:val="ru-RU"/>
        </w:rPr>
        <w:t xml:space="preserve"> э</w:t>
      </w:r>
      <w:r w:rsidR="00D8125B">
        <w:rPr>
          <w:lang w:val="ru-RU"/>
        </w:rPr>
        <w:t>мпирического</w:t>
      </w:r>
      <w:r w:rsidRPr="00C6541B">
        <w:rPr>
          <w:lang w:val="ru-RU"/>
        </w:rPr>
        <w:t xml:space="preserve"> обзора регистрационных данных по </w:t>
      </w:r>
      <w:r w:rsidR="00AD5554">
        <w:rPr>
          <w:lang w:val="ru-RU"/>
        </w:rPr>
        <w:t>промышленным образцам</w:t>
      </w:r>
      <w:r w:rsidRPr="00C6541B">
        <w:rPr>
          <w:lang w:val="ru-RU"/>
        </w:rPr>
        <w:t xml:space="preserve"> в этих странах. Результаты этого этапа исследования были использованы для идентификации целевой группы заявителей на получение патентов на ПО и их заявок для целей о</w:t>
      </w:r>
      <w:r w:rsidR="001819A0">
        <w:rPr>
          <w:lang w:val="ru-RU"/>
        </w:rPr>
        <w:t>бследования</w:t>
      </w:r>
      <w:r w:rsidRPr="00C6541B">
        <w:rPr>
          <w:lang w:val="ru-RU"/>
        </w:rPr>
        <w:t xml:space="preserve">.  Кроме того, </w:t>
      </w:r>
      <w:r w:rsidR="007B2FFE">
        <w:rPr>
          <w:lang w:val="ru-RU"/>
        </w:rPr>
        <w:t>дескриптивный</w:t>
      </w:r>
      <w:r w:rsidRPr="00C6541B">
        <w:rPr>
          <w:lang w:val="ru-RU"/>
        </w:rPr>
        <w:t xml:space="preserve"> анализ проведенной работы помог выявить потенциальны</w:t>
      </w:r>
      <w:r>
        <w:rPr>
          <w:lang w:val="ru-RU"/>
        </w:rPr>
        <w:t>й</w:t>
      </w:r>
      <w:r w:rsidRPr="00C6541B">
        <w:rPr>
          <w:lang w:val="ru-RU"/>
        </w:rPr>
        <w:t xml:space="preserve"> </w:t>
      </w:r>
      <w:r>
        <w:rPr>
          <w:lang w:val="ru-RU"/>
        </w:rPr>
        <w:t>уклон</w:t>
      </w:r>
      <w:r w:rsidRPr="00C6541B">
        <w:rPr>
          <w:lang w:val="ru-RU"/>
        </w:rPr>
        <w:t xml:space="preserve"> в ответах, полученных с помощью инструментария </w:t>
      </w:r>
      <w:r w:rsidR="004E285A">
        <w:rPr>
          <w:lang w:val="ru-RU"/>
        </w:rPr>
        <w:t>обследования</w:t>
      </w:r>
      <w:r w:rsidRPr="00C6541B">
        <w:rPr>
          <w:lang w:val="ru-RU"/>
        </w:rPr>
        <w:t>.</w:t>
      </w:r>
    </w:p>
    <w:p w:rsidR="000866E8" w:rsidRPr="00284B3A" w:rsidRDefault="000866E8" w:rsidP="000866E8">
      <w:pPr>
        <w:rPr>
          <w:lang w:val="ru-RU"/>
        </w:rPr>
      </w:pPr>
    </w:p>
    <w:p w:rsidR="000866E8" w:rsidRPr="002A184B" w:rsidRDefault="002A184B" w:rsidP="00504D19">
      <w:pPr>
        <w:rPr>
          <w:lang w:val="ru-RU"/>
        </w:rPr>
      </w:pPr>
      <w:r w:rsidRPr="002A184B">
        <w:rPr>
          <w:lang w:val="ru-RU"/>
        </w:rPr>
        <w:t xml:space="preserve">На третьем этапе исследования были использованы вопросники.  Вопросники были направлены заявителям на получение патентов на ПО по адресам их электронной почты, полученным из регистрационных данных, предоставленных тремя ведомствами ИС.  После двух напоминаний по электронной почте, копии анкет были направлены остальным респондентам по их почтовым адресам, указанным в </w:t>
      </w:r>
      <w:r w:rsidR="004E285A">
        <w:rPr>
          <w:lang w:val="ru-RU"/>
        </w:rPr>
        <w:t xml:space="preserve">соответствующих </w:t>
      </w:r>
      <w:r w:rsidRPr="002A184B">
        <w:rPr>
          <w:lang w:val="ru-RU"/>
        </w:rPr>
        <w:t>заявках на получение патентов на ПО</w:t>
      </w:r>
      <w:r w:rsidR="000866E8" w:rsidRPr="002A184B">
        <w:rPr>
          <w:lang w:val="ru-RU"/>
        </w:rPr>
        <w:t>.</w:t>
      </w:r>
    </w:p>
    <w:p w:rsidR="000866E8" w:rsidRPr="002A184B" w:rsidRDefault="000866E8" w:rsidP="000866E8">
      <w:pPr>
        <w:rPr>
          <w:lang w:val="ru-RU"/>
        </w:rPr>
      </w:pPr>
    </w:p>
    <w:p w:rsidR="000866E8" w:rsidRPr="00F83AD1" w:rsidRDefault="004E285A" w:rsidP="000866E8">
      <w:pPr>
        <w:rPr>
          <w:lang w:val="ru-RU"/>
        </w:rPr>
      </w:pPr>
      <w:r>
        <w:rPr>
          <w:lang w:val="ru-RU"/>
        </w:rPr>
        <w:t>В марте 2017 г</w:t>
      </w:r>
      <w:r w:rsidR="00AD5554">
        <w:rPr>
          <w:lang w:val="ru-RU"/>
        </w:rPr>
        <w:t>.</w:t>
      </w:r>
      <w:r>
        <w:rPr>
          <w:lang w:val="ru-RU"/>
        </w:rPr>
        <w:t xml:space="preserve"> </w:t>
      </w:r>
      <w:r w:rsidR="00F83AD1" w:rsidRPr="00F83AD1">
        <w:rPr>
          <w:lang w:val="ru-RU"/>
        </w:rPr>
        <w:t xml:space="preserve">Таиланд стал первой страной, </w:t>
      </w:r>
      <w:r>
        <w:rPr>
          <w:lang w:val="ru-RU"/>
        </w:rPr>
        <w:t>в которой было начато обследование</w:t>
      </w:r>
      <w:r w:rsidR="00F83AD1" w:rsidRPr="00F83AD1">
        <w:rPr>
          <w:lang w:val="ru-RU"/>
        </w:rPr>
        <w:t xml:space="preserve">.  Затем в июле проведение </w:t>
      </w:r>
      <w:r>
        <w:rPr>
          <w:lang w:val="ru-RU"/>
        </w:rPr>
        <w:t>обследования</w:t>
      </w:r>
      <w:r w:rsidR="00F83AD1" w:rsidRPr="00F83AD1">
        <w:rPr>
          <w:lang w:val="ru-RU"/>
        </w:rPr>
        <w:t xml:space="preserve"> началось на Филиппинах, и позднее, в октябре того же года, в Индонезии</w:t>
      </w:r>
      <w:r w:rsidR="000866E8" w:rsidRPr="00F83AD1">
        <w:rPr>
          <w:lang w:val="ru-RU"/>
        </w:rPr>
        <w:t>.</w:t>
      </w:r>
    </w:p>
    <w:p w:rsidR="000866E8" w:rsidRPr="00F83AD1" w:rsidRDefault="000866E8" w:rsidP="000866E8">
      <w:pPr>
        <w:rPr>
          <w:lang w:val="ru-RU"/>
        </w:rPr>
      </w:pPr>
    </w:p>
    <w:p w:rsidR="000866E8" w:rsidRPr="00EB7321" w:rsidRDefault="00E51964" w:rsidP="00504D19">
      <w:pPr>
        <w:rPr>
          <w:lang w:val="ru-RU"/>
        </w:rPr>
      </w:pPr>
      <w:r w:rsidRPr="00E51964">
        <w:rPr>
          <w:lang w:val="ru-RU"/>
        </w:rPr>
        <w:t xml:space="preserve">В этих трех странах консультанты использовали различные стратегии для привлечения респондентов к заполнению вопросника.  В Таиланде группе </w:t>
      </w:r>
      <w:r w:rsidR="006C1F3F">
        <w:t>TDRI</w:t>
      </w:r>
      <w:r w:rsidRPr="00E51964">
        <w:rPr>
          <w:lang w:val="ru-RU"/>
        </w:rPr>
        <w:t xml:space="preserve"> удалось дозвониться до заявителей на получение патентов на ПО и убедить их принять участие в о</w:t>
      </w:r>
      <w:r w:rsidR="004E285A">
        <w:rPr>
          <w:lang w:val="ru-RU"/>
        </w:rPr>
        <w:t>бследовании</w:t>
      </w:r>
      <w:r w:rsidRPr="00E51964">
        <w:rPr>
          <w:lang w:val="ru-RU"/>
        </w:rPr>
        <w:t xml:space="preserve">. На Филиппинах и в Индонезии группы </w:t>
      </w:r>
      <w:r w:rsidRPr="00E51964">
        <w:t>UA</w:t>
      </w:r>
      <w:r w:rsidRPr="00E51964">
        <w:rPr>
          <w:lang w:val="ru-RU"/>
        </w:rPr>
        <w:t>&amp;</w:t>
      </w:r>
      <w:r w:rsidRPr="00E51964">
        <w:t>P</w:t>
      </w:r>
      <w:r w:rsidRPr="00E51964">
        <w:rPr>
          <w:lang w:val="ru-RU"/>
        </w:rPr>
        <w:t xml:space="preserve"> и </w:t>
      </w:r>
      <w:r w:rsidRPr="00E51964">
        <w:t>CSIS</w:t>
      </w:r>
      <w:r w:rsidRPr="00E51964">
        <w:rPr>
          <w:lang w:val="ru-RU"/>
        </w:rPr>
        <w:t xml:space="preserve"> провели дополнительный семинар-практикум, ориентированный на </w:t>
      </w:r>
      <w:r w:rsidR="004E285A">
        <w:rPr>
          <w:lang w:val="ru-RU"/>
        </w:rPr>
        <w:t xml:space="preserve">включенных для участия в обследовании </w:t>
      </w:r>
      <w:r w:rsidRPr="00E51964">
        <w:rPr>
          <w:lang w:val="ru-RU"/>
        </w:rPr>
        <w:t>заявителей на получение патентов на ПО</w:t>
      </w:r>
      <w:r w:rsidR="004E285A">
        <w:rPr>
          <w:lang w:val="ru-RU"/>
        </w:rPr>
        <w:t xml:space="preserve"> </w:t>
      </w:r>
      <w:r w:rsidRPr="00E51964">
        <w:rPr>
          <w:lang w:val="ru-RU"/>
        </w:rPr>
        <w:t xml:space="preserve">с целью поощрить их к </w:t>
      </w:r>
      <w:r w:rsidR="004E285A">
        <w:rPr>
          <w:lang w:val="ru-RU"/>
        </w:rPr>
        <w:t>активному участию</w:t>
      </w:r>
      <w:r w:rsidRPr="00E51964">
        <w:rPr>
          <w:lang w:val="ru-RU"/>
        </w:rPr>
        <w:t xml:space="preserve">.  Позднее группа индонезийских исследователей провела очные интервью с заявителями на получение патентов на ПО.  </w:t>
      </w:r>
      <w:r w:rsidRPr="00EB7321">
        <w:rPr>
          <w:lang w:val="ru-RU"/>
        </w:rPr>
        <w:t>Эти стратегии не были одинаково успешными.</w:t>
      </w:r>
    </w:p>
    <w:p w:rsidR="000866E8" w:rsidRPr="00EB7321" w:rsidRDefault="000866E8" w:rsidP="000866E8">
      <w:pPr>
        <w:rPr>
          <w:lang w:val="ru-RU"/>
        </w:rPr>
      </w:pPr>
    </w:p>
    <w:p w:rsidR="000866E8" w:rsidRPr="006E2021" w:rsidRDefault="006E2021" w:rsidP="000866E8">
      <w:pPr>
        <w:rPr>
          <w:lang w:val="ru-RU"/>
        </w:rPr>
      </w:pPr>
      <w:r w:rsidRPr="006E2021">
        <w:rPr>
          <w:lang w:val="ru-RU"/>
        </w:rPr>
        <w:t>В таблице ниже приводится резюме полученных ответов.  В общей сложности 268 заявителей представили частично или полностью заполненный вопросник.  В целом на этих 268 заявителей приходится 512 заявок на получение патентов на ПО.  Вопросник по ПО был направлен как индивидуальным, так и корпоративным заявителям.  На Филиппинах отмечен самый высокий уровень активности, который составил 12 процентов по сравнению с 8 процентами в Индонезии и 9 процентами в Таиланде.  Вместе с тем, вследствие большего числа заявителей на получение патентов на ПО в Индонезии, из этой страны получено наибольшее число ответов, затем следуют Таиланд и Филиппины</w:t>
      </w:r>
      <w:r w:rsidR="000866E8" w:rsidRPr="006E2021">
        <w:rPr>
          <w:lang w:val="ru-RU"/>
        </w:rPr>
        <w:t>.</w:t>
      </w:r>
    </w:p>
    <w:p w:rsidR="000866E8" w:rsidRPr="006E2021" w:rsidRDefault="000866E8" w:rsidP="000866E8">
      <w:pPr>
        <w:rPr>
          <w:lang w:val="ru-RU"/>
        </w:rPr>
      </w:pPr>
    </w:p>
    <w:p w:rsidR="000866E8" w:rsidRPr="00E34EA9" w:rsidRDefault="000866E8" w:rsidP="000866E8">
      <w:pPr>
        <w:rPr>
          <w:lang w:val="ru-RU"/>
        </w:rPr>
      </w:pPr>
    </w:p>
    <w:p w:rsidR="00AB0B4B" w:rsidRPr="00E34EA9" w:rsidRDefault="00AB0B4B" w:rsidP="000866E8">
      <w:pPr>
        <w:rPr>
          <w:lang w:val="ru-RU"/>
        </w:rPr>
      </w:pPr>
    </w:p>
    <w:p w:rsidR="00AB0B4B" w:rsidRPr="00E34EA9" w:rsidRDefault="00AB0B4B" w:rsidP="000866E8">
      <w:pPr>
        <w:rPr>
          <w:lang w:val="ru-RU"/>
        </w:rPr>
      </w:pPr>
    </w:p>
    <w:p w:rsidR="00AB0B4B" w:rsidRPr="00E34EA9" w:rsidRDefault="00AB0B4B" w:rsidP="000866E8">
      <w:pPr>
        <w:rPr>
          <w:lang w:val="ru-RU"/>
        </w:rPr>
      </w:pPr>
    </w:p>
    <w:tbl>
      <w:tblPr>
        <w:tblStyle w:val="TableClassic1"/>
        <w:tblpPr w:leftFromText="180" w:rightFromText="180" w:vertAnchor="text" w:tblpY="1"/>
        <w:tblOverlap w:val="never"/>
        <w:tblW w:w="9180" w:type="dxa"/>
        <w:tblLayout w:type="fixed"/>
        <w:tblLook w:val="04A0" w:firstRow="1" w:lastRow="0" w:firstColumn="1" w:lastColumn="0" w:noHBand="0" w:noVBand="1"/>
      </w:tblPr>
      <w:tblGrid>
        <w:gridCol w:w="1368"/>
        <w:gridCol w:w="725"/>
        <w:gridCol w:w="850"/>
        <w:gridCol w:w="709"/>
        <w:gridCol w:w="709"/>
        <w:gridCol w:w="1080"/>
        <w:gridCol w:w="621"/>
        <w:gridCol w:w="819"/>
        <w:gridCol w:w="990"/>
        <w:gridCol w:w="679"/>
        <w:gridCol w:w="630"/>
      </w:tblGrid>
      <w:tr w:rsidR="000866E8" w:rsidRPr="000866E8" w:rsidTr="007C0109">
        <w:trPr>
          <w:cnfStyle w:val="100000000000" w:firstRow="1" w:lastRow="0" w:firstColumn="0" w:lastColumn="0" w:oddVBand="0" w:evenVBand="0" w:oddHBand="0"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368" w:type="dxa"/>
            <w:vMerge w:val="restart"/>
          </w:tcPr>
          <w:p w:rsidR="000866E8" w:rsidRPr="000866E8" w:rsidRDefault="002D7A93" w:rsidP="00170F30">
            <w:pPr>
              <w:rPr>
                <w:b/>
              </w:rPr>
            </w:pPr>
            <w:r>
              <w:rPr>
                <w:b/>
                <w:lang w:val="ru-RU"/>
              </w:rPr>
              <w:lastRenderedPageBreak/>
              <w:t>№</w:t>
            </w:r>
            <w:r w:rsidR="000866E8" w:rsidRPr="000866E8">
              <w:rPr>
                <w:b/>
              </w:rPr>
              <w:t xml:space="preserve"> </w:t>
            </w:r>
            <w:r w:rsidR="00170F30">
              <w:rPr>
                <w:b/>
                <w:lang w:val="ru-RU"/>
              </w:rPr>
              <w:t>заявки</w:t>
            </w:r>
          </w:p>
        </w:tc>
        <w:tc>
          <w:tcPr>
            <w:tcW w:w="2284" w:type="dxa"/>
            <w:gridSpan w:val="3"/>
            <w:tcBorders>
              <w:right w:val="single" w:sz="4" w:space="0" w:color="auto"/>
            </w:tcBorders>
          </w:tcPr>
          <w:p w:rsidR="000866E8" w:rsidRPr="000866E8" w:rsidRDefault="00170F30" w:rsidP="00170F30">
            <w:pPr>
              <w:cnfStyle w:val="100000000000" w:firstRow="1" w:lastRow="0" w:firstColumn="0" w:lastColumn="0" w:oddVBand="0" w:evenVBand="0" w:oddHBand="0" w:evenHBand="0" w:firstRowFirstColumn="0" w:firstRowLastColumn="0" w:lastRowFirstColumn="0" w:lastRowLastColumn="0"/>
              <w:rPr>
                <w:b/>
              </w:rPr>
            </w:pPr>
            <w:r>
              <w:rPr>
                <w:b/>
                <w:lang w:val="ru-RU"/>
              </w:rPr>
              <w:t>Индонезия</w:t>
            </w:r>
          </w:p>
        </w:tc>
        <w:tc>
          <w:tcPr>
            <w:tcW w:w="2410" w:type="dxa"/>
            <w:gridSpan w:val="3"/>
            <w:tcBorders>
              <w:left w:val="single" w:sz="4" w:space="0" w:color="auto"/>
              <w:right w:val="single" w:sz="4" w:space="0" w:color="auto"/>
            </w:tcBorders>
          </w:tcPr>
          <w:p w:rsidR="000866E8" w:rsidRPr="000866E8" w:rsidRDefault="00170F30" w:rsidP="00170F30">
            <w:pPr>
              <w:cnfStyle w:val="100000000000" w:firstRow="1" w:lastRow="0" w:firstColumn="0" w:lastColumn="0" w:oddVBand="0" w:evenVBand="0" w:oddHBand="0" w:evenHBand="0" w:firstRowFirstColumn="0" w:firstRowLastColumn="0" w:lastRowFirstColumn="0" w:lastRowLastColumn="0"/>
              <w:rPr>
                <w:b/>
              </w:rPr>
            </w:pPr>
            <w:r>
              <w:rPr>
                <w:b/>
                <w:lang w:val="ru-RU"/>
              </w:rPr>
              <w:t>Филиппины</w:t>
            </w:r>
          </w:p>
        </w:tc>
        <w:tc>
          <w:tcPr>
            <w:tcW w:w="2488" w:type="dxa"/>
            <w:gridSpan w:val="3"/>
            <w:tcBorders>
              <w:left w:val="single" w:sz="4" w:space="0" w:color="auto"/>
              <w:right w:val="single" w:sz="4" w:space="0" w:color="auto"/>
            </w:tcBorders>
          </w:tcPr>
          <w:p w:rsidR="000866E8" w:rsidRPr="000866E8" w:rsidRDefault="00170F30" w:rsidP="00170F30">
            <w:pPr>
              <w:cnfStyle w:val="100000000000" w:firstRow="1" w:lastRow="0" w:firstColumn="0" w:lastColumn="0" w:oddVBand="0" w:evenVBand="0" w:oddHBand="0" w:evenHBand="0" w:firstRowFirstColumn="0" w:firstRowLastColumn="0" w:lastRowFirstColumn="0" w:lastRowLastColumn="0"/>
              <w:rPr>
                <w:b/>
              </w:rPr>
            </w:pPr>
            <w:r>
              <w:rPr>
                <w:b/>
                <w:lang w:val="ru-RU"/>
              </w:rPr>
              <w:t>Таиланд</w:t>
            </w:r>
          </w:p>
        </w:tc>
        <w:tc>
          <w:tcPr>
            <w:tcW w:w="630" w:type="dxa"/>
            <w:tcBorders>
              <w:left w:val="single" w:sz="4" w:space="0" w:color="auto"/>
            </w:tcBorders>
          </w:tcPr>
          <w:p w:rsidR="000866E8" w:rsidRPr="000866E8" w:rsidRDefault="000866E8" w:rsidP="00170F30">
            <w:pPr>
              <w:cnfStyle w:val="100000000000" w:firstRow="1" w:lastRow="0" w:firstColumn="0" w:lastColumn="0" w:oddVBand="0" w:evenVBand="0" w:oddHBand="0" w:evenHBand="0" w:firstRowFirstColumn="0" w:firstRowLastColumn="0" w:lastRowFirstColumn="0" w:lastRowLastColumn="0"/>
              <w:rPr>
                <w:b/>
              </w:rPr>
            </w:pPr>
          </w:p>
        </w:tc>
      </w:tr>
      <w:tr w:rsidR="000866E8" w:rsidRPr="000866E8" w:rsidTr="007C0109">
        <w:trPr>
          <w:trHeight w:val="232"/>
        </w:trPr>
        <w:tc>
          <w:tcPr>
            <w:cnfStyle w:val="001000000000" w:firstRow="0" w:lastRow="0" w:firstColumn="1" w:lastColumn="0" w:oddVBand="0" w:evenVBand="0" w:oddHBand="0" w:evenHBand="0" w:firstRowFirstColumn="0" w:firstRowLastColumn="0" w:lastRowFirstColumn="0" w:lastRowLastColumn="0"/>
            <w:tcW w:w="1368" w:type="dxa"/>
            <w:vMerge/>
            <w:tcBorders>
              <w:bottom w:val="single" w:sz="4" w:space="0" w:color="auto"/>
            </w:tcBorders>
          </w:tcPr>
          <w:p w:rsidR="000866E8" w:rsidRPr="000866E8" w:rsidRDefault="000866E8" w:rsidP="00170F30">
            <w:pPr>
              <w:rPr>
                <w:b/>
              </w:rPr>
            </w:pPr>
          </w:p>
        </w:tc>
        <w:tc>
          <w:tcPr>
            <w:tcW w:w="725" w:type="dxa"/>
            <w:tcBorders>
              <w:bottom w:val="single" w:sz="4" w:space="0" w:color="auto"/>
            </w:tcBorders>
          </w:tcPr>
          <w:p w:rsidR="000866E8" w:rsidRPr="00D8125B" w:rsidRDefault="00D8125B" w:rsidP="00170F30">
            <w:pPr>
              <w:cnfStyle w:val="000000000000" w:firstRow="0" w:lastRow="0" w:firstColumn="0" w:lastColumn="0" w:oddVBand="0" w:evenVBand="0" w:oddHBand="0" w:evenHBand="0" w:firstRowFirstColumn="0" w:firstRowLastColumn="0" w:lastRowFirstColumn="0" w:lastRowLastColumn="0"/>
              <w:rPr>
                <w:b/>
                <w:lang w:val="ru-RU"/>
              </w:rPr>
            </w:pPr>
            <w:r>
              <w:rPr>
                <w:b/>
                <w:lang w:val="ru-RU"/>
              </w:rPr>
              <w:t>Юр. лицо</w:t>
            </w:r>
          </w:p>
        </w:tc>
        <w:tc>
          <w:tcPr>
            <w:tcW w:w="850" w:type="dxa"/>
            <w:tcBorders>
              <w:bottom w:val="single" w:sz="4" w:space="0" w:color="auto"/>
            </w:tcBorders>
          </w:tcPr>
          <w:p w:rsidR="000866E8" w:rsidRPr="000866E8" w:rsidRDefault="00170F30" w:rsidP="00170F30">
            <w:pPr>
              <w:cnfStyle w:val="000000000000" w:firstRow="0" w:lastRow="0" w:firstColumn="0" w:lastColumn="0" w:oddVBand="0" w:evenVBand="0" w:oddHBand="0" w:evenHBand="0" w:firstRowFirstColumn="0" w:firstRowLastColumn="0" w:lastRowFirstColumn="0" w:lastRowLastColumn="0"/>
              <w:rPr>
                <w:b/>
              </w:rPr>
            </w:pPr>
            <w:r>
              <w:rPr>
                <w:b/>
                <w:lang w:val="ru-RU"/>
              </w:rPr>
              <w:t>Физ. лицо</w:t>
            </w:r>
          </w:p>
        </w:tc>
        <w:tc>
          <w:tcPr>
            <w:tcW w:w="709" w:type="dxa"/>
            <w:tcBorders>
              <w:bottom w:val="single" w:sz="4" w:space="0" w:color="auto"/>
              <w:right w:val="single" w:sz="4" w:space="0" w:color="auto"/>
            </w:tcBorders>
          </w:tcPr>
          <w:p w:rsidR="00170F30" w:rsidRDefault="00170F30" w:rsidP="00170F30">
            <w:pPr>
              <w:cnfStyle w:val="000000000000" w:firstRow="0" w:lastRow="0" w:firstColumn="0" w:lastColumn="0" w:oddVBand="0" w:evenVBand="0" w:oddHBand="0" w:evenHBand="0" w:firstRowFirstColumn="0" w:firstRowLastColumn="0" w:lastRowFirstColumn="0" w:lastRowLastColumn="0"/>
              <w:rPr>
                <w:b/>
                <w:lang w:val="ru-RU"/>
              </w:rPr>
            </w:pPr>
            <w:r>
              <w:rPr>
                <w:b/>
                <w:lang w:val="ru-RU"/>
              </w:rPr>
              <w:t>Ито</w:t>
            </w:r>
          </w:p>
          <w:p w:rsidR="000866E8" w:rsidRPr="000866E8" w:rsidRDefault="00170F30" w:rsidP="00170F30">
            <w:pPr>
              <w:cnfStyle w:val="000000000000" w:firstRow="0" w:lastRow="0" w:firstColumn="0" w:lastColumn="0" w:oddVBand="0" w:evenVBand="0" w:oddHBand="0" w:evenHBand="0" w:firstRowFirstColumn="0" w:firstRowLastColumn="0" w:lastRowFirstColumn="0" w:lastRowLastColumn="0"/>
              <w:rPr>
                <w:b/>
              </w:rPr>
            </w:pPr>
            <w:r>
              <w:rPr>
                <w:b/>
                <w:lang w:val="ru-RU"/>
              </w:rPr>
              <w:t>го</w:t>
            </w:r>
          </w:p>
        </w:tc>
        <w:tc>
          <w:tcPr>
            <w:tcW w:w="709" w:type="dxa"/>
            <w:tcBorders>
              <w:left w:val="single" w:sz="4" w:space="0" w:color="auto"/>
              <w:bottom w:val="single" w:sz="4" w:space="0" w:color="auto"/>
            </w:tcBorders>
          </w:tcPr>
          <w:p w:rsidR="000866E8" w:rsidRPr="000866E8" w:rsidRDefault="00D8125B" w:rsidP="00170F30">
            <w:pPr>
              <w:cnfStyle w:val="000000000000" w:firstRow="0" w:lastRow="0" w:firstColumn="0" w:lastColumn="0" w:oddVBand="0" w:evenVBand="0" w:oddHBand="0" w:evenHBand="0" w:firstRowFirstColumn="0" w:firstRowLastColumn="0" w:lastRowFirstColumn="0" w:lastRowLastColumn="0"/>
              <w:rPr>
                <w:b/>
              </w:rPr>
            </w:pPr>
            <w:r>
              <w:rPr>
                <w:b/>
                <w:lang w:val="ru-RU"/>
              </w:rPr>
              <w:t>Юр</w:t>
            </w:r>
            <w:r w:rsidR="0078248B">
              <w:rPr>
                <w:b/>
                <w:lang w:val="ru-RU"/>
              </w:rPr>
              <w:t>. лицо</w:t>
            </w:r>
          </w:p>
        </w:tc>
        <w:tc>
          <w:tcPr>
            <w:tcW w:w="1080" w:type="dxa"/>
            <w:tcBorders>
              <w:bottom w:val="single" w:sz="4" w:space="0" w:color="auto"/>
            </w:tcBorders>
          </w:tcPr>
          <w:p w:rsidR="000866E8" w:rsidRPr="000866E8" w:rsidRDefault="00170F30" w:rsidP="00170F30">
            <w:pPr>
              <w:cnfStyle w:val="000000000000" w:firstRow="0" w:lastRow="0" w:firstColumn="0" w:lastColumn="0" w:oddVBand="0" w:evenVBand="0" w:oddHBand="0" w:evenHBand="0" w:firstRowFirstColumn="0" w:firstRowLastColumn="0" w:lastRowFirstColumn="0" w:lastRowLastColumn="0"/>
              <w:rPr>
                <w:b/>
              </w:rPr>
            </w:pPr>
            <w:r>
              <w:rPr>
                <w:b/>
                <w:lang w:val="ru-RU"/>
              </w:rPr>
              <w:t>Физ. лицо</w:t>
            </w:r>
          </w:p>
        </w:tc>
        <w:tc>
          <w:tcPr>
            <w:tcW w:w="621" w:type="dxa"/>
            <w:tcBorders>
              <w:bottom w:val="single" w:sz="4" w:space="0" w:color="auto"/>
              <w:right w:val="single" w:sz="4" w:space="0" w:color="auto"/>
            </w:tcBorders>
          </w:tcPr>
          <w:p w:rsidR="000866E8" w:rsidRPr="000866E8" w:rsidRDefault="00170F30" w:rsidP="00170F30">
            <w:pPr>
              <w:cnfStyle w:val="000000000000" w:firstRow="0" w:lastRow="0" w:firstColumn="0" w:lastColumn="0" w:oddVBand="0" w:evenVBand="0" w:oddHBand="0" w:evenHBand="0" w:firstRowFirstColumn="0" w:firstRowLastColumn="0" w:lastRowFirstColumn="0" w:lastRowLastColumn="0"/>
              <w:rPr>
                <w:b/>
              </w:rPr>
            </w:pPr>
            <w:r>
              <w:rPr>
                <w:b/>
                <w:lang w:val="ru-RU"/>
              </w:rPr>
              <w:t>Итого</w:t>
            </w:r>
          </w:p>
        </w:tc>
        <w:tc>
          <w:tcPr>
            <w:tcW w:w="819" w:type="dxa"/>
            <w:tcBorders>
              <w:left w:val="single" w:sz="4" w:space="0" w:color="auto"/>
              <w:bottom w:val="single" w:sz="4" w:space="0" w:color="auto"/>
            </w:tcBorders>
          </w:tcPr>
          <w:p w:rsidR="000866E8" w:rsidRPr="000866E8" w:rsidRDefault="0078248B" w:rsidP="00170F30">
            <w:pPr>
              <w:cnfStyle w:val="000000000000" w:firstRow="0" w:lastRow="0" w:firstColumn="0" w:lastColumn="0" w:oddVBand="0" w:evenVBand="0" w:oddHBand="0" w:evenHBand="0" w:firstRowFirstColumn="0" w:firstRowLastColumn="0" w:lastRowFirstColumn="0" w:lastRowLastColumn="0"/>
              <w:rPr>
                <w:b/>
              </w:rPr>
            </w:pPr>
            <w:r>
              <w:rPr>
                <w:b/>
                <w:lang w:val="ru-RU"/>
              </w:rPr>
              <w:t>Юр. лицо</w:t>
            </w:r>
          </w:p>
        </w:tc>
        <w:tc>
          <w:tcPr>
            <w:tcW w:w="990" w:type="dxa"/>
            <w:tcBorders>
              <w:bottom w:val="single" w:sz="4" w:space="0" w:color="auto"/>
            </w:tcBorders>
          </w:tcPr>
          <w:p w:rsidR="000866E8" w:rsidRPr="000866E8" w:rsidRDefault="00170F30" w:rsidP="00170F30">
            <w:pPr>
              <w:cnfStyle w:val="000000000000" w:firstRow="0" w:lastRow="0" w:firstColumn="0" w:lastColumn="0" w:oddVBand="0" w:evenVBand="0" w:oddHBand="0" w:evenHBand="0" w:firstRowFirstColumn="0" w:firstRowLastColumn="0" w:lastRowFirstColumn="0" w:lastRowLastColumn="0"/>
              <w:rPr>
                <w:b/>
              </w:rPr>
            </w:pPr>
            <w:r>
              <w:rPr>
                <w:b/>
                <w:lang w:val="ru-RU"/>
              </w:rPr>
              <w:t>Физ. лицо</w:t>
            </w:r>
          </w:p>
        </w:tc>
        <w:tc>
          <w:tcPr>
            <w:tcW w:w="679" w:type="dxa"/>
            <w:tcBorders>
              <w:bottom w:val="single" w:sz="4" w:space="0" w:color="auto"/>
              <w:right w:val="single" w:sz="4" w:space="0" w:color="auto"/>
            </w:tcBorders>
          </w:tcPr>
          <w:p w:rsidR="000866E8" w:rsidRPr="000866E8" w:rsidRDefault="007C0109" w:rsidP="00170F30">
            <w:pPr>
              <w:cnfStyle w:val="000000000000" w:firstRow="0" w:lastRow="0" w:firstColumn="0" w:lastColumn="0" w:oddVBand="0" w:evenVBand="0" w:oddHBand="0" w:evenHBand="0" w:firstRowFirstColumn="0" w:firstRowLastColumn="0" w:lastRowFirstColumn="0" w:lastRowLastColumn="0"/>
              <w:rPr>
                <w:b/>
              </w:rPr>
            </w:pPr>
            <w:r>
              <w:rPr>
                <w:b/>
                <w:lang w:val="ru-RU"/>
              </w:rPr>
              <w:t>Итого</w:t>
            </w:r>
          </w:p>
        </w:tc>
        <w:tc>
          <w:tcPr>
            <w:tcW w:w="630" w:type="dxa"/>
            <w:tcBorders>
              <w:left w:val="single" w:sz="4" w:space="0" w:color="auto"/>
              <w:bottom w:val="single" w:sz="4" w:space="0" w:color="auto"/>
            </w:tcBorders>
          </w:tcPr>
          <w:p w:rsidR="000866E8" w:rsidRPr="000866E8" w:rsidRDefault="007C0109" w:rsidP="00170F30">
            <w:pPr>
              <w:cnfStyle w:val="000000000000" w:firstRow="0" w:lastRow="0" w:firstColumn="0" w:lastColumn="0" w:oddVBand="0" w:evenVBand="0" w:oddHBand="0" w:evenHBand="0" w:firstRowFirstColumn="0" w:firstRowLastColumn="0" w:lastRowFirstColumn="0" w:lastRowLastColumn="0"/>
              <w:rPr>
                <w:b/>
              </w:rPr>
            </w:pPr>
            <w:r>
              <w:rPr>
                <w:b/>
                <w:lang w:val="ru-RU"/>
              </w:rPr>
              <w:t>Всего</w:t>
            </w:r>
          </w:p>
        </w:tc>
      </w:tr>
      <w:tr w:rsidR="000866E8" w:rsidRPr="000866E8" w:rsidTr="007C0109">
        <w:trPr>
          <w:trHeight w:val="248"/>
        </w:trPr>
        <w:tc>
          <w:tcPr>
            <w:cnfStyle w:val="001000000000" w:firstRow="0" w:lastRow="0" w:firstColumn="1" w:lastColumn="0" w:oddVBand="0" w:evenVBand="0" w:oddHBand="0" w:evenHBand="0" w:firstRowFirstColumn="0" w:firstRowLastColumn="0" w:lastRowFirstColumn="0" w:lastRowLastColumn="0"/>
            <w:tcW w:w="1368" w:type="dxa"/>
          </w:tcPr>
          <w:p w:rsidR="000866E8" w:rsidRPr="000866E8" w:rsidRDefault="000866E8" w:rsidP="00170F30">
            <w:pPr>
              <w:rPr>
                <w:b/>
              </w:rPr>
            </w:pPr>
            <w:r w:rsidRPr="000866E8">
              <w:rPr>
                <w:b/>
              </w:rPr>
              <w:t>1</w:t>
            </w:r>
            <w:r w:rsidR="00170F30">
              <w:rPr>
                <w:b/>
                <w:vertAlign w:val="superscript"/>
                <w:lang w:val="ru-RU"/>
              </w:rPr>
              <w:t>-я</w:t>
            </w:r>
            <w:r w:rsidRPr="000866E8">
              <w:rPr>
                <w:b/>
              </w:rPr>
              <w:t xml:space="preserve"> </w:t>
            </w:r>
            <w:r w:rsidR="00170F30">
              <w:rPr>
                <w:b/>
                <w:lang w:val="ru-RU"/>
              </w:rPr>
              <w:t>заявка</w:t>
            </w:r>
          </w:p>
        </w:tc>
        <w:tc>
          <w:tcPr>
            <w:tcW w:w="725" w:type="dxa"/>
            <w:vAlign w:val="bottom"/>
          </w:tcPr>
          <w:p w:rsidR="000866E8" w:rsidRPr="000866E8" w:rsidRDefault="000866E8" w:rsidP="00170F30">
            <w:pPr>
              <w:cnfStyle w:val="000000000000" w:firstRow="0" w:lastRow="0" w:firstColumn="0" w:lastColumn="0" w:oddVBand="0" w:evenVBand="0" w:oddHBand="0" w:evenHBand="0" w:firstRowFirstColumn="0" w:firstRowLastColumn="0" w:lastRowFirstColumn="0" w:lastRowLastColumn="0"/>
            </w:pPr>
            <w:r w:rsidRPr="000866E8">
              <w:t>57</w:t>
            </w:r>
          </w:p>
        </w:tc>
        <w:tc>
          <w:tcPr>
            <w:tcW w:w="850" w:type="dxa"/>
            <w:vAlign w:val="bottom"/>
          </w:tcPr>
          <w:p w:rsidR="000866E8" w:rsidRPr="000866E8" w:rsidRDefault="000866E8" w:rsidP="00170F30">
            <w:pPr>
              <w:cnfStyle w:val="000000000000" w:firstRow="0" w:lastRow="0" w:firstColumn="0" w:lastColumn="0" w:oddVBand="0" w:evenVBand="0" w:oddHBand="0" w:evenHBand="0" w:firstRowFirstColumn="0" w:firstRowLastColumn="0" w:lastRowFirstColumn="0" w:lastRowLastColumn="0"/>
            </w:pPr>
            <w:r w:rsidRPr="000866E8">
              <w:t>55</w:t>
            </w:r>
          </w:p>
        </w:tc>
        <w:tc>
          <w:tcPr>
            <w:tcW w:w="709" w:type="dxa"/>
            <w:tcBorders>
              <w:right w:val="single" w:sz="4" w:space="0" w:color="auto"/>
            </w:tcBorders>
            <w:vAlign w:val="bottom"/>
          </w:tcPr>
          <w:p w:rsidR="000866E8" w:rsidRPr="000866E8" w:rsidRDefault="000866E8" w:rsidP="00170F30">
            <w:pPr>
              <w:cnfStyle w:val="000000000000" w:firstRow="0" w:lastRow="0" w:firstColumn="0" w:lastColumn="0" w:oddVBand="0" w:evenVBand="0" w:oddHBand="0" w:evenHBand="0" w:firstRowFirstColumn="0" w:firstRowLastColumn="0" w:lastRowFirstColumn="0" w:lastRowLastColumn="0"/>
            </w:pPr>
            <w:r w:rsidRPr="000866E8">
              <w:t>112</w:t>
            </w:r>
          </w:p>
        </w:tc>
        <w:tc>
          <w:tcPr>
            <w:tcW w:w="709" w:type="dxa"/>
            <w:tcBorders>
              <w:left w:val="single" w:sz="4" w:space="0" w:color="auto"/>
            </w:tcBorders>
            <w:vAlign w:val="bottom"/>
          </w:tcPr>
          <w:p w:rsidR="000866E8" w:rsidRPr="000866E8" w:rsidRDefault="000866E8" w:rsidP="00170F30">
            <w:pPr>
              <w:cnfStyle w:val="000000000000" w:firstRow="0" w:lastRow="0" w:firstColumn="0" w:lastColumn="0" w:oddVBand="0" w:evenVBand="0" w:oddHBand="0" w:evenHBand="0" w:firstRowFirstColumn="0" w:firstRowLastColumn="0" w:lastRowFirstColumn="0" w:lastRowLastColumn="0"/>
            </w:pPr>
            <w:r w:rsidRPr="000866E8">
              <w:t>23</w:t>
            </w:r>
          </w:p>
        </w:tc>
        <w:tc>
          <w:tcPr>
            <w:tcW w:w="1080" w:type="dxa"/>
            <w:vAlign w:val="bottom"/>
          </w:tcPr>
          <w:p w:rsidR="000866E8" w:rsidRPr="000866E8" w:rsidRDefault="000866E8" w:rsidP="00170F30">
            <w:pPr>
              <w:cnfStyle w:val="000000000000" w:firstRow="0" w:lastRow="0" w:firstColumn="0" w:lastColumn="0" w:oddVBand="0" w:evenVBand="0" w:oddHBand="0" w:evenHBand="0" w:firstRowFirstColumn="0" w:firstRowLastColumn="0" w:lastRowFirstColumn="0" w:lastRowLastColumn="0"/>
            </w:pPr>
            <w:r w:rsidRPr="000866E8">
              <w:t>28</w:t>
            </w:r>
          </w:p>
        </w:tc>
        <w:tc>
          <w:tcPr>
            <w:tcW w:w="621" w:type="dxa"/>
            <w:tcBorders>
              <w:right w:val="single" w:sz="4" w:space="0" w:color="auto"/>
            </w:tcBorders>
            <w:vAlign w:val="bottom"/>
          </w:tcPr>
          <w:p w:rsidR="000866E8" w:rsidRPr="000866E8" w:rsidRDefault="000866E8" w:rsidP="00170F30">
            <w:pPr>
              <w:cnfStyle w:val="000000000000" w:firstRow="0" w:lastRow="0" w:firstColumn="0" w:lastColumn="0" w:oddVBand="0" w:evenVBand="0" w:oddHBand="0" w:evenHBand="0" w:firstRowFirstColumn="0" w:firstRowLastColumn="0" w:lastRowFirstColumn="0" w:lastRowLastColumn="0"/>
            </w:pPr>
            <w:r w:rsidRPr="000866E8">
              <w:t>51</w:t>
            </w:r>
          </w:p>
        </w:tc>
        <w:tc>
          <w:tcPr>
            <w:tcW w:w="819" w:type="dxa"/>
            <w:tcBorders>
              <w:left w:val="single" w:sz="4" w:space="0" w:color="auto"/>
            </w:tcBorders>
            <w:vAlign w:val="bottom"/>
          </w:tcPr>
          <w:p w:rsidR="000866E8" w:rsidRPr="000866E8" w:rsidRDefault="000866E8" w:rsidP="00170F30">
            <w:pPr>
              <w:cnfStyle w:val="000000000000" w:firstRow="0" w:lastRow="0" w:firstColumn="0" w:lastColumn="0" w:oddVBand="0" w:evenVBand="0" w:oddHBand="0" w:evenHBand="0" w:firstRowFirstColumn="0" w:firstRowLastColumn="0" w:lastRowFirstColumn="0" w:lastRowLastColumn="0"/>
            </w:pPr>
            <w:r w:rsidRPr="000866E8">
              <w:t>45</w:t>
            </w:r>
          </w:p>
        </w:tc>
        <w:tc>
          <w:tcPr>
            <w:tcW w:w="990" w:type="dxa"/>
            <w:vAlign w:val="bottom"/>
          </w:tcPr>
          <w:p w:rsidR="000866E8" w:rsidRPr="000866E8" w:rsidRDefault="000866E8" w:rsidP="00170F30">
            <w:pPr>
              <w:cnfStyle w:val="000000000000" w:firstRow="0" w:lastRow="0" w:firstColumn="0" w:lastColumn="0" w:oddVBand="0" w:evenVBand="0" w:oddHBand="0" w:evenHBand="0" w:firstRowFirstColumn="0" w:firstRowLastColumn="0" w:lastRowFirstColumn="0" w:lastRowLastColumn="0"/>
            </w:pPr>
            <w:r w:rsidRPr="000866E8">
              <w:t>60</w:t>
            </w:r>
          </w:p>
        </w:tc>
        <w:tc>
          <w:tcPr>
            <w:tcW w:w="679" w:type="dxa"/>
            <w:tcBorders>
              <w:right w:val="single" w:sz="4" w:space="0" w:color="auto"/>
            </w:tcBorders>
            <w:vAlign w:val="bottom"/>
          </w:tcPr>
          <w:p w:rsidR="000866E8" w:rsidRPr="000866E8" w:rsidRDefault="000866E8" w:rsidP="00170F30">
            <w:pPr>
              <w:cnfStyle w:val="000000000000" w:firstRow="0" w:lastRow="0" w:firstColumn="0" w:lastColumn="0" w:oddVBand="0" w:evenVBand="0" w:oddHBand="0" w:evenHBand="0" w:firstRowFirstColumn="0" w:firstRowLastColumn="0" w:lastRowFirstColumn="0" w:lastRowLastColumn="0"/>
            </w:pPr>
            <w:r w:rsidRPr="000866E8">
              <w:t>105</w:t>
            </w:r>
          </w:p>
        </w:tc>
        <w:tc>
          <w:tcPr>
            <w:tcW w:w="630" w:type="dxa"/>
            <w:tcBorders>
              <w:left w:val="single" w:sz="4" w:space="0" w:color="auto"/>
            </w:tcBorders>
            <w:vAlign w:val="bottom"/>
          </w:tcPr>
          <w:p w:rsidR="000866E8" w:rsidRPr="000866E8" w:rsidRDefault="000866E8" w:rsidP="00170F30">
            <w:pPr>
              <w:cnfStyle w:val="000000000000" w:firstRow="0" w:lastRow="0" w:firstColumn="0" w:lastColumn="0" w:oddVBand="0" w:evenVBand="0" w:oddHBand="0" w:evenHBand="0" w:firstRowFirstColumn="0" w:firstRowLastColumn="0" w:lastRowFirstColumn="0" w:lastRowLastColumn="0"/>
            </w:pPr>
            <w:r w:rsidRPr="000866E8">
              <w:t>268</w:t>
            </w:r>
          </w:p>
        </w:tc>
      </w:tr>
      <w:tr w:rsidR="000866E8" w:rsidRPr="000866E8" w:rsidTr="007C0109">
        <w:trPr>
          <w:trHeight w:val="248"/>
        </w:trPr>
        <w:tc>
          <w:tcPr>
            <w:cnfStyle w:val="001000000000" w:firstRow="0" w:lastRow="0" w:firstColumn="1" w:lastColumn="0" w:oddVBand="0" w:evenVBand="0" w:oddHBand="0" w:evenHBand="0" w:firstRowFirstColumn="0" w:firstRowLastColumn="0" w:lastRowFirstColumn="0" w:lastRowLastColumn="0"/>
            <w:tcW w:w="1368" w:type="dxa"/>
          </w:tcPr>
          <w:p w:rsidR="000866E8" w:rsidRPr="000866E8" w:rsidRDefault="000866E8" w:rsidP="00170F30">
            <w:pPr>
              <w:rPr>
                <w:b/>
              </w:rPr>
            </w:pPr>
            <w:r w:rsidRPr="000866E8">
              <w:rPr>
                <w:b/>
              </w:rPr>
              <w:t>2</w:t>
            </w:r>
            <w:r w:rsidR="00170F30">
              <w:rPr>
                <w:b/>
                <w:vertAlign w:val="superscript"/>
                <w:lang w:val="ru-RU"/>
              </w:rPr>
              <w:t xml:space="preserve">-я </w:t>
            </w:r>
            <w:r w:rsidR="00170F30">
              <w:rPr>
                <w:b/>
                <w:lang w:val="ru-RU"/>
              </w:rPr>
              <w:t>заявка</w:t>
            </w:r>
            <w:r w:rsidRPr="000866E8">
              <w:rPr>
                <w:b/>
              </w:rPr>
              <w:t xml:space="preserve"> </w:t>
            </w:r>
          </w:p>
        </w:tc>
        <w:tc>
          <w:tcPr>
            <w:tcW w:w="725" w:type="dxa"/>
            <w:vAlign w:val="bottom"/>
          </w:tcPr>
          <w:p w:rsidR="000866E8" w:rsidRPr="000866E8" w:rsidRDefault="000866E8" w:rsidP="00170F30">
            <w:pPr>
              <w:cnfStyle w:val="000000000000" w:firstRow="0" w:lastRow="0" w:firstColumn="0" w:lastColumn="0" w:oddVBand="0" w:evenVBand="0" w:oddHBand="0" w:evenHBand="0" w:firstRowFirstColumn="0" w:firstRowLastColumn="0" w:lastRowFirstColumn="0" w:lastRowLastColumn="0"/>
            </w:pPr>
            <w:r w:rsidRPr="000866E8">
              <w:t>31</w:t>
            </w:r>
          </w:p>
        </w:tc>
        <w:tc>
          <w:tcPr>
            <w:tcW w:w="850" w:type="dxa"/>
            <w:vAlign w:val="bottom"/>
          </w:tcPr>
          <w:p w:rsidR="000866E8" w:rsidRPr="000866E8" w:rsidRDefault="000866E8" w:rsidP="00170F30">
            <w:pPr>
              <w:cnfStyle w:val="000000000000" w:firstRow="0" w:lastRow="0" w:firstColumn="0" w:lastColumn="0" w:oddVBand="0" w:evenVBand="0" w:oddHBand="0" w:evenHBand="0" w:firstRowFirstColumn="0" w:firstRowLastColumn="0" w:lastRowFirstColumn="0" w:lastRowLastColumn="0"/>
            </w:pPr>
            <w:r w:rsidRPr="000866E8">
              <w:t>20</w:t>
            </w:r>
          </w:p>
        </w:tc>
        <w:tc>
          <w:tcPr>
            <w:tcW w:w="709" w:type="dxa"/>
            <w:tcBorders>
              <w:right w:val="single" w:sz="4" w:space="0" w:color="auto"/>
            </w:tcBorders>
            <w:vAlign w:val="bottom"/>
          </w:tcPr>
          <w:p w:rsidR="000866E8" w:rsidRPr="000866E8" w:rsidRDefault="000866E8" w:rsidP="00170F30">
            <w:pPr>
              <w:cnfStyle w:val="000000000000" w:firstRow="0" w:lastRow="0" w:firstColumn="0" w:lastColumn="0" w:oddVBand="0" w:evenVBand="0" w:oddHBand="0" w:evenHBand="0" w:firstRowFirstColumn="0" w:firstRowLastColumn="0" w:lastRowFirstColumn="0" w:lastRowLastColumn="0"/>
            </w:pPr>
            <w:r w:rsidRPr="000866E8">
              <w:t>51</w:t>
            </w:r>
          </w:p>
        </w:tc>
        <w:tc>
          <w:tcPr>
            <w:tcW w:w="709" w:type="dxa"/>
            <w:tcBorders>
              <w:left w:val="single" w:sz="4" w:space="0" w:color="auto"/>
            </w:tcBorders>
            <w:vAlign w:val="bottom"/>
          </w:tcPr>
          <w:p w:rsidR="000866E8" w:rsidRPr="000866E8" w:rsidRDefault="000866E8" w:rsidP="00170F30">
            <w:pPr>
              <w:cnfStyle w:val="000000000000" w:firstRow="0" w:lastRow="0" w:firstColumn="0" w:lastColumn="0" w:oddVBand="0" w:evenVBand="0" w:oddHBand="0" w:evenHBand="0" w:firstRowFirstColumn="0" w:firstRowLastColumn="0" w:lastRowFirstColumn="0" w:lastRowLastColumn="0"/>
            </w:pPr>
            <w:r w:rsidRPr="000866E8">
              <w:t>15</w:t>
            </w:r>
          </w:p>
        </w:tc>
        <w:tc>
          <w:tcPr>
            <w:tcW w:w="1080" w:type="dxa"/>
            <w:vAlign w:val="bottom"/>
          </w:tcPr>
          <w:p w:rsidR="000866E8" w:rsidRPr="000866E8" w:rsidRDefault="000866E8" w:rsidP="00170F30">
            <w:pPr>
              <w:cnfStyle w:val="000000000000" w:firstRow="0" w:lastRow="0" w:firstColumn="0" w:lastColumn="0" w:oddVBand="0" w:evenVBand="0" w:oddHBand="0" w:evenHBand="0" w:firstRowFirstColumn="0" w:firstRowLastColumn="0" w:lastRowFirstColumn="0" w:lastRowLastColumn="0"/>
            </w:pPr>
            <w:r w:rsidRPr="000866E8">
              <w:t>10</w:t>
            </w:r>
          </w:p>
        </w:tc>
        <w:tc>
          <w:tcPr>
            <w:tcW w:w="621" w:type="dxa"/>
            <w:tcBorders>
              <w:right w:val="single" w:sz="4" w:space="0" w:color="auto"/>
            </w:tcBorders>
            <w:vAlign w:val="bottom"/>
          </w:tcPr>
          <w:p w:rsidR="000866E8" w:rsidRPr="000866E8" w:rsidRDefault="000866E8" w:rsidP="00170F30">
            <w:pPr>
              <w:cnfStyle w:val="000000000000" w:firstRow="0" w:lastRow="0" w:firstColumn="0" w:lastColumn="0" w:oddVBand="0" w:evenVBand="0" w:oddHBand="0" w:evenHBand="0" w:firstRowFirstColumn="0" w:firstRowLastColumn="0" w:lastRowFirstColumn="0" w:lastRowLastColumn="0"/>
            </w:pPr>
            <w:r w:rsidRPr="000866E8">
              <w:t>25</w:t>
            </w:r>
          </w:p>
        </w:tc>
        <w:tc>
          <w:tcPr>
            <w:tcW w:w="819" w:type="dxa"/>
            <w:tcBorders>
              <w:left w:val="single" w:sz="4" w:space="0" w:color="auto"/>
            </w:tcBorders>
            <w:vAlign w:val="bottom"/>
          </w:tcPr>
          <w:p w:rsidR="000866E8" w:rsidRPr="000866E8" w:rsidRDefault="000866E8" w:rsidP="00170F30">
            <w:pPr>
              <w:cnfStyle w:val="000000000000" w:firstRow="0" w:lastRow="0" w:firstColumn="0" w:lastColumn="0" w:oddVBand="0" w:evenVBand="0" w:oddHBand="0" w:evenHBand="0" w:firstRowFirstColumn="0" w:firstRowLastColumn="0" w:lastRowFirstColumn="0" w:lastRowLastColumn="0"/>
            </w:pPr>
            <w:r w:rsidRPr="000866E8">
              <w:t>26</w:t>
            </w:r>
          </w:p>
        </w:tc>
        <w:tc>
          <w:tcPr>
            <w:tcW w:w="990" w:type="dxa"/>
            <w:vAlign w:val="bottom"/>
          </w:tcPr>
          <w:p w:rsidR="000866E8" w:rsidRPr="000866E8" w:rsidRDefault="000866E8" w:rsidP="00170F30">
            <w:pPr>
              <w:cnfStyle w:val="000000000000" w:firstRow="0" w:lastRow="0" w:firstColumn="0" w:lastColumn="0" w:oddVBand="0" w:evenVBand="0" w:oddHBand="0" w:evenHBand="0" w:firstRowFirstColumn="0" w:firstRowLastColumn="0" w:lastRowFirstColumn="0" w:lastRowLastColumn="0"/>
            </w:pPr>
            <w:r w:rsidRPr="000866E8">
              <w:t>23</w:t>
            </w:r>
          </w:p>
        </w:tc>
        <w:tc>
          <w:tcPr>
            <w:tcW w:w="679" w:type="dxa"/>
            <w:tcBorders>
              <w:right w:val="single" w:sz="4" w:space="0" w:color="auto"/>
            </w:tcBorders>
            <w:vAlign w:val="bottom"/>
          </w:tcPr>
          <w:p w:rsidR="000866E8" w:rsidRPr="000866E8" w:rsidRDefault="000866E8" w:rsidP="00170F30">
            <w:pPr>
              <w:cnfStyle w:val="000000000000" w:firstRow="0" w:lastRow="0" w:firstColumn="0" w:lastColumn="0" w:oddVBand="0" w:evenVBand="0" w:oddHBand="0" w:evenHBand="0" w:firstRowFirstColumn="0" w:firstRowLastColumn="0" w:lastRowFirstColumn="0" w:lastRowLastColumn="0"/>
            </w:pPr>
            <w:r w:rsidRPr="000866E8">
              <w:t>49</w:t>
            </w:r>
          </w:p>
        </w:tc>
        <w:tc>
          <w:tcPr>
            <w:tcW w:w="630" w:type="dxa"/>
            <w:tcBorders>
              <w:left w:val="single" w:sz="4" w:space="0" w:color="auto"/>
            </w:tcBorders>
            <w:vAlign w:val="bottom"/>
          </w:tcPr>
          <w:p w:rsidR="000866E8" w:rsidRPr="000866E8" w:rsidRDefault="000866E8" w:rsidP="00170F30">
            <w:pPr>
              <w:cnfStyle w:val="000000000000" w:firstRow="0" w:lastRow="0" w:firstColumn="0" w:lastColumn="0" w:oddVBand="0" w:evenVBand="0" w:oddHBand="0" w:evenHBand="0" w:firstRowFirstColumn="0" w:firstRowLastColumn="0" w:lastRowFirstColumn="0" w:lastRowLastColumn="0"/>
            </w:pPr>
            <w:r w:rsidRPr="000866E8">
              <w:t>125</w:t>
            </w:r>
          </w:p>
        </w:tc>
      </w:tr>
      <w:tr w:rsidR="000866E8" w:rsidRPr="000866E8" w:rsidTr="007C0109">
        <w:trPr>
          <w:trHeight w:val="248"/>
        </w:trPr>
        <w:tc>
          <w:tcPr>
            <w:cnfStyle w:val="001000000000" w:firstRow="0" w:lastRow="0" w:firstColumn="1" w:lastColumn="0" w:oddVBand="0" w:evenVBand="0" w:oddHBand="0" w:evenHBand="0" w:firstRowFirstColumn="0" w:firstRowLastColumn="0" w:lastRowFirstColumn="0" w:lastRowLastColumn="0"/>
            <w:tcW w:w="1368" w:type="dxa"/>
          </w:tcPr>
          <w:p w:rsidR="000866E8" w:rsidRPr="00170F30" w:rsidRDefault="000866E8" w:rsidP="00170F30">
            <w:pPr>
              <w:rPr>
                <w:b/>
                <w:lang w:val="ru-RU"/>
              </w:rPr>
            </w:pPr>
            <w:r w:rsidRPr="000866E8">
              <w:rPr>
                <w:b/>
              </w:rPr>
              <w:t>3</w:t>
            </w:r>
            <w:r w:rsidR="00170F30">
              <w:rPr>
                <w:b/>
                <w:vertAlign w:val="superscript"/>
                <w:lang w:val="ru-RU"/>
              </w:rPr>
              <w:t>-я</w:t>
            </w:r>
            <w:r w:rsidRPr="000866E8">
              <w:rPr>
                <w:b/>
              </w:rPr>
              <w:t xml:space="preserve"> </w:t>
            </w:r>
            <w:r w:rsidR="00170F30">
              <w:rPr>
                <w:b/>
                <w:lang w:val="ru-RU"/>
              </w:rPr>
              <w:t>заявка</w:t>
            </w:r>
          </w:p>
        </w:tc>
        <w:tc>
          <w:tcPr>
            <w:tcW w:w="725" w:type="dxa"/>
            <w:vAlign w:val="bottom"/>
          </w:tcPr>
          <w:p w:rsidR="000866E8" w:rsidRPr="000866E8" w:rsidRDefault="000866E8" w:rsidP="00170F30">
            <w:pPr>
              <w:cnfStyle w:val="000000000000" w:firstRow="0" w:lastRow="0" w:firstColumn="0" w:lastColumn="0" w:oddVBand="0" w:evenVBand="0" w:oddHBand="0" w:evenHBand="0" w:firstRowFirstColumn="0" w:firstRowLastColumn="0" w:lastRowFirstColumn="0" w:lastRowLastColumn="0"/>
            </w:pPr>
            <w:r w:rsidRPr="000866E8">
              <w:t>20</w:t>
            </w:r>
          </w:p>
        </w:tc>
        <w:tc>
          <w:tcPr>
            <w:tcW w:w="850" w:type="dxa"/>
            <w:vAlign w:val="bottom"/>
          </w:tcPr>
          <w:p w:rsidR="000866E8" w:rsidRPr="000866E8" w:rsidRDefault="000866E8" w:rsidP="00170F30">
            <w:pPr>
              <w:cnfStyle w:val="000000000000" w:firstRow="0" w:lastRow="0" w:firstColumn="0" w:lastColumn="0" w:oddVBand="0" w:evenVBand="0" w:oddHBand="0" w:evenHBand="0" w:firstRowFirstColumn="0" w:firstRowLastColumn="0" w:lastRowFirstColumn="0" w:lastRowLastColumn="0"/>
            </w:pPr>
            <w:r w:rsidRPr="000866E8">
              <w:t>7</w:t>
            </w:r>
          </w:p>
        </w:tc>
        <w:tc>
          <w:tcPr>
            <w:tcW w:w="709" w:type="dxa"/>
            <w:tcBorders>
              <w:right w:val="single" w:sz="4" w:space="0" w:color="auto"/>
            </w:tcBorders>
            <w:vAlign w:val="bottom"/>
          </w:tcPr>
          <w:p w:rsidR="000866E8" w:rsidRPr="000866E8" w:rsidRDefault="000866E8" w:rsidP="00170F30">
            <w:pPr>
              <w:cnfStyle w:val="000000000000" w:firstRow="0" w:lastRow="0" w:firstColumn="0" w:lastColumn="0" w:oddVBand="0" w:evenVBand="0" w:oddHBand="0" w:evenHBand="0" w:firstRowFirstColumn="0" w:firstRowLastColumn="0" w:lastRowFirstColumn="0" w:lastRowLastColumn="0"/>
            </w:pPr>
            <w:r w:rsidRPr="000866E8">
              <w:t>27</w:t>
            </w:r>
          </w:p>
        </w:tc>
        <w:tc>
          <w:tcPr>
            <w:tcW w:w="709" w:type="dxa"/>
            <w:tcBorders>
              <w:left w:val="single" w:sz="4" w:space="0" w:color="auto"/>
            </w:tcBorders>
            <w:vAlign w:val="bottom"/>
          </w:tcPr>
          <w:p w:rsidR="000866E8" w:rsidRPr="000866E8" w:rsidRDefault="000866E8" w:rsidP="00170F30">
            <w:pPr>
              <w:cnfStyle w:val="000000000000" w:firstRow="0" w:lastRow="0" w:firstColumn="0" w:lastColumn="0" w:oddVBand="0" w:evenVBand="0" w:oddHBand="0" w:evenHBand="0" w:firstRowFirstColumn="0" w:firstRowLastColumn="0" w:lastRowFirstColumn="0" w:lastRowLastColumn="0"/>
            </w:pPr>
            <w:r w:rsidRPr="000866E8">
              <w:t>11</w:t>
            </w:r>
          </w:p>
        </w:tc>
        <w:tc>
          <w:tcPr>
            <w:tcW w:w="1080" w:type="dxa"/>
            <w:vAlign w:val="bottom"/>
          </w:tcPr>
          <w:p w:rsidR="000866E8" w:rsidRPr="000866E8" w:rsidRDefault="000866E8" w:rsidP="00170F30">
            <w:pPr>
              <w:cnfStyle w:val="000000000000" w:firstRow="0" w:lastRow="0" w:firstColumn="0" w:lastColumn="0" w:oddVBand="0" w:evenVBand="0" w:oddHBand="0" w:evenHBand="0" w:firstRowFirstColumn="0" w:firstRowLastColumn="0" w:lastRowFirstColumn="0" w:lastRowLastColumn="0"/>
            </w:pPr>
            <w:r w:rsidRPr="000866E8">
              <w:t>6</w:t>
            </w:r>
          </w:p>
        </w:tc>
        <w:tc>
          <w:tcPr>
            <w:tcW w:w="621" w:type="dxa"/>
            <w:tcBorders>
              <w:right w:val="single" w:sz="4" w:space="0" w:color="auto"/>
            </w:tcBorders>
            <w:vAlign w:val="bottom"/>
          </w:tcPr>
          <w:p w:rsidR="000866E8" w:rsidRPr="000866E8" w:rsidRDefault="000866E8" w:rsidP="00170F30">
            <w:pPr>
              <w:cnfStyle w:val="000000000000" w:firstRow="0" w:lastRow="0" w:firstColumn="0" w:lastColumn="0" w:oddVBand="0" w:evenVBand="0" w:oddHBand="0" w:evenHBand="0" w:firstRowFirstColumn="0" w:firstRowLastColumn="0" w:lastRowFirstColumn="0" w:lastRowLastColumn="0"/>
            </w:pPr>
            <w:r w:rsidRPr="000866E8">
              <w:t>17</w:t>
            </w:r>
          </w:p>
        </w:tc>
        <w:tc>
          <w:tcPr>
            <w:tcW w:w="819" w:type="dxa"/>
            <w:tcBorders>
              <w:left w:val="single" w:sz="4" w:space="0" w:color="auto"/>
            </w:tcBorders>
            <w:vAlign w:val="bottom"/>
          </w:tcPr>
          <w:p w:rsidR="000866E8" w:rsidRPr="000866E8" w:rsidRDefault="000866E8" w:rsidP="00170F30">
            <w:pPr>
              <w:cnfStyle w:val="000000000000" w:firstRow="0" w:lastRow="0" w:firstColumn="0" w:lastColumn="0" w:oddVBand="0" w:evenVBand="0" w:oddHBand="0" w:evenHBand="0" w:firstRowFirstColumn="0" w:firstRowLastColumn="0" w:lastRowFirstColumn="0" w:lastRowLastColumn="0"/>
            </w:pPr>
            <w:r w:rsidRPr="000866E8">
              <w:t>13</w:t>
            </w:r>
          </w:p>
        </w:tc>
        <w:tc>
          <w:tcPr>
            <w:tcW w:w="990" w:type="dxa"/>
            <w:vAlign w:val="bottom"/>
          </w:tcPr>
          <w:p w:rsidR="000866E8" w:rsidRPr="000866E8" w:rsidRDefault="000866E8" w:rsidP="00170F30">
            <w:pPr>
              <w:cnfStyle w:val="000000000000" w:firstRow="0" w:lastRow="0" w:firstColumn="0" w:lastColumn="0" w:oddVBand="0" w:evenVBand="0" w:oddHBand="0" w:evenHBand="0" w:firstRowFirstColumn="0" w:firstRowLastColumn="0" w:lastRowFirstColumn="0" w:lastRowLastColumn="0"/>
            </w:pPr>
            <w:r w:rsidRPr="000866E8">
              <w:t>10</w:t>
            </w:r>
          </w:p>
        </w:tc>
        <w:tc>
          <w:tcPr>
            <w:tcW w:w="679" w:type="dxa"/>
            <w:tcBorders>
              <w:right w:val="single" w:sz="4" w:space="0" w:color="auto"/>
            </w:tcBorders>
            <w:vAlign w:val="bottom"/>
          </w:tcPr>
          <w:p w:rsidR="000866E8" w:rsidRPr="000866E8" w:rsidRDefault="000866E8" w:rsidP="00170F30">
            <w:pPr>
              <w:cnfStyle w:val="000000000000" w:firstRow="0" w:lastRow="0" w:firstColumn="0" w:lastColumn="0" w:oddVBand="0" w:evenVBand="0" w:oddHBand="0" w:evenHBand="0" w:firstRowFirstColumn="0" w:firstRowLastColumn="0" w:lastRowFirstColumn="0" w:lastRowLastColumn="0"/>
            </w:pPr>
            <w:r w:rsidRPr="000866E8">
              <w:t>23</w:t>
            </w:r>
          </w:p>
        </w:tc>
        <w:tc>
          <w:tcPr>
            <w:tcW w:w="630" w:type="dxa"/>
            <w:tcBorders>
              <w:left w:val="single" w:sz="4" w:space="0" w:color="auto"/>
            </w:tcBorders>
            <w:vAlign w:val="bottom"/>
          </w:tcPr>
          <w:p w:rsidR="000866E8" w:rsidRPr="000866E8" w:rsidRDefault="000866E8" w:rsidP="00170F30">
            <w:pPr>
              <w:cnfStyle w:val="000000000000" w:firstRow="0" w:lastRow="0" w:firstColumn="0" w:lastColumn="0" w:oddVBand="0" w:evenVBand="0" w:oddHBand="0" w:evenHBand="0" w:firstRowFirstColumn="0" w:firstRowLastColumn="0" w:lastRowFirstColumn="0" w:lastRowLastColumn="0"/>
            </w:pPr>
            <w:r w:rsidRPr="000866E8">
              <w:t>67</w:t>
            </w:r>
          </w:p>
        </w:tc>
      </w:tr>
      <w:tr w:rsidR="000866E8" w:rsidRPr="000866E8" w:rsidTr="007C0109">
        <w:trPr>
          <w:trHeight w:val="248"/>
        </w:trPr>
        <w:tc>
          <w:tcPr>
            <w:cnfStyle w:val="001000000000" w:firstRow="0" w:lastRow="0" w:firstColumn="1" w:lastColumn="0" w:oddVBand="0" w:evenVBand="0" w:oddHBand="0" w:evenHBand="0" w:firstRowFirstColumn="0" w:firstRowLastColumn="0" w:lastRowFirstColumn="0" w:lastRowLastColumn="0"/>
            <w:tcW w:w="1368" w:type="dxa"/>
          </w:tcPr>
          <w:p w:rsidR="000866E8" w:rsidRPr="00170F30" w:rsidRDefault="000866E8" w:rsidP="00170F30">
            <w:pPr>
              <w:rPr>
                <w:b/>
                <w:lang w:val="ru-RU"/>
              </w:rPr>
            </w:pPr>
            <w:r w:rsidRPr="000866E8">
              <w:rPr>
                <w:b/>
              </w:rPr>
              <w:t>4</w:t>
            </w:r>
            <w:r w:rsidR="00170F30">
              <w:rPr>
                <w:b/>
                <w:vertAlign w:val="superscript"/>
                <w:lang w:val="ru-RU"/>
              </w:rPr>
              <w:t>-я</w:t>
            </w:r>
            <w:r w:rsidRPr="000866E8">
              <w:rPr>
                <w:b/>
              </w:rPr>
              <w:t xml:space="preserve"> </w:t>
            </w:r>
            <w:r w:rsidR="00170F30">
              <w:rPr>
                <w:b/>
                <w:lang w:val="ru-RU"/>
              </w:rPr>
              <w:t>заявка</w:t>
            </w:r>
          </w:p>
        </w:tc>
        <w:tc>
          <w:tcPr>
            <w:tcW w:w="725" w:type="dxa"/>
            <w:vAlign w:val="bottom"/>
          </w:tcPr>
          <w:p w:rsidR="000866E8" w:rsidRPr="000866E8" w:rsidRDefault="000866E8" w:rsidP="00170F30">
            <w:pPr>
              <w:cnfStyle w:val="000000000000" w:firstRow="0" w:lastRow="0" w:firstColumn="0" w:lastColumn="0" w:oddVBand="0" w:evenVBand="0" w:oddHBand="0" w:evenHBand="0" w:firstRowFirstColumn="0" w:firstRowLastColumn="0" w:lastRowFirstColumn="0" w:lastRowLastColumn="0"/>
            </w:pPr>
            <w:r w:rsidRPr="000866E8">
              <w:t>16</w:t>
            </w:r>
          </w:p>
        </w:tc>
        <w:tc>
          <w:tcPr>
            <w:tcW w:w="850" w:type="dxa"/>
            <w:vAlign w:val="bottom"/>
          </w:tcPr>
          <w:p w:rsidR="000866E8" w:rsidRPr="000866E8" w:rsidRDefault="000866E8" w:rsidP="00170F30">
            <w:pPr>
              <w:cnfStyle w:val="000000000000" w:firstRow="0" w:lastRow="0" w:firstColumn="0" w:lastColumn="0" w:oddVBand="0" w:evenVBand="0" w:oddHBand="0" w:evenHBand="0" w:firstRowFirstColumn="0" w:firstRowLastColumn="0" w:lastRowFirstColumn="0" w:lastRowLastColumn="0"/>
            </w:pPr>
            <w:r w:rsidRPr="000866E8">
              <w:t>4</w:t>
            </w:r>
          </w:p>
        </w:tc>
        <w:tc>
          <w:tcPr>
            <w:tcW w:w="709" w:type="dxa"/>
            <w:tcBorders>
              <w:right w:val="single" w:sz="4" w:space="0" w:color="auto"/>
            </w:tcBorders>
            <w:vAlign w:val="bottom"/>
          </w:tcPr>
          <w:p w:rsidR="000866E8" w:rsidRPr="000866E8" w:rsidRDefault="000866E8" w:rsidP="00170F30">
            <w:pPr>
              <w:cnfStyle w:val="000000000000" w:firstRow="0" w:lastRow="0" w:firstColumn="0" w:lastColumn="0" w:oddVBand="0" w:evenVBand="0" w:oddHBand="0" w:evenHBand="0" w:firstRowFirstColumn="0" w:firstRowLastColumn="0" w:lastRowFirstColumn="0" w:lastRowLastColumn="0"/>
            </w:pPr>
            <w:r w:rsidRPr="000866E8">
              <w:t>20</w:t>
            </w:r>
          </w:p>
        </w:tc>
        <w:tc>
          <w:tcPr>
            <w:tcW w:w="709" w:type="dxa"/>
            <w:tcBorders>
              <w:left w:val="single" w:sz="4" w:space="0" w:color="auto"/>
            </w:tcBorders>
            <w:vAlign w:val="bottom"/>
          </w:tcPr>
          <w:p w:rsidR="000866E8" w:rsidRPr="000866E8" w:rsidRDefault="000866E8" w:rsidP="00170F30">
            <w:pPr>
              <w:cnfStyle w:val="000000000000" w:firstRow="0" w:lastRow="0" w:firstColumn="0" w:lastColumn="0" w:oddVBand="0" w:evenVBand="0" w:oddHBand="0" w:evenHBand="0" w:firstRowFirstColumn="0" w:firstRowLastColumn="0" w:lastRowFirstColumn="0" w:lastRowLastColumn="0"/>
            </w:pPr>
            <w:r w:rsidRPr="000866E8">
              <w:t>9</w:t>
            </w:r>
          </w:p>
        </w:tc>
        <w:tc>
          <w:tcPr>
            <w:tcW w:w="1080" w:type="dxa"/>
            <w:vAlign w:val="bottom"/>
          </w:tcPr>
          <w:p w:rsidR="000866E8" w:rsidRPr="000866E8" w:rsidRDefault="000866E8" w:rsidP="00170F30">
            <w:pPr>
              <w:cnfStyle w:val="000000000000" w:firstRow="0" w:lastRow="0" w:firstColumn="0" w:lastColumn="0" w:oddVBand="0" w:evenVBand="0" w:oddHBand="0" w:evenHBand="0" w:firstRowFirstColumn="0" w:firstRowLastColumn="0" w:lastRowFirstColumn="0" w:lastRowLastColumn="0"/>
            </w:pPr>
            <w:r w:rsidRPr="000866E8">
              <w:t>6</w:t>
            </w:r>
          </w:p>
        </w:tc>
        <w:tc>
          <w:tcPr>
            <w:tcW w:w="621" w:type="dxa"/>
            <w:tcBorders>
              <w:right w:val="single" w:sz="4" w:space="0" w:color="auto"/>
            </w:tcBorders>
            <w:vAlign w:val="bottom"/>
          </w:tcPr>
          <w:p w:rsidR="000866E8" w:rsidRPr="000866E8" w:rsidRDefault="000866E8" w:rsidP="00170F30">
            <w:pPr>
              <w:cnfStyle w:val="000000000000" w:firstRow="0" w:lastRow="0" w:firstColumn="0" w:lastColumn="0" w:oddVBand="0" w:evenVBand="0" w:oddHBand="0" w:evenHBand="0" w:firstRowFirstColumn="0" w:firstRowLastColumn="0" w:lastRowFirstColumn="0" w:lastRowLastColumn="0"/>
            </w:pPr>
            <w:r w:rsidRPr="000866E8">
              <w:t>15</w:t>
            </w:r>
          </w:p>
        </w:tc>
        <w:tc>
          <w:tcPr>
            <w:tcW w:w="819" w:type="dxa"/>
            <w:tcBorders>
              <w:left w:val="single" w:sz="4" w:space="0" w:color="auto"/>
            </w:tcBorders>
            <w:vAlign w:val="bottom"/>
          </w:tcPr>
          <w:p w:rsidR="000866E8" w:rsidRPr="000866E8" w:rsidRDefault="000866E8" w:rsidP="00170F30">
            <w:pPr>
              <w:cnfStyle w:val="000000000000" w:firstRow="0" w:lastRow="0" w:firstColumn="0" w:lastColumn="0" w:oddVBand="0" w:evenVBand="0" w:oddHBand="0" w:evenHBand="0" w:firstRowFirstColumn="0" w:firstRowLastColumn="0" w:lastRowFirstColumn="0" w:lastRowLastColumn="0"/>
            </w:pPr>
            <w:r w:rsidRPr="000866E8">
              <w:t>9</w:t>
            </w:r>
          </w:p>
        </w:tc>
        <w:tc>
          <w:tcPr>
            <w:tcW w:w="990" w:type="dxa"/>
            <w:vAlign w:val="bottom"/>
          </w:tcPr>
          <w:p w:rsidR="000866E8" w:rsidRPr="000866E8" w:rsidRDefault="000866E8" w:rsidP="00170F30">
            <w:pPr>
              <w:cnfStyle w:val="000000000000" w:firstRow="0" w:lastRow="0" w:firstColumn="0" w:lastColumn="0" w:oddVBand="0" w:evenVBand="0" w:oddHBand="0" w:evenHBand="0" w:firstRowFirstColumn="0" w:firstRowLastColumn="0" w:lastRowFirstColumn="0" w:lastRowLastColumn="0"/>
            </w:pPr>
            <w:r w:rsidRPr="000866E8">
              <w:t>8</w:t>
            </w:r>
          </w:p>
        </w:tc>
        <w:tc>
          <w:tcPr>
            <w:tcW w:w="679" w:type="dxa"/>
            <w:tcBorders>
              <w:right w:val="single" w:sz="4" w:space="0" w:color="auto"/>
            </w:tcBorders>
            <w:vAlign w:val="bottom"/>
          </w:tcPr>
          <w:p w:rsidR="000866E8" w:rsidRPr="000866E8" w:rsidRDefault="000866E8" w:rsidP="00170F30">
            <w:pPr>
              <w:cnfStyle w:val="000000000000" w:firstRow="0" w:lastRow="0" w:firstColumn="0" w:lastColumn="0" w:oddVBand="0" w:evenVBand="0" w:oddHBand="0" w:evenHBand="0" w:firstRowFirstColumn="0" w:firstRowLastColumn="0" w:lastRowFirstColumn="0" w:lastRowLastColumn="0"/>
            </w:pPr>
            <w:r w:rsidRPr="000866E8">
              <w:t>17</w:t>
            </w:r>
          </w:p>
        </w:tc>
        <w:tc>
          <w:tcPr>
            <w:tcW w:w="630" w:type="dxa"/>
            <w:tcBorders>
              <w:left w:val="single" w:sz="4" w:space="0" w:color="auto"/>
            </w:tcBorders>
            <w:vAlign w:val="bottom"/>
          </w:tcPr>
          <w:p w:rsidR="000866E8" w:rsidRPr="000866E8" w:rsidRDefault="000866E8" w:rsidP="00170F30">
            <w:pPr>
              <w:cnfStyle w:val="000000000000" w:firstRow="0" w:lastRow="0" w:firstColumn="0" w:lastColumn="0" w:oddVBand="0" w:evenVBand="0" w:oddHBand="0" w:evenHBand="0" w:firstRowFirstColumn="0" w:firstRowLastColumn="0" w:lastRowFirstColumn="0" w:lastRowLastColumn="0"/>
            </w:pPr>
            <w:r w:rsidRPr="000866E8">
              <w:t>52</w:t>
            </w:r>
          </w:p>
        </w:tc>
      </w:tr>
      <w:tr w:rsidR="000866E8" w:rsidRPr="000866E8" w:rsidTr="007C0109">
        <w:trPr>
          <w:trHeight w:val="265"/>
        </w:trPr>
        <w:tc>
          <w:tcPr>
            <w:cnfStyle w:val="001000000000" w:firstRow="0" w:lastRow="0" w:firstColumn="1" w:lastColumn="0" w:oddVBand="0" w:evenVBand="0" w:oddHBand="0" w:evenHBand="0" w:firstRowFirstColumn="0" w:firstRowLastColumn="0" w:lastRowFirstColumn="0" w:lastRowLastColumn="0"/>
            <w:tcW w:w="1368" w:type="dxa"/>
            <w:tcBorders>
              <w:top w:val="single" w:sz="4" w:space="0" w:color="auto"/>
            </w:tcBorders>
          </w:tcPr>
          <w:p w:rsidR="000866E8" w:rsidRPr="000866E8" w:rsidRDefault="007C0109" w:rsidP="00170F30">
            <w:pPr>
              <w:rPr>
                <w:b/>
              </w:rPr>
            </w:pPr>
            <w:r>
              <w:rPr>
                <w:b/>
                <w:lang w:val="ru-RU"/>
              </w:rPr>
              <w:t>Всего</w:t>
            </w:r>
          </w:p>
        </w:tc>
        <w:tc>
          <w:tcPr>
            <w:tcW w:w="725" w:type="dxa"/>
            <w:tcBorders>
              <w:top w:val="single" w:sz="4" w:space="0" w:color="auto"/>
            </w:tcBorders>
            <w:vAlign w:val="bottom"/>
          </w:tcPr>
          <w:p w:rsidR="000866E8" w:rsidRPr="000866E8" w:rsidRDefault="000866E8" w:rsidP="00170F30">
            <w:pPr>
              <w:cnfStyle w:val="000000000000" w:firstRow="0" w:lastRow="0" w:firstColumn="0" w:lastColumn="0" w:oddVBand="0" w:evenVBand="0" w:oddHBand="0" w:evenHBand="0" w:firstRowFirstColumn="0" w:firstRowLastColumn="0" w:lastRowFirstColumn="0" w:lastRowLastColumn="0"/>
            </w:pPr>
            <w:r w:rsidRPr="000866E8">
              <w:t>124</w:t>
            </w:r>
          </w:p>
        </w:tc>
        <w:tc>
          <w:tcPr>
            <w:tcW w:w="850" w:type="dxa"/>
            <w:tcBorders>
              <w:top w:val="single" w:sz="4" w:space="0" w:color="auto"/>
            </w:tcBorders>
            <w:vAlign w:val="bottom"/>
          </w:tcPr>
          <w:p w:rsidR="000866E8" w:rsidRPr="000866E8" w:rsidRDefault="000866E8" w:rsidP="00170F30">
            <w:pPr>
              <w:cnfStyle w:val="000000000000" w:firstRow="0" w:lastRow="0" w:firstColumn="0" w:lastColumn="0" w:oddVBand="0" w:evenVBand="0" w:oddHBand="0" w:evenHBand="0" w:firstRowFirstColumn="0" w:firstRowLastColumn="0" w:lastRowFirstColumn="0" w:lastRowLastColumn="0"/>
            </w:pPr>
            <w:r w:rsidRPr="000866E8">
              <w:t>86</w:t>
            </w:r>
          </w:p>
        </w:tc>
        <w:tc>
          <w:tcPr>
            <w:tcW w:w="709" w:type="dxa"/>
            <w:tcBorders>
              <w:top w:val="single" w:sz="4" w:space="0" w:color="auto"/>
              <w:right w:val="single" w:sz="4" w:space="0" w:color="auto"/>
            </w:tcBorders>
            <w:vAlign w:val="bottom"/>
          </w:tcPr>
          <w:p w:rsidR="000866E8" w:rsidRPr="000866E8" w:rsidRDefault="000866E8" w:rsidP="00170F30">
            <w:pPr>
              <w:cnfStyle w:val="000000000000" w:firstRow="0" w:lastRow="0" w:firstColumn="0" w:lastColumn="0" w:oddVBand="0" w:evenVBand="0" w:oddHBand="0" w:evenHBand="0" w:firstRowFirstColumn="0" w:firstRowLastColumn="0" w:lastRowFirstColumn="0" w:lastRowLastColumn="0"/>
            </w:pPr>
            <w:r w:rsidRPr="000866E8">
              <w:t>210</w:t>
            </w:r>
          </w:p>
        </w:tc>
        <w:tc>
          <w:tcPr>
            <w:tcW w:w="709" w:type="dxa"/>
            <w:tcBorders>
              <w:top w:val="single" w:sz="4" w:space="0" w:color="auto"/>
              <w:left w:val="single" w:sz="4" w:space="0" w:color="auto"/>
            </w:tcBorders>
            <w:vAlign w:val="bottom"/>
          </w:tcPr>
          <w:p w:rsidR="000866E8" w:rsidRPr="000866E8" w:rsidRDefault="000866E8" w:rsidP="00170F30">
            <w:pPr>
              <w:cnfStyle w:val="000000000000" w:firstRow="0" w:lastRow="0" w:firstColumn="0" w:lastColumn="0" w:oddVBand="0" w:evenVBand="0" w:oddHBand="0" w:evenHBand="0" w:firstRowFirstColumn="0" w:firstRowLastColumn="0" w:lastRowFirstColumn="0" w:lastRowLastColumn="0"/>
            </w:pPr>
            <w:r w:rsidRPr="000866E8">
              <w:t>58</w:t>
            </w:r>
          </w:p>
        </w:tc>
        <w:tc>
          <w:tcPr>
            <w:tcW w:w="1080" w:type="dxa"/>
            <w:tcBorders>
              <w:top w:val="single" w:sz="4" w:space="0" w:color="auto"/>
            </w:tcBorders>
            <w:vAlign w:val="bottom"/>
          </w:tcPr>
          <w:p w:rsidR="000866E8" w:rsidRPr="000866E8" w:rsidRDefault="000866E8" w:rsidP="00170F30">
            <w:pPr>
              <w:cnfStyle w:val="000000000000" w:firstRow="0" w:lastRow="0" w:firstColumn="0" w:lastColumn="0" w:oddVBand="0" w:evenVBand="0" w:oddHBand="0" w:evenHBand="0" w:firstRowFirstColumn="0" w:firstRowLastColumn="0" w:lastRowFirstColumn="0" w:lastRowLastColumn="0"/>
            </w:pPr>
            <w:r w:rsidRPr="000866E8">
              <w:t>50</w:t>
            </w:r>
          </w:p>
        </w:tc>
        <w:tc>
          <w:tcPr>
            <w:tcW w:w="621" w:type="dxa"/>
            <w:tcBorders>
              <w:top w:val="single" w:sz="4" w:space="0" w:color="auto"/>
              <w:right w:val="single" w:sz="4" w:space="0" w:color="auto"/>
            </w:tcBorders>
            <w:vAlign w:val="bottom"/>
          </w:tcPr>
          <w:p w:rsidR="000866E8" w:rsidRPr="000866E8" w:rsidRDefault="000866E8" w:rsidP="00170F30">
            <w:pPr>
              <w:cnfStyle w:val="000000000000" w:firstRow="0" w:lastRow="0" w:firstColumn="0" w:lastColumn="0" w:oddVBand="0" w:evenVBand="0" w:oddHBand="0" w:evenHBand="0" w:firstRowFirstColumn="0" w:firstRowLastColumn="0" w:lastRowFirstColumn="0" w:lastRowLastColumn="0"/>
            </w:pPr>
            <w:r w:rsidRPr="000866E8">
              <w:t>108</w:t>
            </w:r>
          </w:p>
        </w:tc>
        <w:tc>
          <w:tcPr>
            <w:tcW w:w="819" w:type="dxa"/>
            <w:tcBorders>
              <w:top w:val="single" w:sz="4" w:space="0" w:color="auto"/>
              <w:left w:val="single" w:sz="4" w:space="0" w:color="auto"/>
            </w:tcBorders>
            <w:vAlign w:val="bottom"/>
          </w:tcPr>
          <w:p w:rsidR="000866E8" w:rsidRPr="000866E8" w:rsidRDefault="000866E8" w:rsidP="00170F30">
            <w:pPr>
              <w:cnfStyle w:val="000000000000" w:firstRow="0" w:lastRow="0" w:firstColumn="0" w:lastColumn="0" w:oddVBand="0" w:evenVBand="0" w:oddHBand="0" w:evenHBand="0" w:firstRowFirstColumn="0" w:firstRowLastColumn="0" w:lastRowFirstColumn="0" w:lastRowLastColumn="0"/>
            </w:pPr>
            <w:r w:rsidRPr="000866E8">
              <w:t>93</w:t>
            </w:r>
          </w:p>
        </w:tc>
        <w:tc>
          <w:tcPr>
            <w:tcW w:w="990" w:type="dxa"/>
            <w:tcBorders>
              <w:top w:val="single" w:sz="4" w:space="0" w:color="auto"/>
            </w:tcBorders>
            <w:vAlign w:val="bottom"/>
          </w:tcPr>
          <w:p w:rsidR="000866E8" w:rsidRPr="000866E8" w:rsidRDefault="000866E8" w:rsidP="00170F30">
            <w:pPr>
              <w:cnfStyle w:val="000000000000" w:firstRow="0" w:lastRow="0" w:firstColumn="0" w:lastColumn="0" w:oddVBand="0" w:evenVBand="0" w:oddHBand="0" w:evenHBand="0" w:firstRowFirstColumn="0" w:firstRowLastColumn="0" w:lastRowFirstColumn="0" w:lastRowLastColumn="0"/>
            </w:pPr>
            <w:r w:rsidRPr="000866E8">
              <w:t>101</w:t>
            </w:r>
          </w:p>
        </w:tc>
        <w:tc>
          <w:tcPr>
            <w:tcW w:w="679" w:type="dxa"/>
            <w:tcBorders>
              <w:top w:val="single" w:sz="4" w:space="0" w:color="auto"/>
              <w:right w:val="single" w:sz="4" w:space="0" w:color="auto"/>
            </w:tcBorders>
            <w:vAlign w:val="bottom"/>
          </w:tcPr>
          <w:p w:rsidR="000866E8" w:rsidRPr="000866E8" w:rsidRDefault="000866E8" w:rsidP="00170F30">
            <w:pPr>
              <w:cnfStyle w:val="000000000000" w:firstRow="0" w:lastRow="0" w:firstColumn="0" w:lastColumn="0" w:oddVBand="0" w:evenVBand="0" w:oddHBand="0" w:evenHBand="0" w:firstRowFirstColumn="0" w:firstRowLastColumn="0" w:lastRowFirstColumn="0" w:lastRowLastColumn="0"/>
            </w:pPr>
            <w:r w:rsidRPr="000866E8">
              <w:t>194</w:t>
            </w:r>
          </w:p>
        </w:tc>
        <w:tc>
          <w:tcPr>
            <w:tcW w:w="630" w:type="dxa"/>
            <w:tcBorders>
              <w:top w:val="single" w:sz="4" w:space="0" w:color="auto"/>
              <w:left w:val="single" w:sz="4" w:space="0" w:color="auto"/>
            </w:tcBorders>
            <w:vAlign w:val="bottom"/>
          </w:tcPr>
          <w:p w:rsidR="000866E8" w:rsidRPr="000866E8" w:rsidRDefault="000866E8" w:rsidP="00170F30">
            <w:pPr>
              <w:cnfStyle w:val="000000000000" w:firstRow="0" w:lastRow="0" w:firstColumn="0" w:lastColumn="0" w:oddVBand="0" w:evenVBand="0" w:oddHBand="0" w:evenHBand="0" w:firstRowFirstColumn="0" w:firstRowLastColumn="0" w:lastRowFirstColumn="0" w:lastRowLastColumn="0"/>
            </w:pPr>
            <w:r w:rsidRPr="000866E8">
              <w:t>512</w:t>
            </w:r>
          </w:p>
        </w:tc>
      </w:tr>
    </w:tbl>
    <w:p w:rsidR="00AB0B4B" w:rsidRDefault="00170F30" w:rsidP="000866E8">
      <w:r>
        <w:br w:type="textWrapping" w:clear="all"/>
      </w:r>
    </w:p>
    <w:p w:rsidR="00AB0B4B" w:rsidRPr="000866E8" w:rsidRDefault="00AB0B4B" w:rsidP="000866E8"/>
    <w:p w:rsidR="000866E8" w:rsidRPr="00FF09C9" w:rsidRDefault="002D7A93" w:rsidP="000866E8">
      <w:pPr>
        <w:rPr>
          <w:b/>
          <w:bCs/>
          <w:lang w:val="ru-RU"/>
        </w:rPr>
      </w:pPr>
      <w:r>
        <w:rPr>
          <w:b/>
          <w:bCs/>
          <w:lang w:val="ru-RU"/>
        </w:rPr>
        <w:t xml:space="preserve">Структура обследования </w:t>
      </w:r>
    </w:p>
    <w:p w:rsidR="000866E8" w:rsidRPr="000866E8" w:rsidRDefault="000866E8" w:rsidP="000866E8">
      <w:pPr>
        <w:rPr>
          <w:b/>
          <w:bCs/>
        </w:rPr>
      </w:pPr>
    </w:p>
    <w:p w:rsidR="000866E8" w:rsidRPr="00B16FFE" w:rsidRDefault="00B16FFE" w:rsidP="000866E8">
      <w:pPr>
        <w:rPr>
          <w:lang w:val="ru-RU"/>
        </w:rPr>
      </w:pPr>
      <w:r w:rsidRPr="00B16FFE">
        <w:rPr>
          <w:lang w:val="ru-RU"/>
        </w:rPr>
        <w:t xml:space="preserve">Исследовательская группа ВОИС с самого начала уделяла значительное время разработке вопросника для обследования.  Были проанализированы несколько вопросников по конкретным проектам, в частности, те, которые использовались в Дании и Соединенном Королевстве.  Также были изучены результаты предыдущих обследований ВОИС по использованию ПО в Аргентине и Марокко.  Несмотря на </w:t>
      </w:r>
      <w:r w:rsidR="006C1F3F">
        <w:rPr>
          <w:lang w:val="ru-RU"/>
        </w:rPr>
        <w:t>их достаточную полноту</w:t>
      </w:r>
      <w:r w:rsidRPr="00B16FFE">
        <w:rPr>
          <w:lang w:val="ru-RU"/>
        </w:rPr>
        <w:t>, эти вопросники лишь частично включали в себя вопросы, изучаемые в рамках исследования</w:t>
      </w:r>
      <w:r w:rsidR="000866E8" w:rsidRPr="00B16FFE">
        <w:rPr>
          <w:lang w:val="ru-RU"/>
        </w:rPr>
        <w:t xml:space="preserve">. </w:t>
      </w:r>
    </w:p>
    <w:p w:rsidR="000866E8" w:rsidRPr="00B16FFE" w:rsidRDefault="000866E8" w:rsidP="000866E8">
      <w:pPr>
        <w:rPr>
          <w:lang w:val="ru-RU"/>
        </w:rPr>
      </w:pPr>
    </w:p>
    <w:p w:rsidR="000866E8" w:rsidRPr="00BB4511" w:rsidRDefault="00BB4511" w:rsidP="000866E8">
      <w:pPr>
        <w:rPr>
          <w:lang w:val="ru-RU"/>
        </w:rPr>
      </w:pPr>
      <w:r w:rsidRPr="00BB4511">
        <w:rPr>
          <w:lang w:val="ru-RU"/>
        </w:rPr>
        <w:t>После этого исследовательская группа изучила результаты ряда обследований изобрет</w:t>
      </w:r>
      <w:r w:rsidR="00D61CCA">
        <w:rPr>
          <w:lang w:val="ru-RU"/>
        </w:rPr>
        <w:t>ателей</w:t>
      </w:r>
      <w:r w:rsidRPr="00BB4511">
        <w:rPr>
          <w:lang w:val="ru-RU"/>
        </w:rPr>
        <w:t xml:space="preserve">, проведенных в нескольких странах с высокими уровнями доходов, в частности, европейского исследования </w:t>
      </w:r>
      <w:proofErr w:type="spellStart"/>
      <w:r w:rsidRPr="00BB4511">
        <w:t>PatVal</w:t>
      </w:r>
      <w:proofErr w:type="spellEnd"/>
      <w:r w:rsidRPr="00BB4511">
        <w:rPr>
          <w:lang w:val="ru-RU"/>
        </w:rPr>
        <w:t>-</w:t>
      </w:r>
      <w:r w:rsidRPr="00BB4511">
        <w:t>EU</w:t>
      </w:r>
      <w:r w:rsidR="000866E8" w:rsidRPr="00BB4511">
        <w:rPr>
          <w:lang w:val="ru-RU"/>
        </w:rPr>
        <w:t>.</w:t>
      </w:r>
    </w:p>
    <w:p w:rsidR="000866E8" w:rsidRPr="00BB4511" w:rsidRDefault="000866E8" w:rsidP="000866E8">
      <w:pPr>
        <w:rPr>
          <w:lang w:val="ru-RU"/>
        </w:rPr>
      </w:pPr>
    </w:p>
    <w:p w:rsidR="000866E8" w:rsidRPr="00416122" w:rsidRDefault="00416122" w:rsidP="000866E8">
      <w:pPr>
        <w:rPr>
          <w:lang w:val="ru-RU"/>
        </w:rPr>
      </w:pPr>
      <w:r w:rsidRPr="00416122">
        <w:rPr>
          <w:lang w:val="ru-RU"/>
        </w:rPr>
        <w:t xml:space="preserve">В отличие от обследований изобретателей, настоящий инструмент обследования предназначен скорее для заявителей, чем для </w:t>
      </w:r>
      <w:r w:rsidR="0061385A">
        <w:rPr>
          <w:lang w:val="ru-RU"/>
        </w:rPr>
        <w:t>разработчиков образцов</w:t>
      </w:r>
      <w:r w:rsidRPr="00416122">
        <w:rPr>
          <w:lang w:val="ru-RU"/>
        </w:rPr>
        <w:t xml:space="preserve">.  Кроме того, процесс </w:t>
      </w:r>
      <w:r w:rsidR="0061385A">
        <w:rPr>
          <w:lang w:val="ru-RU"/>
        </w:rPr>
        <w:t xml:space="preserve">разработки новых образцов </w:t>
      </w:r>
      <w:r w:rsidRPr="00416122">
        <w:rPr>
          <w:lang w:val="ru-RU"/>
        </w:rPr>
        <w:t xml:space="preserve">отличается от процесса технологических инноваций, и это отличие нашло отражение в окончательном списке вопросов, включенных в вопросник.  Некоторые из вопросов касались </w:t>
      </w:r>
      <w:r w:rsidR="0061385A">
        <w:rPr>
          <w:lang w:val="ru-RU"/>
        </w:rPr>
        <w:t xml:space="preserve">роли разработки образцов </w:t>
      </w:r>
      <w:r w:rsidRPr="00416122">
        <w:rPr>
          <w:lang w:val="ru-RU"/>
        </w:rPr>
        <w:t xml:space="preserve">в </w:t>
      </w:r>
      <w:r w:rsidR="00F01116">
        <w:rPr>
          <w:lang w:val="ru-RU"/>
        </w:rPr>
        <w:t xml:space="preserve">корпоративном </w:t>
      </w:r>
      <w:r w:rsidRPr="00416122">
        <w:rPr>
          <w:lang w:val="ru-RU"/>
        </w:rPr>
        <w:t xml:space="preserve">бизнесе.  Например, в вопросник был включен вопрос о том, входит ли отдел </w:t>
      </w:r>
      <w:r w:rsidR="0061385A">
        <w:rPr>
          <w:lang w:val="ru-RU"/>
        </w:rPr>
        <w:t xml:space="preserve">по разработке образцов </w:t>
      </w:r>
      <w:r w:rsidRPr="00416122">
        <w:rPr>
          <w:lang w:val="ru-RU"/>
        </w:rPr>
        <w:t xml:space="preserve">в состав отдела НИОКР или </w:t>
      </w:r>
      <w:r w:rsidR="0061385A">
        <w:rPr>
          <w:lang w:val="ru-RU"/>
        </w:rPr>
        <w:t>он больше относится</w:t>
      </w:r>
      <w:r w:rsidRPr="00416122">
        <w:rPr>
          <w:lang w:val="ru-RU"/>
        </w:rPr>
        <w:t xml:space="preserve"> к отделу маркетинга и имеет ли он самостоятельный бюджет.  Другие вопросы были нацелены на получение информации о различных источниках стимулирования </w:t>
      </w:r>
      <w:r w:rsidR="0061385A">
        <w:rPr>
          <w:lang w:val="ru-RU"/>
        </w:rPr>
        <w:t>разработки новых промышленных образцов</w:t>
      </w:r>
      <w:r w:rsidRPr="00416122">
        <w:rPr>
          <w:lang w:val="ru-RU"/>
        </w:rPr>
        <w:t xml:space="preserve">, в частности, таких как отзывы клиентов или </w:t>
      </w:r>
      <w:r w:rsidR="00FE4231">
        <w:rPr>
          <w:lang w:val="ru-RU"/>
        </w:rPr>
        <w:t xml:space="preserve">выставки </w:t>
      </w:r>
      <w:r w:rsidR="0061385A">
        <w:rPr>
          <w:lang w:val="ru-RU"/>
        </w:rPr>
        <w:t>промышленных образцов</w:t>
      </w:r>
      <w:r w:rsidR="000866E8" w:rsidRPr="00416122">
        <w:rPr>
          <w:lang w:val="ru-RU"/>
        </w:rPr>
        <w:t>.</w:t>
      </w:r>
    </w:p>
    <w:p w:rsidR="000866E8" w:rsidRPr="00416122" w:rsidRDefault="000866E8" w:rsidP="000866E8">
      <w:pPr>
        <w:rPr>
          <w:lang w:val="ru-RU"/>
        </w:rPr>
      </w:pPr>
    </w:p>
    <w:p w:rsidR="000866E8" w:rsidRPr="001D3977" w:rsidRDefault="001D3977" w:rsidP="000866E8">
      <w:pPr>
        <w:rPr>
          <w:lang w:val="ru-RU"/>
        </w:rPr>
      </w:pPr>
      <w:r w:rsidRPr="001D3977">
        <w:rPr>
          <w:lang w:val="ru-RU"/>
        </w:rPr>
        <w:t>Вопросник обследования был разделен на две части.  Первая часть</w:t>
      </w:r>
      <w:r w:rsidR="00B22F2C">
        <w:rPr>
          <w:lang w:val="ru-RU"/>
        </w:rPr>
        <w:t xml:space="preserve"> была ориентирована на получение информации о заявителях </w:t>
      </w:r>
      <w:r w:rsidRPr="001D3977">
        <w:rPr>
          <w:lang w:val="ru-RU"/>
        </w:rPr>
        <w:t>на ПО и содерж</w:t>
      </w:r>
      <w:r w:rsidR="00B22F2C">
        <w:rPr>
          <w:lang w:val="ru-RU"/>
        </w:rPr>
        <w:t>ала</w:t>
      </w:r>
      <w:r w:rsidRPr="001D3977">
        <w:rPr>
          <w:lang w:val="ru-RU"/>
        </w:rPr>
        <w:t xml:space="preserve"> вопросы с целью </w:t>
      </w:r>
      <w:r w:rsidR="00B22F2C">
        <w:rPr>
          <w:lang w:val="ru-RU"/>
        </w:rPr>
        <w:t xml:space="preserve">получения таких данных, как </w:t>
      </w:r>
      <w:r w:rsidR="00F01116">
        <w:rPr>
          <w:lang w:val="ru-RU"/>
        </w:rPr>
        <w:t>вид</w:t>
      </w:r>
      <w:r w:rsidRPr="001D3977">
        <w:rPr>
          <w:lang w:val="ru-RU"/>
        </w:rPr>
        <w:t xml:space="preserve"> </w:t>
      </w:r>
      <w:r w:rsidR="00F01116">
        <w:rPr>
          <w:lang w:val="ru-RU"/>
        </w:rPr>
        <w:t xml:space="preserve">коммерческой </w:t>
      </w:r>
      <w:r w:rsidRPr="001D3977">
        <w:rPr>
          <w:lang w:val="ru-RU"/>
        </w:rPr>
        <w:t xml:space="preserve">деятельности, </w:t>
      </w:r>
      <w:r w:rsidR="00F367F6">
        <w:rPr>
          <w:lang w:val="ru-RU"/>
        </w:rPr>
        <w:t xml:space="preserve">наличие </w:t>
      </w:r>
      <w:r w:rsidRPr="001D3977">
        <w:rPr>
          <w:lang w:val="ru-RU"/>
        </w:rPr>
        <w:t>экспорт</w:t>
      </w:r>
      <w:r w:rsidR="00F367F6">
        <w:rPr>
          <w:lang w:val="ru-RU"/>
        </w:rPr>
        <w:t>ной деятельности</w:t>
      </w:r>
      <w:r w:rsidRPr="001D3977">
        <w:rPr>
          <w:lang w:val="ru-RU"/>
        </w:rPr>
        <w:t xml:space="preserve"> и </w:t>
      </w:r>
      <w:r w:rsidR="00F367F6">
        <w:rPr>
          <w:lang w:val="ru-RU"/>
        </w:rPr>
        <w:t>размеры предприятия</w:t>
      </w:r>
      <w:r w:rsidRPr="001D3977">
        <w:rPr>
          <w:lang w:val="ru-RU"/>
        </w:rPr>
        <w:t>.  В тех случаях, когда заявитель являлся физическим лицом, использовался адаптированный вопросник.  В частности, в не</w:t>
      </w:r>
      <w:r w:rsidR="00F367F6">
        <w:rPr>
          <w:lang w:val="ru-RU"/>
        </w:rPr>
        <w:t>го были включены вопросы</w:t>
      </w:r>
      <w:r w:rsidRPr="001D3977">
        <w:rPr>
          <w:lang w:val="ru-RU"/>
        </w:rPr>
        <w:t xml:space="preserve">, касающиеся </w:t>
      </w:r>
      <w:r w:rsidR="007B2FFE">
        <w:rPr>
          <w:lang w:val="ru-RU"/>
        </w:rPr>
        <w:t>статуса</w:t>
      </w:r>
      <w:r w:rsidR="00F367F6">
        <w:rPr>
          <w:lang w:val="ru-RU"/>
        </w:rPr>
        <w:t xml:space="preserve"> занятости</w:t>
      </w:r>
      <w:r w:rsidRPr="001D3977">
        <w:rPr>
          <w:lang w:val="ru-RU"/>
        </w:rPr>
        <w:t xml:space="preserve"> физического лица и наличия связи заявителя с коммерческим предприятием, создавшим охраняемый промышленный образец.</w:t>
      </w:r>
    </w:p>
    <w:p w:rsidR="000866E8" w:rsidRPr="001D3977" w:rsidRDefault="000866E8" w:rsidP="000866E8">
      <w:pPr>
        <w:rPr>
          <w:lang w:val="ru-RU"/>
        </w:rPr>
      </w:pPr>
    </w:p>
    <w:p w:rsidR="000866E8" w:rsidRPr="004D7103" w:rsidRDefault="004D7103" w:rsidP="000866E8">
      <w:pPr>
        <w:rPr>
          <w:lang w:val="ru-RU"/>
        </w:rPr>
      </w:pPr>
      <w:r w:rsidRPr="004D7103">
        <w:rPr>
          <w:lang w:val="ru-RU"/>
        </w:rPr>
        <w:t xml:space="preserve">Вторая часть вопросника была посвящена изучению охраняемых промышленных образцов этих пользователей.  Среди прочего, в нее были включены вопросы относительно </w:t>
      </w:r>
      <w:r w:rsidR="00B22F2C">
        <w:rPr>
          <w:lang w:val="ru-RU"/>
        </w:rPr>
        <w:t>профессиональных качеств</w:t>
      </w:r>
      <w:r w:rsidRPr="004D7103">
        <w:rPr>
          <w:lang w:val="ru-RU"/>
        </w:rPr>
        <w:t xml:space="preserve"> </w:t>
      </w:r>
      <w:r w:rsidR="00B22F2C">
        <w:rPr>
          <w:lang w:val="ru-RU"/>
        </w:rPr>
        <w:t>разработчиков образцов</w:t>
      </w:r>
      <w:r w:rsidRPr="004D7103">
        <w:rPr>
          <w:lang w:val="ru-RU"/>
        </w:rPr>
        <w:t xml:space="preserve">, </w:t>
      </w:r>
      <w:r w:rsidR="00F367F6">
        <w:rPr>
          <w:lang w:val="ru-RU"/>
        </w:rPr>
        <w:t>указанных</w:t>
      </w:r>
      <w:r w:rsidRPr="004D7103">
        <w:rPr>
          <w:lang w:val="ru-RU"/>
        </w:rPr>
        <w:t xml:space="preserve"> в документах на регистрацию ПО, </w:t>
      </w:r>
      <w:r w:rsidR="00E20935">
        <w:rPr>
          <w:lang w:val="ru-RU"/>
        </w:rPr>
        <w:t xml:space="preserve">а также просьба указать, </w:t>
      </w:r>
      <w:r w:rsidRPr="004D7103">
        <w:rPr>
          <w:lang w:val="ru-RU"/>
        </w:rPr>
        <w:t xml:space="preserve">был ли </w:t>
      </w:r>
      <w:r w:rsidR="00F367F6" w:rsidRPr="004D7103">
        <w:rPr>
          <w:lang w:val="ru-RU"/>
        </w:rPr>
        <w:t xml:space="preserve">соответствующий ПО </w:t>
      </w:r>
      <w:r w:rsidRPr="004D7103">
        <w:rPr>
          <w:lang w:val="ru-RU"/>
        </w:rPr>
        <w:t>использован в коммерческих целях и, если да, то каким образом, какова его рыночная стоимость, и были ли случаи имитации исходного промышленного образца</w:t>
      </w:r>
      <w:r w:rsidR="000866E8" w:rsidRPr="004D7103">
        <w:rPr>
          <w:lang w:val="ru-RU"/>
        </w:rPr>
        <w:t>.</w:t>
      </w:r>
    </w:p>
    <w:p w:rsidR="000866E8" w:rsidRPr="004D7103" w:rsidRDefault="000866E8" w:rsidP="000866E8">
      <w:pPr>
        <w:rPr>
          <w:lang w:val="ru-RU"/>
        </w:rPr>
      </w:pPr>
    </w:p>
    <w:p w:rsidR="000866E8" w:rsidRPr="00704BF9" w:rsidRDefault="00704BF9" w:rsidP="000866E8">
      <w:pPr>
        <w:rPr>
          <w:lang w:val="ru-RU"/>
        </w:rPr>
      </w:pPr>
      <w:r w:rsidRPr="00704BF9">
        <w:rPr>
          <w:lang w:val="ru-RU"/>
        </w:rPr>
        <w:lastRenderedPageBreak/>
        <w:t xml:space="preserve">Большинство респондентов получили </w:t>
      </w:r>
      <w:r w:rsidR="00F367F6">
        <w:rPr>
          <w:lang w:val="ru-RU"/>
        </w:rPr>
        <w:t>адаптированные</w:t>
      </w:r>
      <w:r w:rsidRPr="00704BF9">
        <w:rPr>
          <w:lang w:val="ru-RU"/>
        </w:rPr>
        <w:t xml:space="preserve"> вопросник</w:t>
      </w:r>
      <w:r w:rsidR="00F367F6">
        <w:rPr>
          <w:lang w:val="ru-RU"/>
        </w:rPr>
        <w:t>и</w:t>
      </w:r>
      <w:r w:rsidRPr="00704BF9">
        <w:rPr>
          <w:lang w:val="ru-RU"/>
        </w:rPr>
        <w:t>, включавш</w:t>
      </w:r>
      <w:r w:rsidR="00F367F6">
        <w:rPr>
          <w:lang w:val="ru-RU"/>
        </w:rPr>
        <w:t>ие</w:t>
      </w:r>
      <w:r w:rsidRPr="00704BF9">
        <w:rPr>
          <w:lang w:val="ru-RU"/>
        </w:rPr>
        <w:t xml:space="preserve"> изображение промышленного образца, в отношении которого подавалась заявка на получение патента на ПО.  Каждому респонденту из числа немногих респондентов, подававших заявки на несколько патентов на ПО в </w:t>
      </w:r>
      <w:r w:rsidR="00C6449B">
        <w:rPr>
          <w:lang w:val="ru-RU"/>
        </w:rPr>
        <w:t>обследуемый период,</w:t>
      </w:r>
      <w:r w:rsidRPr="00704BF9">
        <w:rPr>
          <w:lang w:val="ru-RU"/>
        </w:rPr>
        <w:t xml:space="preserve"> было предложено заполнить отдельный </w:t>
      </w:r>
      <w:r w:rsidR="00C6449B">
        <w:rPr>
          <w:lang w:val="ru-RU"/>
        </w:rPr>
        <w:t xml:space="preserve">вопросник </w:t>
      </w:r>
      <w:r w:rsidRPr="00704BF9">
        <w:rPr>
          <w:lang w:val="ru-RU"/>
        </w:rPr>
        <w:t>для максимум четырех заявок на получение патента на ПО</w:t>
      </w:r>
      <w:r w:rsidR="000866E8" w:rsidRPr="00704BF9">
        <w:rPr>
          <w:lang w:val="ru-RU"/>
        </w:rPr>
        <w:t>.</w:t>
      </w:r>
    </w:p>
    <w:p w:rsidR="000866E8" w:rsidRPr="00E34EA9" w:rsidRDefault="000866E8" w:rsidP="000866E8">
      <w:pPr>
        <w:rPr>
          <w:b/>
          <w:bCs/>
          <w:lang w:val="ru-RU"/>
        </w:rPr>
      </w:pPr>
    </w:p>
    <w:p w:rsidR="00AB0B4B" w:rsidRPr="00E34EA9" w:rsidRDefault="00AB0B4B" w:rsidP="000866E8">
      <w:pPr>
        <w:rPr>
          <w:b/>
          <w:bCs/>
          <w:lang w:val="ru-RU"/>
        </w:rPr>
      </w:pPr>
    </w:p>
    <w:p w:rsidR="000866E8" w:rsidRPr="00400D93" w:rsidRDefault="00F01116" w:rsidP="000866E8">
      <w:pPr>
        <w:rPr>
          <w:b/>
          <w:bCs/>
          <w:lang w:val="ru-RU"/>
        </w:rPr>
      </w:pPr>
      <w:r>
        <w:rPr>
          <w:b/>
          <w:bCs/>
          <w:lang w:val="ru-RU"/>
        </w:rPr>
        <w:t>Основные выводы</w:t>
      </w:r>
    </w:p>
    <w:p w:rsidR="000866E8" w:rsidRPr="00400D93" w:rsidRDefault="000866E8" w:rsidP="000866E8">
      <w:pPr>
        <w:rPr>
          <w:lang w:val="ru-RU"/>
        </w:rPr>
      </w:pPr>
    </w:p>
    <w:p w:rsidR="000866E8" w:rsidRPr="00E859E2" w:rsidRDefault="00C6449B" w:rsidP="000866E8">
      <w:pPr>
        <w:rPr>
          <w:lang w:val="ru-RU"/>
        </w:rPr>
      </w:pPr>
      <w:r>
        <w:rPr>
          <w:lang w:val="ru-RU"/>
        </w:rPr>
        <w:t xml:space="preserve">В результате </w:t>
      </w:r>
      <w:r w:rsidR="009D0CCF">
        <w:rPr>
          <w:lang w:val="ru-RU"/>
        </w:rPr>
        <w:t>дескриптивного</w:t>
      </w:r>
      <w:r w:rsidR="00E859E2" w:rsidRPr="00E859E2">
        <w:rPr>
          <w:lang w:val="ru-RU"/>
        </w:rPr>
        <w:t xml:space="preserve"> анализ</w:t>
      </w:r>
      <w:r>
        <w:rPr>
          <w:lang w:val="ru-RU"/>
        </w:rPr>
        <w:t>а</w:t>
      </w:r>
      <w:r w:rsidR="00E859E2" w:rsidRPr="00E859E2">
        <w:rPr>
          <w:lang w:val="ru-RU"/>
        </w:rPr>
        <w:t xml:space="preserve"> </w:t>
      </w:r>
      <w:r>
        <w:rPr>
          <w:lang w:val="ru-RU"/>
        </w:rPr>
        <w:t xml:space="preserve">данных </w:t>
      </w:r>
      <w:r w:rsidR="00E859E2" w:rsidRPr="00E859E2">
        <w:rPr>
          <w:lang w:val="ru-RU"/>
        </w:rPr>
        <w:t xml:space="preserve">обследования </w:t>
      </w:r>
      <w:r>
        <w:rPr>
          <w:lang w:val="ru-RU"/>
        </w:rPr>
        <w:t xml:space="preserve">получен </w:t>
      </w:r>
      <w:r w:rsidR="00E859E2" w:rsidRPr="00E859E2">
        <w:rPr>
          <w:lang w:val="ru-RU"/>
        </w:rPr>
        <w:t xml:space="preserve">большой объём информации, которую можно </w:t>
      </w:r>
      <w:r w:rsidR="00E20935">
        <w:rPr>
          <w:lang w:val="ru-RU"/>
        </w:rPr>
        <w:t>кратко изложить</w:t>
      </w:r>
      <w:r w:rsidR="00E859E2" w:rsidRPr="00E859E2">
        <w:rPr>
          <w:lang w:val="ru-RU"/>
        </w:rPr>
        <w:t xml:space="preserve"> следующим образом</w:t>
      </w:r>
      <w:r w:rsidR="000866E8" w:rsidRPr="00E859E2">
        <w:rPr>
          <w:lang w:val="ru-RU"/>
        </w:rPr>
        <w:t>:</w:t>
      </w:r>
    </w:p>
    <w:p w:rsidR="000866E8" w:rsidRPr="00E859E2" w:rsidRDefault="000866E8" w:rsidP="000866E8">
      <w:pPr>
        <w:rPr>
          <w:lang w:val="ru-RU"/>
        </w:rPr>
      </w:pPr>
    </w:p>
    <w:p w:rsidR="000866E8" w:rsidRPr="00E859E2" w:rsidRDefault="00E859E2" w:rsidP="000866E8">
      <w:pPr>
        <w:numPr>
          <w:ilvl w:val="0"/>
          <w:numId w:val="9"/>
        </w:numPr>
        <w:rPr>
          <w:lang w:val="ru-RU"/>
        </w:rPr>
      </w:pPr>
      <w:r w:rsidRPr="00E859E2">
        <w:rPr>
          <w:lang w:val="ru-RU"/>
        </w:rPr>
        <w:t>Большинство пользователей ПО являются частными и местными компаниями, при этом государственные компании и филиалы иностранных компаний играют относительно не</w:t>
      </w:r>
      <w:r w:rsidR="00C6449B">
        <w:rPr>
          <w:lang w:val="ru-RU"/>
        </w:rPr>
        <w:t>большую</w:t>
      </w:r>
      <w:r w:rsidRPr="00E859E2">
        <w:rPr>
          <w:lang w:val="ru-RU"/>
        </w:rPr>
        <w:t xml:space="preserve"> роль.  Большинство компаний существу</w:t>
      </w:r>
      <w:r w:rsidR="00C6449B">
        <w:rPr>
          <w:lang w:val="ru-RU"/>
        </w:rPr>
        <w:t>ю</w:t>
      </w:r>
      <w:r w:rsidRPr="00E859E2">
        <w:rPr>
          <w:lang w:val="ru-RU"/>
        </w:rPr>
        <w:t xml:space="preserve">т </w:t>
      </w:r>
      <w:r w:rsidR="00C6449B">
        <w:rPr>
          <w:lang w:val="ru-RU"/>
        </w:rPr>
        <w:t xml:space="preserve">не менее </w:t>
      </w:r>
      <w:r w:rsidRPr="00E859E2">
        <w:rPr>
          <w:lang w:val="ru-RU"/>
        </w:rPr>
        <w:t>21 год</w:t>
      </w:r>
      <w:r w:rsidR="00C6449B">
        <w:rPr>
          <w:lang w:val="ru-RU"/>
        </w:rPr>
        <w:t>а</w:t>
      </w:r>
      <w:r w:rsidRPr="00E859E2">
        <w:rPr>
          <w:lang w:val="ru-RU"/>
        </w:rPr>
        <w:t>. Малые предприятия составляют большинство пользователей, за ними следуют средние и крупные предприятия</w:t>
      </w:r>
      <w:r w:rsidR="000866E8" w:rsidRPr="00E859E2">
        <w:rPr>
          <w:lang w:val="ru-RU"/>
        </w:rPr>
        <w:t>.</w:t>
      </w:r>
    </w:p>
    <w:p w:rsidR="000866E8" w:rsidRPr="00F04E85" w:rsidRDefault="00920063" w:rsidP="00F04E85">
      <w:pPr>
        <w:numPr>
          <w:ilvl w:val="0"/>
          <w:numId w:val="9"/>
        </w:numPr>
        <w:rPr>
          <w:lang w:val="ru-RU"/>
        </w:rPr>
      </w:pPr>
      <w:r w:rsidRPr="00920063">
        <w:rPr>
          <w:lang w:val="ru-RU"/>
        </w:rPr>
        <w:t xml:space="preserve">Около 22 процентов пользователей ПО указали, что они занимаются экспортом, </w:t>
      </w:r>
      <w:r w:rsidR="00954F2F">
        <w:rPr>
          <w:lang w:val="ru-RU"/>
        </w:rPr>
        <w:t>причем доля их доходов от экспорта широко варьируется.  Однако эта д</w:t>
      </w:r>
      <w:r w:rsidR="00F04E85">
        <w:rPr>
          <w:lang w:val="ru-RU"/>
        </w:rPr>
        <w:t>о</w:t>
      </w:r>
      <w:r w:rsidR="00954F2F">
        <w:rPr>
          <w:lang w:val="ru-RU"/>
        </w:rPr>
        <w:t>ля</w:t>
      </w:r>
      <w:r w:rsidR="00F04E85">
        <w:rPr>
          <w:lang w:val="ru-RU"/>
        </w:rPr>
        <w:t>,</w:t>
      </w:r>
      <w:r w:rsidR="00954F2F">
        <w:rPr>
          <w:lang w:val="ru-RU"/>
        </w:rPr>
        <w:t xml:space="preserve"> как правило</w:t>
      </w:r>
      <w:r w:rsidR="00F04E85">
        <w:rPr>
          <w:lang w:val="ru-RU"/>
        </w:rPr>
        <w:t>,</w:t>
      </w:r>
      <w:r w:rsidR="00954F2F">
        <w:rPr>
          <w:lang w:val="ru-RU"/>
        </w:rPr>
        <w:t xml:space="preserve"> выше</w:t>
      </w:r>
      <w:r w:rsidR="00F04E85">
        <w:rPr>
          <w:lang w:val="ru-RU"/>
        </w:rPr>
        <w:t>,</w:t>
      </w:r>
      <w:r w:rsidR="00954F2F">
        <w:rPr>
          <w:lang w:val="ru-RU"/>
        </w:rPr>
        <w:t xml:space="preserve"> чем доля доходов от экспорта других компаний</w:t>
      </w:r>
      <w:r w:rsidRPr="00F04E85">
        <w:rPr>
          <w:lang w:val="ru-RU"/>
        </w:rPr>
        <w:t xml:space="preserve">.  </w:t>
      </w:r>
      <w:r w:rsidR="00F04E85">
        <w:rPr>
          <w:lang w:val="ru-RU"/>
        </w:rPr>
        <w:t xml:space="preserve">Это </w:t>
      </w:r>
      <w:r w:rsidRPr="00F04E85">
        <w:rPr>
          <w:lang w:val="ru-RU"/>
        </w:rPr>
        <w:t>говорит о том, что</w:t>
      </w:r>
      <w:r w:rsidR="00FE4231" w:rsidRPr="00F04E85">
        <w:rPr>
          <w:lang w:val="ru-RU"/>
        </w:rPr>
        <w:t xml:space="preserve"> разработка новых образцов </w:t>
      </w:r>
      <w:r w:rsidRPr="00F04E85">
        <w:rPr>
          <w:lang w:val="ru-RU"/>
        </w:rPr>
        <w:t xml:space="preserve">может </w:t>
      </w:r>
      <w:r w:rsidR="00F04E85">
        <w:rPr>
          <w:lang w:val="ru-RU"/>
        </w:rPr>
        <w:t>быть</w:t>
      </w:r>
      <w:r w:rsidRPr="00F04E85">
        <w:rPr>
          <w:lang w:val="ru-RU"/>
        </w:rPr>
        <w:t xml:space="preserve"> одним из </w:t>
      </w:r>
      <w:r w:rsidR="00F04E85">
        <w:rPr>
          <w:lang w:val="ru-RU"/>
        </w:rPr>
        <w:t xml:space="preserve">путей для выхода </w:t>
      </w:r>
      <w:r w:rsidRPr="00F04E85">
        <w:rPr>
          <w:lang w:val="ru-RU"/>
        </w:rPr>
        <w:t xml:space="preserve">на внешние рынки.  </w:t>
      </w:r>
      <w:r w:rsidR="00F04E85">
        <w:rPr>
          <w:lang w:val="ru-RU"/>
        </w:rPr>
        <w:t xml:space="preserve">Чаще всего такой экспорт осуществляется в страны </w:t>
      </w:r>
      <w:r w:rsidRPr="00F04E85">
        <w:rPr>
          <w:lang w:val="ru-RU"/>
        </w:rPr>
        <w:t>АСЕАН</w:t>
      </w:r>
      <w:r w:rsidR="00F04E85">
        <w:rPr>
          <w:lang w:val="ru-RU"/>
        </w:rPr>
        <w:t xml:space="preserve"> и другие азиатские страны</w:t>
      </w:r>
      <w:r w:rsidRPr="00F04E85">
        <w:rPr>
          <w:lang w:val="ru-RU"/>
        </w:rPr>
        <w:t>.</w:t>
      </w:r>
      <w:r w:rsidR="000866E8" w:rsidRPr="00F04E85">
        <w:rPr>
          <w:lang w:val="ru-RU"/>
        </w:rPr>
        <w:t xml:space="preserve"> </w:t>
      </w:r>
    </w:p>
    <w:p w:rsidR="000866E8" w:rsidRPr="0092131F" w:rsidRDefault="0092131F" w:rsidP="000866E8">
      <w:pPr>
        <w:numPr>
          <w:ilvl w:val="0"/>
          <w:numId w:val="9"/>
        </w:numPr>
        <w:rPr>
          <w:lang w:val="ru-RU"/>
        </w:rPr>
      </w:pPr>
      <w:r w:rsidRPr="0092131F">
        <w:rPr>
          <w:lang w:val="ru-RU"/>
        </w:rPr>
        <w:t>Раз</w:t>
      </w:r>
      <w:r w:rsidR="00FE4231">
        <w:rPr>
          <w:lang w:val="ru-RU"/>
        </w:rPr>
        <w:t xml:space="preserve">работка новых </w:t>
      </w:r>
      <w:r w:rsidRPr="0092131F">
        <w:rPr>
          <w:lang w:val="ru-RU"/>
        </w:rPr>
        <w:t>промышленных образцов - это преимущественно внутренний процесс.  Вместе с тем, в отношении некоторых промышленных образцов компании используют как внутренние, так и внешние возможности и/или стимулы</w:t>
      </w:r>
      <w:r w:rsidR="000866E8" w:rsidRPr="0092131F">
        <w:rPr>
          <w:lang w:val="ru-RU"/>
        </w:rPr>
        <w:t>.</w:t>
      </w:r>
    </w:p>
    <w:p w:rsidR="000866E8" w:rsidRPr="0078248B" w:rsidRDefault="0078248B" w:rsidP="000866E8">
      <w:pPr>
        <w:numPr>
          <w:ilvl w:val="0"/>
          <w:numId w:val="9"/>
        </w:numPr>
        <w:rPr>
          <w:lang w:val="ru-RU"/>
        </w:rPr>
      </w:pPr>
      <w:r w:rsidRPr="0078248B">
        <w:rPr>
          <w:lang w:val="ru-RU"/>
        </w:rPr>
        <w:t xml:space="preserve">В обследуемых странах, за исключением Филиппин, возраст большинства </w:t>
      </w:r>
      <w:r w:rsidR="00FE4231">
        <w:rPr>
          <w:lang w:val="ru-RU"/>
        </w:rPr>
        <w:t xml:space="preserve">разработчиков </w:t>
      </w:r>
      <w:r w:rsidR="004B06C8">
        <w:rPr>
          <w:lang w:val="ru-RU"/>
        </w:rPr>
        <w:t xml:space="preserve">ПО </w:t>
      </w:r>
      <w:r w:rsidRPr="0078248B">
        <w:rPr>
          <w:lang w:val="ru-RU"/>
        </w:rPr>
        <w:t>составил от 35 до 50 лет.  На Филиппинах больш</w:t>
      </w:r>
      <w:r w:rsidR="004B06C8">
        <w:rPr>
          <w:lang w:val="ru-RU"/>
        </w:rPr>
        <w:t>ая часть разработчиков</w:t>
      </w:r>
      <w:r w:rsidRPr="0078248B">
        <w:rPr>
          <w:lang w:val="ru-RU"/>
        </w:rPr>
        <w:t xml:space="preserve"> </w:t>
      </w:r>
      <w:r w:rsidR="004B06C8">
        <w:rPr>
          <w:lang w:val="ru-RU"/>
        </w:rPr>
        <w:t xml:space="preserve">была еще старше, т.е. старше </w:t>
      </w:r>
      <w:r w:rsidRPr="0078248B">
        <w:rPr>
          <w:lang w:val="ru-RU"/>
        </w:rPr>
        <w:t xml:space="preserve">50 лет.  Этот факт </w:t>
      </w:r>
      <w:r w:rsidR="00AA0768">
        <w:rPr>
          <w:lang w:val="ru-RU"/>
        </w:rPr>
        <w:t>свидетельствует</w:t>
      </w:r>
      <w:r w:rsidRPr="0078248B">
        <w:rPr>
          <w:lang w:val="ru-RU"/>
        </w:rPr>
        <w:t xml:space="preserve"> о том, что накопленный профессиональный опыт</w:t>
      </w:r>
      <w:r w:rsidR="00B22F2C">
        <w:rPr>
          <w:lang w:val="ru-RU"/>
        </w:rPr>
        <w:t>,</w:t>
      </w:r>
      <w:r w:rsidR="00300080">
        <w:rPr>
          <w:lang w:val="ru-RU"/>
        </w:rPr>
        <w:t xml:space="preserve"> по всей видимости</w:t>
      </w:r>
      <w:r w:rsidR="00B22F2C">
        <w:rPr>
          <w:lang w:val="ru-RU"/>
        </w:rPr>
        <w:t>,</w:t>
      </w:r>
      <w:r w:rsidRPr="0078248B">
        <w:rPr>
          <w:lang w:val="ru-RU"/>
        </w:rPr>
        <w:t xml:space="preserve"> </w:t>
      </w:r>
      <w:r w:rsidR="00AA0768">
        <w:rPr>
          <w:lang w:val="ru-RU"/>
        </w:rPr>
        <w:t xml:space="preserve">имеет </w:t>
      </w:r>
      <w:r w:rsidR="00C6449B">
        <w:rPr>
          <w:lang w:val="ru-RU"/>
        </w:rPr>
        <w:t xml:space="preserve">важное </w:t>
      </w:r>
      <w:r w:rsidR="00AA0768">
        <w:rPr>
          <w:lang w:val="ru-RU"/>
        </w:rPr>
        <w:t>значение для</w:t>
      </w:r>
      <w:r w:rsidRPr="0078248B">
        <w:rPr>
          <w:lang w:val="ru-RU"/>
        </w:rPr>
        <w:t xml:space="preserve"> </w:t>
      </w:r>
      <w:r w:rsidR="004B06C8">
        <w:rPr>
          <w:lang w:val="ru-RU"/>
        </w:rPr>
        <w:t>разработк</w:t>
      </w:r>
      <w:r w:rsidR="00AA0768">
        <w:rPr>
          <w:lang w:val="ru-RU"/>
        </w:rPr>
        <w:t>и</w:t>
      </w:r>
      <w:r w:rsidR="004B06C8">
        <w:rPr>
          <w:lang w:val="ru-RU"/>
        </w:rPr>
        <w:t xml:space="preserve"> новых образцов</w:t>
      </w:r>
      <w:r w:rsidR="000866E8" w:rsidRPr="0078248B">
        <w:rPr>
          <w:lang w:val="ru-RU"/>
        </w:rPr>
        <w:t>.</w:t>
      </w:r>
    </w:p>
    <w:p w:rsidR="000866E8" w:rsidRPr="00F22BCC" w:rsidRDefault="00F22BCC" w:rsidP="000866E8">
      <w:pPr>
        <w:numPr>
          <w:ilvl w:val="0"/>
          <w:numId w:val="9"/>
        </w:numPr>
        <w:rPr>
          <w:lang w:val="ru-RU"/>
        </w:rPr>
      </w:pPr>
      <w:r w:rsidRPr="00F22BCC">
        <w:rPr>
          <w:lang w:val="ru-RU"/>
        </w:rPr>
        <w:t xml:space="preserve">Мотивация к созданию новых промышленных образцов имеет самые разнообразные источники. Наиболее важным источником становятся отзывы клиентов.  В рамках компаний существует два основных источника, откуда поступают идеи по созданию новых промышленных образцов.  Первый источник - это отдел, отвечающий за </w:t>
      </w:r>
      <w:r w:rsidR="00A659D4">
        <w:rPr>
          <w:lang w:val="ru-RU"/>
        </w:rPr>
        <w:t>разработку новых</w:t>
      </w:r>
      <w:r w:rsidRPr="00F22BCC">
        <w:rPr>
          <w:lang w:val="ru-RU"/>
        </w:rPr>
        <w:t xml:space="preserve"> образцов или за НИОКР в более широком понимании.  Второй источник </w:t>
      </w:r>
      <w:r w:rsidR="004B06C8">
        <w:rPr>
          <w:lang w:val="ru-RU"/>
        </w:rPr>
        <w:t>–</w:t>
      </w:r>
      <w:r w:rsidRPr="00F22BCC">
        <w:rPr>
          <w:lang w:val="ru-RU"/>
        </w:rPr>
        <w:t xml:space="preserve"> это</w:t>
      </w:r>
      <w:r w:rsidR="004B06C8">
        <w:rPr>
          <w:lang w:val="ru-RU"/>
        </w:rPr>
        <w:t xml:space="preserve"> </w:t>
      </w:r>
      <w:r w:rsidRPr="00F22BCC">
        <w:rPr>
          <w:lang w:val="ru-RU"/>
        </w:rPr>
        <w:t>руководство</w:t>
      </w:r>
      <w:r w:rsidR="00BF4F22">
        <w:rPr>
          <w:lang w:val="ru-RU"/>
        </w:rPr>
        <w:t xml:space="preserve"> компаний</w:t>
      </w:r>
      <w:r w:rsidRPr="00F22BCC">
        <w:rPr>
          <w:lang w:val="ru-RU"/>
        </w:rPr>
        <w:t xml:space="preserve">, включая </w:t>
      </w:r>
      <w:r w:rsidR="008009C7">
        <w:rPr>
          <w:lang w:val="ru-RU"/>
        </w:rPr>
        <w:t xml:space="preserve">их </w:t>
      </w:r>
      <w:r w:rsidR="00032290">
        <w:rPr>
          <w:lang w:val="ru-RU"/>
        </w:rPr>
        <w:t>правление</w:t>
      </w:r>
      <w:r w:rsidRPr="00F22BCC">
        <w:rPr>
          <w:lang w:val="ru-RU"/>
        </w:rPr>
        <w:t>. Помимо этих двух основных источников, источниками идей для создания значительного числа обследованных промышленных образцов были отделы продаж и маркетинга.</w:t>
      </w:r>
    </w:p>
    <w:p w:rsidR="000866E8" w:rsidRPr="00681C89" w:rsidRDefault="00C6750E" w:rsidP="000866E8">
      <w:pPr>
        <w:numPr>
          <w:ilvl w:val="0"/>
          <w:numId w:val="9"/>
        </w:numPr>
        <w:rPr>
          <w:lang w:val="ru-RU"/>
        </w:rPr>
      </w:pPr>
      <w:r>
        <w:rPr>
          <w:lang w:val="ru-RU"/>
        </w:rPr>
        <w:t>Вла</w:t>
      </w:r>
      <w:r w:rsidR="003C3C2C">
        <w:rPr>
          <w:lang w:val="ru-RU"/>
        </w:rPr>
        <w:t xml:space="preserve">дельцы </w:t>
      </w:r>
      <w:r w:rsidR="00681C89" w:rsidRPr="00681C89">
        <w:rPr>
          <w:lang w:val="ru-RU"/>
        </w:rPr>
        <w:t>промышленны</w:t>
      </w:r>
      <w:r w:rsidR="003C3C2C">
        <w:rPr>
          <w:lang w:val="ru-RU"/>
        </w:rPr>
        <w:t>х</w:t>
      </w:r>
      <w:r w:rsidR="00681C89" w:rsidRPr="00681C89">
        <w:rPr>
          <w:lang w:val="ru-RU"/>
        </w:rPr>
        <w:t xml:space="preserve"> образц</w:t>
      </w:r>
      <w:r w:rsidR="003C3C2C">
        <w:rPr>
          <w:lang w:val="ru-RU"/>
        </w:rPr>
        <w:t>ов</w:t>
      </w:r>
      <w:r w:rsidR="00681C89" w:rsidRPr="00681C89">
        <w:rPr>
          <w:lang w:val="ru-RU"/>
        </w:rPr>
        <w:t xml:space="preserve"> высоко оценивают свои права на </w:t>
      </w:r>
      <w:r w:rsidR="003C3C2C">
        <w:rPr>
          <w:lang w:val="ru-RU"/>
        </w:rPr>
        <w:t>них</w:t>
      </w:r>
      <w:r w:rsidR="00681C89" w:rsidRPr="00681C89">
        <w:rPr>
          <w:lang w:val="ru-RU"/>
        </w:rPr>
        <w:t xml:space="preserve">, </w:t>
      </w:r>
      <w:r w:rsidR="003C3C2C">
        <w:rPr>
          <w:lang w:val="ru-RU"/>
        </w:rPr>
        <w:t xml:space="preserve">причем медиана стоимости находится в диапазоне </w:t>
      </w:r>
      <w:r w:rsidR="00681C89" w:rsidRPr="00681C89">
        <w:rPr>
          <w:lang w:val="ru-RU"/>
        </w:rPr>
        <w:t xml:space="preserve">от 30,000 до 100,000 долларов США.  </w:t>
      </w:r>
      <w:r w:rsidR="003C3C2C">
        <w:rPr>
          <w:lang w:val="ru-RU"/>
        </w:rPr>
        <w:t xml:space="preserve">Распределение стоимостных значений </w:t>
      </w:r>
      <w:r w:rsidR="00681C89" w:rsidRPr="00681C89">
        <w:rPr>
          <w:lang w:val="ru-RU"/>
        </w:rPr>
        <w:t>стремится к верхнему пределу.  Вместе с тем, по сравнению с техн</w:t>
      </w:r>
      <w:r w:rsidR="003C3C2C">
        <w:rPr>
          <w:lang w:val="ru-RU"/>
        </w:rPr>
        <w:t>ологическими</w:t>
      </w:r>
      <w:r w:rsidR="00681C89" w:rsidRPr="00681C89">
        <w:rPr>
          <w:lang w:val="ru-RU"/>
        </w:rPr>
        <w:t xml:space="preserve"> инновациями, </w:t>
      </w:r>
      <w:r w:rsidR="003C3C2C">
        <w:rPr>
          <w:lang w:val="ru-RU"/>
        </w:rPr>
        <w:t>разработка новых образцов представляется менее рискованным делом</w:t>
      </w:r>
      <w:r w:rsidR="000866E8" w:rsidRPr="00681C89">
        <w:rPr>
          <w:lang w:val="ru-RU"/>
        </w:rPr>
        <w:t>.</w:t>
      </w:r>
    </w:p>
    <w:p w:rsidR="000866E8" w:rsidRPr="00700061" w:rsidRDefault="005B615E" w:rsidP="000866E8">
      <w:pPr>
        <w:numPr>
          <w:ilvl w:val="0"/>
          <w:numId w:val="9"/>
        </w:numPr>
        <w:rPr>
          <w:lang w:val="ru-RU"/>
        </w:rPr>
      </w:pPr>
      <w:bookmarkStart w:id="7" w:name="_Hlk527829839"/>
      <w:r>
        <w:rPr>
          <w:lang w:val="ru-RU"/>
        </w:rPr>
        <w:t>Как правило,</w:t>
      </w:r>
      <w:r w:rsidR="00700061" w:rsidRPr="00700061">
        <w:rPr>
          <w:lang w:val="ru-RU"/>
        </w:rPr>
        <w:t xml:space="preserve"> </w:t>
      </w:r>
      <w:r>
        <w:rPr>
          <w:lang w:val="ru-RU"/>
        </w:rPr>
        <w:t xml:space="preserve">главной целью </w:t>
      </w:r>
      <w:r w:rsidRPr="00700061">
        <w:rPr>
          <w:lang w:val="ru-RU"/>
        </w:rPr>
        <w:t xml:space="preserve">охраны прав на промышленные образцы </w:t>
      </w:r>
      <w:r>
        <w:rPr>
          <w:lang w:val="ru-RU"/>
        </w:rPr>
        <w:t xml:space="preserve">является </w:t>
      </w:r>
      <w:r w:rsidR="00700061" w:rsidRPr="00700061">
        <w:rPr>
          <w:lang w:val="ru-RU"/>
        </w:rPr>
        <w:t xml:space="preserve">предотвращение имитаций и обеспечение </w:t>
      </w:r>
      <w:r>
        <w:rPr>
          <w:lang w:val="ru-RU"/>
        </w:rPr>
        <w:t>патентной чистоты</w:t>
      </w:r>
      <w:r w:rsidR="00700061" w:rsidRPr="00700061">
        <w:rPr>
          <w:lang w:val="ru-RU"/>
        </w:rPr>
        <w:t>. Лицензирование и продажа прав на промышленные образцы</w:t>
      </w:r>
      <w:r w:rsidR="00F32E1C">
        <w:rPr>
          <w:lang w:val="ru-RU"/>
        </w:rPr>
        <w:t xml:space="preserve"> встречаются </w:t>
      </w:r>
      <w:r w:rsidR="00765F4B">
        <w:rPr>
          <w:lang w:val="ru-RU"/>
        </w:rPr>
        <w:t xml:space="preserve">на практике </w:t>
      </w:r>
      <w:r w:rsidR="00F32E1C">
        <w:rPr>
          <w:lang w:val="ru-RU"/>
        </w:rPr>
        <w:t>довольно</w:t>
      </w:r>
      <w:r w:rsidR="000E08D2">
        <w:rPr>
          <w:lang w:val="ru-RU"/>
        </w:rPr>
        <w:t xml:space="preserve"> редко</w:t>
      </w:r>
      <w:r w:rsidR="000866E8" w:rsidRPr="00700061">
        <w:rPr>
          <w:lang w:val="ru-RU"/>
        </w:rPr>
        <w:t>.</w:t>
      </w:r>
    </w:p>
    <w:bookmarkEnd w:id="7"/>
    <w:p w:rsidR="000866E8" w:rsidRPr="00ED59A1" w:rsidRDefault="00ED59A1" w:rsidP="000866E8">
      <w:pPr>
        <w:numPr>
          <w:ilvl w:val="0"/>
          <w:numId w:val="9"/>
        </w:numPr>
        <w:rPr>
          <w:lang w:val="ru-RU"/>
        </w:rPr>
      </w:pPr>
      <w:r w:rsidRPr="00ED59A1">
        <w:rPr>
          <w:lang w:val="ru-RU"/>
        </w:rPr>
        <w:t xml:space="preserve">Доля имитаций составляет примерно одну пятую, что подтверждает реальную опасность, которую они представляют.  Кроме того, </w:t>
      </w:r>
      <w:r w:rsidR="005B615E">
        <w:rPr>
          <w:lang w:val="ru-RU"/>
        </w:rPr>
        <w:t xml:space="preserve">владельцы </w:t>
      </w:r>
      <w:r w:rsidRPr="00ED59A1">
        <w:rPr>
          <w:lang w:val="ru-RU"/>
        </w:rPr>
        <w:t xml:space="preserve">ПО </w:t>
      </w:r>
      <w:r w:rsidR="00057B3A">
        <w:rPr>
          <w:lang w:val="ru-RU"/>
        </w:rPr>
        <w:t>опасаются понести</w:t>
      </w:r>
      <w:r w:rsidRPr="00ED59A1">
        <w:rPr>
          <w:lang w:val="ru-RU"/>
        </w:rPr>
        <w:t xml:space="preserve"> значительные финансовые </w:t>
      </w:r>
      <w:r w:rsidR="00057B3A">
        <w:rPr>
          <w:lang w:val="ru-RU"/>
        </w:rPr>
        <w:t xml:space="preserve">потери </w:t>
      </w:r>
      <w:r w:rsidRPr="00ED59A1">
        <w:rPr>
          <w:lang w:val="ru-RU"/>
        </w:rPr>
        <w:t xml:space="preserve">в </w:t>
      </w:r>
      <w:r w:rsidR="00057B3A">
        <w:rPr>
          <w:lang w:val="ru-RU"/>
        </w:rPr>
        <w:t>случае имитации их ПО</w:t>
      </w:r>
      <w:r w:rsidR="000866E8" w:rsidRPr="00ED59A1">
        <w:rPr>
          <w:lang w:val="ru-RU"/>
        </w:rPr>
        <w:t>.</w:t>
      </w:r>
    </w:p>
    <w:p w:rsidR="000866E8" w:rsidRPr="00BE1C1C" w:rsidRDefault="00057B3A" w:rsidP="000866E8">
      <w:pPr>
        <w:numPr>
          <w:ilvl w:val="0"/>
          <w:numId w:val="9"/>
        </w:numPr>
        <w:rPr>
          <w:lang w:val="ru-RU"/>
        </w:rPr>
      </w:pPr>
      <w:r>
        <w:rPr>
          <w:lang w:val="ru-RU"/>
        </w:rPr>
        <w:lastRenderedPageBreak/>
        <w:t>Высокая правовая стоимость</w:t>
      </w:r>
      <w:r w:rsidR="00BE1C1C" w:rsidRPr="008844B1">
        <w:rPr>
          <w:lang w:val="ru-RU"/>
        </w:rPr>
        <w:t xml:space="preserve"> защит</w:t>
      </w:r>
      <w:r>
        <w:rPr>
          <w:lang w:val="ru-RU"/>
        </w:rPr>
        <w:t>ы</w:t>
      </w:r>
      <w:r w:rsidR="00BE1C1C" w:rsidRPr="008844B1">
        <w:rPr>
          <w:lang w:val="ru-RU"/>
        </w:rPr>
        <w:t xml:space="preserve"> ПО </w:t>
      </w:r>
      <w:r>
        <w:rPr>
          <w:lang w:val="ru-RU"/>
        </w:rPr>
        <w:t>служит сдерживающим фактором для многих заявителей, которые не предпринимают попыток предотвратить нарушени</w:t>
      </w:r>
      <w:r w:rsidR="00286022">
        <w:rPr>
          <w:lang w:val="ru-RU"/>
        </w:rPr>
        <w:t>я</w:t>
      </w:r>
      <w:r>
        <w:rPr>
          <w:lang w:val="ru-RU"/>
        </w:rPr>
        <w:t xml:space="preserve"> прав на образцы</w:t>
      </w:r>
      <w:r w:rsidR="00BE1C1C" w:rsidRPr="008844B1">
        <w:rPr>
          <w:lang w:val="ru-RU"/>
        </w:rPr>
        <w:t xml:space="preserve">.  </w:t>
      </w:r>
      <w:r w:rsidR="00BE1C1C">
        <w:rPr>
          <w:lang w:val="ru-RU"/>
        </w:rPr>
        <w:t xml:space="preserve">В тех случаях, когда </w:t>
      </w:r>
      <w:r w:rsidR="00BE1C1C" w:rsidRPr="008844B1">
        <w:rPr>
          <w:lang w:val="ru-RU"/>
        </w:rPr>
        <w:t xml:space="preserve">они </w:t>
      </w:r>
      <w:r>
        <w:rPr>
          <w:lang w:val="ru-RU"/>
        </w:rPr>
        <w:t>пытаются бороться с</w:t>
      </w:r>
      <w:r w:rsidR="00BE1C1C" w:rsidRPr="008844B1">
        <w:rPr>
          <w:lang w:val="ru-RU"/>
        </w:rPr>
        <w:t xml:space="preserve"> нарушител</w:t>
      </w:r>
      <w:r>
        <w:rPr>
          <w:lang w:val="ru-RU"/>
        </w:rPr>
        <w:t>ями</w:t>
      </w:r>
      <w:r w:rsidR="00BE1C1C" w:rsidRPr="008844B1">
        <w:rPr>
          <w:lang w:val="ru-RU"/>
        </w:rPr>
        <w:t xml:space="preserve">, правоприменительные действия </w:t>
      </w:r>
      <w:r>
        <w:rPr>
          <w:lang w:val="ru-RU"/>
        </w:rPr>
        <w:t>не всегда приводят к успеху</w:t>
      </w:r>
      <w:r w:rsidR="000866E8" w:rsidRPr="00BE1C1C">
        <w:rPr>
          <w:lang w:val="ru-RU"/>
        </w:rPr>
        <w:t>.</w:t>
      </w:r>
    </w:p>
    <w:p w:rsidR="000866E8" w:rsidRPr="00237A96" w:rsidRDefault="00237A96" w:rsidP="000866E8">
      <w:pPr>
        <w:numPr>
          <w:ilvl w:val="0"/>
          <w:numId w:val="9"/>
        </w:numPr>
        <w:rPr>
          <w:lang w:val="ru-RU"/>
        </w:rPr>
      </w:pPr>
      <w:r w:rsidRPr="00237A96">
        <w:rPr>
          <w:lang w:val="ru-RU"/>
        </w:rPr>
        <w:t xml:space="preserve">Большинство заявок на получение патентов на ПО подаются без </w:t>
      </w:r>
      <w:r w:rsidR="00A659D4">
        <w:rPr>
          <w:lang w:val="ru-RU"/>
        </w:rPr>
        <w:t>привлечения</w:t>
      </w:r>
      <w:r w:rsidRPr="00237A96">
        <w:rPr>
          <w:lang w:val="ru-RU"/>
        </w:rPr>
        <w:t xml:space="preserve"> внешних </w:t>
      </w:r>
      <w:r w:rsidR="00A659D4">
        <w:rPr>
          <w:lang w:val="ru-RU"/>
        </w:rPr>
        <w:t>поверенных</w:t>
      </w:r>
      <w:r w:rsidRPr="00237A96">
        <w:rPr>
          <w:lang w:val="ru-RU"/>
        </w:rPr>
        <w:t>.  В этих случаях заявители сталкиваются с проблемами в ходе, как им кажется, длительного и трудного для понимания процесса подачи заявки</w:t>
      </w:r>
      <w:r w:rsidR="000866E8" w:rsidRPr="00237A96">
        <w:rPr>
          <w:lang w:val="ru-RU"/>
        </w:rPr>
        <w:t>.</w:t>
      </w:r>
      <w:r w:rsidR="00A659D4">
        <w:rPr>
          <w:lang w:val="ru-RU"/>
        </w:rPr>
        <w:t xml:space="preserve"> </w:t>
      </w:r>
    </w:p>
    <w:p w:rsidR="000866E8" w:rsidRPr="00237A96" w:rsidRDefault="000866E8" w:rsidP="000866E8">
      <w:pPr>
        <w:rPr>
          <w:lang w:val="ru-RU"/>
        </w:rPr>
      </w:pPr>
    </w:p>
    <w:p w:rsidR="000866E8" w:rsidRPr="00DE4FAE" w:rsidRDefault="00DE4FAE" w:rsidP="000866E8">
      <w:pPr>
        <w:rPr>
          <w:lang w:val="ru-RU"/>
        </w:rPr>
      </w:pPr>
      <w:r w:rsidRPr="00DE4FAE">
        <w:rPr>
          <w:lang w:val="ru-RU"/>
        </w:rPr>
        <w:t>Эти обобщенные результаты нуждаются в подтверждении и дальнейшем более глубоком изучении.  В частности, ОЭС ВОИС намерен проанализировать результаты обследования в рамках эконометрической модели, позволяющей правильнее оценить статистическую значимость различных гипотез.</w:t>
      </w:r>
      <w:r w:rsidR="000866E8" w:rsidRPr="00DE4FAE">
        <w:rPr>
          <w:lang w:val="ru-RU"/>
        </w:rPr>
        <w:t xml:space="preserve">  </w:t>
      </w:r>
    </w:p>
    <w:p w:rsidR="000866E8" w:rsidRPr="00E34EA9" w:rsidRDefault="000866E8" w:rsidP="000866E8">
      <w:pPr>
        <w:rPr>
          <w:lang w:val="ru-RU"/>
        </w:rPr>
      </w:pPr>
    </w:p>
    <w:p w:rsidR="00AB0B4B" w:rsidRPr="00E34EA9" w:rsidRDefault="00AB0B4B" w:rsidP="000866E8">
      <w:pPr>
        <w:rPr>
          <w:lang w:val="ru-RU"/>
        </w:rPr>
      </w:pPr>
    </w:p>
    <w:p w:rsidR="000866E8" w:rsidRPr="005E238E" w:rsidRDefault="005E238E" w:rsidP="000866E8">
      <w:pPr>
        <w:rPr>
          <w:b/>
          <w:bCs/>
          <w:lang w:val="ru-RU"/>
        </w:rPr>
      </w:pPr>
      <w:r>
        <w:rPr>
          <w:b/>
          <w:bCs/>
          <w:lang w:val="ru-RU"/>
        </w:rPr>
        <w:t>Извлеченные</w:t>
      </w:r>
      <w:r w:rsidRPr="005E238E">
        <w:rPr>
          <w:b/>
          <w:bCs/>
          <w:lang w:val="ru-RU"/>
        </w:rPr>
        <w:t xml:space="preserve"> </w:t>
      </w:r>
      <w:r>
        <w:rPr>
          <w:b/>
          <w:bCs/>
          <w:lang w:val="ru-RU"/>
        </w:rPr>
        <w:t>уроки</w:t>
      </w:r>
      <w:r w:rsidRPr="005E238E">
        <w:rPr>
          <w:b/>
          <w:bCs/>
          <w:lang w:val="ru-RU"/>
        </w:rPr>
        <w:t xml:space="preserve"> </w:t>
      </w:r>
      <w:r>
        <w:rPr>
          <w:b/>
          <w:bCs/>
          <w:lang w:val="ru-RU"/>
        </w:rPr>
        <w:t>и</w:t>
      </w:r>
      <w:r w:rsidRPr="005E238E">
        <w:rPr>
          <w:b/>
          <w:bCs/>
          <w:lang w:val="ru-RU"/>
        </w:rPr>
        <w:t xml:space="preserve"> </w:t>
      </w:r>
      <w:r>
        <w:rPr>
          <w:b/>
          <w:bCs/>
          <w:lang w:val="ru-RU"/>
        </w:rPr>
        <w:t>последствия</w:t>
      </w:r>
      <w:r w:rsidRPr="005E238E">
        <w:rPr>
          <w:b/>
          <w:bCs/>
          <w:lang w:val="ru-RU"/>
        </w:rPr>
        <w:t xml:space="preserve"> </w:t>
      </w:r>
      <w:r>
        <w:rPr>
          <w:b/>
          <w:bCs/>
          <w:lang w:val="ru-RU"/>
        </w:rPr>
        <w:t>для</w:t>
      </w:r>
      <w:r w:rsidRPr="005E238E">
        <w:rPr>
          <w:b/>
          <w:bCs/>
          <w:lang w:val="ru-RU"/>
        </w:rPr>
        <w:t xml:space="preserve"> </w:t>
      </w:r>
      <w:r>
        <w:rPr>
          <w:b/>
          <w:bCs/>
          <w:lang w:val="ru-RU"/>
        </w:rPr>
        <w:t xml:space="preserve">политики </w:t>
      </w:r>
    </w:p>
    <w:p w:rsidR="000866E8" w:rsidRPr="005E238E" w:rsidRDefault="000866E8" w:rsidP="000866E8">
      <w:pPr>
        <w:rPr>
          <w:lang w:val="ru-RU"/>
        </w:rPr>
      </w:pPr>
    </w:p>
    <w:p w:rsidR="000866E8" w:rsidRPr="0020428B" w:rsidRDefault="0020428B" w:rsidP="000866E8">
      <w:pPr>
        <w:rPr>
          <w:lang w:val="ru-RU"/>
        </w:rPr>
      </w:pPr>
      <w:r w:rsidRPr="0020428B">
        <w:rPr>
          <w:lang w:val="ru-RU"/>
        </w:rPr>
        <w:t>Проведение регионального обследования требует значительных ресурсов.  Его реализация заняла больше времени, чем планировалось изначально.  Не</w:t>
      </w:r>
      <w:r w:rsidR="00E20935">
        <w:rPr>
          <w:lang w:val="ru-RU"/>
        </w:rPr>
        <w:t>которые</w:t>
      </w:r>
      <w:r w:rsidRPr="0020428B">
        <w:rPr>
          <w:lang w:val="ru-RU"/>
        </w:rPr>
        <w:t xml:space="preserve"> урок</w:t>
      </w:r>
      <w:r w:rsidR="00E20935">
        <w:rPr>
          <w:lang w:val="ru-RU"/>
        </w:rPr>
        <w:t>и</w:t>
      </w:r>
      <w:r w:rsidRPr="0020428B">
        <w:rPr>
          <w:lang w:val="ru-RU"/>
        </w:rPr>
        <w:t>, полученны</w:t>
      </w:r>
      <w:r w:rsidR="00E20935">
        <w:rPr>
          <w:lang w:val="ru-RU"/>
        </w:rPr>
        <w:t>е</w:t>
      </w:r>
      <w:r w:rsidRPr="0020428B">
        <w:rPr>
          <w:lang w:val="ru-RU"/>
        </w:rPr>
        <w:t xml:space="preserve"> в ходе этого исследования, могли бы быть использованы для будущих исследований.</w:t>
      </w:r>
      <w:r w:rsidR="000866E8" w:rsidRPr="0020428B">
        <w:rPr>
          <w:lang w:val="ru-RU"/>
        </w:rPr>
        <w:t xml:space="preserve">  </w:t>
      </w:r>
    </w:p>
    <w:p w:rsidR="000866E8" w:rsidRPr="0020428B" w:rsidRDefault="000866E8" w:rsidP="000866E8">
      <w:pPr>
        <w:rPr>
          <w:lang w:val="ru-RU"/>
        </w:rPr>
      </w:pPr>
    </w:p>
    <w:p w:rsidR="000866E8" w:rsidRPr="00FC3EC1" w:rsidRDefault="00FC3EC1" w:rsidP="000866E8">
      <w:pPr>
        <w:rPr>
          <w:lang w:val="ru-RU"/>
        </w:rPr>
      </w:pPr>
      <w:r w:rsidRPr="00FC3EC1">
        <w:rPr>
          <w:lang w:val="ru-RU"/>
        </w:rPr>
        <w:t xml:space="preserve">Во-первых, полнота регистрационных данных, использованных для идентификации респондентов обследования, была различной.  В частности, это касается контактных данных заявителей.  Прежде чем приступить к использованию в этих странах инструмента обследования исследовательские группы потратили значительную часть времени на заполнение недостающих контактных данных, взятых из открытых источников.  </w:t>
      </w:r>
      <w:r w:rsidR="00286022">
        <w:rPr>
          <w:lang w:val="ru-RU"/>
        </w:rPr>
        <w:t xml:space="preserve">Получив </w:t>
      </w:r>
      <w:r w:rsidRPr="00FC3EC1">
        <w:rPr>
          <w:lang w:val="ru-RU"/>
        </w:rPr>
        <w:t>серьезн</w:t>
      </w:r>
      <w:r w:rsidR="00286022">
        <w:rPr>
          <w:lang w:val="ru-RU"/>
        </w:rPr>
        <w:t>ую</w:t>
      </w:r>
      <w:r w:rsidRPr="00FC3EC1">
        <w:rPr>
          <w:lang w:val="ru-RU"/>
        </w:rPr>
        <w:t xml:space="preserve"> поддержк</w:t>
      </w:r>
      <w:r w:rsidR="00286022">
        <w:rPr>
          <w:lang w:val="ru-RU"/>
        </w:rPr>
        <w:t>у</w:t>
      </w:r>
      <w:r w:rsidRPr="00FC3EC1">
        <w:rPr>
          <w:lang w:val="ru-RU"/>
        </w:rPr>
        <w:t xml:space="preserve"> со стороны национальных ведомств ИС, исследователи обратились к ассоциациям разработчиков ПО для уточнения информации о респондентах</w:t>
      </w:r>
      <w:r w:rsidR="000866E8" w:rsidRPr="00FC3EC1">
        <w:rPr>
          <w:lang w:val="ru-RU"/>
        </w:rPr>
        <w:t>.</w:t>
      </w:r>
    </w:p>
    <w:p w:rsidR="000866E8" w:rsidRPr="00FC3EC1" w:rsidRDefault="000866E8" w:rsidP="000866E8">
      <w:pPr>
        <w:rPr>
          <w:lang w:val="ru-RU"/>
        </w:rPr>
      </w:pPr>
    </w:p>
    <w:p w:rsidR="000866E8" w:rsidRPr="0058623E" w:rsidRDefault="00263625" w:rsidP="000866E8">
      <w:pPr>
        <w:rPr>
          <w:lang w:val="ru-RU"/>
        </w:rPr>
      </w:pPr>
      <w:r w:rsidRPr="00263625">
        <w:rPr>
          <w:lang w:val="ru-RU"/>
        </w:rPr>
        <w:t>Во-вторых, ОЭС ВОИС и местные исследовательские группы выразили озабоченность в связи с объемом вопросника для обследования.  Перед началом обследований было проведено два контрольных теста.  Первая серия интервью с разработчиками образцов была проведена на двух международных дизайнерских выставках, ежегодно проводимых в Милане, Италия</w:t>
      </w:r>
      <w:r w:rsidR="000866E8" w:rsidRPr="00263625">
        <w:rPr>
          <w:lang w:val="ru-RU"/>
        </w:rPr>
        <w:t>.</w:t>
      </w:r>
      <w:r w:rsidR="000866E8" w:rsidRPr="000866E8">
        <w:rPr>
          <w:vertAlign w:val="superscript"/>
        </w:rPr>
        <w:footnoteReference w:id="7"/>
      </w:r>
      <w:r w:rsidR="000866E8" w:rsidRPr="00263625">
        <w:rPr>
          <w:lang w:val="ru-RU"/>
        </w:rPr>
        <w:t xml:space="preserve"> </w:t>
      </w:r>
      <w:r w:rsidR="0058623E" w:rsidRPr="0058623E">
        <w:rPr>
          <w:lang w:val="ru-RU"/>
        </w:rPr>
        <w:t>Второй контрольный тест был проведен на Филиппинах в рамках небольшой группы филиппинских заявителей на получение патентов на ПО.  В обоих случаях респонденты смогли заполнить анкету, несмотря на ее объем</w:t>
      </w:r>
      <w:r w:rsidR="000866E8" w:rsidRPr="0058623E">
        <w:rPr>
          <w:lang w:val="ru-RU"/>
        </w:rPr>
        <w:t>.</w:t>
      </w:r>
    </w:p>
    <w:p w:rsidR="000866E8" w:rsidRPr="0058623E" w:rsidRDefault="000866E8" w:rsidP="000866E8">
      <w:pPr>
        <w:rPr>
          <w:lang w:val="ru-RU"/>
        </w:rPr>
      </w:pPr>
    </w:p>
    <w:p w:rsidR="000866E8" w:rsidRPr="009C128F" w:rsidRDefault="009C128F" w:rsidP="000866E8">
      <w:pPr>
        <w:rPr>
          <w:lang w:val="ru-RU"/>
        </w:rPr>
      </w:pPr>
      <w:r w:rsidRPr="009C128F">
        <w:rPr>
          <w:lang w:val="ru-RU"/>
        </w:rPr>
        <w:t>В ходе проведения обследований местные исследовательские группы пред</w:t>
      </w:r>
      <w:r w:rsidR="00286022">
        <w:rPr>
          <w:lang w:val="ru-RU"/>
        </w:rPr>
        <w:t>оставили</w:t>
      </w:r>
      <w:r w:rsidRPr="009C128F">
        <w:rPr>
          <w:lang w:val="ru-RU"/>
        </w:rPr>
        <w:t xml:space="preserve"> респондентам возможность заполнить более короткий вариант вопросника и/или провести интервью по телефону, поощряя тем самым их к участию в обследовании</w:t>
      </w:r>
      <w:r w:rsidR="000866E8" w:rsidRPr="009C128F">
        <w:rPr>
          <w:lang w:val="ru-RU"/>
        </w:rPr>
        <w:t xml:space="preserve">. </w:t>
      </w:r>
    </w:p>
    <w:p w:rsidR="000866E8" w:rsidRPr="009C128F" w:rsidRDefault="000866E8" w:rsidP="000866E8">
      <w:pPr>
        <w:rPr>
          <w:lang w:val="ru-RU"/>
        </w:rPr>
      </w:pPr>
    </w:p>
    <w:p w:rsidR="000866E8" w:rsidRPr="00C352C0" w:rsidRDefault="00C352C0" w:rsidP="000866E8">
      <w:pPr>
        <w:rPr>
          <w:lang w:val="ru-RU"/>
        </w:rPr>
      </w:pPr>
      <w:r w:rsidRPr="00C352C0">
        <w:rPr>
          <w:lang w:val="ru-RU"/>
        </w:rPr>
        <w:t>Кроме того, поэтапное проведение обследования и заполнение вопросников в этих трех странах было полезным с точки зрения оказания помощи каждой исследовательской группе и учета уже полученного опыта при обращении к респондентам</w:t>
      </w:r>
      <w:r w:rsidR="000866E8" w:rsidRPr="00C352C0">
        <w:rPr>
          <w:lang w:val="ru-RU"/>
        </w:rPr>
        <w:t>.</w:t>
      </w:r>
    </w:p>
    <w:p w:rsidR="000866E8" w:rsidRPr="00C352C0" w:rsidRDefault="000866E8" w:rsidP="000866E8">
      <w:pPr>
        <w:rPr>
          <w:lang w:val="ru-RU"/>
        </w:rPr>
      </w:pPr>
    </w:p>
    <w:p w:rsidR="000866E8" w:rsidRPr="0019673A" w:rsidRDefault="0019673A" w:rsidP="000866E8">
      <w:pPr>
        <w:rPr>
          <w:lang w:val="ru-RU"/>
        </w:rPr>
      </w:pPr>
      <w:r w:rsidRPr="0019673A">
        <w:rPr>
          <w:lang w:val="ru-RU"/>
        </w:rPr>
        <w:t xml:space="preserve">В-третьих, многие респонденты не решались заполнить вопросник.  Активная помощь трех ведомств ИС сыграла решающую роль в получении дополнительных ответов при проведении обследования.  Дополнительные семинары-практикумы, организованные на </w:t>
      </w:r>
      <w:r w:rsidRPr="0019673A">
        <w:rPr>
          <w:lang w:val="ru-RU"/>
        </w:rPr>
        <w:lastRenderedPageBreak/>
        <w:t>Филиппинах и в Индонезии, помогли местным исследовательским группам напрямую связаться с респондентами</w:t>
      </w:r>
      <w:r w:rsidR="000866E8" w:rsidRPr="0019673A">
        <w:rPr>
          <w:lang w:val="ru-RU"/>
        </w:rPr>
        <w:t xml:space="preserve">.  </w:t>
      </w:r>
    </w:p>
    <w:p w:rsidR="000866E8" w:rsidRPr="0019673A" w:rsidRDefault="000866E8" w:rsidP="000866E8">
      <w:pPr>
        <w:rPr>
          <w:lang w:val="ru-RU"/>
        </w:rPr>
      </w:pPr>
    </w:p>
    <w:p w:rsidR="000866E8" w:rsidRPr="00693AC3" w:rsidRDefault="00693AC3" w:rsidP="000866E8">
      <w:pPr>
        <w:rPr>
          <w:lang w:val="ru-RU"/>
        </w:rPr>
      </w:pPr>
      <w:r w:rsidRPr="00693AC3">
        <w:rPr>
          <w:lang w:val="ru-RU"/>
        </w:rPr>
        <w:t>Что касается последствий для политики, то ответы, полученные в ходе обследования, свидетельствуют о том, что разработчики новых образцов пользуются правами на ПО как способом возврата их дохода от инвестиций в создание новых образцов.  Они также подтверждают тот факт, что разработчики новых образцов сталкиваются с реальным риском имитации.  Таким образом, в целом система ПО играет вспомогательную роль в стимулировании той или иной формы инновационной деятельности, которую осуществляют компании, включая малые и средние предприятия</w:t>
      </w:r>
      <w:r w:rsidR="008D02AE">
        <w:rPr>
          <w:lang w:val="ru-RU"/>
        </w:rPr>
        <w:t>,</w:t>
      </w:r>
      <w:r w:rsidR="008D02AE" w:rsidRPr="008D02AE">
        <w:rPr>
          <w:lang w:val="ru-RU"/>
        </w:rPr>
        <w:t xml:space="preserve"> </w:t>
      </w:r>
      <w:r w:rsidR="008D02AE" w:rsidRPr="00693AC3">
        <w:rPr>
          <w:lang w:val="ru-RU"/>
        </w:rPr>
        <w:t>в странах со средними уровнями доходов</w:t>
      </w:r>
      <w:r w:rsidRPr="00693AC3">
        <w:rPr>
          <w:lang w:val="ru-RU"/>
        </w:rPr>
        <w:t xml:space="preserve">.  В отличие от патентной сферы, таким компаниям не обязательно </w:t>
      </w:r>
      <w:r w:rsidR="009A0A11">
        <w:rPr>
          <w:lang w:val="ru-RU"/>
        </w:rPr>
        <w:t xml:space="preserve">входить в число передовых в области </w:t>
      </w:r>
      <w:r w:rsidRPr="00693AC3">
        <w:rPr>
          <w:lang w:val="ru-RU"/>
        </w:rPr>
        <w:t>технологий, чтобы успешно создавать новые образцы.  Им в основном требуются талантливые специалисты, для поддержания которых имеется достаточный запас средств даже в условиях более ограниченных ресурсов</w:t>
      </w:r>
      <w:r w:rsidR="000866E8" w:rsidRPr="00693AC3">
        <w:rPr>
          <w:lang w:val="ru-RU"/>
        </w:rPr>
        <w:t>.</w:t>
      </w:r>
    </w:p>
    <w:p w:rsidR="000866E8" w:rsidRPr="00693AC3" w:rsidRDefault="000866E8" w:rsidP="000866E8">
      <w:pPr>
        <w:rPr>
          <w:lang w:val="ru-RU"/>
        </w:rPr>
      </w:pPr>
    </w:p>
    <w:p w:rsidR="000866E8" w:rsidRPr="00554453" w:rsidRDefault="001539F1" w:rsidP="000866E8">
      <w:pPr>
        <w:rPr>
          <w:lang w:val="ru-RU"/>
        </w:rPr>
      </w:pPr>
      <w:r w:rsidRPr="001539F1">
        <w:rPr>
          <w:lang w:val="ru-RU"/>
        </w:rPr>
        <w:t>В заключение, в исследовании приводятся некоторые предварительные данные, свидетельствующие о том, что разработка новых образцов может быть одним из путей для выхода на внешние рынки и увеличения экспорта.  Это согласуется с результатами исследований в области международной торговли, в которых в качестве причины успешной экспортной деятельности отмечаются особые возможности компаний</w:t>
      </w:r>
      <w:r w:rsidR="000866E8" w:rsidRPr="001539F1">
        <w:rPr>
          <w:lang w:val="ru-RU"/>
        </w:rPr>
        <w:t>.</w:t>
      </w:r>
      <w:r w:rsidR="000866E8" w:rsidRPr="000866E8">
        <w:rPr>
          <w:vertAlign w:val="superscript"/>
        </w:rPr>
        <w:footnoteReference w:id="8"/>
      </w:r>
      <w:r w:rsidR="000866E8" w:rsidRPr="001539F1">
        <w:rPr>
          <w:lang w:val="ru-RU"/>
        </w:rPr>
        <w:t xml:space="preserve">  </w:t>
      </w:r>
      <w:r w:rsidR="00554453" w:rsidRPr="00554453">
        <w:rPr>
          <w:lang w:val="ru-RU"/>
        </w:rPr>
        <w:t>При этом автоматически возникает тесная взаимосвязь между разработкой новых образцов и развитием экспорта.  Ответ на вопрос о том, с какими препятствиями приходится сталкиваться успешным отечественным разработчикам образцов при выходе на международные рынки, может послужить дополнительной информацией для разработки соответствующей политики.</w:t>
      </w:r>
    </w:p>
    <w:p w:rsidR="000866E8" w:rsidRPr="008844B1" w:rsidRDefault="000866E8" w:rsidP="000866E8">
      <w:pPr>
        <w:rPr>
          <w:lang w:val="ru-RU"/>
        </w:rPr>
      </w:pPr>
    </w:p>
    <w:p w:rsidR="00677F76" w:rsidRDefault="00677F76" w:rsidP="00677F76">
      <w:pPr>
        <w:pStyle w:val="Endofdocument-Annex"/>
      </w:pPr>
      <w:r>
        <w:t>[</w:t>
      </w:r>
      <w:r w:rsidR="00554453">
        <w:rPr>
          <w:lang w:val="ru-RU"/>
        </w:rPr>
        <w:t>Конец приложения и документа</w:t>
      </w:r>
      <w:r>
        <w:t>]</w:t>
      </w:r>
    </w:p>
    <w:p w:rsidR="00D7636F" w:rsidRDefault="00D7636F" w:rsidP="003C3C2C">
      <w:pPr>
        <w:pStyle w:val="Endofdocument-Annex"/>
        <w:jc w:val="both"/>
        <w:rPr>
          <w:lang w:val="ru-RU"/>
        </w:rPr>
      </w:pPr>
    </w:p>
    <w:p w:rsidR="00D7636F" w:rsidRDefault="00D7636F" w:rsidP="003C3C2C">
      <w:pPr>
        <w:pStyle w:val="Endofdocument-Annex"/>
        <w:jc w:val="both"/>
        <w:rPr>
          <w:lang w:val="ru-RU"/>
        </w:rPr>
      </w:pPr>
    </w:p>
    <w:sectPr w:rsidR="00D7636F" w:rsidSect="00CA2BBF">
      <w:headerReference w:type="default" r:id="rId11"/>
      <w:headerReference w:type="first" r:id="rId12"/>
      <w:foot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FF4" w:rsidRDefault="00E56FF4">
      <w:r>
        <w:separator/>
      </w:r>
    </w:p>
  </w:endnote>
  <w:endnote w:type="continuationSeparator" w:id="0">
    <w:p w:rsidR="00E56FF4" w:rsidRDefault="00E56FF4" w:rsidP="003B38C1">
      <w:r>
        <w:separator/>
      </w:r>
    </w:p>
    <w:p w:rsidR="00E56FF4" w:rsidRPr="003B38C1" w:rsidRDefault="00E56FF4" w:rsidP="003B38C1">
      <w:pPr>
        <w:spacing w:after="60"/>
        <w:rPr>
          <w:sz w:val="17"/>
        </w:rPr>
      </w:pPr>
      <w:r>
        <w:rPr>
          <w:sz w:val="17"/>
        </w:rPr>
        <w:t>[Endnote continued from previous page]</w:t>
      </w:r>
    </w:p>
  </w:endnote>
  <w:endnote w:type="continuationNotice" w:id="1">
    <w:p w:rsidR="00E56FF4" w:rsidRPr="003B38C1" w:rsidRDefault="00E56FF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9E6" w:rsidRDefault="004069E6">
    <w:pP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9E6" w:rsidRDefault="00406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FF4" w:rsidRDefault="00E56FF4">
      <w:r>
        <w:separator/>
      </w:r>
    </w:p>
  </w:footnote>
  <w:footnote w:type="continuationSeparator" w:id="0">
    <w:p w:rsidR="00E56FF4" w:rsidRDefault="00E56FF4" w:rsidP="008B60B2">
      <w:r>
        <w:separator/>
      </w:r>
    </w:p>
    <w:p w:rsidR="00E56FF4" w:rsidRPr="00ED77FB" w:rsidRDefault="00E56FF4" w:rsidP="008B60B2">
      <w:pPr>
        <w:spacing w:after="60"/>
        <w:rPr>
          <w:sz w:val="17"/>
          <w:szCs w:val="17"/>
        </w:rPr>
      </w:pPr>
      <w:r w:rsidRPr="00ED77FB">
        <w:rPr>
          <w:sz w:val="17"/>
          <w:szCs w:val="17"/>
        </w:rPr>
        <w:t>[Footnote continued from previous page]</w:t>
      </w:r>
    </w:p>
  </w:footnote>
  <w:footnote w:type="continuationNotice" w:id="1">
    <w:p w:rsidR="00E56FF4" w:rsidRPr="00ED77FB" w:rsidRDefault="00E56FF4" w:rsidP="008B60B2">
      <w:pPr>
        <w:spacing w:before="60"/>
        <w:jc w:val="right"/>
        <w:rPr>
          <w:sz w:val="17"/>
          <w:szCs w:val="17"/>
        </w:rPr>
      </w:pPr>
      <w:r w:rsidRPr="00ED77FB">
        <w:rPr>
          <w:sz w:val="17"/>
          <w:szCs w:val="17"/>
        </w:rPr>
        <w:t>[Footnote continued on next page]</w:t>
      </w:r>
    </w:p>
  </w:footnote>
  <w:footnote w:id="2">
    <w:p w:rsidR="004069E6" w:rsidRPr="00EF75C7" w:rsidRDefault="004069E6" w:rsidP="000866E8">
      <w:pPr>
        <w:pStyle w:val="FootnoteText"/>
        <w:rPr>
          <w:lang w:val="ru-RU"/>
        </w:rPr>
      </w:pPr>
      <w:r>
        <w:rPr>
          <w:rStyle w:val="FootnoteReference"/>
        </w:rPr>
        <w:footnoteRef/>
      </w:r>
      <w:r w:rsidRPr="00EF75C7">
        <w:rPr>
          <w:lang w:val="ru-RU"/>
        </w:rPr>
        <w:t xml:space="preserve"> </w:t>
      </w:r>
      <w:r>
        <w:rPr>
          <w:lang w:val="ru-RU"/>
        </w:rPr>
        <w:t>Статистический</w:t>
      </w:r>
      <w:r w:rsidRPr="00EF75C7">
        <w:rPr>
          <w:lang w:val="ru-RU"/>
        </w:rPr>
        <w:t xml:space="preserve"> </w:t>
      </w:r>
      <w:r>
        <w:rPr>
          <w:lang w:val="ru-RU"/>
        </w:rPr>
        <w:t>обзор</w:t>
      </w:r>
      <w:r w:rsidRPr="00EF75C7">
        <w:rPr>
          <w:lang w:val="ru-RU"/>
        </w:rPr>
        <w:t xml:space="preserve"> </w:t>
      </w:r>
      <w:r>
        <w:rPr>
          <w:lang w:val="ru-RU"/>
        </w:rPr>
        <w:t>см</w:t>
      </w:r>
      <w:r w:rsidRPr="00EF75C7">
        <w:rPr>
          <w:lang w:val="ru-RU"/>
        </w:rPr>
        <w:t xml:space="preserve">. </w:t>
      </w:r>
      <w:r>
        <w:rPr>
          <w:lang w:val="ru-RU"/>
        </w:rPr>
        <w:t>в</w:t>
      </w:r>
      <w:r w:rsidRPr="00EF75C7">
        <w:rPr>
          <w:lang w:val="ru-RU"/>
        </w:rPr>
        <w:t xml:space="preserve"> </w:t>
      </w:r>
      <w:r>
        <w:rPr>
          <w:lang w:val="ru-RU"/>
        </w:rPr>
        <w:t>документе</w:t>
      </w:r>
      <w:r w:rsidRPr="00EF75C7">
        <w:rPr>
          <w:lang w:val="ru-RU"/>
        </w:rPr>
        <w:t xml:space="preserve"> </w:t>
      </w:r>
      <w:r>
        <w:rPr>
          <w:lang w:val="ru-RU"/>
        </w:rPr>
        <w:t xml:space="preserve">ВОИС </w:t>
      </w:r>
      <w:r>
        <w:t>SCT</w:t>
      </w:r>
      <w:r w:rsidRPr="00EF75C7">
        <w:rPr>
          <w:lang w:val="ru-RU"/>
        </w:rPr>
        <w:t xml:space="preserve">/27/4 </w:t>
      </w:r>
      <w:r>
        <w:t>ADD</w:t>
      </w:r>
      <w:r>
        <w:rPr>
          <w:lang w:val="ru-RU"/>
        </w:rPr>
        <w:t xml:space="preserve"> доступн</w:t>
      </w:r>
      <w:r w:rsidR="00D84DF1">
        <w:rPr>
          <w:lang w:val="ru-RU"/>
        </w:rPr>
        <w:t>ом</w:t>
      </w:r>
      <w:r>
        <w:rPr>
          <w:lang w:val="ru-RU"/>
        </w:rPr>
        <w:t xml:space="preserve"> он-лайн на странице по адресу:</w:t>
      </w:r>
      <w:r w:rsidRPr="00EF75C7">
        <w:rPr>
          <w:lang w:val="ru-RU"/>
        </w:rPr>
        <w:t xml:space="preserve"> </w:t>
      </w:r>
      <w:hyperlink r:id="rId1" w:history="1">
        <w:r w:rsidRPr="00C32127">
          <w:rPr>
            <w:rStyle w:val="Hyperlink"/>
          </w:rPr>
          <w:t>http</w:t>
        </w:r>
        <w:r w:rsidRPr="00EF75C7">
          <w:rPr>
            <w:rStyle w:val="Hyperlink"/>
            <w:lang w:val="ru-RU"/>
          </w:rPr>
          <w:t>://</w:t>
        </w:r>
        <w:r w:rsidRPr="00C32127">
          <w:rPr>
            <w:rStyle w:val="Hyperlink"/>
          </w:rPr>
          <w:t>www</w:t>
        </w:r>
        <w:r w:rsidRPr="00EF75C7">
          <w:rPr>
            <w:rStyle w:val="Hyperlink"/>
            <w:lang w:val="ru-RU"/>
          </w:rPr>
          <w:t>.</w:t>
        </w:r>
        <w:proofErr w:type="spellStart"/>
        <w:r w:rsidRPr="00C32127">
          <w:rPr>
            <w:rStyle w:val="Hyperlink"/>
          </w:rPr>
          <w:t>wipo</w:t>
        </w:r>
        <w:proofErr w:type="spellEnd"/>
        <w:r w:rsidRPr="00EF75C7">
          <w:rPr>
            <w:rStyle w:val="Hyperlink"/>
            <w:lang w:val="ru-RU"/>
          </w:rPr>
          <w:t>.</w:t>
        </w:r>
        <w:proofErr w:type="spellStart"/>
        <w:r w:rsidRPr="00C32127">
          <w:rPr>
            <w:rStyle w:val="Hyperlink"/>
          </w:rPr>
          <w:t>int</w:t>
        </w:r>
        <w:proofErr w:type="spellEnd"/>
        <w:r w:rsidRPr="00EF75C7">
          <w:rPr>
            <w:rStyle w:val="Hyperlink"/>
            <w:lang w:val="ru-RU"/>
          </w:rPr>
          <w:t>/</w:t>
        </w:r>
        <w:r w:rsidRPr="00C32127">
          <w:rPr>
            <w:rStyle w:val="Hyperlink"/>
          </w:rPr>
          <w:t>meetings</w:t>
        </w:r>
        <w:r w:rsidRPr="00EF75C7">
          <w:rPr>
            <w:rStyle w:val="Hyperlink"/>
            <w:lang w:val="ru-RU"/>
          </w:rPr>
          <w:t>/</w:t>
        </w:r>
        <w:proofErr w:type="spellStart"/>
        <w:r w:rsidRPr="00C32127">
          <w:rPr>
            <w:rStyle w:val="Hyperlink"/>
          </w:rPr>
          <w:t>en</w:t>
        </w:r>
        <w:proofErr w:type="spellEnd"/>
        <w:r w:rsidRPr="00EF75C7">
          <w:rPr>
            <w:rStyle w:val="Hyperlink"/>
            <w:lang w:val="ru-RU"/>
          </w:rPr>
          <w:t>/</w:t>
        </w:r>
        <w:r w:rsidRPr="00C32127">
          <w:rPr>
            <w:rStyle w:val="Hyperlink"/>
          </w:rPr>
          <w:t>doc</w:t>
        </w:r>
        <w:r w:rsidRPr="00EF75C7">
          <w:rPr>
            <w:rStyle w:val="Hyperlink"/>
            <w:lang w:val="ru-RU"/>
          </w:rPr>
          <w:t>_</w:t>
        </w:r>
        <w:r w:rsidRPr="00C32127">
          <w:rPr>
            <w:rStyle w:val="Hyperlink"/>
          </w:rPr>
          <w:t>details</w:t>
        </w:r>
        <w:r w:rsidRPr="00EF75C7">
          <w:rPr>
            <w:rStyle w:val="Hyperlink"/>
            <w:lang w:val="ru-RU"/>
          </w:rPr>
          <w:t>.</w:t>
        </w:r>
        <w:proofErr w:type="spellStart"/>
        <w:r w:rsidRPr="00C32127">
          <w:rPr>
            <w:rStyle w:val="Hyperlink"/>
          </w:rPr>
          <w:t>jsp</w:t>
        </w:r>
        <w:proofErr w:type="spellEnd"/>
        <w:r w:rsidRPr="00EF75C7">
          <w:rPr>
            <w:rStyle w:val="Hyperlink"/>
            <w:lang w:val="ru-RU"/>
          </w:rPr>
          <w:t>?</w:t>
        </w:r>
        <w:r w:rsidRPr="00C32127">
          <w:rPr>
            <w:rStyle w:val="Hyperlink"/>
          </w:rPr>
          <w:t>doc</w:t>
        </w:r>
        <w:r w:rsidRPr="00EF75C7">
          <w:rPr>
            <w:rStyle w:val="Hyperlink"/>
            <w:lang w:val="ru-RU"/>
          </w:rPr>
          <w:t>_</w:t>
        </w:r>
        <w:r w:rsidRPr="00C32127">
          <w:rPr>
            <w:rStyle w:val="Hyperlink"/>
          </w:rPr>
          <w:t>id</w:t>
        </w:r>
        <w:r w:rsidRPr="00EF75C7">
          <w:rPr>
            <w:rStyle w:val="Hyperlink"/>
            <w:lang w:val="ru-RU"/>
          </w:rPr>
          <w:t>=237526</w:t>
        </w:r>
      </w:hyperlink>
      <w:r w:rsidRPr="00EF75C7">
        <w:rPr>
          <w:lang w:val="ru-RU"/>
        </w:rPr>
        <w:t>.</w:t>
      </w:r>
    </w:p>
  </w:footnote>
  <w:footnote w:id="3">
    <w:p w:rsidR="004069E6" w:rsidRPr="00B16FFE" w:rsidRDefault="004069E6" w:rsidP="000866E8">
      <w:pPr>
        <w:pStyle w:val="FootnoteText"/>
        <w:rPr>
          <w:lang w:val="ru-RU"/>
        </w:rPr>
      </w:pPr>
      <w:r>
        <w:rPr>
          <w:rStyle w:val="FootnoteReference"/>
        </w:rPr>
        <w:footnoteRef/>
      </w:r>
      <w:r>
        <w:t xml:space="preserve"> </w:t>
      </w:r>
      <w:r>
        <w:rPr>
          <w:lang w:val="ru-RU"/>
        </w:rPr>
        <w:t>См</w:t>
      </w:r>
      <w:r w:rsidRPr="001A5DCA">
        <w:t>.</w:t>
      </w:r>
      <w:r>
        <w:t xml:space="preserve"> </w:t>
      </w:r>
      <w:r>
        <w:rPr>
          <w:noProof/>
        </w:rPr>
        <w:t xml:space="preserve">ROTHWELL, R. &amp; GARDINER, P. 1983. The role of design in product and process change. </w:t>
      </w:r>
      <w:r w:rsidRPr="00FD75BE">
        <w:rPr>
          <w:i/>
          <w:noProof/>
        </w:rPr>
        <w:t>Design Studies,</w:t>
      </w:r>
      <w:r>
        <w:rPr>
          <w:noProof/>
        </w:rPr>
        <w:t xml:space="preserve"> 4</w:t>
      </w:r>
      <w:r w:rsidRPr="00FD75BE">
        <w:rPr>
          <w:b/>
          <w:noProof/>
        </w:rPr>
        <w:t>,</w:t>
      </w:r>
      <w:r>
        <w:rPr>
          <w:noProof/>
        </w:rPr>
        <w:t xml:space="preserve"> 161-169, CREUSEN, M. E. &amp; SCHOORMANS, J. P. 2005. The different roles of product appearance in consumer choice. </w:t>
      </w:r>
      <w:r w:rsidRPr="00FD75BE">
        <w:rPr>
          <w:i/>
          <w:noProof/>
        </w:rPr>
        <w:t>Journal of Product Innovation Management,</w:t>
      </w:r>
      <w:r>
        <w:rPr>
          <w:noProof/>
        </w:rPr>
        <w:t xml:space="preserve"> 22</w:t>
      </w:r>
      <w:r w:rsidRPr="00FD75BE">
        <w:rPr>
          <w:b/>
          <w:noProof/>
        </w:rPr>
        <w:t>,</w:t>
      </w:r>
      <w:r>
        <w:rPr>
          <w:noProof/>
        </w:rPr>
        <w:t xml:space="preserve"> 63-81, VERYZER, R. W. &amp; BORJA DE MOZOTA, B. 2005. The impact of user</w:t>
      </w:r>
      <w:r>
        <w:rPr>
          <w:rFonts w:ascii="Cambria Math" w:hAnsi="Cambria Math" w:cs="Cambria Math"/>
          <w:noProof/>
        </w:rPr>
        <w:t>‐</w:t>
      </w:r>
      <w:r>
        <w:rPr>
          <w:noProof/>
        </w:rPr>
        <w:t xml:space="preserve">oriented design on new product development: An examination of fundamental relationships. </w:t>
      </w:r>
      <w:r w:rsidRPr="00FD75BE">
        <w:rPr>
          <w:i/>
          <w:noProof/>
        </w:rPr>
        <w:t>Journal</w:t>
      </w:r>
      <w:r w:rsidRPr="00B16FFE">
        <w:rPr>
          <w:i/>
          <w:noProof/>
          <w:lang w:val="ru-RU"/>
        </w:rPr>
        <w:t xml:space="preserve"> </w:t>
      </w:r>
      <w:r w:rsidRPr="00FD75BE">
        <w:rPr>
          <w:i/>
          <w:noProof/>
        </w:rPr>
        <w:t>of</w:t>
      </w:r>
      <w:r w:rsidRPr="00B16FFE">
        <w:rPr>
          <w:i/>
          <w:noProof/>
          <w:lang w:val="ru-RU"/>
        </w:rPr>
        <w:t xml:space="preserve"> </w:t>
      </w:r>
      <w:r w:rsidRPr="00FD75BE">
        <w:rPr>
          <w:i/>
          <w:noProof/>
        </w:rPr>
        <w:t>Product</w:t>
      </w:r>
      <w:r w:rsidRPr="00B16FFE">
        <w:rPr>
          <w:i/>
          <w:noProof/>
          <w:lang w:val="ru-RU"/>
        </w:rPr>
        <w:t xml:space="preserve"> </w:t>
      </w:r>
      <w:r w:rsidRPr="00FD75BE">
        <w:rPr>
          <w:i/>
          <w:noProof/>
        </w:rPr>
        <w:t>Innovation</w:t>
      </w:r>
      <w:r w:rsidRPr="00B16FFE">
        <w:rPr>
          <w:i/>
          <w:noProof/>
          <w:lang w:val="ru-RU"/>
        </w:rPr>
        <w:t xml:space="preserve"> </w:t>
      </w:r>
      <w:r w:rsidRPr="00FD75BE">
        <w:rPr>
          <w:i/>
          <w:noProof/>
        </w:rPr>
        <w:t>Management</w:t>
      </w:r>
      <w:r w:rsidRPr="00B16FFE">
        <w:rPr>
          <w:i/>
          <w:noProof/>
          <w:lang w:val="ru-RU"/>
        </w:rPr>
        <w:t>,</w:t>
      </w:r>
      <w:r w:rsidRPr="00B16FFE">
        <w:rPr>
          <w:noProof/>
          <w:lang w:val="ru-RU"/>
        </w:rPr>
        <w:t xml:space="preserve"> 22</w:t>
      </w:r>
      <w:r w:rsidRPr="00B16FFE">
        <w:rPr>
          <w:b/>
          <w:noProof/>
          <w:lang w:val="ru-RU"/>
        </w:rPr>
        <w:t>,</w:t>
      </w:r>
      <w:r w:rsidRPr="00B16FFE">
        <w:rPr>
          <w:noProof/>
          <w:lang w:val="ru-RU"/>
        </w:rPr>
        <w:t xml:space="preserve"> 128-143.</w:t>
      </w:r>
    </w:p>
  </w:footnote>
  <w:footnote w:id="4">
    <w:p w:rsidR="004069E6" w:rsidRPr="001A5DCA" w:rsidRDefault="004069E6" w:rsidP="000866E8">
      <w:pPr>
        <w:pStyle w:val="FootnoteText"/>
        <w:rPr>
          <w:lang w:val="ru-RU"/>
        </w:rPr>
      </w:pPr>
      <w:r>
        <w:rPr>
          <w:rStyle w:val="FootnoteReference"/>
        </w:rPr>
        <w:footnoteRef/>
      </w:r>
      <w:r w:rsidRPr="001A5DCA">
        <w:rPr>
          <w:lang w:val="ru-RU"/>
        </w:rPr>
        <w:t xml:space="preserve"> </w:t>
      </w:r>
      <w:r w:rsidRPr="001A5DCA">
        <w:rPr>
          <w:lang w:val="ru-RU"/>
        </w:rPr>
        <w:t>Эти три страны были выбраны на основании числа подаваемых в них заявок на регистрацию ПО и наличия в этих странах регистрирующей базы данных.</w:t>
      </w:r>
    </w:p>
  </w:footnote>
  <w:footnote w:id="5">
    <w:p w:rsidR="004069E6" w:rsidRPr="00D371CE" w:rsidRDefault="004069E6" w:rsidP="000866E8">
      <w:pPr>
        <w:pStyle w:val="FootnoteText"/>
        <w:rPr>
          <w:lang w:val="ru-RU"/>
        </w:rPr>
      </w:pPr>
      <w:r>
        <w:rPr>
          <w:rStyle w:val="FootnoteReference"/>
        </w:rPr>
        <w:footnoteRef/>
      </w:r>
      <w:r w:rsidRPr="00D371CE">
        <w:rPr>
          <w:lang w:val="ru-RU"/>
        </w:rPr>
        <w:t xml:space="preserve"> </w:t>
      </w:r>
      <w:r>
        <w:rPr>
          <w:lang w:val="ru-RU"/>
        </w:rPr>
        <w:t>См</w:t>
      </w:r>
      <w:r w:rsidRPr="00D371CE">
        <w:rPr>
          <w:lang w:val="ru-RU"/>
        </w:rPr>
        <w:t>.</w:t>
      </w:r>
      <w:r>
        <w:rPr>
          <w:lang w:val="ru-RU"/>
        </w:rPr>
        <w:t xml:space="preserve"> </w:t>
      </w:r>
      <w:r>
        <w:rPr>
          <w:lang w:val="ru-RU"/>
        </w:rPr>
        <w:t>документы</w:t>
      </w:r>
      <w:r w:rsidRPr="00D371CE">
        <w:rPr>
          <w:lang w:val="ru-RU"/>
        </w:rPr>
        <w:t xml:space="preserve"> </w:t>
      </w:r>
      <w:r>
        <w:rPr>
          <w:lang w:val="ru-RU"/>
        </w:rPr>
        <w:t>ВОИС</w:t>
      </w:r>
      <w:r w:rsidRPr="00D371CE">
        <w:rPr>
          <w:lang w:val="ru-RU"/>
        </w:rPr>
        <w:t xml:space="preserve"> </w:t>
      </w:r>
      <w:r w:rsidRPr="0081205A">
        <w:t>CDIP</w:t>
      </w:r>
      <w:r w:rsidRPr="00D371CE">
        <w:rPr>
          <w:lang w:val="ru-RU"/>
        </w:rPr>
        <w:t>/12/</w:t>
      </w:r>
      <w:r w:rsidRPr="0081205A">
        <w:t>INF</w:t>
      </w:r>
      <w:r w:rsidRPr="00D371CE">
        <w:rPr>
          <w:lang w:val="ru-RU"/>
        </w:rPr>
        <w:t xml:space="preserve">/6 </w:t>
      </w:r>
      <w:r>
        <w:rPr>
          <w:lang w:val="ru-RU"/>
        </w:rPr>
        <w:t>и</w:t>
      </w:r>
      <w:r w:rsidRPr="00D371CE">
        <w:rPr>
          <w:lang w:val="ru-RU"/>
        </w:rPr>
        <w:t xml:space="preserve"> </w:t>
      </w:r>
      <w:r w:rsidRPr="0081205A">
        <w:t>CDIP</w:t>
      </w:r>
      <w:r w:rsidRPr="00D371CE">
        <w:rPr>
          <w:lang w:val="ru-RU"/>
        </w:rPr>
        <w:t>/14/</w:t>
      </w:r>
      <w:r w:rsidRPr="0081205A">
        <w:t>INF</w:t>
      </w:r>
      <w:r w:rsidRPr="00D371CE">
        <w:rPr>
          <w:lang w:val="ru-RU"/>
        </w:rPr>
        <w:t xml:space="preserve">/4 </w:t>
      </w:r>
      <w:r>
        <w:rPr>
          <w:lang w:val="ru-RU"/>
        </w:rPr>
        <w:t>доступные он-лайн на странице по адресу</w:t>
      </w:r>
      <w:r w:rsidRPr="00D371CE">
        <w:rPr>
          <w:lang w:val="ru-RU"/>
        </w:rPr>
        <w:t xml:space="preserve"> </w:t>
      </w:r>
      <w:hyperlink r:id="rId2" w:history="1">
        <w:r w:rsidRPr="00C32127">
          <w:rPr>
            <w:rStyle w:val="Hyperlink"/>
          </w:rPr>
          <w:t>http</w:t>
        </w:r>
        <w:r w:rsidRPr="00D371CE">
          <w:rPr>
            <w:rStyle w:val="Hyperlink"/>
            <w:lang w:val="ru-RU"/>
          </w:rPr>
          <w:t>://</w:t>
        </w:r>
        <w:r w:rsidRPr="00C32127">
          <w:rPr>
            <w:rStyle w:val="Hyperlink"/>
          </w:rPr>
          <w:t>www</w:t>
        </w:r>
        <w:r w:rsidRPr="00D371CE">
          <w:rPr>
            <w:rStyle w:val="Hyperlink"/>
            <w:lang w:val="ru-RU"/>
          </w:rPr>
          <w:t>.</w:t>
        </w:r>
        <w:r w:rsidRPr="00C32127">
          <w:rPr>
            <w:rStyle w:val="Hyperlink"/>
          </w:rPr>
          <w:t>wipo</w:t>
        </w:r>
        <w:r w:rsidRPr="00D371CE">
          <w:rPr>
            <w:rStyle w:val="Hyperlink"/>
            <w:lang w:val="ru-RU"/>
          </w:rPr>
          <w:t>.</w:t>
        </w:r>
        <w:r w:rsidRPr="00C32127">
          <w:rPr>
            <w:rStyle w:val="Hyperlink"/>
          </w:rPr>
          <w:t>int</w:t>
        </w:r>
        <w:r w:rsidRPr="00D371CE">
          <w:rPr>
            <w:rStyle w:val="Hyperlink"/>
            <w:lang w:val="ru-RU"/>
          </w:rPr>
          <w:t>/</w:t>
        </w:r>
        <w:r w:rsidRPr="00C32127">
          <w:rPr>
            <w:rStyle w:val="Hyperlink"/>
          </w:rPr>
          <w:t>meetings</w:t>
        </w:r>
        <w:r w:rsidRPr="00D371CE">
          <w:rPr>
            <w:rStyle w:val="Hyperlink"/>
            <w:lang w:val="ru-RU"/>
          </w:rPr>
          <w:t>/</w:t>
        </w:r>
        <w:r w:rsidRPr="00C32127">
          <w:rPr>
            <w:rStyle w:val="Hyperlink"/>
          </w:rPr>
          <w:t>en</w:t>
        </w:r>
        <w:r w:rsidRPr="00D371CE">
          <w:rPr>
            <w:rStyle w:val="Hyperlink"/>
            <w:lang w:val="ru-RU"/>
          </w:rPr>
          <w:t>/</w:t>
        </w:r>
        <w:r w:rsidRPr="00C32127">
          <w:rPr>
            <w:rStyle w:val="Hyperlink"/>
          </w:rPr>
          <w:t>doc</w:t>
        </w:r>
        <w:r w:rsidRPr="00D371CE">
          <w:rPr>
            <w:rStyle w:val="Hyperlink"/>
            <w:lang w:val="ru-RU"/>
          </w:rPr>
          <w:t>_</w:t>
        </w:r>
        <w:r w:rsidRPr="00C32127">
          <w:rPr>
            <w:rStyle w:val="Hyperlink"/>
          </w:rPr>
          <w:t>details</w:t>
        </w:r>
        <w:r w:rsidRPr="00D371CE">
          <w:rPr>
            <w:rStyle w:val="Hyperlink"/>
            <w:lang w:val="ru-RU"/>
          </w:rPr>
          <w:t>.</w:t>
        </w:r>
        <w:r w:rsidRPr="00C32127">
          <w:rPr>
            <w:rStyle w:val="Hyperlink"/>
          </w:rPr>
          <w:t>jsp</w:t>
        </w:r>
        <w:r w:rsidRPr="00D371CE">
          <w:rPr>
            <w:rStyle w:val="Hyperlink"/>
            <w:lang w:val="ru-RU"/>
          </w:rPr>
          <w:t>?</w:t>
        </w:r>
        <w:r w:rsidRPr="00C32127">
          <w:rPr>
            <w:rStyle w:val="Hyperlink"/>
          </w:rPr>
          <w:t>doc</w:t>
        </w:r>
        <w:r w:rsidRPr="00D371CE">
          <w:rPr>
            <w:rStyle w:val="Hyperlink"/>
            <w:lang w:val="ru-RU"/>
          </w:rPr>
          <w:t>_</w:t>
        </w:r>
        <w:r w:rsidRPr="00C32127">
          <w:rPr>
            <w:rStyle w:val="Hyperlink"/>
          </w:rPr>
          <w:t>id</w:t>
        </w:r>
        <w:r w:rsidRPr="00D371CE">
          <w:rPr>
            <w:rStyle w:val="Hyperlink"/>
            <w:lang w:val="ru-RU"/>
          </w:rPr>
          <w:t>=253571</w:t>
        </w:r>
      </w:hyperlink>
      <w:r w:rsidRPr="00D371CE">
        <w:rPr>
          <w:lang w:val="ru-RU"/>
        </w:rPr>
        <w:t xml:space="preserve">, </w:t>
      </w:r>
      <w:r>
        <w:rPr>
          <w:lang w:val="ru-RU"/>
        </w:rPr>
        <w:t>и</w:t>
      </w:r>
      <w:r w:rsidRPr="00D371CE">
        <w:rPr>
          <w:lang w:val="ru-RU"/>
        </w:rPr>
        <w:t xml:space="preserve"> </w:t>
      </w:r>
      <w:hyperlink r:id="rId3" w:history="1">
        <w:r w:rsidRPr="00C32127">
          <w:rPr>
            <w:rStyle w:val="Hyperlink"/>
          </w:rPr>
          <w:t>http</w:t>
        </w:r>
        <w:r w:rsidRPr="00D371CE">
          <w:rPr>
            <w:rStyle w:val="Hyperlink"/>
            <w:lang w:val="ru-RU"/>
          </w:rPr>
          <w:t>://</w:t>
        </w:r>
        <w:r w:rsidRPr="00C32127">
          <w:rPr>
            <w:rStyle w:val="Hyperlink"/>
          </w:rPr>
          <w:t>www</w:t>
        </w:r>
        <w:r w:rsidRPr="00D371CE">
          <w:rPr>
            <w:rStyle w:val="Hyperlink"/>
            <w:lang w:val="ru-RU"/>
          </w:rPr>
          <w:t>.</w:t>
        </w:r>
        <w:r w:rsidRPr="00C32127">
          <w:rPr>
            <w:rStyle w:val="Hyperlink"/>
          </w:rPr>
          <w:t>wipo</w:t>
        </w:r>
        <w:r w:rsidRPr="00D371CE">
          <w:rPr>
            <w:rStyle w:val="Hyperlink"/>
            <w:lang w:val="ru-RU"/>
          </w:rPr>
          <w:t>.</w:t>
        </w:r>
        <w:r w:rsidRPr="00C32127">
          <w:rPr>
            <w:rStyle w:val="Hyperlink"/>
          </w:rPr>
          <w:t>int</w:t>
        </w:r>
        <w:r w:rsidRPr="00D371CE">
          <w:rPr>
            <w:rStyle w:val="Hyperlink"/>
            <w:lang w:val="ru-RU"/>
          </w:rPr>
          <w:t>/</w:t>
        </w:r>
        <w:r w:rsidRPr="00C32127">
          <w:rPr>
            <w:rStyle w:val="Hyperlink"/>
          </w:rPr>
          <w:t>meetings</w:t>
        </w:r>
        <w:r w:rsidRPr="00D371CE">
          <w:rPr>
            <w:rStyle w:val="Hyperlink"/>
            <w:lang w:val="ru-RU"/>
          </w:rPr>
          <w:t>/</w:t>
        </w:r>
        <w:r w:rsidRPr="00C32127">
          <w:rPr>
            <w:rStyle w:val="Hyperlink"/>
          </w:rPr>
          <w:t>en</w:t>
        </w:r>
        <w:r w:rsidRPr="00D371CE">
          <w:rPr>
            <w:rStyle w:val="Hyperlink"/>
            <w:lang w:val="ru-RU"/>
          </w:rPr>
          <w:t>/</w:t>
        </w:r>
        <w:r w:rsidRPr="00C32127">
          <w:rPr>
            <w:rStyle w:val="Hyperlink"/>
          </w:rPr>
          <w:t>doc</w:t>
        </w:r>
        <w:r w:rsidRPr="00D371CE">
          <w:rPr>
            <w:rStyle w:val="Hyperlink"/>
            <w:lang w:val="ru-RU"/>
          </w:rPr>
          <w:t>_</w:t>
        </w:r>
        <w:r w:rsidRPr="00C32127">
          <w:rPr>
            <w:rStyle w:val="Hyperlink"/>
          </w:rPr>
          <w:t>details</w:t>
        </w:r>
        <w:r w:rsidRPr="00D371CE">
          <w:rPr>
            <w:rStyle w:val="Hyperlink"/>
            <w:lang w:val="ru-RU"/>
          </w:rPr>
          <w:t>.</w:t>
        </w:r>
        <w:r w:rsidRPr="00C32127">
          <w:rPr>
            <w:rStyle w:val="Hyperlink"/>
          </w:rPr>
          <w:t>jsp</w:t>
        </w:r>
        <w:r w:rsidRPr="00D371CE">
          <w:rPr>
            <w:rStyle w:val="Hyperlink"/>
            <w:lang w:val="ru-RU"/>
          </w:rPr>
          <w:t>?</w:t>
        </w:r>
        <w:r w:rsidRPr="00C32127">
          <w:rPr>
            <w:rStyle w:val="Hyperlink"/>
          </w:rPr>
          <w:t>doc</w:t>
        </w:r>
        <w:r w:rsidRPr="00D371CE">
          <w:rPr>
            <w:rStyle w:val="Hyperlink"/>
            <w:lang w:val="ru-RU"/>
          </w:rPr>
          <w:t>_</w:t>
        </w:r>
        <w:r w:rsidRPr="00C32127">
          <w:rPr>
            <w:rStyle w:val="Hyperlink"/>
          </w:rPr>
          <w:t>id</w:t>
        </w:r>
        <w:r w:rsidRPr="00D371CE">
          <w:rPr>
            <w:rStyle w:val="Hyperlink"/>
            <w:lang w:val="ru-RU"/>
          </w:rPr>
          <w:t>=286176</w:t>
        </w:r>
      </w:hyperlink>
      <w:r w:rsidRPr="00D371CE">
        <w:rPr>
          <w:lang w:val="ru-RU"/>
        </w:rPr>
        <w:t xml:space="preserve">, </w:t>
      </w:r>
      <w:r>
        <w:rPr>
          <w:lang w:val="ru-RU"/>
        </w:rPr>
        <w:t>соответственно</w:t>
      </w:r>
      <w:r w:rsidRPr="00D371CE">
        <w:rPr>
          <w:lang w:val="ru-RU"/>
        </w:rPr>
        <w:t>.</w:t>
      </w:r>
    </w:p>
  </w:footnote>
  <w:footnote w:id="6">
    <w:p w:rsidR="004069E6" w:rsidRPr="00F55E72" w:rsidRDefault="004069E6" w:rsidP="000866E8">
      <w:pPr>
        <w:pStyle w:val="FootnoteText"/>
        <w:rPr>
          <w:lang w:val="ru-RU"/>
        </w:rPr>
      </w:pPr>
      <w:r>
        <w:rPr>
          <w:rStyle w:val="FootnoteReference"/>
        </w:rPr>
        <w:footnoteRef/>
      </w:r>
      <w:r w:rsidRPr="0010798E">
        <w:rPr>
          <w:lang w:val="ru-RU"/>
        </w:rPr>
        <w:t xml:space="preserve"> </w:t>
      </w:r>
      <w:r w:rsidR="0010798E" w:rsidRPr="0010798E">
        <w:rPr>
          <w:lang w:val="ru-RU"/>
        </w:rPr>
        <w:t xml:space="preserve">Для </w:t>
      </w:r>
      <w:r w:rsidR="0010798E" w:rsidRPr="0010798E">
        <w:t>DGIP</w:t>
      </w:r>
      <w:r w:rsidR="0010798E" w:rsidRPr="0010798E">
        <w:rPr>
          <w:lang w:val="ru-RU"/>
        </w:rPr>
        <w:t xml:space="preserve">, </w:t>
      </w:r>
      <w:r w:rsidR="0010798E" w:rsidRPr="0010798E">
        <w:t>IPOPHL</w:t>
      </w:r>
      <w:r w:rsidR="0010798E" w:rsidRPr="0010798E">
        <w:rPr>
          <w:lang w:val="ru-RU"/>
        </w:rPr>
        <w:t xml:space="preserve"> и ДИС были подготовлены три отдельных национальных доклада. Кроме того, было подготовлено руководство с подробным описанием того, как был разработан и внедрен инструментарий для проведения </w:t>
      </w:r>
      <w:r w:rsidR="0014162C">
        <w:rPr>
          <w:lang w:val="ru-RU"/>
        </w:rPr>
        <w:t>обследования</w:t>
      </w:r>
      <w:r w:rsidR="0010798E" w:rsidRPr="0010798E">
        <w:rPr>
          <w:lang w:val="ru-RU"/>
        </w:rPr>
        <w:t>, с тем чтобы другие исследователи могли провести такое же исследование в своих странах</w:t>
      </w:r>
      <w:r w:rsidRPr="0010798E">
        <w:rPr>
          <w:lang w:val="ru-RU"/>
        </w:rPr>
        <w:t xml:space="preserve">.  </w:t>
      </w:r>
      <w:r w:rsidR="00F55E72">
        <w:rPr>
          <w:lang w:val="ru-RU"/>
        </w:rPr>
        <w:t>Эти</w:t>
      </w:r>
      <w:r w:rsidR="00F55E72" w:rsidRPr="00F55E72">
        <w:rPr>
          <w:lang w:val="ru-RU"/>
        </w:rPr>
        <w:t xml:space="preserve"> </w:t>
      </w:r>
      <w:r w:rsidR="00F55E72">
        <w:rPr>
          <w:lang w:val="ru-RU"/>
        </w:rPr>
        <w:t>четыре</w:t>
      </w:r>
      <w:r w:rsidR="00F55E72" w:rsidRPr="00F55E72">
        <w:rPr>
          <w:lang w:val="ru-RU"/>
        </w:rPr>
        <w:t xml:space="preserve"> </w:t>
      </w:r>
      <w:r w:rsidR="00F55E72">
        <w:rPr>
          <w:lang w:val="ru-RU"/>
        </w:rPr>
        <w:t>документа</w:t>
      </w:r>
      <w:r w:rsidR="00F55E72" w:rsidRPr="00F55E72">
        <w:rPr>
          <w:lang w:val="ru-RU"/>
        </w:rPr>
        <w:t xml:space="preserve"> </w:t>
      </w:r>
      <w:r w:rsidR="00F55E72">
        <w:rPr>
          <w:lang w:val="ru-RU"/>
        </w:rPr>
        <w:t>будут</w:t>
      </w:r>
      <w:r w:rsidR="00F55E72" w:rsidRPr="00F55E72">
        <w:rPr>
          <w:lang w:val="ru-RU"/>
        </w:rPr>
        <w:t xml:space="preserve"> </w:t>
      </w:r>
      <w:r w:rsidR="00F55E72">
        <w:rPr>
          <w:lang w:val="ru-RU"/>
        </w:rPr>
        <w:t>доступны</w:t>
      </w:r>
      <w:r w:rsidR="00F55E72" w:rsidRPr="00F55E72">
        <w:rPr>
          <w:lang w:val="ru-RU"/>
        </w:rPr>
        <w:t xml:space="preserve"> </w:t>
      </w:r>
      <w:r w:rsidR="00F55E72">
        <w:rPr>
          <w:lang w:val="ru-RU"/>
        </w:rPr>
        <w:t>для</w:t>
      </w:r>
      <w:r w:rsidR="00F55E72" w:rsidRPr="00F55E72">
        <w:rPr>
          <w:lang w:val="ru-RU"/>
        </w:rPr>
        <w:t xml:space="preserve"> </w:t>
      </w:r>
      <w:r w:rsidR="00F55E72">
        <w:rPr>
          <w:lang w:val="ru-RU"/>
        </w:rPr>
        <w:t>скачивания</w:t>
      </w:r>
      <w:r w:rsidR="00F55E72" w:rsidRPr="00F55E72">
        <w:rPr>
          <w:lang w:val="ru-RU"/>
        </w:rPr>
        <w:t xml:space="preserve"> </w:t>
      </w:r>
      <w:r w:rsidR="00F55E72">
        <w:rPr>
          <w:lang w:val="ru-RU"/>
        </w:rPr>
        <w:t>на</w:t>
      </w:r>
      <w:r w:rsidR="00F55E72" w:rsidRPr="00F55E72">
        <w:rPr>
          <w:lang w:val="ru-RU"/>
        </w:rPr>
        <w:t xml:space="preserve"> </w:t>
      </w:r>
      <w:r w:rsidR="00F55E72">
        <w:rPr>
          <w:lang w:val="ru-RU"/>
        </w:rPr>
        <w:t>веб</w:t>
      </w:r>
      <w:r w:rsidR="00F55E72" w:rsidRPr="00F55E72">
        <w:rPr>
          <w:lang w:val="ru-RU"/>
        </w:rPr>
        <w:t>-</w:t>
      </w:r>
      <w:r w:rsidR="00F55E72">
        <w:rPr>
          <w:lang w:val="ru-RU"/>
        </w:rPr>
        <w:t>сайте</w:t>
      </w:r>
      <w:r w:rsidR="00F55E72" w:rsidRPr="00F55E72">
        <w:rPr>
          <w:lang w:val="ru-RU"/>
        </w:rPr>
        <w:t xml:space="preserve"> </w:t>
      </w:r>
      <w:r w:rsidR="00AD5554">
        <w:rPr>
          <w:lang w:val="ru-RU"/>
        </w:rPr>
        <w:t xml:space="preserve">ОЭС </w:t>
      </w:r>
      <w:r w:rsidR="00F55E72">
        <w:rPr>
          <w:lang w:val="ru-RU"/>
        </w:rPr>
        <w:t>ВОИС</w:t>
      </w:r>
      <w:r w:rsidR="00F55E72" w:rsidRPr="00F55E72">
        <w:rPr>
          <w:lang w:val="ru-RU"/>
        </w:rPr>
        <w:t xml:space="preserve"> </w:t>
      </w:r>
      <w:r w:rsidR="00F55E72">
        <w:rPr>
          <w:lang w:val="ru-RU"/>
        </w:rPr>
        <w:t>по</w:t>
      </w:r>
      <w:r w:rsidR="00F55E72" w:rsidRPr="00F55E72">
        <w:rPr>
          <w:lang w:val="ru-RU"/>
        </w:rPr>
        <w:t xml:space="preserve"> </w:t>
      </w:r>
      <w:r w:rsidR="00F55E72">
        <w:rPr>
          <w:lang w:val="ru-RU"/>
        </w:rPr>
        <w:t>адресу</w:t>
      </w:r>
      <w:r w:rsidRPr="00F55E72">
        <w:rPr>
          <w:lang w:val="ru-RU"/>
        </w:rPr>
        <w:t xml:space="preserve">: </w:t>
      </w:r>
      <w:hyperlink r:id="rId4" w:history="1">
        <w:r w:rsidRPr="00E65030">
          <w:rPr>
            <w:rStyle w:val="Hyperlink"/>
          </w:rPr>
          <w:t>http</w:t>
        </w:r>
        <w:r w:rsidRPr="00F55E72">
          <w:rPr>
            <w:rStyle w:val="Hyperlink"/>
            <w:lang w:val="ru-RU"/>
          </w:rPr>
          <w:t>://</w:t>
        </w:r>
        <w:r w:rsidRPr="00E65030">
          <w:rPr>
            <w:rStyle w:val="Hyperlink"/>
          </w:rPr>
          <w:t>www</w:t>
        </w:r>
        <w:r w:rsidRPr="00F55E72">
          <w:rPr>
            <w:rStyle w:val="Hyperlink"/>
            <w:lang w:val="ru-RU"/>
          </w:rPr>
          <w:t>.</w:t>
        </w:r>
        <w:proofErr w:type="spellStart"/>
        <w:r w:rsidRPr="00E65030">
          <w:rPr>
            <w:rStyle w:val="Hyperlink"/>
          </w:rPr>
          <w:t>wipo</w:t>
        </w:r>
        <w:proofErr w:type="spellEnd"/>
        <w:r w:rsidRPr="00F55E72">
          <w:rPr>
            <w:rStyle w:val="Hyperlink"/>
            <w:lang w:val="ru-RU"/>
          </w:rPr>
          <w:t>.</w:t>
        </w:r>
        <w:proofErr w:type="spellStart"/>
        <w:r w:rsidRPr="00E65030">
          <w:rPr>
            <w:rStyle w:val="Hyperlink"/>
          </w:rPr>
          <w:t>int</w:t>
        </w:r>
        <w:proofErr w:type="spellEnd"/>
        <w:r w:rsidRPr="00F55E72">
          <w:rPr>
            <w:rStyle w:val="Hyperlink"/>
            <w:lang w:val="ru-RU"/>
          </w:rPr>
          <w:t>/</w:t>
        </w:r>
        <w:r w:rsidRPr="00E65030">
          <w:rPr>
            <w:rStyle w:val="Hyperlink"/>
          </w:rPr>
          <w:t>econ</w:t>
        </w:r>
        <w:r w:rsidRPr="00F55E72">
          <w:rPr>
            <w:rStyle w:val="Hyperlink"/>
            <w:lang w:val="ru-RU"/>
          </w:rPr>
          <w:t>_</w:t>
        </w:r>
        <w:r w:rsidRPr="00E65030">
          <w:rPr>
            <w:rStyle w:val="Hyperlink"/>
          </w:rPr>
          <w:t>stat</w:t>
        </w:r>
        <w:r w:rsidRPr="00F55E72">
          <w:rPr>
            <w:rStyle w:val="Hyperlink"/>
            <w:lang w:val="ru-RU"/>
          </w:rPr>
          <w:t>/</w:t>
        </w:r>
        <w:proofErr w:type="spellStart"/>
        <w:r w:rsidRPr="00E65030">
          <w:rPr>
            <w:rStyle w:val="Hyperlink"/>
          </w:rPr>
          <w:t>en</w:t>
        </w:r>
        <w:proofErr w:type="spellEnd"/>
        <w:r w:rsidRPr="00F55E72">
          <w:rPr>
            <w:rStyle w:val="Hyperlink"/>
            <w:lang w:val="ru-RU"/>
          </w:rPr>
          <w:t>/</w:t>
        </w:r>
        <w:r w:rsidRPr="00E65030">
          <w:rPr>
            <w:rStyle w:val="Hyperlink"/>
          </w:rPr>
          <w:t>economics</w:t>
        </w:r>
        <w:r w:rsidRPr="00F55E72">
          <w:rPr>
            <w:rStyle w:val="Hyperlink"/>
            <w:lang w:val="ru-RU"/>
          </w:rPr>
          <w:t>/</w:t>
        </w:r>
        <w:r w:rsidRPr="00E65030">
          <w:rPr>
            <w:rStyle w:val="Hyperlink"/>
          </w:rPr>
          <w:t>studies</w:t>
        </w:r>
      </w:hyperlink>
    </w:p>
  </w:footnote>
  <w:footnote w:id="7">
    <w:p w:rsidR="004069E6" w:rsidRPr="0058623E" w:rsidRDefault="004069E6" w:rsidP="000866E8">
      <w:pPr>
        <w:pStyle w:val="FootnoteText"/>
        <w:rPr>
          <w:lang w:val="ru-RU"/>
        </w:rPr>
      </w:pPr>
      <w:r>
        <w:rPr>
          <w:rStyle w:val="FootnoteReference"/>
        </w:rPr>
        <w:footnoteRef/>
      </w:r>
      <w:r w:rsidRPr="0058623E">
        <w:rPr>
          <w:lang w:val="ru-RU"/>
        </w:rPr>
        <w:t xml:space="preserve"> </w:t>
      </w:r>
      <w:r w:rsidR="0058623E">
        <w:rPr>
          <w:lang w:val="ru-RU"/>
        </w:rPr>
        <w:t>Неделя</w:t>
      </w:r>
      <w:r w:rsidR="0058623E" w:rsidRPr="0058623E">
        <w:rPr>
          <w:lang w:val="ru-RU"/>
        </w:rPr>
        <w:t xml:space="preserve"> </w:t>
      </w:r>
      <w:r w:rsidR="0058623E">
        <w:rPr>
          <w:lang w:val="ru-RU"/>
        </w:rPr>
        <w:t>дизайна</w:t>
      </w:r>
      <w:r w:rsidR="0058623E" w:rsidRPr="0058623E">
        <w:rPr>
          <w:lang w:val="ru-RU"/>
        </w:rPr>
        <w:t xml:space="preserve"> </w:t>
      </w:r>
      <w:r w:rsidR="0058623E">
        <w:rPr>
          <w:lang w:val="ru-RU"/>
        </w:rPr>
        <w:t>в</w:t>
      </w:r>
      <w:r w:rsidR="0058623E" w:rsidRPr="0058623E">
        <w:rPr>
          <w:lang w:val="ru-RU"/>
        </w:rPr>
        <w:t xml:space="preserve"> </w:t>
      </w:r>
      <w:r w:rsidR="0058623E">
        <w:rPr>
          <w:lang w:val="ru-RU"/>
        </w:rPr>
        <w:t>Милане</w:t>
      </w:r>
      <w:r w:rsidR="0058623E" w:rsidRPr="0058623E">
        <w:rPr>
          <w:lang w:val="ru-RU"/>
        </w:rPr>
        <w:t xml:space="preserve"> </w:t>
      </w:r>
      <w:r w:rsidRPr="0058623E">
        <w:rPr>
          <w:lang w:val="ru-RU"/>
        </w:rPr>
        <w:t xml:space="preserve">2016 </w:t>
      </w:r>
      <w:r w:rsidR="0058623E">
        <w:rPr>
          <w:lang w:val="ru-RU"/>
        </w:rPr>
        <w:t>и</w:t>
      </w:r>
      <w:r w:rsidR="0058623E" w:rsidRPr="0058623E">
        <w:rPr>
          <w:lang w:val="ru-RU"/>
        </w:rPr>
        <w:t xml:space="preserve"> </w:t>
      </w:r>
      <w:proofErr w:type="spellStart"/>
      <w:r w:rsidRPr="006A47E3">
        <w:rPr>
          <w:i/>
        </w:rPr>
        <w:t>Salone</w:t>
      </w:r>
      <w:proofErr w:type="spellEnd"/>
      <w:r w:rsidRPr="0058623E">
        <w:rPr>
          <w:i/>
          <w:lang w:val="ru-RU"/>
        </w:rPr>
        <w:t xml:space="preserve"> </w:t>
      </w:r>
      <w:r w:rsidRPr="006A47E3">
        <w:rPr>
          <w:i/>
        </w:rPr>
        <w:t>del</w:t>
      </w:r>
      <w:r w:rsidRPr="0058623E">
        <w:rPr>
          <w:i/>
          <w:lang w:val="ru-RU"/>
        </w:rPr>
        <w:t xml:space="preserve"> </w:t>
      </w:r>
      <w:r w:rsidRPr="006A47E3">
        <w:rPr>
          <w:i/>
        </w:rPr>
        <w:t>Mobile</w:t>
      </w:r>
      <w:r w:rsidRPr="0058623E">
        <w:rPr>
          <w:i/>
          <w:lang w:val="ru-RU"/>
        </w:rPr>
        <w:t xml:space="preserve"> 2016</w:t>
      </w:r>
      <w:r w:rsidR="0058623E" w:rsidRPr="0058623E">
        <w:rPr>
          <w:lang w:val="ru-RU"/>
        </w:rPr>
        <w:t xml:space="preserve">, </w:t>
      </w:r>
      <w:r w:rsidR="0058623E">
        <w:rPr>
          <w:lang w:val="ru-RU"/>
        </w:rPr>
        <w:t>проходившие</w:t>
      </w:r>
      <w:r w:rsidR="0058623E" w:rsidRPr="0058623E">
        <w:rPr>
          <w:lang w:val="ru-RU"/>
        </w:rPr>
        <w:t xml:space="preserve"> </w:t>
      </w:r>
      <w:r w:rsidR="008D02AE">
        <w:rPr>
          <w:lang w:val="ru-RU"/>
        </w:rPr>
        <w:t xml:space="preserve">14-17 апреля </w:t>
      </w:r>
      <w:r w:rsidR="008D02AE" w:rsidRPr="0058623E">
        <w:rPr>
          <w:lang w:val="ru-RU"/>
        </w:rPr>
        <w:t>2016</w:t>
      </w:r>
      <w:r w:rsidR="008D02AE">
        <w:rPr>
          <w:lang w:val="ru-RU"/>
        </w:rPr>
        <w:t xml:space="preserve"> г. </w:t>
      </w:r>
      <w:r w:rsidR="0058623E">
        <w:rPr>
          <w:lang w:val="ru-RU"/>
        </w:rPr>
        <w:t>в</w:t>
      </w:r>
      <w:r w:rsidR="0058623E" w:rsidRPr="0058623E">
        <w:rPr>
          <w:lang w:val="ru-RU"/>
        </w:rPr>
        <w:t xml:space="preserve"> </w:t>
      </w:r>
      <w:r w:rsidR="0058623E">
        <w:rPr>
          <w:lang w:val="ru-RU"/>
        </w:rPr>
        <w:t>Милане, Италия</w:t>
      </w:r>
      <w:r w:rsidR="008D02AE">
        <w:rPr>
          <w:lang w:val="ru-RU"/>
        </w:rPr>
        <w:t>.</w:t>
      </w:r>
    </w:p>
  </w:footnote>
  <w:footnote w:id="8">
    <w:p w:rsidR="004069E6" w:rsidRPr="00F10ECA" w:rsidRDefault="004069E6" w:rsidP="000866E8">
      <w:pPr>
        <w:pStyle w:val="FootnoteText"/>
      </w:pPr>
      <w:r>
        <w:rPr>
          <w:rStyle w:val="FootnoteReference"/>
        </w:rPr>
        <w:footnoteRef/>
      </w:r>
      <w:r>
        <w:t xml:space="preserve"> </w:t>
      </w:r>
      <w:r w:rsidR="00554453">
        <w:rPr>
          <w:lang w:val="ru-RU"/>
        </w:rPr>
        <w:t>Для</w:t>
      </w:r>
      <w:r w:rsidR="00554453" w:rsidRPr="00554453">
        <w:t xml:space="preserve"> </w:t>
      </w:r>
      <w:r w:rsidR="00554453">
        <w:rPr>
          <w:lang w:val="ru-RU"/>
        </w:rPr>
        <w:t>обзора</w:t>
      </w:r>
      <w:r w:rsidR="00554453" w:rsidRPr="00554453">
        <w:t xml:space="preserve"> </w:t>
      </w:r>
      <w:r w:rsidR="00554453">
        <w:rPr>
          <w:lang w:val="ru-RU"/>
        </w:rPr>
        <w:t>см</w:t>
      </w:r>
      <w:r w:rsidR="00554453" w:rsidRPr="00554453">
        <w:t xml:space="preserve">. </w:t>
      </w:r>
      <w:r w:rsidRPr="00FC3B75">
        <w:t xml:space="preserve">BERNARD, A. B., JENSEN, J. B., REDDING, S. J. &amp; SCHOTT, P. K. 2007. Firms in International Trade. </w:t>
      </w:r>
      <w:r w:rsidRPr="00FC3B75">
        <w:rPr>
          <w:i/>
        </w:rPr>
        <w:t>The Journal of Economic Perspectives,</w:t>
      </w:r>
      <w:r w:rsidRPr="00FC3B75">
        <w:t xml:space="preserve"> 21</w:t>
      </w:r>
      <w:r w:rsidRPr="00FC3B75">
        <w:rPr>
          <w:b/>
        </w:rPr>
        <w:t>,</w:t>
      </w:r>
      <w:r w:rsidRPr="00FC3B75">
        <w:t xml:space="preserve"> 105-130.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9E6" w:rsidRPr="00262966" w:rsidRDefault="004069E6" w:rsidP="00D27B33">
    <w:pPr>
      <w:tabs>
        <w:tab w:val="center" w:pos="4536"/>
        <w:tab w:val="right" w:pos="9072"/>
      </w:tabs>
      <w:jc w:val="right"/>
    </w:pPr>
    <w:r w:rsidRPr="00262966">
      <w:t>CDIP/20/</w:t>
    </w:r>
    <w:r w:rsidRPr="00262966">
      <w:rPr>
        <w:highlight w:val="yellow"/>
      </w:rPr>
      <w:t>X</w:t>
    </w:r>
  </w:p>
  <w:p w:rsidR="004069E6" w:rsidRDefault="004069E6" w:rsidP="00D27B33">
    <w:pPr>
      <w:tabs>
        <w:tab w:val="center" w:pos="4536"/>
        <w:tab w:val="right" w:pos="9072"/>
      </w:tabs>
      <w:jc w:val="right"/>
    </w:pPr>
    <w:r>
      <w:t>Annex</w:t>
    </w:r>
    <w:r w:rsidRPr="00262966">
      <w:t xml:space="preserve">, page </w:t>
    </w:r>
    <w:r w:rsidRPr="00262966">
      <w:fldChar w:fldCharType="begin"/>
    </w:r>
    <w:r w:rsidRPr="00262966">
      <w:instrText xml:space="preserve"> PAGE   \* MERGEFORMAT </w:instrText>
    </w:r>
    <w:r w:rsidRPr="00262966">
      <w:fldChar w:fldCharType="separate"/>
    </w:r>
    <w:r>
      <w:rPr>
        <w:noProof/>
      </w:rPr>
      <w:t>4</w:t>
    </w:r>
    <w:r w:rsidRPr="00262966">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9E6" w:rsidRPr="00170F30" w:rsidRDefault="004069E6" w:rsidP="00477D6B">
    <w:pPr>
      <w:jc w:val="right"/>
      <w:rPr>
        <w:lang w:val="ru-RU"/>
      </w:rPr>
    </w:pPr>
    <w:bookmarkStart w:id="8" w:name="Code2"/>
    <w:bookmarkEnd w:id="8"/>
    <w:r>
      <w:t>CDIP</w:t>
    </w:r>
    <w:r w:rsidRPr="00170F30">
      <w:rPr>
        <w:lang w:val="ru-RU"/>
      </w:rPr>
      <w:t>/22/</w:t>
    </w:r>
    <w:r>
      <w:t>INF</w:t>
    </w:r>
    <w:r w:rsidRPr="00170F30">
      <w:rPr>
        <w:lang w:val="ru-RU"/>
      </w:rPr>
      <w:t>/2</w:t>
    </w:r>
  </w:p>
  <w:p w:rsidR="004069E6" w:rsidRPr="00170F30" w:rsidRDefault="00170F30" w:rsidP="00477D6B">
    <w:pPr>
      <w:jc w:val="right"/>
      <w:rPr>
        <w:lang w:val="ru-RU"/>
      </w:rPr>
    </w:pPr>
    <w:r>
      <w:rPr>
        <w:lang w:val="ru-RU"/>
      </w:rPr>
      <w:t>Приложение</w:t>
    </w:r>
    <w:r w:rsidR="004069E6" w:rsidRPr="00170F30">
      <w:rPr>
        <w:lang w:val="ru-RU"/>
      </w:rPr>
      <w:t xml:space="preserve">, </w:t>
    </w:r>
    <w:r>
      <w:rPr>
        <w:lang w:val="ru-RU"/>
      </w:rPr>
      <w:t>стр.</w:t>
    </w:r>
    <w:r w:rsidR="004069E6" w:rsidRPr="00170F30">
      <w:rPr>
        <w:lang w:val="ru-RU"/>
      </w:rPr>
      <w:t xml:space="preserve"> </w:t>
    </w:r>
    <w:r w:rsidR="004069E6">
      <w:fldChar w:fldCharType="begin"/>
    </w:r>
    <w:r w:rsidR="004069E6" w:rsidRPr="00170F30">
      <w:rPr>
        <w:lang w:val="ru-RU"/>
      </w:rPr>
      <w:instrText xml:space="preserve"> </w:instrText>
    </w:r>
    <w:r w:rsidR="004069E6">
      <w:instrText>PAGE</w:instrText>
    </w:r>
    <w:r w:rsidR="004069E6" w:rsidRPr="00170F30">
      <w:rPr>
        <w:lang w:val="ru-RU"/>
      </w:rPr>
      <w:instrText xml:space="preserve">  \* </w:instrText>
    </w:r>
    <w:r w:rsidR="004069E6">
      <w:instrText>MERGEFORMAT</w:instrText>
    </w:r>
    <w:r w:rsidR="004069E6" w:rsidRPr="00170F30">
      <w:rPr>
        <w:lang w:val="ru-RU"/>
      </w:rPr>
      <w:instrText xml:space="preserve"> </w:instrText>
    </w:r>
    <w:r w:rsidR="004069E6">
      <w:fldChar w:fldCharType="separate"/>
    </w:r>
    <w:r w:rsidR="00E34EA9" w:rsidRPr="00E34EA9">
      <w:rPr>
        <w:noProof/>
        <w:lang w:val="ru-RU"/>
      </w:rPr>
      <w:t>7</w:t>
    </w:r>
    <w:r w:rsidR="004069E6">
      <w:fldChar w:fldCharType="end"/>
    </w:r>
  </w:p>
  <w:p w:rsidR="004069E6" w:rsidRPr="00170F30" w:rsidRDefault="004069E6" w:rsidP="00477D6B">
    <w:pPr>
      <w:jc w:val="right"/>
      <w:rPr>
        <w:lang w:val="ru-RU"/>
      </w:rPr>
    </w:pPr>
  </w:p>
  <w:p w:rsidR="004069E6" w:rsidRPr="00170F30" w:rsidRDefault="004069E6" w:rsidP="00477D6B">
    <w:pPr>
      <w:jc w:val="right"/>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9E6" w:rsidRDefault="004069E6" w:rsidP="00F27AD3">
    <w:pPr>
      <w:pStyle w:val="Header"/>
      <w:jc w:val="right"/>
    </w:pPr>
    <w:r>
      <w:t>CDIP/22/INF/2</w:t>
    </w:r>
  </w:p>
  <w:p w:rsidR="004069E6" w:rsidRDefault="006C0815" w:rsidP="0075279A">
    <w:pPr>
      <w:pStyle w:val="Header"/>
      <w:jc w:val="right"/>
    </w:pPr>
    <w:r>
      <w:rPr>
        <w:lang w:val="ru-RU"/>
      </w:rPr>
      <w:t>ПРИЛОЖЕНИЕ</w:t>
    </w:r>
  </w:p>
  <w:p w:rsidR="004069E6" w:rsidRDefault="004069E6" w:rsidP="0075279A">
    <w:pPr>
      <w:pStyle w:val="Header"/>
      <w:jc w:val="right"/>
    </w:pPr>
  </w:p>
  <w:p w:rsidR="004069E6" w:rsidRDefault="004069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3B76584"/>
    <w:multiLevelType w:val="hybridMultilevel"/>
    <w:tmpl w:val="8F2C0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ACF4AC1"/>
    <w:multiLevelType w:val="hybridMultilevel"/>
    <w:tmpl w:val="2C52C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780DE7"/>
    <w:multiLevelType w:val="hybridMultilevel"/>
    <w:tmpl w:val="006A6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3E5"/>
    <w:rsid w:val="00001E20"/>
    <w:rsid w:val="00010F29"/>
    <w:rsid w:val="0002419F"/>
    <w:rsid w:val="0002581B"/>
    <w:rsid w:val="00032290"/>
    <w:rsid w:val="00043CAA"/>
    <w:rsid w:val="00057B3A"/>
    <w:rsid w:val="0007282A"/>
    <w:rsid w:val="00075432"/>
    <w:rsid w:val="00076CDC"/>
    <w:rsid w:val="000866E8"/>
    <w:rsid w:val="000968ED"/>
    <w:rsid w:val="000D7E0E"/>
    <w:rsid w:val="000E08D2"/>
    <w:rsid w:val="000F5E56"/>
    <w:rsid w:val="0010798E"/>
    <w:rsid w:val="001228FC"/>
    <w:rsid w:val="00127BA7"/>
    <w:rsid w:val="001362EE"/>
    <w:rsid w:val="0014162C"/>
    <w:rsid w:val="001539F1"/>
    <w:rsid w:val="00164094"/>
    <w:rsid w:val="00170F30"/>
    <w:rsid w:val="001819A0"/>
    <w:rsid w:val="001832A6"/>
    <w:rsid w:val="001947FB"/>
    <w:rsid w:val="0019673A"/>
    <w:rsid w:val="001A3B04"/>
    <w:rsid w:val="001A5DCA"/>
    <w:rsid w:val="001B292E"/>
    <w:rsid w:val="001C6003"/>
    <w:rsid w:val="001D3977"/>
    <w:rsid w:val="0020428B"/>
    <w:rsid w:val="0021217E"/>
    <w:rsid w:val="00234BA1"/>
    <w:rsid w:val="00237A96"/>
    <w:rsid w:val="0024335E"/>
    <w:rsid w:val="002634C4"/>
    <w:rsid w:val="00263625"/>
    <w:rsid w:val="00266416"/>
    <w:rsid w:val="00284B3A"/>
    <w:rsid w:val="00286022"/>
    <w:rsid w:val="002928D3"/>
    <w:rsid w:val="002A184B"/>
    <w:rsid w:val="002B2FCD"/>
    <w:rsid w:val="002D2587"/>
    <w:rsid w:val="002D2F9B"/>
    <w:rsid w:val="002D7A93"/>
    <w:rsid w:val="002E0695"/>
    <w:rsid w:val="002E1D48"/>
    <w:rsid w:val="002E5D85"/>
    <w:rsid w:val="002F1FE6"/>
    <w:rsid w:val="002F319E"/>
    <w:rsid w:val="002F38B4"/>
    <w:rsid w:val="002F4770"/>
    <w:rsid w:val="002F4E68"/>
    <w:rsid w:val="00300080"/>
    <w:rsid w:val="00312F7F"/>
    <w:rsid w:val="00325192"/>
    <w:rsid w:val="003323C6"/>
    <w:rsid w:val="0035058A"/>
    <w:rsid w:val="00361450"/>
    <w:rsid w:val="00364BA8"/>
    <w:rsid w:val="003673CF"/>
    <w:rsid w:val="00370292"/>
    <w:rsid w:val="003845C1"/>
    <w:rsid w:val="003A61D4"/>
    <w:rsid w:val="003A6F89"/>
    <w:rsid w:val="003B0665"/>
    <w:rsid w:val="003B23B2"/>
    <w:rsid w:val="003B38C1"/>
    <w:rsid w:val="003C007F"/>
    <w:rsid w:val="003C04E4"/>
    <w:rsid w:val="003C3201"/>
    <w:rsid w:val="003C3C2C"/>
    <w:rsid w:val="00400D93"/>
    <w:rsid w:val="00403308"/>
    <w:rsid w:val="004069E6"/>
    <w:rsid w:val="00411564"/>
    <w:rsid w:val="00416122"/>
    <w:rsid w:val="00423E3E"/>
    <w:rsid w:val="00427AF4"/>
    <w:rsid w:val="00434100"/>
    <w:rsid w:val="00437735"/>
    <w:rsid w:val="0045081D"/>
    <w:rsid w:val="004647DA"/>
    <w:rsid w:val="00466791"/>
    <w:rsid w:val="00474062"/>
    <w:rsid w:val="00477D6B"/>
    <w:rsid w:val="00490508"/>
    <w:rsid w:val="004A56EB"/>
    <w:rsid w:val="004B06C8"/>
    <w:rsid w:val="004C6ECF"/>
    <w:rsid w:val="004D0F84"/>
    <w:rsid w:val="004D63AC"/>
    <w:rsid w:val="004D7103"/>
    <w:rsid w:val="004E285A"/>
    <w:rsid w:val="004E3B77"/>
    <w:rsid w:val="005019FF"/>
    <w:rsid w:val="00504D19"/>
    <w:rsid w:val="005109F6"/>
    <w:rsid w:val="00526FCB"/>
    <w:rsid w:val="0053057A"/>
    <w:rsid w:val="005314BD"/>
    <w:rsid w:val="0053674B"/>
    <w:rsid w:val="00544006"/>
    <w:rsid w:val="00554453"/>
    <w:rsid w:val="00560A29"/>
    <w:rsid w:val="005765D5"/>
    <w:rsid w:val="0058623E"/>
    <w:rsid w:val="00592E30"/>
    <w:rsid w:val="005A2795"/>
    <w:rsid w:val="005A5135"/>
    <w:rsid w:val="005B2E5D"/>
    <w:rsid w:val="005B38BC"/>
    <w:rsid w:val="005B5E73"/>
    <w:rsid w:val="005B615E"/>
    <w:rsid w:val="005C0134"/>
    <w:rsid w:val="005C5760"/>
    <w:rsid w:val="005C6649"/>
    <w:rsid w:val="005E238E"/>
    <w:rsid w:val="005E3F5F"/>
    <w:rsid w:val="005F10C3"/>
    <w:rsid w:val="00605827"/>
    <w:rsid w:val="0061075A"/>
    <w:rsid w:val="0061385A"/>
    <w:rsid w:val="006307C1"/>
    <w:rsid w:val="00646050"/>
    <w:rsid w:val="00650A29"/>
    <w:rsid w:val="006713CA"/>
    <w:rsid w:val="00676C5C"/>
    <w:rsid w:val="00677433"/>
    <w:rsid w:val="00677F76"/>
    <w:rsid w:val="00681466"/>
    <w:rsid w:val="00681C89"/>
    <w:rsid w:val="00681E81"/>
    <w:rsid w:val="0068282F"/>
    <w:rsid w:val="00693AC3"/>
    <w:rsid w:val="00696978"/>
    <w:rsid w:val="006A61E2"/>
    <w:rsid w:val="006C0815"/>
    <w:rsid w:val="006C0F15"/>
    <w:rsid w:val="006C1F3F"/>
    <w:rsid w:val="006C3BC7"/>
    <w:rsid w:val="006C408C"/>
    <w:rsid w:val="006D4309"/>
    <w:rsid w:val="006D4607"/>
    <w:rsid w:val="006D7790"/>
    <w:rsid w:val="006E2021"/>
    <w:rsid w:val="00700061"/>
    <w:rsid w:val="00704BF9"/>
    <w:rsid w:val="0071150D"/>
    <w:rsid w:val="00747BA4"/>
    <w:rsid w:val="0075279A"/>
    <w:rsid w:val="0076546A"/>
    <w:rsid w:val="00765F4B"/>
    <w:rsid w:val="00781F2D"/>
    <w:rsid w:val="0078248B"/>
    <w:rsid w:val="00794733"/>
    <w:rsid w:val="007B0395"/>
    <w:rsid w:val="007B2FFE"/>
    <w:rsid w:val="007C0109"/>
    <w:rsid w:val="007C2A77"/>
    <w:rsid w:val="007D1613"/>
    <w:rsid w:val="007E4C0E"/>
    <w:rsid w:val="007F66DD"/>
    <w:rsid w:val="007F724E"/>
    <w:rsid w:val="008009C7"/>
    <w:rsid w:val="0080406B"/>
    <w:rsid w:val="0081183B"/>
    <w:rsid w:val="00820FFE"/>
    <w:rsid w:val="00822288"/>
    <w:rsid w:val="0082660C"/>
    <w:rsid w:val="0083057A"/>
    <w:rsid w:val="00850CD1"/>
    <w:rsid w:val="00860903"/>
    <w:rsid w:val="00877C04"/>
    <w:rsid w:val="008844B1"/>
    <w:rsid w:val="0088713A"/>
    <w:rsid w:val="008B2CC1"/>
    <w:rsid w:val="008B60B2"/>
    <w:rsid w:val="008D02AE"/>
    <w:rsid w:val="008D0B33"/>
    <w:rsid w:val="008F090E"/>
    <w:rsid w:val="008F6C5B"/>
    <w:rsid w:val="009018D5"/>
    <w:rsid w:val="00905B90"/>
    <w:rsid w:val="0090731E"/>
    <w:rsid w:val="00916EE2"/>
    <w:rsid w:val="00920063"/>
    <w:rsid w:val="00920161"/>
    <w:rsid w:val="0092131F"/>
    <w:rsid w:val="00947232"/>
    <w:rsid w:val="00954F2F"/>
    <w:rsid w:val="00956492"/>
    <w:rsid w:val="00965555"/>
    <w:rsid w:val="00966A22"/>
    <w:rsid w:val="0096722F"/>
    <w:rsid w:val="00980843"/>
    <w:rsid w:val="009915D5"/>
    <w:rsid w:val="009A0A11"/>
    <w:rsid w:val="009C128F"/>
    <w:rsid w:val="009D0CCF"/>
    <w:rsid w:val="009D5218"/>
    <w:rsid w:val="009E2791"/>
    <w:rsid w:val="009E3F6F"/>
    <w:rsid w:val="009F013F"/>
    <w:rsid w:val="009F499F"/>
    <w:rsid w:val="009F667A"/>
    <w:rsid w:val="00A0096D"/>
    <w:rsid w:val="00A01E49"/>
    <w:rsid w:val="00A20351"/>
    <w:rsid w:val="00A31478"/>
    <w:rsid w:val="00A33B93"/>
    <w:rsid w:val="00A34E4A"/>
    <w:rsid w:val="00A42DAF"/>
    <w:rsid w:val="00A45BD8"/>
    <w:rsid w:val="00A659D4"/>
    <w:rsid w:val="00A81376"/>
    <w:rsid w:val="00A84657"/>
    <w:rsid w:val="00A869B7"/>
    <w:rsid w:val="00A90BAA"/>
    <w:rsid w:val="00AA0768"/>
    <w:rsid w:val="00AA4374"/>
    <w:rsid w:val="00AB0B4B"/>
    <w:rsid w:val="00AB7CFC"/>
    <w:rsid w:val="00AC1841"/>
    <w:rsid w:val="00AC205C"/>
    <w:rsid w:val="00AD5554"/>
    <w:rsid w:val="00AF0A6B"/>
    <w:rsid w:val="00AF5F6D"/>
    <w:rsid w:val="00B018FA"/>
    <w:rsid w:val="00B05A69"/>
    <w:rsid w:val="00B16FFE"/>
    <w:rsid w:val="00B22F2C"/>
    <w:rsid w:val="00B24608"/>
    <w:rsid w:val="00B55DA0"/>
    <w:rsid w:val="00B776FB"/>
    <w:rsid w:val="00B9734B"/>
    <w:rsid w:val="00BA30E2"/>
    <w:rsid w:val="00BB4511"/>
    <w:rsid w:val="00BC5CD0"/>
    <w:rsid w:val="00BD430F"/>
    <w:rsid w:val="00BE1C1C"/>
    <w:rsid w:val="00BF2669"/>
    <w:rsid w:val="00BF4F22"/>
    <w:rsid w:val="00BF75C3"/>
    <w:rsid w:val="00C0126E"/>
    <w:rsid w:val="00C03AA4"/>
    <w:rsid w:val="00C11BFE"/>
    <w:rsid w:val="00C352C0"/>
    <w:rsid w:val="00C5068F"/>
    <w:rsid w:val="00C61124"/>
    <w:rsid w:val="00C6449B"/>
    <w:rsid w:val="00C6541B"/>
    <w:rsid w:val="00C6750E"/>
    <w:rsid w:val="00C71D24"/>
    <w:rsid w:val="00C7301C"/>
    <w:rsid w:val="00C943E5"/>
    <w:rsid w:val="00C95026"/>
    <w:rsid w:val="00CA1A98"/>
    <w:rsid w:val="00CA2BBF"/>
    <w:rsid w:val="00CB0263"/>
    <w:rsid w:val="00CB1DF6"/>
    <w:rsid w:val="00CC1312"/>
    <w:rsid w:val="00CD04F1"/>
    <w:rsid w:val="00CE552D"/>
    <w:rsid w:val="00D05893"/>
    <w:rsid w:val="00D22EF0"/>
    <w:rsid w:val="00D27B33"/>
    <w:rsid w:val="00D371CE"/>
    <w:rsid w:val="00D45252"/>
    <w:rsid w:val="00D61CCA"/>
    <w:rsid w:val="00D660EC"/>
    <w:rsid w:val="00D71B4D"/>
    <w:rsid w:val="00D7636F"/>
    <w:rsid w:val="00D8125B"/>
    <w:rsid w:val="00D84DF1"/>
    <w:rsid w:val="00D93D55"/>
    <w:rsid w:val="00D95A39"/>
    <w:rsid w:val="00DA334C"/>
    <w:rsid w:val="00DA49CB"/>
    <w:rsid w:val="00DD14E1"/>
    <w:rsid w:val="00DE0467"/>
    <w:rsid w:val="00DE4FAE"/>
    <w:rsid w:val="00DF12CF"/>
    <w:rsid w:val="00E116EC"/>
    <w:rsid w:val="00E15015"/>
    <w:rsid w:val="00E20935"/>
    <w:rsid w:val="00E21815"/>
    <w:rsid w:val="00E335FE"/>
    <w:rsid w:val="00E34870"/>
    <w:rsid w:val="00E34EA9"/>
    <w:rsid w:val="00E432F9"/>
    <w:rsid w:val="00E51964"/>
    <w:rsid w:val="00E52F19"/>
    <w:rsid w:val="00E56FF4"/>
    <w:rsid w:val="00E65030"/>
    <w:rsid w:val="00E6564A"/>
    <w:rsid w:val="00E77FB2"/>
    <w:rsid w:val="00E84A27"/>
    <w:rsid w:val="00E859E2"/>
    <w:rsid w:val="00E95021"/>
    <w:rsid w:val="00EB7321"/>
    <w:rsid w:val="00EC4E49"/>
    <w:rsid w:val="00ED59A1"/>
    <w:rsid w:val="00ED77FB"/>
    <w:rsid w:val="00EE45FA"/>
    <w:rsid w:val="00EF75C7"/>
    <w:rsid w:val="00F01116"/>
    <w:rsid w:val="00F04E85"/>
    <w:rsid w:val="00F04EE2"/>
    <w:rsid w:val="00F06C0A"/>
    <w:rsid w:val="00F06C10"/>
    <w:rsid w:val="00F06EE8"/>
    <w:rsid w:val="00F11CBD"/>
    <w:rsid w:val="00F14608"/>
    <w:rsid w:val="00F15751"/>
    <w:rsid w:val="00F22BCC"/>
    <w:rsid w:val="00F27AD3"/>
    <w:rsid w:val="00F309B0"/>
    <w:rsid w:val="00F32079"/>
    <w:rsid w:val="00F32E1C"/>
    <w:rsid w:val="00F367F6"/>
    <w:rsid w:val="00F40C2A"/>
    <w:rsid w:val="00F55E72"/>
    <w:rsid w:val="00F64297"/>
    <w:rsid w:val="00F652D3"/>
    <w:rsid w:val="00F66152"/>
    <w:rsid w:val="00F717EE"/>
    <w:rsid w:val="00F76327"/>
    <w:rsid w:val="00F83AD1"/>
    <w:rsid w:val="00F868A4"/>
    <w:rsid w:val="00F95878"/>
    <w:rsid w:val="00FC3B75"/>
    <w:rsid w:val="00FC3EC1"/>
    <w:rsid w:val="00FE4231"/>
    <w:rsid w:val="00FF09C9"/>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68C22C9E-3140-44FC-BAB2-0A93F1339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paragraph" w:styleId="Title">
    <w:name w:val="Title"/>
    <w:basedOn w:val="Normal"/>
    <w:next w:val="Normal"/>
    <w:link w:val="TitleChar"/>
    <w:rsid w:val="00C943E5"/>
    <w:pPr>
      <w:widowControl w:val="0"/>
      <w:pBdr>
        <w:top w:val="nil"/>
        <w:left w:val="nil"/>
        <w:bottom w:val="nil"/>
        <w:right w:val="nil"/>
        <w:between w:val="nil"/>
      </w:pBdr>
      <w:ind w:left="432" w:hanging="432"/>
    </w:pPr>
    <w:rPr>
      <w:rFonts w:eastAsia="Arial"/>
      <w:b/>
      <w:color w:val="000000"/>
      <w:sz w:val="28"/>
      <w:szCs w:val="28"/>
      <w:lang w:eastAsia="en-US"/>
    </w:rPr>
  </w:style>
  <w:style w:type="character" w:customStyle="1" w:styleId="TitleChar">
    <w:name w:val="Title Char"/>
    <w:basedOn w:val="DefaultParagraphFont"/>
    <w:link w:val="Title"/>
    <w:rsid w:val="00C943E5"/>
    <w:rPr>
      <w:rFonts w:ascii="Arial" w:eastAsia="Arial" w:hAnsi="Arial" w:cs="Arial"/>
      <w:b/>
      <w:color w:val="000000"/>
      <w:sz w:val="28"/>
      <w:szCs w:val="28"/>
      <w:lang w:val="en-US" w:eastAsia="en-US"/>
    </w:rPr>
  </w:style>
  <w:style w:type="character" w:customStyle="1" w:styleId="FootnoteTextChar">
    <w:name w:val="Footnote Text Char"/>
    <w:basedOn w:val="DefaultParagraphFont"/>
    <w:link w:val="FootnoteText"/>
    <w:uiPriority w:val="99"/>
    <w:semiHidden/>
    <w:rsid w:val="00C943E5"/>
    <w:rPr>
      <w:rFonts w:ascii="Arial" w:eastAsia="SimSun" w:hAnsi="Arial" w:cs="Arial"/>
      <w:sz w:val="18"/>
      <w:lang w:val="en-US" w:eastAsia="zh-CN"/>
    </w:rPr>
  </w:style>
  <w:style w:type="character" w:styleId="FootnoteReference">
    <w:name w:val="footnote reference"/>
    <w:basedOn w:val="DefaultParagraphFont"/>
    <w:unhideWhenUsed/>
    <w:rsid w:val="00C943E5"/>
    <w:rPr>
      <w:vertAlign w:val="superscript"/>
    </w:rPr>
  </w:style>
  <w:style w:type="paragraph" w:styleId="ListParagraph">
    <w:name w:val="List Paragraph"/>
    <w:basedOn w:val="Normal"/>
    <w:uiPriority w:val="34"/>
    <w:qFormat/>
    <w:rsid w:val="00266416"/>
    <w:pPr>
      <w:ind w:left="720"/>
      <w:contextualSpacing/>
    </w:pPr>
  </w:style>
  <w:style w:type="character" w:styleId="Hyperlink">
    <w:name w:val="Hyperlink"/>
    <w:basedOn w:val="DefaultParagraphFont"/>
    <w:uiPriority w:val="99"/>
    <w:unhideWhenUsed/>
    <w:rsid w:val="00010F29"/>
    <w:rPr>
      <w:color w:val="0000FF"/>
      <w:u w:val="single"/>
    </w:rPr>
  </w:style>
  <w:style w:type="table" w:styleId="TableClassic1">
    <w:name w:val="Table Classic 1"/>
    <w:basedOn w:val="TableNormal"/>
    <w:semiHidden/>
    <w:unhideWhenUsed/>
    <w:rsid w:val="000866E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11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meetings/en/doc_details.jsp?doc_id=286176" TargetMode="External"/><Relationship Id="rId2" Type="http://schemas.openxmlformats.org/officeDocument/2006/relationships/hyperlink" Target="http://www.wipo.int/meetings/en/doc_details.jsp?doc_id=253571" TargetMode="External"/><Relationship Id="rId1" Type="http://schemas.openxmlformats.org/officeDocument/2006/relationships/hyperlink" Target="http://www.wipo.int/meetings/en/doc_details.jsp?doc_id=237526" TargetMode="External"/><Relationship Id="rId4" Type="http://schemas.openxmlformats.org/officeDocument/2006/relationships/hyperlink" Target="http://www.wipo.int/econ_stat/en/economics/stud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60504-FEA3-49FA-A497-F04A68CB8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3014</Words>
  <Characters>17185</Characters>
  <Application>Microsoft Office Word</Application>
  <DocSecurity>0</DocSecurity>
  <Lines>143</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CDIP/20/</vt:lpstr>
      <vt:lpstr>CDIP/20/</vt:lpstr>
    </vt:vector>
  </TitlesOfParts>
  <Company>WIPO</Company>
  <LinksUpToDate>false</LinksUpToDate>
  <CharactersWithSpaces>20159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CDIP/20/</dc:title>
  <dc:creator>BRACI Biljana</dc:creator>
  <cp:lastModifiedBy>MARTINEZ LIMÓN Cristina</cp:lastModifiedBy>
  <cp:revision>2</cp:revision>
  <cp:lastPrinted>2018-04-13T14:31:00Z</cp:lastPrinted>
  <dcterms:created xsi:type="dcterms:W3CDTF">2018-11-01T15:17:00Z</dcterms:created>
  <dcterms:modified xsi:type="dcterms:W3CDTF">2018-11-01T15:17:00Z</dcterms:modified>
</cp:coreProperties>
</file>