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20939" w:rsidP="00916EE2">
            <w:r>
              <w:rPr>
                <w:noProof/>
                <w:lang w:eastAsia="en-US"/>
              </w:rPr>
              <w:drawing>
                <wp:inline distT="0" distB="0" distL="0" distR="0" wp14:anchorId="644F2247" wp14:editId="4AE2EE09">
                  <wp:extent cx="1809750" cy="1343025"/>
                  <wp:effectExtent l="0" t="0" r="0" b="9525"/>
                  <wp:docPr id="1" name="Picture 1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2093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B1DF6" w:rsidP="00E432F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</w:t>
            </w:r>
            <w:r w:rsidR="00C61124">
              <w:rPr>
                <w:rFonts w:ascii="Arial Black" w:hAnsi="Arial Black"/>
                <w:caps/>
                <w:sz w:val="15"/>
              </w:rPr>
              <w:t>1</w:t>
            </w:r>
            <w:r w:rsidR="00001E2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943E5">
              <w:rPr>
                <w:rFonts w:ascii="Arial Black" w:hAnsi="Arial Black"/>
                <w:caps/>
                <w:sz w:val="15"/>
              </w:rPr>
              <w:t>INF/</w:t>
            </w:r>
            <w:r w:rsidR="00E432F9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20939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20939" w:rsidP="00C2093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11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01E20" w:rsidRPr="00C20939" w:rsidRDefault="00C20939" w:rsidP="00001E2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Pr="00B759C2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Pr="00B759C2">
        <w:rPr>
          <w:b/>
          <w:sz w:val="28"/>
          <w:szCs w:val="28"/>
          <w:lang w:val="ru-RU"/>
        </w:rPr>
        <w:t>)</w:t>
      </w:r>
    </w:p>
    <w:p w:rsidR="003845C1" w:rsidRPr="00C20939" w:rsidRDefault="003845C1" w:rsidP="003845C1">
      <w:pPr>
        <w:rPr>
          <w:lang w:val="ru-RU"/>
        </w:rPr>
      </w:pPr>
    </w:p>
    <w:p w:rsidR="003845C1" w:rsidRPr="00C20939" w:rsidRDefault="003845C1" w:rsidP="003845C1">
      <w:pPr>
        <w:rPr>
          <w:lang w:val="ru-RU"/>
        </w:rPr>
      </w:pPr>
    </w:p>
    <w:p w:rsidR="008B2CC1" w:rsidRPr="003F3B80" w:rsidRDefault="00117CC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первая </w:t>
      </w:r>
      <w:r w:rsidR="00B041DB">
        <w:rPr>
          <w:b/>
          <w:sz w:val="24"/>
          <w:szCs w:val="24"/>
          <w:lang w:val="ru-RU"/>
        </w:rPr>
        <w:t>сессия</w:t>
      </w:r>
    </w:p>
    <w:p w:rsidR="00001E20" w:rsidRPr="003F3B80" w:rsidRDefault="00C20939" w:rsidP="00001E2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F3B80">
        <w:rPr>
          <w:b/>
          <w:sz w:val="24"/>
          <w:szCs w:val="24"/>
          <w:lang w:val="ru-RU"/>
        </w:rPr>
        <w:t xml:space="preserve">, 14 - 18 </w:t>
      </w:r>
      <w:r>
        <w:rPr>
          <w:b/>
          <w:sz w:val="24"/>
          <w:szCs w:val="24"/>
          <w:lang w:val="ru-RU"/>
        </w:rPr>
        <w:t>мая</w:t>
      </w:r>
      <w:r w:rsidRPr="003F3B80">
        <w:rPr>
          <w:b/>
          <w:sz w:val="24"/>
          <w:szCs w:val="24"/>
          <w:lang w:val="ru-RU"/>
        </w:rPr>
        <w:t xml:space="preserve"> 2018 </w:t>
      </w:r>
      <w:r>
        <w:rPr>
          <w:b/>
          <w:sz w:val="24"/>
          <w:szCs w:val="24"/>
          <w:lang w:val="ru-RU"/>
        </w:rPr>
        <w:t>г</w:t>
      </w:r>
      <w:r w:rsidRPr="003F3B80">
        <w:rPr>
          <w:b/>
          <w:sz w:val="24"/>
          <w:szCs w:val="24"/>
          <w:lang w:val="ru-RU"/>
        </w:rPr>
        <w:t>.</w:t>
      </w:r>
    </w:p>
    <w:p w:rsidR="008B2CC1" w:rsidRPr="003F3B80" w:rsidRDefault="008B2CC1" w:rsidP="008B2CC1">
      <w:pPr>
        <w:rPr>
          <w:lang w:val="ru-RU"/>
        </w:rPr>
      </w:pPr>
    </w:p>
    <w:p w:rsidR="008B2CC1" w:rsidRPr="003F3B80" w:rsidRDefault="008B2CC1" w:rsidP="008B2CC1">
      <w:pPr>
        <w:rPr>
          <w:lang w:val="ru-RU"/>
        </w:rPr>
      </w:pPr>
    </w:p>
    <w:p w:rsidR="008B2CC1" w:rsidRPr="003F3B80" w:rsidRDefault="008B2CC1" w:rsidP="008B2CC1">
      <w:pPr>
        <w:rPr>
          <w:lang w:val="ru-RU"/>
        </w:rPr>
      </w:pPr>
    </w:p>
    <w:p w:rsidR="00C943E5" w:rsidRPr="003F3B80" w:rsidRDefault="00B041DB" w:rsidP="00AA4374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резюме</w:t>
      </w:r>
      <w:r w:rsidRPr="003F3B80">
        <w:rPr>
          <w:caps/>
          <w:sz w:val="24"/>
          <w:lang w:val="ru-RU"/>
        </w:rPr>
        <w:t xml:space="preserve"> </w:t>
      </w:r>
      <w:r w:rsidR="00117CCE" w:rsidRPr="003F3B80">
        <w:rPr>
          <w:sz w:val="24"/>
          <w:szCs w:val="24"/>
          <w:lang w:val="ru-RU"/>
        </w:rPr>
        <w:t>ИССЛЕДОВАНИЯ</w:t>
      </w:r>
      <w:r w:rsidR="00117CCE" w:rsidRPr="003F3B80">
        <w:rPr>
          <w:sz w:val="21"/>
          <w:szCs w:val="21"/>
          <w:lang w:val="ru-RU"/>
        </w:rPr>
        <w:t xml:space="preserve"> </w:t>
      </w:r>
      <w:r w:rsidR="003F3B80">
        <w:rPr>
          <w:sz w:val="24"/>
          <w:lang w:val="ru-RU"/>
        </w:rPr>
        <w:t>ОБ ИСПОЛЬЗОВАНИИ ИНТЕЛЛЕКТУАЛЬНОЙ СОБСТВЕННОСТИ В ЧИЛИ</w:t>
      </w:r>
      <w:r w:rsidR="003F3B80" w:rsidRPr="003F3B80">
        <w:rPr>
          <w:sz w:val="24"/>
          <w:lang w:val="ru-RU"/>
        </w:rPr>
        <w:t xml:space="preserve"> </w:t>
      </w:r>
    </w:p>
    <w:p w:rsidR="008B2CC1" w:rsidRPr="003F3B80" w:rsidRDefault="008B2CC1" w:rsidP="008B2CC1">
      <w:pPr>
        <w:rPr>
          <w:lang w:val="ru-RU"/>
        </w:rPr>
      </w:pPr>
    </w:p>
    <w:p w:rsidR="00C943E5" w:rsidRPr="009C3A44" w:rsidRDefault="00B041DB" w:rsidP="00266416">
      <w:pPr>
        <w:rPr>
          <w:i/>
          <w:lang w:val="ru-RU"/>
        </w:rPr>
      </w:pPr>
      <w:bookmarkStart w:id="4" w:name="Prepared"/>
      <w:bookmarkEnd w:id="4"/>
      <w:r w:rsidRPr="00712984">
        <w:rPr>
          <w:i/>
          <w:sz w:val="21"/>
          <w:szCs w:val="21"/>
          <w:lang w:val="ru-RU"/>
        </w:rPr>
        <w:t>подготовлено</w:t>
      </w:r>
      <w:r w:rsidRPr="009C3A44">
        <w:rPr>
          <w:i/>
          <w:sz w:val="21"/>
          <w:szCs w:val="21"/>
          <w:lang w:val="ru-RU"/>
        </w:rPr>
        <w:t xml:space="preserve"> </w:t>
      </w:r>
      <w:r w:rsidR="00117CCE">
        <w:rPr>
          <w:i/>
          <w:lang w:val="ru-RU"/>
        </w:rPr>
        <w:t>Секретариатом</w:t>
      </w:r>
      <w:r w:rsidR="00850CD1" w:rsidRPr="009C3A44">
        <w:rPr>
          <w:i/>
          <w:lang w:val="ru-RU"/>
        </w:rPr>
        <w:br/>
      </w:r>
    </w:p>
    <w:p w:rsidR="00C943E5" w:rsidRPr="009C3A44" w:rsidRDefault="00C943E5" w:rsidP="00C943E5">
      <w:pPr>
        <w:rPr>
          <w:i/>
          <w:lang w:val="ru-RU"/>
        </w:rPr>
      </w:pPr>
    </w:p>
    <w:p w:rsidR="00C943E5" w:rsidRPr="009C3A44" w:rsidRDefault="00C943E5" w:rsidP="00C943E5">
      <w:pPr>
        <w:rPr>
          <w:i/>
          <w:lang w:val="ru-RU"/>
        </w:rPr>
      </w:pPr>
    </w:p>
    <w:p w:rsidR="00C943E5" w:rsidRPr="009C3A44" w:rsidRDefault="00C943E5" w:rsidP="00C943E5">
      <w:pPr>
        <w:rPr>
          <w:lang w:val="ru-RU"/>
        </w:rPr>
      </w:pPr>
    </w:p>
    <w:p w:rsidR="00266416" w:rsidRPr="003F3B80" w:rsidRDefault="00266416" w:rsidP="00C943E5">
      <w:pPr>
        <w:rPr>
          <w:rFonts w:eastAsia="Times New Roman"/>
          <w:lang w:val="ru-RU"/>
        </w:rPr>
      </w:pPr>
      <w:r>
        <w:rPr>
          <w:rFonts w:eastAsia="Times New Roman"/>
        </w:rPr>
        <w:fldChar w:fldCharType="begin"/>
      </w:r>
      <w:r w:rsidRPr="003F3B80">
        <w:rPr>
          <w:rFonts w:eastAsia="Times New Roman"/>
          <w:lang w:val="ru-RU"/>
        </w:rPr>
        <w:instrText xml:space="preserve"> </w:instrText>
      </w:r>
      <w:r>
        <w:rPr>
          <w:rFonts w:eastAsia="Times New Roman"/>
        </w:rPr>
        <w:instrText>AUTONUM</w:instrText>
      </w:r>
      <w:r w:rsidRPr="003F3B80">
        <w:rPr>
          <w:rFonts w:eastAsia="Times New Roman"/>
          <w:lang w:val="ru-RU"/>
        </w:rPr>
        <w:instrText xml:space="preserve">  </w:instrText>
      </w:r>
      <w:r>
        <w:rPr>
          <w:rFonts w:eastAsia="Times New Roman"/>
        </w:rPr>
        <w:fldChar w:fldCharType="end"/>
      </w:r>
      <w:r w:rsidRPr="003F3B80">
        <w:rPr>
          <w:rFonts w:eastAsia="Times New Roman"/>
          <w:lang w:val="ru-RU"/>
        </w:rPr>
        <w:tab/>
      </w:r>
      <w:r w:rsidR="00117CCE" w:rsidRPr="0055472E">
        <w:rPr>
          <w:rFonts w:eastAsia="Times New Roman"/>
          <w:lang w:val="ru-RU"/>
        </w:rPr>
        <w:t>В</w:t>
      </w:r>
      <w:r w:rsidR="00117CCE" w:rsidRPr="003F3B80">
        <w:rPr>
          <w:rFonts w:eastAsia="Times New Roman"/>
          <w:lang w:val="ru-RU"/>
        </w:rPr>
        <w:t xml:space="preserve"> </w:t>
      </w:r>
      <w:r w:rsidR="00117CCE" w:rsidRPr="0055472E">
        <w:rPr>
          <w:rFonts w:eastAsia="Times New Roman"/>
          <w:lang w:val="ru-RU"/>
        </w:rPr>
        <w:t>приложении</w:t>
      </w:r>
      <w:r w:rsidR="00117CCE" w:rsidRPr="003F3B80">
        <w:rPr>
          <w:rFonts w:eastAsia="Times New Roman"/>
          <w:lang w:val="ru-RU"/>
        </w:rPr>
        <w:t xml:space="preserve"> </w:t>
      </w:r>
      <w:r w:rsidR="00117CCE" w:rsidRPr="0055472E">
        <w:rPr>
          <w:rFonts w:eastAsia="Times New Roman"/>
          <w:lang w:val="ru-RU"/>
        </w:rPr>
        <w:t>к</w:t>
      </w:r>
      <w:r w:rsidR="00117CCE" w:rsidRPr="003F3B80">
        <w:rPr>
          <w:rFonts w:eastAsia="Times New Roman"/>
          <w:lang w:val="ru-RU"/>
        </w:rPr>
        <w:t xml:space="preserve"> </w:t>
      </w:r>
      <w:r w:rsidR="00117CCE" w:rsidRPr="0055472E">
        <w:rPr>
          <w:rFonts w:eastAsia="Times New Roman"/>
          <w:lang w:val="ru-RU"/>
        </w:rPr>
        <w:t>настоящему</w:t>
      </w:r>
      <w:r w:rsidR="00117CCE" w:rsidRPr="003F3B80">
        <w:rPr>
          <w:rFonts w:eastAsia="Times New Roman"/>
          <w:lang w:val="ru-RU"/>
        </w:rPr>
        <w:t xml:space="preserve"> </w:t>
      </w:r>
      <w:r w:rsidR="00117CCE" w:rsidRPr="0055472E">
        <w:rPr>
          <w:rFonts w:eastAsia="Times New Roman"/>
          <w:lang w:val="ru-RU"/>
        </w:rPr>
        <w:t>документу</w:t>
      </w:r>
      <w:r w:rsidR="00117CCE" w:rsidRPr="003F3B80">
        <w:rPr>
          <w:rFonts w:eastAsia="Times New Roman"/>
          <w:lang w:val="ru-RU"/>
        </w:rPr>
        <w:t xml:space="preserve"> </w:t>
      </w:r>
      <w:r w:rsidR="00117CCE" w:rsidRPr="0055472E">
        <w:rPr>
          <w:rFonts w:eastAsia="Times New Roman"/>
          <w:lang w:val="ru-RU"/>
        </w:rPr>
        <w:t>содержится</w:t>
      </w:r>
      <w:r w:rsidR="00117CCE" w:rsidRPr="003F3B80">
        <w:rPr>
          <w:rFonts w:eastAsia="Times New Roman"/>
          <w:lang w:val="ru-RU"/>
        </w:rPr>
        <w:t xml:space="preserve"> </w:t>
      </w:r>
      <w:r w:rsidR="00117CCE" w:rsidRPr="0055472E">
        <w:rPr>
          <w:rFonts w:eastAsia="Times New Roman"/>
          <w:lang w:val="ru-RU"/>
        </w:rPr>
        <w:t>резюме</w:t>
      </w:r>
      <w:r w:rsidR="00117CCE" w:rsidRPr="003F3B80">
        <w:rPr>
          <w:rFonts w:eastAsia="Times New Roman"/>
          <w:lang w:val="ru-RU"/>
        </w:rPr>
        <w:t xml:space="preserve"> </w:t>
      </w:r>
      <w:r w:rsidR="00117CCE" w:rsidRPr="0055472E">
        <w:rPr>
          <w:rFonts w:eastAsia="Times New Roman"/>
          <w:lang w:val="ru-RU"/>
        </w:rPr>
        <w:t>исследования</w:t>
      </w:r>
      <w:r w:rsidR="00117CCE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об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использовании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интеллектуальной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собственности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в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Чили</w:t>
      </w:r>
      <w:r w:rsidR="003F3B80" w:rsidRPr="003F3B80">
        <w:rPr>
          <w:rFonts w:eastAsia="Times New Roman"/>
          <w:lang w:val="ru-RU"/>
        </w:rPr>
        <w:t xml:space="preserve">, </w:t>
      </w:r>
      <w:r w:rsidR="003F3B80">
        <w:rPr>
          <w:rFonts w:eastAsia="Times New Roman"/>
          <w:lang w:val="ru-RU"/>
        </w:rPr>
        <w:t>проведенного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в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контексте</w:t>
      </w:r>
      <w:r w:rsidR="00681466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п</w:t>
      </w:r>
      <w:r w:rsidR="003F3B80" w:rsidRPr="003F3B80">
        <w:rPr>
          <w:rFonts w:eastAsia="Times New Roman"/>
          <w:lang w:val="ru-RU"/>
        </w:rPr>
        <w:t>роекта «Интеллектуальная собственность и социально-экономическое развитие – этап</w:t>
      </w:r>
      <w:r w:rsidR="003F3B80" w:rsidRPr="003F3B80">
        <w:rPr>
          <w:rFonts w:eastAsia="Times New Roman"/>
        </w:rPr>
        <w:t> II</w:t>
      </w:r>
      <w:r w:rsidR="003F3B80" w:rsidRPr="003F3B80">
        <w:rPr>
          <w:rFonts w:eastAsia="Times New Roman"/>
          <w:lang w:val="ru-RU"/>
        </w:rPr>
        <w:t xml:space="preserve">» </w:t>
      </w:r>
      <w:r w:rsidR="00C943E5" w:rsidRPr="003F3B80">
        <w:rPr>
          <w:rFonts w:eastAsia="Times New Roman"/>
          <w:lang w:val="ru-RU"/>
        </w:rPr>
        <w:t>(</w:t>
      </w:r>
      <w:r w:rsidR="00117CCE" w:rsidRPr="00117CCE">
        <w:rPr>
          <w:lang w:val="ru-RU"/>
        </w:rPr>
        <w:t>документ</w:t>
      </w:r>
      <w:r w:rsidR="00117CCE" w:rsidRPr="003F3B80">
        <w:rPr>
          <w:i/>
          <w:lang w:val="ru-RU"/>
        </w:rPr>
        <w:t xml:space="preserve"> </w:t>
      </w:r>
      <w:r w:rsidR="00C943E5" w:rsidRPr="00262966">
        <w:rPr>
          <w:rFonts w:eastAsia="Times New Roman"/>
        </w:rPr>
        <w:t>CDIP</w:t>
      </w:r>
      <w:r w:rsidR="00C943E5" w:rsidRPr="003F3B80">
        <w:rPr>
          <w:rFonts w:eastAsia="Times New Roman"/>
          <w:lang w:val="ru-RU"/>
        </w:rPr>
        <w:t xml:space="preserve">/14/7).  </w:t>
      </w:r>
    </w:p>
    <w:p w:rsidR="00266416" w:rsidRPr="003F3B80" w:rsidRDefault="00266416" w:rsidP="00C943E5">
      <w:pPr>
        <w:rPr>
          <w:rFonts w:eastAsia="Times New Roman"/>
          <w:lang w:val="ru-RU"/>
        </w:rPr>
      </w:pPr>
    </w:p>
    <w:p w:rsidR="00C943E5" w:rsidRPr="009A17F9" w:rsidRDefault="00266416" w:rsidP="00C943E5">
      <w:pPr>
        <w:rPr>
          <w:rFonts w:eastAsia="Times New Roman"/>
          <w:lang w:val="ru-RU"/>
        </w:rPr>
      </w:pPr>
      <w:r>
        <w:rPr>
          <w:rFonts w:eastAsia="Times New Roman"/>
        </w:rPr>
        <w:fldChar w:fldCharType="begin"/>
      </w:r>
      <w:r w:rsidRPr="003F3B80">
        <w:rPr>
          <w:rFonts w:eastAsia="Times New Roman"/>
          <w:lang w:val="ru-RU"/>
        </w:rPr>
        <w:instrText xml:space="preserve"> </w:instrText>
      </w:r>
      <w:r>
        <w:rPr>
          <w:rFonts w:eastAsia="Times New Roman"/>
        </w:rPr>
        <w:instrText>AUTONUM</w:instrText>
      </w:r>
      <w:r w:rsidRPr="003F3B80">
        <w:rPr>
          <w:rFonts w:eastAsia="Times New Roman"/>
          <w:lang w:val="ru-RU"/>
        </w:rPr>
        <w:instrText xml:space="preserve">  </w:instrText>
      </w:r>
      <w:r>
        <w:rPr>
          <w:rFonts w:eastAsia="Times New Roman"/>
        </w:rPr>
        <w:fldChar w:fldCharType="end"/>
      </w:r>
      <w:r w:rsidRPr="003F3B80">
        <w:rPr>
          <w:rFonts w:eastAsia="Times New Roman"/>
          <w:lang w:val="ru-RU"/>
        </w:rPr>
        <w:tab/>
      </w:r>
      <w:r w:rsidR="003F3B80">
        <w:rPr>
          <w:rFonts w:eastAsia="Times New Roman"/>
          <w:lang w:val="ru-RU"/>
        </w:rPr>
        <w:t>Исследование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было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подготовлено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Секретариатом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ВОИС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в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сотрудничестве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с</w:t>
      </w:r>
      <w:r w:rsidR="003F3B80" w:rsidRPr="003F3B80">
        <w:rPr>
          <w:rFonts w:eastAsia="Times New Roman"/>
          <w:lang w:val="ru-RU"/>
        </w:rPr>
        <w:t xml:space="preserve"> </w:t>
      </w:r>
      <w:r w:rsidR="003F3B80">
        <w:rPr>
          <w:rFonts w:eastAsia="Times New Roman"/>
          <w:lang w:val="ru-RU"/>
        </w:rPr>
        <w:t>г</w:t>
      </w:r>
      <w:r w:rsidR="003F3B80" w:rsidRPr="003F3B80">
        <w:rPr>
          <w:rFonts w:eastAsia="Times New Roman"/>
          <w:lang w:val="ru-RU"/>
        </w:rPr>
        <w:t>-</w:t>
      </w:r>
      <w:r w:rsidR="003F3B80">
        <w:rPr>
          <w:rFonts w:eastAsia="Times New Roman"/>
          <w:lang w:val="ru-RU"/>
        </w:rPr>
        <w:t>жой</w:t>
      </w:r>
      <w:r w:rsidR="003F3B80" w:rsidRPr="003F3B80">
        <w:rPr>
          <w:rFonts w:eastAsia="Times New Roman"/>
          <w:lang w:val="ru-RU"/>
        </w:rPr>
        <w:t xml:space="preserve"> </w:t>
      </w:r>
      <w:r w:rsidR="00C03AA4" w:rsidRPr="003F3B80">
        <w:rPr>
          <w:rFonts w:eastAsia="Times New Roman"/>
          <w:lang w:val="ru-RU"/>
        </w:rPr>
        <w:t xml:space="preserve"> </w:t>
      </w:r>
      <w:r w:rsidR="003F3B80" w:rsidRPr="003F3B80">
        <w:rPr>
          <w:rFonts w:eastAsia="Times New Roman"/>
          <w:lang w:val="ru-RU"/>
        </w:rPr>
        <w:t>Бронвин Холл, профессором технических и экономических наук факультета экономики Калифорнийского университета, Беркли (Соединенные Штаты Америки)</w:t>
      </w:r>
      <w:r w:rsidR="005765D5" w:rsidRPr="003F3B80">
        <w:rPr>
          <w:rFonts w:eastAsia="Times New Roman"/>
          <w:lang w:val="ru-RU"/>
        </w:rPr>
        <w:t xml:space="preserve">, </w:t>
      </w:r>
      <w:r w:rsidR="003F3B80">
        <w:rPr>
          <w:rFonts w:eastAsia="Times New Roman"/>
          <w:lang w:val="ru-RU"/>
        </w:rPr>
        <w:t>и г-ном</w:t>
      </w:r>
      <w:r w:rsidR="005765D5" w:rsidRPr="003F3B80">
        <w:rPr>
          <w:rFonts w:eastAsia="Times New Roman"/>
          <w:lang w:val="ru-RU"/>
        </w:rPr>
        <w:t xml:space="preserve"> </w:t>
      </w:r>
      <w:r w:rsidR="003F3B80" w:rsidRPr="003F3B80">
        <w:rPr>
          <w:rFonts w:eastAsia="Times New Roman"/>
          <w:lang w:val="ru-RU"/>
        </w:rPr>
        <w:t>Кристианом Хелмерсом, адъюнкт-профессором факультета экономики Университета г. Санта-Клара (Соединенные Штаты Америки)</w:t>
      </w:r>
      <w:r w:rsidR="005765D5" w:rsidRPr="003F3B80">
        <w:rPr>
          <w:rFonts w:eastAsia="Times New Roman"/>
          <w:lang w:val="ru-RU"/>
        </w:rPr>
        <w:t>.</w:t>
      </w:r>
      <w:r w:rsidR="00C03AA4" w:rsidRPr="003F3B80">
        <w:rPr>
          <w:rFonts w:eastAsia="Times New Roman"/>
          <w:lang w:val="ru-RU"/>
        </w:rPr>
        <w:t xml:space="preserve">  </w:t>
      </w:r>
      <w:r w:rsidR="006E2BAB">
        <w:rPr>
          <w:rFonts w:eastAsia="Times New Roman"/>
          <w:lang w:val="ru-RU"/>
        </w:rPr>
        <w:t>Его прорецензировал Роберто Альварес Эспиноза, профессор факультета экономики</w:t>
      </w:r>
      <w:r w:rsidR="00C03AA4" w:rsidRPr="006E2BAB">
        <w:rPr>
          <w:rFonts w:eastAsia="Times New Roman"/>
          <w:lang w:val="ru-RU"/>
        </w:rPr>
        <w:t xml:space="preserve"> </w:t>
      </w:r>
      <w:r w:rsidR="006E2BAB">
        <w:rPr>
          <w:rFonts w:eastAsia="Times New Roman"/>
          <w:lang w:val="ru-RU"/>
        </w:rPr>
        <w:t>Чилийского университета, Сантьяго (Чили)</w:t>
      </w:r>
      <w:r w:rsidR="00650A29" w:rsidRPr="006E2BAB">
        <w:rPr>
          <w:rFonts w:eastAsia="Times New Roman"/>
          <w:lang w:val="ru-RU"/>
        </w:rPr>
        <w:t>.</w:t>
      </w:r>
      <w:r w:rsidR="00C03AA4" w:rsidRPr="006E2BAB">
        <w:rPr>
          <w:rFonts w:eastAsia="Times New Roman"/>
          <w:lang w:val="ru-RU"/>
        </w:rPr>
        <w:t xml:space="preserve">  </w:t>
      </w:r>
      <w:r w:rsidR="006E2BAB">
        <w:rPr>
          <w:rFonts w:eastAsia="Times New Roman"/>
          <w:lang w:val="ru-RU"/>
        </w:rPr>
        <w:t>И</w:t>
      </w:r>
      <w:r w:rsidR="009A17F9">
        <w:rPr>
          <w:rFonts w:eastAsia="Times New Roman"/>
          <w:lang w:val="ru-RU"/>
        </w:rPr>
        <w:t>сследование</w:t>
      </w:r>
      <w:r w:rsidR="009A17F9" w:rsidRPr="0055472E">
        <w:rPr>
          <w:rFonts w:eastAsia="Times New Roman"/>
          <w:lang w:val="ru-RU"/>
        </w:rPr>
        <w:t xml:space="preserve"> </w:t>
      </w:r>
      <w:r w:rsidR="009A17F9">
        <w:rPr>
          <w:rFonts w:eastAsia="Times New Roman"/>
          <w:lang w:val="ru-RU"/>
        </w:rPr>
        <w:t>доступно</w:t>
      </w:r>
      <w:r w:rsidR="009A17F9" w:rsidRPr="0055472E">
        <w:rPr>
          <w:rFonts w:eastAsia="Times New Roman"/>
          <w:lang w:val="ru-RU"/>
        </w:rPr>
        <w:t xml:space="preserve"> </w:t>
      </w:r>
      <w:r w:rsidR="009A17F9">
        <w:rPr>
          <w:rFonts w:eastAsia="Times New Roman"/>
          <w:lang w:val="ru-RU"/>
        </w:rPr>
        <w:t>в</w:t>
      </w:r>
      <w:r w:rsidR="009A17F9" w:rsidRPr="0055472E">
        <w:rPr>
          <w:rFonts w:eastAsia="Times New Roman"/>
          <w:lang w:val="ru-RU"/>
        </w:rPr>
        <w:t xml:space="preserve"> </w:t>
      </w:r>
      <w:r w:rsidR="009A17F9">
        <w:rPr>
          <w:rFonts w:eastAsia="Times New Roman"/>
          <w:lang w:val="ru-RU"/>
        </w:rPr>
        <w:t>виде</w:t>
      </w:r>
      <w:r w:rsidR="009A17F9" w:rsidRPr="0055472E">
        <w:rPr>
          <w:rFonts w:eastAsia="Times New Roman"/>
          <w:lang w:val="ru-RU"/>
        </w:rPr>
        <w:t xml:space="preserve"> </w:t>
      </w:r>
      <w:r w:rsidR="009A17F9">
        <w:rPr>
          <w:rFonts w:eastAsia="Times New Roman"/>
          <w:lang w:val="ru-RU"/>
        </w:rPr>
        <w:t>рабочего</w:t>
      </w:r>
      <w:r w:rsidR="009A17F9" w:rsidRPr="0055472E">
        <w:rPr>
          <w:rFonts w:eastAsia="Times New Roman"/>
          <w:lang w:val="ru-RU"/>
        </w:rPr>
        <w:t xml:space="preserve"> </w:t>
      </w:r>
      <w:r w:rsidR="009A17F9">
        <w:rPr>
          <w:rFonts w:eastAsia="Times New Roman"/>
          <w:lang w:val="ru-RU"/>
        </w:rPr>
        <w:t>документа</w:t>
      </w:r>
      <w:r w:rsidR="009A17F9" w:rsidRPr="0055472E">
        <w:rPr>
          <w:rFonts w:eastAsia="Times New Roman"/>
          <w:lang w:val="ru-RU"/>
        </w:rPr>
        <w:t xml:space="preserve"> </w:t>
      </w:r>
      <w:r w:rsidR="009A17F9">
        <w:rPr>
          <w:rFonts w:eastAsia="Times New Roman"/>
          <w:lang w:val="ru-RU"/>
        </w:rPr>
        <w:t>ВОИС</w:t>
      </w:r>
      <w:r w:rsidR="009A17F9" w:rsidRPr="0055472E">
        <w:rPr>
          <w:rFonts w:eastAsia="Times New Roman"/>
          <w:lang w:val="ru-RU"/>
        </w:rPr>
        <w:t xml:space="preserve"> </w:t>
      </w:r>
      <w:r w:rsidR="009A17F9">
        <w:rPr>
          <w:rFonts w:eastAsia="Times New Roman"/>
          <w:lang w:val="ru-RU"/>
        </w:rPr>
        <w:t>по</w:t>
      </w:r>
      <w:r w:rsidR="009A17F9" w:rsidRPr="0055472E">
        <w:rPr>
          <w:rFonts w:eastAsia="Times New Roman"/>
          <w:lang w:val="ru-RU"/>
        </w:rPr>
        <w:t xml:space="preserve"> </w:t>
      </w:r>
      <w:r w:rsidR="009A17F9">
        <w:rPr>
          <w:rFonts w:eastAsia="Times New Roman"/>
          <w:lang w:val="ru-RU"/>
        </w:rPr>
        <w:t>экономическим исследованиям № 42</w:t>
      </w:r>
      <w:r w:rsidR="009A17F9" w:rsidRPr="0055472E">
        <w:rPr>
          <w:rFonts w:eastAsia="Times New Roman"/>
          <w:lang w:val="ru-RU"/>
        </w:rPr>
        <w:t xml:space="preserve"> (</w:t>
      </w:r>
      <w:r w:rsidR="009A17F9">
        <w:rPr>
          <w:rFonts w:eastAsia="Times New Roman"/>
          <w:lang w:val="ru-RU"/>
        </w:rPr>
        <w:t>на странице</w:t>
      </w:r>
      <w:r w:rsidR="00C03AA4" w:rsidRPr="009A17F9">
        <w:rPr>
          <w:rFonts w:eastAsia="Times New Roman"/>
          <w:lang w:val="ru-RU"/>
        </w:rPr>
        <w:t xml:space="preserve"> </w:t>
      </w:r>
      <w:hyperlink r:id="rId10" w:history="1">
        <w:r w:rsidR="00C03AA4" w:rsidRPr="00F01FD9">
          <w:rPr>
            <w:rStyle w:val="Hyperlink"/>
            <w:rFonts w:eastAsia="Times New Roman"/>
            <w:color w:val="auto"/>
          </w:rPr>
          <w:t>http</w:t>
        </w:r>
        <w:r w:rsidR="00C03AA4" w:rsidRPr="00F01FD9">
          <w:rPr>
            <w:rStyle w:val="Hyperlink"/>
            <w:rFonts w:eastAsia="Times New Roman"/>
            <w:color w:val="auto"/>
            <w:lang w:val="ru-RU"/>
          </w:rPr>
          <w:t>://</w:t>
        </w:r>
        <w:r w:rsidR="00C03AA4" w:rsidRPr="00F01FD9">
          <w:rPr>
            <w:rStyle w:val="Hyperlink"/>
            <w:rFonts w:eastAsia="Times New Roman"/>
            <w:color w:val="auto"/>
          </w:rPr>
          <w:t>www</w:t>
        </w:r>
        <w:r w:rsidR="00C03AA4" w:rsidRPr="00F01FD9">
          <w:rPr>
            <w:rStyle w:val="Hyperlink"/>
            <w:rFonts w:eastAsia="Times New Roman"/>
            <w:color w:val="auto"/>
            <w:lang w:val="ru-RU"/>
          </w:rPr>
          <w:t>.</w:t>
        </w:r>
        <w:proofErr w:type="spellStart"/>
        <w:r w:rsidR="00C03AA4" w:rsidRPr="00F01FD9">
          <w:rPr>
            <w:rStyle w:val="Hyperlink"/>
            <w:rFonts w:eastAsia="Times New Roman"/>
            <w:color w:val="auto"/>
          </w:rPr>
          <w:t>wipo</w:t>
        </w:r>
        <w:proofErr w:type="spellEnd"/>
        <w:r w:rsidR="00C03AA4" w:rsidRPr="00F01FD9">
          <w:rPr>
            <w:rStyle w:val="Hyperlink"/>
            <w:rFonts w:eastAsia="Times New Roman"/>
            <w:color w:val="auto"/>
            <w:lang w:val="ru-RU"/>
          </w:rPr>
          <w:t>.</w:t>
        </w:r>
        <w:proofErr w:type="spellStart"/>
        <w:r w:rsidR="00C03AA4" w:rsidRPr="00F01FD9">
          <w:rPr>
            <w:rStyle w:val="Hyperlink"/>
            <w:rFonts w:eastAsia="Times New Roman"/>
            <w:color w:val="auto"/>
          </w:rPr>
          <w:t>int</w:t>
        </w:r>
        <w:proofErr w:type="spellEnd"/>
        <w:r w:rsidR="00C03AA4" w:rsidRPr="00F01FD9">
          <w:rPr>
            <w:rStyle w:val="Hyperlink"/>
            <w:rFonts w:eastAsia="Times New Roman"/>
            <w:color w:val="auto"/>
            <w:lang w:val="ru-RU"/>
          </w:rPr>
          <w:t>/</w:t>
        </w:r>
        <w:r w:rsidR="00C03AA4" w:rsidRPr="00F01FD9">
          <w:rPr>
            <w:rStyle w:val="Hyperlink"/>
            <w:rFonts w:eastAsia="Times New Roman"/>
            <w:color w:val="auto"/>
          </w:rPr>
          <w:t>econ</w:t>
        </w:r>
        <w:r w:rsidR="00C03AA4" w:rsidRPr="00F01FD9">
          <w:rPr>
            <w:rStyle w:val="Hyperlink"/>
            <w:rFonts w:eastAsia="Times New Roman"/>
            <w:color w:val="auto"/>
            <w:lang w:val="ru-RU"/>
          </w:rPr>
          <w:t>_</w:t>
        </w:r>
        <w:r w:rsidR="00C03AA4" w:rsidRPr="00F01FD9">
          <w:rPr>
            <w:rStyle w:val="Hyperlink"/>
            <w:rFonts w:eastAsia="Times New Roman"/>
            <w:color w:val="auto"/>
          </w:rPr>
          <w:t>stat</w:t>
        </w:r>
        <w:r w:rsidR="00C03AA4" w:rsidRPr="00F01FD9">
          <w:rPr>
            <w:rStyle w:val="Hyperlink"/>
            <w:rFonts w:eastAsia="Times New Roman"/>
            <w:color w:val="auto"/>
            <w:lang w:val="ru-RU"/>
          </w:rPr>
          <w:t>/</w:t>
        </w:r>
        <w:proofErr w:type="spellStart"/>
        <w:r w:rsidR="00C03AA4" w:rsidRPr="00F01FD9">
          <w:rPr>
            <w:rStyle w:val="Hyperlink"/>
            <w:rFonts w:eastAsia="Times New Roman"/>
            <w:color w:val="auto"/>
          </w:rPr>
          <w:t>en</w:t>
        </w:r>
        <w:proofErr w:type="spellEnd"/>
        <w:r w:rsidR="00C03AA4" w:rsidRPr="00F01FD9">
          <w:rPr>
            <w:rStyle w:val="Hyperlink"/>
            <w:rFonts w:eastAsia="Times New Roman"/>
            <w:color w:val="auto"/>
            <w:lang w:val="ru-RU"/>
          </w:rPr>
          <w:t>/</w:t>
        </w:r>
        <w:r w:rsidR="00C03AA4" w:rsidRPr="00F01FD9">
          <w:rPr>
            <w:rStyle w:val="Hyperlink"/>
            <w:rFonts w:eastAsia="Times New Roman"/>
            <w:color w:val="auto"/>
          </w:rPr>
          <w:t>economics</w:t>
        </w:r>
      </w:hyperlink>
      <w:r w:rsidR="00C03AA4" w:rsidRPr="009A17F9">
        <w:rPr>
          <w:rFonts w:eastAsia="Times New Roman"/>
          <w:lang w:val="ru-RU"/>
        </w:rPr>
        <w:t xml:space="preserve">).  </w:t>
      </w:r>
    </w:p>
    <w:p w:rsidR="00650A29" w:rsidRPr="009A17F9" w:rsidRDefault="00650A29" w:rsidP="00C943E5">
      <w:pPr>
        <w:rPr>
          <w:rFonts w:eastAsia="Times New Roman"/>
          <w:lang w:val="ru-RU"/>
        </w:rPr>
      </w:pPr>
    </w:p>
    <w:p w:rsidR="00C943E5" w:rsidRPr="00117CCE" w:rsidRDefault="006A61E2" w:rsidP="006A61E2">
      <w:pPr>
        <w:tabs>
          <w:tab w:val="left" w:pos="567"/>
        </w:tabs>
        <w:ind w:left="5534"/>
        <w:rPr>
          <w:i/>
          <w:lang w:val="ru-RU"/>
        </w:rPr>
      </w:pPr>
      <w:bookmarkStart w:id="5" w:name="_GoBack"/>
      <w:bookmarkEnd w:id="5"/>
      <w:r w:rsidRPr="00117CCE">
        <w:rPr>
          <w:i/>
          <w:iCs/>
          <w:lang w:val="ru-RU"/>
        </w:rPr>
        <w:t>3.</w:t>
      </w:r>
      <w:r w:rsidRPr="00117CCE">
        <w:rPr>
          <w:i/>
          <w:iCs/>
          <w:lang w:val="ru-RU"/>
        </w:rPr>
        <w:tab/>
      </w:r>
      <w:r w:rsidR="00117CCE" w:rsidRPr="001E0244">
        <w:rPr>
          <w:i/>
          <w:iCs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="00C943E5" w:rsidRPr="00117CCE">
        <w:rPr>
          <w:i/>
          <w:lang w:val="ru-RU"/>
        </w:rPr>
        <w:t>.</w:t>
      </w:r>
    </w:p>
    <w:p w:rsidR="00C943E5" w:rsidRPr="00117CCE" w:rsidRDefault="00C943E5" w:rsidP="00C943E5">
      <w:pPr>
        <w:ind w:left="5534"/>
        <w:rPr>
          <w:lang w:val="ru-RU"/>
        </w:rPr>
      </w:pPr>
    </w:p>
    <w:p w:rsidR="00C943E5" w:rsidRPr="00117CCE" w:rsidRDefault="00C943E5" w:rsidP="00C943E5">
      <w:pPr>
        <w:ind w:left="5534"/>
        <w:rPr>
          <w:lang w:val="ru-RU"/>
        </w:rPr>
      </w:pPr>
    </w:p>
    <w:p w:rsidR="00C943E5" w:rsidRPr="00117CCE" w:rsidRDefault="00C943E5" w:rsidP="00C943E5">
      <w:pPr>
        <w:ind w:left="5534"/>
        <w:rPr>
          <w:lang w:val="ru-RU"/>
        </w:rPr>
      </w:pPr>
    </w:p>
    <w:p w:rsidR="00C943E5" w:rsidRPr="009C3A44" w:rsidRDefault="00C943E5" w:rsidP="00C943E5">
      <w:pPr>
        <w:ind w:left="5534"/>
        <w:rPr>
          <w:lang w:val="ru-RU"/>
        </w:rPr>
      </w:pPr>
      <w:r w:rsidRPr="009C3A44">
        <w:rPr>
          <w:lang w:val="ru-RU"/>
        </w:rPr>
        <w:t>[</w:t>
      </w:r>
      <w:r w:rsidR="00117CCE">
        <w:rPr>
          <w:lang w:val="ru-RU"/>
        </w:rPr>
        <w:t>Приложение</w:t>
      </w:r>
      <w:r w:rsidR="00117CCE" w:rsidRPr="009C3A44">
        <w:rPr>
          <w:lang w:val="ru-RU"/>
        </w:rPr>
        <w:t xml:space="preserve"> </w:t>
      </w:r>
      <w:r w:rsidR="00117CCE">
        <w:rPr>
          <w:lang w:val="ru-RU"/>
        </w:rPr>
        <w:t>следует</w:t>
      </w:r>
      <w:r w:rsidRPr="009C3A44">
        <w:rPr>
          <w:lang w:val="ru-RU"/>
        </w:rPr>
        <w:t>]</w:t>
      </w:r>
    </w:p>
    <w:p w:rsidR="00C943E5" w:rsidRPr="009C3A44" w:rsidRDefault="00C943E5" w:rsidP="00C943E5">
      <w:pPr>
        <w:rPr>
          <w:lang w:val="ru-RU"/>
        </w:rPr>
        <w:sectPr w:rsidR="00C943E5" w:rsidRPr="009C3A44" w:rsidSect="00D27B33">
          <w:headerReference w:type="default" r:id="rId11"/>
          <w:footerReference w:type="default" r:id="rId12"/>
          <w:pgSz w:w="11907" w:h="16839" w:code="9"/>
          <w:pgMar w:top="567" w:right="1134" w:bottom="1418" w:left="1418" w:header="0" w:footer="720" w:gutter="0"/>
          <w:pgNumType w:start="1"/>
          <w:cols w:space="720"/>
          <w:titlePg/>
          <w:docGrid w:linePitch="299"/>
        </w:sectPr>
      </w:pPr>
    </w:p>
    <w:p w:rsidR="00C943E5" w:rsidRPr="009C3A44" w:rsidRDefault="006E2BAB" w:rsidP="0075279A">
      <w:pPr>
        <w:pStyle w:val="Heading1"/>
        <w:rPr>
          <w:lang w:val="ru-RU"/>
        </w:rPr>
      </w:pPr>
      <w:r>
        <w:rPr>
          <w:lang w:val="ru-RU"/>
        </w:rPr>
        <w:lastRenderedPageBreak/>
        <w:t>ВВЕДЕНИЕ</w:t>
      </w:r>
    </w:p>
    <w:p w:rsidR="005765D5" w:rsidRPr="009C3A44" w:rsidRDefault="005765D5" w:rsidP="005765D5">
      <w:pPr>
        <w:rPr>
          <w:lang w:val="ru-RU"/>
        </w:rPr>
      </w:pPr>
    </w:p>
    <w:p w:rsidR="005765D5" w:rsidRPr="00922F52" w:rsidRDefault="001E5138" w:rsidP="004D63AC">
      <w:pPr>
        <w:rPr>
          <w:lang w:val="ru-RU"/>
        </w:rPr>
      </w:pPr>
      <w:r>
        <w:rPr>
          <w:lang w:val="ru-RU"/>
        </w:rPr>
        <w:t>Чили</w:t>
      </w:r>
      <w:r w:rsidRPr="001E5138">
        <w:rPr>
          <w:lang w:val="ru-RU"/>
        </w:rPr>
        <w:t xml:space="preserve"> </w:t>
      </w:r>
      <w:r>
        <w:rPr>
          <w:lang w:val="ru-RU"/>
        </w:rPr>
        <w:t>была</w:t>
      </w:r>
      <w:r w:rsidRPr="001E5138">
        <w:rPr>
          <w:lang w:val="ru-RU"/>
        </w:rPr>
        <w:t xml:space="preserve"> </w:t>
      </w:r>
      <w:r>
        <w:rPr>
          <w:lang w:val="ru-RU"/>
        </w:rPr>
        <w:t>одной</w:t>
      </w:r>
      <w:r w:rsidRPr="001E5138">
        <w:rPr>
          <w:lang w:val="ru-RU"/>
        </w:rPr>
        <w:t xml:space="preserve"> </w:t>
      </w:r>
      <w:r>
        <w:rPr>
          <w:lang w:val="ru-RU"/>
        </w:rPr>
        <w:t>из</w:t>
      </w:r>
      <w:r w:rsidRPr="001E5138">
        <w:rPr>
          <w:lang w:val="ru-RU"/>
        </w:rPr>
        <w:t xml:space="preserve"> </w:t>
      </w:r>
      <w:r>
        <w:rPr>
          <w:lang w:val="ru-RU"/>
        </w:rPr>
        <w:t>первых</w:t>
      </w:r>
      <w:r w:rsidRPr="001E5138">
        <w:rPr>
          <w:lang w:val="ru-RU"/>
        </w:rPr>
        <w:t xml:space="preserve"> </w:t>
      </w:r>
      <w:r>
        <w:rPr>
          <w:lang w:val="ru-RU"/>
        </w:rPr>
        <w:t>стран</w:t>
      </w:r>
      <w:r w:rsidRPr="001E5138">
        <w:rPr>
          <w:lang w:val="ru-RU"/>
        </w:rPr>
        <w:t xml:space="preserve">, </w:t>
      </w:r>
      <w:r>
        <w:rPr>
          <w:lang w:val="ru-RU"/>
        </w:rPr>
        <w:t>включенных</w:t>
      </w:r>
      <w:r w:rsidRPr="001E5138">
        <w:rPr>
          <w:lang w:val="ru-RU"/>
        </w:rPr>
        <w:t xml:space="preserve"> </w:t>
      </w:r>
      <w:r>
        <w:rPr>
          <w:lang w:val="ru-RU"/>
        </w:rPr>
        <w:t>в</w:t>
      </w:r>
      <w:r w:rsidRPr="001E5138">
        <w:rPr>
          <w:lang w:val="ru-RU"/>
        </w:rPr>
        <w:t xml:space="preserve"> </w:t>
      </w:r>
      <w:r>
        <w:rPr>
          <w:lang w:val="ru-RU"/>
        </w:rPr>
        <w:t>первый</w:t>
      </w:r>
      <w:r w:rsidRPr="001E5138">
        <w:rPr>
          <w:lang w:val="ru-RU"/>
        </w:rPr>
        <w:t xml:space="preserve"> </w:t>
      </w:r>
      <w:r>
        <w:rPr>
          <w:lang w:val="ru-RU"/>
        </w:rPr>
        <w:t>этап</w:t>
      </w:r>
      <w:r w:rsidRPr="001E5138">
        <w:rPr>
          <w:lang w:val="ru-RU"/>
        </w:rPr>
        <w:t xml:space="preserve"> </w:t>
      </w:r>
      <w:r>
        <w:rPr>
          <w:lang w:val="ru-RU"/>
        </w:rPr>
        <w:t>проекта</w:t>
      </w:r>
      <w:r w:rsidRPr="001E5138">
        <w:rPr>
          <w:lang w:val="ru-RU"/>
        </w:rPr>
        <w:t xml:space="preserve"> </w:t>
      </w:r>
      <w:r>
        <w:rPr>
          <w:lang w:val="ru-RU"/>
        </w:rPr>
        <w:t>КРИС</w:t>
      </w:r>
      <w:r w:rsidRPr="001E5138">
        <w:rPr>
          <w:lang w:val="ru-RU"/>
        </w:rPr>
        <w:t xml:space="preserve">, </w:t>
      </w:r>
      <w:r>
        <w:rPr>
          <w:lang w:val="ru-RU"/>
        </w:rPr>
        <w:t>касающегося</w:t>
      </w:r>
      <w:r w:rsidRPr="001E5138">
        <w:rPr>
          <w:lang w:val="ru-RU"/>
        </w:rPr>
        <w:t xml:space="preserve"> </w:t>
      </w:r>
      <w:r>
        <w:rPr>
          <w:lang w:val="ru-RU"/>
        </w:rPr>
        <w:t>ИС</w:t>
      </w:r>
      <w:r w:rsidRPr="001E5138">
        <w:rPr>
          <w:lang w:val="ru-RU"/>
        </w:rPr>
        <w:t xml:space="preserve"> </w:t>
      </w:r>
      <w:r>
        <w:rPr>
          <w:lang w:val="ru-RU"/>
        </w:rPr>
        <w:t>и</w:t>
      </w:r>
      <w:r w:rsidRPr="001E5138">
        <w:rPr>
          <w:lang w:val="ru-RU"/>
        </w:rPr>
        <w:t xml:space="preserve"> </w:t>
      </w:r>
      <w:r>
        <w:rPr>
          <w:lang w:val="ru-RU"/>
        </w:rPr>
        <w:t>социально</w:t>
      </w:r>
      <w:r w:rsidRPr="001E5138">
        <w:rPr>
          <w:lang w:val="ru-RU"/>
        </w:rPr>
        <w:t>-</w:t>
      </w:r>
      <w:r>
        <w:rPr>
          <w:lang w:val="ru-RU"/>
        </w:rPr>
        <w:t>экономического</w:t>
      </w:r>
      <w:r w:rsidRPr="001E5138">
        <w:rPr>
          <w:lang w:val="ru-RU"/>
        </w:rPr>
        <w:t xml:space="preserve"> </w:t>
      </w:r>
      <w:r>
        <w:rPr>
          <w:lang w:val="ru-RU"/>
        </w:rPr>
        <w:t>развития</w:t>
      </w:r>
      <w:r w:rsidR="005765D5" w:rsidRPr="001E5138">
        <w:rPr>
          <w:lang w:val="ru-RU"/>
        </w:rPr>
        <w:t xml:space="preserve"> (</w:t>
      </w:r>
      <w:r w:rsidR="005765D5">
        <w:t>CDIP</w:t>
      </w:r>
      <w:r w:rsidR="005765D5" w:rsidRPr="001E5138">
        <w:rPr>
          <w:lang w:val="ru-RU"/>
        </w:rPr>
        <w:t xml:space="preserve">/5/7).  </w:t>
      </w:r>
      <w:r>
        <w:rPr>
          <w:lang w:val="ru-RU"/>
        </w:rPr>
        <w:t>Как указано в заключительном докладе</w:t>
      </w:r>
      <w:r w:rsidR="005765D5" w:rsidRPr="001E5138">
        <w:rPr>
          <w:lang w:val="ru-RU"/>
        </w:rPr>
        <w:t xml:space="preserve"> (</w:t>
      </w:r>
      <w:r w:rsidR="005765D5">
        <w:t>CDIP</w:t>
      </w:r>
      <w:r w:rsidR="005765D5" w:rsidRPr="001E5138">
        <w:rPr>
          <w:lang w:val="ru-RU"/>
        </w:rPr>
        <w:t>/11/</w:t>
      </w:r>
      <w:r w:rsidR="005765D5">
        <w:t>INF</w:t>
      </w:r>
      <w:r w:rsidR="005765D5" w:rsidRPr="001E5138">
        <w:rPr>
          <w:lang w:val="ru-RU"/>
        </w:rPr>
        <w:t xml:space="preserve">/4), </w:t>
      </w:r>
      <w:r>
        <w:rPr>
          <w:lang w:val="ru-RU"/>
        </w:rPr>
        <w:t>первый</w:t>
      </w:r>
      <w:r w:rsidRPr="001E5138">
        <w:rPr>
          <w:lang w:val="ru-RU"/>
        </w:rPr>
        <w:t xml:space="preserve"> </w:t>
      </w:r>
      <w:r>
        <w:rPr>
          <w:lang w:val="ru-RU"/>
        </w:rPr>
        <w:t>этап</w:t>
      </w:r>
      <w:r w:rsidRPr="001E5138">
        <w:rPr>
          <w:lang w:val="ru-RU"/>
        </w:rPr>
        <w:t xml:space="preserve"> </w:t>
      </w:r>
      <w:r>
        <w:rPr>
          <w:lang w:val="ru-RU"/>
        </w:rPr>
        <w:t>состоял</w:t>
      </w:r>
      <w:r w:rsidRPr="001E5138">
        <w:rPr>
          <w:lang w:val="ru-RU"/>
        </w:rPr>
        <w:t xml:space="preserve"> </w:t>
      </w:r>
      <w:r>
        <w:rPr>
          <w:lang w:val="ru-RU"/>
        </w:rPr>
        <w:t>из</w:t>
      </w:r>
      <w:r w:rsidRPr="001E5138">
        <w:rPr>
          <w:lang w:val="ru-RU"/>
        </w:rPr>
        <w:t xml:space="preserve"> </w:t>
      </w:r>
      <w:r>
        <w:rPr>
          <w:lang w:val="ru-RU"/>
        </w:rPr>
        <w:t>усилий</w:t>
      </w:r>
      <w:r w:rsidRPr="001E5138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1E5138">
        <w:rPr>
          <w:lang w:val="ru-RU"/>
        </w:rPr>
        <w:t xml:space="preserve"> </w:t>
      </w:r>
      <w:r>
        <w:rPr>
          <w:lang w:val="ru-RU"/>
        </w:rPr>
        <w:t>института</w:t>
      </w:r>
      <w:r w:rsidRPr="001E5138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1E5138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E5138">
        <w:rPr>
          <w:lang w:val="ru-RU"/>
        </w:rPr>
        <w:t xml:space="preserve"> </w:t>
      </w:r>
      <w:r>
        <w:rPr>
          <w:lang w:val="ru-RU"/>
        </w:rPr>
        <w:t>Чили</w:t>
      </w:r>
      <w:r w:rsidR="005765D5" w:rsidRPr="001E5138">
        <w:rPr>
          <w:lang w:val="ru-RU"/>
        </w:rPr>
        <w:t xml:space="preserve"> </w:t>
      </w:r>
      <w:r w:rsidR="005A5135" w:rsidRPr="001E5138">
        <w:rPr>
          <w:lang w:val="ru-RU"/>
        </w:rPr>
        <w:t>(</w:t>
      </w:r>
      <w:r w:rsidR="005A5135">
        <w:t>INAPI</w:t>
      </w:r>
      <w:r w:rsidR="005A5135" w:rsidRPr="001E5138">
        <w:rPr>
          <w:lang w:val="ru-RU"/>
        </w:rPr>
        <w:t xml:space="preserve">) </w:t>
      </w:r>
      <w:r>
        <w:rPr>
          <w:lang w:val="ru-RU"/>
        </w:rPr>
        <w:t>и Всемирной организации интеллектуальной собственности (ВОИС) по созданию всеобъемлющей базы данных об использовании ИС в Чили</w:t>
      </w:r>
      <w:r w:rsidR="005A5135" w:rsidRPr="001E5138">
        <w:rPr>
          <w:lang w:val="ru-RU"/>
        </w:rPr>
        <w:t xml:space="preserve">.  </w:t>
      </w:r>
      <w:r w:rsidRPr="001E5138">
        <w:rPr>
          <w:lang w:val="ru-RU"/>
        </w:rPr>
        <w:t xml:space="preserve">В этой базе данных содержится информация обо всех поданных в Чили в период 1991-2010 гг. заявках на патенты, товарные знаки, полезные модели и </w:t>
      </w:r>
      <w:r>
        <w:rPr>
          <w:lang w:val="ru-RU"/>
        </w:rPr>
        <w:t>промышленные</w:t>
      </w:r>
      <w:r w:rsidRPr="001E5138">
        <w:rPr>
          <w:lang w:val="ru-RU"/>
        </w:rPr>
        <w:t xml:space="preserve"> образцы</w:t>
      </w:r>
      <w:r w:rsidR="005A5135" w:rsidRPr="001E5138">
        <w:rPr>
          <w:lang w:val="ru-RU"/>
        </w:rPr>
        <w:t xml:space="preserve">.  </w:t>
      </w:r>
      <w:r w:rsidRPr="001E5138">
        <w:rPr>
          <w:lang w:val="ru-RU"/>
        </w:rPr>
        <w:t>Одним ключевым результатом работы по созданию базы данных была унификация имен заявителей и уникальная идентификация заявителей для всех четырех видов ИС</w:t>
      </w:r>
      <w:r w:rsidR="005A5135" w:rsidRPr="001E5138">
        <w:rPr>
          <w:lang w:val="ru-RU"/>
        </w:rPr>
        <w:t xml:space="preserve">.  </w:t>
      </w:r>
      <w:r>
        <w:rPr>
          <w:lang w:val="ru-RU"/>
        </w:rPr>
        <w:t>Эта</w:t>
      </w:r>
      <w:r w:rsidRPr="001E5138">
        <w:rPr>
          <w:lang w:val="ru-RU"/>
        </w:rPr>
        <w:t xml:space="preserve"> </w:t>
      </w:r>
      <w:r>
        <w:rPr>
          <w:lang w:val="ru-RU"/>
        </w:rPr>
        <w:t>база</w:t>
      </w:r>
      <w:r w:rsidRPr="001E5138">
        <w:rPr>
          <w:lang w:val="ru-RU"/>
        </w:rPr>
        <w:t xml:space="preserve"> </w:t>
      </w:r>
      <w:r>
        <w:rPr>
          <w:lang w:val="ru-RU"/>
        </w:rPr>
        <w:t>данных</w:t>
      </w:r>
      <w:r w:rsidRPr="001E5138">
        <w:rPr>
          <w:lang w:val="ru-RU"/>
        </w:rPr>
        <w:t xml:space="preserve"> </w:t>
      </w:r>
      <w:r>
        <w:rPr>
          <w:lang w:val="ru-RU"/>
        </w:rPr>
        <w:t>позволила</w:t>
      </w:r>
      <w:r w:rsidRPr="001E5138">
        <w:rPr>
          <w:lang w:val="ru-RU"/>
        </w:rPr>
        <w:t xml:space="preserve"> </w:t>
      </w:r>
      <w:r>
        <w:rPr>
          <w:lang w:val="ru-RU"/>
        </w:rPr>
        <w:t>провести</w:t>
      </w:r>
      <w:r w:rsidRPr="001E5138">
        <w:rPr>
          <w:lang w:val="ru-RU"/>
        </w:rPr>
        <w:t xml:space="preserve"> </w:t>
      </w:r>
      <w:r>
        <w:rPr>
          <w:lang w:val="ru-RU"/>
        </w:rPr>
        <w:t>исследовательскую</w:t>
      </w:r>
      <w:r w:rsidRPr="001E5138">
        <w:rPr>
          <w:lang w:val="ru-RU"/>
        </w:rPr>
        <w:t xml:space="preserve"> </w:t>
      </w:r>
      <w:r>
        <w:rPr>
          <w:lang w:val="ru-RU"/>
        </w:rPr>
        <w:t>работу</w:t>
      </w:r>
      <w:r w:rsidRPr="001E5138">
        <w:rPr>
          <w:lang w:val="ru-RU"/>
        </w:rPr>
        <w:t xml:space="preserve"> </w:t>
      </w:r>
      <w:r>
        <w:rPr>
          <w:lang w:val="ru-RU"/>
        </w:rPr>
        <w:t>по</w:t>
      </w:r>
      <w:r w:rsidRPr="001E5138">
        <w:rPr>
          <w:lang w:val="ru-RU"/>
        </w:rPr>
        <w:t xml:space="preserve"> </w:t>
      </w:r>
      <w:r>
        <w:rPr>
          <w:lang w:val="ru-RU"/>
        </w:rPr>
        <w:t>вопросу</w:t>
      </w:r>
      <w:r w:rsidRPr="001E5138">
        <w:rPr>
          <w:lang w:val="ru-RU"/>
        </w:rPr>
        <w:t xml:space="preserve"> </w:t>
      </w:r>
      <w:r>
        <w:rPr>
          <w:lang w:val="ru-RU"/>
        </w:rPr>
        <w:t>о</w:t>
      </w:r>
      <w:r w:rsidRPr="001E5138">
        <w:rPr>
          <w:lang w:val="ru-RU"/>
        </w:rPr>
        <w:t xml:space="preserve"> </w:t>
      </w:r>
      <w:r>
        <w:rPr>
          <w:lang w:val="ru-RU"/>
        </w:rPr>
        <w:t>частотности</w:t>
      </w:r>
      <w:r w:rsidRPr="001E5138">
        <w:rPr>
          <w:lang w:val="ru-RU"/>
        </w:rPr>
        <w:t xml:space="preserve"> </w:t>
      </w:r>
      <w:r>
        <w:rPr>
          <w:lang w:val="ru-RU"/>
        </w:rPr>
        <w:t>и</w:t>
      </w:r>
      <w:r w:rsidRPr="001E5138">
        <w:rPr>
          <w:lang w:val="ru-RU"/>
        </w:rPr>
        <w:t xml:space="preserve"> </w:t>
      </w:r>
      <w:r>
        <w:rPr>
          <w:lang w:val="ru-RU"/>
        </w:rPr>
        <w:t>последствиях</w:t>
      </w:r>
      <w:r w:rsidRPr="001E5138">
        <w:rPr>
          <w:lang w:val="ru-RU"/>
        </w:rPr>
        <w:t xml:space="preserve"> </w:t>
      </w:r>
      <w:r>
        <w:rPr>
          <w:lang w:val="ru-RU"/>
        </w:rPr>
        <w:t>сквоттинга</w:t>
      </w:r>
      <w:r w:rsidRPr="001E5138">
        <w:rPr>
          <w:lang w:val="ru-RU"/>
        </w:rPr>
        <w:t xml:space="preserve"> </w:t>
      </w:r>
      <w:r>
        <w:rPr>
          <w:lang w:val="ru-RU"/>
        </w:rPr>
        <w:t>в</w:t>
      </w:r>
      <w:r w:rsidRPr="001E5138">
        <w:rPr>
          <w:lang w:val="ru-RU"/>
        </w:rPr>
        <w:t xml:space="preserve"> </w:t>
      </w:r>
      <w:r>
        <w:rPr>
          <w:lang w:val="ru-RU"/>
        </w:rPr>
        <w:t>сфере</w:t>
      </w:r>
      <w:r w:rsidRPr="001E5138">
        <w:rPr>
          <w:lang w:val="ru-RU"/>
        </w:rPr>
        <w:t xml:space="preserve"> </w:t>
      </w:r>
      <w:r>
        <w:rPr>
          <w:lang w:val="ru-RU"/>
        </w:rPr>
        <w:t>товарных</w:t>
      </w:r>
      <w:r w:rsidRPr="001E5138">
        <w:rPr>
          <w:lang w:val="ru-RU"/>
        </w:rPr>
        <w:t xml:space="preserve"> </w:t>
      </w:r>
      <w:r>
        <w:rPr>
          <w:lang w:val="ru-RU"/>
        </w:rPr>
        <w:t>знаков</w:t>
      </w:r>
      <w:r w:rsidR="005A5135" w:rsidRPr="001E5138">
        <w:rPr>
          <w:lang w:val="ru-RU"/>
        </w:rPr>
        <w:t xml:space="preserve"> </w:t>
      </w:r>
      <w:r>
        <w:rPr>
          <w:lang w:val="ru-RU"/>
        </w:rPr>
        <w:t>в Чили, а также о патентах в фармацевтическом секторе в Чили, которая также имела место на первом этапе проекта</w:t>
      </w:r>
      <w:r w:rsidR="0007282A" w:rsidRPr="001E5138">
        <w:rPr>
          <w:lang w:val="ru-RU"/>
        </w:rPr>
        <w:t xml:space="preserve"> </w:t>
      </w:r>
      <w:r w:rsidR="005A5135" w:rsidRPr="001E5138">
        <w:rPr>
          <w:lang w:val="ru-RU"/>
        </w:rPr>
        <w:t>(</w:t>
      </w:r>
      <w:r w:rsidR="005A5135">
        <w:t>CDIP</w:t>
      </w:r>
      <w:r w:rsidR="005A5135" w:rsidRPr="001E5138">
        <w:rPr>
          <w:lang w:val="ru-RU"/>
        </w:rPr>
        <w:t>/14/</w:t>
      </w:r>
      <w:r w:rsidR="005A5135">
        <w:t>INF</w:t>
      </w:r>
      <w:r w:rsidR="0007282A" w:rsidRPr="001E5138">
        <w:rPr>
          <w:lang w:val="ru-RU"/>
        </w:rPr>
        <w:t>/</w:t>
      </w:r>
      <w:r w:rsidR="005A5135" w:rsidRPr="001E5138">
        <w:rPr>
          <w:lang w:val="ru-RU"/>
        </w:rPr>
        <w:t>3</w:t>
      </w:r>
      <w:r w:rsidR="0007282A" w:rsidRPr="001E5138">
        <w:rPr>
          <w:lang w:val="ru-RU"/>
        </w:rPr>
        <w:t xml:space="preserve"> </w:t>
      </w:r>
      <w:r>
        <w:rPr>
          <w:lang w:val="ru-RU"/>
        </w:rPr>
        <w:t>и</w:t>
      </w:r>
      <w:r w:rsidR="0007282A" w:rsidRPr="001E5138">
        <w:rPr>
          <w:lang w:val="ru-RU"/>
        </w:rPr>
        <w:t xml:space="preserve"> </w:t>
      </w:r>
      <w:r w:rsidR="0007282A">
        <w:t>CDIP</w:t>
      </w:r>
      <w:r w:rsidR="0007282A" w:rsidRPr="001E5138">
        <w:rPr>
          <w:lang w:val="ru-RU"/>
        </w:rPr>
        <w:t>/15/</w:t>
      </w:r>
      <w:r w:rsidR="0007282A">
        <w:t>INF</w:t>
      </w:r>
      <w:r w:rsidR="0007282A" w:rsidRPr="001E5138">
        <w:rPr>
          <w:lang w:val="ru-RU"/>
        </w:rPr>
        <w:t xml:space="preserve">/2, </w:t>
      </w:r>
      <w:r>
        <w:rPr>
          <w:lang w:val="ru-RU"/>
        </w:rPr>
        <w:t>соответственно</w:t>
      </w:r>
      <w:r w:rsidR="005A5135" w:rsidRPr="001E5138">
        <w:rPr>
          <w:lang w:val="ru-RU"/>
        </w:rPr>
        <w:t>).</w:t>
      </w:r>
      <w:r w:rsidR="00370292" w:rsidRPr="001E5138">
        <w:rPr>
          <w:lang w:val="ru-RU"/>
        </w:rPr>
        <w:t xml:space="preserve"> </w:t>
      </w:r>
      <w:r>
        <w:rPr>
          <w:lang w:val="ru-RU"/>
        </w:rPr>
        <w:t>Еще</w:t>
      </w:r>
      <w:r w:rsidRPr="00922F52">
        <w:rPr>
          <w:lang w:val="ru-RU"/>
        </w:rPr>
        <w:t xml:space="preserve"> </w:t>
      </w:r>
      <w:r>
        <w:rPr>
          <w:lang w:val="ru-RU"/>
        </w:rPr>
        <w:t>одним</w:t>
      </w:r>
      <w:r w:rsidRPr="00922F52">
        <w:rPr>
          <w:lang w:val="ru-RU"/>
        </w:rPr>
        <w:t xml:space="preserve"> </w:t>
      </w:r>
      <w:r>
        <w:rPr>
          <w:lang w:val="ru-RU"/>
        </w:rPr>
        <w:t>результатом</w:t>
      </w:r>
      <w:r w:rsidRPr="00922F52">
        <w:rPr>
          <w:lang w:val="ru-RU"/>
        </w:rPr>
        <w:t xml:space="preserve"> </w:t>
      </w:r>
      <w:r>
        <w:rPr>
          <w:lang w:val="ru-RU"/>
        </w:rPr>
        <w:t>первого</w:t>
      </w:r>
      <w:r w:rsidRPr="00922F52">
        <w:rPr>
          <w:lang w:val="ru-RU"/>
        </w:rPr>
        <w:t xml:space="preserve"> </w:t>
      </w:r>
      <w:r>
        <w:rPr>
          <w:lang w:val="ru-RU"/>
        </w:rPr>
        <w:t>этапа</w:t>
      </w:r>
      <w:r w:rsidRPr="00922F52">
        <w:rPr>
          <w:lang w:val="ru-RU"/>
        </w:rPr>
        <w:t xml:space="preserve"> </w:t>
      </w:r>
      <w:r>
        <w:rPr>
          <w:lang w:val="ru-RU"/>
        </w:rPr>
        <w:t>проекта</w:t>
      </w:r>
      <w:r w:rsidR="00922F52" w:rsidRPr="00922F52">
        <w:rPr>
          <w:lang w:val="ru-RU"/>
        </w:rPr>
        <w:t xml:space="preserve"> </w:t>
      </w:r>
      <w:r w:rsidR="00922F52">
        <w:rPr>
          <w:lang w:val="ru-RU"/>
        </w:rPr>
        <w:t>стало</w:t>
      </w:r>
      <w:r w:rsidR="00922F52" w:rsidRPr="00922F52">
        <w:rPr>
          <w:lang w:val="ru-RU"/>
        </w:rPr>
        <w:t xml:space="preserve"> </w:t>
      </w:r>
      <w:r w:rsidR="00922F52">
        <w:rPr>
          <w:lang w:val="ru-RU"/>
        </w:rPr>
        <w:t>сопоставление</w:t>
      </w:r>
      <w:r w:rsidR="00922F52" w:rsidRPr="00922F52">
        <w:rPr>
          <w:lang w:val="ru-RU"/>
        </w:rPr>
        <w:t xml:space="preserve"> </w:t>
      </w:r>
      <w:r w:rsidR="00922F52">
        <w:rPr>
          <w:lang w:val="ru-RU"/>
        </w:rPr>
        <w:t>данных</w:t>
      </w:r>
      <w:r w:rsidR="00922F52" w:rsidRPr="00922F52">
        <w:rPr>
          <w:lang w:val="ru-RU"/>
        </w:rPr>
        <w:t xml:space="preserve"> </w:t>
      </w:r>
      <w:r w:rsidR="00922F52">
        <w:rPr>
          <w:lang w:val="ru-RU"/>
        </w:rPr>
        <w:t>об</w:t>
      </w:r>
      <w:r w:rsidR="00922F52" w:rsidRPr="00922F52">
        <w:rPr>
          <w:lang w:val="ru-RU"/>
        </w:rPr>
        <w:t xml:space="preserve"> </w:t>
      </w:r>
      <w:r w:rsidR="00922F52">
        <w:rPr>
          <w:lang w:val="ru-RU"/>
        </w:rPr>
        <w:t>использовании</w:t>
      </w:r>
      <w:r w:rsidR="00922F52" w:rsidRPr="00922F52">
        <w:rPr>
          <w:lang w:val="ru-RU"/>
        </w:rPr>
        <w:t xml:space="preserve"> </w:t>
      </w:r>
      <w:r w:rsidR="00922F52">
        <w:rPr>
          <w:lang w:val="ru-RU"/>
        </w:rPr>
        <w:t>ИС</w:t>
      </w:r>
      <w:r w:rsidR="00922F52" w:rsidRPr="00922F52">
        <w:rPr>
          <w:lang w:val="ru-RU"/>
        </w:rPr>
        <w:t xml:space="preserve"> </w:t>
      </w:r>
      <w:r w:rsidR="00922F52">
        <w:rPr>
          <w:lang w:val="ru-RU"/>
        </w:rPr>
        <w:t>с</w:t>
      </w:r>
      <w:r w:rsidR="00922F52" w:rsidRPr="00922F52">
        <w:rPr>
          <w:lang w:val="ru-RU"/>
        </w:rPr>
        <w:t xml:space="preserve"> </w:t>
      </w:r>
      <w:r w:rsidR="00922F52">
        <w:rPr>
          <w:lang w:val="ru-RU"/>
        </w:rPr>
        <w:t>данными</w:t>
      </w:r>
      <w:r w:rsidR="00922F52" w:rsidRPr="00922F52">
        <w:rPr>
          <w:lang w:val="ru-RU"/>
        </w:rPr>
        <w:t xml:space="preserve"> </w:t>
      </w:r>
      <w:r w:rsidR="00922F52">
        <w:rPr>
          <w:lang w:val="ru-RU"/>
        </w:rPr>
        <w:t>на</w:t>
      </w:r>
      <w:r w:rsidR="00922F52" w:rsidRPr="00922F52">
        <w:rPr>
          <w:lang w:val="ru-RU"/>
        </w:rPr>
        <w:t xml:space="preserve"> </w:t>
      </w:r>
      <w:r w:rsidR="00922F52">
        <w:rPr>
          <w:lang w:val="ru-RU"/>
        </w:rPr>
        <w:t>уровне</w:t>
      </w:r>
      <w:r w:rsidR="00922F52" w:rsidRPr="00922F52">
        <w:rPr>
          <w:lang w:val="ru-RU"/>
        </w:rPr>
        <w:t xml:space="preserve"> </w:t>
      </w:r>
      <w:r w:rsidR="00922F52">
        <w:rPr>
          <w:lang w:val="ru-RU"/>
        </w:rPr>
        <w:t>фирм</w:t>
      </w:r>
      <w:r w:rsidR="00922F52" w:rsidRPr="00922F52">
        <w:rPr>
          <w:lang w:val="ru-RU"/>
        </w:rPr>
        <w:t xml:space="preserve">, </w:t>
      </w:r>
      <w:r w:rsidR="00922F52">
        <w:rPr>
          <w:lang w:val="ru-RU"/>
        </w:rPr>
        <w:t>собранными Национальным статистическим институтом</w:t>
      </w:r>
      <w:r w:rsidR="00922F52" w:rsidRPr="00922F52">
        <w:rPr>
          <w:lang w:val="ru-RU"/>
        </w:rPr>
        <w:t xml:space="preserve"> </w:t>
      </w:r>
      <w:r w:rsidR="005A5135" w:rsidRPr="00922F52">
        <w:rPr>
          <w:lang w:val="ru-RU"/>
        </w:rPr>
        <w:t xml:space="preserve"> (</w:t>
      </w:r>
      <w:r w:rsidR="005A5135" w:rsidRPr="005A5135">
        <w:t>INE</w:t>
      </w:r>
      <w:r w:rsidR="005A5135" w:rsidRPr="00922F52">
        <w:rPr>
          <w:lang w:val="ru-RU"/>
        </w:rPr>
        <w:t>)</w:t>
      </w:r>
      <w:r w:rsidR="00922F52">
        <w:rPr>
          <w:lang w:val="ru-RU"/>
        </w:rPr>
        <w:t xml:space="preserve">, в частности в рамках производственной переписи </w:t>
      </w:r>
      <w:r w:rsidR="005A5135" w:rsidRPr="00922F52">
        <w:rPr>
          <w:lang w:val="ru-RU"/>
        </w:rPr>
        <w:t>(</w:t>
      </w:r>
      <w:r w:rsidR="005A5135" w:rsidRPr="005A5135">
        <w:t>ENIA</w:t>
      </w:r>
      <w:r w:rsidR="005A5135" w:rsidRPr="00922F52">
        <w:rPr>
          <w:lang w:val="ru-RU"/>
        </w:rPr>
        <w:t>)</w:t>
      </w:r>
      <w:r w:rsidR="00922F52">
        <w:rPr>
          <w:lang w:val="ru-RU"/>
        </w:rPr>
        <w:t>,</w:t>
      </w:r>
      <w:r w:rsidR="005A5135" w:rsidRPr="00922F52">
        <w:rPr>
          <w:lang w:val="ru-RU"/>
        </w:rPr>
        <w:t xml:space="preserve"> </w:t>
      </w:r>
      <w:r w:rsidR="00922F52">
        <w:rPr>
          <w:lang w:val="ru-RU"/>
        </w:rPr>
        <w:t>а также пяти раундов</w:t>
      </w:r>
      <w:r w:rsidR="005A5135" w:rsidRPr="00922F52">
        <w:rPr>
          <w:lang w:val="ru-RU"/>
        </w:rPr>
        <w:t xml:space="preserve"> (1997-2008</w:t>
      </w:r>
      <w:r w:rsidR="00922F52">
        <w:rPr>
          <w:lang w:val="ru-RU"/>
        </w:rPr>
        <w:t xml:space="preserve"> гг.</w:t>
      </w:r>
      <w:r w:rsidR="005A5135" w:rsidRPr="00922F52">
        <w:rPr>
          <w:lang w:val="ru-RU"/>
        </w:rPr>
        <w:t xml:space="preserve">) </w:t>
      </w:r>
      <w:r w:rsidR="00922F52">
        <w:rPr>
          <w:lang w:val="ru-RU"/>
        </w:rPr>
        <w:t>чилийского обследования по вопросам инноваций</w:t>
      </w:r>
      <w:r w:rsidR="005A5135" w:rsidRPr="00922F52">
        <w:rPr>
          <w:lang w:val="ru-RU"/>
        </w:rPr>
        <w:t xml:space="preserve"> (</w:t>
      </w:r>
      <w:r w:rsidR="005A5135" w:rsidRPr="005A5135">
        <w:t>INNOVACION</w:t>
      </w:r>
      <w:r w:rsidR="005A5135" w:rsidRPr="00922F52">
        <w:rPr>
          <w:lang w:val="ru-RU"/>
        </w:rPr>
        <w:t xml:space="preserve">).  </w:t>
      </w:r>
    </w:p>
    <w:p w:rsidR="005765D5" w:rsidRPr="00922F52" w:rsidRDefault="005765D5" w:rsidP="004D63AC">
      <w:pPr>
        <w:rPr>
          <w:lang w:val="ru-RU"/>
        </w:rPr>
      </w:pPr>
    </w:p>
    <w:p w:rsidR="004D63AC" w:rsidRPr="00280F59" w:rsidRDefault="00922F52" w:rsidP="004D63AC">
      <w:pPr>
        <w:rPr>
          <w:lang w:val="ru-RU"/>
        </w:rPr>
      </w:pPr>
      <w:r>
        <w:rPr>
          <w:lang w:val="ru-RU"/>
        </w:rPr>
        <w:t>Опираясь</w:t>
      </w:r>
      <w:r w:rsidRPr="00922F52">
        <w:rPr>
          <w:lang w:val="ru-RU"/>
        </w:rPr>
        <w:t xml:space="preserve"> </w:t>
      </w:r>
      <w:r>
        <w:rPr>
          <w:lang w:val="ru-RU"/>
        </w:rPr>
        <w:t>на</w:t>
      </w:r>
      <w:r w:rsidRPr="00922F52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922F52">
        <w:rPr>
          <w:lang w:val="ru-RU"/>
        </w:rPr>
        <w:t xml:space="preserve"> </w:t>
      </w:r>
      <w:r>
        <w:rPr>
          <w:lang w:val="ru-RU"/>
        </w:rPr>
        <w:t>первого</w:t>
      </w:r>
      <w:r w:rsidRPr="00922F52">
        <w:rPr>
          <w:lang w:val="ru-RU"/>
        </w:rPr>
        <w:t xml:space="preserve"> </w:t>
      </w:r>
      <w:r>
        <w:rPr>
          <w:lang w:val="ru-RU"/>
        </w:rPr>
        <w:t>этапа</w:t>
      </w:r>
      <w:r w:rsidR="005A5135" w:rsidRPr="00922F52">
        <w:rPr>
          <w:lang w:val="ru-RU"/>
        </w:rPr>
        <w:t xml:space="preserve">, </w:t>
      </w:r>
      <w:r>
        <w:rPr>
          <w:lang w:val="ru-RU"/>
        </w:rPr>
        <w:t>второй</w:t>
      </w:r>
      <w:r w:rsidRPr="00922F52">
        <w:rPr>
          <w:lang w:val="ru-RU"/>
        </w:rPr>
        <w:t xml:space="preserve"> </w:t>
      </w:r>
      <w:r>
        <w:rPr>
          <w:lang w:val="ru-RU"/>
        </w:rPr>
        <w:t>этап</w:t>
      </w:r>
      <w:r w:rsidRPr="00922F52">
        <w:rPr>
          <w:lang w:val="ru-RU"/>
        </w:rPr>
        <w:t xml:space="preserve"> </w:t>
      </w:r>
      <w:r>
        <w:rPr>
          <w:lang w:val="ru-RU"/>
        </w:rPr>
        <w:t>проекта</w:t>
      </w:r>
      <w:r w:rsidRPr="00922F52">
        <w:rPr>
          <w:lang w:val="ru-RU"/>
        </w:rPr>
        <w:t xml:space="preserve"> </w:t>
      </w:r>
      <w:r>
        <w:rPr>
          <w:lang w:val="ru-RU"/>
        </w:rPr>
        <w:t>состоял из проведения последующего исследования относительно того, что именно определяет использование системы ИС в Чили и в какой степени оно влияет на деятельность фирм</w:t>
      </w:r>
      <w:r w:rsidR="0081183B" w:rsidRPr="00922F52">
        <w:rPr>
          <w:lang w:val="ru-RU"/>
        </w:rPr>
        <w:t>.</w:t>
      </w:r>
      <w:r w:rsidR="00AC1841" w:rsidRPr="00922F52">
        <w:rPr>
          <w:lang w:val="ru-RU"/>
        </w:rPr>
        <w:t xml:space="preserve">  </w:t>
      </w:r>
      <w:r>
        <w:rPr>
          <w:lang w:val="ru-RU"/>
        </w:rPr>
        <w:t>Аналогичные</w:t>
      </w:r>
      <w:r w:rsidRPr="00922F52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922F52">
        <w:rPr>
          <w:lang w:val="ru-RU"/>
        </w:rPr>
        <w:t xml:space="preserve"> </w:t>
      </w:r>
      <w:r>
        <w:rPr>
          <w:lang w:val="ru-RU"/>
        </w:rPr>
        <w:t>проводились</w:t>
      </w:r>
      <w:r w:rsidRPr="00922F52">
        <w:rPr>
          <w:lang w:val="ru-RU"/>
        </w:rPr>
        <w:t xml:space="preserve"> </w:t>
      </w:r>
      <w:r>
        <w:rPr>
          <w:lang w:val="ru-RU"/>
        </w:rPr>
        <w:t>в</w:t>
      </w:r>
      <w:r w:rsidRPr="00922F52">
        <w:rPr>
          <w:lang w:val="ru-RU"/>
        </w:rPr>
        <w:t xml:space="preserve"> </w:t>
      </w:r>
      <w:r>
        <w:rPr>
          <w:lang w:val="ru-RU"/>
        </w:rPr>
        <w:t>отношении</w:t>
      </w:r>
      <w:r w:rsidRPr="00922F52">
        <w:rPr>
          <w:lang w:val="ru-RU"/>
        </w:rPr>
        <w:t xml:space="preserve"> </w:t>
      </w:r>
      <w:r>
        <w:rPr>
          <w:lang w:val="ru-RU"/>
        </w:rPr>
        <w:t>стран</w:t>
      </w:r>
      <w:r w:rsidRPr="00922F52">
        <w:rPr>
          <w:lang w:val="ru-RU"/>
        </w:rPr>
        <w:t xml:space="preserve"> </w:t>
      </w:r>
      <w:r>
        <w:rPr>
          <w:lang w:val="ru-RU"/>
        </w:rPr>
        <w:t>с</w:t>
      </w:r>
      <w:r w:rsidRPr="00922F52">
        <w:rPr>
          <w:lang w:val="ru-RU"/>
        </w:rPr>
        <w:t xml:space="preserve"> </w:t>
      </w:r>
      <w:r>
        <w:rPr>
          <w:lang w:val="ru-RU"/>
        </w:rPr>
        <w:t>высокими</w:t>
      </w:r>
      <w:r w:rsidRPr="00922F52">
        <w:rPr>
          <w:lang w:val="ru-RU"/>
        </w:rPr>
        <w:t xml:space="preserve"> </w:t>
      </w:r>
      <w:r>
        <w:rPr>
          <w:lang w:val="ru-RU"/>
        </w:rPr>
        <w:t>уровнями</w:t>
      </w:r>
      <w:r w:rsidRPr="00922F52">
        <w:rPr>
          <w:lang w:val="ru-RU"/>
        </w:rPr>
        <w:t xml:space="preserve"> </w:t>
      </w:r>
      <w:r>
        <w:rPr>
          <w:lang w:val="ru-RU"/>
        </w:rPr>
        <w:t>доходов</w:t>
      </w:r>
      <w:r w:rsidRPr="00922F52">
        <w:rPr>
          <w:lang w:val="ru-RU"/>
        </w:rPr>
        <w:t xml:space="preserve">, </w:t>
      </w:r>
      <w:r>
        <w:rPr>
          <w:lang w:val="ru-RU"/>
        </w:rPr>
        <w:t>в</w:t>
      </w:r>
      <w:r w:rsidRPr="00922F52">
        <w:rPr>
          <w:lang w:val="ru-RU"/>
        </w:rPr>
        <w:t xml:space="preserve"> </w:t>
      </w:r>
      <w:r>
        <w:rPr>
          <w:lang w:val="ru-RU"/>
        </w:rPr>
        <w:t>частности Соединенных Штатов и Соединенного Королевства</w:t>
      </w:r>
      <w:r w:rsidR="00AC1841">
        <w:rPr>
          <w:rStyle w:val="FootnoteReference"/>
        </w:rPr>
        <w:footnoteReference w:id="2"/>
      </w:r>
      <w:r>
        <w:rPr>
          <w:lang w:val="ru-RU"/>
        </w:rPr>
        <w:t>.</w:t>
      </w:r>
      <w:r w:rsidR="0083057A" w:rsidRPr="00922F52">
        <w:rPr>
          <w:lang w:val="ru-RU"/>
        </w:rPr>
        <w:t xml:space="preserve">  </w:t>
      </w:r>
      <w:r>
        <w:rPr>
          <w:lang w:val="ru-RU"/>
        </w:rPr>
        <w:t>Говоря</w:t>
      </w:r>
      <w:r w:rsidRPr="00922F52">
        <w:rPr>
          <w:lang w:val="ru-RU"/>
        </w:rPr>
        <w:t xml:space="preserve"> </w:t>
      </w:r>
      <w:r>
        <w:rPr>
          <w:lang w:val="ru-RU"/>
        </w:rPr>
        <w:t>вкратце</w:t>
      </w:r>
      <w:r w:rsidR="0083057A" w:rsidRPr="00922F52">
        <w:rPr>
          <w:lang w:val="ru-RU"/>
        </w:rPr>
        <w:t xml:space="preserve">, </w:t>
      </w:r>
      <w:r>
        <w:rPr>
          <w:lang w:val="ru-RU"/>
        </w:rPr>
        <w:t>они привели к выводу о том, что менее десяти процентов фирм в этих странах подают заявки на патенты</w:t>
      </w:r>
      <w:r w:rsidR="0083057A" w:rsidRPr="00922F52">
        <w:rPr>
          <w:lang w:val="ru-RU"/>
        </w:rPr>
        <w:t xml:space="preserve">, </w:t>
      </w:r>
      <w:r>
        <w:rPr>
          <w:lang w:val="ru-RU"/>
        </w:rPr>
        <w:t>и чуть более высокими являются показатели в отношении товарных знаков</w:t>
      </w:r>
      <w:r w:rsidR="0083057A" w:rsidRPr="00922F52">
        <w:rPr>
          <w:lang w:val="ru-RU"/>
        </w:rPr>
        <w:t xml:space="preserve">.  </w:t>
      </w:r>
      <w:r w:rsidR="00280F59">
        <w:rPr>
          <w:lang w:val="ru-RU"/>
        </w:rPr>
        <w:t>Данные, полученные из стран с высокими уровнями доходов, также наводят на мысль о том, что фирмы, пользующиеся патентами и товарными знаками, обычно отличаются более высокой производительностью и</w:t>
      </w:r>
      <w:r w:rsidR="0083057A" w:rsidRPr="00280F59">
        <w:rPr>
          <w:lang w:val="ru-RU"/>
        </w:rPr>
        <w:t xml:space="preserve"> </w:t>
      </w:r>
      <w:r w:rsidR="00280F59">
        <w:rPr>
          <w:lang w:val="ru-RU"/>
        </w:rPr>
        <w:t>более высокой стоимостью</w:t>
      </w:r>
      <w:r w:rsidR="0083057A" w:rsidRPr="00280F59">
        <w:rPr>
          <w:lang w:val="ru-RU"/>
        </w:rPr>
        <w:t xml:space="preserve">.  </w:t>
      </w:r>
      <w:r w:rsidR="00280F59">
        <w:rPr>
          <w:lang w:val="ru-RU"/>
        </w:rPr>
        <w:t>Главная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цель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нового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исследования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в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Чили</w:t>
      </w:r>
      <w:r w:rsidR="00820FFE" w:rsidRPr="00280F59">
        <w:rPr>
          <w:lang w:val="ru-RU"/>
        </w:rPr>
        <w:t xml:space="preserve"> – </w:t>
      </w:r>
      <w:r w:rsidR="00280F59">
        <w:rPr>
          <w:lang w:val="ru-RU"/>
        </w:rPr>
        <w:t>первого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исследования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такого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рода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в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стране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со средним уровнем доходов</w:t>
      </w:r>
      <w:r w:rsidR="00820FFE" w:rsidRPr="00280F59">
        <w:rPr>
          <w:lang w:val="ru-RU"/>
        </w:rPr>
        <w:t xml:space="preserve"> – </w:t>
      </w:r>
      <w:r w:rsidR="00280F59">
        <w:rPr>
          <w:lang w:val="ru-RU"/>
        </w:rPr>
        <w:t>заключалась в анализе того, в каком отношении результаты будут хоть в чем-то иными</w:t>
      </w:r>
      <w:r w:rsidR="00820FFE" w:rsidRPr="00280F59">
        <w:rPr>
          <w:lang w:val="ru-RU"/>
        </w:rPr>
        <w:t>.</w:t>
      </w:r>
      <w:r w:rsidR="00BF75C3" w:rsidRPr="00280F59">
        <w:rPr>
          <w:lang w:val="ru-RU"/>
        </w:rPr>
        <w:t xml:space="preserve">  </w:t>
      </w:r>
      <w:r w:rsidR="00280F59">
        <w:rPr>
          <w:lang w:val="ru-RU"/>
        </w:rPr>
        <w:t>При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проведении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исследования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в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основу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было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положено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сопоставление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данных</w:t>
      </w:r>
      <w:r w:rsidR="00280F59" w:rsidRPr="00280F59">
        <w:rPr>
          <w:lang w:val="ru-RU"/>
        </w:rPr>
        <w:t xml:space="preserve"> </w:t>
      </w:r>
      <w:r w:rsidR="00280F59">
        <w:rPr>
          <w:lang w:val="ru-RU"/>
        </w:rPr>
        <w:t>об использовании ИС с данными об эффективности деятельности фирм, проведенное в ходе первого этапа проекта</w:t>
      </w:r>
      <w:r w:rsidR="00BF75C3" w:rsidRPr="00280F59">
        <w:rPr>
          <w:lang w:val="ru-RU"/>
        </w:rPr>
        <w:t>.</w:t>
      </w:r>
    </w:p>
    <w:p w:rsidR="005A5135" w:rsidRPr="00280F59" w:rsidRDefault="005A5135" w:rsidP="004D63AC">
      <w:pPr>
        <w:rPr>
          <w:lang w:val="ru-RU"/>
        </w:rPr>
      </w:pPr>
    </w:p>
    <w:p w:rsidR="004D63AC" w:rsidRPr="00102C37" w:rsidRDefault="00280F59" w:rsidP="004D63AC">
      <w:pPr>
        <w:rPr>
          <w:lang w:val="ru-RU"/>
        </w:rPr>
      </w:pPr>
      <w:r>
        <w:rPr>
          <w:lang w:val="ru-RU"/>
        </w:rPr>
        <w:t>Настоящее</w:t>
      </w:r>
      <w:r w:rsidRPr="00280F59">
        <w:rPr>
          <w:lang w:val="ru-RU"/>
        </w:rPr>
        <w:t xml:space="preserve"> </w:t>
      </w:r>
      <w:r>
        <w:rPr>
          <w:lang w:val="ru-RU"/>
        </w:rPr>
        <w:t>резюме</w:t>
      </w:r>
      <w:r w:rsidRPr="00280F59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280F59">
        <w:rPr>
          <w:lang w:val="ru-RU"/>
        </w:rPr>
        <w:t xml:space="preserve"> </w:t>
      </w:r>
      <w:r>
        <w:rPr>
          <w:lang w:val="ru-RU"/>
        </w:rPr>
        <w:t>собой</w:t>
      </w:r>
      <w:r w:rsidRPr="00280F59">
        <w:rPr>
          <w:lang w:val="ru-RU"/>
        </w:rPr>
        <w:t xml:space="preserve"> </w:t>
      </w:r>
      <w:r>
        <w:rPr>
          <w:lang w:val="ru-RU"/>
        </w:rPr>
        <w:t>краткий</w:t>
      </w:r>
      <w:r w:rsidRPr="00280F59">
        <w:rPr>
          <w:lang w:val="ru-RU"/>
        </w:rPr>
        <w:t xml:space="preserve"> </w:t>
      </w:r>
      <w:r>
        <w:rPr>
          <w:lang w:val="ru-RU"/>
        </w:rPr>
        <w:t>обзор</w:t>
      </w:r>
      <w:r w:rsidRPr="00280F59">
        <w:rPr>
          <w:lang w:val="ru-RU"/>
        </w:rPr>
        <w:t xml:space="preserve"> </w:t>
      </w:r>
      <w:r>
        <w:rPr>
          <w:lang w:val="ru-RU"/>
        </w:rPr>
        <w:t>исследования, проведенного на втором этапе проекта</w:t>
      </w:r>
      <w:r w:rsidR="002E0695" w:rsidRPr="00280F59">
        <w:rPr>
          <w:lang w:val="ru-RU"/>
        </w:rPr>
        <w:t xml:space="preserve">.  </w:t>
      </w:r>
      <w:r>
        <w:rPr>
          <w:lang w:val="ru-RU"/>
        </w:rPr>
        <w:t>В</w:t>
      </w:r>
      <w:r w:rsidRPr="00102C37">
        <w:rPr>
          <w:lang w:val="ru-RU"/>
        </w:rPr>
        <w:t xml:space="preserve"> </w:t>
      </w:r>
      <w:r>
        <w:rPr>
          <w:lang w:val="ru-RU"/>
        </w:rPr>
        <w:t>нем</w:t>
      </w:r>
      <w:r w:rsidRPr="00102C37">
        <w:rPr>
          <w:lang w:val="ru-RU"/>
        </w:rPr>
        <w:t xml:space="preserve"> </w:t>
      </w:r>
      <w:r>
        <w:rPr>
          <w:lang w:val="ru-RU"/>
        </w:rPr>
        <w:t>описываются</w:t>
      </w:r>
      <w:r w:rsidRPr="00102C37">
        <w:rPr>
          <w:lang w:val="ru-RU"/>
        </w:rPr>
        <w:t xml:space="preserve"> </w:t>
      </w:r>
      <w:r>
        <w:rPr>
          <w:lang w:val="ru-RU"/>
        </w:rPr>
        <w:t>уникальные</w:t>
      </w:r>
      <w:r w:rsidRPr="00102C37">
        <w:rPr>
          <w:lang w:val="ru-RU"/>
        </w:rPr>
        <w:t xml:space="preserve"> </w:t>
      </w:r>
      <w:r>
        <w:rPr>
          <w:lang w:val="ru-RU"/>
        </w:rPr>
        <w:t>особенности</w:t>
      </w:r>
      <w:r w:rsidRPr="00102C37">
        <w:rPr>
          <w:lang w:val="ru-RU"/>
        </w:rPr>
        <w:t xml:space="preserve"> </w:t>
      </w:r>
      <w:r>
        <w:rPr>
          <w:lang w:val="ru-RU"/>
        </w:rPr>
        <w:t>базы</w:t>
      </w:r>
      <w:r w:rsidRPr="00102C37">
        <w:rPr>
          <w:lang w:val="ru-RU"/>
        </w:rPr>
        <w:t xml:space="preserve"> </w:t>
      </w:r>
      <w:r>
        <w:rPr>
          <w:lang w:val="ru-RU"/>
        </w:rPr>
        <w:t>микроданных</w:t>
      </w:r>
      <w:r w:rsidRPr="00102C37">
        <w:rPr>
          <w:lang w:val="ru-RU"/>
        </w:rPr>
        <w:t xml:space="preserve">, </w:t>
      </w:r>
      <w:r>
        <w:rPr>
          <w:lang w:val="ru-RU"/>
        </w:rPr>
        <w:t>созданной</w:t>
      </w:r>
      <w:r w:rsidRPr="00102C37">
        <w:rPr>
          <w:lang w:val="ru-RU"/>
        </w:rPr>
        <w:t xml:space="preserve"> </w:t>
      </w:r>
      <w:r>
        <w:rPr>
          <w:lang w:val="ru-RU"/>
        </w:rPr>
        <w:t>в</w:t>
      </w:r>
      <w:r w:rsidRPr="00102C37">
        <w:rPr>
          <w:lang w:val="ru-RU"/>
        </w:rPr>
        <w:t xml:space="preserve"> </w:t>
      </w:r>
      <w:r>
        <w:rPr>
          <w:lang w:val="ru-RU"/>
        </w:rPr>
        <w:t>Чили</w:t>
      </w:r>
      <w:r w:rsidR="00A81376" w:rsidRPr="00102C37">
        <w:rPr>
          <w:lang w:val="ru-RU"/>
        </w:rPr>
        <w:t>,</w:t>
      </w:r>
      <w:r w:rsidR="002E0695" w:rsidRPr="00102C37">
        <w:rPr>
          <w:lang w:val="ru-RU"/>
        </w:rPr>
        <w:t xml:space="preserve"> </w:t>
      </w:r>
      <w:r w:rsidR="00102C37">
        <w:rPr>
          <w:lang w:val="ru-RU"/>
        </w:rPr>
        <w:t>излагается использовавшийся эмпирический подход</w:t>
      </w:r>
      <w:r w:rsidR="002E0695" w:rsidRPr="00102C37">
        <w:rPr>
          <w:lang w:val="ru-RU"/>
        </w:rPr>
        <w:t xml:space="preserve">, </w:t>
      </w:r>
      <w:r w:rsidR="00102C37">
        <w:rPr>
          <w:lang w:val="ru-RU"/>
        </w:rPr>
        <w:t>резюмируются главные результаты</w:t>
      </w:r>
      <w:r w:rsidR="002E0695" w:rsidRPr="00102C37">
        <w:rPr>
          <w:lang w:val="ru-RU"/>
        </w:rPr>
        <w:t xml:space="preserve"> </w:t>
      </w:r>
      <w:r w:rsidR="00102C37">
        <w:rPr>
          <w:lang w:val="ru-RU"/>
        </w:rPr>
        <w:t>и указывается на некоторые извлеченные уроки</w:t>
      </w:r>
      <w:r w:rsidR="00DF12CF" w:rsidRPr="00102C37">
        <w:rPr>
          <w:lang w:val="ru-RU"/>
        </w:rPr>
        <w:t>.</w:t>
      </w:r>
    </w:p>
    <w:p w:rsidR="00C943E5" w:rsidRPr="00102C37" w:rsidRDefault="00C943E5">
      <w:pPr>
        <w:rPr>
          <w:lang w:val="ru-RU"/>
        </w:rPr>
      </w:pPr>
    </w:p>
    <w:p w:rsidR="00C943E5" w:rsidRPr="00102C37" w:rsidRDefault="00102C37" w:rsidP="0075279A">
      <w:pPr>
        <w:pStyle w:val="Heading2"/>
        <w:rPr>
          <w:b/>
          <w:lang w:val="ru-RU"/>
        </w:rPr>
      </w:pPr>
      <w:r>
        <w:rPr>
          <w:b/>
          <w:lang w:val="ru-RU"/>
        </w:rPr>
        <w:t xml:space="preserve">БАЗА МИКРОДАННЫХ ОБ ИСПОЛЬЗОВАНИИ ИС И О РЕЗУЛЬТАТИВНОСТИ ДЕЯТЕЛЬНОСТИ ФИРМ </w:t>
      </w:r>
    </w:p>
    <w:p w:rsidR="00C943E5" w:rsidRPr="00102C37" w:rsidRDefault="00C943E5">
      <w:pPr>
        <w:rPr>
          <w:lang w:val="ru-RU"/>
        </w:rPr>
      </w:pPr>
    </w:p>
    <w:p w:rsidR="00C943E5" w:rsidRPr="00B90EE3" w:rsidRDefault="00B90EE3" w:rsidP="004D63AC">
      <w:pPr>
        <w:rPr>
          <w:lang w:val="ru-RU"/>
        </w:rPr>
      </w:pPr>
      <w:r>
        <w:rPr>
          <w:lang w:val="ru-RU"/>
        </w:rPr>
        <w:t>База</w:t>
      </w:r>
      <w:r w:rsidRPr="00B90EE3">
        <w:rPr>
          <w:lang w:val="ru-RU"/>
        </w:rPr>
        <w:t xml:space="preserve"> </w:t>
      </w:r>
      <w:r>
        <w:rPr>
          <w:lang w:val="ru-RU"/>
        </w:rPr>
        <w:t>микроданных</w:t>
      </w:r>
      <w:r w:rsidRPr="00B90EE3">
        <w:rPr>
          <w:lang w:val="ru-RU"/>
        </w:rPr>
        <w:t xml:space="preserve">, </w:t>
      </w:r>
      <w:r>
        <w:rPr>
          <w:lang w:val="ru-RU"/>
        </w:rPr>
        <w:t>созданная</w:t>
      </w:r>
      <w:r w:rsidRPr="00B90EE3">
        <w:rPr>
          <w:lang w:val="ru-RU"/>
        </w:rPr>
        <w:t xml:space="preserve"> </w:t>
      </w:r>
      <w:r>
        <w:rPr>
          <w:lang w:val="ru-RU"/>
        </w:rPr>
        <w:t>на</w:t>
      </w:r>
      <w:r w:rsidRPr="00B90EE3">
        <w:rPr>
          <w:lang w:val="ru-RU"/>
        </w:rPr>
        <w:t xml:space="preserve"> </w:t>
      </w:r>
      <w:r>
        <w:rPr>
          <w:lang w:val="ru-RU"/>
        </w:rPr>
        <w:t>первом</w:t>
      </w:r>
      <w:r w:rsidRPr="00B90EE3">
        <w:rPr>
          <w:lang w:val="ru-RU"/>
        </w:rPr>
        <w:t xml:space="preserve"> </w:t>
      </w:r>
      <w:r>
        <w:rPr>
          <w:lang w:val="ru-RU"/>
        </w:rPr>
        <w:t>этапе</w:t>
      </w:r>
      <w:r w:rsidRPr="00B90EE3">
        <w:rPr>
          <w:lang w:val="ru-RU"/>
        </w:rPr>
        <w:t xml:space="preserve">, </w:t>
      </w:r>
      <w:r>
        <w:rPr>
          <w:lang w:val="ru-RU"/>
        </w:rPr>
        <w:t>объединяет три различных источника данных</w:t>
      </w:r>
      <w:r w:rsidR="002F319E" w:rsidRPr="00B90EE3">
        <w:rPr>
          <w:lang w:val="ru-RU"/>
        </w:rPr>
        <w:t>:</w:t>
      </w:r>
    </w:p>
    <w:p w:rsidR="002F319E" w:rsidRPr="00B90EE3" w:rsidRDefault="002F319E" w:rsidP="004D63AC">
      <w:pPr>
        <w:rPr>
          <w:lang w:val="ru-RU"/>
        </w:rPr>
      </w:pPr>
    </w:p>
    <w:p w:rsidR="00C943E5" w:rsidRPr="00B90EE3" w:rsidRDefault="00B90EE3" w:rsidP="00822288">
      <w:pPr>
        <w:pStyle w:val="ListParagraph"/>
        <w:numPr>
          <w:ilvl w:val="0"/>
          <w:numId w:val="7"/>
        </w:numPr>
        <w:spacing w:after="240"/>
        <w:contextualSpacing w:val="0"/>
        <w:rPr>
          <w:lang w:val="ru-RU"/>
        </w:rPr>
      </w:pPr>
      <w:r>
        <w:rPr>
          <w:b/>
          <w:lang w:val="ru-RU"/>
        </w:rPr>
        <w:t>данные</w:t>
      </w:r>
      <w:r w:rsidRPr="00B90EE3">
        <w:rPr>
          <w:b/>
          <w:lang w:val="ru-RU"/>
        </w:rPr>
        <w:t xml:space="preserve"> </w:t>
      </w:r>
      <w:r w:rsidR="002D2587" w:rsidRPr="00822288">
        <w:rPr>
          <w:b/>
        </w:rPr>
        <w:t>INAPI</w:t>
      </w:r>
      <w:r w:rsidR="002D2587" w:rsidRPr="00B90EE3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B90EE3">
        <w:rPr>
          <w:b/>
          <w:lang w:val="ru-RU"/>
        </w:rPr>
        <w:t xml:space="preserve"> </w:t>
      </w:r>
      <w:r>
        <w:rPr>
          <w:b/>
          <w:lang w:val="ru-RU"/>
        </w:rPr>
        <w:t>области</w:t>
      </w:r>
      <w:r w:rsidRPr="00B90EE3">
        <w:rPr>
          <w:b/>
          <w:lang w:val="ru-RU"/>
        </w:rPr>
        <w:t xml:space="preserve"> </w:t>
      </w:r>
      <w:r>
        <w:rPr>
          <w:b/>
          <w:lang w:val="ru-RU"/>
        </w:rPr>
        <w:t>ИС</w:t>
      </w:r>
      <w:r w:rsidRPr="00B90EE3">
        <w:rPr>
          <w:b/>
          <w:lang w:val="ru-RU"/>
        </w:rPr>
        <w:t>:</w:t>
      </w:r>
      <w:r w:rsidR="002D2587" w:rsidRPr="00B90EE3">
        <w:rPr>
          <w:lang w:val="ru-RU"/>
        </w:rPr>
        <w:t xml:space="preserve">  </w:t>
      </w:r>
      <w:r>
        <w:rPr>
          <w:lang w:val="ru-RU"/>
        </w:rPr>
        <w:t>данные</w:t>
      </w:r>
      <w:r w:rsidRPr="00B90EE3">
        <w:rPr>
          <w:lang w:val="ru-RU"/>
        </w:rPr>
        <w:t xml:space="preserve"> </w:t>
      </w:r>
      <w:r>
        <w:rPr>
          <w:lang w:val="ru-RU"/>
        </w:rPr>
        <w:t>о</w:t>
      </w:r>
      <w:r w:rsidRPr="00B90EE3">
        <w:rPr>
          <w:lang w:val="ru-RU"/>
        </w:rPr>
        <w:t xml:space="preserve"> </w:t>
      </w:r>
      <w:r>
        <w:rPr>
          <w:lang w:val="ru-RU"/>
        </w:rPr>
        <w:t>патентах</w:t>
      </w:r>
      <w:r w:rsidRPr="00B90EE3">
        <w:rPr>
          <w:lang w:val="ru-RU"/>
        </w:rPr>
        <w:t xml:space="preserve">, </w:t>
      </w:r>
      <w:r>
        <w:rPr>
          <w:lang w:val="ru-RU"/>
        </w:rPr>
        <w:t>полезных</w:t>
      </w:r>
      <w:r w:rsidRPr="00B90EE3">
        <w:rPr>
          <w:lang w:val="ru-RU"/>
        </w:rPr>
        <w:t xml:space="preserve"> </w:t>
      </w:r>
      <w:r>
        <w:rPr>
          <w:lang w:val="ru-RU"/>
        </w:rPr>
        <w:t>моделях</w:t>
      </w:r>
      <w:r w:rsidRPr="00B90EE3">
        <w:rPr>
          <w:lang w:val="ru-RU"/>
        </w:rPr>
        <w:t xml:space="preserve">, </w:t>
      </w:r>
      <w:r>
        <w:rPr>
          <w:lang w:val="ru-RU"/>
        </w:rPr>
        <w:t>промышленных</w:t>
      </w:r>
      <w:r w:rsidRPr="00B90EE3">
        <w:rPr>
          <w:lang w:val="ru-RU"/>
        </w:rPr>
        <w:t xml:space="preserve"> </w:t>
      </w:r>
      <w:r>
        <w:rPr>
          <w:lang w:val="ru-RU"/>
        </w:rPr>
        <w:t>образцах</w:t>
      </w:r>
      <w:r w:rsidRPr="00B90EE3">
        <w:rPr>
          <w:lang w:val="ru-RU"/>
        </w:rPr>
        <w:t xml:space="preserve"> </w:t>
      </w:r>
      <w:r>
        <w:rPr>
          <w:lang w:val="ru-RU"/>
        </w:rPr>
        <w:t>и</w:t>
      </w:r>
      <w:r w:rsidRPr="00B90EE3">
        <w:rPr>
          <w:lang w:val="ru-RU"/>
        </w:rPr>
        <w:t xml:space="preserve"> </w:t>
      </w:r>
      <w:r>
        <w:rPr>
          <w:lang w:val="ru-RU"/>
        </w:rPr>
        <w:t>товарных</w:t>
      </w:r>
      <w:r w:rsidRPr="00B90EE3">
        <w:rPr>
          <w:lang w:val="ru-RU"/>
        </w:rPr>
        <w:t xml:space="preserve"> </w:t>
      </w:r>
      <w:r>
        <w:rPr>
          <w:lang w:val="ru-RU"/>
        </w:rPr>
        <w:t>знаках содержат библиографическую информацию, равно как и  информацию</w:t>
      </w:r>
      <w:r w:rsidR="002D2587" w:rsidRPr="00B90EE3">
        <w:rPr>
          <w:lang w:val="ru-RU"/>
        </w:rPr>
        <w:t xml:space="preserve"> </w:t>
      </w:r>
      <w:r>
        <w:rPr>
          <w:lang w:val="ru-RU"/>
        </w:rPr>
        <w:t>о ходе рассмотрения заявок и юридическом статусе прав ИС.  Имена</w:t>
      </w:r>
      <w:r w:rsidRPr="00B90EE3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B90EE3">
        <w:rPr>
          <w:lang w:val="ru-RU"/>
        </w:rPr>
        <w:t xml:space="preserve"> </w:t>
      </w:r>
      <w:r>
        <w:rPr>
          <w:lang w:val="ru-RU"/>
        </w:rPr>
        <w:t>были</w:t>
      </w:r>
      <w:r w:rsidRPr="00B90EE3">
        <w:rPr>
          <w:lang w:val="ru-RU"/>
        </w:rPr>
        <w:t xml:space="preserve"> </w:t>
      </w:r>
      <w:r>
        <w:rPr>
          <w:lang w:val="ru-RU"/>
        </w:rPr>
        <w:t>унифицированы</w:t>
      </w:r>
      <w:r w:rsidRPr="00B90EE3">
        <w:rPr>
          <w:lang w:val="ru-RU"/>
        </w:rPr>
        <w:t xml:space="preserve"> </w:t>
      </w:r>
      <w:r>
        <w:rPr>
          <w:lang w:val="ru-RU"/>
        </w:rPr>
        <w:t xml:space="preserve">с использованием алгоритмов сопоставления имен, чилийского </w:t>
      </w:r>
      <w:r w:rsidR="008035CE">
        <w:rPr>
          <w:lang w:val="ru-RU"/>
        </w:rPr>
        <w:t>национального налогового идентификатора</w:t>
      </w:r>
      <w:r w:rsidR="002D2587" w:rsidRPr="00B90EE3">
        <w:rPr>
          <w:lang w:val="ru-RU"/>
        </w:rPr>
        <w:t xml:space="preserve"> </w:t>
      </w:r>
      <w:r w:rsidRPr="00B90EE3">
        <w:rPr>
          <w:lang w:val="ru-RU"/>
        </w:rPr>
        <w:t>(</w:t>
      </w:r>
      <w:r>
        <w:t>RUT</w:t>
      </w:r>
      <w:r w:rsidRPr="00B90EE3">
        <w:rPr>
          <w:lang w:val="ru-RU"/>
        </w:rPr>
        <w:t xml:space="preserve">) </w:t>
      </w:r>
      <w:r w:rsidR="008035CE">
        <w:rPr>
          <w:lang w:val="ru-RU"/>
        </w:rPr>
        <w:t>и неавтоматизированного контроля</w:t>
      </w:r>
      <w:r w:rsidRPr="00B90EE3">
        <w:rPr>
          <w:lang w:val="ru-RU"/>
        </w:rPr>
        <w:t>;</w:t>
      </w:r>
      <w:r w:rsidR="00822288" w:rsidRPr="00B90EE3">
        <w:rPr>
          <w:lang w:val="ru-RU"/>
        </w:rPr>
        <w:t xml:space="preserve">  </w:t>
      </w:r>
    </w:p>
    <w:p w:rsidR="00822288" w:rsidRPr="008035CE" w:rsidRDefault="00B90EE3" w:rsidP="00822288">
      <w:pPr>
        <w:pStyle w:val="ListParagraph"/>
        <w:numPr>
          <w:ilvl w:val="0"/>
          <w:numId w:val="7"/>
        </w:numPr>
        <w:spacing w:after="240"/>
        <w:contextualSpacing w:val="0"/>
        <w:rPr>
          <w:lang w:val="ru-RU"/>
        </w:rPr>
      </w:pPr>
      <w:r>
        <w:rPr>
          <w:b/>
          <w:lang w:val="ru-RU"/>
        </w:rPr>
        <w:t>производственная</w:t>
      </w:r>
      <w:r w:rsidRPr="008035CE">
        <w:rPr>
          <w:b/>
          <w:lang w:val="ru-RU"/>
        </w:rPr>
        <w:t xml:space="preserve"> </w:t>
      </w:r>
      <w:r>
        <w:rPr>
          <w:b/>
          <w:lang w:val="ru-RU"/>
        </w:rPr>
        <w:t>перепись</w:t>
      </w:r>
      <w:r w:rsidRPr="008035CE">
        <w:rPr>
          <w:b/>
          <w:lang w:val="ru-RU"/>
        </w:rPr>
        <w:t xml:space="preserve"> (</w:t>
      </w:r>
      <w:r>
        <w:rPr>
          <w:b/>
        </w:rPr>
        <w:t>ENIA</w:t>
      </w:r>
      <w:r w:rsidRPr="008035CE">
        <w:rPr>
          <w:b/>
          <w:lang w:val="ru-RU"/>
        </w:rPr>
        <w:t>):</w:t>
      </w:r>
      <w:r w:rsidR="00822288" w:rsidRPr="008035CE">
        <w:rPr>
          <w:lang w:val="ru-RU"/>
        </w:rPr>
        <w:t xml:space="preserve">  </w:t>
      </w:r>
      <w:r w:rsidR="008035CE">
        <w:rPr>
          <w:lang w:val="ru-RU"/>
        </w:rPr>
        <w:t>чилийская</w:t>
      </w:r>
      <w:r w:rsidR="008035CE" w:rsidRPr="008035CE">
        <w:rPr>
          <w:lang w:val="ru-RU"/>
        </w:rPr>
        <w:t xml:space="preserve"> </w:t>
      </w:r>
      <w:r w:rsidR="008035CE">
        <w:rPr>
          <w:lang w:val="ru-RU"/>
        </w:rPr>
        <w:t>производственная</w:t>
      </w:r>
      <w:r w:rsidR="008035CE" w:rsidRPr="008035CE">
        <w:rPr>
          <w:lang w:val="ru-RU"/>
        </w:rPr>
        <w:t xml:space="preserve"> </w:t>
      </w:r>
      <w:r w:rsidR="008035CE">
        <w:rPr>
          <w:lang w:val="ru-RU"/>
        </w:rPr>
        <w:t>перепись</w:t>
      </w:r>
      <w:r w:rsidR="00822288" w:rsidRPr="008035CE">
        <w:rPr>
          <w:lang w:val="ru-RU"/>
        </w:rPr>
        <w:t xml:space="preserve"> (</w:t>
      </w:r>
      <w:r w:rsidR="00822288">
        <w:t>ENIA</w:t>
      </w:r>
      <w:r w:rsidR="00822288" w:rsidRPr="008035CE">
        <w:rPr>
          <w:lang w:val="ru-RU"/>
        </w:rPr>
        <w:t xml:space="preserve">) </w:t>
      </w:r>
      <w:r w:rsidR="008035CE">
        <w:rPr>
          <w:lang w:val="ru-RU"/>
        </w:rPr>
        <w:t>позволяет ежегодно обследоваться все производственные компании, имеющие по меньшей мере 10 работников</w:t>
      </w:r>
      <w:r w:rsidR="00822288" w:rsidRPr="008035CE">
        <w:rPr>
          <w:lang w:val="ru-RU"/>
        </w:rPr>
        <w:t xml:space="preserve">. </w:t>
      </w:r>
      <w:r w:rsidR="00822288">
        <w:t>ENIA</w:t>
      </w:r>
      <w:r w:rsidR="00822288" w:rsidRPr="008035CE">
        <w:rPr>
          <w:lang w:val="ru-RU"/>
        </w:rPr>
        <w:t xml:space="preserve"> </w:t>
      </w:r>
      <w:r w:rsidR="008035CE">
        <w:rPr>
          <w:lang w:val="ru-RU"/>
        </w:rPr>
        <w:t>дает</w:t>
      </w:r>
      <w:r w:rsidR="008035CE" w:rsidRPr="008035CE">
        <w:rPr>
          <w:lang w:val="ru-RU"/>
        </w:rPr>
        <w:t xml:space="preserve"> </w:t>
      </w:r>
      <w:r w:rsidR="008035CE">
        <w:rPr>
          <w:lang w:val="ru-RU"/>
        </w:rPr>
        <w:t>детальную</w:t>
      </w:r>
      <w:r w:rsidR="008035CE" w:rsidRPr="008035CE">
        <w:rPr>
          <w:lang w:val="ru-RU"/>
        </w:rPr>
        <w:t xml:space="preserve"> </w:t>
      </w:r>
      <w:r w:rsidR="008035CE">
        <w:rPr>
          <w:lang w:val="ru-RU"/>
        </w:rPr>
        <w:t>информацию</w:t>
      </w:r>
      <w:r w:rsidR="00822288" w:rsidRPr="008035CE">
        <w:rPr>
          <w:lang w:val="ru-RU"/>
        </w:rPr>
        <w:t xml:space="preserve"> </w:t>
      </w:r>
      <w:r w:rsidR="008035CE">
        <w:rPr>
          <w:lang w:val="ru-RU"/>
        </w:rPr>
        <w:t>на</w:t>
      </w:r>
      <w:r w:rsidR="008035CE" w:rsidRPr="008035CE">
        <w:rPr>
          <w:lang w:val="ru-RU"/>
        </w:rPr>
        <w:t xml:space="preserve"> </w:t>
      </w:r>
      <w:r w:rsidR="008035CE">
        <w:rPr>
          <w:lang w:val="ru-RU"/>
        </w:rPr>
        <w:t>уровне</w:t>
      </w:r>
      <w:r w:rsidR="008035CE" w:rsidRPr="008035CE">
        <w:rPr>
          <w:lang w:val="ru-RU"/>
        </w:rPr>
        <w:t xml:space="preserve"> </w:t>
      </w:r>
      <w:r w:rsidR="008035CE">
        <w:rPr>
          <w:lang w:val="ru-RU"/>
        </w:rPr>
        <w:t>предприятия о затратах и выпуске продукции, а также о характеристике предприятий, включая их принадлежность к той или иной отрасли промышленности и их географическое местоположение</w:t>
      </w:r>
      <w:r w:rsidRPr="008035CE">
        <w:rPr>
          <w:lang w:val="ru-RU"/>
        </w:rPr>
        <w:t>;</w:t>
      </w:r>
    </w:p>
    <w:p w:rsidR="00822288" w:rsidRPr="00A10777" w:rsidRDefault="00B90EE3" w:rsidP="00822288">
      <w:pPr>
        <w:pStyle w:val="ListParagraph"/>
        <w:numPr>
          <w:ilvl w:val="0"/>
          <w:numId w:val="7"/>
        </w:numPr>
        <w:spacing w:after="240"/>
        <w:contextualSpacing w:val="0"/>
        <w:rPr>
          <w:lang w:val="ru-RU"/>
        </w:rPr>
      </w:pPr>
      <w:r>
        <w:rPr>
          <w:b/>
          <w:lang w:val="ru-RU"/>
        </w:rPr>
        <w:t>обследование</w:t>
      </w:r>
      <w:r w:rsidRPr="008035CE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8035CE">
        <w:rPr>
          <w:b/>
          <w:lang w:val="ru-RU"/>
        </w:rPr>
        <w:t xml:space="preserve"> </w:t>
      </w:r>
      <w:r>
        <w:rPr>
          <w:b/>
          <w:lang w:val="ru-RU"/>
        </w:rPr>
        <w:t>вопросам</w:t>
      </w:r>
      <w:r w:rsidRPr="008035CE">
        <w:rPr>
          <w:b/>
          <w:lang w:val="ru-RU"/>
        </w:rPr>
        <w:t xml:space="preserve"> </w:t>
      </w:r>
      <w:r>
        <w:rPr>
          <w:b/>
          <w:lang w:val="ru-RU"/>
        </w:rPr>
        <w:t>инноваций</w:t>
      </w:r>
      <w:r w:rsidR="00822288" w:rsidRPr="008035CE">
        <w:rPr>
          <w:b/>
          <w:lang w:val="ru-RU"/>
        </w:rPr>
        <w:t xml:space="preserve"> (</w:t>
      </w:r>
      <w:r w:rsidR="00A81376">
        <w:rPr>
          <w:b/>
        </w:rPr>
        <w:t>INNOVACION</w:t>
      </w:r>
      <w:r w:rsidRPr="008035CE">
        <w:rPr>
          <w:b/>
          <w:lang w:val="ru-RU"/>
        </w:rPr>
        <w:t>):</w:t>
      </w:r>
      <w:r w:rsidR="00822288" w:rsidRPr="008035CE">
        <w:rPr>
          <w:b/>
          <w:lang w:val="ru-RU"/>
        </w:rPr>
        <w:t xml:space="preserve">  </w:t>
      </w:r>
      <w:r w:rsidR="008035CE">
        <w:rPr>
          <w:lang w:val="ru-RU"/>
        </w:rPr>
        <w:t xml:space="preserve">чилийское обследование по вопросам инноваций, смоделированное по образцу инновационного обследования Европейского </w:t>
      </w:r>
      <w:r w:rsidR="00A10777">
        <w:rPr>
          <w:lang w:val="ru-RU"/>
        </w:rPr>
        <w:t>сообщества</w:t>
      </w:r>
      <w:r w:rsidR="00822288" w:rsidRPr="008035CE">
        <w:rPr>
          <w:lang w:val="ru-RU"/>
        </w:rPr>
        <w:t xml:space="preserve"> (</w:t>
      </w:r>
      <w:r w:rsidR="00822288" w:rsidRPr="00822288">
        <w:t>CIS</w:t>
      </w:r>
      <w:r w:rsidR="00822288" w:rsidRPr="008035CE">
        <w:rPr>
          <w:lang w:val="ru-RU"/>
        </w:rPr>
        <w:t>)</w:t>
      </w:r>
      <w:r w:rsidR="00A10777">
        <w:rPr>
          <w:lang w:val="ru-RU"/>
        </w:rPr>
        <w:t>, ставит перед чилийскими фирмами широкий круг вопросов относительно их инновационной деятельности.  Обследование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было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впервые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проведено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в</w:t>
      </w:r>
      <w:r w:rsidR="00A10777" w:rsidRPr="00A10777">
        <w:rPr>
          <w:lang w:val="ru-RU"/>
        </w:rPr>
        <w:t xml:space="preserve"> 1995 </w:t>
      </w:r>
      <w:r w:rsidR="00A10777">
        <w:rPr>
          <w:lang w:val="ru-RU"/>
        </w:rPr>
        <w:t>г</w:t>
      </w:r>
      <w:r w:rsidR="00A10777" w:rsidRPr="00A10777">
        <w:rPr>
          <w:lang w:val="ru-RU"/>
        </w:rPr>
        <w:t xml:space="preserve">. </w:t>
      </w:r>
      <w:r w:rsidR="00A10777">
        <w:rPr>
          <w:lang w:val="ru-RU"/>
        </w:rPr>
        <w:t>И с тех пор проводится каждые</w:t>
      </w:r>
      <w:r w:rsidR="00822288" w:rsidRPr="00A10777">
        <w:rPr>
          <w:lang w:val="ru-RU"/>
        </w:rPr>
        <w:t xml:space="preserve"> 3-4 </w:t>
      </w:r>
      <w:r w:rsidR="00A10777">
        <w:rPr>
          <w:lang w:val="ru-RU"/>
        </w:rPr>
        <w:t>года</w:t>
      </w:r>
      <w:r w:rsidR="00822288" w:rsidRPr="00A10777">
        <w:rPr>
          <w:lang w:val="ru-RU"/>
        </w:rPr>
        <w:t xml:space="preserve">.  </w:t>
      </w:r>
      <w:r w:rsidR="00A10777">
        <w:rPr>
          <w:lang w:val="ru-RU"/>
        </w:rPr>
        <w:t>Первые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три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раунда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позволили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собрать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данные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на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уровне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предприятия</w:t>
      </w:r>
      <w:r w:rsidR="00A10777" w:rsidRPr="00A10777">
        <w:rPr>
          <w:lang w:val="ru-RU"/>
        </w:rPr>
        <w:t xml:space="preserve">, </w:t>
      </w:r>
      <w:r w:rsidR="00A10777">
        <w:rPr>
          <w:lang w:val="ru-RU"/>
        </w:rPr>
        <w:t>а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раунды</w:t>
      </w:r>
      <w:r w:rsidR="00822288" w:rsidRPr="00A10777">
        <w:rPr>
          <w:lang w:val="ru-RU"/>
        </w:rPr>
        <w:t xml:space="preserve"> 4 </w:t>
      </w:r>
      <w:r w:rsidR="00A10777">
        <w:rPr>
          <w:lang w:val="ru-RU"/>
        </w:rPr>
        <w:t>и</w:t>
      </w:r>
      <w:r w:rsidR="00822288" w:rsidRPr="00A10777">
        <w:rPr>
          <w:lang w:val="ru-RU"/>
        </w:rPr>
        <w:t xml:space="preserve"> 5 </w:t>
      </w:r>
      <w:r w:rsidR="00A10777">
        <w:rPr>
          <w:lang w:val="ru-RU"/>
        </w:rPr>
        <w:t>создали возможность для сбора данных</w:t>
      </w:r>
      <w:r w:rsidR="00822288" w:rsidRPr="00A10777">
        <w:rPr>
          <w:lang w:val="ru-RU"/>
        </w:rPr>
        <w:t xml:space="preserve"> </w:t>
      </w:r>
      <w:r w:rsidR="00A10777">
        <w:rPr>
          <w:lang w:val="ru-RU"/>
        </w:rPr>
        <w:t>на уровне и фирмы, и предприятия</w:t>
      </w:r>
      <w:r w:rsidR="00822288" w:rsidRPr="00A10777">
        <w:rPr>
          <w:lang w:val="ru-RU"/>
        </w:rPr>
        <w:t xml:space="preserve">. </w:t>
      </w:r>
      <w:r w:rsidR="00A10777">
        <w:rPr>
          <w:lang w:val="ru-RU"/>
        </w:rPr>
        <w:t>С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течением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времени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обследование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существенно расширило также сферу его охвата.  Первые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два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обследования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охватывали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только</w:t>
      </w:r>
      <w:r w:rsidR="00822288" w:rsidRPr="00A10777">
        <w:rPr>
          <w:lang w:val="ru-RU"/>
        </w:rPr>
        <w:t xml:space="preserve"> </w:t>
      </w:r>
      <w:r w:rsidR="00A10777">
        <w:rPr>
          <w:lang w:val="ru-RU"/>
        </w:rPr>
        <w:t>обрабатывающую</w:t>
      </w:r>
      <w:r w:rsidR="00A10777" w:rsidRPr="00A10777">
        <w:rPr>
          <w:lang w:val="ru-RU"/>
        </w:rPr>
        <w:t xml:space="preserve"> </w:t>
      </w:r>
      <w:r w:rsidR="00A10777">
        <w:rPr>
          <w:lang w:val="ru-RU"/>
        </w:rPr>
        <w:t>промышленность</w:t>
      </w:r>
      <w:r w:rsidR="00822288" w:rsidRPr="00A10777">
        <w:rPr>
          <w:lang w:val="ru-RU"/>
        </w:rPr>
        <w:t xml:space="preserve">, </w:t>
      </w:r>
      <w:r w:rsidR="00A10777">
        <w:rPr>
          <w:lang w:val="ru-RU"/>
        </w:rPr>
        <w:t>раунды</w:t>
      </w:r>
      <w:r w:rsidR="00822288" w:rsidRPr="00A10777">
        <w:rPr>
          <w:lang w:val="ru-RU"/>
        </w:rPr>
        <w:t xml:space="preserve"> 3 </w:t>
      </w:r>
      <w:r w:rsidR="00A10777">
        <w:rPr>
          <w:lang w:val="ru-RU"/>
        </w:rPr>
        <w:t>и</w:t>
      </w:r>
      <w:r w:rsidR="00822288" w:rsidRPr="00A10777">
        <w:rPr>
          <w:lang w:val="ru-RU"/>
        </w:rPr>
        <w:t xml:space="preserve"> 4 </w:t>
      </w:r>
      <w:r w:rsidR="00A10777">
        <w:rPr>
          <w:lang w:val="ru-RU"/>
        </w:rPr>
        <w:t>распространились на горнодобывающую промышленность и</w:t>
      </w:r>
      <w:r w:rsidR="00822288" w:rsidRPr="00A10777">
        <w:rPr>
          <w:lang w:val="ru-RU"/>
        </w:rPr>
        <w:t xml:space="preserve"> </w:t>
      </w:r>
      <w:r w:rsidR="00A10777">
        <w:rPr>
          <w:lang w:val="ru-RU"/>
        </w:rPr>
        <w:t>коммунальные предприятия</w:t>
      </w:r>
      <w:r w:rsidR="00822288" w:rsidRPr="00A10777">
        <w:rPr>
          <w:lang w:val="ru-RU"/>
        </w:rPr>
        <w:t xml:space="preserve">, </w:t>
      </w:r>
      <w:r w:rsidR="00A10777">
        <w:rPr>
          <w:lang w:val="ru-RU"/>
        </w:rPr>
        <w:t>а в ходе последующих раундов были охвачены фирмы во всех отраслях промышленности</w:t>
      </w:r>
      <w:r w:rsidR="00822288" w:rsidRPr="00A10777">
        <w:rPr>
          <w:lang w:val="ru-RU"/>
        </w:rPr>
        <w:t>.</w:t>
      </w:r>
    </w:p>
    <w:p w:rsidR="00C943E5" w:rsidRPr="00CC251D" w:rsidRDefault="00A10777" w:rsidP="00A31478">
      <w:pPr>
        <w:rPr>
          <w:lang w:val="ru-RU"/>
        </w:rPr>
      </w:pPr>
      <w:r>
        <w:rPr>
          <w:lang w:val="ru-RU"/>
        </w:rPr>
        <w:t>Указанные три различных источника данных были объединены в единую базу данных с использование уникального налогового идентификатора, имеющегося во всех трех наборах данных</w:t>
      </w:r>
      <w:r w:rsidR="00A31478" w:rsidRPr="00A10777">
        <w:rPr>
          <w:lang w:val="ru-RU"/>
        </w:rPr>
        <w:t xml:space="preserve">.  </w:t>
      </w:r>
      <w:r>
        <w:rPr>
          <w:lang w:val="ru-RU"/>
        </w:rPr>
        <w:t>Сопоставление</w:t>
      </w:r>
      <w:r w:rsidRPr="00A10777">
        <w:rPr>
          <w:lang w:val="ru-RU"/>
        </w:rPr>
        <w:t xml:space="preserve"> </w:t>
      </w:r>
      <w:r>
        <w:rPr>
          <w:lang w:val="ru-RU"/>
        </w:rPr>
        <w:t>данных</w:t>
      </w:r>
      <w:r w:rsidRPr="00A10777">
        <w:rPr>
          <w:lang w:val="ru-RU"/>
        </w:rPr>
        <w:t xml:space="preserve"> </w:t>
      </w:r>
      <w:r>
        <w:rPr>
          <w:lang w:val="ru-RU"/>
        </w:rPr>
        <w:t>было</w:t>
      </w:r>
      <w:r w:rsidRPr="00A10777">
        <w:rPr>
          <w:lang w:val="ru-RU"/>
        </w:rPr>
        <w:t xml:space="preserve"> </w:t>
      </w:r>
      <w:r>
        <w:rPr>
          <w:lang w:val="ru-RU"/>
        </w:rPr>
        <w:t>выполнено</w:t>
      </w:r>
      <w:r w:rsidR="00A31478" w:rsidRPr="00A10777">
        <w:rPr>
          <w:lang w:val="ru-RU"/>
        </w:rPr>
        <w:t xml:space="preserve"> </w:t>
      </w:r>
      <w:r w:rsidR="00A31478">
        <w:t>INE</w:t>
      </w:r>
      <w:r w:rsidRPr="00A10777">
        <w:rPr>
          <w:lang w:val="ru-RU"/>
        </w:rPr>
        <w:t>,</w:t>
      </w:r>
      <w:r w:rsidR="00A31478" w:rsidRPr="00A10777">
        <w:rPr>
          <w:lang w:val="ru-RU"/>
        </w:rPr>
        <w:t xml:space="preserve"> </w:t>
      </w:r>
      <w:r>
        <w:rPr>
          <w:lang w:val="ru-RU"/>
        </w:rPr>
        <w:t xml:space="preserve">и база данных, предоставленная в распоряжение исследователей, </w:t>
      </w:r>
      <w:r w:rsidR="00CC251D">
        <w:rPr>
          <w:lang w:val="ru-RU"/>
        </w:rPr>
        <w:t>не раскрывала наименование индивидуальных фирм в целях охраны конфиденциальности</w:t>
      </w:r>
      <w:r w:rsidR="00A31478" w:rsidRPr="00A10777">
        <w:rPr>
          <w:lang w:val="ru-RU"/>
        </w:rPr>
        <w:t xml:space="preserve"> </w:t>
      </w:r>
      <w:r w:rsidR="00CC251D">
        <w:rPr>
          <w:lang w:val="ru-RU"/>
        </w:rPr>
        <w:t>статистической информации</w:t>
      </w:r>
      <w:r w:rsidR="00A31478" w:rsidRPr="00A10777">
        <w:rPr>
          <w:lang w:val="ru-RU"/>
        </w:rPr>
        <w:t xml:space="preserve">.  </w:t>
      </w:r>
      <w:r w:rsidR="00CC251D">
        <w:rPr>
          <w:lang w:val="ru-RU"/>
        </w:rPr>
        <w:t>Опора на уникальный налоговый идентификатор представляет собой крупную подвижку по сравнению со схожими базами данных, созданными в странах с высокими уровнями доходов, которые основываются на менее надежных методах сопоставления</w:t>
      </w:r>
      <w:r w:rsidR="00A31478" w:rsidRPr="00CC251D">
        <w:rPr>
          <w:lang w:val="ru-RU"/>
        </w:rPr>
        <w:t xml:space="preserve"> </w:t>
      </w:r>
      <w:r w:rsidR="00CC251D">
        <w:rPr>
          <w:lang w:val="ru-RU"/>
        </w:rPr>
        <w:t>на базе наименований</w:t>
      </w:r>
      <w:r w:rsidR="001228FC" w:rsidRPr="00CC251D">
        <w:rPr>
          <w:lang w:val="ru-RU"/>
        </w:rPr>
        <w:t>.</w:t>
      </w:r>
    </w:p>
    <w:p w:rsidR="00A31478" w:rsidRPr="00CC251D" w:rsidRDefault="00A31478" w:rsidP="00A31478">
      <w:pPr>
        <w:rPr>
          <w:lang w:val="ru-RU"/>
        </w:rPr>
      </w:pPr>
    </w:p>
    <w:p w:rsidR="002E5D85" w:rsidRPr="00532E5F" w:rsidRDefault="00CC251D" w:rsidP="00A33B93">
      <w:pPr>
        <w:rPr>
          <w:lang w:val="ru-RU"/>
        </w:rPr>
      </w:pPr>
      <w:r>
        <w:rPr>
          <w:lang w:val="ru-RU"/>
        </w:rPr>
        <w:t>В</w:t>
      </w:r>
      <w:r w:rsidRPr="00CC251D">
        <w:rPr>
          <w:lang w:val="ru-RU"/>
        </w:rPr>
        <w:t xml:space="preserve"> </w:t>
      </w:r>
      <w:r>
        <w:rPr>
          <w:lang w:val="ru-RU"/>
        </w:rPr>
        <w:t>таблице</w:t>
      </w:r>
      <w:r w:rsidR="002E5D85" w:rsidRPr="00CC251D">
        <w:rPr>
          <w:lang w:val="ru-RU"/>
        </w:rPr>
        <w:t xml:space="preserve"> 1 </w:t>
      </w:r>
      <w:r>
        <w:rPr>
          <w:lang w:val="ru-RU"/>
        </w:rPr>
        <w:t>представлен общий обзор имеющихся данных</w:t>
      </w:r>
      <w:r w:rsidR="002E5D85" w:rsidRPr="00CC251D">
        <w:rPr>
          <w:lang w:val="ru-RU"/>
        </w:rPr>
        <w:t xml:space="preserve">.  </w:t>
      </w:r>
      <w:r>
        <w:rPr>
          <w:lang w:val="ru-RU"/>
        </w:rPr>
        <w:t>Она показывает, что в среднем существовало примерно 5000 фирм, охваченных</w:t>
      </w:r>
      <w:r w:rsidR="00A33B93" w:rsidRPr="00CC251D">
        <w:rPr>
          <w:lang w:val="ru-RU"/>
        </w:rPr>
        <w:t xml:space="preserve"> </w:t>
      </w:r>
      <w:r w:rsidR="00A33B93">
        <w:t>ENIA</w:t>
      </w:r>
      <w:r w:rsidR="00A33B93" w:rsidRPr="00CC251D">
        <w:rPr>
          <w:lang w:val="ru-RU"/>
        </w:rPr>
        <w:t xml:space="preserve"> </w:t>
      </w:r>
      <w:r>
        <w:rPr>
          <w:lang w:val="ru-RU"/>
        </w:rPr>
        <w:t>в период с</w:t>
      </w:r>
      <w:r w:rsidR="00A33B93" w:rsidRPr="00CC251D">
        <w:rPr>
          <w:lang w:val="ru-RU"/>
        </w:rPr>
        <w:t xml:space="preserve"> 1995 </w:t>
      </w:r>
      <w:r>
        <w:rPr>
          <w:lang w:val="ru-RU"/>
        </w:rPr>
        <w:t>по</w:t>
      </w:r>
      <w:r w:rsidR="00A33B93" w:rsidRPr="00CC251D">
        <w:rPr>
          <w:lang w:val="ru-RU"/>
        </w:rPr>
        <w:t xml:space="preserve"> 2005</w:t>
      </w:r>
      <w:r>
        <w:rPr>
          <w:lang w:val="ru-RU"/>
        </w:rPr>
        <w:t xml:space="preserve"> г.</w:t>
      </w:r>
      <w:r w:rsidR="00A33B93" w:rsidRPr="00CC251D">
        <w:rPr>
          <w:lang w:val="ru-RU"/>
        </w:rPr>
        <w:t xml:space="preserve">, </w:t>
      </w:r>
      <w:r>
        <w:rPr>
          <w:lang w:val="ru-RU"/>
        </w:rPr>
        <w:t>и в целом имелось</w:t>
      </w:r>
      <w:r w:rsidR="00A33B93" w:rsidRPr="00CC251D">
        <w:rPr>
          <w:lang w:val="ru-RU"/>
        </w:rPr>
        <w:t xml:space="preserve"> 9279 </w:t>
      </w:r>
      <w:r w:rsidR="00052F08">
        <w:rPr>
          <w:lang w:val="ru-RU"/>
        </w:rPr>
        <w:t>уник</w:t>
      </w:r>
      <w:r>
        <w:rPr>
          <w:lang w:val="ru-RU"/>
        </w:rPr>
        <w:t>альных фирм</w:t>
      </w:r>
      <w:r w:rsidR="00A33B93" w:rsidRPr="00CC251D">
        <w:rPr>
          <w:lang w:val="ru-RU"/>
        </w:rPr>
        <w:t xml:space="preserve">. </w:t>
      </w:r>
      <w:r>
        <w:rPr>
          <w:lang w:val="ru-RU"/>
        </w:rPr>
        <w:t>Количество</w:t>
      </w:r>
      <w:r w:rsidRPr="00CC251D">
        <w:rPr>
          <w:lang w:val="ru-RU"/>
        </w:rPr>
        <w:t xml:space="preserve"> </w:t>
      </w:r>
      <w:r>
        <w:rPr>
          <w:lang w:val="ru-RU"/>
        </w:rPr>
        <w:t>фирм</w:t>
      </w:r>
      <w:r w:rsidRPr="00CC251D">
        <w:rPr>
          <w:lang w:val="ru-RU"/>
        </w:rPr>
        <w:t xml:space="preserve">, </w:t>
      </w:r>
      <w:r>
        <w:rPr>
          <w:lang w:val="ru-RU"/>
        </w:rPr>
        <w:t>охваченных</w:t>
      </w:r>
      <w:r w:rsidRPr="00CC251D">
        <w:rPr>
          <w:lang w:val="ru-RU"/>
        </w:rPr>
        <w:t xml:space="preserve"> </w:t>
      </w:r>
      <w:r>
        <w:rPr>
          <w:lang w:val="ru-RU"/>
        </w:rPr>
        <w:t>данными</w:t>
      </w:r>
      <w:r w:rsidR="00A33B93" w:rsidRPr="00CC251D">
        <w:rPr>
          <w:lang w:val="ru-RU"/>
        </w:rPr>
        <w:t xml:space="preserve"> </w:t>
      </w:r>
      <w:r w:rsidR="00A81376">
        <w:t>INNOVACION</w:t>
      </w:r>
      <w:r w:rsidRPr="00CC251D">
        <w:rPr>
          <w:lang w:val="ru-RU"/>
        </w:rPr>
        <w:t>,</w:t>
      </w:r>
      <w:r w:rsidR="00A33B93" w:rsidRPr="00CC251D">
        <w:rPr>
          <w:lang w:val="ru-RU"/>
        </w:rPr>
        <w:t xml:space="preserve"> </w:t>
      </w:r>
      <w:r>
        <w:rPr>
          <w:lang w:val="ru-RU"/>
        </w:rPr>
        <w:t xml:space="preserve">варьируется гораздо сильнее с течением времени: от </w:t>
      </w:r>
      <w:r w:rsidR="00A33B93" w:rsidRPr="00CC251D">
        <w:rPr>
          <w:lang w:val="ru-RU"/>
        </w:rPr>
        <w:t xml:space="preserve">443 </w:t>
      </w:r>
      <w:r w:rsidR="00532E5F">
        <w:rPr>
          <w:lang w:val="ru-RU"/>
        </w:rPr>
        <w:t>в ходе раунда</w:t>
      </w:r>
      <w:r w:rsidR="00A33B93" w:rsidRPr="00CC251D">
        <w:rPr>
          <w:lang w:val="ru-RU"/>
        </w:rPr>
        <w:t xml:space="preserve"> 2 </w:t>
      </w:r>
      <w:r w:rsidR="00532E5F">
        <w:rPr>
          <w:lang w:val="ru-RU"/>
        </w:rPr>
        <w:t>до</w:t>
      </w:r>
      <w:r w:rsidR="00A33B93" w:rsidRPr="00CC251D">
        <w:rPr>
          <w:lang w:val="ru-RU"/>
        </w:rPr>
        <w:t xml:space="preserve"> 4243 </w:t>
      </w:r>
      <w:r w:rsidR="00532E5F">
        <w:rPr>
          <w:lang w:val="ru-RU"/>
        </w:rPr>
        <w:t>в ходе раунда</w:t>
      </w:r>
      <w:r w:rsidR="00A33B93" w:rsidRPr="00CC251D">
        <w:rPr>
          <w:lang w:val="ru-RU"/>
        </w:rPr>
        <w:t xml:space="preserve"> 6.  </w:t>
      </w:r>
      <w:r w:rsidR="00532E5F">
        <w:rPr>
          <w:lang w:val="ru-RU"/>
        </w:rPr>
        <w:t>Почти</w:t>
      </w:r>
      <w:r w:rsidR="00A33B93" w:rsidRPr="00532E5F">
        <w:rPr>
          <w:lang w:val="ru-RU"/>
        </w:rPr>
        <w:t xml:space="preserve"> 2000 </w:t>
      </w:r>
      <w:r w:rsidR="00532E5F">
        <w:rPr>
          <w:lang w:val="ru-RU"/>
        </w:rPr>
        <w:t>фирм</w:t>
      </w:r>
      <w:r w:rsidR="00532E5F" w:rsidRPr="00532E5F">
        <w:rPr>
          <w:lang w:val="ru-RU"/>
        </w:rPr>
        <w:t xml:space="preserve"> </w:t>
      </w:r>
      <w:r w:rsidR="00532E5F">
        <w:rPr>
          <w:lang w:val="ru-RU"/>
        </w:rPr>
        <w:t>фигурируют</w:t>
      </w:r>
      <w:r w:rsidR="00532E5F" w:rsidRPr="00532E5F">
        <w:rPr>
          <w:lang w:val="ru-RU"/>
        </w:rPr>
        <w:t xml:space="preserve"> </w:t>
      </w:r>
      <w:r w:rsidR="00532E5F">
        <w:rPr>
          <w:lang w:val="ru-RU"/>
        </w:rPr>
        <w:t>в</w:t>
      </w:r>
      <w:r w:rsidR="00532E5F" w:rsidRPr="00532E5F">
        <w:rPr>
          <w:lang w:val="ru-RU"/>
        </w:rPr>
        <w:t xml:space="preserve"> </w:t>
      </w:r>
      <w:r w:rsidR="00532E5F">
        <w:rPr>
          <w:lang w:val="ru-RU"/>
        </w:rPr>
        <w:t>обоих</w:t>
      </w:r>
      <w:r w:rsidR="00532E5F" w:rsidRPr="00532E5F">
        <w:rPr>
          <w:lang w:val="ru-RU"/>
        </w:rPr>
        <w:t xml:space="preserve"> </w:t>
      </w:r>
      <w:r w:rsidR="00532E5F">
        <w:rPr>
          <w:lang w:val="ru-RU"/>
        </w:rPr>
        <w:t>наборах</w:t>
      </w:r>
      <w:r w:rsidR="00532E5F" w:rsidRPr="00532E5F">
        <w:rPr>
          <w:lang w:val="ru-RU"/>
        </w:rPr>
        <w:t xml:space="preserve"> </w:t>
      </w:r>
      <w:r w:rsidR="00532E5F">
        <w:rPr>
          <w:lang w:val="ru-RU"/>
        </w:rPr>
        <w:t>данных</w:t>
      </w:r>
      <w:r w:rsidR="00532E5F" w:rsidRPr="00532E5F">
        <w:rPr>
          <w:lang w:val="ru-RU"/>
        </w:rPr>
        <w:t xml:space="preserve">, </w:t>
      </w:r>
      <w:r w:rsidR="00532E5F">
        <w:rPr>
          <w:lang w:val="ru-RU"/>
        </w:rPr>
        <w:t>и</w:t>
      </w:r>
      <w:r w:rsidR="00532E5F" w:rsidRPr="00532E5F">
        <w:rPr>
          <w:lang w:val="ru-RU"/>
        </w:rPr>
        <w:t xml:space="preserve"> </w:t>
      </w:r>
      <w:r w:rsidR="00532E5F">
        <w:rPr>
          <w:lang w:val="ru-RU"/>
        </w:rPr>
        <w:t>это</w:t>
      </w:r>
      <w:r w:rsidR="00532E5F" w:rsidRPr="00532E5F">
        <w:rPr>
          <w:lang w:val="ru-RU"/>
        </w:rPr>
        <w:t xml:space="preserve"> –</w:t>
      </w:r>
      <w:r w:rsidR="00A33B93" w:rsidRPr="00532E5F">
        <w:rPr>
          <w:lang w:val="ru-RU"/>
        </w:rPr>
        <w:t xml:space="preserve"> </w:t>
      </w:r>
      <w:r w:rsidR="00532E5F">
        <w:rPr>
          <w:lang w:val="ru-RU"/>
        </w:rPr>
        <w:t>довольно</w:t>
      </w:r>
      <w:r w:rsidR="00532E5F" w:rsidRPr="00532E5F">
        <w:rPr>
          <w:lang w:val="ru-RU"/>
        </w:rPr>
        <w:t xml:space="preserve"> </w:t>
      </w:r>
      <w:r w:rsidR="00532E5F">
        <w:rPr>
          <w:lang w:val="ru-RU"/>
        </w:rPr>
        <w:t>большое</w:t>
      </w:r>
      <w:r w:rsidR="00532E5F" w:rsidRPr="00532E5F">
        <w:rPr>
          <w:lang w:val="ru-RU"/>
        </w:rPr>
        <w:t xml:space="preserve"> </w:t>
      </w:r>
      <w:r w:rsidR="00532E5F">
        <w:rPr>
          <w:lang w:val="ru-RU"/>
        </w:rPr>
        <w:t>число</w:t>
      </w:r>
      <w:r w:rsidR="00532E5F" w:rsidRPr="00532E5F">
        <w:rPr>
          <w:lang w:val="ru-RU"/>
        </w:rPr>
        <w:t xml:space="preserve">, </w:t>
      </w:r>
      <w:r w:rsidR="00532E5F">
        <w:rPr>
          <w:lang w:val="ru-RU"/>
        </w:rPr>
        <w:t>если</w:t>
      </w:r>
      <w:r w:rsidR="00532E5F" w:rsidRPr="00532E5F">
        <w:rPr>
          <w:lang w:val="ru-RU"/>
        </w:rPr>
        <w:t xml:space="preserve"> </w:t>
      </w:r>
      <w:r w:rsidR="00532E5F">
        <w:rPr>
          <w:lang w:val="ru-RU"/>
        </w:rPr>
        <w:t>учесть</w:t>
      </w:r>
      <w:r w:rsidR="00532E5F" w:rsidRPr="00532E5F">
        <w:rPr>
          <w:lang w:val="ru-RU"/>
        </w:rPr>
        <w:t xml:space="preserve"> </w:t>
      </w:r>
      <w:r w:rsidR="00532E5F">
        <w:rPr>
          <w:lang w:val="ru-RU"/>
        </w:rPr>
        <w:t>то</w:t>
      </w:r>
      <w:r w:rsidR="00532E5F" w:rsidRPr="00532E5F">
        <w:rPr>
          <w:lang w:val="ru-RU"/>
        </w:rPr>
        <w:t xml:space="preserve">, </w:t>
      </w:r>
      <w:r w:rsidR="00532E5F">
        <w:rPr>
          <w:lang w:val="ru-RU"/>
        </w:rPr>
        <w:t>что</w:t>
      </w:r>
      <w:r w:rsidR="00532E5F" w:rsidRPr="00532E5F">
        <w:rPr>
          <w:lang w:val="ru-RU"/>
        </w:rPr>
        <w:t xml:space="preserve"> </w:t>
      </w:r>
      <w:r w:rsidR="00A33B93">
        <w:t>ENIA</w:t>
      </w:r>
      <w:r w:rsidR="00A33B93" w:rsidRPr="00532E5F">
        <w:rPr>
          <w:lang w:val="ru-RU"/>
        </w:rPr>
        <w:t xml:space="preserve"> </w:t>
      </w:r>
      <w:r w:rsidR="00532E5F">
        <w:rPr>
          <w:lang w:val="ru-RU"/>
        </w:rPr>
        <w:t xml:space="preserve">ограничена обрабатывающей промышленностью, а </w:t>
      </w:r>
      <w:r w:rsidR="00A81376">
        <w:t>INNOVACION</w:t>
      </w:r>
      <w:r w:rsidR="00A33B93" w:rsidRPr="00532E5F">
        <w:rPr>
          <w:lang w:val="ru-RU"/>
        </w:rPr>
        <w:t xml:space="preserve"> </w:t>
      </w:r>
      <w:r w:rsidR="00532E5F">
        <w:rPr>
          <w:lang w:val="ru-RU"/>
        </w:rPr>
        <w:t>охватывает более широкий круг секторов, начиная с раунде</w:t>
      </w:r>
      <w:r w:rsidR="00A33B93" w:rsidRPr="00532E5F">
        <w:rPr>
          <w:lang w:val="ru-RU"/>
        </w:rPr>
        <w:t xml:space="preserve"> 3 </w:t>
      </w:r>
      <w:r w:rsidR="00532E5F">
        <w:rPr>
          <w:lang w:val="ru-RU"/>
        </w:rPr>
        <w:t>и далее</w:t>
      </w:r>
      <w:r w:rsidR="00A33B93" w:rsidRPr="00532E5F">
        <w:rPr>
          <w:lang w:val="ru-RU"/>
        </w:rPr>
        <w:t>.</w:t>
      </w:r>
    </w:p>
    <w:p w:rsidR="00A33B93" w:rsidRPr="00532E5F" w:rsidRDefault="00A33B93" w:rsidP="00A33B93">
      <w:pPr>
        <w:rPr>
          <w:lang w:val="ru-RU"/>
        </w:rPr>
      </w:pPr>
    </w:p>
    <w:p w:rsidR="002E5D85" w:rsidRPr="00532E5F" w:rsidRDefault="002E5D85" w:rsidP="00A31478">
      <w:pPr>
        <w:rPr>
          <w:lang w:val="ru-RU"/>
        </w:rPr>
      </w:pPr>
    </w:p>
    <w:p w:rsidR="002E5D85" w:rsidRPr="00532E5F" w:rsidRDefault="00102C37" w:rsidP="001228FC">
      <w:pPr>
        <w:spacing w:after="80"/>
        <w:rPr>
          <w:b/>
          <w:lang w:val="ru-RU"/>
        </w:rPr>
      </w:pPr>
      <w:r>
        <w:rPr>
          <w:b/>
          <w:lang w:val="ru-RU"/>
        </w:rPr>
        <w:t>Таблица</w:t>
      </w:r>
      <w:r w:rsidR="001228FC" w:rsidRPr="001228FC">
        <w:rPr>
          <w:b/>
        </w:rPr>
        <w:t xml:space="preserve"> 1:</w:t>
      </w:r>
      <w:r w:rsidR="00F27AD3">
        <w:rPr>
          <w:b/>
        </w:rPr>
        <w:t xml:space="preserve"> </w:t>
      </w:r>
      <w:r w:rsidR="001228FC" w:rsidRPr="001228FC">
        <w:rPr>
          <w:b/>
        </w:rPr>
        <w:t xml:space="preserve"> </w:t>
      </w:r>
      <w:r w:rsidR="00532E5F">
        <w:rPr>
          <w:b/>
          <w:lang w:val="ru-RU"/>
        </w:rPr>
        <w:t>Общий обзор охвата данных</w:t>
      </w:r>
    </w:p>
    <w:tbl>
      <w:tblPr>
        <w:tblW w:w="11087" w:type="dxa"/>
        <w:tblInd w:w="-964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19"/>
        <w:gridCol w:w="577"/>
        <w:gridCol w:w="720"/>
        <w:gridCol w:w="719"/>
        <w:gridCol w:w="288"/>
        <w:gridCol w:w="577"/>
        <w:gridCol w:w="576"/>
        <w:gridCol w:w="576"/>
        <w:gridCol w:w="278"/>
        <w:gridCol w:w="442"/>
        <w:gridCol w:w="1007"/>
        <w:gridCol w:w="576"/>
        <w:gridCol w:w="144"/>
        <w:gridCol w:w="576"/>
        <w:gridCol w:w="576"/>
        <w:gridCol w:w="719"/>
        <w:gridCol w:w="720"/>
        <w:gridCol w:w="720"/>
        <w:gridCol w:w="577"/>
      </w:tblGrid>
      <w:tr w:rsidR="00052F08" w:rsidRPr="00CA2BBF" w:rsidTr="00052F08">
        <w:trPr>
          <w:trHeight w:val="239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D85" w:rsidRPr="00CA2BBF" w:rsidRDefault="002E5D85" w:rsidP="006C3BC7">
            <w:pPr>
              <w:spacing w:before="20" w:after="20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D85" w:rsidRPr="00CA2BBF" w:rsidRDefault="002E5D85" w:rsidP="006C3BC7">
            <w:pPr>
              <w:spacing w:before="20" w:after="20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en-US"/>
              </w:rPr>
            </w:pPr>
            <w:r w:rsidRPr="00CA2BBF">
              <w:rPr>
                <w:rFonts w:eastAsia="Times New Roman"/>
                <w:b/>
                <w:color w:val="000000"/>
                <w:sz w:val="16"/>
                <w:szCs w:val="16"/>
                <w:lang w:eastAsia="en-US"/>
              </w:rPr>
              <w:t>ENIA</w:t>
            </w:r>
          </w:p>
        </w:tc>
        <w:tc>
          <w:tcPr>
            <w:tcW w:w="35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D85" w:rsidRPr="00CA2BBF" w:rsidRDefault="002E5D85" w:rsidP="006C3BC7">
            <w:pPr>
              <w:spacing w:before="20" w:after="20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en-US"/>
              </w:rPr>
            </w:pPr>
            <w:r w:rsidRPr="00CA2BBF">
              <w:rPr>
                <w:rFonts w:eastAsia="Times New Roman"/>
                <w:b/>
                <w:color w:val="000000"/>
                <w:sz w:val="16"/>
                <w:szCs w:val="16"/>
                <w:lang w:eastAsia="en-US"/>
              </w:rPr>
              <w:t>INNO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E5D85" w:rsidRPr="00CA2BBF" w:rsidRDefault="002E5D85" w:rsidP="008E2BF2">
            <w:pPr>
              <w:spacing w:before="20" w:after="20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en-US"/>
              </w:rPr>
            </w:pPr>
            <w:r w:rsidRPr="00CA2BBF">
              <w:rPr>
                <w:rFonts w:eastAsia="Times New Roman"/>
                <w:b/>
                <w:color w:val="000000"/>
                <w:sz w:val="16"/>
                <w:szCs w:val="16"/>
                <w:lang w:eastAsia="en-US"/>
              </w:rPr>
              <w:t xml:space="preserve">ENIA </w:t>
            </w:r>
            <w:r w:rsidR="00532E5F">
              <w:rPr>
                <w:rFonts w:eastAsia="Times New Roman"/>
                <w:b/>
                <w:color w:val="000000"/>
                <w:sz w:val="16"/>
                <w:szCs w:val="16"/>
                <w:lang w:val="ru-RU" w:eastAsia="en-US"/>
              </w:rPr>
              <w:t>и</w:t>
            </w:r>
            <w:r w:rsidRPr="00CA2BBF">
              <w:rPr>
                <w:rFonts w:eastAsia="Times New Roman"/>
                <w:b/>
                <w:color w:val="000000"/>
                <w:sz w:val="16"/>
                <w:szCs w:val="16"/>
                <w:lang w:eastAsia="en-US"/>
              </w:rPr>
              <w:t xml:space="preserve"> INNO</w:t>
            </w:r>
          </w:p>
        </w:tc>
      </w:tr>
      <w:tr w:rsidR="00052F08" w:rsidRPr="00CA2BBF" w:rsidTr="00052F08">
        <w:trPr>
          <w:trHeight w:val="239"/>
        </w:trPr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D85" w:rsidRPr="008E2BF2" w:rsidRDefault="00C4143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Год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Всего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Патенты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5D85" w:rsidRPr="008E2BF2" w:rsidRDefault="00532E5F" w:rsidP="008E2BF2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Промы</w:t>
            </w:r>
            <w:r w:rsidR="008E2BF2"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ш</w:t>
            </w: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-ленные образцы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E2BF2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Полез</w:t>
            </w:r>
            <w:r w:rsidR="008E2BF2"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-</w:t>
            </w:r>
          </w:p>
          <w:p w:rsidR="008E2BF2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 xml:space="preserve">ные </w:t>
            </w:r>
          </w:p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модели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Товар</w:t>
            </w:r>
            <w:r w:rsidR="008E2BF2"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-</w:t>
            </w: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ные знаки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Всего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Патенты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Промыш</w:t>
            </w:r>
            <w:r w:rsidR="008E2BF2"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-</w:t>
            </w: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ленные образцы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14904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Полез</w:t>
            </w:r>
            <w:r w:rsidR="008E2BF2"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-</w:t>
            </w:r>
          </w:p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ные модели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Товар</w:t>
            </w:r>
            <w:r w:rsidR="008E2BF2"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-</w:t>
            </w: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ные знаки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Всего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Патенты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Промыш</w:t>
            </w:r>
            <w:r w:rsidR="008E2BF2"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-</w:t>
            </w: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ленные образцы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Полез</w:t>
            </w:r>
            <w:r w:rsid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-</w:t>
            </w:r>
          </w:p>
          <w:p w:rsid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 xml:space="preserve">ные </w:t>
            </w:r>
          </w:p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модели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E5D85" w:rsidRPr="008E2BF2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</w:pP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Товар</w:t>
            </w:r>
            <w:r w:rsid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-</w:t>
            </w:r>
            <w:r w:rsidRPr="008E2BF2">
              <w:rPr>
                <w:rFonts w:eastAsia="Times New Roman"/>
                <w:color w:val="000000"/>
                <w:sz w:val="13"/>
                <w:szCs w:val="13"/>
                <w:lang w:val="ru-RU" w:eastAsia="en-US"/>
              </w:rPr>
              <w:t>ные знаки</w:t>
            </w: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1995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532E5F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4957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572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1996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27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556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lastRenderedPageBreak/>
              <w:t>1997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044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551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443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128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418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120</w:t>
            </w: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1998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785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508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443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120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401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114</w:t>
            </w: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1999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671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471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2000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444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631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118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560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112</w:t>
            </w: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2001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434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631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130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527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118</w:t>
            </w: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2002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785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452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2003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766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27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438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602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337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1082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168</w:t>
            </w: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2004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993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31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461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602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356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1067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165</w:t>
            </w: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2005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034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33</w:t>
            </w: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507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194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378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1247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194</w:t>
            </w: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2006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194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343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2007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243</w:t>
            </w:r>
          </w:p>
        </w:tc>
        <w:tc>
          <w:tcPr>
            <w:tcW w:w="442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417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2008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243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391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8E2BF2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ru-RU" w:eastAsia="en-US"/>
              </w:rPr>
              <w:t>Общее</w:t>
            </w:r>
            <w:r w:rsidR="00052F08">
              <w:rPr>
                <w:rFonts w:eastAsia="Times New Roman"/>
                <w:color w:val="000000"/>
                <w:sz w:val="14"/>
                <w:szCs w:val="14"/>
                <w:lang w:val="ru-RU" w:eastAsia="en-US"/>
              </w:rPr>
              <w:t xml:space="preserve"> 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#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53</w:t>
            </w:r>
            <w:r w:rsidR="008E2BF2">
              <w:rPr>
                <w:rFonts w:eastAsia="Times New Roman"/>
                <w:color w:val="000000"/>
                <w:sz w:val="14"/>
                <w:szCs w:val="14"/>
                <w:lang w:val="ru-RU" w:eastAsia="en-US"/>
              </w:rPr>
              <w:t xml:space="preserve"> 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274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165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47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8E2BF2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5394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532E5F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22</w:t>
            </w:r>
            <w:r w:rsidR="008E2BF2">
              <w:rPr>
                <w:rFonts w:eastAsia="Times New Roman"/>
                <w:color w:val="000000"/>
                <w:sz w:val="14"/>
                <w:szCs w:val="14"/>
                <w:lang w:val="ru-RU" w:eastAsia="en-US"/>
              </w:rPr>
              <w:t xml:space="preserve"> </w:t>
            </w: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226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181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85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8E2BF2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2718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302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94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991</w:t>
            </w:r>
          </w:p>
        </w:tc>
      </w:tr>
      <w:tr w:rsidR="008E2BF2" w:rsidRPr="00CA2BBF" w:rsidTr="00052F08">
        <w:trPr>
          <w:trHeight w:val="239"/>
        </w:trPr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8E2BF2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ru-RU" w:eastAsia="en-US"/>
              </w:rPr>
              <w:t>Уникаль-ные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*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9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279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141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70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36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8E2BF2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2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502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8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017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100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052F08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1524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532E5F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</w:t>
            </w:r>
            <w:r w:rsidR="002E5D85"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995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52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34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D85" w:rsidRPr="002E5D85" w:rsidRDefault="002E5D85" w:rsidP="006C3BC7">
            <w:pPr>
              <w:spacing w:before="20" w:after="20"/>
              <w:jc w:val="center"/>
              <w:rPr>
                <w:rFonts w:eastAsia="Times New Roman"/>
                <w:color w:val="000000"/>
                <w:sz w:val="14"/>
                <w:szCs w:val="14"/>
                <w:lang w:eastAsia="en-US"/>
              </w:rPr>
            </w:pPr>
            <w:r w:rsidRPr="002E5D85">
              <w:rPr>
                <w:rFonts w:eastAsia="Times New Roman"/>
                <w:color w:val="000000"/>
                <w:sz w:val="14"/>
                <w:szCs w:val="14"/>
                <w:lang w:eastAsia="en-US"/>
              </w:rPr>
              <w:t>480</w:t>
            </w:r>
          </w:p>
        </w:tc>
      </w:tr>
    </w:tbl>
    <w:p w:rsidR="002E5D85" w:rsidRPr="00052F08" w:rsidRDefault="001228FC" w:rsidP="00A31478">
      <w:pPr>
        <w:rPr>
          <w:sz w:val="14"/>
          <w:szCs w:val="14"/>
          <w:lang w:val="ru-RU"/>
        </w:rPr>
      </w:pPr>
      <w:r w:rsidRPr="00052F08">
        <w:rPr>
          <w:sz w:val="14"/>
          <w:szCs w:val="14"/>
          <w:lang w:val="ru-RU"/>
        </w:rPr>
        <w:t xml:space="preserve"># </w:t>
      </w:r>
      <w:r w:rsidR="00052F08">
        <w:rPr>
          <w:sz w:val="14"/>
          <w:szCs w:val="14"/>
          <w:lang w:val="ru-RU"/>
        </w:rPr>
        <w:t>Общее</w:t>
      </w:r>
      <w:r w:rsidR="00052F08" w:rsidRPr="00052F08">
        <w:rPr>
          <w:sz w:val="14"/>
          <w:szCs w:val="14"/>
          <w:lang w:val="ru-RU"/>
        </w:rPr>
        <w:t xml:space="preserve"> </w:t>
      </w:r>
      <w:r w:rsidR="00052F08">
        <w:rPr>
          <w:sz w:val="14"/>
          <w:szCs w:val="14"/>
          <w:lang w:val="ru-RU"/>
        </w:rPr>
        <w:t>количество</w:t>
      </w:r>
      <w:r w:rsidRPr="00052F08">
        <w:rPr>
          <w:sz w:val="14"/>
          <w:szCs w:val="14"/>
          <w:lang w:val="ru-RU"/>
        </w:rPr>
        <w:t xml:space="preserve"> </w:t>
      </w:r>
      <w:r w:rsidR="00052F08">
        <w:rPr>
          <w:sz w:val="14"/>
          <w:szCs w:val="14"/>
          <w:lang w:val="ru-RU"/>
        </w:rPr>
        <w:t>фирм, охваченных годичными обследованиями</w:t>
      </w:r>
    </w:p>
    <w:p w:rsidR="001228FC" w:rsidRPr="00052F08" w:rsidRDefault="001228FC" w:rsidP="00A31478">
      <w:pPr>
        <w:rPr>
          <w:sz w:val="14"/>
          <w:szCs w:val="14"/>
          <w:lang w:val="ru-RU"/>
        </w:rPr>
      </w:pPr>
      <w:r w:rsidRPr="00052F08">
        <w:rPr>
          <w:sz w:val="14"/>
          <w:szCs w:val="14"/>
          <w:lang w:val="ru-RU"/>
        </w:rPr>
        <w:t xml:space="preserve">* </w:t>
      </w:r>
      <w:r w:rsidR="00052F08">
        <w:rPr>
          <w:sz w:val="14"/>
          <w:szCs w:val="14"/>
          <w:lang w:val="ru-RU"/>
        </w:rPr>
        <w:t>Число уникальных фирм</w:t>
      </w:r>
    </w:p>
    <w:p w:rsidR="002E5D85" w:rsidRPr="00052F08" w:rsidRDefault="002E5D85" w:rsidP="00A31478">
      <w:pPr>
        <w:rPr>
          <w:lang w:val="ru-RU"/>
        </w:rPr>
      </w:pPr>
    </w:p>
    <w:p w:rsidR="00C943E5" w:rsidRPr="00102C37" w:rsidRDefault="00102C37" w:rsidP="0075279A">
      <w:pPr>
        <w:pStyle w:val="Heading2"/>
        <w:rPr>
          <w:b/>
          <w:lang w:val="ru-RU"/>
        </w:rPr>
      </w:pPr>
      <w:r>
        <w:rPr>
          <w:b/>
          <w:lang w:val="ru-RU"/>
        </w:rPr>
        <w:t>ЭМПИРИЧЕСКИЙ ПОДХОД</w:t>
      </w:r>
    </w:p>
    <w:p w:rsidR="00C943E5" w:rsidRPr="00052F08" w:rsidRDefault="00C943E5">
      <w:pPr>
        <w:rPr>
          <w:lang w:val="ru-RU"/>
        </w:rPr>
      </w:pPr>
    </w:p>
    <w:p w:rsidR="00C943E5" w:rsidRPr="00303976" w:rsidRDefault="00052F08" w:rsidP="00F14608">
      <w:pPr>
        <w:rPr>
          <w:lang w:val="ru-RU"/>
        </w:rPr>
      </w:pPr>
      <w:r>
        <w:rPr>
          <w:lang w:val="ru-RU"/>
        </w:rPr>
        <w:t>Эмпирическое</w:t>
      </w:r>
      <w:r w:rsidRPr="00052F08">
        <w:rPr>
          <w:lang w:val="ru-RU"/>
        </w:rPr>
        <w:t xml:space="preserve"> </w:t>
      </w:r>
      <w:r>
        <w:rPr>
          <w:lang w:val="ru-RU"/>
        </w:rPr>
        <w:t>обследование в рамках данного исследования</w:t>
      </w:r>
      <w:r w:rsidRPr="00052F08">
        <w:rPr>
          <w:lang w:val="ru-RU"/>
        </w:rPr>
        <w:t xml:space="preserve"> </w:t>
      </w:r>
      <w:r>
        <w:rPr>
          <w:lang w:val="ru-RU"/>
        </w:rPr>
        <w:t>разделено на три части</w:t>
      </w:r>
      <w:r w:rsidR="0082660C" w:rsidRPr="00052F08">
        <w:rPr>
          <w:lang w:val="ru-RU"/>
        </w:rPr>
        <w:t xml:space="preserve">.  </w:t>
      </w:r>
      <w:r>
        <w:rPr>
          <w:lang w:val="ru-RU"/>
        </w:rPr>
        <w:t>В первой части представлен набор описательной статистики, дающей общее представление об использовании ИС чилийскими фирмами-производителями</w:t>
      </w:r>
      <w:r w:rsidR="0035058A" w:rsidRPr="00052F08">
        <w:rPr>
          <w:lang w:val="ru-RU"/>
        </w:rPr>
        <w:t xml:space="preserve">.  </w:t>
      </w:r>
      <w:r>
        <w:rPr>
          <w:lang w:val="ru-RU"/>
        </w:rPr>
        <w:t>Вторая</w:t>
      </w:r>
      <w:r w:rsidRPr="00052F08">
        <w:rPr>
          <w:lang w:val="ru-RU"/>
        </w:rPr>
        <w:t xml:space="preserve"> </w:t>
      </w:r>
      <w:r>
        <w:rPr>
          <w:lang w:val="ru-RU"/>
        </w:rPr>
        <w:t>часть</w:t>
      </w:r>
      <w:r w:rsidRPr="00052F08">
        <w:rPr>
          <w:lang w:val="ru-RU"/>
        </w:rPr>
        <w:t xml:space="preserve"> </w:t>
      </w:r>
      <w:r>
        <w:rPr>
          <w:lang w:val="ru-RU"/>
        </w:rPr>
        <w:t>посвящена</w:t>
      </w:r>
      <w:r w:rsidRPr="00052F08">
        <w:rPr>
          <w:lang w:val="ru-RU"/>
        </w:rPr>
        <w:t xml:space="preserve"> </w:t>
      </w:r>
      <w:r>
        <w:rPr>
          <w:lang w:val="ru-RU"/>
        </w:rPr>
        <w:t>изучению</w:t>
      </w:r>
      <w:r w:rsidR="0082660C" w:rsidRPr="00052F08">
        <w:rPr>
          <w:lang w:val="ru-RU"/>
        </w:rPr>
        <w:t xml:space="preserve"> </w:t>
      </w:r>
      <w:r>
        <w:rPr>
          <w:lang w:val="ru-RU"/>
        </w:rPr>
        <w:t>детерминантов использования ИС чилийскими фирмами на основе</w:t>
      </w:r>
      <w:r w:rsidR="0082660C" w:rsidRPr="00052F08">
        <w:rPr>
          <w:lang w:val="ru-RU"/>
        </w:rPr>
        <w:t xml:space="preserve"> </w:t>
      </w:r>
      <w:r>
        <w:rPr>
          <w:lang w:val="ru-RU"/>
        </w:rPr>
        <w:t>описательного регрессионного анализа</w:t>
      </w:r>
      <w:r w:rsidR="0082660C" w:rsidRPr="00052F08">
        <w:rPr>
          <w:lang w:val="ru-RU"/>
        </w:rPr>
        <w:t xml:space="preserve">.  </w:t>
      </w:r>
      <w:r>
        <w:rPr>
          <w:lang w:val="ru-RU"/>
        </w:rPr>
        <w:t>В</w:t>
      </w:r>
      <w:r w:rsidRPr="00303976">
        <w:rPr>
          <w:lang w:val="ru-RU"/>
        </w:rPr>
        <w:t xml:space="preserve"> </w:t>
      </w:r>
      <w:r>
        <w:rPr>
          <w:lang w:val="ru-RU"/>
        </w:rPr>
        <w:t>частности</w:t>
      </w:r>
      <w:r w:rsidR="0082660C" w:rsidRPr="00303976">
        <w:rPr>
          <w:lang w:val="ru-RU"/>
        </w:rPr>
        <w:t xml:space="preserve">, </w:t>
      </w:r>
      <w:r w:rsidR="00303976">
        <w:rPr>
          <w:lang w:val="ru-RU"/>
        </w:rPr>
        <w:t>в ней оценивается то, в какой степени различные характеристики фирм и отраслей промышленности объясняют, используют ли фирмы различные виды ИС и насколько интенсивно они это делают</w:t>
      </w:r>
      <w:r w:rsidR="0082660C" w:rsidRPr="00303976">
        <w:rPr>
          <w:lang w:val="ru-RU"/>
        </w:rPr>
        <w:t xml:space="preserve">.  </w:t>
      </w:r>
      <w:r w:rsidR="00303976">
        <w:rPr>
          <w:lang w:val="ru-RU"/>
        </w:rPr>
        <w:t>Соответствующие</w:t>
      </w:r>
      <w:r w:rsidR="00303976" w:rsidRPr="00303976">
        <w:rPr>
          <w:lang w:val="ru-RU"/>
        </w:rPr>
        <w:t xml:space="preserve"> </w:t>
      </w:r>
      <w:r w:rsidR="00303976">
        <w:rPr>
          <w:lang w:val="ru-RU"/>
        </w:rPr>
        <w:t>характеристики</w:t>
      </w:r>
      <w:r w:rsidR="00303976" w:rsidRPr="00303976">
        <w:rPr>
          <w:lang w:val="ru-RU"/>
        </w:rPr>
        <w:t xml:space="preserve"> </w:t>
      </w:r>
      <w:r w:rsidR="00303976">
        <w:rPr>
          <w:lang w:val="ru-RU"/>
        </w:rPr>
        <w:t>включают</w:t>
      </w:r>
      <w:r w:rsidR="00303976" w:rsidRPr="00303976">
        <w:rPr>
          <w:lang w:val="ru-RU"/>
        </w:rPr>
        <w:t xml:space="preserve"> </w:t>
      </w:r>
      <w:r w:rsidR="00303976">
        <w:rPr>
          <w:lang w:val="ru-RU"/>
        </w:rPr>
        <w:t>следующее</w:t>
      </w:r>
      <w:r w:rsidR="00303976" w:rsidRPr="00303976">
        <w:rPr>
          <w:lang w:val="ru-RU"/>
        </w:rPr>
        <w:t xml:space="preserve">: </w:t>
      </w:r>
      <w:r w:rsidR="0082660C" w:rsidRPr="00303976">
        <w:rPr>
          <w:lang w:val="ru-RU"/>
        </w:rPr>
        <w:t xml:space="preserve"> </w:t>
      </w:r>
      <w:r w:rsidR="00303976">
        <w:rPr>
          <w:lang w:val="ru-RU"/>
        </w:rPr>
        <w:t>насколько</w:t>
      </w:r>
      <w:r w:rsidR="00303976" w:rsidRPr="00303976">
        <w:rPr>
          <w:lang w:val="ru-RU"/>
        </w:rPr>
        <w:t xml:space="preserve"> </w:t>
      </w:r>
      <w:r w:rsidR="00303976">
        <w:rPr>
          <w:lang w:val="ru-RU"/>
        </w:rPr>
        <w:t>большими</w:t>
      </w:r>
      <w:r w:rsidR="00303976" w:rsidRPr="00303976">
        <w:rPr>
          <w:lang w:val="ru-RU"/>
        </w:rPr>
        <w:t xml:space="preserve"> </w:t>
      </w:r>
      <w:r w:rsidR="00303976">
        <w:rPr>
          <w:lang w:val="ru-RU"/>
        </w:rPr>
        <w:t>являются</w:t>
      </w:r>
      <w:r w:rsidR="00303976" w:rsidRPr="00303976">
        <w:rPr>
          <w:lang w:val="ru-RU"/>
        </w:rPr>
        <w:t xml:space="preserve"> </w:t>
      </w:r>
      <w:r w:rsidR="00303976">
        <w:rPr>
          <w:lang w:val="ru-RU"/>
        </w:rPr>
        <w:t>фирмы</w:t>
      </w:r>
      <w:r w:rsidR="0082660C" w:rsidRPr="00303976">
        <w:rPr>
          <w:lang w:val="ru-RU"/>
        </w:rPr>
        <w:t xml:space="preserve">, </w:t>
      </w:r>
      <w:r w:rsidR="00303976">
        <w:rPr>
          <w:lang w:val="ru-RU"/>
        </w:rPr>
        <w:t>насколько капиталоемкими они являются</w:t>
      </w:r>
      <w:r w:rsidR="006C408C" w:rsidRPr="00303976">
        <w:rPr>
          <w:lang w:val="ru-RU"/>
        </w:rPr>
        <w:t xml:space="preserve">, </w:t>
      </w:r>
      <w:r w:rsidR="00303976">
        <w:rPr>
          <w:lang w:val="ru-RU"/>
        </w:rPr>
        <w:t>принадлежат ли они национальным или иностранным владельцам</w:t>
      </w:r>
      <w:r w:rsidR="006C408C" w:rsidRPr="00303976">
        <w:rPr>
          <w:lang w:val="ru-RU"/>
        </w:rPr>
        <w:t xml:space="preserve">, </w:t>
      </w:r>
      <w:r w:rsidR="00303976">
        <w:rPr>
          <w:lang w:val="ru-RU"/>
        </w:rPr>
        <w:t>занимаются ли они экспортом</w:t>
      </w:r>
      <w:r w:rsidR="006C408C" w:rsidRPr="00303976">
        <w:rPr>
          <w:lang w:val="ru-RU"/>
        </w:rPr>
        <w:t xml:space="preserve">, </w:t>
      </w:r>
      <w:r w:rsidR="00303976">
        <w:rPr>
          <w:lang w:val="ru-RU"/>
        </w:rPr>
        <w:t>где именно в Чили они располагаются</w:t>
      </w:r>
      <w:r w:rsidR="006C408C" w:rsidRPr="00303976">
        <w:rPr>
          <w:lang w:val="ru-RU"/>
        </w:rPr>
        <w:t xml:space="preserve"> </w:t>
      </w:r>
      <w:r w:rsidR="00303976">
        <w:rPr>
          <w:lang w:val="ru-RU"/>
        </w:rPr>
        <w:t>и к какой отрасли промышленности они относятся</w:t>
      </w:r>
      <w:r w:rsidR="006C408C" w:rsidRPr="00303976">
        <w:rPr>
          <w:lang w:val="ru-RU"/>
        </w:rPr>
        <w:t>.</w:t>
      </w:r>
    </w:p>
    <w:p w:rsidR="00F64297" w:rsidRPr="00303976" w:rsidRDefault="00F64297" w:rsidP="00F14608">
      <w:pPr>
        <w:rPr>
          <w:lang w:val="ru-RU"/>
        </w:rPr>
      </w:pPr>
    </w:p>
    <w:p w:rsidR="00C943E5" w:rsidRPr="00E14904" w:rsidRDefault="00303976">
      <w:pPr>
        <w:rPr>
          <w:lang w:val="ru-RU"/>
        </w:rPr>
      </w:pPr>
      <w:r>
        <w:rPr>
          <w:lang w:val="ru-RU"/>
        </w:rPr>
        <w:t>Третья</w:t>
      </w:r>
      <w:r w:rsidRPr="00303976">
        <w:rPr>
          <w:lang w:val="ru-RU"/>
        </w:rPr>
        <w:t xml:space="preserve"> </w:t>
      </w:r>
      <w:r>
        <w:rPr>
          <w:lang w:val="ru-RU"/>
        </w:rPr>
        <w:t>часть</w:t>
      </w:r>
      <w:r w:rsidRPr="00303976">
        <w:rPr>
          <w:lang w:val="ru-RU"/>
        </w:rPr>
        <w:t xml:space="preserve"> </w:t>
      </w:r>
      <w:r>
        <w:rPr>
          <w:lang w:val="ru-RU"/>
        </w:rPr>
        <w:t>более углубленно затрагивает использование ИС фирмами и ставит вопрос о том, сказывается ли такое использование на результативности деятельности фирм</w:t>
      </w:r>
      <w:r w:rsidR="004D0F84" w:rsidRPr="00303976">
        <w:rPr>
          <w:lang w:val="ru-RU"/>
        </w:rPr>
        <w:t xml:space="preserve">.  </w:t>
      </w:r>
      <w:r>
        <w:rPr>
          <w:lang w:val="ru-RU"/>
        </w:rPr>
        <w:t>Установление любой причинно-следственной связи на этот счет</w:t>
      </w:r>
      <w:r w:rsidR="0024335E" w:rsidRPr="00303976">
        <w:rPr>
          <w:lang w:val="ru-RU"/>
        </w:rPr>
        <w:t xml:space="preserve"> </w:t>
      </w:r>
      <w:r>
        <w:rPr>
          <w:lang w:val="ru-RU"/>
        </w:rPr>
        <w:t>является эмпирически сложным делом</w:t>
      </w:r>
      <w:r w:rsidR="0024335E" w:rsidRPr="00303976">
        <w:rPr>
          <w:lang w:val="ru-RU"/>
        </w:rPr>
        <w:t xml:space="preserve">.  </w:t>
      </w:r>
      <w:r>
        <w:rPr>
          <w:lang w:val="ru-RU"/>
        </w:rPr>
        <w:t>В</w:t>
      </w:r>
      <w:r w:rsidRPr="00303976">
        <w:rPr>
          <w:lang w:val="ru-RU"/>
        </w:rPr>
        <w:t xml:space="preserve"> </w:t>
      </w:r>
      <w:r>
        <w:rPr>
          <w:lang w:val="ru-RU"/>
        </w:rPr>
        <w:t>частности</w:t>
      </w:r>
      <w:r w:rsidR="0024335E" w:rsidRPr="00303976">
        <w:rPr>
          <w:lang w:val="ru-RU"/>
        </w:rPr>
        <w:t xml:space="preserve">, </w:t>
      </w:r>
      <w:r>
        <w:rPr>
          <w:lang w:val="ru-RU"/>
        </w:rPr>
        <w:t>простая</w:t>
      </w:r>
      <w:r w:rsidRPr="00303976">
        <w:rPr>
          <w:lang w:val="ru-RU"/>
        </w:rPr>
        <w:t xml:space="preserve"> </w:t>
      </w:r>
      <w:r>
        <w:rPr>
          <w:lang w:val="ru-RU"/>
        </w:rPr>
        <w:t>статистическая</w:t>
      </w:r>
      <w:r w:rsidRPr="00303976">
        <w:rPr>
          <w:lang w:val="ru-RU"/>
        </w:rPr>
        <w:t xml:space="preserve"> </w:t>
      </w:r>
      <w:r>
        <w:rPr>
          <w:lang w:val="ru-RU"/>
        </w:rPr>
        <w:t>корреляция</w:t>
      </w:r>
      <w:r w:rsidRPr="00303976">
        <w:rPr>
          <w:lang w:val="ru-RU"/>
        </w:rPr>
        <w:t xml:space="preserve"> </w:t>
      </w:r>
      <w:r>
        <w:rPr>
          <w:lang w:val="ru-RU"/>
        </w:rPr>
        <w:t>между</w:t>
      </w:r>
      <w:r w:rsidRPr="00303976">
        <w:rPr>
          <w:lang w:val="ru-RU"/>
        </w:rPr>
        <w:t xml:space="preserve"> </w:t>
      </w:r>
      <w:r>
        <w:rPr>
          <w:lang w:val="ru-RU"/>
        </w:rPr>
        <w:t>использованием ИС и эффективностью деятельности фирм может лишь указывать на то, что фирмы, успешно внедря</w:t>
      </w:r>
      <w:r w:rsidR="00E14904">
        <w:rPr>
          <w:lang w:val="ru-RU"/>
        </w:rPr>
        <w:t>ющие инновации, добиваются более значительных успехов на рынке</w:t>
      </w:r>
      <w:r w:rsidR="0024335E" w:rsidRPr="00303976">
        <w:rPr>
          <w:lang w:val="ru-RU"/>
        </w:rPr>
        <w:t xml:space="preserve">.  </w:t>
      </w:r>
      <w:r w:rsidR="00E14904">
        <w:rPr>
          <w:lang w:val="ru-RU"/>
        </w:rPr>
        <w:t>Сама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по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себе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она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не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будет</w:t>
      </w:r>
      <w:r w:rsidR="00F652D3" w:rsidRPr="00E14904">
        <w:rPr>
          <w:lang w:val="ru-RU"/>
        </w:rPr>
        <w:t xml:space="preserve"> </w:t>
      </w:r>
      <w:r w:rsidR="00E14904">
        <w:rPr>
          <w:lang w:val="ru-RU"/>
        </w:rPr>
        <w:t>означать</w:t>
      </w:r>
      <w:r w:rsidR="00F652D3" w:rsidRPr="00E14904">
        <w:rPr>
          <w:lang w:val="ru-RU"/>
        </w:rPr>
        <w:t xml:space="preserve">, </w:t>
      </w:r>
      <w:r w:rsidR="00E14904">
        <w:rPr>
          <w:lang w:val="ru-RU"/>
        </w:rPr>
        <w:t>что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юридически закрепленное право</w:t>
      </w:r>
      <w:r w:rsidR="00F652D3" w:rsidRPr="00E14904">
        <w:rPr>
          <w:lang w:val="ru-RU"/>
        </w:rPr>
        <w:t xml:space="preserve"> </w:t>
      </w:r>
      <w:r w:rsidR="00E14904">
        <w:rPr>
          <w:lang w:val="ru-RU"/>
        </w:rPr>
        <w:t>оказывает само по себе положительное влияние</w:t>
      </w:r>
      <w:r w:rsidR="00F652D3" w:rsidRPr="00E14904">
        <w:rPr>
          <w:lang w:val="ru-RU"/>
        </w:rPr>
        <w:t xml:space="preserve">.  </w:t>
      </w:r>
      <w:r w:rsidR="00E14904">
        <w:rPr>
          <w:lang w:val="ru-RU"/>
        </w:rPr>
        <w:t>Стремясь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устранить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эту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обеспокоенность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и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следуя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подходу</w:t>
      </w:r>
      <w:r w:rsidR="00E14904" w:rsidRPr="00E14904">
        <w:rPr>
          <w:lang w:val="ru-RU"/>
        </w:rPr>
        <w:t xml:space="preserve">, </w:t>
      </w:r>
      <w:r w:rsidR="00E14904">
        <w:rPr>
          <w:lang w:val="ru-RU"/>
        </w:rPr>
        <w:t>использовавшемуся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в</w:t>
      </w:r>
      <w:r w:rsidR="00F652D3" w:rsidRPr="00E14904">
        <w:rPr>
          <w:lang w:val="ru-RU"/>
        </w:rPr>
        <w:t xml:space="preserve"> </w:t>
      </w:r>
      <w:r w:rsidR="00E14904">
        <w:rPr>
          <w:lang w:val="ru-RU"/>
        </w:rPr>
        <w:t>более ранней литературе, данное исследование сконцентрировано на том, оказало ли использование различных инструментов ИС в первый раз какое-то влияние на результативность деятельности фирм</w:t>
      </w:r>
      <w:r w:rsidR="00F652D3" w:rsidRPr="00E14904">
        <w:rPr>
          <w:lang w:val="ru-RU"/>
        </w:rPr>
        <w:t xml:space="preserve">.  </w:t>
      </w:r>
      <w:r w:rsidR="00E14904">
        <w:rPr>
          <w:lang w:val="ru-RU"/>
        </w:rPr>
        <w:t>Акцент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на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использование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в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первый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раз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позволяет</w:t>
      </w:r>
      <w:r w:rsidR="00E14904" w:rsidRPr="00E14904">
        <w:rPr>
          <w:lang w:val="ru-RU"/>
        </w:rPr>
        <w:t xml:space="preserve"> </w:t>
      </w:r>
      <w:r w:rsidR="00E14904">
        <w:rPr>
          <w:lang w:val="ru-RU"/>
        </w:rPr>
        <w:t>легче изолировать любой непосредственный вклад системы ИС в последующую деятельность фирм</w:t>
      </w:r>
      <w:r w:rsidR="00B776FB" w:rsidRPr="00E14904">
        <w:rPr>
          <w:lang w:val="ru-RU"/>
        </w:rPr>
        <w:t>.</w:t>
      </w:r>
    </w:p>
    <w:p w:rsidR="00C943E5" w:rsidRPr="00E14904" w:rsidRDefault="00C943E5">
      <w:pPr>
        <w:spacing w:after="120"/>
        <w:rPr>
          <w:lang w:val="ru-RU"/>
        </w:rPr>
      </w:pPr>
    </w:p>
    <w:p w:rsidR="00F14608" w:rsidRPr="00102C37" w:rsidRDefault="00102C37">
      <w:pPr>
        <w:spacing w:after="120"/>
        <w:rPr>
          <w:b/>
          <w:lang w:val="ru-RU"/>
        </w:rPr>
      </w:pPr>
      <w:r>
        <w:rPr>
          <w:b/>
          <w:lang w:val="ru-RU"/>
        </w:rPr>
        <w:t>ОСНОВНЫЕ ВЫВОДЫ</w:t>
      </w:r>
    </w:p>
    <w:p w:rsidR="00E21815" w:rsidRPr="00E14904" w:rsidRDefault="00E14904" w:rsidP="005F10C3">
      <w:pPr>
        <w:spacing w:after="120"/>
        <w:rPr>
          <w:lang w:val="ru-RU"/>
        </w:rPr>
      </w:pPr>
      <w:r>
        <w:rPr>
          <w:lang w:val="ru-RU"/>
        </w:rPr>
        <w:t>Основные выводы исследования можно резюмировать следующим образом</w:t>
      </w:r>
      <w:r w:rsidR="00403308" w:rsidRPr="00E14904">
        <w:rPr>
          <w:lang w:val="ru-RU"/>
        </w:rPr>
        <w:t>:</w:t>
      </w:r>
    </w:p>
    <w:p w:rsidR="009915D5" w:rsidRPr="00A830BE" w:rsidRDefault="00E14904" w:rsidP="005B38BC">
      <w:pPr>
        <w:pStyle w:val="ListParagraph"/>
        <w:numPr>
          <w:ilvl w:val="0"/>
          <w:numId w:val="8"/>
        </w:numPr>
        <w:spacing w:after="240"/>
        <w:contextualSpacing w:val="0"/>
        <w:rPr>
          <w:lang w:val="ru-RU"/>
        </w:rPr>
      </w:pPr>
      <w:r>
        <w:rPr>
          <w:lang w:val="ru-RU"/>
        </w:rPr>
        <w:t>Только</w:t>
      </w:r>
      <w:r w:rsidR="009915D5" w:rsidRPr="00E14904">
        <w:rPr>
          <w:lang w:val="ru-RU"/>
        </w:rPr>
        <w:t xml:space="preserve"> 2</w:t>
      </w:r>
      <w:r w:rsidRPr="00E14904">
        <w:rPr>
          <w:lang w:val="ru-RU"/>
        </w:rPr>
        <w:t>,</w:t>
      </w:r>
      <w:r w:rsidR="009915D5" w:rsidRPr="00E14904">
        <w:rPr>
          <w:lang w:val="ru-RU"/>
        </w:rPr>
        <w:t xml:space="preserve">4 </w:t>
      </w:r>
      <w:r>
        <w:rPr>
          <w:lang w:val="ru-RU"/>
        </w:rPr>
        <w:t>процента фирм-производителей подали заявки на один или более патентов в течение рассматриваемого периода времени</w:t>
      </w:r>
      <w:r w:rsidR="005A2795" w:rsidRPr="00E14904">
        <w:rPr>
          <w:lang w:val="ru-RU"/>
        </w:rPr>
        <w:t xml:space="preserve">.  </w:t>
      </w:r>
      <w:r>
        <w:rPr>
          <w:lang w:val="ru-RU"/>
        </w:rPr>
        <w:t>Столь</w:t>
      </w:r>
      <w:r w:rsidRPr="00E14904">
        <w:rPr>
          <w:lang w:val="ru-RU"/>
        </w:rPr>
        <w:t xml:space="preserve"> </w:t>
      </w:r>
      <w:r>
        <w:rPr>
          <w:lang w:val="ru-RU"/>
        </w:rPr>
        <w:t>же</w:t>
      </w:r>
      <w:r w:rsidRPr="00E14904">
        <w:rPr>
          <w:lang w:val="ru-RU"/>
        </w:rPr>
        <w:t xml:space="preserve"> </w:t>
      </w:r>
      <w:r>
        <w:rPr>
          <w:lang w:val="ru-RU"/>
        </w:rPr>
        <w:t>низкими</w:t>
      </w:r>
      <w:r w:rsidRPr="00E14904">
        <w:rPr>
          <w:lang w:val="ru-RU"/>
        </w:rPr>
        <w:t xml:space="preserve"> </w:t>
      </w:r>
      <w:r>
        <w:rPr>
          <w:lang w:val="ru-RU"/>
        </w:rPr>
        <w:t>являются</w:t>
      </w:r>
      <w:r w:rsidRPr="00E14904">
        <w:rPr>
          <w:lang w:val="ru-RU"/>
        </w:rPr>
        <w:t xml:space="preserve"> </w:t>
      </w:r>
      <w:r>
        <w:rPr>
          <w:lang w:val="ru-RU"/>
        </w:rPr>
        <w:t>показатели</w:t>
      </w:r>
      <w:r w:rsidRPr="00E14904">
        <w:rPr>
          <w:lang w:val="ru-RU"/>
        </w:rPr>
        <w:t xml:space="preserve"> </w:t>
      </w:r>
      <w:r>
        <w:rPr>
          <w:lang w:val="ru-RU"/>
        </w:rPr>
        <w:t>в отношении заявок на использование</w:t>
      </w:r>
      <w:r w:rsidR="005A2795" w:rsidRPr="00E14904">
        <w:rPr>
          <w:lang w:val="ru-RU"/>
        </w:rPr>
        <w:t xml:space="preserve"> </w:t>
      </w:r>
      <w:r w:rsidR="00A830BE">
        <w:rPr>
          <w:lang w:val="ru-RU"/>
        </w:rPr>
        <w:t>полезных моделей и промышленных образцов</w:t>
      </w:r>
      <w:r w:rsidR="005A2795" w:rsidRPr="00E14904">
        <w:rPr>
          <w:lang w:val="ru-RU"/>
        </w:rPr>
        <w:t xml:space="preserve">.  </w:t>
      </w:r>
      <w:r w:rsidR="00A830BE">
        <w:rPr>
          <w:lang w:val="ru-RU"/>
        </w:rPr>
        <w:t>В</w:t>
      </w:r>
      <w:r w:rsidR="00A830BE" w:rsidRPr="00A830BE">
        <w:rPr>
          <w:lang w:val="ru-RU"/>
        </w:rPr>
        <w:t xml:space="preserve"> </w:t>
      </w:r>
      <w:r w:rsidR="00A830BE">
        <w:rPr>
          <w:lang w:val="ru-RU"/>
        </w:rPr>
        <w:t>отличие</w:t>
      </w:r>
      <w:r w:rsidR="00A830BE" w:rsidRPr="00A830BE">
        <w:rPr>
          <w:lang w:val="ru-RU"/>
        </w:rPr>
        <w:t xml:space="preserve"> </w:t>
      </w:r>
      <w:r w:rsidR="00A830BE">
        <w:rPr>
          <w:lang w:val="ru-RU"/>
        </w:rPr>
        <w:t>от</w:t>
      </w:r>
      <w:r w:rsidR="00A830BE" w:rsidRPr="00A830BE">
        <w:rPr>
          <w:lang w:val="ru-RU"/>
        </w:rPr>
        <w:t xml:space="preserve"> </w:t>
      </w:r>
      <w:r w:rsidR="00A830BE">
        <w:rPr>
          <w:lang w:val="ru-RU"/>
        </w:rPr>
        <w:t>этого</w:t>
      </w:r>
      <w:r w:rsidR="005A2795" w:rsidRPr="00A830BE">
        <w:rPr>
          <w:lang w:val="ru-RU"/>
        </w:rPr>
        <w:t>, 51</w:t>
      </w:r>
      <w:r w:rsidR="00A830BE" w:rsidRPr="00A830BE">
        <w:rPr>
          <w:lang w:val="ru-RU"/>
        </w:rPr>
        <w:t>,</w:t>
      </w:r>
      <w:r w:rsidR="005A2795" w:rsidRPr="00A830BE">
        <w:rPr>
          <w:lang w:val="ru-RU"/>
        </w:rPr>
        <w:t xml:space="preserve">9 </w:t>
      </w:r>
      <w:r w:rsidR="00A830BE">
        <w:rPr>
          <w:lang w:val="ru-RU"/>
        </w:rPr>
        <w:t>процента фирм-производителей подали заявки по меньшей мере на один товарный знак</w:t>
      </w:r>
      <w:r w:rsidR="005A2795" w:rsidRPr="00A830BE">
        <w:rPr>
          <w:lang w:val="ru-RU"/>
        </w:rPr>
        <w:t>.</w:t>
      </w:r>
    </w:p>
    <w:p w:rsidR="005B38BC" w:rsidRPr="00EA0F35" w:rsidRDefault="00A830BE" w:rsidP="005B38BC">
      <w:pPr>
        <w:pStyle w:val="ListParagraph"/>
        <w:numPr>
          <w:ilvl w:val="0"/>
          <w:numId w:val="8"/>
        </w:numPr>
        <w:spacing w:after="240"/>
        <w:contextualSpacing w:val="0"/>
        <w:rPr>
          <w:lang w:val="ru-RU"/>
        </w:rPr>
      </w:pPr>
      <w:r>
        <w:rPr>
          <w:lang w:val="ru-RU"/>
        </w:rPr>
        <w:lastRenderedPageBreak/>
        <w:t>В значительной степени детерминанты использования ИС в Чили схожи с детерминантами в странах с высокими уровнями доходов</w:t>
      </w:r>
      <w:r w:rsidR="00403308" w:rsidRPr="00A830BE">
        <w:rPr>
          <w:lang w:val="ru-RU"/>
        </w:rPr>
        <w:t xml:space="preserve">.  </w:t>
      </w:r>
      <w:r>
        <w:rPr>
          <w:lang w:val="ru-RU"/>
        </w:rPr>
        <w:t>В</w:t>
      </w:r>
      <w:r w:rsidRPr="00A830BE">
        <w:rPr>
          <w:lang w:val="ru-RU"/>
        </w:rPr>
        <w:t xml:space="preserve"> </w:t>
      </w:r>
      <w:r>
        <w:rPr>
          <w:lang w:val="ru-RU"/>
        </w:rPr>
        <w:t>частности</w:t>
      </w:r>
      <w:r w:rsidR="00403308" w:rsidRPr="00A830BE">
        <w:rPr>
          <w:lang w:val="ru-RU"/>
        </w:rPr>
        <w:t xml:space="preserve">, </w:t>
      </w:r>
      <w:r>
        <w:rPr>
          <w:lang w:val="ru-RU"/>
        </w:rPr>
        <w:t>более крупные фирмы, фирмы-экспортеры и фирмы, расположенные в столичном регионе Сантьяго, с большей степенью вероятности будут пользоваться охраной ИС в том или ином виде</w:t>
      </w:r>
      <w:r w:rsidR="00403308" w:rsidRPr="00A830BE">
        <w:rPr>
          <w:lang w:val="ru-RU"/>
        </w:rPr>
        <w:t xml:space="preserve">.  </w:t>
      </w:r>
      <w:r>
        <w:rPr>
          <w:lang w:val="ru-RU"/>
        </w:rPr>
        <w:t>Использование</w:t>
      </w:r>
      <w:r w:rsidRPr="00A830BE">
        <w:rPr>
          <w:lang w:val="ru-RU"/>
        </w:rPr>
        <w:t xml:space="preserve"> </w:t>
      </w:r>
      <w:r>
        <w:rPr>
          <w:lang w:val="ru-RU"/>
        </w:rPr>
        <w:t>прав</w:t>
      </w:r>
      <w:r w:rsidRPr="00A830BE">
        <w:rPr>
          <w:lang w:val="ru-RU"/>
        </w:rPr>
        <w:t xml:space="preserve"> </w:t>
      </w:r>
      <w:r>
        <w:rPr>
          <w:lang w:val="ru-RU"/>
        </w:rPr>
        <w:t>на</w:t>
      </w:r>
      <w:r w:rsidRPr="00A830BE">
        <w:rPr>
          <w:lang w:val="ru-RU"/>
        </w:rPr>
        <w:t xml:space="preserve"> </w:t>
      </w:r>
      <w:r>
        <w:rPr>
          <w:lang w:val="ru-RU"/>
        </w:rPr>
        <w:t>товарные</w:t>
      </w:r>
      <w:r w:rsidRPr="00A830BE">
        <w:rPr>
          <w:lang w:val="ru-RU"/>
        </w:rPr>
        <w:t xml:space="preserve"> </w:t>
      </w:r>
      <w:r>
        <w:rPr>
          <w:lang w:val="ru-RU"/>
        </w:rPr>
        <w:t>знаки</w:t>
      </w:r>
      <w:r w:rsidRPr="00A830BE">
        <w:rPr>
          <w:lang w:val="ru-RU"/>
        </w:rPr>
        <w:t xml:space="preserve"> </w:t>
      </w:r>
      <w:r>
        <w:rPr>
          <w:lang w:val="ru-RU"/>
        </w:rPr>
        <w:t>и</w:t>
      </w:r>
      <w:r w:rsidRPr="00A830BE">
        <w:rPr>
          <w:lang w:val="ru-RU"/>
        </w:rPr>
        <w:t xml:space="preserve"> </w:t>
      </w:r>
      <w:r>
        <w:rPr>
          <w:lang w:val="ru-RU"/>
        </w:rPr>
        <w:t>образцы</w:t>
      </w:r>
      <w:r w:rsidRPr="00A830BE">
        <w:rPr>
          <w:lang w:val="ru-RU"/>
        </w:rPr>
        <w:t xml:space="preserve"> </w:t>
      </w:r>
      <w:r>
        <w:rPr>
          <w:lang w:val="ru-RU"/>
        </w:rPr>
        <w:t>растет</w:t>
      </w:r>
      <w:r w:rsidRPr="00A830BE">
        <w:rPr>
          <w:lang w:val="ru-RU"/>
        </w:rPr>
        <w:t xml:space="preserve"> </w:t>
      </w:r>
      <w:r>
        <w:rPr>
          <w:lang w:val="ru-RU"/>
        </w:rPr>
        <w:t>вместе</w:t>
      </w:r>
      <w:r w:rsidRPr="00A830BE">
        <w:rPr>
          <w:lang w:val="ru-RU"/>
        </w:rPr>
        <w:t xml:space="preserve"> </w:t>
      </w:r>
      <w:r>
        <w:rPr>
          <w:lang w:val="ru-RU"/>
        </w:rPr>
        <w:t>с</w:t>
      </w:r>
      <w:r w:rsidRPr="00A830BE">
        <w:rPr>
          <w:lang w:val="ru-RU"/>
        </w:rPr>
        <w:t xml:space="preserve"> </w:t>
      </w:r>
      <w:r>
        <w:rPr>
          <w:lang w:val="ru-RU"/>
        </w:rPr>
        <w:t>капиталоемкостью и обусловлено размерами фирмы и отраслью, к которой она относится</w:t>
      </w:r>
      <w:r w:rsidR="00403308" w:rsidRPr="00A830BE">
        <w:rPr>
          <w:lang w:val="ru-RU"/>
        </w:rPr>
        <w:t xml:space="preserve">. </w:t>
      </w:r>
      <w:r>
        <w:rPr>
          <w:lang w:val="ru-RU"/>
        </w:rPr>
        <w:t>Иностранные</w:t>
      </w:r>
      <w:r w:rsidRPr="00EA0F35">
        <w:rPr>
          <w:lang w:val="ru-RU"/>
        </w:rPr>
        <w:t xml:space="preserve"> </w:t>
      </w:r>
      <w:r>
        <w:rPr>
          <w:lang w:val="ru-RU"/>
        </w:rPr>
        <w:t>фирмы</w:t>
      </w:r>
      <w:r w:rsidRPr="00EA0F35">
        <w:rPr>
          <w:lang w:val="ru-RU"/>
        </w:rPr>
        <w:t xml:space="preserve"> </w:t>
      </w:r>
      <w:r>
        <w:rPr>
          <w:lang w:val="ru-RU"/>
        </w:rPr>
        <w:t>с</w:t>
      </w:r>
      <w:r w:rsidRPr="00EA0F35">
        <w:rPr>
          <w:lang w:val="ru-RU"/>
        </w:rPr>
        <w:t xml:space="preserve"> </w:t>
      </w:r>
      <w:r w:rsidR="00EA0F35">
        <w:rPr>
          <w:lang w:val="ru-RU"/>
        </w:rPr>
        <w:t xml:space="preserve">гораздо </w:t>
      </w:r>
      <w:r>
        <w:rPr>
          <w:lang w:val="ru-RU"/>
        </w:rPr>
        <w:t>большей</w:t>
      </w:r>
      <w:r w:rsidRPr="00EA0F35">
        <w:rPr>
          <w:lang w:val="ru-RU"/>
        </w:rPr>
        <w:t xml:space="preserve"> </w:t>
      </w:r>
      <w:r>
        <w:rPr>
          <w:lang w:val="ru-RU"/>
        </w:rPr>
        <w:t>степенью</w:t>
      </w:r>
      <w:r w:rsidRPr="00EA0F35">
        <w:rPr>
          <w:lang w:val="ru-RU"/>
        </w:rPr>
        <w:t xml:space="preserve"> </w:t>
      </w:r>
      <w:r>
        <w:rPr>
          <w:lang w:val="ru-RU"/>
        </w:rPr>
        <w:t>вероятности</w:t>
      </w:r>
      <w:r w:rsidRPr="00EA0F35">
        <w:rPr>
          <w:lang w:val="ru-RU"/>
        </w:rPr>
        <w:t xml:space="preserve"> </w:t>
      </w:r>
      <w:r>
        <w:rPr>
          <w:lang w:val="ru-RU"/>
        </w:rPr>
        <w:t>будут</w:t>
      </w:r>
      <w:r w:rsidRPr="00EA0F35">
        <w:rPr>
          <w:lang w:val="ru-RU"/>
        </w:rPr>
        <w:t xml:space="preserve"> </w:t>
      </w:r>
      <w:r>
        <w:rPr>
          <w:lang w:val="ru-RU"/>
        </w:rPr>
        <w:t>брать</w:t>
      </w:r>
      <w:r w:rsidRPr="00EA0F35">
        <w:rPr>
          <w:lang w:val="ru-RU"/>
        </w:rPr>
        <w:t xml:space="preserve"> </w:t>
      </w:r>
      <w:r>
        <w:rPr>
          <w:lang w:val="ru-RU"/>
        </w:rPr>
        <w:t>патенты</w:t>
      </w:r>
      <w:r w:rsidRPr="00EA0F35">
        <w:rPr>
          <w:lang w:val="ru-RU"/>
        </w:rPr>
        <w:t xml:space="preserve">, </w:t>
      </w:r>
      <w:r>
        <w:rPr>
          <w:lang w:val="ru-RU"/>
        </w:rPr>
        <w:t>чем</w:t>
      </w:r>
      <w:r w:rsidRPr="00EA0F35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EA0F35">
        <w:rPr>
          <w:lang w:val="ru-RU"/>
        </w:rPr>
        <w:t xml:space="preserve"> </w:t>
      </w:r>
      <w:r>
        <w:rPr>
          <w:lang w:val="ru-RU"/>
        </w:rPr>
        <w:t>фирмы</w:t>
      </w:r>
      <w:r w:rsidR="00EA0F35">
        <w:rPr>
          <w:lang w:val="ru-RU"/>
        </w:rPr>
        <w:t>, но они с меньшей степенью вероятности будут пользоваться товарными знаками</w:t>
      </w:r>
      <w:r w:rsidR="00403308" w:rsidRPr="00EA0F35">
        <w:rPr>
          <w:lang w:val="ru-RU"/>
        </w:rPr>
        <w:t>.</w:t>
      </w:r>
    </w:p>
    <w:p w:rsidR="005B38BC" w:rsidRPr="00EA0F35" w:rsidRDefault="00EA0F35" w:rsidP="005B38BC">
      <w:pPr>
        <w:pStyle w:val="ListParagraph"/>
        <w:numPr>
          <w:ilvl w:val="0"/>
          <w:numId w:val="8"/>
        </w:numPr>
        <w:spacing w:after="240"/>
        <w:contextualSpacing w:val="0"/>
        <w:rPr>
          <w:lang w:val="ru-RU"/>
        </w:rPr>
      </w:pPr>
      <w:r>
        <w:rPr>
          <w:lang w:val="ru-RU"/>
        </w:rPr>
        <w:t>Патентование</w:t>
      </w:r>
      <w:r w:rsidRPr="00EA0F35">
        <w:rPr>
          <w:lang w:val="ru-RU"/>
        </w:rPr>
        <w:t xml:space="preserve"> </w:t>
      </w:r>
      <w:r w:rsidR="005B38BC" w:rsidRPr="00EA0F35">
        <w:rPr>
          <w:lang w:val="ru-RU"/>
        </w:rPr>
        <w:t xml:space="preserve"> </w:t>
      </w:r>
      <w:r>
        <w:rPr>
          <w:lang w:val="ru-RU"/>
        </w:rPr>
        <w:t>чаще имеет место в химической промышленности, в металлургии и машиностроении, равно как и в автомобильной промышленности</w:t>
      </w:r>
      <w:r w:rsidR="005B38BC" w:rsidRPr="00EA0F35">
        <w:rPr>
          <w:lang w:val="ru-RU"/>
        </w:rPr>
        <w:t xml:space="preserve">.  </w:t>
      </w:r>
      <w:r>
        <w:rPr>
          <w:lang w:val="ru-RU"/>
        </w:rPr>
        <w:t>Оно отсутствует в секторах электроэнергии и электроники, в которых наблюдается интенсивное использование патентов в странах с высокими уровнями доходов</w:t>
      </w:r>
      <w:r w:rsidR="005B38BC" w:rsidRPr="00EA0F35">
        <w:rPr>
          <w:lang w:val="ru-RU"/>
        </w:rPr>
        <w:t xml:space="preserve">.  </w:t>
      </w:r>
      <w:r>
        <w:rPr>
          <w:lang w:val="ru-RU"/>
        </w:rPr>
        <w:t>Товарные знаки используются более единообразно в различных секторах, и самые высокие показатели отмечаются в</w:t>
      </w:r>
      <w:r w:rsidR="005B38BC" w:rsidRPr="00EA0F35">
        <w:rPr>
          <w:lang w:val="ru-RU"/>
        </w:rPr>
        <w:t xml:space="preserve"> </w:t>
      </w:r>
      <w:r>
        <w:rPr>
          <w:lang w:val="ru-RU"/>
        </w:rPr>
        <w:t>химической промышленности, которая включает фармацевтический сектор</w:t>
      </w:r>
      <w:r w:rsidR="005B38BC" w:rsidRPr="00EA0F35">
        <w:rPr>
          <w:lang w:val="ru-RU"/>
        </w:rPr>
        <w:t>.</w:t>
      </w:r>
    </w:p>
    <w:p w:rsidR="005B38BC" w:rsidRPr="00EA0F35" w:rsidRDefault="00EA0F35" w:rsidP="005B38BC">
      <w:pPr>
        <w:pStyle w:val="ListParagraph"/>
        <w:numPr>
          <w:ilvl w:val="0"/>
          <w:numId w:val="8"/>
        </w:numPr>
        <w:spacing w:after="240"/>
        <w:contextualSpacing w:val="0"/>
        <w:rPr>
          <w:lang w:val="ru-RU"/>
        </w:rPr>
      </w:pPr>
      <w:r>
        <w:rPr>
          <w:lang w:val="ru-RU"/>
        </w:rPr>
        <w:t>Имеются явные доказательства того, что фирмы растут в размерах после подачи первой заявки на товарный знак или на патент</w:t>
      </w:r>
      <w:r w:rsidR="00F15751" w:rsidRPr="00EA0F35">
        <w:rPr>
          <w:lang w:val="ru-RU"/>
        </w:rPr>
        <w:t xml:space="preserve">.  </w:t>
      </w:r>
      <w:r>
        <w:rPr>
          <w:lang w:val="ru-RU"/>
        </w:rPr>
        <w:t>Однако</w:t>
      </w:r>
      <w:r w:rsidRPr="00EA0F35">
        <w:rPr>
          <w:lang w:val="ru-RU"/>
        </w:rPr>
        <w:t xml:space="preserve"> </w:t>
      </w:r>
      <w:r>
        <w:rPr>
          <w:lang w:val="ru-RU"/>
        </w:rPr>
        <w:t>это</w:t>
      </w:r>
      <w:r w:rsidRPr="00EA0F35">
        <w:rPr>
          <w:lang w:val="ru-RU"/>
        </w:rPr>
        <w:t xml:space="preserve"> </w:t>
      </w:r>
      <w:r>
        <w:rPr>
          <w:lang w:val="ru-RU"/>
        </w:rPr>
        <w:t>большей</w:t>
      </w:r>
      <w:r w:rsidRPr="00EA0F35">
        <w:rPr>
          <w:lang w:val="ru-RU"/>
        </w:rPr>
        <w:t xml:space="preserve"> </w:t>
      </w:r>
      <w:r>
        <w:rPr>
          <w:lang w:val="ru-RU"/>
        </w:rPr>
        <w:t>частью</w:t>
      </w:r>
      <w:r w:rsidRPr="00EA0F35">
        <w:rPr>
          <w:lang w:val="ru-RU"/>
        </w:rPr>
        <w:t xml:space="preserve"> </w:t>
      </w:r>
      <w:r>
        <w:rPr>
          <w:lang w:val="ru-RU"/>
        </w:rPr>
        <w:t>отражает</w:t>
      </w:r>
      <w:r w:rsidRPr="00EA0F35">
        <w:rPr>
          <w:lang w:val="ru-RU"/>
        </w:rPr>
        <w:t xml:space="preserve"> </w:t>
      </w:r>
      <w:r>
        <w:rPr>
          <w:lang w:val="ru-RU"/>
        </w:rPr>
        <w:t>тот</w:t>
      </w:r>
      <w:r w:rsidRPr="00EA0F35">
        <w:rPr>
          <w:lang w:val="ru-RU"/>
        </w:rPr>
        <w:t xml:space="preserve"> </w:t>
      </w:r>
      <w:r>
        <w:rPr>
          <w:lang w:val="ru-RU"/>
        </w:rPr>
        <w:t>факт</w:t>
      </w:r>
      <w:r w:rsidR="00F15751" w:rsidRPr="00EA0F35">
        <w:rPr>
          <w:lang w:val="ru-RU"/>
        </w:rPr>
        <w:t xml:space="preserve">, </w:t>
      </w:r>
      <w:r>
        <w:rPr>
          <w:lang w:val="ru-RU"/>
        </w:rPr>
        <w:t>что фирмы, использующие систему ИС в течение рассматриваемого периода, являются более быстрорастущими</w:t>
      </w:r>
      <w:r w:rsidR="00F15751" w:rsidRPr="00EA0F35">
        <w:rPr>
          <w:lang w:val="ru-RU"/>
        </w:rPr>
        <w:t xml:space="preserve">.  </w:t>
      </w:r>
      <w:r>
        <w:rPr>
          <w:lang w:val="ru-RU"/>
        </w:rPr>
        <w:t>Они уже демонстрируют более высокие темпы роста до первого использования ИС, и такое использование не меняет траекторию их роста</w:t>
      </w:r>
      <w:r w:rsidR="00F15751" w:rsidRPr="00EA0F35">
        <w:rPr>
          <w:lang w:val="ru-RU"/>
        </w:rPr>
        <w:t xml:space="preserve">.  </w:t>
      </w:r>
      <w:r>
        <w:rPr>
          <w:lang w:val="ru-RU"/>
        </w:rPr>
        <w:t>Говоря</w:t>
      </w:r>
      <w:r w:rsidRPr="00EA0F35">
        <w:rPr>
          <w:lang w:val="ru-RU"/>
        </w:rPr>
        <w:t xml:space="preserve"> </w:t>
      </w:r>
      <w:r>
        <w:rPr>
          <w:lang w:val="ru-RU"/>
        </w:rPr>
        <w:t>простыми</w:t>
      </w:r>
      <w:r w:rsidRPr="00EA0F35">
        <w:rPr>
          <w:lang w:val="ru-RU"/>
        </w:rPr>
        <w:t xml:space="preserve"> </w:t>
      </w:r>
      <w:r>
        <w:rPr>
          <w:lang w:val="ru-RU"/>
        </w:rPr>
        <w:t>словами</w:t>
      </w:r>
      <w:r w:rsidR="00F15751" w:rsidRPr="00EA0F35">
        <w:rPr>
          <w:lang w:val="ru-RU"/>
        </w:rPr>
        <w:t xml:space="preserve">, </w:t>
      </w:r>
      <w:r>
        <w:rPr>
          <w:lang w:val="ru-RU"/>
        </w:rPr>
        <w:t>представляется так, что коммерческий</w:t>
      </w:r>
      <w:r w:rsidRPr="00EA0F35">
        <w:rPr>
          <w:lang w:val="ru-RU"/>
        </w:rPr>
        <w:t xml:space="preserve"> </w:t>
      </w:r>
      <w:r>
        <w:rPr>
          <w:lang w:val="ru-RU"/>
        </w:rPr>
        <w:t>успех</w:t>
      </w:r>
      <w:r w:rsidR="00F15751" w:rsidRPr="00EA0F35">
        <w:rPr>
          <w:lang w:val="ru-RU"/>
        </w:rPr>
        <w:t xml:space="preserve"> </w:t>
      </w:r>
      <w:r>
        <w:rPr>
          <w:lang w:val="ru-RU"/>
        </w:rPr>
        <w:t>стимулирует первое использование ИС, а не наоборот</w:t>
      </w:r>
      <w:r w:rsidR="00F15751" w:rsidRPr="00EA0F35">
        <w:rPr>
          <w:lang w:val="ru-RU"/>
        </w:rPr>
        <w:t>.</w:t>
      </w:r>
    </w:p>
    <w:p w:rsidR="00F15751" w:rsidRPr="001558BF" w:rsidRDefault="00EA0F35" w:rsidP="005B38BC">
      <w:pPr>
        <w:pStyle w:val="ListParagraph"/>
        <w:numPr>
          <w:ilvl w:val="0"/>
          <w:numId w:val="8"/>
        </w:numPr>
        <w:spacing w:after="240"/>
        <w:contextualSpacing w:val="0"/>
        <w:rPr>
          <w:lang w:val="ru-RU"/>
        </w:rPr>
      </w:pPr>
      <w:r>
        <w:rPr>
          <w:lang w:val="ru-RU"/>
        </w:rPr>
        <w:t>Наконец</w:t>
      </w:r>
      <w:r w:rsidR="00F15751" w:rsidRPr="001558BF">
        <w:rPr>
          <w:lang w:val="ru-RU"/>
        </w:rPr>
        <w:t xml:space="preserve">, </w:t>
      </w:r>
      <w:r>
        <w:rPr>
          <w:lang w:val="ru-RU"/>
        </w:rPr>
        <w:t>использование</w:t>
      </w:r>
      <w:r w:rsidRPr="001558BF">
        <w:rPr>
          <w:lang w:val="ru-RU"/>
        </w:rPr>
        <w:t xml:space="preserve"> </w:t>
      </w:r>
      <w:r>
        <w:rPr>
          <w:lang w:val="ru-RU"/>
        </w:rPr>
        <w:t>товарных</w:t>
      </w:r>
      <w:r w:rsidRPr="001558BF">
        <w:rPr>
          <w:lang w:val="ru-RU"/>
        </w:rPr>
        <w:t xml:space="preserve"> </w:t>
      </w:r>
      <w:r>
        <w:rPr>
          <w:lang w:val="ru-RU"/>
        </w:rPr>
        <w:t>знаков</w:t>
      </w:r>
      <w:r w:rsidRPr="001558BF">
        <w:rPr>
          <w:lang w:val="ru-RU"/>
        </w:rPr>
        <w:t xml:space="preserve"> </w:t>
      </w:r>
      <w:r>
        <w:rPr>
          <w:lang w:val="ru-RU"/>
        </w:rPr>
        <w:t>связано</w:t>
      </w:r>
      <w:r w:rsidRPr="001558BF">
        <w:rPr>
          <w:lang w:val="ru-RU"/>
        </w:rPr>
        <w:t xml:space="preserve"> </w:t>
      </w:r>
      <w:r>
        <w:rPr>
          <w:lang w:val="ru-RU"/>
        </w:rPr>
        <w:t>с</w:t>
      </w:r>
      <w:r w:rsidRPr="001558BF">
        <w:rPr>
          <w:lang w:val="ru-RU"/>
        </w:rPr>
        <w:t xml:space="preserve"> </w:t>
      </w:r>
      <w:r w:rsidR="001558BF">
        <w:rPr>
          <w:lang w:val="ru-RU"/>
        </w:rPr>
        <w:t>разработкой абсолютно новых изделий, а это наводит на мысль о том, что чилийские фирмы используют стратегии брендинга для получения надлежащей отдачи от их инвестиций</w:t>
      </w:r>
      <w:r w:rsidR="00364BA8" w:rsidRPr="001558BF">
        <w:rPr>
          <w:lang w:val="ru-RU"/>
        </w:rPr>
        <w:t xml:space="preserve"> </w:t>
      </w:r>
      <w:r w:rsidR="001558BF">
        <w:rPr>
          <w:lang w:val="ru-RU"/>
        </w:rPr>
        <w:t>в инновации в товарной сфере</w:t>
      </w:r>
      <w:r w:rsidR="00364BA8" w:rsidRPr="001558BF">
        <w:rPr>
          <w:lang w:val="ru-RU"/>
        </w:rPr>
        <w:t xml:space="preserve">. </w:t>
      </w:r>
      <w:r w:rsidR="001558BF">
        <w:rPr>
          <w:lang w:val="ru-RU"/>
        </w:rPr>
        <w:t>Этот</w:t>
      </w:r>
      <w:r w:rsidR="001558BF" w:rsidRPr="001558BF">
        <w:rPr>
          <w:lang w:val="ru-RU"/>
        </w:rPr>
        <w:t xml:space="preserve"> </w:t>
      </w:r>
      <w:r w:rsidR="001558BF">
        <w:rPr>
          <w:lang w:val="ru-RU"/>
        </w:rPr>
        <w:t>вывод</w:t>
      </w:r>
      <w:r w:rsidR="001558BF" w:rsidRPr="001558BF">
        <w:rPr>
          <w:lang w:val="ru-RU"/>
        </w:rPr>
        <w:t xml:space="preserve"> </w:t>
      </w:r>
      <w:r w:rsidR="001558BF">
        <w:rPr>
          <w:lang w:val="ru-RU"/>
        </w:rPr>
        <w:t>согласуется</w:t>
      </w:r>
      <w:r w:rsidR="001558BF" w:rsidRPr="001558BF">
        <w:rPr>
          <w:lang w:val="ru-RU"/>
        </w:rPr>
        <w:t xml:space="preserve"> </w:t>
      </w:r>
      <w:r w:rsidR="001558BF">
        <w:rPr>
          <w:lang w:val="ru-RU"/>
        </w:rPr>
        <w:t>с</w:t>
      </w:r>
      <w:r w:rsidR="001558BF" w:rsidRPr="001558BF">
        <w:rPr>
          <w:lang w:val="ru-RU"/>
        </w:rPr>
        <w:t xml:space="preserve"> </w:t>
      </w:r>
      <w:r w:rsidR="001558BF">
        <w:rPr>
          <w:lang w:val="ru-RU"/>
        </w:rPr>
        <w:t>доказательствами</w:t>
      </w:r>
      <w:r w:rsidR="001558BF" w:rsidRPr="001558BF">
        <w:rPr>
          <w:lang w:val="ru-RU"/>
        </w:rPr>
        <w:t xml:space="preserve"> </w:t>
      </w:r>
      <w:r w:rsidR="001558BF">
        <w:rPr>
          <w:lang w:val="ru-RU"/>
        </w:rPr>
        <w:t>относительно связи между брендингом и инновациями в развитых странах</w:t>
      </w:r>
      <w:r w:rsidR="00364BA8" w:rsidRPr="001558BF">
        <w:rPr>
          <w:lang w:val="ru-RU"/>
        </w:rPr>
        <w:t>.</w:t>
      </w:r>
      <w:r w:rsidR="00364BA8" w:rsidRPr="001558BF">
        <w:rPr>
          <w:lang w:val="ru-RU"/>
        </w:rPr>
        <w:br/>
      </w:r>
    </w:p>
    <w:p w:rsidR="00C943E5" w:rsidRPr="00102C37" w:rsidRDefault="00102C37" w:rsidP="00677F76">
      <w:pPr>
        <w:pStyle w:val="Heading2"/>
        <w:rPr>
          <w:b/>
          <w:lang w:val="ru-RU"/>
        </w:rPr>
      </w:pPr>
      <w:r>
        <w:rPr>
          <w:b/>
          <w:lang w:val="ru-RU"/>
        </w:rPr>
        <w:t>ИЗВЛЕЧЕННЫЕ УРОКИ</w:t>
      </w:r>
    </w:p>
    <w:p w:rsidR="00C943E5" w:rsidRPr="001558BF" w:rsidRDefault="00C943E5">
      <w:pPr>
        <w:rPr>
          <w:lang w:val="ru-RU"/>
        </w:rPr>
      </w:pPr>
    </w:p>
    <w:p w:rsidR="00F64297" w:rsidRPr="00DA1EC5" w:rsidRDefault="001558BF" w:rsidP="00F64297">
      <w:pPr>
        <w:rPr>
          <w:lang w:val="ru-RU"/>
        </w:rPr>
      </w:pPr>
      <w:r>
        <w:rPr>
          <w:lang w:val="ru-RU"/>
        </w:rPr>
        <w:t>Выводы по итогам исследования позволяют извлечь два урока для политики в области ИС</w:t>
      </w:r>
      <w:r w:rsidR="00CC1312" w:rsidRPr="001558BF">
        <w:rPr>
          <w:lang w:val="ru-RU"/>
        </w:rPr>
        <w:t xml:space="preserve">.  </w:t>
      </w:r>
      <w:r>
        <w:rPr>
          <w:lang w:val="ru-RU"/>
        </w:rPr>
        <w:t>Во</w:t>
      </w:r>
      <w:r w:rsidRPr="001558BF">
        <w:rPr>
          <w:lang w:val="ru-RU"/>
        </w:rPr>
        <w:t>-</w:t>
      </w:r>
      <w:r>
        <w:rPr>
          <w:lang w:val="ru-RU"/>
        </w:rPr>
        <w:t>первых</w:t>
      </w:r>
      <w:r w:rsidR="00CC1312" w:rsidRPr="001558BF">
        <w:rPr>
          <w:lang w:val="ru-RU"/>
        </w:rPr>
        <w:t xml:space="preserve">, </w:t>
      </w:r>
      <w:r>
        <w:rPr>
          <w:lang w:val="ru-RU"/>
        </w:rPr>
        <w:t>мнение</w:t>
      </w:r>
      <w:r w:rsidRPr="001558BF">
        <w:rPr>
          <w:lang w:val="ru-RU"/>
        </w:rPr>
        <w:t xml:space="preserve"> </w:t>
      </w:r>
      <w:r>
        <w:rPr>
          <w:lang w:val="ru-RU"/>
        </w:rPr>
        <w:t>о</w:t>
      </w:r>
      <w:r w:rsidRPr="001558BF">
        <w:rPr>
          <w:lang w:val="ru-RU"/>
        </w:rPr>
        <w:t xml:space="preserve"> </w:t>
      </w:r>
      <w:r>
        <w:rPr>
          <w:lang w:val="ru-RU"/>
        </w:rPr>
        <w:t>том</w:t>
      </w:r>
      <w:r w:rsidRPr="001558BF">
        <w:rPr>
          <w:lang w:val="ru-RU"/>
        </w:rPr>
        <w:t xml:space="preserve">, </w:t>
      </w:r>
      <w:r>
        <w:rPr>
          <w:lang w:val="ru-RU"/>
        </w:rPr>
        <w:t>что</w:t>
      </w:r>
      <w:r w:rsidR="00CC1312" w:rsidRPr="001558BF">
        <w:rPr>
          <w:lang w:val="ru-RU"/>
        </w:rPr>
        <w:t xml:space="preserve"> </w:t>
      </w:r>
      <w:r>
        <w:rPr>
          <w:lang w:val="ru-RU"/>
        </w:rPr>
        <w:t>коммерческий</w:t>
      </w:r>
      <w:r w:rsidRPr="001558BF">
        <w:rPr>
          <w:lang w:val="ru-RU"/>
        </w:rPr>
        <w:t xml:space="preserve"> </w:t>
      </w:r>
      <w:r>
        <w:rPr>
          <w:lang w:val="ru-RU"/>
        </w:rPr>
        <w:t>успех</w:t>
      </w:r>
      <w:r w:rsidRPr="001558BF">
        <w:rPr>
          <w:lang w:val="ru-RU"/>
        </w:rPr>
        <w:t xml:space="preserve"> </w:t>
      </w:r>
      <w:r>
        <w:rPr>
          <w:lang w:val="ru-RU"/>
        </w:rPr>
        <w:t>стимулирует</w:t>
      </w:r>
      <w:r w:rsidRPr="001558BF">
        <w:rPr>
          <w:lang w:val="ru-RU"/>
        </w:rPr>
        <w:t xml:space="preserve"> </w:t>
      </w:r>
      <w:r>
        <w:rPr>
          <w:lang w:val="ru-RU"/>
        </w:rPr>
        <w:t>первое</w:t>
      </w:r>
      <w:r w:rsidRPr="001558BF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1558BF">
        <w:rPr>
          <w:lang w:val="ru-RU"/>
        </w:rPr>
        <w:t xml:space="preserve"> </w:t>
      </w:r>
      <w:r>
        <w:rPr>
          <w:lang w:val="ru-RU"/>
        </w:rPr>
        <w:t xml:space="preserve">ИС, наводит на мысль о том, что кампании по повышению осведомленности в области ИС </w:t>
      </w:r>
      <w:r w:rsidR="00284910">
        <w:rPr>
          <w:lang w:val="ru-RU"/>
        </w:rPr>
        <w:t>лучше всего ориентировать на те фирмы, чей растущий портфель нематериальных активов превращает их в потенциальных пользователей различными инструментами ИС, а не на все фирмы в целом</w:t>
      </w:r>
      <w:r w:rsidR="002B2FCD" w:rsidRPr="001558BF">
        <w:rPr>
          <w:lang w:val="ru-RU"/>
        </w:rPr>
        <w:t xml:space="preserve">.  </w:t>
      </w:r>
      <w:r w:rsidR="00284910">
        <w:rPr>
          <w:lang w:val="ru-RU"/>
        </w:rPr>
        <w:t>Во</w:t>
      </w:r>
      <w:r w:rsidR="00284910" w:rsidRPr="00284910">
        <w:rPr>
          <w:lang w:val="ru-RU"/>
        </w:rPr>
        <w:t>-</w:t>
      </w:r>
      <w:r w:rsidR="00284910">
        <w:rPr>
          <w:lang w:val="ru-RU"/>
        </w:rPr>
        <w:t>вторых</w:t>
      </w:r>
      <w:r w:rsidR="002B2FCD" w:rsidRPr="00284910">
        <w:rPr>
          <w:lang w:val="ru-RU"/>
        </w:rPr>
        <w:t xml:space="preserve">, </w:t>
      </w:r>
      <w:r w:rsidR="00284910">
        <w:rPr>
          <w:lang w:val="ru-RU"/>
        </w:rPr>
        <w:t>вывод</w:t>
      </w:r>
      <w:r w:rsidR="00284910" w:rsidRPr="00284910">
        <w:rPr>
          <w:lang w:val="ru-RU"/>
        </w:rPr>
        <w:t xml:space="preserve"> </w:t>
      </w:r>
      <w:r w:rsidR="00284910">
        <w:rPr>
          <w:lang w:val="ru-RU"/>
        </w:rPr>
        <w:t>о</w:t>
      </w:r>
      <w:r w:rsidR="00284910" w:rsidRPr="00284910">
        <w:rPr>
          <w:lang w:val="ru-RU"/>
        </w:rPr>
        <w:t xml:space="preserve"> </w:t>
      </w:r>
      <w:r w:rsidR="00284910">
        <w:rPr>
          <w:lang w:val="ru-RU"/>
        </w:rPr>
        <w:t>том</w:t>
      </w:r>
      <w:r w:rsidR="00284910" w:rsidRPr="00284910">
        <w:rPr>
          <w:lang w:val="ru-RU"/>
        </w:rPr>
        <w:t xml:space="preserve">, </w:t>
      </w:r>
      <w:r w:rsidR="00284910">
        <w:rPr>
          <w:lang w:val="ru-RU"/>
        </w:rPr>
        <w:t>что</w:t>
      </w:r>
      <w:r w:rsidR="00284910" w:rsidRPr="00284910">
        <w:rPr>
          <w:lang w:val="ru-RU"/>
        </w:rPr>
        <w:t xml:space="preserve"> </w:t>
      </w:r>
      <w:r w:rsidR="00284910">
        <w:rPr>
          <w:lang w:val="ru-RU"/>
        </w:rPr>
        <w:t>использование</w:t>
      </w:r>
      <w:r w:rsidR="00284910" w:rsidRPr="00284910">
        <w:rPr>
          <w:lang w:val="ru-RU"/>
        </w:rPr>
        <w:t xml:space="preserve"> </w:t>
      </w:r>
      <w:r w:rsidR="00284910">
        <w:rPr>
          <w:lang w:val="ru-RU"/>
        </w:rPr>
        <w:t>товарных</w:t>
      </w:r>
      <w:r w:rsidR="00284910" w:rsidRPr="00284910">
        <w:rPr>
          <w:lang w:val="ru-RU"/>
        </w:rPr>
        <w:t xml:space="preserve"> </w:t>
      </w:r>
      <w:r w:rsidR="00284910">
        <w:rPr>
          <w:lang w:val="ru-RU"/>
        </w:rPr>
        <w:t>знаков</w:t>
      </w:r>
      <w:r w:rsidR="00284910" w:rsidRPr="00284910">
        <w:rPr>
          <w:lang w:val="ru-RU"/>
        </w:rPr>
        <w:t xml:space="preserve"> </w:t>
      </w:r>
      <w:r w:rsidR="00284910">
        <w:rPr>
          <w:lang w:val="ru-RU"/>
        </w:rPr>
        <w:t>связано</w:t>
      </w:r>
      <w:r w:rsidR="00284910" w:rsidRPr="00284910">
        <w:rPr>
          <w:lang w:val="ru-RU"/>
        </w:rPr>
        <w:t xml:space="preserve"> </w:t>
      </w:r>
      <w:r w:rsidR="00284910">
        <w:rPr>
          <w:lang w:val="ru-RU"/>
        </w:rPr>
        <w:t>с</w:t>
      </w:r>
      <w:r w:rsidR="00284910" w:rsidRPr="00284910">
        <w:rPr>
          <w:lang w:val="ru-RU"/>
        </w:rPr>
        <w:t xml:space="preserve"> </w:t>
      </w:r>
      <w:r w:rsidR="00284910">
        <w:rPr>
          <w:lang w:val="ru-RU"/>
        </w:rPr>
        <w:t>разработкой</w:t>
      </w:r>
      <w:r w:rsidR="00284910" w:rsidRPr="00284910">
        <w:rPr>
          <w:lang w:val="ru-RU"/>
        </w:rPr>
        <w:t xml:space="preserve"> </w:t>
      </w:r>
      <w:r w:rsidR="00284910">
        <w:rPr>
          <w:lang w:val="ru-RU"/>
        </w:rPr>
        <w:t>абсолютно</w:t>
      </w:r>
      <w:r w:rsidR="00284910" w:rsidRPr="00284910">
        <w:rPr>
          <w:lang w:val="ru-RU"/>
        </w:rPr>
        <w:t xml:space="preserve"> </w:t>
      </w:r>
      <w:r w:rsidR="00284910">
        <w:rPr>
          <w:lang w:val="ru-RU"/>
        </w:rPr>
        <w:t>новых</w:t>
      </w:r>
      <w:r w:rsidR="00284910" w:rsidRPr="00284910">
        <w:rPr>
          <w:lang w:val="ru-RU"/>
        </w:rPr>
        <w:t xml:space="preserve"> </w:t>
      </w:r>
      <w:r w:rsidR="00284910">
        <w:rPr>
          <w:lang w:val="ru-RU"/>
        </w:rPr>
        <w:t>изделий</w:t>
      </w:r>
      <w:r w:rsidR="002B2FCD" w:rsidRPr="00284910">
        <w:rPr>
          <w:lang w:val="ru-RU"/>
        </w:rPr>
        <w:t xml:space="preserve"> </w:t>
      </w:r>
      <w:r w:rsidR="00BD430F" w:rsidRPr="00284910">
        <w:rPr>
          <w:lang w:val="ru-RU"/>
        </w:rPr>
        <w:t xml:space="preserve">– </w:t>
      </w:r>
      <w:r w:rsidR="00284910">
        <w:rPr>
          <w:lang w:val="ru-RU"/>
        </w:rPr>
        <w:t>в сочетании с относительно редким использованием патентов чилийскими фирмами,</w:t>
      </w:r>
      <w:r w:rsidR="00A81376" w:rsidRPr="00284910">
        <w:rPr>
          <w:lang w:val="ru-RU"/>
        </w:rPr>
        <w:t xml:space="preserve"> </w:t>
      </w:r>
      <w:r w:rsidR="00BD430F" w:rsidRPr="00284910">
        <w:rPr>
          <w:lang w:val="ru-RU"/>
        </w:rPr>
        <w:t>–</w:t>
      </w:r>
      <w:r w:rsidR="002B2FCD" w:rsidRPr="00284910">
        <w:rPr>
          <w:lang w:val="ru-RU"/>
        </w:rPr>
        <w:t xml:space="preserve"> </w:t>
      </w:r>
      <w:r w:rsidR="00284910">
        <w:rPr>
          <w:lang w:val="ru-RU"/>
        </w:rPr>
        <w:t>наводит на мысль о том, что брендинг, возможно, является более важным для фирм в Чили и других странах со средними уровнями доходов путем</w:t>
      </w:r>
      <w:r w:rsidR="002B2FCD" w:rsidRPr="00284910">
        <w:rPr>
          <w:lang w:val="ru-RU"/>
        </w:rPr>
        <w:t xml:space="preserve"> </w:t>
      </w:r>
      <w:r w:rsidR="00284910">
        <w:rPr>
          <w:lang w:val="ru-RU"/>
        </w:rPr>
        <w:t>для получения прибыли от инноваций</w:t>
      </w:r>
      <w:r w:rsidR="002B2FCD" w:rsidRPr="00284910">
        <w:rPr>
          <w:lang w:val="ru-RU"/>
        </w:rPr>
        <w:t>.</w:t>
      </w:r>
      <w:r w:rsidR="00BD430F" w:rsidRPr="00284910">
        <w:rPr>
          <w:lang w:val="ru-RU"/>
        </w:rPr>
        <w:t xml:space="preserve"> </w:t>
      </w:r>
      <w:r w:rsidR="00284910">
        <w:rPr>
          <w:lang w:val="ru-RU"/>
        </w:rPr>
        <w:t>Это</w:t>
      </w:r>
      <w:r w:rsidR="00284910" w:rsidRPr="00DA1EC5">
        <w:rPr>
          <w:lang w:val="ru-RU"/>
        </w:rPr>
        <w:t xml:space="preserve"> </w:t>
      </w:r>
      <w:r w:rsidR="00284910">
        <w:rPr>
          <w:lang w:val="ru-RU"/>
        </w:rPr>
        <w:t>вывод</w:t>
      </w:r>
      <w:r w:rsidR="00284910" w:rsidRPr="00DA1EC5">
        <w:rPr>
          <w:lang w:val="ru-RU"/>
        </w:rPr>
        <w:t xml:space="preserve"> </w:t>
      </w:r>
      <w:r w:rsidR="00284910">
        <w:rPr>
          <w:lang w:val="ru-RU"/>
        </w:rPr>
        <w:t>указывает</w:t>
      </w:r>
      <w:r w:rsidR="00284910" w:rsidRPr="00DA1EC5">
        <w:rPr>
          <w:lang w:val="ru-RU"/>
        </w:rPr>
        <w:t xml:space="preserve"> </w:t>
      </w:r>
      <w:r w:rsidR="00284910">
        <w:rPr>
          <w:lang w:val="ru-RU"/>
        </w:rPr>
        <w:t>на</w:t>
      </w:r>
      <w:r w:rsidR="002B2FCD" w:rsidRPr="00DA1EC5">
        <w:rPr>
          <w:lang w:val="ru-RU"/>
        </w:rPr>
        <w:t xml:space="preserve"> </w:t>
      </w:r>
      <w:r w:rsidR="00284910">
        <w:rPr>
          <w:lang w:val="ru-RU"/>
        </w:rPr>
        <w:t>последовательность</w:t>
      </w:r>
      <w:r w:rsidR="00284910" w:rsidRPr="00DA1EC5">
        <w:rPr>
          <w:lang w:val="ru-RU"/>
        </w:rPr>
        <w:t xml:space="preserve"> </w:t>
      </w:r>
      <w:r w:rsidR="00284910">
        <w:rPr>
          <w:lang w:val="ru-RU"/>
        </w:rPr>
        <w:t>различных</w:t>
      </w:r>
      <w:r w:rsidR="00284910" w:rsidRPr="00DA1EC5">
        <w:rPr>
          <w:lang w:val="ru-RU"/>
        </w:rPr>
        <w:t xml:space="preserve"> </w:t>
      </w:r>
      <w:r w:rsidR="00284910">
        <w:rPr>
          <w:lang w:val="ru-RU"/>
        </w:rPr>
        <w:t>направлений</w:t>
      </w:r>
      <w:r w:rsidR="00284910" w:rsidRPr="00DA1EC5">
        <w:rPr>
          <w:lang w:val="ru-RU"/>
        </w:rPr>
        <w:t xml:space="preserve"> </w:t>
      </w:r>
      <w:r w:rsidR="00284910">
        <w:rPr>
          <w:lang w:val="ru-RU"/>
        </w:rPr>
        <w:t>политики</w:t>
      </w:r>
      <w:r w:rsidR="00284910" w:rsidRPr="00DA1EC5">
        <w:rPr>
          <w:lang w:val="ru-RU"/>
        </w:rPr>
        <w:t xml:space="preserve"> </w:t>
      </w:r>
      <w:r w:rsidR="00284910">
        <w:rPr>
          <w:lang w:val="ru-RU"/>
        </w:rPr>
        <w:t>в</w:t>
      </w:r>
      <w:r w:rsidR="00284910" w:rsidRPr="00DA1EC5">
        <w:rPr>
          <w:lang w:val="ru-RU"/>
        </w:rPr>
        <w:t xml:space="preserve"> </w:t>
      </w:r>
      <w:r w:rsidR="00284910">
        <w:rPr>
          <w:lang w:val="ru-RU"/>
        </w:rPr>
        <w:t>области</w:t>
      </w:r>
      <w:r w:rsidR="00284910" w:rsidRPr="00DA1EC5">
        <w:rPr>
          <w:lang w:val="ru-RU"/>
        </w:rPr>
        <w:t xml:space="preserve"> </w:t>
      </w:r>
      <w:r w:rsidR="00284910">
        <w:rPr>
          <w:lang w:val="ru-RU"/>
        </w:rPr>
        <w:t>ИС</w:t>
      </w:r>
      <w:r w:rsidR="00DA1EC5">
        <w:rPr>
          <w:lang w:val="ru-RU"/>
        </w:rPr>
        <w:t>, когда относительно больший акцент ставится на систему товарных знаков на более ранних этапах развития</w:t>
      </w:r>
      <w:r w:rsidR="00F64297" w:rsidRPr="00DA1EC5">
        <w:rPr>
          <w:lang w:val="ru-RU"/>
        </w:rPr>
        <w:t>.</w:t>
      </w:r>
    </w:p>
    <w:p w:rsidR="00F64297" w:rsidRPr="00DA1EC5" w:rsidRDefault="00F64297">
      <w:pPr>
        <w:rPr>
          <w:lang w:val="ru-RU"/>
        </w:rPr>
      </w:pPr>
    </w:p>
    <w:p w:rsidR="005B2E5D" w:rsidRPr="000719B9" w:rsidRDefault="00DA1EC5">
      <w:pPr>
        <w:rPr>
          <w:lang w:val="ru-RU"/>
        </w:rPr>
      </w:pPr>
      <w:r>
        <w:rPr>
          <w:lang w:val="ru-RU"/>
        </w:rPr>
        <w:t>С</w:t>
      </w:r>
      <w:r w:rsidRPr="00DA1EC5">
        <w:rPr>
          <w:lang w:val="ru-RU"/>
        </w:rPr>
        <w:t xml:space="preserve"> </w:t>
      </w:r>
      <w:r>
        <w:rPr>
          <w:lang w:val="ru-RU"/>
        </w:rPr>
        <w:t>методологической</w:t>
      </w:r>
      <w:r w:rsidRPr="00DA1EC5">
        <w:rPr>
          <w:lang w:val="ru-RU"/>
        </w:rPr>
        <w:t xml:space="preserve"> </w:t>
      </w:r>
      <w:r>
        <w:rPr>
          <w:lang w:val="ru-RU"/>
        </w:rPr>
        <w:t>точки</w:t>
      </w:r>
      <w:r w:rsidRPr="00DA1EC5">
        <w:rPr>
          <w:lang w:val="ru-RU"/>
        </w:rPr>
        <w:t xml:space="preserve"> </w:t>
      </w:r>
      <w:r>
        <w:rPr>
          <w:lang w:val="ru-RU"/>
        </w:rPr>
        <w:t>зрения</w:t>
      </w:r>
      <w:r w:rsidR="005B2E5D" w:rsidRPr="00DA1EC5">
        <w:rPr>
          <w:lang w:val="ru-RU"/>
        </w:rPr>
        <w:t xml:space="preserve">, </w:t>
      </w:r>
      <w:r>
        <w:rPr>
          <w:lang w:val="ru-RU"/>
        </w:rPr>
        <w:t>есть большой смысл в изучении результативности использования ИС, опираясь на сопоставление данных об использовании ИС и</w:t>
      </w:r>
      <w:r w:rsidR="005B2E5D" w:rsidRPr="00DA1EC5">
        <w:rPr>
          <w:lang w:val="ru-RU"/>
        </w:rPr>
        <w:t xml:space="preserve"> </w:t>
      </w:r>
      <w:r>
        <w:rPr>
          <w:lang w:val="ru-RU"/>
        </w:rPr>
        <w:t>об эффективности деятельности фирм</w:t>
      </w:r>
      <w:r w:rsidR="005B2E5D" w:rsidRPr="00DA1EC5">
        <w:rPr>
          <w:lang w:val="ru-RU"/>
        </w:rPr>
        <w:t xml:space="preserve">.  </w:t>
      </w:r>
      <w:r>
        <w:rPr>
          <w:lang w:val="ru-RU"/>
        </w:rPr>
        <w:t>И</w:t>
      </w:r>
      <w:r w:rsidRPr="00DA1EC5">
        <w:rPr>
          <w:lang w:val="ru-RU"/>
        </w:rPr>
        <w:t xml:space="preserve"> </w:t>
      </w:r>
      <w:r>
        <w:rPr>
          <w:lang w:val="ru-RU"/>
        </w:rPr>
        <w:t>действительно</w:t>
      </w:r>
      <w:r w:rsidR="005B2E5D" w:rsidRPr="00DA1EC5">
        <w:rPr>
          <w:lang w:val="ru-RU"/>
        </w:rPr>
        <w:t xml:space="preserve">, </w:t>
      </w:r>
      <w:r>
        <w:rPr>
          <w:lang w:val="ru-RU"/>
        </w:rPr>
        <w:t xml:space="preserve">база данных, созданная в Чили, способна позволить провести исследования по дополнительным вопросам касательно </w:t>
      </w:r>
      <w:r>
        <w:rPr>
          <w:lang w:val="ru-RU"/>
        </w:rPr>
        <w:lastRenderedPageBreak/>
        <w:t>того, как инновационная деятельность, использование ИС и коммерческие результаты соотносятся друг с другом</w:t>
      </w:r>
      <w:r w:rsidR="00677433" w:rsidRPr="00DA1EC5">
        <w:rPr>
          <w:lang w:val="ru-RU"/>
        </w:rPr>
        <w:t xml:space="preserve">.  </w:t>
      </w:r>
      <w:r>
        <w:rPr>
          <w:lang w:val="ru-RU"/>
        </w:rPr>
        <w:t>В</w:t>
      </w:r>
      <w:r w:rsidRPr="00DA1EC5">
        <w:rPr>
          <w:lang w:val="ru-RU"/>
        </w:rPr>
        <w:t xml:space="preserve"> </w:t>
      </w:r>
      <w:r>
        <w:rPr>
          <w:lang w:val="ru-RU"/>
        </w:rPr>
        <w:t>то</w:t>
      </w:r>
      <w:r w:rsidRPr="00DA1EC5">
        <w:rPr>
          <w:lang w:val="ru-RU"/>
        </w:rPr>
        <w:t xml:space="preserve"> </w:t>
      </w:r>
      <w:r>
        <w:rPr>
          <w:lang w:val="ru-RU"/>
        </w:rPr>
        <w:t>же</w:t>
      </w:r>
      <w:r w:rsidRPr="00DA1EC5">
        <w:rPr>
          <w:lang w:val="ru-RU"/>
        </w:rPr>
        <w:t xml:space="preserve"> </w:t>
      </w:r>
      <w:r>
        <w:rPr>
          <w:lang w:val="ru-RU"/>
        </w:rPr>
        <w:t>время</w:t>
      </w:r>
      <w:r w:rsidRPr="00DA1EC5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DA1EC5">
        <w:rPr>
          <w:lang w:val="ru-RU"/>
        </w:rPr>
        <w:t xml:space="preserve"> </w:t>
      </w:r>
      <w:r>
        <w:rPr>
          <w:lang w:val="ru-RU"/>
        </w:rPr>
        <w:t>такого</w:t>
      </w:r>
      <w:r w:rsidRPr="00DA1EC5">
        <w:rPr>
          <w:lang w:val="ru-RU"/>
        </w:rPr>
        <w:t xml:space="preserve"> </w:t>
      </w:r>
      <w:r>
        <w:rPr>
          <w:lang w:val="ru-RU"/>
        </w:rPr>
        <w:t>рода</w:t>
      </w:r>
      <w:r w:rsidRPr="00DA1EC5">
        <w:rPr>
          <w:lang w:val="ru-RU"/>
        </w:rPr>
        <w:t xml:space="preserve"> </w:t>
      </w:r>
      <w:r>
        <w:rPr>
          <w:lang w:val="ru-RU"/>
        </w:rPr>
        <w:t>сталкиваются</w:t>
      </w:r>
      <w:r w:rsidRPr="00DA1EC5">
        <w:rPr>
          <w:lang w:val="ru-RU"/>
        </w:rPr>
        <w:t xml:space="preserve"> </w:t>
      </w:r>
      <w:r>
        <w:rPr>
          <w:lang w:val="ru-RU"/>
        </w:rPr>
        <w:t>со</w:t>
      </w:r>
      <w:r w:rsidRPr="00DA1EC5">
        <w:rPr>
          <w:lang w:val="ru-RU"/>
        </w:rPr>
        <w:t xml:space="preserve"> </w:t>
      </w:r>
      <w:r>
        <w:rPr>
          <w:lang w:val="ru-RU"/>
        </w:rPr>
        <w:t>значительными ограничениями</w:t>
      </w:r>
      <w:r w:rsidR="00677433" w:rsidRPr="00DA1EC5">
        <w:rPr>
          <w:lang w:val="ru-RU"/>
        </w:rPr>
        <w:t xml:space="preserve">.  </w:t>
      </w:r>
      <w:r>
        <w:rPr>
          <w:lang w:val="ru-RU"/>
        </w:rPr>
        <w:t>Лишь немногие чилийские фирмы используют патенты, и большинство из них делают это</w:t>
      </w:r>
      <w:r w:rsidR="00677433" w:rsidRPr="00DA1EC5">
        <w:rPr>
          <w:lang w:val="ru-RU"/>
        </w:rPr>
        <w:t xml:space="preserve"> </w:t>
      </w:r>
      <w:r>
        <w:rPr>
          <w:lang w:val="ru-RU"/>
        </w:rPr>
        <w:t>нерегулярно</w:t>
      </w:r>
      <w:r w:rsidR="00677433" w:rsidRPr="00DA1EC5">
        <w:rPr>
          <w:lang w:val="ru-RU"/>
        </w:rPr>
        <w:t>.</w:t>
      </w:r>
      <w:r w:rsidR="00D22EF0" w:rsidRPr="00DA1EC5">
        <w:rPr>
          <w:lang w:val="ru-RU"/>
        </w:rPr>
        <w:t xml:space="preserve">  </w:t>
      </w:r>
      <w:r>
        <w:rPr>
          <w:lang w:val="ru-RU"/>
        </w:rPr>
        <w:t>Такая</w:t>
      </w:r>
      <w:r w:rsidRPr="00DA1EC5">
        <w:rPr>
          <w:lang w:val="ru-RU"/>
        </w:rPr>
        <w:t xml:space="preserve"> </w:t>
      </w:r>
      <w:r>
        <w:rPr>
          <w:lang w:val="ru-RU"/>
        </w:rPr>
        <w:t>же</w:t>
      </w:r>
      <w:r w:rsidRPr="00DA1EC5">
        <w:rPr>
          <w:lang w:val="ru-RU"/>
        </w:rPr>
        <w:t xml:space="preserve"> </w:t>
      </w:r>
      <w:r>
        <w:rPr>
          <w:lang w:val="ru-RU"/>
        </w:rPr>
        <w:t>картина</w:t>
      </w:r>
      <w:r w:rsidRPr="00DA1EC5">
        <w:rPr>
          <w:lang w:val="ru-RU"/>
        </w:rPr>
        <w:t xml:space="preserve">, </w:t>
      </w:r>
      <w:r>
        <w:rPr>
          <w:lang w:val="ru-RU"/>
        </w:rPr>
        <w:t>по</w:t>
      </w:r>
      <w:r w:rsidRPr="00DA1EC5">
        <w:rPr>
          <w:lang w:val="ru-RU"/>
        </w:rPr>
        <w:t>-</w:t>
      </w:r>
      <w:r>
        <w:rPr>
          <w:lang w:val="ru-RU"/>
        </w:rPr>
        <w:t>видимому</w:t>
      </w:r>
      <w:r w:rsidRPr="00DA1EC5">
        <w:rPr>
          <w:lang w:val="ru-RU"/>
        </w:rPr>
        <w:t xml:space="preserve">, </w:t>
      </w:r>
      <w:r>
        <w:rPr>
          <w:lang w:val="ru-RU"/>
        </w:rPr>
        <w:t>наблюдается во многих других странах со средними уровнями доходов</w:t>
      </w:r>
      <w:r w:rsidR="00D22EF0" w:rsidRPr="00DA1EC5">
        <w:rPr>
          <w:lang w:val="ru-RU"/>
        </w:rPr>
        <w:t xml:space="preserve">.  </w:t>
      </w:r>
      <w:r>
        <w:rPr>
          <w:lang w:val="ru-RU"/>
        </w:rPr>
        <w:t>Это</w:t>
      </w:r>
      <w:r w:rsidRPr="00DA1EC5">
        <w:rPr>
          <w:lang w:val="ru-RU"/>
        </w:rPr>
        <w:t xml:space="preserve"> </w:t>
      </w:r>
      <w:r>
        <w:rPr>
          <w:lang w:val="ru-RU"/>
        </w:rPr>
        <w:t>ослабляет</w:t>
      </w:r>
      <w:r w:rsidRPr="00DA1EC5">
        <w:rPr>
          <w:lang w:val="ru-RU"/>
        </w:rPr>
        <w:t xml:space="preserve"> </w:t>
      </w:r>
      <w:r>
        <w:rPr>
          <w:lang w:val="ru-RU"/>
        </w:rPr>
        <w:t>надежность</w:t>
      </w:r>
      <w:r w:rsidR="00D22EF0" w:rsidRPr="00DA1EC5">
        <w:rPr>
          <w:lang w:val="ru-RU"/>
        </w:rPr>
        <w:t xml:space="preserve"> </w:t>
      </w:r>
      <w:r>
        <w:rPr>
          <w:lang w:val="ru-RU"/>
        </w:rPr>
        <w:t xml:space="preserve">статистических соотношений и, соответственно, способность исследователей </w:t>
      </w:r>
      <w:r w:rsidR="00D22EF0" w:rsidRPr="00DA1EC5">
        <w:rPr>
          <w:lang w:val="ru-RU"/>
        </w:rPr>
        <w:t xml:space="preserve"> </w:t>
      </w:r>
      <w:r>
        <w:rPr>
          <w:lang w:val="ru-RU"/>
        </w:rPr>
        <w:t>делать однозначные выводы</w:t>
      </w:r>
      <w:r w:rsidR="00A84657" w:rsidRPr="00DA1EC5">
        <w:rPr>
          <w:lang w:val="ru-RU"/>
        </w:rPr>
        <w:t>.</w:t>
      </w:r>
      <w:r w:rsidR="00325192" w:rsidRPr="00DA1EC5">
        <w:rPr>
          <w:lang w:val="ru-RU"/>
        </w:rPr>
        <w:t xml:space="preserve">  </w:t>
      </w:r>
      <w:r>
        <w:rPr>
          <w:lang w:val="ru-RU"/>
        </w:rPr>
        <w:t>Второе</w:t>
      </w:r>
      <w:r w:rsidRPr="000719B9">
        <w:rPr>
          <w:lang w:val="ru-RU"/>
        </w:rPr>
        <w:t xml:space="preserve"> </w:t>
      </w:r>
      <w:r>
        <w:rPr>
          <w:lang w:val="ru-RU"/>
        </w:rPr>
        <w:t>важное</w:t>
      </w:r>
      <w:r w:rsidRPr="000719B9">
        <w:rPr>
          <w:lang w:val="ru-RU"/>
        </w:rPr>
        <w:t xml:space="preserve"> </w:t>
      </w:r>
      <w:r>
        <w:rPr>
          <w:lang w:val="ru-RU"/>
        </w:rPr>
        <w:t>предостережение</w:t>
      </w:r>
      <w:r w:rsidRPr="000719B9">
        <w:rPr>
          <w:lang w:val="ru-RU"/>
        </w:rPr>
        <w:t xml:space="preserve"> </w:t>
      </w:r>
      <w:r>
        <w:rPr>
          <w:lang w:val="ru-RU"/>
        </w:rPr>
        <w:t>касается</w:t>
      </w:r>
      <w:r w:rsidRPr="000719B9">
        <w:rPr>
          <w:lang w:val="ru-RU"/>
        </w:rPr>
        <w:t xml:space="preserve"> </w:t>
      </w:r>
      <w:r>
        <w:rPr>
          <w:lang w:val="ru-RU"/>
        </w:rPr>
        <w:t>того</w:t>
      </w:r>
      <w:r w:rsidRPr="000719B9">
        <w:rPr>
          <w:lang w:val="ru-RU"/>
        </w:rPr>
        <w:t xml:space="preserve">, </w:t>
      </w:r>
      <w:r>
        <w:rPr>
          <w:lang w:val="ru-RU"/>
        </w:rPr>
        <w:t>что</w:t>
      </w:r>
      <w:r w:rsidRPr="000719B9">
        <w:rPr>
          <w:lang w:val="ru-RU"/>
        </w:rPr>
        <w:t xml:space="preserve"> </w:t>
      </w:r>
      <w:r>
        <w:rPr>
          <w:lang w:val="ru-RU"/>
        </w:rPr>
        <w:t>эмпирический</w:t>
      </w:r>
      <w:r w:rsidRPr="000719B9">
        <w:rPr>
          <w:lang w:val="ru-RU"/>
        </w:rPr>
        <w:t xml:space="preserve"> </w:t>
      </w:r>
      <w:r>
        <w:rPr>
          <w:lang w:val="ru-RU"/>
        </w:rPr>
        <w:t>подход</w:t>
      </w:r>
      <w:r w:rsidRPr="000719B9">
        <w:rPr>
          <w:lang w:val="ru-RU"/>
        </w:rPr>
        <w:t xml:space="preserve">, </w:t>
      </w:r>
      <w:r>
        <w:rPr>
          <w:lang w:val="ru-RU"/>
        </w:rPr>
        <w:t>использовавшийся</w:t>
      </w:r>
      <w:r w:rsidRPr="000719B9">
        <w:rPr>
          <w:lang w:val="ru-RU"/>
        </w:rPr>
        <w:t xml:space="preserve"> </w:t>
      </w:r>
      <w:r>
        <w:rPr>
          <w:lang w:val="ru-RU"/>
        </w:rPr>
        <w:t>в</w:t>
      </w:r>
      <w:r w:rsidRPr="000719B9">
        <w:rPr>
          <w:lang w:val="ru-RU"/>
        </w:rPr>
        <w:t xml:space="preserve"> </w:t>
      </w:r>
      <w:r>
        <w:rPr>
          <w:lang w:val="ru-RU"/>
        </w:rPr>
        <w:t>данном</w:t>
      </w:r>
      <w:r w:rsidRPr="000719B9">
        <w:rPr>
          <w:lang w:val="ru-RU"/>
        </w:rPr>
        <w:t xml:space="preserve"> </w:t>
      </w:r>
      <w:r>
        <w:rPr>
          <w:lang w:val="ru-RU"/>
        </w:rPr>
        <w:t>исследовании</w:t>
      </w:r>
      <w:r w:rsidRPr="000719B9">
        <w:rPr>
          <w:lang w:val="ru-RU"/>
        </w:rPr>
        <w:t xml:space="preserve">, </w:t>
      </w:r>
      <w:r>
        <w:rPr>
          <w:lang w:val="ru-RU"/>
        </w:rPr>
        <w:t>опирается</w:t>
      </w:r>
      <w:r w:rsidRPr="000719B9">
        <w:rPr>
          <w:lang w:val="ru-RU"/>
        </w:rPr>
        <w:t xml:space="preserve"> </w:t>
      </w:r>
      <w:r>
        <w:rPr>
          <w:lang w:val="ru-RU"/>
        </w:rPr>
        <w:t>на</w:t>
      </w:r>
      <w:r w:rsidRPr="000719B9">
        <w:rPr>
          <w:lang w:val="ru-RU"/>
        </w:rPr>
        <w:t xml:space="preserve"> </w:t>
      </w:r>
      <w:r>
        <w:rPr>
          <w:lang w:val="ru-RU"/>
        </w:rPr>
        <w:t>сопоставление</w:t>
      </w:r>
      <w:r w:rsidRPr="000719B9">
        <w:rPr>
          <w:lang w:val="ru-RU"/>
        </w:rPr>
        <w:t xml:space="preserve"> </w:t>
      </w:r>
      <w:r>
        <w:rPr>
          <w:lang w:val="ru-RU"/>
        </w:rPr>
        <w:t>фирм</w:t>
      </w:r>
      <w:r w:rsidR="000719B9">
        <w:rPr>
          <w:lang w:val="ru-RU"/>
        </w:rPr>
        <w:t>, использующих ИС, с фирмами, не пользующимися ИС</w:t>
      </w:r>
      <w:r w:rsidR="00B776FB" w:rsidRPr="000719B9">
        <w:rPr>
          <w:lang w:val="ru-RU"/>
        </w:rPr>
        <w:t xml:space="preserve">; </w:t>
      </w:r>
      <w:r w:rsidR="000719B9">
        <w:rPr>
          <w:lang w:val="ru-RU"/>
        </w:rPr>
        <w:t>полученные результаты, таким образом, не дают никакого представления о том, в какой степени законы об ИС стимулируют инновации во всех фирмах</w:t>
      </w:r>
      <w:r w:rsidR="00920161" w:rsidRPr="000719B9">
        <w:rPr>
          <w:lang w:val="ru-RU"/>
        </w:rPr>
        <w:t>.</w:t>
      </w:r>
    </w:p>
    <w:p w:rsidR="00A84657" w:rsidRPr="000719B9" w:rsidRDefault="00A84657">
      <w:pPr>
        <w:rPr>
          <w:lang w:val="ru-RU"/>
        </w:rPr>
      </w:pPr>
    </w:p>
    <w:p w:rsidR="00F14608" w:rsidRPr="000719B9" w:rsidRDefault="000719B9">
      <w:pPr>
        <w:rPr>
          <w:lang w:val="ru-RU"/>
        </w:rPr>
      </w:pPr>
      <w:r>
        <w:rPr>
          <w:lang w:val="ru-RU"/>
        </w:rPr>
        <w:t>Наконец</w:t>
      </w:r>
      <w:r w:rsidR="00A84657" w:rsidRPr="000719B9">
        <w:rPr>
          <w:lang w:val="ru-RU"/>
        </w:rPr>
        <w:t xml:space="preserve">, </w:t>
      </w:r>
      <w:r>
        <w:rPr>
          <w:lang w:val="ru-RU"/>
        </w:rPr>
        <w:t>проведенное в Чили исследование показало, что растущие фирмы считают полезным охранять свои нематериальные активы с помощью ИС</w:t>
      </w:r>
      <w:r w:rsidR="00A84657" w:rsidRPr="000719B9">
        <w:rPr>
          <w:lang w:val="ru-RU"/>
        </w:rPr>
        <w:t xml:space="preserve">.  </w:t>
      </w:r>
      <w:r>
        <w:rPr>
          <w:lang w:val="ru-RU"/>
        </w:rPr>
        <w:t>С учетом использованных данных оно не могло дать детальное представление о том, как формирующиеся стратегии в области ИС соотносятся с бизнес-моделями фирм и как эти стратегии зависят от характеристик продукции, технологии и отрасли</w:t>
      </w:r>
      <w:r w:rsidR="00A84657" w:rsidRPr="000719B9">
        <w:rPr>
          <w:lang w:val="ru-RU"/>
        </w:rPr>
        <w:t xml:space="preserve">.  </w:t>
      </w:r>
      <w:r>
        <w:rPr>
          <w:lang w:val="ru-RU"/>
        </w:rPr>
        <w:t>Дополнительные</w:t>
      </w:r>
      <w:r w:rsidRPr="000719B9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0719B9">
        <w:rPr>
          <w:lang w:val="ru-RU"/>
        </w:rPr>
        <w:t xml:space="preserve"> </w:t>
      </w:r>
      <w:r>
        <w:rPr>
          <w:lang w:val="ru-RU"/>
        </w:rPr>
        <w:t>по</w:t>
      </w:r>
      <w:r w:rsidRPr="000719B9">
        <w:rPr>
          <w:lang w:val="ru-RU"/>
        </w:rPr>
        <w:t xml:space="preserve"> </w:t>
      </w:r>
      <w:r>
        <w:rPr>
          <w:lang w:val="ru-RU"/>
        </w:rPr>
        <w:t>этим</w:t>
      </w:r>
      <w:r w:rsidRPr="000719B9">
        <w:rPr>
          <w:lang w:val="ru-RU"/>
        </w:rPr>
        <w:t xml:space="preserve"> </w:t>
      </w:r>
      <w:r>
        <w:rPr>
          <w:lang w:val="ru-RU"/>
        </w:rPr>
        <w:t>вопросам</w:t>
      </w:r>
      <w:r w:rsidRPr="000719B9">
        <w:rPr>
          <w:lang w:val="ru-RU"/>
        </w:rPr>
        <w:t xml:space="preserve"> </w:t>
      </w:r>
      <w:r>
        <w:rPr>
          <w:lang w:val="ru-RU"/>
        </w:rPr>
        <w:t>могут</w:t>
      </w:r>
      <w:r w:rsidRPr="000719B9">
        <w:rPr>
          <w:lang w:val="ru-RU"/>
        </w:rPr>
        <w:t xml:space="preserve"> </w:t>
      </w:r>
      <w:r>
        <w:rPr>
          <w:lang w:val="ru-RU"/>
        </w:rPr>
        <w:t>способствовать лучшему пониманию причин и следствий использования ИС фирмами в странах со средними уровнями доходов</w:t>
      </w:r>
      <w:r w:rsidR="00A84657" w:rsidRPr="000719B9">
        <w:rPr>
          <w:lang w:val="ru-RU"/>
        </w:rPr>
        <w:t>.</w:t>
      </w:r>
    </w:p>
    <w:p w:rsidR="002928D3" w:rsidRPr="000719B9" w:rsidRDefault="002928D3" w:rsidP="0053057A">
      <w:pPr>
        <w:rPr>
          <w:lang w:val="ru-RU"/>
        </w:rPr>
      </w:pPr>
    </w:p>
    <w:p w:rsidR="002928D3" w:rsidRPr="000719B9" w:rsidRDefault="002928D3">
      <w:pPr>
        <w:rPr>
          <w:lang w:val="ru-RU"/>
        </w:rPr>
      </w:pPr>
    </w:p>
    <w:p w:rsidR="00677F76" w:rsidRPr="000719B9" w:rsidRDefault="00677F76">
      <w:pPr>
        <w:rPr>
          <w:lang w:val="ru-RU"/>
        </w:rPr>
      </w:pPr>
    </w:p>
    <w:p w:rsidR="00677F76" w:rsidRPr="00C45E32" w:rsidRDefault="00677F76" w:rsidP="00677F76">
      <w:pPr>
        <w:pStyle w:val="Endofdocument-Annex"/>
        <w:rPr>
          <w:lang w:val="ru-RU"/>
        </w:rPr>
      </w:pPr>
      <w:r w:rsidRPr="00C45E32">
        <w:rPr>
          <w:lang w:val="ru-RU"/>
        </w:rPr>
        <w:t>[</w:t>
      </w:r>
      <w:r w:rsidR="00E71BE6" w:rsidRPr="00C45E32">
        <w:rPr>
          <w:lang w:val="ru-RU"/>
        </w:rPr>
        <w:t>Конец приложения и документа</w:t>
      </w:r>
      <w:r w:rsidRPr="00C45E32">
        <w:rPr>
          <w:lang w:val="ru-RU"/>
        </w:rPr>
        <w:t>]</w:t>
      </w:r>
    </w:p>
    <w:sectPr w:rsidR="00677F76" w:rsidRPr="00C45E32" w:rsidSect="00CA2BBF"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8BF" w:rsidRDefault="001558BF">
      <w:r>
        <w:separator/>
      </w:r>
    </w:p>
  </w:endnote>
  <w:endnote w:type="continuationSeparator" w:id="0">
    <w:p w:rsidR="001558BF" w:rsidRDefault="001558BF" w:rsidP="003B38C1">
      <w:r>
        <w:separator/>
      </w:r>
    </w:p>
    <w:p w:rsidR="001558BF" w:rsidRPr="003B38C1" w:rsidRDefault="001558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558BF" w:rsidRPr="003B38C1" w:rsidRDefault="001558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BF" w:rsidRDefault="001558BF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BF" w:rsidRDefault="001558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8BF" w:rsidRDefault="001558BF">
      <w:r>
        <w:separator/>
      </w:r>
    </w:p>
  </w:footnote>
  <w:footnote w:type="continuationSeparator" w:id="0">
    <w:p w:rsidR="001558BF" w:rsidRDefault="001558BF" w:rsidP="008B60B2">
      <w:r>
        <w:separator/>
      </w:r>
    </w:p>
    <w:p w:rsidR="001558BF" w:rsidRPr="00ED77FB" w:rsidRDefault="001558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558BF" w:rsidRPr="00ED77FB" w:rsidRDefault="001558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558BF" w:rsidRDefault="001558BF" w:rsidP="00AC18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922F52">
        <w:t>.</w:t>
      </w:r>
      <w:r>
        <w:t xml:space="preserve"> Balasubramanian, N. and J. Sivadasan (2011): What happens when firms patent? New evidence</w:t>
      </w:r>
    </w:p>
    <w:p w:rsidR="001558BF" w:rsidRDefault="001558BF" w:rsidP="0083057A">
      <w:pPr>
        <w:pStyle w:val="FootnoteText"/>
      </w:pPr>
      <w:r>
        <w:t xml:space="preserve">from U.S. Economic census data, </w:t>
      </w:r>
      <w:r w:rsidRPr="00AC1841">
        <w:rPr>
          <w:i/>
        </w:rPr>
        <w:t>The Review of Economics and Statistics</w:t>
      </w:r>
      <w:r>
        <w:t xml:space="preserve"> 93(1): 126-146; </w:t>
      </w:r>
      <w:r>
        <w:rPr>
          <w:lang w:val="ru-RU"/>
        </w:rPr>
        <w:t>и</w:t>
      </w:r>
      <w:r>
        <w:t xml:space="preserve"> Hall, B.H., C. Helmers, M. Rogers, and V. Sena (2013): The importance (or not) of patents to UK firms, </w:t>
      </w:r>
      <w:r w:rsidRPr="0083057A">
        <w:rPr>
          <w:i/>
        </w:rPr>
        <w:t>Oxford Economic Papers</w:t>
      </w:r>
      <w:r>
        <w:t xml:space="preserve"> 65 (3): 603-629.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BF" w:rsidRPr="00262966" w:rsidRDefault="001558BF" w:rsidP="00D27B33">
    <w:pPr>
      <w:tabs>
        <w:tab w:val="center" w:pos="4536"/>
        <w:tab w:val="right" w:pos="9072"/>
      </w:tabs>
      <w:jc w:val="right"/>
    </w:pPr>
    <w:r w:rsidRPr="00262966">
      <w:t>CDIP/20/</w:t>
    </w:r>
    <w:r w:rsidRPr="00262966">
      <w:rPr>
        <w:highlight w:val="yellow"/>
      </w:rPr>
      <w:t>X</w:t>
    </w:r>
  </w:p>
  <w:p w:rsidR="001558BF" w:rsidRDefault="001558BF" w:rsidP="00D27B33">
    <w:pPr>
      <w:tabs>
        <w:tab w:val="center" w:pos="4536"/>
        <w:tab w:val="right" w:pos="9072"/>
      </w:tabs>
      <w:jc w:val="right"/>
    </w:pPr>
    <w:r>
      <w:t>Annex</w:t>
    </w:r>
    <w:r w:rsidRPr="00262966">
      <w:t xml:space="preserve">, page 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>
      <w:rPr>
        <w:noProof/>
      </w:rPr>
      <w:t>4</w:t>
    </w:r>
    <w:r w:rsidRPr="0026296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BF" w:rsidRDefault="001558BF" w:rsidP="00477D6B">
    <w:pPr>
      <w:jc w:val="right"/>
    </w:pPr>
    <w:bookmarkStart w:id="6" w:name="Code2"/>
    <w:bookmarkEnd w:id="6"/>
    <w:r>
      <w:t>CDIP/21/INF/4</w:t>
    </w:r>
  </w:p>
  <w:p w:rsidR="001558BF" w:rsidRDefault="001558BF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01FD9">
      <w:rPr>
        <w:noProof/>
      </w:rPr>
      <w:t>5</w:t>
    </w:r>
    <w:r>
      <w:fldChar w:fldCharType="end"/>
    </w:r>
  </w:p>
  <w:p w:rsidR="001558BF" w:rsidRDefault="001558BF" w:rsidP="00477D6B">
    <w:pPr>
      <w:jc w:val="right"/>
    </w:pPr>
  </w:p>
  <w:p w:rsidR="001558BF" w:rsidRDefault="001558B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BF" w:rsidRDefault="001558BF" w:rsidP="00F27AD3">
    <w:pPr>
      <w:pStyle w:val="Header"/>
      <w:jc w:val="right"/>
    </w:pPr>
    <w:r>
      <w:t>CDIP/21/INF/4</w:t>
    </w:r>
  </w:p>
  <w:p w:rsidR="001558BF" w:rsidRPr="0007513D" w:rsidRDefault="001558BF" w:rsidP="00117CCE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1558BF" w:rsidRDefault="001558BF" w:rsidP="0075279A">
    <w:pPr>
      <w:pStyle w:val="Header"/>
      <w:jc w:val="right"/>
    </w:pPr>
  </w:p>
  <w:p w:rsidR="001558BF" w:rsidRDefault="001558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B76584"/>
    <w:multiLevelType w:val="hybridMultilevel"/>
    <w:tmpl w:val="8F2C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780DE7"/>
    <w:multiLevelType w:val="hybridMultilevel"/>
    <w:tmpl w:val="006A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E5"/>
    <w:rsid w:val="00001E20"/>
    <w:rsid w:val="00010F29"/>
    <w:rsid w:val="0002581B"/>
    <w:rsid w:val="00043CAA"/>
    <w:rsid w:val="00052F08"/>
    <w:rsid w:val="000719B9"/>
    <w:rsid w:val="0007282A"/>
    <w:rsid w:val="00075432"/>
    <w:rsid w:val="00076CDC"/>
    <w:rsid w:val="000968ED"/>
    <w:rsid w:val="000D7E0E"/>
    <w:rsid w:val="000F5E56"/>
    <w:rsid w:val="00102C37"/>
    <w:rsid w:val="00117CCE"/>
    <w:rsid w:val="001228FC"/>
    <w:rsid w:val="001362EE"/>
    <w:rsid w:val="001558BF"/>
    <w:rsid w:val="001832A6"/>
    <w:rsid w:val="001C6003"/>
    <w:rsid w:val="001E5138"/>
    <w:rsid w:val="0021217E"/>
    <w:rsid w:val="00234BA1"/>
    <w:rsid w:val="0024335E"/>
    <w:rsid w:val="002634C4"/>
    <w:rsid w:val="00266416"/>
    <w:rsid w:val="00280F59"/>
    <w:rsid w:val="00284910"/>
    <w:rsid w:val="002928D3"/>
    <w:rsid w:val="002B2FCD"/>
    <w:rsid w:val="002D2587"/>
    <w:rsid w:val="002D2F9B"/>
    <w:rsid w:val="002E0695"/>
    <w:rsid w:val="002E5D85"/>
    <w:rsid w:val="002F1FE6"/>
    <w:rsid w:val="002F319E"/>
    <w:rsid w:val="002F4E68"/>
    <w:rsid w:val="00303976"/>
    <w:rsid w:val="00312F7F"/>
    <w:rsid w:val="00315299"/>
    <w:rsid w:val="00325192"/>
    <w:rsid w:val="0035058A"/>
    <w:rsid w:val="00361450"/>
    <w:rsid w:val="00364BA8"/>
    <w:rsid w:val="003673CF"/>
    <w:rsid w:val="00370292"/>
    <w:rsid w:val="003845C1"/>
    <w:rsid w:val="003A6F89"/>
    <w:rsid w:val="003B38C1"/>
    <w:rsid w:val="003C007F"/>
    <w:rsid w:val="003C04E4"/>
    <w:rsid w:val="003F3B80"/>
    <w:rsid w:val="00403308"/>
    <w:rsid w:val="00423E3E"/>
    <w:rsid w:val="00427AF4"/>
    <w:rsid w:val="00437735"/>
    <w:rsid w:val="004647DA"/>
    <w:rsid w:val="00466791"/>
    <w:rsid w:val="00474062"/>
    <w:rsid w:val="00477D6B"/>
    <w:rsid w:val="004A56EB"/>
    <w:rsid w:val="004C6ECF"/>
    <w:rsid w:val="004D0F84"/>
    <w:rsid w:val="004D63AC"/>
    <w:rsid w:val="005019FF"/>
    <w:rsid w:val="00526FCB"/>
    <w:rsid w:val="0053057A"/>
    <w:rsid w:val="00532E5F"/>
    <w:rsid w:val="00560A29"/>
    <w:rsid w:val="005765D5"/>
    <w:rsid w:val="005A2795"/>
    <w:rsid w:val="005A2A87"/>
    <w:rsid w:val="005A5135"/>
    <w:rsid w:val="005B2E5D"/>
    <w:rsid w:val="005B38BC"/>
    <w:rsid w:val="005C5760"/>
    <w:rsid w:val="005C6649"/>
    <w:rsid w:val="005E3F5F"/>
    <w:rsid w:val="005F10C3"/>
    <w:rsid w:val="00605827"/>
    <w:rsid w:val="0061075A"/>
    <w:rsid w:val="00646050"/>
    <w:rsid w:val="00650A29"/>
    <w:rsid w:val="006713CA"/>
    <w:rsid w:val="00676C5C"/>
    <w:rsid w:val="00677433"/>
    <w:rsid w:val="00677F76"/>
    <w:rsid w:val="00681466"/>
    <w:rsid w:val="0068282F"/>
    <w:rsid w:val="006A61E2"/>
    <w:rsid w:val="006C3BC7"/>
    <w:rsid w:val="006C408C"/>
    <w:rsid w:val="006D4607"/>
    <w:rsid w:val="006D7790"/>
    <w:rsid w:val="006E2BAB"/>
    <w:rsid w:val="0075279A"/>
    <w:rsid w:val="0076546A"/>
    <w:rsid w:val="00781F2D"/>
    <w:rsid w:val="00794733"/>
    <w:rsid w:val="007C2A77"/>
    <w:rsid w:val="007D1613"/>
    <w:rsid w:val="007E4C0E"/>
    <w:rsid w:val="008035CE"/>
    <w:rsid w:val="0080406B"/>
    <w:rsid w:val="0081183B"/>
    <w:rsid w:val="00820FFE"/>
    <w:rsid w:val="00822288"/>
    <w:rsid w:val="0082660C"/>
    <w:rsid w:val="0083057A"/>
    <w:rsid w:val="00850CD1"/>
    <w:rsid w:val="00860903"/>
    <w:rsid w:val="00877C04"/>
    <w:rsid w:val="0088713A"/>
    <w:rsid w:val="008B2CC1"/>
    <w:rsid w:val="008B60B2"/>
    <w:rsid w:val="008E2BF2"/>
    <w:rsid w:val="008F6C5B"/>
    <w:rsid w:val="0090731E"/>
    <w:rsid w:val="00916EE2"/>
    <w:rsid w:val="00920161"/>
    <w:rsid w:val="00922F52"/>
    <w:rsid w:val="00947232"/>
    <w:rsid w:val="00965555"/>
    <w:rsid w:val="00966A22"/>
    <w:rsid w:val="0096722F"/>
    <w:rsid w:val="00980843"/>
    <w:rsid w:val="009915D5"/>
    <w:rsid w:val="009A17F9"/>
    <w:rsid w:val="009C3A44"/>
    <w:rsid w:val="009E2791"/>
    <w:rsid w:val="009E3F6F"/>
    <w:rsid w:val="009F499F"/>
    <w:rsid w:val="00A01E49"/>
    <w:rsid w:val="00A10777"/>
    <w:rsid w:val="00A31478"/>
    <w:rsid w:val="00A33B93"/>
    <w:rsid w:val="00A34E4A"/>
    <w:rsid w:val="00A42DAF"/>
    <w:rsid w:val="00A45BD8"/>
    <w:rsid w:val="00A81376"/>
    <w:rsid w:val="00A830BE"/>
    <w:rsid w:val="00A84657"/>
    <w:rsid w:val="00A869B7"/>
    <w:rsid w:val="00AA4374"/>
    <w:rsid w:val="00AB7CFC"/>
    <w:rsid w:val="00AC1841"/>
    <w:rsid w:val="00AC205C"/>
    <w:rsid w:val="00AF0A6B"/>
    <w:rsid w:val="00B041DB"/>
    <w:rsid w:val="00B05A69"/>
    <w:rsid w:val="00B24608"/>
    <w:rsid w:val="00B55DA0"/>
    <w:rsid w:val="00B63693"/>
    <w:rsid w:val="00B776FB"/>
    <w:rsid w:val="00B90EE3"/>
    <w:rsid w:val="00B9734B"/>
    <w:rsid w:val="00BA30E2"/>
    <w:rsid w:val="00BC5CD0"/>
    <w:rsid w:val="00BD430F"/>
    <w:rsid w:val="00BF75C3"/>
    <w:rsid w:val="00C0126E"/>
    <w:rsid w:val="00C03AA4"/>
    <w:rsid w:val="00C11BFE"/>
    <w:rsid w:val="00C20939"/>
    <w:rsid w:val="00C4143F"/>
    <w:rsid w:val="00C45E32"/>
    <w:rsid w:val="00C5068F"/>
    <w:rsid w:val="00C61124"/>
    <w:rsid w:val="00C71D24"/>
    <w:rsid w:val="00C943E5"/>
    <w:rsid w:val="00C95026"/>
    <w:rsid w:val="00CA2BBF"/>
    <w:rsid w:val="00CB1DF6"/>
    <w:rsid w:val="00CC1312"/>
    <w:rsid w:val="00CC251D"/>
    <w:rsid w:val="00CD04F1"/>
    <w:rsid w:val="00CE552D"/>
    <w:rsid w:val="00D22EF0"/>
    <w:rsid w:val="00D27B33"/>
    <w:rsid w:val="00D45252"/>
    <w:rsid w:val="00D660EC"/>
    <w:rsid w:val="00D71B4D"/>
    <w:rsid w:val="00D93D55"/>
    <w:rsid w:val="00DA1EC5"/>
    <w:rsid w:val="00DA334C"/>
    <w:rsid w:val="00DA49CB"/>
    <w:rsid w:val="00DF12CF"/>
    <w:rsid w:val="00E14904"/>
    <w:rsid w:val="00E15015"/>
    <w:rsid w:val="00E21815"/>
    <w:rsid w:val="00E335FE"/>
    <w:rsid w:val="00E34870"/>
    <w:rsid w:val="00E432F9"/>
    <w:rsid w:val="00E71BE6"/>
    <w:rsid w:val="00EA0F35"/>
    <w:rsid w:val="00EC4E49"/>
    <w:rsid w:val="00ED77FB"/>
    <w:rsid w:val="00EE45FA"/>
    <w:rsid w:val="00F01FD9"/>
    <w:rsid w:val="00F04EE2"/>
    <w:rsid w:val="00F06C0A"/>
    <w:rsid w:val="00F06EE8"/>
    <w:rsid w:val="00F14608"/>
    <w:rsid w:val="00F15751"/>
    <w:rsid w:val="00F27AD3"/>
    <w:rsid w:val="00F64297"/>
    <w:rsid w:val="00F652D3"/>
    <w:rsid w:val="00F66152"/>
    <w:rsid w:val="00F868A4"/>
    <w:rsid w:val="00F9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Title">
    <w:name w:val="Title"/>
    <w:basedOn w:val="Normal"/>
    <w:next w:val="Normal"/>
    <w:link w:val="TitleChar"/>
    <w:rsid w:val="00C943E5"/>
    <w:pPr>
      <w:widowControl w:val="0"/>
      <w:pBdr>
        <w:top w:val="nil"/>
        <w:left w:val="nil"/>
        <w:bottom w:val="nil"/>
        <w:right w:val="nil"/>
        <w:between w:val="nil"/>
      </w:pBdr>
      <w:ind w:left="432" w:hanging="432"/>
    </w:pPr>
    <w:rPr>
      <w:rFonts w:eastAsia="Arial"/>
      <w:b/>
      <w:color w:val="00000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C943E5"/>
    <w:rPr>
      <w:rFonts w:ascii="Arial" w:eastAsia="Arial" w:hAnsi="Arial" w:cs="Arial"/>
      <w:b/>
      <w:color w:val="000000"/>
      <w:sz w:val="28"/>
      <w:szCs w:val="2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3E5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C943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64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F2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117CCE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Title">
    <w:name w:val="Title"/>
    <w:basedOn w:val="Normal"/>
    <w:next w:val="Normal"/>
    <w:link w:val="TitleChar"/>
    <w:rsid w:val="00C943E5"/>
    <w:pPr>
      <w:widowControl w:val="0"/>
      <w:pBdr>
        <w:top w:val="nil"/>
        <w:left w:val="nil"/>
        <w:bottom w:val="nil"/>
        <w:right w:val="nil"/>
        <w:between w:val="nil"/>
      </w:pBdr>
      <w:ind w:left="432" w:hanging="432"/>
    </w:pPr>
    <w:rPr>
      <w:rFonts w:eastAsia="Arial"/>
      <w:b/>
      <w:color w:val="00000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C943E5"/>
    <w:rPr>
      <w:rFonts w:ascii="Arial" w:eastAsia="Arial" w:hAnsi="Arial" w:cs="Arial"/>
      <w:b/>
      <w:color w:val="000000"/>
      <w:sz w:val="28"/>
      <w:szCs w:val="2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3E5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C943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64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F2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117CC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wipo.int/econ_stat/en/economic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4AE26-1CDE-4B67-B08B-930E8024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(E).dotm</Template>
  <TotalTime>1224</TotalTime>
  <Pages>6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15413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BRACI Biljana</dc:creator>
  <cp:lastModifiedBy>BRACI Biljana</cp:lastModifiedBy>
  <cp:revision>9</cp:revision>
  <cp:lastPrinted>2018-04-18T09:26:00Z</cp:lastPrinted>
  <dcterms:created xsi:type="dcterms:W3CDTF">2018-04-16T09:29:00Z</dcterms:created>
  <dcterms:modified xsi:type="dcterms:W3CDTF">2018-04-18T09:27:00Z</dcterms:modified>
</cp:coreProperties>
</file>