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419ED" w:rsidRPr="008B2CC1" w:rsidTr="00275B5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419ED" w:rsidRPr="008B2CC1" w:rsidRDefault="002419ED" w:rsidP="00275B59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19ED" w:rsidRPr="008B2CC1" w:rsidRDefault="00F16359" w:rsidP="00275B59">
            <w:r>
              <w:rPr>
                <w:noProof/>
                <w:lang w:val="en-US" w:eastAsia="en-US" w:bidi="ar-SA"/>
              </w:rPr>
              <w:drawing>
                <wp:inline distT="0" distB="0" distL="0" distR="0" wp14:anchorId="76389C7B" wp14:editId="74D81437">
                  <wp:extent cx="1809750" cy="1343025"/>
                  <wp:effectExtent l="0" t="0" r="0" b="9525"/>
                  <wp:docPr id="9" name="Picture 9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19ED" w:rsidRPr="008B2CC1" w:rsidRDefault="002419ED" w:rsidP="00275B59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2419ED" w:rsidRPr="001832A6" w:rsidTr="00275B5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419ED" w:rsidRPr="0090731E" w:rsidRDefault="002419ED" w:rsidP="00275B5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8/5     </w:t>
            </w:r>
          </w:p>
        </w:tc>
      </w:tr>
      <w:tr w:rsidR="002419ED" w:rsidRPr="001832A6" w:rsidTr="00275B5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419ED" w:rsidRPr="0090731E" w:rsidRDefault="00077885" w:rsidP="00275B5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ОРИГИНАЛ:</w:t>
            </w:r>
            <w:bookmarkStart w:id="1" w:name="Original"/>
            <w:bookmarkEnd w:id="1"/>
            <w:r w:rsidR="00F16359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2419ED" w:rsidRPr="001832A6" w:rsidTr="00275B5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419ED" w:rsidRPr="0090731E" w:rsidRDefault="002419ED" w:rsidP="00603C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8 АВГУСТА 2016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366EA" w:rsidP="008B2CC1">
      <w:pPr>
        <w:rPr>
          <w:b/>
          <w:sz w:val="28"/>
          <w:szCs w:val="28"/>
        </w:rPr>
      </w:pPr>
      <w:r>
        <w:rPr>
          <w:b/>
          <w:sz w:val="28"/>
        </w:rPr>
        <w:t>КОМИТЕТ ПО РАЗВИТИЮ И ИНТЕЛЛЕКТУАЛЬНОЙ СОБСТВЕННОСТИ (КРИС)</w:t>
      </w:r>
    </w:p>
    <w:p w:rsidR="003845C1" w:rsidRDefault="003845C1" w:rsidP="003845C1"/>
    <w:p w:rsidR="003845C1" w:rsidRDefault="003845C1" w:rsidP="003845C1"/>
    <w:p w:rsidR="008B2CC1" w:rsidRPr="003845C1" w:rsidRDefault="00275B59" w:rsidP="008B2CC1">
      <w:pPr>
        <w:rPr>
          <w:b/>
          <w:sz w:val="24"/>
          <w:szCs w:val="24"/>
        </w:rPr>
      </w:pPr>
      <w:r>
        <w:rPr>
          <w:b/>
          <w:sz w:val="24"/>
        </w:rPr>
        <w:t>Восемнадцатая сессия</w:t>
      </w:r>
    </w:p>
    <w:p w:rsidR="008B2CC1" w:rsidRPr="008B2CC1" w:rsidRDefault="00275B59" w:rsidP="008B2CC1">
      <w:r>
        <w:rPr>
          <w:b/>
          <w:sz w:val="24"/>
        </w:rPr>
        <w:t>31 октября — 4 ноября 2016 г.</w:t>
      </w:r>
    </w:p>
    <w:p w:rsidR="008B2CC1" w:rsidRPr="008B2CC1" w:rsidRDefault="008B2CC1" w:rsidP="008B2CC1"/>
    <w:p w:rsidR="008B2CC1" w:rsidRPr="008B2CC1" w:rsidRDefault="008B2CC1" w:rsidP="008B2CC1"/>
    <w:p w:rsidR="00035DDA" w:rsidRPr="002444DB" w:rsidRDefault="00275B59" w:rsidP="002444DB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ПЕРЕСМОТРЕННОЕ ПРЕДЛОЖЕНИЕ О МЕХАНИЗМЕ ОБНОВЛЕНИЯ БАЗЫ ДАННЫХ О ГИБКИХ ВОЗМОЖНОСТЯХ </w:t>
      </w:r>
    </w:p>
    <w:p w:rsidR="00061712" w:rsidRPr="00061712" w:rsidRDefault="00061712" w:rsidP="00061712"/>
    <w:p w:rsidR="00827F61" w:rsidRPr="008B2CC1" w:rsidRDefault="00827F61" w:rsidP="00324388">
      <w:pPr>
        <w:rPr>
          <w:i/>
        </w:rPr>
      </w:pPr>
      <w:bookmarkStart w:id="4" w:name="Prepared"/>
      <w:bookmarkEnd w:id="4"/>
      <w:r>
        <w:rPr>
          <w:i/>
        </w:rPr>
        <w:t>документ подготовлен Секретариатом</w:t>
      </w:r>
    </w:p>
    <w:p w:rsidR="00827F61" w:rsidRPr="003B0B71" w:rsidRDefault="00827F61" w:rsidP="00827F61">
      <w:pPr>
        <w:rPr>
          <w:i/>
        </w:rPr>
      </w:pPr>
    </w:p>
    <w:p w:rsidR="00827F61" w:rsidRDefault="00827F61" w:rsidP="00827F61"/>
    <w:p w:rsidR="00827F61" w:rsidRDefault="00827F61" w:rsidP="00827F61"/>
    <w:p w:rsidR="00004F6A" w:rsidRDefault="00E96ADE" w:rsidP="00E96ADE">
      <w:r>
        <w:t>1.</w:t>
      </w:r>
      <w:r>
        <w:tab/>
        <w:t>Комитет по развитию и интеллектуальной собственности на своей семнадцатой сессии обсудил документ CDIP/17/5 «Механизм обновления базы данных о гибких возможностях».  Секретариат</w:t>
      </w:r>
      <w:r w:rsidR="00712292">
        <w:t>у было пор</w:t>
      </w:r>
      <w:r>
        <w:t xml:space="preserve">учено пересмотреть этот документ </w:t>
      </w:r>
      <w:r w:rsidR="00712292">
        <w:t xml:space="preserve">и </w:t>
      </w:r>
      <w:r>
        <w:t>включ</w:t>
      </w:r>
      <w:r w:rsidR="00712292">
        <w:t>ить</w:t>
      </w:r>
      <w:r>
        <w:t xml:space="preserve"> в него </w:t>
      </w:r>
      <w:r w:rsidR="00712292">
        <w:t xml:space="preserve">описание </w:t>
      </w:r>
      <w:r>
        <w:t xml:space="preserve">финансовых последствий двух предусмотренных </w:t>
      </w:r>
      <w:r w:rsidR="00712292">
        <w:t>вариантов</w:t>
      </w:r>
      <w:r>
        <w:t xml:space="preserve">, а также </w:t>
      </w:r>
      <w:r w:rsidR="00712292">
        <w:t>проанализировать третий вариант, основанный</w:t>
      </w:r>
      <w:r>
        <w:t xml:space="preserve"> на замечаниях государств-членов.  </w:t>
      </w:r>
    </w:p>
    <w:p w:rsidR="00004F6A" w:rsidRDefault="00004F6A" w:rsidP="00E96ADE"/>
    <w:p w:rsidR="00E96ADE" w:rsidRDefault="000C68D2" w:rsidP="00E96ADE">
      <w:r>
        <w:t>2.</w:t>
      </w:r>
      <w:r>
        <w:tab/>
        <w:t>Следует помнить, что документ CDIP/17/5 был под</w:t>
      </w:r>
      <w:r w:rsidR="00712292">
        <w:t>готовлен Секретариатом в ответ н</w:t>
      </w:r>
      <w:r>
        <w:t>а поручени</w:t>
      </w:r>
      <w:r w:rsidR="00712292">
        <w:t>е шестнадцатой сессии Комитета</w:t>
      </w:r>
      <w:r>
        <w:t xml:space="preserve"> р</w:t>
      </w:r>
      <w:r w:rsidR="00712292">
        <w:t>азработать механизм</w:t>
      </w:r>
      <w:r>
        <w:t>, который позволит периодически обновлять Базу данных о гибких возможностях в системе интеллектуальной собственности (ИС).</w:t>
      </w:r>
    </w:p>
    <w:p w:rsidR="00275B59" w:rsidRPr="0036302B" w:rsidRDefault="00275B59" w:rsidP="00275B59"/>
    <w:p w:rsidR="00827F61" w:rsidRDefault="000C68D2" w:rsidP="00827F61">
      <w:pPr>
        <w:rPr>
          <w:szCs w:val="22"/>
        </w:rPr>
      </w:pPr>
      <w:r>
        <w:t>3.</w:t>
      </w:r>
      <w:r>
        <w:tab/>
      </w:r>
      <w:r w:rsidR="00712292">
        <w:t>Соответственно,</w:t>
      </w:r>
      <w:r>
        <w:t xml:space="preserve"> в приложении к настоящему документу представлено пересмотренное предложение об обновлении указанной Базы данных.</w:t>
      </w:r>
    </w:p>
    <w:p w:rsidR="00E96ADE" w:rsidRDefault="00E96ADE" w:rsidP="00827F61">
      <w:pPr>
        <w:rPr>
          <w:szCs w:val="22"/>
        </w:rPr>
      </w:pPr>
    </w:p>
    <w:p w:rsidR="00827F61" w:rsidRPr="00222FB1" w:rsidRDefault="000C68D2" w:rsidP="00222FB1">
      <w:pPr>
        <w:pStyle w:val="Endofdocument-Annex"/>
        <w:tabs>
          <w:tab w:val="left" w:pos="567"/>
        </w:tabs>
        <w:ind w:left="5533"/>
        <w:rPr>
          <w:i/>
          <w:iCs/>
          <w:szCs w:val="22"/>
        </w:rPr>
      </w:pPr>
      <w:r>
        <w:rPr>
          <w:i/>
        </w:rPr>
        <w:t>4.</w:t>
      </w:r>
      <w:r>
        <w:tab/>
      </w:r>
      <w:r>
        <w:rPr>
          <w:i/>
        </w:rPr>
        <w:t>КРИС предлагается рассмотреть информацию, содержащуюся в приложении к настоящему документу.</w:t>
      </w:r>
    </w:p>
    <w:p w:rsidR="00827F61" w:rsidRPr="00222FB1" w:rsidRDefault="00827F61" w:rsidP="00222FB1">
      <w:pPr>
        <w:ind w:left="5533"/>
        <w:rPr>
          <w:i/>
        </w:rPr>
      </w:pPr>
    </w:p>
    <w:p w:rsidR="0068452E" w:rsidRPr="004907DF" w:rsidRDefault="0068452E" w:rsidP="00827F61"/>
    <w:p w:rsidR="00827F61" w:rsidRPr="004907DF" w:rsidRDefault="00827F61" w:rsidP="00827F61"/>
    <w:p w:rsidR="00291A49" w:rsidRDefault="00827F61" w:rsidP="00222FB1">
      <w:pPr>
        <w:pStyle w:val="Endofdocument-Annex"/>
        <w:sectPr w:rsidR="00291A49" w:rsidSect="00364C15">
          <w:headerReference w:type="default" r:id="rId10"/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</w:sectPr>
      </w:pPr>
      <w:r>
        <w:t>[</w:t>
      </w:r>
      <w:r>
        <w:rPr>
          <w:rStyle w:val="Endofdocument-AnnexChar"/>
        </w:rPr>
        <w:t>Приложение</w:t>
      </w:r>
      <w:r>
        <w:t xml:space="preserve"> следует] </w:t>
      </w:r>
    </w:p>
    <w:p w:rsidR="0053407C" w:rsidRPr="00C823C7" w:rsidRDefault="0053407C" w:rsidP="009458A4">
      <w:pPr>
        <w:pStyle w:val="NormalWeb"/>
        <w:numPr>
          <w:ilvl w:val="0"/>
          <w:numId w:val="12"/>
        </w:numPr>
        <w:kinsoku w:val="0"/>
        <w:overflowPunct w:val="0"/>
        <w:spacing w:before="96"/>
        <w:textAlignment w:val="baseline"/>
        <w:rPr>
          <w:rFonts w:ascii="Arial" w:eastAsiaTheme="minorEastAsia" w:hAnsi="Arial" w:cs="Arial"/>
          <w:b/>
          <w:color w:val="000000" w:themeColor="text1"/>
          <w:sz w:val="22"/>
          <w:szCs w:val="22"/>
        </w:rPr>
      </w:pPr>
      <w:r>
        <w:rPr>
          <w:rFonts w:ascii="Arial" w:eastAsiaTheme="minorEastAsia" w:hAnsi="Arial"/>
          <w:b/>
          <w:color w:val="000000" w:themeColor="text1"/>
          <w:sz w:val="22"/>
        </w:rPr>
        <w:lastRenderedPageBreak/>
        <w:t>СПРАВОЧНАЯ ИНФОРМАЦИЯ</w:t>
      </w:r>
    </w:p>
    <w:p w:rsidR="0053407C" w:rsidRDefault="0053407C" w:rsidP="0053407C">
      <w:pPr>
        <w:pStyle w:val="NormalWeb"/>
        <w:kinsoku w:val="0"/>
        <w:overflowPunct w:val="0"/>
        <w:spacing w:before="9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:rsidR="00B568B8" w:rsidRDefault="007204B5" w:rsidP="0012610D"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В соответствии с решением Комитета, принятым на его шестой сессии, база данных о гибких возможностях в системе ИС (далее — «База данных») начала функционировать в июне 2013 г.:  </w:t>
      </w:r>
      <w:hyperlink r:id="rId11">
        <w:r>
          <w:rPr>
            <w:rStyle w:val="Hyperlink"/>
            <w:color w:val="auto"/>
          </w:rPr>
          <w:t>http://www.wipo.int/ip-development/en/agenda/flexibilities/search.jsp</w:t>
        </w:r>
      </w:hyperlink>
      <w:r>
        <w:t xml:space="preserve">.  </w:t>
      </w:r>
    </w:p>
    <w:p w:rsidR="007204B5" w:rsidRDefault="007204B5" w:rsidP="0012610D"/>
    <w:p w:rsidR="00E96ADE" w:rsidRDefault="00B568B8" w:rsidP="00C54239"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По поручению Комитета, сделанному на его пятнадцатой сессии, Секретариат обновил Базу данных и представил на шестнадцатой сессии КРИС отчет об этом обновлении, который </w:t>
      </w:r>
      <w:r w:rsidR="00EB3561">
        <w:t>содержится в документе CDIP/16/</w:t>
      </w:r>
      <w:bookmarkStart w:id="5" w:name="_GoBack"/>
      <w:bookmarkEnd w:id="5"/>
      <w:r>
        <w:t xml:space="preserve">5. </w:t>
      </w:r>
    </w:p>
    <w:p w:rsidR="00E96ADE" w:rsidRDefault="00E96ADE" w:rsidP="00C54239"/>
    <w:p w:rsidR="00C54239" w:rsidRDefault="00E96ADE" w:rsidP="00222FB1"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В этом отчете </w:t>
      </w:r>
      <w:r w:rsidR="003D0A94">
        <w:t>была в том числе представлена</w:t>
      </w:r>
      <w:r>
        <w:t xml:space="preserve"> актуальная информация о соде</w:t>
      </w:r>
      <w:r w:rsidR="00F16359">
        <w:t>ржании Базы данных</w:t>
      </w:r>
      <w:r w:rsidR="003D0A94">
        <w:t>: в</w:t>
      </w:r>
      <w:r w:rsidR="00F16359">
        <w:t xml:space="preserve"> ней </w:t>
      </w:r>
      <w:r w:rsidR="003D0A94">
        <w:t>содержится</w:t>
      </w:r>
      <w:r w:rsidR="00F16359">
        <w:t xml:space="preserve"> </w:t>
      </w:r>
      <w:r>
        <w:t>1 37</w:t>
      </w:r>
      <w:r w:rsidR="003D0A94">
        <w:t>1 законодательное положение 202 </w:t>
      </w:r>
      <w:r>
        <w:t xml:space="preserve">отобранных </w:t>
      </w:r>
      <w:r w:rsidR="003D0A94">
        <w:t>юрисдикций. Эти положения взяты</w:t>
      </w:r>
      <w:r w:rsidR="00F16359">
        <w:t xml:space="preserve"> из документов</w:t>
      </w:r>
      <w:r>
        <w:t xml:space="preserve"> CDIP/5/4 Rev., CDIP/7/3 Add., CDIP/13/10 Rev. и CDIP/15/6</w:t>
      </w:r>
      <w:r>
        <w:rPr>
          <w:color w:val="000000"/>
        </w:rPr>
        <w:t xml:space="preserve"> Corr., посвященных связанным с патентами гибким возможностям многосторонней нормативной базы и их реализации через законодательство на национальном и региональном уровнях.  </w:t>
      </w:r>
      <w:r w:rsidR="003D0A94">
        <w:rPr>
          <w:color w:val="000000"/>
        </w:rPr>
        <w:t xml:space="preserve">Они </w:t>
      </w:r>
      <w:r>
        <w:rPr>
          <w:color w:val="000000"/>
        </w:rPr>
        <w:t>касаются следующих четырнадцати гибких возможностей:</w:t>
      </w:r>
    </w:p>
    <w:p w:rsidR="00C54239" w:rsidRDefault="00C54239" w:rsidP="00C54239">
      <w:pPr>
        <w:pStyle w:val="ListParagraph"/>
        <w:ind w:left="1069"/>
      </w:pPr>
    </w:p>
    <w:p w:rsidR="00B568B8" w:rsidRPr="005E38C1" w:rsidRDefault="00B568B8" w:rsidP="000C68D2">
      <w:pPr>
        <w:pStyle w:val="ONUME"/>
        <w:numPr>
          <w:ilvl w:val="0"/>
          <w:numId w:val="0"/>
        </w:numPr>
        <w:spacing w:after="0"/>
        <w:ind w:left="567"/>
      </w:pPr>
      <w:r>
        <w:t xml:space="preserve">(a) принудительные лицензии и использование государством; </w:t>
      </w:r>
    </w:p>
    <w:p w:rsidR="00B568B8" w:rsidRPr="005E38C1" w:rsidRDefault="00B568B8" w:rsidP="000C68D2">
      <w:pPr>
        <w:pStyle w:val="ONUME"/>
        <w:numPr>
          <w:ilvl w:val="0"/>
          <w:numId w:val="0"/>
        </w:numPr>
        <w:spacing w:after="0"/>
        <w:ind w:left="567"/>
      </w:pPr>
      <w:r>
        <w:t xml:space="preserve">(b) исчерпание прав; </w:t>
      </w:r>
    </w:p>
    <w:p w:rsidR="00B568B8" w:rsidRPr="005E38C1" w:rsidRDefault="00B568B8" w:rsidP="000C68D2">
      <w:pPr>
        <w:pStyle w:val="ONUME"/>
        <w:numPr>
          <w:ilvl w:val="0"/>
          <w:numId w:val="0"/>
        </w:numPr>
        <w:spacing w:after="0"/>
        <w:ind w:left="567"/>
      </w:pPr>
      <w:r>
        <w:t xml:space="preserve">(c) исключение </w:t>
      </w:r>
      <w:r w:rsidR="00FD6C91">
        <w:t>для</w:t>
      </w:r>
      <w:r>
        <w:t xml:space="preserve"> регуляционного тестирования;</w:t>
      </w:r>
    </w:p>
    <w:p w:rsidR="00B568B8" w:rsidRPr="005E38C1" w:rsidRDefault="00B568B8" w:rsidP="000C68D2">
      <w:pPr>
        <w:pStyle w:val="ONUME"/>
        <w:numPr>
          <w:ilvl w:val="0"/>
          <w:numId w:val="0"/>
        </w:numPr>
        <w:spacing w:after="0"/>
        <w:ind w:left="567"/>
      </w:pPr>
      <w:r>
        <w:t xml:space="preserve">(d) исключение для исследований;  </w:t>
      </w:r>
    </w:p>
    <w:p w:rsidR="00B568B8" w:rsidRPr="005E38C1" w:rsidRDefault="00B568B8" w:rsidP="000C68D2">
      <w:pPr>
        <w:pStyle w:val="ONUME"/>
        <w:numPr>
          <w:ilvl w:val="0"/>
          <w:numId w:val="0"/>
        </w:numPr>
        <w:spacing w:after="0"/>
        <w:ind w:left="567"/>
      </w:pPr>
      <w:r>
        <w:t>(e) исключения из режима охраны полезных моделей.</w:t>
      </w:r>
    </w:p>
    <w:p w:rsidR="00DE7200" w:rsidRDefault="00F522CA" w:rsidP="000C68D2">
      <w:pPr>
        <w:pStyle w:val="ONUME"/>
        <w:numPr>
          <w:ilvl w:val="0"/>
          <w:numId w:val="0"/>
        </w:numPr>
        <w:spacing w:after="0"/>
        <w:ind w:left="567"/>
      </w:pPr>
      <w:r>
        <w:t>(а) переходные периоды;</w:t>
      </w:r>
    </w:p>
    <w:p w:rsidR="00DE7200" w:rsidRPr="00AD4513" w:rsidRDefault="00F522CA" w:rsidP="000C68D2">
      <w:pPr>
        <w:pStyle w:val="ONUME"/>
        <w:numPr>
          <w:ilvl w:val="0"/>
          <w:numId w:val="0"/>
        </w:numPr>
        <w:spacing w:after="0"/>
        <w:ind w:left="567"/>
      </w:pPr>
      <w:r>
        <w:t>(g) патентоспособность веществ, существующих в природе;</w:t>
      </w:r>
    </w:p>
    <w:p w:rsidR="00DE7200" w:rsidRPr="00AD4513" w:rsidRDefault="00F522CA" w:rsidP="000C68D2">
      <w:pPr>
        <w:pStyle w:val="ONUME"/>
        <w:numPr>
          <w:ilvl w:val="0"/>
          <w:numId w:val="0"/>
        </w:numPr>
        <w:spacing w:after="0"/>
        <w:ind w:left="567"/>
      </w:pPr>
      <w:r>
        <w:t>(h) гибкие возможности, связанные с раскрытием;</w:t>
      </w:r>
    </w:p>
    <w:p w:rsidR="00DE7200" w:rsidRDefault="00F17777" w:rsidP="000C68D2">
      <w:pPr>
        <w:pStyle w:val="ONUME"/>
        <w:numPr>
          <w:ilvl w:val="0"/>
          <w:numId w:val="0"/>
        </w:numPr>
        <w:spacing w:after="0"/>
        <w:ind w:left="567"/>
      </w:pPr>
      <w:r>
        <w:t xml:space="preserve">(i) экспертиза по существу; </w:t>
      </w:r>
    </w:p>
    <w:p w:rsidR="00DE7200" w:rsidRPr="002A1A9B" w:rsidRDefault="00F17777" w:rsidP="000C68D2">
      <w:pPr>
        <w:pStyle w:val="ONUME"/>
        <w:numPr>
          <w:ilvl w:val="0"/>
          <w:numId w:val="0"/>
        </w:numPr>
        <w:spacing w:after="0"/>
        <w:ind w:left="567"/>
      </w:pPr>
      <w:r>
        <w:t xml:space="preserve">(j) осуществление ведомствами </w:t>
      </w:r>
      <w:r w:rsidR="00FD6C91">
        <w:t>ИС</w:t>
      </w:r>
      <w:r w:rsidR="00F16359">
        <w:t xml:space="preserve"> контроля еx </w:t>
      </w:r>
      <w:r>
        <w:t>officio за антиконкурентными положениями лицензионных соглашений;</w:t>
      </w:r>
    </w:p>
    <w:p w:rsidR="00DE7200" w:rsidRPr="002A1A9B" w:rsidRDefault="00F17777" w:rsidP="000C68D2">
      <w:pPr>
        <w:pStyle w:val="ONUME"/>
        <w:numPr>
          <w:ilvl w:val="0"/>
          <w:numId w:val="0"/>
        </w:numPr>
        <w:spacing w:after="0"/>
        <w:ind w:left="567"/>
      </w:pPr>
      <w:r>
        <w:t xml:space="preserve">(k) объем исключения из патентоспособности растений; </w:t>
      </w:r>
    </w:p>
    <w:p w:rsidR="00DE7200" w:rsidRPr="002A1A9B" w:rsidRDefault="00F17777" w:rsidP="000C68D2">
      <w:pPr>
        <w:pStyle w:val="ONUME"/>
        <w:numPr>
          <w:ilvl w:val="0"/>
          <w:numId w:val="0"/>
        </w:numPr>
        <w:spacing w:after="0"/>
        <w:ind w:left="567"/>
      </w:pPr>
      <w:r>
        <w:t>(l) патентоспособность или исключение из патентоспособности изобретений, связанных с компьютерными программами;</w:t>
      </w:r>
    </w:p>
    <w:p w:rsidR="00DE7200" w:rsidRDefault="00F17777" w:rsidP="000C68D2">
      <w:pPr>
        <w:pStyle w:val="ONUME"/>
        <w:numPr>
          <w:ilvl w:val="0"/>
          <w:numId w:val="0"/>
        </w:numPr>
        <w:spacing w:after="0"/>
        <w:ind w:left="567"/>
      </w:pPr>
      <w:r>
        <w:t>(m) гибкие возможности применения или неприменения уголовно-правовых санкций в целях обеспечения соблюдения патентных прав; и</w:t>
      </w:r>
    </w:p>
    <w:p w:rsidR="00DE7200" w:rsidRPr="002A1A9B" w:rsidRDefault="00F17777" w:rsidP="000C68D2">
      <w:pPr>
        <w:pStyle w:val="ONUME"/>
        <w:numPr>
          <w:ilvl w:val="0"/>
          <w:numId w:val="0"/>
        </w:numPr>
        <w:spacing w:after="0"/>
        <w:ind w:left="567"/>
      </w:pPr>
      <w:r>
        <w:t>(n) меры, связанные с национальной безопасностью (так называемое «исключение по соображениям безопасности»).</w:t>
      </w:r>
    </w:p>
    <w:p w:rsidR="00B568B8" w:rsidRDefault="00B568B8" w:rsidP="004E2FA3"/>
    <w:p w:rsidR="00C54239" w:rsidRDefault="00C54239" w:rsidP="004E2FA3"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При обсуждении указанного выше отчета Комитет поручил Секретариату </w:t>
      </w:r>
      <w:r w:rsidR="00FD6C91">
        <w:t>разработать к</w:t>
      </w:r>
      <w:r>
        <w:t xml:space="preserve"> следующей сессии Комитета механизм пер</w:t>
      </w:r>
      <w:r w:rsidR="00FD6C91">
        <w:t>иодического обновления базы данных</w:t>
      </w:r>
      <w:r>
        <w:t xml:space="preserve"> с учетом замечаний</w:t>
      </w:r>
      <w:r w:rsidR="00FD6C91">
        <w:t xml:space="preserve"> государств-членов</w:t>
      </w:r>
      <w:r>
        <w:t xml:space="preserve">. </w:t>
      </w:r>
    </w:p>
    <w:p w:rsidR="00C54239" w:rsidRDefault="00C54239" w:rsidP="004E2FA3"/>
    <w:p w:rsidR="00C54239" w:rsidRDefault="00C54239" w:rsidP="004E2FA3"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На семнадцатой сессии КРИС Секретариат предложил Комитету два возможных </w:t>
      </w:r>
      <w:r w:rsidR="002207E1">
        <w:t>способа</w:t>
      </w:r>
      <w:r>
        <w:t xml:space="preserve"> обновления Базы данных о гибких возможностях, которые представлены в документе CDIP/17/5.  По итогам рассмотрения этого документа Комитет поручил Секретариату пересмотреть это предложение и включить в него финансовые последствия этих </w:t>
      </w:r>
      <w:r w:rsidR="002207E1">
        <w:t>вариантов, а также проанализировать третий вариант, основанный</w:t>
      </w:r>
      <w:r>
        <w:t xml:space="preserve"> на замечаниях государств-членов.</w:t>
      </w:r>
    </w:p>
    <w:p w:rsidR="004851D2" w:rsidRDefault="004851D2" w:rsidP="004E2FA3"/>
    <w:p w:rsidR="00AE5DB2" w:rsidRPr="00C45A0C" w:rsidRDefault="00EB0A62" w:rsidP="00EB0A62">
      <w:pPr>
        <w:rPr>
          <w:b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Поскольку на данном этапе невозможно оценить, с какой периодичностью будет обновляться База данных, важно принять меры к тому, чтобы функционирование механизма обновления Базы данных не влекло за собой нерациональное использование Организацией кадровых и финансовых ресурсов.  В той связи предлагается рассмотреть следующие варианты, которые, будучи приемлемыми и в то же время необременительными, призваны удовлетворить потребности государств-членов.</w:t>
      </w:r>
    </w:p>
    <w:p w:rsidR="00DE7200" w:rsidRDefault="00DE7200" w:rsidP="00DE7200"/>
    <w:p w:rsidR="009B1D2B" w:rsidRPr="00823713" w:rsidRDefault="004E2FA3" w:rsidP="008F4EA9">
      <w:pPr>
        <w:pStyle w:val="NormalWeb"/>
        <w:numPr>
          <w:ilvl w:val="0"/>
          <w:numId w:val="12"/>
        </w:numPr>
        <w:kinsoku w:val="0"/>
        <w:overflowPunct w:val="0"/>
        <w:spacing w:before="96"/>
        <w:textAlignment w:val="baseline"/>
        <w:rPr>
          <w:rFonts w:ascii="Arial" w:hAnsi="Arial" w:cs="Arial"/>
          <w:b/>
          <w:caps/>
        </w:rPr>
      </w:pPr>
      <w:r>
        <w:rPr>
          <w:rFonts w:ascii="Arial" w:hAnsi="Arial"/>
          <w:b/>
          <w:caps/>
        </w:rPr>
        <w:t xml:space="preserve">МЕХАНИЗМ ОБНОВЛЕНИЯ БАЗЫ ДАННЫХ О ГИБКИХ ВОЗМОЖНОСТЯХ </w:t>
      </w:r>
    </w:p>
    <w:p w:rsidR="00061712" w:rsidRPr="00061712" w:rsidRDefault="00061712" w:rsidP="001E3C7A">
      <w:pPr>
        <w:pStyle w:val="ListParagraph"/>
        <w:ind w:left="567"/>
        <w:rPr>
          <w:b/>
          <w:u w:val="single"/>
        </w:rPr>
      </w:pPr>
    </w:p>
    <w:p w:rsidR="002019D3" w:rsidRPr="007B6D74" w:rsidRDefault="009B1D2B" w:rsidP="00D44F59">
      <w:pPr>
        <w:pStyle w:val="ONUME"/>
        <w:numPr>
          <w:ilvl w:val="0"/>
          <w:numId w:val="0"/>
        </w:numPr>
        <w:rPr>
          <w:bCs/>
          <w:u w:val="single"/>
        </w:rPr>
      </w:pPr>
      <w:r>
        <w:rPr>
          <w:u w:val="single"/>
        </w:rPr>
        <w:t>Вариант I</w:t>
      </w:r>
    </w:p>
    <w:p w:rsidR="009B1D2B" w:rsidRDefault="00EB0A62" w:rsidP="00F17777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Государства-члены предоставляют Секретариату путем направления официального уведомления информацию об обновлении национальных нормативных положений, связанных с гибкими возможностями, которые включены в Базу данных.  </w:t>
      </w:r>
    </w:p>
    <w:p w:rsidR="00B72F70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Информация, полученная от государств-членов, может касаться: </w:t>
      </w:r>
    </w:p>
    <w:p w:rsidR="00B72F70" w:rsidRDefault="00B72F70" w:rsidP="00B72F70">
      <w:pPr>
        <w:pStyle w:val="ONUME"/>
        <w:numPr>
          <w:ilvl w:val="0"/>
          <w:numId w:val="0"/>
        </w:numPr>
        <w:tabs>
          <w:tab w:val="num" w:pos="567"/>
        </w:tabs>
        <w:ind w:firstLine="567"/>
      </w:pPr>
      <w:r>
        <w:t>(i) изменения одной или нескольких статей, уже включенных в Базу данных; и/или</w:t>
      </w:r>
    </w:p>
    <w:p w:rsidR="00B72F70" w:rsidRDefault="00B72F70" w:rsidP="00B72F70">
      <w:pPr>
        <w:pStyle w:val="ONUME"/>
        <w:numPr>
          <w:ilvl w:val="0"/>
          <w:numId w:val="0"/>
        </w:numPr>
        <w:tabs>
          <w:tab w:val="num" w:pos="567"/>
        </w:tabs>
        <w:ind w:left="574"/>
      </w:pPr>
      <w:r>
        <w:t>(ii) принятия новой, ранее не существовавшей статьи (статей) в рамках национального закона, имеющего отношение к гибким возможностям, перечисленным в Базе данных.</w:t>
      </w:r>
    </w:p>
    <w:p w:rsidR="00DC2B36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Обновленные положения незамедлительно вносятся в Базу данных в новое поле «Обновленные положения, представленные государствами-членами».  Как следует из названия этого нового поля, положения не рассматриваются Секретариатом с точки зрения их охвата и критериев, согласованных Комитетом при обсуждении конкретных гибких возможностей</w:t>
      </w:r>
      <w:r>
        <w:rPr>
          <w:rStyle w:val="FootnoteReference"/>
        </w:rPr>
        <w:footnoteReference w:id="2"/>
      </w:r>
      <w:r>
        <w:t>.</w:t>
      </w:r>
    </w:p>
    <w:p w:rsidR="00E96ADE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Секретариат ежегодно представляет КРИС отчет о пополнении Базы данных государствами-членами.</w:t>
      </w:r>
    </w:p>
    <w:p w:rsidR="00364C15" w:rsidRPr="00364C15" w:rsidRDefault="00EB0A62" w:rsidP="00364C15">
      <w:pPr>
        <w:pStyle w:val="ONUME"/>
        <w:numPr>
          <w:ilvl w:val="0"/>
          <w:numId w:val="0"/>
        </w:numPr>
        <w:rPr>
          <w:b/>
          <w:sz w:val="2"/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Далее представлена предварительная оценка бюджетных расходов, которые повлечет за со</w:t>
      </w:r>
      <w:r w:rsidR="00712292">
        <w:t>бой реализация этого варианта.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4C15" w:rsidTr="003C0AD1">
        <w:trPr>
          <w:trHeight w:val="310"/>
        </w:trPr>
        <w:tc>
          <w:tcPr>
            <w:tcW w:w="4785" w:type="dxa"/>
          </w:tcPr>
          <w:p w:rsidR="00364C15" w:rsidRDefault="00364C15" w:rsidP="00035C6E">
            <w:pPr>
              <w:pStyle w:val="ONUME"/>
              <w:numPr>
                <w:ilvl w:val="0"/>
                <w:numId w:val="0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Единовременные затраты</w:t>
            </w:r>
          </w:p>
        </w:tc>
        <w:tc>
          <w:tcPr>
            <w:tcW w:w="4786" w:type="dxa"/>
          </w:tcPr>
          <w:p w:rsidR="00364C15" w:rsidRDefault="00364C15" w:rsidP="00035C6E">
            <w:pPr>
              <w:pStyle w:val="ONUMFS"/>
              <w:numPr>
                <w:ilvl w:val="0"/>
                <w:numId w:val="0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Пери</w:t>
            </w:r>
            <w:r w:rsidR="002207E1">
              <w:rPr>
                <w:b/>
                <w:u w:val="single"/>
              </w:rPr>
              <w:t>одические затраты на внесение 5 </w:t>
            </w:r>
            <w:r>
              <w:rPr>
                <w:b/>
                <w:u w:val="single"/>
              </w:rPr>
              <w:t>обновлений в год</w:t>
            </w:r>
          </w:p>
        </w:tc>
      </w:tr>
      <w:tr w:rsidR="003C0AD1" w:rsidTr="003C0AD1">
        <w:trPr>
          <w:trHeight w:val="310"/>
        </w:trPr>
        <w:tc>
          <w:tcPr>
            <w:tcW w:w="4785" w:type="dxa"/>
          </w:tcPr>
          <w:p w:rsidR="003C0AD1" w:rsidRDefault="003C0AD1" w:rsidP="003C0AD1">
            <w:pPr>
              <w:pStyle w:val="ONUMFS"/>
              <w:numPr>
                <w:ilvl w:val="0"/>
                <w:numId w:val="0"/>
              </w:numPr>
              <w:spacing w:after="0"/>
            </w:pPr>
          </w:p>
          <w:p w:rsidR="003C0AD1" w:rsidRDefault="00F16359" w:rsidP="003C0AD1">
            <w:pPr>
              <w:pStyle w:val="ONUMFS"/>
              <w:numPr>
                <w:ilvl w:val="0"/>
                <w:numId w:val="0"/>
              </w:numPr>
              <w:spacing w:after="0"/>
            </w:pPr>
            <w:r>
              <w:t xml:space="preserve">Техническая разработка: </w:t>
            </w:r>
            <w:r w:rsidR="002207E1">
              <w:t>36 833 шв. фр.</w:t>
            </w:r>
          </w:p>
          <w:p w:rsidR="003C0AD1" w:rsidRPr="00364C15" w:rsidRDefault="003C0AD1" w:rsidP="003C0AD1">
            <w:pPr>
              <w:pStyle w:val="ONUMFS"/>
              <w:numPr>
                <w:ilvl w:val="0"/>
                <w:numId w:val="0"/>
              </w:numPr>
              <w:spacing w:after="0"/>
              <w:rPr>
                <w:b/>
                <w:u w:val="single"/>
              </w:rPr>
            </w:pPr>
          </w:p>
        </w:tc>
        <w:tc>
          <w:tcPr>
            <w:tcW w:w="4786" w:type="dxa"/>
          </w:tcPr>
          <w:p w:rsidR="003C0AD1" w:rsidRDefault="003C0AD1" w:rsidP="003C0AD1">
            <w:pPr>
              <w:pStyle w:val="ONUMFS"/>
              <w:numPr>
                <w:ilvl w:val="0"/>
                <w:numId w:val="0"/>
              </w:numPr>
              <w:spacing w:after="0"/>
            </w:pPr>
          </w:p>
          <w:p w:rsidR="003C0AD1" w:rsidRPr="00364C15" w:rsidRDefault="00F16359" w:rsidP="003C0AD1">
            <w:pPr>
              <w:pStyle w:val="ONUMFS"/>
              <w:numPr>
                <w:ilvl w:val="0"/>
                <w:numId w:val="0"/>
              </w:numPr>
              <w:spacing w:after="0"/>
              <w:rPr>
                <w:b/>
                <w:u w:val="single"/>
              </w:rPr>
            </w:pPr>
            <w:r>
              <w:t xml:space="preserve">Административная работа: </w:t>
            </w:r>
            <w:r w:rsidR="003C0AD1">
              <w:t xml:space="preserve">4 120 шв. </w:t>
            </w:r>
            <w:r w:rsidR="002207E1">
              <w:t>фр.</w:t>
            </w:r>
          </w:p>
        </w:tc>
      </w:tr>
    </w:tbl>
    <w:p w:rsidR="00AB6794" w:rsidRDefault="00AB6794" w:rsidP="00AB6794">
      <w:pPr>
        <w:pStyle w:val="ONUMFS"/>
        <w:numPr>
          <w:ilvl w:val="0"/>
          <w:numId w:val="0"/>
        </w:numPr>
        <w:spacing w:after="0"/>
      </w:pPr>
    </w:p>
    <w:p w:rsidR="00AB6794" w:rsidRDefault="00AB6794" w:rsidP="00AB6794">
      <w:pPr>
        <w:pStyle w:val="ONUMFS"/>
        <w:numPr>
          <w:ilvl w:val="0"/>
          <w:numId w:val="0"/>
        </w:numPr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Единовременные затраты связаны с перемещением Базы данных на новую платформу.  Следует помнить, что</w:t>
      </w:r>
      <w:r w:rsidR="008E2DBE">
        <w:t>,</w:t>
      </w:r>
      <w:r>
        <w:t xml:space="preserve"> как было указано Секретариатом в ходе семнадцатой сессии КРИС, этот переход необходим для добавления новых полей в Базу данных и внесения новых данных более быстрым и оптимальным образом. </w:t>
      </w:r>
    </w:p>
    <w:p w:rsidR="00AB6794" w:rsidRDefault="00AB6794" w:rsidP="00AB6794">
      <w:pPr>
        <w:pStyle w:val="ONUMFS"/>
        <w:numPr>
          <w:ilvl w:val="0"/>
          <w:numId w:val="0"/>
        </w:numPr>
        <w:spacing w:after="0"/>
      </w:pPr>
    </w:p>
    <w:p w:rsidR="00AB6794" w:rsidRDefault="00AB6794" w:rsidP="00AB6794">
      <w:pPr>
        <w:pStyle w:val="ONUMFS"/>
        <w:numPr>
          <w:ilvl w:val="0"/>
          <w:numId w:val="0"/>
        </w:numPr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Периодические затраты связаны с административной работой, которая, как </w:t>
      </w:r>
      <w:r w:rsidR="002207E1">
        <w:t>ожидается</w:t>
      </w:r>
      <w:r>
        <w:t xml:space="preserve">, будет необходима для внесения предполагаемых пяти обновлений в год. </w:t>
      </w:r>
    </w:p>
    <w:p w:rsidR="002207E1" w:rsidRDefault="002207E1">
      <w:r>
        <w:br w:type="page"/>
      </w:r>
    </w:p>
    <w:p w:rsidR="009B1D2B" w:rsidRPr="007B6D74" w:rsidRDefault="009B1D2B" w:rsidP="00AB6794">
      <w:pPr>
        <w:pStyle w:val="ONUMFS"/>
        <w:numPr>
          <w:ilvl w:val="0"/>
          <w:numId w:val="0"/>
        </w:numPr>
        <w:spacing w:after="0"/>
        <w:rPr>
          <w:bCs/>
          <w:u w:val="single"/>
        </w:rPr>
      </w:pPr>
      <w:r>
        <w:rPr>
          <w:u w:val="single"/>
        </w:rPr>
        <w:lastRenderedPageBreak/>
        <w:t>Вариант II</w:t>
      </w:r>
    </w:p>
    <w:p w:rsidR="00AB6794" w:rsidRDefault="00AB6794" w:rsidP="00EB0A62">
      <w:pPr>
        <w:pStyle w:val="ONUME"/>
        <w:numPr>
          <w:ilvl w:val="0"/>
          <w:numId w:val="0"/>
        </w:numPr>
      </w:pPr>
      <w:r>
        <w:t xml:space="preserve"> </w:t>
      </w:r>
    </w:p>
    <w:p w:rsidR="003635AF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Государства-члены предоставляют Секретариату путем направления официального уведомления информацию об обновлении национальных нормативных положений, связанных с гибкими возможностями, которые включены в Базу данных.  </w:t>
      </w:r>
    </w:p>
    <w:p w:rsidR="00C57E27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Информация, полученная от государств-членов, может касаться: </w:t>
      </w:r>
    </w:p>
    <w:p w:rsidR="00C57E27" w:rsidRDefault="00F17777" w:rsidP="00D44F59">
      <w:pPr>
        <w:pStyle w:val="ONUME"/>
        <w:numPr>
          <w:ilvl w:val="0"/>
          <w:numId w:val="0"/>
        </w:numPr>
        <w:tabs>
          <w:tab w:val="num" w:pos="567"/>
        </w:tabs>
        <w:ind w:firstLine="567"/>
      </w:pPr>
      <w:r>
        <w:t>(i) изменения одной или нескольких статей, уже включенных в Базу данных; и/или</w:t>
      </w:r>
    </w:p>
    <w:p w:rsidR="00EB0A62" w:rsidRDefault="00F17777" w:rsidP="00EB0A62">
      <w:pPr>
        <w:pStyle w:val="ONUME"/>
        <w:numPr>
          <w:ilvl w:val="0"/>
          <w:numId w:val="0"/>
        </w:numPr>
        <w:tabs>
          <w:tab w:val="num" w:pos="567"/>
        </w:tabs>
        <w:ind w:left="574"/>
      </w:pPr>
      <w:r>
        <w:t>(ii) принятия новой, ранее не существовавшей статьи</w:t>
      </w:r>
      <w:r w:rsidR="002207E1">
        <w:t> </w:t>
      </w:r>
      <w:r>
        <w:t>(</w:t>
      </w:r>
      <w:r w:rsidR="002207E1">
        <w:t>-</w:t>
      </w:r>
      <w:r>
        <w:t>е</w:t>
      </w:r>
      <w:r w:rsidR="008E2DBE">
        <w:t>й) в рамках национального законодательства</w:t>
      </w:r>
      <w:r>
        <w:t xml:space="preserve">, имеющего отношение к гибким возможностям, </w:t>
      </w:r>
      <w:r w:rsidR="008E2DBE">
        <w:t>которые включены в Базу</w:t>
      </w:r>
      <w:r>
        <w:t xml:space="preserve"> данных.</w:t>
      </w:r>
    </w:p>
    <w:p w:rsidR="003635AF" w:rsidRDefault="00EB0A62" w:rsidP="00EB0A62">
      <w:pPr>
        <w:pStyle w:val="ONUME"/>
        <w:numPr>
          <w:ilvl w:val="0"/>
          <w:numId w:val="0"/>
        </w:numPr>
        <w:tabs>
          <w:tab w:val="num" w:pos="567"/>
        </w:tabs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Секретариат анализирует обновление(-я) на предмет его(их) соответствия содержанию и критериям, согласованным Комитетом при обсуждении каждой гибкой возможности.</w:t>
      </w:r>
    </w:p>
    <w:p w:rsidR="00C6648C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Если обновление(</w:t>
      </w:r>
      <w:r w:rsidR="008E2DBE">
        <w:t>-я) соответствует</w:t>
      </w:r>
      <w:r>
        <w:t xml:space="preserve">(-ют) содержанию и критериям, Секретариат публикует </w:t>
      </w:r>
      <w:r w:rsidR="008E2DBE">
        <w:t>его(их)</w:t>
      </w:r>
      <w:r>
        <w:t xml:space="preserve"> в Базе данных в течение шести месяцев.  </w:t>
      </w:r>
    </w:p>
    <w:p w:rsidR="00BA2BCF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Если обновление(-я) относится(-ятся) к изменению одной или нескольких статей, уже включенных в Базу данных, то обновленное(-ые) положение(-я) заменяет(-ют) существующее(-ие) положение(-я).  Если обновление(-я) относится(-ятся) к статье(-ям), котор</w:t>
      </w:r>
      <w:r w:rsidR="008E2DBE">
        <w:t xml:space="preserve">ой(-ых) </w:t>
      </w:r>
      <w:r>
        <w:t>ранее не было, то оно</w:t>
      </w:r>
      <w:r w:rsidR="008E2DBE">
        <w:t>(они)</w:t>
      </w:r>
      <w:r>
        <w:t xml:space="preserve"> добавляется</w:t>
      </w:r>
      <w:r w:rsidR="008E2DBE">
        <w:t>(-ются)</w:t>
      </w:r>
      <w:r>
        <w:t xml:space="preserve"> к соответст</w:t>
      </w:r>
      <w:r w:rsidR="008E2DBE">
        <w:t>вующей гибкой возможности/гибким</w:t>
      </w:r>
      <w:r>
        <w:t xml:space="preserve"> возможностям в Базе данных.</w:t>
      </w:r>
    </w:p>
    <w:p w:rsidR="007B0A0A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Если обновленное</w:t>
      </w:r>
      <w:r w:rsidR="008E2DBE">
        <w:t>(-ые)</w:t>
      </w:r>
      <w:r>
        <w:t xml:space="preserve"> положени</w:t>
      </w:r>
      <w:r w:rsidR="008E2DBE">
        <w:t>е(-</w:t>
      </w:r>
      <w:r>
        <w:t>я) не соответствует</w:t>
      </w:r>
      <w:r w:rsidR="008E2DBE">
        <w:t>(-ют)</w:t>
      </w:r>
      <w:r>
        <w:t xml:space="preserve"> вышеупомянутым содержанию и критериям, Секретариат доводит до сведения соответствующего государства-члена причины, по которым обновленная информация не была опубликована в Базе данных.</w:t>
      </w:r>
    </w:p>
    <w:p w:rsidR="00B350D2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Секретариат ежегодно представляет КРИС отчет о результатах такого анализа.</w:t>
      </w:r>
    </w:p>
    <w:p w:rsidR="00427DAE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8E2DBE">
        <w:tab/>
      </w:r>
      <w:r>
        <w:t xml:space="preserve">Далее представлена предварительная оценка бюджетных расходов, которые повлечет за собой реализация этого варианта.  </w:t>
      </w:r>
    </w:p>
    <w:p w:rsidR="007204B5" w:rsidRDefault="007204B5" w:rsidP="007204B5">
      <w:pPr>
        <w:pStyle w:val="ONUME"/>
        <w:numPr>
          <w:ilvl w:val="0"/>
          <w:numId w:val="0"/>
        </w:num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8"/>
        <w:gridCol w:w="4718"/>
      </w:tblGrid>
      <w:tr w:rsidR="006F029F" w:rsidTr="003C0AD1">
        <w:trPr>
          <w:trHeight w:val="257"/>
        </w:trPr>
        <w:tc>
          <w:tcPr>
            <w:tcW w:w="4718" w:type="dxa"/>
          </w:tcPr>
          <w:p w:rsidR="006F029F" w:rsidRDefault="006F029F" w:rsidP="00B94D8C">
            <w:pPr>
              <w:pStyle w:val="ONUME"/>
              <w:numPr>
                <w:ilvl w:val="0"/>
                <w:numId w:val="0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Единовременные затраты</w:t>
            </w:r>
          </w:p>
        </w:tc>
        <w:tc>
          <w:tcPr>
            <w:tcW w:w="4718" w:type="dxa"/>
          </w:tcPr>
          <w:p w:rsidR="006F029F" w:rsidRPr="00364C15" w:rsidRDefault="006F029F" w:rsidP="00E3092A">
            <w:pPr>
              <w:pStyle w:val="ONUMFS"/>
              <w:numPr>
                <w:ilvl w:val="0"/>
                <w:numId w:val="0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Периодические затраты на внесение 5</w:t>
            </w:r>
            <w:r w:rsidR="00E3092A">
              <w:rPr>
                <w:b/>
                <w:u w:val="single"/>
              </w:rPr>
              <w:t> </w:t>
            </w:r>
            <w:r>
              <w:rPr>
                <w:b/>
                <w:u w:val="single"/>
              </w:rPr>
              <w:t>обновлений в год</w:t>
            </w:r>
          </w:p>
        </w:tc>
      </w:tr>
      <w:tr w:rsidR="006F029F" w:rsidTr="003C0AD1">
        <w:trPr>
          <w:trHeight w:val="1160"/>
        </w:trPr>
        <w:tc>
          <w:tcPr>
            <w:tcW w:w="4718" w:type="dxa"/>
            <w:vMerge w:val="restart"/>
          </w:tcPr>
          <w:p w:rsidR="006F029F" w:rsidRDefault="006F029F" w:rsidP="003C0AD1">
            <w:pPr>
              <w:pStyle w:val="ONUMFS"/>
              <w:numPr>
                <w:ilvl w:val="0"/>
                <w:numId w:val="0"/>
              </w:numPr>
              <w:spacing w:after="0"/>
            </w:pPr>
          </w:p>
          <w:p w:rsidR="003C0AD1" w:rsidRDefault="003C0AD1" w:rsidP="003C0AD1">
            <w:pPr>
              <w:pStyle w:val="ONUMFS"/>
              <w:numPr>
                <w:ilvl w:val="0"/>
                <w:numId w:val="0"/>
              </w:numPr>
              <w:spacing w:after="0"/>
            </w:pPr>
          </w:p>
          <w:p w:rsidR="006F029F" w:rsidRPr="007C5846" w:rsidRDefault="006F029F" w:rsidP="003C0AD1">
            <w:pPr>
              <w:pStyle w:val="ONUMFS"/>
              <w:numPr>
                <w:ilvl w:val="0"/>
                <w:numId w:val="0"/>
              </w:numPr>
              <w:spacing w:after="0"/>
            </w:pPr>
            <w:r>
              <w:t>Техническа</w:t>
            </w:r>
            <w:r w:rsidR="008E2DBE">
              <w:t>я разработка: 36 833 шв. фр.</w:t>
            </w:r>
          </w:p>
          <w:p w:rsidR="006F029F" w:rsidRPr="00364C15" w:rsidRDefault="006F029F" w:rsidP="003C0AD1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u w:val="single"/>
              </w:rPr>
            </w:pPr>
          </w:p>
        </w:tc>
        <w:tc>
          <w:tcPr>
            <w:tcW w:w="4718" w:type="dxa"/>
          </w:tcPr>
          <w:p w:rsidR="006F029F" w:rsidRDefault="006F029F" w:rsidP="003C0AD1">
            <w:pPr>
              <w:pStyle w:val="ONUME"/>
              <w:numPr>
                <w:ilvl w:val="0"/>
                <w:numId w:val="0"/>
              </w:numPr>
              <w:spacing w:after="0"/>
              <w:contextualSpacing/>
            </w:pPr>
          </w:p>
          <w:p w:rsidR="006F029F" w:rsidRDefault="00F16359" w:rsidP="00EB44A3">
            <w:pPr>
              <w:pStyle w:val="ONUME"/>
              <w:numPr>
                <w:ilvl w:val="0"/>
                <w:numId w:val="35"/>
              </w:numPr>
              <w:spacing w:after="0"/>
              <w:contextualSpacing/>
            </w:pPr>
            <w:r>
              <w:t>Юридическая работа: </w:t>
            </w:r>
            <w:r w:rsidR="008E2DBE">
              <w:t>16 767 шв. фр.</w:t>
            </w:r>
          </w:p>
          <w:p w:rsidR="006F029F" w:rsidRDefault="006F029F" w:rsidP="003C0AD1">
            <w:pPr>
              <w:pStyle w:val="ONUME"/>
              <w:numPr>
                <w:ilvl w:val="0"/>
                <w:numId w:val="0"/>
              </w:numPr>
              <w:spacing w:after="0"/>
              <w:contextualSpacing/>
            </w:pPr>
          </w:p>
          <w:p w:rsidR="006F029F" w:rsidRPr="00712292" w:rsidRDefault="00F16359" w:rsidP="008E2DBE">
            <w:pPr>
              <w:pStyle w:val="ONUME"/>
              <w:numPr>
                <w:ilvl w:val="0"/>
                <w:numId w:val="35"/>
              </w:numPr>
              <w:spacing w:after="0"/>
              <w:contextualSpacing/>
            </w:pPr>
            <w:r>
              <w:t>Административная работа: </w:t>
            </w:r>
            <w:r w:rsidR="008E2DBE">
              <w:t>16 283 шв. фр.</w:t>
            </w:r>
          </w:p>
        </w:tc>
      </w:tr>
      <w:tr w:rsidR="006F029F" w:rsidTr="003C0AD1">
        <w:trPr>
          <w:trHeight w:val="838"/>
        </w:trPr>
        <w:tc>
          <w:tcPr>
            <w:tcW w:w="4718" w:type="dxa"/>
            <w:vMerge/>
            <w:tcBorders>
              <w:bottom w:val="single" w:sz="4" w:space="0" w:color="auto"/>
            </w:tcBorders>
          </w:tcPr>
          <w:p w:rsidR="006F029F" w:rsidRDefault="006F029F" w:rsidP="003C0AD1">
            <w:pPr>
              <w:pStyle w:val="ONUMFS"/>
              <w:numPr>
                <w:ilvl w:val="0"/>
                <w:numId w:val="0"/>
              </w:numPr>
              <w:spacing w:after="0"/>
            </w:pP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6F029F" w:rsidRDefault="006F029F" w:rsidP="003C0AD1">
            <w:pPr>
              <w:pStyle w:val="ONUME"/>
              <w:numPr>
                <w:ilvl w:val="0"/>
                <w:numId w:val="0"/>
              </w:numPr>
              <w:spacing w:after="0"/>
              <w:contextualSpacing/>
              <w:rPr>
                <w:u w:val="single"/>
              </w:rPr>
            </w:pPr>
          </w:p>
          <w:p w:rsidR="006F029F" w:rsidRDefault="00712292" w:rsidP="00A750A0">
            <w:pPr>
              <w:pStyle w:val="ONUME"/>
              <w:numPr>
                <w:ilvl w:val="0"/>
                <w:numId w:val="0"/>
              </w:numPr>
              <w:spacing w:after="0"/>
              <w:contextualSpacing/>
            </w:pPr>
            <w:r w:rsidRPr="00712292">
              <w:tab/>
            </w:r>
            <w:r w:rsidR="00F16359">
              <w:rPr>
                <w:u w:val="single"/>
              </w:rPr>
              <w:t>Итого: </w:t>
            </w:r>
            <w:r w:rsidR="006F029F">
              <w:rPr>
                <w:u w:val="single"/>
              </w:rPr>
              <w:t>33 050 шв. франков</w:t>
            </w:r>
          </w:p>
        </w:tc>
      </w:tr>
    </w:tbl>
    <w:p w:rsidR="003C0AD1" w:rsidRDefault="003C0AD1" w:rsidP="003C0AD1"/>
    <w:p w:rsidR="00AB6794" w:rsidRDefault="00AB6794" w:rsidP="00AB6794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Следует иметь в виду, что</w:t>
      </w:r>
      <w:r w:rsidR="008E2DBE">
        <w:t>,</w:t>
      </w:r>
      <w:r>
        <w:t xml:space="preserve"> хотя этот вариант </w:t>
      </w:r>
      <w:r w:rsidR="008E2DBE">
        <w:t xml:space="preserve">в принципе </w:t>
      </w:r>
      <w:r>
        <w:t xml:space="preserve">не предусматривает перехода Базы данных на новую платформу, такой переход все же считается желательным, так как действующая система усложняет и замедляет внесение новых данных.  Если Комитет примет этот вариант, то ему следует дать Секретариату указания </w:t>
      </w:r>
      <w:r>
        <w:lastRenderedPageBreak/>
        <w:t xml:space="preserve">касательно возможности разработки новой платформы, что предусмотрено в разделе единовременных затрат выше. </w:t>
      </w:r>
    </w:p>
    <w:p w:rsidR="00AB6794" w:rsidRDefault="00AB6794" w:rsidP="00AB6794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Периодические затраты рассчитаны </w:t>
      </w:r>
      <w:r w:rsidR="008E2DBE">
        <w:t>с учетом</w:t>
      </w:r>
      <w:r>
        <w:t xml:space="preserve"> предполагаемых пяти обновлений в год, и их размер может меняться в зависимости от размера и сложности представленного</w:t>
      </w:r>
      <w:r w:rsidR="008E2DBE">
        <w:t>(-ых)</w:t>
      </w:r>
      <w:r>
        <w:t xml:space="preserve"> положения(-й) или иных непредвиденных факторов, которые могут возникнуть в ходе проведения анализа.</w:t>
      </w:r>
    </w:p>
    <w:p w:rsidR="007204B5" w:rsidRDefault="007204B5" w:rsidP="007204B5"/>
    <w:p w:rsidR="00320831" w:rsidRDefault="00F12FD4" w:rsidP="00AB6794">
      <w:pPr>
        <w:spacing w:after="220"/>
        <w:rPr>
          <w:bCs/>
          <w:u w:val="single"/>
        </w:rPr>
      </w:pPr>
      <w:r>
        <w:rPr>
          <w:u w:val="single"/>
        </w:rPr>
        <w:t>Вариант II</w:t>
      </w:r>
      <w:r w:rsidR="008E2DBE">
        <w:rPr>
          <w:u w:val="single"/>
          <w:lang w:val="en-US"/>
        </w:rPr>
        <w:t>I</w:t>
      </w:r>
      <w:r>
        <w:rPr>
          <w:u w:val="single"/>
        </w:rPr>
        <w:t xml:space="preserve"> </w:t>
      </w:r>
    </w:p>
    <w:p w:rsidR="006F029F" w:rsidRDefault="0076218A" w:rsidP="00EB0A62">
      <w:pPr>
        <w:spacing w:after="220"/>
      </w:pPr>
      <w:r>
        <w:t xml:space="preserve">Этот вариант основан на </w:t>
      </w:r>
      <w:r w:rsidR="008E2DBE">
        <w:t xml:space="preserve">поручении семнадцатой сессии КРИС рассмотреть третий вариант с учетом замечаний </w:t>
      </w:r>
      <w:r>
        <w:t>государств-членов.  Он представляет собой сочетание элементов Вариант</w:t>
      </w:r>
      <w:r w:rsidR="00A51634">
        <w:t>а</w:t>
      </w:r>
      <w:r>
        <w:t xml:space="preserve"> I и Варианта II, так как предусматривает включение </w:t>
      </w:r>
      <w:r w:rsidR="00A51634">
        <w:t>предоставленных государствами-членами обновлений</w:t>
      </w:r>
      <w:r>
        <w:t xml:space="preserve"> в новое поле Базы данных и </w:t>
      </w:r>
      <w:r w:rsidR="00A51634">
        <w:t xml:space="preserve">последующий анализ </w:t>
      </w:r>
      <w:r>
        <w:t>этих положений Секретариатом.</w:t>
      </w:r>
    </w:p>
    <w:p w:rsidR="00F12FD4" w:rsidRDefault="006F029F" w:rsidP="00EB0A62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Государства-члены предоставляют Секретариату путем направления официального уведомления информацию об обновлении национальных нормативных положений, связанных с гибкими возможностями, которые включены в Базу данных.  </w:t>
      </w:r>
    </w:p>
    <w:p w:rsidR="00BA2BCF" w:rsidRDefault="00EB0A62" w:rsidP="007204B5">
      <w:pPr>
        <w:keepNext/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Информация, полученная от государств-членов, может касаться: </w:t>
      </w:r>
    </w:p>
    <w:p w:rsidR="00BA2BCF" w:rsidRDefault="00BA2BCF" w:rsidP="007204B5">
      <w:pPr>
        <w:pStyle w:val="ONUME"/>
        <w:keepNext/>
        <w:numPr>
          <w:ilvl w:val="0"/>
          <w:numId w:val="0"/>
        </w:numPr>
        <w:tabs>
          <w:tab w:val="num" w:pos="567"/>
        </w:tabs>
        <w:ind w:firstLine="567"/>
      </w:pPr>
      <w:r>
        <w:t>(i) изменения одной или нескольких статей, уже включенных в Базу данных; и/или</w:t>
      </w:r>
    </w:p>
    <w:p w:rsidR="00BA2BCF" w:rsidRDefault="00BA2BCF" w:rsidP="007204B5">
      <w:pPr>
        <w:pStyle w:val="ONUME"/>
        <w:keepNext/>
        <w:numPr>
          <w:ilvl w:val="0"/>
          <w:numId w:val="0"/>
        </w:numPr>
        <w:tabs>
          <w:tab w:val="num" w:pos="567"/>
        </w:tabs>
        <w:ind w:left="574"/>
      </w:pPr>
      <w:r>
        <w:t>(ii) </w:t>
      </w:r>
      <w:r w:rsidR="00B660CE" w:rsidRPr="00B660CE">
        <w:t>принятия новой, ранее не существовавшей статьи (-ей) в рамках национального законодательства, имеющего отношение к гибким возможностям,</w:t>
      </w:r>
      <w:r w:rsidR="00B660CE">
        <w:t xml:space="preserve"> которые включены в Базу данных</w:t>
      </w:r>
      <w:r>
        <w:t>.</w:t>
      </w:r>
    </w:p>
    <w:p w:rsidR="00D938E3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Обновленные положения незамедлительно вносятся в Базу данных в новое поле «Обновленные положения, представленные государствами-членами».  Как явно следует из названия этого поля, включение таких положений осу</w:t>
      </w:r>
      <w:r w:rsidR="00B660CE">
        <w:t>ществляется на основании запроса</w:t>
      </w:r>
      <w:r>
        <w:t xml:space="preserve"> государства-члена и никоим образом не отражает результаты анализа, проведенного Организацией для проверки соответствия охвату и критериям, согласованны</w:t>
      </w:r>
      <w:r w:rsidR="00B660CE">
        <w:t>м</w:t>
      </w:r>
      <w:r>
        <w:t xml:space="preserve"> Комитетом при обсуждении конкретных гибких возможностей.</w:t>
      </w:r>
    </w:p>
    <w:p w:rsidR="00016741" w:rsidRDefault="00EB0A62" w:rsidP="00EB0A62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Секретариат анализирует обновление(-я) на предмет его(их) соответствия </w:t>
      </w:r>
      <w:r w:rsidR="00A3541E">
        <w:t>упомянутому</w:t>
      </w:r>
      <w:r>
        <w:t xml:space="preserve"> выше охвату и критериям.</w:t>
      </w:r>
    </w:p>
    <w:p w:rsidR="005456BF" w:rsidRDefault="00EB0A62" w:rsidP="00EB0A62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Если обновление(</w:t>
      </w:r>
      <w:r w:rsidR="00A3541E">
        <w:t>-я) соответствует</w:t>
      </w:r>
      <w:r>
        <w:t>(-ют) содержанию и критериям, Секретариат в теч</w:t>
      </w:r>
      <w:r w:rsidR="00A3541E">
        <w:t xml:space="preserve">ение </w:t>
      </w:r>
      <w:r>
        <w:t xml:space="preserve">следующих шести месяцев переносит </w:t>
      </w:r>
      <w:r w:rsidR="00A3541E">
        <w:t xml:space="preserve">его </w:t>
      </w:r>
      <w:r>
        <w:t>из поля «Обновленные положения, представленные государствами-членами» в раздел Базы данных, где содержатся действующие положения.</w:t>
      </w:r>
    </w:p>
    <w:p w:rsidR="005456BF" w:rsidRDefault="006F029F" w:rsidP="006F029F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Если обновление(-я) относится(-ятся) к изменению одной или нескольких статей, уже включенных в Базу данных, то обновленное(-ые) положение(-я) заменяет(-ют) существующее(-ие) положение(-я).  Если обновление(-я) относится(-ятся) к статье(-ям), которых ранее не было, то оно добавляется к соответст</w:t>
      </w:r>
      <w:r w:rsidR="00A3541E">
        <w:t>вующей гибкой возможности/гибким</w:t>
      </w:r>
      <w:r>
        <w:t xml:space="preserve"> возможностям в Базе данных.</w:t>
      </w:r>
    </w:p>
    <w:p w:rsidR="009B129F" w:rsidRDefault="00EB0A62" w:rsidP="00EB0A62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Обновление(-я), </w:t>
      </w:r>
      <w:r w:rsidR="00E3092A">
        <w:t>соответствующее(-ие)</w:t>
      </w:r>
      <w:r>
        <w:t xml:space="preserve"> охвату и критериям, сохраняется(-ются) в поле «Обновленные положения, представленные государствами-членами», если соответствующее государство-член не направит отдельный запрос о его/их </w:t>
      </w:r>
      <w:r w:rsidR="00E3092A">
        <w:t>удалении</w:t>
      </w:r>
      <w:r>
        <w:t xml:space="preserve"> из Базы данных.</w:t>
      </w:r>
    </w:p>
    <w:p w:rsidR="008B3863" w:rsidRDefault="00EB0A62" w:rsidP="00EB0A62">
      <w:pPr>
        <w:pStyle w:val="ONUME"/>
        <w:numPr>
          <w:ilvl w:val="0"/>
          <w:numId w:val="0"/>
        </w:numPr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Секретариат предоставляет ежегодный отчет КРИС об обновлениях, </w:t>
      </w:r>
      <w:r w:rsidR="00F16359">
        <w:t>представленных</w:t>
      </w:r>
      <w:r>
        <w:t xml:space="preserve"> государствами-членами, и их включении в различные поля Базы данных.</w:t>
      </w:r>
    </w:p>
    <w:p w:rsidR="006F029F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Далее представлена предварительная оценка бюджетных расходов, которые повлечет за собой реализация этого варианта.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870"/>
      </w:tblGrid>
      <w:tr w:rsidR="006F029F" w:rsidTr="003C0AD1">
        <w:trPr>
          <w:trHeight w:val="294"/>
        </w:trPr>
        <w:tc>
          <w:tcPr>
            <w:tcW w:w="4644" w:type="dxa"/>
          </w:tcPr>
          <w:p w:rsidR="006F029F" w:rsidRDefault="006F029F" w:rsidP="00846CC7">
            <w:pPr>
              <w:pStyle w:val="ONUME"/>
              <w:numPr>
                <w:ilvl w:val="0"/>
                <w:numId w:val="0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Единовременные затраты</w:t>
            </w:r>
          </w:p>
        </w:tc>
        <w:tc>
          <w:tcPr>
            <w:tcW w:w="4870" w:type="dxa"/>
          </w:tcPr>
          <w:p w:rsidR="006F029F" w:rsidRPr="00364C15" w:rsidRDefault="006F029F" w:rsidP="00846CC7">
            <w:pPr>
              <w:pStyle w:val="ONUMFS"/>
              <w:numPr>
                <w:ilvl w:val="0"/>
                <w:numId w:val="0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Пери</w:t>
            </w:r>
            <w:r w:rsidR="00E3092A">
              <w:rPr>
                <w:b/>
                <w:u w:val="single"/>
              </w:rPr>
              <w:t>одические затраты на внесение 5 </w:t>
            </w:r>
            <w:r>
              <w:rPr>
                <w:b/>
                <w:u w:val="single"/>
              </w:rPr>
              <w:t>обновлений в год</w:t>
            </w:r>
          </w:p>
        </w:tc>
      </w:tr>
      <w:tr w:rsidR="006F029F" w:rsidTr="003C0AD1">
        <w:trPr>
          <w:trHeight w:val="961"/>
        </w:trPr>
        <w:tc>
          <w:tcPr>
            <w:tcW w:w="4644" w:type="dxa"/>
            <w:vMerge w:val="restart"/>
          </w:tcPr>
          <w:p w:rsidR="006F029F" w:rsidRDefault="006F029F" w:rsidP="003C0AD1">
            <w:pPr>
              <w:pStyle w:val="ONUMFS"/>
              <w:numPr>
                <w:ilvl w:val="0"/>
                <w:numId w:val="0"/>
              </w:numPr>
              <w:spacing w:after="0"/>
            </w:pPr>
          </w:p>
          <w:p w:rsidR="006F029F" w:rsidRPr="007C5846" w:rsidRDefault="006F029F" w:rsidP="003C0AD1">
            <w:pPr>
              <w:pStyle w:val="ONUMFS"/>
              <w:numPr>
                <w:ilvl w:val="0"/>
                <w:numId w:val="0"/>
              </w:numPr>
              <w:spacing w:after="0"/>
            </w:pPr>
            <w:r>
              <w:t>Техническая разработ</w:t>
            </w:r>
            <w:r w:rsidR="00E3092A">
              <w:t>ка: 36 833 шв. фр.</w:t>
            </w:r>
          </w:p>
          <w:p w:rsidR="006F029F" w:rsidRPr="00364C15" w:rsidRDefault="006F029F" w:rsidP="003C0AD1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u w:val="single"/>
              </w:rPr>
            </w:pPr>
          </w:p>
        </w:tc>
        <w:tc>
          <w:tcPr>
            <w:tcW w:w="4870" w:type="dxa"/>
          </w:tcPr>
          <w:p w:rsidR="006F029F" w:rsidRDefault="006F029F" w:rsidP="003C0AD1">
            <w:pPr>
              <w:pStyle w:val="ONUME"/>
              <w:numPr>
                <w:ilvl w:val="0"/>
                <w:numId w:val="0"/>
              </w:numPr>
              <w:spacing w:after="0"/>
              <w:contextualSpacing/>
            </w:pPr>
          </w:p>
          <w:p w:rsidR="006F029F" w:rsidRDefault="00F16359" w:rsidP="003C0AD1">
            <w:pPr>
              <w:pStyle w:val="ONUME"/>
              <w:numPr>
                <w:ilvl w:val="0"/>
                <w:numId w:val="35"/>
              </w:numPr>
              <w:spacing w:after="0"/>
              <w:contextualSpacing/>
            </w:pPr>
            <w:r>
              <w:t>Юридическая работа: </w:t>
            </w:r>
            <w:r w:rsidR="00E3092A">
              <w:t>16 767 шв. фр.</w:t>
            </w:r>
          </w:p>
          <w:p w:rsidR="006F029F" w:rsidRDefault="006F029F" w:rsidP="003C0AD1">
            <w:pPr>
              <w:pStyle w:val="ONUME"/>
              <w:numPr>
                <w:ilvl w:val="0"/>
                <w:numId w:val="0"/>
              </w:numPr>
              <w:spacing w:after="0"/>
              <w:contextualSpacing/>
            </w:pPr>
          </w:p>
          <w:p w:rsidR="006F029F" w:rsidRPr="00712292" w:rsidRDefault="00F16359" w:rsidP="00712292">
            <w:pPr>
              <w:pStyle w:val="ONUME"/>
              <w:numPr>
                <w:ilvl w:val="0"/>
                <w:numId w:val="35"/>
              </w:numPr>
              <w:spacing w:after="0"/>
              <w:contextualSpacing/>
            </w:pPr>
            <w:r>
              <w:t>Административная работа: </w:t>
            </w:r>
            <w:r w:rsidR="00E3092A">
              <w:t>16 283 шв. фр.</w:t>
            </w:r>
          </w:p>
        </w:tc>
      </w:tr>
      <w:tr w:rsidR="006F029F" w:rsidTr="003C0AD1">
        <w:trPr>
          <w:trHeight w:val="961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6F029F" w:rsidRDefault="006F029F" w:rsidP="00846CC7">
            <w:pPr>
              <w:pStyle w:val="ONUMFS"/>
              <w:numPr>
                <w:ilvl w:val="0"/>
                <w:numId w:val="0"/>
              </w:numPr>
            </w:pP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6F029F" w:rsidRDefault="006F029F" w:rsidP="00846CC7">
            <w:pPr>
              <w:pStyle w:val="ONUME"/>
              <w:numPr>
                <w:ilvl w:val="0"/>
                <w:numId w:val="0"/>
              </w:numPr>
              <w:contextualSpacing/>
              <w:rPr>
                <w:u w:val="single"/>
              </w:rPr>
            </w:pPr>
          </w:p>
          <w:p w:rsidR="006F029F" w:rsidRDefault="00712292" w:rsidP="00846CC7">
            <w:pPr>
              <w:pStyle w:val="ONUME"/>
              <w:numPr>
                <w:ilvl w:val="0"/>
                <w:numId w:val="0"/>
              </w:numPr>
              <w:contextualSpacing/>
            </w:pPr>
            <w:r>
              <w:tab/>
            </w:r>
            <w:r w:rsidR="00F16359">
              <w:rPr>
                <w:u w:val="single"/>
              </w:rPr>
              <w:t>Итого: </w:t>
            </w:r>
            <w:r w:rsidR="006F029F">
              <w:rPr>
                <w:u w:val="single"/>
              </w:rPr>
              <w:t>33 050 шв. франков</w:t>
            </w:r>
          </w:p>
        </w:tc>
      </w:tr>
    </w:tbl>
    <w:p w:rsidR="003C0AD1" w:rsidRDefault="003C0AD1" w:rsidP="00EB0A62">
      <w:pPr>
        <w:pStyle w:val="ONUME"/>
        <w:numPr>
          <w:ilvl w:val="0"/>
          <w:numId w:val="0"/>
        </w:numPr>
      </w:pPr>
    </w:p>
    <w:p w:rsidR="00AB6794" w:rsidRDefault="00AB6794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>Представленная выше таблица содержит е</w:t>
      </w:r>
      <w:r w:rsidR="00E3092A">
        <w:t>диновременные затраты, связанные</w:t>
      </w:r>
      <w:r>
        <w:t xml:space="preserve"> с технической разработкой новой платформы, и периодические расхода на внесение предполагаемых пяти обновлений в год.  Размер периодических затрат может меняться в зависимости от размера и сложности представленного</w:t>
      </w:r>
      <w:r w:rsidR="00E3092A">
        <w:t>(-ых)</w:t>
      </w:r>
      <w:r>
        <w:t xml:space="preserve"> положения(-й) или иных непредвиденных факторов, которые могут возникнуть в ходе проведения анализа.   </w:t>
      </w:r>
    </w:p>
    <w:p w:rsidR="00B13B6A" w:rsidRPr="007B0A0A" w:rsidRDefault="00EB0A62" w:rsidP="00EB0A62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Периодические расходы, предусмотренные в трех изложенных выше вариантах и относящиеся к внесению предполагаемых пяти обновлений в год, могут быть покрыты за счет существующих ресурсов Организации.  Но если возникнет потребность в обработке дополнительных обновлений в рамках какого-либо из описанных выше вариантов, то могут потребоваться дополнительные людские и финансовые ресурсы. </w:t>
      </w:r>
    </w:p>
    <w:p w:rsidR="00155C06" w:rsidRDefault="00EB0A62" w:rsidP="00222FB1">
      <w:pPr>
        <w:pStyle w:val="ONUME"/>
        <w:numPr>
          <w:ilvl w:val="0"/>
          <w:numId w:val="0"/>
        </w:numPr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 w:rsidR="00712292">
        <w:tab/>
      </w:r>
      <w:r>
        <w:t xml:space="preserve">Вне зависимости от того, какое решение примет Комитет по поводу представленных выше вариантов, </w:t>
      </w:r>
      <w:r w:rsidR="003329C1">
        <w:t>следует</w:t>
      </w:r>
      <w:r>
        <w:t xml:space="preserve"> также отметить, что обновленные положения будут включаться </w:t>
      </w:r>
      <w:r w:rsidR="003329C1">
        <w:t xml:space="preserve">только </w:t>
      </w:r>
      <w:r>
        <w:t>в Базу данных: имеющиеся исходные документы и другие соответствующие тексты будут оставлены без изменения.</w:t>
      </w:r>
    </w:p>
    <w:p w:rsidR="007204B5" w:rsidRDefault="007204B5" w:rsidP="007204B5">
      <w:pPr>
        <w:pStyle w:val="ONUME"/>
        <w:numPr>
          <w:ilvl w:val="0"/>
          <w:numId w:val="0"/>
        </w:numPr>
        <w:spacing w:after="0"/>
      </w:pPr>
    </w:p>
    <w:p w:rsidR="00155C06" w:rsidRDefault="00155C06" w:rsidP="007204B5">
      <w:pPr>
        <w:pStyle w:val="ONUMFS"/>
        <w:numPr>
          <w:ilvl w:val="0"/>
          <w:numId w:val="0"/>
        </w:numPr>
        <w:spacing w:after="0"/>
        <w:ind w:left="567"/>
      </w:pPr>
    </w:p>
    <w:p w:rsidR="002019D3" w:rsidRDefault="002019D3" w:rsidP="007204B5">
      <w:pPr>
        <w:pStyle w:val="Endofdocument-Annex"/>
        <w:ind w:left="0"/>
      </w:pPr>
    </w:p>
    <w:p w:rsidR="000C51E3" w:rsidRPr="00F86385" w:rsidRDefault="00937B99" w:rsidP="0053407C">
      <w:pPr>
        <w:pStyle w:val="Endofdocument-Annex"/>
      </w:pPr>
      <w:r>
        <w:t>[Конец приложения и документа]</w:t>
      </w:r>
    </w:p>
    <w:sectPr w:rsidR="000C51E3" w:rsidRPr="00F86385" w:rsidSect="00291A49">
      <w:headerReference w:type="default" r:id="rId12"/>
      <w:footerReference w:type="default" r:id="rId13"/>
      <w:headerReference w:type="first" r:id="rId14"/>
      <w:pgSz w:w="11907" w:h="16840" w:code="9"/>
      <w:pgMar w:top="567" w:right="1134" w:bottom="1418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A2" w:rsidRDefault="008D21A2">
      <w:r>
        <w:separator/>
      </w:r>
    </w:p>
  </w:endnote>
  <w:endnote w:type="continuationSeparator" w:id="0">
    <w:p w:rsidR="008D21A2" w:rsidRDefault="008D21A2" w:rsidP="003B38C1">
      <w:r>
        <w:separator/>
      </w:r>
    </w:p>
    <w:p w:rsidR="008D21A2" w:rsidRPr="00F16359" w:rsidRDefault="008D21A2" w:rsidP="003B38C1">
      <w:pPr>
        <w:spacing w:after="60"/>
        <w:rPr>
          <w:sz w:val="17"/>
          <w:lang w:val="en-US"/>
        </w:rPr>
      </w:pPr>
      <w:r w:rsidRPr="00F16359">
        <w:rPr>
          <w:sz w:val="17"/>
          <w:lang w:val="en-US"/>
        </w:rPr>
        <w:t>[Endnote continued from previous page]</w:t>
      </w:r>
    </w:p>
  </w:endnote>
  <w:endnote w:type="continuationNotice" w:id="1">
    <w:p w:rsidR="008D21A2" w:rsidRPr="00F16359" w:rsidRDefault="008D21A2" w:rsidP="003B38C1">
      <w:pPr>
        <w:spacing w:before="60"/>
        <w:jc w:val="right"/>
        <w:rPr>
          <w:sz w:val="17"/>
          <w:szCs w:val="17"/>
          <w:lang w:val="en-US"/>
        </w:rPr>
      </w:pPr>
      <w:r w:rsidRPr="00F16359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49" w:rsidRDefault="00291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A2" w:rsidRDefault="008D21A2">
      <w:r>
        <w:separator/>
      </w:r>
    </w:p>
  </w:footnote>
  <w:footnote w:type="continuationSeparator" w:id="0">
    <w:p w:rsidR="008D21A2" w:rsidRDefault="008D21A2" w:rsidP="008B60B2">
      <w:r>
        <w:separator/>
      </w:r>
    </w:p>
    <w:p w:rsidR="008D21A2" w:rsidRPr="00F16359" w:rsidRDefault="008D21A2" w:rsidP="008B60B2">
      <w:pPr>
        <w:spacing w:after="60"/>
        <w:rPr>
          <w:sz w:val="17"/>
          <w:szCs w:val="17"/>
          <w:lang w:val="en-US"/>
        </w:rPr>
      </w:pPr>
      <w:r w:rsidRPr="00F1635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8D21A2" w:rsidRPr="00F16359" w:rsidRDefault="008D21A2" w:rsidP="008B60B2">
      <w:pPr>
        <w:spacing w:before="60"/>
        <w:jc w:val="right"/>
        <w:rPr>
          <w:sz w:val="17"/>
          <w:szCs w:val="17"/>
          <w:lang w:val="en-US"/>
        </w:rPr>
      </w:pPr>
      <w:r w:rsidRPr="00F16359">
        <w:rPr>
          <w:sz w:val="17"/>
          <w:szCs w:val="17"/>
          <w:lang w:val="en-US"/>
        </w:rPr>
        <w:t>[Footnote continued on next page]</w:t>
      </w:r>
    </w:p>
  </w:footnote>
  <w:footnote w:id="2">
    <w:p w:rsidR="00AB6794" w:rsidRPr="00111B45" w:rsidRDefault="00AB6794" w:rsidP="00AB6794">
      <w:pPr>
        <w:pStyle w:val="FootnoteText"/>
      </w:pPr>
      <w:r>
        <w:rPr>
          <w:rStyle w:val="FootnoteReference"/>
        </w:rPr>
        <w:footnoteRef/>
      </w:r>
      <w:r>
        <w:t xml:space="preserve"> Как было отмечено выше, в настоящее время База данных содержит положения, взятые из документов, посвященных связанным с патентами гибким возможностям многосторонней нормативной базы и их реализации через законодательство на национальном и региональном уровнях, а именно CDIP/5/4, CDIP/7/3 Add., CDIP/13/10 Rev и CDIP/15/6.</w:t>
      </w:r>
    </w:p>
    <w:p w:rsidR="00AB6794" w:rsidRPr="00420C0A" w:rsidRDefault="00AB6794" w:rsidP="00AB679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8A" w:rsidRDefault="00344216" w:rsidP="00BA0CE1">
    <w:pPr>
      <w:pStyle w:val="Header"/>
      <w:jc w:val="right"/>
    </w:pPr>
    <w:r>
      <w:t>CDIP/18/5</w:t>
    </w:r>
  </w:p>
  <w:p w:rsidR="00117F8A" w:rsidRDefault="007423A2" w:rsidP="00BA0CE1">
    <w:pPr>
      <w:pStyle w:val="Header"/>
      <w:jc w:val="right"/>
    </w:pPr>
    <w:r>
      <w:t>Приложение, стр. X</w:t>
    </w:r>
  </w:p>
  <w:p w:rsidR="00117F8A" w:rsidRDefault="00117F8A" w:rsidP="00BA0CE1">
    <w:pPr>
      <w:pStyle w:val="Header"/>
      <w:jc w:val="right"/>
    </w:pPr>
  </w:p>
  <w:p w:rsidR="00117F8A" w:rsidRPr="00DD4C78" w:rsidRDefault="00117F8A" w:rsidP="00BA0CE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49" w:rsidRDefault="00291A49" w:rsidP="00BA0CE1">
    <w:pPr>
      <w:pStyle w:val="Header"/>
      <w:jc w:val="right"/>
    </w:pPr>
    <w:r>
      <w:t>CDIP/18/5</w:t>
    </w:r>
  </w:p>
  <w:p w:rsidR="00291A49" w:rsidRDefault="00291A49" w:rsidP="00291A49">
    <w:pPr>
      <w:pStyle w:val="Header"/>
      <w:jc w:val="right"/>
    </w:pPr>
    <w:r>
      <w:t>Приложение, стр.</w:t>
    </w:r>
    <w:r w:rsidRPr="00291A49">
      <w:fldChar w:fldCharType="begin"/>
    </w:r>
    <w:r w:rsidRPr="00291A49">
      <w:instrText xml:space="preserve"> PAGE   \* MERGEFORMAT </w:instrText>
    </w:r>
    <w:r w:rsidRPr="00291A49">
      <w:fldChar w:fldCharType="separate"/>
    </w:r>
    <w:r w:rsidR="00EB3561">
      <w:rPr>
        <w:noProof/>
      </w:rPr>
      <w:t>5</w:t>
    </w:r>
    <w:r w:rsidRPr="00291A49">
      <w:rPr>
        <w:noProof/>
      </w:rPr>
      <w:fldChar w:fldCharType="end"/>
    </w:r>
  </w:p>
  <w:p w:rsidR="00291A49" w:rsidRDefault="00291A49" w:rsidP="00BA0CE1">
    <w:pPr>
      <w:pStyle w:val="Header"/>
      <w:jc w:val="right"/>
    </w:pPr>
  </w:p>
  <w:p w:rsidR="00291A49" w:rsidRPr="00DD4C78" w:rsidRDefault="00291A49" w:rsidP="00BA0CE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49" w:rsidRDefault="00291A49" w:rsidP="00F975C5">
    <w:pPr>
      <w:pStyle w:val="Header"/>
      <w:jc w:val="right"/>
    </w:pPr>
    <w:r>
      <w:t>CDIP/18/5</w:t>
    </w:r>
  </w:p>
  <w:p w:rsidR="00291A49" w:rsidRDefault="00291A49" w:rsidP="00790748">
    <w:pPr>
      <w:pStyle w:val="Header"/>
      <w:jc w:val="right"/>
    </w:pPr>
    <w:r>
      <w:t>ПРИЛОЖЕНИЕ</w:t>
    </w:r>
  </w:p>
  <w:p w:rsidR="00291A49" w:rsidRDefault="00291A49" w:rsidP="00790748">
    <w:pPr>
      <w:pStyle w:val="Header"/>
      <w:jc w:val="right"/>
    </w:pPr>
  </w:p>
  <w:p w:rsidR="00291A49" w:rsidRDefault="00291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7592040E"/>
    <w:lvl w:ilvl="0">
      <w:start w:val="7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">
    <w:nsid w:val="10A53044"/>
    <w:multiLevelType w:val="hybridMultilevel"/>
    <w:tmpl w:val="9E0A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F7C82"/>
    <w:multiLevelType w:val="hybridMultilevel"/>
    <w:tmpl w:val="FA74DE98"/>
    <w:lvl w:ilvl="0" w:tplc="50CCF344">
      <w:start w:val="1"/>
      <w:numFmt w:val="lowerRoman"/>
      <w:lvlText w:val="%1)"/>
      <w:lvlJc w:val="left"/>
      <w:pPr>
        <w:ind w:left="1884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565F2B"/>
    <w:multiLevelType w:val="hybridMultilevel"/>
    <w:tmpl w:val="76F62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130A3"/>
    <w:multiLevelType w:val="multilevel"/>
    <w:tmpl w:val="8AF6648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>
    <w:nsid w:val="29DC076F"/>
    <w:multiLevelType w:val="hybridMultilevel"/>
    <w:tmpl w:val="0458D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6B56D3"/>
    <w:multiLevelType w:val="hybridMultilevel"/>
    <w:tmpl w:val="4426D0C0"/>
    <w:lvl w:ilvl="0" w:tplc="CB5E8BE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209B4"/>
    <w:multiLevelType w:val="multilevel"/>
    <w:tmpl w:val="03C043D6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3E2A241F"/>
    <w:multiLevelType w:val="hybridMultilevel"/>
    <w:tmpl w:val="DD0CA400"/>
    <w:lvl w:ilvl="0" w:tplc="2E8C2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80362F"/>
    <w:multiLevelType w:val="hybridMultilevel"/>
    <w:tmpl w:val="B418B46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8C0729"/>
    <w:multiLevelType w:val="hybridMultilevel"/>
    <w:tmpl w:val="BD5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930DE"/>
    <w:multiLevelType w:val="hybridMultilevel"/>
    <w:tmpl w:val="08FC0712"/>
    <w:lvl w:ilvl="0" w:tplc="A60CAD6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42A84"/>
    <w:multiLevelType w:val="multilevel"/>
    <w:tmpl w:val="03C043D6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3B2135"/>
    <w:multiLevelType w:val="hybridMultilevel"/>
    <w:tmpl w:val="C7301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7970EE"/>
    <w:multiLevelType w:val="hybridMultilevel"/>
    <w:tmpl w:val="65B2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24EB4"/>
    <w:multiLevelType w:val="hybridMultilevel"/>
    <w:tmpl w:val="D61EBE5A"/>
    <w:lvl w:ilvl="0" w:tplc="B89845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9810FB"/>
    <w:multiLevelType w:val="hybridMultilevel"/>
    <w:tmpl w:val="4E348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C75C93"/>
    <w:multiLevelType w:val="hybridMultilevel"/>
    <w:tmpl w:val="5FBC18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1">
    <w:nsid w:val="6C7A60F5"/>
    <w:multiLevelType w:val="hybridMultilevel"/>
    <w:tmpl w:val="261EB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83CE9"/>
    <w:multiLevelType w:val="multilevel"/>
    <w:tmpl w:val="7542046C"/>
    <w:lvl w:ilvl="0">
      <w:start w:val="1"/>
      <w:numFmt w:val="lowerRoman"/>
      <w:lvlRestart w:val="0"/>
      <w:lvlText w:val="(%1)"/>
      <w:lvlJc w:val="left"/>
      <w:pPr>
        <w:tabs>
          <w:tab w:val="num" w:pos="1134"/>
        </w:tabs>
        <w:ind w:left="1134" w:firstLine="0"/>
      </w:pPr>
      <w:rPr>
        <w:rFonts w:ascii="Arial" w:eastAsia="SimSun" w:hAnsi="Arial" w:cs="Arial" w:hint="default"/>
        <w:color w:val="auto"/>
      </w:rPr>
    </w:lvl>
    <w:lvl w:ilvl="1">
      <w:start w:val="1"/>
      <w:numFmt w:val="lowerRoman"/>
      <w:lvlText w:val="(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23">
    <w:nsid w:val="73DD2976"/>
    <w:multiLevelType w:val="hybridMultilevel"/>
    <w:tmpl w:val="AECA0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21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2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1"/>
  </w:num>
  <w:num w:numId="18">
    <w:abstractNumId w:val="0"/>
  </w:num>
  <w:num w:numId="19">
    <w:abstractNumId w:val="0"/>
  </w:num>
  <w:num w:numId="20">
    <w:abstractNumId w:val="2"/>
  </w:num>
  <w:num w:numId="21">
    <w:abstractNumId w:val="0"/>
  </w:num>
  <w:num w:numId="22">
    <w:abstractNumId w:val="0"/>
  </w:num>
  <w:num w:numId="23">
    <w:abstractNumId w:val="22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9"/>
  </w:num>
  <w:num w:numId="30">
    <w:abstractNumId w:val="0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8"/>
  </w:num>
  <w:num w:numId="36">
    <w:abstractNumId w:val="15"/>
  </w:num>
  <w:num w:numId="37">
    <w:abstractNumId w:val="3"/>
  </w:num>
  <w:num w:numId="38">
    <w:abstractNumId w:val="19"/>
  </w:num>
  <w:num w:numId="39">
    <w:abstractNumId w:val="13"/>
  </w:num>
  <w:num w:numId="40">
    <w:abstractNumId w:val="24"/>
  </w:num>
  <w:num w:numId="41">
    <w:abstractNumId w:val="20"/>
  </w:num>
  <w:num w:numId="4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61"/>
    <w:rsid w:val="00003627"/>
    <w:rsid w:val="00003BE6"/>
    <w:rsid w:val="00004F6A"/>
    <w:rsid w:val="00010A81"/>
    <w:rsid w:val="00011F41"/>
    <w:rsid w:val="00016741"/>
    <w:rsid w:val="000179B2"/>
    <w:rsid w:val="00027C1B"/>
    <w:rsid w:val="00035C6E"/>
    <w:rsid w:val="00035DDA"/>
    <w:rsid w:val="000366EA"/>
    <w:rsid w:val="0004361E"/>
    <w:rsid w:val="00043CAA"/>
    <w:rsid w:val="00045F9F"/>
    <w:rsid w:val="00046235"/>
    <w:rsid w:val="00051F65"/>
    <w:rsid w:val="00052D3F"/>
    <w:rsid w:val="00055D8B"/>
    <w:rsid w:val="00061712"/>
    <w:rsid w:val="000630BF"/>
    <w:rsid w:val="00067EB7"/>
    <w:rsid w:val="0007477A"/>
    <w:rsid w:val="00075432"/>
    <w:rsid w:val="00077885"/>
    <w:rsid w:val="000835E5"/>
    <w:rsid w:val="00090291"/>
    <w:rsid w:val="00092EEA"/>
    <w:rsid w:val="00094EE8"/>
    <w:rsid w:val="000968ED"/>
    <w:rsid w:val="000A0DE2"/>
    <w:rsid w:val="000A2ABC"/>
    <w:rsid w:val="000A7840"/>
    <w:rsid w:val="000B0626"/>
    <w:rsid w:val="000B2AD3"/>
    <w:rsid w:val="000C3CE8"/>
    <w:rsid w:val="000C511C"/>
    <w:rsid w:val="000C51E3"/>
    <w:rsid w:val="000C68D2"/>
    <w:rsid w:val="000D20BA"/>
    <w:rsid w:val="000D23C2"/>
    <w:rsid w:val="000D7C2F"/>
    <w:rsid w:val="000D7F01"/>
    <w:rsid w:val="000E001A"/>
    <w:rsid w:val="000E0813"/>
    <w:rsid w:val="000E2879"/>
    <w:rsid w:val="000E554A"/>
    <w:rsid w:val="000E6CBC"/>
    <w:rsid w:val="000F45DD"/>
    <w:rsid w:val="000F4927"/>
    <w:rsid w:val="000F5E56"/>
    <w:rsid w:val="001000E6"/>
    <w:rsid w:val="00111B45"/>
    <w:rsid w:val="00116436"/>
    <w:rsid w:val="00117F8A"/>
    <w:rsid w:val="001223C8"/>
    <w:rsid w:val="00122517"/>
    <w:rsid w:val="00123099"/>
    <w:rsid w:val="0012610D"/>
    <w:rsid w:val="001320D5"/>
    <w:rsid w:val="001362EE"/>
    <w:rsid w:val="00152195"/>
    <w:rsid w:val="00155C06"/>
    <w:rsid w:val="00165216"/>
    <w:rsid w:val="001746A6"/>
    <w:rsid w:val="001755E3"/>
    <w:rsid w:val="001832A6"/>
    <w:rsid w:val="00191A29"/>
    <w:rsid w:val="0019236A"/>
    <w:rsid w:val="001A1822"/>
    <w:rsid w:val="001A3236"/>
    <w:rsid w:val="001C0A44"/>
    <w:rsid w:val="001C0CA0"/>
    <w:rsid w:val="001C10DE"/>
    <w:rsid w:val="001C3683"/>
    <w:rsid w:val="001C44B1"/>
    <w:rsid w:val="001C5579"/>
    <w:rsid w:val="001D0517"/>
    <w:rsid w:val="001E255A"/>
    <w:rsid w:val="001E3C7A"/>
    <w:rsid w:val="001F1E46"/>
    <w:rsid w:val="001F2782"/>
    <w:rsid w:val="002019D3"/>
    <w:rsid w:val="00207A08"/>
    <w:rsid w:val="00207AC8"/>
    <w:rsid w:val="00207AE6"/>
    <w:rsid w:val="002207E1"/>
    <w:rsid w:val="00222FB1"/>
    <w:rsid w:val="00226EEE"/>
    <w:rsid w:val="002353DB"/>
    <w:rsid w:val="002419ED"/>
    <w:rsid w:val="002444DB"/>
    <w:rsid w:val="0025304C"/>
    <w:rsid w:val="0026101E"/>
    <w:rsid w:val="0026227E"/>
    <w:rsid w:val="002634C4"/>
    <w:rsid w:val="002679A5"/>
    <w:rsid w:val="00273B43"/>
    <w:rsid w:val="00274A02"/>
    <w:rsid w:val="0027556F"/>
    <w:rsid w:val="00275B59"/>
    <w:rsid w:val="00275C5C"/>
    <w:rsid w:val="00282572"/>
    <w:rsid w:val="00283E6B"/>
    <w:rsid w:val="00284DFA"/>
    <w:rsid w:val="00291A49"/>
    <w:rsid w:val="002928D3"/>
    <w:rsid w:val="00292A49"/>
    <w:rsid w:val="002A2FF8"/>
    <w:rsid w:val="002B2297"/>
    <w:rsid w:val="002B4E42"/>
    <w:rsid w:val="002C263F"/>
    <w:rsid w:val="002C2C9C"/>
    <w:rsid w:val="002D236D"/>
    <w:rsid w:val="002E1C0A"/>
    <w:rsid w:val="002E2787"/>
    <w:rsid w:val="002E2F01"/>
    <w:rsid w:val="002E591E"/>
    <w:rsid w:val="002F1AFB"/>
    <w:rsid w:val="002F1FE6"/>
    <w:rsid w:val="002F2E47"/>
    <w:rsid w:val="002F4E68"/>
    <w:rsid w:val="002F772F"/>
    <w:rsid w:val="00304E10"/>
    <w:rsid w:val="00307B7B"/>
    <w:rsid w:val="003106AA"/>
    <w:rsid w:val="003112CE"/>
    <w:rsid w:val="00312F7F"/>
    <w:rsid w:val="00314672"/>
    <w:rsid w:val="00314764"/>
    <w:rsid w:val="00314DFF"/>
    <w:rsid w:val="003154F3"/>
    <w:rsid w:val="00317A35"/>
    <w:rsid w:val="00320831"/>
    <w:rsid w:val="00320BA4"/>
    <w:rsid w:val="00322772"/>
    <w:rsid w:val="00324388"/>
    <w:rsid w:val="00324E38"/>
    <w:rsid w:val="00331BEE"/>
    <w:rsid w:val="003329C1"/>
    <w:rsid w:val="00337076"/>
    <w:rsid w:val="00340AF9"/>
    <w:rsid w:val="00340E6D"/>
    <w:rsid w:val="00344216"/>
    <w:rsid w:val="00353310"/>
    <w:rsid w:val="0035396C"/>
    <w:rsid w:val="00353C48"/>
    <w:rsid w:val="00354EC2"/>
    <w:rsid w:val="00356E98"/>
    <w:rsid w:val="00360E3D"/>
    <w:rsid w:val="00361450"/>
    <w:rsid w:val="00362E2C"/>
    <w:rsid w:val="0036302B"/>
    <w:rsid w:val="003635AF"/>
    <w:rsid w:val="00364C15"/>
    <w:rsid w:val="003673CF"/>
    <w:rsid w:val="00372449"/>
    <w:rsid w:val="003769D7"/>
    <w:rsid w:val="003837AE"/>
    <w:rsid w:val="003845C1"/>
    <w:rsid w:val="00385D93"/>
    <w:rsid w:val="003875F6"/>
    <w:rsid w:val="00394C94"/>
    <w:rsid w:val="003A0D96"/>
    <w:rsid w:val="003A253B"/>
    <w:rsid w:val="003A5543"/>
    <w:rsid w:val="003A6F89"/>
    <w:rsid w:val="003B0B71"/>
    <w:rsid w:val="003B38C1"/>
    <w:rsid w:val="003C06C1"/>
    <w:rsid w:val="003C0AD1"/>
    <w:rsid w:val="003C0F85"/>
    <w:rsid w:val="003C3E71"/>
    <w:rsid w:val="003C5725"/>
    <w:rsid w:val="003D0A94"/>
    <w:rsid w:val="003D606B"/>
    <w:rsid w:val="003D6138"/>
    <w:rsid w:val="003D67A2"/>
    <w:rsid w:val="003D79D9"/>
    <w:rsid w:val="003E350C"/>
    <w:rsid w:val="003F2159"/>
    <w:rsid w:val="003F5B3E"/>
    <w:rsid w:val="0040350C"/>
    <w:rsid w:val="00406CDE"/>
    <w:rsid w:val="00410A3B"/>
    <w:rsid w:val="00412717"/>
    <w:rsid w:val="00420183"/>
    <w:rsid w:val="00420C0A"/>
    <w:rsid w:val="00420D52"/>
    <w:rsid w:val="00420DE1"/>
    <w:rsid w:val="00423E3E"/>
    <w:rsid w:val="00425C7C"/>
    <w:rsid w:val="00427AF4"/>
    <w:rsid w:val="00427DAE"/>
    <w:rsid w:val="00431F89"/>
    <w:rsid w:val="00433582"/>
    <w:rsid w:val="004345D5"/>
    <w:rsid w:val="00441BF3"/>
    <w:rsid w:val="004557A8"/>
    <w:rsid w:val="00455C6D"/>
    <w:rsid w:val="00457C76"/>
    <w:rsid w:val="00463A28"/>
    <w:rsid w:val="004647DA"/>
    <w:rsid w:val="00474062"/>
    <w:rsid w:val="00477D6B"/>
    <w:rsid w:val="004823F6"/>
    <w:rsid w:val="004851D2"/>
    <w:rsid w:val="00492127"/>
    <w:rsid w:val="0049620F"/>
    <w:rsid w:val="00496D2F"/>
    <w:rsid w:val="004B6F61"/>
    <w:rsid w:val="004C1D02"/>
    <w:rsid w:val="004D1FF3"/>
    <w:rsid w:val="004D60B2"/>
    <w:rsid w:val="004E2FA3"/>
    <w:rsid w:val="004E3036"/>
    <w:rsid w:val="004E339B"/>
    <w:rsid w:val="004E5A16"/>
    <w:rsid w:val="004E6B66"/>
    <w:rsid w:val="004F232F"/>
    <w:rsid w:val="004F2FA7"/>
    <w:rsid w:val="004F54D9"/>
    <w:rsid w:val="005019FF"/>
    <w:rsid w:val="00507532"/>
    <w:rsid w:val="00514ABF"/>
    <w:rsid w:val="00520C62"/>
    <w:rsid w:val="00522009"/>
    <w:rsid w:val="00524FCE"/>
    <w:rsid w:val="00526F4B"/>
    <w:rsid w:val="0053057A"/>
    <w:rsid w:val="00530E4E"/>
    <w:rsid w:val="005318E2"/>
    <w:rsid w:val="0053407C"/>
    <w:rsid w:val="00543C2F"/>
    <w:rsid w:val="005456BF"/>
    <w:rsid w:val="00546151"/>
    <w:rsid w:val="00550AC3"/>
    <w:rsid w:val="00550AEE"/>
    <w:rsid w:val="00552572"/>
    <w:rsid w:val="00560A29"/>
    <w:rsid w:val="00564EEE"/>
    <w:rsid w:val="005771DF"/>
    <w:rsid w:val="00580E86"/>
    <w:rsid w:val="00595516"/>
    <w:rsid w:val="005A0DF4"/>
    <w:rsid w:val="005A19ED"/>
    <w:rsid w:val="005A4679"/>
    <w:rsid w:val="005A4946"/>
    <w:rsid w:val="005B2639"/>
    <w:rsid w:val="005B2C59"/>
    <w:rsid w:val="005B42EE"/>
    <w:rsid w:val="005C6649"/>
    <w:rsid w:val="005D54C3"/>
    <w:rsid w:val="005D65B9"/>
    <w:rsid w:val="005E0C34"/>
    <w:rsid w:val="005E3F12"/>
    <w:rsid w:val="005E4AE2"/>
    <w:rsid w:val="005E4D4F"/>
    <w:rsid w:val="005E5F50"/>
    <w:rsid w:val="005F33A1"/>
    <w:rsid w:val="005F4794"/>
    <w:rsid w:val="00603C41"/>
    <w:rsid w:val="00605827"/>
    <w:rsid w:val="0061439B"/>
    <w:rsid w:val="006155D1"/>
    <w:rsid w:val="006258FC"/>
    <w:rsid w:val="0063096E"/>
    <w:rsid w:val="0063142C"/>
    <w:rsid w:val="006402CE"/>
    <w:rsid w:val="0064332F"/>
    <w:rsid w:val="00646050"/>
    <w:rsid w:val="006524CF"/>
    <w:rsid w:val="006534E9"/>
    <w:rsid w:val="00663023"/>
    <w:rsid w:val="0066643E"/>
    <w:rsid w:val="006713CA"/>
    <w:rsid w:val="00675CFC"/>
    <w:rsid w:val="0067644E"/>
    <w:rsid w:val="00676644"/>
    <w:rsid w:val="00676C5C"/>
    <w:rsid w:val="0068452E"/>
    <w:rsid w:val="00690085"/>
    <w:rsid w:val="00693BCA"/>
    <w:rsid w:val="0069493A"/>
    <w:rsid w:val="006A10BE"/>
    <w:rsid w:val="006A7ADC"/>
    <w:rsid w:val="006B0378"/>
    <w:rsid w:val="006B6D7D"/>
    <w:rsid w:val="006C56AB"/>
    <w:rsid w:val="006D4DC9"/>
    <w:rsid w:val="006E407E"/>
    <w:rsid w:val="006E4A37"/>
    <w:rsid w:val="006F029F"/>
    <w:rsid w:val="006F16D0"/>
    <w:rsid w:val="0070070D"/>
    <w:rsid w:val="0070151F"/>
    <w:rsid w:val="00712292"/>
    <w:rsid w:val="00712679"/>
    <w:rsid w:val="007127C2"/>
    <w:rsid w:val="007204B5"/>
    <w:rsid w:val="00721303"/>
    <w:rsid w:val="00723020"/>
    <w:rsid w:val="00727563"/>
    <w:rsid w:val="0073082A"/>
    <w:rsid w:val="007315FF"/>
    <w:rsid w:val="007341D0"/>
    <w:rsid w:val="00736EF3"/>
    <w:rsid w:val="00741BA7"/>
    <w:rsid w:val="007423A2"/>
    <w:rsid w:val="007452F1"/>
    <w:rsid w:val="00746C6D"/>
    <w:rsid w:val="007525B2"/>
    <w:rsid w:val="0075338C"/>
    <w:rsid w:val="00761A95"/>
    <w:rsid w:val="0076218A"/>
    <w:rsid w:val="00764174"/>
    <w:rsid w:val="0077259B"/>
    <w:rsid w:val="00774B99"/>
    <w:rsid w:val="00775162"/>
    <w:rsid w:val="00775190"/>
    <w:rsid w:val="007764D0"/>
    <w:rsid w:val="007878BF"/>
    <w:rsid w:val="00790748"/>
    <w:rsid w:val="007948AB"/>
    <w:rsid w:val="00795449"/>
    <w:rsid w:val="007A182C"/>
    <w:rsid w:val="007A48BB"/>
    <w:rsid w:val="007B0A0A"/>
    <w:rsid w:val="007B19B7"/>
    <w:rsid w:val="007B45D6"/>
    <w:rsid w:val="007B5F9A"/>
    <w:rsid w:val="007B6D74"/>
    <w:rsid w:val="007C5846"/>
    <w:rsid w:val="007C6BFC"/>
    <w:rsid w:val="007D0D0C"/>
    <w:rsid w:val="007D1613"/>
    <w:rsid w:val="007D3F1A"/>
    <w:rsid w:val="007F11AC"/>
    <w:rsid w:val="007F4932"/>
    <w:rsid w:val="007F72A9"/>
    <w:rsid w:val="00802964"/>
    <w:rsid w:val="008146CB"/>
    <w:rsid w:val="00823713"/>
    <w:rsid w:val="00827F61"/>
    <w:rsid w:val="00830524"/>
    <w:rsid w:val="0083798A"/>
    <w:rsid w:val="00842E77"/>
    <w:rsid w:val="00847320"/>
    <w:rsid w:val="00850633"/>
    <w:rsid w:val="00850915"/>
    <w:rsid w:val="008550B5"/>
    <w:rsid w:val="00867249"/>
    <w:rsid w:val="00873BE9"/>
    <w:rsid w:val="00874699"/>
    <w:rsid w:val="00875B16"/>
    <w:rsid w:val="00890F74"/>
    <w:rsid w:val="0089640E"/>
    <w:rsid w:val="008A195F"/>
    <w:rsid w:val="008A43CE"/>
    <w:rsid w:val="008A64B1"/>
    <w:rsid w:val="008B2CC1"/>
    <w:rsid w:val="008B3863"/>
    <w:rsid w:val="008B60B2"/>
    <w:rsid w:val="008C0498"/>
    <w:rsid w:val="008C57E2"/>
    <w:rsid w:val="008D0634"/>
    <w:rsid w:val="008D21A2"/>
    <w:rsid w:val="008D43AF"/>
    <w:rsid w:val="008E2DBE"/>
    <w:rsid w:val="008E415C"/>
    <w:rsid w:val="008F34EA"/>
    <w:rsid w:val="008F4EA9"/>
    <w:rsid w:val="009011D9"/>
    <w:rsid w:val="00903FDA"/>
    <w:rsid w:val="0090731E"/>
    <w:rsid w:val="00916EE2"/>
    <w:rsid w:val="00920B26"/>
    <w:rsid w:val="00923EA1"/>
    <w:rsid w:val="00932704"/>
    <w:rsid w:val="00937ACE"/>
    <w:rsid w:val="00937B99"/>
    <w:rsid w:val="009435B1"/>
    <w:rsid w:val="009458A4"/>
    <w:rsid w:val="00950414"/>
    <w:rsid w:val="00952DBB"/>
    <w:rsid w:val="0095678B"/>
    <w:rsid w:val="009570F9"/>
    <w:rsid w:val="0096181D"/>
    <w:rsid w:val="00966A22"/>
    <w:rsid w:val="0096722F"/>
    <w:rsid w:val="00970C28"/>
    <w:rsid w:val="00972A22"/>
    <w:rsid w:val="00975D09"/>
    <w:rsid w:val="00976EB0"/>
    <w:rsid w:val="00977BB9"/>
    <w:rsid w:val="00980843"/>
    <w:rsid w:val="0098507A"/>
    <w:rsid w:val="0099343F"/>
    <w:rsid w:val="0099358E"/>
    <w:rsid w:val="00993B8A"/>
    <w:rsid w:val="009A5468"/>
    <w:rsid w:val="009B129F"/>
    <w:rsid w:val="009B1D2B"/>
    <w:rsid w:val="009B749B"/>
    <w:rsid w:val="009C00C2"/>
    <w:rsid w:val="009D2738"/>
    <w:rsid w:val="009D47F8"/>
    <w:rsid w:val="009E2791"/>
    <w:rsid w:val="009E289D"/>
    <w:rsid w:val="009E3F6F"/>
    <w:rsid w:val="009F2975"/>
    <w:rsid w:val="009F499F"/>
    <w:rsid w:val="009F6187"/>
    <w:rsid w:val="009F6D44"/>
    <w:rsid w:val="009F7616"/>
    <w:rsid w:val="00A00234"/>
    <w:rsid w:val="00A110A4"/>
    <w:rsid w:val="00A11B38"/>
    <w:rsid w:val="00A12CD0"/>
    <w:rsid w:val="00A14814"/>
    <w:rsid w:val="00A17E51"/>
    <w:rsid w:val="00A252A7"/>
    <w:rsid w:val="00A26BFB"/>
    <w:rsid w:val="00A3541E"/>
    <w:rsid w:val="00A37E3D"/>
    <w:rsid w:val="00A42DAF"/>
    <w:rsid w:val="00A45BD8"/>
    <w:rsid w:val="00A5124A"/>
    <w:rsid w:val="00A51634"/>
    <w:rsid w:val="00A61F0D"/>
    <w:rsid w:val="00A64259"/>
    <w:rsid w:val="00A750A0"/>
    <w:rsid w:val="00A869B7"/>
    <w:rsid w:val="00A87281"/>
    <w:rsid w:val="00A87E0B"/>
    <w:rsid w:val="00A92914"/>
    <w:rsid w:val="00AA157D"/>
    <w:rsid w:val="00AA7931"/>
    <w:rsid w:val="00AB6794"/>
    <w:rsid w:val="00AC0C8D"/>
    <w:rsid w:val="00AC205C"/>
    <w:rsid w:val="00AC230E"/>
    <w:rsid w:val="00AC2D65"/>
    <w:rsid w:val="00AC3336"/>
    <w:rsid w:val="00AC4C9E"/>
    <w:rsid w:val="00AC6ADD"/>
    <w:rsid w:val="00AD1DB6"/>
    <w:rsid w:val="00AE5CAE"/>
    <w:rsid w:val="00AE5DB2"/>
    <w:rsid w:val="00AE61A1"/>
    <w:rsid w:val="00AE7216"/>
    <w:rsid w:val="00AF0A6B"/>
    <w:rsid w:val="00AF6EF2"/>
    <w:rsid w:val="00B040FB"/>
    <w:rsid w:val="00B044DA"/>
    <w:rsid w:val="00B05A69"/>
    <w:rsid w:val="00B07E1E"/>
    <w:rsid w:val="00B10C5F"/>
    <w:rsid w:val="00B134DA"/>
    <w:rsid w:val="00B13B6A"/>
    <w:rsid w:val="00B14E25"/>
    <w:rsid w:val="00B15B66"/>
    <w:rsid w:val="00B22A73"/>
    <w:rsid w:val="00B2489D"/>
    <w:rsid w:val="00B27781"/>
    <w:rsid w:val="00B33173"/>
    <w:rsid w:val="00B350D2"/>
    <w:rsid w:val="00B36CB7"/>
    <w:rsid w:val="00B47BBC"/>
    <w:rsid w:val="00B55DE0"/>
    <w:rsid w:val="00B568B8"/>
    <w:rsid w:val="00B57FA2"/>
    <w:rsid w:val="00B613F1"/>
    <w:rsid w:val="00B660CE"/>
    <w:rsid w:val="00B67BB0"/>
    <w:rsid w:val="00B72F70"/>
    <w:rsid w:val="00B80EFF"/>
    <w:rsid w:val="00B90F55"/>
    <w:rsid w:val="00B91486"/>
    <w:rsid w:val="00B9734B"/>
    <w:rsid w:val="00BA0CE1"/>
    <w:rsid w:val="00BA29A5"/>
    <w:rsid w:val="00BA2BCF"/>
    <w:rsid w:val="00BA6B82"/>
    <w:rsid w:val="00BB231F"/>
    <w:rsid w:val="00BB3B69"/>
    <w:rsid w:val="00BB4B28"/>
    <w:rsid w:val="00BC40C6"/>
    <w:rsid w:val="00BD1E5B"/>
    <w:rsid w:val="00BD7C64"/>
    <w:rsid w:val="00BE7815"/>
    <w:rsid w:val="00BF01B3"/>
    <w:rsid w:val="00BF0412"/>
    <w:rsid w:val="00BF2121"/>
    <w:rsid w:val="00BF3E47"/>
    <w:rsid w:val="00C11BFE"/>
    <w:rsid w:val="00C1324E"/>
    <w:rsid w:val="00C13343"/>
    <w:rsid w:val="00C16C4E"/>
    <w:rsid w:val="00C17A92"/>
    <w:rsid w:val="00C17E16"/>
    <w:rsid w:val="00C275C1"/>
    <w:rsid w:val="00C41ED5"/>
    <w:rsid w:val="00C43C38"/>
    <w:rsid w:val="00C45A0C"/>
    <w:rsid w:val="00C45A59"/>
    <w:rsid w:val="00C464E8"/>
    <w:rsid w:val="00C51A77"/>
    <w:rsid w:val="00C533B3"/>
    <w:rsid w:val="00C54239"/>
    <w:rsid w:val="00C54D2A"/>
    <w:rsid w:val="00C55F0F"/>
    <w:rsid w:val="00C575C2"/>
    <w:rsid w:val="00C57E27"/>
    <w:rsid w:val="00C62638"/>
    <w:rsid w:val="00C65E31"/>
    <w:rsid w:val="00C66005"/>
    <w:rsid w:val="00C6648C"/>
    <w:rsid w:val="00C666D1"/>
    <w:rsid w:val="00C70B0A"/>
    <w:rsid w:val="00C70EE3"/>
    <w:rsid w:val="00C719B6"/>
    <w:rsid w:val="00C71CA2"/>
    <w:rsid w:val="00C7433A"/>
    <w:rsid w:val="00C74470"/>
    <w:rsid w:val="00C755D1"/>
    <w:rsid w:val="00C75A8F"/>
    <w:rsid w:val="00C77A76"/>
    <w:rsid w:val="00C86837"/>
    <w:rsid w:val="00C92786"/>
    <w:rsid w:val="00C9356A"/>
    <w:rsid w:val="00CB109A"/>
    <w:rsid w:val="00CB50DD"/>
    <w:rsid w:val="00CB6639"/>
    <w:rsid w:val="00CC054D"/>
    <w:rsid w:val="00CD3A08"/>
    <w:rsid w:val="00CE18E5"/>
    <w:rsid w:val="00CE482F"/>
    <w:rsid w:val="00CE7CC2"/>
    <w:rsid w:val="00CF4D29"/>
    <w:rsid w:val="00CF4EEB"/>
    <w:rsid w:val="00D049FE"/>
    <w:rsid w:val="00D102E1"/>
    <w:rsid w:val="00D152C5"/>
    <w:rsid w:val="00D1631B"/>
    <w:rsid w:val="00D16BBC"/>
    <w:rsid w:val="00D17EA9"/>
    <w:rsid w:val="00D272AC"/>
    <w:rsid w:val="00D3016B"/>
    <w:rsid w:val="00D30528"/>
    <w:rsid w:val="00D32D41"/>
    <w:rsid w:val="00D43440"/>
    <w:rsid w:val="00D44C50"/>
    <w:rsid w:val="00D44F59"/>
    <w:rsid w:val="00D45252"/>
    <w:rsid w:val="00D47363"/>
    <w:rsid w:val="00D602A1"/>
    <w:rsid w:val="00D63FF2"/>
    <w:rsid w:val="00D71B4D"/>
    <w:rsid w:val="00D72D4E"/>
    <w:rsid w:val="00D74AE7"/>
    <w:rsid w:val="00D76CA6"/>
    <w:rsid w:val="00D802F9"/>
    <w:rsid w:val="00D83368"/>
    <w:rsid w:val="00D844B3"/>
    <w:rsid w:val="00D938E3"/>
    <w:rsid w:val="00D93D55"/>
    <w:rsid w:val="00D93D7E"/>
    <w:rsid w:val="00DB09F3"/>
    <w:rsid w:val="00DB1A01"/>
    <w:rsid w:val="00DC2B36"/>
    <w:rsid w:val="00DE005B"/>
    <w:rsid w:val="00DE7200"/>
    <w:rsid w:val="00E05113"/>
    <w:rsid w:val="00E05830"/>
    <w:rsid w:val="00E271B0"/>
    <w:rsid w:val="00E3092A"/>
    <w:rsid w:val="00E335FE"/>
    <w:rsid w:val="00E33FA7"/>
    <w:rsid w:val="00E41A38"/>
    <w:rsid w:val="00E448CB"/>
    <w:rsid w:val="00E45FD6"/>
    <w:rsid w:val="00E53C0A"/>
    <w:rsid w:val="00E60C64"/>
    <w:rsid w:val="00E7177D"/>
    <w:rsid w:val="00E73F94"/>
    <w:rsid w:val="00E754DB"/>
    <w:rsid w:val="00E8102E"/>
    <w:rsid w:val="00E84B25"/>
    <w:rsid w:val="00E95A6E"/>
    <w:rsid w:val="00E96ADE"/>
    <w:rsid w:val="00E9742B"/>
    <w:rsid w:val="00EA06F5"/>
    <w:rsid w:val="00EA75DE"/>
    <w:rsid w:val="00EB0A62"/>
    <w:rsid w:val="00EB0D05"/>
    <w:rsid w:val="00EB3561"/>
    <w:rsid w:val="00EB44A3"/>
    <w:rsid w:val="00EB7312"/>
    <w:rsid w:val="00EB7472"/>
    <w:rsid w:val="00EC0298"/>
    <w:rsid w:val="00EC4937"/>
    <w:rsid w:val="00EC4E49"/>
    <w:rsid w:val="00EC746E"/>
    <w:rsid w:val="00EC7C07"/>
    <w:rsid w:val="00ED1E87"/>
    <w:rsid w:val="00ED525F"/>
    <w:rsid w:val="00ED77FB"/>
    <w:rsid w:val="00ED7E09"/>
    <w:rsid w:val="00EE0566"/>
    <w:rsid w:val="00EE45FA"/>
    <w:rsid w:val="00EE7CD8"/>
    <w:rsid w:val="00EF736E"/>
    <w:rsid w:val="00F0123F"/>
    <w:rsid w:val="00F02B8D"/>
    <w:rsid w:val="00F0322A"/>
    <w:rsid w:val="00F0466A"/>
    <w:rsid w:val="00F12FD4"/>
    <w:rsid w:val="00F16359"/>
    <w:rsid w:val="00F17777"/>
    <w:rsid w:val="00F264F3"/>
    <w:rsid w:val="00F277BE"/>
    <w:rsid w:val="00F512F7"/>
    <w:rsid w:val="00F522CA"/>
    <w:rsid w:val="00F53802"/>
    <w:rsid w:val="00F54B81"/>
    <w:rsid w:val="00F55542"/>
    <w:rsid w:val="00F63A34"/>
    <w:rsid w:val="00F66152"/>
    <w:rsid w:val="00F72E06"/>
    <w:rsid w:val="00F74A9F"/>
    <w:rsid w:val="00F83BAB"/>
    <w:rsid w:val="00F86385"/>
    <w:rsid w:val="00F87165"/>
    <w:rsid w:val="00F9013D"/>
    <w:rsid w:val="00F91646"/>
    <w:rsid w:val="00F92124"/>
    <w:rsid w:val="00F948D6"/>
    <w:rsid w:val="00F95772"/>
    <w:rsid w:val="00F975C5"/>
    <w:rsid w:val="00FB27BC"/>
    <w:rsid w:val="00FC2BB7"/>
    <w:rsid w:val="00FC60DF"/>
    <w:rsid w:val="00FD1B11"/>
    <w:rsid w:val="00FD625B"/>
    <w:rsid w:val="00FD6C91"/>
    <w:rsid w:val="00FE25FA"/>
    <w:rsid w:val="00FE68AB"/>
    <w:rsid w:val="00FF246F"/>
    <w:rsid w:val="00FF3AD0"/>
    <w:rsid w:val="00FF653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5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15"/>
      </w:numPr>
      <w:tabs>
        <w:tab w:val="clear" w:pos="567"/>
        <w:tab w:val="num" w:pos="1134"/>
      </w:tabs>
      <w:ind w:left="567"/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2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F61"/>
    <w:rPr>
      <w:rFonts w:ascii="Tahoma" w:eastAsia="SimSun" w:hAnsi="Tahoma" w:cs="Tahoma"/>
      <w:sz w:val="16"/>
      <w:szCs w:val="16"/>
      <w:lang w:eastAsia="ru-RU"/>
    </w:rPr>
  </w:style>
  <w:style w:type="character" w:customStyle="1" w:styleId="Endofdocument-AnnexChar">
    <w:name w:val="[End of document - Annex] Char"/>
    <w:link w:val="Endofdocument-Annex"/>
    <w:rsid w:val="00827F61"/>
    <w:rPr>
      <w:rFonts w:ascii="Arial" w:eastAsia="SimSun" w:hAnsi="Arial" w:cs="Arial"/>
      <w:sz w:val="22"/>
      <w:lang w:eastAsia="ru-RU"/>
    </w:rPr>
  </w:style>
  <w:style w:type="character" w:customStyle="1" w:styleId="FootnoteTextChar">
    <w:name w:val="Footnote Text Char"/>
    <w:aliases w:val="Footnote Char"/>
    <w:link w:val="FootnoteText"/>
    <w:uiPriority w:val="99"/>
    <w:locked/>
    <w:rsid w:val="000D23C2"/>
    <w:rPr>
      <w:rFonts w:ascii="Arial" w:eastAsia="SimSun" w:hAnsi="Arial" w:cs="Arial"/>
      <w:sz w:val="18"/>
      <w:lang w:eastAsia="ru-RU"/>
    </w:rPr>
  </w:style>
  <w:style w:type="character" w:customStyle="1" w:styleId="HeaderChar">
    <w:name w:val="Header Char"/>
    <w:link w:val="Header"/>
    <w:semiHidden/>
    <w:locked/>
    <w:rsid w:val="000D23C2"/>
    <w:rPr>
      <w:rFonts w:ascii="Arial" w:eastAsia="SimSun" w:hAnsi="Arial" w:cs="Arial"/>
      <w:sz w:val="22"/>
      <w:lang w:eastAsia="ru-RU"/>
    </w:rPr>
  </w:style>
  <w:style w:type="paragraph" w:styleId="TOC3">
    <w:name w:val="toc 3"/>
    <w:basedOn w:val="Normal"/>
    <w:next w:val="Normal"/>
    <w:autoRedefine/>
    <w:uiPriority w:val="39"/>
    <w:rsid w:val="000D23C2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0D23C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0D23C2"/>
    <w:pPr>
      <w:spacing w:before="120" w:after="120"/>
      <w:ind w:left="221"/>
    </w:pPr>
    <w:rPr>
      <w:caps/>
    </w:rPr>
  </w:style>
  <w:style w:type="character" w:styleId="FootnoteReference">
    <w:name w:val="footnote reference"/>
    <w:aliases w:val="callout"/>
    <w:rsid w:val="000D23C2"/>
    <w:rPr>
      <w:rFonts w:cs="Times New Roman"/>
      <w:vertAlign w:val="superscript"/>
    </w:rPr>
  </w:style>
  <w:style w:type="character" w:styleId="Hyperlink">
    <w:name w:val="Hyperlink"/>
    <w:uiPriority w:val="99"/>
    <w:rsid w:val="000D23C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D23C2"/>
    <w:pPr>
      <w:spacing w:after="120" w:line="260" w:lineRule="atLeast"/>
      <w:ind w:left="1021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23C2"/>
    <w:rPr>
      <w:rFonts w:ascii="Arial" w:hAnsi="Arial"/>
      <w:sz w:val="16"/>
      <w:szCs w:val="16"/>
      <w:lang w:val="ru-RU" w:eastAsia="ru-RU"/>
    </w:rPr>
  </w:style>
  <w:style w:type="paragraph" w:customStyle="1" w:styleId="MediumGrid1-Accent21">
    <w:name w:val="Medium Grid 1 - Accent 21"/>
    <w:basedOn w:val="Normal"/>
    <w:uiPriority w:val="34"/>
    <w:qFormat/>
    <w:rsid w:val="000D23C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</w:rPr>
  </w:style>
  <w:style w:type="character" w:styleId="CommentReference">
    <w:name w:val="annotation reference"/>
    <w:rsid w:val="000D23C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0D23C2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D23C2"/>
    <w:rPr>
      <w:rFonts w:ascii="Arial" w:eastAsia="SimSun" w:hAnsi="Arial" w:cs="Arial"/>
      <w:sz w:val="18"/>
      <w:lang w:eastAsia="ru-RU"/>
    </w:rPr>
  </w:style>
  <w:style w:type="character" w:customStyle="1" w:styleId="CommentSubjectChar">
    <w:name w:val="Comment Subject Char"/>
    <w:basedOn w:val="CommentTextChar"/>
    <w:link w:val="CommentSubject"/>
    <w:rsid w:val="000D23C2"/>
    <w:rPr>
      <w:rFonts w:ascii="Arial" w:eastAsia="SimSun" w:hAnsi="Arial" w:cs="Arial"/>
      <w:b/>
      <w:bCs/>
      <w:sz w:val="18"/>
      <w:lang w:val="ru-RU" w:eastAsia="ru-RU"/>
    </w:rPr>
  </w:style>
  <w:style w:type="table" w:styleId="TableGrid">
    <w:name w:val="Table Grid"/>
    <w:basedOn w:val="TableNormal"/>
    <w:uiPriority w:val="59"/>
    <w:rsid w:val="000D23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D23C2"/>
    <w:rPr>
      <w:rFonts w:ascii="Arial" w:eastAsia="SimSun" w:hAnsi="Arial" w:cs="Arial"/>
      <w:b/>
      <w:bCs/>
      <w:caps/>
      <w:kern w:val="32"/>
      <w:sz w:val="22"/>
      <w:szCs w:val="32"/>
      <w:lang w:eastAsia="ru-RU"/>
    </w:rPr>
  </w:style>
  <w:style w:type="character" w:customStyle="1" w:styleId="Heading3Char">
    <w:name w:val="Heading 3 Char"/>
    <w:link w:val="Heading3"/>
    <w:rsid w:val="000D23C2"/>
    <w:rPr>
      <w:rFonts w:ascii="Arial" w:eastAsia="SimSun" w:hAnsi="Arial" w:cs="Arial"/>
      <w:bCs/>
      <w:sz w:val="22"/>
      <w:szCs w:val="26"/>
      <w:u w:val="single"/>
      <w:lang w:eastAsia="ru-RU"/>
    </w:rPr>
  </w:style>
  <w:style w:type="paragraph" w:styleId="Revision">
    <w:name w:val="Revision"/>
    <w:hidden/>
    <w:uiPriority w:val="99"/>
    <w:semiHidden/>
    <w:rsid w:val="000D23C2"/>
    <w:rPr>
      <w:rFonts w:ascii="Arial" w:eastAsia="SimSun" w:hAnsi="Arial" w:cs="Arial"/>
      <w:sz w:val="22"/>
    </w:rPr>
  </w:style>
  <w:style w:type="paragraph" w:styleId="NormalWeb">
    <w:name w:val="Normal (Web)"/>
    <w:basedOn w:val="Normal"/>
    <w:uiPriority w:val="99"/>
    <w:rsid w:val="000D23C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755E3"/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3407C"/>
    <w:pPr>
      <w:ind w:left="720"/>
      <w:contextualSpacing/>
    </w:pPr>
  </w:style>
  <w:style w:type="character" w:customStyle="1" w:styleId="tagtrans">
    <w:name w:val="tag_trans"/>
    <w:basedOn w:val="DefaultParagraphFont"/>
    <w:rsid w:val="007F4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5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15"/>
      </w:numPr>
      <w:tabs>
        <w:tab w:val="clear" w:pos="567"/>
        <w:tab w:val="num" w:pos="1134"/>
      </w:tabs>
      <w:ind w:left="567"/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2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F61"/>
    <w:rPr>
      <w:rFonts w:ascii="Tahoma" w:eastAsia="SimSun" w:hAnsi="Tahoma" w:cs="Tahoma"/>
      <w:sz w:val="16"/>
      <w:szCs w:val="16"/>
      <w:lang w:eastAsia="ru-RU"/>
    </w:rPr>
  </w:style>
  <w:style w:type="character" w:customStyle="1" w:styleId="Endofdocument-AnnexChar">
    <w:name w:val="[End of document - Annex] Char"/>
    <w:link w:val="Endofdocument-Annex"/>
    <w:rsid w:val="00827F61"/>
    <w:rPr>
      <w:rFonts w:ascii="Arial" w:eastAsia="SimSun" w:hAnsi="Arial" w:cs="Arial"/>
      <w:sz w:val="22"/>
      <w:lang w:eastAsia="ru-RU"/>
    </w:rPr>
  </w:style>
  <w:style w:type="character" w:customStyle="1" w:styleId="FootnoteTextChar">
    <w:name w:val="Footnote Text Char"/>
    <w:aliases w:val="Footnote Char"/>
    <w:link w:val="FootnoteText"/>
    <w:uiPriority w:val="99"/>
    <w:locked/>
    <w:rsid w:val="000D23C2"/>
    <w:rPr>
      <w:rFonts w:ascii="Arial" w:eastAsia="SimSun" w:hAnsi="Arial" w:cs="Arial"/>
      <w:sz w:val="18"/>
      <w:lang w:eastAsia="ru-RU"/>
    </w:rPr>
  </w:style>
  <w:style w:type="character" w:customStyle="1" w:styleId="HeaderChar">
    <w:name w:val="Header Char"/>
    <w:link w:val="Header"/>
    <w:semiHidden/>
    <w:locked/>
    <w:rsid w:val="000D23C2"/>
    <w:rPr>
      <w:rFonts w:ascii="Arial" w:eastAsia="SimSun" w:hAnsi="Arial" w:cs="Arial"/>
      <w:sz w:val="22"/>
      <w:lang w:eastAsia="ru-RU"/>
    </w:rPr>
  </w:style>
  <w:style w:type="paragraph" w:styleId="TOC3">
    <w:name w:val="toc 3"/>
    <w:basedOn w:val="Normal"/>
    <w:next w:val="Normal"/>
    <w:autoRedefine/>
    <w:uiPriority w:val="39"/>
    <w:rsid w:val="000D23C2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0D23C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0D23C2"/>
    <w:pPr>
      <w:spacing w:before="120" w:after="120"/>
      <w:ind w:left="221"/>
    </w:pPr>
    <w:rPr>
      <w:caps/>
    </w:rPr>
  </w:style>
  <w:style w:type="character" w:styleId="FootnoteReference">
    <w:name w:val="footnote reference"/>
    <w:aliases w:val="callout"/>
    <w:rsid w:val="000D23C2"/>
    <w:rPr>
      <w:rFonts w:cs="Times New Roman"/>
      <w:vertAlign w:val="superscript"/>
    </w:rPr>
  </w:style>
  <w:style w:type="character" w:styleId="Hyperlink">
    <w:name w:val="Hyperlink"/>
    <w:uiPriority w:val="99"/>
    <w:rsid w:val="000D23C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D23C2"/>
    <w:pPr>
      <w:spacing w:after="120" w:line="260" w:lineRule="atLeast"/>
      <w:ind w:left="1021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23C2"/>
    <w:rPr>
      <w:rFonts w:ascii="Arial" w:hAnsi="Arial"/>
      <w:sz w:val="16"/>
      <w:szCs w:val="16"/>
      <w:lang w:val="ru-RU" w:eastAsia="ru-RU"/>
    </w:rPr>
  </w:style>
  <w:style w:type="paragraph" w:customStyle="1" w:styleId="MediumGrid1-Accent21">
    <w:name w:val="Medium Grid 1 - Accent 21"/>
    <w:basedOn w:val="Normal"/>
    <w:uiPriority w:val="34"/>
    <w:qFormat/>
    <w:rsid w:val="000D23C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</w:rPr>
  </w:style>
  <w:style w:type="character" w:styleId="CommentReference">
    <w:name w:val="annotation reference"/>
    <w:rsid w:val="000D23C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0D23C2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D23C2"/>
    <w:rPr>
      <w:rFonts w:ascii="Arial" w:eastAsia="SimSun" w:hAnsi="Arial" w:cs="Arial"/>
      <w:sz w:val="18"/>
      <w:lang w:eastAsia="ru-RU"/>
    </w:rPr>
  </w:style>
  <w:style w:type="character" w:customStyle="1" w:styleId="CommentSubjectChar">
    <w:name w:val="Comment Subject Char"/>
    <w:basedOn w:val="CommentTextChar"/>
    <w:link w:val="CommentSubject"/>
    <w:rsid w:val="000D23C2"/>
    <w:rPr>
      <w:rFonts w:ascii="Arial" w:eastAsia="SimSun" w:hAnsi="Arial" w:cs="Arial"/>
      <w:b/>
      <w:bCs/>
      <w:sz w:val="18"/>
      <w:lang w:val="ru-RU" w:eastAsia="ru-RU"/>
    </w:rPr>
  </w:style>
  <w:style w:type="table" w:styleId="TableGrid">
    <w:name w:val="Table Grid"/>
    <w:basedOn w:val="TableNormal"/>
    <w:uiPriority w:val="59"/>
    <w:rsid w:val="000D23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D23C2"/>
    <w:rPr>
      <w:rFonts w:ascii="Arial" w:eastAsia="SimSun" w:hAnsi="Arial" w:cs="Arial"/>
      <w:b/>
      <w:bCs/>
      <w:caps/>
      <w:kern w:val="32"/>
      <w:sz w:val="22"/>
      <w:szCs w:val="32"/>
      <w:lang w:eastAsia="ru-RU"/>
    </w:rPr>
  </w:style>
  <w:style w:type="character" w:customStyle="1" w:styleId="Heading3Char">
    <w:name w:val="Heading 3 Char"/>
    <w:link w:val="Heading3"/>
    <w:rsid w:val="000D23C2"/>
    <w:rPr>
      <w:rFonts w:ascii="Arial" w:eastAsia="SimSun" w:hAnsi="Arial" w:cs="Arial"/>
      <w:bCs/>
      <w:sz w:val="22"/>
      <w:szCs w:val="26"/>
      <w:u w:val="single"/>
      <w:lang w:eastAsia="ru-RU"/>
    </w:rPr>
  </w:style>
  <w:style w:type="paragraph" w:styleId="Revision">
    <w:name w:val="Revision"/>
    <w:hidden/>
    <w:uiPriority w:val="99"/>
    <w:semiHidden/>
    <w:rsid w:val="000D23C2"/>
    <w:rPr>
      <w:rFonts w:ascii="Arial" w:eastAsia="SimSun" w:hAnsi="Arial" w:cs="Arial"/>
      <w:sz w:val="22"/>
    </w:rPr>
  </w:style>
  <w:style w:type="paragraph" w:styleId="NormalWeb">
    <w:name w:val="Normal (Web)"/>
    <w:basedOn w:val="Normal"/>
    <w:uiPriority w:val="99"/>
    <w:rsid w:val="000D23C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755E3"/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3407C"/>
    <w:pPr>
      <w:ind w:left="720"/>
      <w:contextualSpacing/>
    </w:pPr>
  </w:style>
  <w:style w:type="character" w:customStyle="1" w:styleId="tagtrans">
    <w:name w:val="tag_trans"/>
    <w:basedOn w:val="DefaultParagraphFont"/>
    <w:rsid w:val="007F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ip-development/en/agenda/flexibilities/search.js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07CD-DB1E-4968-9236-B0BCD01F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2378</Words>
  <Characters>10489</Characters>
  <Application>Microsoft Office Word</Application>
  <DocSecurity>0</DocSecurity>
  <Lines>3496</Lines>
  <Paragraphs>857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CDIP/16/</vt:lpstr>
      <vt:lpstr>CDIP/16/</vt:lpstr>
    </vt:vector>
  </TitlesOfParts>
  <Company>WIPO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</dc:title>
  <dc:creator>BRACI Biljana</dc:creator>
  <cp:lastModifiedBy>CERBARI Mihaela</cp:lastModifiedBy>
  <cp:revision>12</cp:revision>
  <cp:lastPrinted>2016-08-08T08:33:00Z</cp:lastPrinted>
  <dcterms:created xsi:type="dcterms:W3CDTF">2016-08-12T09:22:00Z</dcterms:created>
  <dcterms:modified xsi:type="dcterms:W3CDTF">2016-08-23T13:15:00Z</dcterms:modified>
</cp:coreProperties>
</file>