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67A9A" w:rsidRPr="00D67A9A" w:rsidTr="002A615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67A9A" w:rsidRPr="00D67A9A" w:rsidRDefault="00D67A9A" w:rsidP="002A615A">
            <w:pPr>
              <w:rPr>
                <w:rFonts w:eastAsia="Malgun Gothic"/>
                <w:color w:val="000000"/>
                <w:lang w:val="fr-FR" w:eastAsia="ko-K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7A9A" w:rsidRPr="00D67A9A" w:rsidRDefault="00D67A9A" w:rsidP="002A615A">
            <w:pPr>
              <w:rPr>
                <w:color w:val="000000"/>
                <w:lang w:val="fr-FR"/>
              </w:rPr>
            </w:pPr>
            <w:r w:rsidRPr="00D67A9A">
              <w:rPr>
                <w:noProof/>
                <w:lang w:eastAsia="en-US"/>
              </w:rPr>
              <w:drawing>
                <wp:inline distT="0" distB="0" distL="0" distR="0" wp14:anchorId="26B0AE78" wp14:editId="6321F541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7A9A" w:rsidRPr="00D67A9A" w:rsidRDefault="00D67A9A" w:rsidP="002A615A">
            <w:pPr>
              <w:jc w:val="right"/>
              <w:rPr>
                <w:color w:val="000000"/>
                <w:lang w:val="fr-FR"/>
              </w:rPr>
            </w:pPr>
            <w:r w:rsidRPr="00D67A9A">
              <w:rPr>
                <w:b/>
                <w:color w:val="000000"/>
                <w:sz w:val="40"/>
                <w:szCs w:val="40"/>
                <w:lang w:val="fr-FR"/>
              </w:rPr>
              <w:t>F</w:t>
            </w:r>
          </w:p>
        </w:tc>
      </w:tr>
      <w:tr w:rsidR="00D67A9A" w:rsidRPr="00D67A9A" w:rsidTr="00875AE8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67A9A" w:rsidRPr="00D67A9A" w:rsidRDefault="00D67A9A" w:rsidP="00B35A62">
            <w:pPr>
              <w:jc w:val="right"/>
              <w:rPr>
                <w:rFonts w:ascii="Arial Black" w:hAnsi="Arial Black"/>
                <w:caps/>
                <w:color w:val="000000"/>
                <w:sz w:val="15"/>
                <w:lang w:val="fr-FR"/>
              </w:rPr>
            </w:pPr>
            <w:bookmarkStart w:id="0" w:name="Code"/>
            <w:bookmarkEnd w:id="0"/>
            <w:r w:rsidRPr="00D67A9A">
              <w:rPr>
                <w:rFonts w:ascii="Arial Black" w:hAnsi="Arial Black"/>
                <w:caps/>
                <w:color w:val="000000"/>
                <w:sz w:val="15"/>
                <w:lang w:val="fr-FR"/>
              </w:rPr>
              <w:t>WIPO/ACE/9</w:t>
            </w:r>
            <w:r w:rsidRPr="00D67A9A">
              <w:rPr>
                <w:rFonts w:ascii="Arial Black" w:eastAsia="Malgun Gothic" w:hAnsi="Arial Black"/>
                <w:caps/>
                <w:color w:val="000000"/>
                <w:sz w:val="15"/>
                <w:lang w:val="fr-FR" w:eastAsia="ko-KR"/>
              </w:rPr>
              <w:t>/</w:t>
            </w:r>
            <w:r>
              <w:rPr>
                <w:rFonts w:ascii="Arial Black" w:eastAsia="Malgun Gothic" w:hAnsi="Arial Black"/>
                <w:caps/>
                <w:color w:val="000000"/>
                <w:sz w:val="15"/>
                <w:lang w:val="fr-FR" w:eastAsia="ko-KR"/>
              </w:rPr>
              <w:t>INF/2</w:t>
            </w:r>
            <w:r w:rsidRPr="00D67A9A">
              <w:rPr>
                <w:rFonts w:ascii="Arial Black" w:eastAsia="Malgun Gothic" w:hAnsi="Arial Black"/>
                <w:caps/>
                <w:color w:val="000000"/>
                <w:sz w:val="15"/>
                <w:lang w:val="fr-FR" w:eastAsia="ko-KR"/>
              </w:rPr>
              <w:t xml:space="preserve">  </w:t>
            </w:r>
          </w:p>
        </w:tc>
      </w:tr>
      <w:tr w:rsidR="00D67A9A" w:rsidRPr="00D67A9A" w:rsidTr="00875AE8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67A9A" w:rsidRPr="00D67A9A" w:rsidRDefault="00D67A9A" w:rsidP="002A615A">
            <w:pPr>
              <w:jc w:val="right"/>
              <w:rPr>
                <w:rFonts w:ascii="Arial Black" w:hAnsi="Arial Black"/>
                <w:caps/>
                <w:color w:val="000000"/>
                <w:sz w:val="15"/>
                <w:lang w:val="fr-FR"/>
              </w:rPr>
            </w:pPr>
            <w:r w:rsidRPr="00D67A9A">
              <w:rPr>
                <w:rFonts w:ascii="Arial Black" w:hAnsi="Arial Black"/>
                <w:caps/>
                <w:color w:val="000000"/>
                <w:sz w:val="15"/>
                <w:lang w:val="fr-FR"/>
              </w:rPr>
              <w:t>ORIGINAL : anglais</w:t>
            </w:r>
          </w:p>
        </w:tc>
      </w:tr>
      <w:tr w:rsidR="00D67A9A" w:rsidRPr="00D67A9A" w:rsidTr="00875AE8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67A9A" w:rsidRPr="00D67A9A" w:rsidRDefault="00D67A9A" w:rsidP="00483904">
            <w:pPr>
              <w:jc w:val="right"/>
              <w:rPr>
                <w:rFonts w:ascii="Arial Black" w:hAnsi="Arial Black"/>
                <w:caps/>
                <w:color w:val="000000"/>
                <w:sz w:val="15"/>
                <w:lang w:val="fr-FR"/>
              </w:rPr>
            </w:pPr>
            <w:r w:rsidRPr="00D67A9A">
              <w:rPr>
                <w:rFonts w:ascii="Arial Black" w:hAnsi="Arial Black"/>
                <w:caps/>
                <w:color w:val="000000"/>
                <w:sz w:val="15"/>
                <w:lang w:val="fr-FR"/>
              </w:rPr>
              <w:t>DATE : 2</w:t>
            </w:r>
            <w:r w:rsidR="00483904">
              <w:rPr>
                <w:rFonts w:ascii="Arial Black" w:hAnsi="Arial Black"/>
                <w:caps/>
                <w:color w:val="000000"/>
                <w:sz w:val="15"/>
                <w:lang w:val="fr-FR"/>
              </w:rPr>
              <w:t>5</w:t>
            </w:r>
            <w:r w:rsidRPr="00D67A9A">
              <w:rPr>
                <w:rFonts w:ascii="Arial Black" w:hAnsi="Arial Black"/>
                <w:caps/>
                <w:color w:val="000000"/>
                <w:sz w:val="15"/>
                <w:lang w:val="fr-FR"/>
              </w:rPr>
              <w:t xml:space="preserve"> </w:t>
            </w:r>
            <w:r w:rsidR="00B35A62">
              <w:rPr>
                <w:rFonts w:ascii="Arial Black" w:hAnsi="Arial Black"/>
                <w:caps/>
                <w:color w:val="000000"/>
                <w:sz w:val="15"/>
                <w:lang w:val="fr-FR"/>
              </w:rPr>
              <w:t>FÉ</w:t>
            </w:r>
            <w:r w:rsidRPr="00D67A9A">
              <w:rPr>
                <w:rFonts w:ascii="Arial Black" w:hAnsi="Arial Black"/>
                <w:caps/>
                <w:color w:val="000000"/>
                <w:sz w:val="15"/>
                <w:lang w:val="fr-FR"/>
              </w:rPr>
              <w:t>V</w:t>
            </w:r>
            <w:r w:rsidR="00B35A62">
              <w:rPr>
                <w:rFonts w:ascii="Arial Black" w:hAnsi="Arial Black"/>
                <w:caps/>
                <w:color w:val="000000"/>
                <w:sz w:val="15"/>
                <w:lang w:val="fr-FR"/>
              </w:rPr>
              <w:t>R</w:t>
            </w:r>
            <w:r w:rsidRPr="00D67A9A">
              <w:rPr>
                <w:rFonts w:ascii="Arial Black" w:hAnsi="Arial Black"/>
                <w:caps/>
                <w:color w:val="000000"/>
                <w:sz w:val="15"/>
                <w:lang w:val="fr-FR"/>
              </w:rPr>
              <w:t xml:space="preserve">IER 2014 </w:t>
            </w:r>
            <w:bookmarkStart w:id="1" w:name="Date"/>
            <w:bookmarkEnd w:id="1"/>
          </w:p>
        </w:tc>
      </w:tr>
    </w:tbl>
    <w:p w:rsidR="00D67A9A" w:rsidRPr="00D67A9A" w:rsidRDefault="00D67A9A" w:rsidP="00D67A9A">
      <w:pPr>
        <w:rPr>
          <w:rFonts w:eastAsia="Malgun Gothic"/>
          <w:color w:val="000000"/>
          <w:lang w:val="fr-FR" w:eastAsia="ko-KR"/>
        </w:rPr>
      </w:pPr>
    </w:p>
    <w:p w:rsidR="00D67A9A" w:rsidRPr="00D67A9A" w:rsidRDefault="00D67A9A" w:rsidP="00D67A9A">
      <w:pPr>
        <w:rPr>
          <w:rFonts w:eastAsia="Malgun Gothic"/>
          <w:color w:val="000000"/>
          <w:lang w:val="fr-FR" w:eastAsia="ko-KR"/>
        </w:rPr>
      </w:pPr>
    </w:p>
    <w:p w:rsidR="00D67A9A" w:rsidRPr="00D67A9A" w:rsidRDefault="00D67A9A" w:rsidP="00D67A9A">
      <w:pPr>
        <w:rPr>
          <w:rFonts w:eastAsia="Malgun Gothic"/>
          <w:color w:val="000000"/>
          <w:lang w:val="fr-FR" w:eastAsia="ko-KR"/>
        </w:rPr>
      </w:pPr>
    </w:p>
    <w:p w:rsidR="00D67A9A" w:rsidRPr="00D67A9A" w:rsidRDefault="00D67A9A" w:rsidP="00D67A9A">
      <w:pPr>
        <w:rPr>
          <w:rFonts w:eastAsia="Malgun Gothic"/>
          <w:color w:val="000000"/>
          <w:lang w:val="fr-FR" w:eastAsia="ko-KR"/>
        </w:rPr>
      </w:pPr>
    </w:p>
    <w:p w:rsidR="00D67A9A" w:rsidRPr="00D67A9A" w:rsidRDefault="00D67A9A" w:rsidP="00D67A9A">
      <w:pPr>
        <w:rPr>
          <w:rFonts w:eastAsia="Malgun Gothic"/>
          <w:color w:val="000000"/>
          <w:lang w:val="fr-FR" w:eastAsia="ko-KR"/>
        </w:rPr>
      </w:pPr>
    </w:p>
    <w:p w:rsidR="00D67A9A" w:rsidRPr="00D67A9A" w:rsidRDefault="00D67A9A" w:rsidP="00D67A9A">
      <w:pPr>
        <w:rPr>
          <w:b/>
          <w:color w:val="000000"/>
          <w:sz w:val="28"/>
          <w:szCs w:val="28"/>
          <w:lang w:val="fr-FR"/>
        </w:rPr>
      </w:pPr>
      <w:r w:rsidRPr="00D67A9A">
        <w:rPr>
          <w:b/>
          <w:color w:val="000000"/>
          <w:sz w:val="28"/>
          <w:szCs w:val="28"/>
          <w:lang w:val="fr-FR"/>
        </w:rPr>
        <w:t>Comité consultatif sur l’application des droits</w:t>
      </w:r>
    </w:p>
    <w:p w:rsidR="00D67A9A" w:rsidRPr="00D67A9A" w:rsidRDefault="00D67A9A" w:rsidP="00D67A9A">
      <w:pPr>
        <w:rPr>
          <w:color w:val="000000"/>
          <w:lang w:val="fr-FR"/>
        </w:rPr>
      </w:pPr>
    </w:p>
    <w:p w:rsidR="00D67A9A" w:rsidRPr="00D67A9A" w:rsidRDefault="00D67A9A" w:rsidP="00D67A9A">
      <w:pPr>
        <w:rPr>
          <w:color w:val="000000"/>
          <w:lang w:val="fr-FR"/>
        </w:rPr>
      </w:pPr>
    </w:p>
    <w:p w:rsidR="00D67A9A" w:rsidRPr="00D67A9A" w:rsidRDefault="00D67A9A" w:rsidP="00D67A9A">
      <w:pPr>
        <w:rPr>
          <w:rFonts w:eastAsia="Malgun Gothic"/>
          <w:b/>
          <w:color w:val="000000"/>
          <w:sz w:val="24"/>
          <w:szCs w:val="24"/>
          <w:lang w:val="fr-FR" w:eastAsia="ko-KR"/>
        </w:rPr>
      </w:pPr>
      <w:r w:rsidRPr="00D67A9A">
        <w:rPr>
          <w:rFonts w:eastAsia="Malgun Gothic"/>
          <w:b/>
          <w:color w:val="000000"/>
          <w:sz w:val="24"/>
          <w:szCs w:val="24"/>
          <w:lang w:val="fr-FR" w:eastAsia="ko-KR"/>
        </w:rPr>
        <w:t>Neuvième session</w:t>
      </w:r>
    </w:p>
    <w:p w:rsidR="00D67A9A" w:rsidRPr="00D67A9A" w:rsidRDefault="00D67A9A" w:rsidP="00D67A9A">
      <w:pPr>
        <w:rPr>
          <w:rFonts w:eastAsia="Malgun Gothic"/>
          <w:b/>
          <w:color w:val="000000"/>
          <w:sz w:val="24"/>
          <w:szCs w:val="24"/>
          <w:lang w:val="fr-FR" w:eastAsia="ko-KR"/>
        </w:rPr>
      </w:pPr>
      <w:r w:rsidRPr="00D67A9A">
        <w:rPr>
          <w:b/>
          <w:color w:val="000000"/>
          <w:sz w:val="24"/>
          <w:szCs w:val="24"/>
          <w:lang w:val="fr-FR"/>
        </w:rPr>
        <w:t>Genève, 3 – 5 mars 201</w:t>
      </w:r>
      <w:r>
        <w:rPr>
          <w:b/>
          <w:color w:val="000000"/>
          <w:sz w:val="24"/>
          <w:szCs w:val="24"/>
          <w:lang w:val="fr-FR"/>
        </w:rPr>
        <w:t>4</w:t>
      </w:r>
    </w:p>
    <w:p w:rsidR="00D67A9A" w:rsidRPr="00D67A9A" w:rsidRDefault="00D67A9A" w:rsidP="00D67A9A">
      <w:pPr>
        <w:rPr>
          <w:color w:val="000000"/>
          <w:lang w:val="fr-FR"/>
        </w:rPr>
      </w:pPr>
    </w:p>
    <w:p w:rsidR="00D67A9A" w:rsidRPr="00D67A9A" w:rsidRDefault="00D67A9A" w:rsidP="00D67A9A">
      <w:pPr>
        <w:rPr>
          <w:color w:val="000000"/>
          <w:lang w:val="fr-FR"/>
        </w:rPr>
      </w:pPr>
    </w:p>
    <w:p w:rsidR="00D67A9A" w:rsidRPr="00D67A9A" w:rsidRDefault="00D67A9A" w:rsidP="00D67A9A">
      <w:pPr>
        <w:rPr>
          <w:color w:val="000000"/>
          <w:lang w:val="fr-FR"/>
        </w:rPr>
      </w:pPr>
    </w:p>
    <w:p w:rsidR="00BD545E" w:rsidRPr="00D67A9A" w:rsidRDefault="00BD545E" w:rsidP="00BD545E">
      <w:pPr>
        <w:rPr>
          <w:lang w:val="fr-FR"/>
        </w:rPr>
      </w:pPr>
      <w:r w:rsidRPr="00D67A9A">
        <w:rPr>
          <w:sz w:val="24"/>
          <w:lang w:val="fr-FR"/>
        </w:rPr>
        <w:t>LISTE DES DOCUMENTS PRÉPARATOIRES</w:t>
      </w:r>
    </w:p>
    <w:p w:rsidR="00BD545E" w:rsidRPr="00D67A9A" w:rsidRDefault="00BD545E" w:rsidP="008B2CC1">
      <w:pPr>
        <w:rPr>
          <w:i/>
          <w:lang w:val="fr-FR"/>
        </w:rPr>
      </w:pPr>
      <w:bookmarkStart w:id="2" w:name="Prepared"/>
      <w:bookmarkEnd w:id="2"/>
    </w:p>
    <w:p w:rsidR="00BD545E" w:rsidRPr="00D67A9A" w:rsidRDefault="00BD545E" w:rsidP="00BD545E">
      <w:pPr>
        <w:rPr>
          <w:i/>
          <w:lang w:val="fr-FR"/>
        </w:rPr>
      </w:pPr>
      <w:proofErr w:type="gramStart"/>
      <w:r w:rsidRPr="00D67A9A">
        <w:rPr>
          <w:i/>
          <w:lang w:val="fr-FR"/>
        </w:rPr>
        <w:t>établi</w:t>
      </w:r>
      <w:r w:rsidRPr="00D67A9A">
        <w:rPr>
          <w:i/>
          <w:color w:val="000000"/>
          <w:lang w:val="fr-FR"/>
        </w:rPr>
        <w:t>e</w:t>
      </w:r>
      <w:proofErr w:type="gramEnd"/>
      <w:r w:rsidRPr="00D67A9A">
        <w:rPr>
          <w:i/>
          <w:lang w:val="fr-FR"/>
        </w:rPr>
        <w:t xml:space="preserve"> par le Secrétariat</w:t>
      </w:r>
    </w:p>
    <w:p w:rsidR="00BD545E" w:rsidRPr="00D67A9A" w:rsidRDefault="00BD545E">
      <w:pPr>
        <w:rPr>
          <w:lang w:val="fr-FR"/>
        </w:rPr>
      </w:pPr>
    </w:p>
    <w:p w:rsidR="00BD545E" w:rsidRPr="00D67A9A" w:rsidRDefault="00BD545E">
      <w:pPr>
        <w:rPr>
          <w:lang w:val="fr-FR"/>
        </w:rPr>
      </w:pPr>
    </w:p>
    <w:p w:rsidR="00BD545E" w:rsidRPr="00D67A9A" w:rsidRDefault="00BD545E">
      <w:pPr>
        <w:rPr>
          <w:lang w:val="fr-FR"/>
        </w:rPr>
      </w:pPr>
    </w:p>
    <w:p w:rsidR="002928D3" w:rsidRPr="00D67A9A" w:rsidRDefault="002928D3" w:rsidP="0053057A">
      <w:pPr>
        <w:rPr>
          <w:lang w:val="fr-FR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557"/>
        <w:gridCol w:w="6095"/>
      </w:tblGrid>
      <w:tr w:rsidR="00406A4A" w:rsidRPr="00D67A9A" w:rsidTr="00EA0588">
        <w:trPr>
          <w:trHeight w:val="733"/>
          <w:tblHeader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06A4A" w:rsidRPr="00D67A9A" w:rsidRDefault="00BD545E" w:rsidP="00BD545E">
            <w:pPr>
              <w:spacing w:before="240" w:after="240"/>
              <w:ind w:left="34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Cote du document</w:t>
            </w:r>
          </w:p>
        </w:tc>
        <w:tc>
          <w:tcPr>
            <w:tcW w:w="55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06A4A" w:rsidRPr="00D67A9A" w:rsidRDefault="00406A4A" w:rsidP="00995E45">
            <w:pPr>
              <w:spacing w:before="240" w:after="240"/>
              <w:ind w:left="317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06A4A" w:rsidRPr="00D67A9A" w:rsidRDefault="00BD545E" w:rsidP="00BD545E">
            <w:pPr>
              <w:spacing w:before="240" w:after="240"/>
              <w:ind w:left="317"/>
              <w:rPr>
                <w:color w:val="000000"/>
                <w:szCs w:val="22"/>
                <w:lang w:val="fr-FR"/>
              </w:rPr>
            </w:pPr>
            <w:r w:rsidRPr="00D67A9A">
              <w:rPr>
                <w:szCs w:val="22"/>
                <w:lang w:val="fr-FR"/>
              </w:rPr>
              <w:t>Sujet du document</w:t>
            </w:r>
          </w:p>
        </w:tc>
      </w:tr>
      <w:tr w:rsidR="00406A4A" w:rsidRPr="00D67A9A" w:rsidTr="00EA0588">
        <w:tc>
          <w:tcPr>
            <w:tcW w:w="2420" w:type="dxa"/>
            <w:gridSpan w:val="2"/>
          </w:tcPr>
          <w:p w:rsidR="00406A4A" w:rsidRPr="00D67A9A" w:rsidRDefault="00406A4A" w:rsidP="00E927ED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7" w:type="dxa"/>
          </w:tcPr>
          <w:p w:rsidR="00406A4A" w:rsidRPr="00D67A9A" w:rsidRDefault="00406A4A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406A4A" w:rsidRPr="00D67A9A" w:rsidRDefault="00406A4A" w:rsidP="00E927ED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D67A9A" w:rsidTr="00EA0588">
        <w:tc>
          <w:tcPr>
            <w:tcW w:w="2420" w:type="dxa"/>
            <w:gridSpan w:val="2"/>
          </w:tcPr>
          <w:p w:rsidR="0053359D" w:rsidRPr="00D67A9A" w:rsidRDefault="0053359D" w:rsidP="00790EB0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WIPO/ACE/9/INF/1 Prov.1</w:t>
            </w:r>
          </w:p>
        </w:tc>
        <w:tc>
          <w:tcPr>
            <w:tcW w:w="557" w:type="dxa"/>
          </w:tcPr>
          <w:p w:rsidR="0053359D" w:rsidRPr="00D67A9A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BD545E" w:rsidP="00BD545E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L</w:t>
            </w:r>
            <w:r w:rsidRPr="00D67A9A">
              <w:rPr>
                <w:szCs w:val="22"/>
                <w:lang w:val="fr-FR"/>
              </w:rPr>
              <w:t>iste provisoire des participants</w:t>
            </w:r>
          </w:p>
        </w:tc>
      </w:tr>
      <w:tr w:rsidR="0053359D" w:rsidRPr="00D67A9A" w:rsidTr="00EA0588">
        <w:tc>
          <w:tcPr>
            <w:tcW w:w="2420" w:type="dxa"/>
            <w:gridSpan w:val="2"/>
          </w:tcPr>
          <w:p w:rsidR="0053359D" w:rsidRPr="00D67A9A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7" w:type="dxa"/>
          </w:tcPr>
          <w:p w:rsidR="0053359D" w:rsidRPr="00D67A9A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E927ED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B35A62" w:rsidTr="00EA0588">
        <w:tc>
          <w:tcPr>
            <w:tcW w:w="2420" w:type="dxa"/>
            <w:gridSpan w:val="2"/>
          </w:tcPr>
          <w:p w:rsidR="00BD545E" w:rsidRPr="00D67A9A" w:rsidRDefault="0053359D" w:rsidP="00B35A6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WIPO/ACE/9/INF/2</w:t>
            </w:r>
          </w:p>
          <w:p w:rsidR="0053359D" w:rsidRPr="00D67A9A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7" w:type="dxa"/>
          </w:tcPr>
          <w:p w:rsidR="0053359D" w:rsidRPr="00D67A9A" w:rsidRDefault="0053359D" w:rsidP="00E927E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BD545E" w:rsidP="00B35A6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Liste des documents préparatoires</w:t>
            </w:r>
          </w:p>
        </w:tc>
      </w:tr>
      <w:tr w:rsidR="0053359D" w:rsidRPr="00D67A9A" w:rsidTr="00EA0588">
        <w:tc>
          <w:tcPr>
            <w:tcW w:w="2420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 xml:space="preserve">WIPO/ACE/9/1 </w:t>
            </w:r>
            <w:proofErr w:type="spellStart"/>
            <w:r w:rsidRPr="00D67A9A">
              <w:rPr>
                <w:color w:val="000000"/>
                <w:szCs w:val="22"/>
                <w:lang w:val="fr-FR"/>
              </w:rPr>
              <w:t>Prov</w:t>
            </w:r>
            <w:proofErr w:type="spellEnd"/>
            <w:r w:rsidRPr="00D67A9A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557" w:type="dxa"/>
          </w:tcPr>
          <w:p w:rsidR="0053359D" w:rsidRPr="00D67A9A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BD545E" w:rsidP="00BD545E">
            <w:pPr>
              <w:ind w:left="317"/>
              <w:rPr>
                <w:color w:val="000000"/>
                <w:szCs w:val="22"/>
                <w:lang w:val="fr-FR"/>
              </w:rPr>
            </w:pPr>
            <w:r w:rsidRPr="00D67A9A">
              <w:rPr>
                <w:rFonts w:eastAsia="MS Mincho"/>
                <w:szCs w:val="22"/>
                <w:lang w:val="fr-FR" w:eastAsia="ja-JP"/>
              </w:rPr>
              <w:t>Projet d</w:t>
            </w:r>
            <w:r w:rsidR="00A75B32" w:rsidRPr="00D67A9A">
              <w:rPr>
                <w:rFonts w:eastAsia="MS Mincho"/>
                <w:szCs w:val="22"/>
                <w:lang w:val="fr-FR" w:eastAsia="ja-JP"/>
              </w:rPr>
              <w:t>’</w:t>
            </w:r>
            <w:r w:rsidRPr="00D67A9A">
              <w:rPr>
                <w:rFonts w:eastAsia="MS Mincho"/>
                <w:szCs w:val="22"/>
                <w:lang w:val="fr-FR" w:eastAsia="ja-JP"/>
              </w:rPr>
              <w:t>ordre du jour</w:t>
            </w:r>
          </w:p>
        </w:tc>
      </w:tr>
      <w:tr w:rsidR="0053359D" w:rsidRPr="00D67A9A" w:rsidTr="00EA0588">
        <w:tc>
          <w:tcPr>
            <w:tcW w:w="2410" w:type="dxa"/>
          </w:tcPr>
          <w:p w:rsidR="0053359D" w:rsidRPr="00D67A9A" w:rsidRDefault="0053359D" w:rsidP="00F72052">
            <w:pPr>
              <w:pStyle w:val="Footer"/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pStyle w:val="Footer"/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WIPO/ACE/9/2</w:t>
            </w:r>
          </w:p>
        </w:tc>
        <w:tc>
          <w:tcPr>
            <w:tcW w:w="557" w:type="dxa"/>
          </w:tcPr>
          <w:p w:rsidR="0053359D" w:rsidRPr="00D67A9A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Default="00BD545E" w:rsidP="00BD545E">
            <w:pPr>
              <w:tabs>
                <w:tab w:val="left" w:pos="2860"/>
                <w:tab w:val="left" w:pos="5610"/>
              </w:tabs>
              <w:ind w:left="317"/>
              <w:rPr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A</w:t>
            </w:r>
            <w:r w:rsidRPr="00D67A9A">
              <w:rPr>
                <w:szCs w:val="22"/>
                <w:lang w:val="fr-FR"/>
              </w:rPr>
              <w:t xml:space="preserve">ctivités récentes de </w:t>
            </w:r>
            <w:r w:rsidRPr="00D67A9A">
              <w:rPr>
                <w:color w:val="000000"/>
                <w:szCs w:val="22"/>
                <w:lang w:val="fr-FR"/>
              </w:rPr>
              <w:t>l</w:t>
            </w:r>
            <w:r w:rsidR="00A75B32" w:rsidRPr="00D67A9A">
              <w:rPr>
                <w:color w:val="000000"/>
                <w:szCs w:val="22"/>
                <w:lang w:val="fr-FR"/>
              </w:rPr>
              <w:t>’</w:t>
            </w:r>
            <w:r w:rsidRPr="00D67A9A">
              <w:rPr>
                <w:color w:val="000000"/>
                <w:szCs w:val="22"/>
                <w:lang w:val="fr-FR"/>
              </w:rPr>
              <w:t xml:space="preserve">OMPI </w:t>
            </w:r>
            <w:r w:rsidRPr="00D67A9A">
              <w:rPr>
                <w:szCs w:val="22"/>
                <w:lang w:val="fr-FR"/>
              </w:rPr>
              <w:t>dans le domaine de la promotion du respect de la propriété intellectuelle</w:t>
            </w:r>
          </w:p>
          <w:p w:rsidR="00B35A62" w:rsidRPr="00EA3D1A" w:rsidRDefault="00B35A62" w:rsidP="00BD545E">
            <w:pPr>
              <w:tabs>
                <w:tab w:val="left" w:pos="2860"/>
                <w:tab w:val="left" w:pos="5610"/>
              </w:tabs>
              <w:ind w:left="317"/>
              <w:rPr>
                <w:i/>
                <w:lang w:val="fr-FR"/>
              </w:rPr>
            </w:pPr>
            <w:r w:rsidRPr="00EA3D1A">
              <w:rPr>
                <w:i/>
                <w:color w:val="000000"/>
                <w:szCs w:val="22"/>
                <w:lang w:val="fr-FR"/>
              </w:rPr>
              <w:t>Document établi par le Secrétariat</w:t>
            </w:r>
          </w:p>
        </w:tc>
      </w:tr>
      <w:tr w:rsidR="0053359D" w:rsidRPr="00FD1A95" w:rsidTr="00B35A62">
        <w:trPr>
          <w:trHeight w:val="315"/>
        </w:trPr>
        <w:tc>
          <w:tcPr>
            <w:tcW w:w="2420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lang w:val="fr-FR"/>
              </w:rPr>
            </w:pPr>
          </w:p>
        </w:tc>
        <w:tc>
          <w:tcPr>
            <w:tcW w:w="557" w:type="dxa"/>
          </w:tcPr>
          <w:p w:rsidR="0053359D" w:rsidRPr="00D67A9A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tabs>
                <w:tab w:val="left" w:pos="2860"/>
                <w:tab w:val="left" w:pos="5610"/>
              </w:tabs>
              <w:ind w:left="317"/>
              <w:rPr>
                <w:lang w:val="fr-FR"/>
              </w:rPr>
            </w:pP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WIPO/ACE/9/3</w:t>
            </w:r>
          </w:p>
        </w:tc>
        <w:tc>
          <w:tcPr>
            <w:tcW w:w="557" w:type="dxa"/>
          </w:tcPr>
          <w:p w:rsidR="0053359D" w:rsidRPr="00D67A9A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Pr="00D67A9A" w:rsidRDefault="00BC7830" w:rsidP="00F72052">
            <w:pPr>
              <w:ind w:left="317"/>
              <w:rPr>
                <w:rFonts w:eastAsia="MS Mincho"/>
                <w:color w:val="000000"/>
                <w:szCs w:val="22"/>
                <w:lang w:val="fr-FR" w:eastAsia="ja-JP"/>
              </w:rPr>
            </w:pPr>
            <w:r>
              <w:rPr>
                <w:rFonts w:eastAsia="MS Mincho"/>
                <w:color w:val="000000"/>
                <w:szCs w:val="22"/>
                <w:lang w:val="fr-FR" w:eastAsia="ja-JP"/>
              </w:rPr>
              <w:t>Les modes extrajudiciaires de règlement des litiges comme instrument d’application des droits de propriété intellectuelle</w:t>
            </w:r>
            <w:r w:rsidR="00801544">
              <w:rPr>
                <w:rFonts w:eastAsia="MS Mincho"/>
                <w:color w:val="000000"/>
                <w:szCs w:val="22"/>
                <w:lang w:val="fr-FR" w:eastAsia="ja-JP"/>
              </w:rPr>
              <w:t xml:space="preserve"> - Résumé</w:t>
            </w:r>
          </w:p>
          <w:p w:rsidR="0053359D" w:rsidRPr="002822FE" w:rsidRDefault="00EA3D1A" w:rsidP="002822FE">
            <w:pPr>
              <w:ind w:left="317"/>
              <w:rPr>
                <w:rFonts w:eastAsia="MS Mincho"/>
                <w:i/>
                <w:color w:val="000000"/>
                <w:szCs w:val="22"/>
                <w:lang w:val="fr-FR" w:eastAsia="ja-JP"/>
              </w:rPr>
            </w:pPr>
            <w:r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Document établi par </w:t>
            </w:r>
            <w:r w:rsidR="00B05537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M. 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Trevor Cook, </w:t>
            </w:r>
            <w:r w:rsidR="00BC7830">
              <w:rPr>
                <w:rFonts w:eastAsia="MS Mincho"/>
                <w:i/>
                <w:color w:val="000000"/>
                <w:szCs w:val="22"/>
                <w:lang w:val="fr-FR" w:eastAsia="ja-JP"/>
              </w:rPr>
              <w:t>associé du cabinet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,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WilmerHale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, New York (États</w:t>
            </w:r>
            <w:r w:rsidR="00BC7830">
              <w:rPr>
                <w:rFonts w:eastAsia="MS Mincho"/>
                <w:i/>
                <w:color w:val="000000"/>
                <w:szCs w:val="22"/>
                <w:lang w:val="fr-FR" w:eastAsia="ja-JP"/>
              </w:rPr>
              <w:noBreakHyphen/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Unis d</w:t>
            </w:r>
            <w:r w:rsidR="00A75B32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’</w:t>
            </w:r>
            <w:r w:rsidR="00BC7830">
              <w:rPr>
                <w:rFonts w:eastAsia="MS Mincho"/>
                <w:i/>
                <w:color w:val="000000"/>
                <w:szCs w:val="22"/>
                <w:lang w:val="fr-FR" w:eastAsia="ja-JP"/>
              </w:rPr>
              <w:t>Amérique)</w:t>
            </w:r>
          </w:p>
        </w:tc>
      </w:tr>
      <w:tr w:rsidR="004A3359" w:rsidRPr="00FD1A95" w:rsidTr="00EA0588">
        <w:tc>
          <w:tcPr>
            <w:tcW w:w="2420" w:type="dxa"/>
            <w:gridSpan w:val="2"/>
          </w:tcPr>
          <w:p w:rsidR="004A3359" w:rsidRPr="00F55FE3" w:rsidRDefault="004A3359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7" w:type="dxa"/>
          </w:tcPr>
          <w:p w:rsidR="004A3359" w:rsidRPr="00D67A9A" w:rsidRDefault="004A3359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4A3359" w:rsidRDefault="004A3359" w:rsidP="00F72052">
            <w:pPr>
              <w:ind w:left="317"/>
              <w:rPr>
                <w:rFonts w:eastAsia="MS Mincho"/>
                <w:color w:val="000000"/>
                <w:szCs w:val="22"/>
                <w:lang w:val="fr-FR" w:eastAsia="ja-JP"/>
              </w:rPr>
            </w:pP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WIPO/ACE/9/4</w:t>
            </w:r>
          </w:p>
        </w:tc>
        <w:tc>
          <w:tcPr>
            <w:tcW w:w="557" w:type="dxa"/>
          </w:tcPr>
          <w:p w:rsidR="0053359D" w:rsidRPr="00D67A9A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EA3D1A" w:rsidRDefault="004C6924" w:rsidP="004C6924">
            <w:pPr>
              <w:tabs>
                <w:tab w:val="left" w:pos="2860"/>
                <w:tab w:val="left" w:pos="5610"/>
              </w:tabs>
              <w:ind w:left="317"/>
              <w:rPr>
                <w:szCs w:val="22"/>
                <w:lang w:val="fr-FR"/>
              </w:rPr>
            </w:pPr>
            <w:r w:rsidRPr="00EA3D1A">
              <w:rPr>
                <w:color w:val="000000"/>
                <w:szCs w:val="22"/>
                <w:lang w:val="fr-FR"/>
              </w:rPr>
              <w:t>Activités</w:t>
            </w:r>
            <w:r w:rsidRPr="00EA3D1A">
              <w:rPr>
                <w:szCs w:val="22"/>
                <w:lang w:val="fr-FR"/>
              </w:rPr>
              <w:t xml:space="preserve"> du Centre d</w:t>
            </w:r>
            <w:r w:rsidR="00A75B32" w:rsidRPr="00EA3D1A">
              <w:rPr>
                <w:szCs w:val="22"/>
                <w:lang w:val="fr-FR"/>
              </w:rPr>
              <w:t>’</w:t>
            </w:r>
            <w:r w:rsidRPr="00EA3D1A">
              <w:rPr>
                <w:szCs w:val="22"/>
                <w:lang w:val="fr-FR"/>
              </w:rPr>
              <w:t>arbitrage et de médiation de l</w:t>
            </w:r>
            <w:r w:rsidR="00A75B32" w:rsidRPr="00EA3D1A">
              <w:rPr>
                <w:szCs w:val="22"/>
                <w:lang w:val="fr-FR"/>
              </w:rPr>
              <w:t>’</w:t>
            </w:r>
            <w:r w:rsidRPr="00EA3D1A">
              <w:rPr>
                <w:szCs w:val="22"/>
                <w:lang w:val="fr-FR"/>
              </w:rPr>
              <w:t>O</w:t>
            </w:r>
            <w:r w:rsidR="00B35A62" w:rsidRPr="00EA3D1A">
              <w:rPr>
                <w:szCs w:val="22"/>
                <w:lang w:val="fr-FR"/>
              </w:rPr>
              <w:t>rganisation Mondiale d</w:t>
            </w:r>
            <w:r w:rsidR="00EA3D1A">
              <w:rPr>
                <w:szCs w:val="22"/>
                <w:lang w:val="fr-FR"/>
              </w:rPr>
              <w:t>e la Propriété Intellectuelle</w:t>
            </w:r>
          </w:p>
          <w:p w:rsidR="00B35A62" w:rsidRPr="00EA3D1A" w:rsidRDefault="00B35A62" w:rsidP="004C6924">
            <w:pPr>
              <w:tabs>
                <w:tab w:val="left" w:pos="2860"/>
                <w:tab w:val="left" w:pos="5610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 w:rsidRPr="00EA3D1A">
              <w:rPr>
                <w:i/>
                <w:szCs w:val="22"/>
                <w:lang w:val="fr-FR"/>
              </w:rPr>
              <w:t>Document établi par le Secrétariat</w:t>
            </w:r>
          </w:p>
        </w:tc>
      </w:tr>
      <w:tr w:rsidR="0053359D" w:rsidRPr="00FD1A95" w:rsidTr="00EA0588">
        <w:tc>
          <w:tcPr>
            <w:tcW w:w="2410" w:type="dxa"/>
          </w:tcPr>
          <w:p w:rsidR="00995E45" w:rsidRPr="00D67A9A" w:rsidRDefault="00995E45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491B4A" w:rsidRDefault="00491B4A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WIPO/ACE/9/5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491B4A" w:rsidRDefault="00491B4A" w:rsidP="00F72052">
            <w:pPr>
              <w:tabs>
                <w:tab w:val="left" w:pos="459"/>
              </w:tabs>
              <w:ind w:left="317"/>
              <w:rPr>
                <w:rFonts w:eastAsia="MS Mincho"/>
                <w:color w:val="000000"/>
                <w:szCs w:val="22"/>
                <w:lang w:val="fr-CH" w:eastAsia="ja-JP"/>
              </w:rPr>
            </w:pPr>
          </w:p>
          <w:p w:rsidR="00BD545E" w:rsidRPr="001B704E" w:rsidRDefault="001B704E" w:rsidP="00F72052">
            <w:pPr>
              <w:tabs>
                <w:tab w:val="left" w:pos="459"/>
              </w:tabs>
              <w:ind w:left="317"/>
              <w:rPr>
                <w:rFonts w:eastAsia="MS Mincho"/>
                <w:color w:val="000000"/>
                <w:szCs w:val="22"/>
                <w:lang w:val="fr-CH" w:eastAsia="ja-JP"/>
              </w:rPr>
            </w:pPr>
            <w:r w:rsidRPr="001B704E">
              <w:rPr>
                <w:rFonts w:eastAsia="MS Mincho"/>
                <w:color w:val="000000"/>
                <w:szCs w:val="22"/>
                <w:lang w:val="fr-CH" w:eastAsia="ja-JP"/>
              </w:rPr>
              <w:t xml:space="preserve">Modes extrajudiciaires de règlement préliminaire des litiges au </w:t>
            </w:r>
            <w:r w:rsidR="0053359D" w:rsidRPr="001B704E">
              <w:rPr>
                <w:rFonts w:eastAsia="MS Mincho"/>
                <w:color w:val="000000"/>
                <w:szCs w:val="22"/>
                <w:lang w:val="fr-CH" w:eastAsia="ja-JP"/>
              </w:rPr>
              <w:t>Cambod</w:t>
            </w:r>
            <w:r>
              <w:rPr>
                <w:rFonts w:eastAsia="MS Mincho"/>
                <w:color w:val="000000"/>
                <w:szCs w:val="22"/>
                <w:lang w:val="fr-CH" w:eastAsia="ja-JP"/>
              </w:rPr>
              <w:t>ge</w:t>
            </w:r>
          </w:p>
          <w:p w:rsidR="0053359D" w:rsidRPr="009B496C" w:rsidRDefault="001B704E" w:rsidP="001B704E">
            <w:pPr>
              <w:tabs>
                <w:tab w:val="left" w:pos="459"/>
              </w:tabs>
              <w:ind w:left="317"/>
              <w:rPr>
                <w:color w:val="000000"/>
                <w:szCs w:val="22"/>
                <w:lang w:val="fr-CH"/>
              </w:rPr>
            </w:pPr>
            <w:r w:rsidRPr="009B496C">
              <w:rPr>
                <w:rFonts w:eastAsia="MS Mincho"/>
                <w:i/>
                <w:szCs w:val="22"/>
                <w:lang w:val="fr-CH" w:eastAsia="ja-JP"/>
              </w:rPr>
              <w:t xml:space="preserve">Document établi par M. </w:t>
            </w:r>
            <w:r w:rsidR="004C6924" w:rsidRPr="009B496C">
              <w:rPr>
                <w:rFonts w:eastAsia="MS Mincho"/>
                <w:i/>
                <w:szCs w:val="22"/>
                <w:lang w:val="fr-CH" w:eastAsia="ja-JP"/>
              </w:rPr>
              <w:t>O</w:t>
            </w:r>
            <w:r w:rsidRPr="009B496C">
              <w:rPr>
                <w:rFonts w:eastAsia="MS Mincho"/>
                <w:i/>
                <w:szCs w:val="22"/>
                <w:lang w:val="fr-CH" w:eastAsia="ja-JP"/>
              </w:rPr>
              <w:t>p</w:t>
            </w:r>
            <w:r w:rsidR="004C6924" w:rsidRPr="009B496C">
              <w:rPr>
                <w:rFonts w:eastAsia="MS Mincho"/>
                <w:i/>
                <w:szCs w:val="22"/>
                <w:lang w:val="fr-CH" w:eastAsia="ja-JP"/>
              </w:rPr>
              <w:t xml:space="preserve"> </w:t>
            </w:r>
            <w:proofErr w:type="spellStart"/>
            <w:r w:rsidR="004C6924" w:rsidRPr="009B496C">
              <w:rPr>
                <w:rFonts w:eastAsia="MS Mincho"/>
                <w:i/>
                <w:szCs w:val="22"/>
                <w:lang w:val="fr-CH" w:eastAsia="ja-JP"/>
              </w:rPr>
              <w:t>Rady</w:t>
            </w:r>
            <w:proofErr w:type="spellEnd"/>
            <w:r w:rsidR="004C6924" w:rsidRPr="009B496C">
              <w:rPr>
                <w:rFonts w:eastAsia="MS Mincho"/>
                <w:i/>
                <w:szCs w:val="22"/>
                <w:lang w:val="fr-CH" w:eastAsia="ja-JP"/>
              </w:rPr>
              <w:t xml:space="preserve">, </w:t>
            </w:r>
            <w:r w:rsidRPr="009B496C">
              <w:rPr>
                <w:rFonts w:eastAsia="MS Mincho"/>
                <w:i/>
                <w:szCs w:val="22"/>
                <w:lang w:val="fr-CH" w:eastAsia="ja-JP"/>
              </w:rPr>
              <w:t>directeur adjoint du Département des droits de propriété i</w:t>
            </w:r>
            <w:r w:rsidR="004C6924" w:rsidRPr="009B496C">
              <w:rPr>
                <w:rFonts w:eastAsia="MS Mincho"/>
                <w:i/>
                <w:szCs w:val="22"/>
                <w:lang w:val="fr-CH" w:eastAsia="ja-JP"/>
              </w:rPr>
              <w:t>ntellectu</w:t>
            </w:r>
            <w:r w:rsidRPr="009B496C">
              <w:rPr>
                <w:rFonts w:eastAsia="MS Mincho"/>
                <w:i/>
                <w:szCs w:val="22"/>
                <w:lang w:val="fr-CH" w:eastAsia="ja-JP"/>
              </w:rPr>
              <w:t>e</w:t>
            </w:r>
            <w:r w:rsidR="004C6924" w:rsidRPr="009B496C">
              <w:rPr>
                <w:rFonts w:eastAsia="MS Mincho"/>
                <w:i/>
                <w:szCs w:val="22"/>
                <w:lang w:val="fr-CH" w:eastAsia="ja-JP"/>
              </w:rPr>
              <w:t>l</w:t>
            </w:r>
            <w:r w:rsidRPr="009B496C">
              <w:rPr>
                <w:rFonts w:eastAsia="MS Mincho"/>
                <w:i/>
                <w:szCs w:val="22"/>
                <w:lang w:val="fr-CH" w:eastAsia="ja-JP"/>
              </w:rPr>
              <w:t>le,</w:t>
            </w:r>
            <w:r w:rsidR="004C6924" w:rsidRPr="009B496C">
              <w:rPr>
                <w:rFonts w:eastAsia="MS Mincho"/>
                <w:i/>
                <w:szCs w:val="22"/>
                <w:lang w:val="fr-CH" w:eastAsia="ja-JP"/>
              </w:rPr>
              <w:t xml:space="preserve"> Minist</w:t>
            </w:r>
            <w:r w:rsidRPr="009B496C">
              <w:rPr>
                <w:rFonts w:eastAsia="MS Mincho"/>
                <w:i/>
                <w:szCs w:val="22"/>
                <w:lang w:val="fr-CH" w:eastAsia="ja-JP"/>
              </w:rPr>
              <w:t>ère du</w:t>
            </w:r>
            <w:r w:rsidR="004C6924" w:rsidRPr="009B496C">
              <w:rPr>
                <w:rFonts w:eastAsia="MS Mincho"/>
                <w:i/>
                <w:szCs w:val="22"/>
                <w:lang w:val="fr-CH" w:eastAsia="ja-JP"/>
              </w:rPr>
              <w:t xml:space="preserve"> </w:t>
            </w:r>
            <w:r w:rsidRPr="009B496C">
              <w:rPr>
                <w:rFonts w:eastAsia="MS Mincho"/>
                <w:i/>
                <w:szCs w:val="22"/>
                <w:lang w:val="fr-CH" w:eastAsia="ja-JP"/>
              </w:rPr>
              <w:t>c</w:t>
            </w:r>
            <w:r w:rsidR="004C6924" w:rsidRPr="009B496C">
              <w:rPr>
                <w:rFonts w:eastAsia="MS Mincho"/>
                <w:i/>
                <w:szCs w:val="22"/>
                <w:lang w:val="fr-CH" w:eastAsia="ja-JP"/>
              </w:rPr>
              <w:t>ommerce</w:t>
            </w:r>
            <w:r w:rsidR="004C6924" w:rsidRPr="009B496C">
              <w:rPr>
                <w:rFonts w:eastAsia="MS Mincho"/>
                <w:i/>
                <w:color w:val="000000"/>
                <w:szCs w:val="22"/>
                <w:lang w:val="fr-CH" w:eastAsia="ja-JP"/>
              </w:rPr>
              <w:t xml:space="preserve"> (Cambodge)</w:t>
            </w:r>
          </w:p>
        </w:tc>
      </w:tr>
      <w:tr w:rsidR="001E0C3B" w:rsidRPr="00FD1A95" w:rsidTr="00EA0588">
        <w:tc>
          <w:tcPr>
            <w:tcW w:w="2410" w:type="dxa"/>
          </w:tcPr>
          <w:p w:rsidR="001E0C3B" w:rsidRPr="009B496C" w:rsidRDefault="001E0C3B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1E0C3B" w:rsidRPr="009B496C" w:rsidRDefault="001E0C3B" w:rsidP="0053359D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6095" w:type="dxa"/>
          </w:tcPr>
          <w:p w:rsidR="001E0C3B" w:rsidRPr="009B496C" w:rsidRDefault="001E0C3B" w:rsidP="00F72052">
            <w:pPr>
              <w:tabs>
                <w:tab w:val="left" w:pos="459"/>
              </w:tabs>
              <w:ind w:left="317"/>
              <w:rPr>
                <w:rFonts w:eastAsia="MS Mincho"/>
                <w:color w:val="000000"/>
                <w:szCs w:val="22"/>
                <w:lang w:val="fr-CH" w:eastAsia="ja-JP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BD545E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WIPO/ACE/9/6</w:t>
            </w: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244CB9" w:rsidRPr="00F55FE3" w:rsidRDefault="00244CB9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WIPO/ACE/9/7</w:t>
            </w: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Pr="00D67A9A" w:rsidRDefault="006742AB" w:rsidP="00F72052">
            <w:pPr>
              <w:ind w:left="317"/>
              <w:rPr>
                <w:color w:val="000000"/>
                <w:szCs w:val="22"/>
                <w:lang w:val="fr-FR"/>
              </w:rPr>
            </w:pPr>
            <w:r w:rsidRPr="006742AB">
              <w:rPr>
                <w:szCs w:val="22"/>
                <w:lang w:val="fr-FR"/>
              </w:rPr>
              <w:t>Modes extrajudiciaires de règlement des litiges en matière de droit d’auteur au Mexique</w:t>
            </w:r>
            <w:r w:rsidRPr="00D67A9A">
              <w:rPr>
                <w:color w:val="000000"/>
                <w:szCs w:val="22"/>
                <w:lang w:val="fr-FR"/>
              </w:rPr>
              <w:t xml:space="preserve"> </w:t>
            </w:r>
          </w:p>
          <w:p w:rsidR="00BD545E" w:rsidRDefault="006742AB" w:rsidP="004C6924">
            <w:pPr>
              <w:ind w:left="317"/>
              <w:rPr>
                <w:i/>
                <w:szCs w:val="22"/>
                <w:lang w:val="fr-FR"/>
              </w:rPr>
            </w:pPr>
            <w:r w:rsidRPr="006742AB">
              <w:rPr>
                <w:i/>
                <w:szCs w:val="22"/>
                <w:lang w:val="fr-FR"/>
              </w:rPr>
              <w:t xml:space="preserve">Document établi par M. Manuel Guerra </w:t>
            </w:r>
            <w:proofErr w:type="spellStart"/>
            <w:r w:rsidRPr="006742AB">
              <w:rPr>
                <w:i/>
                <w:szCs w:val="22"/>
                <w:lang w:val="fr-FR"/>
              </w:rPr>
              <w:t>Zamarro</w:t>
            </w:r>
            <w:proofErr w:type="spellEnd"/>
            <w:r w:rsidRPr="006742AB">
              <w:rPr>
                <w:i/>
                <w:szCs w:val="22"/>
                <w:lang w:val="fr-FR"/>
              </w:rPr>
              <w:t xml:space="preserve">, </w:t>
            </w:r>
            <w:r>
              <w:rPr>
                <w:i/>
                <w:szCs w:val="22"/>
                <w:lang w:val="fr-FR"/>
              </w:rPr>
              <w:t>d</w:t>
            </w:r>
            <w:r w:rsidRPr="006742AB">
              <w:rPr>
                <w:i/>
                <w:szCs w:val="22"/>
                <w:lang w:val="fr-FR"/>
              </w:rPr>
              <w:t>irecteur général de l’Institut national du droit d’auteur (INDAUTOR) du Mexique</w:t>
            </w:r>
          </w:p>
          <w:p w:rsidR="00244CB9" w:rsidRPr="006742AB" w:rsidRDefault="00244CB9" w:rsidP="004C6924">
            <w:pPr>
              <w:ind w:left="317"/>
              <w:rPr>
                <w:i/>
                <w:color w:val="000000"/>
                <w:szCs w:val="22"/>
                <w:lang w:val="fr-FR"/>
              </w:rPr>
            </w:pPr>
          </w:p>
          <w:p w:rsidR="00DE571A" w:rsidRDefault="00DE571A" w:rsidP="004C6924">
            <w:pPr>
              <w:ind w:left="317"/>
              <w:rPr>
                <w:color w:val="000000"/>
                <w:szCs w:val="22"/>
                <w:lang w:val="fr-FR"/>
              </w:rPr>
            </w:pPr>
            <w:r w:rsidRPr="00DE571A">
              <w:rPr>
                <w:color w:val="000000"/>
                <w:szCs w:val="22"/>
                <w:lang w:val="fr-FR"/>
              </w:rPr>
              <w:t>Les modes extrajudiciaires de règlement des litiges relatifs aux droits de propriété intellectuelle en République de Corée</w:t>
            </w:r>
          </w:p>
          <w:p w:rsidR="0053359D" w:rsidRPr="00D67A9A" w:rsidRDefault="00DE571A" w:rsidP="001E0C3B">
            <w:pPr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color w:val="000000"/>
                <w:szCs w:val="22"/>
                <w:lang w:val="fr-FR"/>
              </w:rPr>
              <w:t xml:space="preserve">Document établi par </w:t>
            </w:r>
            <w:r w:rsidRPr="00DE571A">
              <w:rPr>
                <w:i/>
                <w:color w:val="000000"/>
                <w:szCs w:val="22"/>
                <w:lang w:val="fr-FR"/>
              </w:rPr>
              <w:t xml:space="preserve">Mme Yang </w:t>
            </w:r>
            <w:proofErr w:type="spellStart"/>
            <w:r w:rsidRPr="00DE571A">
              <w:rPr>
                <w:i/>
                <w:color w:val="000000"/>
                <w:szCs w:val="22"/>
                <w:lang w:val="fr-FR"/>
              </w:rPr>
              <w:t>Jeonghwa</w:t>
            </w:r>
            <w:proofErr w:type="spellEnd"/>
            <w:r w:rsidRPr="00DE571A">
              <w:rPr>
                <w:i/>
                <w:color w:val="000000"/>
                <w:szCs w:val="22"/>
                <w:lang w:val="fr-FR"/>
              </w:rPr>
              <w:t>, vice</w:t>
            </w:r>
            <w:r>
              <w:rPr>
                <w:i/>
                <w:color w:val="000000"/>
                <w:szCs w:val="22"/>
                <w:lang w:val="fr-FR"/>
              </w:rPr>
              <w:noBreakHyphen/>
            </w:r>
            <w:r w:rsidRPr="00DE571A">
              <w:rPr>
                <w:i/>
                <w:color w:val="000000"/>
                <w:szCs w:val="22"/>
                <w:lang w:val="fr-FR"/>
              </w:rPr>
              <w:t>directrice, Division des affaires multilatérales, Office coréen de la propriété intellectuelle (KIPO) (République de Corée)</w:t>
            </w:r>
          </w:p>
        </w:tc>
      </w:tr>
      <w:tr w:rsidR="001E0C3B" w:rsidRPr="00FD1A95" w:rsidTr="00EA0588">
        <w:tc>
          <w:tcPr>
            <w:tcW w:w="2410" w:type="dxa"/>
          </w:tcPr>
          <w:p w:rsidR="001E0C3B" w:rsidRPr="00F55FE3" w:rsidRDefault="001E0C3B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1E0C3B" w:rsidRPr="00D67A9A" w:rsidRDefault="001E0C3B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1E0C3B" w:rsidRPr="006742AB" w:rsidRDefault="001E0C3B" w:rsidP="00F72052">
            <w:pPr>
              <w:ind w:left="317"/>
              <w:rPr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BD545E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WIPO/ACE/9/8</w:t>
            </w: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BD545E" w:rsidRPr="00F55FE3" w:rsidRDefault="00BD545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2F7621" w:rsidRPr="00F55FE3" w:rsidRDefault="002F7621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491B4A" w:rsidRPr="00F55FE3" w:rsidRDefault="00491B4A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WIPO/ACE/9/9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Pr="002F7621" w:rsidRDefault="002F7621" w:rsidP="004C6924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fr-FR" w:eastAsia="ja-JP"/>
              </w:rPr>
            </w:pPr>
            <w:r w:rsidRPr="002F7621">
              <w:rPr>
                <w:caps/>
                <w:szCs w:val="22"/>
                <w:lang w:val="fr-FR"/>
              </w:rPr>
              <w:t>P</w:t>
            </w:r>
            <w:r w:rsidRPr="002F7621">
              <w:rPr>
                <w:szCs w:val="22"/>
                <w:lang w:val="fr-FR"/>
              </w:rPr>
              <w:t>ratiques et fonctionnement des systèmes</w:t>
            </w:r>
            <w:r w:rsidR="00EA3D1A">
              <w:rPr>
                <w:szCs w:val="22"/>
                <w:lang w:val="fr-FR"/>
              </w:rPr>
              <w:t xml:space="preserve"> de règlement</w:t>
            </w:r>
            <w:r w:rsidRPr="002F7621">
              <w:rPr>
                <w:szCs w:val="22"/>
                <w:lang w:val="fr-FR"/>
              </w:rPr>
              <w:t xml:space="preserve"> extrajudiciaire des litiges en matière de droit d’a</w:t>
            </w:r>
            <w:r>
              <w:rPr>
                <w:szCs w:val="22"/>
                <w:lang w:val="fr-FR"/>
              </w:rPr>
              <w:t>uteur et de droits connexes en E</w:t>
            </w:r>
            <w:r w:rsidRPr="002F7621">
              <w:rPr>
                <w:szCs w:val="22"/>
                <w:lang w:val="fr-FR"/>
              </w:rPr>
              <w:t>spagne</w:t>
            </w:r>
          </w:p>
          <w:p w:rsidR="00BD545E" w:rsidRPr="00D67A9A" w:rsidRDefault="002F7621" w:rsidP="004C6924">
            <w:pPr>
              <w:tabs>
                <w:tab w:val="left" w:pos="317"/>
              </w:tabs>
              <w:ind w:left="317"/>
              <w:rPr>
                <w:color w:val="000000"/>
                <w:szCs w:val="22"/>
                <w:lang w:val="fr-FR"/>
              </w:rPr>
            </w:pPr>
            <w:r w:rsidRPr="002F7621">
              <w:rPr>
                <w:i/>
                <w:szCs w:val="22"/>
                <w:lang w:val="fr-FR"/>
              </w:rPr>
              <w:t>Document établi par M.</w:t>
            </w:r>
            <w:r>
              <w:rPr>
                <w:i/>
                <w:sz w:val="24"/>
                <w:lang w:val="fr-FR"/>
              </w:rPr>
              <w:t> </w:t>
            </w:r>
            <w:proofErr w:type="spellStart"/>
            <w:r w:rsidRPr="0079427E">
              <w:rPr>
                <w:i/>
                <w:lang w:val="fr-FR"/>
              </w:rPr>
              <w:t>Raúl</w:t>
            </w:r>
            <w:proofErr w:type="spellEnd"/>
            <w:r w:rsidRPr="0079427E">
              <w:rPr>
                <w:i/>
                <w:lang w:val="fr-FR"/>
              </w:rPr>
              <w:t xml:space="preserve"> </w:t>
            </w:r>
            <w:proofErr w:type="spellStart"/>
            <w:r w:rsidRPr="0079427E">
              <w:rPr>
                <w:i/>
                <w:lang w:val="fr-FR"/>
              </w:rPr>
              <w:t>Rodríguez</w:t>
            </w:r>
            <w:proofErr w:type="spellEnd"/>
            <w:r w:rsidRPr="0079427E">
              <w:rPr>
                <w:i/>
                <w:lang w:val="fr-FR"/>
              </w:rPr>
              <w:t xml:space="preserve"> </w:t>
            </w:r>
            <w:proofErr w:type="spellStart"/>
            <w:r w:rsidRPr="0079427E">
              <w:rPr>
                <w:i/>
                <w:lang w:val="fr-FR"/>
              </w:rPr>
              <w:t>Porras</w:t>
            </w:r>
            <w:proofErr w:type="spellEnd"/>
            <w:r w:rsidRPr="0079427E">
              <w:rPr>
                <w:i/>
                <w:lang w:val="fr-FR"/>
              </w:rPr>
              <w:t>, conseiller juridique principal et secrétaire de la Première Section de la Commission de la propriété intellectu</w:t>
            </w:r>
            <w:r>
              <w:rPr>
                <w:i/>
                <w:lang w:val="fr-FR"/>
              </w:rPr>
              <w:t>e</w:t>
            </w:r>
            <w:r w:rsidRPr="0079427E">
              <w:rPr>
                <w:i/>
                <w:lang w:val="fr-FR"/>
              </w:rPr>
              <w:t>lle, Sous</w:t>
            </w:r>
            <w:r>
              <w:rPr>
                <w:i/>
                <w:lang w:val="fr-FR"/>
              </w:rPr>
              <w:t>-</w:t>
            </w:r>
            <w:r w:rsidRPr="0079427E">
              <w:rPr>
                <w:i/>
                <w:lang w:val="fr-FR"/>
              </w:rPr>
              <w:t xml:space="preserve">direction générale de la propriété intellectuelle </w:t>
            </w:r>
            <w:r>
              <w:rPr>
                <w:i/>
                <w:lang w:val="fr-FR"/>
              </w:rPr>
              <w:t>(Espagne)</w:t>
            </w:r>
          </w:p>
          <w:p w:rsidR="00491B4A" w:rsidRDefault="00491B4A" w:rsidP="00F72052">
            <w:pPr>
              <w:ind w:left="317"/>
              <w:rPr>
                <w:color w:val="000000"/>
                <w:szCs w:val="22"/>
                <w:lang w:val="fr-FR"/>
              </w:rPr>
            </w:pPr>
          </w:p>
          <w:p w:rsidR="00BD545E" w:rsidRPr="00D67A9A" w:rsidRDefault="0053359D" w:rsidP="00F72052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fr-FR" w:eastAsia="ja-JP"/>
              </w:rPr>
            </w:pPr>
            <w:r w:rsidRPr="00D67A9A">
              <w:rPr>
                <w:rFonts w:eastAsia="MS Mincho"/>
                <w:color w:val="000000"/>
                <w:szCs w:val="22"/>
                <w:lang w:val="fr-FR" w:eastAsia="ja-JP"/>
              </w:rPr>
              <w:t>R</w:t>
            </w:r>
            <w:r w:rsidR="00364489">
              <w:rPr>
                <w:rFonts w:eastAsia="MS Mincho"/>
                <w:color w:val="000000"/>
                <w:szCs w:val="22"/>
                <w:lang w:val="fr-FR" w:eastAsia="ja-JP"/>
              </w:rPr>
              <w:t>ésolution des problèmes relatifs à la propriété intell</w:t>
            </w:r>
            <w:r w:rsidR="0067501F">
              <w:rPr>
                <w:rFonts w:eastAsia="MS Mincho"/>
                <w:color w:val="000000"/>
                <w:szCs w:val="22"/>
                <w:lang w:val="fr-FR" w:eastAsia="ja-JP"/>
              </w:rPr>
              <w:t>ectuelle par le règlement extra</w:t>
            </w:r>
            <w:r w:rsidR="00364489">
              <w:rPr>
                <w:rFonts w:eastAsia="MS Mincho"/>
                <w:color w:val="000000"/>
                <w:szCs w:val="22"/>
                <w:lang w:val="fr-FR" w:eastAsia="ja-JP"/>
              </w:rPr>
              <w:t xml:space="preserve">judiciaire des litiges </w:t>
            </w:r>
          </w:p>
          <w:p w:rsidR="0053359D" w:rsidRPr="00D67A9A" w:rsidRDefault="00894897" w:rsidP="0067501F">
            <w:pPr>
              <w:tabs>
                <w:tab w:val="left" w:pos="317"/>
              </w:tabs>
              <w:ind w:left="317"/>
              <w:rPr>
                <w:color w:val="000000"/>
                <w:szCs w:val="22"/>
                <w:lang w:val="fr-FR"/>
              </w:rPr>
            </w:pPr>
            <w:r>
              <w:rPr>
                <w:rFonts w:eastAsia="MS Mincho"/>
                <w:i/>
                <w:szCs w:val="22"/>
                <w:lang w:val="fr-FR" w:eastAsia="ja-JP"/>
              </w:rPr>
              <w:t xml:space="preserve">Document établi par </w:t>
            </w:r>
            <w:r w:rsidR="00B05537">
              <w:rPr>
                <w:rFonts w:eastAsia="MS Mincho"/>
                <w:i/>
                <w:szCs w:val="22"/>
                <w:lang w:val="fr-FR" w:eastAsia="ja-JP"/>
              </w:rPr>
              <w:t xml:space="preserve">M. </w:t>
            </w:r>
            <w:r w:rsidR="004C6924" w:rsidRPr="00D67A9A">
              <w:rPr>
                <w:rFonts w:eastAsia="MS Mincho"/>
                <w:i/>
                <w:szCs w:val="22"/>
                <w:lang w:val="fr-FR" w:eastAsia="ja-JP"/>
              </w:rPr>
              <w:t>Thomas D.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Barton, p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rofess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>eu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r 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de droit et codirecteur du 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Cent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er for </w:t>
            </w:r>
            <w:proofErr w:type="spellStart"/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>Creative</w:t>
            </w:r>
            <w:proofErr w:type="spellEnd"/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</w:t>
            </w:r>
            <w:proofErr w:type="spellStart"/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>Problem</w:t>
            </w:r>
            <w:proofErr w:type="spellEnd"/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</w:t>
            </w:r>
            <w:proofErr w:type="spellStart"/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>Solving</w:t>
            </w:r>
            <w:proofErr w:type="spellEnd"/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et par </w:t>
            </w:r>
            <w:r w:rsidR="00B05537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m. 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>James M. Cooper, p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rofess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>eu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r 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de droit et codirecteur du 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Center for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Creative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Problem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Solving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,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California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Western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School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of Law (États-Unis d</w:t>
            </w:r>
            <w:r w:rsidR="00A75B32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’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Amérique)</w:t>
            </w:r>
          </w:p>
        </w:tc>
      </w:tr>
      <w:tr w:rsidR="00491B4A" w:rsidRPr="00FD1A95" w:rsidTr="00EA0588">
        <w:tc>
          <w:tcPr>
            <w:tcW w:w="2410" w:type="dxa"/>
          </w:tcPr>
          <w:p w:rsidR="00491B4A" w:rsidRPr="00F55FE3" w:rsidRDefault="00491B4A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491B4A" w:rsidRPr="00D67A9A" w:rsidRDefault="00491B4A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491B4A" w:rsidRPr="002F7621" w:rsidRDefault="00491B4A" w:rsidP="004C6924">
            <w:pPr>
              <w:tabs>
                <w:tab w:val="left" w:pos="317"/>
              </w:tabs>
              <w:ind w:left="317"/>
              <w:rPr>
                <w:caps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WIPO/ACE/9/10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9B496C" w:rsidRPr="009B496C" w:rsidRDefault="0053359D" w:rsidP="009B496C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fr-CH" w:eastAsia="ja-JP"/>
              </w:rPr>
            </w:pPr>
            <w:r w:rsidRPr="009B496C">
              <w:rPr>
                <w:rFonts w:eastAsia="MS Mincho"/>
                <w:color w:val="000000"/>
                <w:szCs w:val="22"/>
                <w:lang w:val="fr-CH" w:eastAsia="ja-JP"/>
              </w:rPr>
              <w:t>Prati</w:t>
            </w:r>
            <w:r w:rsidR="009B496C" w:rsidRPr="009B496C">
              <w:rPr>
                <w:rFonts w:eastAsia="MS Mincho"/>
                <w:color w:val="000000"/>
                <w:szCs w:val="22"/>
                <w:lang w:val="fr-CH" w:eastAsia="ja-JP"/>
              </w:rPr>
              <w:t>qu</w:t>
            </w:r>
            <w:r w:rsidRPr="009B496C">
              <w:rPr>
                <w:rFonts w:eastAsia="MS Mincho"/>
                <w:color w:val="000000"/>
                <w:szCs w:val="22"/>
                <w:lang w:val="fr-CH" w:eastAsia="ja-JP"/>
              </w:rPr>
              <w:t xml:space="preserve">es </w:t>
            </w:r>
            <w:r w:rsidR="009B496C" w:rsidRPr="009B496C">
              <w:rPr>
                <w:rFonts w:eastAsia="MS Mincho"/>
                <w:color w:val="000000"/>
                <w:szCs w:val="22"/>
                <w:lang w:val="fr-CH" w:eastAsia="ja-JP"/>
              </w:rPr>
              <w:t>en matière de règlement extrajudiciaire des litiges dans différents domaines de la propriété i</w:t>
            </w:r>
            <w:r w:rsidRPr="009B496C">
              <w:rPr>
                <w:rFonts w:eastAsia="MS Mincho"/>
                <w:color w:val="000000"/>
                <w:szCs w:val="22"/>
                <w:lang w:val="fr-CH" w:eastAsia="ja-JP"/>
              </w:rPr>
              <w:t>ntellectu</w:t>
            </w:r>
            <w:r w:rsidR="009B496C" w:rsidRPr="009B496C">
              <w:rPr>
                <w:rFonts w:eastAsia="MS Mincho"/>
                <w:color w:val="000000"/>
                <w:szCs w:val="22"/>
                <w:lang w:val="fr-CH" w:eastAsia="ja-JP"/>
              </w:rPr>
              <w:t>elle</w:t>
            </w:r>
            <w:r w:rsidR="009B496C">
              <w:rPr>
                <w:rFonts w:eastAsia="MS Mincho"/>
                <w:color w:val="000000"/>
                <w:szCs w:val="22"/>
                <w:lang w:val="fr-CH" w:eastAsia="ja-JP"/>
              </w:rPr>
              <w:t xml:space="preserve"> et leur mise en œuvre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9B496C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53359D" w:rsidRPr="009B496C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6095" w:type="dxa"/>
          </w:tcPr>
          <w:p w:rsidR="0053359D" w:rsidRPr="00D67A9A" w:rsidRDefault="009B496C" w:rsidP="00DD3052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fr-FR" w:eastAsia="ja-JP"/>
              </w:rPr>
            </w:pPr>
            <w:r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Document établi par </w:t>
            </w:r>
            <w:r w:rsidR="00DD3052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Dr. 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Michael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Groß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, Fraunhofer-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Gesellschaft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, Munich (Allemagne)</w:t>
            </w:r>
          </w:p>
        </w:tc>
      </w:tr>
      <w:tr w:rsidR="004A3359" w:rsidRPr="00FD1A95" w:rsidTr="00EA0588">
        <w:tc>
          <w:tcPr>
            <w:tcW w:w="2410" w:type="dxa"/>
          </w:tcPr>
          <w:p w:rsidR="004A3359" w:rsidRPr="009B496C" w:rsidRDefault="004A3359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4A3359" w:rsidRPr="009B496C" w:rsidRDefault="004A3359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6095" w:type="dxa"/>
          </w:tcPr>
          <w:p w:rsidR="004A3359" w:rsidRDefault="004A3359" w:rsidP="004C6924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fr-FR" w:eastAsia="ja-JP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WIPO/ACE/9/11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Default="00853964" w:rsidP="00F72052">
            <w:pPr>
              <w:tabs>
                <w:tab w:val="left" w:pos="317"/>
              </w:tabs>
              <w:ind w:left="317"/>
              <w:rPr>
                <w:lang w:val="fr-FR"/>
              </w:rPr>
            </w:pPr>
            <w:r w:rsidRPr="00853964">
              <w:rPr>
                <w:lang w:val="fr-FR"/>
              </w:rPr>
              <w:t xml:space="preserve">Actions, mesures ou </w:t>
            </w:r>
            <w:r>
              <w:rPr>
                <w:lang w:val="fr-FR"/>
              </w:rPr>
              <w:t>expériences réussies en matière de prévention visant à complé</w:t>
            </w:r>
            <w:r w:rsidRPr="00853964">
              <w:rPr>
                <w:lang w:val="fr-FR"/>
              </w:rPr>
              <w:t xml:space="preserve">ter les mesures </w:t>
            </w:r>
            <w:r w:rsidR="00B652E3">
              <w:rPr>
                <w:lang w:val="fr-FR"/>
              </w:rPr>
              <w:t xml:space="preserve">en vigueur </w:t>
            </w:r>
            <w:r w:rsidRPr="00853964">
              <w:rPr>
                <w:lang w:val="fr-FR"/>
              </w:rPr>
              <w:t>d’application</w:t>
            </w:r>
            <w:r>
              <w:rPr>
                <w:lang w:val="fr-FR"/>
              </w:rPr>
              <w:t xml:space="preserve"> des droits, de maniè</w:t>
            </w:r>
            <w:r w:rsidRPr="00853964">
              <w:rPr>
                <w:lang w:val="fr-FR"/>
              </w:rPr>
              <w:t xml:space="preserve">re </w:t>
            </w:r>
            <w:r>
              <w:rPr>
                <w:lang w:val="fr-FR"/>
              </w:rPr>
              <w:t>à</w:t>
            </w:r>
            <w:r w:rsidRPr="00853964">
              <w:rPr>
                <w:lang w:val="fr-FR"/>
              </w:rPr>
              <w:t xml:space="preserve"> réduire la taille du march</w:t>
            </w:r>
            <w:r>
              <w:rPr>
                <w:lang w:val="fr-FR"/>
              </w:rPr>
              <w:t>é</w:t>
            </w:r>
            <w:r w:rsidRPr="00853964">
              <w:rPr>
                <w:lang w:val="fr-FR"/>
              </w:rPr>
              <w:t xml:space="preserve"> pour les produits contrefaisants ou pirates</w:t>
            </w:r>
          </w:p>
          <w:p w:rsidR="0053359D" w:rsidRPr="002822FE" w:rsidRDefault="009B496C" w:rsidP="002822FE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fr-FR" w:eastAsia="ja-JP"/>
              </w:rPr>
            </w:pPr>
            <w:r>
              <w:rPr>
                <w:i/>
                <w:lang w:val="fr-FR"/>
              </w:rPr>
              <w:t>Document établi par le Secrétariat</w:t>
            </w:r>
          </w:p>
        </w:tc>
      </w:tr>
      <w:tr w:rsidR="002822FE" w:rsidRPr="00FD1A95" w:rsidTr="00EA0588">
        <w:tc>
          <w:tcPr>
            <w:tcW w:w="2410" w:type="dxa"/>
          </w:tcPr>
          <w:p w:rsidR="002822FE" w:rsidRPr="00F55FE3" w:rsidRDefault="002822FE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2822FE" w:rsidRPr="00D67A9A" w:rsidRDefault="002822FE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2822FE" w:rsidRPr="00853964" w:rsidRDefault="002822FE" w:rsidP="00F72052">
            <w:pPr>
              <w:tabs>
                <w:tab w:val="left" w:pos="317"/>
              </w:tabs>
              <w:ind w:left="317"/>
              <w:rPr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491B4A" w:rsidRDefault="00491B4A" w:rsidP="002822FE">
            <w:pPr>
              <w:keepNext/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53359D" w:rsidRPr="00F55FE3" w:rsidRDefault="0053359D" w:rsidP="002822FE">
            <w:pPr>
              <w:keepNext/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WIPO/ACE/9/12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491B4A" w:rsidRDefault="00491B4A" w:rsidP="001E0C3B">
            <w:pPr>
              <w:tabs>
                <w:tab w:val="left" w:pos="317"/>
              </w:tabs>
              <w:ind w:left="317"/>
              <w:rPr>
                <w:szCs w:val="22"/>
                <w:lang w:val="fr-FR"/>
              </w:rPr>
            </w:pPr>
          </w:p>
          <w:p w:rsidR="0053359D" w:rsidRPr="001E0C3B" w:rsidRDefault="001E0C3B" w:rsidP="001E0C3B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fr-FR" w:eastAsia="ja-JP"/>
              </w:rPr>
            </w:pPr>
            <w:r w:rsidRPr="001E0C3B">
              <w:rPr>
                <w:szCs w:val="22"/>
                <w:lang w:val="fr-FR"/>
              </w:rPr>
              <w:t>L’expérience du Costa Rica : le projet national “Créer une culture de respect de la propriété intellectuelle”</w:t>
            </w:r>
            <w:r w:rsidRPr="001E0C3B">
              <w:rPr>
                <w:rFonts w:eastAsia="MS Mincho"/>
                <w:color w:val="000000"/>
                <w:szCs w:val="22"/>
                <w:lang w:val="fr-FR" w:eastAsia="ja-JP"/>
              </w:rPr>
              <w:t xml:space="preserve"> </w:t>
            </w:r>
          </w:p>
          <w:p w:rsidR="001E0C3B" w:rsidRPr="00D67A9A" w:rsidRDefault="009B496C" w:rsidP="001952CF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fr-FR" w:eastAsia="ja-JP"/>
              </w:rPr>
            </w:pPr>
            <w:r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Document établi par </w:t>
            </w:r>
            <w:r w:rsidR="00D26819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M. </w:t>
            </w:r>
            <w:r w:rsidRPr="009B496C">
              <w:rPr>
                <w:rFonts w:eastAsia="MS Mincho"/>
                <w:i/>
                <w:color w:val="000000"/>
                <w:szCs w:val="22"/>
                <w:lang w:val="fr-FR" w:eastAsia="ja-JP"/>
              </w:rPr>
              <w:t>Luis Jiménez S</w:t>
            </w:r>
            <w:r w:rsidR="001952CF">
              <w:rPr>
                <w:rFonts w:eastAsia="MS Mincho"/>
                <w:i/>
                <w:color w:val="000000"/>
                <w:szCs w:val="22"/>
                <w:lang w:val="fr-FR" w:eastAsia="ja-JP"/>
              </w:rPr>
              <w:t>a</w:t>
            </w:r>
            <w:r w:rsidRPr="009B496C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nchez, </w:t>
            </w:r>
            <w:r w:rsidR="006D3465">
              <w:rPr>
                <w:rFonts w:eastAsia="MS Mincho"/>
                <w:i/>
                <w:color w:val="000000"/>
                <w:szCs w:val="22"/>
                <w:lang w:val="fr-FR" w:eastAsia="ja-JP"/>
              </w:rPr>
              <w:t>d</w:t>
            </w:r>
            <w:r w:rsidR="00D26819" w:rsidRPr="00D26819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irecteur général adjoint de l’Office national du Costa Rica, et </w:t>
            </w:r>
            <w:r w:rsidR="006D3465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Mme </w:t>
            </w:r>
            <w:r w:rsidR="00D26819" w:rsidRPr="00D26819">
              <w:rPr>
                <w:rFonts w:eastAsia="MS Mincho"/>
                <w:i/>
                <w:color w:val="000000"/>
                <w:szCs w:val="22"/>
                <w:lang w:val="fr-FR" w:eastAsia="ja-JP"/>
              </w:rPr>
              <w:t>Gabriela </w:t>
            </w:r>
            <w:proofErr w:type="spellStart"/>
            <w:r w:rsidR="00D26819" w:rsidRPr="00D26819">
              <w:rPr>
                <w:rFonts w:eastAsia="MS Mincho"/>
                <w:i/>
                <w:color w:val="000000"/>
                <w:szCs w:val="22"/>
                <w:lang w:val="fr-FR" w:eastAsia="ja-JP"/>
              </w:rPr>
              <w:t>Zúñiga</w:t>
            </w:r>
            <w:proofErr w:type="spellEnd"/>
            <w:r w:rsidR="00D26819" w:rsidRPr="00D26819">
              <w:rPr>
                <w:rFonts w:eastAsia="MS Mincho"/>
                <w:i/>
                <w:color w:val="000000"/>
                <w:szCs w:val="22"/>
                <w:lang w:val="fr-FR" w:eastAsia="ja-JP"/>
              </w:rPr>
              <w:t> </w:t>
            </w:r>
            <w:proofErr w:type="spellStart"/>
            <w:r w:rsidR="00D26819" w:rsidRPr="00D26819">
              <w:rPr>
                <w:rFonts w:eastAsia="MS Mincho"/>
                <w:i/>
                <w:color w:val="000000"/>
                <w:szCs w:val="22"/>
                <w:lang w:val="fr-FR" w:eastAsia="ja-JP"/>
              </w:rPr>
              <w:t>Bermúdez</w:t>
            </w:r>
            <w:proofErr w:type="spellEnd"/>
            <w:r w:rsidR="00D26819" w:rsidRPr="00D26819">
              <w:rPr>
                <w:rFonts w:eastAsia="MS Mincho"/>
                <w:i/>
                <w:color w:val="000000"/>
                <w:szCs w:val="22"/>
                <w:lang w:val="fr-FR" w:eastAsia="ja-JP"/>
              </w:rPr>
              <w:t>, chef du Département des prévisions institutionnelles de l’Office national du Costa Rica</w:t>
            </w:r>
          </w:p>
        </w:tc>
      </w:tr>
      <w:tr w:rsidR="001E0C3B" w:rsidRPr="00FD1A95" w:rsidTr="00EA0588">
        <w:tc>
          <w:tcPr>
            <w:tcW w:w="2410" w:type="dxa"/>
          </w:tcPr>
          <w:p w:rsidR="001E0C3B" w:rsidRPr="001E0C3B" w:rsidRDefault="001E0C3B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highlight w:val="yellow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1E0C3B" w:rsidRPr="00D67A9A" w:rsidRDefault="001E0C3B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1E0C3B" w:rsidRDefault="001E0C3B" w:rsidP="001E0C3B">
            <w:pPr>
              <w:tabs>
                <w:tab w:val="left" w:pos="317"/>
              </w:tabs>
              <w:ind w:left="317"/>
              <w:rPr>
                <w:sz w:val="24"/>
                <w:szCs w:val="24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WIPO/ACE/9/13</w:t>
            </w:r>
          </w:p>
        </w:tc>
        <w:tc>
          <w:tcPr>
            <w:tcW w:w="567" w:type="dxa"/>
            <w:gridSpan w:val="2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6700BF" w:rsidP="00724B89">
            <w:pPr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fr-FR" w:eastAsia="ja-JP"/>
              </w:rPr>
            </w:pPr>
            <w:r>
              <w:rPr>
                <w:lang w:val="fr-FR"/>
              </w:rPr>
              <w:t>Campagne de sensibilisation “Culture</w:t>
            </w:r>
            <w:r w:rsidR="00724B89">
              <w:rPr>
                <w:lang w:val="fr-FR"/>
              </w:rPr>
              <w:t xml:space="preserve"> légale</w:t>
            </w:r>
            <w:r>
              <w:rPr>
                <w:lang w:val="fr-FR"/>
              </w:rPr>
              <w:t>”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EA0588" w:rsidRPr="00D67A9A" w:rsidRDefault="003315CE" w:rsidP="003315CE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fr-FR" w:eastAsia="ja-JP"/>
              </w:rPr>
            </w:pPr>
            <w:r>
              <w:rPr>
                <w:rFonts w:eastAsia="MS Mincho"/>
                <w:i/>
                <w:color w:val="000000"/>
                <w:szCs w:val="22"/>
                <w:lang w:val="fr-FR" w:eastAsia="ja-JP"/>
              </w:rPr>
              <w:t>Document établi par la</w:t>
            </w:r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Fundacja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Legalna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</w:t>
            </w:r>
            <w:proofErr w:type="spellStart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Kultura</w:t>
            </w:r>
            <w:proofErr w:type="spellEnd"/>
            <w:r w:rsidR="004C6924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(Pologne)</w:t>
            </w:r>
          </w:p>
        </w:tc>
      </w:tr>
      <w:tr w:rsidR="001E0C3B" w:rsidRPr="00FD1A95" w:rsidTr="00EA0588">
        <w:tc>
          <w:tcPr>
            <w:tcW w:w="2410" w:type="dxa"/>
          </w:tcPr>
          <w:p w:rsidR="001E0C3B" w:rsidRPr="00F55FE3" w:rsidRDefault="001E0C3B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1E0C3B" w:rsidRPr="00F55FE3" w:rsidRDefault="001E0C3B" w:rsidP="00F72052">
            <w:pPr>
              <w:tabs>
                <w:tab w:val="left" w:pos="34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1E0C3B" w:rsidRPr="00D67A9A" w:rsidRDefault="001E0C3B" w:rsidP="001E0C3B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fr-FR" w:eastAsia="ja-JP"/>
              </w:rPr>
            </w:pP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F55FE3" w:rsidRDefault="0053359D" w:rsidP="001E0C3B">
            <w:pPr>
              <w:keepNext/>
              <w:keepLines/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WIPO/ACE/9/14</w:t>
            </w:r>
          </w:p>
        </w:tc>
        <w:tc>
          <w:tcPr>
            <w:tcW w:w="557" w:type="dxa"/>
          </w:tcPr>
          <w:p w:rsidR="0053359D" w:rsidRPr="00D67A9A" w:rsidRDefault="0053359D" w:rsidP="001E0C3B">
            <w:pPr>
              <w:keepNext/>
              <w:keepLines/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3315CE">
            <w:pPr>
              <w:keepNext/>
              <w:keepLines/>
              <w:tabs>
                <w:tab w:val="left" w:pos="317"/>
              </w:tabs>
              <w:ind w:left="317"/>
              <w:rPr>
                <w:rFonts w:eastAsia="MS Mincho"/>
                <w:color w:val="000000"/>
                <w:szCs w:val="22"/>
                <w:lang w:val="fr-FR" w:eastAsia="ja-JP"/>
              </w:rPr>
            </w:pPr>
            <w:r w:rsidRPr="00D67A9A">
              <w:rPr>
                <w:rFonts w:eastAsia="MS Mincho"/>
                <w:color w:val="000000"/>
                <w:szCs w:val="22"/>
                <w:lang w:val="fr-FR" w:eastAsia="ja-JP"/>
              </w:rPr>
              <w:t>P</w:t>
            </w:r>
            <w:r w:rsidR="0067501F">
              <w:rPr>
                <w:rFonts w:eastAsia="MS Mincho"/>
                <w:color w:val="000000"/>
                <w:szCs w:val="22"/>
                <w:lang w:val="fr-FR" w:eastAsia="ja-JP"/>
              </w:rPr>
              <w:t xml:space="preserve">rojet pilote visant à sensibiliser le public à la propriété intellectuelle et à l’application des droits – </w:t>
            </w:r>
            <w:r w:rsidR="003315CE">
              <w:rPr>
                <w:rFonts w:eastAsia="MS Mincho"/>
                <w:color w:val="000000"/>
                <w:szCs w:val="22"/>
                <w:lang w:val="fr-FR" w:eastAsia="ja-JP"/>
              </w:rPr>
              <w:t>c</w:t>
            </w:r>
            <w:r w:rsidR="0067501F">
              <w:rPr>
                <w:rFonts w:eastAsia="MS Mincho"/>
                <w:color w:val="000000"/>
                <w:szCs w:val="22"/>
                <w:lang w:val="fr-FR" w:eastAsia="ja-JP"/>
              </w:rPr>
              <w:t xml:space="preserve">ampagne de </w:t>
            </w:r>
            <w:r w:rsidR="003315CE">
              <w:rPr>
                <w:rFonts w:eastAsia="MS Mincho"/>
                <w:color w:val="000000"/>
                <w:szCs w:val="22"/>
                <w:lang w:val="fr-FR" w:eastAsia="ja-JP"/>
              </w:rPr>
              <w:t>“</w:t>
            </w:r>
            <w:r w:rsidR="0067501F">
              <w:rPr>
                <w:rFonts w:eastAsia="MS Mincho"/>
                <w:color w:val="000000"/>
                <w:szCs w:val="22"/>
                <w:lang w:val="fr-FR" w:eastAsia="ja-JP"/>
              </w:rPr>
              <w:t>sensibilisation à la propriété intellectuelle –</w:t>
            </w:r>
            <w:r w:rsidR="003315CE">
              <w:rPr>
                <w:rFonts w:eastAsia="MS Mincho"/>
                <w:color w:val="000000"/>
                <w:szCs w:val="22"/>
                <w:lang w:val="fr-FR" w:eastAsia="ja-JP"/>
              </w:rPr>
              <w:t>e</w:t>
            </w:r>
            <w:r w:rsidR="0067501F">
              <w:rPr>
                <w:rFonts w:eastAsia="MS Mincho"/>
                <w:color w:val="000000"/>
                <w:szCs w:val="22"/>
                <w:lang w:val="fr-FR" w:eastAsia="ja-JP"/>
              </w:rPr>
              <w:t xml:space="preserve">nseignement de </w:t>
            </w:r>
            <w:r w:rsidR="003315CE">
              <w:rPr>
                <w:rFonts w:eastAsia="MS Mincho"/>
                <w:color w:val="000000"/>
                <w:szCs w:val="22"/>
                <w:lang w:val="fr-FR" w:eastAsia="ja-JP"/>
              </w:rPr>
              <w:t xml:space="preserve">la </w:t>
            </w:r>
            <w:r w:rsidR="0067501F">
              <w:rPr>
                <w:rFonts w:eastAsia="MS Mincho"/>
                <w:color w:val="000000"/>
                <w:szCs w:val="22"/>
                <w:lang w:val="fr-FR" w:eastAsia="ja-JP"/>
              </w:rPr>
              <w:t xml:space="preserve">propriété intellectuelle – application des droits de propriété intellectuelle” </w:t>
            </w: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7" w:type="dxa"/>
          </w:tcPr>
          <w:p w:rsidR="0053359D" w:rsidRPr="00D67A9A" w:rsidRDefault="0053359D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3315CE" w:rsidP="003315CE">
            <w:pPr>
              <w:tabs>
                <w:tab w:val="left" w:pos="317"/>
              </w:tabs>
              <w:ind w:left="317"/>
              <w:rPr>
                <w:rFonts w:eastAsia="MS Mincho"/>
                <w:i/>
                <w:color w:val="000000"/>
                <w:szCs w:val="22"/>
                <w:lang w:val="fr-FR" w:eastAsia="ja-JP"/>
              </w:rPr>
            </w:pPr>
            <w:r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Préparé par M. </w:t>
            </w:r>
            <w:proofErr w:type="spellStart"/>
            <w:r w:rsidR="0053359D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Ľuboš</w:t>
            </w:r>
            <w:proofErr w:type="spellEnd"/>
            <w:r w:rsidR="0053359D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 </w:t>
            </w:r>
            <w:proofErr w:type="spellStart"/>
            <w:r w:rsidR="0053359D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>Knoth</w:t>
            </w:r>
            <w:proofErr w:type="spellEnd"/>
            <w:r w:rsidR="0053359D" w:rsidRPr="00D67A9A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, 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président, Office de </w:t>
            </w:r>
            <w:r>
              <w:rPr>
                <w:rFonts w:eastAsia="MS Mincho"/>
                <w:i/>
                <w:color w:val="000000"/>
                <w:szCs w:val="22"/>
                <w:lang w:val="fr-FR" w:eastAsia="ja-JP"/>
              </w:rPr>
              <w:t xml:space="preserve">la 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>propriété in</w:t>
            </w:r>
            <w:r>
              <w:rPr>
                <w:rFonts w:eastAsia="MS Mincho"/>
                <w:i/>
                <w:color w:val="000000"/>
                <w:szCs w:val="22"/>
                <w:lang w:val="fr-FR" w:eastAsia="ja-JP"/>
              </w:rPr>
              <w:t>dustri</w:t>
            </w:r>
            <w:r w:rsidR="0067501F">
              <w:rPr>
                <w:rFonts w:eastAsia="MS Mincho"/>
                <w:i/>
                <w:color w:val="000000"/>
                <w:szCs w:val="22"/>
                <w:lang w:val="fr-FR" w:eastAsia="ja-JP"/>
              </w:rPr>
              <w:t>elle de la République slovaque</w:t>
            </w: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7" w:type="dxa"/>
          </w:tcPr>
          <w:p w:rsidR="0053359D" w:rsidRPr="00D67A9A" w:rsidRDefault="0053359D" w:rsidP="00E927ED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WIPO/ACE/9/15</w:t>
            </w:r>
          </w:p>
        </w:tc>
        <w:tc>
          <w:tcPr>
            <w:tcW w:w="557" w:type="dxa"/>
          </w:tcPr>
          <w:p w:rsidR="0053359D" w:rsidRPr="00D67A9A" w:rsidRDefault="0053359D" w:rsidP="00ED4937">
            <w:pPr>
              <w:tabs>
                <w:tab w:val="left" w:pos="357"/>
              </w:tabs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Pr="00D67A9A" w:rsidRDefault="0067501F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L’expéri</w:t>
            </w:r>
            <w:r w:rsidR="0053359D" w:rsidRPr="00D67A9A">
              <w:rPr>
                <w:color w:val="000000"/>
                <w:szCs w:val="22"/>
                <w:lang w:val="fr-FR"/>
              </w:rPr>
              <w:t xml:space="preserve">ence </w:t>
            </w:r>
            <w:r>
              <w:rPr>
                <w:color w:val="000000"/>
                <w:szCs w:val="22"/>
                <w:lang w:val="fr-FR"/>
              </w:rPr>
              <w:t>de la Trinité</w:t>
            </w:r>
            <w:r w:rsidRPr="0067501F">
              <w:rPr>
                <w:color w:val="000000"/>
                <w:szCs w:val="22"/>
                <w:lang w:val="fr-FR"/>
              </w:rPr>
              <w:noBreakHyphen/>
            </w:r>
            <w:r>
              <w:rPr>
                <w:color w:val="000000"/>
                <w:szCs w:val="22"/>
                <w:lang w:val="fr-FR"/>
              </w:rPr>
              <w:t>et</w:t>
            </w:r>
            <w:r w:rsidRPr="0067501F">
              <w:rPr>
                <w:color w:val="000000"/>
                <w:szCs w:val="22"/>
                <w:lang w:val="fr-FR"/>
              </w:rPr>
              <w:noBreakHyphen/>
            </w:r>
            <w:r>
              <w:rPr>
                <w:color w:val="000000"/>
                <w:szCs w:val="22"/>
                <w:lang w:val="fr-FR"/>
              </w:rPr>
              <w:t xml:space="preserve">Tobago : </w:t>
            </w:r>
            <w:r w:rsidR="003315CE">
              <w:rPr>
                <w:color w:val="000000"/>
                <w:szCs w:val="22"/>
                <w:lang w:val="fr-FR"/>
              </w:rPr>
              <w:t>p</w:t>
            </w:r>
            <w:r>
              <w:rPr>
                <w:color w:val="000000"/>
                <w:szCs w:val="22"/>
                <w:lang w:val="fr-FR"/>
              </w:rPr>
              <w:t xml:space="preserve">rojet national de promotion </w:t>
            </w:r>
            <w:r w:rsidR="003315CE">
              <w:rPr>
                <w:color w:val="000000"/>
                <w:szCs w:val="22"/>
                <w:lang w:val="fr-FR"/>
              </w:rPr>
              <w:t>du respect de la propriété intellectuelle</w:t>
            </w:r>
          </w:p>
          <w:p w:rsidR="0053359D" w:rsidRPr="00D67A9A" w:rsidRDefault="0017081D" w:rsidP="0017081D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color w:val="000000"/>
                <w:szCs w:val="22"/>
                <w:lang w:val="fr-FR"/>
              </w:rPr>
              <w:t xml:space="preserve">Préparé par </w:t>
            </w:r>
            <w:r w:rsidR="00B05537">
              <w:rPr>
                <w:i/>
                <w:color w:val="000000"/>
                <w:szCs w:val="22"/>
                <w:lang w:val="fr-FR"/>
              </w:rPr>
              <w:t xml:space="preserve">M. </w:t>
            </w:r>
            <w:r w:rsidR="004C6924" w:rsidRPr="00D67A9A">
              <w:rPr>
                <w:i/>
                <w:color w:val="000000"/>
                <w:szCs w:val="22"/>
                <w:lang w:val="fr-FR"/>
              </w:rPr>
              <w:t xml:space="preserve">Richard </w:t>
            </w:r>
            <w:proofErr w:type="spellStart"/>
            <w:r w:rsidR="004C6924" w:rsidRPr="00D67A9A">
              <w:rPr>
                <w:i/>
                <w:color w:val="000000"/>
                <w:szCs w:val="22"/>
                <w:lang w:val="fr-FR"/>
              </w:rPr>
              <w:t>Aching</w:t>
            </w:r>
            <w:proofErr w:type="spellEnd"/>
            <w:r w:rsidR="004C6924" w:rsidRPr="00D67A9A">
              <w:rPr>
                <w:i/>
                <w:color w:val="000000"/>
                <w:szCs w:val="22"/>
                <w:lang w:val="fr-FR"/>
              </w:rPr>
              <w:t xml:space="preserve">, </w:t>
            </w:r>
            <w:r w:rsidR="0067501F">
              <w:rPr>
                <w:i/>
                <w:color w:val="000000"/>
                <w:szCs w:val="22"/>
                <w:lang w:val="fr-FR"/>
              </w:rPr>
              <w:t>directeur, Examen technique, Offic</w:t>
            </w:r>
            <w:r w:rsidR="006D64E4">
              <w:rPr>
                <w:i/>
                <w:color w:val="000000"/>
                <w:szCs w:val="22"/>
                <w:lang w:val="fr-FR"/>
              </w:rPr>
              <w:t>e de la propriété intellectuelle</w:t>
            </w:r>
            <w:r w:rsidR="0067501F">
              <w:rPr>
                <w:i/>
                <w:color w:val="000000"/>
                <w:szCs w:val="22"/>
                <w:lang w:val="fr-FR"/>
              </w:rPr>
              <w:t xml:space="preserve"> </w:t>
            </w:r>
            <w:r w:rsidR="006D64E4">
              <w:rPr>
                <w:i/>
                <w:color w:val="000000"/>
                <w:szCs w:val="22"/>
                <w:lang w:val="fr-FR"/>
              </w:rPr>
              <w:t>(</w:t>
            </w:r>
            <w:r w:rsidR="0067501F">
              <w:rPr>
                <w:i/>
                <w:color w:val="000000"/>
                <w:szCs w:val="22"/>
                <w:lang w:val="fr-FR"/>
              </w:rPr>
              <w:t>Trinité</w:t>
            </w:r>
            <w:r w:rsidR="0067501F" w:rsidRPr="0067501F">
              <w:rPr>
                <w:i/>
                <w:color w:val="000000"/>
                <w:szCs w:val="22"/>
                <w:lang w:val="fr-FR"/>
              </w:rPr>
              <w:noBreakHyphen/>
            </w:r>
            <w:r w:rsidR="0067501F">
              <w:rPr>
                <w:i/>
                <w:color w:val="000000"/>
                <w:szCs w:val="22"/>
                <w:lang w:val="fr-FR"/>
              </w:rPr>
              <w:t>et</w:t>
            </w:r>
            <w:r w:rsidR="0067501F" w:rsidRPr="0067501F">
              <w:rPr>
                <w:i/>
                <w:color w:val="000000"/>
                <w:szCs w:val="22"/>
                <w:lang w:val="fr-FR"/>
              </w:rPr>
              <w:noBreakHyphen/>
            </w:r>
            <w:r w:rsidR="0067501F">
              <w:rPr>
                <w:i/>
                <w:color w:val="000000"/>
                <w:szCs w:val="22"/>
                <w:lang w:val="fr-FR"/>
              </w:rPr>
              <w:t>Tobago</w:t>
            </w:r>
            <w:r w:rsidR="006D64E4">
              <w:rPr>
                <w:i/>
                <w:color w:val="000000"/>
                <w:szCs w:val="22"/>
                <w:lang w:val="fr-FR"/>
              </w:rPr>
              <w:t>)</w:t>
            </w:r>
          </w:p>
        </w:tc>
      </w:tr>
      <w:tr w:rsidR="001E0C3B" w:rsidRPr="00FD1A95" w:rsidTr="00EA0588">
        <w:tc>
          <w:tcPr>
            <w:tcW w:w="2420" w:type="dxa"/>
            <w:gridSpan w:val="2"/>
          </w:tcPr>
          <w:p w:rsidR="001E0C3B" w:rsidRPr="00F55FE3" w:rsidRDefault="001E0C3B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7" w:type="dxa"/>
          </w:tcPr>
          <w:p w:rsidR="001E0C3B" w:rsidRPr="00D67A9A" w:rsidRDefault="001E0C3B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1E0C3B" w:rsidRPr="00FB03D2" w:rsidRDefault="001E0C3B" w:rsidP="00FB03D2">
            <w:pPr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WIPO/ACE/9/16</w:t>
            </w:r>
          </w:p>
        </w:tc>
        <w:tc>
          <w:tcPr>
            <w:tcW w:w="557" w:type="dxa"/>
          </w:tcPr>
          <w:p w:rsidR="0053359D" w:rsidRPr="00D67A9A" w:rsidRDefault="0053359D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057162" w:rsidRPr="00FB03D2" w:rsidRDefault="00057162" w:rsidP="00FB03D2">
            <w:pPr>
              <w:ind w:left="317"/>
              <w:rPr>
                <w:color w:val="000000"/>
                <w:szCs w:val="22"/>
                <w:lang w:val="fr-FR"/>
              </w:rPr>
            </w:pPr>
            <w:r w:rsidRPr="00FB03D2">
              <w:rPr>
                <w:color w:val="000000"/>
                <w:szCs w:val="22"/>
                <w:lang w:val="fr-FR"/>
              </w:rPr>
              <w:t xml:space="preserve">Mesures que la Ligue des </w:t>
            </w:r>
            <w:r w:rsidR="00955F9F" w:rsidRPr="00955F9F">
              <w:rPr>
                <w:rFonts w:eastAsia="MS Mincho"/>
                <w:color w:val="000000"/>
                <w:szCs w:val="22"/>
                <w:lang w:val="fr-FR" w:eastAsia="ja-JP"/>
              </w:rPr>
              <w:t>É</w:t>
            </w:r>
            <w:r w:rsidRPr="00FB03D2">
              <w:rPr>
                <w:color w:val="000000"/>
                <w:szCs w:val="22"/>
                <w:lang w:val="fr-FR"/>
              </w:rPr>
              <w:t>tats arabes prend en vue de lutter contre les atteintes aux droits de propriété intellectuelle et contre la fraude commerciale</w:t>
            </w:r>
          </w:p>
          <w:p w:rsidR="0053359D" w:rsidRPr="00D67A9A" w:rsidRDefault="00FB03D2" w:rsidP="00FB03D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lang w:val="fr-FR"/>
              </w:rPr>
              <w:t>D</w:t>
            </w:r>
            <w:r w:rsidRPr="00516DD2">
              <w:rPr>
                <w:i/>
                <w:lang w:val="fr-FR"/>
              </w:rPr>
              <w:t>ocument établi par Mme Maha</w:t>
            </w:r>
            <w:r>
              <w:rPr>
                <w:i/>
                <w:lang w:val="fr-FR"/>
              </w:rPr>
              <w:t> </w:t>
            </w:r>
            <w:proofErr w:type="spellStart"/>
            <w:r w:rsidRPr="00516DD2">
              <w:rPr>
                <w:i/>
                <w:lang w:val="fr-FR"/>
              </w:rPr>
              <w:t>Bakhiet</w:t>
            </w:r>
            <w:proofErr w:type="spellEnd"/>
            <w:r>
              <w:rPr>
                <w:i/>
                <w:lang w:val="fr-FR"/>
              </w:rPr>
              <w:t> </w:t>
            </w:r>
            <w:proofErr w:type="spellStart"/>
            <w:r w:rsidRPr="00516DD2">
              <w:rPr>
                <w:i/>
                <w:lang w:val="fr-FR"/>
              </w:rPr>
              <w:t>Zaki</w:t>
            </w:r>
            <w:proofErr w:type="spellEnd"/>
            <w:r w:rsidRPr="00516DD2">
              <w:rPr>
                <w:i/>
                <w:lang w:val="fr-FR"/>
              </w:rPr>
              <w:t xml:space="preserve">, </w:t>
            </w:r>
            <w:r>
              <w:rPr>
                <w:i/>
                <w:lang w:val="fr-FR"/>
              </w:rPr>
              <w:t>d</w:t>
            </w:r>
            <w:r w:rsidRPr="00516DD2">
              <w:rPr>
                <w:i/>
                <w:lang w:val="fr-FR"/>
              </w:rPr>
              <w:t>irectrice du Département de la propriété intellectuelle et de la concurrence de la Ligue des États arabes</w:t>
            </w: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7" w:type="dxa"/>
          </w:tcPr>
          <w:p w:rsidR="0053359D" w:rsidRPr="00D67A9A" w:rsidRDefault="0053359D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20" w:type="dxa"/>
            <w:gridSpan w:val="2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WIPO/ACE/9/17</w:t>
            </w:r>
          </w:p>
        </w:tc>
        <w:tc>
          <w:tcPr>
            <w:tcW w:w="557" w:type="dxa"/>
          </w:tcPr>
          <w:p w:rsidR="0053359D" w:rsidRPr="00D67A9A" w:rsidRDefault="0053359D" w:rsidP="002B7BD9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Pr="00A93F82" w:rsidRDefault="00A93F82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 w:rsidRPr="00A93F82">
              <w:rPr>
                <w:szCs w:val="22"/>
                <w:lang w:val="fr-FR"/>
              </w:rPr>
              <w:t>Rapport sur les campagnes de</w:t>
            </w:r>
            <w:r>
              <w:rPr>
                <w:szCs w:val="22"/>
                <w:lang w:val="fr-FR"/>
              </w:rPr>
              <w:t xml:space="preserve"> la D</w:t>
            </w:r>
            <w:r w:rsidRPr="00A93F82">
              <w:rPr>
                <w:szCs w:val="22"/>
                <w:lang w:val="fr-FR"/>
              </w:rPr>
              <w:t>irection du droit d’auteur (P</w:t>
            </w:r>
            <w:r w:rsidR="0017081D">
              <w:rPr>
                <w:szCs w:val="22"/>
                <w:lang w:val="fr-FR"/>
              </w:rPr>
              <w:t>érou</w:t>
            </w:r>
            <w:r w:rsidRPr="00A93F82">
              <w:rPr>
                <w:szCs w:val="22"/>
                <w:lang w:val="fr-FR"/>
              </w:rPr>
              <w:t>) (2013)</w:t>
            </w:r>
          </w:p>
          <w:p w:rsidR="0053359D" w:rsidRPr="00D67A9A" w:rsidRDefault="0017081D" w:rsidP="0017081D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lang w:val="fr-FR"/>
              </w:rPr>
              <w:t>Document établi par</w:t>
            </w:r>
            <w:r w:rsidR="00A93F82" w:rsidRPr="005A1369">
              <w:rPr>
                <w:i/>
                <w:lang w:val="fr-FR"/>
              </w:rPr>
              <w:t xml:space="preserve"> l</w:t>
            </w:r>
            <w:r w:rsidR="00A93F82">
              <w:rPr>
                <w:i/>
                <w:lang w:val="fr-FR"/>
              </w:rPr>
              <w:t>’</w:t>
            </w:r>
            <w:r w:rsidR="00A93F82" w:rsidRPr="005A1369">
              <w:rPr>
                <w:i/>
                <w:lang w:val="fr-FR"/>
              </w:rPr>
              <w:t>Institut national pour la</w:t>
            </w:r>
            <w:r w:rsidR="00A93F82">
              <w:rPr>
                <w:i/>
                <w:lang w:val="fr-FR"/>
              </w:rPr>
              <w:t> </w:t>
            </w:r>
            <w:r w:rsidR="00A93F82" w:rsidRPr="005A1369">
              <w:rPr>
                <w:i/>
                <w:lang w:val="fr-FR"/>
              </w:rPr>
              <w:t xml:space="preserve">défense de la concurrence et la protection de la propriété intellectuelle (INDECOPI) </w:t>
            </w:r>
            <w:r w:rsidR="00A93F82">
              <w:rPr>
                <w:i/>
                <w:lang w:val="fr-FR"/>
              </w:rPr>
              <w:t>(</w:t>
            </w:r>
            <w:r w:rsidR="00A93F82" w:rsidRPr="005A1369">
              <w:rPr>
                <w:i/>
                <w:lang w:val="fr-FR"/>
              </w:rPr>
              <w:t>Pérou</w:t>
            </w:r>
            <w:r w:rsidR="004C6924" w:rsidRPr="00D67A9A">
              <w:rPr>
                <w:i/>
                <w:color w:val="000000"/>
                <w:szCs w:val="22"/>
                <w:lang w:val="fr-FR"/>
              </w:rPr>
              <w:t>)</w:t>
            </w:r>
            <w:r w:rsidR="004C6924" w:rsidRPr="00D67A9A">
              <w:rPr>
                <w:i/>
                <w:szCs w:val="22"/>
                <w:lang w:val="fr-FR"/>
              </w:rPr>
              <w:t xml:space="preserve"> 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WIPO/ACE/9/18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Pr="00D67A9A" w:rsidRDefault="004C6924" w:rsidP="004C6924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Actions et mesures de prévention visant à compléter les mesures d</w:t>
            </w:r>
            <w:r w:rsidR="00A75B32" w:rsidRPr="00D67A9A">
              <w:rPr>
                <w:color w:val="000000"/>
                <w:szCs w:val="22"/>
                <w:lang w:val="fr-FR"/>
              </w:rPr>
              <w:t>’</w:t>
            </w:r>
            <w:r w:rsidRPr="00D67A9A">
              <w:rPr>
                <w:color w:val="000000"/>
                <w:szCs w:val="22"/>
                <w:lang w:val="fr-FR"/>
              </w:rPr>
              <w:t>application des droits en vigueur, de manière à réduire la taille du marché pour les produits contrefaisants ou pirates</w:t>
            </w:r>
            <w:r w:rsidR="0053359D" w:rsidRPr="00D67A9A">
              <w:rPr>
                <w:color w:val="000000"/>
                <w:szCs w:val="22"/>
                <w:lang w:val="fr-FR"/>
              </w:rPr>
              <w:t xml:space="preserve"> </w:t>
            </w:r>
          </w:p>
          <w:p w:rsidR="0053359D" w:rsidRPr="00D67A9A" w:rsidRDefault="00063101" w:rsidP="004C6924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color w:val="000000"/>
                <w:szCs w:val="22"/>
                <w:lang w:val="fr-FR"/>
              </w:rPr>
              <w:t xml:space="preserve">Document établi par </w:t>
            </w:r>
            <w:r w:rsidR="00B05537">
              <w:rPr>
                <w:i/>
                <w:color w:val="000000"/>
                <w:szCs w:val="22"/>
                <w:lang w:val="fr-FR"/>
              </w:rPr>
              <w:t xml:space="preserve">Mme </w:t>
            </w:r>
            <w:r w:rsidR="004C6924" w:rsidRPr="00D67A9A">
              <w:rPr>
                <w:i/>
                <w:color w:val="000000"/>
                <w:szCs w:val="22"/>
                <w:lang w:val="fr-FR"/>
              </w:rPr>
              <w:t xml:space="preserve">Amanda </w:t>
            </w:r>
            <w:proofErr w:type="spellStart"/>
            <w:r w:rsidR="004C6924" w:rsidRPr="00D67A9A">
              <w:rPr>
                <w:i/>
                <w:color w:val="000000"/>
                <w:szCs w:val="22"/>
                <w:lang w:val="fr-FR"/>
              </w:rPr>
              <w:t>Lotheringen</w:t>
            </w:r>
            <w:proofErr w:type="spellEnd"/>
            <w:r w:rsidR="004C6924" w:rsidRPr="00D67A9A">
              <w:rPr>
                <w:i/>
                <w:color w:val="000000"/>
                <w:szCs w:val="22"/>
                <w:lang w:val="fr-FR"/>
              </w:rPr>
              <w:t>, directrice principale, Application des droits de propriété intellectuelle et du droit d</w:t>
            </w:r>
            <w:r w:rsidR="00A75B32" w:rsidRPr="00D67A9A">
              <w:rPr>
                <w:i/>
                <w:color w:val="000000"/>
                <w:szCs w:val="22"/>
                <w:lang w:val="fr-FR"/>
              </w:rPr>
              <w:t>’</w:t>
            </w:r>
            <w:r w:rsidR="004C6924" w:rsidRPr="00D67A9A">
              <w:rPr>
                <w:i/>
                <w:color w:val="000000"/>
                <w:szCs w:val="22"/>
                <w:lang w:val="fr-FR"/>
              </w:rPr>
              <w:t>auteur, Commission des sociétés et de la propriété intellectuelle (CIPC) (Afrique du Sud)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491B4A" w:rsidRDefault="00491B4A" w:rsidP="002822FE">
            <w:pPr>
              <w:keepNext/>
              <w:keepLines/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53359D" w:rsidRPr="00F55FE3" w:rsidRDefault="0053359D" w:rsidP="002822FE">
            <w:pPr>
              <w:keepNext/>
              <w:keepLines/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WIPO/ACE/9/19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491B4A" w:rsidRDefault="00491B4A" w:rsidP="004C6924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  <w:p w:rsidR="00BD545E" w:rsidRPr="00D67A9A" w:rsidRDefault="004C6924" w:rsidP="004C6924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Tour d</w:t>
            </w:r>
            <w:r w:rsidR="00A75B32" w:rsidRPr="00D67A9A">
              <w:rPr>
                <w:color w:val="000000"/>
                <w:szCs w:val="22"/>
                <w:lang w:val="fr-FR"/>
              </w:rPr>
              <w:t>’</w:t>
            </w:r>
            <w:r w:rsidRPr="00D67A9A">
              <w:rPr>
                <w:color w:val="000000"/>
                <w:szCs w:val="22"/>
                <w:lang w:val="fr-FR"/>
              </w:rPr>
              <w:t>horizon des nouveaux modèles économiques régissant la distribution des contenus protégés par le droit d</w:t>
            </w:r>
            <w:r w:rsidR="00A75B32" w:rsidRPr="00D67A9A">
              <w:rPr>
                <w:color w:val="000000"/>
                <w:szCs w:val="22"/>
                <w:lang w:val="fr-FR"/>
              </w:rPr>
              <w:t>’</w:t>
            </w:r>
            <w:r w:rsidRPr="00D67A9A">
              <w:rPr>
                <w:color w:val="000000"/>
                <w:szCs w:val="22"/>
                <w:lang w:val="fr-FR"/>
              </w:rPr>
              <w:t>auteur</w:t>
            </w:r>
          </w:p>
          <w:p w:rsidR="0053359D" w:rsidRPr="00D67A9A" w:rsidRDefault="00063101" w:rsidP="00063101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color w:val="000000"/>
                <w:szCs w:val="22"/>
                <w:lang w:val="fr-FR"/>
              </w:rPr>
              <w:t>Document établi par l’</w:t>
            </w:r>
            <w:r w:rsidR="00A75B32" w:rsidRPr="00D67A9A">
              <w:rPr>
                <w:i/>
                <w:color w:val="000000"/>
                <w:szCs w:val="22"/>
                <w:lang w:val="fr-FR"/>
              </w:rPr>
              <w:t>Observatoire européen des atteintes aux droits de propriété intellectuelle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WIPO/ACE/9/20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Pr="00D67A9A" w:rsidRDefault="0067501F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 xml:space="preserve">Mesures de prévention </w:t>
            </w:r>
            <w:r w:rsidR="00063101">
              <w:rPr>
                <w:color w:val="000000"/>
                <w:szCs w:val="22"/>
                <w:lang w:val="fr-FR"/>
              </w:rPr>
              <w:t>en cours de</w:t>
            </w:r>
            <w:r w:rsidR="006D64E4">
              <w:rPr>
                <w:color w:val="000000"/>
                <w:szCs w:val="22"/>
                <w:lang w:val="fr-FR"/>
              </w:rPr>
              <w:t xml:space="preserve"> mise au point par la C</w:t>
            </w:r>
            <w:r>
              <w:rPr>
                <w:color w:val="000000"/>
                <w:szCs w:val="22"/>
                <w:lang w:val="fr-FR"/>
              </w:rPr>
              <w:t>ommission européenne v</w:t>
            </w:r>
            <w:r w:rsidR="006D64E4">
              <w:rPr>
                <w:color w:val="000000"/>
                <w:szCs w:val="22"/>
                <w:lang w:val="fr-FR"/>
              </w:rPr>
              <w:t>isant à compl</w:t>
            </w:r>
            <w:r>
              <w:rPr>
                <w:color w:val="000000"/>
                <w:szCs w:val="22"/>
                <w:lang w:val="fr-FR"/>
              </w:rPr>
              <w:t>éter les mesures d’application des droits en vigueur, de manière à réduire la taille du marché pour les pro</w:t>
            </w:r>
            <w:r w:rsidR="00063101">
              <w:rPr>
                <w:color w:val="000000"/>
                <w:szCs w:val="22"/>
                <w:lang w:val="fr-FR"/>
              </w:rPr>
              <w:t>duits pirates ou contrefaisants</w:t>
            </w:r>
          </w:p>
          <w:p w:rsidR="0053359D" w:rsidRPr="00D67A9A" w:rsidRDefault="00063101" w:rsidP="00063101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color w:val="000000"/>
                <w:szCs w:val="22"/>
                <w:lang w:val="fr-FR"/>
              </w:rPr>
              <w:t xml:space="preserve">Document établi par </w:t>
            </w:r>
            <w:r w:rsidR="00B05537">
              <w:rPr>
                <w:i/>
                <w:color w:val="000000"/>
                <w:szCs w:val="22"/>
                <w:lang w:val="fr-FR"/>
              </w:rPr>
              <w:t xml:space="preserve">M. </w:t>
            </w:r>
            <w:r w:rsidR="0053359D" w:rsidRPr="00D67A9A">
              <w:rPr>
                <w:i/>
                <w:color w:val="000000"/>
                <w:szCs w:val="22"/>
                <w:lang w:val="fr-FR"/>
              </w:rPr>
              <w:t xml:space="preserve">Jean </w:t>
            </w:r>
            <w:proofErr w:type="spellStart"/>
            <w:r w:rsidR="0053359D" w:rsidRPr="00D67A9A">
              <w:rPr>
                <w:i/>
                <w:color w:val="000000"/>
                <w:szCs w:val="22"/>
                <w:lang w:val="fr-FR"/>
              </w:rPr>
              <w:t>Bergevin</w:t>
            </w:r>
            <w:proofErr w:type="spellEnd"/>
            <w:r w:rsidR="0053359D" w:rsidRPr="00D67A9A">
              <w:rPr>
                <w:i/>
                <w:color w:val="000000"/>
                <w:szCs w:val="22"/>
                <w:lang w:val="fr-FR"/>
              </w:rPr>
              <w:t xml:space="preserve">, </w:t>
            </w:r>
            <w:r>
              <w:rPr>
                <w:i/>
                <w:color w:val="000000"/>
                <w:szCs w:val="22"/>
                <w:lang w:val="fr-FR"/>
              </w:rPr>
              <w:t>C</w:t>
            </w:r>
            <w:r w:rsidR="006D64E4">
              <w:rPr>
                <w:i/>
                <w:color w:val="000000"/>
                <w:szCs w:val="22"/>
                <w:lang w:val="fr-FR"/>
              </w:rPr>
              <w:t>hef d’unité, Lutte contre la contrefaçon et le piratage, Direction D, D</w:t>
            </w:r>
            <w:r>
              <w:rPr>
                <w:i/>
                <w:color w:val="000000"/>
                <w:szCs w:val="22"/>
                <w:lang w:val="fr-FR"/>
              </w:rPr>
              <w:t>G</w:t>
            </w:r>
            <w:r w:rsidR="006D64E4">
              <w:rPr>
                <w:i/>
                <w:color w:val="000000"/>
                <w:szCs w:val="22"/>
                <w:lang w:val="fr-FR"/>
              </w:rPr>
              <w:t xml:space="preserve"> Marché intérieur et services, Commission européenne</w:t>
            </w:r>
          </w:p>
        </w:tc>
      </w:tr>
      <w:tr w:rsidR="0053359D" w:rsidRPr="00FD1A95" w:rsidTr="00EA0588">
        <w:tc>
          <w:tcPr>
            <w:tcW w:w="2410" w:type="dxa"/>
          </w:tcPr>
          <w:p w:rsidR="005F272A" w:rsidRPr="00F55FE3" w:rsidRDefault="005F272A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1E0C3B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WIPO/ACE/9/21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1E0C3B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Pr="00D67A9A" w:rsidRDefault="006D64E4" w:rsidP="001E0C3B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 xml:space="preserve">La procédure administrative et judiciaire en réponse aux atteintes aux droits sur l’Internet : bien plus qu’une simple procédure de notification et de retrait </w:t>
            </w:r>
          </w:p>
          <w:p w:rsidR="0053359D" w:rsidRPr="00D67A9A" w:rsidRDefault="003D3173" w:rsidP="00C755D9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color w:val="000000"/>
                <w:szCs w:val="22"/>
                <w:lang w:val="fr-FR"/>
              </w:rPr>
              <w:t xml:space="preserve">Document établi par </w:t>
            </w:r>
            <w:r w:rsidR="00B05537">
              <w:rPr>
                <w:i/>
                <w:color w:val="000000"/>
                <w:szCs w:val="22"/>
                <w:lang w:val="fr-FR"/>
              </w:rPr>
              <w:t xml:space="preserve">M. </w:t>
            </w:r>
            <w:r w:rsidR="00A75B32" w:rsidRPr="00D67A9A">
              <w:rPr>
                <w:i/>
                <w:color w:val="000000"/>
                <w:szCs w:val="22"/>
                <w:lang w:val="fr-FR"/>
              </w:rPr>
              <w:t xml:space="preserve">Jorge </w:t>
            </w:r>
            <w:proofErr w:type="spellStart"/>
            <w:r w:rsidR="00A75B32" w:rsidRPr="00D67A9A">
              <w:rPr>
                <w:i/>
                <w:color w:val="000000"/>
                <w:szCs w:val="22"/>
                <w:lang w:val="fr-FR"/>
              </w:rPr>
              <w:t>Cancio</w:t>
            </w:r>
            <w:proofErr w:type="spellEnd"/>
            <w:r w:rsidR="00A75B32" w:rsidRPr="00D67A9A">
              <w:rPr>
                <w:i/>
                <w:color w:val="000000"/>
                <w:szCs w:val="22"/>
                <w:lang w:val="fr-FR"/>
              </w:rPr>
              <w:t xml:space="preserve"> </w:t>
            </w:r>
            <w:proofErr w:type="spellStart"/>
            <w:r w:rsidR="00A75B32" w:rsidRPr="00D67A9A">
              <w:rPr>
                <w:i/>
                <w:color w:val="000000"/>
                <w:szCs w:val="22"/>
                <w:lang w:val="fr-FR"/>
              </w:rPr>
              <w:t>Meliá</w:t>
            </w:r>
            <w:proofErr w:type="spellEnd"/>
            <w:r w:rsidR="00A75B32" w:rsidRPr="00D67A9A">
              <w:rPr>
                <w:i/>
                <w:color w:val="000000"/>
                <w:szCs w:val="22"/>
                <w:lang w:val="fr-FR"/>
              </w:rPr>
              <w:t xml:space="preserve">, </w:t>
            </w:r>
            <w:r w:rsidR="006D64E4">
              <w:rPr>
                <w:i/>
                <w:color w:val="000000"/>
                <w:szCs w:val="22"/>
                <w:lang w:val="fr-FR"/>
              </w:rPr>
              <w:t xml:space="preserve">conseiller </w:t>
            </w:r>
            <w:r w:rsidR="00C755D9">
              <w:rPr>
                <w:i/>
                <w:color w:val="000000"/>
                <w:szCs w:val="22"/>
                <w:lang w:val="fr-FR"/>
              </w:rPr>
              <w:t xml:space="preserve">juridique principal </w:t>
            </w:r>
            <w:r w:rsidR="006D64E4">
              <w:rPr>
                <w:i/>
                <w:color w:val="000000"/>
                <w:szCs w:val="22"/>
                <w:lang w:val="fr-FR"/>
              </w:rPr>
              <w:t xml:space="preserve">et coordonnateur juridique de la Deuxième section de la Commission de la propriété intellectuelle, </w:t>
            </w:r>
            <w:r w:rsidR="00C755D9">
              <w:rPr>
                <w:i/>
                <w:color w:val="000000"/>
                <w:szCs w:val="22"/>
                <w:lang w:val="fr-FR"/>
              </w:rPr>
              <w:t>S</w:t>
            </w:r>
            <w:r w:rsidR="006D64E4">
              <w:rPr>
                <w:i/>
                <w:color w:val="000000"/>
                <w:szCs w:val="22"/>
                <w:lang w:val="fr-FR"/>
              </w:rPr>
              <w:t>ous</w:t>
            </w:r>
            <w:r w:rsidR="006D64E4" w:rsidRPr="006D64E4">
              <w:rPr>
                <w:i/>
                <w:color w:val="000000"/>
                <w:szCs w:val="22"/>
                <w:lang w:val="fr-FR"/>
              </w:rPr>
              <w:noBreakHyphen/>
            </w:r>
            <w:r w:rsidR="006D64E4">
              <w:rPr>
                <w:i/>
                <w:color w:val="000000"/>
                <w:szCs w:val="22"/>
                <w:lang w:val="fr-FR"/>
              </w:rPr>
              <w:t>direction générale de la propriété intellectuelle (Espagne)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53359D" w:rsidRPr="00F55FE3" w:rsidRDefault="0053359D" w:rsidP="00D67A9A">
            <w:pPr>
              <w:keepNext/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WIPO/ACE/9/22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BD545E" w:rsidRPr="00D67A9A" w:rsidRDefault="00A75B32" w:rsidP="00A75B3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 w:rsidRPr="00D67A9A">
              <w:rPr>
                <w:color w:val="000000"/>
                <w:szCs w:val="22"/>
                <w:lang w:val="fr-FR"/>
              </w:rPr>
              <w:t>L’expérience du Royaume-Uni en matière de lutte contre les atteintes portées en ligne aux droits de propriété intellectuelle</w:t>
            </w:r>
          </w:p>
          <w:p w:rsidR="00E477BC" w:rsidRPr="00D67A9A" w:rsidRDefault="00C755D9" w:rsidP="00C755D9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color w:val="000000"/>
                <w:szCs w:val="22"/>
                <w:lang w:val="fr-FR"/>
              </w:rPr>
              <w:t xml:space="preserve">Document établi par </w:t>
            </w:r>
            <w:r w:rsidR="00B05537">
              <w:rPr>
                <w:i/>
                <w:color w:val="000000"/>
                <w:szCs w:val="22"/>
                <w:lang w:val="fr-FR"/>
              </w:rPr>
              <w:t xml:space="preserve">Mme </w:t>
            </w:r>
            <w:r w:rsidR="00A75B32" w:rsidRPr="00D67A9A">
              <w:rPr>
                <w:i/>
                <w:color w:val="000000"/>
                <w:szCs w:val="22"/>
                <w:lang w:val="fr-FR"/>
              </w:rPr>
              <w:t>Elizabeth Jones, Direction de l’application des droits de propriété intellectuelle et du droit d’auteur, Office de la propriété intellectuelle du Royaume-Uni</w:t>
            </w:r>
          </w:p>
        </w:tc>
      </w:tr>
      <w:tr w:rsidR="00491B4A" w:rsidRPr="00FD1A95" w:rsidTr="00EA0588">
        <w:tc>
          <w:tcPr>
            <w:tcW w:w="2410" w:type="dxa"/>
          </w:tcPr>
          <w:p w:rsidR="00491B4A" w:rsidRPr="00F55FE3" w:rsidRDefault="00491B4A" w:rsidP="00D67A9A">
            <w:pPr>
              <w:keepNext/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491B4A" w:rsidRPr="00D67A9A" w:rsidRDefault="00491B4A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491B4A" w:rsidRPr="00D67A9A" w:rsidRDefault="00491B4A" w:rsidP="00A75B3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F55FE3">
              <w:rPr>
                <w:color w:val="000000"/>
                <w:szCs w:val="22"/>
                <w:lang w:val="fr-FR"/>
              </w:rPr>
              <w:t>WIPO/ACE/9/23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8B7A02" w:rsidRDefault="008B7A02" w:rsidP="00C755D9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 w:rsidRPr="008B7A02">
              <w:rPr>
                <w:szCs w:val="22"/>
                <w:lang w:val="fr-FR"/>
              </w:rPr>
              <w:t>Application des droits relatifs aux œuvres audiovisuelles en vertu de la loi fédérale n° 187</w:t>
            </w:r>
            <w:r w:rsidRPr="008B7A02">
              <w:rPr>
                <w:szCs w:val="22"/>
                <w:lang w:val="fr-FR"/>
              </w:rPr>
              <w:noBreakHyphen/>
              <w:t xml:space="preserve">FZ du 2 juillet 2013 </w:t>
            </w:r>
            <w:r w:rsidR="00C755D9">
              <w:rPr>
                <w:szCs w:val="22"/>
                <w:lang w:val="fr-FR"/>
              </w:rPr>
              <w:t xml:space="preserve">sur les </w:t>
            </w:r>
            <w:r w:rsidRPr="008B7A02">
              <w:rPr>
                <w:szCs w:val="22"/>
                <w:lang w:val="fr-FR"/>
              </w:rPr>
              <w:t>modifi</w:t>
            </w:r>
            <w:r w:rsidR="00C755D9">
              <w:rPr>
                <w:szCs w:val="22"/>
                <w:lang w:val="fr-FR"/>
              </w:rPr>
              <w:t>cations de</w:t>
            </w:r>
            <w:r w:rsidRPr="008B7A02">
              <w:rPr>
                <w:szCs w:val="22"/>
                <w:lang w:val="fr-FR"/>
              </w:rPr>
              <w:t xml:space="preserve"> certains textes législatifs de la Fédération de Russie concernant la protection des droits de propriété intellectuelle dans les réseaux d’information et de télécommunication</w:t>
            </w:r>
            <w:r w:rsidR="00C755D9">
              <w:rPr>
                <w:szCs w:val="22"/>
                <w:lang w:val="fr-FR"/>
              </w:rPr>
              <w:t>;</w:t>
            </w:r>
            <w:r w:rsidRPr="008B7A02">
              <w:rPr>
                <w:szCs w:val="22"/>
                <w:lang w:val="fr-FR"/>
              </w:rPr>
              <w:t xml:space="preserve"> </w:t>
            </w:r>
            <w:r w:rsidR="00C755D9">
              <w:rPr>
                <w:szCs w:val="22"/>
                <w:lang w:val="fr-FR"/>
              </w:rPr>
              <w:t xml:space="preserve"> </w:t>
            </w:r>
            <w:r w:rsidRPr="008B7A02">
              <w:rPr>
                <w:szCs w:val="22"/>
                <w:lang w:val="fr-FR"/>
              </w:rPr>
              <w:t xml:space="preserve">et autres mesures adoptées pour lutter contre le piratage et la contrefaçon sur </w:t>
            </w:r>
            <w:r w:rsidR="00C755D9">
              <w:rPr>
                <w:szCs w:val="22"/>
                <w:lang w:val="fr-FR"/>
              </w:rPr>
              <w:t>l’</w:t>
            </w:r>
            <w:r w:rsidRPr="008B7A02">
              <w:rPr>
                <w:szCs w:val="22"/>
                <w:lang w:val="fr-FR"/>
              </w:rPr>
              <w:t>Internet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C755D9" w:rsidP="00A75B3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i/>
                <w:color w:val="000000"/>
                <w:szCs w:val="22"/>
                <w:lang w:val="fr-FR"/>
              </w:rPr>
              <w:t xml:space="preserve">Document établi par </w:t>
            </w:r>
            <w:r w:rsidR="00B05537">
              <w:rPr>
                <w:i/>
                <w:color w:val="000000"/>
                <w:szCs w:val="22"/>
                <w:lang w:val="fr-FR"/>
              </w:rPr>
              <w:t xml:space="preserve">Mme </w:t>
            </w:r>
            <w:r w:rsidR="00A75B32" w:rsidRPr="00D67A9A">
              <w:rPr>
                <w:i/>
                <w:color w:val="000000"/>
                <w:szCs w:val="22"/>
                <w:lang w:val="fr-FR"/>
              </w:rPr>
              <w:t xml:space="preserve">Natalia </w:t>
            </w:r>
            <w:proofErr w:type="spellStart"/>
            <w:r w:rsidR="00A75B32" w:rsidRPr="00D67A9A">
              <w:rPr>
                <w:i/>
                <w:color w:val="000000"/>
                <w:szCs w:val="22"/>
                <w:lang w:val="fr-FR"/>
              </w:rPr>
              <w:t>Romashova</w:t>
            </w:r>
            <w:proofErr w:type="spellEnd"/>
            <w:r>
              <w:rPr>
                <w:i/>
                <w:color w:val="000000"/>
                <w:szCs w:val="22"/>
                <w:lang w:val="fr-FR"/>
              </w:rPr>
              <w:t>, responsable du service juridique, Ministère de la culture</w:t>
            </w:r>
            <w:r w:rsidR="00A75B32" w:rsidRPr="00D67A9A">
              <w:rPr>
                <w:i/>
                <w:color w:val="000000"/>
                <w:szCs w:val="22"/>
                <w:lang w:val="fr-FR"/>
              </w:rPr>
              <w:t xml:space="preserve"> (</w:t>
            </w:r>
            <w:r w:rsidR="00A75B32" w:rsidRPr="00D67A9A">
              <w:rPr>
                <w:i/>
                <w:szCs w:val="22"/>
                <w:lang w:val="fr-FR"/>
              </w:rPr>
              <w:t>Fédération de Russie</w:t>
            </w:r>
            <w:r w:rsidR="00A75B32" w:rsidRPr="00D67A9A">
              <w:rPr>
                <w:i/>
                <w:color w:val="000000"/>
                <w:szCs w:val="22"/>
                <w:lang w:val="fr-FR"/>
              </w:rPr>
              <w:t>)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53359D" w:rsidRPr="004A335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483904">
              <w:rPr>
                <w:color w:val="000000"/>
                <w:szCs w:val="22"/>
                <w:lang w:val="fr-FR"/>
              </w:rPr>
              <w:t>WIPO/ACE/9/24</w:t>
            </w:r>
          </w:p>
        </w:tc>
        <w:tc>
          <w:tcPr>
            <w:tcW w:w="567" w:type="dxa"/>
            <w:gridSpan w:val="2"/>
          </w:tcPr>
          <w:p w:rsidR="0053359D" w:rsidRPr="004A335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4A3359" w:rsidRDefault="00785BA6" w:rsidP="004A3359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CH"/>
              </w:rPr>
            </w:pPr>
            <w:r w:rsidRPr="004A3359">
              <w:rPr>
                <w:color w:val="000000"/>
                <w:szCs w:val="22"/>
                <w:lang w:val="fr-CH"/>
              </w:rPr>
              <w:t>Pratiques en matière de protection de la propriété intellectuelle</w:t>
            </w:r>
            <w:r w:rsidR="004A3359" w:rsidRPr="004A3359">
              <w:rPr>
                <w:color w:val="000000"/>
                <w:szCs w:val="22"/>
                <w:lang w:val="fr-CH"/>
              </w:rPr>
              <w:t xml:space="preserve"> du groupe </w:t>
            </w:r>
            <w:proofErr w:type="spellStart"/>
            <w:r w:rsidR="004A3359" w:rsidRPr="004A3359">
              <w:rPr>
                <w:color w:val="000000"/>
                <w:szCs w:val="22"/>
                <w:lang w:val="fr-CH"/>
              </w:rPr>
              <w:t>Alibaba</w:t>
            </w:r>
            <w:proofErr w:type="spellEnd"/>
            <w:r w:rsidRPr="004A3359">
              <w:rPr>
                <w:color w:val="000000"/>
                <w:szCs w:val="22"/>
                <w:lang w:val="fr-CH"/>
              </w:rPr>
              <w:t xml:space="preserve"> </w:t>
            </w:r>
            <w:r w:rsidR="004A3359" w:rsidRPr="004A3359">
              <w:rPr>
                <w:color w:val="000000"/>
                <w:szCs w:val="22"/>
                <w:lang w:val="fr-CH"/>
              </w:rPr>
              <w:t>dans le cadre de son</w:t>
            </w:r>
            <w:r w:rsidRPr="004A3359">
              <w:rPr>
                <w:color w:val="000000"/>
                <w:szCs w:val="22"/>
                <w:lang w:val="fr-CH"/>
              </w:rPr>
              <w:t xml:space="preserve"> modèle commercial fondé sur la plate-forme Internet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4A335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53359D" w:rsidRPr="004A3359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6095" w:type="dxa"/>
          </w:tcPr>
          <w:p w:rsidR="0053359D" w:rsidRPr="004A3359" w:rsidRDefault="00785BA6" w:rsidP="004A3359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 w:rsidRPr="004A3359">
              <w:rPr>
                <w:i/>
                <w:color w:val="000000"/>
                <w:szCs w:val="22"/>
                <w:lang w:val="fr-FR"/>
              </w:rPr>
              <w:t xml:space="preserve">Document établi par </w:t>
            </w:r>
            <w:r w:rsidR="004A3359" w:rsidRPr="004A3359">
              <w:rPr>
                <w:i/>
                <w:color w:val="000000"/>
                <w:szCs w:val="22"/>
                <w:lang w:val="fr-FR"/>
              </w:rPr>
              <w:t>M. N</w:t>
            </w:r>
            <w:r w:rsidR="00411662">
              <w:rPr>
                <w:i/>
                <w:color w:val="000000"/>
                <w:szCs w:val="22"/>
                <w:lang w:val="fr-FR"/>
              </w:rPr>
              <w:t>i</w:t>
            </w:r>
            <w:r w:rsidR="004A3359" w:rsidRPr="004A3359">
              <w:rPr>
                <w:i/>
                <w:color w:val="000000"/>
                <w:szCs w:val="22"/>
                <w:lang w:val="fr-FR"/>
              </w:rPr>
              <w:t> </w:t>
            </w:r>
            <w:proofErr w:type="spellStart"/>
            <w:r w:rsidRPr="004A3359">
              <w:rPr>
                <w:i/>
                <w:color w:val="000000"/>
                <w:szCs w:val="22"/>
                <w:lang w:val="fr-FR"/>
              </w:rPr>
              <w:t>Liang</w:t>
            </w:r>
            <w:proofErr w:type="spellEnd"/>
            <w:r w:rsidRPr="004A3359">
              <w:rPr>
                <w:i/>
                <w:color w:val="000000"/>
                <w:szCs w:val="22"/>
                <w:lang w:val="fr-FR"/>
              </w:rPr>
              <w:t>, directeur principal</w:t>
            </w:r>
            <w:r w:rsidR="004A3359" w:rsidRPr="004A3359">
              <w:rPr>
                <w:i/>
                <w:color w:val="000000"/>
                <w:szCs w:val="22"/>
                <w:lang w:val="fr-FR"/>
              </w:rPr>
              <w:t xml:space="preserve"> du d</w:t>
            </w:r>
            <w:r w:rsidRPr="004A3359">
              <w:rPr>
                <w:i/>
                <w:color w:val="000000"/>
                <w:szCs w:val="22"/>
                <w:lang w:val="fr-FR"/>
              </w:rPr>
              <w:t>épartement de la sécurité, groupe Alibaba (Chine)</w:t>
            </w:r>
          </w:p>
        </w:tc>
      </w:tr>
      <w:tr w:rsidR="0053359D" w:rsidRPr="00FD1A95" w:rsidTr="00EA0588">
        <w:tc>
          <w:tcPr>
            <w:tcW w:w="2410" w:type="dxa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3359D" w:rsidRPr="00D67A9A" w:rsidRDefault="0053359D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53359D" w:rsidRPr="00FD1A95" w:rsidTr="00EA0588">
        <w:tc>
          <w:tcPr>
            <w:tcW w:w="2410" w:type="dxa"/>
          </w:tcPr>
          <w:p w:rsidR="00491B4A" w:rsidRDefault="00491B4A" w:rsidP="00491B4A">
            <w:pPr>
              <w:keepNext/>
              <w:keepLines/>
              <w:tabs>
                <w:tab w:val="left" w:pos="0"/>
              </w:tabs>
              <w:ind w:left="34"/>
              <w:rPr>
                <w:color w:val="000000"/>
                <w:szCs w:val="22"/>
                <w:lang w:val="fr-FR"/>
              </w:rPr>
            </w:pPr>
          </w:p>
          <w:p w:rsidR="0053359D" w:rsidRPr="00D67A9A" w:rsidRDefault="00785BA6" w:rsidP="00491B4A">
            <w:pPr>
              <w:keepNext/>
              <w:keepLines/>
              <w:tabs>
                <w:tab w:val="left" w:pos="0"/>
              </w:tabs>
              <w:ind w:left="34"/>
              <w:rPr>
                <w:color w:val="000000"/>
                <w:szCs w:val="22"/>
                <w:lang w:val="fr-FR"/>
              </w:rPr>
            </w:pPr>
            <w:r w:rsidRPr="00A04566">
              <w:rPr>
                <w:color w:val="000000"/>
                <w:szCs w:val="22"/>
                <w:lang w:val="fr-FR"/>
              </w:rPr>
              <w:t>WIPO/ACE/9/25</w:t>
            </w:r>
          </w:p>
        </w:tc>
        <w:tc>
          <w:tcPr>
            <w:tcW w:w="567" w:type="dxa"/>
            <w:gridSpan w:val="2"/>
          </w:tcPr>
          <w:p w:rsidR="0053359D" w:rsidRPr="00D67A9A" w:rsidRDefault="0053359D" w:rsidP="00F72052">
            <w:pPr>
              <w:tabs>
                <w:tab w:val="left" w:pos="34"/>
              </w:tabs>
              <w:ind w:left="34" w:hanging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491B4A" w:rsidRDefault="00491B4A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  <w:p w:rsidR="00BD545E" w:rsidRDefault="00A04566" w:rsidP="00F72052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 xml:space="preserve">Admission d’une organisation non gouvernementale en qualité d’observatrice </w:t>
            </w:r>
            <w:r w:rsidRPr="00AF023E">
              <w:rPr>
                <w:color w:val="000000"/>
                <w:szCs w:val="22"/>
                <w:lang w:val="fr-FR"/>
              </w:rPr>
              <w:t>ad hoc</w:t>
            </w:r>
          </w:p>
          <w:p w:rsidR="0053359D" w:rsidRPr="00D67A9A" w:rsidRDefault="00A04566" w:rsidP="00A04566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>
              <w:rPr>
                <w:i/>
                <w:color w:val="000000"/>
                <w:szCs w:val="22"/>
                <w:lang w:val="fr-FR"/>
              </w:rPr>
              <w:t>Document établi par le Secrétariat</w:t>
            </w:r>
          </w:p>
        </w:tc>
      </w:tr>
      <w:tr w:rsidR="005E6014" w:rsidRPr="00FD1A95" w:rsidTr="00EA0588">
        <w:tc>
          <w:tcPr>
            <w:tcW w:w="2410" w:type="dxa"/>
          </w:tcPr>
          <w:p w:rsidR="005E6014" w:rsidRDefault="005E6014" w:rsidP="00491B4A">
            <w:pPr>
              <w:keepNext/>
              <w:keepLines/>
              <w:tabs>
                <w:tab w:val="left" w:pos="0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5E6014" w:rsidRPr="00D67A9A" w:rsidRDefault="005E6014" w:rsidP="00F72052">
            <w:pPr>
              <w:tabs>
                <w:tab w:val="left" w:pos="34"/>
              </w:tabs>
              <w:ind w:left="34" w:hanging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5E6014" w:rsidRDefault="005E6014" w:rsidP="00F72052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785BA6" w:rsidRPr="00FD1A95" w:rsidTr="00152320">
        <w:tc>
          <w:tcPr>
            <w:tcW w:w="2410" w:type="dxa"/>
          </w:tcPr>
          <w:p w:rsidR="00785BA6" w:rsidRPr="00483904" w:rsidRDefault="00A04566" w:rsidP="00A04566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483904">
              <w:rPr>
                <w:color w:val="000000"/>
                <w:szCs w:val="22"/>
                <w:lang w:val="fr-FR"/>
              </w:rPr>
              <w:t>WIPO/ACE/9/26</w:t>
            </w:r>
          </w:p>
        </w:tc>
        <w:tc>
          <w:tcPr>
            <w:tcW w:w="567" w:type="dxa"/>
            <w:gridSpan w:val="2"/>
          </w:tcPr>
          <w:p w:rsidR="00785BA6" w:rsidRPr="00347093" w:rsidRDefault="00785BA6" w:rsidP="00152320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785BA6" w:rsidRPr="00347093" w:rsidRDefault="00347093" w:rsidP="00347093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CH"/>
              </w:rPr>
            </w:pPr>
            <w:r w:rsidRPr="00347093">
              <w:rPr>
                <w:color w:val="000000"/>
                <w:szCs w:val="22"/>
                <w:lang w:val="fr-FR"/>
              </w:rPr>
              <w:t xml:space="preserve">Accords types en matière de recherche technologique et de commercialisation et réflexions concernant le règlement des litiges </w:t>
            </w:r>
          </w:p>
        </w:tc>
      </w:tr>
      <w:tr w:rsidR="00347093" w:rsidRPr="00FD1A95" w:rsidTr="00152320">
        <w:tc>
          <w:tcPr>
            <w:tcW w:w="2410" w:type="dxa"/>
          </w:tcPr>
          <w:p w:rsidR="00347093" w:rsidRPr="00483904" w:rsidRDefault="00347093" w:rsidP="00A04566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347093" w:rsidRPr="00347093" w:rsidRDefault="00347093" w:rsidP="00152320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347093" w:rsidRPr="00347093" w:rsidRDefault="00347093" w:rsidP="00347093">
            <w:pPr>
              <w:tabs>
                <w:tab w:val="left" w:pos="357"/>
              </w:tabs>
              <w:ind w:left="317"/>
              <w:rPr>
                <w:b/>
                <w:color w:val="000000"/>
                <w:szCs w:val="22"/>
                <w:lang w:val="fr-FR"/>
              </w:rPr>
            </w:pPr>
            <w:r w:rsidRPr="00347093">
              <w:rPr>
                <w:i/>
                <w:color w:val="000000"/>
                <w:szCs w:val="22"/>
                <w:lang w:val="fr-FR"/>
              </w:rPr>
              <w:t>Document</w:t>
            </w:r>
            <w:r w:rsidRPr="00347093">
              <w:rPr>
                <w:i/>
                <w:color w:val="000000"/>
                <w:szCs w:val="22"/>
                <w:lang w:val="fr-CH"/>
              </w:rPr>
              <w:t xml:space="preserve"> établi par </w:t>
            </w:r>
            <w:r w:rsidR="00B05537">
              <w:rPr>
                <w:i/>
                <w:color w:val="000000"/>
                <w:szCs w:val="22"/>
                <w:lang w:val="fr-CH"/>
              </w:rPr>
              <w:t xml:space="preserve">Mme </w:t>
            </w:r>
            <w:r w:rsidRPr="00347093">
              <w:rPr>
                <w:i/>
                <w:color w:val="000000"/>
                <w:szCs w:val="22"/>
                <w:lang w:val="fr-CH"/>
              </w:rPr>
              <w:t xml:space="preserve">Sabine </w:t>
            </w:r>
            <w:r>
              <w:rPr>
                <w:i/>
                <w:color w:val="000000"/>
                <w:szCs w:val="22"/>
                <w:lang w:val="fr-CH"/>
              </w:rPr>
              <w:t xml:space="preserve">Fehringer, avocate à Vienne </w:t>
            </w:r>
            <w:r w:rsidRPr="00347093">
              <w:rPr>
                <w:i/>
                <w:color w:val="000000"/>
                <w:szCs w:val="22"/>
                <w:lang w:val="fr-CH"/>
              </w:rPr>
              <w:t>(</w:t>
            </w:r>
            <w:r w:rsidRPr="00347093">
              <w:rPr>
                <w:i/>
                <w:lang w:val="fr-CH"/>
              </w:rPr>
              <w:t>Autriche)</w:t>
            </w:r>
          </w:p>
        </w:tc>
      </w:tr>
      <w:tr w:rsidR="00785BA6" w:rsidRPr="00FD1A95" w:rsidTr="00152320">
        <w:tc>
          <w:tcPr>
            <w:tcW w:w="2410" w:type="dxa"/>
          </w:tcPr>
          <w:p w:rsidR="00785BA6" w:rsidRPr="00483904" w:rsidRDefault="00785BA6" w:rsidP="00152320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785BA6" w:rsidRPr="0014617A" w:rsidRDefault="00785BA6" w:rsidP="00152320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6095" w:type="dxa"/>
          </w:tcPr>
          <w:p w:rsidR="00785BA6" w:rsidRPr="001C367D" w:rsidRDefault="00785BA6" w:rsidP="00152320">
            <w:pPr>
              <w:tabs>
                <w:tab w:val="left" w:pos="357"/>
              </w:tabs>
              <w:ind w:left="317"/>
              <w:rPr>
                <w:color w:val="000000"/>
                <w:szCs w:val="22"/>
                <w:highlight w:val="cyan"/>
                <w:lang w:val="fr-CH"/>
              </w:rPr>
            </w:pPr>
          </w:p>
        </w:tc>
      </w:tr>
      <w:tr w:rsidR="00785BA6" w:rsidRPr="00FD1A95" w:rsidTr="00152320">
        <w:tc>
          <w:tcPr>
            <w:tcW w:w="2410" w:type="dxa"/>
          </w:tcPr>
          <w:p w:rsidR="00785BA6" w:rsidRPr="00483904" w:rsidRDefault="00785BA6" w:rsidP="00A04566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  <w:r w:rsidRPr="00483904">
              <w:rPr>
                <w:color w:val="000000"/>
                <w:szCs w:val="22"/>
                <w:lang w:val="fr-FR"/>
              </w:rPr>
              <w:t>WIPO/ACE/9/2</w:t>
            </w:r>
            <w:r w:rsidR="00A04566" w:rsidRPr="00483904">
              <w:rPr>
                <w:color w:val="000000"/>
                <w:szCs w:val="22"/>
                <w:lang w:val="fr-FR"/>
              </w:rPr>
              <w:t>7</w:t>
            </w:r>
          </w:p>
        </w:tc>
        <w:tc>
          <w:tcPr>
            <w:tcW w:w="567" w:type="dxa"/>
            <w:gridSpan w:val="2"/>
          </w:tcPr>
          <w:p w:rsidR="00785BA6" w:rsidRPr="00226FED" w:rsidRDefault="00785BA6" w:rsidP="00152320">
            <w:pPr>
              <w:tabs>
                <w:tab w:val="left" w:pos="34"/>
              </w:tabs>
              <w:ind w:left="34"/>
              <w:rPr>
                <w:color w:val="000000"/>
                <w:szCs w:val="22"/>
                <w:highlight w:val="yellow"/>
                <w:lang w:val="fr-FR"/>
              </w:rPr>
            </w:pPr>
          </w:p>
        </w:tc>
        <w:tc>
          <w:tcPr>
            <w:tcW w:w="6095" w:type="dxa"/>
          </w:tcPr>
          <w:p w:rsidR="00785BA6" w:rsidRPr="00F55FE3" w:rsidRDefault="0014617A" w:rsidP="004C7856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CH"/>
              </w:rPr>
            </w:pPr>
            <w:r w:rsidRPr="00F55FE3">
              <w:rPr>
                <w:color w:val="000000"/>
                <w:szCs w:val="22"/>
                <w:lang w:val="fr-CH"/>
              </w:rPr>
              <w:t>Mécanismes v</w:t>
            </w:r>
            <w:r w:rsidR="00A04566" w:rsidRPr="00F55FE3">
              <w:rPr>
                <w:color w:val="000000"/>
                <w:szCs w:val="22"/>
                <w:lang w:val="fr-CH"/>
              </w:rPr>
              <w:t>ol</w:t>
            </w:r>
            <w:r w:rsidRPr="00F55FE3">
              <w:rPr>
                <w:color w:val="000000"/>
                <w:szCs w:val="22"/>
                <w:lang w:val="fr-CH"/>
              </w:rPr>
              <w:t>o</w:t>
            </w:r>
            <w:r w:rsidR="00A04566" w:rsidRPr="00F55FE3">
              <w:rPr>
                <w:color w:val="000000"/>
                <w:szCs w:val="22"/>
                <w:lang w:val="fr-CH"/>
              </w:rPr>
              <w:t>nta</w:t>
            </w:r>
            <w:r w:rsidRPr="00F55FE3">
              <w:rPr>
                <w:color w:val="000000"/>
                <w:szCs w:val="22"/>
                <w:lang w:val="fr-CH"/>
              </w:rPr>
              <w:t>i</w:t>
            </w:r>
            <w:r w:rsidR="00A04566" w:rsidRPr="00F55FE3">
              <w:rPr>
                <w:color w:val="000000"/>
                <w:szCs w:val="22"/>
                <w:lang w:val="fr-CH"/>
              </w:rPr>
              <w:t>r</w:t>
            </w:r>
            <w:r w:rsidRPr="00F55FE3">
              <w:rPr>
                <w:color w:val="000000"/>
                <w:szCs w:val="22"/>
                <w:lang w:val="fr-CH"/>
              </w:rPr>
              <w:t xml:space="preserve">es </w:t>
            </w:r>
            <w:r w:rsidR="004C7856" w:rsidRPr="00F55FE3">
              <w:rPr>
                <w:color w:val="000000"/>
                <w:szCs w:val="22"/>
                <w:lang w:val="fr-CH"/>
              </w:rPr>
              <w:t xml:space="preserve">de lutte contre les atteintes portées en ligne aux droits de propriété intellectuelle </w:t>
            </w:r>
          </w:p>
        </w:tc>
      </w:tr>
      <w:tr w:rsidR="00785BA6" w:rsidRPr="00FD1A95" w:rsidTr="00152320">
        <w:tc>
          <w:tcPr>
            <w:tcW w:w="2410" w:type="dxa"/>
          </w:tcPr>
          <w:p w:rsidR="00785BA6" w:rsidRPr="00483904" w:rsidRDefault="00785BA6" w:rsidP="00152320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CH"/>
              </w:rPr>
            </w:pPr>
          </w:p>
        </w:tc>
        <w:tc>
          <w:tcPr>
            <w:tcW w:w="567" w:type="dxa"/>
            <w:gridSpan w:val="2"/>
          </w:tcPr>
          <w:p w:rsidR="00785BA6" w:rsidRPr="00226FED" w:rsidRDefault="00785BA6" w:rsidP="00152320">
            <w:pPr>
              <w:tabs>
                <w:tab w:val="left" w:pos="34"/>
              </w:tabs>
              <w:ind w:left="34"/>
              <w:rPr>
                <w:color w:val="000000"/>
                <w:szCs w:val="22"/>
                <w:highlight w:val="yellow"/>
                <w:lang w:val="fr-CH"/>
              </w:rPr>
            </w:pPr>
          </w:p>
        </w:tc>
        <w:tc>
          <w:tcPr>
            <w:tcW w:w="6095" w:type="dxa"/>
          </w:tcPr>
          <w:p w:rsidR="00785BA6" w:rsidRPr="00F55FE3" w:rsidRDefault="00785BA6" w:rsidP="00CC028B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 w:rsidRPr="00F55FE3">
              <w:rPr>
                <w:i/>
                <w:color w:val="000000"/>
                <w:szCs w:val="22"/>
                <w:lang w:val="fr-FR"/>
              </w:rPr>
              <w:t xml:space="preserve">Document établi par </w:t>
            </w:r>
            <w:r w:rsidR="004C7856" w:rsidRPr="00F55FE3">
              <w:rPr>
                <w:i/>
                <w:color w:val="000000"/>
                <w:szCs w:val="22"/>
                <w:lang w:val="fr-FR"/>
              </w:rPr>
              <w:t>Mme </w:t>
            </w:r>
            <w:r w:rsidR="00A04566" w:rsidRPr="00F55FE3">
              <w:rPr>
                <w:i/>
                <w:color w:val="000000"/>
                <w:szCs w:val="22"/>
                <w:lang w:val="fr-CH"/>
              </w:rPr>
              <w:t>Marianne</w:t>
            </w:r>
            <w:r w:rsidR="004C7856" w:rsidRPr="00F55FE3">
              <w:rPr>
                <w:i/>
                <w:color w:val="000000"/>
                <w:szCs w:val="22"/>
                <w:lang w:val="fr-CH"/>
              </w:rPr>
              <w:t> </w:t>
            </w:r>
            <w:r w:rsidR="00A04566" w:rsidRPr="00F55FE3">
              <w:rPr>
                <w:i/>
                <w:color w:val="000000"/>
                <w:szCs w:val="22"/>
                <w:lang w:val="fr-CH"/>
              </w:rPr>
              <w:t xml:space="preserve">Grant, </w:t>
            </w:r>
            <w:r w:rsidR="0014617A" w:rsidRPr="00F55FE3">
              <w:rPr>
                <w:i/>
                <w:color w:val="000000"/>
                <w:szCs w:val="22"/>
                <w:lang w:val="fr-CH"/>
              </w:rPr>
              <w:t>v</w:t>
            </w:r>
            <w:r w:rsidR="00A04566" w:rsidRPr="00F55FE3">
              <w:rPr>
                <w:i/>
                <w:color w:val="000000"/>
                <w:szCs w:val="22"/>
                <w:lang w:val="fr-CH"/>
              </w:rPr>
              <w:t>ice</w:t>
            </w:r>
            <w:r w:rsidR="004C7856" w:rsidRPr="00F55FE3">
              <w:rPr>
                <w:i/>
                <w:color w:val="000000"/>
                <w:szCs w:val="22"/>
                <w:lang w:val="fr-CH"/>
              </w:rPr>
              <w:noBreakHyphen/>
            </w:r>
            <w:r w:rsidR="0014617A" w:rsidRPr="00F55FE3">
              <w:rPr>
                <w:i/>
                <w:color w:val="000000"/>
                <w:szCs w:val="22"/>
                <w:lang w:val="fr-CH"/>
              </w:rPr>
              <w:t>pré</w:t>
            </w:r>
            <w:r w:rsidR="00A04566" w:rsidRPr="00F55FE3">
              <w:rPr>
                <w:i/>
                <w:color w:val="000000"/>
                <w:szCs w:val="22"/>
                <w:lang w:val="fr-CH"/>
              </w:rPr>
              <w:t>sident</w:t>
            </w:r>
            <w:r w:rsidR="0014617A" w:rsidRPr="00F55FE3">
              <w:rPr>
                <w:i/>
                <w:color w:val="000000"/>
                <w:szCs w:val="22"/>
                <w:lang w:val="fr-CH"/>
              </w:rPr>
              <w:t>e</w:t>
            </w:r>
            <w:r w:rsidR="00CC028B">
              <w:rPr>
                <w:i/>
                <w:color w:val="000000"/>
                <w:szCs w:val="22"/>
                <w:lang w:val="fr-CH"/>
              </w:rPr>
              <w:t xml:space="preserve"> prin</w:t>
            </w:r>
            <w:bookmarkStart w:id="3" w:name="_GoBack"/>
            <w:bookmarkEnd w:id="3"/>
            <w:r w:rsidR="00CC028B">
              <w:rPr>
                <w:i/>
                <w:color w:val="000000"/>
                <w:szCs w:val="22"/>
                <w:lang w:val="fr-CH"/>
              </w:rPr>
              <w:t>cipale</w:t>
            </w:r>
            <w:r w:rsidR="00A04566" w:rsidRPr="00F55FE3">
              <w:rPr>
                <w:i/>
                <w:color w:val="000000"/>
                <w:szCs w:val="22"/>
                <w:lang w:val="fr-CH"/>
              </w:rPr>
              <w:t xml:space="preserve">, Motion Picture Association </w:t>
            </w:r>
            <w:r w:rsidR="00226FED" w:rsidRPr="00F55FE3">
              <w:rPr>
                <w:i/>
                <w:color w:val="000000"/>
                <w:szCs w:val="22"/>
                <w:lang w:val="fr-CH"/>
              </w:rPr>
              <w:t xml:space="preserve">of </w:t>
            </w:r>
            <w:proofErr w:type="spellStart"/>
            <w:r w:rsidR="00226FED" w:rsidRPr="00F55FE3">
              <w:rPr>
                <w:i/>
                <w:color w:val="000000"/>
                <w:szCs w:val="22"/>
                <w:lang w:val="fr-CH"/>
              </w:rPr>
              <w:t>America</w:t>
            </w:r>
            <w:proofErr w:type="spellEnd"/>
            <w:r w:rsidR="00226FED" w:rsidRPr="00F55FE3">
              <w:rPr>
                <w:i/>
                <w:color w:val="000000"/>
                <w:szCs w:val="22"/>
                <w:lang w:val="fr-CH"/>
              </w:rPr>
              <w:t>, Inc.</w:t>
            </w:r>
            <w:r w:rsidR="00491B4A">
              <w:rPr>
                <w:i/>
                <w:color w:val="000000"/>
                <w:szCs w:val="22"/>
                <w:lang w:val="fr-CH"/>
              </w:rPr>
              <w:t xml:space="preserve">, États-Unis d'Amérique </w:t>
            </w:r>
          </w:p>
        </w:tc>
      </w:tr>
      <w:tr w:rsidR="00785BA6" w:rsidRPr="00FD1A95" w:rsidTr="00152320">
        <w:tc>
          <w:tcPr>
            <w:tcW w:w="2410" w:type="dxa"/>
          </w:tcPr>
          <w:p w:rsidR="00785BA6" w:rsidRPr="00483904" w:rsidRDefault="00785BA6" w:rsidP="00152320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67" w:type="dxa"/>
            <w:gridSpan w:val="2"/>
          </w:tcPr>
          <w:p w:rsidR="00785BA6" w:rsidRPr="00D67A9A" w:rsidRDefault="00785BA6" w:rsidP="00152320">
            <w:pPr>
              <w:tabs>
                <w:tab w:val="left" w:pos="34"/>
              </w:tabs>
              <w:ind w:left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785BA6" w:rsidRPr="00D67A9A" w:rsidRDefault="00785BA6" w:rsidP="00152320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  <w:tr w:rsidR="00785BA6" w:rsidRPr="00B35A62" w:rsidTr="00152320">
        <w:tc>
          <w:tcPr>
            <w:tcW w:w="2410" w:type="dxa"/>
          </w:tcPr>
          <w:p w:rsidR="00785BA6" w:rsidRPr="00483904" w:rsidRDefault="004A3359" w:rsidP="006B1167">
            <w:pPr>
              <w:tabs>
                <w:tab w:val="left" w:pos="34"/>
              </w:tabs>
              <w:ind w:firstLine="34"/>
              <w:rPr>
                <w:color w:val="000000"/>
                <w:szCs w:val="22"/>
                <w:lang w:val="fr-FR"/>
              </w:rPr>
            </w:pPr>
            <w:r w:rsidRPr="00483904">
              <w:rPr>
                <w:color w:val="000000"/>
                <w:szCs w:val="22"/>
                <w:lang w:val="fr-FR"/>
              </w:rPr>
              <w:t>WIPO/ACE/9/28</w:t>
            </w:r>
          </w:p>
        </w:tc>
        <w:tc>
          <w:tcPr>
            <w:tcW w:w="567" w:type="dxa"/>
            <w:gridSpan w:val="2"/>
          </w:tcPr>
          <w:p w:rsidR="00785BA6" w:rsidRPr="00D67A9A" w:rsidRDefault="00785BA6" w:rsidP="00152320">
            <w:pPr>
              <w:tabs>
                <w:tab w:val="left" w:pos="34"/>
              </w:tabs>
              <w:ind w:left="34" w:hanging="34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6095" w:type="dxa"/>
          </w:tcPr>
          <w:p w:rsidR="00785BA6" w:rsidRDefault="004A3359" w:rsidP="004A3359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Travaux futurs du Comité consultatif sur l’application des droits</w:t>
            </w:r>
          </w:p>
          <w:p w:rsidR="00483904" w:rsidRPr="00483904" w:rsidRDefault="00483904" w:rsidP="004A3359">
            <w:pPr>
              <w:tabs>
                <w:tab w:val="left" w:pos="357"/>
              </w:tabs>
              <w:ind w:left="317"/>
              <w:rPr>
                <w:i/>
                <w:color w:val="000000"/>
                <w:szCs w:val="22"/>
                <w:lang w:val="fr-FR"/>
              </w:rPr>
            </w:pPr>
            <w:r w:rsidRPr="00483904">
              <w:rPr>
                <w:i/>
                <w:color w:val="000000"/>
                <w:szCs w:val="22"/>
                <w:lang w:val="fr-FR"/>
              </w:rPr>
              <w:t>Document établi par le Secrétariat</w:t>
            </w:r>
          </w:p>
          <w:p w:rsidR="00785BA6" w:rsidRPr="00D67A9A" w:rsidRDefault="00785BA6" w:rsidP="00152320">
            <w:pPr>
              <w:tabs>
                <w:tab w:val="left" w:pos="357"/>
              </w:tabs>
              <w:ind w:left="317"/>
              <w:rPr>
                <w:color w:val="000000"/>
                <w:szCs w:val="22"/>
                <w:lang w:val="fr-FR"/>
              </w:rPr>
            </w:pPr>
          </w:p>
        </w:tc>
      </w:tr>
    </w:tbl>
    <w:p w:rsidR="007F440A" w:rsidRPr="00FD1A95" w:rsidRDefault="007F440A" w:rsidP="00FD1A95">
      <w:pPr>
        <w:pStyle w:val="Endofdocument-Annex"/>
      </w:pPr>
    </w:p>
    <w:p w:rsidR="007F440A" w:rsidRPr="00FD1A95" w:rsidRDefault="007F440A" w:rsidP="00FD1A95">
      <w:pPr>
        <w:pStyle w:val="Endofdocument-Annex"/>
      </w:pPr>
    </w:p>
    <w:p w:rsidR="007F440A" w:rsidRPr="00FD1A95" w:rsidRDefault="007F440A" w:rsidP="00FD1A95">
      <w:pPr>
        <w:pStyle w:val="Endofdocument-Annex"/>
      </w:pPr>
    </w:p>
    <w:p w:rsidR="00BD545E" w:rsidRPr="00FD1A95" w:rsidRDefault="00A75B32" w:rsidP="00FD1A95">
      <w:pPr>
        <w:pStyle w:val="Endofdocument-Annex"/>
      </w:pPr>
      <w:r w:rsidRPr="00FD1A95">
        <w:t>[Fin du document]</w:t>
      </w:r>
    </w:p>
    <w:p w:rsidR="002928D3" w:rsidRPr="00FD1A95" w:rsidRDefault="002928D3" w:rsidP="00FD1A95">
      <w:pPr>
        <w:pStyle w:val="Endofdocument-Annex"/>
      </w:pPr>
    </w:p>
    <w:sectPr w:rsidR="002928D3" w:rsidRPr="00FD1A95" w:rsidSect="00D67A9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9B" w:rsidRDefault="00712E9B">
      <w:r>
        <w:separator/>
      </w:r>
    </w:p>
  </w:endnote>
  <w:endnote w:type="continuationSeparator" w:id="0">
    <w:p w:rsidR="00712E9B" w:rsidRDefault="00712E9B" w:rsidP="003B38C1">
      <w:r>
        <w:separator/>
      </w:r>
    </w:p>
    <w:p w:rsidR="00712E9B" w:rsidRPr="003B38C1" w:rsidRDefault="00712E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2E9B" w:rsidRPr="003B38C1" w:rsidRDefault="00712E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9B" w:rsidRDefault="00712E9B">
      <w:r>
        <w:separator/>
      </w:r>
    </w:p>
  </w:footnote>
  <w:footnote w:type="continuationSeparator" w:id="0">
    <w:p w:rsidR="00712E9B" w:rsidRDefault="00712E9B" w:rsidP="008B60B2">
      <w:r>
        <w:separator/>
      </w:r>
    </w:p>
    <w:p w:rsidR="00712E9B" w:rsidRPr="00ED77FB" w:rsidRDefault="00712E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2E9B" w:rsidRPr="00ED77FB" w:rsidRDefault="00712E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12E9B" w:rsidP="00477D6B">
    <w:pPr>
      <w:jc w:val="right"/>
    </w:pPr>
    <w:bookmarkStart w:id="4" w:name="Code2"/>
    <w:bookmarkEnd w:id="4"/>
    <w:r>
      <w:t>WIPO/ACE/9/</w:t>
    </w:r>
    <w:r w:rsidR="00241DDA">
      <w:t>INF/2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D1A95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|WIPONew"/>
    <w:docVar w:name="TermBaseURL" w:val="empty"/>
    <w:docVar w:name="TextBases" w:val="IP in General\Academy|IP in General\Arbitration and Mediation|IP in General\Meetings|IP in General\Other|IP in General\Press Room|IP in General\Publications|Patents\Meetings|Patents\Other|Patents\Publications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Glossaries\EN-FR|Trademarks\Meetings|Trademarks\Other|Trademarks\Publications|Iloat"/>
    <w:docVar w:name="TextBaseURL" w:val="empty"/>
    <w:docVar w:name="UILng" w:val="en"/>
  </w:docVars>
  <w:rsids>
    <w:rsidRoot w:val="00712E9B"/>
    <w:rsid w:val="00043CAA"/>
    <w:rsid w:val="00057162"/>
    <w:rsid w:val="00061D47"/>
    <w:rsid w:val="00063101"/>
    <w:rsid w:val="00071128"/>
    <w:rsid w:val="000734C9"/>
    <w:rsid w:val="00075432"/>
    <w:rsid w:val="000968ED"/>
    <w:rsid w:val="000B3C2A"/>
    <w:rsid w:val="000E6934"/>
    <w:rsid w:val="000F5E56"/>
    <w:rsid w:val="001041CD"/>
    <w:rsid w:val="00130D84"/>
    <w:rsid w:val="001362EE"/>
    <w:rsid w:val="001409B0"/>
    <w:rsid w:val="0014606F"/>
    <w:rsid w:val="0014617A"/>
    <w:rsid w:val="0017081D"/>
    <w:rsid w:val="001832A6"/>
    <w:rsid w:val="001952CF"/>
    <w:rsid w:val="001B587D"/>
    <w:rsid w:val="001B704E"/>
    <w:rsid w:val="001C367D"/>
    <w:rsid w:val="001D6A05"/>
    <w:rsid w:val="001E0C3B"/>
    <w:rsid w:val="00226FED"/>
    <w:rsid w:val="002377F3"/>
    <w:rsid w:val="00241DDA"/>
    <w:rsid w:val="00244CB9"/>
    <w:rsid w:val="0024690C"/>
    <w:rsid w:val="002634C4"/>
    <w:rsid w:val="002822FE"/>
    <w:rsid w:val="002928D3"/>
    <w:rsid w:val="002B7BD9"/>
    <w:rsid w:val="002F1FE6"/>
    <w:rsid w:val="002F3955"/>
    <w:rsid w:val="002F4E68"/>
    <w:rsid w:val="002F7621"/>
    <w:rsid w:val="00312F7F"/>
    <w:rsid w:val="003315CE"/>
    <w:rsid w:val="00347093"/>
    <w:rsid w:val="00361450"/>
    <w:rsid w:val="00364489"/>
    <w:rsid w:val="003673CF"/>
    <w:rsid w:val="00374A6D"/>
    <w:rsid w:val="003845C1"/>
    <w:rsid w:val="003A18DF"/>
    <w:rsid w:val="003A6F89"/>
    <w:rsid w:val="003B38C1"/>
    <w:rsid w:val="003D0ED6"/>
    <w:rsid w:val="003D3173"/>
    <w:rsid w:val="004047CD"/>
    <w:rsid w:val="00406A4A"/>
    <w:rsid w:val="00411662"/>
    <w:rsid w:val="00415CA1"/>
    <w:rsid w:val="00423E3E"/>
    <w:rsid w:val="00427AF4"/>
    <w:rsid w:val="004647DA"/>
    <w:rsid w:val="00474062"/>
    <w:rsid w:val="00477D6B"/>
    <w:rsid w:val="00483904"/>
    <w:rsid w:val="00491B4A"/>
    <w:rsid w:val="004A3359"/>
    <w:rsid w:val="004B67D2"/>
    <w:rsid w:val="004C6924"/>
    <w:rsid w:val="004C7856"/>
    <w:rsid w:val="00501146"/>
    <w:rsid w:val="005019FF"/>
    <w:rsid w:val="0053057A"/>
    <w:rsid w:val="0053359D"/>
    <w:rsid w:val="00560A29"/>
    <w:rsid w:val="005671B9"/>
    <w:rsid w:val="005C6649"/>
    <w:rsid w:val="005E6014"/>
    <w:rsid w:val="005F272A"/>
    <w:rsid w:val="00605827"/>
    <w:rsid w:val="00646050"/>
    <w:rsid w:val="006700BF"/>
    <w:rsid w:val="006713CA"/>
    <w:rsid w:val="006742AB"/>
    <w:rsid w:val="0067501F"/>
    <w:rsid w:val="00676C5C"/>
    <w:rsid w:val="00694F79"/>
    <w:rsid w:val="006B1167"/>
    <w:rsid w:val="006D3465"/>
    <w:rsid w:val="006D64E4"/>
    <w:rsid w:val="00704419"/>
    <w:rsid w:val="00712E9B"/>
    <w:rsid w:val="00724B89"/>
    <w:rsid w:val="007670E6"/>
    <w:rsid w:val="00771EFC"/>
    <w:rsid w:val="00785BA6"/>
    <w:rsid w:val="00790EB0"/>
    <w:rsid w:val="007D1613"/>
    <w:rsid w:val="007F440A"/>
    <w:rsid w:val="007F6FED"/>
    <w:rsid w:val="00801544"/>
    <w:rsid w:val="00801E1B"/>
    <w:rsid w:val="00816CDB"/>
    <w:rsid w:val="00853964"/>
    <w:rsid w:val="00861729"/>
    <w:rsid w:val="00865D91"/>
    <w:rsid w:val="00875AE8"/>
    <w:rsid w:val="00894897"/>
    <w:rsid w:val="008B2CC1"/>
    <w:rsid w:val="008B60B2"/>
    <w:rsid w:val="008B7A02"/>
    <w:rsid w:val="008C3A01"/>
    <w:rsid w:val="008F2067"/>
    <w:rsid w:val="008F5DE0"/>
    <w:rsid w:val="0090731E"/>
    <w:rsid w:val="00916EE2"/>
    <w:rsid w:val="00945FA0"/>
    <w:rsid w:val="00955F9F"/>
    <w:rsid w:val="00966A22"/>
    <w:rsid w:val="0096722F"/>
    <w:rsid w:val="00980843"/>
    <w:rsid w:val="00980E04"/>
    <w:rsid w:val="00995E45"/>
    <w:rsid w:val="009A34BE"/>
    <w:rsid w:val="009B2B23"/>
    <w:rsid w:val="009B496C"/>
    <w:rsid w:val="009D2A22"/>
    <w:rsid w:val="009E2791"/>
    <w:rsid w:val="009E3F6F"/>
    <w:rsid w:val="009F499F"/>
    <w:rsid w:val="00A04566"/>
    <w:rsid w:val="00A24105"/>
    <w:rsid w:val="00A42DAF"/>
    <w:rsid w:val="00A45BD8"/>
    <w:rsid w:val="00A75B32"/>
    <w:rsid w:val="00A869B7"/>
    <w:rsid w:val="00A93F82"/>
    <w:rsid w:val="00AB7D28"/>
    <w:rsid w:val="00AC205C"/>
    <w:rsid w:val="00AF023E"/>
    <w:rsid w:val="00AF0A6B"/>
    <w:rsid w:val="00B05537"/>
    <w:rsid w:val="00B05A69"/>
    <w:rsid w:val="00B35A62"/>
    <w:rsid w:val="00B652E3"/>
    <w:rsid w:val="00B9734B"/>
    <w:rsid w:val="00BA53B4"/>
    <w:rsid w:val="00BC7830"/>
    <w:rsid w:val="00BD545E"/>
    <w:rsid w:val="00BF3921"/>
    <w:rsid w:val="00C11BFE"/>
    <w:rsid w:val="00C331C3"/>
    <w:rsid w:val="00C33C20"/>
    <w:rsid w:val="00C755D9"/>
    <w:rsid w:val="00C75A20"/>
    <w:rsid w:val="00CA1AAD"/>
    <w:rsid w:val="00CB65D1"/>
    <w:rsid w:val="00CC028B"/>
    <w:rsid w:val="00CE510A"/>
    <w:rsid w:val="00D0248B"/>
    <w:rsid w:val="00D26819"/>
    <w:rsid w:val="00D35727"/>
    <w:rsid w:val="00D45252"/>
    <w:rsid w:val="00D605C5"/>
    <w:rsid w:val="00D67A9A"/>
    <w:rsid w:val="00D71B4D"/>
    <w:rsid w:val="00D93D55"/>
    <w:rsid w:val="00DB16D1"/>
    <w:rsid w:val="00DB73C6"/>
    <w:rsid w:val="00DD3052"/>
    <w:rsid w:val="00DE571A"/>
    <w:rsid w:val="00E335FE"/>
    <w:rsid w:val="00E477BC"/>
    <w:rsid w:val="00E72CB1"/>
    <w:rsid w:val="00EA0588"/>
    <w:rsid w:val="00EA3D1A"/>
    <w:rsid w:val="00EA475A"/>
    <w:rsid w:val="00EC4E49"/>
    <w:rsid w:val="00EC6B5C"/>
    <w:rsid w:val="00ED4937"/>
    <w:rsid w:val="00ED77FB"/>
    <w:rsid w:val="00EE45FA"/>
    <w:rsid w:val="00F55FE3"/>
    <w:rsid w:val="00F66152"/>
    <w:rsid w:val="00F72052"/>
    <w:rsid w:val="00F9455F"/>
    <w:rsid w:val="00FA120C"/>
    <w:rsid w:val="00FB03D2"/>
    <w:rsid w:val="00FD1A95"/>
    <w:rsid w:val="00FE33DD"/>
    <w:rsid w:val="00FF415D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CommentReference">
    <w:name w:val="annotation reference"/>
    <w:basedOn w:val="DefaultParagraphFont"/>
    <w:rsid w:val="008015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154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54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01544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D28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6A4A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6A4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406A4A"/>
    <w:rPr>
      <w:vertAlign w:val="superscript"/>
    </w:rPr>
  </w:style>
  <w:style w:type="paragraph" w:customStyle="1" w:styleId="TitleofDoc">
    <w:name w:val="Title of Doc"/>
    <w:basedOn w:val="Normal"/>
    <w:rsid w:val="00406A4A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styleId="CommentReference">
    <w:name w:val="annotation reference"/>
    <w:basedOn w:val="DefaultParagraphFont"/>
    <w:rsid w:val="008015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0154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54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0154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GIS\WIPO%20ACE%20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74B2-CD58-4115-88C3-CDAF17A7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ACE 9 (E).dot</Template>
  <TotalTime>4</TotalTime>
  <Pages>5</Pages>
  <Words>1098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keywords>JCH/mhf</cp:keywords>
  <cp:lastModifiedBy>COLIN Isabelle</cp:lastModifiedBy>
  <cp:revision>5</cp:revision>
  <cp:lastPrinted>2014-02-27T13:31:00Z</cp:lastPrinted>
  <dcterms:created xsi:type="dcterms:W3CDTF">2014-02-28T09:38:00Z</dcterms:created>
  <dcterms:modified xsi:type="dcterms:W3CDTF">2014-02-28T09:42:00Z</dcterms:modified>
</cp:coreProperties>
</file>