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4031C" w:rsidRPr="00C83E0A" w:rsidTr="008E128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4031C" w:rsidRPr="00C83E0A" w:rsidRDefault="00D4031C" w:rsidP="008E128A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4031C" w:rsidRPr="00C83E0A" w:rsidRDefault="00D4031C" w:rsidP="008E128A">
            <w:r w:rsidRPr="00C83E0A">
              <w:rPr>
                <w:noProof/>
                <w:lang w:val="en-US" w:eastAsia="en-US"/>
              </w:rPr>
              <w:drawing>
                <wp:inline distT="0" distB="0" distL="0" distR="0" wp14:anchorId="3E51265E" wp14:editId="4A39AC74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4031C" w:rsidRPr="00C83E0A" w:rsidRDefault="00D4031C" w:rsidP="008E128A">
            <w:pPr>
              <w:jc w:val="right"/>
              <w:rPr>
                <w:rFonts w:cs="Arial"/>
              </w:rPr>
            </w:pPr>
            <w:r w:rsidRPr="00C83E0A">
              <w:rPr>
                <w:rFonts w:cs="Arial"/>
                <w:b/>
                <w:sz w:val="40"/>
                <w:szCs w:val="40"/>
              </w:rPr>
              <w:t>F</w:t>
            </w:r>
          </w:p>
        </w:tc>
      </w:tr>
      <w:tr w:rsidR="00D4031C" w:rsidRPr="00C83E0A" w:rsidTr="00475F75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4031C" w:rsidRPr="00C83E0A" w:rsidRDefault="00D4031C" w:rsidP="00D403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83E0A">
              <w:rPr>
                <w:rFonts w:ascii="Arial Black" w:hAnsi="Arial Black"/>
                <w:caps/>
                <w:sz w:val="15"/>
              </w:rPr>
              <w:t>WIPO/ACE/9</w:t>
            </w:r>
            <w:r w:rsidRPr="00C83E0A">
              <w:rPr>
                <w:rFonts w:ascii="Arial Black" w:eastAsia="Malgun Gothic" w:hAnsi="Arial Black"/>
                <w:caps/>
                <w:sz w:val="15"/>
                <w:lang w:eastAsia="ko-KR"/>
              </w:rPr>
              <w:t xml:space="preserve">/3 </w:t>
            </w:r>
          </w:p>
        </w:tc>
      </w:tr>
      <w:tr w:rsidR="00D4031C" w:rsidRPr="00C83E0A" w:rsidTr="00475F75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4031C" w:rsidRPr="00C83E0A" w:rsidRDefault="00D4031C" w:rsidP="008E128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83E0A">
              <w:rPr>
                <w:rFonts w:ascii="Arial Black" w:hAnsi="Arial Black"/>
                <w:caps/>
                <w:sz w:val="15"/>
              </w:rPr>
              <w:t>ORIGINAL : anglais</w:t>
            </w:r>
          </w:p>
        </w:tc>
      </w:tr>
      <w:tr w:rsidR="00D4031C" w:rsidRPr="00C83E0A" w:rsidTr="00475F75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4031C" w:rsidRPr="00C83E0A" w:rsidRDefault="00D4031C" w:rsidP="00D403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83E0A">
              <w:rPr>
                <w:rFonts w:ascii="Arial Black" w:hAnsi="Arial Black"/>
                <w:caps/>
                <w:sz w:val="15"/>
              </w:rPr>
              <w:t xml:space="preserve">DATE : 27 janvier 2014 </w:t>
            </w:r>
          </w:p>
        </w:tc>
      </w:tr>
    </w:tbl>
    <w:p w:rsidR="00D4031C" w:rsidRPr="00C83E0A" w:rsidRDefault="00D4031C" w:rsidP="00D4031C">
      <w:pPr>
        <w:rPr>
          <w:rFonts w:eastAsia="SimSun" w:cs="Arial"/>
          <w:szCs w:val="20"/>
          <w:lang w:eastAsia="zh-CN"/>
        </w:rPr>
      </w:pPr>
    </w:p>
    <w:p w:rsidR="00D4031C" w:rsidRPr="00C83E0A" w:rsidRDefault="00D4031C" w:rsidP="00D4031C">
      <w:pPr>
        <w:rPr>
          <w:rFonts w:eastAsia="SimSun" w:cs="Arial"/>
          <w:szCs w:val="20"/>
          <w:lang w:eastAsia="zh-CN"/>
        </w:rPr>
      </w:pPr>
    </w:p>
    <w:p w:rsidR="00D4031C" w:rsidRPr="00C83E0A" w:rsidRDefault="00D4031C" w:rsidP="00D4031C">
      <w:pPr>
        <w:rPr>
          <w:rFonts w:eastAsia="SimSun" w:cs="Arial"/>
          <w:szCs w:val="20"/>
          <w:lang w:eastAsia="zh-CN"/>
        </w:rPr>
      </w:pPr>
    </w:p>
    <w:p w:rsidR="00D4031C" w:rsidRPr="00C83E0A" w:rsidRDefault="00D4031C" w:rsidP="00D4031C">
      <w:pPr>
        <w:rPr>
          <w:rFonts w:eastAsia="SimSun" w:cs="Arial"/>
          <w:szCs w:val="20"/>
          <w:lang w:eastAsia="zh-CN"/>
        </w:rPr>
      </w:pPr>
    </w:p>
    <w:p w:rsidR="00D4031C" w:rsidRPr="00C83E0A" w:rsidRDefault="00D4031C" w:rsidP="00D4031C">
      <w:pPr>
        <w:rPr>
          <w:rFonts w:eastAsia="SimSun" w:cs="Arial"/>
          <w:szCs w:val="20"/>
          <w:lang w:eastAsia="zh-CN"/>
        </w:rPr>
      </w:pPr>
    </w:p>
    <w:p w:rsidR="00D4031C" w:rsidRPr="00C83E0A" w:rsidRDefault="00D4031C" w:rsidP="00D4031C">
      <w:pPr>
        <w:pStyle w:val="Meetingtitle"/>
        <w:spacing w:line="240" w:lineRule="auto"/>
        <w:ind w:left="0"/>
        <w:rPr>
          <w:lang w:val="fr-FR"/>
        </w:rPr>
      </w:pPr>
      <w:r w:rsidRPr="00C83E0A">
        <w:rPr>
          <w:lang w:val="fr-FR"/>
        </w:rPr>
        <w:t>Comité consultatif sur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application des droits</w:t>
      </w:r>
    </w:p>
    <w:p w:rsidR="00D4031C" w:rsidRPr="00C83E0A" w:rsidRDefault="00D4031C" w:rsidP="00D4031C">
      <w:pPr>
        <w:rPr>
          <w:rFonts w:eastAsia="SimSun" w:cs="Arial"/>
          <w:szCs w:val="20"/>
          <w:lang w:eastAsia="zh-CN"/>
        </w:rPr>
      </w:pPr>
    </w:p>
    <w:p w:rsidR="00D4031C" w:rsidRPr="00C83E0A" w:rsidRDefault="00D4031C" w:rsidP="00D4031C">
      <w:pPr>
        <w:rPr>
          <w:rFonts w:eastAsia="SimSun" w:cs="Arial"/>
          <w:szCs w:val="20"/>
          <w:lang w:eastAsia="zh-CN"/>
        </w:rPr>
      </w:pPr>
    </w:p>
    <w:p w:rsidR="00D4031C" w:rsidRPr="00C83E0A" w:rsidRDefault="00D4031C" w:rsidP="00D4031C">
      <w:pPr>
        <w:pStyle w:val="Sessiontitle"/>
        <w:spacing w:before="0"/>
        <w:ind w:left="0"/>
        <w:rPr>
          <w:lang w:val="fr-FR"/>
        </w:rPr>
      </w:pPr>
      <w:r w:rsidRPr="00C83E0A">
        <w:rPr>
          <w:lang w:val="fr-FR" w:eastAsia="ko-KR"/>
        </w:rPr>
        <w:t>Neuvième session</w:t>
      </w:r>
    </w:p>
    <w:p w:rsidR="00D4031C" w:rsidRPr="00C83E0A" w:rsidRDefault="00D4031C" w:rsidP="00D4031C">
      <w:pPr>
        <w:pStyle w:val="Meetingplacedate"/>
        <w:ind w:left="0"/>
        <w:rPr>
          <w:lang w:val="fr-FR"/>
        </w:rPr>
      </w:pPr>
      <w:r w:rsidRPr="00C83E0A">
        <w:rPr>
          <w:lang w:val="fr-FR"/>
        </w:rPr>
        <w:t>Genève, 3 – 5 mars 201</w:t>
      </w:r>
      <w:r w:rsidRPr="00C83E0A">
        <w:rPr>
          <w:lang w:val="fr-FR" w:eastAsia="ko-KR"/>
        </w:rPr>
        <w:t>4</w:t>
      </w:r>
    </w:p>
    <w:p w:rsidR="00D4031C" w:rsidRPr="00C83E0A" w:rsidRDefault="00D4031C" w:rsidP="00D4031C">
      <w:pPr>
        <w:rPr>
          <w:rFonts w:eastAsia="SimSun" w:cs="Arial"/>
          <w:szCs w:val="20"/>
          <w:lang w:eastAsia="zh-CN"/>
        </w:rPr>
      </w:pPr>
    </w:p>
    <w:p w:rsidR="00D4031C" w:rsidRPr="00C83E0A" w:rsidRDefault="00D4031C" w:rsidP="00D4031C">
      <w:pPr>
        <w:rPr>
          <w:rFonts w:eastAsia="SimSun" w:cs="Arial"/>
          <w:szCs w:val="20"/>
          <w:lang w:eastAsia="zh-CN"/>
        </w:rPr>
      </w:pPr>
    </w:p>
    <w:p w:rsidR="00D4031C" w:rsidRPr="00C83E0A" w:rsidRDefault="00D4031C" w:rsidP="00D4031C">
      <w:pPr>
        <w:rPr>
          <w:rFonts w:eastAsia="SimSun" w:cs="Arial"/>
          <w:szCs w:val="20"/>
          <w:lang w:eastAsia="zh-CN"/>
        </w:rPr>
      </w:pPr>
    </w:p>
    <w:p w:rsidR="001C44CF" w:rsidRPr="00C83E0A" w:rsidRDefault="001C44CF" w:rsidP="00B7285D">
      <w:pPr>
        <w:rPr>
          <w:rFonts w:eastAsia="Arial" w:cs="Arial"/>
          <w:caps/>
          <w:sz w:val="24"/>
        </w:rPr>
      </w:pPr>
      <w:r w:rsidRPr="00C83E0A">
        <w:rPr>
          <w:rFonts w:eastAsia="Arial" w:cs="Arial"/>
          <w:caps/>
          <w:sz w:val="24"/>
        </w:rPr>
        <w:t>les modes extrajudiciaires de rÈglement des litiges comme</w:t>
      </w:r>
      <w:r w:rsidR="008E3175">
        <w:rPr>
          <w:rFonts w:eastAsia="Arial" w:cs="Arial"/>
          <w:caps/>
          <w:sz w:val="24"/>
        </w:rPr>
        <w:t> </w:t>
      </w:r>
      <w:r w:rsidRPr="00C83E0A">
        <w:rPr>
          <w:rFonts w:eastAsia="Arial" w:cs="Arial"/>
          <w:caps/>
          <w:sz w:val="24"/>
        </w:rPr>
        <w:t>instrument d</w:t>
      </w:r>
      <w:r w:rsidR="00DA520E" w:rsidRPr="00C83E0A">
        <w:rPr>
          <w:rFonts w:eastAsia="Arial" w:cs="Arial"/>
          <w:caps/>
          <w:sz w:val="24"/>
        </w:rPr>
        <w:t>’</w:t>
      </w:r>
      <w:r w:rsidR="00485013" w:rsidRPr="00C83E0A">
        <w:rPr>
          <w:rFonts w:eastAsia="Arial" w:cs="Arial"/>
          <w:caps/>
          <w:sz w:val="24"/>
        </w:rPr>
        <w:t>APPLICATION des</w:t>
      </w:r>
      <w:r w:rsidRPr="00C83E0A">
        <w:rPr>
          <w:rFonts w:eastAsia="Arial" w:cs="Arial"/>
          <w:caps/>
          <w:sz w:val="24"/>
        </w:rPr>
        <w:t xml:space="preserve"> droit</w:t>
      </w:r>
      <w:r w:rsidR="00485013" w:rsidRPr="00C83E0A">
        <w:rPr>
          <w:rFonts w:eastAsia="Arial" w:cs="Arial"/>
          <w:caps/>
          <w:sz w:val="24"/>
        </w:rPr>
        <w:t>s</w:t>
      </w:r>
      <w:r w:rsidR="00A834BC" w:rsidRPr="00C83E0A">
        <w:rPr>
          <w:rFonts w:eastAsia="Arial" w:cs="Arial"/>
          <w:caps/>
          <w:sz w:val="24"/>
        </w:rPr>
        <w:t xml:space="preserve"> de propriÉ</w:t>
      </w:r>
      <w:r w:rsidRPr="00C83E0A">
        <w:rPr>
          <w:rFonts w:eastAsia="Arial" w:cs="Arial"/>
          <w:caps/>
          <w:sz w:val="24"/>
        </w:rPr>
        <w:t>t</w:t>
      </w:r>
      <w:r w:rsidR="00A834BC" w:rsidRPr="00C83E0A">
        <w:rPr>
          <w:rFonts w:eastAsia="Arial" w:cs="Arial"/>
          <w:caps/>
          <w:sz w:val="24"/>
        </w:rPr>
        <w:t>É</w:t>
      </w:r>
      <w:r w:rsidRPr="00C83E0A">
        <w:rPr>
          <w:rFonts w:eastAsia="Arial" w:cs="Arial"/>
          <w:caps/>
          <w:sz w:val="24"/>
        </w:rPr>
        <w:t xml:space="preserve"> intellectuelle – rÉsumÉ</w:t>
      </w:r>
      <w:r w:rsidR="00484B0C">
        <w:rPr>
          <w:rStyle w:val="FootnoteReference"/>
          <w:rFonts w:eastAsia="Arial" w:cs="Arial"/>
          <w:caps/>
          <w:sz w:val="24"/>
        </w:rPr>
        <w:footnoteReference w:customMarkFollows="1" w:id="2"/>
        <w:t>*</w:t>
      </w:r>
    </w:p>
    <w:p w:rsidR="0039015E" w:rsidRPr="00C83E0A" w:rsidRDefault="0039015E" w:rsidP="00B7285D">
      <w:pPr>
        <w:rPr>
          <w:rFonts w:eastAsia="Arial" w:cs="Arial"/>
        </w:rPr>
      </w:pPr>
    </w:p>
    <w:p w:rsidR="0039015E" w:rsidRPr="00C83E0A" w:rsidRDefault="0039015E" w:rsidP="00B7285D">
      <w:pPr>
        <w:rPr>
          <w:rFonts w:eastAsia="Arial" w:cs="Arial"/>
          <w:i/>
        </w:rPr>
      </w:pPr>
    </w:p>
    <w:p w:rsidR="0039015E" w:rsidRPr="00484B0C" w:rsidRDefault="00A834BC" w:rsidP="00B7285D">
      <w:pPr>
        <w:rPr>
          <w:rFonts w:eastAsia="Arial" w:cs="Arial"/>
        </w:rPr>
      </w:pPr>
      <w:r w:rsidRPr="00C83E0A">
        <w:rPr>
          <w:rFonts w:eastAsia="Arial" w:cs="Arial"/>
          <w:i/>
        </w:rPr>
        <w:t>Document é</w:t>
      </w:r>
      <w:r w:rsidR="001C44CF" w:rsidRPr="00C83E0A">
        <w:rPr>
          <w:rFonts w:eastAsia="Arial" w:cs="Arial"/>
          <w:i/>
        </w:rPr>
        <w:t>tabli par</w:t>
      </w:r>
      <w:r w:rsidR="00F6777F" w:rsidRPr="00C83E0A">
        <w:rPr>
          <w:rFonts w:eastAsia="Arial" w:cs="Arial"/>
          <w:i/>
        </w:rPr>
        <w:t xml:space="preserve"> Trevor</w:t>
      </w:r>
      <w:r w:rsidR="008F176F">
        <w:rPr>
          <w:rFonts w:eastAsia="Arial" w:cs="Arial"/>
          <w:i/>
        </w:rPr>
        <w:t> </w:t>
      </w:r>
      <w:r w:rsidR="00F6777F" w:rsidRPr="00C83E0A">
        <w:rPr>
          <w:rFonts w:eastAsia="Arial" w:cs="Arial"/>
          <w:i/>
        </w:rPr>
        <w:t>Cook</w:t>
      </w:r>
      <w:r w:rsidR="00F6777F" w:rsidRPr="00B7285D">
        <w:rPr>
          <w:rFonts w:eastAsia="Arial" w:cs="Arial"/>
          <w:i/>
        </w:rPr>
        <w:t xml:space="preserve">, </w:t>
      </w:r>
      <w:r w:rsidR="008F176F" w:rsidRPr="00B7285D">
        <w:rPr>
          <w:rFonts w:eastAsia="Arial" w:cs="Arial"/>
          <w:i/>
        </w:rPr>
        <w:t>a</w:t>
      </w:r>
      <w:r w:rsidR="001C44CF" w:rsidRPr="00B7285D">
        <w:rPr>
          <w:rFonts w:eastAsia="Arial" w:cs="Arial"/>
          <w:i/>
        </w:rPr>
        <w:t>ssocié du cabinet</w:t>
      </w:r>
      <w:r w:rsidR="008F176F" w:rsidRPr="00B7285D">
        <w:rPr>
          <w:rFonts w:eastAsia="Arial" w:cs="Arial"/>
          <w:i/>
        </w:rPr>
        <w:t>,</w:t>
      </w:r>
      <w:r w:rsidR="008F176F">
        <w:rPr>
          <w:rFonts w:eastAsia="Arial" w:cs="Arial"/>
          <w:i/>
        </w:rPr>
        <w:t xml:space="preserve"> </w:t>
      </w:r>
      <w:proofErr w:type="spellStart"/>
      <w:r w:rsidR="008F176F">
        <w:rPr>
          <w:rFonts w:eastAsia="Arial" w:cs="Arial"/>
          <w:i/>
        </w:rPr>
        <w:t>WilmerHale</w:t>
      </w:r>
      <w:proofErr w:type="spellEnd"/>
      <w:r w:rsidR="008F176F">
        <w:rPr>
          <w:rFonts w:eastAsia="Arial" w:cs="Arial"/>
          <w:i/>
        </w:rPr>
        <w:t>, New </w:t>
      </w:r>
      <w:r w:rsidR="00F6777F" w:rsidRPr="00C83E0A">
        <w:rPr>
          <w:rFonts w:eastAsia="Arial" w:cs="Arial"/>
          <w:i/>
        </w:rPr>
        <w:t xml:space="preserve">York </w:t>
      </w:r>
      <w:r w:rsidR="009B3F21">
        <w:rPr>
          <w:rFonts w:eastAsia="Arial" w:cs="Arial"/>
          <w:i/>
        </w:rPr>
        <w:t>(</w:t>
      </w:r>
      <w:r w:rsidR="001C44CF" w:rsidRPr="00C83E0A">
        <w:rPr>
          <w:rFonts w:eastAsia="Arial" w:cs="Arial"/>
          <w:i/>
        </w:rPr>
        <w:t>États</w:t>
      </w:r>
      <w:r w:rsidR="005521BD" w:rsidRPr="00C83E0A">
        <w:rPr>
          <w:rFonts w:eastAsia="Arial" w:cs="Arial"/>
          <w:i/>
        </w:rPr>
        <w:noBreakHyphen/>
      </w:r>
      <w:r w:rsidR="001C44CF" w:rsidRPr="00C83E0A">
        <w:rPr>
          <w:rFonts w:eastAsia="Arial" w:cs="Arial"/>
          <w:i/>
        </w:rPr>
        <w:t>Unis d</w:t>
      </w:r>
      <w:r w:rsidR="00DA520E" w:rsidRPr="00C83E0A">
        <w:rPr>
          <w:rFonts w:eastAsia="Arial" w:cs="Arial"/>
          <w:i/>
        </w:rPr>
        <w:t>’</w:t>
      </w:r>
      <w:r w:rsidR="001C44CF" w:rsidRPr="00C83E0A">
        <w:rPr>
          <w:rFonts w:eastAsia="Arial" w:cs="Arial"/>
          <w:i/>
        </w:rPr>
        <w:t>Amérique</w:t>
      </w:r>
      <w:r w:rsidR="009B3F21">
        <w:rPr>
          <w:rFonts w:eastAsia="Arial" w:cs="Arial"/>
          <w:i/>
        </w:rPr>
        <w:t>)</w:t>
      </w:r>
      <w:r w:rsidR="00484B0C">
        <w:rPr>
          <w:rStyle w:val="FootnoteReference"/>
          <w:rFonts w:eastAsia="Arial" w:cs="Arial"/>
          <w:i/>
        </w:rPr>
        <w:footnoteReference w:customMarkFollows="1" w:id="3"/>
        <w:t>**</w:t>
      </w:r>
    </w:p>
    <w:p w:rsidR="0039015E" w:rsidRPr="00C83E0A" w:rsidRDefault="0039015E" w:rsidP="00B7285D">
      <w:pPr>
        <w:rPr>
          <w:rFonts w:eastAsia="Arial" w:cs="Arial"/>
        </w:rPr>
      </w:pPr>
    </w:p>
    <w:p w:rsidR="0039015E" w:rsidRPr="00C83E0A" w:rsidRDefault="0039015E" w:rsidP="00B7285D">
      <w:pPr>
        <w:rPr>
          <w:rFonts w:eastAsia="Arial" w:cs="Arial"/>
        </w:rPr>
      </w:pPr>
    </w:p>
    <w:p w:rsidR="0039015E" w:rsidRPr="00C83E0A" w:rsidRDefault="0039015E" w:rsidP="00B7285D">
      <w:pPr>
        <w:rPr>
          <w:rFonts w:eastAsia="Arial" w:cs="Arial"/>
        </w:rPr>
      </w:pPr>
    </w:p>
    <w:p w:rsidR="0005781F" w:rsidRPr="00C83E0A" w:rsidRDefault="0005781F" w:rsidP="00B7285D">
      <w:pPr>
        <w:pStyle w:val="Heading1"/>
        <w:rPr>
          <w:lang w:val="fr-FR"/>
        </w:rPr>
      </w:pPr>
      <w:r w:rsidRPr="00C83E0A">
        <w:rPr>
          <w:lang w:val="fr-FR"/>
        </w:rPr>
        <w:t>Introduction</w:t>
      </w:r>
    </w:p>
    <w:p w:rsidR="006F3E1E" w:rsidRPr="00C83E0A" w:rsidRDefault="006F3E1E" w:rsidP="00B7285D">
      <w:pPr>
        <w:rPr>
          <w:lang w:eastAsia="zh-CN"/>
        </w:rPr>
      </w:pPr>
    </w:p>
    <w:p w:rsidR="0005781F" w:rsidRPr="00C83E0A" w:rsidRDefault="00FC3CBE" w:rsidP="00B7285D">
      <w:pPr>
        <w:pStyle w:val="ONUMFS"/>
        <w:rPr>
          <w:lang w:val="fr-FR"/>
        </w:rPr>
      </w:pPr>
      <w:r w:rsidRPr="00C83E0A">
        <w:rPr>
          <w:lang w:val="fr-FR"/>
        </w:rPr>
        <w:t>Ce document donne un aperçu général de la manière dont les modes extrajudiciaires de règlement des litiges peuvent constituer un dispositif d</w:t>
      </w:r>
      <w:r w:rsidR="00DA520E" w:rsidRPr="00C83E0A">
        <w:rPr>
          <w:lang w:val="fr-FR"/>
        </w:rPr>
        <w:t>’</w:t>
      </w:r>
      <w:r w:rsidR="00485013" w:rsidRPr="00C83E0A">
        <w:rPr>
          <w:lang w:val="fr-FR"/>
        </w:rPr>
        <w:t>application des droits de</w:t>
      </w:r>
      <w:r w:rsidR="00285C01">
        <w:rPr>
          <w:lang w:val="fr-FR"/>
        </w:rPr>
        <w:t xml:space="preserve"> propriété intellectuelle</w:t>
      </w:r>
      <w:r w:rsidRPr="00C83E0A">
        <w:rPr>
          <w:lang w:val="fr-FR"/>
        </w:rPr>
        <w:t>.</w:t>
      </w:r>
    </w:p>
    <w:p w:rsidR="00DA520E" w:rsidRPr="00C83E0A" w:rsidRDefault="00F42287" w:rsidP="00B7285D">
      <w:pPr>
        <w:pStyle w:val="ONUMFS"/>
        <w:rPr>
          <w:lang w:val="fr-FR"/>
        </w:rPr>
      </w:pPr>
      <w:r w:rsidRPr="00C83E0A">
        <w:rPr>
          <w:lang w:val="fr-FR"/>
        </w:rPr>
        <w:t>Si à première vue, il pourrait sembler contre</w:t>
      </w:r>
      <w:r w:rsidR="005521BD" w:rsidRPr="00C83E0A">
        <w:rPr>
          <w:lang w:val="fr-FR"/>
        </w:rPr>
        <w:noBreakHyphen/>
      </w:r>
      <w:r w:rsidRPr="00C83E0A">
        <w:rPr>
          <w:lang w:val="fr-FR"/>
        </w:rPr>
        <w:t>intuitif que les modes extrajudiciaires de règlement des litiges jouent un rôle dans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application d</w:t>
      </w:r>
      <w:r w:rsidR="00485013" w:rsidRPr="00C83E0A">
        <w:rPr>
          <w:lang w:val="fr-FR"/>
        </w:rPr>
        <w:t>es</w:t>
      </w:r>
      <w:r w:rsidRPr="00C83E0A">
        <w:rPr>
          <w:lang w:val="fr-FR"/>
        </w:rPr>
        <w:t xml:space="preserve"> droit</w:t>
      </w:r>
      <w:r w:rsidR="00485013" w:rsidRPr="00C83E0A">
        <w:rPr>
          <w:lang w:val="fr-FR"/>
        </w:rPr>
        <w:t>s</w:t>
      </w:r>
      <w:r w:rsidRPr="00C83E0A">
        <w:rPr>
          <w:lang w:val="fr-FR"/>
        </w:rPr>
        <w:t xml:space="preserve"> de propriété intellectuelle, ils peuvent néanmoins s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avérer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une grande utilité dans ce domaine.  En effet, sans tenir compte de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existence </w:t>
      </w:r>
      <w:r w:rsidR="00E4126F">
        <w:rPr>
          <w:lang w:val="fr-FR"/>
        </w:rPr>
        <w:t>d’une convention</w:t>
      </w:r>
      <w:r w:rsidR="008E128A">
        <w:rPr>
          <w:lang w:val="fr-FR"/>
        </w:rPr>
        <w:t xml:space="preserve"> </w:t>
      </w:r>
      <w:r w:rsidR="005C1669" w:rsidRPr="00C83E0A">
        <w:rPr>
          <w:lang w:val="fr-FR"/>
        </w:rPr>
        <w:t xml:space="preserve">de base, au moins dans un premier temps, </w:t>
      </w:r>
      <w:r w:rsidR="00945234" w:rsidRPr="00C83E0A">
        <w:rPr>
          <w:lang w:val="fr-FR"/>
        </w:rPr>
        <w:t>ils permettent de régler des litiges relatifs à la propriété intellectuelle,</w:t>
      </w:r>
      <w:r w:rsidR="00160675" w:rsidRPr="00C83E0A">
        <w:rPr>
          <w:lang w:val="fr-FR"/>
        </w:rPr>
        <w:t xml:space="preserve"> </w:t>
      </w:r>
      <w:r w:rsidR="005C1669" w:rsidRPr="00C83E0A">
        <w:rPr>
          <w:lang w:val="fr-FR"/>
        </w:rPr>
        <w:t>et ce d</w:t>
      </w:r>
      <w:r w:rsidR="00DA520E" w:rsidRPr="00C83E0A">
        <w:rPr>
          <w:lang w:val="fr-FR"/>
        </w:rPr>
        <w:t>’</w:t>
      </w:r>
      <w:r w:rsidR="005C1669" w:rsidRPr="00C83E0A">
        <w:rPr>
          <w:lang w:val="fr-FR"/>
        </w:rPr>
        <w:t>une manière qu</w:t>
      </w:r>
      <w:r w:rsidR="00DA520E" w:rsidRPr="00C83E0A">
        <w:rPr>
          <w:lang w:val="fr-FR"/>
        </w:rPr>
        <w:t>’</w:t>
      </w:r>
      <w:r w:rsidR="005C1669" w:rsidRPr="00C83E0A">
        <w:rPr>
          <w:lang w:val="fr-FR"/>
        </w:rPr>
        <w:t>aucun tribunal national ni aucun</w:t>
      </w:r>
      <w:r w:rsidR="00160675" w:rsidRPr="00C83E0A">
        <w:rPr>
          <w:lang w:val="fr-FR"/>
        </w:rPr>
        <w:t>e</w:t>
      </w:r>
      <w:r w:rsidR="005C1669" w:rsidRPr="00C83E0A">
        <w:rPr>
          <w:lang w:val="fr-FR"/>
        </w:rPr>
        <w:t xml:space="preserve"> autre </w:t>
      </w:r>
      <w:r w:rsidR="00160675" w:rsidRPr="00C83E0A">
        <w:rPr>
          <w:lang w:val="fr-FR"/>
        </w:rPr>
        <w:t>organisation</w:t>
      </w:r>
      <w:r w:rsidR="005C1669" w:rsidRPr="00C83E0A">
        <w:rPr>
          <w:lang w:val="fr-FR"/>
        </w:rPr>
        <w:t xml:space="preserve"> </w:t>
      </w:r>
      <w:r w:rsidR="00945234" w:rsidRPr="00C83E0A">
        <w:rPr>
          <w:lang w:val="fr-FR"/>
        </w:rPr>
        <w:t>juridictionnel</w:t>
      </w:r>
      <w:r w:rsidR="00160675" w:rsidRPr="00C83E0A">
        <w:rPr>
          <w:lang w:val="fr-FR"/>
        </w:rPr>
        <w:t>le</w:t>
      </w:r>
      <w:r w:rsidR="005C1669" w:rsidRPr="00C83E0A">
        <w:rPr>
          <w:lang w:val="fr-FR"/>
        </w:rPr>
        <w:t xml:space="preserve"> officiel</w:t>
      </w:r>
      <w:r w:rsidR="00160675" w:rsidRPr="00C83E0A">
        <w:rPr>
          <w:lang w:val="fr-FR"/>
        </w:rPr>
        <w:t>le</w:t>
      </w:r>
      <w:r w:rsidR="005C1669" w:rsidRPr="00C83E0A">
        <w:rPr>
          <w:lang w:val="fr-FR"/>
        </w:rPr>
        <w:t xml:space="preserve"> ou traditionne</w:t>
      </w:r>
      <w:r w:rsidR="00160675" w:rsidRPr="00C83E0A">
        <w:rPr>
          <w:lang w:val="fr-FR"/>
        </w:rPr>
        <w:t>l</w:t>
      </w:r>
      <w:r w:rsidR="005C1669" w:rsidRPr="00C83E0A">
        <w:rPr>
          <w:lang w:val="fr-FR"/>
        </w:rPr>
        <w:t>l</w:t>
      </w:r>
      <w:r w:rsidR="00160675" w:rsidRPr="00C83E0A">
        <w:rPr>
          <w:lang w:val="fr-FR"/>
        </w:rPr>
        <w:t>e</w:t>
      </w:r>
      <w:r w:rsidR="005C1669" w:rsidRPr="00C83E0A">
        <w:rPr>
          <w:lang w:val="fr-FR"/>
        </w:rPr>
        <w:t xml:space="preserve"> ne peut égaler.</w:t>
      </w:r>
    </w:p>
    <w:p w:rsidR="0005781F" w:rsidRPr="00C83E0A" w:rsidRDefault="00D906F3" w:rsidP="00B7285D">
      <w:pPr>
        <w:pStyle w:val="Heading2"/>
        <w:keepLines/>
        <w:rPr>
          <w:lang w:val="fr-FR"/>
        </w:rPr>
      </w:pPr>
      <w:r w:rsidRPr="00C83E0A">
        <w:rPr>
          <w:lang w:val="fr-FR"/>
        </w:rPr>
        <w:lastRenderedPageBreak/>
        <w:t>LES TYPES DE PROCÉDURES DE</w:t>
      </w:r>
      <w:r w:rsidR="00160675" w:rsidRPr="00C83E0A">
        <w:rPr>
          <w:lang w:val="fr-FR"/>
        </w:rPr>
        <w:t>s</w:t>
      </w:r>
      <w:r w:rsidRPr="00C83E0A">
        <w:rPr>
          <w:lang w:val="fr-FR"/>
        </w:rPr>
        <w:t xml:space="preserve"> MODES EXTRAJUDICIAIRES DE RÈGLEMENT DES LITIGES QUI PEUVENT </w:t>
      </w:r>
      <w:r w:rsidR="005E0B28" w:rsidRPr="00C83E0A">
        <w:rPr>
          <w:lang w:val="fr-FR"/>
        </w:rPr>
        <w:t>ÊTRE</w:t>
      </w:r>
      <w:r w:rsidRPr="00C83E0A">
        <w:rPr>
          <w:lang w:val="fr-FR"/>
        </w:rPr>
        <w:t xml:space="preserve"> </w:t>
      </w:r>
      <w:r w:rsidR="005E0B28" w:rsidRPr="00C83E0A">
        <w:rPr>
          <w:lang w:val="fr-FR"/>
        </w:rPr>
        <w:t>UTILISÉES</w:t>
      </w:r>
      <w:r w:rsidRPr="00C83E0A">
        <w:rPr>
          <w:lang w:val="fr-FR"/>
        </w:rPr>
        <w:t xml:space="preserve"> POUR APPLIQUER LE</w:t>
      </w:r>
      <w:r w:rsidR="00485013" w:rsidRPr="00C83E0A">
        <w:rPr>
          <w:lang w:val="fr-FR"/>
        </w:rPr>
        <w:t>s</w:t>
      </w:r>
      <w:r w:rsidRPr="00C83E0A">
        <w:rPr>
          <w:lang w:val="fr-FR"/>
        </w:rPr>
        <w:t xml:space="preserve"> DROIT</w:t>
      </w:r>
      <w:r w:rsidR="00485013" w:rsidRPr="00C83E0A">
        <w:rPr>
          <w:lang w:val="fr-FR"/>
        </w:rPr>
        <w:t>s</w:t>
      </w:r>
      <w:r w:rsidR="00285C01">
        <w:rPr>
          <w:lang w:val="fr-FR"/>
        </w:rPr>
        <w:t xml:space="preserve"> DE </w:t>
      </w:r>
      <w:r w:rsidRPr="00C83E0A">
        <w:rPr>
          <w:lang w:val="fr-FR"/>
        </w:rPr>
        <w:t>PROPRIÉTÉ INTELLECTUELLE (</w:t>
      </w:r>
      <w:r w:rsidR="008E3175">
        <w:rPr>
          <w:lang w:val="fr-FR"/>
        </w:rPr>
        <w:t>P. </w:t>
      </w:r>
      <w:r w:rsidRPr="00C83E0A">
        <w:rPr>
          <w:lang w:val="fr-FR"/>
        </w:rPr>
        <w:t>EX</w:t>
      </w:r>
      <w:r w:rsidR="00AE3E7E">
        <w:rPr>
          <w:lang w:val="fr-FR"/>
        </w:rPr>
        <w:t>,</w:t>
      </w:r>
      <w:r w:rsidRPr="00C83E0A">
        <w:rPr>
          <w:lang w:val="fr-FR"/>
        </w:rPr>
        <w:t xml:space="preserve">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ARBITRAGE, LA MÉDIATION</w:t>
      </w:r>
      <w:r w:rsidR="00A75EA0" w:rsidRPr="00C83E0A">
        <w:rPr>
          <w:lang w:val="fr-FR"/>
        </w:rPr>
        <w:t xml:space="preserve">, </w:t>
      </w:r>
      <w:r w:rsidR="00971B1C"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="00E3454E" w:rsidRPr="00C83E0A">
        <w:rPr>
          <w:lang w:val="fr-FR"/>
        </w:rPr>
        <w:t>EXPERTISE</w:t>
      </w:r>
      <w:r w:rsidR="00A75EA0" w:rsidRPr="00C83E0A">
        <w:rPr>
          <w:lang w:val="fr-FR"/>
        </w:rPr>
        <w:t xml:space="preserve"> ET</w:t>
      </w:r>
      <w:r w:rsidR="00285C01">
        <w:rPr>
          <w:lang w:val="fr-FR"/>
        </w:rPr>
        <w:t> </w:t>
      </w:r>
      <w:r w:rsidR="00A75EA0" w:rsidRPr="00C83E0A">
        <w:rPr>
          <w:lang w:val="fr-FR"/>
        </w:rPr>
        <w:t xml:space="preserve">AUTRES PROCÉDURES ADMINISTRATIVES </w:t>
      </w:r>
      <w:r w:rsidR="00285C01">
        <w:rPr>
          <w:lang w:val="fr-FR"/>
        </w:rPr>
        <w:t>FONDÉES SUR LE CONSENTEMENT DES </w:t>
      </w:r>
      <w:r w:rsidR="00A75EA0" w:rsidRPr="00C83E0A">
        <w:rPr>
          <w:lang w:val="fr-FR"/>
        </w:rPr>
        <w:t>PARTIES)</w:t>
      </w:r>
    </w:p>
    <w:p w:rsidR="006F3E1E" w:rsidRPr="00C83E0A" w:rsidRDefault="006F3E1E" w:rsidP="00B7285D">
      <w:pPr>
        <w:keepNext/>
        <w:keepLines/>
        <w:rPr>
          <w:lang w:eastAsia="zh-CN"/>
        </w:rPr>
      </w:pPr>
    </w:p>
    <w:p w:rsidR="0039015E" w:rsidRPr="00C83E0A" w:rsidRDefault="00F6777F" w:rsidP="00B7285D">
      <w:pPr>
        <w:pStyle w:val="ONUMFS"/>
        <w:numPr>
          <w:ilvl w:val="1"/>
          <w:numId w:val="21"/>
        </w:numPr>
        <w:rPr>
          <w:lang w:val="fr-FR"/>
        </w:rPr>
      </w:pPr>
      <w:r w:rsidRPr="00C83E0A">
        <w:rPr>
          <w:lang w:val="fr-FR"/>
        </w:rPr>
        <w:t>Introduction</w:t>
      </w:r>
    </w:p>
    <w:p w:rsidR="0005781F" w:rsidRPr="00C83E0A" w:rsidRDefault="00971B1C" w:rsidP="00B7285D">
      <w:pPr>
        <w:pStyle w:val="ONUMFS"/>
        <w:rPr>
          <w:lang w:val="fr-FR"/>
        </w:rPr>
      </w:pPr>
      <w:r w:rsidRPr="00C83E0A">
        <w:rPr>
          <w:lang w:val="fr-FR"/>
        </w:rPr>
        <w:t>Il est impossible de définir les modes extrajudiciaires de règlement des litiges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une </w:t>
      </w:r>
      <w:r w:rsidR="009576DD" w:rsidRPr="00C83E0A">
        <w:rPr>
          <w:lang w:val="fr-FR"/>
        </w:rPr>
        <w:t>manière à la fois exclusive et générale</w:t>
      </w:r>
      <w:r w:rsidRPr="00C83E0A">
        <w:rPr>
          <w:lang w:val="fr-FR"/>
        </w:rPr>
        <w:t>.  Ces modes de règlement couvrent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assistance fournie aux parties pour régler leur différend p</w:t>
      </w:r>
      <w:r w:rsidR="009576DD" w:rsidRPr="00C83E0A">
        <w:rPr>
          <w:lang w:val="fr-FR"/>
        </w:rPr>
        <w:t xml:space="preserve">ar le biais de négociations, </w:t>
      </w:r>
      <w:r w:rsidRPr="00C83E0A">
        <w:rPr>
          <w:lang w:val="fr-FR"/>
        </w:rPr>
        <w:t xml:space="preserve">exercice qui peut </w:t>
      </w:r>
      <w:r w:rsidR="00DA5F53" w:rsidRPr="00C83E0A">
        <w:rPr>
          <w:lang w:val="fr-FR"/>
        </w:rPr>
        <w:t>consister,</w:t>
      </w:r>
      <w:r w:rsidRPr="00C83E0A">
        <w:rPr>
          <w:lang w:val="fr-FR"/>
        </w:rPr>
        <w:t xml:space="preserve"> mais pas nécessairement, </w:t>
      </w:r>
      <w:r w:rsidR="00DA5F53" w:rsidRPr="00C83E0A">
        <w:rPr>
          <w:lang w:val="fr-FR"/>
        </w:rPr>
        <w:t xml:space="preserve">à fournir </w:t>
      </w:r>
      <w:r w:rsidRPr="00C83E0A">
        <w:rPr>
          <w:lang w:val="fr-FR"/>
        </w:rPr>
        <w:t xml:space="preserve">tout avis indépendant </w:t>
      </w:r>
      <w:r w:rsidR="009576DD" w:rsidRPr="00C83E0A">
        <w:rPr>
          <w:lang w:val="fr-FR"/>
        </w:rPr>
        <w:t>sur le</w:t>
      </w:r>
      <w:r w:rsidRPr="00C83E0A">
        <w:rPr>
          <w:lang w:val="fr-FR"/>
        </w:rPr>
        <w:t xml:space="preserve"> fond </w:t>
      </w:r>
      <w:r w:rsidR="00794B65" w:rsidRPr="00C83E0A">
        <w:rPr>
          <w:lang w:val="fr-FR"/>
        </w:rPr>
        <w:t xml:space="preserve">réel </w:t>
      </w:r>
      <w:r w:rsidRPr="00C83E0A">
        <w:rPr>
          <w:lang w:val="fr-FR"/>
        </w:rPr>
        <w:t>du litige (</w:t>
      </w:r>
      <w:r w:rsidR="00DA5F53" w:rsidRPr="00C83E0A">
        <w:rPr>
          <w:lang w:val="fr-FR"/>
        </w:rPr>
        <w:t>c</w:t>
      </w:r>
      <w:r w:rsidR="00DA520E" w:rsidRPr="00C83E0A">
        <w:rPr>
          <w:lang w:val="fr-FR"/>
        </w:rPr>
        <w:t>’</w:t>
      </w:r>
      <w:r w:rsidR="00DA5F53" w:rsidRPr="00C83E0A">
        <w:rPr>
          <w:lang w:val="fr-FR"/>
        </w:rPr>
        <w:t xml:space="preserve">est, </w:t>
      </w:r>
      <w:r w:rsidRPr="00C83E0A">
        <w:rPr>
          <w:lang w:val="fr-FR"/>
        </w:rPr>
        <w:t>par</w:t>
      </w:r>
      <w:r w:rsidR="00DA5F53" w:rsidRPr="00C83E0A">
        <w:rPr>
          <w:lang w:val="fr-FR"/>
        </w:rPr>
        <w:t xml:space="preserve"> exemple le cas de</w:t>
      </w:r>
      <w:r w:rsidRPr="00C83E0A">
        <w:rPr>
          <w:lang w:val="fr-FR"/>
        </w:rPr>
        <w:t xml:space="preserve"> la médiation).  </w:t>
      </w:r>
      <w:r w:rsidR="00DA5F53" w:rsidRPr="00C83E0A">
        <w:rPr>
          <w:lang w:val="fr-FR"/>
        </w:rPr>
        <w:t>Ces modes peuvent consister à fournir également tout type d</w:t>
      </w:r>
      <w:r w:rsidR="00DA520E" w:rsidRPr="00C83E0A">
        <w:rPr>
          <w:lang w:val="fr-FR"/>
        </w:rPr>
        <w:t>’</w:t>
      </w:r>
      <w:r w:rsidR="00DA5F53" w:rsidRPr="00C83E0A">
        <w:rPr>
          <w:lang w:val="fr-FR"/>
        </w:rPr>
        <w:t xml:space="preserve">avis indépendant </w:t>
      </w:r>
      <w:r w:rsidR="009576DD" w:rsidRPr="00C83E0A">
        <w:rPr>
          <w:lang w:val="fr-FR"/>
        </w:rPr>
        <w:t xml:space="preserve">sur </w:t>
      </w:r>
      <w:r w:rsidR="00DA5F53" w:rsidRPr="00C83E0A">
        <w:rPr>
          <w:lang w:val="fr-FR"/>
        </w:rPr>
        <w:t xml:space="preserve">le fond du litige ou </w:t>
      </w:r>
      <w:r w:rsidR="009576DD" w:rsidRPr="00C83E0A">
        <w:rPr>
          <w:lang w:val="fr-FR"/>
        </w:rPr>
        <w:t xml:space="preserve">sur </w:t>
      </w:r>
      <w:r w:rsidR="00DA5F53" w:rsidRPr="00C83E0A">
        <w:rPr>
          <w:lang w:val="fr-FR"/>
        </w:rPr>
        <w:t>certains aspects de ce dernier (c</w:t>
      </w:r>
      <w:r w:rsidR="00DA520E" w:rsidRPr="00C83E0A">
        <w:rPr>
          <w:lang w:val="fr-FR"/>
        </w:rPr>
        <w:t>’</w:t>
      </w:r>
      <w:r w:rsidR="00DA5F53" w:rsidRPr="00C83E0A">
        <w:rPr>
          <w:lang w:val="fr-FR"/>
        </w:rPr>
        <w:t>est le cas de l</w:t>
      </w:r>
      <w:r w:rsidR="00DA520E" w:rsidRPr="00C83E0A">
        <w:rPr>
          <w:lang w:val="fr-FR"/>
        </w:rPr>
        <w:t>’</w:t>
      </w:r>
      <w:r w:rsidR="00DA5F53" w:rsidRPr="00C83E0A">
        <w:rPr>
          <w:lang w:val="fr-FR"/>
        </w:rPr>
        <w:t>arbitrage ou de l</w:t>
      </w:r>
      <w:r w:rsidR="00DA520E" w:rsidRPr="00C83E0A">
        <w:rPr>
          <w:lang w:val="fr-FR"/>
        </w:rPr>
        <w:t>’</w:t>
      </w:r>
      <w:r w:rsidR="009576DD" w:rsidRPr="00C83E0A">
        <w:rPr>
          <w:lang w:val="fr-FR"/>
        </w:rPr>
        <w:t>expertise</w:t>
      </w:r>
      <w:r w:rsidR="00DA5F53" w:rsidRPr="00C83E0A">
        <w:rPr>
          <w:lang w:val="fr-FR"/>
        </w:rPr>
        <w:t>).</w:t>
      </w:r>
      <w:r w:rsidR="00794B65" w:rsidRPr="00C83E0A">
        <w:rPr>
          <w:lang w:val="fr-FR"/>
        </w:rPr>
        <w:t xml:space="preserve">  Ce type d</w:t>
      </w:r>
      <w:r w:rsidR="00DA520E" w:rsidRPr="00C83E0A">
        <w:rPr>
          <w:lang w:val="fr-FR"/>
        </w:rPr>
        <w:t>’</w:t>
      </w:r>
      <w:r w:rsidR="00794B65" w:rsidRPr="00C83E0A">
        <w:rPr>
          <w:lang w:val="fr-FR"/>
        </w:rPr>
        <w:t xml:space="preserve">avis indépendant peut </w:t>
      </w:r>
      <w:r w:rsidR="009576DD" w:rsidRPr="00C83E0A">
        <w:rPr>
          <w:lang w:val="fr-FR"/>
        </w:rPr>
        <w:t>avoir un effet contraignant pour</w:t>
      </w:r>
      <w:r w:rsidR="00794B65" w:rsidRPr="00C83E0A">
        <w:rPr>
          <w:lang w:val="fr-FR"/>
        </w:rPr>
        <w:t xml:space="preserve"> les parties (c</w:t>
      </w:r>
      <w:r w:rsidR="00DA520E" w:rsidRPr="00C83E0A">
        <w:rPr>
          <w:lang w:val="fr-FR"/>
        </w:rPr>
        <w:t>’</w:t>
      </w:r>
      <w:r w:rsidR="00794B65" w:rsidRPr="00C83E0A">
        <w:rPr>
          <w:lang w:val="fr-FR"/>
        </w:rPr>
        <w:t>est le cas de l</w:t>
      </w:r>
      <w:r w:rsidR="00DA520E" w:rsidRPr="00C83E0A">
        <w:rPr>
          <w:lang w:val="fr-FR"/>
        </w:rPr>
        <w:t>’</w:t>
      </w:r>
      <w:r w:rsidR="00794B65" w:rsidRPr="00C83E0A">
        <w:rPr>
          <w:lang w:val="fr-FR"/>
        </w:rPr>
        <w:t xml:space="preserve">arbitrage et de </w:t>
      </w:r>
      <w:r w:rsidR="009576DD" w:rsidRPr="00C83E0A">
        <w:rPr>
          <w:lang w:val="fr-FR"/>
        </w:rPr>
        <w:t>bon nombre d</w:t>
      </w:r>
      <w:r w:rsidR="00DA520E" w:rsidRPr="00C83E0A">
        <w:rPr>
          <w:lang w:val="fr-FR"/>
        </w:rPr>
        <w:t>’</w:t>
      </w:r>
      <w:r w:rsidR="009576DD" w:rsidRPr="00C83E0A">
        <w:rPr>
          <w:lang w:val="fr-FR"/>
        </w:rPr>
        <w:t>expertises</w:t>
      </w:r>
      <w:r w:rsidR="00794B65" w:rsidRPr="00C83E0A">
        <w:rPr>
          <w:lang w:val="fr-FR"/>
        </w:rPr>
        <w:t xml:space="preserve">) ou </w:t>
      </w:r>
      <w:r w:rsidR="009576DD" w:rsidRPr="00C83E0A">
        <w:rPr>
          <w:lang w:val="fr-FR"/>
        </w:rPr>
        <w:t>être non contraignant</w:t>
      </w:r>
      <w:r w:rsidR="00794B65" w:rsidRPr="00C83E0A">
        <w:rPr>
          <w:lang w:val="fr-FR"/>
        </w:rPr>
        <w:t xml:space="preserve"> (ce peut être parfois le cas de </w:t>
      </w:r>
      <w:r w:rsidR="009576DD"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="009576DD" w:rsidRPr="00C83E0A">
        <w:rPr>
          <w:lang w:val="fr-FR"/>
        </w:rPr>
        <w:t>expertise</w:t>
      </w:r>
      <w:r w:rsidR="00794B65" w:rsidRPr="00C83E0A">
        <w:rPr>
          <w:lang w:val="fr-FR"/>
        </w:rPr>
        <w:t>).  Néanmoins, même un avis n</w:t>
      </w:r>
      <w:r w:rsidR="009576DD" w:rsidRPr="00C83E0A">
        <w:rPr>
          <w:lang w:val="fr-FR"/>
        </w:rPr>
        <w:t>on contraignant</w:t>
      </w:r>
      <w:r w:rsidR="00794B65" w:rsidRPr="00C83E0A">
        <w:rPr>
          <w:lang w:val="fr-FR"/>
        </w:rPr>
        <w:t xml:space="preserve"> (désigné ici par l</w:t>
      </w:r>
      <w:r w:rsidR="00DA520E" w:rsidRPr="00C83E0A">
        <w:rPr>
          <w:lang w:val="fr-FR"/>
        </w:rPr>
        <w:t>’</w:t>
      </w:r>
      <w:r w:rsidR="00794B65" w:rsidRPr="00C83E0A">
        <w:rPr>
          <w:lang w:val="fr-FR"/>
        </w:rPr>
        <w:t xml:space="preserve">expression </w:t>
      </w:r>
      <w:r w:rsidR="000E2599" w:rsidRPr="00C83E0A">
        <w:rPr>
          <w:lang w:val="fr-FR"/>
        </w:rPr>
        <w:t>“</w:t>
      </w:r>
      <w:r w:rsidR="00794B65" w:rsidRPr="00C83E0A">
        <w:rPr>
          <w:lang w:val="fr-FR"/>
        </w:rPr>
        <w:t>évaluation neutre</w:t>
      </w:r>
      <w:r w:rsidR="000E2599" w:rsidRPr="00C83E0A">
        <w:rPr>
          <w:lang w:val="fr-FR"/>
        </w:rPr>
        <w:t>”</w:t>
      </w:r>
      <w:r w:rsidR="00794B65" w:rsidRPr="00C83E0A">
        <w:rPr>
          <w:lang w:val="fr-FR"/>
        </w:rPr>
        <w:t xml:space="preserve">) peut avoir un effet persuasif considérable </w:t>
      </w:r>
      <w:r w:rsidR="009576DD" w:rsidRPr="00C83E0A">
        <w:rPr>
          <w:lang w:val="fr-FR"/>
        </w:rPr>
        <w:t>sur les parties, et faciliter ains</w:t>
      </w:r>
      <w:r w:rsidR="00794B65" w:rsidRPr="00C83E0A">
        <w:rPr>
          <w:lang w:val="fr-FR"/>
        </w:rPr>
        <w:t xml:space="preserve">i la négociation en vue du règlement du litige, et ce, </w:t>
      </w:r>
      <w:r w:rsidR="009576DD" w:rsidRPr="00C83E0A">
        <w:rPr>
          <w:lang w:val="fr-FR"/>
        </w:rPr>
        <w:t>selon</w:t>
      </w:r>
      <w:r w:rsidR="00794B65" w:rsidRPr="00C83E0A">
        <w:rPr>
          <w:lang w:val="fr-FR"/>
        </w:rPr>
        <w:t xml:space="preserve"> la manière dont cet avis est communiqué ou selon la nature de l</w:t>
      </w:r>
      <w:r w:rsidR="00DA520E" w:rsidRPr="00C83E0A">
        <w:rPr>
          <w:lang w:val="fr-FR"/>
        </w:rPr>
        <w:t>’</w:t>
      </w:r>
      <w:r w:rsidR="00794B65" w:rsidRPr="00C83E0A">
        <w:rPr>
          <w:lang w:val="fr-FR"/>
        </w:rPr>
        <w:t>organe qui l</w:t>
      </w:r>
      <w:r w:rsidR="00DA520E" w:rsidRPr="00C83E0A">
        <w:rPr>
          <w:lang w:val="fr-FR"/>
        </w:rPr>
        <w:t>’</w:t>
      </w:r>
      <w:r w:rsidR="00794B65" w:rsidRPr="00C83E0A">
        <w:rPr>
          <w:lang w:val="fr-FR"/>
        </w:rPr>
        <w:t>émet.  En général, mais pas obligatoirement, ce type d</w:t>
      </w:r>
      <w:r w:rsidR="00DA520E" w:rsidRPr="00C83E0A">
        <w:rPr>
          <w:lang w:val="fr-FR"/>
        </w:rPr>
        <w:t>’</w:t>
      </w:r>
      <w:r w:rsidR="005D4D9B" w:rsidRPr="00C83E0A">
        <w:rPr>
          <w:lang w:val="fr-FR"/>
        </w:rPr>
        <w:t>avis indépendants, ou les processus qui aboutissent à la délivrance de ces avis sont gérés par des personnes ou des organismes du secteur privé.  Chacun de ces types de modes extrajudiciaires de règlement des litiges fait l</w:t>
      </w:r>
      <w:r w:rsidR="00DA520E" w:rsidRPr="00C83E0A">
        <w:rPr>
          <w:lang w:val="fr-FR"/>
        </w:rPr>
        <w:t>’</w:t>
      </w:r>
      <w:r w:rsidR="005D4D9B" w:rsidRPr="00C83E0A">
        <w:rPr>
          <w:lang w:val="fr-FR"/>
        </w:rPr>
        <w:t>objet d</w:t>
      </w:r>
      <w:r w:rsidR="00DA520E" w:rsidRPr="00C83E0A">
        <w:rPr>
          <w:lang w:val="fr-FR"/>
        </w:rPr>
        <w:t>’</w:t>
      </w:r>
      <w:r w:rsidR="005D4D9B" w:rsidRPr="00C83E0A">
        <w:rPr>
          <w:lang w:val="fr-FR"/>
        </w:rPr>
        <w:t>une présentation plus détaillée ci</w:t>
      </w:r>
      <w:r w:rsidR="005521BD" w:rsidRPr="00C83E0A">
        <w:rPr>
          <w:lang w:val="fr-FR"/>
        </w:rPr>
        <w:noBreakHyphen/>
      </w:r>
      <w:r w:rsidR="005D4D9B" w:rsidRPr="00C83E0A">
        <w:rPr>
          <w:lang w:val="fr-FR"/>
        </w:rPr>
        <w:t>après.</w:t>
      </w:r>
    </w:p>
    <w:p w:rsidR="0005781F" w:rsidRPr="00C83E0A" w:rsidRDefault="00C309BB" w:rsidP="00B7285D">
      <w:pPr>
        <w:pStyle w:val="ONUMFS"/>
        <w:numPr>
          <w:ilvl w:val="1"/>
          <w:numId w:val="23"/>
        </w:numPr>
        <w:rPr>
          <w:lang w:val="fr-FR"/>
        </w:rPr>
      </w:pPr>
      <w:r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</w:t>
      </w:r>
    </w:p>
    <w:p w:rsidR="0005781F" w:rsidRPr="00C83E0A" w:rsidRDefault="00C309BB" w:rsidP="00B7285D">
      <w:pPr>
        <w:pStyle w:val="ONUMFS"/>
        <w:rPr>
          <w:lang w:val="fr-FR"/>
        </w:rPr>
      </w:pPr>
      <w:r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arbitrage a été défini comme une procédure ayant force </w:t>
      </w:r>
      <w:r w:rsidR="00EC652F" w:rsidRPr="00C83E0A">
        <w:rPr>
          <w:lang w:val="fr-FR"/>
        </w:rPr>
        <w:t>exécutoire</w:t>
      </w:r>
      <w:r w:rsidRPr="00C83E0A">
        <w:rPr>
          <w:lang w:val="fr-FR"/>
        </w:rPr>
        <w:t xml:space="preserve"> au cours de laquelle le litige est soumis à un ou plusieurs arbitres qui le tranchent et </w:t>
      </w:r>
      <w:r w:rsidR="00082EC0" w:rsidRPr="00C83E0A">
        <w:rPr>
          <w:lang w:val="fr-FR"/>
        </w:rPr>
        <w:t>rendent une décision finale.</w:t>
      </w:r>
    </w:p>
    <w:p w:rsidR="0005781F" w:rsidRPr="00C83E0A" w:rsidRDefault="00082EC0" w:rsidP="00B7285D">
      <w:pPr>
        <w:pStyle w:val="ONUMFS"/>
        <w:rPr>
          <w:lang w:val="fr-FR"/>
        </w:rPr>
      </w:pPr>
      <w:r w:rsidRPr="00C83E0A">
        <w:rPr>
          <w:lang w:val="fr-FR"/>
        </w:rPr>
        <w:t>Il ne peut y avoir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litige que si les parties ont tout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abord accepté de recourir à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pour trancher leur différend.</w:t>
      </w:r>
    </w:p>
    <w:p w:rsidR="0005781F" w:rsidRPr="00C83E0A" w:rsidRDefault="00EC652F" w:rsidP="00B7285D">
      <w:pPr>
        <w:pStyle w:val="ONUMFS"/>
        <w:rPr>
          <w:lang w:val="fr-FR"/>
        </w:rPr>
      </w:pPr>
      <w:r w:rsidRPr="00C83E0A">
        <w:rPr>
          <w:lang w:val="fr-FR"/>
        </w:rPr>
        <w:t>Pour ce faire, la manière la plus fréquente consiste, avant la naissance de tout litige</w:t>
      </w:r>
      <w:r w:rsidR="006571D0" w:rsidRPr="00C83E0A">
        <w:rPr>
          <w:lang w:val="fr-FR"/>
        </w:rPr>
        <w:t xml:space="preserve">, </w:t>
      </w:r>
      <w:r w:rsidRPr="00C83E0A">
        <w:rPr>
          <w:lang w:val="fr-FR"/>
        </w:rPr>
        <w:t>à insérer dans un contrat régissant une</w:t>
      </w:r>
      <w:r w:rsidR="006571D0" w:rsidRPr="00C83E0A">
        <w:rPr>
          <w:lang w:val="fr-FR"/>
        </w:rPr>
        <w:t xml:space="preserve"> relation existante entre les parties</w:t>
      </w:r>
      <w:r w:rsidRPr="00C83E0A">
        <w:rPr>
          <w:lang w:val="fr-FR"/>
        </w:rPr>
        <w:t>,</w:t>
      </w:r>
      <w:r w:rsidR="006571D0" w:rsidRPr="00C83E0A">
        <w:rPr>
          <w:lang w:val="fr-FR"/>
        </w:rPr>
        <w:t xml:space="preserve"> et </w:t>
      </w:r>
      <w:r w:rsidR="00947E50" w:rsidRPr="00C83E0A">
        <w:rPr>
          <w:lang w:val="fr-FR"/>
        </w:rPr>
        <w:t>signé par ces dernières</w:t>
      </w:r>
      <w:r w:rsidR="006571D0" w:rsidRPr="00C83E0A">
        <w:rPr>
          <w:lang w:val="fr-FR"/>
        </w:rPr>
        <w:t>, une clause compromissoire stipulant que les</w:t>
      </w:r>
      <w:r w:rsidR="00947E50" w:rsidRPr="00C83E0A">
        <w:rPr>
          <w:lang w:val="fr-FR"/>
        </w:rPr>
        <w:t>dites</w:t>
      </w:r>
      <w:r w:rsidR="006571D0" w:rsidRPr="00C83E0A">
        <w:rPr>
          <w:lang w:val="fr-FR"/>
        </w:rPr>
        <w:t xml:space="preserve"> parties </w:t>
      </w:r>
      <w:r w:rsidR="006649EA" w:rsidRPr="00C83E0A">
        <w:rPr>
          <w:lang w:val="fr-FR"/>
        </w:rPr>
        <w:t>s</w:t>
      </w:r>
      <w:r w:rsidR="00DA520E" w:rsidRPr="00C83E0A">
        <w:rPr>
          <w:lang w:val="fr-FR"/>
        </w:rPr>
        <w:t>’</w:t>
      </w:r>
      <w:r w:rsidR="006649EA" w:rsidRPr="00C83E0A">
        <w:rPr>
          <w:lang w:val="fr-FR"/>
        </w:rPr>
        <w:t>engagent à</w:t>
      </w:r>
      <w:r w:rsidR="006571D0" w:rsidRPr="00C83E0A">
        <w:rPr>
          <w:lang w:val="fr-FR"/>
        </w:rPr>
        <w:t xml:space="preserve"> recourir à l</w:t>
      </w:r>
      <w:r w:rsidR="00DA520E" w:rsidRPr="00C83E0A">
        <w:rPr>
          <w:lang w:val="fr-FR"/>
        </w:rPr>
        <w:t>’</w:t>
      </w:r>
      <w:r w:rsidR="006571D0" w:rsidRPr="00C83E0A">
        <w:rPr>
          <w:lang w:val="fr-FR"/>
        </w:rPr>
        <w:t xml:space="preserve">arbitrage pour </w:t>
      </w:r>
      <w:r w:rsidR="000E2599" w:rsidRPr="00C83E0A">
        <w:rPr>
          <w:lang w:val="fr-FR"/>
        </w:rPr>
        <w:t>“</w:t>
      </w:r>
      <w:r w:rsidR="00C62D48" w:rsidRPr="00C83E0A">
        <w:rPr>
          <w:lang w:val="fr-FR"/>
        </w:rPr>
        <w:t>tout litige, controverse ou réclamation découlant du présent contrat ou s</w:t>
      </w:r>
      <w:r w:rsidR="00DA520E" w:rsidRPr="00C83E0A">
        <w:rPr>
          <w:lang w:val="fr-FR"/>
        </w:rPr>
        <w:t>’</w:t>
      </w:r>
      <w:r w:rsidR="00C62D48" w:rsidRPr="00C83E0A">
        <w:rPr>
          <w:lang w:val="fr-FR"/>
        </w:rPr>
        <w:t>y rapportant</w:t>
      </w:r>
      <w:r w:rsidR="000E2599" w:rsidRPr="00C83E0A">
        <w:rPr>
          <w:lang w:val="fr-FR"/>
        </w:rPr>
        <w:t>”</w:t>
      </w:r>
      <w:r w:rsidR="00C62D48" w:rsidRPr="00C83E0A">
        <w:rPr>
          <w:lang w:val="fr-FR"/>
        </w:rPr>
        <w:t>.</w:t>
      </w:r>
    </w:p>
    <w:p w:rsidR="0005781F" w:rsidRPr="00C83E0A" w:rsidRDefault="00640F3E" w:rsidP="00B7285D">
      <w:pPr>
        <w:pStyle w:val="ONUMFS"/>
        <w:rPr>
          <w:lang w:val="fr-FR"/>
        </w:rPr>
      </w:pPr>
      <w:r w:rsidRPr="00C83E0A">
        <w:rPr>
          <w:lang w:val="fr-FR"/>
        </w:rPr>
        <w:t>Les</w:t>
      </w:r>
      <w:r w:rsidR="00C934D7" w:rsidRPr="00C83E0A">
        <w:rPr>
          <w:lang w:val="fr-FR"/>
        </w:rPr>
        <w:t xml:space="preserve"> parties peuvent </w:t>
      </w:r>
      <w:r w:rsidRPr="00C83E0A">
        <w:rPr>
          <w:lang w:val="fr-FR"/>
        </w:rPr>
        <w:t xml:space="preserve">également </w:t>
      </w:r>
      <w:r w:rsidR="00C934D7" w:rsidRPr="00C83E0A">
        <w:rPr>
          <w:lang w:val="fr-FR"/>
        </w:rPr>
        <w:t>soumettre leur différend à l</w:t>
      </w:r>
      <w:r w:rsidR="00DA520E" w:rsidRPr="00C83E0A">
        <w:rPr>
          <w:lang w:val="fr-FR"/>
        </w:rPr>
        <w:t>’</w:t>
      </w:r>
      <w:r w:rsidR="00C934D7" w:rsidRPr="00C83E0A">
        <w:rPr>
          <w:lang w:val="fr-FR"/>
        </w:rPr>
        <w:t>arbitrage</w:t>
      </w:r>
      <w:r w:rsidRPr="00C83E0A">
        <w:rPr>
          <w:lang w:val="fr-FR"/>
        </w:rPr>
        <w:t xml:space="preserve"> à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aide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</w:t>
      </w:r>
      <w:r w:rsidR="0050638E" w:rsidRPr="00C83E0A">
        <w:rPr>
          <w:lang w:val="fr-FR"/>
        </w:rPr>
        <w:t>e convention</w:t>
      </w:r>
      <w:r w:rsidRPr="00C83E0A">
        <w:rPr>
          <w:lang w:val="fr-FR"/>
        </w:rPr>
        <w:t xml:space="preserve"> </w:t>
      </w:r>
      <w:r w:rsidR="005E0B28" w:rsidRPr="00195D4B">
        <w:rPr>
          <w:i/>
          <w:lang w:val="fr-FR"/>
        </w:rPr>
        <w:t>ad</w:t>
      </w:r>
      <w:r w:rsidR="00650B6F" w:rsidRPr="00195D4B">
        <w:rPr>
          <w:i/>
          <w:lang w:val="fr-FR"/>
        </w:rPr>
        <w:t> </w:t>
      </w:r>
      <w:r w:rsidR="005E0B28" w:rsidRPr="00195D4B">
        <w:rPr>
          <w:i/>
          <w:lang w:val="fr-FR"/>
        </w:rPr>
        <w:t>hoc</w:t>
      </w:r>
      <w:r w:rsidR="00DF773D" w:rsidRPr="00C83E0A">
        <w:rPr>
          <w:lang w:val="fr-FR"/>
        </w:rPr>
        <w:t xml:space="preserve"> </w:t>
      </w:r>
      <w:r w:rsidRPr="00C83E0A">
        <w:rPr>
          <w:lang w:val="fr-FR"/>
        </w:rPr>
        <w:t>qu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elles </w:t>
      </w:r>
      <w:r w:rsidR="0050638E" w:rsidRPr="00C83E0A">
        <w:rPr>
          <w:lang w:val="fr-FR"/>
        </w:rPr>
        <w:t>signent lorsque le litige est déjà né.  À la différence de la clause compromissoire susmentionnée, cette convention d</w:t>
      </w:r>
      <w:r w:rsidR="00DA520E" w:rsidRPr="00C83E0A">
        <w:rPr>
          <w:lang w:val="fr-FR"/>
        </w:rPr>
        <w:t>’</w:t>
      </w:r>
      <w:r w:rsidR="0050638E" w:rsidRPr="00C83E0A">
        <w:rPr>
          <w:lang w:val="fr-FR"/>
        </w:rPr>
        <w:t xml:space="preserve">arbitrage spécifie la nature du différend que les parties souhaitent ainsi régler.  </w:t>
      </w:r>
      <w:r w:rsidR="00954B1A" w:rsidRPr="00C83E0A">
        <w:rPr>
          <w:lang w:val="fr-FR"/>
        </w:rPr>
        <w:t>Pour soumettre un litige à un arbitrage, i</w:t>
      </w:r>
      <w:r w:rsidR="0050638E" w:rsidRPr="00C83E0A">
        <w:rPr>
          <w:lang w:val="fr-FR"/>
        </w:rPr>
        <w:t>l s</w:t>
      </w:r>
      <w:r w:rsidR="00DA520E" w:rsidRPr="00C83E0A">
        <w:rPr>
          <w:lang w:val="fr-FR"/>
        </w:rPr>
        <w:t>’</w:t>
      </w:r>
      <w:r w:rsidR="0050638E" w:rsidRPr="00C83E0A">
        <w:rPr>
          <w:lang w:val="fr-FR"/>
        </w:rPr>
        <w:t>agit</w:t>
      </w:r>
      <w:r w:rsidR="00C44318">
        <w:rPr>
          <w:lang w:val="fr-FR"/>
        </w:rPr>
        <w:t> </w:t>
      </w:r>
      <w:r w:rsidR="0050638E" w:rsidRPr="00C83E0A">
        <w:rPr>
          <w:lang w:val="fr-FR"/>
        </w:rPr>
        <w:t xml:space="preserve">là de la méthode la plus intéressante </w:t>
      </w:r>
      <w:r w:rsidR="00954B1A" w:rsidRPr="00C83E0A">
        <w:rPr>
          <w:lang w:val="fr-FR"/>
        </w:rPr>
        <w:t xml:space="preserve">du </w:t>
      </w:r>
      <w:r w:rsidR="00485013" w:rsidRPr="00C83E0A">
        <w:rPr>
          <w:lang w:val="fr-FR"/>
        </w:rPr>
        <w:t>point de vue de l</w:t>
      </w:r>
      <w:r w:rsidR="00DA520E" w:rsidRPr="00C83E0A">
        <w:rPr>
          <w:lang w:val="fr-FR"/>
        </w:rPr>
        <w:t>’</w:t>
      </w:r>
      <w:r w:rsidR="00485013" w:rsidRPr="00C83E0A">
        <w:rPr>
          <w:lang w:val="fr-FR"/>
        </w:rPr>
        <w:t>application des</w:t>
      </w:r>
      <w:r w:rsidR="00954B1A" w:rsidRPr="00C83E0A">
        <w:rPr>
          <w:lang w:val="fr-FR"/>
        </w:rPr>
        <w:t xml:space="preserve"> droit</w:t>
      </w:r>
      <w:r w:rsidR="00485013" w:rsidRPr="00C83E0A">
        <w:rPr>
          <w:lang w:val="fr-FR"/>
        </w:rPr>
        <w:t>s</w:t>
      </w:r>
      <w:r w:rsidR="00954B1A" w:rsidRPr="00C83E0A">
        <w:rPr>
          <w:lang w:val="fr-FR"/>
        </w:rPr>
        <w:t xml:space="preserve"> de propriété intellectuelle.  En effet, l</w:t>
      </w:r>
      <w:r w:rsidR="00DA520E" w:rsidRPr="00C83E0A">
        <w:rPr>
          <w:lang w:val="fr-FR"/>
        </w:rPr>
        <w:t>’</w:t>
      </w:r>
      <w:r w:rsidR="00954B1A" w:rsidRPr="00C83E0A">
        <w:rPr>
          <w:lang w:val="fr-FR"/>
        </w:rPr>
        <w:t>existence d</w:t>
      </w:r>
      <w:r w:rsidR="00DA520E" w:rsidRPr="00C83E0A">
        <w:rPr>
          <w:lang w:val="fr-FR"/>
        </w:rPr>
        <w:t>’</w:t>
      </w:r>
      <w:r w:rsidR="00954B1A" w:rsidRPr="00C83E0A">
        <w:rPr>
          <w:lang w:val="fr-FR"/>
        </w:rPr>
        <w:t>une relation préalable entre les parties n</w:t>
      </w:r>
      <w:r w:rsidR="00DA520E" w:rsidRPr="00C83E0A">
        <w:rPr>
          <w:lang w:val="fr-FR"/>
        </w:rPr>
        <w:t>’</w:t>
      </w:r>
      <w:r w:rsidR="00954B1A" w:rsidRPr="00C83E0A">
        <w:rPr>
          <w:lang w:val="fr-FR"/>
        </w:rPr>
        <w:t>est plus un critère requis, car la convention d</w:t>
      </w:r>
      <w:r w:rsidR="00DA520E" w:rsidRPr="00C83E0A">
        <w:rPr>
          <w:lang w:val="fr-FR"/>
        </w:rPr>
        <w:t>’</w:t>
      </w:r>
      <w:r w:rsidR="00954B1A" w:rsidRPr="00C83E0A">
        <w:rPr>
          <w:lang w:val="fr-FR"/>
        </w:rPr>
        <w:t>arbitrage établit elle</w:t>
      </w:r>
      <w:r w:rsidR="005521BD" w:rsidRPr="00C83E0A">
        <w:rPr>
          <w:lang w:val="fr-FR"/>
        </w:rPr>
        <w:noBreakHyphen/>
      </w:r>
      <w:r w:rsidR="00954B1A" w:rsidRPr="00C83E0A">
        <w:rPr>
          <w:lang w:val="fr-FR"/>
        </w:rPr>
        <w:t>même une relation entre lesdites parties qui conviennent de recourir à l</w:t>
      </w:r>
      <w:r w:rsidR="00DA520E" w:rsidRPr="00C83E0A">
        <w:rPr>
          <w:lang w:val="fr-FR"/>
        </w:rPr>
        <w:t>’</w:t>
      </w:r>
      <w:r w:rsidR="00954B1A" w:rsidRPr="00C83E0A">
        <w:rPr>
          <w:lang w:val="fr-FR"/>
        </w:rPr>
        <w:t>arbitrage.</w:t>
      </w:r>
    </w:p>
    <w:p w:rsidR="0005781F" w:rsidRPr="00C83E0A" w:rsidRDefault="00FA6200" w:rsidP="00B7285D">
      <w:pPr>
        <w:pStyle w:val="ONUMFS"/>
        <w:rPr>
          <w:lang w:val="fr-FR"/>
        </w:rPr>
      </w:pPr>
      <w:r w:rsidRPr="00C83E0A">
        <w:rPr>
          <w:lang w:val="fr-FR"/>
        </w:rPr>
        <w:t>Quelle que soit la date à laquelle la clause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a</w:t>
      </w:r>
      <w:r w:rsidR="00C11AA7" w:rsidRPr="00C83E0A">
        <w:rPr>
          <w:lang w:val="fr-FR"/>
        </w:rPr>
        <w:t>it été signée, avant ou après la naissance du</w:t>
      </w:r>
      <w:r w:rsidRPr="00C83E0A">
        <w:rPr>
          <w:lang w:val="fr-FR"/>
        </w:rPr>
        <w:t xml:space="preserve"> litige, elle doit préciser certains aspects de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comme</w:t>
      </w:r>
      <w:r w:rsidR="00DF773D" w:rsidRPr="00C83E0A">
        <w:rPr>
          <w:lang w:val="fr-FR"/>
        </w:rPr>
        <w:t xml:space="preserve">, au </w:t>
      </w:r>
      <w:r w:rsidR="005E0B28" w:rsidRPr="00C83E0A">
        <w:rPr>
          <w:lang w:val="fr-FR"/>
        </w:rPr>
        <w:t>minimum</w:t>
      </w:r>
      <w:r w:rsidR="00DF773D" w:rsidRPr="00C83E0A">
        <w:rPr>
          <w:lang w:val="fr-FR"/>
        </w:rPr>
        <w:t>,</w:t>
      </w:r>
      <w:r w:rsidRPr="00C83E0A">
        <w:rPr>
          <w:lang w:val="fr-FR"/>
        </w:rPr>
        <w:t xml:space="preserve"> le </w:t>
      </w:r>
      <w:r w:rsidR="00C11AA7" w:rsidRPr="00C83E0A">
        <w:rPr>
          <w:lang w:val="fr-FR"/>
        </w:rPr>
        <w:t>lieu</w:t>
      </w:r>
      <w:r w:rsidRPr="00C83E0A">
        <w:rPr>
          <w:lang w:val="fr-FR"/>
        </w:rPr>
        <w:t xml:space="preserve"> de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arbitrage, la langue</w:t>
      </w:r>
      <w:r w:rsidR="00C11AA7" w:rsidRPr="00C83E0A">
        <w:rPr>
          <w:lang w:val="fr-FR"/>
        </w:rPr>
        <w:t xml:space="preserve"> de la procédure d</w:t>
      </w:r>
      <w:r w:rsidR="00DA520E" w:rsidRPr="00C83E0A">
        <w:rPr>
          <w:lang w:val="fr-FR"/>
        </w:rPr>
        <w:t>’</w:t>
      </w:r>
      <w:r w:rsidR="00C11AA7" w:rsidRPr="00C83E0A">
        <w:rPr>
          <w:lang w:val="fr-FR"/>
        </w:rPr>
        <w:t>arbitrage, le nombre d</w:t>
      </w:r>
      <w:r w:rsidR="00DA520E" w:rsidRPr="00C83E0A">
        <w:rPr>
          <w:lang w:val="fr-FR"/>
        </w:rPr>
        <w:t>’</w:t>
      </w:r>
      <w:r w:rsidR="00C11AA7" w:rsidRPr="00C83E0A">
        <w:rPr>
          <w:lang w:val="fr-FR"/>
        </w:rPr>
        <w:t>arbitres et l</w:t>
      </w:r>
      <w:r w:rsidR="00DA520E" w:rsidRPr="00C83E0A">
        <w:rPr>
          <w:lang w:val="fr-FR"/>
        </w:rPr>
        <w:t>’</w:t>
      </w:r>
      <w:r w:rsidR="00C11AA7" w:rsidRPr="00C83E0A">
        <w:rPr>
          <w:lang w:val="fr-FR"/>
        </w:rPr>
        <w:t>identité de l</w:t>
      </w:r>
      <w:r w:rsidR="00DA520E" w:rsidRPr="00C83E0A">
        <w:rPr>
          <w:lang w:val="fr-FR"/>
        </w:rPr>
        <w:t>’</w:t>
      </w:r>
      <w:r w:rsidR="00C11AA7" w:rsidRPr="00C83E0A">
        <w:rPr>
          <w:lang w:val="fr-FR"/>
        </w:rPr>
        <w:t>institution d</w:t>
      </w:r>
      <w:r w:rsidR="00DA520E" w:rsidRPr="00C83E0A">
        <w:rPr>
          <w:lang w:val="fr-FR"/>
        </w:rPr>
        <w:t>’</w:t>
      </w:r>
      <w:r w:rsidR="00C11AA7" w:rsidRPr="00C83E0A">
        <w:rPr>
          <w:lang w:val="fr-FR"/>
        </w:rPr>
        <w:t xml:space="preserve">arbitrage dont </w:t>
      </w:r>
      <w:r w:rsidR="00A60609" w:rsidRPr="00C83E0A">
        <w:rPr>
          <w:lang w:val="fr-FR"/>
        </w:rPr>
        <w:t>la législation</w:t>
      </w:r>
      <w:r w:rsidR="00C11AA7" w:rsidRPr="00C83E0A">
        <w:rPr>
          <w:lang w:val="fr-FR"/>
        </w:rPr>
        <w:t xml:space="preserve"> sera appli</w:t>
      </w:r>
      <w:r w:rsidR="001969FD" w:rsidRPr="00C83E0A">
        <w:rPr>
          <w:lang w:val="fr-FR"/>
        </w:rPr>
        <w:t>cable</w:t>
      </w:r>
      <w:r w:rsidR="00C11AA7" w:rsidRPr="00C83E0A">
        <w:rPr>
          <w:lang w:val="fr-FR"/>
        </w:rPr>
        <w:t xml:space="preserve">, </w:t>
      </w:r>
      <w:r w:rsidR="001969FD" w:rsidRPr="00C83E0A">
        <w:rPr>
          <w:lang w:val="fr-FR"/>
        </w:rPr>
        <w:t>ainsi que l</w:t>
      </w:r>
      <w:r w:rsidR="00DA520E" w:rsidRPr="00C83E0A">
        <w:rPr>
          <w:lang w:val="fr-FR"/>
        </w:rPr>
        <w:t>’</w:t>
      </w:r>
      <w:r w:rsidR="001969FD" w:rsidRPr="00C83E0A">
        <w:rPr>
          <w:lang w:val="fr-FR"/>
        </w:rPr>
        <w:t>entité qui sera chargée de désigner le ou les arbitres.</w:t>
      </w:r>
    </w:p>
    <w:p w:rsidR="0005781F" w:rsidRPr="00C83E0A" w:rsidRDefault="00333ADE" w:rsidP="00B7285D">
      <w:pPr>
        <w:pStyle w:val="ONUMFS"/>
        <w:rPr>
          <w:lang w:val="fr-FR"/>
        </w:rPr>
      </w:pPr>
      <w:r w:rsidRPr="00C83E0A">
        <w:rPr>
          <w:lang w:val="fr-FR"/>
        </w:rPr>
        <w:t>En termes généraux, par rapport à une procédure judiciaire,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arbitrage comme moyen de règlement de litiges commerciaux, présente de nombreux avantages, </w:t>
      </w:r>
      <w:r w:rsidR="00A60609" w:rsidRPr="00C83E0A">
        <w:rPr>
          <w:lang w:val="fr-FR"/>
        </w:rPr>
        <w:t>tels que l</w:t>
      </w:r>
      <w:r w:rsidR="00DA520E" w:rsidRPr="00C83E0A">
        <w:rPr>
          <w:lang w:val="fr-FR"/>
        </w:rPr>
        <w:t>’</w:t>
      </w:r>
      <w:r w:rsidR="00A60609" w:rsidRPr="00C83E0A">
        <w:rPr>
          <w:lang w:val="fr-FR"/>
        </w:rPr>
        <w:t xml:space="preserve">autonomie des </w:t>
      </w:r>
      <w:r w:rsidR="00A60609" w:rsidRPr="00C83E0A">
        <w:rPr>
          <w:lang w:val="fr-FR"/>
        </w:rPr>
        <w:lastRenderedPageBreak/>
        <w:t xml:space="preserve">parties, la neutralité, le caractère définitif, la confidentialité et la force exécutoire internationale de la sentence arbitrale en vertu de la Convention des </w:t>
      </w:r>
      <w:r w:rsidR="00DA520E" w:rsidRPr="00C83E0A">
        <w:rPr>
          <w:lang w:val="fr-FR"/>
        </w:rPr>
        <w:t>Nations Unies</w:t>
      </w:r>
      <w:r w:rsidR="00A60609" w:rsidRPr="00C83E0A">
        <w:rPr>
          <w:lang w:val="fr-FR"/>
        </w:rPr>
        <w:t xml:space="preserve"> pour la reconnaissance et l</w:t>
      </w:r>
      <w:r w:rsidR="00DA520E" w:rsidRPr="00C83E0A">
        <w:rPr>
          <w:lang w:val="fr-FR"/>
        </w:rPr>
        <w:t>’</w:t>
      </w:r>
      <w:r w:rsidR="00A60609" w:rsidRPr="00C83E0A">
        <w:rPr>
          <w:lang w:val="fr-FR"/>
        </w:rPr>
        <w:t>exécution des se</w:t>
      </w:r>
      <w:r w:rsidR="00DF773D" w:rsidRPr="00C83E0A">
        <w:rPr>
          <w:lang w:val="fr-FR"/>
        </w:rPr>
        <w:t>ntences arbitrales étrangères (</w:t>
      </w:r>
      <w:r w:rsidR="00A60609" w:rsidRPr="00C83E0A">
        <w:rPr>
          <w:lang w:val="fr-FR"/>
        </w:rPr>
        <w:t>Convention de New York</w:t>
      </w:r>
      <w:r w:rsidR="00560369" w:rsidRPr="00C83E0A">
        <w:rPr>
          <w:lang w:val="fr-FR"/>
        </w:rPr>
        <w:t>)</w:t>
      </w:r>
      <w:r w:rsidR="00A60609" w:rsidRPr="00C83E0A">
        <w:rPr>
          <w:lang w:val="fr-FR"/>
        </w:rPr>
        <w:t xml:space="preserve">.  Ces avantages </w:t>
      </w:r>
      <w:r w:rsidR="008E128A">
        <w:rPr>
          <w:lang w:val="fr-FR"/>
        </w:rPr>
        <w:t>étant</w:t>
      </w:r>
      <w:r w:rsidR="00A60609" w:rsidRPr="00C83E0A">
        <w:rPr>
          <w:lang w:val="fr-FR"/>
        </w:rPr>
        <w:t xml:space="preserve"> bien connus</w:t>
      </w:r>
      <w:r w:rsidR="008E128A">
        <w:rPr>
          <w:lang w:val="fr-FR"/>
        </w:rPr>
        <w:t> ; ils ne</w:t>
      </w:r>
      <w:r w:rsidR="00A60609" w:rsidRPr="00C83E0A">
        <w:rPr>
          <w:lang w:val="fr-FR"/>
        </w:rPr>
        <w:t xml:space="preserve"> nécessitent pas d</w:t>
      </w:r>
      <w:r w:rsidR="00DA520E" w:rsidRPr="00C83E0A">
        <w:rPr>
          <w:lang w:val="fr-FR"/>
        </w:rPr>
        <w:t>’</w:t>
      </w:r>
      <w:r w:rsidR="00A60609" w:rsidRPr="00C83E0A">
        <w:rPr>
          <w:lang w:val="fr-FR"/>
        </w:rPr>
        <w:t>être abordés plus en détail ici.</w:t>
      </w:r>
    </w:p>
    <w:p w:rsidR="0005781F" w:rsidRPr="00C83E0A" w:rsidRDefault="00DF773D" w:rsidP="00B7285D">
      <w:pPr>
        <w:pStyle w:val="ONUMFS"/>
        <w:numPr>
          <w:ilvl w:val="1"/>
          <w:numId w:val="24"/>
        </w:numPr>
        <w:rPr>
          <w:lang w:val="fr-FR"/>
        </w:rPr>
      </w:pPr>
      <w:r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expertise</w:t>
      </w:r>
    </w:p>
    <w:p w:rsidR="0005781F" w:rsidRPr="00C83E0A" w:rsidRDefault="006340EF" w:rsidP="00B7285D">
      <w:pPr>
        <w:pStyle w:val="ONUMFS"/>
        <w:rPr>
          <w:lang w:val="fr-FR"/>
        </w:rPr>
      </w:pPr>
      <w:r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expertise a été définie comme une procédure dans le cadre de laquelle un ou plusieurs experts vont rendre un avis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ordre techniq</w:t>
      </w:r>
      <w:r w:rsidR="002C1F5C" w:rsidRPr="00C83E0A">
        <w:rPr>
          <w:lang w:val="fr-FR"/>
        </w:rPr>
        <w:t>ue, scientifique ou commercial sur un différend opposant</w:t>
      </w:r>
      <w:r w:rsidRPr="00C83E0A">
        <w:rPr>
          <w:lang w:val="fr-FR"/>
        </w:rPr>
        <w:t xml:space="preserve"> les parties.  Cet avis </w:t>
      </w:r>
      <w:r w:rsidR="00A06340" w:rsidRPr="00C83E0A">
        <w:rPr>
          <w:lang w:val="fr-FR"/>
        </w:rPr>
        <w:t xml:space="preserve">est contraignant pour les parties, </w:t>
      </w:r>
      <w:r w:rsidRPr="00C83E0A">
        <w:rPr>
          <w:lang w:val="fr-FR"/>
        </w:rPr>
        <w:t xml:space="preserve">sauf </w:t>
      </w:r>
      <w:r w:rsidR="002C1F5C" w:rsidRPr="00C83E0A">
        <w:rPr>
          <w:lang w:val="fr-FR"/>
        </w:rPr>
        <w:t>accord contraire préalable de</w:t>
      </w:r>
      <w:r w:rsidR="00A06340" w:rsidRPr="00C83E0A">
        <w:rPr>
          <w:lang w:val="fr-FR"/>
        </w:rPr>
        <w:t xml:space="preserve"> ce</w:t>
      </w:r>
      <w:r w:rsidR="002C1F5C" w:rsidRPr="00C83E0A">
        <w:rPr>
          <w:lang w:val="fr-FR"/>
        </w:rPr>
        <w:t>s</w:t>
      </w:r>
      <w:r w:rsidR="00A06340" w:rsidRPr="00C83E0A">
        <w:rPr>
          <w:lang w:val="fr-FR"/>
        </w:rPr>
        <w:t xml:space="preserve"> dernières</w:t>
      </w:r>
      <w:r w:rsidR="002C1F5C" w:rsidRPr="00C83E0A">
        <w:rPr>
          <w:lang w:val="fr-FR"/>
        </w:rPr>
        <w:t>.</w:t>
      </w:r>
    </w:p>
    <w:p w:rsidR="0005781F" w:rsidRPr="00C83E0A" w:rsidRDefault="00460B58" w:rsidP="00B7285D">
      <w:pPr>
        <w:pStyle w:val="ONUMFS"/>
        <w:rPr>
          <w:lang w:val="fr-FR"/>
        </w:rPr>
      </w:pPr>
      <w:r w:rsidRPr="00C83E0A">
        <w:rPr>
          <w:lang w:val="fr-FR"/>
        </w:rPr>
        <w:t xml:space="preserve">À la fin de cette </w:t>
      </w:r>
      <w:r w:rsidR="00245321" w:rsidRPr="00C83E0A">
        <w:rPr>
          <w:lang w:val="fr-FR"/>
        </w:rPr>
        <w:t>procé</w:t>
      </w:r>
      <w:r w:rsidRPr="00C83E0A">
        <w:rPr>
          <w:lang w:val="fr-FR"/>
        </w:rPr>
        <w:t>dure,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expertise about</w:t>
      </w:r>
      <w:r w:rsidR="00560369" w:rsidRPr="00C83E0A">
        <w:rPr>
          <w:lang w:val="fr-FR"/>
        </w:rPr>
        <w:t>it</w:t>
      </w:r>
      <w:r w:rsidRPr="00C83E0A">
        <w:rPr>
          <w:lang w:val="fr-FR"/>
        </w:rPr>
        <w:t xml:space="preserve"> à la décision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expert</w:t>
      </w:r>
      <w:r w:rsidR="008E128A">
        <w:rPr>
          <w:lang w:val="fr-FR"/>
        </w:rPr>
        <w:t xml:space="preserve">, </w:t>
      </w:r>
      <w:r w:rsidRPr="00C83E0A">
        <w:rPr>
          <w:lang w:val="fr-FR"/>
        </w:rPr>
        <w:t xml:space="preserve">généralement sur une question particulière, décision qui peut </w:t>
      </w:r>
      <w:r w:rsidR="00A06340" w:rsidRPr="00C83E0A">
        <w:rPr>
          <w:lang w:val="fr-FR"/>
        </w:rPr>
        <w:t xml:space="preserve">être </w:t>
      </w:r>
      <w:r w:rsidR="00560369" w:rsidRPr="00C83E0A">
        <w:rPr>
          <w:lang w:val="fr-FR"/>
        </w:rPr>
        <w:t>contraignante</w:t>
      </w:r>
      <w:r w:rsidR="00A06340" w:rsidRPr="00C83E0A">
        <w:rPr>
          <w:lang w:val="fr-FR"/>
        </w:rPr>
        <w:t xml:space="preserve"> pour les parties o</w:t>
      </w:r>
      <w:r w:rsidRPr="00C83E0A">
        <w:rPr>
          <w:lang w:val="fr-FR"/>
        </w:rPr>
        <w:t>u non.  Lorsqu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elle a force </w:t>
      </w:r>
      <w:r w:rsidR="00245321" w:rsidRPr="00C83E0A">
        <w:rPr>
          <w:lang w:val="fr-FR"/>
        </w:rPr>
        <w:t>exécutoire, cette décision doit généralement être appliquée dans le cadre d</w:t>
      </w:r>
      <w:r w:rsidR="00DA520E" w:rsidRPr="00C83E0A">
        <w:rPr>
          <w:lang w:val="fr-FR"/>
        </w:rPr>
        <w:t>’</w:t>
      </w:r>
      <w:r w:rsidR="00245321" w:rsidRPr="00C83E0A">
        <w:rPr>
          <w:lang w:val="fr-FR"/>
        </w:rPr>
        <w:t>un contrat qui a stipulé le recours à une expertise.</w:t>
      </w:r>
    </w:p>
    <w:p w:rsidR="0005781F" w:rsidRPr="00C83E0A" w:rsidRDefault="00245321" w:rsidP="00B7285D">
      <w:pPr>
        <w:pStyle w:val="ONUMFS"/>
        <w:rPr>
          <w:lang w:val="fr-FR"/>
        </w:rPr>
      </w:pPr>
      <w:r w:rsidRPr="00C83E0A">
        <w:rPr>
          <w:lang w:val="fr-FR"/>
        </w:rPr>
        <w:t>Les avantages de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expertise ont été exprimés dans les termes suivants</w:t>
      </w:r>
      <w:r w:rsidR="000E2599" w:rsidRPr="00C83E0A">
        <w:rPr>
          <w:lang w:val="fr-FR"/>
        </w:rPr>
        <w:t> :</w:t>
      </w:r>
      <w:r w:rsidRPr="00C83E0A">
        <w:rPr>
          <w:lang w:val="fr-FR"/>
        </w:rPr>
        <w:t xml:space="preserve"> </w:t>
      </w:r>
      <w:r w:rsidR="000E2599" w:rsidRPr="00C83E0A">
        <w:rPr>
          <w:lang w:val="fr-FR"/>
        </w:rPr>
        <w:t>“</w:t>
      </w:r>
      <w:r w:rsidR="00313F46" w:rsidRPr="00C83E0A">
        <w:rPr>
          <w:lang w:val="fr-FR"/>
        </w:rPr>
        <w:t>C</w:t>
      </w:r>
      <w:r w:rsidR="00DA520E" w:rsidRPr="00C83E0A">
        <w:rPr>
          <w:lang w:val="fr-FR"/>
        </w:rPr>
        <w:t>’</w:t>
      </w:r>
      <w:r w:rsidR="00313F46" w:rsidRPr="00C83E0A">
        <w:rPr>
          <w:lang w:val="fr-FR"/>
        </w:rPr>
        <w:t xml:space="preserve">est une procédure moins coûteuse et plus rapide, qui offre également </w:t>
      </w:r>
      <w:r w:rsidR="00A06340" w:rsidRPr="00C83E0A">
        <w:rPr>
          <w:lang w:val="fr-FR"/>
        </w:rPr>
        <w:t>davantage</w:t>
      </w:r>
      <w:r w:rsidR="00313F46" w:rsidRPr="00C83E0A">
        <w:rPr>
          <w:lang w:val="fr-FR"/>
        </w:rPr>
        <w:t xml:space="preserve"> de souplesse car elle évite d</w:t>
      </w:r>
      <w:r w:rsidR="00DA520E" w:rsidRPr="00C83E0A">
        <w:rPr>
          <w:lang w:val="fr-FR"/>
        </w:rPr>
        <w:t>’</w:t>
      </w:r>
      <w:r w:rsidR="00313F46" w:rsidRPr="00C83E0A">
        <w:rPr>
          <w:lang w:val="fr-FR"/>
        </w:rPr>
        <w:t>appliquer les règlements de procédures et de preuves.  En outre, elle présente un caractère définitif qui é</w:t>
      </w:r>
      <w:r w:rsidR="00651D66" w:rsidRPr="00C83E0A">
        <w:rPr>
          <w:lang w:val="fr-FR"/>
        </w:rPr>
        <w:t>vite les retards, la nécessité d</w:t>
      </w:r>
      <w:r w:rsidR="00DA520E" w:rsidRPr="00C83E0A">
        <w:rPr>
          <w:lang w:val="fr-FR"/>
        </w:rPr>
        <w:t>’</w:t>
      </w:r>
      <w:r w:rsidR="00651D66" w:rsidRPr="00C83E0A">
        <w:rPr>
          <w:lang w:val="fr-FR"/>
        </w:rPr>
        <w:t>avoir d</w:t>
      </w:r>
      <w:r w:rsidR="00DA520E" w:rsidRPr="00C83E0A">
        <w:rPr>
          <w:lang w:val="fr-FR"/>
        </w:rPr>
        <w:t>’</w:t>
      </w:r>
      <w:r w:rsidR="00651D66" w:rsidRPr="00C83E0A">
        <w:rPr>
          <w:lang w:val="fr-FR"/>
        </w:rPr>
        <w:t>autres audiences et des recours en appel, ce qui constitue une solution particulièrement appropriée, notamment dans les cas o</w:t>
      </w:r>
      <w:r w:rsidR="00274E9E" w:rsidRPr="00C83E0A">
        <w:rPr>
          <w:lang w:val="fr-FR"/>
        </w:rPr>
        <w:t xml:space="preserve">ù </w:t>
      </w:r>
      <w:r w:rsidR="00651D66" w:rsidRPr="00C83E0A">
        <w:rPr>
          <w:lang w:val="fr-FR"/>
        </w:rPr>
        <w:t>la connaissance précise d</w:t>
      </w:r>
      <w:r w:rsidR="00DA520E" w:rsidRPr="00C83E0A">
        <w:rPr>
          <w:lang w:val="fr-FR"/>
        </w:rPr>
        <w:t>’</w:t>
      </w:r>
      <w:r w:rsidR="00651D66" w:rsidRPr="00C83E0A">
        <w:rPr>
          <w:lang w:val="fr-FR"/>
        </w:rPr>
        <w:t>un expert sur un sujet spécifique</w:t>
      </w:r>
      <w:r w:rsidR="00274E9E" w:rsidRPr="00C83E0A">
        <w:rPr>
          <w:lang w:val="fr-FR"/>
        </w:rPr>
        <w:t xml:space="preserve"> est requise ou encore lorsque les parties ont une relation continue</w:t>
      </w:r>
      <w:r w:rsidR="000E2599" w:rsidRPr="00C83E0A">
        <w:rPr>
          <w:lang w:val="fr-FR"/>
        </w:rPr>
        <w:t>”</w:t>
      </w:r>
      <w:r w:rsidR="00274E9E" w:rsidRPr="00C83E0A">
        <w:rPr>
          <w:lang w:val="fr-FR"/>
        </w:rPr>
        <w:t xml:space="preserve"> (</w:t>
      </w:r>
      <w:r w:rsidR="00C95826">
        <w:rPr>
          <w:lang w:val="fr-FR"/>
        </w:rPr>
        <w:t>a</w:t>
      </w:r>
      <w:r w:rsidR="00274E9E" w:rsidRPr="00C83E0A">
        <w:rPr>
          <w:lang w:val="fr-FR"/>
        </w:rPr>
        <w:t xml:space="preserve">ffaire </w:t>
      </w:r>
      <w:r w:rsidR="00274E9E" w:rsidRPr="00C95826">
        <w:rPr>
          <w:i/>
          <w:lang w:val="fr-FR"/>
        </w:rPr>
        <w:t xml:space="preserve">The </w:t>
      </w:r>
      <w:proofErr w:type="spellStart"/>
      <w:r w:rsidR="00274E9E" w:rsidRPr="00C95826">
        <w:rPr>
          <w:i/>
          <w:lang w:val="fr-FR"/>
        </w:rPr>
        <w:t>Heart</w:t>
      </w:r>
      <w:proofErr w:type="spellEnd"/>
      <w:r w:rsidR="00274E9E" w:rsidRPr="00C95826">
        <w:rPr>
          <w:i/>
          <w:lang w:val="fr-FR"/>
        </w:rPr>
        <w:t xml:space="preserve"> </w:t>
      </w:r>
      <w:proofErr w:type="spellStart"/>
      <w:r w:rsidR="00274E9E" w:rsidRPr="00C95826">
        <w:rPr>
          <w:i/>
          <w:lang w:val="fr-FR"/>
        </w:rPr>
        <w:t>Research</w:t>
      </w:r>
      <w:proofErr w:type="spellEnd"/>
      <w:r w:rsidR="00274E9E" w:rsidRPr="00C95826">
        <w:rPr>
          <w:i/>
          <w:lang w:val="fr-FR"/>
        </w:rPr>
        <w:t xml:space="preserve"> Institute Ltd</w:t>
      </w:r>
      <w:r w:rsidR="00274E9E" w:rsidRPr="00C83E0A">
        <w:rPr>
          <w:lang w:val="fr-FR"/>
        </w:rPr>
        <w:t xml:space="preserve"> c</w:t>
      </w:r>
      <w:r w:rsidR="00126517" w:rsidRPr="00C83E0A">
        <w:rPr>
          <w:lang w:val="fr-FR"/>
        </w:rPr>
        <w:t>.</w:t>
      </w:r>
      <w:r w:rsidR="00274E9E" w:rsidRPr="00C83E0A">
        <w:rPr>
          <w:lang w:val="fr-FR"/>
        </w:rPr>
        <w:t xml:space="preserve"> </w:t>
      </w:r>
      <w:proofErr w:type="spellStart"/>
      <w:r w:rsidR="00274E9E" w:rsidRPr="00C95826">
        <w:rPr>
          <w:i/>
          <w:lang w:val="fr-FR"/>
        </w:rPr>
        <w:t>Psiron</w:t>
      </w:r>
      <w:proofErr w:type="spellEnd"/>
      <w:r w:rsidR="00274E9E" w:rsidRPr="00C95826">
        <w:rPr>
          <w:i/>
          <w:lang w:val="fr-FR"/>
        </w:rPr>
        <w:t xml:space="preserve"> Ltd</w:t>
      </w:r>
      <w:r w:rsidR="00274E9E" w:rsidRPr="00C83E0A">
        <w:rPr>
          <w:lang w:val="fr-FR"/>
        </w:rPr>
        <w:t xml:space="preserve"> [2002] NSWC 646).</w:t>
      </w:r>
    </w:p>
    <w:p w:rsidR="0005781F" w:rsidRPr="00C83E0A" w:rsidRDefault="00E120DE" w:rsidP="00B7285D">
      <w:pPr>
        <w:pStyle w:val="ONUMFS"/>
        <w:rPr>
          <w:lang w:val="fr-FR"/>
        </w:rPr>
      </w:pPr>
      <w:r w:rsidRPr="00C83E0A">
        <w:rPr>
          <w:lang w:val="fr-FR"/>
        </w:rPr>
        <w:t xml:space="preserve">Les expertises concernent généralement un sujet spécifique identifié dans le contrat </w:t>
      </w:r>
      <w:r w:rsidR="00F366FC" w:rsidRPr="00C83E0A">
        <w:rPr>
          <w:lang w:val="fr-FR"/>
        </w:rPr>
        <w:t>en vertu</w:t>
      </w:r>
      <w:r w:rsidRPr="00C83E0A">
        <w:rPr>
          <w:lang w:val="fr-FR"/>
        </w:rPr>
        <w:t xml:space="preserve"> duquel elles sont demandées.  </w:t>
      </w:r>
      <w:r w:rsidR="00560369" w:rsidRPr="00C83E0A">
        <w:rPr>
          <w:lang w:val="fr-FR"/>
        </w:rPr>
        <w:t>À titre d’exemple</w:t>
      </w:r>
      <w:r w:rsidR="009B627C" w:rsidRPr="00C83E0A">
        <w:rPr>
          <w:lang w:val="fr-FR"/>
        </w:rPr>
        <w:t xml:space="preserve"> de différends tranchés par expertises</w:t>
      </w:r>
      <w:r w:rsidR="00C93A8B" w:rsidRPr="00C83E0A">
        <w:rPr>
          <w:lang w:val="fr-FR"/>
        </w:rPr>
        <w:t>, il convient de mentionner</w:t>
      </w:r>
      <w:r w:rsidRPr="00C83E0A">
        <w:rPr>
          <w:lang w:val="fr-FR"/>
        </w:rPr>
        <w:t xml:space="preserve">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évaluation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un actif, </w:t>
      </w:r>
      <w:r w:rsidR="009B627C" w:rsidRPr="00C83E0A">
        <w:rPr>
          <w:lang w:val="fr-FR"/>
        </w:rPr>
        <w:t>notamment</w:t>
      </w:r>
      <w:r w:rsidRPr="00C83E0A">
        <w:rPr>
          <w:lang w:val="fr-FR"/>
        </w:rPr>
        <w:t xml:space="preserve">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ajustement à la valeur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portefeuille de brevets</w:t>
      </w:r>
      <w:r w:rsidR="00C93A8B" w:rsidRPr="00C83E0A">
        <w:rPr>
          <w:lang w:val="fr-FR"/>
        </w:rPr>
        <w:t xml:space="preserve">, </w:t>
      </w:r>
      <w:r w:rsidRPr="00C83E0A">
        <w:rPr>
          <w:lang w:val="fr-FR"/>
        </w:rPr>
        <w:t>dans le cadre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contrat de vente de celui</w:t>
      </w:r>
      <w:r w:rsidR="005521BD" w:rsidRPr="00C83E0A">
        <w:rPr>
          <w:lang w:val="fr-FR"/>
        </w:rPr>
        <w:noBreakHyphen/>
      </w:r>
      <w:r w:rsidRPr="00C83E0A">
        <w:rPr>
          <w:lang w:val="fr-FR"/>
        </w:rPr>
        <w:t xml:space="preserve">ci, ou de la redevance </w:t>
      </w:r>
      <w:r w:rsidR="009B627C" w:rsidRPr="00C83E0A">
        <w:rPr>
          <w:lang w:val="fr-FR"/>
        </w:rPr>
        <w:t xml:space="preserve">à verser </w:t>
      </w:r>
      <w:r w:rsidRPr="00C83E0A">
        <w:rPr>
          <w:lang w:val="fr-FR"/>
        </w:rPr>
        <w:t>en vertu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une licence de propriété intellectuelle afin de tenir compte de certains cas </w:t>
      </w:r>
      <w:r w:rsidR="00C93A8B" w:rsidRPr="00C83E0A">
        <w:rPr>
          <w:lang w:val="fr-FR"/>
        </w:rPr>
        <w:t xml:space="preserve">de figure </w:t>
      </w:r>
      <w:r w:rsidRPr="00C83E0A">
        <w:rPr>
          <w:lang w:val="fr-FR"/>
        </w:rPr>
        <w:t>qui n</w:t>
      </w:r>
      <w:r w:rsidR="00DA520E" w:rsidRPr="00C83E0A">
        <w:rPr>
          <w:lang w:val="fr-FR"/>
        </w:rPr>
        <w:t>’</w:t>
      </w:r>
      <w:r w:rsidR="00C93A8B" w:rsidRPr="00C83E0A">
        <w:rPr>
          <w:lang w:val="fr-FR"/>
        </w:rPr>
        <w:t>auraient pu être quantifi</w:t>
      </w:r>
      <w:r w:rsidR="00F366FC" w:rsidRPr="00C83E0A">
        <w:rPr>
          <w:lang w:val="fr-FR"/>
        </w:rPr>
        <w:t>és lors de l</w:t>
      </w:r>
      <w:r w:rsidR="00DA520E" w:rsidRPr="00C83E0A">
        <w:rPr>
          <w:lang w:val="fr-FR"/>
        </w:rPr>
        <w:t>’</w:t>
      </w:r>
      <w:r w:rsidR="00F366FC" w:rsidRPr="00C83E0A">
        <w:rPr>
          <w:lang w:val="fr-FR"/>
        </w:rPr>
        <w:t>exécution du contrat</w:t>
      </w:r>
      <w:r w:rsidR="00C93A8B" w:rsidRPr="00C83E0A">
        <w:rPr>
          <w:lang w:val="fr-FR"/>
        </w:rPr>
        <w:t>.  En effet, cet exemple représente un sujet type pouvant faire l</w:t>
      </w:r>
      <w:r w:rsidR="00DA520E" w:rsidRPr="00C83E0A">
        <w:rPr>
          <w:lang w:val="fr-FR"/>
        </w:rPr>
        <w:t>’</w:t>
      </w:r>
      <w:r w:rsidR="00C93A8B" w:rsidRPr="00C83E0A">
        <w:rPr>
          <w:lang w:val="fr-FR"/>
        </w:rPr>
        <w:t>objet d</w:t>
      </w:r>
      <w:r w:rsidR="00DA520E" w:rsidRPr="00C83E0A">
        <w:rPr>
          <w:lang w:val="fr-FR"/>
        </w:rPr>
        <w:t>’</w:t>
      </w:r>
      <w:r w:rsidR="00C93A8B" w:rsidRPr="00C83E0A">
        <w:rPr>
          <w:lang w:val="fr-FR"/>
        </w:rPr>
        <w:t>une expertise applicable tant dans le domaine de la propriété intellectuelle que dans les autres domaines juridiques.</w:t>
      </w:r>
      <w:r w:rsidR="00F366FC" w:rsidRPr="00C83E0A">
        <w:rPr>
          <w:lang w:val="fr-FR"/>
        </w:rPr>
        <w:t xml:space="preserve">  Toutefois, comme dans le cas de l</w:t>
      </w:r>
      <w:r w:rsidR="00DA520E" w:rsidRPr="00C83E0A">
        <w:rPr>
          <w:lang w:val="fr-FR"/>
        </w:rPr>
        <w:t>’</w:t>
      </w:r>
      <w:r w:rsidR="00F366FC" w:rsidRPr="00C83E0A">
        <w:rPr>
          <w:lang w:val="fr-FR"/>
        </w:rPr>
        <w:t>arbitrage, l</w:t>
      </w:r>
      <w:r w:rsidR="00DA520E" w:rsidRPr="00C83E0A">
        <w:rPr>
          <w:lang w:val="fr-FR"/>
        </w:rPr>
        <w:t>’</w:t>
      </w:r>
      <w:r w:rsidR="00F366FC" w:rsidRPr="00C83E0A">
        <w:rPr>
          <w:lang w:val="fr-FR"/>
        </w:rPr>
        <w:t>expertise peut également avoir pour objet d</w:t>
      </w:r>
      <w:r w:rsidR="00DA520E" w:rsidRPr="00C83E0A">
        <w:rPr>
          <w:lang w:val="fr-FR"/>
        </w:rPr>
        <w:t>’</w:t>
      </w:r>
      <w:r w:rsidR="00F366FC" w:rsidRPr="00C83E0A">
        <w:rPr>
          <w:lang w:val="fr-FR"/>
        </w:rPr>
        <w:t>autres sujets de propriété intellectuelle qui sont traditionnellement considérés comme relevant de la compétence des tribunaux.</w:t>
      </w:r>
    </w:p>
    <w:p w:rsidR="0005781F" w:rsidRPr="00C83E0A" w:rsidRDefault="00503EE5" w:rsidP="00B7285D">
      <w:pPr>
        <w:pStyle w:val="ONUMFS"/>
        <w:rPr>
          <w:lang w:val="fr-FR"/>
        </w:rPr>
      </w:pPr>
      <w:r w:rsidRPr="00C83E0A">
        <w:rPr>
          <w:lang w:val="fr-FR"/>
        </w:rPr>
        <w:t xml:space="preserve">Si la législation prévoit la possibilité de faire appel à un expert dans des domaines autres que la propriété intellectuelle, notamment </w:t>
      </w:r>
      <w:r w:rsidR="009B627C" w:rsidRPr="00C83E0A">
        <w:rPr>
          <w:lang w:val="fr-FR"/>
        </w:rPr>
        <w:t>dans le secteur du bâtiment et de la construction</w:t>
      </w:r>
      <w:r w:rsidRPr="00C83E0A">
        <w:rPr>
          <w:lang w:val="fr-FR"/>
        </w:rPr>
        <w:t>, le recours à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expertise est néanmoins une pratique déjà très répandue en propriété intellectuelle, </w:t>
      </w:r>
      <w:r w:rsidR="00560369" w:rsidRPr="00C83E0A">
        <w:rPr>
          <w:lang w:val="fr-FR"/>
        </w:rPr>
        <w:t>quoiqu’</w:t>
      </w:r>
      <w:r w:rsidRPr="00C83E0A">
        <w:rPr>
          <w:lang w:val="fr-FR"/>
        </w:rPr>
        <w:t>encore non identifiée comme telle et de ce fait méconnue.</w:t>
      </w:r>
    </w:p>
    <w:p w:rsidR="0005781F" w:rsidRPr="00C83E0A" w:rsidRDefault="00A349F3" w:rsidP="00B7285D">
      <w:pPr>
        <w:pStyle w:val="ONUMFS"/>
        <w:rPr>
          <w:lang w:val="fr-FR"/>
        </w:rPr>
      </w:pPr>
      <w:r w:rsidRPr="00C83E0A">
        <w:rPr>
          <w:lang w:val="fr-FR"/>
        </w:rPr>
        <w:t>Ainsi, le règlement des litiges relatifs aux noms de domaines tels que ceux entrant dans le cadre des Principes directeurs concernant le règlement uniforme des litiges relatifs aux noms de domaines (</w:t>
      </w:r>
      <w:r w:rsidR="00C95826">
        <w:rPr>
          <w:lang w:val="fr-FR"/>
        </w:rPr>
        <w:t>ci</w:t>
      </w:r>
      <w:r w:rsidR="00C95826">
        <w:rPr>
          <w:lang w:val="fr-FR"/>
        </w:rPr>
        <w:noBreakHyphen/>
        <w:t xml:space="preserve">après dénommés </w:t>
      </w:r>
      <w:r w:rsidR="000E2599" w:rsidRPr="00C83E0A">
        <w:rPr>
          <w:lang w:val="fr-FR"/>
        </w:rPr>
        <w:t>“</w:t>
      </w:r>
      <w:r w:rsidR="005521BD" w:rsidRPr="00C83E0A">
        <w:rPr>
          <w:lang w:val="fr-FR"/>
        </w:rPr>
        <w:t>p</w:t>
      </w:r>
      <w:r w:rsidRPr="00C83E0A">
        <w:rPr>
          <w:lang w:val="fr-FR"/>
        </w:rPr>
        <w:t>rincipes UDRP</w:t>
      </w:r>
      <w:r w:rsidR="000E2599" w:rsidRPr="00C83E0A">
        <w:rPr>
          <w:lang w:val="fr-FR"/>
        </w:rPr>
        <w:t>”</w:t>
      </w:r>
      <w:r w:rsidRPr="00C83E0A">
        <w:rPr>
          <w:lang w:val="fr-FR"/>
        </w:rPr>
        <w:t>) peut être considéré comme un type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expertise.  Lorsque le demandeur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nom de domaine signe un contrat avec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unité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enregistrement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un domaine particulier </w:t>
      </w:r>
      <w:r w:rsidR="0075036C" w:rsidRPr="00C83E0A">
        <w:rPr>
          <w:lang w:val="fr-FR"/>
        </w:rPr>
        <w:t>qui a</w:t>
      </w:r>
      <w:r w:rsidRPr="00C83E0A">
        <w:rPr>
          <w:lang w:val="fr-FR"/>
        </w:rPr>
        <w:t xml:space="preserve"> adhéré aux principes UDRP, ce demandeur </w:t>
      </w:r>
      <w:r w:rsidR="009B627C" w:rsidRPr="00C83E0A">
        <w:rPr>
          <w:lang w:val="fr-FR"/>
        </w:rPr>
        <w:t>adhère</w:t>
      </w:r>
      <w:r w:rsidRPr="00C83E0A">
        <w:rPr>
          <w:lang w:val="fr-FR"/>
        </w:rPr>
        <w:t xml:space="preserve"> volontairement aux règles </w:t>
      </w:r>
      <w:r w:rsidR="0075036C" w:rsidRPr="00C83E0A">
        <w:rPr>
          <w:lang w:val="fr-FR"/>
        </w:rPr>
        <w:t>desdits</w:t>
      </w:r>
      <w:r w:rsidRPr="00C83E0A">
        <w:rPr>
          <w:lang w:val="fr-FR"/>
        </w:rPr>
        <w:t xml:space="preserve"> principes UDRP.  Une expertise UDRP est alors automatiquement mise en œuvre </w:t>
      </w:r>
      <w:r w:rsidR="0075036C" w:rsidRPr="00C83E0A">
        <w:rPr>
          <w:lang w:val="fr-FR"/>
        </w:rPr>
        <w:t>dans le cadre de ce</w:t>
      </w:r>
      <w:r w:rsidRPr="00C83E0A">
        <w:rPr>
          <w:lang w:val="fr-FR"/>
        </w:rPr>
        <w:t xml:space="preserve"> contrat conclu entre le demandeur et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unité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enregistrement.  La procédure UDRP n</w:t>
      </w:r>
      <w:r w:rsidR="00DA520E" w:rsidRPr="00C83E0A">
        <w:rPr>
          <w:lang w:val="fr-FR"/>
        </w:rPr>
        <w:t>’</w:t>
      </w:r>
      <w:r w:rsidR="0075036C" w:rsidRPr="00C83E0A">
        <w:rPr>
          <w:lang w:val="fr-FR"/>
        </w:rPr>
        <w:t xml:space="preserve">a, </w:t>
      </w:r>
      <w:r w:rsidRPr="00C83E0A">
        <w:rPr>
          <w:lang w:val="fr-FR"/>
        </w:rPr>
        <w:t>certes</w:t>
      </w:r>
      <w:r w:rsidR="0075036C" w:rsidRPr="00C83E0A">
        <w:rPr>
          <w:lang w:val="fr-FR"/>
        </w:rPr>
        <w:t>,</w:t>
      </w:r>
      <w:r w:rsidRPr="00C83E0A">
        <w:rPr>
          <w:lang w:val="fr-FR"/>
        </w:rPr>
        <w:t xml:space="preserve"> pas pour objet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écarter la compétence des tribunaux nationaux pour déterminer si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utilisation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un nom de domaine constitue une atteinte à une marque enregistrée.  Néanmoins, les actions en contrefaçon </w:t>
      </w:r>
      <w:r w:rsidR="009B627C" w:rsidRPr="00C83E0A">
        <w:rPr>
          <w:lang w:val="fr-FR"/>
        </w:rPr>
        <w:t xml:space="preserve">de marques enregistrées </w:t>
      </w:r>
      <w:r w:rsidRPr="00C83E0A">
        <w:rPr>
          <w:lang w:val="fr-FR"/>
        </w:rPr>
        <w:t xml:space="preserve">sont onéreuses et compte tenu du contexte international et </w:t>
      </w:r>
      <w:r w:rsidR="0075036C" w:rsidRPr="00C83E0A">
        <w:rPr>
          <w:lang w:val="fr-FR"/>
        </w:rPr>
        <w:t>de la nature</w:t>
      </w:r>
      <w:r w:rsidRPr="00C83E0A">
        <w:rPr>
          <w:lang w:val="fr-FR"/>
        </w:rPr>
        <w:t xml:space="preserve"> </w:t>
      </w:r>
      <w:r w:rsidR="0075036C" w:rsidRPr="00C83E0A">
        <w:rPr>
          <w:lang w:val="fr-FR"/>
        </w:rPr>
        <w:t xml:space="preserve">immatérielle </w:t>
      </w:r>
      <w:r w:rsidRPr="00C83E0A">
        <w:rPr>
          <w:lang w:val="fr-FR"/>
        </w:rPr>
        <w:t>de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Internet, </w:t>
      </w:r>
      <w:r w:rsidR="0075036C" w:rsidRPr="00C83E0A">
        <w:rPr>
          <w:lang w:val="fr-FR"/>
        </w:rPr>
        <w:t xml:space="preserve">leur application aux litiges concernant les noms de domaines </w:t>
      </w:r>
      <w:r w:rsidRPr="00C83E0A">
        <w:rPr>
          <w:lang w:val="fr-FR"/>
        </w:rPr>
        <w:t>se heurte à des difficultés pratiques</w:t>
      </w:r>
      <w:r w:rsidR="0075036C" w:rsidRPr="00C83E0A">
        <w:rPr>
          <w:lang w:val="fr-FR"/>
        </w:rPr>
        <w:t>,</w:t>
      </w:r>
      <w:r w:rsidRPr="00C83E0A">
        <w:rPr>
          <w:lang w:val="fr-FR"/>
        </w:rPr>
        <w:t xml:space="preserve"> ne serait</w:t>
      </w:r>
      <w:r w:rsidR="005521BD" w:rsidRPr="00C83E0A">
        <w:rPr>
          <w:lang w:val="fr-FR"/>
        </w:rPr>
        <w:noBreakHyphen/>
      </w:r>
      <w:r w:rsidRPr="00C83E0A">
        <w:rPr>
          <w:lang w:val="fr-FR"/>
        </w:rPr>
        <w:t xml:space="preserve">ce que pour trouver un tribunal national qui soit </w:t>
      </w:r>
      <w:r w:rsidRPr="00C83E0A">
        <w:rPr>
          <w:lang w:val="fr-FR"/>
        </w:rPr>
        <w:lastRenderedPageBreak/>
        <w:t>compétent pour juger non seulement la marque concernée mais également le demandeur du nom de domaine et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unité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enregistrement concernés.  Ainsi, en pra</w:t>
      </w:r>
      <w:r w:rsidR="009B627C" w:rsidRPr="00C83E0A">
        <w:rPr>
          <w:lang w:val="fr-FR"/>
        </w:rPr>
        <w:t>tique, la possibilité de recourir</w:t>
      </w:r>
      <w:r w:rsidRPr="00C83E0A">
        <w:rPr>
          <w:lang w:val="fr-FR"/>
        </w:rPr>
        <w:t xml:space="preserve"> à des expertises UDRP permet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éviter un grand nombre de litiges </w:t>
      </w:r>
      <w:r w:rsidR="009B627C" w:rsidRPr="00C83E0A">
        <w:rPr>
          <w:lang w:val="fr-FR"/>
        </w:rPr>
        <w:t xml:space="preserve">de ce type </w:t>
      </w:r>
      <w:r w:rsidRPr="00C83E0A">
        <w:rPr>
          <w:lang w:val="fr-FR"/>
        </w:rPr>
        <w:t>relatifs aux marques enregistré</w:t>
      </w:r>
      <w:r w:rsidR="009B627C" w:rsidRPr="00C83E0A">
        <w:rPr>
          <w:lang w:val="fr-FR"/>
        </w:rPr>
        <w:t>e</w:t>
      </w:r>
      <w:r w:rsidRPr="00C83E0A">
        <w:rPr>
          <w:lang w:val="fr-FR"/>
        </w:rPr>
        <w:t>s.</w:t>
      </w:r>
    </w:p>
    <w:p w:rsidR="0039015E" w:rsidRPr="00C83E0A" w:rsidRDefault="00077D11" w:rsidP="00B7285D">
      <w:pPr>
        <w:pStyle w:val="ONUMFS"/>
        <w:rPr>
          <w:lang w:val="fr-FR"/>
        </w:rPr>
      </w:pPr>
      <w:r w:rsidRPr="00C83E0A">
        <w:rPr>
          <w:lang w:val="fr-FR"/>
        </w:rPr>
        <w:t>À titre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exemple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type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expertise concernant l</w:t>
      </w:r>
      <w:r w:rsidR="009B627C" w:rsidRPr="00C83E0A">
        <w:rPr>
          <w:lang w:val="fr-FR"/>
        </w:rPr>
        <w:t>es droits de</w:t>
      </w:r>
      <w:r w:rsidRPr="00C83E0A">
        <w:rPr>
          <w:lang w:val="fr-FR"/>
        </w:rPr>
        <w:t xml:space="preserve"> propriété intellectuelle, il convient de mentionner l</w:t>
      </w:r>
      <w:r w:rsidR="00B42315" w:rsidRPr="00C83E0A">
        <w:rPr>
          <w:lang w:val="fr-FR"/>
        </w:rPr>
        <w:t xml:space="preserve">es règles des communautés de brevets </w:t>
      </w:r>
      <w:r w:rsidR="00E4126F">
        <w:rPr>
          <w:lang w:val="fr-FR"/>
        </w:rPr>
        <w:t>relatifs</w:t>
      </w:r>
      <w:r w:rsidR="00E4126F" w:rsidRPr="00C83E0A">
        <w:rPr>
          <w:lang w:val="fr-FR"/>
        </w:rPr>
        <w:t xml:space="preserve"> </w:t>
      </w:r>
      <w:r w:rsidRPr="00C83E0A">
        <w:rPr>
          <w:lang w:val="fr-FR"/>
        </w:rPr>
        <w:t xml:space="preserve">à </w:t>
      </w:r>
      <w:r w:rsidR="009B627C"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="009B627C" w:rsidRPr="00C83E0A">
        <w:rPr>
          <w:lang w:val="fr-FR"/>
        </w:rPr>
        <w:t xml:space="preserve">application de </w:t>
      </w:r>
      <w:r w:rsidRPr="00C83E0A">
        <w:rPr>
          <w:lang w:val="fr-FR"/>
        </w:rPr>
        <w:t>certaines normes, qui prévoient la mise en œuvre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expertises, notamment dans le cas des brevets relatifs aux codeurs/décodeurs de paroles ou vidéos, dans le secteur</w:t>
      </w:r>
      <w:r w:rsidR="00DA520E" w:rsidRPr="00C83E0A">
        <w:rPr>
          <w:lang w:val="fr-FR"/>
        </w:rPr>
        <w:t xml:space="preserve"> des TIC</w:t>
      </w:r>
      <w:r w:rsidRPr="00C83E0A">
        <w:rPr>
          <w:lang w:val="fr-FR"/>
        </w:rPr>
        <w:t>.</w:t>
      </w:r>
    </w:p>
    <w:p w:rsidR="0005781F" w:rsidRPr="00C83E0A" w:rsidRDefault="00B1484B" w:rsidP="00B7285D">
      <w:pPr>
        <w:pStyle w:val="ONUMFS"/>
        <w:numPr>
          <w:ilvl w:val="1"/>
          <w:numId w:val="25"/>
        </w:numPr>
        <w:rPr>
          <w:lang w:val="fr-FR"/>
        </w:rPr>
      </w:pPr>
      <w:r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évaluation neutre</w:t>
      </w:r>
    </w:p>
    <w:p w:rsidR="0005781F" w:rsidRPr="00C83E0A" w:rsidRDefault="006429A6" w:rsidP="00B7285D">
      <w:pPr>
        <w:pStyle w:val="ONUMFS"/>
        <w:rPr>
          <w:lang w:val="fr-FR"/>
        </w:rPr>
      </w:pPr>
      <w:r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évaluation préalable</w:t>
      </w:r>
      <w:r w:rsidR="00B1484B" w:rsidRPr="00C83E0A">
        <w:rPr>
          <w:lang w:val="fr-FR"/>
        </w:rPr>
        <w:t xml:space="preserve"> neutre qui fournit des avis sur certaines questions, uniquement à titre de recommandations et sans a</w:t>
      </w:r>
      <w:r w:rsidRPr="00C83E0A">
        <w:rPr>
          <w:lang w:val="fr-FR"/>
        </w:rPr>
        <w:t>ucun caractère contraignant pour les parties,</w:t>
      </w:r>
      <w:r w:rsidR="00B1484B" w:rsidRPr="00C83E0A">
        <w:rPr>
          <w:lang w:val="fr-FR"/>
        </w:rPr>
        <w:t xml:space="preserve"> peut présenter un intérêt particulier.  En effet, dans des affaires traitant d</w:t>
      </w:r>
      <w:r w:rsidR="00DA520E" w:rsidRPr="00C83E0A">
        <w:rPr>
          <w:lang w:val="fr-FR"/>
        </w:rPr>
        <w:t>’</w:t>
      </w:r>
      <w:r w:rsidR="00B1484B" w:rsidRPr="00C83E0A">
        <w:rPr>
          <w:lang w:val="fr-FR"/>
        </w:rPr>
        <w:t>un sujet particulièrement complexe, les parties souhaitent avoir une idée des résultats éventuels d</w:t>
      </w:r>
      <w:r w:rsidR="00DA520E" w:rsidRPr="00C83E0A">
        <w:rPr>
          <w:lang w:val="fr-FR"/>
        </w:rPr>
        <w:t>’</w:t>
      </w:r>
      <w:r w:rsidR="00B1484B" w:rsidRPr="00C83E0A">
        <w:rPr>
          <w:lang w:val="fr-FR"/>
        </w:rPr>
        <w:t>un jugement de leur litige par un tribunal ou une cour de justice.</w:t>
      </w:r>
    </w:p>
    <w:p w:rsidR="0005781F" w:rsidRPr="00C83E0A" w:rsidRDefault="00F62129" w:rsidP="00B7285D">
      <w:pPr>
        <w:pStyle w:val="ONUMFS"/>
        <w:rPr>
          <w:lang w:val="fr-FR"/>
        </w:rPr>
      </w:pPr>
      <w:r w:rsidRPr="009B3F21">
        <w:rPr>
          <w:lang w:val="fr-FR"/>
        </w:rPr>
        <w:t xml:space="preserve">Le </w:t>
      </w:r>
      <w:r w:rsidR="003C5CBF" w:rsidRPr="009B3F21">
        <w:rPr>
          <w:lang w:val="fr-FR"/>
        </w:rPr>
        <w:t>S</w:t>
      </w:r>
      <w:r w:rsidRPr="009B3F21">
        <w:rPr>
          <w:lang w:val="fr-FR"/>
        </w:rPr>
        <w:t>ervice d</w:t>
      </w:r>
      <w:r w:rsidR="00DA520E" w:rsidRPr="009B3F21">
        <w:rPr>
          <w:lang w:val="fr-FR"/>
        </w:rPr>
        <w:t>’</w:t>
      </w:r>
      <w:r w:rsidRPr="009B3F21">
        <w:rPr>
          <w:lang w:val="fr-FR"/>
        </w:rPr>
        <w:t>avis de l</w:t>
      </w:r>
      <w:r w:rsidR="00DA520E" w:rsidRPr="009B3F21">
        <w:rPr>
          <w:lang w:val="fr-FR"/>
        </w:rPr>
        <w:t>’</w:t>
      </w:r>
      <w:r w:rsidRPr="009B3F21">
        <w:rPr>
          <w:lang w:val="fr-FR"/>
        </w:rPr>
        <w:t>Office de la propriété intellectuelle du Royaume</w:t>
      </w:r>
      <w:r w:rsidR="005521BD" w:rsidRPr="009B3F21">
        <w:rPr>
          <w:lang w:val="fr-FR"/>
        </w:rPr>
        <w:noBreakHyphen/>
      </w:r>
      <w:r w:rsidRPr="009B3F21">
        <w:rPr>
          <w:lang w:val="fr-FR"/>
        </w:rPr>
        <w:t>Uni constitue un</w:t>
      </w:r>
      <w:r w:rsidRPr="00C83E0A">
        <w:rPr>
          <w:lang w:val="fr-FR"/>
        </w:rPr>
        <w:t xml:space="preserve"> exemple intéressant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utilisation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type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évaluation neutre dans le domaine de la propriété intellectuelle.  En effet, ce </w:t>
      </w:r>
      <w:r w:rsidR="0096124B" w:rsidRPr="00C83E0A">
        <w:rPr>
          <w:lang w:val="fr-FR"/>
        </w:rPr>
        <w:t>s</w:t>
      </w:r>
      <w:r w:rsidRPr="00C83E0A">
        <w:rPr>
          <w:lang w:val="fr-FR"/>
        </w:rPr>
        <w:t>ervice fournit des avis non contraignants sur des litiges en contrefaçon de brevets en vigueur au Royaume</w:t>
      </w:r>
      <w:r w:rsidR="005521BD" w:rsidRPr="00C83E0A">
        <w:rPr>
          <w:lang w:val="fr-FR"/>
        </w:rPr>
        <w:noBreakHyphen/>
      </w:r>
      <w:r w:rsidRPr="00C83E0A">
        <w:rPr>
          <w:lang w:val="fr-FR"/>
        </w:rPr>
        <w:t>Uni et sur certain</w:t>
      </w:r>
      <w:r w:rsidR="0096124B" w:rsidRPr="00C83E0A">
        <w:rPr>
          <w:lang w:val="fr-FR"/>
        </w:rPr>
        <w:t>s aspects de leur validité.  Ce s</w:t>
      </w:r>
      <w:r w:rsidRPr="00C83E0A">
        <w:rPr>
          <w:lang w:val="fr-FR"/>
        </w:rPr>
        <w:t>ervice répond dans les trois</w:t>
      </w:r>
      <w:r w:rsidR="000E2599" w:rsidRPr="00C83E0A">
        <w:rPr>
          <w:lang w:val="fr-FR"/>
        </w:rPr>
        <w:t> </w:t>
      </w:r>
      <w:r w:rsidRPr="00C83E0A">
        <w:rPr>
          <w:lang w:val="fr-FR"/>
        </w:rPr>
        <w:t>mois</w:t>
      </w:r>
      <w:r w:rsidR="00C402C8" w:rsidRPr="00C83E0A">
        <w:rPr>
          <w:lang w:val="fr-FR"/>
        </w:rPr>
        <w:t xml:space="preserve">, à toute demande.  Par ailleurs, </w:t>
      </w:r>
      <w:r w:rsidRPr="00C83E0A">
        <w:rPr>
          <w:lang w:val="fr-FR"/>
        </w:rPr>
        <w:t xml:space="preserve">dans certains cas, </w:t>
      </w:r>
      <w:r w:rsidR="00C402C8" w:rsidRPr="00C83E0A">
        <w:rPr>
          <w:lang w:val="fr-FR"/>
        </w:rPr>
        <w:t>toute tierce</w:t>
      </w:r>
      <w:r w:rsidRPr="00C83E0A">
        <w:rPr>
          <w:lang w:val="fr-FR"/>
        </w:rPr>
        <w:t xml:space="preserve"> personne peu</w:t>
      </w:r>
      <w:r w:rsidR="00C402C8" w:rsidRPr="00C83E0A">
        <w:rPr>
          <w:lang w:val="fr-FR"/>
        </w:rPr>
        <w:t>t</w:t>
      </w:r>
      <w:r w:rsidRPr="00C83E0A">
        <w:rPr>
          <w:lang w:val="fr-FR"/>
        </w:rPr>
        <w:t xml:space="preserve"> librement envoyer </w:t>
      </w:r>
      <w:r w:rsidR="00C402C8" w:rsidRPr="00C83E0A">
        <w:rPr>
          <w:lang w:val="fr-FR"/>
        </w:rPr>
        <w:t>ses</w:t>
      </w:r>
      <w:r w:rsidRPr="00C83E0A">
        <w:rPr>
          <w:lang w:val="fr-FR"/>
        </w:rPr>
        <w:t xml:space="preserve"> commentaires et l</w:t>
      </w:r>
      <w:r w:rsidR="00C402C8" w:rsidRPr="00C83E0A">
        <w:rPr>
          <w:lang w:val="fr-FR"/>
        </w:rPr>
        <w:t>es titulaires de brevets ou le</w:t>
      </w:r>
      <w:r w:rsidRPr="00C83E0A">
        <w:rPr>
          <w:lang w:val="fr-FR"/>
        </w:rPr>
        <w:t>s détenteurs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une licence exclusive</w:t>
      </w:r>
      <w:r w:rsidR="00C402C8" w:rsidRPr="00C83E0A">
        <w:rPr>
          <w:lang w:val="fr-FR"/>
        </w:rPr>
        <w:t xml:space="preserve"> de ces brevets</w:t>
      </w:r>
      <w:r w:rsidRPr="00C83E0A">
        <w:rPr>
          <w:lang w:val="fr-FR"/>
        </w:rPr>
        <w:t xml:space="preserve"> peuvent </w:t>
      </w:r>
      <w:r w:rsidR="00C402C8" w:rsidRPr="00C83E0A">
        <w:rPr>
          <w:lang w:val="fr-FR"/>
        </w:rPr>
        <w:t>également remettre en question l</w:t>
      </w:r>
      <w:r w:rsidRPr="00C83E0A">
        <w:rPr>
          <w:lang w:val="fr-FR"/>
        </w:rPr>
        <w:t>es avis</w:t>
      </w:r>
      <w:r w:rsidR="00C402C8" w:rsidRPr="00C83E0A">
        <w:rPr>
          <w:lang w:val="fr-FR"/>
        </w:rPr>
        <w:t xml:space="preserve"> ainsi communiqués</w:t>
      </w:r>
      <w:r w:rsidRPr="00C83E0A">
        <w:rPr>
          <w:lang w:val="fr-FR"/>
        </w:rPr>
        <w:t>.</w:t>
      </w:r>
    </w:p>
    <w:p w:rsidR="0005781F" w:rsidRPr="00C83E0A" w:rsidRDefault="006100D0" w:rsidP="00B7285D">
      <w:pPr>
        <w:pStyle w:val="ONUMFS"/>
        <w:numPr>
          <w:ilvl w:val="1"/>
          <w:numId w:val="26"/>
        </w:numPr>
        <w:rPr>
          <w:lang w:val="fr-FR"/>
        </w:rPr>
      </w:pPr>
      <w:r w:rsidRPr="00C83E0A">
        <w:rPr>
          <w:lang w:val="fr-FR"/>
        </w:rPr>
        <w:t>La mé</w:t>
      </w:r>
      <w:r w:rsidR="00F6777F" w:rsidRPr="00C83E0A">
        <w:rPr>
          <w:lang w:val="fr-FR"/>
        </w:rPr>
        <w:t>diation</w:t>
      </w:r>
    </w:p>
    <w:p w:rsidR="0005781F" w:rsidRDefault="00A536AD" w:rsidP="00B7285D">
      <w:pPr>
        <w:pStyle w:val="ONUMFS"/>
        <w:rPr>
          <w:lang w:val="fr-FR"/>
        </w:rPr>
      </w:pPr>
      <w:r w:rsidRPr="00C83E0A">
        <w:rPr>
          <w:lang w:val="fr-FR"/>
        </w:rPr>
        <w:t xml:space="preserve">La </w:t>
      </w:r>
      <w:r w:rsidR="004E122E" w:rsidRPr="00C83E0A">
        <w:rPr>
          <w:lang w:val="fr-FR"/>
        </w:rPr>
        <w:t>mé</w:t>
      </w:r>
      <w:r w:rsidRPr="00C83E0A">
        <w:rPr>
          <w:lang w:val="fr-FR"/>
        </w:rPr>
        <w:t xml:space="preserve">diation a été définie comme une </w:t>
      </w:r>
      <w:r w:rsidR="004E122E" w:rsidRPr="00C83E0A">
        <w:rPr>
          <w:lang w:val="fr-FR"/>
        </w:rPr>
        <w:t>procé</w:t>
      </w:r>
      <w:r w:rsidRPr="00C83E0A">
        <w:rPr>
          <w:lang w:val="fr-FR"/>
        </w:rPr>
        <w:t xml:space="preserve">dure informelle, au cours de laquelle un intermédiaire neutre, le médiateur, aide les parties à régler leur différend.  La médiation peut présenter un intérêt particulier pour résoudre les litiges en matière de propriété intellectuelle.  Néanmoins, compte tenu de sa nature </w:t>
      </w:r>
      <w:r w:rsidR="00CA5CCA" w:rsidRPr="00C83E0A">
        <w:rPr>
          <w:lang w:val="fr-FR"/>
        </w:rPr>
        <w:t xml:space="preserve">principalement </w:t>
      </w:r>
      <w:r w:rsidRPr="00C83E0A">
        <w:rPr>
          <w:lang w:val="fr-FR"/>
        </w:rPr>
        <w:t xml:space="preserve">consensuelle, de sa souplesse et de la diversité des procédures utilisées, </w:t>
      </w:r>
      <w:r w:rsidR="004E122E" w:rsidRPr="00C83E0A">
        <w:rPr>
          <w:lang w:val="fr-FR"/>
        </w:rPr>
        <w:t>ce mode de règlement</w:t>
      </w:r>
      <w:r w:rsidRPr="00C83E0A">
        <w:rPr>
          <w:lang w:val="fr-FR"/>
        </w:rPr>
        <w:t xml:space="preserve"> ne soulève pas de q</w:t>
      </w:r>
      <w:r w:rsidR="00CA5CCA" w:rsidRPr="00C83E0A">
        <w:rPr>
          <w:lang w:val="fr-FR"/>
        </w:rPr>
        <w:t>uestion juridique particul</w:t>
      </w:r>
      <w:r w:rsidR="004E122E" w:rsidRPr="00C83E0A">
        <w:rPr>
          <w:lang w:val="fr-FR"/>
        </w:rPr>
        <w:t xml:space="preserve">ière car </w:t>
      </w:r>
      <w:r w:rsidR="00CA5CCA" w:rsidRPr="00C83E0A">
        <w:rPr>
          <w:lang w:val="fr-FR"/>
        </w:rPr>
        <w:t>il s</w:t>
      </w:r>
      <w:r w:rsidR="00DA520E" w:rsidRPr="00C83E0A">
        <w:rPr>
          <w:lang w:val="fr-FR"/>
        </w:rPr>
        <w:t>’</w:t>
      </w:r>
      <w:r w:rsidR="00CA5CCA" w:rsidRPr="00C83E0A">
        <w:rPr>
          <w:lang w:val="fr-FR"/>
        </w:rPr>
        <w:t>agit essentiellement de négociations</w:t>
      </w:r>
      <w:r w:rsidR="004E122E" w:rsidRPr="00C83E0A">
        <w:rPr>
          <w:lang w:val="fr-FR"/>
        </w:rPr>
        <w:t xml:space="preserve"> visant à aboutir à une solution</w:t>
      </w:r>
      <w:r w:rsidR="00CA5CCA" w:rsidRPr="00C83E0A">
        <w:rPr>
          <w:lang w:val="fr-FR"/>
        </w:rPr>
        <w:t>.</w:t>
      </w:r>
    </w:p>
    <w:p w:rsidR="003C5CBF" w:rsidRPr="00C83E0A" w:rsidRDefault="003C5CBF" w:rsidP="00B7285D">
      <w:pPr>
        <w:pStyle w:val="ONUMFS"/>
        <w:numPr>
          <w:ilvl w:val="0"/>
          <w:numId w:val="0"/>
        </w:numPr>
        <w:rPr>
          <w:lang w:val="fr-FR"/>
        </w:rPr>
      </w:pPr>
    </w:p>
    <w:p w:rsidR="0005781F" w:rsidRPr="00C83E0A" w:rsidRDefault="0096124B" w:rsidP="00B7285D">
      <w:pPr>
        <w:pStyle w:val="Heading2"/>
        <w:rPr>
          <w:lang w:val="fr-FR"/>
        </w:rPr>
      </w:pPr>
      <w:r w:rsidRPr="00C83E0A">
        <w:rPr>
          <w:lang w:val="fr-FR"/>
        </w:rPr>
        <w:t>Cadres juridiques et réglementaire</w:t>
      </w:r>
      <w:r w:rsidR="003C5CBF">
        <w:rPr>
          <w:lang w:val="fr-FR"/>
        </w:rPr>
        <w:t>s des modes extrajudiciaires de </w:t>
      </w:r>
      <w:r w:rsidRPr="00C83E0A">
        <w:rPr>
          <w:lang w:val="fr-FR"/>
        </w:rPr>
        <w:t xml:space="preserve">règlement des litiges dans le contexte de l’application des droits </w:t>
      </w:r>
      <w:r w:rsidR="003C5CBF">
        <w:rPr>
          <w:lang w:val="fr-FR"/>
        </w:rPr>
        <w:t>de </w:t>
      </w:r>
      <w:r w:rsidRPr="00C83E0A">
        <w:rPr>
          <w:lang w:val="fr-FR"/>
        </w:rPr>
        <w:t>propriété intellectuelle</w:t>
      </w:r>
    </w:p>
    <w:p w:rsidR="0096124B" w:rsidRPr="00C83E0A" w:rsidRDefault="0096124B" w:rsidP="00B7285D">
      <w:pPr>
        <w:rPr>
          <w:lang w:eastAsia="zh-CN"/>
        </w:rPr>
      </w:pPr>
    </w:p>
    <w:p w:rsidR="0005781F" w:rsidRPr="00C83E0A" w:rsidRDefault="00F6777F" w:rsidP="00B7285D">
      <w:pPr>
        <w:pStyle w:val="ONUMFS"/>
        <w:numPr>
          <w:ilvl w:val="1"/>
          <w:numId w:val="21"/>
        </w:numPr>
        <w:rPr>
          <w:lang w:val="fr-FR"/>
        </w:rPr>
      </w:pPr>
      <w:r w:rsidRPr="00C83E0A">
        <w:rPr>
          <w:lang w:val="fr-FR"/>
        </w:rPr>
        <w:t>Introduction</w:t>
      </w:r>
    </w:p>
    <w:p w:rsidR="0005781F" w:rsidRPr="00C83E0A" w:rsidRDefault="00571D30" w:rsidP="00B7285D">
      <w:pPr>
        <w:pStyle w:val="ONUMFS"/>
        <w:rPr>
          <w:lang w:val="fr-FR"/>
        </w:rPr>
      </w:pPr>
      <w:r w:rsidRPr="00C83E0A">
        <w:rPr>
          <w:lang w:val="fr-FR"/>
        </w:rPr>
        <w:t>C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est essentiellement dans le domaine de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arbitrage </w:t>
      </w:r>
      <w:r w:rsidR="005B163D" w:rsidRPr="00C83E0A">
        <w:rPr>
          <w:lang w:val="fr-FR"/>
        </w:rPr>
        <w:t>que sont élaborés</w:t>
      </w:r>
      <w:r w:rsidRPr="00C83E0A">
        <w:rPr>
          <w:lang w:val="fr-FR"/>
        </w:rPr>
        <w:t xml:space="preserve"> les cadres juridiques et réglementaires des modes extrajudiciaires de règlement des litiges.</w:t>
      </w:r>
    </w:p>
    <w:p w:rsidR="0005781F" w:rsidRPr="00C83E0A" w:rsidRDefault="0096159C" w:rsidP="00B7285D">
      <w:pPr>
        <w:pStyle w:val="ONUMFS"/>
        <w:numPr>
          <w:ilvl w:val="1"/>
          <w:numId w:val="27"/>
        </w:numPr>
        <w:rPr>
          <w:lang w:val="fr-FR"/>
        </w:rPr>
      </w:pPr>
      <w:r w:rsidRPr="00C83E0A">
        <w:rPr>
          <w:lang w:val="fr-FR"/>
        </w:rPr>
        <w:t>La question du droit</w:t>
      </w:r>
      <w:r w:rsidR="00BD2681" w:rsidRPr="00C83E0A">
        <w:rPr>
          <w:lang w:val="fr-FR"/>
        </w:rPr>
        <w:t xml:space="preserve"> applicable</w:t>
      </w:r>
      <w:r w:rsidRPr="00C83E0A">
        <w:rPr>
          <w:lang w:val="fr-FR"/>
        </w:rPr>
        <w:t xml:space="preserve"> et de la juridiction</w:t>
      </w:r>
      <w:r w:rsidR="00BD2681" w:rsidRPr="00C83E0A">
        <w:rPr>
          <w:lang w:val="fr-FR"/>
        </w:rPr>
        <w:t xml:space="preserve"> compétente dans le cas des droits de</w:t>
      </w:r>
      <w:r w:rsidRPr="00C83E0A">
        <w:rPr>
          <w:lang w:val="fr-FR"/>
        </w:rPr>
        <w:t xml:space="preserve"> propriété intellectuelle</w:t>
      </w:r>
    </w:p>
    <w:p w:rsidR="0005781F" w:rsidRPr="00C83E0A" w:rsidRDefault="005B163D" w:rsidP="00B7285D">
      <w:pPr>
        <w:pStyle w:val="ONUMFS"/>
        <w:rPr>
          <w:lang w:val="fr-FR"/>
        </w:rPr>
      </w:pPr>
      <w:r w:rsidRPr="00C83E0A">
        <w:rPr>
          <w:lang w:val="fr-FR"/>
        </w:rPr>
        <w:t>Les droits de propriété intellectuelle sont établis</w:t>
      </w:r>
      <w:r w:rsidR="009267FA" w:rsidRPr="00C83E0A">
        <w:rPr>
          <w:lang w:val="fr-FR"/>
        </w:rPr>
        <w:t xml:space="preserve"> par les</w:t>
      </w:r>
      <w:r w:rsidRPr="00C83E0A">
        <w:rPr>
          <w:lang w:val="fr-FR"/>
        </w:rPr>
        <w:t xml:space="preserve"> législation</w:t>
      </w:r>
      <w:r w:rsidR="009267FA" w:rsidRPr="00C83E0A">
        <w:rPr>
          <w:lang w:val="fr-FR"/>
        </w:rPr>
        <w:t>s</w:t>
      </w:r>
      <w:r w:rsidRPr="00C83E0A">
        <w:rPr>
          <w:lang w:val="fr-FR"/>
        </w:rPr>
        <w:t xml:space="preserve"> nationale</w:t>
      </w:r>
      <w:r w:rsidR="009267FA" w:rsidRPr="00C83E0A">
        <w:rPr>
          <w:lang w:val="fr-FR"/>
        </w:rPr>
        <w:t>s</w:t>
      </w:r>
      <w:r w:rsidRPr="00C83E0A">
        <w:rPr>
          <w:lang w:val="fr-FR"/>
        </w:rPr>
        <w:t xml:space="preserve"> (ou éventuellement régionale</w:t>
      </w:r>
      <w:r w:rsidR="009267FA" w:rsidRPr="00C83E0A">
        <w:rPr>
          <w:lang w:val="fr-FR"/>
        </w:rPr>
        <w:t>s</w:t>
      </w:r>
      <w:r w:rsidRPr="00C83E0A">
        <w:rPr>
          <w:lang w:val="fr-FR"/>
        </w:rPr>
        <w:t>) et</w:t>
      </w:r>
      <w:r w:rsidR="0069625C">
        <w:rPr>
          <w:lang w:val="fr-FR"/>
        </w:rPr>
        <w:t>,</w:t>
      </w:r>
      <w:r w:rsidRPr="00C83E0A">
        <w:rPr>
          <w:lang w:val="fr-FR"/>
        </w:rPr>
        <w:t xml:space="preserve"> par conséquent</w:t>
      </w:r>
      <w:r w:rsidR="0069625C">
        <w:rPr>
          <w:lang w:val="fr-FR"/>
        </w:rPr>
        <w:t>,</w:t>
      </w:r>
      <w:r w:rsidRPr="00C83E0A">
        <w:rPr>
          <w:lang w:val="fr-FR"/>
        </w:rPr>
        <w:t xml:space="preserve"> ils n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ont généralement qu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un effet local (ou régional).  De ce fait, </w:t>
      </w:r>
      <w:r w:rsidR="009267FA" w:rsidRPr="00C83E0A">
        <w:rPr>
          <w:lang w:val="fr-FR"/>
        </w:rPr>
        <w:t xml:space="preserve">il existe </w:t>
      </w:r>
      <w:r w:rsidRPr="00C83E0A">
        <w:rPr>
          <w:lang w:val="fr-FR"/>
        </w:rPr>
        <w:t xml:space="preserve">des droits de propriété intellectuelle parallèles </w:t>
      </w:r>
      <w:r w:rsidR="0069625C">
        <w:rPr>
          <w:lang w:val="fr-FR"/>
        </w:rPr>
        <w:t xml:space="preserve">dans les différentes juridictions </w:t>
      </w:r>
      <w:r w:rsidR="009267FA" w:rsidRPr="00C83E0A">
        <w:rPr>
          <w:lang w:val="fr-FR"/>
        </w:rPr>
        <w:t>car</w:t>
      </w:r>
      <w:r w:rsidRPr="00C83E0A">
        <w:rPr>
          <w:lang w:val="fr-FR"/>
        </w:rPr>
        <w:t xml:space="preserve"> </w:t>
      </w:r>
      <w:r w:rsidR="0069625C">
        <w:rPr>
          <w:lang w:val="fr-FR"/>
        </w:rPr>
        <w:t>celles-ci possèdent</w:t>
      </w:r>
      <w:r w:rsidRPr="00C83E0A">
        <w:rPr>
          <w:lang w:val="fr-FR"/>
        </w:rPr>
        <w:t xml:space="preserve"> chacune leur propre droit de la propriété intellectuelle et leurs propres tribunaux, ainsi que </w:t>
      </w:r>
      <w:r w:rsidR="009267FA" w:rsidRPr="00C83E0A">
        <w:rPr>
          <w:lang w:val="fr-FR"/>
        </w:rPr>
        <w:t>leurs propres</w:t>
      </w:r>
      <w:r w:rsidRPr="00C83E0A">
        <w:rPr>
          <w:lang w:val="fr-FR"/>
        </w:rPr>
        <w:t xml:space="preserve"> offices de la propriété intellectuelle </w:t>
      </w:r>
      <w:r w:rsidR="0069625C">
        <w:rPr>
          <w:lang w:val="fr-FR"/>
        </w:rPr>
        <w:t>devant lesquels</w:t>
      </w:r>
      <w:r w:rsidRPr="00C83E0A">
        <w:rPr>
          <w:lang w:val="fr-FR"/>
        </w:rPr>
        <w:t xml:space="preserve"> ces droits sont appliqués ou </w:t>
      </w:r>
      <w:r w:rsidR="0069625C">
        <w:rPr>
          <w:lang w:val="fr-FR"/>
        </w:rPr>
        <w:t>contestés</w:t>
      </w:r>
      <w:r w:rsidRPr="00C83E0A">
        <w:rPr>
          <w:lang w:val="fr-FR"/>
        </w:rPr>
        <w:t>.</w:t>
      </w:r>
    </w:p>
    <w:p w:rsidR="0005781F" w:rsidRPr="00C83E0A" w:rsidRDefault="001278D0" w:rsidP="00B7285D">
      <w:pPr>
        <w:pStyle w:val="ONUMFS"/>
        <w:rPr>
          <w:lang w:val="fr-FR"/>
        </w:rPr>
      </w:pPr>
      <w:r w:rsidRPr="00C83E0A">
        <w:rPr>
          <w:lang w:val="fr-FR"/>
        </w:rPr>
        <w:lastRenderedPageBreak/>
        <w:t>Du point de vue des procédures, le caractère territorial de la propriété intellectuelle a une incidence majeure sur le règlement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un nombre croissant de litiges de dimensions internationales.  En effet, </w:t>
      </w:r>
      <w:r w:rsidR="00C73154" w:rsidRPr="00C83E0A">
        <w:rPr>
          <w:lang w:val="fr-FR"/>
        </w:rPr>
        <w:t>ces derniers</w:t>
      </w:r>
      <w:r w:rsidRPr="00C83E0A">
        <w:rPr>
          <w:lang w:val="fr-FR"/>
        </w:rPr>
        <w:t xml:space="preserve"> </w:t>
      </w:r>
      <w:r w:rsidR="00775263" w:rsidRPr="00C83E0A">
        <w:rPr>
          <w:lang w:val="fr-FR"/>
        </w:rPr>
        <w:t xml:space="preserve">concernent </w:t>
      </w:r>
      <w:r w:rsidRPr="00C83E0A">
        <w:rPr>
          <w:lang w:val="fr-FR"/>
        </w:rPr>
        <w:t xml:space="preserve">des droits de propriété intellectuelle qui subsistent en parallèle dans de multiples juridictions et sont soumis à des législations différentes.  </w:t>
      </w:r>
      <w:r w:rsidR="00C73154" w:rsidRPr="00C83E0A">
        <w:rPr>
          <w:lang w:val="fr-FR"/>
        </w:rPr>
        <w:t>Ce phénomène est essentiellement le fait de l</w:t>
      </w:r>
      <w:r w:rsidR="00DA520E" w:rsidRPr="00C83E0A">
        <w:rPr>
          <w:lang w:val="fr-FR"/>
        </w:rPr>
        <w:t>’</w:t>
      </w:r>
      <w:r w:rsidR="00C73154" w:rsidRPr="00C83E0A">
        <w:rPr>
          <w:lang w:val="fr-FR"/>
        </w:rPr>
        <w:t>incapacité à régler de tels litiges sur un mode international dont font progressivement preuve les tribunaux des divers</w:t>
      </w:r>
      <w:r w:rsidR="00775263" w:rsidRPr="00C83E0A">
        <w:rPr>
          <w:lang w:val="fr-FR"/>
        </w:rPr>
        <w:t>es organisations juridictionnelles nationales</w:t>
      </w:r>
      <w:r w:rsidR="00977420" w:rsidRPr="00C83E0A">
        <w:rPr>
          <w:lang w:val="fr-FR"/>
        </w:rPr>
        <w:t xml:space="preserve">, incapacité due à </w:t>
      </w:r>
      <w:r w:rsidR="00C73154" w:rsidRPr="00C83E0A">
        <w:rPr>
          <w:lang w:val="fr-FR"/>
        </w:rPr>
        <w:t xml:space="preserve">la nature territoriale </w:t>
      </w:r>
      <w:r w:rsidR="00977420" w:rsidRPr="00C83E0A">
        <w:rPr>
          <w:lang w:val="fr-FR"/>
        </w:rPr>
        <w:t xml:space="preserve">même </w:t>
      </w:r>
      <w:r w:rsidR="00C73154" w:rsidRPr="00C83E0A">
        <w:rPr>
          <w:lang w:val="fr-FR"/>
        </w:rPr>
        <w:t>de ces droits</w:t>
      </w:r>
      <w:r w:rsidR="00977420" w:rsidRPr="00C83E0A">
        <w:rPr>
          <w:lang w:val="fr-FR"/>
        </w:rPr>
        <w:t>.  Ainsi, ces tribunaux se montr</w:t>
      </w:r>
      <w:r w:rsidR="00B44729" w:rsidRPr="00C83E0A">
        <w:rPr>
          <w:lang w:val="fr-FR"/>
        </w:rPr>
        <w:t>ent réticents à se prononcer sur ce type de litiges</w:t>
      </w:r>
      <w:r w:rsidR="00977420" w:rsidRPr="00C83E0A">
        <w:rPr>
          <w:lang w:val="fr-FR"/>
        </w:rPr>
        <w:t>.</w:t>
      </w:r>
    </w:p>
    <w:p w:rsidR="0005781F" w:rsidRPr="00C83E0A" w:rsidRDefault="008474D4" w:rsidP="00B7285D">
      <w:pPr>
        <w:pStyle w:val="ONUMFS"/>
        <w:rPr>
          <w:lang w:val="fr-FR"/>
        </w:rPr>
      </w:pPr>
      <w:r w:rsidRPr="00C83E0A">
        <w:rPr>
          <w:lang w:val="fr-FR"/>
        </w:rPr>
        <w:t>Cela ne constitue</w:t>
      </w:r>
      <w:r w:rsidR="00FA7A4F" w:rsidRPr="00C83E0A">
        <w:rPr>
          <w:lang w:val="fr-FR"/>
        </w:rPr>
        <w:t xml:space="preserve"> pas</w:t>
      </w:r>
      <w:r w:rsidRPr="00C83E0A">
        <w:rPr>
          <w:lang w:val="fr-FR"/>
        </w:rPr>
        <w:t>, toutefois, un obstacle à la mise en place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un arbitrage international en matière de propriété intellectuelle.  En effet, </w:t>
      </w:r>
      <w:r w:rsidR="00B44729" w:rsidRPr="00C83E0A">
        <w:rPr>
          <w:lang w:val="fr-FR"/>
        </w:rPr>
        <w:t>dans ce domaine l</w:t>
      </w:r>
      <w:r w:rsidR="00DA520E" w:rsidRPr="00C83E0A">
        <w:rPr>
          <w:lang w:val="fr-FR"/>
        </w:rPr>
        <w:t>’</w:t>
      </w:r>
      <w:r w:rsidR="00B44729" w:rsidRPr="00C83E0A">
        <w:rPr>
          <w:lang w:val="fr-FR"/>
        </w:rPr>
        <w:t>arbitrage international nécessite de prendre en compte non seulement la loi qui régit la convention d</w:t>
      </w:r>
      <w:r w:rsidR="00DA520E" w:rsidRPr="00C83E0A">
        <w:rPr>
          <w:lang w:val="fr-FR"/>
        </w:rPr>
        <w:t>’</w:t>
      </w:r>
      <w:r w:rsidR="00B44729" w:rsidRPr="00C83E0A">
        <w:rPr>
          <w:lang w:val="fr-FR"/>
        </w:rPr>
        <w:t>arbitrage elle</w:t>
      </w:r>
      <w:r w:rsidR="005521BD" w:rsidRPr="00C83E0A">
        <w:rPr>
          <w:lang w:val="fr-FR"/>
        </w:rPr>
        <w:noBreakHyphen/>
      </w:r>
      <w:r w:rsidR="00B44729" w:rsidRPr="00C83E0A">
        <w:rPr>
          <w:lang w:val="fr-FR"/>
        </w:rPr>
        <w:t xml:space="preserve">même </w:t>
      </w:r>
      <w:r w:rsidR="00775263" w:rsidRPr="00C83E0A">
        <w:rPr>
          <w:lang w:val="fr-FR"/>
        </w:rPr>
        <w:t>et</w:t>
      </w:r>
      <w:r w:rsidR="00B44729" w:rsidRPr="00C83E0A">
        <w:rPr>
          <w:lang w:val="fr-FR"/>
        </w:rPr>
        <w:t xml:space="preserve"> celle dont relève le siège de l</w:t>
      </w:r>
      <w:r w:rsidR="00DA520E" w:rsidRPr="00C83E0A">
        <w:rPr>
          <w:lang w:val="fr-FR"/>
        </w:rPr>
        <w:t>’</w:t>
      </w:r>
      <w:r w:rsidR="00B44729" w:rsidRPr="00C83E0A">
        <w:rPr>
          <w:lang w:val="fr-FR"/>
        </w:rPr>
        <w:t>arbitrage</w:t>
      </w:r>
      <w:r w:rsidR="00775263" w:rsidRPr="00C83E0A">
        <w:rPr>
          <w:lang w:val="fr-FR"/>
        </w:rPr>
        <w:t xml:space="preserve">, </w:t>
      </w:r>
      <w:r w:rsidR="00B44729" w:rsidRPr="00C83E0A">
        <w:rPr>
          <w:lang w:val="fr-FR"/>
        </w:rPr>
        <w:t>mais également la loi applicable au fond du litige.  Il s</w:t>
      </w:r>
      <w:r w:rsidR="00DA520E" w:rsidRPr="00C83E0A">
        <w:rPr>
          <w:lang w:val="fr-FR"/>
        </w:rPr>
        <w:t>’</w:t>
      </w:r>
      <w:r w:rsidR="00B44729" w:rsidRPr="00C83E0A">
        <w:rPr>
          <w:lang w:val="fr-FR"/>
        </w:rPr>
        <w:t xml:space="preserve">agit notamment de la loi ou des lois qui permettront de </w:t>
      </w:r>
      <w:r w:rsidR="00520F8D" w:rsidRPr="00C83E0A">
        <w:rPr>
          <w:lang w:val="fr-FR"/>
        </w:rPr>
        <w:t xml:space="preserve">statuer </w:t>
      </w:r>
      <w:r w:rsidR="00520F8D" w:rsidRPr="009B3F21">
        <w:rPr>
          <w:lang w:val="fr-FR"/>
        </w:rPr>
        <w:t>sur</w:t>
      </w:r>
      <w:r w:rsidR="00B44729" w:rsidRPr="009B3F21">
        <w:rPr>
          <w:lang w:val="fr-FR"/>
        </w:rPr>
        <w:t xml:space="preserve"> le fond du litige, </w:t>
      </w:r>
      <w:r w:rsidR="00DA520E" w:rsidRPr="009B3F21">
        <w:rPr>
          <w:lang w:val="fr-FR"/>
        </w:rPr>
        <w:t>à savoir</w:t>
      </w:r>
      <w:r w:rsidR="00520F8D" w:rsidRPr="009B3F21">
        <w:rPr>
          <w:lang w:val="fr-FR"/>
        </w:rPr>
        <w:t xml:space="preserve"> sur la </w:t>
      </w:r>
      <w:r w:rsidR="00485013" w:rsidRPr="009B3F21">
        <w:rPr>
          <w:lang w:val="fr-FR"/>
        </w:rPr>
        <w:t>contrefaçon ou la validité des</w:t>
      </w:r>
      <w:r w:rsidR="00B44729" w:rsidRPr="009B3F21">
        <w:rPr>
          <w:lang w:val="fr-FR"/>
        </w:rPr>
        <w:t xml:space="preserve"> droit</w:t>
      </w:r>
      <w:r w:rsidR="00485013" w:rsidRPr="009B3F21">
        <w:rPr>
          <w:lang w:val="fr-FR"/>
        </w:rPr>
        <w:t>s</w:t>
      </w:r>
      <w:r w:rsidR="00B44729" w:rsidRPr="009B3F21">
        <w:rPr>
          <w:lang w:val="fr-FR"/>
        </w:rPr>
        <w:t xml:space="preserve"> de propriété</w:t>
      </w:r>
      <w:r w:rsidR="00B44729" w:rsidRPr="00C83E0A">
        <w:rPr>
          <w:lang w:val="fr-FR"/>
        </w:rPr>
        <w:t xml:space="preserve"> intellectuelle </w:t>
      </w:r>
      <w:r w:rsidR="00520F8D" w:rsidRPr="00C83E0A">
        <w:rPr>
          <w:lang w:val="fr-FR"/>
        </w:rPr>
        <w:t>visé</w:t>
      </w:r>
      <w:r w:rsidR="00775263" w:rsidRPr="00C83E0A">
        <w:rPr>
          <w:lang w:val="fr-FR"/>
        </w:rPr>
        <w:t>s</w:t>
      </w:r>
      <w:r w:rsidR="00B44729" w:rsidRPr="00C83E0A">
        <w:rPr>
          <w:lang w:val="fr-FR"/>
        </w:rPr>
        <w:t>.</w:t>
      </w:r>
    </w:p>
    <w:p w:rsidR="0005781F" w:rsidRPr="00C83E0A" w:rsidRDefault="008020B0" w:rsidP="00B7285D">
      <w:pPr>
        <w:pStyle w:val="ONUMFS"/>
        <w:numPr>
          <w:ilvl w:val="1"/>
          <w:numId w:val="28"/>
        </w:numPr>
        <w:rPr>
          <w:lang w:val="fr-FR"/>
        </w:rPr>
      </w:pPr>
      <w:r w:rsidRPr="00C83E0A">
        <w:rPr>
          <w:lang w:val="fr-FR"/>
        </w:rPr>
        <w:t xml:space="preserve">La force exécutoire </w:t>
      </w:r>
      <w:r w:rsidR="007E26CD" w:rsidRPr="00C83E0A">
        <w:rPr>
          <w:lang w:val="fr-FR"/>
        </w:rPr>
        <w:t xml:space="preserve">internationale </w:t>
      </w:r>
      <w:r w:rsidR="00D91BB7" w:rsidRPr="00C83E0A">
        <w:rPr>
          <w:lang w:val="fr-FR"/>
        </w:rPr>
        <w:t>des sentences arbitrales</w:t>
      </w:r>
    </w:p>
    <w:p w:rsidR="0005781F" w:rsidRPr="00C83E0A" w:rsidRDefault="00080C77" w:rsidP="00B7285D">
      <w:pPr>
        <w:pStyle w:val="ONUMFS"/>
        <w:rPr>
          <w:lang w:val="fr-FR"/>
        </w:rPr>
      </w:pPr>
      <w:r w:rsidRPr="00C83E0A">
        <w:rPr>
          <w:lang w:val="fr-FR"/>
        </w:rPr>
        <w:t xml:space="preserve">Parmi les divers modes </w:t>
      </w:r>
      <w:r w:rsidR="007E26CD" w:rsidRPr="00C83E0A">
        <w:rPr>
          <w:lang w:val="fr-FR"/>
        </w:rPr>
        <w:t xml:space="preserve">susmentionnés </w:t>
      </w:r>
      <w:r w:rsidRPr="00C83E0A">
        <w:rPr>
          <w:lang w:val="fr-FR"/>
        </w:rPr>
        <w:t>de règlement extrajudic</w:t>
      </w:r>
      <w:r w:rsidR="007E26CD" w:rsidRPr="00C83E0A">
        <w:rPr>
          <w:lang w:val="fr-FR"/>
        </w:rPr>
        <w:t>iaires des litiges</w:t>
      </w:r>
      <w:r w:rsidRPr="00C83E0A">
        <w:rPr>
          <w:lang w:val="fr-FR"/>
        </w:rPr>
        <w:t>, seul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peut être considéré comme doté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un cadre </w:t>
      </w:r>
      <w:r w:rsidR="00560369" w:rsidRPr="00C83E0A">
        <w:rPr>
          <w:lang w:val="fr-FR"/>
        </w:rPr>
        <w:t>réglementaire</w:t>
      </w:r>
      <w:r w:rsidRPr="00C83E0A">
        <w:rPr>
          <w:lang w:val="fr-FR"/>
        </w:rPr>
        <w:t xml:space="preserve"> international</w:t>
      </w:r>
      <w:r w:rsidR="00FA7A4F" w:rsidRPr="00C83E0A">
        <w:rPr>
          <w:lang w:val="fr-FR"/>
        </w:rPr>
        <w:t xml:space="preserve"> véritablement établi, conférant force exécutoire aux sentences arbitrales étrangères, et ce, au niveau local.  Par contraste, il n</w:t>
      </w:r>
      <w:r w:rsidR="00DA520E" w:rsidRPr="00C83E0A">
        <w:rPr>
          <w:lang w:val="fr-FR"/>
        </w:rPr>
        <w:t>’</w:t>
      </w:r>
      <w:r w:rsidR="00FA7A4F" w:rsidRPr="00C83E0A">
        <w:rPr>
          <w:lang w:val="fr-FR"/>
        </w:rPr>
        <w:t>existe aucune convention internationale qui confère force exécutoire</w:t>
      </w:r>
      <w:r w:rsidR="007E26CD" w:rsidRPr="00C83E0A">
        <w:rPr>
          <w:lang w:val="fr-FR"/>
        </w:rPr>
        <w:t>,</w:t>
      </w:r>
      <w:r w:rsidR="00FA7A4F" w:rsidRPr="00C83E0A">
        <w:rPr>
          <w:lang w:val="fr-FR"/>
        </w:rPr>
        <w:t xml:space="preserve"> au niveau local, aux jugements rendus par les juridictions étrangères.</w:t>
      </w:r>
    </w:p>
    <w:p w:rsidR="0005781F" w:rsidRPr="00C83E0A" w:rsidRDefault="00322A8E" w:rsidP="00B7285D">
      <w:pPr>
        <w:pStyle w:val="ONUMFS"/>
        <w:rPr>
          <w:lang w:val="fr-FR"/>
        </w:rPr>
      </w:pPr>
      <w:r w:rsidRPr="00C83E0A">
        <w:rPr>
          <w:lang w:val="fr-FR"/>
        </w:rPr>
        <w:t>Dans la pratique, selon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expérience du Centre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et de médiation de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OMPI, la majorité des sentences arbitrales sont exécutées spontanément par les parties.  Toutefois, lorsque tel n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est pas le cas, les parties n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ont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autre recours que de se tourner vers les tribunaux des </w:t>
      </w:r>
      <w:r w:rsidR="007E26CD" w:rsidRPr="00C83E0A">
        <w:rPr>
          <w:lang w:val="fr-FR"/>
        </w:rPr>
        <w:t>organisations juridictionnelles nationales</w:t>
      </w:r>
      <w:r w:rsidRPr="00C83E0A">
        <w:rPr>
          <w:lang w:val="fr-FR"/>
        </w:rPr>
        <w:t xml:space="preserve"> des pays dans lesquels elles cherchent à faire exécuter la sentence arbitrale.  Elles peuvent se fonder sur le cadre juridique international uniforme établi par la </w:t>
      </w:r>
      <w:r w:rsidR="0060626D">
        <w:rPr>
          <w:lang w:val="fr-FR"/>
        </w:rPr>
        <w:t>C</w:t>
      </w:r>
      <w:r w:rsidRPr="00C83E0A">
        <w:rPr>
          <w:lang w:val="fr-FR"/>
        </w:rPr>
        <w:t>onvention de New</w:t>
      </w:r>
      <w:r w:rsidR="0060626D">
        <w:rPr>
          <w:lang w:val="fr-FR"/>
        </w:rPr>
        <w:t> </w:t>
      </w:r>
      <w:r w:rsidRPr="00C83E0A">
        <w:rPr>
          <w:lang w:val="fr-FR"/>
        </w:rPr>
        <w:t xml:space="preserve">York pour faire exécuter les sentences arbitrales </w:t>
      </w:r>
      <w:r w:rsidR="00F82E2D" w:rsidRPr="00C83E0A">
        <w:rPr>
          <w:lang w:val="fr-FR"/>
        </w:rPr>
        <w:t>étrangères</w:t>
      </w:r>
      <w:r w:rsidRPr="00C83E0A">
        <w:rPr>
          <w:lang w:val="fr-FR"/>
        </w:rPr>
        <w:t>, et notamment, lorsqu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il s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agit de sentences devant être exécutées dans un État autre que celui dans lequel </w:t>
      </w:r>
      <w:r w:rsidR="00F82E2D" w:rsidRPr="00C83E0A">
        <w:rPr>
          <w:lang w:val="fr-FR"/>
        </w:rPr>
        <w:t>la sentence a été rendue</w:t>
      </w:r>
      <w:r w:rsidRPr="00C83E0A">
        <w:rPr>
          <w:lang w:val="fr-FR"/>
        </w:rPr>
        <w:t xml:space="preserve">. </w:t>
      </w:r>
      <w:r w:rsidR="00E270B8" w:rsidRPr="00C83E0A">
        <w:rPr>
          <w:lang w:val="fr-FR"/>
        </w:rPr>
        <w:t xml:space="preserve"> Un tribunal saisi pour </w:t>
      </w:r>
      <w:r w:rsidR="007E26CD" w:rsidRPr="00C83E0A">
        <w:rPr>
          <w:lang w:val="fr-FR"/>
        </w:rPr>
        <w:t>assurer</w:t>
      </w:r>
      <w:r w:rsidR="00E270B8" w:rsidRPr="00C83E0A">
        <w:rPr>
          <w:lang w:val="fr-FR"/>
        </w:rPr>
        <w:t xml:space="preserve"> l</w:t>
      </w:r>
      <w:r w:rsidR="00DA520E" w:rsidRPr="00C83E0A">
        <w:rPr>
          <w:lang w:val="fr-FR"/>
        </w:rPr>
        <w:t>’</w:t>
      </w:r>
      <w:r w:rsidR="00E270B8" w:rsidRPr="00C83E0A">
        <w:rPr>
          <w:lang w:val="fr-FR"/>
        </w:rPr>
        <w:t>exécution d</w:t>
      </w:r>
      <w:r w:rsidR="00DA520E" w:rsidRPr="00C83E0A">
        <w:rPr>
          <w:lang w:val="fr-FR"/>
        </w:rPr>
        <w:t>’</w:t>
      </w:r>
      <w:r w:rsidR="00E270B8" w:rsidRPr="00C83E0A">
        <w:rPr>
          <w:lang w:val="fr-FR"/>
        </w:rPr>
        <w:t xml:space="preserve">une sentence en vertu de la Convention de New York ne peut généralement pas </w:t>
      </w:r>
      <w:r w:rsidR="007E26CD" w:rsidRPr="00C83E0A">
        <w:rPr>
          <w:lang w:val="fr-FR"/>
        </w:rPr>
        <w:t>statuer sur</w:t>
      </w:r>
      <w:r w:rsidR="00E270B8" w:rsidRPr="00C83E0A">
        <w:rPr>
          <w:lang w:val="fr-FR"/>
        </w:rPr>
        <w:t xml:space="preserve"> le fond de ladite sentence, mais ne peut que refuser la reconnaissance et l</w:t>
      </w:r>
      <w:r w:rsidR="00DA520E" w:rsidRPr="00C83E0A">
        <w:rPr>
          <w:lang w:val="fr-FR"/>
        </w:rPr>
        <w:t>’</w:t>
      </w:r>
      <w:r w:rsidR="00E270B8" w:rsidRPr="00C83E0A">
        <w:rPr>
          <w:lang w:val="fr-FR"/>
        </w:rPr>
        <w:t>exécution en se fondant sur l</w:t>
      </w:r>
      <w:r w:rsidR="00DA520E" w:rsidRPr="00C83E0A">
        <w:rPr>
          <w:lang w:val="fr-FR"/>
        </w:rPr>
        <w:t>’</w:t>
      </w:r>
      <w:r w:rsidR="00E270B8" w:rsidRPr="00C83E0A">
        <w:rPr>
          <w:lang w:val="fr-FR"/>
        </w:rPr>
        <w:t>un des motifs suivants stipulés dans l</w:t>
      </w:r>
      <w:r w:rsidR="00DA520E" w:rsidRPr="00C83E0A">
        <w:rPr>
          <w:lang w:val="fr-FR"/>
        </w:rPr>
        <w:t>’</w:t>
      </w:r>
      <w:r w:rsidR="00E270B8" w:rsidRPr="00C83E0A">
        <w:rPr>
          <w:lang w:val="fr-FR"/>
        </w:rPr>
        <w:t>article V de la Convention.</w:t>
      </w:r>
    </w:p>
    <w:p w:rsidR="0005781F" w:rsidRPr="00C83E0A" w:rsidRDefault="006E3634" w:rsidP="00B7285D">
      <w:pPr>
        <w:pStyle w:val="ONUMFS"/>
        <w:numPr>
          <w:ilvl w:val="1"/>
          <w:numId w:val="29"/>
        </w:numPr>
        <w:rPr>
          <w:lang w:val="fr-FR"/>
        </w:rPr>
      </w:pPr>
      <w:r w:rsidRPr="00C83E0A">
        <w:rPr>
          <w:lang w:val="fr-FR"/>
        </w:rPr>
        <w:t>Les points de vue</w:t>
      </w:r>
      <w:r w:rsidR="00BD2D53" w:rsidRPr="00C83E0A">
        <w:rPr>
          <w:lang w:val="fr-FR"/>
        </w:rPr>
        <w:t xml:space="preserve"> de divers États</w:t>
      </w:r>
      <w:r w:rsidRPr="00C83E0A">
        <w:rPr>
          <w:lang w:val="fr-FR"/>
        </w:rPr>
        <w:t xml:space="preserve"> sur l</w:t>
      </w:r>
      <w:r w:rsidR="00DA520E" w:rsidRPr="00C83E0A">
        <w:rPr>
          <w:lang w:val="fr-FR"/>
        </w:rPr>
        <w:t>’</w:t>
      </w:r>
      <w:proofErr w:type="spellStart"/>
      <w:r w:rsidRPr="00C83E0A">
        <w:rPr>
          <w:lang w:val="fr-FR"/>
        </w:rPr>
        <w:t>arbitrabilité</w:t>
      </w:r>
      <w:proofErr w:type="spellEnd"/>
      <w:r w:rsidRPr="00C83E0A">
        <w:rPr>
          <w:lang w:val="fr-FR"/>
        </w:rPr>
        <w:t xml:space="preserve"> de la propriété intellectuelle</w:t>
      </w:r>
    </w:p>
    <w:p w:rsidR="0005781F" w:rsidRPr="00C83E0A" w:rsidRDefault="00F87A09" w:rsidP="00B7285D">
      <w:pPr>
        <w:pStyle w:val="ONUMFS"/>
        <w:rPr>
          <w:lang w:val="fr-FR"/>
        </w:rPr>
      </w:pPr>
      <w:r w:rsidRPr="00C83E0A">
        <w:rPr>
          <w:lang w:val="fr-FR"/>
        </w:rPr>
        <w:t>Les</w:t>
      </w:r>
      <w:r w:rsidR="009F5C5A" w:rsidRPr="00C83E0A">
        <w:rPr>
          <w:lang w:val="fr-FR"/>
        </w:rPr>
        <w:t xml:space="preserve"> </w:t>
      </w:r>
      <w:r w:rsidR="00FB455E" w:rsidRPr="00C83E0A">
        <w:rPr>
          <w:lang w:val="fr-FR"/>
        </w:rPr>
        <w:t>législation</w:t>
      </w:r>
      <w:r w:rsidRPr="00C83E0A">
        <w:rPr>
          <w:lang w:val="fr-FR"/>
        </w:rPr>
        <w:t>s</w:t>
      </w:r>
      <w:r w:rsidR="009F5C5A" w:rsidRPr="00C83E0A">
        <w:rPr>
          <w:lang w:val="fr-FR"/>
        </w:rPr>
        <w:t xml:space="preserve"> relative</w:t>
      </w:r>
      <w:r w:rsidRPr="00C83E0A">
        <w:rPr>
          <w:lang w:val="fr-FR"/>
        </w:rPr>
        <w:t>s</w:t>
      </w:r>
      <w:r w:rsidR="009F5C5A" w:rsidRPr="00C83E0A">
        <w:rPr>
          <w:lang w:val="fr-FR"/>
        </w:rPr>
        <w:t xml:space="preserve"> à la propriété intellectuelle de la majorité des juridictions nationales ne contiennent aucune disposition concernant la relation entre la propriété intellectuelle et l</w:t>
      </w:r>
      <w:r w:rsidR="00DA520E" w:rsidRPr="00C83E0A">
        <w:rPr>
          <w:lang w:val="fr-FR"/>
        </w:rPr>
        <w:t>’</w:t>
      </w:r>
      <w:r w:rsidR="009F5C5A" w:rsidRPr="00C83E0A">
        <w:rPr>
          <w:lang w:val="fr-FR"/>
        </w:rPr>
        <w:t>arbitrage.  Il existe néanmoins quelques lois nationales, ou régionales, qui reconnaissent de manière spécifique l</w:t>
      </w:r>
      <w:r w:rsidR="00DA520E" w:rsidRPr="00C83E0A">
        <w:rPr>
          <w:lang w:val="fr-FR"/>
        </w:rPr>
        <w:t>’</w:t>
      </w:r>
      <w:r w:rsidR="009F5C5A" w:rsidRPr="00C83E0A">
        <w:rPr>
          <w:lang w:val="fr-FR"/>
        </w:rPr>
        <w:t xml:space="preserve">arbitrage en matière de propriété intellectuelle.  </w:t>
      </w:r>
      <w:r w:rsidR="00866A41" w:rsidRPr="00C83E0A">
        <w:rPr>
          <w:lang w:val="fr-FR"/>
        </w:rPr>
        <w:t>Ainsi, les États</w:t>
      </w:r>
      <w:r w:rsidR="005521BD" w:rsidRPr="00C83E0A">
        <w:rPr>
          <w:lang w:val="fr-FR"/>
        </w:rPr>
        <w:noBreakHyphen/>
      </w:r>
      <w:r w:rsidR="00866A41" w:rsidRPr="00C83E0A">
        <w:rPr>
          <w:lang w:val="fr-FR"/>
        </w:rPr>
        <w:t>Unis d</w:t>
      </w:r>
      <w:r w:rsidR="00DA520E" w:rsidRPr="00C83E0A">
        <w:rPr>
          <w:lang w:val="fr-FR"/>
        </w:rPr>
        <w:t>’</w:t>
      </w:r>
      <w:r w:rsidR="00866A41" w:rsidRPr="00C83E0A">
        <w:rPr>
          <w:lang w:val="fr-FR"/>
        </w:rPr>
        <w:t xml:space="preserve">Amérique reconnaissent la possibilité de régler les litiges relatifs aux brevets américains </w:t>
      </w:r>
      <w:r w:rsidR="00354069" w:rsidRPr="00C83E0A">
        <w:rPr>
          <w:lang w:val="fr-FR"/>
        </w:rPr>
        <w:t>par voie d</w:t>
      </w:r>
      <w:r w:rsidR="00DA520E" w:rsidRPr="00C83E0A">
        <w:rPr>
          <w:lang w:val="fr-FR"/>
        </w:rPr>
        <w:t>’</w:t>
      </w:r>
      <w:r w:rsidR="00354069" w:rsidRPr="00C83E0A">
        <w:rPr>
          <w:lang w:val="fr-FR"/>
        </w:rPr>
        <w:t xml:space="preserve">arbitrage, toutefois uniquement avec un effet </w:t>
      </w:r>
      <w:r w:rsidR="00354069" w:rsidRPr="00C83E0A">
        <w:rPr>
          <w:i/>
          <w:lang w:val="fr-FR"/>
        </w:rPr>
        <w:t>inter</w:t>
      </w:r>
      <w:r w:rsidR="000D0F84">
        <w:rPr>
          <w:i/>
          <w:lang w:val="fr-FR"/>
        </w:rPr>
        <w:t> </w:t>
      </w:r>
      <w:r w:rsidR="00354069" w:rsidRPr="00C83E0A">
        <w:rPr>
          <w:i/>
          <w:lang w:val="fr-FR"/>
        </w:rPr>
        <w:t>partes</w:t>
      </w:r>
      <w:r w:rsidR="00354069" w:rsidRPr="00C83E0A">
        <w:rPr>
          <w:lang w:val="fr-FR"/>
        </w:rPr>
        <w:t>.</w:t>
      </w:r>
      <w:r w:rsidR="00866A41" w:rsidRPr="00C83E0A">
        <w:rPr>
          <w:lang w:val="fr-FR"/>
        </w:rPr>
        <w:t xml:space="preserve">  </w:t>
      </w:r>
      <w:r w:rsidR="0072437B" w:rsidRPr="00C83E0A">
        <w:rPr>
          <w:lang w:val="fr-FR"/>
        </w:rPr>
        <w:t>Dans l</w:t>
      </w:r>
      <w:r w:rsidR="00DA520E" w:rsidRPr="00C83E0A">
        <w:rPr>
          <w:lang w:val="fr-FR"/>
        </w:rPr>
        <w:t>’</w:t>
      </w:r>
      <w:r w:rsidR="0072437B" w:rsidRPr="00C83E0A">
        <w:rPr>
          <w:lang w:val="fr-FR"/>
        </w:rPr>
        <w:t>Union européenne, l</w:t>
      </w:r>
      <w:r w:rsidR="00DA520E" w:rsidRPr="00C83E0A">
        <w:rPr>
          <w:lang w:val="fr-FR"/>
        </w:rPr>
        <w:t>’</w:t>
      </w:r>
      <w:r w:rsidR="00433441" w:rsidRPr="00C83E0A">
        <w:rPr>
          <w:lang w:val="fr-FR"/>
        </w:rPr>
        <w:t>Accord relatif à une juridiction unifiée du brevet a reconnu la possibilité de régler les litiges relatifs aux brevets</w:t>
      </w:r>
      <w:r w:rsidR="0010754E" w:rsidRPr="00C83E0A">
        <w:rPr>
          <w:lang w:val="fr-FR"/>
        </w:rPr>
        <w:t xml:space="preserve"> en instituant un centre de médiation et d</w:t>
      </w:r>
      <w:r w:rsidR="00DA520E" w:rsidRPr="00C83E0A">
        <w:rPr>
          <w:lang w:val="fr-FR"/>
        </w:rPr>
        <w:t>’</w:t>
      </w:r>
      <w:r w:rsidR="0010754E" w:rsidRPr="00C83E0A">
        <w:rPr>
          <w:lang w:val="fr-FR"/>
        </w:rPr>
        <w:t xml:space="preserve">arbitrage en matière de brevets, lequel centre </w:t>
      </w:r>
      <w:r w:rsidR="000E2599" w:rsidRPr="00C83E0A">
        <w:rPr>
          <w:lang w:val="fr-FR"/>
        </w:rPr>
        <w:t>“</w:t>
      </w:r>
      <w:r w:rsidR="0010754E" w:rsidRPr="00C83E0A">
        <w:rPr>
          <w:lang w:val="fr-FR"/>
        </w:rPr>
        <w:t>fournit des services de médiation et d</w:t>
      </w:r>
      <w:r w:rsidR="00DA520E" w:rsidRPr="00C83E0A">
        <w:rPr>
          <w:lang w:val="fr-FR"/>
        </w:rPr>
        <w:t>’</w:t>
      </w:r>
      <w:r w:rsidR="0010754E" w:rsidRPr="00C83E0A">
        <w:rPr>
          <w:lang w:val="fr-FR"/>
        </w:rPr>
        <w:t>arbitrage des litiges en matière de brevets qui relèvent du champ d</w:t>
      </w:r>
      <w:r w:rsidR="00DA520E" w:rsidRPr="00C83E0A">
        <w:rPr>
          <w:lang w:val="fr-FR"/>
        </w:rPr>
        <w:t>’</w:t>
      </w:r>
      <w:r w:rsidR="0010754E" w:rsidRPr="00C83E0A">
        <w:rPr>
          <w:lang w:val="fr-FR"/>
        </w:rPr>
        <w:t>application du présent accord</w:t>
      </w:r>
      <w:r w:rsidR="005521BD" w:rsidRPr="00C83E0A">
        <w:rPr>
          <w:lang w:val="fr-FR"/>
        </w:rPr>
        <w:t>”.</w:t>
      </w:r>
      <w:r w:rsidR="0010754E" w:rsidRPr="00C83E0A">
        <w:rPr>
          <w:lang w:val="fr-FR"/>
        </w:rPr>
        <w:t xml:space="preserve">  Le droit belge va plus loin car il prévoit l</w:t>
      </w:r>
      <w:r w:rsidR="00DA520E" w:rsidRPr="00C83E0A">
        <w:rPr>
          <w:lang w:val="fr-FR"/>
        </w:rPr>
        <w:t>’</w:t>
      </w:r>
      <w:r w:rsidR="0010754E" w:rsidRPr="00C83E0A">
        <w:rPr>
          <w:lang w:val="fr-FR"/>
        </w:rPr>
        <w:t xml:space="preserve">arbitrage pour les litiges relatifs aux brevets mais </w:t>
      </w:r>
      <w:r w:rsidR="00560369" w:rsidRPr="00C83E0A">
        <w:rPr>
          <w:lang w:val="fr-FR"/>
        </w:rPr>
        <w:t>reconnaît</w:t>
      </w:r>
      <w:r w:rsidR="0010754E" w:rsidRPr="00C83E0A">
        <w:rPr>
          <w:lang w:val="fr-FR"/>
        </w:rPr>
        <w:t xml:space="preserve"> expressément que ce mode de règlement peut avoir un effet </w:t>
      </w:r>
      <w:proofErr w:type="spellStart"/>
      <w:r w:rsidR="00811BEB">
        <w:rPr>
          <w:i/>
          <w:lang w:val="fr-FR"/>
        </w:rPr>
        <w:t>erga</w:t>
      </w:r>
      <w:proofErr w:type="spellEnd"/>
      <w:r w:rsidR="00811BEB">
        <w:rPr>
          <w:i/>
          <w:lang w:val="fr-FR"/>
        </w:rPr>
        <w:t> </w:t>
      </w:r>
      <w:proofErr w:type="spellStart"/>
      <w:r w:rsidR="0010754E" w:rsidRPr="00C83E0A">
        <w:rPr>
          <w:i/>
          <w:lang w:val="fr-FR"/>
        </w:rPr>
        <w:t>omnes</w:t>
      </w:r>
      <w:proofErr w:type="spellEnd"/>
      <w:r w:rsidR="0010754E" w:rsidRPr="00C83E0A">
        <w:rPr>
          <w:lang w:val="fr-FR"/>
        </w:rPr>
        <w:t xml:space="preserve">. </w:t>
      </w:r>
      <w:r w:rsidR="00FB455E" w:rsidRPr="00C83E0A">
        <w:rPr>
          <w:lang w:val="fr-FR"/>
        </w:rPr>
        <w:t xml:space="preserve"> Le droit suisse va lui, encore plus loin, car il applique cette approche à tous les droits de la propriété intellectuelle de manière générale.</w:t>
      </w:r>
    </w:p>
    <w:p w:rsidR="0005781F" w:rsidRPr="00C83E0A" w:rsidRDefault="00695141" w:rsidP="00B7285D">
      <w:pPr>
        <w:pStyle w:val="ONUMFS"/>
        <w:rPr>
          <w:lang w:val="fr-FR"/>
        </w:rPr>
      </w:pPr>
      <w:r w:rsidRPr="00C83E0A">
        <w:rPr>
          <w:lang w:val="fr-FR"/>
        </w:rPr>
        <w:t>En ce qui concerne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arbitrage en matière de propriété intellectuelle, bon nombre de commentateurs juridiques se sont </w:t>
      </w:r>
      <w:r w:rsidR="0019208D" w:rsidRPr="00C83E0A">
        <w:rPr>
          <w:lang w:val="fr-FR"/>
        </w:rPr>
        <w:t>lancés</w:t>
      </w:r>
      <w:r w:rsidRPr="00C83E0A">
        <w:rPr>
          <w:lang w:val="fr-FR"/>
        </w:rPr>
        <w:t xml:space="preserve"> dans un débat sur la question de l</w:t>
      </w:r>
      <w:r w:rsidR="00DA520E" w:rsidRPr="00C83E0A">
        <w:rPr>
          <w:lang w:val="fr-FR"/>
        </w:rPr>
        <w:t>’</w:t>
      </w:r>
      <w:proofErr w:type="spellStart"/>
      <w:r w:rsidRPr="00C83E0A">
        <w:rPr>
          <w:lang w:val="fr-FR"/>
        </w:rPr>
        <w:t>arbitrabilité</w:t>
      </w:r>
      <w:proofErr w:type="spellEnd"/>
      <w:r w:rsidRPr="00C83E0A">
        <w:rPr>
          <w:lang w:val="fr-FR"/>
        </w:rPr>
        <w:t xml:space="preserve"> de la propriété intellectuelle.  Dans ce débat, certains auteurs ont remis en question la mesure dans </w:t>
      </w:r>
      <w:r w:rsidRPr="00C83E0A">
        <w:rPr>
          <w:lang w:val="fr-FR"/>
        </w:rPr>
        <w:lastRenderedPageBreak/>
        <w:t>laquelle les droits de la propriété intellectuelle peuvent faire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objet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arbitrage.  Il s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agit là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une question cruciale, car si les droits de la propriété intellectuelle constituent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objet de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arbitrage, ledit objet de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ne peut pas constitue</w:t>
      </w:r>
      <w:r w:rsidR="003D67E1" w:rsidRPr="00C83E0A">
        <w:rPr>
          <w:lang w:val="fr-FR"/>
        </w:rPr>
        <w:t>r également</w:t>
      </w:r>
      <w:r w:rsidRPr="00C83E0A">
        <w:rPr>
          <w:lang w:val="fr-FR"/>
        </w:rPr>
        <w:t xml:space="preserve">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objet de la sentence arbitrale, qui ne peut alors pas être exécutée.  Ce sujet </w:t>
      </w:r>
      <w:r w:rsidR="003D67E1" w:rsidRPr="00C83E0A">
        <w:rPr>
          <w:lang w:val="fr-FR"/>
        </w:rPr>
        <w:t>représente</w:t>
      </w:r>
      <w:r w:rsidRPr="00C83E0A">
        <w:rPr>
          <w:lang w:val="fr-FR"/>
        </w:rPr>
        <w:t xml:space="preserve"> une question que nombre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auteurs estiment particulièrement problématique, notamment dans le cas des brevets, où ces droits de propriété </w:t>
      </w:r>
      <w:r w:rsidR="0019208D" w:rsidRPr="00C83E0A">
        <w:rPr>
          <w:lang w:val="fr-FR"/>
        </w:rPr>
        <w:t>intellectuelle</w:t>
      </w:r>
      <w:r w:rsidR="001A2320" w:rsidRPr="00C83E0A">
        <w:rPr>
          <w:lang w:val="fr-FR"/>
        </w:rPr>
        <w:t xml:space="preserve"> sont </w:t>
      </w:r>
      <w:r w:rsidR="00D95101" w:rsidRPr="00C83E0A">
        <w:rPr>
          <w:lang w:val="fr-FR"/>
        </w:rPr>
        <w:t>enregistrés</w:t>
      </w:r>
      <w:r w:rsidR="001A2320" w:rsidRPr="00C83E0A">
        <w:rPr>
          <w:lang w:val="fr-FR"/>
        </w:rPr>
        <w:t xml:space="preserve"> par, ou aup</w:t>
      </w:r>
      <w:r w:rsidRPr="00C83E0A">
        <w:rPr>
          <w:lang w:val="fr-FR"/>
        </w:rPr>
        <w:t>rès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office national de la propriété intellectuelle</w:t>
      </w:r>
      <w:r w:rsidR="001A2320" w:rsidRPr="00C83E0A">
        <w:rPr>
          <w:lang w:val="fr-FR"/>
        </w:rPr>
        <w:t xml:space="preserve"> et constituent en effet un monopole accordé par l</w:t>
      </w:r>
      <w:r w:rsidR="00DA520E" w:rsidRPr="00C83E0A">
        <w:rPr>
          <w:lang w:val="fr-FR"/>
        </w:rPr>
        <w:t>’</w:t>
      </w:r>
      <w:r w:rsidR="001A2320" w:rsidRPr="00C83E0A">
        <w:rPr>
          <w:lang w:val="fr-FR"/>
        </w:rPr>
        <w:t xml:space="preserve">État.  </w:t>
      </w:r>
      <w:r w:rsidR="00522DCD" w:rsidRPr="00C83E0A">
        <w:rPr>
          <w:lang w:val="fr-FR"/>
        </w:rPr>
        <w:t xml:space="preserve">Force est ainsi de constater que les sentences arbitrales relatives aux droits de propriété intellectuelle ne peuvent pas avoir un effet </w:t>
      </w:r>
      <w:proofErr w:type="spellStart"/>
      <w:r w:rsidR="00522DCD" w:rsidRPr="00C83E0A">
        <w:rPr>
          <w:i/>
          <w:lang w:val="fr-FR"/>
        </w:rPr>
        <w:t>erga</w:t>
      </w:r>
      <w:proofErr w:type="spellEnd"/>
      <w:r w:rsidR="00811BEB">
        <w:rPr>
          <w:i/>
          <w:lang w:val="fr-FR"/>
        </w:rPr>
        <w:t> </w:t>
      </w:r>
      <w:proofErr w:type="spellStart"/>
      <w:r w:rsidR="00522DCD" w:rsidRPr="00C83E0A">
        <w:rPr>
          <w:i/>
          <w:lang w:val="fr-FR"/>
        </w:rPr>
        <w:t>omnes</w:t>
      </w:r>
      <w:proofErr w:type="spellEnd"/>
      <w:r w:rsidR="00522DCD" w:rsidRPr="00C83E0A">
        <w:rPr>
          <w:lang w:val="fr-FR"/>
        </w:rPr>
        <w:t>, c</w:t>
      </w:r>
      <w:r w:rsidR="00DA520E" w:rsidRPr="00C83E0A">
        <w:rPr>
          <w:lang w:val="fr-FR"/>
        </w:rPr>
        <w:t>’</w:t>
      </w:r>
      <w:r w:rsidR="00522DCD" w:rsidRPr="00C83E0A">
        <w:rPr>
          <w:lang w:val="fr-FR"/>
        </w:rPr>
        <w:t>est</w:t>
      </w:r>
      <w:r w:rsidR="005521BD" w:rsidRPr="00C83E0A">
        <w:rPr>
          <w:lang w:val="fr-FR"/>
        </w:rPr>
        <w:noBreakHyphen/>
      </w:r>
      <w:r w:rsidR="00522DCD" w:rsidRPr="00C83E0A">
        <w:rPr>
          <w:lang w:val="fr-FR"/>
        </w:rPr>
        <w:t>à</w:t>
      </w:r>
      <w:r w:rsidR="005521BD" w:rsidRPr="00C83E0A">
        <w:rPr>
          <w:lang w:val="fr-FR"/>
        </w:rPr>
        <w:noBreakHyphen/>
      </w:r>
      <w:r w:rsidR="00522DCD" w:rsidRPr="00C83E0A">
        <w:rPr>
          <w:lang w:val="fr-FR"/>
        </w:rPr>
        <w:t>dire contraignant pour tous les États, à l</w:t>
      </w:r>
      <w:r w:rsidR="00DA520E" w:rsidRPr="00C83E0A">
        <w:rPr>
          <w:lang w:val="fr-FR"/>
        </w:rPr>
        <w:t>’</w:t>
      </w:r>
      <w:r w:rsidR="00522DCD" w:rsidRPr="00C83E0A">
        <w:rPr>
          <w:lang w:val="fr-FR"/>
        </w:rPr>
        <w:t xml:space="preserve">exception de quelques cas en Belgique et en Suisse.  Néanmoins, cela ne doit pas avoir de conséquence quelconque sur leur effet </w:t>
      </w:r>
      <w:r w:rsidR="00522DCD" w:rsidRPr="00C83E0A">
        <w:rPr>
          <w:i/>
          <w:lang w:val="fr-FR"/>
        </w:rPr>
        <w:t>inter</w:t>
      </w:r>
      <w:r w:rsidR="00811BEB">
        <w:rPr>
          <w:i/>
          <w:lang w:val="fr-FR"/>
        </w:rPr>
        <w:t> </w:t>
      </w:r>
      <w:r w:rsidR="00522DCD" w:rsidRPr="00C83E0A">
        <w:rPr>
          <w:i/>
          <w:lang w:val="fr-FR"/>
        </w:rPr>
        <w:t>partes</w:t>
      </w:r>
      <w:r w:rsidR="00522DCD" w:rsidRPr="00C83E0A">
        <w:rPr>
          <w:lang w:val="fr-FR"/>
        </w:rPr>
        <w:t>, c</w:t>
      </w:r>
      <w:r w:rsidR="00DA520E" w:rsidRPr="00C83E0A">
        <w:rPr>
          <w:lang w:val="fr-FR"/>
        </w:rPr>
        <w:t>’</w:t>
      </w:r>
      <w:r w:rsidR="00522DCD" w:rsidRPr="00C83E0A">
        <w:rPr>
          <w:lang w:val="fr-FR"/>
        </w:rPr>
        <w:t>est</w:t>
      </w:r>
      <w:r w:rsidR="005521BD" w:rsidRPr="00C83E0A">
        <w:rPr>
          <w:lang w:val="fr-FR"/>
        </w:rPr>
        <w:noBreakHyphen/>
      </w:r>
      <w:r w:rsidR="00522DCD" w:rsidRPr="00C83E0A">
        <w:rPr>
          <w:lang w:val="fr-FR"/>
        </w:rPr>
        <w:t>à</w:t>
      </w:r>
      <w:r w:rsidR="005521BD" w:rsidRPr="00C83E0A">
        <w:rPr>
          <w:lang w:val="fr-FR"/>
        </w:rPr>
        <w:noBreakHyphen/>
      </w:r>
      <w:r w:rsidR="00522DCD" w:rsidRPr="00C83E0A">
        <w:rPr>
          <w:lang w:val="fr-FR"/>
        </w:rPr>
        <w:t>dire contraignant pour les parties.</w:t>
      </w:r>
    </w:p>
    <w:p w:rsidR="0005781F" w:rsidRDefault="00643150" w:rsidP="00B7285D">
      <w:pPr>
        <w:pStyle w:val="ONUMFS"/>
        <w:rPr>
          <w:lang w:val="fr-FR"/>
        </w:rPr>
      </w:pPr>
      <w:r w:rsidRPr="00C83E0A">
        <w:rPr>
          <w:lang w:val="fr-FR"/>
        </w:rPr>
        <w:t>Comme mentionné précédemment, le droit des États</w:t>
      </w:r>
      <w:r w:rsidR="005521BD" w:rsidRPr="00C83E0A">
        <w:rPr>
          <w:lang w:val="fr-FR"/>
        </w:rPr>
        <w:noBreakHyphen/>
      </w:r>
      <w:r w:rsidRPr="00C83E0A">
        <w:rPr>
          <w:lang w:val="fr-FR"/>
        </w:rPr>
        <w:t>Unis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Amérique </w:t>
      </w:r>
      <w:r w:rsidR="00560369" w:rsidRPr="00C83E0A">
        <w:rPr>
          <w:lang w:val="fr-FR"/>
        </w:rPr>
        <w:t>reconnaît</w:t>
      </w:r>
      <w:r w:rsidRPr="00C83E0A">
        <w:rPr>
          <w:lang w:val="fr-FR"/>
        </w:rPr>
        <w:t xml:space="preserve"> expressément la distinction entre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effet </w:t>
      </w:r>
      <w:r w:rsidRPr="00C83E0A">
        <w:rPr>
          <w:i/>
          <w:lang w:val="fr-FR"/>
        </w:rPr>
        <w:t>inter</w:t>
      </w:r>
      <w:r w:rsidR="00811BEB">
        <w:rPr>
          <w:i/>
          <w:lang w:val="fr-FR"/>
        </w:rPr>
        <w:t> </w:t>
      </w:r>
      <w:r w:rsidRPr="00C83E0A">
        <w:rPr>
          <w:i/>
          <w:lang w:val="fr-FR"/>
        </w:rPr>
        <w:t>partes</w:t>
      </w:r>
      <w:r w:rsidRPr="00C83E0A">
        <w:rPr>
          <w:lang w:val="fr-FR"/>
        </w:rPr>
        <w:t xml:space="preserve">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une sentence arbitrale en matière de validité et de portée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droit de propriété intellectuelle, et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absence de tout effet </w:t>
      </w:r>
      <w:proofErr w:type="spellStart"/>
      <w:r w:rsidRPr="00C83E0A">
        <w:rPr>
          <w:i/>
          <w:lang w:val="fr-FR"/>
        </w:rPr>
        <w:t>erga</w:t>
      </w:r>
      <w:proofErr w:type="spellEnd"/>
      <w:r w:rsidR="00811BEB">
        <w:rPr>
          <w:i/>
          <w:lang w:val="fr-FR"/>
        </w:rPr>
        <w:t> </w:t>
      </w:r>
      <w:proofErr w:type="spellStart"/>
      <w:r w:rsidRPr="00C83E0A">
        <w:rPr>
          <w:i/>
          <w:lang w:val="fr-FR"/>
        </w:rPr>
        <w:t>omnes</w:t>
      </w:r>
      <w:proofErr w:type="spellEnd"/>
      <w:r w:rsidRPr="00C83E0A">
        <w:rPr>
          <w:lang w:val="fr-FR"/>
        </w:rPr>
        <w:t xml:space="preserve"> de ladite sentence.  </w:t>
      </w:r>
      <w:r w:rsidR="00603A44" w:rsidRPr="00C83E0A">
        <w:rPr>
          <w:lang w:val="fr-FR"/>
        </w:rPr>
        <w:t>Il serait des plus utiles d</w:t>
      </w:r>
      <w:r w:rsidR="00DA520E" w:rsidRPr="00C83E0A">
        <w:rPr>
          <w:lang w:val="fr-FR"/>
        </w:rPr>
        <w:t>’</w:t>
      </w:r>
      <w:r w:rsidR="00603A44" w:rsidRPr="00C83E0A">
        <w:rPr>
          <w:lang w:val="fr-FR"/>
        </w:rPr>
        <w:t>incorporer une telle déclaration expresse dans la législation d</w:t>
      </w:r>
      <w:r w:rsidR="00DA520E" w:rsidRPr="00C83E0A">
        <w:rPr>
          <w:lang w:val="fr-FR"/>
        </w:rPr>
        <w:t>’</w:t>
      </w:r>
      <w:r w:rsidR="00603A44" w:rsidRPr="00C83E0A">
        <w:rPr>
          <w:lang w:val="fr-FR"/>
        </w:rPr>
        <w:t>autres États, dans la mesure où c</w:t>
      </w:r>
      <w:r w:rsidR="00236927" w:rsidRPr="00C83E0A">
        <w:rPr>
          <w:lang w:val="fr-FR"/>
        </w:rPr>
        <w:t>es derniers ne sont pas préparés</w:t>
      </w:r>
      <w:r w:rsidR="00603A44" w:rsidRPr="00C83E0A">
        <w:rPr>
          <w:lang w:val="fr-FR"/>
        </w:rPr>
        <w:t xml:space="preserve"> à </w:t>
      </w:r>
      <w:r w:rsidR="00917778" w:rsidRPr="00C83E0A">
        <w:rPr>
          <w:lang w:val="fr-FR"/>
        </w:rPr>
        <w:t xml:space="preserve">aller aussi loin que les quelques pays qui reconnaissent cet effet </w:t>
      </w:r>
      <w:proofErr w:type="spellStart"/>
      <w:r w:rsidR="00917778" w:rsidRPr="00C83E0A">
        <w:rPr>
          <w:i/>
          <w:lang w:val="fr-FR"/>
        </w:rPr>
        <w:t>erga</w:t>
      </w:r>
      <w:proofErr w:type="spellEnd"/>
      <w:r w:rsidR="00811BEB">
        <w:rPr>
          <w:i/>
          <w:lang w:val="fr-FR"/>
        </w:rPr>
        <w:t> </w:t>
      </w:r>
      <w:proofErr w:type="spellStart"/>
      <w:r w:rsidR="00917778" w:rsidRPr="00C83E0A">
        <w:rPr>
          <w:i/>
          <w:lang w:val="fr-FR"/>
        </w:rPr>
        <w:t>omnes</w:t>
      </w:r>
      <w:proofErr w:type="spellEnd"/>
      <w:r w:rsidR="00917778" w:rsidRPr="00C83E0A">
        <w:rPr>
          <w:lang w:val="fr-FR"/>
        </w:rPr>
        <w:t xml:space="preserve"> des sentences arbitrales.</w:t>
      </w:r>
      <w:r w:rsidR="00270844" w:rsidRPr="00C83E0A">
        <w:rPr>
          <w:lang w:val="fr-FR"/>
        </w:rPr>
        <w:t xml:space="preserve">  </w:t>
      </w:r>
      <w:r w:rsidR="00811BEB">
        <w:rPr>
          <w:lang w:val="fr-FR"/>
        </w:rPr>
        <w:t>Ce </w:t>
      </w:r>
      <w:r w:rsidR="00941D7E" w:rsidRPr="00C83E0A">
        <w:rPr>
          <w:lang w:val="fr-FR"/>
        </w:rPr>
        <w:t>pourrait être là une solution pour éviter tout souci en matière d</w:t>
      </w:r>
      <w:r w:rsidR="00DA520E" w:rsidRPr="00C83E0A">
        <w:rPr>
          <w:lang w:val="fr-FR"/>
        </w:rPr>
        <w:t>’</w:t>
      </w:r>
      <w:proofErr w:type="spellStart"/>
      <w:r w:rsidR="00941D7E" w:rsidRPr="00C83E0A">
        <w:rPr>
          <w:lang w:val="fr-FR"/>
        </w:rPr>
        <w:t>arbitrabilité</w:t>
      </w:r>
      <w:proofErr w:type="spellEnd"/>
      <w:r w:rsidR="00941D7E" w:rsidRPr="00C83E0A">
        <w:rPr>
          <w:lang w:val="fr-FR"/>
        </w:rPr>
        <w:t>.</w:t>
      </w:r>
    </w:p>
    <w:p w:rsidR="00811BEB" w:rsidRPr="00C83E0A" w:rsidRDefault="00811BEB" w:rsidP="00B7285D">
      <w:pPr>
        <w:pStyle w:val="ONUMFS"/>
        <w:numPr>
          <w:ilvl w:val="0"/>
          <w:numId w:val="0"/>
        </w:numPr>
        <w:rPr>
          <w:lang w:val="fr-FR"/>
        </w:rPr>
      </w:pPr>
    </w:p>
    <w:p w:rsidR="0005781F" w:rsidRPr="00C83E0A" w:rsidRDefault="007E1D3F" w:rsidP="00B7285D">
      <w:pPr>
        <w:pStyle w:val="Heading2"/>
        <w:rPr>
          <w:lang w:val="fr-FR"/>
        </w:rPr>
      </w:pPr>
      <w:r w:rsidRPr="00C83E0A">
        <w:rPr>
          <w:lang w:val="fr-FR"/>
        </w:rPr>
        <w:t>Les avantages et les limite</w:t>
      </w:r>
      <w:r w:rsidR="00811BEB">
        <w:rPr>
          <w:lang w:val="fr-FR"/>
        </w:rPr>
        <w:t>s des modes extrajudiciaires de </w:t>
      </w:r>
      <w:r w:rsidRPr="00C83E0A">
        <w:rPr>
          <w:lang w:val="fr-FR"/>
        </w:rPr>
        <w:t>règlement des litiges comme instrum</w:t>
      </w:r>
      <w:r w:rsidR="00811BEB">
        <w:rPr>
          <w:lang w:val="fr-FR"/>
        </w:rPr>
        <w:t>ent d’application des droits de </w:t>
      </w:r>
      <w:r w:rsidRPr="00C83E0A">
        <w:rPr>
          <w:lang w:val="fr-FR"/>
        </w:rPr>
        <w:t>propriété intellectuelle</w:t>
      </w:r>
    </w:p>
    <w:p w:rsidR="007E1D3F" w:rsidRPr="00C83E0A" w:rsidRDefault="007E1D3F" w:rsidP="00B7285D">
      <w:pPr>
        <w:rPr>
          <w:lang w:eastAsia="zh-CN"/>
        </w:rPr>
      </w:pPr>
    </w:p>
    <w:p w:rsidR="0005781F" w:rsidRPr="00C83E0A" w:rsidRDefault="00F6777F" w:rsidP="00B7285D">
      <w:pPr>
        <w:pStyle w:val="ONUMFS"/>
        <w:numPr>
          <w:ilvl w:val="1"/>
          <w:numId w:val="21"/>
        </w:numPr>
        <w:rPr>
          <w:lang w:val="fr-FR"/>
        </w:rPr>
      </w:pPr>
      <w:r w:rsidRPr="00C83E0A">
        <w:rPr>
          <w:lang w:val="fr-FR"/>
        </w:rPr>
        <w:t>Introduction</w:t>
      </w:r>
    </w:p>
    <w:p w:rsidR="0005781F" w:rsidRPr="00C83E0A" w:rsidRDefault="007D6978" w:rsidP="00B7285D">
      <w:pPr>
        <w:pStyle w:val="ONUMFS"/>
        <w:rPr>
          <w:lang w:val="fr-FR"/>
        </w:rPr>
      </w:pPr>
      <w:r w:rsidRPr="00C83E0A">
        <w:rPr>
          <w:lang w:val="fr-FR"/>
        </w:rPr>
        <w:t>La présente section est essentiellement axée sur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arbitrage.  En effet, parmi les divers modes extrajudiciaires de règlement des litiges traités dans le présent document, seul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arbitrage constitue une solution comparable aux procédures judiciaires </w:t>
      </w:r>
      <w:r w:rsidR="009D79AF" w:rsidRPr="00C83E0A">
        <w:rPr>
          <w:lang w:val="fr-FR"/>
        </w:rPr>
        <w:t>en ce qu</w:t>
      </w:r>
      <w:r w:rsidR="00DA520E" w:rsidRPr="00C83E0A">
        <w:rPr>
          <w:lang w:val="fr-FR"/>
        </w:rPr>
        <w:t>’</w:t>
      </w:r>
      <w:r w:rsidR="009D79AF" w:rsidRPr="00C83E0A">
        <w:rPr>
          <w:lang w:val="fr-FR"/>
        </w:rPr>
        <w:t>il</w:t>
      </w:r>
      <w:r w:rsidRPr="00C83E0A">
        <w:rPr>
          <w:lang w:val="fr-FR"/>
        </w:rPr>
        <w:t xml:space="preserve"> permet </w:t>
      </w:r>
      <w:r w:rsidR="009D79AF" w:rsidRPr="00C83E0A">
        <w:rPr>
          <w:lang w:val="fr-FR"/>
        </w:rPr>
        <w:t>que, pour tout type de litige, une décision soit rendue avec force exécutoire pour les parties concernées.</w:t>
      </w:r>
    </w:p>
    <w:p w:rsidR="0005781F" w:rsidRPr="00C83E0A" w:rsidRDefault="009D79AF" w:rsidP="00B7285D">
      <w:pPr>
        <w:pStyle w:val="ONUMFS"/>
        <w:numPr>
          <w:ilvl w:val="1"/>
          <w:numId w:val="30"/>
        </w:numPr>
        <w:rPr>
          <w:lang w:val="fr-FR"/>
        </w:rPr>
      </w:pPr>
      <w:r w:rsidRPr="00C83E0A">
        <w:rPr>
          <w:lang w:val="fr-FR"/>
        </w:rPr>
        <w:t>Les avantages et les limites de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comme instrument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application des droits de propriété intellectuelle</w:t>
      </w:r>
    </w:p>
    <w:p w:rsidR="0005781F" w:rsidRPr="00C83E0A" w:rsidRDefault="00F83E3B" w:rsidP="00B7285D">
      <w:pPr>
        <w:pStyle w:val="ONUMFS"/>
        <w:rPr>
          <w:lang w:val="fr-FR"/>
        </w:rPr>
      </w:pPr>
      <w:r w:rsidRPr="00C83E0A">
        <w:rPr>
          <w:lang w:val="fr-FR"/>
        </w:rPr>
        <w:t>E</w:t>
      </w:r>
      <w:r w:rsidR="007D6978" w:rsidRPr="00C83E0A">
        <w:rPr>
          <w:lang w:val="fr-FR"/>
        </w:rPr>
        <w:t>n termes généraux, par rapport à une procédure judiciaire, l</w:t>
      </w:r>
      <w:r w:rsidR="00DA520E" w:rsidRPr="00C83E0A">
        <w:rPr>
          <w:lang w:val="fr-FR"/>
        </w:rPr>
        <w:t>’</w:t>
      </w:r>
      <w:r w:rsidR="007D6978" w:rsidRPr="00C83E0A">
        <w:rPr>
          <w:lang w:val="fr-FR"/>
        </w:rPr>
        <w:t>arbitrage comme moyen de règlement de litiges commerciaux, présente de nombreux avantages</w:t>
      </w:r>
      <w:r w:rsidR="00B91349" w:rsidRPr="00C83E0A">
        <w:rPr>
          <w:lang w:val="fr-FR"/>
        </w:rPr>
        <w:t xml:space="preserve"> bien connus</w:t>
      </w:r>
      <w:r w:rsidR="007D6978" w:rsidRPr="00C83E0A">
        <w:rPr>
          <w:lang w:val="fr-FR"/>
        </w:rPr>
        <w:t>, tels que l</w:t>
      </w:r>
      <w:r w:rsidR="00DA520E" w:rsidRPr="00C83E0A">
        <w:rPr>
          <w:lang w:val="fr-FR"/>
        </w:rPr>
        <w:t>’</w:t>
      </w:r>
      <w:r w:rsidR="007D6978" w:rsidRPr="00C83E0A">
        <w:rPr>
          <w:lang w:val="fr-FR"/>
        </w:rPr>
        <w:t>autonomie des parties, la neutralité, le caractère définitif, la confidentialité et la force exécutoire internationale de la sentence arbitrale</w:t>
      </w:r>
      <w:r w:rsidR="00B91349" w:rsidRPr="00C83E0A">
        <w:rPr>
          <w:lang w:val="fr-FR"/>
        </w:rPr>
        <w:t>.  Néanmoins, par rapport aux procédures judiciaires, l</w:t>
      </w:r>
      <w:r w:rsidR="00DA520E" w:rsidRPr="00C83E0A">
        <w:rPr>
          <w:lang w:val="fr-FR"/>
        </w:rPr>
        <w:t>’</w:t>
      </w:r>
      <w:r w:rsidR="00B91349" w:rsidRPr="00C83E0A">
        <w:rPr>
          <w:lang w:val="fr-FR"/>
        </w:rPr>
        <w:t>arbitrage possède un grand nombre d</w:t>
      </w:r>
      <w:r w:rsidR="00DA520E" w:rsidRPr="00C83E0A">
        <w:rPr>
          <w:lang w:val="fr-FR"/>
        </w:rPr>
        <w:t>’</w:t>
      </w:r>
      <w:r w:rsidR="00B91349" w:rsidRPr="00C83E0A">
        <w:rPr>
          <w:lang w:val="fr-FR"/>
        </w:rPr>
        <w:t>avantages propres au domaine</w:t>
      </w:r>
      <w:r w:rsidRPr="00C83E0A">
        <w:rPr>
          <w:lang w:val="fr-FR"/>
        </w:rPr>
        <w:t xml:space="preserve"> de la propriété intellectuelle, </w:t>
      </w:r>
      <w:r w:rsidR="00784D8B" w:rsidRPr="00C83E0A">
        <w:rPr>
          <w:lang w:val="fr-FR"/>
        </w:rPr>
        <w:t xml:space="preserve">qui sont </w:t>
      </w:r>
      <w:r w:rsidR="00B91349" w:rsidRPr="00C83E0A">
        <w:rPr>
          <w:lang w:val="fr-FR"/>
        </w:rPr>
        <w:t>dus au concept d</w:t>
      </w:r>
      <w:r w:rsidR="00DA520E" w:rsidRPr="00C83E0A">
        <w:rPr>
          <w:lang w:val="fr-FR"/>
        </w:rPr>
        <w:t>’</w:t>
      </w:r>
      <w:r w:rsidR="00B91349" w:rsidRPr="00C83E0A">
        <w:rPr>
          <w:lang w:val="fr-FR"/>
        </w:rPr>
        <w:t>autonomie des parties.</w:t>
      </w:r>
    </w:p>
    <w:p w:rsidR="0005781F" w:rsidRPr="00C83E0A" w:rsidRDefault="00176F4E" w:rsidP="00B7285D">
      <w:pPr>
        <w:pStyle w:val="ONUMFS"/>
        <w:rPr>
          <w:lang w:val="fr-FR"/>
        </w:rPr>
      </w:pPr>
      <w:r w:rsidRPr="00C83E0A">
        <w:rPr>
          <w:lang w:val="fr-FR"/>
        </w:rPr>
        <w:t>En effet, l</w:t>
      </w:r>
      <w:r w:rsidR="008B1189" w:rsidRPr="00C83E0A">
        <w:rPr>
          <w:lang w:val="fr-FR"/>
        </w:rPr>
        <w:t>a possibilité pour les parties d</w:t>
      </w:r>
      <w:r w:rsidR="00DA520E" w:rsidRPr="00C83E0A">
        <w:rPr>
          <w:lang w:val="fr-FR"/>
        </w:rPr>
        <w:t>’</w:t>
      </w:r>
      <w:r w:rsidR="008B1189" w:rsidRPr="00C83E0A">
        <w:rPr>
          <w:lang w:val="fr-FR"/>
        </w:rPr>
        <w:t xml:space="preserve">adapter la composition du tribunal arbitral aux besoins spécifiques du litige concerné constitue un </w:t>
      </w:r>
      <w:r w:rsidR="00784D8B" w:rsidRPr="00C83E0A">
        <w:rPr>
          <w:lang w:val="fr-FR"/>
        </w:rPr>
        <w:t>intérêt</w:t>
      </w:r>
      <w:r w:rsidR="008B1189" w:rsidRPr="00C83E0A">
        <w:rPr>
          <w:lang w:val="fr-FR"/>
        </w:rPr>
        <w:t xml:space="preserve"> majeur de l</w:t>
      </w:r>
      <w:r w:rsidR="00DA520E" w:rsidRPr="00C83E0A">
        <w:rPr>
          <w:lang w:val="fr-FR"/>
        </w:rPr>
        <w:t>’</w:t>
      </w:r>
      <w:r w:rsidR="008B1189" w:rsidRPr="00C83E0A">
        <w:rPr>
          <w:lang w:val="fr-FR"/>
        </w:rPr>
        <w:t xml:space="preserve">arbitrage, notamment </w:t>
      </w:r>
      <w:r w:rsidRPr="00C83E0A">
        <w:rPr>
          <w:lang w:val="fr-FR"/>
        </w:rPr>
        <w:t>pour</w:t>
      </w:r>
      <w:r w:rsidR="008B1189" w:rsidRPr="00C83E0A">
        <w:rPr>
          <w:lang w:val="fr-FR"/>
        </w:rPr>
        <w:t xml:space="preserve"> les litiges </w:t>
      </w:r>
      <w:r w:rsidR="00784D8B" w:rsidRPr="00C83E0A">
        <w:rPr>
          <w:lang w:val="fr-FR"/>
        </w:rPr>
        <w:t>relatifs aux</w:t>
      </w:r>
      <w:r w:rsidR="008B1189" w:rsidRPr="00C83E0A">
        <w:rPr>
          <w:lang w:val="fr-FR"/>
        </w:rPr>
        <w:t xml:space="preserve"> droits de propriété intellectuelle.  </w:t>
      </w:r>
      <w:r w:rsidRPr="00C83E0A">
        <w:rPr>
          <w:lang w:val="fr-FR"/>
        </w:rPr>
        <w:t>En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autres termes</w:t>
      </w:r>
      <w:r w:rsidR="008B1189" w:rsidRPr="00C83E0A">
        <w:rPr>
          <w:lang w:val="fr-FR"/>
        </w:rPr>
        <w:t xml:space="preserve">, dans ce domaine, cela se traduit par la possibilité de recourir à des </w:t>
      </w:r>
      <w:r w:rsidRPr="00C83E0A">
        <w:rPr>
          <w:lang w:val="fr-FR"/>
        </w:rPr>
        <w:t>spécialistes de la propriété intellectuelle, connaissant bien le domaine concerné du droit de la pr</w:t>
      </w:r>
      <w:r w:rsidR="00811BEB">
        <w:rPr>
          <w:lang w:val="fr-FR"/>
        </w:rPr>
        <w:t>opriété intellectuelle.  En </w:t>
      </w:r>
      <w:r w:rsidRPr="00C83E0A">
        <w:rPr>
          <w:lang w:val="fr-FR"/>
        </w:rPr>
        <w:t>ce qui concerne les brevets, cela se concrétise par la possibilité de choisir des arbitres dotés de compétences particulières dans le domaine technique ou scientifique visé.</w:t>
      </w:r>
    </w:p>
    <w:p w:rsidR="0005781F" w:rsidRPr="00C83E0A" w:rsidRDefault="006756CC" w:rsidP="00B7285D">
      <w:pPr>
        <w:pStyle w:val="ONUMFS"/>
        <w:rPr>
          <w:lang w:val="fr-FR"/>
        </w:rPr>
      </w:pPr>
      <w:r w:rsidRPr="00C83E0A">
        <w:rPr>
          <w:lang w:val="fr-FR"/>
        </w:rPr>
        <w:t>Autre avantage de ce mode de règlement des litiges relatifs à la propriété intellectuelle,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permet aux parties de choisir la procédure et le type de réparation qui soient les plus adaptés à leurs besoins.</w:t>
      </w:r>
    </w:p>
    <w:p w:rsidR="0005781F" w:rsidRPr="00C83E0A" w:rsidRDefault="00BC5CB9" w:rsidP="00B7285D">
      <w:pPr>
        <w:pStyle w:val="ONUMFS"/>
        <w:rPr>
          <w:lang w:val="fr-FR"/>
        </w:rPr>
      </w:pPr>
      <w:r w:rsidRPr="00C83E0A">
        <w:rPr>
          <w:lang w:val="fr-FR"/>
        </w:rPr>
        <w:lastRenderedPageBreak/>
        <w:t>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permet</w:t>
      </w:r>
      <w:r w:rsidR="00A05682" w:rsidRPr="00C83E0A">
        <w:rPr>
          <w:lang w:val="fr-FR"/>
        </w:rPr>
        <w:t xml:space="preserve"> de régler plusieurs litiges multijuridictionnels</w:t>
      </w:r>
      <w:bookmarkStart w:id="0" w:name="_GoBack"/>
      <w:bookmarkEnd w:id="0"/>
      <w:r w:rsidR="00A05682" w:rsidRPr="00C83E0A">
        <w:rPr>
          <w:lang w:val="fr-FR"/>
        </w:rPr>
        <w:t xml:space="preserve"> au cours d</w:t>
      </w:r>
      <w:r w:rsidR="00DA520E" w:rsidRPr="00C83E0A">
        <w:rPr>
          <w:lang w:val="fr-FR"/>
        </w:rPr>
        <w:t>’</w:t>
      </w:r>
      <w:r w:rsidR="00A05682" w:rsidRPr="00C83E0A">
        <w:rPr>
          <w:lang w:val="fr-FR"/>
        </w:rPr>
        <w:t>une seule et même procédure</w:t>
      </w:r>
      <w:r w:rsidRPr="00C83E0A">
        <w:rPr>
          <w:lang w:val="fr-FR"/>
        </w:rPr>
        <w:t>, ce qui</w:t>
      </w:r>
      <w:r w:rsidR="00A05682" w:rsidRPr="00C83E0A">
        <w:rPr>
          <w:lang w:val="fr-FR"/>
        </w:rPr>
        <w:t xml:space="preserve"> constitue un autre </w:t>
      </w:r>
      <w:r w:rsidR="00930CBB" w:rsidRPr="00C83E0A">
        <w:rPr>
          <w:lang w:val="fr-FR"/>
        </w:rPr>
        <w:t xml:space="preserve">intérêt </w:t>
      </w:r>
      <w:r w:rsidRPr="00C83E0A">
        <w:rPr>
          <w:lang w:val="fr-FR"/>
        </w:rPr>
        <w:t>majeur</w:t>
      </w:r>
      <w:r w:rsidR="00A05682" w:rsidRPr="00C83E0A">
        <w:rPr>
          <w:lang w:val="fr-FR"/>
        </w:rPr>
        <w:t xml:space="preserve">, et probablement </w:t>
      </w:r>
      <w:r w:rsidRPr="00C83E0A">
        <w:rPr>
          <w:lang w:val="fr-FR"/>
        </w:rPr>
        <w:t>celui</w:t>
      </w:r>
      <w:r w:rsidR="00A05682" w:rsidRPr="00C83E0A">
        <w:rPr>
          <w:lang w:val="fr-FR"/>
        </w:rPr>
        <w:t xml:space="preserve"> qui présente le plus d</w:t>
      </w:r>
      <w:r w:rsidR="00DA520E" w:rsidRPr="00C83E0A">
        <w:rPr>
          <w:lang w:val="fr-FR"/>
        </w:rPr>
        <w:t>’</w:t>
      </w:r>
      <w:r w:rsidR="00A05682" w:rsidRPr="00C83E0A">
        <w:rPr>
          <w:lang w:val="fr-FR"/>
        </w:rPr>
        <w:t>intérêt à long terme en matière de règlement des litiges relatifs aux droits de propriété intellectuelle.</w:t>
      </w:r>
      <w:r w:rsidR="001215D9" w:rsidRPr="00C83E0A">
        <w:rPr>
          <w:lang w:val="fr-FR"/>
        </w:rPr>
        <w:t xml:space="preserve">  À l</w:t>
      </w:r>
      <w:r w:rsidR="00DA520E" w:rsidRPr="00C83E0A">
        <w:rPr>
          <w:lang w:val="fr-FR"/>
        </w:rPr>
        <w:t>’</w:t>
      </w:r>
      <w:r w:rsidR="001215D9" w:rsidRPr="00C83E0A">
        <w:rPr>
          <w:lang w:val="fr-FR"/>
        </w:rPr>
        <w:t xml:space="preserve">heure actuelle, il est rare que les litiges relatifs aux droits de propriété intellectuelle se limitent à un seul pays, phénomène </w:t>
      </w:r>
      <w:r w:rsidR="00560369" w:rsidRPr="00C83E0A">
        <w:rPr>
          <w:lang w:val="fr-FR"/>
        </w:rPr>
        <w:t>dû</w:t>
      </w:r>
      <w:r w:rsidR="001215D9" w:rsidRPr="00C83E0A">
        <w:rPr>
          <w:lang w:val="fr-FR"/>
        </w:rPr>
        <w:t xml:space="preserve"> à </w:t>
      </w:r>
      <w:r w:rsidR="00446B9E"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="00446B9E" w:rsidRPr="00C83E0A">
        <w:rPr>
          <w:lang w:val="fr-FR"/>
        </w:rPr>
        <w:t>effet conjugué de</w:t>
      </w:r>
      <w:r w:rsidR="001215D9" w:rsidRPr="00C83E0A">
        <w:rPr>
          <w:lang w:val="fr-FR"/>
        </w:rPr>
        <w:t xml:space="preserve"> la nature nationale ou régionale des droits de propriété intellectuelle et de l</w:t>
      </w:r>
      <w:r w:rsidR="00DA520E" w:rsidRPr="00C83E0A">
        <w:rPr>
          <w:lang w:val="fr-FR"/>
        </w:rPr>
        <w:t>’</w:t>
      </w:r>
      <w:r w:rsidR="001215D9" w:rsidRPr="00C83E0A">
        <w:rPr>
          <w:lang w:val="fr-FR"/>
        </w:rPr>
        <w:t>internationalisation du commerce et</w:t>
      </w:r>
      <w:r w:rsidR="000A230D" w:rsidRPr="00C83E0A">
        <w:rPr>
          <w:lang w:val="fr-FR"/>
        </w:rPr>
        <w:t xml:space="preserve"> de la portée de la technologie.  De ce fait, un nombre croissant de litiges relatifs à la propriété intellectuelle ayant pour objet la même contrefaçon présumée, établie en vertu de législations sensiblement différentes en dépit de l</w:t>
      </w:r>
      <w:r w:rsidR="00DA520E" w:rsidRPr="00C83E0A">
        <w:rPr>
          <w:lang w:val="fr-FR"/>
        </w:rPr>
        <w:t>’</w:t>
      </w:r>
      <w:r w:rsidR="000A230D" w:rsidRPr="00C83E0A">
        <w:rPr>
          <w:lang w:val="fr-FR"/>
        </w:rPr>
        <w:t>harmonisation croissante dans ce domaine, sont portés devant des tribunaux différents qui n</w:t>
      </w:r>
      <w:r w:rsidR="00DA520E" w:rsidRPr="00C83E0A">
        <w:rPr>
          <w:lang w:val="fr-FR"/>
        </w:rPr>
        <w:t>’</w:t>
      </w:r>
      <w:r w:rsidR="000A230D" w:rsidRPr="00C83E0A">
        <w:rPr>
          <w:lang w:val="fr-FR"/>
        </w:rPr>
        <w:t>appliquent pas tous des procédures semblables.</w:t>
      </w:r>
      <w:r w:rsidR="00811BEB">
        <w:rPr>
          <w:lang w:val="fr-FR"/>
        </w:rPr>
        <w:t xml:space="preserve">  Ces </w:t>
      </w:r>
      <w:r w:rsidR="0077298B" w:rsidRPr="00C83E0A">
        <w:rPr>
          <w:lang w:val="fr-FR"/>
        </w:rPr>
        <w:t>procédures judiciaires ont bien souvent lieu en parallèle et outre la multiplication évidente des coûts engendrés par la multiplicité de telles procédures, il convient de prendre en compte l</w:t>
      </w:r>
      <w:r w:rsidR="00DA520E" w:rsidRPr="00C83E0A">
        <w:rPr>
          <w:lang w:val="fr-FR"/>
        </w:rPr>
        <w:t>’</w:t>
      </w:r>
      <w:r w:rsidR="0077298B" w:rsidRPr="00C83E0A">
        <w:rPr>
          <w:lang w:val="fr-FR"/>
        </w:rPr>
        <w:t xml:space="preserve">augmentation exponentielle des coûts et la difficulté </w:t>
      </w:r>
      <w:r w:rsidR="00930CBB" w:rsidRPr="00C83E0A">
        <w:rPr>
          <w:lang w:val="fr-FR"/>
        </w:rPr>
        <w:t xml:space="preserve">croissante </w:t>
      </w:r>
      <w:r w:rsidR="0077298B" w:rsidRPr="00C83E0A">
        <w:rPr>
          <w:lang w:val="fr-FR"/>
        </w:rPr>
        <w:t>de gestion d</w:t>
      </w:r>
      <w:r w:rsidR="00DA520E" w:rsidRPr="00C83E0A">
        <w:rPr>
          <w:lang w:val="fr-FR"/>
        </w:rPr>
        <w:t>’</w:t>
      </w:r>
      <w:r w:rsidR="0077298B" w:rsidRPr="00C83E0A">
        <w:rPr>
          <w:lang w:val="fr-FR"/>
        </w:rPr>
        <w:t>une telle multiplicité.  En effet, il est alors difficile de garantir une certaine harmonie entre les diverses décisions rendues par ces systèmes juridictionnels différents.</w:t>
      </w:r>
    </w:p>
    <w:p w:rsidR="0005781F" w:rsidRPr="00C83E0A" w:rsidRDefault="002C32A9" w:rsidP="00B7285D">
      <w:pPr>
        <w:pStyle w:val="ONUMFS"/>
        <w:rPr>
          <w:lang w:val="fr-FR"/>
        </w:rPr>
      </w:pPr>
      <w:r w:rsidRPr="00C83E0A">
        <w:rPr>
          <w:lang w:val="fr-FR"/>
        </w:rPr>
        <w:t>Les systèmes juridictionnels</w:t>
      </w:r>
      <w:r w:rsidR="007B3BFE" w:rsidRPr="00C83E0A">
        <w:rPr>
          <w:lang w:val="fr-FR"/>
        </w:rPr>
        <w:t xml:space="preserve"> nationaux sont bien souvent réticents à se prononcer en matière d</w:t>
      </w:r>
      <w:r w:rsidR="00DA520E" w:rsidRPr="00C83E0A">
        <w:rPr>
          <w:lang w:val="fr-FR"/>
        </w:rPr>
        <w:t>’</w:t>
      </w:r>
      <w:r w:rsidR="007B3BFE" w:rsidRPr="00C83E0A">
        <w:rPr>
          <w:lang w:val="fr-FR"/>
        </w:rPr>
        <w:t xml:space="preserve">atteinte aux droits de propriété intellectuelle étrangers, et notamment en ce qui concerne la validité de tels droits.  Au contraire, </w:t>
      </w:r>
      <w:r w:rsidR="00D142ED" w:rsidRPr="00C83E0A">
        <w:rPr>
          <w:lang w:val="fr-FR"/>
        </w:rPr>
        <w:t>au cours d</w:t>
      </w:r>
      <w:r w:rsidR="00DA520E" w:rsidRPr="00C83E0A">
        <w:rPr>
          <w:lang w:val="fr-FR"/>
        </w:rPr>
        <w:t>’</w:t>
      </w:r>
      <w:r w:rsidR="00D142ED" w:rsidRPr="00C83E0A">
        <w:rPr>
          <w:lang w:val="fr-FR"/>
        </w:rPr>
        <w:t xml:space="preserve">une seule et même procédure, </w:t>
      </w:r>
      <w:r w:rsidR="007B3BFE"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="007B3BFE" w:rsidRPr="00C83E0A">
        <w:rPr>
          <w:lang w:val="fr-FR"/>
        </w:rPr>
        <w:t xml:space="preserve">arbitrage permet de </w:t>
      </w:r>
      <w:r w:rsidR="00D142ED" w:rsidRPr="00C83E0A">
        <w:rPr>
          <w:lang w:val="fr-FR"/>
        </w:rPr>
        <w:t>statuer sur l</w:t>
      </w:r>
      <w:r w:rsidR="007B3BFE" w:rsidRPr="00C83E0A">
        <w:rPr>
          <w:lang w:val="fr-FR"/>
        </w:rPr>
        <w:t>a question de la contr</w:t>
      </w:r>
      <w:r w:rsidR="00D142ED" w:rsidRPr="00C83E0A">
        <w:rPr>
          <w:lang w:val="fr-FR"/>
        </w:rPr>
        <w:t xml:space="preserve">efaçon et de la validité des multiples droits de propriété intellectuelle </w:t>
      </w:r>
      <w:r w:rsidR="00743F3F" w:rsidRPr="00C83E0A">
        <w:rPr>
          <w:lang w:val="fr-FR"/>
        </w:rPr>
        <w:t>en vigueur</w:t>
      </w:r>
      <w:r w:rsidR="00930CBB" w:rsidRPr="00C83E0A">
        <w:rPr>
          <w:lang w:val="fr-FR"/>
        </w:rPr>
        <w:t xml:space="preserve"> en parallèle</w:t>
      </w:r>
      <w:r w:rsidR="00743F3F" w:rsidRPr="00C83E0A">
        <w:rPr>
          <w:lang w:val="fr-FR"/>
        </w:rPr>
        <w:t xml:space="preserve"> </w:t>
      </w:r>
      <w:r w:rsidR="00D142ED" w:rsidRPr="00C83E0A">
        <w:rPr>
          <w:lang w:val="fr-FR"/>
        </w:rPr>
        <w:t xml:space="preserve">dans différents pays et de prononcer une sentence avec un effet </w:t>
      </w:r>
      <w:r w:rsidR="00D142ED" w:rsidRPr="00C83E0A">
        <w:rPr>
          <w:i/>
          <w:lang w:val="fr-FR"/>
        </w:rPr>
        <w:t>inter</w:t>
      </w:r>
      <w:r w:rsidR="00811BEB">
        <w:rPr>
          <w:i/>
          <w:lang w:val="fr-FR"/>
        </w:rPr>
        <w:t> </w:t>
      </w:r>
      <w:r w:rsidR="00D142ED" w:rsidRPr="00C83E0A">
        <w:rPr>
          <w:i/>
          <w:lang w:val="fr-FR"/>
        </w:rPr>
        <w:t>partes</w:t>
      </w:r>
      <w:r w:rsidR="00743F3F" w:rsidRPr="00C83E0A">
        <w:rPr>
          <w:lang w:val="fr-FR"/>
        </w:rPr>
        <w:t>,</w:t>
      </w:r>
      <w:r w:rsidR="00FD215B" w:rsidRPr="00C83E0A">
        <w:rPr>
          <w:lang w:val="fr-FR"/>
        </w:rPr>
        <w:t xml:space="preserve"> qui n</w:t>
      </w:r>
      <w:r w:rsidR="00DA520E" w:rsidRPr="00C83E0A">
        <w:rPr>
          <w:lang w:val="fr-FR"/>
        </w:rPr>
        <w:t>’</w:t>
      </w:r>
      <w:r w:rsidR="00FD215B" w:rsidRPr="00C83E0A">
        <w:rPr>
          <w:lang w:val="fr-FR"/>
        </w:rPr>
        <w:t>est pas ce</w:t>
      </w:r>
      <w:r w:rsidR="00231D01" w:rsidRPr="00C83E0A">
        <w:rPr>
          <w:lang w:val="fr-FR"/>
        </w:rPr>
        <w:t>nsé</w:t>
      </w:r>
      <w:r w:rsidR="0013038E" w:rsidRPr="00C83E0A">
        <w:rPr>
          <w:lang w:val="fr-FR"/>
        </w:rPr>
        <w:t>e</w:t>
      </w:r>
      <w:r w:rsidR="00231D01" w:rsidRPr="00C83E0A">
        <w:rPr>
          <w:lang w:val="fr-FR"/>
        </w:rPr>
        <w:t xml:space="preserve"> avoir un effet </w:t>
      </w:r>
      <w:proofErr w:type="spellStart"/>
      <w:r w:rsidR="00231D01" w:rsidRPr="00C83E0A">
        <w:rPr>
          <w:i/>
          <w:lang w:val="fr-FR"/>
        </w:rPr>
        <w:t>erga</w:t>
      </w:r>
      <w:proofErr w:type="spellEnd"/>
      <w:r w:rsidR="00811BEB">
        <w:rPr>
          <w:i/>
          <w:lang w:val="fr-FR"/>
        </w:rPr>
        <w:t> </w:t>
      </w:r>
      <w:proofErr w:type="spellStart"/>
      <w:r w:rsidR="00231D01" w:rsidRPr="00C83E0A">
        <w:rPr>
          <w:i/>
          <w:lang w:val="fr-FR"/>
        </w:rPr>
        <w:t>omnes</w:t>
      </w:r>
      <w:proofErr w:type="spellEnd"/>
      <w:r w:rsidR="00EA057D" w:rsidRPr="00C83E0A">
        <w:rPr>
          <w:lang w:val="fr-FR"/>
        </w:rPr>
        <w:t>.  Néanmoins, dans le cadre d</w:t>
      </w:r>
      <w:r w:rsidR="00DA520E" w:rsidRPr="00C83E0A">
        <w:rPr>
          <w:lang w:val="fr-FR"/>
        </w:rPr>
        <w:t>’</w:t>
      </w:r>
      <w:r w:rsidR="00EA057D" w:rsidRPr="00C83E0A">
        <w:rPr>
          <w:lang w:val="fr-FR"/>
        </w:rPr>
        <w:t xml:space="preserve">un arbitrage concernant des droits de propriété intellectuelle parallèles relevant de </w:t>
      </w:r>
      <w:r w:rsidR="00231D01" w:rsidRPr="00C83E0A">
        <w:rPr>
          <w:lang w:val="fr-FR"/>
        </w:rPr>
        <w:t xml:space="preserve">diverses </w:t>
      </w:r>
      <w:r w:rsidR="00EA057D" w:rsidRPr="00C83E0A">
        <w:rPr>
          <w:lang w:val="fr-FR"/>
        </w:rPr>
        <w:t xml:space="preserve">juridictions </w:t>
      </w:r>
      <w:r w:rsidR="00231D01" w:rsidRPr="00C83E0A">
        <w:rPr>
          <w:lang w:val="fr-FR"/>
        </w:rPr>
        <w:t>régies par des législati</w:t>
      </w:r>
      <w:r w:rsidR="00EA057D" w:rsidRPr="00C83E0A">
        <w:rPr>
          <w:lang w:val="fr-FR"/>
        </w:rPr>
        <w:t>ons différentes</w:t>
      </w:r>
      <w:r w:rsidR="00231D01" w:rsidRPr="00C83E0A">
        <w:rPr>
          <w:lang w:val="fr-FR"/>
        </w:rPr>
        <w:t>, les parties</w:t>
      </w:r>
      <w:r w:rsidR="001B16FF" w:rsidRPr="00C83E0A">
        <w:rPr>
          <w:lang w:val="fr-FR"/>
        </w:rPr>
        <w:t xml:space="preserve"> à l</w:t>
      </w:r>
      <w:r w:rsidR="00DA520E" w:rsidRPr="00C83E0A">
        <w:rPr>
          <w:lang w:val="fr-FR"/>
        </w:rPr>
        <w:t>’</w:t>
      </w:r>
      <w:r w:rsidR="001B16FF" w:rsidRPr="00C83E0A">
        <w:rPr>
          <w:lang w:val="fr-FR"/>
        </w:rPr>
        <w:t xml:space="preserve">arbitrage </w:t>
      </w:r>
      <w:r w:rsidR="00231D01" w:rsidRPr="00C83E0A">
        <w:rPr>
          <w:lang w:val="fr-FR"/>
        </w:rPr>
        <w:t>auraient la possibilité, si elles le souhaitent, de spécifier qu</w:t>
      </w:r>
      <w:r w:rsidR="00DA520E" w:rsidRPr="00C83E0A">
        <w:rPr>
          <w:lang w:val="fr-FR"/>
        </w:rPr>
        <w:t>’</w:t>
      </w:r>
      <w:r w:rsidR="001B16FF" w:rsidRPr="00C83E0A">
        <w:rPr>
          <w:lang w:val="fr-FR"/>
        </w:rPr>
        <w:t>une seule loi serait applicable</w:t>
      </w:r>
      <w:r w:rsidR="00743F3F" w:rsidRPr="00C83E0A">
        <w:rPr>
          <w:lang w:val="fr-FR"/>
        </w:rPr>
        <w:t xml:space="preserve"> au règlement du litige</w:t>
      </w:r>
      <w:r w:rsidR="001B16FF" w:rsidRPr="00C83E0A">
        <w:rPr>
          <w:lang w:val="fr-FR"/>
        </w:rPr>
        <w:t xml:space="preserve">. </w:t>
      </w:r>
      <w:r w:rsidR="002A7873" w:rsidRPr="00C83E0A">
        <w:rPr>
          <w:lang w:val="fr-FR"/>
        </w:rPr>
        <w:t xml:space="preserve"> </w:t>
      </w:r>
      <w:r w:rsidR="00743F3F" w:rsidRPr="00C83E0A">
        <w:rPr>
          <w:lang w:val="fr-FR"/>
        </w:rPr>
        <w:t>Par ailleurs, elles pourraient également décider d</w:t>
      </w:r>
      <w:r w:rsidR="00DA520E" w:rsidRPr="00C83E0A">
        <w:rPr>
          <w:lang w:val="fr-FR"/>
        </w:rPr>
        <w:t>’</w:t>
      </w:r>
      <w:r w:rsidR="00743F3F" w:rsidRPr="00C83E0A">
        <w:rPr>
          <w:lang w:val="fr-FR"/>
        </w:rPr>
        <w:t xml:space="preserve">appliquer des lois différentes en fonction des pays dans lesquels la contrefaçon est supposée avoir été commise. </w:t>
      </w:r>
      <w:r w:rsidR="0013038E" w:rsidRPr="00C83E0A">
        <w:rPr>
          <w:lang w:val="fr-FR"/>
        </w:rPr>
        <w:t xml:space="preserve"> Les arbitres ont déjà mis en pratique de telles procédures, </w:t>
      </w:r>
      <w:r w:rsidR="0098012C" w:rsidRPr="00C83E0A">
        <w:rPr>
          <w:lang w:val="fr-FR"/>
        </w:rPr>
        <w:t xml:space="preserve">auxquelles </w:t>
      </w:r>
      <w:r w:rsidR="0013038E" w:rsidRPr="00C83E0A">
        <w:rPr>
          <w:lang w:val="fr-FR"/>
        </w:rPr>
        <w:t>il serait impensable p</w:t>
      </w:r>
      <w:r w:rsidR="0098012C" w:rsidRPr="00C83E0A">
        <w:rPr>
          <w:lang w:val="fr-FR"/>
        </w:rPr>
        <w:t>our une juridiction nationale d</w:t>
      </w:r>
      <w:r w:rsidR="00DA520E" w:rsidRPr="00C83E0A">
        <w:rPr>
          <w:lang w:val="fr-FR"/>
        </w:rPr>
        <w:t>’</w:t>
      </w:r>
      <w:r w:rsidR="0098012C" w:rsidRPr="00C83E0A">
        <w:rPr>
          <w:lang w:val="fr-FR"/>
        </w:rPr>
        <w:t>avoir recours</w:t>
      </w:r>
      <w:r w:rsidR="0013038E" w:rsidRPr="00C83E0A">
        <w:rPr>
          <w:lang w:val="fr-FR"/>
        </w:rPr>
        <w:t>.</w:t>
      </w:r>
    </w:p>
    <w:p w:rsidR="0005781F" w:rsidRPr="00C83E0A" w:rsidRDefault="00DC4C8B" w:rsidP="00B7285D">
      <w:pPr>
        <w:pStyle w:val="ONUMFS"/>
        <w:rPr>
          <w:lang w:val="fr-FR"/>
        </w:rPr>
      </w:pPr>
      <w:r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de litiges relatifs à la propriété intell</w:t>
      </w:r>
      <w:r w:rsidR="00042CA6" w:rsidRPr="00C83E0A">
        <w:rPr>
          <w:lang w:val="fr-FR"/>
        </w:rPr>
        <w:t>ectuelle présente toutefois des inconvénients</w:t>
      </w:r>
      <w:r w:rsidRPr="00C83E0A">
        <w:rPr>
          <w:lang w:val="fr-FR"/>
        </w:rPr>
        <w:t xml:space="preserve"> </w:t>
      </w:r>
      <w:r w:rsidR="00324340" w:rsidRPr="00C83E0A">
        <w:rPr>
          <w:lang w:val="fr-FR"/>
        </w:rPr>
        <w:t xml:space="preserve">par rapport aux règlements par les juridictions civiles ou pénales ou </w:t>
      </w:r>
      <w:r w:rsidR="00D11713" w:rsidRPr="00C83E0A">
        <w:rPr>
          <w:lang w:val="fr-FR"/>
        </w:rPr>
        <w:t>en vertu de</w:t>
      </w:r>
      <w:r w:rsidR="00324340" w:rsidRPr="00C83E0A">
        <w:rPr>
          <w:lang w:val="fr-FR"/>
        </w:rPr>
        <w:t xml:space="preserve"> mesures à la frontière.  En effet, ce mode de règlement des litiges </w:t>
      </w:r>
      <w:r w:rsidR="00042CA6" w:rsidRPr="00C83E0A">
        <w:rPr>
          <w:lang w:val="fr-FR"/>
        </w:rPr>
        <w:t>est limité par sa</w:t>
      </w:r>
      <w:r w:rsidR="00324340" w:rsidRPr="00C83E0A">
        <w:rPr>
          <w:lang w:val="fr-FR"/>
        </w:rPr>
        <w:t xml:space="preserve"> nature consensuelle qui présente</w:t>
      </w:r>
      <w:r w:rsidRPr="00C83E0A">
        <w:rPr>
          <w:lang w:val="fr-FR"/>
        </w:rPr>
        <w:t xml:space="preserve"> certaines contraintes</w:t>
      </w:r>
      <w:r w:rsidR="00042CA6" w:rsidRPr="00C83E0A">
        <w:rPr>
          <w:lang w:val="fr-FR"/>
        </w:rPr>
        <w:t xml:space="preserve"> ayant</w:t>
      </w:r>
      <w:r w:rsidR="00324340" w:rsidRPr="00C83E0A">
        <w:rPr>
          <w:lang w:val="fr-FR"/>
        </w:rPr>
        <w:t xml:space="preserve"> une incidence sur </w:t>
      </w:r>
      <w:r w:rsidRPr="00C83E0A">
        <w:rPr>
          <w:lang w:val="fr-FR"/>
        </w:rPr>
        <w:t>la pertinence du processus</w:t>
      </w:r>
      <w:r w:rsidR="00324340" w:rsidRPr="00C83E0A">
        <w:rPr>
          <w:lang w:val="fr-FR"/>
        </w:rPr>
        <w:t xml:space="preserve"> à mettre en œuvre.  C</w:t>
      </w:r>
      <w:r w:rsidR="00DA520E" w:rsidRPr="00C83E0A">
        <w:rPr>
          <w:lang w:val="fr-FR"/>
        </w:rPr>
        <w:t>’</w:t>
      </w:r>
      <w:r w:rsidR="00324340" w:rsidRPr="00C83E0A">
        <w:rPr>
          <w:lang w:val="fr-FR"/>
        </w:rPr>
        <w:t xml:space="preserve">est </w:t>
      </w:r>
      <w:r w:rsidRPr="00C83E0A">
        <w:rPr>
          <w:lang w:val="fr-FR"/>
        </w:rPr>
        <w:t>notamment</w:t>
      </w:r>
      <w:r w:rsidR="00324340" w:rsidRPr="00C83E0A">
        <w:rPr>
          <w:lang w:val="fr-FR"/>
        </w:rPr>
        <w:t xml:space="preserve"> le cas des</w:t>
      </w:r>
      <w:r w:rsidRPr="00C83E0A">
        <w:rPr>
          <w:lang w:val="fr-FR"/>
        </w:rPr>
        <w:t xml:space="preserve"> actes de violation intentionnelle et délibérée des droits de propriété intellectuelle</w:t>
      </w:r>
      <w:r w:rsidR="005521BD" w:rsidRPr="00C83E0A">
        <w:rPr>
          <w:lang w:val="fr-FR"/>
        </w:rPr>
        <w:t xml:space="preserve">. </w:t>
      </w:r>
      <w:r w:rsidRPr="00C83E0A">
        <w:rPr>
          <w:lang w:val="fr-FR"/>
        </w:rPr>
        <w:t xml:space="preserve"> </w:t>
      </w:r>
      <w:r w:rsidR="004D5BC2" w:rsidRPr="00C83E0A">
        <w:rPr>
          <w:lang w:val="fr-FR"/>
        </w:rPr>
        <w:t>En outre, compte tenu de l</w:t>
      </w:r>
      <w:r w:rsidR="00DA520E" w:rsidRPr="00C83E0A">
        <w:rPr>
          <w:lang w:val="fr-FR"/>
        </w:rPr>
        <w:t>’</w:t>
      </w:r>
      <w:r w:rsidR="004D5BC2" w:rsidRPr="00C83E0A">
        <w:rPr>
          <w:lang w:val="fr-FR"/>
        </w:rPr>
        <w:t xml:space="preserve">incertitude </w:t>
      </w:r>
      <w:r w:rsidR="00042CA6" w:rsidRPr="00C83E0A">
        <w:rPr>
          <w:lang w:val="fr-FR"/>
        </w:rPr>
        <w:t>qui caractérise</w:t>
      </w:r>
      <w:r w:rsidR="004D5BC2" w:rsidRPr="00C83E0A">
        <w:rPr>
          <w:lang w:val="fr-FR"/>
        </w:rPr>
        <w:t xml:space="preserve"> les sentences provisoires aux termes de la Convention de New York et </w:t>
      </w:r>
      <w:r w:rsidR="00042CA6" w:rsidRPr="00C83E0A">
        <w:rPr>
          <w:lang w:val="fr-FR"/>
        </w:rPr>
        <w:t xml:space="preserve">de </w:t>
      </w:r>
      <w:r w:rsidR="004D5BC2" w:rsidRPr="00C83E0A">
        <w:rPr>
          <w:lang w:val="fr-FR"/>
        </w:rPr>
        <w:t>leur différence d</w:t>
      </w:r>
      <w:r w:rsidR="00DA520E" w:rsidRPr="00C83E0A">
        <w:rPr>
          <w:lang w:val="fr-FR"/>
        </w:rPr>
        <w:t>’</w:t>
      </w:r>
      <w:r w:rsidR="004D5BC2" w:rsidRPr="00C83E0A">
        <w:rPr>
          <w:lang w:val="fr-FR"/>
        </w:rPr>
        <w:t>exécution selon les divers États concernés, l</w:t>
      </w:r>
      <w:r w:rsidR="00DA520E" w:rsidRPr="00C83E0A">
        <w:rPr>
          <w:lang w:val="fr-FR"/>
        </w:rPr>
        <w:t>’</w:t>
      </w:r>
      <w:r w:rsidR="004D5BC2" w:rsidRPr="00C83E0A">
        <w:rPr>
          <w:lang w:val="fr-FR"/>
        </w:rPr>
        <w:t>arbitrage peut s</w:t>
      </w:r>
      <w:r w:rsidR="00DA520E" w:rsidRPr="00C83E0A">
        <w:rPr>
          <w:lang w:val="fr-FR"/>
        </w:rPr>
        <w:t>’</w:t>
      </w:r>
      <w:r w:rsidR="004D5BC2" w:rsidRPr="00C83E0A">
        <w:rPr>
          <w:lang w:val="fr-FR"/>
        </w:rPr>
        <w:t>avérer moins approprié qu</w:t>
      </w:r>
      <w:r w:rsidR="00DA520E" w:rsidRPr="00C83E0A">
        <w:rPr>
          <w:lang w:val="fr-FR"/>
        </w:rPr>
        <w:t>’</w:t>
      </w:r>
      <w:r w:rsidR="004D5BC2" w:rsidRPr="00C83E0A">
        <w:rPr>
          <w:lang w:val="fr-FR"/>
        </w:rPr>
        <w:t xml:space="preserve">une procédure judiciaire pour résoudre des litiges relatifs aux droits de propriété intellectuelle dans lesquels les parties sont susceptibles de formuler des demandes de </w:t>
      </w:r>
      <w:r w:rsidR="00042CA6" w:rsidRPr="00C83E0A">
        <w:rPr>
          <w:lang w:val="fr-FR"/>
        </w:rPr>
        <w:t>sanctions</w:t>
      </w:r>
      <w:r w:rsidR="004D5BC2" w:rsidRPr="00C83E0A">
        <w:rPr>
          <w:lang w:val="fr-FR"/>
        </w:rPr>
        <w:t xml:space="preserve"> provisoires.  Néanmoins, ce problème n</w:t>
      </w:r>
      <w:r w:rsidR="00DA520E" w:rsidRPr="00C83E0A">
        <w:rPr>
          <w:lang w:val="fr-FR"/>
        </w:rPr>
        <w:t>’</w:t>
      </w:r>
      <w:r w:rsidR="004D5BC2" w:rsidRPr="00C83E0A">
        <w:rPr>
          <w:lang w:val="fr-FR"/>
        </w:rPr>
        <w:t>est pas propre à la propriété i</w:t>
      </w:r>
      <w:r w:rsidR="00E71696" w:rsidRPr="00C83E0A">
        <w:rPr>
          <w:lang w:val="fr-FR"/>
        </w:rPr>
        <w:t>ntellectuelle.</w:t>
      </w:r>
    </w:p>
    <w:p w:rsidR="005273DB" w:rsidRPr="00C83E0A" w:rsidRDefault="005273DB" w:rsidP="00B7285D">
      <w:pPr>
        <w:pStyle w:val="ONUMFS"/>
        <w:numPr>
          <w:ilvl w:val="0"/>
          <w:numId w:val="0"/>
        </w:numPr>
        <w:rPr>
          <w:lang w:val="fr-FR"/>
        </w:rPr>
      </w:pPr>
    </w:p>
    <w:p w:rsidR="0005781F" w:rsidRPr="00C83E0A" w:rsidRDefault="007E1D3F" w:rsidP="00B7285D">
      <w:pPr>
        <w:pStyle w:val="Heading2"/>
        <w:rPr>
          <w:lang w:val="fr-FR"/>
        </w:rPr>
      </w:pPr>
      <w:r w:rsidRPr="00C83E0A">
        <w:rPr>
          <w:lang w:val="fr-FR"/>
        </w:rPr>
        <w:t>Recours actuel aux modes ex</w:t>
      </w:r>
      <w:r w:rsidR="004F1A8A">
        <w:rPr>
          <w:lang w:val="fr-FR"/>
        </w:rPr>
        <w:t>trajudiciaires de règlement des </w:t>
      </w:r>
      <w:r w:rsidRPr="00C83E0A">
        <w:rPr>
          <w:lang w:val="fr-FR"/>
        </w:rPr>
        <w:t>litiges pour l’application des droits de propriété intellectuelle</w:t>
      </w:r>
    </w:p>
    <w:p w:rsidR="007E1D3F" w:rsidRPr="00C83E0A" w:rsidRDefault="007E1D3F" w:rsidP="00B7285D">
      <w:pPr>
        <w:rPr>
          <w:lang w:eastAsia="zh-CN"/>
        </w:rPr>
      </w:pPr>
    </w:p>
    <w:p w:rsidR="0005781F" w:rsidRPr="00C83E0A" w:rsidRDefault="00FE7423" w:rsidP="00B7285D">
      <w:pPr>
        <w:pStyle w:val="ONUMFS"/>
        <w:numPr>
          <w:ilvl w:val="1"/>
          <w:numId w:val="21"/>
        </w:numPr>
        <w:rPr>
          <w:lang w:val="fr-FR"/>
        </w:rPr>
      </w:pPr>
      <w:r w:rsidRPr="00C83E0A">
        <w:rPr>
          <w:lang w:val="fr-FR"/>
        </w:rPr>
        <w:t>Actions</w:t>
      </w:r>
      <w:r w:rsidR="00BD10C0" w:rsidRPr="00C83E0A">
        <w:rPr>
          <w:lang w:val="fr-FR"/>
        </w:rPr>
        <w:t xml:space="preserve"> en contrefaçon dans des litiges contractuels et (initialement) non contractuels</w:t>
      </w:r>
    </w:p>
    <w:p w:rsidR="0005781F" w:rsidRPr="00C83E0A" w:rsidRDefault="00843D4A" w:rsidP="00B7285D">
      <w:pPr>
        <w:pStyle w:val="ONUMFS"/>
        <w:rPr>
          <w:lang w:val="fr-FR"/>
        </w:rPr>
      </w:pPr>
      <w:r w:rsidRPr="00C83E0A">
        <w:rPr>
          <w:lang w:val="fr-FR"/>
        </w:rPr>
        <w:t xml:space="preserve">Les modes extrajudiciaires de règlement des litiges, et </w:t>
      </w:r>
      <w:r w:rsidR="00334450" w:rsidRPr="00C83E0A">
        <w:rPr>
          <w:lang w:val="fr-FR"/>
        </w:rPr>
        <w:t>notamment</w:t>
      </w:r>
      <w:r w:rsidRPr="00C83E0A">
        <w:rPr>
          <w:lang w:val="fr-FR"/>
        </w:rPr>
        <w:t xml:space="preserve">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</w:t>
      </w:r>
      <w:r w:rsidR="00334450" w:rsidRPr="00C83E0A">
        <w:rPr>
          <w:lang w:val="fr-FR"/>
        </w:rPr>
        <w:t>,</w:t>
      </w:r>
      <w:r w:rsidRPr="00C83E0A">
        <w:rPr>
          <w:lang w:val="fr-FR"/>
        </w:rPr>
        <w:t xml:space="preserve"> peuvent être mis en œuvre pour régler des litiges dans lesquels il convient de déterminer s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il y a eu violation ou non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droit de propriété intellectuelle.  Dans les deux</w:t>
      </w:r>
      <w:r w:rsidR="000E2599" w:rsidRPr="00C83E0A">
        <w:rPr>
          <w:lang w:val="fr-FR"/>
        </w:rPr>
        <w:t> </w:t>
      </w:r>
      <w:r w:rsidRPr="00C83E0A">
        <w:rPr>
          <w:lang w:val="fr-FR"/>
        </w:rPr>
        <w:t xml:space="preserve">cas, </w:t>
      </w:r>
      <w:r w:rsidR="00DA520E" w:rsidRPr="00C83E0A">
        <w:rPr>
          <w:lang w:val="fr-FR"/>
        </w:rPr>
        <w:t>à savoir</w:t>
      </w:r>
      <w:r w:rsidRPr="00C83E0A">
        <w:rPr>
          <w:lang w:val="fr-FR"/>
        </w:rPr>
        <w:t xml:space="preserve"> dans les litiges contractuels et non contractuels, il convient de procéder à une évaluation conformément à la loi ou aux lois en vigueur, ou à la loi ou aux lois que les parties choisissent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appliquer, afin de définir la portée de la protection du droit ou des droits de propriété intellectuelle </w:t>
      </w:r>
      <w:r w:rsidR="00560369" w:rsidRPr="00C83E0A">
        <w:rPr>
          <w:lang w:val="fr-FR"/>
        </w:rPr>
        <w:t>concernés</w:t>
      </w:r>
      <w:r w:rsidRPr="00C83E0A">
        <w:rPr>
          <w:lang w:val="fr-FR"/>
        </w:rPr>
        <w:t xml:space="preserve">.  </w:t>
      </w:r>
      <w:r w:rsidRPr="00C83E0A">
        <w:rPr>
          <w:lang w:val="fr-FR"/>
        </w:rPr>
        <w:lastRenderedPageBreak/>
        <w:t>Dans certains cas, et notamment lorsqu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il s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agit de litiges non contractuels </w:t>
      </w:r>
      <w:r w:rsidR="00334450" w:rsidRPr="00C83E0A">
        <w:rPr>
          <w:lang w:val="fr-FR"/>
        </w:rPr>
        <w:t>faisant l</w:t>
      </w:r>
      <w:r w:rsidR="00DA520E" w:rsidRPr="00C83E0A">
        <w:rPr>
          <w:lang w:val="fr-FR"/>
        </w:rPr>
        <w:t>’</w:t>
      </w:r>
      <w:r w:rsidR="00334450" w:rsidRPr="00C83E0A">
        <w:rPr>
          <w:lang w:val="fr-FR"/>
        </w:rPr>
        <w:t>objet d</w:t>
      </w:r>
      <w:r w:rsidR="00DA520E" w:rsidRPr="00C83E0A">
        <w:rPr>
          <w:lang w:val="fr-FR"/>
        </w:rPr>
        <w:t>’</w:t>
      </w:r>
      <w:r w:rsidR="00334450" w:rsidRPr="00C83E0A">
        <w:rPr>
          <w:lang w:val="fr-FR"/>
        </w:rPr>
        <w:t xml:space="preserve">une convention </w:t>
      </w:r>
      <w:r w:rsidR="005E0B28" w:rsidRPr="00195D4B">
        <w:rPr>
          <w:i/>
          <w:lang w:val="fr-FR"/>
        </w:rPr>
        <w:t>ad</w:t>
      </w:r>
      <w:r w:rsidR="004B3798" w:rsidRPr="00195D4B">
        <w:rPr>
          <w:i/>
          <w:lang w:val="fr-FR"/>
        </w:rPr>
        <w:t> </w:t>
      </w:r>
      <w:r w:rsidR="005E0B28" w:rsidRPr="00195D4B">
        <w:rPr>
          <w:i/>
          <w:lang w:val="fr-FR"/>
        </w:rPr>
        <w:t>hoc</w:t>
      </w:r>
      <w:r w:rsidR="00334450" w:rsidRPr="00C83E0A">
        <w:rPr>
          <w:lang w:val="fr-FR"/>
        </w:rPr>
        <w:t xml:space="preserve">, cette évaluation peut également couvrir des questions de validité du ou des droits de propriété intellectuelle visés des parties ou tout </w:t>
      </w:r>
      <w:r w:rsidR="00087443" w:rsidRPr="00C83E0A">
        <w:rPr>
          <w:lang w:val="fr-FR"/>
        </w:rPr>
        <w:t>moyen</w:t>
      </w:r>
      <w:r w:rsidR="006D087B" w:rsidRPr="00C83E0A">
        <w:rPr>
          <w:lang w:val="fr-FR"/>
        </w:rPr>
        <w:t xml:space="preserve"> de la</w:t>
      </w:r>
      <w:r w:rsidR="00334450" w:rsidRPr="00C83E0A">
        <w:rPr>
          <w:lang w:val="fr-FR"/>
        </w:rPr>
        <w:t xml:space="preserve"> défense en vertu de la loi ou des lois en vigueur.</w:t>
      </w:r>
    </w:p>
    <w:p w:rsidR="0005781F" w:rsidRPr="00C83E0A" w:rsidRDefault="00F86946" w:rsidP="00B7285D">
      <w:pPr>
        <w:pStyle w:val="ONUMFS"/>
        <w:rPr>
          <w:lang w:val="fr-FR"/>
        </w:rPr>
      </w:pPr>
      <w:r w:rsidRPr="00C83E0A">
        <w:rPr>
          <w:lang w:val="fr-FR"/>
        </w:rPr>
        <w:t xml:space="preserve">Les médiations sont pratiquement toujours confidentielles, et les arbitrages le sont </w:t>
      </w:r>
      <w:r w:rsidR="00D11713" w:rsidRPr="00C83E0A">
        <w:rPr>
          <w:lang w:val="fr-FR"/>
        </w:rPr>
        <w:t>par nature</w:t>
      </w:r>
      <w:r w:rsidRPr="00C83E0A">
        <w:rPr>
          <w:lang w:val="fr-FR"/>
        </w:rPr>
        <w:t>.  Par conséquent, il est difficile de fournir ici des exemples tirés de ces modes de règlement</w:t>
      </w:r>
      <w:r w:rsidR="004841B2" w:rsidRPr="00C83E0A">
        <w:rPr>
          <w:lang w:val="fr-FR"/>
        </w:rPr>
        <w:t xml:space="preserve"> des litiges</w:t>
      </w:r>
      <w:r w:rsidRPr="00C83E0A">
        <w:rPr>
          <w:lang w:val="fr-FR"/>
        </w:rPr>
        <w:t xml:space="preserve">, hormis dans un sens général, </w:t>
      </w:r>
      <w:r w:rsidR="004841B2" w:rsidRPr="00C83E0A">
        <w:rPr>
          <w:lang w:val="fr-FR"/>
        </w:rPr>
        <w:t xml:space="preserve">et </w:t>
      </w:r>
      <w:r w:rsidRPr="00C83E0A">
        <w:rPr>
          <w:lang w:val="fr-FR"/>
        </w:rPr>
        <w:t>sauf lorsqu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 cas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p</w:t>
      </w:r>
      <w:r w:rsidR="00D37E1C" w:rsidRPr="00C83E0A">
        <w:rPr>
          <w:lang w:val="fr-FR"/>
        </w:rPr>
        <w:t>ourrait</w:t>
      </w:r>
      <w:r w:rsidRPr="00C83E0A">
        <w:rPr>
          <w:lang w:val="fr-FR"/>
        </w:rPr>
        <w:t xml:space="preserve"> être évoqué au cours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une procédure</w:t>
      </w:r>
      <w:r w:rsidR="004841B2" w:rsidRPr="00C83E0A">
        <w:rPr>
          <w:lang w:val="fr-FR"/>
        </w:rPr>
        <w:t xml:space="preserve"> judiciaire.</w:t>
      </w:r>
    </w:p>
    <w:p w:rsidR="0005781F" w:rsidRPr="00C83E0A" w:rsidRDefault="003F77AC" w:rsidP="00B7285D">
      <w:pPr>
        <w:pStyle w:val="ONUMFS"/>
        <w:numPr>
          <w:ilvl w:val="1"/>
          <w:numId w:val="31"/>
        </w:numPr>
        <w:rPr>
          <w:lang w:val="fr-FR"/>
        </w:rPr>
      </w:pPr>
      <w:r w:rsidRPr="00C83E0A">
        <w:rPr>
          <w:lang w:val="fr-FR"/>
        </w:rPr>
        <w:t>La médiation et les autres modes extrajudiciaires de règlement des litiges qui relèvent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institutions publiques (tribunaux, offices de la propriété intellectuelle, </w:t>
      </w:r>
      <w:r w:rsidR="00560369" w:rsidRPr="00C83E0A">
        <w:rPr>
          <w:lang w:val="fr-FR"/>
        </w:rPr>
        <w:t>etc.</w:t>
      </w:r>
      <w:r w:rsidR="00D37E1C" w:rsidRPr="00C83E0A">
        <w:rPr>
          <w:lang w:val="fr-FR"/>
        </w:rPr>
        <w:t>)</w:t>
      </w:r>
    </w:p>
    <w:p w:rsidR="0005781F" w:rsidRPr="00C83E0A" w:rsidRDefault="00DB68BD" w:rsidP="00B7285D">
      <w:pPr>
        <w:pStyle w:val="ONUMFS"/>
        <w:rPr>
          <w:lang w:val="fr-FR"/>
        </w:rPr>
      </w:pPr>
      <w:r w:rsidRPr="00C83E0A">
        <w:rPr>
          <w:lang w:val="fr-FR"/>
        </w:rPr>
        <w:t>Certains tribunaux condamnent ceux qui refusent déraisonnablement de régler leurs litiges par des modes de règlement extrajudiciaires</w:t>
      </w:r>
      <w:r w:rsidR="00D37E1C" w:rsidRPr="00C83E0A">
        <w:rPr>
          <w:lang w:val="fr-FR"/>
        </w:rPr>
        <w:t xml:space="preserve"> à supporter les frais occasionnés par la procédure judiciaire.  Bon nombre de tribunaux et d</w:t>
      </w:r>
      <w:r w:rsidR="00DA520E" w:rsidRPr="00C83E0A">
        <w:rPr>
          <w:lang w:val="fr-FR"/>
        </w:rPr>
        <w:t>’</w:t>
      </w:r>
      <w:r w:rsidR="00D37E1C" w:rsidRPr="00C83E0A">
        <w:rPr>
          <w:lang w:val="fr-FR"/>
        </w:rPr>
        <w:t>offices de la propriété intellectuelle, notamment l</w:t>
      </w:r>
      <w:r w:rsidR="00DA520E" w:rsidRPr="00C83E0A">
        <w:rPr>
          <w:lang w:val="fr-FR"/>
        </w:rPr>
        <w:t>’</w:t>
      </w:r>
      <w:r w:rsidR="00D37E1C" w:rsidRPr="00C83E0A">
        <w:rPr>
          <w:lang w:val="fr-FR"/>
        </w:rPr>
        <w:t>Office de la propriété intellectuelle du Royaume</w:t>
      </w:r>
      <w:r w:rsidR="005521BD" w:rsidRPr="00C83E0A">
        <w:rPr>
          <w:lang w:val="fr-FR"/>
        </w:rPr>
        <w:noBreakHyphen/>
      </w:r>
      <w:r w:rsidR="00D37E1C" w:rsidRPr="00C83E0A">
        <w:rPr>
          <w:lang w:val="fr-FR"/>
        </w:rPr>
        <w:t>Uni et l</w:t>
      </w:r>
      <w:r w:rsidR="00DA520E" w:rsidRPr="00C83E0A">
        <w:rPr>
          <w:lang w:val="fr-FR"/>
        </w:rPr>
        <w:t>’</w:t>
      </w:r>
      <w:r w:rsidR="00D37E1C" w:rsidRPr="00C83E0A">
        <w:rPr>
          <w:lang w:val="fr-FR"/>
        </w:rPr>
        <w:t>Office de l</w:t>
      </w:r>
      <w:r w:rsidR="00DA520E" w:rsidRPr="00C83E0A">
        <w:rPr>
          <w:lang w:val="fr-FR"/>
        </w:rPr>
        <w:t>’</w:t>
      </w:r>
      <w:r w:rsidR="00D37E1C" w:rsidRPr="00C83E0A">
        <w:rPr>
          <w:lang w:val="fr-FR"/>
        </w:rPr>
        <w:t>harmonisation dans le marché intérieur (OHMI) offrent eux</w:t>
      </w:r>
      <w:r w:rsidR="005521BD" w:rsidRPr="00C83E0A">
        <w:rPr>
          <w:lang w:val="fr-FR"/>
        </w:rPr>
        <w:noBreakHyphen/>
      </w:r>
      <w:r w:rsidR="00D37E1C" w:rsidRPr="00C83E0A">
        <w:rPr>
          <w:lang w:val="fr-FR"/>
        </w:rPr>
        <w:t>mêmes des services de médiation.</w:t>
      </w:r>
    </w:p>
    <w:p w:rsidR="0005781F" w:rsidRPr="00C83E0A" w:rsidRDefault="00FE7423" w:rsidP="00B7285D">
      <w:pPr>
        <w:pStyle w:val="ONUMFS"/>
        <w:numPr>
          <w:ilvl w:val="1"/>
          <w:numId w:val="32"/>
        </w:numPr>
        <w:rPr>
          <w:lang w:val="fr-FR"/>
        </w:rPr>
      </w:pPr>
      <w:r w:rsidRPr="00C83E0A">
        <w:rPr>
          <w:lang w:val="fr-FR"/>
        </w:rPr>
        <w:t>La médiation et les clauses contractuelles</w:t>
      </w:r>
      <w:r w:rsidR="00D11713" w:rsidRPr="00C83E0A">
        <w:rPr>
          <w:lang w:val="fr-FR"/>
        </w:rPr>
        <w:t xml:space="preserve"> par lesquelles les parties s</w:t>
      </w:r>
      <w:r w:rsidR="00DA520E" w:rsidRPr="00C83E0A">
        <w:rPr>
          <w:lang w:val="fr-FR"/>
        </w:rPr>
        <w:t>’</w:t>
      </w:r>
      <w:r w:rsidR="00D11713" w:rsidRPr="00C83E0A">
        <w:rPr>
          <w:lang w:val="fr-FR"/>
        </w:rPr>
        <w:t>engagent à recourir</w:t>
      </w:r>
      <w:r w:rsidRPr="00C83E0A">
        <w:rPr>
          <w:lang w:val="fr-FR"/>
        </w:rPr>
        <w:t xml:space="preserve"> à un mode extrajudiciaire de règlement des litiges</w:t>
      </w:r>
    </w:p>
    <w:p w:rsidR="0005781F" w:rsidRPr="00C83E0A" w:rsidRDefault="00D11713" w:rsidP="00B7285D">
      <w:pPr>
        <w:pStyle w:val="ONUMFS"/>
        <w:rPr>
          <w:lang w:val="fr-FR"/>
        </w:rPr>
      </w:pPr>
      <w:r w:rsidRPr="00C83E0A">
        <w:rPr>
          <w:lang w:val="fr-FR"/>
        </w:rPr>
        <w:t xml:space="preserve">Si de nombreux </w:t>
      </w:r>
      <w:r w:rsidR="00AC5152" w:rsidRPr="00C83E0A">
        <w:rPr>
          <w:lang w:val="fr-FR"/>
        </w:rPr>
        <w:t>instituts d</w:t>
      </w:r>
      <w:r w:rsidR="00DA520E" w:rsidRPr="00C83E0A">
        <w:rPr>
          <w:lang w:val="fr-FR"/>
        </w:rPr>
        <w:t>’</w:t>
      </w:r>
      <w:r w:rsidR="00AC5152" w:rsidRPr="00C83E0A">
        <w:rPr>
          <w:lang w:val="fr-FR"/>
        </w:rPr>
        <w:t>arbitrage fournissent des services de médiation, il en va également de même de nombre</w:t>
      </w:r>
      <w:r w:rsidRPr="00C83E0A">
        <w:rPr>
          <w:lang w:val="fr-FR"/>
        </w:rPr>
        <w:t xml:space="preserve"> d</w:t>
      </w:r>
      <w:r w:rsidR="00DA520E" w:rsidRPr="00C83E0A">
        <w:rPr>
          <w:lang w:val="fr-FR"/>
        </w:rPr>
        <w:t>’</w:t>
      </w:r>
      <w:r w:rsidR="00AC5152" w:rsidRPr="00C83E0A">
        <w:rPr>
          <w:lang w:val="fr-FR"/>
        </w:rPr>
        <w:t xml:space="preserve">organismes et </w:t>
      </w:r>
      <w:r w:rsidRPr="00C83E0A">
        <w:rPr>
          <w:lang w:val="fr-FR"/>
        </w:rPr>
        <w:t xml:space="preserve">de </w:t>
      </w:r>
      <w:r w:rsidR="00AC5152" w:rsidRPr="00C83E0A">
        <w:rPr>
          <w:lang w:val="fr-FR"/>
        </w:rPr>
        <w:t>particuliers.  De tels services de médiation ne sont pas spécifiques aux litiges relatifs à la propriété intellectuelle mais un grand nombre d</w:t>
      </w:r>
      <w:r w:rsidR="00DA520E" w:rsidRPr="00C83E0A">
        <w:rPr>
          <w:lang w:val="fr-FR"/>
        </w:rPr>
        <w:t>’</w:t>
      </w:r>
      <w:r w:rsidR="00AC5152" w:rsidRPr="00C83E0A">
        <w:rPr>
          <w:lang w:val="fr-FR"/>
        </w:rPr>
        <w:t>organismes industriels offrent également des services qui peuvent être mis en œuvre lors de litiges en matière de propriété intellectuelle.  Bon nombre de grands groupes industriels s</w:t>
      </w:r>
      <w:r w:rsidR="007B6638" w:rsidRPr="00C83E0A">
        <w:rPr>
          <w:lang w:val="fr-FR"/>
        </w:rPr>
        <w:t xml:space="preserve">ignent une clause contractuelle </w:t>
      </w:r>
      <w:r w:rsidRPr="00C83E0A">
        <w:rPr>
          <w:lang w:val="fr-FR"/>
        </w:rPr>
        <w:t>par laquelle ils s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engagent à recourir </w:t>
      </w:r>
      <w:r w:rsidR="007B6638" w:rsidRPr="00C83E0A">
        <w:rPr>
          <w:lang w:val="fr-FR"/>
        </w:rPr>
        <w:t>à</w:t>
      </w:r>
      <w:r w:rsidR="00AC5152" w:rsidRPr="00C83E0A">
        <w:rPr>
          <w:lang w:val="fr-FR"/>
        </w:rPr>
        <w:t xml:space="preserve"> un mode extrajudiciaire de règlement en cas de litiges.</w:t>
      </w:r>
    </w:p>
    <w:p w:rsidR="0005781F" w:rsidRPr="00C83E0A" w:rsidRDefault="00097829" w:rsidP="00B7285D">
      <w:pPr>
        <w:pStyle w:val="ONUMFS"/>
        <w:numPr>
          <w:ilvl w:val="1"/>
          <w:numId w:val="33"/>
        </w:numPr>
        <w:rPr>
          <w:lang w:val="fr-FR"/>
        </w:rPr>
      </w:pPr>
      <w:r w:rsidRPr="00C83E0A">
        <w:rPr>
          <w:lang w:val="fr-FR"/>
        </w:rPr>
        <w:t>Mécanismes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autoréglementation (instruments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application en ligne y</w:t>
      </w:r>
      <w:r w:rsidR="000E2599" w:rsidRPr="00C83E0A">
        <w:rPr>
          <w:lang w:val="fr-FR"/>
        </w:rPr>
        <w:t> </w:t>
      </w:r>
      <w:r w:rsidRPr="00C83E0A">
        <w:rPr>
          <w:lang w:val="fr-FR"/>
        </w:rPr>
        <w:t>compris).</w:t>
      </w:r>
    </w:p>
    <w:p w:rsidR="0005781F" w:rsidRPr="00C83E0A" w:rsidRDefault="00350898" w:rsidP="00B7285D">
      <w:pPr>
        <w:pStyle w:val="ONUMFS"/>
        <w:rPr>
          <w:lang w:val="fr-FR"/>
        </w:rPr>
      </w:pPr>
      <w:r w:rsidRPr="00C83E0A">
        <w:rPr>
          <w:lang w:val="fr-FR"/>
        </w:rPr>
        <w:t xml:space="preserve">Dans la mesure où certains actes </w:t>
      </w:r>
      <w:r w:rsidR="007F1A9D" w:rsidRPr="00C83E0A">
        <w:rPr>
          <w:lang w:val="fr-FR"/>
        </w:rPr>
        <w:t xml:space="preserve">qui </w:t>
      </w:r>
      <w:r w:rsidRPr="00C83E0A">
        <w:rPr>
          <w:lang w:val="fr-FR"/>
        </w:rPr>
        <w:t>nécessitent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utiliser des moyens fournis par des tiers, tels que des unités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enregistrement de noms de domaines, ou des moyens assurant la gestion de marchés </w:t>
      </w:r>
      <w:r w:rsidR="007F1A9D" w:rsidRPr="00C83E0A">
        <w:rPr>
          <w:lang w:val="fr-FR"/>
        </w:rPr>
        <w:t>physiques ou électroniques, sont susceptibles de se traduire par une violation de droits de propriété intellectuelle d</w:t>
      </w:r>
      <w:r w:rsidR="00DA520E" w:rsidRPr="00C83E0A">
        <w:rPr>
          <w:lang w:val="fr-FR"/>
        </w:rPr>
        <w:t>’</w:t>
      </w:r>
      <w:r w:rsidR="007F1A9D" w:rsidRPr="00C83E0A">
        <w:rPr>
          <w:lang w:val="fr-FR"/>
        </w:rPr>
        <w:t>autrui,</w:t>
      </w:r>
      <w:r w:rsidRPr="00C83E0A">
        <w:rPr>
          <w:lang w:val="fr-FR"/>
        </w:rPr>
        <w:t xml:space="preserve"> les utilisateurs de tels moyens dont le but est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assurer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application des droits de propriété intellectuelle peuvent se voir imposer de s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engager à recourir à des modes extrajudiciaires de règlement en cas de litiges.</w:t>
      </w:r>
    </w:p>
    <w:p w:rsidR="0005781F" w:rsidRPr="00C83E0A" w:rsidRDefault="007A0027" w:rsidP="00B7285D">
      <w:pPr>
        <w:pStyle w:val="ONUMFS"/>
        <w:rPr>
          <w:lang w:val="fr-FR"/>
        </w:rPr>
      </w:pPr>
      <w:r w:rsidRPr="00C83E0A">
        <w:rPr>
          <w:lang w:val="fr-FR"/>
        </w:rPr>
        <w:t xml:space="preserve">Les modes extrajudiciaires de règlement des litiges trouvent également leur place lors des litiges relatifs aux </w:t>
      </w:r>
      <w:r w:rsidR="000E2599" w:rsidRPr="00C83E0A">
        <w:rPr>
          <w:lang w:val="fr-FR"/>
        </w:rPr>
        <w:t>plates</w:t>
      </w:r>
      <w:r w:rsidR="005521BD" w:rsidRPr="00C83E0A">
        <w:rPr>
          <w:lang w:val="fr-FR"/>
        </w:rPr>
        <w:noBreakHyphen/>
      </w:r>
      <w:r w:rsidR="000E2599" w:rsidRPr="00C83E0A">
        <w:rPr>
          <w:lang w:val="fr-FR"/>
        </w:rPr>
        <w:t>formes</w:t>
      </w:r>
      <w:r w:rsidR="007F1A9D" w:rsidRPr="00C83E0A">
        <w:rPr>
          <w:lang w:val="fr-FR"/>
        </w:rPr>
        <w:t xml:space="preserve"> Internet, comme les marché</w:t>
      </w:r>
      <w:r w:rsidRPr="00C83E0A">
        <w:rPr>
          <w:lang w:val="fr-FR"/>
        </w:rPr>
        <w:t>s en ligne.  De ce fait, ils sont parfaitement adaptés au règlement de litiges en ligne, et peuvent ainsi être utilisés pour trancher des différends relatifs à des questions de droits de propriété intellectuelle en lie</w:t>
      </w:r>
      <w:r w:rsidR="00057063" w:rsidRPr="00C83E0A">
        <w:rPr>
          <w:lang w:val="fr-FR"/>
        </w:rPr>
        <w:t xml:space="preserve">n avec des </w:t>
      </w:r>
      <w:r w:rsidR="000E2599" w:rsidRPr="00C83E0A">
        <w:rPr>
          <w:lang w:val="fr-FR"/>
        </w:rPr>
        <w:t>plates</w:t>
      </w:r>
      <w:r w:rsidR="005521BD" w:rsidRPr="00C83E0A">
        <w:rPr>
          <w:lang w:val="fr-FR"/>
        </w:rPr>
        <w:noBreakHyphen/>
      </w:r>
      <w:r w:rsidR="000E2599" w:rsidRPr="00C83E0A">
        <w:rPr>
          <w:lang w:val="fr-FR"/>
        </w:rPr>
        <w:t>formes</w:t>
      </w:r>
      <w:r w:rsidR="00057063" w:rsidRPr="00C83E0A">
        <w:rPr>
          <w:lang w:val="fr-FR"/>
        </w:rPr>
        <w:t xml:space="preserve"> </w:t>
      </w:r>
      <w:r w:rsidR="000E2599" w:rsidRPr="00C83E0A">
        <w:rPr>
          <w:lang w:val="fr-FR"/>
        </w:rPr>
        <w:t>Internet</w:t>
      </w:r>
      <w:r w:rsidR="00057063" w:rsidRPr="00C83E0A">
        <w:rPr>
          <w:lang w:val="fr-FR"/>
        </w:rPr>
        <w:t xml:space="preserve">, notamment dans le cas de procédures de notification et de </w:t>
      </w:r>
      <w:r w:rsidR="001376D9">
        <w:rPr>
          <w:lang w:val="fr-FR"/>
        </w:rPr>
        <w:t>retrait</w:t>
      </w:r>
      <w:r w:rsidR="00057063" w:rsidRPr="00C83E0A">
        <w:rPr>
          <w:lang w:val="fr-FR"/>
        </w:rPr>
        <w:t>.</w:t>
      </w:r>
    </w:p>
    <w:p w:rsidR="0005781F" w:rsidRPr="00C83E0A" w:rsidRDefault="00B937C8" w:rsidP="00B7285D">
      <w:pPr>
        <w:pStyle w:val="ONUMFS"/>
        <w:numPr>
          <w:ilvl w:val="1"/>
          <w:numId w:val="34"/>
        </w:numPr>
        <w:rPr>
          <w:lang w:val="fr-FR"/>
        </w:rPr>
      </w:pPr>
      <w:r w:rsidRPr="00C83E0A">
        <w:rPr>
          <w:lang w:val="fr-FR"/>
        </w:rPr>
        <w:t>Autres</w:t>
      </w:r>
      <w:r w:rsidR="00C441F6" w:rsidRPr="00C83E0A">
        <w:rPr>
          <w:lang w:val="fr-FR"/>
        </w:rPr>
        <w:t xml:space="preserve"> points</w:t>
      </w:r>
    </w:p>
    <w:p w:rsidR="0005781F" w:rsidRPr="00C83E0A" w:rsidRDefault="005244E2" w:rsidP="00B7285D">
      <w:pPr>
        <w:pStyle w:val="ONUMFS"/>
        <w:rPr>
          <w:lang w:val="fr-FR"/>
        </w:rPr>
      </w:pPr>
      <w:r w:rsidRPr="00C83E0A">
        <w:rPr>
          <w:lang w:val="fr-FR"/>
        </w:rPr>
        <w:t>Il existe de nombreux exemples de recours à des modes extrajudiciaires de règlement de litiges pour assurer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application de droits de propriété intellectuelle (notamment,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autorégulation des salons, la régulation des noms commerciaux, etc.).  Il convient également de mentionner le recours croissant aux expertises et à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arbitrage pour trancher des différends dans le cadre </w:t>
      </w:r>
      <w:r w:rsidR="00375E8B" w:rsidRPr="00C83E0A">
        <w:rPr>
          <w:lang w:val="fr-FR"/>
        </w:rPr>
        <w:t>des activités d</w:t>
      </w:r>
      <w:r w:rsidR="00DA520E" w:rsidRPr="00C83E0A">
        <w:rPr>
          <w:lang w:val="fr-FR"/>
        </w:rPr>
        <w:t>’</w:t>
      </w:r>
      <w:r w:rsidR="00375E8B" w:rsidRPr="00C83E0A">
        <w:rPr>
          <w:lang w:val="fr-FR"/>
        </w:rPr>
        <w:t>organismes de normalisation ou d</w:t>
      </w:r>
      <w:r w:rsidR="00DA520E" w:rsidRPr="00C83E0A">
        <w:rPr>
          <w:lang w:val="fr-FR"/>
        </w:rPr>
        <w:t>’</w:t>
      </w:r>
      <w:r w:rsidR="00375E8B" w:rsidRPr="00C83E0A">
        <w:rPr>
          <w:lang w:val="fr-FR"/>
        </w:rPr>
        <w:t>utilisation de brevets essentiels pour l</w:t>
      </w:r>
      <w:r w:rsidR="00DA520E" w:rsidRPr="00C83E0A">
        <w:rPr>
          <w:lang w:val="fr-FR"/>
        </w:rPr>
        <w:t>’</w:t>
      </w:r>
      <w:r w:rsidR="00375E8B" w:rsidRPr="00C83E0A">
        <w:rPr>
          <w:lang w:val="fr-FR"/>
        </w:rPr>
        <w:t>application d</w:t>
      </w:r>
      <w:r w:rsidR="00DA520E" w:rsidRPr="00C83E0A">
        <w:rPr>
          <w:lang w:val="fr-FR"/>
        </w:rPr>
        <w:t>’</w:t>
      </w:r>
      <w:r w:rsidR="00375E8B" w:rsidRPr="00C83E0A">
        <w:rPr>
          <w:lang w:val="fr-FR"/>
        </w:rPr>
        <w:t>une norme.</w:t>
      </w:r>
    </w:p>
    <w:p w:rsidR="0005781F" w:rsidRPr="00C83E0A" w:rsidRDefault="00B84EF2" w:rsidP="00B7285D">
      <w:pPr>
        <w:pStyle w:val="ONUMFS"/>
        <w:rPr>
          <w:lang w:val="fr-FR"/>
        </w:rPr>
      </w:pPr>
      <w:r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expertise a un rôle majeur à jouer dans le cadre de communautés de brevets dits essentiels à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application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une norme.  En effet,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 xml:space="preserve">expertise permet de déterminer si les brevets </w:t>
      </w:r>
      <w:r w:rsidR="00FE7423" w:rsidRPr="00C83E0A">
        <w:rPr>
          <w:lang w:val="fr-FR"/>
        </w:rPr>
        <w:lastRenderedPageBreak/>
        <w:t>soumis à ladite communauté par l</w:t>
      </w:r>
      <w:r w:rsidRPr="00C83E0A">
        <w:rPr>
          <w:lang w:val="fr-FR"/>
        </w:rPr>
        <w:t xml:space="preserve">es membres </w:t>
      </w:r>
      <w:r w:rsidR="00FE7423" w:rsidRPr="00C83E0A">
        <w:rPr>
          <w:lang w:val="fr-FR"/>
        </w:rPr>
        <w:t xml:space="preserve">de cette dernière </w:t>
      </w:r>
      <w:r w:rsidRPr="00C83E0A">
        <w:rPr>
          <w:lang w:val="fr-FR"/>
        </w:rPr>
        <w:t>sont véritablement essentiels ou non à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application de la norme visée.</w:t>
      </w:r>
    </w:p>
    <w:p w:rsidR="0005781F" w:rsidRPr="00C83E0A" w:rsidRDefault="00FE7423" w:rsidP="00B7285D">
      <w:pPr>
        <w:pStyle w:val="ONUMFS"/>
        <w:rPr>
          <w:lang w:val="fr-FR"/>
        </w:rPr>
      </w:pPr>
      <w:r w:rsidRPr="00C83E0A">
        <w:rPr>
          <w:lang w:val="fr-FR"/>
        </w:rPr>
        <w:t>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arbitrage joue également un rôle croissant dans le secteur</w:t>
      </w:r>
      <w:r w:rsidR="00DA520E" w:rsidRPr="00C83E0A">
        <w:rPr>
          <w:lang w:val="fr-FR"/>
        </w:rPr>
        <w:t xml:space="preserve"> des TIC</w:t>
      </w:r>
      <w:r w:rsidRPr="00C83E0A">
        <w:rPr>
          <w:lang w:val="fr-FR"/>
        </w:rPr>
        <w:t xml:space="preserve"> ou ce mode de règlement est souvent proposé pour trancher un différend relatif à la détermination de redevances </w:t>
      </w:r>
      <w:r w:rsidR="000E2599" w:rsidRPr="00C83E0A">
        <w:rPr>
          <w:lang w:val="fr-FR"/>
        </w:rPr>
        <w:t>“</w:t>
      </w:r>
      <w:r w:rsidRPr="00C83E0A">
        <w:rPr>
          <w:lang w:val="fr-FR"/>
        </w:rPr>
        <w:t>justes, raisonnables et non discriminatoires</w:t>
      </w:r>
      <w:r w:rsidR="000E2599" w:rsidRPr="00C83E0A">
        <w:rPr>
          <w:lang w:val="fr-FR"/>
        </w:rPr>
        <w:t>”</w:t>
      </w:r>
      <w:r w:rsidRPr="00C83E0A">
        <w:rPr>
          <w:lang w:val="fr-FR"/>
        </w:rPr>
        <w:t xml:space="preserve"> </w:t>
      </w:r>
      <w:r w:rsidR="001376D9">
        <w:rPr>
          <w:lang w:val="fr-FR"/>
        </w:rPr>
        <w:t>([F</w:t>
      </w:r>
      <w:proofErr w:type="gramStart"/>
      <w:r w:rsidR="001376D9">
        <w:rPr>
          <w:lang w:val="fr-FR"/>
        </w:rPr>
        <w:t>]RAND</w:t>
      </w:r>
      <w:proofErr w:type="gramEnd"/>
      <w:r w:rsidR="001376D9">
        <w:rPr>
          <w:lang w:val="fr-FR"/>
        </w:rPr>
        <w:t xml:space="preserve">) </w:t>
      </w:r>
      <w:r w:rsidRPr="00C83E0A">
        <w:rPr>
          <w:lang w:val="fr-FR"/>
        </w:rPr>
        <w:t>pour les brevets essentiels à l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application d</w:t>
      </w:r>
      <w:r w:rsidR="00DA520E" w:rsidRPr="00C83E0A">
        <w:rPr>
          <w:lang w:val="fr-FR"/>
        </w:rPr>
        <w:t>’</w:t>
      </w:r>
      <w:r w:rsidRPr="00C83E0A">
        <w:rPr>
          <w:lang w:val="fr-FR"/>
        </w:rPr>
        <w:t>une norme.</w:t>
      </w:r>
    </w:p>
    <w:p w:rsidR="0005781F" w:rsidRPr="00C83E0A" w:rsidRDefault="0005781F" w:rsidP="00B7285D"/>
    <w:p w:rsidR="000B3C3E" w:rsidRPr="00C83E0A" w:rsidRDefault="000B3C3E" w:rsidP="00B7285D"/>
    <w:p w:rsidR="0039015E" w:rsidRPr="00C83E0A" w:rsidRDefault="00F6777F" w:rsidP="00B7285D">
      <w:pPr>
        <w:pStyle w:val="Endofdocument-Annex"/>
        <w:rPr>
          <w:rFonts w:eastAsia="Arial"/>
          <w:lang w:val="fr-FR"/>
        </w:rPr>
      </w:pPr>
      <w:r w:rsidRPr="00C83E0A">
        <w:rPr>
          <w:rFonts w:eastAsia="Arial"/>
          <w:lang w:val="fr-FR"/>
        </w:rPr>
        <w:t>[</w:t>
      </w:r>
      <w:r w:rsidR="00FE7423" w:rsidRPr="00C83E0A">
        <w:rPr>
          <w:rFonts w:eastAsia="Arial"/>
          <w:lang w:val="fr-FR"/>
        </w:rPr>
        <w:t>Fin du document</w:t>
      </w:r>
      <w:r w:rsidRPr="00C83E0A">
        <w:rPr>
          <w:rFonts w:eastAsia="Arial"/>
          <w:lang w:val="fr-FR"/>
        </w:rPr>
        <w:t>]</w:t>
      </w:r>
    </w:p>
    <w:p w:rsidR="0005781F" w:rsidRPr="00C83E0A" w:rsidRDefault="0005781F" w:rsidP="00B7285D">
      <w:pPr>
        <w:ind w:left="5534"/>
        <w:rPr>
          <w:rFonts w:eastAsia="Arial" w:cs="Arial"/>
        </w:rPr>
      </w:pPr>
    </w:p>
    <w:p w:rsidR="00B7285D" w:rsidRPr="00C83E0A" w:rsidRDefault="00B7285D">
      <w:pPr>
        <w:ind w:left="5534"/>
        <w:rPr>
          <w:rFonts w:eastAsia="Arial" w:cs="Arial"/>
        </w:rPr>
      </w:pPr>
    </w:p>
    <w:sectPr w:rsidR="00B7285D" w:rsidRPr="00C83E0A" w:rsidSect="001A174A">
      <w:headerReference w:type="default" r:id="rId10"/>
      <w:footerReference w:type="first" r:id="rId11"/>
      <w:pgSz w:w="11906" w:h="16838" w:code="9"/>
      <w:pgMar w:top="567" w:right="1134" w:bottom="1418" w:left="1418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BC" w:rsidRDefault="004D65BC" w:rsidP="000C408F">
      <w:r>
        <w:separator/>
      </w:r>
    </w:p>
  </w:endnote>
  <w:endnote w:type="continuationSeparator" w:id="0">
    <w:p w:rsidR="004D65BC" w:rsidRDefault="004D65BC" w:rsidP="000C408F">
      <w:r>
        <w:continuationSeparator/>
      </w:r>
    </w:p>
  </w:endnote>
  <w:endnote w:type="continuationNotice" w:id="1">
    <w:p w:rsidR="004D65BC" w:rsidRDefault="004D6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8A" w:rsidRPr="00195D4B" w:rsidRDefault="008E128A" w:rsidP="001A174A">
    <w:pPr>
      <w:pStyle w:val="Footer"/>
      <w:tabs>
        <w:tab w:val="clear" w:pos="4513"/>
        <w:tab w:val="clear" w:pos="9026"/>
        <w:tab w:val="right" w:pos="8504"/>
      </w:tabs>
      <w:rPr>
        <w:sz w:val="16"/>
        <w:lang w:val="en-US"/>
      </w:rPr>
    </w:pPr>
    <w:r>
      <w:rPr>
        <w:sz w:val="16"/>
      </w:rPr>
      <w:fldChar w:fldCharType="begin"/>
    </w:r>
    <w:r w:rsidRPr="00195D4B">
      <w:rPr>
        <w:sz w:val="16"/>
        <w:lang w:val="en-US"/>
      </w:rPr>
      <w:instrText xml:space="preserve"> FILENAME \* Lower\p  \* MERGEFORMAT </w:instrText>
    </w:r>
    <w:r>
      <w:rPr>
        <w:sz w:val="16"/>
      </w:rPr>
      <w:fldChar w:fldCharType="separate"/>
    </w:r>
    <w:r>
      <w:rPr>
        <w:sz w:val="16"/>
      </w:rPr>
      <w:fldChar w:fldCharType="end"/>
    </w:r>
    <w:r w:rsidRPr="00195D4B">
      <w:rPr>
        <w:sz w:val="16"/>
        <w:lang w:val="en-US"/>
      </w:rPr>
      <w:t xml:space="preserve"> </w:t>
    </w:r>
    <w:r w:rsidRPr="00195D4B"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BC" w:rsidRDefault="004D65BC" w:rsidP="000C408F">
      <w:r>
        <w:separator/>
      </w:r>
    </w:p>
  </w:footnote>
  <w:footnote w:type="continuationSeparator" w:id="0">
    <w:p w:rsidR="004D65BC" w:rsidRDefault="004D65BC" w:rsidP="000C408F">
      <w:r>
        <w:continuationSeparator/>
      </w:r>
    </w:p>
  </w:footnote>
  <w:footnote w:type="continuationNotice" w:id="1">
    <w:p w:rsidR="004D65BC" w:rsidRDefault="004D65BC"/>
  </w:footnote>
  <w:footnote w:id="2">
    <w:p w:rsidR="008E128A" w:rsidRPr="00FC60F3" w:rsidRDefault="008E128A" w:rsidP="00B7285D">
      <w:pPr>
        <w:pStyle w:val="FootnoteText"/>
      </w:pPr>
      <w:r w:rsidRPr="00FC60F3">
        <w:rPr>
          <w:rStyle w:val="FootnoteReference"/>
        </w:rPr>
        <w:t>*</w:t>
      </w:r>
      <w:r w:rsidRPr="00FC60F3">
        <w:t xml:space="preserve"> </w:t>
      </w:r>
      <w:r w:rsidRPr="00FC60F3">
        <w:tab/>
      </w:r>
      <w:r w:rsidRPr="00FC60F3">
        <w:rPr>
          <w:sz w:val="18"/>
          <w:szCs w:val="18"/>
        </w:rPr>
        <w:t>Il s'agit d'un résumé du document intitulé “</w:t>
      </w:r>
      <w:r w:rsidRPr="00FC60F3">
        <w:rPr>
          <w:iCs/>
          <w:sz w:val="18"/>
          <w:szCs w:val="18"/>
        </w:rPr>
        <w:t>Les modes extrajudiciaires de règlement des litiges comme instrument d'application des droits de propriété intellectuelle”</w:t>
      </w:r>
      <w:r w:rsidRPr="00FC60F3">
        <w:rPr>
          <w:i/>
          <w:iCs/>
          <w:sz w:val="18"/>
          <w:szCs w:val="18"/>
        </w:rPr>
        <w:t xml:space="preserve"> </w:t>
      </w:r>
      <w:r w:rsidRPr="00FC60F3">
        <w:rPr>
          <w:sz w:val="18"/>
          <w:szCs w:val="18"/>
        </w:rPr>
        <w:t>(WIPO/ACE/9/3).</w:t>
      </w:r>
    </w:p>
  </w:footnote>
  <w:footnote w:id="3">
    <w:p w:rsidR="008E128A" w:rsidRPr="00FC60F3" w:rsidRDefault="008E128A" w:rsidP="00B7285D">
      <w:pPr>
        <w:pStyle w:val="FootnoteText"/>
      </w:pPr>
      <w:r w:rsidRPr="00FC60F3">
        <w:rPr>
          <w:rStyle w:val="FootnoteReference"/>
        </w:rPr>
        <w:t>**</w:t>
      </w:r>
      <w:r w:rsidRPr="00FC60F3">
        <w:t xml:space="preserve"> </w:t>
      </w:r>
      <w:r w:rsidRPr="00FC60F3">
        <w:tab/>
      </w:r>
      <w:r w:rsidRPr="00FC60F3">
        <w:rPr>
          <w:sz w:val="18"/>
          <w:szCs w:val="18"/>
        </w:rPr>
        <w:t xml:space="preserve">Auteur des ouvrages </w:t>
      </w:r>
      <w:r w:rsidRPr="00FC60F3">
        <w:rPr>
          <w:i/>
          <w:iCs/>
          <w:sz w:val="18"/>
          <w:szCs w:val="18"/>
        </w:rPr>
        <w:t xml:space="preserve">A </w:t>
      </w:r>
      <w:proofErr w:type="spellStart"/>
      <w:r w:rsidRPr="00FC60F3">
        <w:rPr>
          <w:i/>
          <w:iCs/>
          <w:sz w:val="18"/>
          <w:szCs w:val="18"/>
        </w:rPr>
        <w:t>User's</w:t>
      </w:r>
      <w:proofErr w:type="spellEnd"/>
      <w:r w:rsidRPr="00FC60F3">
        <w:rPr>
          <w:i/>
          <w:iCs/>
          <w:sz w:val="18"/>
          <w:szCs w:val="18"/>
        </w:rPr>
        <w:t xml:space="preserve"> Guide to Patents</w:t>
      </w:r>
      <w:r w:rsidRPr="00FC60F3">
        <w:rPr>
          <w:sz w:val="18"/>
          <w:szCs w:val="18"/>
        </w:rPr>
        <w:t> (troisième édition, Bloomsbury 2011),</w:t>
      </w:r>
      <w:r>
        <w:rPr>
          <w:sz w:val="18"/>
          <w:szCs w:val="18"/>
        </w:rPr>
        <w:t xml:space="preserve"> </w:t>
      </w:r>
      <w:r w:rsidRPr="00FC60F3">
        <w:rPr>
          <w:i/>
          <w:iCs/>
          <w:sz w:val="18"/>
          <w:szCs w:val="18"/>
        </w:rPr>
        <w:t xml:space="preserve">EU </w:t>
      </w:r>
      <w:proofErr w:type="spellStart"/>
      <w:r w:rsidRPr="00FC60F3">
        <w:rPr>
          <w:i/>
          <w:iCs/>
          <w:sz w:val="18"/>
          <w:szCs w:val="18"/>
        </w:rPr>
        <w:t>Intellectual</w:t>
      </w:r>
      <w:proofErr w:type="spellEnd"/>
      <w:r w:rsidRPr="00FC60F3">
        <w:rPr>
          <w:i/>
          <w:iCs/>
          <w:sz w:val="18"/>
          <w:szCs w:val="18"/>
        </w:rPr>
        <w:t xml:space="preserve"> </w:t>
      </w:r>
      <w:proofErr w:type="spellStart"/>
      <w:r w:rsidRPr="00FC60F3">
        <w:rPr>
          <w:i/>
          <w:iCs/>
          <w:sz w:val="18"/>
          <w:szCs w:val="18"/>
        </w:rPr>
        <w:t>Property</w:t>
      </w:r>
      <w:proofErr w:type="spellEnd"/>
      <w:r w:rsidRPr="00FC60F3">
        <w:rPr>
          <w:i/>
          <w:iCs/>
          <w:sz w:val="18"/>
          <w:szCs w:val="18"/>
        </w:rPr>
        <w:t xml:space="preserve"> Law</w:t>
      </w:r>
      <w:r>
        <w:rPr>
          <w:sz w:val="18"/>
          <w:szCs w:val="18"/>
        </w:rPr>
        <w:t xml:space="preserve"> </w:t>
      </w:r>
      <w:r w:rsidRPr="00FC60F3">
        <w:rPr>
          <w:sz w:val="18"/>
          <w:szCs w:val="18"/>
        </w:rPr>
        <w:t xml:space="preserve">(Oxford </w:t>
      </w:r>
      <w:proofErr w:type="spellStart"/>
      <w:r w:rsidRPr="00FC60F3">
        <w:rPr>
          <w:sz w:val="18"/>
          <w:szCs w:val="18"/>
        </w:rPr>
        <w:t>University</w:t>
      </w:r>
      <w:proofErr w:type="spellEnd"/>
      <w:r w:rsidRPr="00FC60F3">
        <w:rPr>
          <w:sz w:val="18"/>
          <w:szCs w:val="18"/>
        </w:rPr>
        <w:t xml:space="preserve"> </w:t>
      </w:r>
      <w:proofErr w:type="spellStart"/>
      <w:r w:rsidRPr="00FC60F3">
        <w:rPr>
          <w:sz w:val="18"/>
          <w:szCs w:val="18"/>
        </w:rPr>
        <w:t>Press</w:t>
      </w:r>
      <w:proofErr w:type="spellEnd"/>
      <w:r w:rsidRPr="00FC60F3">
        <w:rPr>
          <w:sz w:val="18"/>
          <w:szCs w:val="18"/>
        </w:rPr>
        <w:t xml:space="preserve"> 2010), </w:t>
      </w:r>
      <w:r w:rsidRPr="00FC60F3">
        <w:rPr>
          <w:i/>
          <w:iCs/>
          <w:sz w:val="18"/>
          <w:szCs w:val="18"/>
        </w:rPr>
        <w:t xml:space="preserve">Pharmaceuticals </w:t>
      </w:r>
      <w:proofErr w:type="spellStart"/>
      <w:r w:rsidRPr="00FC60F3">
        <w:rPr>
          <w:i/>
          <w:iCs/>
          <w:sz w:val="18"/>
          <w:szCs w:val="18"/>
        </w:rPr>
        <w:t>Biotechnology</w:t>
      </w:r>
      <w:proofErr w:type="spellEnd"/>
      <w:r w:rsidRPr="00FC60F3">
        <w:rPr>
          <w:i/>
          <w:iCs/>
          <w:sz w:val="18"/>
          <w:szCs w:val="18"/>
        </w:rPr>
        <w:t xml:space="preserve"> and the Law</w:t>
      </w:r>
      <w:r w:rsidRPr="00FC60F3">
        <w:rPr>
          <w:sz w:val="18"/>
          <w:szCs w:val="18"/>
        </w:rPr>
        <w:t xml:space="preserve"> (deuxième</w:t>
      </w:r>
      <w:r>
        <w:rPr>
          <w:sz w:val="18"/>
          <w:szCs w:val="18"/>
        </w:rPr>
        <w:t> </w:t>
      </w:r>
      <w:r w:rsidRPr="00FC60F3">
        <w:rPr>
          <w:sz w:val="18"/>
          <w:szCs w:val="18"/>
        </w:rPr>
        <w:t>édition</w:t>
      </w:r>
      <w:r>
        <w:rPr>
          <w:sz w:val="18"/>
          <w:szCs w:val="18"/>
        </w:rPr>
        <w:t xml:space="preserve"> </w:t>
      </w:r>
      <w:r w:rsidRPr="00FC60F3">
        <w:rPr>
          <w:sz w:val="18"/>
          <w:szCs w:val="18"/>
        </w:rPr>
        <w:t xml:space="preserve">2009, </w:t>
      </w:r>
      <w:proofErr w:type="spellStart"/>
      <w:r w:rsidRPr="00FC60F3">
        <w:rPr>
          <w:sz w:val="18"/>
          <w:szCs w:val="18"/>
        </w:rPr>
        <w:t>LexisNexis</w:t>
      </w:r>
      <w:proofErr w:type="spellEnd"/>
      <w:r w:rsidRPr="00FC60F3">
        <w:rPr>
          <w:sz w:val="18"/>
          <w:szCs w:val="18"/>
        </w:rPr>
        <w:t>) et (avec Alejandro</w:t>
      </w:r>
      <w:r>
        <w:rPr>
          <w:sz w:val="18"/>
          <w:szCs w:val="18"/>
        </w:rPr>
        <w:t> </w:t>
      </w:r>
      <w:r w:rsidRPr="00FC60F3">
        <w:rPr>
          <w:sz w:val="18"/>
          <w:szCs w:val="18"/>
        </w:rPr>
        <w:t xml:space="preserve">Garcia) </w:t>
      </w:r>
      <w:r w:rsidRPr="00FC60F3">
        <w:rPr>
          <w:i/>
          <w:iCs/>
          <w:sz w:val="18"/>
          <w:szCs w:val="18"/>
        </w:rPr>
        <w:t xml:space="preserve">International </w:t>
      </w:r>
      <w:proofErr w:type="spellStart"/>
      <w:r w:rsidRPr="00FC60F3">
        <w:rPr>
          <w:i/>
          <w:iCs/>
          <w:sz w:val="18"/>
          <w:szCs w:val="18"/>
        </w:rPr>
        <w:t>Intellectual</w:t>
      </w:r>
      <w:proofErr w:type="spellEnd"/>
      <w:r w:rsidRPr="00FC60F3">
        <w:rPr>
          <w:i/>
          <w:iCs/>
          <w:sz w:val="18"/>
          <w:szCs w:val="18"/>
        </w:rPr>
        <w:t xml:space="preserve"> </w:t>
      </w:r>
      <w:proofErr w:type="spellStart"/>
      <w:r w:rsidRPr="00FC60F3">
        <w:rPr>
          <w:i/>
          <w:iCs/>
          <w:sz w:val="18"/>
          <w:szCs w:val="18"/>
        </w:rPr>
        <w:t>Property</w:t>
      </w:r>
      <w:proofErr w:type="spellEnd"/>
      <w:r w:rsidRPr="00FC60F3">
        <w:rPr>
          <w:i/>
          <w:iCs/>
          <w:sz w:val="18"/>
          <w:szCs w:val="18"/>
        </w:rPr>
        <w:t xml:space="preserve"> Arbitration</w:t>
      </w:r>
      <w:r>
        <w:rPr>
          <w:i/>
          <w:iCs/>
          <w:sz w:val="18"/>
          <w:szCs w:val="18"/>
        </w:rPr>
        <w:t xml:space="preserve"> </w:t>
      </w:r>
      <w:r w:rsidRPr="00FC60F3">
        <w:rPr>
          <w:sz w:val="18"/>
          <w:szCs w:val="18"/>
        </w:rPr>
        <w:t>(</w:t>
      </w:r>
      <w:proofErr w:type="spellStart"/>
      <w:r w:rsidRPr="00FC60F3">
        <w:rPr>
          <w:sz w:val="18"/>
          <w:szCs w:val="18"/>
        </w:rPr>
        <w:t>Wolters</w:t>
      </w:r>
      <w:proofErr w:type="spellEnd"/>
      <w:r w:rsidRPr="00FC60F3">
        <w:rPr>
          <w:sz w:val="18"/>
          <w:szCs w:val="18"/>
        </w:rPr>
        <w:t xml:space="preserve"> Kluwer 2010).  Les opinions exprimées dans le présent document sont celles de l'auteur uniquement et non celles du Secrétariat ni d'aucun État membre de l'OMPI.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8A" w:rsidRDefault="008E128A" w:rsidP="000C408F">
    <w:pPr>
      <w:ind w:right="5"/>
      <w:jc w:val="right"/>
    </w:pPr>
    <w:r>
      <w:t>WIPO/ACE/9/3</w:t>
    </w:r>
  </w:p>
  <w:p w:rsidR="008E128A" w:rsidRDefault="008E128A" w:rsidP="000C408F">
    <w:pPr>
      <w:ind w:right="5"/>
      <w:jc w:val="right"/>
    </w:pPr>
    <w:proofErr w:type="gramStart"/>
    <w:r>
      <w:rPr>
        <w:rFonts w:eastAsia="Batang" w:hint="eastAsia"/>
        <w:lang w:eastAsia="ko-KR"/>
      </w:rPr>
      <w:t>p</w:t>
    </w:r>
    <w:r>
      <w:t>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12E7">
      <w:rPr>
        <w:rStyle w:val="PageNumber"/>
        <w:noProof/>
      </w:rPr>
      <w:t>7</w:t>
    </w:r>
    <w:r>
      <w:rPr>
        <w:rStyle w:val="PageNumber"/>
      </w:rPr>
      <w:fldChar w:fldCharType="end"/>
    </w:r>
  </w:p>
  <w:p w:rsidR="008E128A" w:rsidRDefault="008E128A" w:rsidP="000C408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57D"/>
    <w:multiLevelType w:val="multilevel"/>
    <w:tmpl w:val="9B72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B1216"/>
    <w:multiLevelType w:val="multilevel"/>
    <w:tmpl w:val="204A4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C6CE3"/>
    <w:multiLevelType w:val="multilevel"/>
    <w:tmpl w:val="15860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56919"/>
    <w:multiLevelType w:val="multilevel"/>
    <w:tmpl w:val="52366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B602A"/>
    <w:multiLevelType w:val="multilevel"/>
    <w:tmpl w:val="02666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84458"/>
    <w:multiLevelType w:val="multilevel"/>
    <w:tmpl w:val="51048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64430"/>
    <w:multiLevelType w:val="multilevel"/>
    <w:tmpl w:val="4178E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911D64"/>
    <w:multiLevelType w:val="multilevel"/>
    <w:tmpl w:val="99307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0101A1"/>
    <w:multiLevelType w:val="multilevel"/>
    <w:tmpl w:val="5EA2E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9F3FBA"/>
    <w:multiLevelType w:val="hybridMultilevel"/>
    <w:tmpl w:val="B5C62632"/>
    <w:lvl w:ilvl="0" w:tplc="9DD8F468">
      <w:start w:val="1"/>
      <w:numFmt w:val="upperRoman"/>
      <w:pStyle w:val="Heading2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C39C6"/>
    <w:multiLevelType w:val="multilevel"/>
    <w:tmpl w:val="54164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B19A2"/>
    <w:multiLevelType w:val="multilevel"/>
    <w:tmpl w:val="D5B62D5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0521231"/>
    <w:multiLevelType w:val="multilevel"/>
    <w:tmpl w:val="170A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7F3895"/>
    <w:multiLevelType w:val="multilevel"/>
    <w:tmpl w:val="CF7A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E42DB8"/>
    <w:multiLevelType w:val="multilevel"/>
    <w:tmpl w:val="6D48C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F4A02"/>
    <w:multiLevelType w:val="multilevel"/>
    <w:tmpl w:val="C78AA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CF2BD0"/>
    <w:multiLevelType w:val="multilevel"/>
    <w:tmpl w:val="EDD47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695D66"/>
    <w:multiLevelType w:val="multilevel"/>
    <w:tmpl w:val="93CC7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AF24D5"/>
    <w:multiLevelType w:val="multilevel"/>
    <w:tmpl w:val="8A14B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243C00"/>
    <w:multiLevelType w:val="multilevel"/>
    <w:tmpl w:val="32147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4B428F"/>
    <w:multiLevelType w:val="multilevel"/>
    <w:tmpl w:val="6C14C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C3659D"/>
    <w:multiLevelType w:val="multilevel"/>
    <w:tmpl w:val="098CC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21"/>
  </w:num>
  <w:num w:numId="6">
    <w:abstractNumId w:val="2"/>
  </w:num>
  <w:num w:numId="7">
    <w:abstractNumId w:val="3"/>
  </w:num>
  <w:num w:numId="8">
    <w:abstractNumId w:val="10"/>
  </w:num>
  <w:num w:numId="9">
    <w:abstractNumId w:val="20"/>
  </w:num>
  <w:num w:numId="10">
    <w:abstractNumId w:val="0"/>
  </w:num>
  <w:num w:numId="11">
    <w:abstractNumId w:val="13"/>
  </w:num>
  <w:num w:numId="12">
    <w:abstractNumId w:val="4"/>
  </w:num>
  <w:num w:numId="13">
    <w:abstractNumId w:val="14"/>
  </w:num>
  <w:num w:numId="14">
    <w:abstractNumId w:val="19"/>
  </w:num>
  <w:num w:numId="15">
    <w:abstractNumId w:val="18"/>
  </w:num>
  <w:num w:numId="16">
    <w:abstractNumId w:val="7"/>
  </w:num>
  <w:num w:numId="17">
    <w:abstractNumId w:val="15"/>
  </w:num>
  <w:num w:numId="18">
    <w:abstractNumId w:val="16"/>
  </w:num>
  <w:num w:numId="19">
    <w:abstractNumId w:val="17"/>
  </w:num>
  <w:num w:numId="20">
    <w:abstractNumId w:val="6"/>
  </w:num>
  <w:num w:numId="21">
    <w:abstractNumId w:val="11"/>
  </w:num>
  <w:num w:numId="22">
    <w:abstractNumId w:val="9"/>
  </w:num>
  <w:num w:numId="2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2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2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3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3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4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5E"/>
    <w:rsid w:val="00034EE4"/>
    <w:rsid w:val="00042CA6"/>
    <w:rsid w:val="00042E91"/>
    <w:rsid w:val="00057063"/>
    <w:rsid w:val="0005781F"/>
    <w:rsid w:val="00077D11"/>
    <w:rsid w:val="00080C77"/>
    <w:rsid w:val="00082EC0"/>
    <w:rsid w:val="00084F70"/>
    <w:rsid w:val="00087443"/>
    <w:rsid w:val="00097829"/>
    <w:rsid w:val="000A230D"/>
    <w:rsid w:val="000B3C3E"/>
    <w:rsid w:val="000C408F"/>
    <w:rsid w:val="000D0F84"/>
    <w:rsid w:val="000E2599"/>
    <w:rsid w:val="0010754E"/>
    <w:rsid w:val="001212E7"/>
    <w:rsid w:val="001215D9"/>
    <w:rsid w:val="00126517"/>
    <w:rsid w:val="001278D0"/>
    <w:rsid w:val="0013038E"/>
    <w:rsid w:val="0013377A"/>
    <w:rsid w:val="001376D9"/>
    <w:rsid w:val="0014739D"/>
    <w:rsid w:val="00160675"/>
    <w:rsid w:val="00176F4E"/>
    <w:rsid w:val="0019208D"/>
    <w:rsid w:val="00195D4B"/>
    <w:rsid w:val="001969FD"/>
    <w:rsid w:val="001A174A"/>
    <w:rsid w:val="001A2320"/>
    <w:rsid w:val="001B16FF"/>
    <w:rsid w:val="001C44CF"/>
    <w:rsid w:val="001D4999"/>
    <w:rsid w:val="002129D2"/>
    <w:rsid w:val="00231D01"/>
    <w:rsid w:val="00232148"/>
    <w:rsid w:val="00236927"/>
    <w:rsid w:val="002379BB"/>
    <w:rsid w:val="00245321"/>
    <w:rsid w:val="0024542F"/>
    <w:rsid w:val="0026501D"/>
    <w:rsid w:val="00270844"/>
    <w:rsid w:val="00274E9E"/>
    <w:rsid w:val="00285C01"/>
    <w:rsid w:val="00293C63"/>
    <w:rsid w:val="002A7873"/>
    <w:rsid w:val="002C1F5C"/>
    <w:rsid w:val="002C32A9"/>
    <w:rsid w:val="002F0C9A"/>
    <w:rsid w:val="00312FD7"/>
    <w:rsid w:val="00313F46"/>
    <w:rsid w:val="00322A8E"/>
    <w:rsid w:val="00324340"/>
    <w:rsid w:val="003255B9"/>
    <w:rsid w:val="00330A40"/>
    <w:rsid w:val="00333ADE"/>
    <w:rsid w:val="00334450"/>
    <w:rsid w:val="0034358F"/>
    <w:rsid w:val="00350898"/>
    <w:rsid w:val="00354069"/>
    <w:rsid w:val="00375E8B"/>
    <w:rsid w:val="0038405D"/>
    <w:rsid w:val="00387CEB"/>
    <w:rsid w:val="0039015E"/>
    <w:rsid w:val="003C5CBF"/>
    <w:rsid w:val="003D67E1"/>
    <w:rsid w:val="003F77AC"/>
    <w:rsid w:val="00426CFA"/>
    <w:rsid w:val="00433441"/>
    <w:rsid w:val="00446B9E"/>
    <w:rsid w:val="00460B58"/>
    <w:rsid w:val="0046200F"/>
    <w:rsid w:val="00475F75"/>
    <w:rsid w:val="004841B2"/>
    <w:rsid w:val="00484B0C"/>
    <w:rsid w:val="00485013"/>
    <w:rsid w:val="004863A4"/>
    <w:rsid w:val="0048748F"/>
    <w:rsid w:val="004B3798"/>
    <w:rsid w:val="004D5BC2"/>
    <w:rsid w:val="004D65BC"/>
    <w:rsid w:val="004E086C"/>
    <w:rsid w:val="004E122E"/>
    <w:rsid w:val="004F103A"/>
    <w:rsid w:val="004F1A8A"/>
    <w:rsid w:val="00501715"/>
    <w:rsid w:val="00503EE5"/>
    <w:rsid w:val="0050638E"/>
    <w:rsid w:val="00520F8D"/>
    <w:rsid w:val="00522DCD"/>
    <w:rsid w:val="005244E2"/>
    <w:rsid w:val="005273DB"/>
    <w:rsid w:val="00534222"/>
    <w:rsid w:val="005521BD"/>
    <w:rsid w:val="00560369"/>
    <w:rsid w:val="00571D30"/>
    <w:rsid w:val="005B163D"/>
    <w:rsid w:val="005B7D57"/>
    <w:rsid w:val="005C1669"/>
    <w:rsid w:val="005D4D9B"/>
    <w:rsid w:val="005E0B28"/>
    <w:rsid w:val="005F2799"/>
    <w:rsid w:val="00603A44"/>
    <w:rsid w:val="0060626D"/>
    <w:rsid w:val="006100D0"/>
    <w:rsid w:val="006118C3"/>
    <w:rsid w:val="006340EF"/>
    <w:rsid w:val="00640F3E"/>
    <w:rsid w:val="00641102"/>
    <w:rsid w:val="006429A6"/>
    <w:rsid w:val="00643150"/>
    <w:rsid w:val="00650B6F"/>
    <w:rsid w:val="00651D66"/>
    <w:rsid w:val="006571D0"/>
    <w:rsid w:val="00663B58"/>
    <w:rsid w:val="00664720"/>
    <w:rsid w:val="006649EA"/>
    <w:rsid w:val="0067091B"/>
    <w:rsid w:val="00672646"/>
    <w:rsid w:val="006756CC"/>
    <w:rsid w:val="00683D80"/>
    <w:rsid w:val="00695141"/>
    <w:rsid w:val="0069625C"/>
    <w:rsid w:val="006A47A1"/>
    <w:rsid w:val="006D087B"/>
    <w:rsid w:val="006E3634"/>
    <w:rsid w:val="006F3E1E"/>
    <w:rsid w:val="00702F36"/>
    <w:rsid w:val="007036B8"/>
    <w:rsid w:val="0072437B"/>
    <w:rsid w:val="0074257C"/>
    <w:rsid w:val="0074293F"/>
    <w:rsid w:val="00743F3F"/>
    <w:rsid w:val="0075036C"/>
    <w:rsid w:val="00756772"/>
    <w:rsid w:val="0077298B"/>
    <w:rsid w:val="00775263"/>
    <w:rsid w:val="00784D8B"/>
    <w:rsid w:val="00794B65"/>
    <w:rsid w:val="007A0027"/>
    <w:rsid w:val="007A52EE"/>
    <w:rsid w:val="007B3BFE"/>
    <w:rsid w:val="007B6638"/>
    <w:rsid w:val="007D6978"/>
    <w:rsid w:val="007E1D3F"/>
    <w:rsid w:val="007E26CD"/>
    <w:rsid w:val="007E5195"/>
    <w:rsid w:val="007F1A9D"/>
    <w:rsid w:val="008020B0"/>
    <w:rsid w:val="00811BEB"/>
    <w:rsid w:val="00826299"/>
    <w:rsid w:val="00843D4A"/>
    <w:rsid w:val="008474D4"/>
    <w:rsid w:val="00866A41"/>
    <w:rsid w:val="00885119"/>
    <w:rsid w:val="00891CD5"/>
    <w:rsid w:val="008B1189"/>
    <w:rsid w:val="008C4FAC"/>
    <w:rsid w:val="008E128A"/>
    <w:rsid w:val="008E3175"/>
    <w:rsid w:val="008F176F"/>
    <w:rsid w:val="00914099"/>
    <w:rsid w:val="00917778"/>
    <w:rsid w:val="009227E2"/>
    <w:rsid w:val="00923659"/>
    <w:rsid w:val="009267FA"/>
    <w:rsid w:val="00930CBB"/>
    <w:rsid w:val="00941D7E"/>
    <w:rsid w:val="00945234"/>
    <w:rsid w:val="00947E50"/>
    <w:rsid w:val="00954B1A"/>
    <w:rsid w:val="009576DD"/>
    <w:rsid w:val="0096124B"/>
    <w:rsid w:val="0096159C"/>
    <w:rsid w:val="00961DA5"/>
    <w:rsid w:val="00971B1C"/>
    <w:rsid w:val="00977420"/>
    <w:rsid w:val="0098012C"/>
    <w:rsid w:val="009A59DC"/>
    <w:rsid w:val="009B3F21"/>
    <w:rsid w:val="009B627C"/>
    <w:rsid w:val="009D79AF"/>
    <w:rsid w:val="009F5AF6"/>
    <w:rsid w:val="009F5C5A"/>
    <w:rsid w:val="00A05682"/>
    <w:rsid w:val="00A06340"/>
    <w:rsid w:val="00A335DD"/>
    <w:rsid w:val="00A349F3"/>
    <w:rsid w:val="00A44038"/>
    <w:rsid w:val="00A536AD"/>
    <w:rsid w:val="00A60609"/>
    <w:rsid w:val="00A75EA0"/>
    <w:rsid w:val="00A834BC"/>
    <w:rsid w:val="00A95D75"/>
    <w:rsid w:val="00AC5152"/>
    <w:rsid w:val="00AE2717"/>
    <w:rsid w:val="00AE3E7E"/>
    <w:rsid w:val="00B07779"/>
    <w:rsid w:val="00B10BDB"/>
    <w:rsid w:val="00B1484B"/>
    <w:rsid w:val="00B30361"/>
    <w:rsid w:val="00B42315"/>
    <w:rsid w:val="00B44729"/>
    <w:rsid w:val="00B47DA6"/>
    <w:rsid w:val="00B7285D"/>
    <w:rsid w:val="00B84EF2"/>
    <w:rsid w:val="00B91349"/>
    <w:rsid w:val="00B937C8"/>
    <w:rsid w:val="00BA4DF5"/>
    <w:rsid w:val="00BC5CB9"/>
    <w:rsid w:val="00BC771F"/>
    <w:rsid w:val="00BD10C0"/>
    <w:rsid w:val="00BD2681"/>
    <w:rsid w:val="00BD2D53"/>
    <w:rsid w:val="00C11AA7"/>
    <w:rsid w:val="00C309BB"/>
    <w:rsid w:val="00C402C8"/>
    <w:rsid w:val="00C441F6"/>
    <w:rsid w:val="00C4429A"/>
    <w:rsid w:val="00C44318"/>
    <w:rsid w:val="00C44EAA"/>
    <w:rsid w:val="00C5250E"/>
    <w:rsid w:val="00C62D48"/>
    <w:rsid w:val="00C73154"/>
    <w:rsid w:val="00C83E0A"/>
    <w:rsid w:val="00C934D7"/>
    <w:rsid w:val="00C93A8B"/>
    <w:rsid w:val="00C95826"/>
    <w:rsid w:val="00CA5CCA"/>
    <w:rsid w:val="00CB3E61"/>
    <w:rsid w:val="00D01AAE"/>
    <w:rsid w:val="00D11713"/>
    <w:rsid w:val="00D142ED"/>
    <w:rsid w:val="00D37E1C"/>
    <w:rsid w:val="00D4031C"/>
    <w:rsid w:val="00D71C73"/>
    <w:rsid w:val="00D906F3"/>
    <w:rsid w:val="00D9187F"/>
    <w:rsid w:val="00D91BB7"/>
    <w:rsid w:val="00D95101"/>
    <w:rsid w:val="00DA520E"/>
    <w:rsid w:val="00DA5F53"/>
    <w:rsid w:val="00DB68BD"/>
    <w:rsid w:val="00DC4C8B"/>
    <w:rsid w:val="00DD3C4C"/>
    <w:rsid w:val="00DF773D"/>
    <w:rsid w:val="00E100CB"/>
    <w:rsid w:val="00E120DE"/>
    <w:rsid w:val="00E270B8"/>
    <w:rsid w:val="00E320AD"/>
    <w:rsid w:val="00E3454E"/>
    <w:rsid w:val="00E4126F"/>
    <w:rsid w:val="00E51E48"/>
    <w:rsid w:val="00E71696"/>
    <w:rsid w:val="00EA0216"/>
    <w:rsid w:val="00EA057D"/>
    <w:rsid w:val="00EA3382"/>
    <w:rsid w:val="00EC652F"/>
    <w:rsid w:val="00F115A7"/>
    <w:rsid w:val="00F25A7E"/>
    <w:rsid w:val="00F366FC"/>
    <w:rsid w:val="00F42287"/>
    <w:rsid w:val="00F62129"/>
    <w:rsid w:val="00F6777F"/>
    <w:rsid w:val="00F67BD2"/>
    <w:rsid w:val="00F82E2D"/>
    <w:rsid w:val="00F83E3B"/>
    <w:rsid w:val="00F86946"/>
    <w:rsid w:val="00F87A09"/>
    <w:rsid w:val="00FA6200"/>
    <w:rsid w:val="00FA7A4F"/>
    <w:rsid w:val="00FB09C6"/>
    <w:rsid w:val="00FB455E"/>
    <w:rsid w:val="00FC3CBE"/>
    <w:rsid w:val="00FC60F3"/>
    <w:rsid w:val="00FD215B"/>
    <w:rsid w:val="00FE7423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8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5781F"/>
    <w:pPr>
      <w:keepNext/>
      <w:spacing w:before="240" w:after="60"/>
      <w:outlineLvl w:val="0"/>
    </w:pPr>
    <w:rPr>
      <w:rFonts w:eastAsia="SimSun" w:cs="Arial"/>
      <w:b/>
      <w:bCs/>
      <w:caps/>
      <w:kern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6F3E1E"/>
    <w:pPr>
      <w:keepNext/>
      <w:numPr>
        <w:numId w:val="22"/>
      </w:numPr>
      <w:tabs>
        <w:tab w:val="clear" w:pos="567"/>
      </w:tabs>
      <w:spacing w:before="240" w:after="60"/>
      <w:outlineLvl w:val="1"/>
    </w:pPr>
    <w:rPr>
      <w:rFonts w:eastAsia="SimSun" w:cs="Arial"/>
      <w:bCs/>
      <w:iCs/>
      <w:caps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F3"/>
    <w:rPr>
      <w:rFonts w:ascii="Tahoma" w:hAnsi="Tahoma" w:cs="Tahoma"/>
      <w:sz w:val="16"/>
      <w:szCs w:val="16"/>
    </w:rPr>
  </w:style>
  <w:style w:type="paragraph" w:customStyle="1" w:styleId="Meetingtitle">
    <w:name w:val="Meeting title"/>
    <w:basedOn w:val="Normal"/>
    <w:next w:val="Normal"/>
    <w:rsid w:val="00D4031C"/>
    <w:pPr>
      <w:spacing w:line="336" w:lineRule="exact"/>
      <w:ind w:left="1021"/>
    </w:pPr>
    <w:rPr>
      <w:rFonts w:eastAsia="Batang" w:cs="Times New Roman"/>
      <w:b/>
      <w:sz w:val="28"/>
      <w:szCs w:val="20"/>
      <w:lang w:val="en-US" w:eastAsia="en-US"/>
    </w:rPr>
  </w:style>
  <w:style w:type="paragraph" w:customStyle="1" w:styleId="Sessiontitle">
    <w:name w:val="Session title"/>
    <w:basedOn w:val="Meetingtitle"/>
    <w:next w:val="Meetingplacedate"/>
    <w:rsid w:val="00D4031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D4031C"/>
    <w:pPr>
      <w:spacing w:before="0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0C4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08F"/>
  </w:style>
  <w:style w:type="paragraph" w:styleId="Footer">
    <w:name w:val="footer"/>
    <w:basedOn w:val="Normal"/>
    <w:link w:val="FooterChar"/>
    <w:uiPriority w:val="99"/>
    <w:unhideWhenUsed/>
    <w:rsid w:val="000C4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08F"/>
  </w:style>
  <w:style w:type="character" w:styleId="PageNumber">
    <w:name w:val="page number"/>
    <w:basedOn w:val="DefaultParagraphFont"/>
    <w:rsid w:val="000C408F"/>
  </w:style>
  <w:style w:type="character" w:styleId="Hyperlink">
    <w:name w:val="Hyperlink"/>
    <w:basedOn w:val="DefaultParagraphFont"/>
    <w:uiPriority w:val="99"/>
    <w:semiHidden/>
    <w:unhideWhenUsed/>
    <w:rsid w:val="005521BD"/>
    <w:rPr>
      <w:color w:val="0000FF" w:themeColor="hyperlink"/>
      <w:u w:val="single"/>
    </w:rPr>
  </w:style>
  <w:style w:type="paragraph" w:customStyle="1" w:styleId="ONUMFS">
    <w:name w:val="ONUM FS"/>
    <w:basedOn w:val="BodyText"/>
    <w:rsid w:val="0005781F"/>
    <w:pPr>
      <w:numPr>
        <w:numId w:val="21"/>
      </w:numPr>
      <w:spacing w:after="220"/>
    </w:pPr>
    <w:rPr>
      <w:rFonts w:eastAsia="SimSun" w:cs="Arial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81F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05781F"/>
    <w:rPr>
      <w:rFonts w:ascii="Arial" w:eastAsia="SimSun" w:hAnsi="Arial" w:cs="Arial"/>
      <w:b/>
      <w:bCs/>
      <w:caps/>
      <w:kern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F3E1E"/>
    <w:rPr>
      <w:rFonts w:ascii="Arial" w:eastAsia="SimSun" w:hAnsi="Arial" w:cs="Arial"/>
      <w:bCs/>
      <w:iCs/>
      <w:caps/>
      <w:szCs w:val="28"/>
      <w:lang w:val="en-US" w:eastAsia="zh-CN"/>
    </w:rPr>
  </w:style>
  <w:style w:type="paragraph" w:customStyle="1" w:styleId="Endofdocument-Annex">
    <w:name w:val="[End of document - Annex]"/>
    <w:basedOn w:val="Normal"/>
    <w:rsid w:val="000B3C3E"/>
    <w:pPr>
      <w:ind w:left="5534"/>
    </w:pPr>
    <w:rPr>
      <w:rFonts w:eastAsia="SimSun" w:cs="Arial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B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B0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B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12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28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28A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2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8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8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5781F"/>
    <w:pPr>
      <w:keepNext/>
      <w:spacing w:before="240" w:after="60"/>
      <w:outlineLvl w:val="0"/>
    </w:pPr>
    <w:rPr>
      <w:rFonts w:eastAsia="SimSun" w:cs="Arial"/>
      <w:b/>
      <w:bCs/>
      <w:caps/>
      <w:kern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6F3E1E"/>
    <w:pPr>
      <w:keepNext/>
      <w:numPr>
        <w:numId w:val="22"/>
      </w:numPr>
      <w:tabs>
        <w:tab w:val="clear" w:pos="567"/>
      </w:tabs>
      <w:spacing w:before="240" w:after="60"/>
      <w:outlineLvl w:val="1"/>
    </w:pPr>
    <w:rPr>
      <w:rFonts w:eastAsia="SimSun" w:cs="Arial"/>
      <w:bCs/>
      <w:iCs/>
      <w:caps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F3"/>
    <w:rPr>
      <w:rFonts w:ascii="Tahoma" w:hAnsi="Tahoma" w:cs="Tahoma"/>
      <w:sz w:val="16"/>
      <w:szCs w:val="16"/>
    </w:rPr>
  </w:style>
  <w:style w:type="paragraph" w:customStyle="1" w:styleId="Meetingtitle">
    <w:name w:val="Meeting title"/>
    <w:basedOn w:val="Normal"/>
    <w:next w:val="Normal"/>
    <w:rsid w:val="00D4031C"/>
    <w:pPr>
      <w:spacing w:line="336" w:lineRule="exact"/>
      <w:ind w:left="1021"/>
    </w:pPr>
    <w:rPr>
      <w:rFonts w:eastAsia="Batang" w:cs="Times New Roman"/>
      <w:b/>
      <w:sz w:val="28"/>
      <w:szCs w:val="20"/>
      <w:lang w:val="en-US" w:eastAsia="en-US"/>
    </w:rPr>
  </w:style>
  <w:style w:type="paragraph" w:customStyle="1" w:styleId="Sessiontitle">
    <w:name w:val="Session title"/>
    <w:basedOn w:val="Meetingtitle"/>
    <w:next w:val="Meetingplacedate"/>
    <w:rsid w:val="00D4031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D4031C"/>
    <w:pPr>
      <w:spacing w:before="0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0C4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08F"/>
  </w:style>
  <w:style w:type="paragraph" w:styleId="Footer">
    <w:name w:val="footer"/>
    <w:basedOn w:val="Normal"/>
    <w:link w:val="FooterChar"/>
    <w:uiPriority w:val="99"/>
    <w:unhideWhenUsed/>
    <w:rsid w:val="000C4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08F"/>
  </w:style>
  <w:style w:type="character" w:styleId="PageNumber">
    <w:name w:val="page number"/>
    <w:basedOn w:val="DefaultParagraphFont"/>
    <w:rsid w:val="000C408F"/>
  </w:style>
  <w:style w:type="character" w:styleId="Hyperlink">
    <w:name w:val="Hyperlink"/>
    <w:basedOn w:val="DefaultParagraphFont"/>
    <w:uiPriority w:val="99"/>
    <w:semiHidden/>
    <w:unhideWhenUsed/>
    <w:rsid w:val="005521BD"/>
    <w:rPr>
      <w:color w:val="0000FF" w:themeColor="hyperlink"/>
      <w:u w:val="single"/>
    </w:rPr>
  </w:style>
  <w:style w:type="paragraph" w:customStyle="1" w:styleId="ONUMFS">
    <w:name w:val="ONUM FS"/>
    <w:basedOn w:val="BodyText"/>
    <w:rsid w:val="0005781F"/>
    <w:pPr>
      <w:numPr>
        <w:numId w:val="21"/>
      </w:numPr>
      <w:spacing w:after="220"/>
    </w:pPr>
    <w:rPr>
      <w:rFonts w:eastAsia="SimSun" w:cs="Arial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81F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05781F"/>
    <w:rPr>
      <w:rFonts w:ascii="Arial" w:eastAsia="SimSun" w:hAnsi="Arial" w:cs="Arial"/>
      <w:b/>
      <w:bCs/>
      <w:caps/>
      <w:kern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F3E1E"/>
    <w:rPr>
      <w:rFonts w:ascii="Arial" w:eastAsia="SimSun" w:hAnsi="Arial" w:cs="Arial"/>
      <w:bCs/>
      <w:iCs/>
      <w:caps/>
      <w:szCs w:val="28"/>
      <w:lang w:val="en-US" w:eastAsia="zh-CN"/>
    </w:rPr>
  </w:style>
  <w:style w:type="paragraph" w:customStyle="1" w:styleId="Endofdocument-Annex">
    <w:name w:val="[End of document - Annex]"/>
    <w:basedOn w:val="Normal"/>
    <w:rsid w:val="000B3C3E"/>
    <w:pPr>
      <w:ind w:left="5534"/>
    </w:pPr>
    <w:rPr>
      <w:rFonts w:eastAsia="SimSun" w:cs="Arial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B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B0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B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12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28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28A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2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8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48B0-ECB3-4A3D-8D8B-B6D90AC1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4344</Words>
  <Characters>24764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29050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keywords>CBP/ko</cp:keywords>
  <cp:lastModifiedBy>COLIN Isabelle</cp:lastModifiedBy>
  <cp:revision>6</cp:revision>
  <cp:lastPrinted>2014-02-14T08:55:00Z</cp:lastPrinted>
  <dcterms:created xsi:type="dcterms:W3CDTF">2014-02-14T10:51:00Z</dcterms:created>
  <dcterms:modified xsi:type="dcterms:W3CDTF">2014-02-14T10:53:00Z</dcterms:modified>
</cp:coreProperties>
</file>