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2D1C"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3A15A7CC" wp14:editId="6BD31E3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F9F56A0" w14:textId="0BEE3C64" w:rsidR="00B1090C" w:rsidRDefault="00897816" w:rsidP="0040540C">
      <w:pPr>
        <w:jc w:val="right"/>
        <w:rPr>
          <w:rFonts w:ascii="Arial Black" w:hAnsi="Arial Black"/>
          <w:caps/>
          <w:sz w:val="15"/>
        </w:rPr>
      </w:pPr>
      <w:proofErr w:type="spellStart"/>
      <w:r>
        <w:rPr>
          <w:rFonts w:ascii="Arial Black" w:hAnsi="Arial Black"/>
          <w:caps/>
          <w:sz w:val="15"/>
        </w:rPr>
        <w:t>CDIP</w:t>
      </w:r>
      <w:proofErr w:type="spellEnd"/>
      <w:r>
        <w:rPr>
          <w:rFonts w:ascii="Arial Black" w:hAnsi="Arial Black"/>
          <w:caps/>
          <w:sz w:val="15"/>
        </w:rPr>
        <w:t>/3</w:t>
      </w:r>
      <w:r w:rsidR="002044B0">
        <w:rPr>
          <w:rFonts w:ascii="Arial Black" w:hAnsi="Arial Black"/>
          <w:caps/>
          <w:sz w:val="15"/>
        </w:rPr>
        <w:t>5</w:t>
      </w:r>
      <w:r>
        <w:rPr>
          <w:rFonts w:ascii="Arial Black" w:hAnsi="Arial Black"/>
          <w:caps/>
          <w:sz w:val="15"/>
        </w:rPr>
        <w:t>/</w:t>
      </w:r>
      <w:bookmarkStart w:id="0" w:name="Code"/>
      <w:bookmarkEnd w:id="0"/>
      <w:r w:rsidR="00613523">
        <w:rPr>
          <w:rFonts w:ascii="Arial Black" w:hAnsi="Arial Black"/>
          <w:caps/>
          <w:sz w:val="15"/>
        </w:rPr>
        <w:t>4</w:t>
      </w:r>
    </w:p>
    <w:p w14:paraId="7ECB0E97" w14:textId="4781DE84" w:rsidR="008B2CC1" w:rsidRPr="0040540C" w:rsidRDefault="00B1090C" w:rsidP="0040540C">
      <w:pPr>
        <w:jc w:val="right"/>
      </w:pPr>
      <w:r w:rsidRPr="0090731E">
        <w:rPr>
          <w:rFonts w:ascii="Arial Black" w:hAnsi="Arial Black"/>
          <w:caps/>
          <w:sz w:val="15"/>
        </w:rPr>
        <w:t>ORIGINAL</w:t>
      </w:r>
      <w:r w:rsidR="007A316D">
        <w:rPr>
          <w:rFonts w:ascii="Arial Black" w:hAnsi="Arial Black"/>
          <w:caps/>
          <w:sz w:val="15"/>
        </w:rPr>
        <w:t> :</w:t>
      </w:r>
      <w:r w:rsidR="002956DE">
        <w:rPr>
          <w:rFonts w:ascii="Arial Black" w:hAnsi="Arial Black"/>
          <w:caps/>
          <w:sz w:val="15"/>
        </w:rPr>
        <w:t xml:space="preserve"> </w:t>
      </w:r>
      <w:bookmarkStart w:id="1" w:name="Original"/>
      <w:r w:rsidR="00613523">
        <w:rPr>
          <w:rFonts w:ascii="Arial Black" w:hAnsi="Arial Black"/>
          <w:caps/>
          <w:sz w:val="15"/>
        </w:rPr>
        <w:t>anglais</w:t>
      </w:r>
    </w:p>
    <w:bookmarkEnd w:id="1"/>
    <w:p w14:paraId="4EFBA839" w14:textId="028F8854" w:rsidR="008B2CC1" w:rsidRPr="0040540C" w:rsidRDefault="00B1090C" w:rsidP="00B1090C">
      <w:pPr>
        <w:spacing w:after="1200"/>
        <w:jc w:val="right"/>
      </w:pPr>
      <w:r w:rsidRPr="0090731E">
        <w:rPr>
          <w:rFonts w:ascii="Arial Black" w:hAnsi="Arial Black"/>
          <w:caps/>
          <w:sz w:val="15"/>
        </w:rPr>
        <w:t>DATE</w:t>
      </w:r>
      <w:r w:rsidR="007A316D">
        <w:rPr>
          <w:rFonts w:ascii="Arial Black" w:hAnsi="Arial Black"/>
          <w:caps/>
          <w:sz w:val="15"/>
        </w:rPr>
        <w:t> :</w:t>
      </w:r>
      <w:r w:rsidR="002956DE">
        <w:rPr>
          <w:rFonts w:ascii="Arial Black" w:hAnsi="Arial Black"/>
          <w:caps/>
          <w:sz w:val="15"/>
        </w:rPr>
        <w:t xml:space="preserve"> </w:t>
      </w:r>
      <w:bookmarkStart w:id="2" w:name="Date"/>
      <w:r w:rsidR="00613523">
        <w:rPr>
          <w:rFonts w:ascii="Arial Black" w:hAnsi="Arial Black"/>
          <w:caps/>
          <w:sz w:val="15"/>
        </w:rPr>
        <w:t>28 </w:t>
      </w:r>
      <w:r w:rsidR="007A316D">
        <w:rPr>
          <w:rFonts w:ascii="Arial Black" w:hAnsi="Arial Black"/>
          <w:caps/>
          <w:sz w:val="15"/>
        </w:rPr>
        <w:t>août 20</w:t>
      </w:r>
      <w:r w:rsidR="00613523">
        <w:rPr>
          <w:rFonts w:ascii="Arial Black" w:hAnsi="Arial Black"/>
          <w:caps/>
          <w:sz w:val="15"/>
        </w:rPr>
        <w:t>25</w:t>
      </w:r>
    </w:p>
    <w:bookmarkEnd w:id="2"/>
    <w:p w14:paraId="277165CE" w14:textId="77777777" w:rsidR="003845C1" w:rsidRPr="002A79DB" w:rsidRDefault="001060FF" w:rsidP="00020C7E">
      <w:pPr>
        <w:pStyle w:val="Heading1"/>
        <w:spacing w:before="0" w:after="600"/>
        <w:rPr>
          <w:caps w:val="0"/>
          <w:sz w:val="28"/>
        </w:rPr>
      </w:pPr>
      <w:r>
        <w:rPr>
          <w:caps w:val="0"/>
          <w:sz w:val="28"/>
        </w:rPr>
        <w:t>Comité d</w:t>
      </w:r>
      <w:r w:rsidR="00897816" w:rsidRPr="00897816">
        <w:rPr>
          <w:caps w:val="0"/>
          <w:sz w:val="28"/>
        </w:rPr>
        <w:t xml:space="preserve">u </w:t>
      </w:r>
      <w:r w:rsidR="00897816">
        <w:rPr>
          <w:caps w:val="0"/>
          <w:sz w:val="28"/>
        </w:rPr>
        <w:t>d</w:t>
      </w:r>
      <w:r w:rsidR="00897816" w:rsidRPr="00897816">
        <w:rPr>
          <w:caps w:val="0"/>
          <w:sz w:val="28"/>
        </w:rPr>
        <w:t xml:space="preserve">éveloppement </w:t>
      </w:r>
      <w:r w:rsidR="00897816">
        <w:rPr>
          <w:caps w:val="0"/>
          <w:sz w:val="28"/>
        </w:rPr>
        <w:t>e</w:t>
      </w:r>
      <w:r w:rsidR="00897816" w:rsidRPr="00897816">
        <w:rPr>
          <w:caps w:val="0"/>
          <w:sz w:val="28"/>
        </w:rPr>
        <w:t xml:space="preserve">t </w:t>
      </w:r>
      <w:r w:rsidR="00897816">
        <w:rPr>
          <w:caps w:val="0"/>
          <w:sz w:val="28"/>
        </w:rPr>
        <w:t>d</w:t>
      </w:r>
      <w:r w:rsidR="00897816" w:rsidRPr="00897816">
        <w:rPr>
          <w:caps w:val="0"/>
          <w:sz w:val="28"/>
        </w:rPr>
        <w:t xml:space="preserve">e </w:t>
      </w:r>
      <w:r w:rsidR="00897816">
        <w:rPr>
          <w:caps w:val="0"/>
          <w:sz w:val="28"/>
        </w:rPr>
        <w:t>l</w:t>
      </w:r>
      <w:r w:rsidR="00897816" w:rsidRPr="00897816">
        <w:rPr>
          <w:caps w:val="0"/>
          <w:sz w:val="28"/>
        </w:rPr>
        <w:t xml:space="preserve">a </w:t>
      </w:r>
      <w:r w:rsidR="00897816">
        <w:rPr>
          <w:caps w:val="0"/>
          <w:sz w:val="28"/>
        </w:rPr>
        <w:t>p</w:t>
      </w:r>
      <w:r w:rsidR="00897816" w:rsidRPr="00897816">
        <w:rPr>
          <w:caps w:val="0"/>
          <w:sz w:val="28"/>
        </w:rPr>
        <w:t xml:space="preserve">ropriété </w:t>
      </w:r>
      <w:r w:rsidR="00897816">
        <w:rPr>
          <w:caps w:val="0"/>
          <w:sz w:val="28"/>
        </w:rPr>
        <w:t>i</w:t>
      </w:r>
      <w:r w:rsidR="00897816" w:rsidRPr="00897816">
        <w:rPr>
          <w:caps w:val="0"/>
          <w:sz w:val="28"/>
        </w:rPr>
        <w:t>ntellectuelle</w:t>
      </w:r>
      <w:r w:rsidR="003637BB" w:rsidRPr="002A79DB">
        <w:rPr>
          <w:caps w:val="0"/>
          <w:sz w:val="28"/>
        </w:rPr>
        <w:t> </w:t>
      </w:r>
      <w:r w:rsidR="00897816" w:rsidRPr="00897816">
        <w:rPr>
          <w:caps w:val="0"/>
          <w:sz w:val="28"/>
        </w:rPr>
        <w:t>(</w:t>
      </w:r>
      <w:proofErr w:type="spellStart"/>
      <w:r w:rsidR="00897816" w:rsidRPr="00897816">
        <w:rPr>
          <w:caps w:val="0"/>
          <w:sz w:val="28"/>
        </w:rPr>
        <w:t>CDIP</w:t>
      </w:r>
      <w:proofErr w:type="spellEnd"/>
      <w:r w:rsidR="00897816" w:rsidRPr="00897816">
        <w:rPr>
          <w:caps w:val="0"/>
          <w:sz w:val="28"/>
        </w:rPr>
        <w:t>)</w:t>
      </w:r>
    </w:p>
    <w:p w14:paraId="445B542C" w14:textId="0E1F2A36" w:rsidR="00FE19E9" w:rsidRDefault="000760CD" w:rsidP="00FE19E9">
      <w:pPr>
        <w:outlineLvl w:val="1"/>
        <w:rPr>
          <w:b/>
          <w:sz w:val="24"/>
          <w:szCs w:val="24"/>
        </w:rPr>
      </w:pPr>
      <w:r w:rsidRPr="000760CD">
        <w:rPr>
          <w:b/>
          <w:sz w:val="24"/>
          <w:szCs w:val="24"/>
        </w:rPr>
        <w:t>Trente</w:t>
      </w:r>
      <w:r w:rsidR="007A316D">
        <w:rPr>
          <w:b/>
          <w:sz w:val="24"/>
          <w:szCs w:val="24"/>
        </w:rPr>
        <w:t>-</w:t>
      </w:r>
      <w:r w:rsidR="00B44153">
        <w:rPr>
          <w:b/>
          <w:sz w:val="24"/>
          <w:szCs w:val="24"/>
          <w:lang w:val="fr-FR"/>
        </w:rPr>
        <w:t>cinqu</w:t>
      </w:r>
      <w:r w:rsidR="007A316D">
        <w:rPr>
          <w:b/>
          <w:sz w:val="24"/>
          <w:szCs w:val="24"/>
          <w:lang w:val="fr-FR"/>
        </w:rPr>
        <w:t>ième session</w:t>
      </w:r>
    </w:p>
    <w:p w14:paraId="7EB8E8A2" w14:textId="527989EC" w:rsidR="008B2CC1" w:rsidRPr="003845C1" w:rsidRDefault="000760CD" w:rsidP="001060FF">
      <w:pPr>
        <w:spacing w:after="720"/>
        <w:outlineLvl w:val="1"/>
        <w:rPr>
          <w:b/>
          <w:sz w:val="24"/>
          <w:szCs w:val="24"/>
        </w:rPr>
      </w:pPr>
      <w:r w:rsidRPr="000760CD">
        <w:rPr>
          <w:b/>
          <w:sz w:val="24"/>
          <w:szCs w:val="24"/>
        </w:rPr>
        <w:t xml:space="preserve">Genève, </w:t>
      </w:r>
      <w:r w:rsidR="002044B0">
        <w:rPr>
          <w:b/>
          <w:sz w:val="24"/>
          <w:szCs w:val="24"/>
          <w:lang w:val="fr-FR"/>
        </w:rPr>
        <w:t>17</w:t>
      </w:r>
      <w:r w:rsidR="002D3DA1">
        <w:rPr>
          <w:b/>
          <w:sz w:val="24"/>
          <w:szCs w:val="24"/>
          <w:lang w:val="fr-FR"/>
        </w:rPr>
        <w:t xml:space="preserve"> </w:t>
      </w:r>
      <w:r w:rsidR="002D3DA1" w:rsidRPr="001D1334">
        <w:rPr>
          <w:b/>
          <w:sz w:val="24"/>
          <w:szCs w:val="24"/>
          <w:lang w:val="fr-FR"/>
        </w:rPr>
        <w:t xml:space="preserve">– </w:t>
      </w:r>
      <w:r w:rsidR="002044B0">
        <w:rPr>
          <w:b/>
          <w:sz w:val="24"/>
          <w:szCs w:val="24"/>
          <w:lang w:val="fr-FR"/>
        </w:rPr>
        <w:t>21</w:t>
      </w:r>
      <w:r w:rsidR="006725FE" w:rsidRPr="00E60D66">
        <w:rPr>
          <w:b/>
          <w:sz w:val="24"/>
          <w:szCs w:val="24"/>
          <w:lang w:val="fr-FR"/>
        </w:rPr>
        <w:t> </w:t>
      </w:r>
      <w:r w:rsidR="007A316D">
        <w:rPr>
          <w:b/>
          <w:bCs/>
          <w:sz w:val="24"/>
          <w:szCs w:val="24"/>
        </w:rPr>
        <w:t>novembre </w:t>
      </w:r>
      <w:r w:rsidR="007A316D" w:rsidRPr="006E1EC4">
        <w:rPr>
          <w:b/>
          <w:sz w:val="24"/>
          <w:szCs w:val="24"/>
        </w:rPr>
        <w:t>20</w:t>
      </w:r>
      <w:r w:rsidR="006E1EC4" w:rsidRPr="006E1EC4">
        <w:rPr>
          <w:b/>
          <w:sz w:val="24"/>
          <w:szCs w:val="24"/>
        </w:rPr>
        <w:t>2</w:t>
      </w:r>
      <w:r w:rsidR="008500CE">
        <w:rPr>
          <w:b/>
          <w:sz w:val="24"/>
          <w:szCs w:val="24"/>
        </w:rPr>
        <w:t>5</w:t>
      </w:r>
    </w:p>
    <w:p w14:paraId="16C18817" w14:textId="5E181EFF" w:rsidR="008B2CC1" w:rsidRPr="003845C1" w:rsidRDefault="00613523" w:rsidP="00B1090C">
      <w:pPr>
        <w:spacing w:after="360"/>
        <w:rPr>
          <w:caps/>
          <w:sz w:val="24"/>
        </w:rPr>
      </w:pPr>
      <w:bookmarkStart w:id="3" w:name="TitleOfDoc"/>
      <w:r>
        <w:rPr>
          <w:caps/>
          <w:sz w:val="24"/>
        </w:rPr>
        <w:t>Rapport d</w:t>
      </w:r>
      <w:r w:rsidR="007A316D">
        <w:rPr>
          <w:caps/>
          <w:sz w:val="24"/>
        </w:rPr>
        <w:t>’</w:t>
      </w:r>
      <w:r>
        <w:rPr>
          <w:caps/>
          <w:sz w:val="24"/>
        </w:rPr>
        <w:t>achèvement du projet relatif au développement de la filière musicale et des nouveaux modèles économiques de la musique au Burkina Faso et dans tous les autres pays de l</w:t>
      </w:r>
      <w:r w:rsidR="007A316D">
        <w:rPr>
          <w:caps/>
          <w:sz w:val="24"/>
        </w:rPr>
        <w:t>’</w:t>
      </w:r>
      <w:r>
        <w:rPr>
          <w:caps/>
          <w:sz w:val="24"/>
        </w:rPr>
        <w:t>Union économique et monétaire ouest</w:t>
      </w:r>
      <w:r w:rsidR="007A316D">
        <w:rPr>
          <w:caps/>
          <w:sz w:val="24"/>
        </w:rPr>
        <w:t>-</w:t>
      </w:r>
      <w:r>
        <w:rPr>
          <w:caps/>
          <w:sz w:val="24"/>
        </w:rPr>
        <w:t>africaine (UEMOA)</w:t>
      </w:r>
    </w:p>
    <w:p w14:paraId="198E89F0" w14:textId="19618CF8" w:rsidR="008B2CC1" w:rsidRPr="008B2CC1" w:rsidRDefault="00613523" w:rsidP="00020C7E">
      <w:pPr>
        <w:spacing w:after="960"/>
        <w:rPr>
          <w:i/>
        </w:rPr>
      </w:pPr>
      <w:bookmarkStart w:id="4" w:name="Prepared"/>
      <w:bookmarkEnd w:id="3"/>
      <w:bookmarkEnd w:id="4"/>
      <w:r>
        <w:rPr>
          <w:i/>
        </w:rPr>
        <w:t>Document établi par le Secrétariat</w:t>
      </w:r>
    </w:p>
    <w:p w14:paraId="69D4A711" w14:textId="528258C3" w:rsidR="007A316D" w:rsidRDefault="00613523" w:rsidP="00984AF5">
      <w:pPr>
        <w:pStyle w:val="ONUMFS"/>
      </w:pPr>
      <w:r>
        <w:t>Les annexes au présent document contiennent le Rapport d</w:t>
      </w:r>
      <w:r w:rsidR="007A316D">
        <w:t>’</w:t>
      </w:r>
      <w:r>
        <w:t>achèvement du projet du Plan d</w:t>
      </w:r>
      <w:r w:rsidR="007A316D">
        <w:t>’</w:t>
      </w:r>
      <w:r>
        <w:t>action pour le développement intitulé “Développement de la filière musicale et des nouveaux modèles économiques de la musique au Burkina Faso et dans tous les autres pays de l</w:t>
      </w:r>
      <w:r w:rsidR="007A316D">
        <w:t>’</w:t>
      </w:r>
      <w:r>
        <w:t>Union économique et monétaire ouest</w:t>
      </w:r>
      <w:r w:rsidR="007A316D">
        <w:t>-</w:t>
      </w:r>
      <w:r>
        <w:t>africaine (UEMOA)</w:t>
      </w:r>
      <w:r w:rsidR="00F3282A">
        <w:t>”</w:t>
      </w:r>
      <w:r>
        <w:t>.  Le rapport couvre l</w:t>
      </w:r>
      <w:r w:rsidR="007A316D">
        <w:t>’</w:t>
      </w:r>
      <w:r>
        <w:t>intégralité de la période de mise en œuvre du projet, qui s</w:t>
      </w:r>
      <w:r w:rsidR="007A316D">
        <w:t>’</w:t>
      </w:r>
      <w:r>
        <w:t xml:space="preserve">étend de </w:t>
      </w:r>
      <w:r w:rsidR="007A316D">
        <w:t>janvier 20</w:t>
      </w:r>
      <w:r>
        <w:t xml:space="preserve">22 à </w:t>
      </w:r>
      <w:r w:rsidR="007A316D">
        <w:t>juin 20</w:t>
      </w:r>
      <w:r>
        <w:t>25.</w:t>
      </w:r>
    </w:p>
    <w:p w14:paraId="6A112C5B" w14:textId="77777777" w:rsidR="007A316D" w:rsidRDefault="00613523" w:rsidP="00984AF5">
      <w:pPr>
        <w:pStyle w:val="ONUMFS"/>
        <w:ind w:left="5533"/>
        <w:rPr>
          <w:i/>
        </w:rPr>
      </w:pPr>
      <w:r w:rsidRPr="00984AF5">
        <w:rPr>
          <w:i/>
        </w:rPr>
        <w:t>Le comité est invité à prendre note des informations qui figurent dans les annexes du présent document.</w:t>
      </w:r>
    </w:p>
    <w:p w14:paraId="451E8CB8" w14:textId="1E1A17D6" w:rsidR="00613523" w:rsidRPr="004E3DD3" w:rsidRDefault="00613523" w:rsidP="00984AF5">
      <w:pPr>
        <w:pStyle w:val="Endofdocument-Annex"/>
        <w:spacing w:before="720"/>
        <w:rPr>
          <w:iCs/>
          <w:szCs w:val="22"/>
        </w:rPr>
        <w:sectPr w:rsidR="00613523" w:rsidRPr="004E3DD3" w:rsidSect="00613523">
          <w:headerReference w:type="default" r:id="rId12"/>
          <w:footerReference w:type="even" r:id="rId13"/>
          <w:headerReference w:type="first" r:id="rId14"/>
          <w:pgSz w:w="11907" w:h="16840" w:code="9"/>
          <w:pgMar w:top="426" w:right="1417" w:bottom="1417" w:left="1417" w:header="454" w:footer="709" w:gutter="0"/>
          <w:cols w:space="720"/>
          <w:titlePg/>
          <w:docGrid w:linePitch="299"/>
        </w:sectPr>
      </w:pPr>
      <w:r>
        <w:t xml:space="preserve">[Les annexes </w:t>
      </w:r>
      <w:proofErr w:type="spellStart"/>
      <w:r>
        <w:t>suivent</w:t>
      </w:r>
      <w:proofErr w:type="spellEnd"/>
      <w:r>
        <w:t>]</w:t>
      </w:r>
    </w:p>
    <w:tbl>
      <w:tblPr>
        <w:tblStyle w:val="TableGrid"/>
        <w:tblW w:w="0" w:type="auto"/>
        <w:tblLook w:val="04A0" w:firstRow="1" w:lastRow="0" w:firstColumn="1" w:lastColumn="0" w:noHBand="0" w:noVBand="1"/>
      </w:tblPr>
      <w:tblGrid>
        <w:gridCol w:w="2405"/>
        <w:gridCol w:w="6658"/>
      </w:tblGrid>
      <w:tr w:rsidR="00613523" w:rsidRPr="00965E89" w14:paraId="419D5792" w14:textId="77777777" w:rsidTr="00485CD8">
        <w:tc>
          <w:tcPr>
            <w:tcW w:w="9063" w:type="dxa"/>
            <w:gridSpan w:val="2"/>
          </w:tcPr>
          <w:p w14:paraId="400958B8" w14:textId="77777777" w:rsidR="00613523" w:rsidRPr="00965E89" w:rsidRDefault="00613523" w:rsidP="00E44730">
            <w:pPr>
              <w:spacing w:before="220" w:after="220"/>
            </w:pPr>
            <w:r>
              <w:lastRenderedPageBreak/>
              <w:t>RÉSUMÉ DU PROJET</w:t>
            </w:r>
          </w:p>
        </w:tc>
      </w:tr>
      <w:tr w:rsidR="00613523" w:rsidRPr="00965E89" w14:paraId="120CF264" w14:textId="77777777" w:rsidTr="00485CD8">
        <w:tc>
          <w:tcPr>
            <w:tcW w:w="2405" w:type="dxa"/>
            <w:shd w:val="clear" w:color="auto" w:fill="8DB3E2" w:themeFill="text2" w:themeFillTint="66"/>
          </w:tcPr>
          <w:p w14:paraId="03FB178A" w14:textId="5690173C" w:rsidR="00613523" w:rsidRPr="001A54C7" w:rsidRDefault="00613523" w:rsidP="00E44730">
            <w:pPr>
              <w:spacing w:before="220" w:after="220"/>
              <w:rPr>
                <w:sz w:val="20"/>
                <w:szCs w:val="18"/>
                <w:u w:val="single"/>
              </w:rPr>
            </w:pPr>
            <w:r>
              <w:rPr>
                <w:sz w:val="20"/>
                <w:u w:val="single"/>
              </w:rPr>
              <w:t>Code du projet</w:t>
            </w:r>
          </w:p>
        </w:tc>
        <w:tc>
          <w:tcPr>
            <w:tcW w:w="6658" w:type="dxa"/>
            <w:vAlign w:val="center"/>
          </w:tcPr>
          <w:p w14:paraId="52C2B0FE" w14:textId="77777777" w:rsidR="00613523" w:rsidRPr="00965E89" w:rsidRDefault="00613523" w:rsidP="00E44730">
            <w:pPr>
              <w:spacing w:before="220" w:after="220"/>
              <w:rPr>
                <w:u w:val="single"/>
              </w:rPr>
            </w:pPr>
            <w:r>
              <w:rPr>
                <w:u w:val="single"/>
              </w:rPr>
              <w:t>DA_1_4_10_11_23</w:t>
            </w:r>
          </w:p>
        </w:tc>
      </w:tr>
      <w:tr w:rsidR="00613523" w:rsidRPr="00965E89" w14:paraId="13A01746" w14:textId="77777777" w:rsidTr="00485CD8">
        <w:tc>
          <w:tcPr>
            <w:tcW w:w="2405" w:type="dxa"/>
            <w:shd w:val="clear" w:color="auto" w:fill="8DB3E2" w:themeFill="text2" w:themeFillTint="66"/>
          </w:tcPr>
          <w:p w14:paraId="0950A7DE" w14:textId="70D8327C" w:rsidR="00613523" w:rsidRPr="001A54C7" w:rsidRDefault="00613523" w:rsidP="00E44730">
            <w:pPr>
              <w:spacing w:before="220" w:after="220"/>
              <w:rPr>
                <w:sz w:val="20"/>
                <w:szCs w:val="18"/>
                <w:u w:val="single"/>
              </w:rPr>
            </w:pPr>
            <w:r>
              <w:rPr>
                <w:sz w:val="20"/>
                <w:u w:val="single"/>
              </w:rPr>
              <w:t>Intitulé</w:t>
            </w:r>
          </w:p>
        </w:tc>
        <w:tc>
          <w:tcPr>
            <w:tcW w:w="6658" w:type="dxa"/>
          </w:tcPr>
          <w:p w14:paraId="4191DB8A" w14:textId="1AA169EE" w:rsidR="00613523" w:rsidRPr="00965E89" w:rsidRDefault="00613523" w:rsidP="00E44730">
            <w:pPr>
              <w:spacing w:before="220" w:after="220"/>
              <w:rPr>
                <w:u w:val="single"/>
              </w:rPr>
            </w:pPr>
            <w:hyperlink r:id="rId15" w:history="1">
              <w:r>
                <w:rPr>
                  <w:rStyle w:val="Hyperlink"/>
                </w:rPr>
                <w:t>Développement de la filière musicale et des nouveaux modèles économiques de la musique au Burkina Faso et dans tous les autres pays de l</w:t>
              </w:r>
              <w:r w:rsidR="007A316D">
                <w:rPr>
                  <w:rStyle w:val="Hyperlink"/>
                </w:rPr>
                <w:t>’</w:t>
              </w:r>
              <w:r>
                <w:rPr>
                  <w:rStyle w:val="Hyperlink"/>
                </w:rPr>
                <w:t>Union économique et monétaire ouest</w:t>
              </w:r>
              <w:r w:rsidR="007A316D">
                <w:rPr>
                  <w:rStyle w:val="Hyperlink"/>
                </w:rPr>
                <w:t>-</w:t>
              </w:r>
              <w:r>
                <w:rPr>
                  <w:rStyle w:val="Hyperlink"/>
                </w:rPr>
                <w:t>africaine (UEMOA)</w:t>
              </w:r>
            </w:hyperlink>
          </w:p>
        </w:tc>
      </w:tr>
      <w:tr w:rsidR="00613523" w:rsidRPr="00965E89" w14:paraId="7F8D8B09" w14:textId="77777777" w:rsidTr="00485CD8">
        <w:tc>
          <w:tcPr>
            <w:tcW w:w="2405" w:type="dxa"/>
            <w:shd w:val="clear" w:color="auto" w:fill="8DB3E2" w:themeFill="text2" w:themeFillTint="66"/>
          </w:tcPr>
          <w:p w14:paraId="72AC7759" w14:textId="3115A926" w:rsidR="00613523" w:rsidRPr="001A54C7" w:rsidRDefault="00613523" w:rsidP="00E44730">
            <w:pPr>
              <w:spacing w:before="220" w:after="220"/>
              <w:rPr>
                <w:sz w:val="20"/>
                <w:szCs w:val="18"/>
                <w:u w:val="single"/>
              </w:rPr>
            </w:pPr>
            <w:r>
              <w:rPr>
                <w:sz w:val="20"/>
                <w:u w:val="single"/>
              </w:rPr>
              <w:t>Recommandation du Plan d</w:t>
            </w:r>
            <w:r w:rsidR="007A316D">
              <w:rPr>
                <w:sz w:val="20"/>
                <w:u w:val="single"/>
              </w:rPr>
              <w:t>’</w:t>
            </w:r>
            <w:r>
              <w:rPr>
                <w:sz w:val="20"/>
                <w:u w:val="single"/>
              </w:rPr>
              <w:t>action pour le développement</w:t>
            </w:r>
          </w:p>
        </w:tc>
        <w:tc>
          <w:tcPr>
            <w:tcW w:w="6658" w:type="dxa"/>
            <w:vAlign w:val="center"/>
          </w:tcPr>
          <w:p w14:paraId="5D6B7C54" w14:textId="4B510639" w:rsidR="00613523" w:rsidRPr="00E4232F" w:rsidRDefault="00613523" w:rsidP="00E44730">
            <w:pPr>
              <w:spacing w:before="220" w:after="220"/>
            </w:pPr>
            <w:r>
              <w:t xml:space="preserve">Recommandations nos </w:t>
            </w:r>
            <w:proofErr w:type="gramStart"/>
            <w:r>
              <w:t xml:space="preserve">1; </w:t>
            </w:r>
            <w:r w:rsidR="00E67B98">
              <w:t xml:space="preserve"> </w:t>
            </w:r>
            <w:r>
              <w:t xml:space="preserve">4; </w:t>
            </w:r>
            <w:r w:rsidR="00E67B98">
              <w:t xml:space="preserve"> </w:t>
            </w:r>
            <w:r>
              <w:t xml:space="preserve">10; </w:t>
            </w:r>
            <w:r w:rsidR="00E67B98">
              <w:t xml:space="preserve"> </w:t>
            </w:r>
            <w:r>
              <w:t>11</w:t>
            </w:r>
            <w:proofErr w:type="gramEnd"/>
            <w:r>
              <w:t xml:space="preserve"> et 23.</w:t>
            </w:r>
          </w:p>
        </w:tc>
      </w:tr>
      <w:tr w:rsidR="00613523" w:rsidRPr="00965E89" w14:paraId="6FACA43C" w14:textId="77777777" w:rsidTr="00485CD8">
        <w:tc>
          <w:tcPr>
            <w:tcW w:w="2405" w:type="dxa"/>
            <w:shd w:val="clear" w:color="auto" w:fill="8DB3E2" w:themeFill="text2" w:themeFillTint="66"/>
          </w:tcPr>
          <w:p w14:paraId="268BE8F0" w14:textId="2706D213" w:rsidR="00613523" w:rsidRPr="001A54C7" w:rsidRDefault="00613523" w:rsidP="00E44730">
            <w:pPr>
              <w:spacing w:before="220" w:after="220"/>
              <w:rPr>
                <w:sz w:val="20"/>
                <w:szCs w:val="18"/>
                <w:u w:val="single"/>
              </w:rPr>
            </w:pPr>
            <w:r>
              <w:rPr>
                <w:sz w:val="20"/>
                <w:u w:val="single"/>
              </w:rPr>
              <w:t>Budget du projet</w:t>
            </w:r>
          </w:p>
        </w:tc>
        <w:tc>
          <w:tcPr>
            <w:tcW w:w="6658" w:type="dxa"/>
            <w:vAlign w:val="center"/>
          </w:tcPr>
          <w:p w14:paraId="5EB20D14" w14:textId="3D69931F" w:rsidR="00613523" w:rsidRPr="00DE1D58" w:rsidRDefault="00613523" w:rsidP="00E44730">
            <w:pPr>
              <w:spacing w:before="220" w:after="220"/>
            </w:pPr>
            <w:r>
              <w:t>Total</w:t>
            </w:r>
            <w:r w:rsidR="007A316D">
              <w:t> :</w:t>
            </w:r>
            <w:r>
              <w:t xml:space="preserve"> 568 200</w:t>
            </w:r>
            <w:r w:rsidR="00F3282A">
              <w:t> </w:t>
            </w:r>
            <w:r>
              <w:t>francs suisses</w:t>
            </w:r>
          </w:p>
        </w:tc>
      </w:tr>
      <w:tr w:rsidR="00613523" w:rsidRPr="00965E89" w14:paraId="15704B5D" w14:textId="77777777" w:rsidTr="00485CD8">
        <w:tc>
          <w:tcPr>
            <w:tcW w:w="2405" w:type="dxa"/>
            <w:shd w:val="clear" w:color="auto" w:fill="8DB3E2" w:themeFill="text2" w:themeFillTint="66"/>
          </w:tcPr>
          <w:p w14:paraId="2515FF33" w14:textId="4BB5F061" w:rsidR="00613523" w:rsidRPr="001A54C7" w:rsidRDefault="00613523" w:rsidP="00E44730">
            <w:pPr>
              <w:spacing w:before="220" w:after="220"/>
              <w:rPr>
                <w:sz w:val="20"/>
                <w:szCs w:val="18"/>
                <w:u w:val="single"/>
              </w:rPr>
            </w:pPr>
            <w:r>
              <w:rPr>
                <w:sz w:val="20"/>
                <w:u w:val="single"/>
              </w:rPr>
              <w:t>Durée du projet</w:t>
            </w:r>
          </w:p>
        </w:tc>
        <w:tc>
          <w:tcPr>
            <w:tcW w:w="6658" w:type="dxa"/>
            <w:vAlign w:val="center"/>
          </w:tcPr>
          <w:p w14:paraId="57EC0B09" w14:textId="752BEF8B" w:rsidR="00613523" w:rsidRPr="00DE1D58" w:rsidRDefault="00613523" w:rsidP="00E44730">
            <w:pPr>
              <w:spacing w:before="220" w:after="220"/>
            </w:pPr>
            <w:r>
              <w:t>42 mois (durée initiale de 30 mois + prolongation de 12 mois convenue à la trente</w:t>
            </w:r>
            <w:r w:rsidR="007A316D">
              <w:t> et unième session</w:t>
            </w:r>
            <w:r>
              <w:t xml:space="preserve"> du </w:t>
            </w:r>
            <w:proofErr w:type="spellStart"/>
            <w:r>
              <w:t>CDIP</w:t>
            </w:r>
            <w:proofErr w:type="spellEnd"/>
            <w:r>
              <w:t>)</w:t>
            </w:r>
          </w:p>
        </w:tc>
      </w:tr>
      <w:tr w:rsidR="00613523" w:rsidRPr="00965E89" w14:paraId="14ACFC66" w14:textId="77777777" w:rsidTr="00485CD8">
        <w:tc>
          <w:tcPr>
            <w:tcW w:w="2405" w:type="dxa"/>
            <w:shd w:val="clear" w:color="auto" w:fill="8DB3E2" w:themeFill="text2" w:themeFillTint="66"/>
          </w:tcPr>
          <w:p w14:paraId="5D0DAA7A" w14:textId="1DD38C09" w:rsidR="00613523" w:rsidRPr="001A54C7" w:rsidRDefault="00613523" w:rsidP="00E44730">
            <w:pPr>
              <w:spacing w:before="220" w:after="220"/>
              <w:rPr>
                <w:sz w:val="20"/>
                <w:szCs w:val="18"/>
                <w:u w:val="single"/>
              </w:rPr>
            </w:pPr>
            <w:r>
              <w:rPr>
                <w:sz w:val="20"/>
                <w:u w:val="single"/>
              </w:rPr>
              <w:t>Principaux secteurs/domaines de l</w:t>
            </w:r>
            <w:r w:rsidR="007A316D">
              <w:rPr>
                <w:sz w:val="20"/>
                <w:u w:val="single"/>
              </w:rPr>
              <w:t>’</w:t>
            </w:r>
            <w:proofErr w:type="spellStart"/>
            <w:r>
              <w:rPr>
                <w:sz w:val="20"/>
                <w:u w:val="single"/>
              </w:rPr>
              <w:t>OMPI</w:t>
            </w:r>
            <w:proofErr w:type="spellEnd"/>
            <w:r>
              <w:rPr>
                <w:sz w:val="20"/>
                <w:u w:val="single"/>
              </w:rPr>
              <w:t xml:space="preserve"> concernés</w:t>
            </w:r>
          </w:p>
        </w:tc>
        <w:tc>
          <w:tcPr>
            <w:tcW w:w="6658" w:type="dxa"/>
            <w:vAlign w:val="center"/>
          </w:tcPr>
          <w:p w14:paraId="7051FEE8" w14:textId="77777777" w:rsidR="00613523" w:rsidRPr="00DE1D58" w:rsidRDefault="00613523" w:rsidP="00E44730">
            <w:pPr>
              <w:spacing w:before="220" w:after="220"/>
            </w:pPr>
            <w:r>
              <w:t>Secteur du développement régional et national</w:t>
            </w:r>
          </w:p>
        </w:tc>
      </w:tr>
      <w:tr w:rsidR="00613523" w:rsidRPr="00965E89" w14:paraId="41E6C32E" w14:textId="77777777" w:rsidTr="00485CD8">
        <w:tc>
          <w:tcPr>
            <w:tcW w:w="2405" w:type="dxa"/>
            <w:shd w:val="clear" w:color="auto" w:fill="8DB3E2" w:themeFill="text2" w:themeFillTint="66"/>
          </w:tcPr>
          <w:p w14:paraId="642ED3CA" w14:textId="57B00418" w:rsidR="00613523" w:rsidRPr="001A54C7" w:rsidRDefault="00613523" w:rsidP="00E44730">
            <w:pPr>
              <w:spacing w:before="220" w:after="220"/>
              <w:rPr>
                <w:sz w:val="20"/>
                <w:szCs w:val="18"/>
                <w:u w:val="single"/>
              </w:rPr>
            </w:pPr>
            <w:r>
              <w:rPr>
                <w:sz w:val="20"/>
                <w:u w:val="single"/>
              </w:rPr>
              <w:t>Brève description du projet</w:t>
            </w:r>
          </w:p>
        </w:tc>
        <w:tc>
          <w:tcPr>
            <w:tcW w:w="6658" w:type="dxa"/>
            <w:vAlign w:val="center"/>
          </w:tcPr>
          <w:p w14:paraId="737FE8C3" w14:textId="5EE2DF32" w:rsidR="00613523" w:rsidRPr="007B427A" w:rsidRDefault="00613523" w:rsidP="00E44730">
            <w:pPr>
              <w:pStyle w:val="TableParagraph"/>
              <w:spacing w:before="220" w:after="220"/>
              <w:ind w:right="85"/>
            </w:pPr>
            <w:r>
              <w:t>La musique est l</w:t>
            </w:r>
            <w:r w:rsidR="007A316D">
              <w:t>’</w:t>
            </w:r>
            <w:r>
              <w:t>un des secteurs économiques les plus prometteurs en Afriq</w:t>
            </w:r>
            <w:r w:rsidR="004766E0">
              <w:t>ue</w:t>
            </w:r>
            <w:r w:rsidR="004766E0">
              <w:t xml:space="preserve">.  </w:t>
            </w:r>
            <w:r w:rsidR="004766E0">
              <w:t>El</w:t>
            </w:r>
            <w:r>
              <w:t>le bénéficie d</w:t>
            </w:r>
            <w:r w:rsidR="007A316D">
              <w:t>’</w:t>
            </w:r>
            <w:r>
              <w:t>un fort taux de croissance, d</w:t>
            </w:r>
            <w:r w:rsidR="007A316D">
              <w:t>’</w:t>
            </w:r>
            <w:r>
              <w:t>un grand potentiel en termes d</w:t>
            </w:r>
            <w:r w:rsidR="007A316D">
              <w:t>’</w:t>
            </w:r>
            <w:r>
              <w:t>emplois et contribue au rayonnement culturel des pa</w:t>
            </w:r>
            <w:r w:rsidR="004766E0">
              <w:t>ys</w:t>
            </w:r>
            <w:r w:rsidR="004766E0">
              <w:t xml:space="preserve">.  </w:t>
            </w:r>
            <w:r w:rsidR="004766E0">
              <w:t>Su</w:t>
            </w:r>
            <w:r>
              <w:t>r le continent, la consommation de musique en ligne a proliféré mais le secteur n</w:t>
            </w:r>
            <w:r w:rsidR="007A316D">
              <w:t>’</w:t>
            </w:r>
            <w:r>
              <w:t>a pas encore pleinement tiré parti des opportunités de l</w:t>
            </w:r>
            <w:r w:rsidR="007A316D">
              <w:t>’</w:t>
            </w:r>
            <w:r>
              <w:t>environnement numérique et des nouveaux modèles économiques de la musique.</w:t>
            </w:r>
          </w:p>
          <w:p w14:paraId="15576CED" w14:textId="77777777" w:rsidR="00E44730" w:rsidRDefault="00613523" w:rsidP="00E44730">
            <w:pPr>
              <w:pStyle w:val="TableParagraph"/>
              <w:spacing w:before="220" w:after="220"/>
              <w:ind w:right="86"/>
            </w:pPr>
            <w:r>
              <w:t>Les plateformes de partage et les services d</w:t>
            </w:r>
            <w:r w:rsidR="007A316D">
              <w:t>’</w:t>
            </w:r>
            <w:r>
              <w:t>abonnement sont en pleine expansi</w:t>
            </w:r>
            <w:r w:rsidR="004766E0">
              <w:t>on</w:t>
            </w:r>
            <w:r w:rsidR="004766E0">
              <w:t xml:space="preserve">.  </w:t>
            </w:r>
            <w:r w:rsidR="004766E0">
              <w:t>De</w:t>
            </w:r>
            <w:r>
              <w:t xml:space="preserve"> nouveaux modèles économiques et comportements de consommation se développent rapideme</w:t>
            </w:r>
            <w:r w:rsidR="004766E0">
              <w:t>nt</w:t>
            </w:r>
            <w:r w:rsidR="004766E0">
              <w:t xml:space="preserve">.  </w:t>
            </w:r>
            <w:r w:rsidR="004766E0">
              <w:t>De</w:t>
            </w:r>
            <w:r>
              <w:t xml:space="preserve"> nouveaux acteurs sont arrivés, tels les opérateurs de téléphonie qui s</w:t>
            </w:r>
            <w:r w:rsidR="007A316D">
              <w:t>’</w:t>
            </w:r>
            <w:r>
              <w:t>intéressent aux contenus audiovisuels et musicaux.</w:t>
            </w:r>
          </w:p>
          <w:p w14:paraId="6DF05161" w14:textId="5B4586F6" w:rsidR="00613523" w:rsidRPr="007B427A" w:rsidRDefault="00613523" w:rsidP="00E44730">
            <w:pPr>
              <w:pStyle w:val="TableParagraph"/>
              <w:spacing w:before="220" w:after="220"/>
              <w:ind w:right="86"/>
            </w:pPr>
            <w:r>
              <w:t>Toutefois, la plupart de ces nouveaux modèles économiques ne génèrent que peu de revenus pour les titulaires de droits d</w:t>
            </w:r>
            <w:r w:rsidR="007A316D">
              <w:t>’</w:t>
            </w:r>
            <w:r>
              <w:t>auteur et droits connexes, c</w:t>
            </w:r>
            <w:r w:rsidR="007A316D">
              <w:t>’</w:t>
            </w:r>
            <w:r>
              <w:t>est</w:t>
            </w:r>
            <w:r w:rsidR="007A316D">
              <w:t>-</w:t>
            </w:r>
            <w:r>
              <w:t>à</w:t>
            </w:r>
            <w:r w:rsidR="007A316D">
              <w:t>-</w:t>
            </w:r>
            <w:r>
              <w:t>dire ceux qui créent et investissent dans les contenus et servic</w:t>
            </w:r>
            <w:r w:rsidR="004766E0">
              <w:t>es</w:t>
            </w:r>
            <w:r w:rsidR="004766E0">
              <w:t xml:space="preserve">.  </w:t>
            </w:r>
            <w:r w:rsidR="004766E0">
              <w:t>Ce</w:t>
            </w:r>
            <w:r>
              <w:t>tte situation est en partie due à la faible structuration de la chaîne de valeur, tributaire d</w:t>
            </w:r>
            <w:r w:rsidR="007A316D">
              <w:t>’</w:t>
            </w:r>
            <w:r>
              <w:t>un écosystème culturel fragile et fragmenté.</w:t>
            </w:r>
          </w:p>
          <w:p w14:paraId="33846651" w14:textId="0BDDF993" w:rsidR="00613523" w:rsidRPr="007B427A" w:rsidRDefault="00613523" w:rsidP="00E44730">
            <w:pPr>
              <w:pStyle w:val="TableParagraph"/>
              <w:spacing w:before="220" w:after="220"/>
              <w:ind w:right="86"/>
            </w:pPr>
            <w:r>
              <w:t>Cet état de fait conduit à une faible rémunération des ayants droit et à une augmentation des exploitations non autorisé</w:t>
            </w:r>
            <w:r w:rsidR="004766E0">
              <w:t>es</w:t>
            </w:r>
            <w:r w:rsidR="004766E0">
              <w:t xml:space="preserve">.  </w:t>
            </w:r>
            <w:r w:rsidR="004766E0">
              <w:t>Se</w:t>
            </w:r>
            <w:r>
              <w:t>lon le rapport mondial de</w:t>
            </w:r>
            <w:r w:rsidR="007A316D">
              <w:t xml:space="preserve"> la </w:t>
            </w:r>
            <w:proofErr w:type="spellStart"/>
            <w:r w:rsidR="007A316D">
              <w:t>CIS</w:t>
            </w:r>
            <w:r>
              <w:t>AC</w:t>
            </w:r>
            <w:proofErr w:type="spellEnd"/>
            <w:r>
              <w:t xml:space="preserve"> relatif à l</w:t>
            </w:r>
            <w:r w:rsidR="007A316D">
              <w:t>’</w:t>
            </w:r>
            <w:r>
              <w:t>année</w:t>
            </w:r>
            <w:r w:rsidR="00F3282A">
              <w:t> </w:t>
            </w:r>
            <w:r>
              <w:t>2019, les redevances de musique collectées par ses sociétés membres ont atteint près de 9</w:t>
            </w:r>
            <w:r w:rsidR="00F3282A">
              <w:t> </w:t>
            </w:r>
            <w:r>
              <w:t>milliards d</w:t>
            </w:r>
            <w:r w:rsidR="007A316D">
              <w:t>’</w:t>
            </w:r>
            <w:r>
              <w:t xml:space="preserve">euros, mais la part du continent </w:t>
            </w:r>
            <w:r>
              <w:lastRenderedPageBreak/>
              <w:t>africain considéré dans son ensemble a représenté moins de 1%, les revenus issus des contenus numériques restant à des niveaux très bas.</w:t>
            </w:r>
          </w:p>
          <w:p w14:paraId="75A499BE" w14:textId="401F43B0" w:rsidR="00613523" w:rsidRDefault="00613523" w:rsidP="00E44730">
            <w:pPr>
              <w:pStyle w:val="TableParagraph"/>
              <w:spacing w:before="220" w:after="220"/>
              <w:ind w:right="86"/>
            </w:pPr>
            <w:r>
              <w:t>Le projet a prévu une série d</w:t>
            </w:r>
            <w:r w:rsidR="007A316D">
              <w:t>’</w:t>
            </w:r>
            <w:r>
              <w:t>activités étroitement liées, notamment la réalisation d</w:t>
            </w:r>
            <w:r w:rsidR="007A316D">
              <w:t>’</w:t>
            </w:r>
            <w:r>
              <w:t>études, des formations pratiques et l</w:t>
            </w:r>
            <w:r w:rsidR="007A316D">
              <w:t>’</w:t>
            </w:r>
            <w:r>
              <w:t>incitation à un dialogue intersectoriel entre les principaux acteurs de l</w:t>
            </w:r>
            <w:r w:rsidR="007A316D">
              <w:t>’</w:t>
            </w:r>
            <w:r>
              <w:t>écosystème musical autour des objectifs suivants</w:t>
            </w:r>
            <w:r w:rsidR="007A316D">
              <w:t> :</w:t>
            </w:r>
          </w:p>
          <w:p w14:paraId="294DEFD7" w14:textId="5789A15E" w:rsidR="00613523" w:rsidRDefault="00613523" w:rsidP="00E44730">
            <w:pPr>
              <w:pStyle w:val="TableParagraph"/>
              <w:spacing w:before="220" w:after="220"/>
            </w:pPr>
            <w:r>
              <w:t>I.</w:t>
            </w:r>
            <w:r>
              <w:tab/>
              <w:t>Promouvoir une meilleure compréhension et utilisation des cadres juridiques et réglementaires du droit d</w:t>
            </w:r>
            <w:r w:rsidR="007A316D">
              <w:t>’</w:t>
            </w:r>
            <w:r>
              <w:t>auteur et des droits connexes auprès des États membres bénéficiaires du projet et des professionnels dans le cadre des nouveaux usages et de l</w:t>
            </w:r>
            <w:r w:rsidR="007A316D">
              <w:t>’</w:t>
            </w:r>
            <w:r>
              <w:t>exploitation de la musique en ligne.</w:t>
            </w:r>
          </w:p>
          <w:p w14:paraId="6FA67887" w14:textId="77777777" w:rsidR="00613523" w:rsidRDefault="00613523" w:rsidP="00E44730">
            <w:pPr>
              <w:pStyle w:val="TableParagraph"/>
              <w:spacing w:before="220" w:after="220"/>
            </w:pPr>
            <w:r>
              <w:t>II.</w:t>
            </w:r>
            <w:r>
              <w:tab/>
              <w:t>Promouvoir auprès des professionnels de la musique et des utilisateurs la connaissance des mécanismes de gestion collective et de négociation contractuelle relatifs à la gestion des droits numériques.</w:t>
            </w:r>
          </w:p>
          <w:p w14:paraId="7D1D0ADE" w14:textId="512A7930" w:rsidR="00613523" w:rsidRDefault="00613523" w:rsidP="00E44730">
            <w:pPr>
              <w:pStyle w:val="TableParagraph"/>
              <w:spacing w:before="220" w:after="220"/>
            </w:pPr>
            <w:r>
              <w:t>III.</w:t>
            </w:r>
            <w:r>
              <w:tab/>
              <w:t>Favoriser et développer les pratiques de gestion et de concession de licences relatives aux utilisations en ligne permettant l</w:t>
            </w:r>
            <w:r w:rsidR="007A316D">
              <w:t>’</w:t>
            </w:r>
            <w:r>
              <w:t>exploitation licite des contenus sur les plateformes de diffusion en continu et d</w:t>
            </w:r>
            <w:r w:rsidR="007A316D">
              <w:t>’</w:t>
            </w:r>
            <w:r>
              <w:t>autres types de plateformes en ligne, la création de revenus pour les titulaires de droits et la lutte contre le piratage.</w:t>
            </w:r>
          </w:p>
          <w:p w14:paraId="7D1795EF" w14:textId="46620477" w:rsidR="00613523" w:rsidRDefault="00613523" w:rsidP="00E44730">
            <w:pPr>
              <w:pStyle w:val="TableParagraph"/>
              <w:spacing w:before="220" w:after="220"/>
            </w:pPr>
            <w:r>
              <w:t>IV.</w:t>
            </w:r>
            <w:r>
              <w:tab/>
              <w:t>Permettre aux régulateurs du secteur de la communication de moderniser leurs cahiers des charges pour mieux tenir compte des aspects liés au droit d</w:t>
            </w:r>
            <w:r w:rsidR="007A316D">
              <w:t>’</w:t>
            </w:r>
            <w:r>
              <w:t>auteur.</w:t>
            </w:r>
          </w:p>
          <w:p w14:paraId="056BF2D8" w14:textId="21AD5D78" w:rsidR="00613523" w:rsidRDefault="00613523" w:rsidP="00E44730">
            <w:pPr>
              <w:pStyle w:val="TableParagraph"/>
              <w:spacing w:before="220" w:after="220"/>
            </w:pPr>
            <w:r>
              <w:t>V.</w:t>
            </w:r>
            <w:r>
              <w:tab/>
              <w:t>Analyser les conditions de mise en place d</w:t>
            </w:r>
            <w:r w:rsidR="007A316D">
              <w:t>’</w:t>
            </w:r>
            <w:r>
              <w:t>une stratégie régionale de valorisation du marché de la musique numérique dans les pays bénéficiaires, en vue de faire du secteur un levier de croissance durable.</w:t>
            </w:r>
          </w:p>
          <w:p w14:paraId="2CCEE118" w14:textId="3443C127" w:rsidR="00613523" w:rsidRDefault="00613523" w:rsidP="00E44730">
            <w:pPr>
              <w:pStyle w:val="TableParagraph"/>
              <w:spacing w:before="220" w:after="220"/>
            </w:pPr>
            <w:r>
              <w:t>VI.</w:t>
            </w:r>
            <w:r>
              <w:tab/>
              <w:t>Promouvoir l</w:t>
            </w:r>
            <w:r w:rsidR="007A316D">
              <w:t>’</w:t>
            </w:r>
            <w:r>
              <w:t>amélioration des conditions sociales des créateurs pour favoriser la structuration et le développement d</w:t>
            </w:r>
            <w:r w:rsidR="007A316D">
              <w:t>’</w:t>
            </w:r>
            <w:r>
              <w:t>une chaîne de métiers novatrice et cohérente dans la filière musicale.</w:t>
            </w:r>
          </w:p>
          <w:p w14:paraId="2B14ACCE" w14:textId="4194F832" w:rsidR="00613523" w:rsidRDefault="00613523" w:rsidP="00E44730">
            <w:pPr>
              <w:pStyle w:val="TableParagraph"/>
              <w:spacing w:before="220" w:after="220"/>
            </w:pPr>
            <w:r>
              <w:t>VII.</w:t>
            </w:r>
            <w:r>
              <w:tab/>
              <w:t>Mettre au point des outils de référence afin de permettre au personnel judiciaire de traiter les différends liés à la musique dans l</w:t>
            </w:r>
            <w:r w:rsidR="007A316D">
              <w:t>’</w:t>
            </w:r>
            <w:r>
              <w:t>environnement numérique.</w:t>
            </w:r>
          </w:p>
          <w:p w14:paraId="5941870C" w14:textId="163DE6EE" w:rsidR="00613523" w:rsidRPr="00E44730" w:rsidRDefault="00613523" w:rsidP="00E44730">
            <w:pPr>
              <w:spacing w:before="220" w:after="220"/>
            </w:pPr>
            <w:r>
              <w:t>VIII.</w:t>
            </w:r>
            <w:r>
              <w:tab/>
              <w:t>Appuyer l</w:t>
            </w:r>
            <w:r w:rsidR="007A316D">
              <w:t>’</w:t>
            </w:r>
            <w:r>
              <w:t>élaboration d</w:t>
            </w:r>
            <w:r w:rsidR="007A316D">
              <w:t>’</w:t>
            </w:r>
            <w:r>
              <w:t>une stratégie régionale visant à promouvoir la mise au point d</w:t>
            </w:r>
            <w:r w:rsidR="007A316D">
              <w:t>’</w:t>
            </w:r>
            <w:r>
              <w:t>outils adaptés.</w:t>
            </w:r>
          </w:p>
        </w:tc>
      </w:tr>
      <w:tr w:rsidR="00613523" w:rsidRPr="00965E89" w14:paraId="0D982EC5" w14:textId="77777777" w:rsidTr="00485CD8">
        <w:tc>
          <w:tcPr>
            <w:tcW w:w="2405" w:type="dxa"/>
            <w:shd w:val="clear" w:color="auto" w:fill="8DB3E2" w:themeFill="text2" w:themeFillTint="66"/>
          </w:tcPr>
          <w:p w14:paraId="62B2BA42" w14:textId="1699E9DC" w:rsidR="00613523" w:rsidRPr="001A54C7" w:rsidRDefault="00613523" w:rsidP="00E44730">
            <w:pPr>
              <w:spacing w:before="220" w:after="220"/>
              <w:rPr>
                <w:sz w:val="20"/>
                <w:szCs w:val="18"/>
                <w:u w:val="single"/>
              </w:rPr>
            </w:pPr>
            <w:r>
              <w:rPr>
                <w:sz w:val="20"/>
                <w:u w:val="single"/>
              </w:rPr>
              <w:lastRenderedPageBreak/>
              <w:t>Chef de projet</w:t>
            </w:r>
          </w:p>
        </w:tc>
        <w:tc>
          <w:tcPr>
            <w:tcW w:w="6658" w:type="dxa"/>
          </w:tcPr>
          <w:p w14:paraId="7DA066E4" w14:textId="7290D165" w:rsidR="00613523" w:rsidRPr="00DE1D58" w:rsidRDefault="00613523" w:rsidP="00E44730">
            <w:pPr>
              <w:spacing w:before="220" w:after="220"/>
            </w:pPr>
            <w:r>
              <w:t>Mme Sherine </w:t>
            </w:r>
            <w:proofErr w:type="spellStart"/>
            <w:r>
              <w:t>Greiss</w:t>
            </w:r>
            <w:proofErr w:type="spellEnd"/>
            <w:r>
              <w:t>, coordonnatrice principale chargée du développement du droit d</w:t>
            </w:r>
            <w:r w:rsidR="007A316D">
              <w:t>’</w:t>
            </w:r>
            <w:r>
              <w:t>auteur, Département de la coopération pour le développement, Secteur du développement régional et national.</w:t>
            </w:r>
          </w:p>
        </w:tc>
      </w:tr>
      <w:tr w:rsidR="00613523" w:rsidRPr="00965E89" w14:paraId="060A1959" w14:textId="77777777" w:rsidTr="00485CD8">
        <w:tc>
          <w:tcPr>
            <w:tcW w:w="2405" w:type="dxa"/>
            <w:shd w:val="clear" w:color="auto" w:fill="8DB3E2" w:themeFill="text2" w:themeFillTint="66"/>
          </w:tcPr>
          <w:p w14:paraId="010280C3" w14:textId="29AD47EF" w:rsidR="00613523" w:rsidRPr="001A54C7" w:rsidRDefault="00613523" w:rsidP="00E44730">
            <w:pPr>
              <w:spacing w:before="220" w:after="220"/>
              <w:rPr>
                <w:sz w:val="20"/>
                <w:szCs w:val="18"/>
                <w:u w:val="single"/>
              </w:rPr>
            </w:pPr>
            <w:bookmarkStart w:id="5" w:name="_Hlk206506068"/>
            <w:r>
              <w:rPr>
                <w:sz w:val="20"/>
                <w:u w:val="single"/>
              </w:rPr>
              <w:t>Liens avec les résultats escomptés dans le programme de travail et budget</w:t>
            </w:r>
            <w:bookmarkEnd w:id="5"/>
          </w:p>
        </w:tc>
        <w:tc>
          <w:tcPr>
            <w:tcW w:w="6658" w:type="dxa"/>
            <w:vAlign w:val="center"/>
          </w:tcPr>
          <w:p w14:paraId="58127515" w14:textId="77777777" w:rsidR="00613523" w:rsidRPr="005B4FF9" w:rsidRDefault="00613523" w:rsidP="00E44730">
            <w:pPr>
              <w:pStyle w:val="TableParagraph"/>
              <w:spacing w:before="220" w:after="220"/>
              <w:ind w:right="85"/>
              <w:rPr>
                <w:iCs/>
              </w:rPr>
            </w:pPr>
            <w:r>
              <w:t>2.1 Élaboration de cadres normatifs internationaux équilibrés et efficaces pour la propriété intellectuelle.</w:t>
            </w:r>
          </w:p>
          <w:p w14:paraId="61E0D624" w14:textId="21DBC63E" w:rsidR="00613523" w:rsidRPr="005B4FF9" w:rsidRDefault="00613523" w:rsidP="00E44730">
            <w:pPr>
              <w:pStyle w:val="TableParagraph"/>
              <w:spacing w:before="220" w:after="220"/>
              <w:ind w:right="86"/>
              <w:rPr>
                <w:iCs/>
              </w:rPr>
            </w:pPr>
            <w:r>
              <w:t>4.1 Utilisation plus efficace de la propriété intellectuelle au service de la croissance et du développement de l</w:t>
            </w:r>
            <w:r w:rsidR="007A316D">
              <w:t>’</w:t>
            </w:r>
            <w:r>
              <w:t>ensemble des États membres et de leurs régions et sous</w:t>
            </w:r>
            <w:r w:rsidR="007A316D">
              <w:t>-</w:t>
            </w:r>
            <w:r>
              <w:t>régions respectives, notamment grâce à l</w:t>
            </w:r>
            <w:r w:rsidR="007A316D">
              <w:t>’</w:t>
            </w:r>
            <w:r>
              <w:t>intégration des recommandations du Plan d</w:t>
            </w:r>
            <w:r w:rsidR="007A316D">
              <w:t>’</w:t>
            </w:r>
            <w:r>
              <w:t>action pour le développement.</w:t>
            </w:r>
          </w:p>
          <w:p w14:paraId="2B2B0B46" w14:textId="6AF0319C" w:rsidR="00613523" w:rsidRPr="005B4FF9" w:rsidRDefault="00613523" w:rsidP="00E44730">
            <w:pPr>
              <w:pStyle w:val="TableParagraph"/>
              <w:spacing w:before="220" w:after="220"/>
              <w:ind w:right="86"/>
              <w:rPr>
                <w:iCs/>
              </w:rPr>
            </w:pPr>
            <w:r>
              <w:t>4.2 Mise en place d</w:t>
            </w:r>
            <w:r w:rsidR="007A316D">
              <w:t>’</w:t>
            </w:r>
            <w:r>
              <w:t>écosystèmes équilibrés et efficaces en matière de propriété intellectuelle, d</w:t>
            </w:r>
            <w:r w:rsidR="007A316D">
              <w:t>’</w:t>
            </w:r>
            <w:r>
              <w:t>innovation et de création dans les États membres.</w:t>
            </w:r>
          </w:p>
          <w:p w14:paraId="77A813BC" w14:textId="69B387E8" w:rsidR="00613523" w:rsidRPr="00E44730" w:rsidRDefault="00613523" w:rsidP="00E44730">
            <w:pPr>
              <w:spacing w:before="220" w:after="220"/>
              <w:rPr>
                <w:iCs/>
              </w:rPr>
            </w:pPr>
            <w:r>
              <w:t>4.3 Mise en valeur des connaissances et des compétences en matière de propriété intellectuelle dans tous les États membres.</w:t>
            </w:r>
          </w:p>
        </w:tc>
      </w:tr>
      <w:tr w:rsidR="00613523" w:rsidRPr="00965E89" w14:paraId="292A394E" w14:textId="77777777" w:rsidTr="00485CD8">
        <w:tc>
          <w:tcPr>
            <w:tcW w:w="2405" w:type="dxa"/>
            <w:shd w:val="clear" w:color="auto" w:fill="8DB3E2" w:themeFill="text2" w:themeFillTint="66"/>
          </w:tcPr>
          <w:p w14:paraId="55A276CE" w14:textId="280BEB77" w:rsidR="00613523" w:rsidRPr="001A54C7" w:rsidRDefault="00613523" w:rsidP="00E44730">
            <w:pPr>
              <w:spacing w:before="220" w:after="220"/>
              <w:rPr>
                <w:sz w:val="20"/>
                <w:szCs w:val="18"/>
                <w:u w:val="single"/>
              </w:rPr>
            </w:pPr>
            <w:r>
              <w:rPr>
                <w:sz w:val="20"/>
                <w:u w:val="single"/>
              </w:rPr>
              <w:t>Aperçu de la mise en œuvre du projet</w:t>
            </w:r>
          </w:p>
        </w:tc>
        <w:tc>
          <w:tcPr>
            <w:tcW w:w="6658" w:type="dxa"/>
          </w:tcPr>
          <w:p w14:paraId="2C673322" w14:textId="79C76FCF" w:rsidR="007A316D" w:rsidRDefault="00613523" w:rsidP="00E44730">
            <w:pPr>
              <w:pStyle w:val="Default"/>
              <w:spacing w:before="220" w:after="220"/>
              <w:rPr>
                <w:sz w:val="22"/>
              </w:rPr>
            </w:pPr>
            <w:r>
              <w:t>On trouvera ci</w:t>
            </w:r>
            <w:r w:rsidR="007A316D">
              <w:t>-</w:t>
            </w:r>
            <w:r>
              <w:t>après un aperçu de la mise en œuvre du projet, reposant sur les indicateurs de réussite décrits dans le descriptif de projet révisé et approuvé (</w:t>
            </w:r>
            <w:proofErr w:type="spellStart"/>
            <w:r>
              <w:fldChar w:fldCharType="begin"/>
            </w:r>
            <w:r>
              <w:instrText>HYPERLINK "https://dacatalogue.wipo.int/projectfiles/DA_1_4_10_11_23/CDIP_23_13/FR/cdip_23_13_13289_FR.pdf"</w:instrText>
            </w:r>
            <w:r>
              <w:fldChar w:fldCharType="separate"/>
            </w:r>
            <w:r>
              <w:rPr>
                <w:rStyle w:val="Hyperlink"/>
                <w:sz w:val="22"/>
              </w:rPr>
              <w:t>CDIP</w:t>
            </w:r>
            <w:proofErr w:type="spellEnd"/>
            <w:r>
              <w:rPr>
                <w:rStyle w:val="Hyperlink"/>
                <w:sz w:val="22"/>
              </w:rPr>
              <w:t>/23/13</w:t>
            </w:r>
            <w:r>
              <w:fldChar w:fldCharType="end"/>
            </w:r>
            <w:r>
              <w:t>).</w:t>
            </w:r>
          </w:p>
          <w:p w14:paraId="310E6E32" w14:textId="00D92028" w:rsidR="007A316D" w:rsidRDefault="00613523" w:rsidP="00E44730">
            <w:pPr>
              <w:spacing w:before="220" w:after="220"/>
            </w:pPr>
            <w:r>
              <w:t>On trouvera également un aperçu de l</w:t>
            </w:r>
            <w:r w:rsidR="007A316D">
              <w:t>’</w:t>
            </w:r>
            <w:r>
              <w:t>état d</w:t>
            </w:r>
            <w:r w:rsidR="007A316D">
              <w:t>’</w:t>
            </w:r>
            <w:r>
              <w:t>avancement du projet dans le catalogue répertoriant les projets du Plan d</w:t>
            </w:r>
            <w:r w:rsidR="007A316D">
              <w:t>’</w:t>
            </w:r>
            <w:r>
              <w:t>action pour le développement et les résultats à l</w:t>
            </w:r>
            <w:r w:rsidR="007A316D">
              <w:t>’</w:t>
            </w:r>
            <w:r>
              <w:t>adresse</w:t>
            </w:r>
          </w:p>
          <w:p w14:paraId="31E646BD" w14:textId="2DCBBFE4" w:rsidR="007A316D" w:rsidRDefault="00613523" w:rsidP="00E44730">
            <w:pPr>
              <w:spacing w:before="220" w:after="220"/>
              <w:rPr>
                <w:u w:val="single"/>
              </w:rPr>
            </w:pPr>
            <w:hyperlink r:id="rId16" w:history="1">
              <w:r>
                <w:rPr>
                  <w:rStyle w:val="Hyperlink"/>
                </w:rPr>
                <w:t>https://dacatalogue.wipo.int/projects/DA_1_4_10_11_23</w:t>
              </w:r>
            </w:hyperlink>
          </w:p>
          <w:p w14:paraId="18730D0F" w14:textId="77777777" w:rsidR="00613523" w:rsidRPr="007B702C" w:rsidRDefault="00613523" w:rsidP="00E44730">
            <w:pPr>
              <w:pStyle w:val="TableParagraph"/>
              <w:spacing w:before="220" w:after="220"/>
              <w:rPr>
                <w:b/>
                <w:bCs/>
                <w:color w:val="000000" w:themeColor="text1"/>
              </w:rPr>
            </w:pPr>
            <w:r>
              <w:rPr>
                <w:b/>
                <w:color w:val="000000" w:themeColor="text1"/>
                <w:u w:val="single"/>
              </w:rPr>
              <w:t>Étude exploratoire</w:t>
            </w:r>
          </w:p>
          <w:p w14:paraId="0896F717" w14:textId="4A6DA41A" w:rsidR="007A316D" w:rsidRDefault="00613523" w:rsidP="00E44730">
            <w:pPr>
              <w:pStyle w:val="TableParagraph"/>
              <w:spacing w:before="220" w:after="220"/>
              <w:ind w:right="86"/>
              <w:rPr>
                <w:color w:val="000000" w:themeColor="text1"/>
              </w:rPr>
            </w:pPr>
            <w:r>
              <w:rPr>
                <w:color w:val="000000" w:themeColor="text1"/>
              </w:rPr>
              <w:t>L</w:t>
            </w:r>
            <w:r w:rsidR="007A316D">
              <w:rPr>
                <w:color w:val="000000" w:themeColor="text1"/>
              </w:rPr>
              <w:t>’</w:t>
            </w:r>
            <w:r>
              <w:rPr>
                <w:color w:val="000000" w:themeColor="text1"/>
              </w:rPr>
              <w:t>étude exploratoire sur le développement de la filière musicale et des nouveaux modèles économiques dans les pays de l</w:t>
            </w:r>
            <w:r w:rsidR="007A316D">
              <w:rPr>
                <w:color w:val="000000" w:themeColor="text1"/>
              </w:rPr>
              <w:t>’</w:t>
            </w:r>
            <w:r>
              <w:rPr>
                <w:color w:val="000000" w:themeColor="text1"/>
              </w:rPr>
              <w:t>UEMOA avait pour but de préciser les besoins de tous les pays bénéficiair</w:t>
            </w:r>
            <w:r w:rsidR="004766E0">
              <w:rPr>
                <w:color w:val="000000" w:themeColor="text1"/>
              </w:rPr>
              <w:t>es</w:t>
            </w:r>
            <w:r w:rsidR="004766E0">
              <w:rPr>
                <w:color w:val="000000" w:themeColor="text1"/>
              </w:rPr>
              <w:t xml:space="preserve">.  </w:t>
            </w:r>
            <w:r w:rsidR="004766E0">
              <w:rPr>
                <w:color w:val="000000" w:themeColor="text1"/>
              </w:rPr>
              <w:t>El</w:t>
            </w:r>
            <w:r>
              <w:rPr>
                <w:color w:val="000000" w:themeColor="text1"/>
              </w:rPr>
              <w:t>le a été achevée et validée par tous les coordonnateurs à la première réunion de coordination annuelle tenue à Abidjan (Côte d</w:t>
            </w:r>
            <w:r w:rsidR="007A316D">
              <w:rPr>
                <w:color w:val="000000" w:themeColor="text1"/>
              </w:rPr>
              <w:t>’</w:t>
            </w:r>
            <w:r>
              <w:rPr>
                <w:color w:val="000000" w:themeColor="text1"/>
              </w:rPr>
              <w:t>Ivoire), en novembre 2022.</w:t>
            </w:r>
          </w:p>
          <w:p w14:paraId="7C40B2E3" w14:textId="77777777" w:rsidR="007A316D" w:rsidRDefault="00613523" w:rsidP="00E44730">
            <w:pPr>
              <w:pStyle w:val="TableParagraph"/>
              <w:spacing w:before="220" w:after="220"/>
              <w:ind w:right="86"/>
              <w:rPr>
                <w:b/>
                <w:color w:val="000000" w:themeColor="text1"/>
              </w:rPr>
            </w:pPr>
            <w:r>
              <w:rPr>
                <w:b/>
                <w:color w:val="000000" w:themeColor="text1"/>
                <w:u w:val="single"/>
              </w:rPr>
              <w:t>Communication avec les coordonnateurs</w:t>
            </w:r>
          </w:p>
          <w:p w14:paraId="03F6AA81" w14:textId="22A06781" w:rsidR="00613523" w:rsidRDefault="00613523" w:rsidP="00E44730">
            <w:pPr>
              <w:pStyle w:val="TableParagraph"/>
              <w:spacing w:before="220" w:after="220"/>
              <w:ind w:right="86"/>
              <w:rPr>
                <w:color w:val="000000" w:themeColor="text1"/>
              </w:rPr>
            </w:pPr>
            <w:r>
              <w:rPr>
                <w:color w:val="000000" w:themeColor="text1"/>
              </w:rPr>
              <w:t>Des réunions périodiques ont été organisées pour maintenir une communication et un contact réguliers entre l</w:t>
            </w:r>
            <w:r w:rsidR="007A316D">
              <w:rPr>
                <w:color w:val="000000" w:themeColor="text1"/>
              </w:rPr>
              <w:t>’</w:t>
            </w:r>
            <w:r>
              <w:rPr>
                <w:color w:val="000000" w:themeColor="text1"/>
              </w:rPr>
              <w:t>équipe chargée du projet et les huit coordonnateurs nationa</w:t>
            </w:r>
            <w:r w:rsidR="004766E0">
              <w:rPr>
                <w:color w:val="000000" w:themeColor="text1"/>
              </w:rPr>
              <w:t>ux</w:t>
            </w:r>
            <w:r w:rsidR="004766E0">
              <w:rPr>
                <w:color w:val="000000" w:themeColor="text1"/>
              </w:rPr>
              <w:t xml:space="preserve">.  </w:t>
            </w:r>
            <w:r w:rsidR="004766E0">
              <w:rPr>
                <w:color w:val="000000" w:themeColor="text1"/>
              </w:rPr>
              <w:t>Ce</w:t>
            </w:r>
            <w:r>
              <w:rPr>
                <w:color w:val="000000" w:themeColor="text1"/>
              </w:rPr>
              <w:t>s réunions ont permis d</w:t>
            </w:r>
            <w:r w:rsidR="007A316D">
              <w:rPr>
                <w:color w:val="000000" w:themeColor="text1"/>
              </w:rPr>
              <w:t>’</w:t>
            </w:r>
            <w:r>
              <w:rPr>
                <w:color w:val="000000" w:themeColor="text1"/>
              </w:rPr>
              <w:t>examiner l</w:t>
            </w:r>
            <w:r w:rsidR="007A316D">
              <w:rPr>
                <w:color w:val="000000" w:themeColor="text1"/>
              </w:rPr>
              <w:t>’</w:t>
            </w:r>
            <w:r>
              <w:rPr>
                <w:color w:val="000000" w:themeColor="text1"/>
              </w:rPr>
              <w:t>état d</w:t>
            </w:r>
            <w:r w:rsidR="007A316D">
              <w:rPr>
                <w:color w:val="000000" w:themeColor="text1"/>
              </w:rPr>
              <w:t>’</w:t>
            </w:r>
            <w:r>
              <w:rPr>
                <w:color w:val="000000" w:themeColor="text1"/>
              </w:rPr>
              <w:t>avancement du projet, d</w:t>
            </w:r>
            <w:r w:rsidR="007A316D">
              <w:rPr>
                <w:color w:val="000000" w:themeColor="text1"/>
              </w:rPr>
              <w:t>’</w:t>
            </w:r>
            <w:r>
              <w:rPr>
                <w:color w:val="000000" w:themeColor="text1"/>
              </w:rPr>
              <w:t>actualiser les besoins des pays, de définir les étapes suivantes et d</w:t>
            </w:r>
            <w:r w:rsidR="007A316D">
              <w:rPr>
                <w:color w:val="000000" w:themeColor="text1"/>
              </w:rPr>
              <w:t>’</w:t>
            </w:r>
            <w:r>
              <w:rPr>
                <w:color w:val="000000" w:themeColor="text1"/>
              </w:rPr>
              <w:t xml:space="preserve">anticiper les difficultés et </w:t>
            </w:r>
            <w:proofErr w:type="gramStart"/>
            <w:r>
              <w:rPr>
                <w:color w:val="000000" w:themeColor="text1"/>
              </w:rPr>
              <w:t>risques potentiels</w:t>
            </w:r>
            <w:proofErr w:type="gramEnd"/>
            <w:r>
              <w:rPr>
                <w:color w:val="000000" w:themeColor="text1"/>
              </w:rPr>
              <w:t>.</w:t>
            </w:r>
          </w:p>
          <w:p w14:paraId="46E068D8" w14:textId="77777777" w:rsidR="00613523" w:rsidRDefault="00613523" w:rsidP="00E44730">
            <w:pPr>
              <w:pStyle w:val="TableParagraph"/>
              <w:spacing w:before="220" w:after="220"/>
              <w:ind w:right="805"/>
              <w:rPr>
                <w:b/>
                <w:bCs/>
                <w:color w:val="000000" w:themeColor="text1"/>
                <w:u w:val="single"/>
              </w:rPr>
            </w:pPr>
            <w:r>
              <w:rPr>
                <w:b/>
                <w:color w:val="000000" w:themeColor="text1"/>
                <w:u w:val="single"/>
              </w:rPr>
              <w:t>Réunions de coordination annuelles des coordonnateurs du projet</w:t>
            </w:r>
          </w:p>
          <w:p w14:paraId="1BE6A757" w14:textId="60D94AB4" w:rsidR="00613523" w:rsidRPr="007B702C" w:rsidRDefault="00613523" w:rsidP="00E44730">
            <w:pPr>
              <w:pStyle w:val="TableParagraph"/>
              <w:numPr>
                <w:ilvl w:val="0"/>
                <w:numId w:val="14"/>
              </w:numPr>
              <w:spacing w:before="220" w:after="220"/>
              <w:ind w:right="805"/>
              <w:rPr>
                <w:color w:val="000000" w:themeColor="text1"/>
              </w:rPr>
            </w:pPr>
            <w:r>
              <w:rPr>
                <w:color w:val="000000" w:themeColor="text1"/>
              </w:rPr>
              <w:t>Réunion de coordination annuelle, les 23 et 24 novembre 2022 à Abidjan (Côte d</w:t>
            </w:r>
            <w:r w:rsidR="007A316D">
              <w:rPr>
                <w:color w:val="000000" w:themeColor="text1"/>
              </w:rPr>
              <w:t>’</w:t>
            </w:r>
            <w:r>
              <w:rPr>
                <w:color w:val="000000" w:themeColor="text1"/>
              </w:rPr>
              <w:t>Ivoire)</w:t>
            </w:r>
          </w:p>
          <w:p w14:paraId="109976C5" w14:textId="6C40F423" w:rsidR="00613523" w:rsidRDefault="00613523" w:rsidP="00E44730">
            <w:pPr>
              <w:pStyle w:val="TableParagraph"/>
              <w:spacing w:before="220" w:after="220"/>
              <w:ind w:right="86"/>
              <w:rPr>
                <w:color w:val="000000" w:themeColor="text1"/>
              </w:rPr>
            </w:pPr>
            <w:r>
              <w:rPr>
                <w:color w:val="000000" w:themeColor="text1"/>
              </w:rPr>
              <w:t>Lors de la première réunion de coordination annuelle tenue à Abidjan, les réflexions que les coordonnateurs ont menées avec les différents spécialistes et l</w:t>
            </w:r>
            <w:r w:rsidR="007A316D">
              <w:rPr>
                <w:color w:val="000000" w:themeColor="text1"/>
              </w:rPr>
              <w:t>’</w:t>
            </w:r>
            <w:r>
              <w:rPr>
                <w:color w:val="000000" w:themeColor="text1"/>
              </w:rPr>
              <w:t>équipe de l</w:t>
            </w:r>
            <w:r w:rsidR="007A316D">
              <w:rPr>
                <w:color w:val="000000" w:themeColor="text1"/>
              </w:rPr>
              <w:t>’</w:t>
            </w:r>
            <w:proofErr w:type="spellStart"/>
            <w:r>
              <w:rPr>
                <w:color w:val="000000" w:themeColor="text1"/>
              </w:rPr>
              <w:t>OMPI</w:t>
            </w:r>
            <w:proofErr w:type="spellEnd"/>
            <w:r>
              <w:rPr>
                <w:color w:val="000000" w:themeColor="text1"/>
              </w:rPr>
              <w:t xml:space="preserve"> ont conduit à l</w:t>
            </w:r>
            <w:r w:rsidR="007A316D">
              <w:rPr>
                <w:color w:val="000000" w:themeColor="text1"/>
              </w:rPr>
              <w:t>’</w:t>
            </w:r>
            <w:r>
              <w:rPr>
                <w:color w:val="000000" w:themeColor="text1"/>
              </w:rPr>
              <w:t>établissement d</w:t>
            </w:r>
            <w:r w:rsidR="007A316D">
              <w:rPr>
                <w:color w:val="000000" w:themeColor="text1"/>
              </w:rPr>
              <w:t>’</w:t>
            </w:r>
            <w:r>
              <w:rPr>
                <w:color w:val="000000" w:themeColor="text1"/>
              </w:rPr>
              <w:t xml:space="preserve">un document intitulé </w:t>
            </w:r>
            <w:r>
              <w:rPr>
                <w:i/>
                <w:iCs/>
                <w:color w:val="000000" w:themeColor="text1"/>
              </w:rPr>
              <w:t>Stratégie de mise en œuvre</w:t>
            </w:r>
            <w:r w:rsidR="007A316D">
              <w:rPr>
                <w:i/>
                <w:iCs/>
                <w:color w:val="000000" w:themeColor="text1"/>
              </w:rPr>
              <w:t> :</w:t>
            </w:r>
            <w:r>
              <w:rPr>
                <w:i/>
                <w:color w:val="000000" w:themeColor="text1"/>
              </w:rPr>
              <w:t xml:space="preserve"> liste des activités prioritair</w:t>
            </w:r>
            <w:r w:rsidR="004766E0">
              <w:rPr>
                <w:i/>
                <w:color w:val="000000" w:themeColor="text1"/>
              </w:rPr>
              <w:t>es</w:t>
            </w:r>
            <w:r w:rsidR="004766E0">
              <w:rPr>
                <w:i/>
                <w:color w:val="000000" w:themeColor="text1"/>
              </w:rPr>
              <w:t xml:space="preserve">.  </w:t>
            </w:r>
            <w:r w:rsidR="004766E0">
              <w:t>Ce</w:t>
            </w:r>
            <w:r>
              <w:t xml:space="preserve"> document</w:t>
            </w:r>
            <w:r>
              <w:rPr>
                <w:color w:val="000000" w:themeColor="text1"/>
              </w:rPr>
              <w:t xml:space="preserve"> a pour objet de renforcer, développer et affiner les activités prévues dans le descriptif de projet (</w:t>
            </w:r>
            <w:proofErr w:type="spellStart"/>
            <w:r>
              <w:fldChar w:fldCharType="begin"/>
            </w:r>
            <w:r>
              <w:instrText>HYPERLINK "https://www.wipo.int/meetings/fr/doc_details.jsp?doc_id=432072"</w:instrText>
            </w:r>
            <w:r>
              <w:fldChar w:fldCharType="separate"/>
            </w:r>
            <w:r>
              <w:rPr>
                <w:rStyle w:val="Hyperlink"/>
              </w:rPr>
              <w:t>CDIP</w:t>
            </w:r>
            <w:proofErr w:type="spellEnd"/>
            <w:r>
              <w:rPr>
                <w:rStyle w:val="Hyperlink"/>
              </w:rPr>
              <w:t>/23/13</w:t>
            </w:r>
            <w:r>
              <w:fldChar w:fldCharType="end"/>
            </w:r>
            <w:r>
              <w:t>).</w:t>
            </w:r>
            <w:r w:rsidRPr="004766E0">
              <w:t xml:space="preserve">  </w:t>
            </w:r>
            <w:r>
              <w:rPr>
                <w:color w:val="000000" w:themeColor="text1"/>
              </w:rPr>
              <w:t>La réunion a précisé les priorités du projet, telles que définies par les pays bénéficiaires, et a facilité la communication avec et entre les coordonnateurs.</w:t>
            </w:r>
          </w:p>
          <w:p w14:paraId="1BE15965" w14:textId="0B9523B1" w:rsidR="00613523" w:rsidRDefault="00613523" w:rsidP="00E44730">
            <w:pPr>
              <w:pStyle w:val="TableParagraph"/>
              <w:numPr>
                <w:ilvl w:val="0"/>
                <w:numId w:val="12"/>
              </w:numPr>
              <w:spacing w:before="220" w:after="220"/>
              <w:ind w:right="805"/>
              <w:rPr>
                <w:color w:val="000000" w:themeColor="text1"/>
              </w:rPr>
            </w:pPr>
            <w:r>
              <w:rPr>
                <w:color w:val="000000" w:themeColor="text1"/>
              </w:rPr>
              <w:t>Réunion annuelle des organisations de gestion collective et des coordonnateurs des pays de l</w:t>
            </w:r>
            <w:r w:rsidR="007A316D">
              <w:rPr>
                <w:color w:val="000000" w:themeColor="text1"/>
              </w:rPr>
              <w:t>’</w:t>
            </w:r>
            <w:r>
              <w:rPr>
                <w:color w:val="000000" w:themeColor="text1"/>
              </w:rPr>
              <w:t>UEMOA, les 14 et 15 juin 2023 à Abidjan (Côte d</w:t>
            </w:r>
            <w:r w:rsidR="007A316D">
              <w:rPr>
                <w:color w:val="000000" w:themeColor="text1"/>
              </w:rPr>
              <w:t>’</w:t>
            </w:r>
            <w:r>
              <w:rPr>
                <w:color w:val="000000" w:themeColor="text1"/>
              </w:rPr>
              <w:t>Ivoire)</w:t>
            </w:r>
          </w:p>
          <w:p w14:paraId="42E4FC45" w14:textId="4AD64AE6" w:rsidR="00613523" w:rsidRPr="00E44730" w:rsidRDefault="00613523" w:rsidP="00E44730">
            <w:pPr>
              <w:pStyle w:val="TableParagraph"/>
              <w:spacing w:before="220" w:after="220"/>
              <w:ind w:right="86"/>
              <w:rPr>
                <w:color w:val="000000" w:themeColor="text1"/>
                <w:spacing w:val="-2"/>
              </w:rPr>
            </w:pPr>
            <w:r w:rsidRPr="00E44730">
              <w:rPr>
                <w:color w:val="000000" w:themeColor="text1"/>
                <w:spacing w:val="-2"/>
              </w:rPr>
              <w:t>Immédiatement après le premier atelier national tenu à Abidjan, l</w:t>
            </w:r>
            <w:r w:rsidR="007A316D" w:rsidRPr="00E44730">
              <w:rPr>
                <w:color w:val="000000" w:themeColor="text1"/>
                <w:spacing w:val="-2"/>
              </w:rPr>
              <w:t>’</w:t>
            </w:r>
            <w:proofErr w:type="spellStart"/>
            <w:r w:rsidRPr="00E44730">
              <w:rPr>
                <w:color w:val="000000" w:themeColor="text1"/>
                <w:spacing w:val="-2"/>
              </w:rPr>
              <w:t>OMPI</w:t>
            </w:r>
            <w:proofErr w:type="spellEnd"/>
            <w:r w:rsidRPr="00E44730">
              <w:rPr>
                <w:color w:val="000000" w:themeColor="text1"/>
                <w:spacing w:val="-2"/>
              </w:rPr>
              <w:t xml:space="preserve"> et l</w:t>
            </w:r>
            <w:r w:rsidR="007A316D" w:rsidRPr="00E44730">
              <w:rPr>
                <w:color w:val="000000" w:themeColor="text1"/>
                <w:spacing w:val="-2"/>
              </w:rPr>
              <w:t>’</w:t>
            </w:r>
            <w:r w:rsidRPr="00E44730">
              <w:rPr>
                <w:color w:val="000000" w:themeColor="text1"/>
                <w:spacing w:val="-2"/>
              </w:rPr>
              <w:t>UEMOA ont organisé et cofinancé une réunion de deux jours destinée à tous les responsables des organisations de gestion collective et coordonnateurs du projet (16 participants).</w:t>
            </w:r>
          </w:p>
          <w:p w14:paraId="7DE7C70D" w14:textId="77777777" w:rsidR="00613523" w:rsidRDefault="00613523" w:rsidP="00E44730">
            <w:pPr>
              <w:pStyle w:val="Default"/>
              <w:numPr>
                <w:ilvl w:val="0"/>
                <w:numId w:val="13"/>
              </w:numPr>
              <w:spacing w:before="220" w:after="220"/>
              <w:rPr>
                <w:sz w:val="22"/>
                <w:szCs w:val="22"/>
              </w:rPr>
            </w:pPr>
            <w:r>
              <w:rPr>
                <w:sz w:val="22"/>
              </w:rPr>
              <w:t>Réunion de coordination annuelle, le 26 avril 2024 à Cotonou (Bénin)</w:t>
            </w:r>
          </w:p>
          <w:p w14:paraId="17655662" w14:textId="6DD7C044" w:rsidR="00613523" w:rsidRPr="00E44730" w:rsidRDefault="00613523" w:rsidP="00E44730">
            <w:pPr>
              <w:pStyle w:val="TableParagraph"/>
              <w:spacing w:before="220" w:after="220"/>
              <w:ind w:right="85"/>
              <w:rPr>
                <w:color w:val="000000" w:themeColor="text1"/>
                <w:spacing w:val="-2"/>
              </w:rPr>
            </w:pPr>
            <w:r w:rsidRPr="00E44730">
              <w:rPr>
                <w:spacing w:val="-2"/>
              </w:rPr>
              <w:t>La réunion qui s</w:t>
            </w:r>
            <w:r w:rsidR="007A316D" w:rsidRPr="00E44730">
              <w:rPr>
                <w:spacing w:val="-2"/>
              </w:rPr>
              <w:t>’</w:t>
            </w:r>
            <w:r w:rsidRPr="00E44730">
              <w:rPr>
                <w:spacing w:val="-2"/>
              </w:rPr>
              <w:t>est tenue à Cotonou a rassemblé les coordonnateurs des huit pays de l</w:t>
            </w:r>
            <w:r w:rsidR="007A316D" w:rsidRPr="00E44730">
              <w:rPr>
                <w:spacing w:val="-2"/>
              </w:rPr>
              <w:t>’</w:t>
            </w:r>
            <w:r w:rsidRPr="00E44730">
              <w:rPr>
                <w:spacing w:val="-2"/>
              </w:rPr>
              <w:t>UEMOA, les responsables des organisations de gestion collective et les principaux partenair</w:t>
            </w:r>
            <w:r w:rsidR="004766E0" w:rsidRPr="00E44730">
              <w:rPr>
                <w:spacing w:val="-2"/>
              </w:rPr>
              <w:t>es</w:t>
            </w:r>
            <w:r w:rsidR="004766E0" w:rsidRPr="00E44730">
              <w:rPr>
                <w:spacing w:val="-2"/>
              </w:rPr>
              <w:t xml:space="preserve">.  </w:t>
            </w:r>
            <w:r w:rsidR="004766E0" w:rsidRPr="00E44730">
              <w:rPr>
                <w:spacing w:val="-2"/>
              </w:rPr>
              <w:t>El</w:t>
            </w:r>
            <w:r w:rsidRPr="00E44730">
              <w:rPr>
                <w:spacing w:val="-2"/>
              </w:rPr>
              <w:t>le a été organisée pour assurer la coordination et le suivi du projet et pour examiner les défis à relever et les activités à ven</w:t>
            </w:r>
            <w:r w:rsidR="004766E0" w:rsidRPr="00E44730">
              <w:rPr>
                <w:spacing w:val="-2"/>
              </w:rPr>
              <w:t>ir</w:t>
            </w:r>
            <w:r w:rsidR="004766E0" w:rsidRPr="00E44730">
              <w:rPr>
                <w:spacing w:val="-2"/>
              </w:rPr>
              <w:t xml:space="preserve">.  </w:t>
            </w:r>
            <w:r w:rsidR="004766E0" w:rsidRPr="00E44730">
              <w:rPr>
                <w:spacing w:val="-2"/>
              </w:rPr>
              <w:t>El</w:t>
            </w:r>
            <w:r w:rsidRPr="00E44730">
              <w:rPr>
                <w:spacing w:val="-2"/>
              </w:rPr>
              <w:t xml:space="preserve">le a permis aux coordonnateurs de faire le point sur la mise en œuvre du projet et de réfléchir aux moyens de résoudre les </w:t>
            </w:r>
            <w:r w:rsidRPr="00E44730">
              <w:rPr>
                <w:color w:val="000000" w:themeColor="text1"/>
                <w:spacing w:val="-2"/>
              </w:rPr>
              <w:t>difficultés rencontré</w:t>
            </w:r>
            <w:r w:rsidR="004766E0" w:rsidRPr="00E44730">
              <w:rPr>
                <w:color w:val="000000" w:themeColor="text1"/>
                <w:spacing w:val="-2"/>
              </w:rPr>
              <w:t>es</w:t>
            </w:r>
            <w:r w:rsidR="004766E0" w:rsidRPr="00E44730">
              <w:rPr>
                <w:color w:val="000000" w:themeColor="text1"/>
                <w:spacing w:val="-2"/>
              </w:rPr>
              <w:t xml:space="preserve">.  </w:t>
            </w:r>
            <w:r w:rsidR="004766E0" w:rsidRPr="00E44730">
              <w:rPr>
                <w:color w:val="000000" w:themeColor="text1"/>
                <w:spacing w:val="-2"/>
              </w:rPr>
              <w:t>Le</w:t>
            </w:r>
            <w:r w:rsidRPr="00E44730">
              <w:rPr>
                <w:color w:val="000000" w:themeColor="text1"/>
                <w:spacing w:val="-2"/>
              </w:rPr>
              <w:t>s coordonnateurs ont adopté un calendrier pour les activités à venir et ont formulé des recommandations.</w:t>
            </w:r>
          </w:p>
          <w:p w14:paraId="61E7FE37" w14:textId="77777777" w:rsidR="00613523" w:rsidRDefault="00613523" w:rsidP="00E44730">
            <w:pPr>
              <w:pStyle w:val="TableParagraph"/>
              <w:numPr>
                <w:ilvl w:val="0"/>
                <w:numId w:val="13"/>
              </w:numPr>
              <w:spacing w:before="220" w:after="220"/>
              <w:ind w:right="86"/>
            </w:pPr>
            <w:r>
              <w:t>Réunion de coordination annuelle, le 28 mai 2025 à Dakar (Sénégal)</w:t>
            </w:r>
          </w:p>
          <w:p w14:paraId="16FCFCCE" w14:textId="64C3A42D" w:rsidR="007A316D" w:rsidRPr="00E44730" w:rsidRDefault="00613523" w:rsidP="00E44730">
            <w:pPr>
              <w:pStyle w:val="TableParagraph"/>
              <w:spacing w:before="220" w:after="220"/>
              <w:ind w:right="86"/>
              <w:rPr>
                <w:spacing w:val="-2"/>
              </w:rPr>
            </w:pPr>
            <w:r w:rsidRPr="00E44730">
              <w:rPr>
                <w:spacing w:val="-2"/>
              </w:rPr>
              <w:t>La réunion de Dakar a rassemblé les coordonnateurs du projet, les responsables des organisations de gestion collective ou leurs représentants, ainsi que des membres du personnel de l</w:t>
            </w:r>
            <w:r w:rsidR="007A316D" w:rsidRPr="00E44730">
              <w:rPr>
                <w:spacing w:val="-2"/>
              </w:rPr>
              <w:t>’</w:t>
            </w:r>
            <w:proofErr w:type="spellStart"/>
            <w:r w:rsidRPr="00E44730">
              <w:rPr>
                <w:spacing w:val="-2"/>
              </w:rPr>
              <w:t>O</w:t>
            </w:r>
            <w:r w:rsidR="004766E0" w:rsidRPr="00E44730">
              <w:rPr>
                <w:spacing w:val="-2"/>
              </w:rPr>
              <w:t>MPI</w:t>
            </w:r>
            <w:proofErr w:type="spellEnd"/>
            <w:r w:rsidR="004766E0" w:rsidRPr="00E44730">
              <w:rPr>
                <w:spacing w:val="-2"/>
              </w:rPr>
              <w:t xml:space="preserve">.  </w:t>
            </w:r>
            <w:r w:rsidR="004766E0" w:rsidRPr="00E44730">
              <w:rPr>
                <w:spacing w:val="-2"/>
              </w:rPr>
              <w:t>El</w:t>
            </w:r>
            <w:r w:rsidRPr="00E44730">
              <w:rPr>
                <w:spacing w:val="-2"/>
              </w:rPr>
              <w:t>le a examiné les résultats du projet et défini l</w:t>
            </w:r>
            <w:r w:rsidR="007A316D" w:rsidRPr="00E44730">
              <w:rPr>
                <w:spacing w:val="-2"/>
              </w:rPr>
              <w:t>’</w:t>
            </w:r>
            <w:r w:rsidRPr="00E44730">
              <w:rPr>
                <w:spacing w:val="-2"/>
              </w:rPr>
              <w:t>orientation stratégique pour assurer la durabilité et le suivi des résultats obtenus, notamment concernant la mise à profit des enseignements tirés dans les pays bénéficiair</w:t>
            </w:r>
            <w:r w:rsidR="004766E0" w:rsidRPr="00E44730">
              <w:rPr>
                <w:spacing w:val="-2"/>
              </w:rPr>
              <w:t>es</w:t>
            </w:r>
            <w:r w:rsidR="004766E0" w:rsidRPr="00E44730">
              <w:rPr>
                <w:spacing w:val="-2"/>
              </w:rPr>
              <w:t xml:space="preserve">.  </w:t>
            </w:r>
            <w:r w:rsidR="004766E0" w:rsidRPr="00E44730">
              <w:rPr>
                <w:spacing w:val="-2"/>
              </w:rPr>
              <w:t>Un</w:t>
            </w:r>
            <w:r w:rsidRPr="00E44730">
              <w:rPr>
                <w:spacing w:val="-2"/>
              </w:rPr>
              <w:t xml:space="preserve"> plan d</w:t>
            </w:r>
            <w:r w:rsidR="007A316D" w:rsidRPr="00E44730">
              <w:rPr>
                <w:spacing w:val="-2"/>
              </w:rPr>
              <w:t>’</w:t>
            </w:r>
            <w:r w:rsidRPr="00E44730">
              <w:rPr>
                <w:spacing w:val="-2"/>
              </w:rPr>
              <w:t>action pour les organisations de gestion collective de l</w:t>
            </w:r>
            <w:r w:rsidR="007A316D" w:rsidRPr="00E44730">
              <w:rPr>
                <w:spacing w:val="-2"/>
              </w:rPr>
              <w:t>’</w:t>
            </w:r>
            <w:r w:rsidRPr="00E44730">
              <w:rPr>
                <w:spacing w:val="-2"/>
              </w:rPr>
              <w:t>UEMOA a été présenté par la Société sénégalaise du droit d</w:t>
            </w:r>
            <w:r w:rsidR="007A316D" w:rsidRPr="00E44730">
              <w:rPr>
                <w:spacing w:val="-2"/>
              </w:rPr>
              <w:t>’</w:t>
            </w:r>
            <w:r w:rsidRPr="00E44730">
              <w:rPr>
                <w:spacing w:val="-2"/>
              </w:rPr>
              <w:t>auteur et des droits voisins (</w:t>
            </w:r>
            <w:proofErr w:type="spellStart"/>
            <w:r w:rsidRPr="00E44730">
              <w:rPr>
                <w:spacing w:val="-2"/>
              </w:rPr>
              <w:t>SODAV</w:t>
            </w:r>
            <w:proofErr w:type="spellEnd"/>
            <w:r w:rsidRPr="00E44730">
              <w:rPr>
                <w:spacing w:val="-2"/>
              </w:rPr>
              <w:t>) et examiné par les coordonnateurs, les représentants des organisations de gestion collective et l</w:t>
            </w:r>
            <w:r w:rsidR="007A316D" w:rsidRPr="00E44730">
              <w:rPr>
                <w:spacing w:val="-2"/>
              </w:rPr>
              <w:t>’</w:t>
            </w:r>
            <w:proofErr w:type="spellStart"/>
            <w:r w:rsidRPr="00E44730">
              <w:rPr>
                <w:spacing w:val="-2"/>
              </w:rPr>
              <w:t>OMPI</w:t>
            </w:r>
            <w:proofErr w:type="spellEnd"/>
            <w:r w:rsidRPr="00E44730">
              <w:rPr>
                <w:spacing w:val="-2"/>
              </w:rPr>
              <w:t>.</w:t>
            </w:r>
          </w:p>
          <w:p w14:paraId="263D3500" w14:textId="69CBA02E" w:rsidR="00613523" w:rsidRPr="000343A8" w:rsidRDefault="00613523" w:rsidP="00E44730">
            <w:pPr>
              <w:pStyle w:val="TableParagraph"/>
              <w:spacing w:before="220" w:after="220"/>
              <w:ind w:right="805"/>
              <w:rPr>
                <w:b/>
                <w:bCs/>
                <w:color w:val="000000" w:themeColor="text1"/>
              </w:rPr>
            </w:pPr>
            <w:r>
              <w:rPr>
                <w:b/>
                <w:color w:val="000000" w:themeColor="text1"/>
              </w:rPr>
              <w:t>Ateliers nationaux à l</w:t>
            </w:r>
            <w:r w:rsidR="007A316D">
              <w:rPr>
                <w:b/>
                <w:color w:val="000000" w:themeColor="text1"/>
              </w:rPr>
              <w:t>’</w:t>
            </w:r>
            <w:r>
              <w:rPr>
                <w:b/>
                <w:color w:val="000000" w:themeColor="text1"/>
              </w:rPr>
              <w:t>intention des principaux acteurs du secteur de la musique et dialogues intersectoriels</w:t>
            </w:r>
          </w:p>
          <w:p w14:paraId="697C37AB" w14:textId="2AD23BBA" w:rsidR="007A316D" w:rsidRDefault="00613523" w:rsidP="00E44730">
            <w:pPr>
              <w:pStyle w:val="TableParagraph"/>
              <w:numPr>
                <w:ilvl w:val="0"/>
                <w:numId w:val="16"/>
              </w:numPr>
              <w:spacing w:before="220" w:after="220"/>
              <w:ind w:right="805"/>
              <w:rPr>
                <w:color w:val="000000" w:themeColor="text1"/>
                <w:u w:val="single"/>
              </w:rPr>
            </w:pPr>
            <w:r>
              <w:rPr>
                <w:color w:val="000000" w:themeColor="text1"/>
                <w:u w:val="single"/>
              </w:rPr>
              <w:t>Premier atelier national sur les pratiques en matière de concession de licences et de conclusion de contrats et sur le dialogue intersectoriel dans le secteur de la musique, Abidjan (Côte d</w:t>
            </w:r>
            <w:r w:rsidR="007A316D">
              <w:rPr>
                <w:color w:val="000000" w:themeColor="text1"/>
                <w:u w:val="single"/>
              </w:rPr>
              <w:t>’</w:t>
            </w:r>
            <w:r>
              <w:rPr>
                <w:color w:val="000000" w:themeColor="text1"/>
                <w:u w:val="single"/>
              </w:rPr>
              <w:t>Ivoire), les 12 et 13 juin 2023</w:t>
            </w:r>
          </w:p>
          <w:p w14:paraId="3B3196DE" w14:textId="6DB257D1" w:rsidR="00613523" w:rsidRDefault="00613523" w:rsidP="00E44730">
            <w:pPr>
              <w:pStyle w:val="TableParagraph"/>
              <w:spacing w:before="220" w:after="220"/>
              <w:ind w:right="86"/>
              <w:rPr>
                <w:color w:val="000000" w:themeColor="text1"/>
              </w:rPr>
            </w:pPr>
            <w:r>
              <w:rPr>
                <w:color w:val="000000" w:themeColor="text1"/>
              </w:rPr>
              <w:t>Cet atelier de deux jours a réuni 100 participants représentant la filière musicale du pays, et a porté sur des sujets tels que la concession de licences, les identifiants et la gestion des droi</w:t>
            </w:r>
            <w:r w:rsidR="004766E0">
              <w:rPr>
                <w:color w:val="000000" w:themeColor="text1"/>
              </w:rPr>
              <w:t>ts</w:t>
            </w:r>
            <w:r w:rsidR="004766E0">
              <w:rPr>
                <w:color w:val="000000" w:themeColor="text1"/>
              </w:rPr>
              <w:t xml:space="preserve">.  </w:t>
            </w:r>
            <w:r w:rsidR="004766E0">
              <w:rPr>
                <w:color w:val="000000" w:themeColor="text1"/>
              </w:rPr>
              <w:t>En</w:t>
            </w:r>
            <w:r>
              <w:rPr>
                <w:color w:val="000000" w:themeColor="text1"/>
              </w:rPr>
              <w:t xml:space="preserve"> outre, cette manifestation a favorisé des échanges intersectoriels public</w:t>
            </w:r>
            <w:r w:rsidR="007A316D">
              <w:rPr>
                <w:color w:val="000000" w:themeColor="text1"/>
              </w:rPr>
              <w:t>-</w:t>
            </w:r>
            <w:r>
              <w:rPr>
                <w:color w:val="000000" w:themeColor="text1"/>
              </w:rPr>
              <w:t>privé entre les principaux acteurs du secteur de la musiq</w:t>
            </w:r>
            <w:r w:rsidR="004766E0">
              <w:rPr>
                <w:color w:val="000000" w:themeColor="text1"/>
              </w:rPr>
              <w:t>ue</w:t>
            </w:r>
            <w:r w:rsidR="004766E0">
              <w:rPr>
                <w:color w:val="000000" w:themeColor="text1"/>
              </w:rPr>
              <w:t xml:space="preserve">.  </w:t>
            </w:r>
            <w:r w:rsidR="004766E0">
              <w:rPr>
                <w:color w:val="000000" w:themeColor="text1"/>
              </w:rPr>
              <w:t>Il</w:t>
            </w:r>
            <w:r>
              <w:rPr>
                <w:color w:val="000000" w:themeColor="text1"/>
              </w:rPr>
              <w:t xml:space="preserve"> s</w:t>
            </w:r>
            <w:r w:rsidR="007A316D">
              <w:rPr>
                <w:color w:val="000000" w:themeColor="text1"/>
              </w:rPr>
              <w:t>’</w:t>
            </w:r>
            <w:r>
              <w:rPr>
                <w:color w:val="000000" w:themeColor="text1"/>
              </w:rPr>
              <w:t>agissait d</w:t>
            </w:r>
            <w:r w:rsidR="007A316D">
              <w:rPr>
                <w:color w:val="000000" w:themeColor="text1"/>
              </w:rPr>
              <w:t>’</w:t>
            </w:r>
            <w:r>
              <w:rPr>
                <w:color w:val="000000" w:themeColor="text1"/>
              </w:rPr>
              <w:t>un atelier pilote et, lors d</w:t>
            </w:r>
            <w:r w:rsidR="007A316D">
              <w:rPr>
                <w:color w:val="000000" w:themeColor="text1"/>
              </w:rPr>
              <w:t>’</w:t>
            </w:r>
            <w:r>
              <w:rPr>
                <w:color w:val="000000" w:themeColor="text1"/>
              </w:rPr>
              <w:t>une réunion de suivi, les coordonnateurs ont proposé quelques adaptations et ont affiné les sujets à aborder dans le cadre des futurs ateliers, compte tenu des priorités national</w:t>
            </w:r>
            <w:r w:rsidR="004766E0">
              <w:rPr>
                <w:color w:val="000000" w:themeColor="text1"/>
              </w:rPr>
              <w:t>es</w:t>
            </w:r>
            <w:r w:rsidR="004766E0">
              <w:rPr>
                <w:color w:val="000000" w:themeColor="text1"/>
              </w:rPr>
              <w:t xml:space="preserve">.  </w:t>
            </w:r>
            <w:r w:rsidR="004766E0">
              <w:rPr>
                <w:color w:val="000000" w:themeColor="text1"/>
              </w:rPr>
              <w:t>Il</w:t>
            </w:r>
            <w:r>
              <w:rPr>
                <w:color w:val="000000" w:themeColor="text1"/>
              </w:rPr>
              <w:t xml:space="preserve"> a également été convenu que chaque atelier serait adapté à l</w:t>
            </w:r>
            <w:r w:rsidR="007A316D">
              <w:rPr>
                <w:color w:val="000000" w:themeColor="text1"/>
              </w:rPr>
              <w:t>’</w:t>
            </w:r>
            <w:r>
              <w:rPr>
                <w:color w:val="000000" w:themeColor="text1"/>
              </w:rPr>
              <w:t>issue des débats menés avec le coordonnateur du pays considéré.</w:t>
            </w:r>
          </w:p>
          <w:p w14:paraId="5406CD50" w14:textId="03253E14" w:rsidR="00613523" w:rsidRDefault="00613523" w:rsidP="00E44730">
            <w:pPr>
              <w:pStyle w:val="TableParagraph"/>
              <w:numPr>
                <w:ilvl w:val="0"/>
                <w:numId w:val="16"/>
              </w:numPr>
              <w:spacing w:before="220" w:after="220"/>
              <w:ind w:right="805"/>
              <w:rPr>
                <w:u w:val="single"/>
              </w:rPr>
            </w:pPr>
            <w:r>
              <w:rPr>
                <w:color w:val="000000" w:themeColor="text1"/>
                <w:u w:val="single"/>
              </w:rPr>
              <w:t>Deuxième atelier national à l</w:t>
            </w:r>
            <w:r w:rsidR="007A316D">
              <w:rPr>
                <w:color w:val="000000" w:themeColor="text1"/>
                <w:u w:val="single"/>
              </w:rPr>
              <w:t>’</w:t>
            </w:r>
            <w:r>
              <w:rPr>
                <w:color w:val="000000" w:themeColor="text1"/>
                <w:u w:val="single"/>
              </w:rPr>
              <w:t>intention des principaux acteurs du secteur musical et dialogue intersectoriel, Cotonou (Bénin), du 23 au 25 avril 2024</w:t>
            </w:r>
          </w:p>
          <w:p w14:paraId="419F4C5F" w14:textId="7585EEB5" w:rsidR="007A316D" w:rsidRDefault="00613523" w:rsidP="00E44730">
            <w:pPr>
              <w:pStyle w:val="TableParagraph"/>
              <w:spacing w:before="220" w:after="220"/>
              <w:ind w:right="86"/>
              <w:rPr>
                <w:color w:val="000000" w:themeColor="text1"/>
              </w:rPr>
            </w:pPr>
            <w:r>
              <w:t xml:space="preserve">Ce deuxième atelier national et dialogue intersectoriel destiné aux principaux acteurs du secteur de la musique a réuni plus de 60 représentants de la </w:t>
            </w:r>
            <w:r>
              <w:rPr>
                <w:color w:val="000000" w:themeColor="text1"/>
              </w:rPr>
              <w:t xml:space="preserve">chaîne de valeur musicale du Bénin, les organisations de gestion collective, les coordonnateurs ainsi que des spécialistes internationaux.  </w:t>
            </w:r>
            <w:r>
              <w:t>98% des participants ont déclaré être satisfaits ou très satisfaits de cet atelier national à Coton</w:t>
            </w:r>
            <w:r w:rsidR="004766E0">
              <w:t>ou</w:t>
            </w:r>
            <w:r w:rsidR="004766E0">
              <w:t xml:space="preserve">.  </w:t>
            </w:r>
            <w:r w:rsidR="004766E0">
              <w:rPr>
                <w:color w:val="000000" w:themeColor="text1"/>
              </w:rPr>
              <w:t>Ce</w:t>
            </w:r>
            <w:r>
              <w:rPr>
                <w:color w:val="000000" w:themeColor="text1"/>
              </w:rPr>
              <w:t xml:space="preserve">t atelier et dialogue intersectoriel a servi de cadre à des discussions sur le développement de la chaîne de valeur musicale et de nouveaux modèles économiques de la musique au </w:t>
            </w:r>
            <w:proofErr w:type="gramStart"/>
            <w:r>
              <w:rPr>
                <w:color w:val="000000" w:themeColor="text1"/>
              </w:rPr>
              <w:t>Bénin;  il</w:t>
            </w:r>
            <w:proofErr w:type="gramEnd"/>
            <w:r>
              <w:rPr>
                <w:color w:val="000000" w:themeColor="text1"/>
              </w:rPr>
              <w:t xml:space="preserve"> a aussi été l</w:t>
            </w:r>
            <w:r w:rsidR="007A316D">
              <w:rPr>
                <w:color w:val="000000" w:themeColor="text1"/>
              </w:rPr>
              <w:t>’</w:t>
            </w:r>
            <w:r>
              <w:rPr>
                <w:color w:val="000000" w:themeColor="text1"/>
              </w:rPr>
              <w:t>occasion d</w:t>
            </w:r>
            <w:r w:rsidR="007A316D">
              <w:rPr>
                <w:color w:val="000000" w:themeColor="text1"/>
              </w:rPr>
              <w:t>’</w:t>
            </w:r>
            <w:r>
              <w:rPr>
                <w:color w:val="000000" w:themeColor="text1"/>
              </w:rPr>
              <w:t>échanger des données d</w:t>
            </w:r>
            <w:r w:rsidR="007A316D">
              <w:rPr>
                <w:color w:val="000000" w:themeColor="text1"/>
              </w:rPr>
              <w:t>’</w:t>
            </w:r>
            <w:r>
              <w:rPr>
                <w:color w:val="000000" w:themeColor="text1"/>
              </w:rPr>
              <w:t>expérience et de tisser des résea</w:t>
            </w:r>
            <w:r w:rsidR="004766E0">
              <w:rPr>
                <w:color w:val="000000" w:themeColor="text1"/>
              </w:rPr>
              <w:t>ux</w:t>
            </w:r>
            <w:r w:rsidR="004766E0">
              <w:rPr>
                <w:color w:val="000000" w:themeColor="text1"/>
              </w:rPr>
              <w:t xml:space="preserve">.  </w:t>
            </w:r>
            <w:r w:rsidR="004766E0">
              <w:rPr>
                <w:color w:val="000000" w:themeColor="text1"/>
              </w:rPr>
              <w:t>Un</w:t>
            </w:r>
            <w:r>
              <w:rPr>
                <w:color w:val="000000" w:themeColor="text1"/>
              </w:rPr>
              <w:t>e liste de recommandations a été établie.</w:t>
            </w:r>
          </w:p>
          <w:p w14:paraId="1AC5B96B" w14:textId="77777777" w:rsidR="00613523" w:rsidRDefault="00613523" w:rsidP="00E44730">
            <w:pPr>
              <w:pStyle w:val="TableParagraph"/>
              <w:numPr>
                <w:ilvl w:val="0"/>
                <w:numId w:val="16"/>
              </w:numPr>
              <w:spacing w:before="220" w:after="220"/>
              <w:ind w:right="86"/>
              <w:rPr>
                <w:u w:val="single"/>
              </w:rPr>
            </w:pPr>
            <w:r>
              <w:rPr>
                <w:u w:val="single"/>
              </w:rPr>
              <w:t>Troisième atelier national et dialogue intersectoriel, Lomé (Togo), les 12 et 13 novembre 2024</w:t>
            </w:r>
          </w:p>
          <w:p w14:paraId="1C2765B3" w14:textId="401B5A90" w:rsidR="007A316D" w:rsidRDefault="00613523" w:rsidP="00E44730">
            <w:pPr>
              <w:pStyle w:val="TableParagraph"/>
              <w:spacing w:before="220" w:after="220"/>
              <w:ind w:right="86"/>
            </w:pPr>
            <w:r>
              <w:t>Le troisième atelier national et dialogue intersectoriel à Lomé a réuni 45 acteurs clés du secteur de la musique au Togo, les responsables des organisations de gestion collective et les coordonnateurs du projet, ainsi que des spécialistes internationaux, régionaux et nationaux.  95% des participants ont déclaré être satisfaits ou très satisfaits de cet ateli</w:t>
            </w:r>
            <w:r w:rsidR="004766E0">
              <w:t>er</w:t>
            </w:r>
            <w:r w:rsidR="004766E0">
              <w:t xml:space="preserve">.  </w:t>
            </w:r>
            <w:r w:rsidR="004766E0">
              <w:t>Le</w:t>
            </w:r>
            <w:r>
              <w:t xml:space="preserve">s participants ont débattu du développement de la chaîne de valeur musicale et de nouveaux modèles </w:t>
            </w:r>
            <w:proofErr w:type="gramStart"/>
            <w:r>
              <w:t>économiques</w:t>
            </w:r>
            <w:r>
              <w:rPr>
                <w:color w:val="000000" w:themeColor="text1"/>
              </w:rPr>
              <w:t>;  ils</w:t>
            </w:r>
            <w:proofErr w:type="gramEnd"/>
            <w:r>
              <w:rPr>
                <w:color w:val="000000" w:themeColor="text1"/>
              </w:rPr>
              <w:t xml:space="preserve"> ont également échangé des données d</w:t>
            </w:r>
            <w:r w:rsidR="007A316D">
              <w:rPr>
                <w:color w:val="000000" w:themeColor="text1"/>
              </w:rPr>
              <w:t>’</w:t>
            </w:r>
            <w:r>
              <w:rPr>
                <w:color w:val="000000" w:themeColor="text1"/>
              </w:rPr>
              <w:t>expérience et tissé des résea</w:t>
            </w:r>
            <w:r w:rsidR="004766E0">
              <w:rPr>
                <w:color w:val="000000" w:themeColor="text1"/>
              </w:rPr>
              <w:t>ux</w:t>
            </w:r>
            <w:r w:rsidR="004766E0">
              <w:rPr>
                <w:color w:val="000000" w:themeColor="text1"/>
              </w:rPr>
              <w:t xml:space="preserve">.  </w:t>
            </w:r>
            <w:r w:rsidR="004766E0">
              <w:t>L’a</w:t>
            </w:r>
            <w:r>
              <w:t>telier a notamment informé les</w:t>
            </w:r>
            <w:r>
              <w:rPr>
                <w:color w:val="000000" w:themeColor="text1"/>
              </w:rPr>
              <w:t xml:space="preserve"> participants de l</w:t>
            </w:r>
            <w:r w:rsidR="007A316D">
              <w:rPr>
                <w:color w:val="000000" w:themeColor="text1"/>
              </w:rPr>
              <w:t>’</w:t>
            </w:r>
            <w:r>
              <w:rPr>
                <w:color w:val="000000" w:themeColor="text1"/>
              </w:rPr>
              <w:t>état d</w:t>
            </w:r>
            <w:r w:rsidR="007A316D">
              <w:rPr>
                <w:color w:val="000000" w:themeColor="text1"/>
              </w:rPr>
              <w:t>’</w:t>
            </w:r>
            <w:r>
              <w:rPr>
                <w:color w:val="000000" w:themeColor="text1"/>
              </w:rPr>
              <w:t>avancement du projet de loi sur la</w:t>
            </w:r>
            <w:r>
              <w:t xml:space="preserve"> protection du droit d</w:t>
            </w:r>
            <w:r w:rsidR="007A316D">
              <w:t>’</w:t>
            </w:r>
            <w:r>
              <w:t>auteur, des droits connexes et des expressions du folklore qui a été adopté par le Gouvernement du Togo le 26 octobre 2023.</w:t>
            </w:r>
          </w:p>
          <w:p w14:paraId="4DA36108" w14:textId="77777777" w:rsidR="007A316D" w:rsidRDefault="00613523" w:rsidP="00E44730">
            <w:pPr>
              <w:pStyle w:val="TableParagraph"/>
              <w:numPr>
                <w:ilvl w:val="0"/>
                <w:numId w:val="16"/>
              </w:numPr>
              <w:spacing w:before="220" w:after="220"/>
              <w:ind w:right="86"/>
              <w:rPr>
                <w:u w:val="single"/>
              </w:rPr>
            </w:pPr>
            <w:r>
              <w:rPr>
                <w:u w:val="single"/>
              </w:rPr>
              <w:t>Quatrième atelier national et dialogue intersectoriel, Dakar (Sénégal), les 27 et 28 mai 2025</w:t>
            </w:r>
          </w:p>
          <w:p w14:paraId="0CD85CC4" w14:textId="230C87DB" w:rsidR="00613523" w:rsidRDefault="00613523" w:rsidP="00E44730">
            <w:pPr>
              <w:pStyle w:val="TableParagraph"/>
              <w:spacing w:before="220" w:after="220"/>
              <w:ind w:right="86"/>
            </w:pPr>
            <w:r>
              <w:t>Le quatrième atelier national et dialogue intersectoriel à l</w:t>
            </w:r>
            <w:r w:rsidR="007A316D">
              <w:t>’</w:t>
            </w:r>
            <w:r>
              <w:t>intention des principaux acteurs du secteur de la musique a réuni quelque 70 participants, notamment les acteurs clés de la filière musicale au Sénégal, les responsables des organisations de gestion collective et les coordonnateurs du projet, les juges de tous les pays de l</w:t>
            </w:r>
            <w:r w:rsidR="007A316D">
              <w:t>’</w:t>
            </w:r>
            <w:r>
              <w:t>UEMOA, ainsi que des spécialistes internationaux, régionaux et nationa</w:t>
            </w:r>
            <w:r w:rsidR="004766E0">
              <w:t>ux</w:t>
            </w:r>
            <w:r w:rsidR="004766E0">
              <w:t xml:space="preserve">.  </w:t>
            </w:r>
            <w:r w:rsidR="004766E0">
              <w:t>Le</w:t>
            </w:r>
            <w:r>
              <w:t xml:space="preserve"> taux de satisfaction des participants a atteint 97%.</w:t>
            </w:r>
          </w:p>
          <w:p w14:paraId="312385A3" w14:textId="77777777" w:rsidR="00613523" w:rsidRDefault="00613523" w:rsidP="00E44730">
            <w:pPr>
              <w:pStyle w:val="TableParagraph"/>
              <w:spacing w:before="220" w:after="220"/>
              <w:ind w:right="86"/>
              <w:rPr>
                <w:b/>
                <w:bCs/>
              </w:rPr>
            </w:pPr>
            <w:r>
              <w:rPr>
                <w:b/>
              </w:rPr>
              <w:t>Formation et réunion des organisations de gestion collective</w:t>
            </w:r>
          </w:p>
          <w:p w14:paraId="0982DF66" w14:textId="076DB6B0" w:rsidR="00613523" w:rsidRPr="000343A8" w:rsidRDefault="00613523" w:rsidP="00E44730">
            <w:pPr>
              <w:pStyle w:val="TableParagraph"/>
              <w:numPr>
                <w:ilvl w:val="0"/>
                <w:numId w:val="16"/>
              </w:numPr>
              <w:spacing w:before="220" w:after="220"/>
              <w:ind w:right="805"/>
              <w:rPr>
                <w:color w:val="000000" w:themeColor="text1"/>
                <w:u w:val="single"/>
              </w:rPr>
            </w:pPr>
            <w:r>
              <w:rPr>
                <w:color w:val="000000" w:themeColor="text1"/>
                <w:u w:val="single"/>
              </w:rPr>
              <w:t>Réunion annuelle des organisations de gestion collective et des coordonnateurs des pays de l</w:t>
            </w:r>
            <w:r w:rsidR="007A316D">
              <w:rPr>
                <w:color w:val="000000" w:themeColor="text1"/>
                <w:u w:val="single"/>
              </w:rPr>
              <w:t>’</w:t>
            </w:r>
            <w:r>
              <w:rPr>
                <w:color w:val="000000" w:themeColor="text1"/>
                <w:u w:val="single"/>
              </w:rPr>
              <w:t>UEMOA, les 14 et 15 juin 2023 à Abidjan (Côte d</w:t>
            </w:r>
            <w:r w:rsidR="007A316D">
              <w:rPr>
                <w:color w:val="000000" w:themeColor="text1"/>
                <w:u w:val="single"/>
              </w:rPr>
              <w:t>’</w:t>
            </w:r>
            <w:r>
              <w:rPr>
                <w:color w:val="000000" w:themeColor="text1"/>
                <w:u w:val="single"/>
              </w:rPr>
              <w:t>Ivoire)</w:t>
            </w:r>
          </w:p>
          <w:p w14:paraId="790109C5" w14:textId="6A954DA1" w:rsidR="007A316D" w:rsidRDefault="00613523" w:rsidP="00E44730">
            <w:pPr>
              <w:pStyle w:val="TableParagraph"/>
              <w:spacing w:before="220" w:after="220"/>
              <w:ind w:right="86"/>
              <w:rPr>
                <w:color w:val="000000" w:themeColor="text1"/>
              </w:rPr>
            </w:pPr>
            <w:r>
              <w:rPr>
                <w:color w:val="000000" w:themeColor="text1"/>
              </w:rPr>
              <w:t>Immédiatement après le premier atelier national, l</w:t>
            </w:r>
            <w:r w:rsidR="007A316D">
              <w:rPr>
                <w:color w:val="000000" w:themeColor="text1"/>
              </w:rPr>
              <w:t>’</w:t>
            </w:r>
            <w:proofErr w:type="spellStart"/>
            <w:r>
              <w:rPr>
                <w:color w:val="000000" w:themeColor="text1"/>
              </w:rPr>
              <w:t>OMPI</w:t>
            </w:r>
            <w:proofErr w:type="spellEnd"/>
            <w:r>
              <w:rPr>
                <w:color w:val="000000" w:themeColor="text1"/>
              </w:rPr>
              <w:t xml:space="preserve"> et l</w:t>
            </w:r>
            <w:r w:rsidR="007A316D">
              <w:rPr>
                <w:color w:val="000000" w:themeColor="text1"/>
              </w:rPr>
              <w:t>’</w:t>
            </w:r>
            <w:r>
              <w:rPr>
                <w:color w:val="000000" w:themeColor="text1"/>
              </w:rPr>
              <w:t>UEMOA ont organisé et cofinancé une réunion de deux jours destinée à tous les responsables des organisations de gestion collective ainsi qu</w:t>
            </w:r>
            <w:r w:rsidR="007A316D">
              <w:rPr>
                <w:color w:val="000000" w:themeColor="text1"/>
              </w:rPr>
              <w:t>’</w:t>
            </w:r>
            <w:r>
              <w:rPr>
                <w:color w:val="000000" w:themeColor="text1"/>
              </w:rPr>
              <w:t>aux coordonnateurs du projet des huit pays bénéficiaires de l</w:t>
            </w:r>
            <w:r w:rsidR="007A316D">
              <w:rPr>
                <w:color w:val="000000" w:themeColor="text1"/>
              </w:rPr>
              <w:t>’</w:t>
            </w:r>
            <w:r>
              <w:rPr>
                <w:color w:val="000000" w:themeColor="text1"/>
              </w:rPr>
              <w:t>UE</w:t>
            </w:r>
            <w:r w:rsidR="004766E0">
              <w:rPr>
                <w:color w:val="000000" w:themeColor="text1"/>
              </w:rPr>
              <w:t>MOA</w:t>
            </w:r>
            <w:r w:rsidR="004766E0">
              <w:rPr>
                <w:color w:val="000000" w:themeColor="text1"/>
              </w:rPr>
              <w:t xml:space="preserve">.  </w:t>
            </w:r>
            <w:r w:rsidR="004766E0">
              <w:rPr>
                <w:color w:val="000000" w:themeColor="text1"/>
              </w:rPr>
              <w:t>Le</w:t>
            </w:r>
            <w:r>
              <w:rPr>
                <w:color w:val="000000" w:themeColor="text1"/>
              </w:rPr>
              <w:t>s 16 participants ont également été invités à participer à l</w:t>
            </w:r>
            <w:r w:rsidR="007A316D">
              <w:rPr>
                <w:color w:val="000000" w:themeColor="text1"/>
              </w:rPr>
              <w:t>’</w:t>
            </w:r>
            <w:r>
              <w:rPr>
                <w:color w:val="000000" w:themeColor="text1"/>
              </w:rPr>
              <w:t>atelier national sur la conclusion de contrats et la concession de licences qui était organisé juste avant leur réunion annuelle.</w:t>
            </w:r>
          </w:p>
          <w:p w14:paraId="4490A798" w14:textId="5470B98E" w:rsidR="007A316D" w:rsidRDefault="00613523" w:rsidP="00E44730">
            <w:pPr>
              <w:pStyle w:val="Default"/>
              <w:numPr>
                <w:ilvl w:val="0"/>
                <w:numId w:val="16"/>
              </w:numPr>
              <w:spacing w:before="220" w:after="220"/>
              <w:rPr>
                <w:sz w:val="22"/>
                <w:u w:val="single"/>
              </w:rPr>
            </w:pPr>
            <w:r>
              <w:rPr>
                <w:sz w:val="22"/>
                <w:u w:val="single"/>
              </w:rPr>
              <w:t>Deuxième réunion annuelle des organisations de gestion collective et des coordonnateurs des pays de l</w:t>
            </w:r>
            <w:r w:rsidR="007A316D">
              <w:rPr>
                <w:sz w:val="22"/>
                <w:u w:val="single"/>
              </w:rPr>
              <w:t>’</w:t>
            </w:r>
            <w:r>
              <w:rPr>
                <w:sz w:val="22"/>
                <w:u w:val="single"/>
              </w:rPr>
              <w:t>UEMOA, Cotonou (Bénin), le 26 avril 2024</w:t>
            </w:r>
          </w:p>
          <w:p w14:paraId="1CAB28F7" w14:textId="7F568315" w:rsidR="00613523" w:rsidRDefault="00613523" w:rsidP="00E44730">
            <w:pPr>
              <w:pStyle w:val="Default"/>
              <w:spacing w:before="220" w:after="220"/>
              <w:rPr>
                <w:sz w:val="22"/>
                <w:szCs w:val="22"/>
              </w:rPr>
            </w:pPr>
            <w:r>
              <w:rPr>
                <w:sz w:val="22"/>
              </w:rPr>
              <w:t>La deuxième réunion des organisations de gestion collective à Cotonou leur a permis de faire le point sur l</w:t>
            </w:r>
            <w:r w:rsidR="007A316D">
              <w:rPr>
                <w:sz w:val="22"/>
              </w:rPr>
              <w:t>’</w:t>
            </w:r>
            <w:r>
              <w:rPr>
                <w:sz w:val="22"/>
              </w:rPr>
              <w:t>évolution de la situation depuis leur première réuni</w:t>
            </w:r>
            <w:r w:rsidR="004766E0">
              <w:rPr>
                <w:sz w:val="22"/>
              </w:rPr>
              <w:t>on</w:t>
            </w:r>
            <w:r w:rsidR="004766E0">
              <w:rPr>
                <w:sz w:val="22"/>
              </w:rPr>
              <w:t xml:space="preserve">.  </w:t>
            </w:r>
            <w:r w:rsidR="004766E0">
              <w:rPr>
                <w:sz w:val="22"/>
              </w:rPr>
              <w:t>De</w:t>
            </w:r>
            <w:r>
              <w:rPr>
                <w:sz w:val="22"/>
              </w:rPr>
              <w:t>s solutions s</w:t>
            </w:r>
            <w:r w:rsidR="007A316D">
              <w:rPr>
                <w:sz w:val="22"/>
              </w:rPr>
              <w:t>’</w:t>
            </w:r>
            <w:r>
              <w:rPr>
                <w:sz w:val="22"/>
              </w:rPr>
              <w:t>offrant aux organisations de gestion collective sur le plan des technologies de l</w:t>
            </w:r>
            <w:r w:rsidR="007A316D">
              <w:rPr>
                <w:sz w:val="22"/>
              </w:rPr>
              <w:t>’</w:t>
            </w:r>
            <w:r>
              <w:rPr>
                <w:sz w:val="22"/>
              </w:rPr>
              <w:t xml:space="preserve">information ont été présentées, en premier lieu le système </w:t>
            </w:r>
            <w:proofErr w:type="spellStart"/>
            <w:r>
              <w:rPr>
                <w:sz w:val="22"/>
              </w:rPr>
              <w:t>WIPO</w:t>
            </w:r>
            <w:proofErr w:type="spellEnd"/>
            <w:r>
              <w:rPr>
                <w:sz w:val="22"/>
              </w:rPr>
              <w:t> </w:t>
            </w:r>
            <w:proofErr w:type="spellStart"/>
            <w:proofErr w:type="gramStart"/>
            <w:r>
              <w:rPr>
                <w:sz w:val="22"/>
              </w:rPr>
              <w:t>Connect</w:t>
            </w:r>
            <w:proofErr w:type="spellEnd"/>
            <w:r>
              <w:rPr>
                <w:sz w:val="22"/>
              </w:rPr>
              <w:t>;  le</w:t>
            </w:r>
            <w:proofErr w:type="gramEnd"/>
            <w:r>
              <w:rPr>
                <w:sz w:val="22"/>
              </w:rPr>
              <w:t xml:space="preserve"> bureau béninois du droit d</w:t>
            </w:r>
            <w:r w:rsidR="007A316D">
              <w:rPr>
                <w:sz w:val="22"/>
              </w:rPr>
              <w:t>’</w:t>
            </w:r>
            <w:r>
              <w:rPr>
                <w:sz w:val="22"/>
              </w:rPr>
              <w:t>auteur (</w:t>
            </w:r>
            <w:proofErr w:type="spellStart"/>
            <w:r>
              <w:rPr>
                <w:sz w:val="22"/>
              </w:rPr>
              <w:t>BUBEDRA</w:t>
            </w:r>
            <w:proofErr w:type="spellEnd"/>
            <w:r>
              <w:rPr>
                <w:sz w:val="22"/>
              </w:rPr>
              <w:t>) a ensuite témoigné de son expérience quant à la dématérialisation du système de perception des redevances.  L</w:t>
            </w:r>
            <w:r w:rsidR="007A316D">
              <w:rPr>
                <w:sz w:val="22"/>
              </w:rPr>
              <w:t>’</w:t>
            </w:r>
            <w:r>
              <w:rPr>
                <w:sz w:val="22"/>
              </w:rPr>
              <w:t>UEMOA a fait le point sur la mise en œuvre de la Directive n° 07/2023/CM/UEMOA relative à l</w:t>
            </w:r>
            <w:r w:rsidR="007A316D">
              <w:rPr>
                <w:sz w:val="22"/>
              </w:rPr>
              <w:t>’</w:t>
            </w:r>
            <w:r>
              <w:rPr>
                <w:sz w:val="22"/>
              </w:rPr>
              <w:t>harmonisation des dispositions concernant le droit à rémunération au titre de la copie privée dans ses États membres.</w:t>
            </w:r>
          </w:p>
          <w:p w14:paraId="7A4352F0" w14:textId="77777777" w:rsidR="007A316D" w:rsidRDefault="00613523" w:rsidP="00E44730">
            <w:pPr>
              <w:pStyle w:val="TableParagraph"/>
              <w:numPr>
                <w:ilvl w:val="0"/>
                <w:numId w:val="16"/>
              </w:numPr>
              <w:spacing w:before="220" w:after="220"/>
              <w:ind w:right="86"/>
              <w:rPr>
                <w:u w:val="single"/>
              </w:rPr>
            </w:pPr>
            <w:r>
              <w:rPr>
                <w:u w:val="single"/>
              </w:rPr>
              <w:t>Formation sur la gestion collective et réunion des organisations de gestion collective, Dakar (Sénégal), le 28 mai 2025</w:t>
            </w:r>
          </w:p>
          <w:p w14:paraId="30ECD336" w14:textId="092C8B5F" w:rsidR="00613523" w:rsidRDefault="00613523" w:rsidP="00E44730">
            <w:pPr>
              <w:pStyle w:val="TableParagraph"/>
              <w:spacing w:before="220" w:after="220"/>
              <w:ind w:right="86"/>
            </w:pPr>
            <w:r>
              <w:t>Dans le cadre du quatrième atelier national, une séance de formation à la gestion collective a été organis</w:t>
            </w:r>
            <w:r w:rsidR="004766E0">
              <w:t>ée</w:t>
            </w:r>
            <w:r w:rsidR="004766E0">
              <w:t xml:space="preserve">.  </w:t>
            </w:r>
            <w:r w:rsidR="004766E0">
              <w:t>El</w:t>
            </w:r>
            <w:r>
              <w:t>le a porté sur les mesures d</w:t>
            </w:r>
            <w:r w:rsidR="007A316D">
              <w:t>’</w:t>
            </w:r>
            <w:r>
              <w:t>identification technique, les métadonnées et les outils de gestion des droi</w:t>
            </w:r>
            <w:r w:rsidR="004766E0">
              <w:t>ts</w:t>
            </w:r>
            <w:r w:rsidR="004766E0">
              <w:t xml:space="preserve">.  </w:t>
            </w:r>
            <w:r w:rsidR="004766E0">
              <w:t>Le</w:t>
            </w:r>
            <w:r>
              <w:t>s organisations de gestion collective de l</w:t>
            </w:r>
            <w:r w:rsidR="007A316D">
              <w:t>’</w:t>
            </w:r>
            <w:r>
              <w:t>UEMOA ont également pris part à la réunion de coordination annuel</w:t>
            </w:r>
            <w:r w:rsidR="004766E0">
              <w:t>le</w:t>
            </w:r>
            <w:r w:rsidR="004766E0">
              <w:t xml:space="preserve">.  </w:t>
            </w:r>
            <w:r w:rsidR="004766E0">
              <w:t>Le</w:t>
            </w:r>
            <w:r>
              <w:t>s organisations de gestion collective participantes ont acquis une meilleure connaissance des mesures d</w:t>
            </w:r>
            <w:r w:rsidR="007A316D">
              <w:t>’</w:t>
            </w:r>
            <w:r>
              <w:t>identification technique, des métadonnées et des outils de gestion des droits.</w:t>
            </w:r>
          </w:p>
          <w:p w14:paraId="3BCB5717" w14:textId="183D7ACD" w:rsidR="00613523" w:rsidRDefault="00613523" w:rsidP="00E44730">
            <w:pPr>
              <w:pStyle w:val="TableParagraph"/>
              <w:spacing w:before="220" w:after="220"/>
              <w:ind w:right="86"/>
              <w:rPr>
                <w:b/>
                <w:bCs/>
              </w:rPr>
            </w:pPr>
            <w:r>
              <w:rPr>
                <w:b/>
              </w:rPr>
              <w:t>Formations à l</w:t>
            </w:r>
            <w:r w:rsidR="007A316D">
              <w:rPr>
                <w:b/>
              </w:rPr>
              <w:t>’</w:t>
            </w:r>
            <w:r>
              <w:rPr>
                <w:b/>
              </w:rPr>
              <w:t>intention des magistrats et du personnel judiciaire</w:t>
            </w:r>
          </w:p>
          <w:p w14:paraId="5691B62E" w14:textId="6023E2EF" w:rsidR="00613523" w:rsidRPr="00DB7626" w:rsidRDefault="00613523" w:rsidP="00E44730">
            <w:pPr>
              <w:pStyle w:val="NoSpacing"/>
              <w:numPr>
                <w:ilvl w:val="0"/>
                <w:numId w:val="16"/>
              </w:numPr>
              <w:spacing w:before="220" w:after="220"/>
              <w:rPr>
                <w:u w:val="single"/>
              </w:rPr>
            </w:pPr>
            <w:r>
              <w:rPr>
                <w:u w:val="single"/>
              </w:rPr>
              <w:t>Premier atelier pilote national de formation à l</w:t>
            </w:r>
            <w:r w:rsidR="007A316D">
              <w:rPr>
                <w:u w:val="single"/>
              </w:rPr>
              <w:t>’</w:t>
            </w:r>
            <w:r>
              <w:rPr>
                <w:u w:val="single"/>
              </w:rPr>
              <w:t>intention des magistrats et du personnel judiciaire au Togo, 14 novembre 2024, Lomé (Togo)</w:t>
            </w:r>
          </w:p>
          <w:p w14:paraId="35FA2DE1" w14:textId="7A7495BB" w:rsidR="00613523" w:rsidRDefault="00613523" w:rsidP="00E44730">
            <w:pPr>
              <w:pStyle w:val="NoSpacing"/>
              <w:spacing w:before="220" w:after="220"/>
            </w:pPr>
            <w:r>
              <w:t>Cet atelier pilote national de formation au Togo a réuni 24 participants, dont des magistrats et du personnel judiciaire ainsi que des spécialist</w:t>
            </w:r>
            <w:r w:rsidR="004766E0">
              <w:t>es</w:t>
            </w:r>
            <w:r w:rsidR="004766E0">
              <w:t xml:space="preserve">.  </w:t>
            </w:r>
            <w:r w:rsidR="004766E0">
              <w:t>Il</w:t>
            </w:r>
            <w:r>
              <w:t xml:space="preserve"> a permis de conceptualiser et de préparer l</w:t>
            </w:r>
            <w:r w:rsidR="007A316D">
              <w:t>’</w:t>
            </w:r>
            <w:r>
              <w:t>organisation de l</w:t>
            </w:r>
            <w:r w:rsidR="007A316D">
              <w:t>’</w:t>
            </w:r>
            <w:r>
              <w:t>atelier sous</w:t>
            </w:r>
            <w:r w:rsidR="007A316D">
              <w:t>-</w:t>
            </w:r>
            <w:r>
              <w:t>région</w:t>
            </w:r>
            <w:r w:rsidR="004766E0">
              <w:t>al</w:t>
            </w:r>
            <w:r w:rsidR="004766E0">
              <w:t xml:space="preserve">.  </w:t>
            </w:r>
            <w:r w:rsidR="004766E0">
              <w:t>Le</w:t>
            </w:r>
            <w:r>
              <w:t xml:space="preserve"> taux de satisfaction des participants a atteint 94%.</w:t>
            </w:r>
          </w:p>
          <w:p w14:paraId="0CC11B5D" w14:textId="01EF6D5D" w:rsidR="00613523" w:rsidRPr="00DB7626" w:rsidRDefault="00613523" w:rsidP="00E44730">
            <w:pPr>
              <w:pStyle w:val="TableParagraph"/>
              <w:numPr>
                <w:ilvl w:val="0"/>
                <w:numId w:val="16"/>
              </w:numPr>
              <w:spacing w:before="220" w:after="220"/>
              <w:ind w:right="86"/>
              <w:rPr>
                <w:u w:val="single"/>
              </w:rPr>
            </w:pPr>
            <w:r>
              <w:rPr>
                <w:u w:val="single"/>
              </w:rPr>
              <w:t>Atelier sous</w:t>
            </w:r>
            <w:r w:rsidR="007A316D">
              <w:rPr>
                <w:u w:val="single"/>
              </w:rPr>
              <w:t>-</w:t>
            </w:r>
            <w:r>
              <w:rPr>
                <w:u w:val="single"/>
              </w:rPr>
              <w:t>régional hybride à l</w:t>
            </w:r>
            <w:r w:rsidR="007A316D">
              <w:rPr>
                <w:u w:val="single"/>
              </w:rPr>
              <w:t>’</w:t>
            </w:r>
            <w:r>
              <w:rPr>
                <w:u w:val="single"/>
              </w:rPr>
              <w:t>intention des magistrats et du personnel judiciaire de la région de l</w:t>
            </w:r>
            <w:r w:rsidR="007A316D">
              <w:rPr>
                <w:u w:val="single"/>
              </w:rPr>
              <w:t>’</w:t>
            </w:r>
            <w:r>
              <w:rPr>
                <w:u w:val="single"/>
              </w:rPr>
              <w:t>UEMOA, 26 mai 2025, Dakar (Sénégal)</w:t>
            </w:r>
          </w:p>
          <w:p w14:paraId="1FF236B7" w14:textId="416F49AF" w:rsidR="007A316D" w:rsidRDefault="00613523" w:rsidP="00E44730">
            <w:pPr>
              <w:pStyle w:val="TableParagraph"/>
              <w:spacing w:before="220" w:after="220"/>
              <w:ind w:right="86"/>
            </w:pPr>
            <w:r>
              <w:t>L</w:t>
            </w:r>
            <w:r w:rsidR="007A316D">
              <w:t>’</w:t>
            </w:r>
            <w:r>
              <w:t>atelier sous</w:t>
            </w:r>
            <w:r w:rsidR="007A316D">
              <w:t>-</w:t>
            </w:r>
            <w:r>
              <w:t xml:space="preserve">régional hybride </w:t>
            </w:r>
            <w:proofErr w:type="gramStart"/>
            <w:r>
              <w:t>organisé</w:t>
            </w:r>
            <w:proofErr w:type="gramEnd"/>
            <w:r>
              <w:t xml:space="preserve"> à l</w:t>
            </w:r>
            <w:r w:rsidR="007A316D">
              <w:t>’</w:t>
            </w:r>
            <w:r>
              <w:t>intention des magistrats et du personnel judiciaire de la région de l</w:t>
            </w:r>
            <w:r w:rsidR="007A316D">
              <w:t>’</w:t>
            </w:r>
            <w:r>
              <w:t>UEMOA a réuni quelque 60 participants en présentiel à Dakar et 30 participants en ligne, notamment des magistrats et du personnel judiciaire des huit pays de l</w:t>
            </w:r>
            <w:r w:rsidR="007A316D">
              <w:t>’</w:t>
            </w:r>
            <w:r>
              <w:t>UE</w:t>
            </w:r>
            <w:r w:rsidR="004766E0">
              <w:t>MOA</w:t>
            </w:r>
            <w:r w:rsidR="004766E0">
              <w:t xml:space="preserve">.  </w:t>
            </w:r>
            <w:r w:rsidR="004766E0">
              <w:t>Le</w:t>
            </w:r>
            <w:r>
              <w:t xml:space="preserve"> taux de satisfaction des participants a atteint 97%.  La formation a abordé les aspects juridiques, contractuels et judiciaires de l</w:t>
            </w:r>
            <w:r w:rsidR="007A316D">
              <w:t>’</w:t>
            </w:r>
            <w:r>
              <w:t>exploitation de la musique en ligne ainsi que les questions relatives aux atteintes portées au droit d</w:t>
            </w:r>
            <w:r w:rsidR="007A316D">
              <w:t>’</w:t>
            </w:r>
            <w:r>
              <w:t>auteur et aux droits connexes.</w:t>
            </w:r>
          </w:p>
          <w:p w14:paraId="76BE189F" w14:textId="77777777" w:rsidR="00613523" w:rsidRDefault="00613523" w:rsidP="00E44730">
            <w:pPr>
              <w:pStyle w:val="TableParagraph"/>
              <w:spacing w:before="220" w:after="220"/>
              <w:ind w:right="86"/>
              <w:rPr>
                <w:b/>
                <w:bCs/>
              </w:rPr>
            </w:pPr>
            <w:r>
              <w:rPr>
                <w:b/>
              </w:rPr>
              <w:t>Guide annoté relatif à la jurisprudence de référence</w:t>
            </w:r>
          </w:p>
          <w:p w14:paraId="68582927" w14:textId="3F20DAED" w:rsidR="00613523" w:rsidRDefault="00613523" w:rsidP="00E44730">
            <w:pPr>
              <w:pStyle w:val="TableParagraph"/>
              <w:spacing w:before="220" w:after="220"/>
              <w:ind w:right="86"/>
            </w:pPr>
            <w:r>
              <w:t>Les spécialistes ont mis la dernière touche au guide annoté relatif à la jurisprudence de référence dans les pays africains francophones, en consultation avec les coordonnateurs et le Secrétariat de l</w:t>
            </w:r>
            <w:r w:rsidR="007A316D">
              <w:t>’</w:t>
            </w:r>
            <w:proofErr w:type="spellStart"/>
            <w:r>
              <w:t>OMPI</w:t>
            </w:r>
            <w:proofErr w:type="spellEnd"/>
            <w:r>
              <w:t>.  L</w:t>
            </w:r>
            <w:r w:rsidR="007A316D">
              <w:t>’</w:t>
            </w:r>
            <w:r>
              <w:t>ouvrage prend en compte les besoins spécifiques de la région de l</w:t>
            </w:r>
            <w:r w:rsidR="007A316D">
              <w:t>’</w:t>
            </w:r>
            <w:r>
              <w:t>UE</w:t>
            </w:r>
            <w:r w:rsidR="004766E0">
              <w:t>MOA</w:t>
            </w:r>
            <w:r w:rsidR="004766E0">
              <w:t xml:space="preserve">.  </w:t>
            </w:r>
            <w:r w:rsidR="004766E0">
              <w:t>Le</w:t>
            </w:r>
            <w:r>
              <w:t>s décisions qui y sont rassemblées et examinées concernent principalement la musique et surtout la musique exploitée par des moyens numériqu</w:t>
            </w:r>
            <w:r w:rsidR="004766E0">
              <w:t>es</w:t>
            </w:r>
            <w:r w:rsidR="004766E0">
              <w:t xml:space="preserve">.  </w:t>
            </w:r>
            <w:r w:rsidR="004766E0">
              <w:t>Le</w:t>
            </w:r>
            <w:r>
              <w:t xml:space="preserve"> guide a été présenté lors de l</w:t>
            </w:r>
            <w:r w:rsidR="007A316D">
              <w:t>’</w:t>
            </w:r>
            <w:r>
              <w:t>atelier sous</w:t>
            </w:r>
            <w:r w:rsidR="007A316D">
              <w:t>-</w:t>
            </w:r>
            <w:r>
              <w:t>régional hybride à l</w:t>
            </w:r>
            <w:r w:rsidR="007A316D">
              <w:t>’</w:t>
            </w:r>
            <w:r>
              <w:t>intention des magistrats et du personnel judiciaire, tenu le 26 mai 2025 à Dakar (Sénégal).</w:t>
            </w:r>
          </w:p>
          <w:p w14:paraId="57B474DB" w14:textId="6A7B8346" w:rsidR="00613523" w:rsidRDefault="00613523" w:rsidP="00E44730">
            <w:pPr>
              <w:pStyle w:val="NoSpacing"/>
              <w:spacing w:before="220" w:after="220"/>
              <w:rPr>
                <w:b/>
                <w:bCs/>
              </w:rPr>
            </w:pPr>
            <w:r>
              <w:rPr>
                <w:b/>
              </w:rPr>
              <w:t>Préparatifs en vue d</w:t>
            </w:r>
            <w:r w:rsidR="007A316D">
              <w:rPr>
                <w:b/>
              </w:rPr>
              <w:t>’</w:t>
            </w:r>
            <w:r>
              <w:rPr>
                <w:b/>
              </w:rPr>
              <w:t>un dialogue/d</w:t>
            </w:r>
            <w:r w:rsidR="007A316D">
              <w:rPr>
                <w:b/>
              </w:rPr>
              <w:t>’</w:t>
            </w:r>
            <w:r>
              <w:rPr>
                <w:b/>
              </w:rPr>
              <w:t>une formation avec les responsables de la réglementation du secteur de la communication</w:t>
            </w:r>
          </w:p>
          <w:p w14:paraId="64B8CA1A" w14:textId="1F67F1B8" w:rsidR="00613523" w:rsidRPr="00491746" w:rsidRDefault="00613523" w:rsidP="00E44730">
            <w:pPr>
              <w:pStyle w:val="NoSpacing"/>
              <w:spacing w:before="220" w:after="220"/>
            </w:pPr>
            <w:r>
              <w:t>Des préparatifs ont été lancés en vue d</w:t>
            </w:r>
            <w:r w:rsidR="007A316D">
              <w:t>’</w:t>
            </w:r>
            <w:r>
              <w:t>un dialogue et d</w:t>
            </w:r>
            <w:r w:rsidR="007A316D">
              <w:t>’</w:t>
            </w:r>
            <w:r>
              <w:t>une formation avec les responsables de la réglementation du secteur de la communication, mais cette réunion n</w:t>
            </w:r>
            <w:r w:rsidR="007A316D">
              <w:t>’</w:t>
            </w:r>
            <w:r>
              <w:t>a pas pu avoir lieu en raison d</w:t>
            </w:r>
            <w:r w:rsidR="007A316D">
              <w:t>’</w:t>
            </w:r>
            <w:r>
              <w:t>imprév</w:t>
            </w:r>
            <w:r w:rsidR="004766E0">
              <w:t>us</w:t>
            </w:r>
            <w:r w:rsidR="004766E0">
              <w:t xml:space="preserve">.  </w:t>
            </w:r>
            <w:r w:rsidR="004766E0">
              <w:t>Le</w:t>
            </w:r>
            <w:r>
              <w:t>s pays bénéficiaires ont été invités à exprimer leur intérêt à accueillir cette activité, et la Société sénégalaise du droit d</w:t>
            </w:r>
            <w:r w:rsidR="007A316D">
              <w:t>’</w:t>
            </w:r>
            <w:r>
              <w:t>auteur et des droits voisins (</w:t>
            </w:r>
            <w:proofErr w:type="spellStart"/>
            <w:r>
              <w:t>SODAV</w:t>
            </w:r>
            <w:proofErr w:type="spellEnd"/>
            <w:r>
              <w:t>) a confirmé que le Sénégal serait honoré d</w:t>
            </w:r>
            <w:r w:rsidR="007A316D">
              <w:t>’</w:t>
            </w:r>
            <w:r>
              <w:t>organiser cette activi</w:t>
            </w:r>
            <w:r w:rsidR="004766E0">
              <w:t>té</w:t>
            </w:r>
            <w:r w:rsidR="004766E0">
              <w:t xml:space="preserve">.  </w:t>
            </w:r>
            <w:r w:rsidR="004766E0">
              <w:t>Le</w:t>
            </w:r>
            <w:r>
              <w:t xml:space="preserve"> Secrétaire permanent de la plateforme des régulateurs des États membres de l</w:t>
            </w:r>
            <w:r w:rsidR="007A316D">
              <w:t>’</w:t>
            </w:r>
            <w:r>
              <w:t>UEMOA et de la Guinée a exprimé son soutien et proposé d</w:t>
            </w:r>
            <w:r w:rsidR="007A316D">
              <w:t>’</w:t>
            </w:r>
            <w:r>
              <w:t>organiser un séminaire hybride à l</w:t>
            </w:r>
            <w:r w:rsidR="007A316D">
              <w:t>’</w:t>
            </w:r>
            <w:r>
              <w:t>intention des responsables de la réglementation et des organisations de gestion collective de l</w:t>
            </w:r>
            <w:r w:rsidR="007A316D">
              <w:t>’</w:t>
            </w:r>
            <w:r>
              <w:t>UEMOA.  L</w:t>
            </w:r>
            <w:r w:rsidR="007A316D">
              <w:t>’</w:t>
            </w:r>
            <w:r>
              <w:t>activité aurait pour but de permettre aux régulateurs du secteur de la communication de moderniser leurs cahiers des charges pour mieux tenir compte des aspects liés au droit d</w:t>
            </w:r>
            <w:r w:rsidR="007A316D">
              <w:t>’</w:t>
            </w:r>
            <w:r>
              <w:t>auteur.</w:t>
            </w:r>
          </w:p>
          <w:p w14:paraId="202E46E7" w14:textId="77777777" w:rsidR="00613523" w:rsidRDefault="00613523" w:rsidP="00E44730">
            <w:pPr>
              <w:spacing w:before="220" w:after="220"/>
            </w:pPr>
            <w:r>
              <w:rPr>
                <w:b/>
              </w:rPr>
              <w:t>Module de formation à distance sur la gestion des droits de la musique dans le domaine audiovisuel</w:t>
            </w:r>
          </w:p>
          <w:p w14:paraId="2A62BE45" w14:textId="639666C8" w:rsidR="00613523" w:rsidRPr="00594D90" w:rsidRDefault="00613523" w:rsidP="00E44730">
            <w:pPr>
              <w:spacing w:before="220" w:after="220"/>
            </w:pPr>
            <w:r>
              <w:t>Il a été convenu lors de l</w:t>
            </w:r>
            <w:r w:rsidR="007A316D">
              <w:t>’</w:t>
            </w:r>
            <w:r>
              <w:t>élaboration du plan de mise en œuvre du projet que le module de formation à distance sur la gestion des droits de la musique dans le domaine audiovisuel ne constituerait pas une réalisation officielle du projet.</w:t>
            </w:r>
          </w:p>
        </w:tc>
      </w:tr>
      <w:tr w:rsidR="00613523" w:rsidRPr="00965E89" w14:paraId="6E3F638A" w14:textId="77777777" w:rsidTr="00485CD8">
        <w:tc>
          <w:tcPr>
            <w:tcW w:w="2405" w:type="dxa"/>
            <w:shd w:val="clear" w:color="auto" w:fill="8DB3E2" w:themeFill="text2" w:themeFillTint="66"/>
          </w:tcPr>
          <w:p w14:paraId="5936C05F" w14:textId="77777777" w:rsidR="007A316D" w:rsidRDefault="00613523" w:rsidP="00E44730">
            <w:pPr>
              <w:spacing w:before="220" w:after="220"/>
              <w:rPr>
                <w:sz w:val="20"/>
                <w:u w:val="single"/>
              </w:rPr>
            </w:pPr>
            <w:r>
              <w:rPr>
                <w:sz w:val="20"/>
                <w:u w:val="single"/>
              </w:rPr>
              <w:t>Principaux résultats et effets du projet</w:t>
            </w:r>
          </w:p>
          <w:p w14:paraId="29A7949F" w14:textId="10A30656" w:rsidR="00613523" w:rsidRPr="001A54C7" w:rsidRDefault="00613523" w:rsidP="00E44730">
            <w:pPr>
              <w:spacing w:before="220" w:after="220"/>
              <w:rPr>
                <w:sz w:val="20"/>
                <w:szCs w:val="18"/>
                <w:u w:val="single"/>
              </w:rPr>
            </w:pPr>
          </w:p>
        </w:tc>
        <w:tc>
          <w:tcPr>
            <w:tcW w:w="6658" w:type="dxa"/>
          </w:tcPr>
          <w:p w14:paraId="403B86CB" w14:textId="29BF93FE" w:rsidR="00613523" w:rsidRPr="00CE1CE3" w:rsidRDefault="00613523" w:rsidP="00E44730">
            <w:pPr>
              <w:pStyle w:val="ListParagraph"/>
              <w:numPr>
                <w:ilvl w:val="0"/>
                <w:numId w:val="15"/>
              </w:numPr>
              <w:spacing w:before="220" w:after="220"/>
              <w:rPr>
                <w:b/>
                <w:bCs/>
              </w:rPr>
            </w:pPr>
            <w:r>
              <w:rPr>
                <w:b/>
              </w:rPr>
              <w:t>Compréhension claire du rôle et du mandat de l</w:t>
            </w:r>
            <w:r w:rsidR="007A316D">
              <w:rPr>
                <w:b/>
              </w:rPr>
              <w:t>’</w:t>
            </w:r>
            <w:proofErr w:type="spellStart"/>
            <w:r>
              <w:rPr>
                <w:b/>
              </w:rPr>
              <w:t>OMPI</w:t>
            </w:r>
            <w:proofErr w:type="spellEnd"/>
          </w:p>
          <w:p w14:paraId="46AEE9D8" w14:textId="6C71D15E" w:rsidR="00613523" w:rsidRPr="004F33B9" w:rsidRDefault="00613523" w:rsidP="00E44730">
            <w:pPr>
              <w:spacing w:before="220" w:after="220"/>
            </w:pPr>
            <w:r>
              <w:t>Une idée précise et une connaissance parfaite des services fournis par l</w:t>
            </w:r>
            <w:r w:rsidR="007A316D">
              <w:t>’</w:t>
            </w:r>
            <w:proofErr w:type="spellStart"/>
            <w:r>
              <w:t>OMPI</w:t>
            </w:r>
            <w:proofErr w:type="spellEnd"/>
            <w:r>
              <w:t xml:space="preserve"> pour aider les États membres à développer leur écosystème du droit d</w:t>
            </w:r>
            <w:r w:rsidR="007A316D">
              <w:t>’</w:t>
            </w:r>
            <w:r>
              <w:t>auteur et leurs industries de la création tout en protégeant leurs créateurs ont été acquises.</w:t>
            </w:r>
          </w:p>
          <w:p w14:paraId="2A2FC5DD" w14:textId="77777777" w:rsidR="00613523" w:rsidRPr="00CB6DD2" w:rsidRDefault="00613523" w:rsidP="00E44730">
            <w:pPr>
              <w:pStyle w:val="ListParagraph"/>
              <w:numPr>
                <w:ilvl w:val="0"/>
                <w:numId w:val="15"/>
              </w:numPr>
              <w:spacing w:before="220" w:after="220"/>
              <w:rPr>
                <w:b/>
                <w:bCs/>
              </w:rPr>
            </w:pPr>
            <w:r>
              <w:rPr>
                <w:b/>
              </w:rPr>
              <w:t>Renforcement de la coopération régionale</w:t>
            </w:r>
          </w:p>
          <w:p w14:paraId="05C6732D" w14:textId="605DA73C" w:rsidR="00613523" w:rsidRDefault="00613523" w:rsidP="00E44730">
            <w:pPr>
              <w:spacing w:before="220" w:after="220"/>
            </w:pPr>
            <w:r>
              <w:t>Un réseau solide et durable a été établi entre les coordonnateurs et les organisations de gestion collective des pays de l</w:t>
            </w:r>
            <w:r w:rsidR="007A316D">
              <w:t>’</w:t>
            </w:r>
            <w:r>
              <w:t>UE</w:t>
            </w:r>
            <w:r w:rsidR="004766E0">
              <w:t>MOA</w:t>
            </w:r>
            <w:r w:rsidR="004766E0">
              <w:t xml:space="preserve">.  </w:t>
            </w:r>
            <w:r w:rsidR="004766E0">
              <w:t>De</w:t>
            </w:r>
            <w:r>
              <w:t xml:space="preserve"> nouveaux canaux de communication ont été créés pour favoriser la collaboration continue au</w:t>
            </w:r>
            <w:r w:rsidR="007A316D">
              <w:t>-</w:t>
            </w:r>
            <w:r>
              <w:t>delà du projet.</w:t>
            </w:r>
          </w:p>
          <w:p w14:paraId="2A3BA509" w14:textId="77777777" w:rsidR="00613523" w:rsidRPr="002961B6" w:rsidRDefault="00613523" w:rsidP="00E44730">
            <w:pPr>
              <w:pStyle w:val="TableParagraph"/>
              <w:numPr>
                <w:ilvl w:val="0"/>
                <w:numId w:val="15"/>
              </w:numPr>
              <w:spacing w:before="220" w:after="220"/>
              <w:ind w:right="84"/>
              <w:rPr>
                <w:rFonts w:eastAsia="Times New Roman"/>
                <w:b/>
                <w:bCs/>
                <w:szCs w:val="20"/>
              </w:rPr>
            </w:pPr>
            <w:r>
              <w:rPr>
                <w:b/>
              </w:rPr>
              <w:t>Amélioration des capacités des parties prenantes</w:t>
            </w:r>
          </w:p>
          <w:p w14:paraId="4D371DD0" w14:textId="798F5988" w:rsidR="00613523" w:rsidRDefault="00613523" w:rsidP="00E44730">
            <w:pPr>
              <w:spacing w:before="220" w:after="220"/>
            </w:pPr>
            <w:r>
              <w:t>Les parties prenantes de toute la région de l</w:t>
            </w:r>
            <w:r w:rsidR="007A316D">
              <w:t>’</w:t>
            </w:r>
            <w:r>
              <w:t>UEMOA ont acquis une meilleure connaissance du droit d</w:t>
            </w:r>
            <w:r w:rsidR="007A316D">
              <w:t>’</w:t>
            </w:r>
            <w:r>
              <w:t>auteur et des droits connexes dans le secteur de la musique numériq</w:t>
            </w:r>
            <w:r w:rsidR="004766E0">
              <w:t>ue</w:t>
            </w:r>
            <w:r w:rsidR="004766E0">
              <w:t xml:space="preserve">.  </w:t>
            </w:r>
            <w:r w:rsidR="004766E0">
              <w:t>Le</w:t>
            </w:r>
            <w:r>
              <w:t>s capacités ont été améliorées dans des domaines tels que les cadres juridiques, la gestion des droits numériques, les contrats types, la concession de licences et les atteintes portées en ligne.</w:t>
            </w:r>
          </w:p>
          <w:p w14:paraId="7991D40A" w14:textId="77777777" w:rsidR="00613523" w:rsidRPr="00CB6DD2" w:rsidRDefault="00613523" w:rsidP="00E44730">
            <w:pPr>
              <w:pStyle w:val="ListParagraph"/>
              <w:numPr>
                <w:ilvl w:val="0"/>
                <w:numId w:val="15"/>
              </w:numPr>
              <w:spacing w:before="220" w:after="220"/>
              <w:rPr>
                <w:b/>
                <w:bCs/>
              </w:rPr>
            </w:pPr>
            <w:r>
              <w:rPr>
                <w:b/>
              </w:rPr>
              <w:t>Renforcement des compétences des organisations de gestion collective</w:t>
            </w:r>
          </w:p>
          <w:p w14:paraId="6A807F1D" w14:textId="2E0E911F" w:rsidR="00613523" w:rsidRDefault="00613523" w:rsidP="00E44730">
            <w:pPr>
              <w:spacing w:before="220" w:after="220"/>
            </w:pPr>
            <w:r>
              <w:t>Les organisations de gestion collective ont renforcé leurs compétences en matière de gestion des droits sur les œuvres musicales, notamment concernant les utilisations en lig</w:t>
            </w:r>
            <w:r w:rsidR="004766E0">
              <w:t>ne</w:t>
            </w:r>
            <w:r w:rsidR="004766E0">
              <w:t xml:space="preserve">.  </w:t>
            </w:r>
            <w:r w:rsidR="004766E0">
              <w:t>Il</w:t>
            </w:r>
            <w:r>
              <w:t xml:space="preserve"> y a eu un échange de connaissances sur les métadonnées, les outils de gestion des droits et les solutions offertes par les technologies de l</w:t>
            </w:r>
            <w:r w:rsidR="007A316D">
              <w:t>’</w:t>
            </w:r>
            <w:r>
              <w:t>information pour la gestion collective.</w:t>
            </w:r>
          </w:p>
          <w:p w14:paraId="3D66FEC9" w14:textId="77777777" w:rsidR="00613523" w:rsidRPr="007120FE" w:rsidRDefault="00613523" w:rsidP="00E44730">
            <w:pPr>
              <w:pStyle w:val="ListParagraph"/>
              <w:numPr>
                <w:ilvl w:val="0"/>
                <w:numId w:val="15"/>
              </w:numPr>
              <w:spacing w:before="220" w:after="220"/>
              <w:rPr>
                <w:b/>
                <w:bCs/>
              </w:rPr>
            </w:pPr>
            <w:r>
              <w:rPr>
                <w:b/>
              </w:rPr>
              <w:t>Amélioration des cadres juridiques et judiciaires</w:t>
            </w:r>
          </w:p>
          <w:p w14:paraId="33494202" w14:textId="0B2EF1FA" w:rsidR="00613523" w:rsidRPr="00DE1CF8" w:rsidRDefault="00613523" w:rsidP="00E44730">
            <w:pPr>
              <w:pStyle w:val="ListParagraph"/>
              <w:numPr>
                <w:ilvl w:val="0"/>
                <w:numId w:val="11"/>
              </w:numPr>
              <w:spacing w:before="220" w:after="220"/>
            </w:pPr>
            <w:r>
              <w:t>Les magistrats et le personnel judiciaire de toute la région de l</w:t>
            </w:r>
            <w:r w:rsidR="007A316D">
              <w:t>’</w:t>
            </w:r>
            <w:r>
              <w:t>UEMOA ont acquis des connaissances spécialisées en matière d</w:t>
            </w:r>
            <w:r w:rsidR="007A316D">
              <w:t>’</w:t>
            </w:r>
            <w:r>
              <w:t>application du droit d</w:t>
            </w:r>
            <w:r w:rsidR="007A316D">
              <w:t>’</w:t>
            </w:r>
            <w:r>
              <w:t>auteur dans le domaine de la musique numérique.</w:t>
            </w:r>
          </w:p>
          <w:p w14:paraId="1C760A2A" w14:textId="1043D6FB" w:rsidR="00613523" w:rsidRPr="00DE1CF8" w:rsidRDefault="00613523" w:rsidP="00E44730">
            <w:pPr>
              <w:pStyle w:val="ListParagraph"/>
              <w:numPr>
                <w:ilvl w:val="0"/>
                <w:numId w:val="11"/>
              </w:numPr>
              <w:spacing w:before="220" w:after="220"/>
            </w:pPr>
            <w:r>
              <w:t>La création d</w:t>
            </w:r>
            <w:r w:rsidR="007A316D">
              <w:t>’</w:t>
            </w:r>
            <w:r>
              <w:t>un guide annoté relatif à la jurisprudence de référence a renforcé la cohérence régionale et l</w:t>
            </w:r>
            <w:r w:rsidR="007A316D">
              <w:t>’</w:t>
            </w:r>
            <w:r>
              <w:t>accès aux décisions judiciaires.</w:t>
            </w:r>
          </w:p>
          <w:p w14:paraId="7770B303" w14:textId="7B8518EC" w:rsidR="00613523" w:rsidRDefault="00613523" w:rsidP="00E44730">
            <w:pPr>
              <w:pStyle w:val="ListParagraph"/>
              <w:numPr>
                <w:ilvl w:val="0"/>
                <w:numId w:val="11"/>
              </w:numPr>
              <w:spacing w:before="220" w:after="220"/>
            </w:pPr>
            <w:r>
              <w:t>Il a été proposé de numériser et diffuser les décisions judiciaires par l</w:t>
            </w:r>
            <w:r w:rsidR="007A316D">
              <w:t>’</w:t>
            </w:r>
            <w:r>
              <w:t xml:space="preserve">intermédiaire de </w:t>
            </w:r>
            <w:proofErr w:type="spellStart"/>
            <w:r>
              <w:t>WIPO</w:t>
            </w:r>
            <w:proofErr w:type="spellEnd"/>
            <w:r>
              <w:t xml:space="preserve"> Lex pour offrir une meilleure accessibilité.</w:t>
            </w:r>
          </w:p>
          <w:p w14:paraId="774E79F4" w14:textId="77777777" w:rsidR="00613523" w:rsidRPr="00DE1CF8" w:rsidRDefault="00613523" w:rsidP="00E44730">
            <w:pPr>
              <w:pStyle w:val="ListParagraph"/>
              <w:numPr>
                <w:ilvl w:val="0"/>
                <w:numId w:val="15"/>
              </w:numPr>
              <w:spacing w:before="220" w:after="220"/>
            </w:pPr>
            <w:r>
              <w:rPr>
                <w:b/>
              </w:rPr>
              <w:t>Progrès sur le plan législatif</w:t>
            </w:r>
          </w:p>
          <w:p w14:paraId="18A9707E" w14:textId="4D7C9335" w:rsidR="00613523" w:rsidRDefault="00613523" w:rsidP="00E44730">
            <w:pPr>
              <w:pStyle w:val="ListParagraph"/>
              <w:numPr>
                <w:ilvl w:val="0"/>
                <w:numId w:val="10"/>
              </w:numPr>
              <w:spacing w:before="220" w:after="220"/>
            </w:pPr>
            <w:r>
              <w:t>De nombreux pays de l</w:t>
            </w:r>
            <w:r w:rsidR="007A316D">
              <w:t>’</w:t>
            </w:r>
            <w:r>
              <w:t>UEMOA ont fait avancer la législation nationale sur le droit d</w:t>
            </w:r>
            <w:r w:rsidR="007A316D">
              <w:t>’</w:t>
            </w:r>
            <w:r>
              <w:t>auteur en prenant appui sur la directive, et des projets de loi, des décrets et des révisions sont en cours d</w:t>
            </w:r>
            <w:r w:rsidR="007A316D">
              <w:t>’</w:t>
            </w:r>
            <w:r>
              <w:t>élaboration.</w:t>
            </w:r>
          </w:p>
          <w:p w14:paraId="3264DBAF" w14:textId="236B91A6" w:rsidR="007A316D" w:rsidRDefault="00613523" w:rsidP="00E44730">
            <w:pPr>
              <w:pStyle w:val="ListParagraph"/>
              <w:numPr>
                <w:ilvl w:val="0"/>
                <w:numId w:val="10"/>
              </w:numPr>
              <w:spacing w:before="220" w:after="220"/>
            </w:pPr>
            <w:r>
              <w:t>La nouvelle directive régionale sur l</w:t>
            </w:r>
            <w:r w:rsidR="007A316D">
              <w:t>’</w:t>
            </w:r>
            <w:r>
              <w:t>harmonisation du droit à rémunération pour copie privée au sein de l</w:t>
            </w:r>
            <w:r w:rsidR="007A316D">
              <w:t>’</w:t>
            </w:r>
            <w:r>
              <w:t>UEMOA a été adoptée le 22 septembre 2023.</w:t>
            </w:r>
          </w:p>
          <w:p w14:paraId="2A88F85F" w14:textId="7528B558" w:rsidR="00613523" w:rsidRDefault="00613523" w:rsidP="00E44730">
            <w:pPr>
              <w:pStyle w:val="ListParagraph"/>
              <w:numPr>
                <w:ilvl w:val="0"/>
                <w:numId w:val="10"/>
              </w:numPr>
              <w:spacing w:before="220" w:after="220"/>
            </w:pPr>
            <w:r>
              <w:t>Dans le cadre d</w:t>
            </w:r>
            <w:r w:rsidR="007A316D">
              <w:t>’</w:t>
            </w:r>
            <w:r>
              <w:t>un autre projet de l</w:t>
            </w:r>
            <w:r w:rsidR="007A316D">
              <w:t>’</w:t>
            </w:r>
            <w:proofErr w:type="spellStart"/>
            <w:r>
              <w:t>OMPI</w:t>
            </w:r>
            <w:proofErr w:type="spellEnd"/>
            <w:r>
              <w:t xml:space="preserve"> offrant une assistance dans le domaine législatif, une boîte à outils et un guide visant à faciliter la mise en œuvre et la transposition de la directive de l</w:t>
            </w:r>
            <w:r w:rsidR="007A316D">
              <w:t>’</w:t>
            </w:r>
            <w:r>
              <w:t>UEMOA sur la copie privée ont été élaborés.</w:t>
            </w:r>
          </w:p>
          <w:p w14:paraId="31C02584" w14:textId="73B23699" w:rsidR="007A316D" w:rsidRDefault="00613523" w:rsidP="00E44730">
            <w:pPr>
              <w:pStyle w:val="ListParagraph"/>
              <w:numPr>
                <w:ilvl w:val="0"/>
                <w:numId w:val="10"/>
              </w:numPr>
              <w:spacing w:before="220" w:after="220"/>
            </w:pPr>
            <w:r>
              <w:t>Des progrès ont été accomplis dans les pays de l</w:t>
            </w:r>
            <w:r w:rsidR="007A316D">
              <w:t>’</w:t>
            </w:r>
            <w:r>
              <w:t>UEMOA concernant la révision de la législation nationale sur le droit d</w:t>
            </w:r>
            <w:r w:rsidR="007A316D">
              <w:t>’</w:t>
            </w:r>
            <w:r>
              <w:t>auteur dans le domaine de la copie privée.</w:t>
            </w:r>
            <w:r w:rsidR="00E67B98">
              <w:t xml:space="preserve"> </w:t>
            </w:r>
            <w:r w:rsidR="004766E0">
              <w:t xml:space="preserve"> </w:t>
            </w:r>
            <w:r>
              <w:t>Par exemple</w:t>
            </w:r>
            <w:r w:rsidR="007A316D">
              <w:t> :</w:t>
            </w:r>
          </w:p>
          <w:p w14:paraId="041D584A" w14:textId="624CA76F" w:rsidR="00613523" w:rsidRDefault="00613523" w:rsidP="00E44730">
            <w:pPr>
              <w:pStyle w:val="ListParagraph"/>
              <w:numPr>
                <w:ilvl w:val="1"/>
                <w:numId w:val="10"/>
              </w:numPr>
              <w:spacing w:before="220" w:after="220"/>
            </w:pPr>
            <w:r>
              <w:t>Au Sénégal, un projet de décret sur la copie privée a été adopté en 2024.</w:t>
            </w:r>
          </w:p>
          <w:p w14:paraId="52E63541" w14:textId="5F864215" w:rsidR="007A316D" w:rsidRDefault="00613523" w:rsidP="00E44730">
            <w:pPr>
              <w:pStyle w:val="ListParagraph"/>
              <w:numPr>
                <w:ilvl w:val="1"/>
                <w:numId w:val="10"/>
              </w:numPr>
              <w:spacing w:before="220" w:after="220"/>
            </w:pPr>
            <w:r>
              <w:t>En Guinée</w:t>
            </w:r>
            <w:r w:rsidR="007A316D">
              <w:t>-</w:t>
            </w:r>
            <w:r>
              <w:t>Bissau, une nouvelle loi relative au droit d</w:t>
            </w:r>
            <w:r w:rsidR="007A316D">
              <w:t>’</w:t>
            </w:r>
            <w:r>
              <w:t>auteur et aux droits connexes a été adoptée par le Conseil des ministres en novembre 2023, les étapes suivantes vers l</w:t>
            </w:r>
            <w:r w:rsidR="007A316D">
              <w:t>’</w:t>
            </w:r>
            <w:r>
              <w:t>adoption et l</w:t>
            </w:r>
            <w:r w:rsidR="007A316D">
              <w:t>’</w:t>
            </w:r>
            <w:r>
              <w:t>approbation étant encore en cours.</w:t>
            </w:r>
          </w:p>
          <w:p w14:paraId="57C9F319" w14:textId="2E39B344" w:rsidR="007A316D" w:rsidRDefault="00613523" w:rsidP="00E44730">
            <w:pPr>
              <w:pStyle w:val="ListParagraph"/>
              <w:numPr>
                <w:ilvl w:val="1"/>
                <w:numId w:val="10"/>
              </w:numPr>
              <w:spacing w:before="220" w:after="220"/>
            </w:pPr>
            <w:r>
              <w:t>Au Togo, le projet de loi sur la protection du droit d</w:t>
            </w:r>
            <w:r w:rsidR="007A316D">
              <w:t>’</w:t>
            </w:r>
            <w:r>
              <w:t>auteur, des droits connexes et des expressions du folklore a été adopté par le gouvernement le 26 octobre 2023.</w:t>
            </w:r>
          </w:p>
          <w:p w14:paraId="39931459" w14:textId="4CB93277" w:rsidR="007A316D" w:rsidRDefault="00613523" w:rsidP="00E44730">
            <w:pPr>
              <w:pStyle w:val="ListParagraph"/>
              <w:numPr>
                <w:ilvl w:val="1"/>
                <w:numId w:val="10"/>
              </w:numPr>
              <w:spacing w:before="220" w:after="220"/>
            </w:pPr>
            <w:r>
              <w:t>Au Bénin, la loi n°</w:t>
            </w:r>
            <w:r w:rsidR="00F3282A">
              <w:t> </w:t>
            </w:r>
            <w:r>
              <w:t>2005</w:t>
            </w:r>
            <w:r w:rsidR="007A316D">
              <w:t>-</w:t>
            </w:r>
            <w:r>
              <w:t>30 du 5 avril 2006 sur le droit d</w:t>
            </w:r>
            <w:r w:rsidR="007A316D">
              <w:t>’</w:t>
            </w:r>
            <w:r>
              <w:t>auteur et les droits voisins est en cours de révision.</w:t>
            </w:r>
          </w:p>
          <w:p w14:paraId="0AAB280B" w14:textId="51CA660E" w:rsidR="007A316D" w:rsidRDefault="00613523" w:rsidP="00E44730">
            <w:pPr>
              <w:pStyle w:val="ListParagraph"/>
              <w:numPr>
                <w:ilvl w:val="1"/>
                <w:numId w:val="10"/>
              </w:numPr>
              <w:spacing w:before="220" w:after="220"/>
            </w:pPr>
            <w:r>
              <w:t>En Côte d</w:t>
            </w:r>
            <w:r w:rsidR="007A316D">
              <w:t>’</w:t>
            </w:r>
            <w:r>
              <w:t>Ivoire, le décret n°</w:t>
            </w:r>
            <w:r w:rsidR="00F3282A">
              <w:t> </w:t>
            </w:r>
            <w:r>
              <w:t>2021</w:t>
            </w:r>
            <w:r w:rsidR="007A316D">
              <w:t>-</w:t>
            </w:r>
            <w:r>
              <w:t>632 du 20</w:t>
            </w:r>
            <w:r w:rsidR="00F3282A">
              <w:t> </w:t>
            </w:r>
            <w:r w:rsidR="007A316D">
              <w:t>octobre 20</w:t>
            </w:r>
            <w:r>
              <w:t>21 sur la rémunération des reproductions est entré en vigueur en avril 2022.</w:t>
            </w:r>
          </w:p>
          <w:p w14:paraId="3C38EB08" w14:textId="5A8064E2" w:rsidR="00613523" w:rsidRPr="00DE1CF8" w:rsidRDefault="00613523" w:rsidP="00E44730">
            <w:pPr>
              <w:pStyle w:val="ListParagraph"/>
              <w:numPr>
                <w:ilvl w:val="1"/>
                <w:numId w:val="10"/>
              </w:numPr>
              <w:spacing w:before="220" w:after="220"/>
            </w:pPr>
            <w:r>
              <w:t>Au Burkina Faso, le décret n°</w:t>
            </w:r>
            <w:r w:rsidR="00F3282A">
              <w:t> </w:t>
            </w:r>
            <w:r>
              <w:t>2020</w:t>
            </w:r>
            <w:r w:rsidR="007A316D">
              <w:t>-</w:t>
            </w:r>
            <w:r>
              <w:t>0764/PRES/PM/</w:t>
            </w:r>
            <w:proofErr w:type="spellStart"/>
            <w:r>
              <w:t>MCAT</w:t>
            </w:r>
            <w:proofErr w:type="spellEnd"/>
            <w:r>
              <w:t>/</w:t>
            </w:r>
            <w:proofErr w:type="spellStart"/>
            <w:r>
              <w:t>MINEFID</w:t>
            </w:r>
            <w:proofErr w:type="spellEnd"/>
            <w:r>
              <w:t xml:space="preserve"> sur la perception de la rémunération des reproductions pour copie privée est entré en vigueur le 16 septembre 2020.</w:t>
            </w:r>
          </w:p>
          <w:p w14:paraId="25BA4CE6" w14:textId="77777777" w:rsidR="00613523" w:rsidRPr="00DE1CF8" w:rsidRDefault="00613523" w:rsidP="00E44730">
            <w:pPr>
              <w:pStyle w:val="TableParagraph"/>
              <w:numPr>
                <w:ilvl w:val="0"/>
                <w:numId w:val="15"/>
              </w:numPr>
              <w:spacing w:before="220" w:after="220"/>
              <w:ind w:right="84"/>
            </w:pPr>
            <w:r>
              <w:rPr>
                <w:b/>
              </w:rPr>
              <w:t>Collaboration inclusive et intersectorielle</w:t>
            </w:r>
          </w:p>
          <w:p w14:paraId="7724EB4B" w14:textId="6FA6818D" w:rsidR="00613523" w:rsidRDefault="00613523" w:rsidP="00E44730">
            <w:pPr>
              <w:spacing w:before="220" w:after="220"/>
            </w:pPr>
            <w:r>
              <w:t>La participation efficace des ministères, des organismes de réglementation, du secteur privé et du pouvoir judiciaire a favorisé l</w:t>
            </w:r>
            <w:r w:rsidR="007A316D">
              <w:t>’</w:t>
            </w:r>
            <w:r>
              <w:t>adoption d</w:t>
            </w:r>
            <w:r w:rsidR="007A316D">
              <w:t>’</w:t>
            </w:r>
            <w:r>
              <w:t>approches écosystémiques en matière de gouvernance de la musique numériq</w:t>
            </w:r>
            <w:r w:rsidR="004766E0">
              <w:t>ue</w:t>
            </w:r>
            <w:r w:rsidR="004766E0">
              <w:t xml:space="preserve">.  </w:t>
            </w:r>
            <w:r w:rsidR="004766E0">
              <w:t>Un</w:t>
            </w:r>
            <w:r>
              <w:t xml:space="preserve"> dialogue ouvert a contribué à créer un espace de collaboration pour traiter les questions juridiques, économiques et technologiques dans la filière musicale.</w:t>
            </w:r>
          </w:p>
          <w:p w14:paraId="2CBDED63" w14:textId="77777777" w:rsidR="00613523" w:rsidRPr="00DE1CF8" w:rsidRDefault="00613523" w:rsidP="00E44730">
            <w:pPr>
              <w:pStyle w:val="TableParagraph"/>
              <w:numPr>
                <w:ilvl w:val="0"/>
                <w:numId w:val="15"/>
              </w:numPr>
              <w:spacing w:before="220" w:after="220"/>
              <w:ind w:left="714" w:right="85" w:hanging="357"/>
            </w:pPr>
            <w:r>
              <w:rPr>
                <w:b/>
              </w:rPr>
              <w:t>Élaboration de stratégies régionales</w:t>
            </w:r>
          </w:p>
          <w:p w14:paraId="0D48C0A4" w14:textId="16E58F4F" w:rsidR="00613523" w:rsidRDefault="00613523" w:rsidP="00E44730">
            <w:pPr>
              <w:spacing w:before="220" w:after="220"/>
            </w:pPr>
            <w:r>
              <w:t>Des stratégies sous</w:t>
            </w:r>
            <w:r w:rsidR="007A316D">
              <w:t>-</w:t>
            </w:r>
            <w:r>
              <w:t xml:space="preserve">régionales et régionales ont été étudiées, portant sur les modèles de rentabilité, les marchés de la musique numérique et les accords de réciprocité pour les </w:t>
            </w:r>
            <w:r>
              <w:t>sociétés</w:t>
            </w:r>
            <w:r>
              <w:t xml:space="preserve"> de gestion collective.</w:t>
            </w:r>
          </w:p>
          <w:p w14:paraId="63F13688" w14:textId="77777777" w:rsidR="00613523" w:rsidRPr="00DE1CF8" w:rsidRDefault="00613523" w:rsidP="00E44730">
            <w:pPr>
              <w:pStyle w:val="TableParagraph"/>
              <w:numPr>
                <w:ilvl w:val="0"/>
                <w:numId w:val="15"/>
              </w:numPr>
              <w:spacing w:before="220" w:after="220"/>
              <w:ind w:right="84"/>
            </w:pPr>
            <w:r>
              <w:rPr>
                <w:b/>
              </w:rPr>
              <w:t>Mise en œuvre et coordination du projet</w:t>
            </w:r>
          </w:p>
          <w:p w14:paraId="37C5F186" w14:textId="18C4D629" w:rsidR="00613523" w:rsidRDefault="00613523" w:rsidP="00E44730">
            <w:pPr>
              <w:spacing w:before="220" w:after="220"/>
            </w:pPr>
            <w:r>
              <w:t>La participation des coordonnateurs et la mise en place de mécanismes de communication permanents ont contribué de manière significative à l</w:t>
            </w:r>
            <w:r w:rsidR="007A316D">
              <w:t>’</w:t>
            </w:r>
            <w:r>
              <w:t>efficacité du proj</w:t>
            </w:r>
            <w:r w:rsidR="004766E0">
              <w:t>et</w:t>
            </w:r>
            <w:r w:rsidR="004766E0">
              <w:t xml:space="preserve">.  </w:t>
            </w:r>
            <w:r w:rsidR="004766E0">
              <w:t>Le</w:t>
            </w:r>
            <w:r>
              <w:t>s enseignements tirés ont permis d</w:t>
            </w:r>
            <w:r w:rsidR="007A316D">
              <w:t>’</w:t>
            </w:r>
            <w:r>
              <w:t>affiner les stratégies de mise en œuvre, notamment en ce qui concerne la nécessité d</w:t>
            </w:r>
            <w:r w:rsidR="007A316D">
              <w:t>’</w:t>
            </w:r>
            <w:r>
              <w:t>activités spécifiques à chaque langue et une définition plus claire des rôles des partenaires.</w:t>
            </w:r>
          </w:p>
          <w:p w14:paraId="13AEA6EB" w14:textId="77777777" w:rsidR="00613523" w:rsidRPr="00DE1CF8" w:rsidRDefault="00613523" w:rsidP="00E44730">
            <w:pPr>
              <w:pStyle w:val="ListParagraph"/>
              <w:numPr>
                <w:ilvl w:val="0"/>
                <w:numId w:val="15"/>
              </w:numPr>
              <w:spacing w:before="220" w:after="220"/>
            </w:pPr>
            <w:r>
              <w:rPr>
                <w:b/>
              </w:rPr>
              <w:t>Durabilité et planification du suivi</w:t>
            </w:r>
          </w:p>
          <w:p w14:paraId="2E463387" w14:textId="3EB2AB1C" w:rsidR="00613523" w:rsidRDefault="00613523" w:rsidP="00E44730">
            <w:pPr>
              <w:spacing w:before="220" w:after="220"/>
            </w:pPr>
            <w:r>
              <w:t xml:space="preserve">Les efforts en matière de durabilité et de suivi se concentreront sur la promotion du guide de jurisprudence, notamment sa publication numérique sur </w:t>
            </w:r>
            <w:proofErr w:type="spellStart"/>
            <w:r>
              <w:t>WIPO</w:t>
            </w:r>
            <w:proofErr w:type="spellEnd"/>
            <w:r>
              <w:t xml:space="preserve"> Lex, le recueil continu des décisions judiciaires, la sensibilisation aux questions émergentes telles que l</w:t>
            </w:r>
            <w:r w:rsidR="007A316D">
              <w:t>’</w:t>
            </w:r>
            <w:r>
              <w:t>IA et la possibilité d</w:t>
            </w:r>
            <w:r w:rsidR="007A316D">
              <w:t>’</w:t>
            </w:r>
            <w:r>
              <w:t>une formation supplémentaire pour les organisations de gestion collective de l</w:t>
            </w:r>
            <w:r w:rsidR="007A316D">
              <w:t>’</w:t>
            </w:r>
            <w:r>
              <w:t>UEMOA.</w:t>
            </w:r>
          </w:p>
          <w:p w14:paraId="144F0605" w14:textId="77777777" w:rsidR="00613523" w:rsidRPr="00DE1CF8" w:rsidRDefault="00613523" w:rsidP="00E44730">
            <w:pPr>
              <w:pStyle w:val="ListParagraph"/>
              <w:numPr>
                <w:ilvl w:val="0"/>
                <w:numId w:val="15"/>
              </w:numPr>
              <w:spacing w:before="220" w:after="220"/>
            </w:pPr>
            <w:r>
              <w:rPr>
                <w:b/>
              </w:rPr>
              <w:t>Sensibilisation du public et visibilité</w:t>
            </w:r>
          </w:p>
          <w:p w14:paraId="318C4BA9" w14:textId="71B0D8C9" w:rsidR="00613523" w:rsidRPr="00DD1E8A" w:rsidRDefault="00613523" w:rsidP="00E44730">
            <w:pPr>
              <w:spacing w:before="220" w:after="220"/>
              <w:rPr>
                <w:color w:val="000000" w:themeColor="text1"/>
              </w:rPr>
            </w:pPr>
            <w:r>
              <w:t>La couverture médiatique nationale et sur les réseaux sociaux a contribué à sensibiliser le public aux questions de droit d</w:t>
            </w:r>
            <w:r w:rsidR="007A316D">
              <w:t>’</w:t>
            </w:r>
            <w:r>
              <w:t>auteur et aux résultats du projet dans les pays participants.</w:t>
            </w:r>
          </w:p>
        </w:tc>
      </w:tr>
      <w:tr w:rsidR="00613523" w:rsidRPr="00965E89" w14:paraId="175150CD" w14:textId="77777777" w:rsidTr="00485CD8">
        <w:trPr>
          <w:trHeight w:val="2150"/>
        </w:trPr>
        <w:tc>
          <w:tcPr>
            <w:tcW w:w="2405" w:type="dxa"/>
            <w:shd w:val="clear" w:color="auto" w:fill="8DB3E2" w:themeFill="text2" w:themeFillTint="66"/>
          </w:tcPr>
          <w:p w14:paraId="10DA9A79" w14:textId="77777777" w:rsidR="00613523" w:rsidRPr="001A54C7" w:rsidRDefault="00613523" w:rsidP="00E44730">
            <w:pPr>
              <w:spacing w:before="220" w:after="220"/>
              <w:rPr>
                <w:sz w:val="20"/>
                <w:szCs w:val="18"/>
                <w:u w:val="single"/>
              </w:rPr>
            </w:pPr>
            <w:r>
              <w:rPr>
                <w:sz w:val="20"/>
                <w:u w:val="single"/>
              </w:rPr>
              <w:t>Expérience acquise et enseignements tirés</w:t>
            </w:r>
          </w:p>
        </w:tc>
        <w:tc>
          <w:tcPr>
            <w:tcW w:w="6658" w:type="dxa"/>
          </w:tcPr>
          <w:p w14:paraId="2D64D8D1" w14:textId="076B6961" w:rsidR="00613523" w:rsidRDefault="00613523" w:rsidP="00E44730">
            <w:pPr>
              <w:pStyle w:val="ListParagraph"/>
              <w:numPr>
                <w:ilvl w:val="0"/>
                <w:numId w:val="8"/>
              </w:numPr>
              <w:spacing w:before="220" w:after="220"/>
              <w:ind w:left="714" w:hanging="357"/>
              <w:contextualSpacing w:val="0"/>
              <w:rPr>
                <w:rFonts w:eastAsia="Arial"/>
                <w:szCs w:val="22"/>
              </w:rPr>
            </w:pPr>
            <w:r>
              <w:t>La participation active des coordonnateurs a été essentielle au bon déroulement du proj</w:t>
            </w:r>
            <w:r w:rsidR="004766E0">
              <w:t>et</w:t>
            </w:r>
            <w:r w:rsidR="004766E0">
              <w:t xml:space="preserve">.  </w:t>
            </w:r>
            <w:r w:rsidR="004766E0">
              <w:t>Ou</w:t>
            </w:r>
            <w:r>
              <w:t>tre les réunions en présentiel, l</w:t>
            </w:r>
            <w:r w:rsidR="007A316D">
              <w:t>’</w:t>
            </w:r>
            <w:r>
              <w:t>établissement de canaux de communication permanents entre eux s</w:t>
            </w:r>
            <w:r w:rsidR="007A316D">
              <w:t>’</w:t>
            </w:r>
            <w:r>
              <w:t>est révélé extrêmement utile.</w:t>
            </w:r>
          </w:p>
          <w:p w14:paraId="47D30CA9" w14:textId="207AFF6B" w:rsidR="00613523" w:rsidRDefault="00613523" w:rsidP="00E44730">
            <w:pPr>
              <w:pStyle w:val="ListParagraph"/>
              <w:numPr>
                <w:ilvl w:val="0"/>
                <w:numId w:val="8"/>
              </w:numPr>
              <w:spacing w:before="220" w:after="220"/>
              <w:rPr>
                <w:rFonts w:eastAsia="Arial"/>
                <w:szCs w:val="22"/>
              </w:rPr>
            </w:pPr>
            <w:r>
              <w:t>La participation d</w:t>
            </w:r>
            <w:r w:rsidR="007A316D">
              <w:t>’</w:t>
            </w:r>
            <w:r>
              <w:t>un large éventail de parties prenantes, telles que les ministères, les institutions, les agences, les associations, le secteur privé et le pouvoir judiciaire, dans des dialogues intersectoriels a été bénéfiq</w:t>
            </w:r>
            <w:r w:rsidR="004766E0">
              <w:t>ue</w:t>
            </w:r>
            <w:r w:rsidR="004766E0">
              <w:t xml:space="preserve">.  </w:t>
            </w:r>
            <w:r w:rsidR="004766E0">
              <w:t>Ce</w:t>
            </w:r>
            <w:r>
              <w:t>tte approche inclusive a favorisé des échanges constructifs et encouragé une stratégie à l</w:t>
            </w:r>
            <w:r w:rsidR="007A316D">
              <w:t>’</w:t>
            </w:r>
            <w:r>
              <w:t>échelle de l</w:t>
            </w:r>
            <w:r w:rsidR="007A316D">
              <w:t>’</w:t>
            </w:r>
            <w:r>
              <w:t>ensemble du gouvernement et de l</w:t>
            </w:r>
            <w:r w:rsidR="007A316D">
              <w:t>’</w:t>
            </w:r>
            <w:r>
              <w:t>écosystème.</w:t>
            </w:r>
          </w:p>
          <w:p w14:paraId="4AFBF6ED" w14:textId="77777777" w:rsidR="00613523" w:rsidRPr="00AF34F2" w:rsidRDefault="00613523" w:rsidP="00E44730">
            <w:pPr>
              <w:pStyle w:val="ListParagraph"/>
              <w:numPr>
                <w:ilvl w:val="0"/>
                <w:numId w:val="8"/>
              </w:numPr>
              <w:spacing w:before="220" w:after="220"/>
              <w:rPr>
                <w:rFonts w:eastAsia="Arial"/>
                <w:szCs w:val="22"/>
              </w:rPr>
            </w:pPr>
            <w:r>
              <w:t>La participation de représentants des plateformes numériques concourrait à améliorer la gestion des droits numériques.</w:t>
            </w:r>
          </w:p>
          <w:p w14:paraId="182DD5EC" w14:textId="2B02E26A" w:rsidR="00613523" w:rsidRPr="00BD0E17" w:rsidRDefault="00613523" w:rsidP="00E44730">
            <w:pPr>
              <w:pStyle w:val="ListParagraph"/>
              <w:numPr>
                <w:ilvl w:val="0"/>
                <w:numId w:val="8"/>
              </w:numPr>
              <w:spacing w:before="220" w:after="220"/>
              <w:rPr>
                <w:rFonts w:eastAsia="Arial"/>
                <w:szCs w:val="22"/>
              </w:rPr>
            </w:pPr>
            <w:r>
              <w:t>La participation du pouvoir judiciaire à ce projet a été précieuse, car les décisions judiciaires influencent souvent l</w:t>
            </w:r>
            <w:r w:rsidR="007A316D">
              <w:t>’</w:t>
            </w:r>
            <w:r>
              <w:t>orientation prise par la filière musicale.</w:t>
            </w:r>
          </w:p>
          <w:p w14:paraId="5D791A54" w14:textId="3B9B90FF" w:rsidR="00613523" w:rsidRPr="00485EA8" w:rsidRDefault="00613523" w:rsidP="00E44730">
            <w:pPr>
              <w:pStyle w:val="ListParagraph"/>
              <w:numPr>
                <w:ilvl w:val="0"/>
                <w:numId w:val="8"/>
              </w:numPr>
              <w:spacing w:before="220" w:after="220"/>
              <w:rPr>
                <w:rFonts w:eastAsia="Arial"/>
              </w:rPr>
            </w:pPr>
            <w:r>
              <w:t>L</w:t>
            </w:r>
            <w:r w:rsidR="007A316D">
              <w:t>’</w:t>
            </w:r>
            <w:r>
              <w:t>engagement politique et le soutien du gouvernement dans les pays bénéficiaires ont été déterminants pour le succès et la pérennité des réalisations du projet.</w:t>
            </w:r>
          </w:p>
          <w:p w14:paraId="6DB81DC9" w14:textId="48D61AD1" w:rsidR="00613523" w:rsidRPr="00A06BA3" w:rsidRDefault="00613523" w:rsidP="00E44730">
            <w:pPr>
              <w:pStyle w:val="ListParagraph"/>
              <w:numPr>
                <w:ilvl w:val="0"/>
                <w:numId w:val="8"/>
              </w:numPr>
              <w:spacing w:before="220" w:after="220"/>
              <w:rPr>
                <w:rFonts w:eastAsia="Arial"/>
              </w:rPr>
            </w:pPr>
            <w:r>
              <w:t>Des activités distinctes en portugais seraient appréciées des parties prenantes de la Guinée</w:t>
            </w:r>
            <w:r w:rsidR="007A316D">
              <w:t>-</w:t>
            </w:r>
            <w:r>
              <w:t>Bissau, pays lusophone, compte tenu de la barrière linguistique rencontrée au cours de ce projet.</w:t>
            </w:r>
          </w:p>
          <w:p w14:paraId="15D5C9F1" w14:textId="77777777" w:rsidR="00613523" w:rsidRDefault="00613523" w:rsidP="00E44730">
            <w:pPr>
              <w:pStyle w:val="ListParagraph"/>
              <w:numPr>
                <w:ilvl w:val="0"/>
                <w:numId w:val="8"/>
              </w:numPr>
              <w:spacing w:before="220" w:after="220"/>
              <w:ind w:left="714" w:hanging="357"/>
              <w:contextualSpacing w:val="0"/>
            </w:pPr>
            <w:r>
              <w:t xml:space="preserve">Une définition claire des partenaires et de leurs rôles dans le document de projet faciliterait une mise en œuvre et </w:t>
            </w:r>
            <w:proofErr w:type="gramStart"/>
            <w:r>
              <w:t>une coordination plus complètes</w:t>
            </w:r>
            <w:proofErr w:type="gramEnd"/>
            <w:r>
              <w:t xml:space="preserve"> du projet.</w:t>
            </w:r>
          </w:p>
          <w:p w14:paraId="6573675D" w14:textId="6FC6E6BF" w:rsidR="00613523" w:rsidRPr="003C73D0" w:rsidRDefault="00613523" w:rsidP="00E44730">
            <w:pPr>
              <w:pStyle w:val="ListParagraph"/>
              <w:numPr>
                <w:ilvl w:val="0"/>
                <w:numId w:val="8"/>
              </w:numPr>
              <w:spacing w:before="220" w:after="220"/>
            </w:pPr>
            <w:r>
              <w:t>La formulation d</w:t>
            </w:r>
            <w:r w:rsidR="007A316D">
              <w:t>’</w:t>
            </w:r>
            <w:r>
              <w:t>objectifs clairs, concrets et réalisables dans le document de projet est essentielle pour orienter et harmoniser la mise en œuvre et les résultats.</w:t>
            </w:r>
          </w:p>
        </w:tc>
      </w:tr>
      <w:tr w:rsidR="00613523" w:rsidRPr="00965E89" w14:paraId="2E18F868" w14:textId="77777777" w:rsidTr="00485CD8">
        <w:tc>
          <w:tcPr>
            <w:tcW w:w="2405" w:type="dxa"/>
            <w:shd w:val="clear" w:color="auto" w:fill="8DB3E2" w:themeFill="text2" w:themeFillTint="66"/>
          </w:tcPr>
          <w:p w14:paraId="73D60EF6" w14:textId="6ACDEE3F" w:rsidR="00613523" w:rsidRPr="001A54C7" w:rsidRDefault="00613523" w:rsidP="00E44730">
            <w:pPr>
              <w:spacing w:before="220" w:after="220"/>
              <w:rPr>
                <w:sz w:val="20"/>
                <w:szCs w:val="18"/>
                <w:u w:val="single"/>
              </w:rPr>
            </w:pPr>
            <w:r>
              <w:rPr>
                <w:sz w:val="20"/>
                <w:u w:val="single"/>
              </w:rPr>
              <w:t>Risques et mesures d</w:t>
            </w:r>
            <w:r w:rsidR="007A316D">
              <w:rPr>
                <w:sz w:val="20"/>
                <w:u w:val="single"/>
              </w:rPr>
              <w:t>’</w:t>
            </w:r>
            <w:r>
              <w:rPr>
                <w:sz w:val="20"/>
                <w:u w:val="single"/>
              </w:rPr>
              <w:t>atténuation</w:t>
            </w:r>
          </w:p>
        </w:tc>
        <w:tc>
          <w:tcPr>
            <w:tcW w:w="6658" w:type="dxa"/>
          </w:tcPr>
          <w:p w14:paraId="647277F2" w14:textId="791DAF54" w:rsidR="007A316D" w:rsidRDefault="00613523" w:rsidP="00E44730">
            <w:pPr>
              <w:pStyle w:val="Default"/>
              <w:spacing w:before="220" w:after="220"/>
              <w:rPr>
                <w:sz w:val="22"/>
              </w:rPr>
            </w:pPr>
            <w:r>
              <w:rPr>
                <w:sz w:val="22"/>
              </w:rPr>
              <w:t>Les risques ci</w:t>
            </w:r>
            <w:r w:rsidR="007A316D">
              <w:rPr>
                <w:sz w:val="22"/>
              </w:rPr>
              <w:t>-</w:t>
            </w:r>
            <w:r>
              <w:rPr>
                <w:sz w:val="22"/>
              </w:rPr>
              <w:t>après ont été recensés au cours de la mise en œuvre du proj</w:t>
            </w:r>
            <w:r w:rsidR="004766E0">
              <w:rPr>
                <w:sz w:val="22"/>
              </w:rPr>
              <w:t>et</w:t>
            </w:r>
            <w:r w:rsidR="004766E0">
              <w:rPr>
                <w:sz w:val="22"/>
              </w:rPr>
              <w:t xml:space="preserve">.  </w:t>
            </w:r>
            <w:r w:rsidR="004766E0">
              <w:rPr>
                <w:sz w:val="22"/>
              </w:rPr>
              <w:t>De</w:t>
            </w:r>
            <w:r>
              <w:rPr>
                <w:sz w:val="22"/>
              </w:rPr>
              <w:t>s stratégies d</w:t>
            </w:r>
            <w:r w:rsidR="007A316D">
              <w:rPr>
                <w:sz w:val="22"/>
              </w:rPr>
              <w:t>’</w:t>
            </w:r>
            <w:r>
              <w:rPr>
                <w:sz w:val="22"/>
              </w:rPr>
              <w:t>atténuation ont également été recensées et mises en œuvre.</w:t>
            </w:r>
          </w:p>
          <w:p w14:paraId="0B2045E5" w14:textId="4F4AD198" w:rsidR="00613523" w:rsidRDefault="00613523" w:rsidP="00E44730">
            <w:pPr>
              <w:pStyle w:val="TableParagraph"/>
              <w:spacing w:before="220" w:after="220" w:line="252" w:lineRule="exact"/>
              <w:ind w:right="86"/>
            </w:pPr>
            <w:r>
              <w:rPr>
                <w:u w:val="single"/>
              </w:rPr>
              <w:t>Risque n° 1</w:t>
            </w:r>
            <w:r w:rsidR="007A316D">
              <w:t> :</w:t>
            </w:r>
            <w:r>
              <w:t xml:space="preserve"> changements politiques dans les pays affectant l</w:t>
            </w:r>
            <w:r w:rsidR="007A316D">
              <w:t>’</w:t>
            </w:r>
            <w:r>
              <w:t xml:space="preserve">exécution du </w:t>
            </w:r>
            <w:proofErr w:type="gramStart"/>
            <w:r>
              <w:t>projet;  changements</w:t>
            </w:r>
            <w:proofErr w:type="gramEnd"/>
            <w:r>
              <w:t xml:space="preserve"> de priorités au niveau des pouvoirs publics.</w:t>
            </w:r>
          </w:p>
          <w:p w14:paraId="70262360" w14:textId="2FE5D09F" w:rsidR="00613523" w:rsidRPr="00AE1108" w:rsidRDefault="00613523" w:rsidP="00E44730">
            <w:pPr>
              <w:pStyle w:val="TableParagraph"/>
              <w:spacing w:before="220" w:after="220" w:line="252" w:lineRule="exact"/>
              <w:ind w:right="86"/>
            </w:pPr>
            <w:r>
              <w:rPr>
                <w:u w:val="single"/>
              </w:rPr>
              <w:t>Mesure d</w:t>
            </w:r>
            <w:r w:rsidR="007A316D">
              <w:rPr>
                <w:u w:val="single"/>
              </w:rPr>
              <w:t>’</w:t>
            </w:r>
            <w:r>
              <w:rPr>
                <w:u w:val="single"/>
              </w:rPr>
              <w:t>atténuation n° 1</w:t>
            </w:r>
            <w:r w:rsidR="007A316D">
              <w:rPr>
                <w:u w:val="single"/>
              </w:rPr>
              <w:t> :</w:t>
            </w:r>
            <w:r>
              <w:t xml:space="preserve"> suivi de la situation dans les pays et échanges menés avec les coordonnateurs du projet.</w:t>
            </w:r>
          </w:p>
          <w:p w14:paraId="57A58133" w14:textId="36BEBB15" w:rsidR="00613523" w:rsidRPr="00AE1108" w:rsidRDefault="00613523" w:rsidP="00E44730">
            <w:pPr>
              <w:pStyle w:val="TableParagraph"/>
              <w:spacing w:before="220" w:after="220" w:line="252" w:lineRule="exact"/>
              <w:ind w:right="86"/>
            </w:pPr>
            <w:r>
              <w:rPr>
                <w:u w:val="single"/>
              </w:rPr>
              <w:t>Risque n° 2</w:t>
            </w:r>
            <w:r w:rsidR="007A316D">
              <w:t> :</w:t>
            </w:r>
            <w:r>
              <w:t xml:space="preserve"> lenteur de la communication avec les coordonnateurs du projet.</w:t>
            </w:r>
          </w:p>
          <w:p w14:paraId="035A74EC" w14:textId="0566EE23" w:rsidR="00613523" w:rsidRPr="00AE1108" w:rsidRDefault="00613523" w:rsidP="00E44730">
            <w:pPr>
              <w:pStyle w:val="TableParagraph"/>
              <w:spacing w:before="220" w:after="220" w:line="252" w:lineRule="exact"/>
              <w:ind w:right="86"/>
            </w:pPr>
            <w:r>
              <w:rPr>
                <w:u w:val="single"/>
              </w:rPr>
              <w:t>Mesure d</w:t>
            </w:r>
            <w:r w:rsidR="007A316D">
              <w:rPr>
                <w:u w:val="single"/>
              </w:rPr>
              <w:t>’</w:t>
            </w:r>
            <w:r>
              <w:rPr>
                <w:u w:val="single"/>
              </w:rPr>
              <w:t>atténuation n° 2</w:t>
            </w:r>
            <w:r w:rsidR="007A316D">
              <w:t> :</w:t>
            </w:r>
            <w:r>
              <w:t xml:space="preserve"> organisation fréquente d</w:t>
            </w:r>
            <w:r w:rsidR="007A316D">
              <w:t>’</w:t>
            </w:r>
            <w:r>
              <w:t>appels ou de réunions en visioconférence entre l</w:t>
            </w:r>
            <w:r w:rsidR="007A316D">
              <w:t>’</w:t>
            </w:r>
            <w:r>
              <w:t>équipe chargée du projet au sein de l</w:t>
            </w:r>
            <w:r w:rsidR="007A316D">
              <w:t>’</w:t>
            </w:r>
            <w:proofErr w:type="spellStart"/>
            <w:r>
              <w:t>OMPI</w:t>
            </w:r>
            <w:proofErr w:type="spellEnd"/>
            <w:r>
              <w:t xml:space="preserve"> et les coordonnateurs nationaux pour suivre l</w:t>
            </w:r>
            <w:r w:rsidR="007A316D">
              <w:t>’</w:t>
            </w:r>
            <w:r>
              <w:t>état d</w:t>
            </w:r>
            <w:r w:rsidR="007A316D">
              <w:t>’</w:t>
            </w:r>
            <w:r>
              <w:t>avancement de la mise en œuvre du projet.</w:t>
            </w:r>
          </w:p>
          <w:p w14:paraId="159A34B2" w14:textId="27F51146" w:rsidR="00613523" w:rsidRPr="00AE1108" w:rsidRDefault="00613523" w:rsidP="00E44730">
            <w:pPr>
              <w:pStyle w:val="TableParagraph"/>
              <w:spacing w:before="220" w:after="220" w:line="252" w:lineRule="exact"/>
              <w:ind w:right="86"/>
            </w:pPr>
            <w:r>
              <w:rPr>
                <w:u w:val="single"/>
              </w:rPr>
              <w:t>Risque n° 3</w:t>
            </w:r>
            <w:r w:rsidR="007A316D">
              <w:t> :</w:t>
            </w:r>
            <w:r>
              <w:t xml:space="preserve"> manque de données objectives sur le marché local de la musique numérique.</w:t>
            </w:r>
          </w:p>
          <w:p w14:paraId="6B5EC784" w14:textId="3C8F2C51" w:rsidR="00613523" w:rsidRPr="00965E89" w:rsidRDefault="00613523" w:rsidP="00E44730">
            <w:pPr>
              <w:pStyle w:val="TableParagraph"/>
              <w:spacing w:before="220" w:after="220" w:line="252" w:lineRule="exact"/>
              <w:ind w:right="86"/>
              <w:rPr>
                <w:u w:val="single"/>
              </w:rPr>
            </w:pPr>
            <w:r>
              <w:rPr>
                <w:u w:val="single"/>
              </w:rPr>
              <w:t>Mesure d</w:t>
            </w:r>
            <w:r w:rsidR="007A316D">
              <w:rPr>
                <w:u w:val="single"/>
              </w:rPr>
              <w:t>’</w:t>
            </w:r>
            <w:r>
              <w:rPr>
                <w:u w:val="single"/>
              </w:rPr>
              <w:t>atténuation n° 3</w:t>
            </w:r>
            <w:r w:rsidR="007A316D">
              <w:t> :</w:t>
            </w:r>
            <w:r>
              <w:t xml:space="preserve"> participation des partenaires stratégiques représentant les parties prenantes </w:t>
            </w:r>
            <w:proofErr w:type="gramStart"/>
            <w:r>
              <w:t>concernées;  les</w:t>
            </w:r>
            <w:proofErr w:type="gramEnd"/>
            <w:r>
              <w:t xml:space="preserve"> pays bénéficiaires ont rempli un questionnaire sur les monographies.</w:t>
            </w:r>
          </w:p>
        </w:tc>
      </w:tr>
      <w:tr w:rsidR="00613523" w:rsidRPr="00965E89" w14:paraId="24357273" w14:textId="77777777" w:rsidTr="00485CD8">
        <w:tc>
          <w:tcPr>
            <w:tcW w:w="2405" w:type="dxa"/>
            <w:shd w:val="clear" w:color="auto" w:fill="8DB3E2" w:themeFill="text2" w:themeFillTint="66"/>
          </w:tcPr>
          <w:p w14:paraId="40BAD6C6" w14:textId="3C971836" w:rsidR="00613523" w:rsidRPr="001A54C7" w:rsidRDefault="00613523" w:rsidP="00E44730">
            <w:pPr>
              <w:spacing w:before="220" w:after="220"/>
              <w:rPr>
                <w:sz w:val="20"/>
                <w:szCs w:val="18"/>
                <w:u w:val="single"/>
              </w:rPr>
            </w:pPr>
            <w:r>
              <w:rPr>
                <w:sz w:val="20"/>
                <w:u w:val="single"/>
              </w:rPr>
              <w:t>Taux d</w:t>
            </w:r>
            <w:r w:rsidR="007A316D">
              <w:rPr>
                <w:sz w:val="20"/>
                <w:u w:val="single"/>
              </w:rPr>
              <w:t>’</w:t>
            </w:r>
            <w:r>
              <w:rPr>
                <w:sz w:val="20"/>
                <w:u w:val="single"/>
              </w:rPr>
              <w:t>exécution du projet</w:t>
            </w:r>
          </w:p>
        </w:tc>
        <w:tc>
          <w:tcPr>
            <w:tcW w:w="6658" w:type="dxa"/>
          </w:tcPr>
          <w:p w14:paraId="5ACE5407" w14:textId="3D28430F" w:rsidR="00613523" w:rsidRDefault="00613523" w:rsidP="00E44730">
            <w:pPr>
              <w:pStyle w:val="Default"/>
              <w:spacing w:before="220" w:after="220"/>
              <w:rPr>
                <w:sz w:val="22"/>
                <w:szCs w:val="22"/>
              </w:rPr>
            </w:pPr>
            <w:r>
              <w:rPr>
                <w:sz w:val="22"/>
              </w:rPr>
              <w:t>Le taux d</w:t>
            </w:r>
            <w:r w:rsidR="007A316D">
              <w:rPr>
                <w:sz w:val="22"/>
              </w:rPr>
              <w:t>’</w:t>
            </w:r>
            <w:r>
              <w:rPr>
                <w:sz w:val="22"/>
              </w:rPr>
              <w:t>exécution du budget arrêté en juin 2025, par rapport au budget total alloué aux dépenses autres que les dépenses de personnel, était de 78%.</w:t>
            </w:r>
          </w:p>
          <w:p w14:paraId="4C7AF5D3" w14:textId="5BA3EDE0" w:rsidR="00613523" w:rsidRPr="00965E89" w:rsidRDefault="00613523" w:rsidP="00E44730">
            <w:pPr>
              <w:spacing w:before="220" w:after="220"/>
              <w:rPr>
                <w:u w:val="single"/>
              </w:rPr>
            </w:pPr>
            <w:r>
              <w:t>Des informations plus détaillées figurent à l</w:t>
            </w:r>
            <w:r w:rsidR="007A316D">
              <w:t>’</w:t>
            </w:r>
            <w:r>
              <w:t>annexe II du présent document.</w:t>
            </w:r>
          </w:p>
        </w:tc>
      </w:tr>
      <w:tr w:rsidR="00613523" w:rsidRPr="00965E89" w14:paraId="7C99B707" w14:textId="77777777" w:rsidTr="00485CD8">
        <w:tc>
          <w:tcPr>
            <w:tcW w:w="2405" w:type="dxa"/>
            <w:shd w:val="clear" w:color="auto" w:fill="8DB3E2" w:themeFill="text2" w:themeFillTint="66"/>
          </w:tcPr>
          <w:p w14:paraId="26F79801" w14:textId="7939E1C4" w:rsidR="00613523" w:rsidRPr="001A54C7" w:rsidRDefault="00613523" w:rsidP="00E44730">
            <w:pPr>
              <w:spacing w:before="220" w:after="220"/>
              <w:rPr>
                <w:sz w:val="20"/>
                <w:szCs w:val="18"/>
                <w:u w:val="single"/>
              </w:rPr>
            </w:pPr>
            <w:r>
              <w:rPr>
                <w:sz w:val="20"/>
                <w:u w:val="single"/>
              </w:rPr>
              <w:t>Rapports précédents</w:t>
            </w:r>
          </w:p>
        </w:tc>
        <w:tc>
          <w:tcPr>
            <w:tcW w:w="6658" w:type="dxa"/>
          </w:tcPr>
          <w:p w14:paraId="242D6573" w14:textId="3AE98B08" w:rsidR="00613523" w:rsidRPr="001A0BB0" w:rsidRDefault="00613523" w:rsidP="00E44730">
            <w:pPr>
              <w:spacing w:before="220" w:after="220"/>
              <w:rPr>
                <w:iCs/>
              </w:rPr>
            </w:pPr>
            <w:r>
              <w:t>Le premier rapport sur l</w:t>
            </w:r>
            <w:r w:rsidR="007A316D">
              <w:t>’</w:t>
            </w:r>
            <w:r>
              <w:t>état d</w:t>
            </w:r>
            <w:r w:rsidR="007A316D">
              <w:t>’</w:t>
            </w:r>
            <w:r>
              <w:t>avancement du projet est contenu dans l</w:t>
            </w:r>
            <w:r w:rsidR="007A316D">
              <w:t>’</w:t>
            </w:r>
            <w:r>
              <w:t>annexe VII du document</w:t>
            </w:r>
            <w:r w:rsidR="00F3282A">
              <w:t> </w:t>
            </w:r>
            <w:proofErr w:type="spellStart"/>
            <w:r>
              <w:fldChar w:fldCharType="begin"/>
            </w:r>
            <w:r>
              <w:instrText>HYPERLINK "https://www.wipo.int/meetings/fr/doc_details.jsp?doc_id=538652"</w:instrText>
            </w:r>
            <w:r>
              <w:fldChar w:fldCharType="separate"/>
            </w:r>
            <w:r>
              <w:rPr>
                <w:rStyle w:val="Hyperlink"/>
              </w:rPr>
              <w:t>CDIP</w:t>
            </w:r>
            <w:proofErr w:type="spellEnd"/>
            <w:r>
              <w:rPr>
                <w:rStyle w:val="Hyperlink"/>
              </w:rPr>
              <w:t>/26/2</w:t>
            </w:r>
            <w:r>
              <w:fldChar w:fldCharType="end"/>
            </w:r>
            <w:r>
              <w:t>;  le deuxième rapport sur l</w:t>
            </w:r>
            <w:r w:rsidR="007A316D">
              <w:t>’</w:t>
            </w:r>
            <w:r>
              <w:t>état d</w:t>
            </w:r>
            <w:r w:rsidR="007A316D">
              <w:t>’</w:t>
            </w:r>
            <w:r>
              <w:t>avancement du projet est contenu dans l</w:t>
            </w:r>
            <w:r w:rsidR="007A316D">
              <w:t>’</w:t>
            </w:r>
            <w:r>
              <w:t>annexe VI du document</w:t>
            </w:r>
            <w:r w:rsidR="00F3282A">
              <w:t> </w:t>
            </w:r>
            <w:proofErr w:type="spellStart"/>
            <w:r>
              <w:fldChar w:fldCharType="begin"/>
            </w:r>
            <w:r>
              <w:instrText>HYPERLINK "https://www.wipo.int/meetings/fr/doc_details.jsp?doc_id=582745"</w:instrText>
            </w:r>
            <w:r>
              <w:fldChar w:fldCharType="separate"/>
            </w:r>
            <w:r>
              <w:rPr>
                <w:rStyle w:val="Hyperlink"/>
              </w:rPr>
              <w:t>CDIP</w:t>
            </w:r>
            <w:proofErr w:type="spellEnd"/>
            <w:r>
              <w:rPr>
                <w:rStyle w:val="Hyperlink"/>
              </w:rPr>
              <w:t>/29/2</w:t>
            </w:r>
            <w:r>
              <w:fldChar w:fldCharType="end"/>
            </w:r>
            <w:r>
              <w:t>;  le troisième rapport sur l</w:t>
            </w:r>
            <w:r w:rsidR="007A316D">
              <w:t>’</w:t>
            </w:r>
            <w:r>
              <w:t>état d</w:t>
            </w:r>
            <w:r w:rsidR="007A316D">
              <w:t>’</w:t>
            </w:r>
            <w:r>
              <w:t>avancement du projet est contenu dans l</w:t>
            </w:r>
            <w:r w:rsidR="007A316D">
              <w:t>’</w:t>
            </w:r>
            <w:r>
              <w:t>annexe III du document</w:t>
            </w:r>
            <w:r w:rsidR="00F3282A">
              <w:t> </w:t>
            </w:r>
            <w:proofErr w:type="spellStart"/>
            <w:r>
              <w:fldChar w:fldCharType="begin"/>
            </w:r>
            <w:r>
              <w:instrText>HYPERLINK "https://www.wipo.int/meetings/fr/doc_details.jsp?doc_id=619966"</w:instrText>
            </w:r>
            <w:r>
              <w:fldChar w:fldCharType="separate"/>
            </w:r>
            <w:r>
              <w:rPr>
                <w:rStyle w:val="Hyperlink"/>
              </w:rPr>
              <w:t>CDIP</w:t>
            </w:r>
            <w:proofErr w:type="spellEnd"/>
            <w:r>
              <w:rPr>
                <w:rStyle w:val="Hyperlink"/>
              </w:rPr>
              <w:t>/31/3</w:t>
            </w:r>
            <w:r>
              <w:fldChar w:fldCharType="end"/>
            </w:r>
            <w:r>
              <w:t>;  et le quatrième rapport sur l</w:t>
            </w:r>
            <w:r w:rsidR="007A316D">
              <w:t>’</w:t>
            </w:r>
            <w:r>
              <w:t>état d</w:t>
            </w:r>
            <w:r w:rsidR="007A316D">
              <w:t>’</w:t>
            </w:r>
            <w:r>
              <w:t>avancement du projet est contenu dans l</w:t>
            </w:r>
            <w:r w:rsidR="007A316D">
              <w:t>’</w:t>
            </w:r>
            <w:r>
              <w:t>annexe I du document</w:t>
            </w:r>
            <w:r w:rsidR="00F3282A">
              <w:t> </w:t>
            </w:r>
            <w:hyperlink r:id="rId17" w:history="1">
              <w:proofErr w:type="spellStart"/>
              <w:r>
                <w:rPr>
                  <w:rStyle w:val="Hyperlink"/>
                </w:rPr>
                <w:t>CDIP</w:t>
              </w:r>
              <w:proofErr w:type="spellEnd"/>
              <w:r>
                <w:rPr>
                  <w:rStyle w:val="Hyperlink"/>
                </w:rPr>
                <w:t>/33/3</w:t>
              </w:r>
            </w:hyperlink>
            <w:r>
              <w:t>.</w:t>
            </w:r>
          </w:p>
        </w:tc>
      </w:tr>
      <w:tr w:rsidR="00613523" w:rsidRPr="00965E89" w14:paraId="4A180988" w14:textId="77777777" w:rsidTr="00485CD8">
        <w:tc>
          <w:tcPr>
            <w:tcW w:w="2405" w:type="dxa"/>
            <w:shd w:val="clear" w:color="auto" w:fill="8DB3E2" w:themeFill="text2" w:themeFillTint="66"/>
          </w:tcPr>
          <w:p w14:paraId="56982240" w14:textId="0B889AC6" w:rsidR="00613523" w:rsidRPr="001A54C7" w:rsidRDefault="00613523" w:rsidP="00E44730">
            <w:pPr>
              <w:spacing w:before="220" w:after="220"/>
              <w:rPr>
                <w:sz w:val="20"/>
                <w:szCs w:val="18"/>
                <w:u w:val="single"/>
              </w:rPr>
            </w:pPr>
            <w:r>
              <w:rPr>
                <w:sz w:val="20"/>
                <w:u w:val="single"/>
              </w:rPr>
              <w:t>Suivi et diffusion</w:t>
            </w:r>
          </w:p>
        </w:tc>
        <w:tc>
          <w:tcPr>
            <w:tcW w:w="6658" w:type="dxa"/>
          </w:tcPr>
          <w:p w14:paraId="2566DEB9" w14:textId="7FB789C2" w:rsidR="00613523" w:rsidRDefault="00613523" w:rsidP="00E44730">
            <w:pPr>
              <w:pStyle w:val="NoSpacing"/>
              <w:numPr>
                <w:ilvl w:val="0"/>
                <w:numId w:val="9"/>
              </w:numPr>
              <w:spacing w:before="220" w:after="220"/>
              <w:ind w:left="714" w:hanging="357"/>
            </w:pPr>
            <w:r>
              <w:t>Les quatre</w:t>
            </w:r>
            <w:r w:rsidR="00E67B98">
              <w:t> </w:t>
            </w:r>
            <w:r>
              <w:t>ateliers nationaux et les formations judiciaires ont fait l</w:t>
            </w:r>
            <w:r w:rsidR="007A316D">
              <w:t>’</w:t>
            </w:r>
            <w:r>
              <w:t>objet d</w:t>
            </w:r>
            <w:r w:rsidR="007A316D">
              <w:t>’</w:t>
            </w:r>
            <w:r>
              <w:t>articles dans les médias nationaux et sur les réseaux sociaux.</w:t>
            </w:r>
          </w:p>
          <w:p w14:paraId="122692EE" w14:textId="3F2CE34B" w:rsidR="007A316D" w:rsidRDefault="00613523" w:rsidP="00E44730">
            <w:pPr>
              <w:pStyle w:val="NoSpacing"/>
              <w:numPr>
                <w:ilvl w:val="0"/>
                <w:numId w:val="9"/>
              </w:numPr>
              <w:spacing w:before="220" w:after="220"/>
              <w:rPr>
                <w:color w:val="000000" w:themeColor="text1"/>
              </w:rPr>
            </w:pPr>
            <w:r>
              <w:rPr>
                <w:color w:val="000000" w:themeColor="text1"/>
              </w:rPr>
              <w:t>Il est proposé que les décisions judiciaires rassemblées dans le guide annoté relatif à la jurisprudence de référence soient mises à disposition en format numérique sur le site</w:t>
            </w:r>
            <w:r w:rsidR="00E67B98">
              <w:rPr>
                <w:color w:val="000000" w:themeColor="text1"/>
              </w:rPr>
              <w:t> </w:t>
            </w:r>
            <w:r>
              <w:rPr>
                <w:color w:val="000000" w:themeColor="text1"/>
              </w:rPr>
              <w:t xml:space="preserve">Web </w:t>
            </w:r>
            <w:proofErr w:type="spellStart"/>
            <w:r>
              <w:rPr>
                <w:color w:val="000000" w:themeColor="text1"/>
              </w:rPr>
              <w:t>WIPO</w:t>
            </w:r>
            <w:proofErr w:type="spellEnd"/>
            <w:r>
              <w:rPr>
                <w:color w:val="000000" w:themeColor="text1"/>
              </w:rPr>
              <w:t> Lex.</w:t>
            </w:r>
          </w:p>
          <w:p w14:paraId="24E5F719" w14:textId="5078FF15" w:rsidR="007A316D" w:rsidRDefault="00613523" w:rsidP="00E44730">
            <w:pPr>
              <w:pStyle w:val="NoSpacing"/>
              <w:numPr>
                <w:ilvl w:val="0"/>
                <w:numId w:val="9"/>
              </w:numPr>
              <w:spacing w:before="220" w:after="220"/>
            </w:pPr>
            <w:r>
              <w:t>À la dernière réunion de coordination à Dakar en mai 2025, les coordonnateurs et les représentants des organisations de gestion collective ont examiné avec le chef de projet et les principaux partenaires les stratégies à adopter pour assurer la pérennité et le suivi du proj</w:t>
            </w:r>
            <w:r w:rsidR="004766E0">
              <w:t>et</w:t>
            </w:r>
            <w:r w:rsidR="004766E0">
              <w:t xml:space="preserve">.  </w:t>
            </w:r>
            <w:r w:rsidR="004766E0">
              <w:t>Il</w:t>
            </w:r>
            <w:r>
              <w:t>s ont salué les résultats obtenus, mais ont convenu que l</w:t>
            </w:r>
            <w:r w:rsidR="007A316D">
              <w:t>’</w:t>
            </w:r>
            <w:r>
              <w:t>on pouvait faire plus pour développer davantage le secteur de la musique dans la région et au</w:t>
            </w:r>
            <w:r w:rsidR="007A316D">
              <w:t>-</w:t>
            </w:r>
            <w:r>
              <w:t>delà.</w:t>
            </w:r>
          </w:p>
          <w:p w14:paraId="54DC2EBE" w14:textId="315C2345" w:rsidR="007A316D" w:rsidRDefault="00613523" w:rsidP="00E44730">
            <w:pPr>
              <w:pStyle w:val="NoSpacing"/>
              <w:spacing w:before="220" w:after="220"/>
            </w:pPr>
            <w:r>
              <w:t>Certaines mesures de suivi peuvent être prises par les autorités locales, si nécessaire, telles que</w:t>
            </w:r>
            <w:r w:rsidR="007A316D">
              <w:t> :</w:t>
            </w:r>
          </w:p>
          <w:p w14:paraId="1A906E87" w14:textId="77777777" w:rsidR="00613523" w:rsidRPr="00813E77" w:rsidRDefault="00613523" w:rsidP="00E44730">
            <w:pPr>
              <w:pStyle w:val="NoSpacing"/>
              <w:numPr>
                <w:ilvl w:val="0"/>
                <w:numId w:val="7"/>
              </w:numPr>
              <w:spacing w:before="220" w:after="220"/>
            </w:pPr>
            <w:proofErr w:type="gramStart"/>
            <w:r>
              <w:t>organiser</w:t>
            </w:r>
            <w:proofErr w:type="gramEnd"/>
            <w:r>
              <w:t xml:space="preserve"> un dialogue/une formation avec les responsables de la réglementation du secteur de la </w:t>
            </w:r>
            <w:proofErr w:type="gramStart"/>
            <w:r>
              <w:t>communication;</w:t>
            </w:r>
            <w:proofErr w:type="gramEnd"/>
          </w:p>
          <w:p w14:paraId="1D1E8D5B" w14:textId="033662C1" w:rsidR="007A316D" w:rsidRDefault="00613523" w:rsidP="00E44730">
            <w:pPr>
              <w:pStyle w:val="NoSpacing"/>
              <w:numPr>
                <w:ilvl w:val="0"/>
                <w:numId w:val="7"/>
              </w:numPr>
              <w:spacing w:before="220" w:after="220"/>
            </w:pPr>
            <w:proofErr w:type="gramStart"/>
            <w:r>
              <w:t>promouvoir</w:t>
            </w:r>
            <w:proofErr w:type="gramEnd"/>
            <w:r>
              <w:t xml:space="preserve"> davantage le guide de jurisprudence dans les pays de l</w:t>
            </w:r>
            <w:r w:rsidR="007A316D">
              <w:t>’</w:t>
            </w:r>
            <w:r>
              <w:t xml:space="preserve">UEMOA et collaborer avec les coordonnateurs et les spécialistes afin de continuer à recueillir les décisions judiciaires pertinentes, qui pourraient ultérieurement être présentées dans une deuxième édition du guide de </w:t>
            </w:r>
            <w:proofErr w:type="gramStart"/>
            <w:r>
              <w:t>jurisprudence;</w:t>
            </w:r>
            <w:proofErr w:type="gramEnd"/>
          </w:p>
          <w:p w14:paraId="69E4BE85" w14:textId="241F8532" w:rsidR="00613523" w:rsidRPr="00187005" w:rsidRDefault="00613523" w:rsidP="00E44730">
            <w:pPr>
              <w:pStyle w:val="NoSpacing"/>
              <w:numPr>
                <w:ilvl w:val="0"/>
                <w:numId w:val="7"/>
              </w:numPr>
              <w:spacing w:before="220" w:after="220"/>
            </w:pPr>
            <w:proofErr w:type="gramStart"/>
            <w:r>
              <w:t>poursuivre</w:t>
            </w:r>
            <w:proofErr w:type="gramEnd"/>
            <w:r>
              <w:t xml:space="preserve"> la sensibilisation sur des sujets d</w:t>
            </w:r>
            <w:r w:rsidR="007A316D">
              <w:t>’</w:t>
            </w:r>
            <w:r>
              <w:t>actualité tels que l</w:t>
            </w:r>
            <w:r w:rsidR="007A316D">
              <w:t>’</w:t>
            </w:r>
            <w:r>
              <w:t>incidence de l</w:t>
            </w:r>
            <w:r w:rsidR="007A316D">
              <w:t>’</w:t>
            </w:r>
            <w:r>
              <w:t xml:space="preserve">IA sur le secteur de la </w:t>
            </w:r>
            <w:proofErr w:type="gramStart"/>
            <w:r>
              <w:t>musique;</w:t>
            </w:r>
            <w:proofErr w:type="gramEnd"/>
          </w:p>
          <w:p w14:paraId="076DD427" w14:textId="513B1683" w:rsidR="00613523" w:rsidRPr="00187005" w:rsidRDefault="00613523" w:rsidP="00E44730">
            <w:pPr>
              <w:pStyle w:val="NoSpacing"/>
              <w:numPr>
                <w:ilvl w:val="0"/>
                <w:numId w:val="7"/>
              </w:numPr>
              <w:spacing w:before="220" w:after="220"/>
            </w:pPr>
            <w:proofErr w:type="gramStart"/>
            <w:r>
              <w:t>élaborer</w:t>
            </w:r>
            <w:proofErr w:type="gramEnd"/>
            <w:r>
              <w:t xml:space="preserve"> des accords de réciprocité entre les organisations de gestion collective de </w:t>
            </w:r>
            <w:proofErr w:type="gramStart"/>
            <w:r>
              <w:t>l</w:t>
            </w:r>
            <w:r w:rsidR="007A316D">
              <w:t>’</w:t>
            </w:r>
            <w:r>
              <w:t>UEMOA;</w:t>
            </w:r>
            <w:proofErr w:type="gramEnd"/>
          </w:p>
          <w:p w14:paraId="1B709BDC" w14:textId="630C6C15" w:rsidR="00613523" w:rsidRPr="00142FA0" w:rsidRDefault="00613523" w:rsidP="00E44730">
            <w:pPr>
              <w:pStyle w:val="NoSpacing"/>
              <w:numPr>
                <w:ilvl w:val="0"/>
                <w:numId w:val="7"/>
              </w:numPr>
              <w:spacing w:before="220" w:after="220"/>
              <w:rPr>
                <w:u w:val="single"/>
              </w:rPr>
            </w:pPr>
            <w:proofErr w:type="gramStart"/>
            <w:r>
              <w:t>poursuivre</w:t>
            </w:r>
            <w:proofErr w:type="gramEnd"/>
            <w:r>
              <w:t xml:space="preserve"> et améliorer la formation des organisations de gestion collective de l</w:t>
            </w:r>
            <w:r w:rsidR="007A316D">
              <w:t>’</w:t>
            </w:r>
            <w:r>
              <w:t xml:space="preserve">UEMOA. </w:t>
            </w:r>
            <w:r w:rsidR="00E67B98">
              <w:t xml:space="preserve"> </w:t>
            </w:r>
          </w:p>
        </w:tc>
      </w:tr>
    </w:tbl>
    <w:p w14:paraId="488E188D" w14:textId="2BB19B73" w:rsidR="00613523" w:rsidRDefault="00613523" w:rsidP="00E44730">
      <w:pPr>
        <w:keepNext/>
        <w:keepLines/>
      </w:pPr>
      <w:r>
        <w:t>AUTO</w:t>
      </w:r>
      <w:r w:rsidR="007A316D">
        <w:t>-</w:t>
      </w:r>
      <w:r>
        <w:t>ÉVALUATION DU PROJET</w:t>
      </w:r>
    </w:p>
    <w:p w14:paraId="0E50B683" w14:textId="77777777" w:rsidR="00613523" w:rsidRPr="00965E89" w:rsidRDefault="00613523" w:rsidP="00E44730">
      <w:pPr>
        <w:keepNext/>
        <w:keepLines/>
      </w:pPr>
    </w:p>
    <w:p w14:paraId="49767889" w14:textId="76F2AA5C" w:rsidR="00613523" w:rsidRPr="00695F42" w:rsidRDefault="00613523" w:rsidP="00E44730">
      <w:pPr>
        <w:keepNext/>
        <w:keepLines/>
        <w:rPr>
          <w:szCs w:val="22"/>
        </w:rPr>
      </w:pPr>
      <w:r>
        <w:t>Code d</w:t>
      </w:r>
      <w:r w:rsidR="007A316D">
        <w:t>’</w:t>
      </w:r>
      <w:r>
        <w:t>évaluation</w:t>
      </w:r>
    </w:p>
    <w:p w14:paraId="60FAFB68" w14:textId="77777777" w:rsidR="00613523" w:rsidRDefault="00613523" w:rsidP="00E44730">
      <w:pPr>
        <w:keepNext/>
        <w:keepLines/>
        <w:rPr>
          <w:sz w:val="20"/>
        </w:rPr>
      </w:pPr>
    </w:p>
    <w:tbl>
      <w:tblPr>
        <w:tblW w:w="949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Auto-évaluation du projet"/>
        <w:tblDescription w:val="Code d’évaluation"/>
      </w:tblPr>
      <w:tblGrid>
        <w:gridCol w:w="1814"/>
        <w:gridCol w:w="1814"/>
        <w:gridCol w:w="1814"/>
        <w:gridCol w:w="1814"/>
        <w:gridCol w:w="2242"/>
      </w:tblGrid>
      <w:tr w:rsidR="00613523" w:rsidRPr="000A4281" w14:paraId="17222C31" w14:textId="77777777" w:rsidTr="00E44730">
        <w:trPr>
          <w:trHeight w:val="55"/>
        </w:trPr>
        <w:tc>
          <w:tcPr>
            <w:tcW w:w="1814" w:type="dxa"/>
            <w:shd w:val="clear" w:color="auto" w:fill="7BBEDA"/>
            <w:vAlign w:val="center"/>
          </w:tcPr>
          <w:p w14:paraId="178BA43E" w14:textId="77777777" w:rsidR="00613523" w:rsidRPr="000A4281" w:rsidRDefault="00613523" w:rsidP="00E44730">
            <w:pPr>
              <w:pStyle w:val="TableParagraph"/>
              <w:keepNext/>
              <w:keepLines/>
              <w:spacing w:before="106"/>
              <w:ind w:left="110"/>
            </w:pPr>
            <w:r>
              <w:t>****</w:t>
            </w:r>
          </w:p>
        </w:tc>
        <w:tc>
          <w:tcPr>
            <w:tcW w:w="1814" w:type="dxa"/>
            <w:shd w:val="clear" w:color="auto" w:fill="7BBEDA"/>
            <w:vAlign w:val="center"/>
          </w:tcPr>
          <w:p w14:paraId="6328A1BB" w14:textId="77777777" w:rsidR="00613523" w:rsidRPr="000A4281" w:rsidRDefault="00613523" w:rsidP="00E44730">
            <w:pPr>
              <w:pStyle w:val="TableParagraph"/>
              <w:keepNext/>
              <w:keepLines/>
              <w:spacing w:before="106"/>
              <w:ind w:left="110"/>
            </w:pPr>
            <w:r>
              <w:t>***</w:t>
            </w:r>
          </w:p>
        </w:tc>
        <w:tc>
          <w:tcPr>
            <w:tcW w:w="1814" w:type="dxa"/>
            <w:shd w:val="clear" w:color="auto" w:fill="7BBEDA"/>
            <w:vAlign w:val="center"/>
          </w:tcPr>
          <w:p w14:paraId="28D18084" w14:textId="77777777" w:rsidR="00613523" w:rsidRPr="000A4281" w:rsidRDefault="00613523" w:rsidP="00E44730">
            <w:pPr>
              <w:pStyle w:val="TableParagraph"/>
              <w:keepNext/>
              <w:keepLines/>
              <w:spacing w:before="106"/>
              <w:ind w:left="108"/>
            </w:pPr>
            <w:r>
              <w:t>**</w:t>
            </w:r>
          </w:p>
        </w:tc>
        <w:tc>
          <w:tcPr>
            <w:tcW w:w="1814" w:type="dxa"/>
            <w:shd w:val="clear" w:color="auto" w:fill="7BBEDA"/>
            <w:vAlign w:val="center"/>
          </w:tcPr>
          <w:p w14:paraId="083C0BEB" w14:textId="77777777" w:rsidR="00613523" w:rsidRPr="000A4281" w:rsidRDefault="00613523" w:rsidP="00E44730">
            <w:pPr>
              <w:pStyle w:val="TableParagraph"/>
              <w:keepNext/>
              <w:keepLines/>
              <w:spacing w:before="106"/>
              <w:ind w:left="108"/>
            </w:pPr>
            <w:r>
              <w:t>AP</w:t>
            </w:r>
          </w:p>
        </w:tc>
        <w:tc>
          <w:tcPr>
            <w:tcW w:w="2242" w:type="dxa"/>
            <w:shd w:val="clear" w:color="auto" w:fill="7BBEDA"/>
            <w:vAlign w:val="center"/>
          </w:tcPr>
          <w:p w14:paraId="02A1E02F" w14:textId="77777777" w:rsidR="00613523" w:rsidRPr="000A4281" w:rsidRDefault="00613523" w:rsidP="00E44730">
            <w:pPr>
              <w:pStyle w:val="TableParagraph"/>
              <w:keepNext/>
              <w:keepLines/>
              <w:spacing w:before="106"/>
              <w:ind w:left="110"/>
            </w:pPr>
            <w:proofErr w:type="spellStart"/>
            <w:r>
              <w:t>s.o</w:t>
            </w:r>
            <w:proofErr w:type="spellEnd"/>
            <w:r>
              <w:t>.</w:t>
            </w:r>
          </w:p>
        </w:tc>
      </w:tr>
      <w:tr w:rsidR="00613523" w:rsidRPr="000A4281" w14:paraId="55DE7669" w14:textId="77777777" w:rsidTr="00E44730">
        <w:trPr>
          <w:trHeight w:val="506"/>
        </w:trPr>
        <w:tc>
          <w:tcPr>
            <w:tcW w:w="1814" w:type="dxa"/>
            <w:shd w:val="clear" w:color="auto" w:fill="7BBEDA"/>
            <w:vAlign w:val="center"/>
          </w:tcPr>
          <w:p w14:paraId="1506015D" w14:textId="77777777" w:rsidR="00613523" w:rsidRPr="000A4281" w:rsidRDefault="00613523" w:rsidP="00E44730">
            <w:pPr>
              <w:pStyle w:val="TableParagraph"/>
              <w:keepNext/>
              <w:keepLines/>
              <w:spacing w:line="252" w:lineRule="exact"/>
              <w:ind w:left="110" w:right="408"/>
            </w:pPr>
            <w:r>
              <w:t>Objectifs pleinement atteints</w:t>
            </w:r>
          </w:p>
        </w:tc>
        <w:tc>
          <w:tcPr>
            <w:tcW w:w="1814" w:type="dxa"/>
            <w:shd w:val="clear" w:color="auto" w:fill="7BBEDA"/>
            <w:vAlign w:val="center"/>
          </w:tcPr>
          <w:p w14:paraId="226F01B0" w14:textId="77777777" w:rsidR="00613523" w:rsidRPr="000A4281" w:rsidRDefault="00613523" w:rsidP="00E44730">
            <w:pPr>
              <w:pStyle w:val="TableParagraph"/>
              <w:keepNext/>
              <w:keepLines/>
              <w:spacing w:line="252" w:lineRule="exact"/>
              <w:ind w:left="110" w:right="687"/>
            </w:pPr>
            <w:r>
              <w:t>Progrès considérables</w:t>
            </w:r>
          </w:p>
        </w:tc>
        <w:tc>
          <w:tcPr>
            <w:tcW w:w="1814" w:type="dxa"/>
            <w:shd w:val="clear" w:color="auto" w:fill="7BBEDA"/>
            <w:vAlign w:val="center"/>
          </w:tcPr>
          <w:p w14:paraId="17A0798F" w14:textId="77777777" w:rsidR="00613523" w:rsidRPr="000A4281" w:rsidRDefault="00613523" w:rsidP="00E44730">
            <w:pPr>
              <w:pStyle w:val="TableParagraph"/>
              <w:keepNext/>
              <w:keepLines/>
              <w:spacing w:line="251" w:lineRule="exact"/>
              <w:ind w:left="108"/>
            </w:pPr>
            <w:r>
              <w:t>Quelques progrès</w:t>
            </w:r>
          </w:p>
        </w:tc>
        <w:tc>
          <w:tcPr>
            <w:tcW w:w="1814" w:type="dxa"/>
            <w:shd w:val="clear" w:color="auto" w:fill="7BBEDA"/>
            <w:vAlign w:val="center"/>
          </w:tcPr>
          <w:p w14:paraId="02641468" w14:textId="77777777" w:rsidR="00613523" w:rsidRPr="000A4281" w:rsidRDefault="00613523" w:rsidP="00E44730">
            <w:pPr>
              <w:pStyle w:val="TableParagraph"/>
              <w:keepNext/>
              <w:keepLines/>
              <w:spacing w:line="251" w:lineRule="exact"/>
              <w:ind w:left="108"/>
            </w:pPr>
            <w:r>
              <w:t>Aucun progrès</w:t>
            </w:r>
          </w:p>
        </w:tc>
        <w:tc>
          <w:tcPr>
            <w:tcW w:w="2242" w:type="dxa"/>
            <w:shd w:val="clear" w:color="auto" w:fill="7BBEDA"/>
            <w:vAlign w:val="center"/>
          </w:tcPr>
          <w:p w14:paraId="546F88C3" w14:textId="77777777" w:rsidR="00613523" w:rsidRPr="000A4281" w:rsidRDefault="00613523" w:rsidP="00E44730">
            <w:pPr>
              <w:pStyle w:val="TableParagraph"/>
              <w:keepNext/>
              <w:keepLines/>
              <w:spacing w:line="252" w:lineRule="exact"/>
              <w:ind w:left="110" w:right="203"/>
            </w:pPr>
            <w:r>
              <w:t>Non évalué/abandonné</w:t>
            </w:r>
          </w:p>
        </w:tc>
      </w:tr>
    </w:tbl>
    <w:p w14:paraId="52717542" w14:textId="77777777" w:rsidR="00613523" w:rsidRDefault="00613523" w:rsidP="00E44730">
      <w:pPr>
        <w:keepNext/>
        <w:keepLines/>
        <w:rPr>
          <w:sz w:val="20"/>
        </w:rPr>
      </w:pPr>
    </w:p>
    <w:p w14:paraId="65AC3A05" w14:textId="77777777" w:rsidR="00613523" w:rsidRDefault="00613523" w:rsidP="00613523">
      <w:pPr>
        <w:rPr>
          <w:sz w:val="20"/>
        </w:rPr>
      </w:pPr>
    </w:p>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8"/>
      </w:tblGrid>
      <w:tr w:rsidR="00613523" w:rsidRPr="00C6096E" w14:paraId="7613F0C4" w14:textId="77777777" w:rsidTr="00485CD8">
        <w:trPr>
          <w:trHeight w:val="938"/>
        </w:trPr>
        <w:tc>
          <w:tcPr>
            <w:tcW w:w="2520" w:type="dxa"/>
            <w:shd w:val="clear" w:color="auto" w:fill="8DB3E2" w:themeFill="text2" w:themeFillTint="66"/>
          </w:tcPr>
          <w:p w14:paraId="1B3AB1E1" w14:textId="77777777" w:rsidR="00613523" w:rsidRPr="00C6096E" w:rsidRDefault="00613523" w:rsidP="00485CD8">
            <w:pPr>
              <w:pStyle w:val="TableParagraph"/>
              <w:ind w:left="110" w:right="624"/>
            </w:pPr>
            <w:r>
              <w:rPr>
                <w:u w:val="single"/>
              </w:rPr>
              <w:t>Résultats du projet</w:t>
            </w:r>
            <w:r>
              <w:t xml:space="preserve"> (résultat escompté)</w:t>
            </w:r>
          </w:p>
        </w:tc>
        <w:tc>
          <w:tcPr>
            <w:tcW w:w="2695" w:type="dxa"/>
            <w:shd w:val="clear" w:color="auto" w:fill="8DB3E2" w:themeFill="text2" w:themeFillTint="66"/>
          </w:tcPr>
          <w:p w14:paraId="35C6B2F8" w14:textId="4D3E47A3" w:rsidR="00613523" w:rsidRPr="00C6096E" w:rsidRDefault="00613523" w:rsidP="00485CD8">
            <w:pPr>
              <w:pStyle w:val="TableParagraph"/>
              <w:ind w:left="110" w:right="236"/>
            </w:pPr>
            <w:r>
              <w:rPr>
                <w:u w:val="single"/>
              </w:rPr>
              <w:t>Indicateurs d</w:t>
            </w:r>
            <w:r w:rsidR="007A316D">
              <w:rPr>
                <w:u w:val="single"/>
              </w:rPr>
              <w:t>’</w:t>
            </w:r>
            <w:r>
              <w:rPr>
                <w:u w:val="single"/>
              </w:rPr>
              <w:t>exécution</w:t>
            </w:r>
          </w:p>
          <w:p w14:paraId="22CCB0B5" w14:textId="77777777" w:rsidR="00613523" w:rsidRPr="00C6096E" w:rsidRDefault="00613523" w:rsidP="00485CD8">
            <w:pPr>
              <w:pStyle w:val="TableParagraph"/>
              <w:ind w:left="110"/>
            </w:pPr>
            <w:r>
              <w:t>(</w:t>
            </w:r>
            <w:proofErr w:type="gramStart"/>
            <w:r>
              <w:t>indicateurs</w:t>
            </w:r>
            <w:proofErr w:type="gramEnd"/>
            <w:r>
              <w:t xml:space="preserve"> de résultats)</w:t>
            </w:r>
          </w:p>
        </w:tc>
        <w:tc>
          <w:tcPr>
            <w:tcW w:w="3401" w:type="dxa"/>
            <w:shd w:val="clear" w:color="auto" w:fill="8DB3E2" w:themeFill="text2" w:themeFillTint="66"/>
          </w:tcPr>
          <w:p w14:paraId="21A3D6B7" w14:textId="19211883" w:rsidR="00613523" w:rsidRPr="00C6096E" w:rsidRDefault="00613523" w:rsidP="00485CD8">
            <w:pPr>
              <w:pStyle w:val="TableParagraph"/>
              <w:ind w:left="108"/>
            </w:pPr>
            <w:r>
              <w:rPr>
                <w:u w:val="single"/>
              </w:rPr>
              <w:t>Données relatives à l</w:t>
            </w:r>
            <w:r w:rsidR="007A316D">
              <w:rPr>
                <w:u w:val="single"/>
              </w:rPr>
              <w:t>’</w:t>
            </w:r>
            <w:r>
              <w:rPr>
                <w:u w:val="single"/>
              </w:rPr>
              <w:t>exécution</w:t>
            </w:r>
          </w:p>
        </w:tc>
        <w:tc>
          <w:tcPr>
            <w:tcW w:w="878" w:type="dxa"/>
            <w:shd w:val="clear" w:color="auto" w:fill="8DB3E2" w:themeFill="text2" w:themeFillTint="66"/>
          </w:tcPr>
          <w:p w14:paraId="2570DE7C" w14:textId="54B86FFE" w:rsidR="00613523" w:rsidRPr="00C6096E" w:rsidRDefault="00613523" w:rsidP="00485CD8">
            <w:pPr>
              <w:pStyle w:val="TableParagraph"/>
              <w:ind w:left="111"/>
            </w:pPr>
            <w:r>
              <w:rPr>
                <w:u w:val="single"/>
              </w:rPr>
              <w:t>Code d</w:t>
            </w:r>
            <w:r w:rsidR="007A316D">
              <w:rPr>
                <w:u w:val="single"/>
              </w:rPr>
              <w:t>’</w:t>
            </w:r>
            <w:r>
              <w:rPr>
                <w:u w:val="single"/>
              </w:rPr>
              <w:t>évaluation</w:t>
            </w:r>
          </w:p>
        </w:tc>
      </w:tr>
      <w:tr w:rsidR="00613523" w:rsidRPr="00C6096E" w14:paraId="04520508" w14:textId="77777777" w:rsidTr="00485CD8">
        <w:trPr>
          <w:trHeight w:val="2564"/>
        </w:trPr>
        <w:tc>
          <w:tcPr>
            <w:tcW w:w="2520" w:type="dxa"/>
            <w:tcBorders>
              <w:right w:val="single" w:sz="6" w:space="0" w:color="000000"/>
            </w:tcBorders>
          </w:tcPr>
          <w:p w14:paraId="76089878" w14:textId="77777777" w:rsidR="00613523" w:rsidRDefault="00613523" w:rsidP="00485CD8">
            <w:pPr>
              <w:pStyle w:val="TableParagraph"/>
              <w:ind w:left="113"/>
            </w:pPr>
          </w:p>
          <w:p w14:paraId="7B94C08A" w14:textId="77777777" w:rsidR="007A316D" w:rsidRDefault="00613523" w:rsidP="00485CD8">
            <w:pPr>
              <w:pStyle w:val="TableParagraph"/>
              <w:ind w:left="113"/>
            </w:pPr>
            <w:r>
              <w:t>Désignation des coordonnateurs</w:t>
            </w:r>
          </w:p>
          <w:p w14:paraId="7A4CFA5F" w14:textId="3821966E" w:rsidR="00613523" w:rsidRDefault="00613523" w:rsidP="00485CD8">
            <w:pPr>
              <w:pStyle w:val="TableParagraph"/>
              <w:ind w:left="113"/>
            </w:pPr>
          </w:p>
          <w:p w14:paraId="762E1109" w14:textId="77777777" w:rsidR="00613523" w:rsidRDefault="00613523" w:rsidP="00485CD8">
            <w:pPr>
              <w:pStyle w:val="TableParagraph"/>
              <w:ind w:left="113"/>
            </w:pPr>
          </w:p>
          <w:p w14:paraId="6050704B" w14:textId="77777777" w:rsidR="00613523" w:rsidRDefault="00613523" w:rsidP="00485CD8">
            <w:pPr>
              <w:pStyle w:val="TableParagraph"/>
              <w:ind w:left="113"/>
            </w:pPr>
          </w:p>
          <w:p w14:paraId="1834E71D" w14:textId="77777777" w:rsidR="00613523" w:rsidRDefault="00613523" w:rsidP="00485CD8">
            <w:pPr>
              <w:pStyle w:val="TableParagraph"/>
              <w:ind w:left="113"/>
            </w:pPr>
            <w:r>
              <w:t>Réunions de coordination annuelles</w:t>
            </w:r>
          </w:p>
          <w:p w14:paraId="409311D6" w14:textId="77777777" w:rsidR="00613523" w:rsidRPr="00C6096E" w:rsidRDefault="00613523" w:rsidP="00485CD8">
            <w:pPr>
              <w:pStyle w:val="TableParagraph"/>
              <w:ind w:left="113"/>
            </w:pPr>
          </w:p>
        </w:tc>
        <w:tc>
          <w:tcPr>
            <w:tcW w:w="2695" w:type="dxa"/>
            <w:tcBorders>
              <w:left w:val="single" w:sz="6" w:space="0" w:color="000000"/>
              <w:bottom w:val="single" w:sz="6" w:space="0" w:color="000000"/>
            </w:tcBorders>
          </w:tcPr>
          <w:p w14:paraId="65201176" w14:textId="77777777" w:rsidR="00613523" w:rsidRDefault="00613523" w:rsidP="00485CD8">
            <w:pPr>
              <w:pStyle w:val="TableParagraph"/>
              <w:ind w:left="113"/>
              <w:rPr>
                <w:color w:val="000000" w:themeColor="text1"/>
              </w:rPr>
            </w:pPr>
          </w:p>
          <w:p w14:paraId="1A4ACA17" w14:textId="38188BFD" w:rsidR="00613523" w:rsidRPr="00FA6C85" w:rsidRDefault="00613523" w:rsidP="00485CD8">
            <w:pPr>
              <w:pStyle w:val="TableParagraph"/>
              <w:ind w:left="113"/>
              <w:rPr>
                <w:color w:val="000000" w:themeColor="text1"/>
              </w:rPr>
            </w:pPr>
            <w:r>
              <w:rPr>
                <w:color w:val="000000" w:themeColor="text1"/>
              </w:rPr>
              <w:t>1. Les coordonnateurs sont désignés selon le calendrier de mise en œuvre.</w:t>
            </w:r>
          </w:p>
          <w:p w14:paraId="42378F40" w14:textId="77777777" w:rsidR="00613523" w:rsidRPr="00FA6C85" w:rsidRDefault="00613523" w:rsidP="00485CD8">
            <w:pPr>
              <w:pStyle w:val="TableParagraph"/>
              <w:ind w:left="113"/>
              <w:rPr>
                <w:color w:val="000000" w:themeColor="text1"/>
              </w:rPr>
            </w:pPr>
          </w:p>
          <w:p w14:paraId="687F5B3F" w14:textId="20BF374A" w:rsidR="00613523" w:rsidRPr="00FA6C85" w:rsidRDefault="00613523" w:rsidP="00485CD8">
            <w:pPr>
              <w:pStyle w:val="TableParagraph"/>
              <w:ind w:left="113"/>
              <w:rPr>
                <w:color w:val="000000" w:themeColor="text1"/>
              </w:rPr>
            </w:pPr>
            <w:r>
              <w:rPr>
                <w:rStyle w:val="Aucun"/>
                <w:color w:val="000000" w:themeColor="text1"/>
              </w:rPr>
              <w:t>2. Des réunions sont organisées régulièrement et un suivi de la mise en œuvre est adopté.</w:t>
            </w:r>
          </w:p>
        </w:tc>
        <w:tc>
          <w:tcPr>
            <w:tcW w:w="3401" w:type="dxa"/>
          </w:tcPr>
          <w:p w14:paraId="78DC6749" w14:textId="77777777" w:rsidR="00613523" w:rsidRDefault="00613523" w:rsidP="00485CD8">
            <w:pPr>
              <w:pStyle w:val="TableParagraph"/>
              <w:ind w:left="113"/>
            </w:pPr>
          </w:p>
          <w:p w14:paraId="3A734ED6" w14:textId="47FBC02D" w:rsidR="00613523" w:rsidRPr="00FA6C85" w:rsidRDefault="00613523" w:rsidP="00485CD8">
            <w:pPr>
              <w:pStyle w:val="TableParagraph"/>
              <w:ind w:left="113"/>
              <w:rPr>
                <w:color w:val="000000" w:themeColor="text1"/>
              </w:rPr>
            </w:pPr>
            <w:r>
              <w:t>Pleinement atteint</w:t>
            </w:r>
            <w:r w:rsidR="007A316D">
              <w:t> :</w:t>
            </w:r>
            <w:r>
              <w:t xml:space="preserve"> des coordonnateurs du projet ont été désignés dans tous les pays bénéficiaires.</w:t>
            </w:r>
          </w:p>
          <w:p w14:paraId="74A43032" w14:textId="77777777" w:rsidR="00613523" w:rsidRDefault="00613523" w:rsidP="00485CD8">
            <w:pPr>
              <w:pStyle w:val="TableParagraph"/>
              <w:ind w:left="113"/>
              <w:rPr>
                <w:color w:val="000000" w:themeColor="text1"/>
              </w:rPr>
            </w:pPr>
          </w:p>
          <w:p w14:paraId="16921562" w14:textId="7D25E458" w:rsidR="00613523" w:rsidRPr="00FA6C85" w:rsidRDefault="00613523" w:rsidP="00485CD8">
            <w:pPr>
              <w:pStyle w:val="TableParagraph"/>
              <w:ind w:left="113"/>
              <w:rPr>
                <w:color w:val="000000" w:themeColor="text1"/>
              </w:rPr>
            </w:pPr>
            <w:r>
              <w:t>Pleinement atteint</w:t>
            </w:r>
            <w:r w:rsidR="007A316D">
              <w:t> :</w:t>
            </w:r>
            <w:r>
              <w:rPr>
                <w:color w:val="000000" w:themeColor="text1"/>
              </w:rPr>
              <w:t xml:space="preserve"> des réunions de coordination annuelles ont été tenues.</w:t>
            </w:r>
          </w:p>
        </w:tc>
        <w:tc>
          <w:tcPr>
            <w:tcW w:w="878" w:type="dxa"/>
          </w:tcPr>
          <w:p w14:paraId="7D4AFC35" w14:textId="77777777" w:rsidR="00613523" w:rsidRDefault="00613523" w:rsidP="00485CD8">
            <w:pPr>
              <w:pStyle w:val="TableParagraph"/>
              <w:jc w:val="center"/>
              <w:rPr>
                <w:color w:val="000000" w:themeColor="text1"/>
              </w:rPr>
            </w:pPr>
          </w:p>
          <w:p w14:paraId="40BA7284" w14:textId="77777777" w:rsidR="00613523" w:rsidRPr="00FA6C85" w:rsidRDefault="00613523" w:rsidP="00485CD8">
            <w:pPr>
              <w:pStyle w:val="TableParagraph"/>
              <w:jc w:val="center"/>
              <w:rPr>
                <w:color w:val="000000" w:themeColor="text1"/>
              </w:rPr>
            </w:pPr>
            <w:r>
              <w:rPr>
                <w:color w:val="000000" w:themeColor="text1"/>
              </w:rPr>
              <w:t>****</w:t>
            </w:r>
          </w:p>
          <w:p w14:paraId="4BC81622" w14:textId="77777777" w:rsidR="00613523" w:rsidRDefault="00613523" w:rsidP="00485CD8">
            <w:pPr>
              <w:pStyle w:val="TableParagraph"/>
              <w:rPr>
                <w:color w:val="000000" w:themeColor="text1"/>
              </w:rPr>
            </w:pPr>
          </w:p>
          <w:p w14:paraId="5605EA92" w14:textId="77777777" w:rsidR="00613523" w:rsidRPr="00FA6C85" w:rsidRDefault="00613523" w:rsidP="00485CD8">
            <w:pPr>
              <w:pStyle w:val="TableParagraph"/>
              <w:rPr>
                <w:color w:val="000000" w:themeColor="text1"/>
              </w:rPr>
            </w:pPr>
          </w:p>
          <w:p w14:paraId="3C04C32C" w14:textId="77777777" w:rsidR="00613523" w:rsidRPr="00FA6C85" w:rsidRDefault="00613523" w:rsidP="00485CD8">
            <w:pPr>
              <w:pStyle w:val="TableParagraph"/>
              <w:jc w:val="center"/>
              <w:rPr>
                <w:color w:val="000000" w:themeColor="text1"/>
              </w:rPr>
            </w:pPr>
          </w:p>
          <w:p w14:paraId="1DC04A8D" w14:textId="77777777" w:rsidR="00613523" w:rsidRDefault="00613523" w:rsidP="00485CD8">
            <w:pPr>
              <w:pStyle w:val="TableParagraph"/>
              <w:jc w:val="center"/>
              <w:rPr>
                <w:color w:val="000000" w:themeColor="text1"/>
              </w:rPr>
            </w:pPr>
          </w:p>
          <w:p w14:paraId="74F8B559" w14:textId="77777777" w:rsidR="00613523" w:rsidRPr="00FA6C85" w:rsidRDefault="00613523" w:rsidP="00485CD8">
            <w:pPr>
              <w:pStyle w:val="TableParagraph"/>
              <w:jc w:val="center"/>
              <w:rPr>
                <w:color w:val="000000" w:themeColor="text1"/>
              </w:rPr>
            </w:pPr>
            <w:r>
              <w:rPr>
                <w:color w:val="000000" w:themeColor="text1"/>
              </w:rPr>
              <w:t>****</w:t>
            </w:r>
          </w:p>
        </w:tc>
      </w:tr>
      <w:tr w:rsidR="00613523" w:rsidRPr="00C6096E" w14:paraId="46978AB2" w14:textId="77777777" w:rsidTr="00485CD8">
        <w:trPr>
          <w:trHeight w:val="510"/>
        </w:trPr>
        <w:tc>
          <w:tcPr>
            <w:tcW w:w="2520" w:type="dxa"/>
            <w:tcBorders>
              <w:right w:val="single" w:sz="6" w:space="0" w:color="000000"/>
            </w:tcBorders>
          </w:tcPr>
          <w:p w14:paraId="5997B462" w14:textId="77777777" w:rsidR="00613523" w:rsidRDefault="00613523" w:rsidP="00485CD8">
            <w:pPr>
              <w:pStyle w:val="TableParagraph"/>
              <w:ind w:left="113"/>
            </w:pPr>
          </w:p>
          <w:p w14:paraId="1417CCF3" w14:textId="0E6A9260" w:rsidR="00613523" w:rsidRPr="00C6096E" w:rsidRDefault="00613523" w:rsidP="008705EB">
            <w:pPr>
              <w:pStyle w:val="TableParagraph"/>
              <w:ind w:left="113"/>
            </w:pPr>
            <w:r>
              <w:t>Étude exploratoire</w:t>
            </w:r>
          </w:p>
        </w:tc>
        <w:tc>
          <w:tcPr>
            <w:tcW w:w="2695" w:type="dxa"/>
            <w:tcBorders>
              <w:top w:val="single" w:sz="6" w:space="0" w:color="000000"/>
              <w:left w:val="single" w:sz="6" w:space="0" w:color="000000"/>
              <w:bottom w:val="single" w:sz="6" w:space="0" w:color="000000"/>
            </w:tcBorders>
          </w:tcPr>
          <w:p w14:paraId="701E3E79" w14:textId="77777777" w:rsidR="00613523" w:rsidRDefault="00613523" w:rsidP="00485CD8">
            <w:pPr>
              <w:pStyle w:val="TableParagraph"/>
              <w:ind w:left="113"/>
            </w:pPr>
          </w:p>
          <w:p w14:paraId="534F8AA3" w14:textId="62B8C535" w:rsidR="00613523" w:rsidRDefault="00613523" w:rsidP="00485CD8">
            <w:pPr>
              <w:pStyle w:val="TableParagraph"/>
              <w:ind w:left="113"/>
            </w:pPr>
            <w:r>
              <w:t>1. Les besoins des pays bénéficiaires sont précisés par l</w:t>
            </w:r>
            <w:r w:rsidR="007A316D">
              <w:t>’</w:t>
            </w:r>
            <w:r>
              <w:t>étude exploratoire.</w:t>
            </w:r>
          </w:p>
          <w:p w14:paraId="2D867199" w14:textId="307C6E3F" w:rsidR="00613523" w:rsidRDefault="00613523" w:rsidP="00485CD8">
            <w:pPr>
              <w:pStyle w:val="TableParagraph"/>
              <w:ind w:left="113"/>
            </w:pPr>
          </w:p>
          <w:p w14:paraId="44E8C28D" w14:textId="77777777" w:rsidR="008705EB" w:rsidRDefault="008705EB" w:rsidP="00485CD8">
            <w:pPr>
              <w:pStyle w:val="TableParagraph"/>
              <w:ind w:left="113"/>
            </w:pPr>
          </w:p>
          <w:p w14:paraId="19C0C104" w14:textId="77777777" w:rsidR="00613523" w:rsidRDefault="00613523" w:rsidP="00485CD8">
            <w:pPr>
              <w:pStyle w:val="TableParagraph"/>
              <w:ind w:left="113"/>
            </w:pPr>
          </w:p>
          <w:p w14:paraId="12B98668" w14:textId="65726C5A" w:rsidR="00613523" w:rsidRDefault="00613523" w:rsidP="00485CD8">
            <w:pPr>
              <w:pStyle w:val="TableParagraph"/>
              <w:ind w:left="113"/>
            </w:pPr>
            <w:r>
              <w:t>2. L</w:t>
            </w:r>
            <w:r w:rsidR="007A316D">
              <w:t>’</w:t>
            </w:r>
            <w:r>
              <w:t>étude est approuvée par les pays bénéficiaires.</w:t>
            </w:r>
          </w:p>
          <w:p w14:paraId="7265EFFC" w14:textId="77777777" w:rsidR="00613523" w:rsidRPr="00C6096E" w:rsidRDefault="00613523" w:rsidP="00485CD8">
            <w:pPr>
              <w:pStyle w:val="TableParagraph"/>
              <w:ind w:left="113"/>
            </w:pPr>
          </w:p>
        </w:tc>
        <w:tc>
          <w:tcPr>
            <w:tcW w:w="3401" w:type="dxa"/>
          </w:tcPr>
          <w:p w14:paraId="4BB49D31" w14:textId="77777777" w:rsidR="00613523" w:rsidRDefault="00613523" w:rsidP="00485CD8">
            <w:pPr>
              <w:pStyle w:val="TableParagraph"/>
              <w:ind w:left="113"/>
            </w:pPr>
          </w:p>
          <w:p w14:paraId="6AFF4A5F" w14:textId="6BA64BB9" w:rsidR="00613523" w:rsidRPr="002961B6" w:rsidRDefault="00613523" w:rsidP="00485CD8">
            <w:pPr>
              <w:pStyle w:val="TableParagraph"/>
              <w:ind w:left="113"/>
            </w:pPr>
            <w:r>
              <w:t>Pleinement atteint</w:t>
            </w:r>
            <w:r w:rsidR="007A316D">
              <w:t> :</w:t>
            </w:r>
            <w:r>
              <w:t xml:space="preserve"> une version préliminaire de l</w:t>
            </w:r>
            <w:r w:rsidR="007A316D">
              <w:t>’</w:t>
            </w:r>
            <w:r>
              <w:t>étude exploratoire a été soumise aux coordonnateurs en septembre 2022 pour examen et commentaires.</w:t>
            </w:r>
          </w:p>
          <w:p w14:paraId="5ED51C17" w14:textId="77777777" w:rsidR="00613523" w:rsidRDefault="00613523" w:rsidP="00485CD8">
            <w:pPr>
              <w:pStyle w:val="TableParagraph"/>
              <w:ind w:left="113"/>
              <w:rPr>
                <w:color w:val="000000" w:themeColor="text1"/>
              </w:rPr>
            </w:pPr>
          </w:p>
          <w:p w14:paraId="30A388AE" w14:textId="41C1232C" w:rsidR="00613523" w:rsidRDefault="00613523" w:rsidP="00485CD8">
            <w:pPr>
              <w:pStyle w:val="TableParagraph"/>
              <w:ind w:left="113"/>
              <w:rPr>
                <w:color w:val="000000" w:themeColor="text1"/>
              </w:rPr>
            </w:pPr>
            <w:r>
              <w:t>Pleinement atteint</w:t>
            </w:r>
            <w:r w:rsidR="007A316D">
              <w:t> :</w:t>
            </w:r>
            <w:r>
              <w:t xml:space="preserve"> </w:t>
            </w:r>
            <w:r>
              <w:rPr>
                <w:color w:val="000000" w:themeColor="text1"/>
              </w:rPr>
              <w:t>l</w:t>
            </w:r>
            <w:r w:rsidR="007A316D">
              <w:rPr>
                <w:color w:val="000000" w:themeColor="text1"/>
              </w:rPr>
              <w:t>’</w:t>
            </w:r>
            <w:r>
              <w:rPr>
                <w:color w:val="000000" w:themeColor="text1"/>
              </w:rPr>
              <w:t>étude exploratoire a été validée par tous les coordonnateurs en novembre 2022.</w:t>
            </w:r>
          </w:p>
          <w:p w14:paraId="0CBF4B63" w14:textId="77777777" w:rsidR="00613523" w:rsidRPr="00FA6C85" w:rsidRDefault="00613523" w:rsidP="00485CD8">
            <w:pPr>
              <w:pStyle w:val="TableParagraph"/>
              <w:ind w:left="113"/>
              <w:rPr>
                <w:color w:val="000000" w:themeColor="text1"/>
              </w:rPr>
            </w:pPr>
          </w:p>
        </w:tc>
        <w:tc>
          <w:tcPr>
            <w:tcW w:w="878" w:type="dxa"/>
          </w:tcPr>
          <w:p w14:paraId="21BBD614" w14:textId="77777777" w:rsidR="00613523" w:rsidRPr="00FA6C85" w:rsidRDefault="00613523" w:rsidP="00485CD8">
            <w:pPr>
              <w:pStyle w:val="TableParagraph"/>
              <w:rPr>
                <w:color w:val="000000" w:themeColor="text1"/>
              </w:rPr>
            </w:pPr>
          </w:p>
          <w:p w14:paraId="3E109130" w14:textId="77777777" w:rsidR="00613523" w:rsidRPr="00FA6C85" w:rsidRDefault="00613523" w:rsidP="00485CD8">
            <w:pPr>
              <w:pStyle w:val="TableParagraph"/>
              <w:jc w:val="center"/>
              <w:rPr>
                <w:color w:val="000000" w:themeColor="text1"/>
              </w:rPr>
            </w:pPr>
            <w:r>
              <w:rPr>
                <w:color w:val="000000" w:themeColor="text1"/>
              </w:rPr>
              <w:t>****</w:t>
            </w:r>
          </w:p>
          <w:p w14:paraId="1C9EA2B3" w14:textId="77777777" w:rsidR="00613523" w:rsidRPr="00FA6C85" w:rsidRDefault="00613523" w:rsidP="00485CD8">
            <w:pPr>
              <w:pStyle w:val="TableParagraph"/>
              <w:jc w:val="center"/>
              <w:rPr>
                <w:color w:val="000000" w:themeColor="text1"/>
              </w:rPr>
            </w:pPr>
          </w:p>
          <w:p w14:paraId="0CD472B7" w14:textId="77777777" w:rsidR="00613523" w:rsidRPr="00FA6C85" w:rsidRDefault="00613523" w:rsidP="00485CD8">
            <w:pPr>
              <w:pStyle w:val="TableParagraph"/>
              <w:jc w:val="center"/>
              <w:rPr>
                <w:color w:val="000000" w:themeColor="text1"/>
              </w:rPr>
            </w:pPr>
          </w:p>
          <w:p w14:paraId="4D41871C" w14:textId="77777777" w:rsidR="00613523" w:rsidRDefault="00613523" w:rsidP="00485CD8">
            <w:pPr>
              <w:pStyle w:val="TableParagraph"/>
              <w:jc w:val="center"/>
              <w:rPr>
                <w:color w:val="000000" w:themeColor="text1"/>
              </w:rPr>
            </w:pPr>
          </w:p>
          <w:p w14:paraId="65E91297" w14:textId="77777777" w:rsidR="00613523" w:rsidRPr="00FA6C85" w:rsidRDefault="00613523" w:rsidP="00485CD8">
            <w:pPr>
              <w:pStyle w:val="TableParagraph"/>
              <w:jc w:val="center"/>
              <w:rPr>
                <w:color w:val="000000" w:themeColor="text1"/>
              </w:rPr>
            </w:pPr>
          </w:p>
          <w:p w14:paraId="397B0765" w14:textId="77777777" w:rsidR="00613523" w:rsidRPr="00FA6C85" w:rsidRDefault="00613523" w:rsidP="00485CD8">
            <w:pPr>
              <w:pStyle w:val="TableParagraph"/>
              <w:jc w:val="center"/>
              <w:rPr>
                <w:color w:val="000000" w:themeColor="text1"/>
              </w:rPr>
            </w:pPr>
          </w:p>
          <w:p w14:paraId="3FD76DAE" w14:textId="77777777" w:rsidR="00613523" w:rsidRPr="00FA6C85" w:rsidRDefault="00613523" w:rsidP="00485CD8">
            <w:pPr>
              <w:pStyle w:val="TableParagraph"/>
              <w:jc w:val="center"/>
              <w:rPr>
                <w:color w:val="000000" w:themeColor="text1"/>
              </w:rPr>
            </w:pPr>
            <w:r>
              <w:rPr>
                <w:color w:val="000000" w:themeColor="text1"/>
              </w:rPr>
              <w:t>****</w:t>
            </w:r>
          </w:p>
        </w:tc>
      </w:tr>
      <w:tr w:rsidR="00613523" w:rsidRPr="00C6096E" w14:paraId="01D88AF4" w14:textId="77777777" w:rsidTr="00485CD8">
        <w:trPr>
          <w:trHeight w:val="510"/>
        </w:trPr>
        <w:tc>
          <w:tcPr>
            <w:tcW w:w="2520" w:type="dxa"/>
            <w:tcBorders>
              <w:right w:val="single" w:sz="6" w:space="0" w:color="000000"/>
            </w:tcBorders>
          </w:tcPr>
          <w:p w14:paraId="3EB0AA60" w14:textId="77777777" w:rsidR="00613523" w:rsidRDefault="00613523" w:rsidP="00485CD8">
            <w:pPr>
              <w:pStyle w:val="TableParagraph"/>
              <w:ind w:left="113"/>
            </w:pPr>
          </w:p>
          <w:p w14:paraId="1A850B4E" w14:textId="7DAD631A" w:rsidR="00613523" w:rsidRDefault="00613523" w:rsidP="00485CD8">
            <w:pPr>
              <w:pStyle w:val="TableParagraph"/>
              <w:ind w:left="113"/>
            </w:pPr>
            <w:r>
              <w:t>Quatre ateliers sous</w:t>
            </w:r>
            <w:r w:rsidR="007A316D">
              <w:t>-</w:t>
            </w:r>
            <w:r>
              <w:t>régionaux</w:t>
            </w:r>
          </w:p>
          <w:p w14:paraId="7D0F6E6C" w14:textId="77777777" w:rsidR="00613523" w:rsidRDefault="00613523" w:rsidP="00485CD8">
            <w:pPr>
              <w:pStyle w:val="TableParagraph"/>
              <w:ind w:left="113"/>
            </w:pPr>
          </w:p>
        </w:tc>
        <w:tc>
          <w:tcPr>
            <w:tcW w:w="2695" w:type="dxa"/>
            <w:tcBorders>
              <w:top w:val="single" w:sz="6" w:space="0" w:color="000000"/>
              <w:left w:val="single" w:sz="6" w:space="0" w:color="000000"/>
              <w:bottom w:val="single" w:sz="6" w:space="0" w:color="000000"/>
            </w:tcBorders>
          </w:tcPr>
          <w:p w14:paraId="540C2330" w14:textId="77777777" w:rsidR="00613523" w:rsidRDefault="00613523" w:rsidP="00485CD8">
            <w:pPr>
              <w:pStyle w:val="TableParagraph"/>
              <w:ind w:left="113"/>
            </w:pPr>
          </w:p>
          <w:p w14:paraId="70AECF50" w14:textId="71B39A53" w:rsidR="00613523" w:rsidRDefault="00613523" w:rsidP="00485CD8">
            <w:pPr>
              <w:pStyle w:val="TableParagraph"/>
              <w:ind w:left="113"/>
            </w:pPr>
            <w:r>
              <w:t>1. Présentation d</w:t>
            </w:r>
            <w:r w:rsidR="007A316D">
              <w:t>’</w:t>
            </w:r>
            <w:r>
              <w:t>un comparatif de pratiques recommandées</w:t>
            </w:r>
          </w:p>
          <w:p w14:paraId="7D5418F5" w14:textId="77777777" w:rsidR="00613523" w:rsidRDefault="00613523" w:rsidP="00485CD8">
            <w:pPr>
              <w:pStyle w:val="TableParagraph"/>
            </w:pPr>
          </w:p>
          <w:p w14:paraId="68A033E2" w14:textId="77777777" w:rsidR="008705EB" w:rsidRDefault="008705EB" w:rsidP="00485CD8">
            <w:pPr>
              <w:pStyle w:val="TableParagraph"/>
            </w:pPr>
          </w:p>
          <w:p w14:paraId="650CDAD7" w14:textId="77777777" w:rsidR="008705EB" w:rsidRDefault="008705EB" w:rsidP="00485CD8">
            <w:pPr>
              <w:pStyle w:val="TableParagraph"/>
            </w:pPr>
          </w:p>
          <w:p w14:paraId="258CA7AC" w14:textId="77777777" w:rsidR="008705EB" w:rsidRDefault="008705EB" w:rsidP="00485CD8">
            <w:pPr>
              <w:pStyle w:val="TableParagraph"/>
            </w:pPr>
          </w:p>
          <w:p w14:paraId="1F118709" w14:textId="77777777" w:rsidR="008705EB" w:rsidRDefault="008705EB" w:rsidP="00485CD8">
            <w:pPr>
              <w:pStyle w:val="TableParagraph"/>
            </w:pPr>
          </w:p>
          <w:p w14:paraId="144E827E" w14:textId="77777777" w:rsidR="008705EB" w:rsidRDefault="008705EB" w:rsidP="00485CD8">
            <w:pPr>
              <w:pStyle w:val="TableParagraph"/>
            </w:pPr>
          </w:p>
          <w:p w14:paraId="3A818BE8" w14:textId="77777777" w:rsidR="008705EB" w:rsidRDefault="008705EB" w:rsidP="00485CD8">
            <w:pPr>
              <w:pStyle w:val="TableParagraph"/>
            </w:pPr>
          </w:p>
          <w:p w14:paraId="1E4E7A99" w14:textId="123455FF" w:rsidR="00613523" w:rsidRPr="00C6096E" w:rsidRDefault="00613523" w:rsidP="00485CD8">
            <w:pPr>
              <w:pStyle w:val="TableParagraph"/>
              <w:ind w:left="113"/>
            </w:pPr>
            <w:r>
              <w:t>2. Élaboration de dispositions contractuelles types</w:t>
            </w:r>
          </w:p>
        </w:tc>
        <w:tc>
          <w:tcPr>
            <w:tcW w:w="3401" w:type="dxa"/>
          </w:tcPr>
          <w:p w14:paraId="43C20258" w14:textId="77777777" w:rsidR="00613523" w:rsidRDefault="00613523" w:rsidP="00485CD8">
            <w:pPr>
              <w:pStyle w:val="TableParagraph"/>
              <w:ind w:left="113"/>
            </w:pPr>
          </w:p>
          <w:p w14:paraId="104FE402" w14:textId="1F695BAE" w:rsidR="007A316D" w:rsidRDefault="00613523" w:rsidP="00485CD8">
            <w:pPr>
              <w:pStyle w:val="TableParagraph"/>
              <w:ind w:left="113"/>
              <w:rPr>
                <w:color w:val="000000" w:themeColor="text1"/>
              </w:rPr>
            </w:pPr>
            <w:r>
              <w:t>Pleinement atteint</w:t>
            </w:r>
            <w:r w:rsidR="007A316D">
              <w:t> :</w:t>
            </w:r>
            <w:r>
              <w:rPr>
                <w:color w:val="000000" w:themeColor="text1"/>
              </w:rPr>
              <w:t xml:space="preserve"> le premier atelier a été organisé à Abidjan (Côte d</w:t>
            </w:r>
            <w:r w:rsidR="007A316D">
              <w:rPr>
                <w:color w:val="000000" w:themeColor="text1"/>
              </w:rPr>
              <w:t>’</w:t>
            </w:r>
            <w:r>
              <w:rPr>
                <w:color w:val="000000" w:themeColor="text1"/>
              </w:rPr>
              <w:t>Ivoire) en juin 2023.  Le deuxième atelier national s</w:t>
            </w:r>
            <w:r w:rsidR="007A316D">
              <w:rPr>
                <w:color w:val="000000" w:themeColor="text1"/>
              </w:rPr>
              <w:t>’</w:t>
            </w:r>
            <w:r>
              <w:rPr>
                <w:color w:val="000000" w:themeColor="text1"/>
              </w:rPr>
              <w:t>est tenu au Bénin, en avril 2024.  Le troisième atelier national a eu lieu au Togo, en novembre 2024.  Le quatrième atelier national s</w:t>
            </w:r>
            <w:r w:rsidR="007A316D">
              <w:rPr>
                <w:color w:val="000000" w:themeColor="text1"/>
              </w:rPr>
              <w:t>’</w:t>
            </w:r>
            <w:r>
              <w:rPr>
                <w:color w:val="000000" w:themeColor="text1"/>
              </w:rPr>
              <w:t>est tenu au Sénégal, en mai 2025.</w:t>
            </w:r>
          </w:p>
          <w:p w14:paraId="3CDBD859" w14:textId="14AB7262" w:rsidR="00613523" w:rsidRDefault="00613523" w:rsidP="00485CD8">
            <w:pPr>
              <w:pStyle w:val="TableParagraph"/>
              <w:ind w:left="113"/>
              <w:rPr>
                <w:color w:val="000000" w:themeColor="text1"/>
              </w:rPr>
            </w:pPr>
          </w:p>
          <w:p w14:paraId="59079C42" w14:textId="77777777" w:rsidR="00613523" w:rsidRDefault="00613523" w:rsidP="00485CD8">
            <w:pPr>
              <w:pStyle w:val="TableParagraph"/>
              <w:ind w:left="113"/>
              <w:rPr>
                <w:color w:val="000000" w:themeColor="text1"/>
              </w:rPr>
            </w:pPr>
            <w:r>
              <w:rPr>
                <w:color w:val="000000" w:themeColor="text1"/>
              </w:rPr>
              <w:t>Les ateliers comprenaient des formations et des discussions autour du comparatif de pratiques recommandées, ainsi que sur les contrats et les dispositions contractuelles types.</w:t>
            </w:r>
          </w:p>
          <w:p w14:paraId="14026639" w14:textId="77777777" w:rsidR="00613523" w:rsidRPr="00824A0F" w:rsidRDefault="00613523" w:rsidP="00485CD8">
            <w:pPr>
              <w:pStyle w:val="TableParagraph"/>
              <w:ind w:left="113"/>
              <w:rPr>
                <w:color w:val="000000" w:themeColor="text1"/>
              </w:rPr>
            </w:pPr>
          </w:p>
        </w:tc>
        <w:tc>
          <w:tcPr>
            <w:tcW w:w="878" w:type="dxa"/>
          </w:tcPr>
          <w:p w14:paraId="3B184ECE" w14:textId="77777777" w:rsidR="00613523" w:rsidRPr="00824A0F" w:rsidRDefault="00613523" w:rsidP="00485CD8">
            <w:pPr>
              <w:pStyle w:val="TableParagraph"/>
              <w:jc w:val="center"/>
              <w:rPr>
                <w:color w:val="000000" w:themeColor="text1"/>
              </w:rPr>
            </w:pPr>
          </w:p>
          <w:p w14:paraId="2E941439" w14:textId="77777777" w:rsidR="00613523" w:rsidRPr="00824A0F" w:rsidRDefault="00613523" w:rsidP="00485CD8">
            <w:pPr>
              <w:pStyle w:val="TableParagraph"/>
              <w:jc w:val="center"/>
              <w:rPr>
                <w:color w:val="000000" w:themeColor="text1"/>
              </w:rPr>
            </w:pPr>
            <w:r>
              <w:rPr>
                <w:color w:val="000000" w:themeColor="text1"/>
              </w:rPr>
              <w:t>****</w:t>
            </w:r>
          </w:p>
        </w:tc>
      </w:tr>
      <w:tr w:rsidR="00613523" w:rsidRPr="00C6096E" w14:paraId="562956D1" w14:textId="77777777" w:rsidTr="00485CD8">
        <w:trPr>
          <w:trHeight w:val="510"/>
        </w:trPr>
        <w:tc>
          <w:tcPr>
            <w:tcW w:w="2520" w:type="dxa"/>
            <w:tcBorders>
              <w:right w:val="single" w:sz="6" w:space="0" w:color="000000"/>
            </w:tcBorders>
          </w:tcPr>
          <w:p w14:paraId="6B57679D"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132EDBFD" w14:textId="77777777" w:rsidR="00613523" w:rsidRDefault="00613523" w:rsidP="00485CD8">
            <w:pPr>
              <w:pStyle w:val="TableParagraph"/>
              <w:ind w:left="113"/>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Dialogue intersectoriel de la filière musicale – appui à la mise en œuvre des textes législatifs</w:t>
            </w:r>
          </w:p>
          <w:p w14:paraId="07BA3D53"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0ECF466A" w14:textId="77777777" w:rsidR="00613523" w:rsidRDefault="00613523" w:rsidP="00485CD8">
            <w:pPr>
              <w:pStyle w:val="TableParagraph"/>
              <w:ind w:left="113"/>
            </w:pPr>
          </w:p>
        </w:tc>
        <w:tc>
          <w:tcPr>
            <w:tcW w:w="2695" w:type="dxa"/>
            <w:tcBorders>
              <w:top w:val="single" w:sz="6" w:space="0" w:color="000000"/>
              <w:left w:val="single" w:sz="6" w:space="0" w:color="000000"/>
              <w:bottom w:val="single" w:sz="6" w:space="0" w:color="000000"/>
            </w:tcBorders>
          </w:tcPr>
          <w:p w14:paraId="40CCF8E5" w14:textId="77777777" w:rsidR="00613523" w:rsidRDefault="00613523" w:rsidP="00485CD8">
            <w:pPr>
              <w:pStyle w:val="TableParagraph"/>
              <w:ind w:left="113"/>
            </w:pPr>
          </w:p>
          <w:p w14:paraId="12753F5D" w14:textId="7CD3C437" w:rsidR="00613523" w:rsidRDefault="00613523" w:rsidP="00485CD8">
            <w:pPr>
              <w:pStyle w:val="TableParagraph"/>
              <w:ind w:left="113"/>
            </w:pPr>
            <w:r>
              <w:t>1. Les parties prenantes sont recensées et participent aux réunions.</w:t>
            </w:r>
          </w:p>
          <w:p w14:paraId="370C81EA" w14:textId="77777777" w:rsidR="00613523" w:rsidRDefault="00613523" w:rsidP="00485CD8">
            <w:pPr>
              <w:pStyle w:val="TableParagraph"/>
              <w:ind w:left="113"/>
            </w:pPr>
          </w:p>
          <w:p w14:paraId="53FC0D62" w14:textId="77777777" w:rsidR="008705EB" w:rsidRDefault="008705EB" w:rsidP="00485CD8">
            <w:pPr>
              <w:pStyle w:val="TableParagraph"/>
              <w:ind w:left="113"/>
            </w:pPr>
          </w:p>
          <w:p w14:paraId="44DF701E" w14:textId="77777777" w:rsidR="008705EB" w:rsidRDefault="008705EB" w:rsidP="00485CD8">
            <w:pPr>
              <w:pStyle w:val="TableParagraph"/>
              <w:ind w:left="113"/>
            </w:pPr>
          </w:p>
          <w:p w14:paraId="75E0D182" w14:textId="631B751A" w:rsidR="00613523" w:rsidRDefault="00613523" w:rsidP="00485CD8">
            <w:pPr>
              <w:pStyle w:val="TableParagraph"/>
              <w:ind w:left="113"/>
            </w:pPr>
            <w:r>
              <w:t>2. Les textes sont mis en vigueur dans au moins trois pays.</w:t>
            </w:r>
          </w:p>
          <w:p w14:paraId="4CD270D2" w14:textId="77777777" w:rsidR="00613523" w:rsidRDefault="00613523" w:rsidP="00485CD8">
            <w:pPr>
              <w:pStyle w:val="TableParagraph"/>
              <w:ind w:left="113"/>
            </w:pPr>
          </w:p>
          <w:p w14:paraId="1DAD8070" w14:textId="77777777" w:rsidR="008705EB" w:rsidRDefault="008705EB" w:rsidP="00485CD8">
            <w:pPr>
              <w:pStyle w:val="TableParagraph"/>
              <w:ind w:left="113"/>
            </w:pPr>
          </w:p>
          <w:p w14:paraId="3A85E1F2" w14:textId="77777777" w:rsidR="008705EB" w:rsidRDefault="008705EB" w:rsidP="00485CD8">
            <w:pPr>
              <w:pStyle w:val="TableParagraph"/>
              <w:ind w:left="113"/>
            </w:pPr>
          </w:p>
          <w:p w14:paraId="709DE35E" w14:textId="77777777" w:rsidR="008705EB" w:rsidRDefault="008705EB" w:rsidP="00485CD8">
            <w:pPr>
              <w:pStyle w:val="TableParagraph"/>
              <w:ind w:left="113"/>
            </w:pPr>
          </w:p>
          <w:p w14:paraId="403F0739" w14:textId="2F6861DB" w:rsidR="00613523" w:rsidRPr="00C6096E" w:rsidRDefault="00613523" w:rsidP="00485CD8">
            <w:pPr>
              <w:pStyle w:val="TableParagraph"/>
              <w:ind w:left="113"/>
            </w:pPr>
            <w:r>
              <w:t>3. Les conditions de mise en place d</w:t>
            </w:r>
            <w:r w:rsidR="007A316D">
              <w:t>’</w:t>
            </w:r>
            <w:r>
              <w:t>une stratégie pour la coopération sous</w:t>
            </w:r>
            <w:r w:rsidR="007A316D">
              <w:t>-</w:t>
            </w:r>
            <w:r>
              <w:t>régionale sont définies.</w:t>
            </w:r>
          </w:p>
        </w:tc>
        <w:tc>
          <w:tcPr>
            <w:tcW w:w="3401" w:type="dxa"/>
          </w:tcPr>
          <w:p w14:paraId="4D04F4DE" w14:textId="77777777" w:rsidR="00613523" w:rsidRDefault="00613523" w:rsidP="00485CD8">
            <w:pPr>
              <w:pStyle w:val="TableParagraph"/>
              <w:ind w:left="113"/>
            </w:pPr>
          </w:p>
          <w:p w14:paraId="6C0280D3" w14:textId="635C0BDF" w:rsidR="007A316D" w:rsidRDefault="00613523" w:rsidP="00485CD8">
            <w:pPr>
              <w:pStyle w:val="TableParagraph"/>
              <w:ind w:left="113"/>
              <w:rPr>
                <w:color w:val="000000" w:themeColor="text1"/>
              </w:rPr>
            </w:pPr>
            <w:r>
              <w:t>Pleinement atteint</w:t>
            </w:r>
            <w:r w:rsidR="007A316D">
              <w:t> :</w:t>
            </w:r>
          </w:p>
          <w:p w14:paraId="7E8A5C07" w14:textId="25453B59" w:rsidR="00613523" w:rsidRDefault="00613523" w:rsidP="00485CD8">
            <w:pPr>
              <w:pStyle w:val="TableParagraph"/>
              <w:ind w:left="113"/>
              <w:rPr>
                <w:color w:val="000000" w:themeColor="text1"/>
              </w:rPr>
            </w:pPr>
            <w:proofErr w:type="gramStart"/>
            <w:r>
              <w:rPr>
                <w:color w:val="000000" w:themeColor="text1"/>
              </w:rPr>
              <w:t>un</w:t>
            </w:r>
            <w:proofErr w:type="gramEnd"/>
            <w:r>
              <w:rPr>
                <w:color w:val="000000" w:themeColor="text1"/>
              </w:rPr>
              <w:t xml:space="preserve"> dialogue a été établi au cours de la première réunion annuelle de coordination, en novembre 2022.</w:t>
            </w:r>
          </w:p>
          <w:p w14:paraId="63EAE25D" w14:textId="77777777" w:rsidR="007A316D" w:rsidRDefault="007A316D" w:rsidP="00485CD8">
            <w:pPr>
              <w:pStyle w:val="TableParagraph"/>
              <w:ind w:left="113"/>
              <w:rPr>
                <w:color w:val="000000" w:themeColor="text1"/>
              </w:rPr>
            </w:pPr>
          </w:p>
          <w:p w14:paraId="2BD8EF45" w14:textId="469B61A9" w:rsidR="00613523" w:rsidRDefault="00613523" w:rsidP="00485CD8">
            <w:pPr>
              <w:pStyle w:val="TableParagraph"/>
              <w:ind w:left="113"/>
              <w:rPr>
                <w:color w:val="000000" w:themeColor="text1"/>
              </w:rPr>
            </w:pPr>
            <w:r>
              <w:rPr>
                <w:color w:val="000000" w:themeColor="text1"/>
              </w:rPr>
              <w:t>Il s</w:t>
            </w:r>
            <w:r w:rsidR="007A316D">
              <w:rPr>
                <w:color w:val="000000" w:themeColor="text1"/>
              </w:rPr>
              <w:t>’</w:t>
            </w:r>
            <w:r>
              <w:rPr>
                <w:color w:val="000000" w:themeColor="text1"/>
              </w:rPr>
              <w:t>est poursuivi en juin 2023 dans le cadre du premier atelier national et de la réunion avec les organisations de gestion collective, donnant lieu à un échange intersectoriel.</w:t>
            </w:r>
          </w:p>
          <w:p w14:paraId="3C5FF7D8" w14:textId="77777777" w:rsidR="00613523" w:rsidRDefault="00613523" w:rsidP="00485CD8">
            <w:pPr>
              <w:pStyle w:val="TableParagraph"/>
              <w:ind w:left="113"/>
              <w:rPr>
                <w:color w:val="000000" w:themeColor="text1"/>
              </w:rPr>
            </w:pPr>
          </w:p>
          <w:p w14:paraId="48B3E1C6" w14:textId="77777777" w:rsidR="00613523" w:rsidRDefault="00613523" w:rsidP="00485CD8">
            <w:pPr>
              <w:pStyle w:val="TableParagraph"/>
              <w:ind w:left="113"/>
              <w:rPr>
                <w:color w:val="000000" w:themeColor="text1"/>
              </w:rPr>
            </w:pPr>
            <w:r>
              <w:rPr>
                <w:color w:val="000000" w:themeColor="text1"/>
              </w:rPr>
              <w:t>Un questionnaire sur les monographies a été rempli par les pays bénéficiaires.</w:t>
            </w:r>
          </w:p>
          <w:p w14:paraId="37E94DA2" w14:textId="77777777" w:rsidR="00613523" w:rsidRDefault="00613523" w:rsidP="00485CD8">
            <w:pPr>
              <w:pStyle w:val="TableParagraph"/>
              <w:ind w:left="113"/>
              <w:rPr>
                <w:color w:val="000000" w:themeColor="text1"/>
              </w:rPr>
            </w:pPr>
          </w:p>
          <w:p w14:paraId="0C541E7D" w14:textId="77777777" w:rsidR="00613523" w:rsidRDefault="00613523" w:rsidP="00485CD8">
            <w:pPr>
              <w:pStyle w:val="TableParagraph"/>
              <w:ind w:left="113"/>
              <w:rPr>
                <w:color w:val="000000" w:themeColor="text1"/>
              </w:rPr>
            </w:pPr>
            <w:r>
              <w:rPr>
                <w:color w:val="000000" w:themeColor="text1"/>
              </w:rPr>
              <w:t>Des dialogues intersectoriels se sont tenus lors du deuxième atelier national au Bénin, en avril 2024, lors du troisième atelier national au Togo, en novembre 2024 et lors du quatrième atelier national au Sénégal, en mai 2025.</w:t>
            </w:r>
          </w:p>
          <w:p w14:paraId="122264B3" w14:textId="77777777" w:rsidR="00613523" w:rsidRPr="00824A0F" w:rsidRDefault="00613523" w:rsidP="00485CD8">
            <w:pPr>
              <w:pStyle w:val="TableParagraph"/>
              <w:ind w:left="113"/>
              <w:rPr>
                <w:color w:val="000000" w:themeColor="text1"/>
              </w:rPr>
            </w:pPr>
          </w:p>
        </w:tc>
        <w:tc>
          <w:tcPr>
            <w:tcW w:w="878" w:type="dxa"/>
          </w:tcPr>
          <w:p w14:paraId="4C7DDED9" w14:textId="77777777" w:rsidR="00613523" w:rsidRPr="00824A0F" w:rsidRDefault="00613523" w:rsidP="00485CD8">
            <w:pPr>
              <w:pStyle w:val="TableParagraph"/>
              <w:jc w:val="center"/>
              <w:rPr>
                <w:color w:val="000000" w:themeColor="text1"/>
              </w:rPr>
            </w:pPr>
          </w:p>
          <w:p w14:paraId="13DB110A" w14:textId="77777777" w:rsidR="00613523" w:rsidRPr="00824A0F" w:rsidRDefault="00613523" w:rsidP="00485CD8">
            <w:pPr>
              <w:pStyle w:val="TableParagraph"/>
              <w:jc w:val="center"/>
              <w:rPr>
                <w:color w:val="000000" w:themeColor="text1"/>
              </w:rPr>
            </w:pPr>
            <w:r>
              <w:rPr>
                <w:color w:val="000000" w:themeColor="text1"/>
              </w:rPr>
              <w:t>****</w:t>
            </w:r>
          </w:p>
        </w:tc>
      </w:tr>
      <w:tr w:rsidR="00613523" w:rsidRPr="00C6096E" w14:paraId="35ABDE4C" w14:textId="77777777" w:rsidTr="00485CD8">
        <w:trPr>
          <w:trHeight w:val="510"/>
        </w:trPr>
        <w:tc>
          <w:tcPr>
            <w:tcW w:w="2520" w:type="dxa"/>
            <w:tcBorders>
              <w:right w:val="single" w:sz="6" w:space="0" w:color="000000"/>
            </w:tcBorders>
          </w:tcPr>
          <w:p w14:paraId="0AF473E2"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5F0E646A" w14:textId="77777777" w:rsidR="00613523" w:rsidRDefault="00613523" w:rsidP="00485CD8">
            <w:pPr>
              <w:pStyle w:val="TableParagraph"/>
              <w:ind w:left="113"/>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Formation sur la gestion des droits dans chaque pays, notamment sur la copie privée</w:t>
            </w:r>
          </w:p>
          <w:p w14:paraId="462F2301"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5EB7CE" w14:textId="77777777" w:rsidR="00613523" w:rsidRDefault="00613523" w:rsidP="00485CD8">
            <w:pPr>
              <w:pStyle w:val="TableParagraph"/>
              <w:ind w:left="113"/>
            </w:pPr>
          </w:p>
          <w:p w14:paraId="61BE1687" w14:textId="527EC841" w:rsidR="00613523" w:rsidRDefault="00613523" w:rsidP="00485CD8">
            <w:pPr>
              <w:pStyle w:val="TableParagraph"/>
              <w:ind w:left="113"/>
            </w:pPr>
            <w:r>
              <w:t>1. Pourcentage de bénéficiaires (groupes d</w:t>
            </w:r>
            <w:r w:rsidR="007A316D">
              <w:t>’</w:t>
            </w:r>
            <w:r>
              <w:t>utilisateurs par pays) ayant évalué le contenu de manière positive</w:t>
            </w:r>
          </w:p>
          <w:p w14:paraId="547317D4" w14:textId="77777777" w:rsidR="00613523" w:rsidRDefault="00613523" w:rsidP="00485CD8">
            <w:pPr>
              <w:pStyle w:val="TableParagraph"/>
              <w:ind w:left="113"/>
            </w:pPr>
          </w:p>
          <w:p w14:paraId="5E65F13D" w14:textId="64D53A35" w:rsidR="00613523" w:rsidRDefault="00613523" w:rsidP="00485CD8">
            <w:pPr>
              <w:pStyle w:val="TableParagraph"/>
              <w:ind w:left="113"/>
            </w:pPr>
            <w:r>
              <w:t>2. Les outils et les formations sont mis en pratique par les bénéficiaires.</w:t>
            </w:r>
          </w:p>
          <w:p w14:paraId="07E4871B" w14:textId="77777777" w:rsidR="00613523" w:rsidRDefault="00613523" w:rsidP="00485CD8">
            <w:pPr>
              <w:pStyle w:val="TableParagraph"/>
              <w:ind w:left="113"/>
            </w:pPr>
          </w:p>
          <w:p w14:paraId="651FD765" w14:textId="6326DFDD" w:rsidR="00613523" w:rsidRDefault="00613523" w:rsidP="00485CD8">
            <w:pPr>
              <w:pStyle w:val="TableParagraph"/>
              <w:ind w:left="113"/>
            </w:pPr>
            <w:r>
              <w:t>3. Une coopération plus étroite entre bureaux est instituée sur la base d</w:t>
            </w:r>
            <w:r w:rsidR="007A316D">
              <w:t>’</w:t>
            </w:r>
            <w:r>
              <w:t>accords.</w:t>
            </w:r>
          </w:p>
        </w:tc>
        <w:tc>
          <w:tcPr>
            <w:tcW w:w="3401" w:type="dxa"/>
          </w:tcPr>
          <w:p w14:paraId="11972D90" w14:textId="77777777" w:rsidR="00613523" w:rsidRDefault="00613523" w:rsidP="00485CD8">
            <w:pPr>
              <w:pStyle w:val="TableParagraph"/>
              <w:ind w:left="113"/>
            </w:pPr>
          </w:p>
          <w:p w14:paraId="6FBBA80E" w14:textId="4186070F" w:rsidR="00613523" w:rsidRDefault="00613523" w:rsidP="00485CD8">
            <w:pPr>
              <w:pStyle w:val="TableParagraph"/>
              <w:ind w:left="113"/>
              <w:rPr>
                <w:color w:val="000000" w:themeColor="text1"/>
              </w:rPr>
            </w:pPr>
            <w:r>
              <w:t>Pleinement atteint</w:t>
            </w:r>
            <w:r w:rsidR="007A316D">
              <w:t> :</w:t>
            </w:r>
            <w:r>
              <w:rPr>
                <w:color w:val="000000" w:themeColor="text1"/>
              </w:rPr>
              <w:t xml:space="preserve"> cette formation a débuté en juin 2023 avec le premier atelier sur la conclusion de contrats et la concession de licences, et la réunion des organisations de gestion collective et des coordonnateurs, qui a aussi abordé les questions de la copie privée, de la conclusion de contrats et de la concession de licences, ainsi que des identifian</w:t>
            </w:r>
            <w:r w:rsidR="004766E0">
              <w:rPr>
                <w:color w:val="000000" w:themeColor="text1"/>
              </w:rPr>
              <w:t>ts</w:t>
            </w:r>
            <w:r w:rsidR="004766E0">
              <w:rPr>
                <w:color w:val="000000" w:themeColor="text1"/>
              </w:rPr>
              <w:t xml:space="preserve">.  </w:t>
            </w:r>
            <w:r w:rsidR="004766E0">
              <w:rPr>
                <w:color w:val="000000" w:themeColor="text1"/>
              </w:rPr>
              <w:t>Un</w:t>
            </w:r>
            <w:r>
              <w:rPr>
                <w:color w:val="000000" w:themeColor="text1"/>
              </w:rPr>
              <w:t>e formation à la gestion collective a également été incluse dans le deuxième atelier national organisé au Bénin en avril 2024, assortie d</w:t>
            </w:r>
            <w:r w:rsidR="007A316D">
              <w:rPr>
                <w:color w:val="000000" w:themeColor="text1"/>
              </w:rPr>
              <w:t>’</w:t>
            </w:r>
            <w:r>
              <w:rPr>
                <w:color w:val="000000" w:themeColor="text1"/>
              </w:rPr>
              <w:t>une réunion des organisations de gestion collecti</w:t>
            </w:r>
            <w:r w:rsidR="004766E0">
              <w:rPr>
                <w:color w:val="000000" w:themeColor="text1"/>
              </w:rPr>
              <w:t>ve</w:t>
            </w:r>
            <w:r w:rsidR="004766E0">
              <w:rPr>
                <w:color w:val="000000" w:themeColor="text1"/>
              </w:rPr>
              <w:t xml:space="preserve">.  </w:t>
            </w:r>
            <w:r w:rsidR="004766E0">
              <w:rPr>
                <w:color w:val="000000" w:themeColor="text1"/>
              </w:rPr>
              <w:t>Le</w:t>
            </w:r>
            <w:r>
              <w:rPr>
                <w:color w:val="000000" w:themeColor="text1"/>
              </w:rPr>
              <w:t xml:space="preserve"> troisième atelier national organisé au Togo en novembre 2024 et le quatrième atelier national organisé au Sénégal en 2025 comprenaient également des sessions sur la gestion collecti</w:t>
            </w:r>
            <w:r w:rsidR="004766E0">
              <w:rPr>
                <w:color w:val="000000" w:themeColor="text1"/>
              </w:rPr>
              <w:t>ve</w:t>
            </w:r>
            <w:r w:rsidR="004766E0">
              <w:rPr>
                <w:color w:val="000000" w:themeColor="text1"/>
              </w:rPr>
              <w:t xml:space="preserve">.  </w:t>
            </w:r>
            <w:r w:rsidR="004766E0">
              <w:rPr>
                <w:color w:val="000000" w:themeColor="text1"/>
              </w:rPr>
              <w:t>Le</w:t>
            </w:r>
            <w:r>
              <w:rPr>
                <w:color w:val="000000" w:themeColor="text1"/>
              </w:rPr>
              <w:t>s représentants des organisations de gestion collective des huit pays de l</w:t>
            </w:r>
            <w:r w:rsidR="007A316D">
              <w:rPr>
                <w:color w:val="000000" w:themeColor="text1"/>
              </w:rPr>
              <w:t>’</w:t>
            </w:r>
            <w:r>
              <w:rPr>
                <w:color w:val="000000" w:themeColor="text1"/>
              </w:rPr>
              <w:t>UEMOA ont participé à tous les ateliers mentionnés ci</w:t>
            </w:r>
            <w:r w:rsidR="007A316D">
              <w:rPr>
                <w:color w:val="000000" w:themeColor="text1"/>
              </w:rPr>
              <w:t>-</w:t>
            </w:r>
            <w:r>
              <w:rPr>
                <w:color w:val="000000" w:themeColor="text1"/>
              </w:rPr>
              <w:t>dessus.</w:t>
            </w:r>
          </w:p>
          <w:p w14:paraId="0D2B0A83" w14:textId="77777777" w:rsidR="00613523" w:rsidRPr="00824A0F" w:rsidRDefault="00613523" w:rsidP="00485CD8">
            <w:pPr>
              <w:pStyle w:val="TableParagraph"/>
              <w:ind w:left="113"/>
              <w:rPr>
                <w:color w:val="000000" w:themeColor="text1"/>
              </w:rPr>
            </w:pPr>
          </w:p>
        </w:tc>
        <w:tc>
          <w:tcPr>
            <w:tcW w:w="878" w:type="dxa"/>
          </w:tcPr>
          <w:p w14:paraId="473F0CF2" w14:textId="77777777" w:rsidR="00613523" w:rsidRPr="00824A0F" w:rsidRDefault="00613523" w:rsidP="00485CD8">
            <w:pPr>
              <w:pStyle w:val="TableParagraph"/>
              <w:jc w:val="center"/>
              <w:rPr>
                <w:color w:val="000000" w:themeColor="text1"/>
              </w:rPr>
            </w:pPr>
          </w:p>
          <w:p w14:paraId="58E07315" w14:textId="77777777" w:rsidR="00613523" w:rsidRPr="00824A0F" w:rsidRDefault="00613523" w:rsidP="00485CD8">
            <w:pPr>
              <w:pStyle w:val="TableParagraph"/>
              <w:jc w:val="center"/>
              <w:rPr>
                <w:color w:val="000000" w:themeColor="text1"/>
              </w:rPr>
            </w:pPr>
            <w:r>
              <w:rPr>
                <w:color w:val="000000" w:themeColor="text1"/>
              </w:rPr>
              <w:t>****</w:t>
            </w:r>
          </w:p>
        </w:tc>
      </w:tr>
      <w:tr w:rsidR="00613523" w:rsidRPr="00C6096E" w14:paraId="031BDD8A" w14:textId="77777777" w:rsidTr="00485CD8">
        <w:trPr>
          <w:trHeight w:val="510"/>
        </w:trPr>
        <w:tc>
          <w:tcPr>
            <w:tcW w:w="2520" w:type="dxa"/>
            <w:tcBorders>
              <w:right w:val="single" w:sz="6" w:space="0" w:color="000000"/>
            </w:tcBorders>
          </w:tcPr>
          <w:p w14:paraId="1D7BD224"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32398253" w14:textId="77777777" w:rsidR="00613523" w:rsidRDefault="00613523" w:rsidP="00485CD8">
            <w:pPr>
              <w:pStyle w:val="TableParagraph"/>
              <w:ind w:left="113"/>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Élaboration du guide de la jurisprudence pertinente</w:t>
            </w:r>
          </w:p>
          <w:p w14:paraId="63497C6C"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5372603" w14:textId="77777777" w:rsidR="00613523" w:rsidRDefault="00613523" w:rsidP="00485CD8">
            <w:pPr>
              <w:pStyle w:val="TableParagraph"/>
              <w:ind w:left="113"/>
              <w:rPr>
                <w:color w:val="000000" w:themeColor="text1"/>
              </w:rPr>
            </w:pPr>
          </w:p>
          <w:p w14:paraId="7FB9EE58" w14:textId="65670E9B" w:rsidR="00613523" w:rsidRDefault="00613523" w:rsidP="00485CD8">
            <w:pPr>
              <w:pStyle w:val="TableParagraph"/>
              <w:ind w:left="113"/>
              <w:rPr>
                <w:color w:val="000000" w:themeColor="text1"/>
              </w:rPr>
            </w:pPr>
            <w:r>
              <w:rPr>
                <w:color w:val="000000" w:themeColor="text1"/>
              </w:rPr>
              <w:t>1. Constitution du groupe de travail formé de deux spécialistes et réunion du groupe</w:t>
            </w:r>
          </w:p>
          <w:p w14:paraId="1AF99B16" w14:textId="77777777" w:rsidR="00613523" w:rsidRPr="000C4AB3" w:rsidRDefault="00613523" w:rsidP="00485CD8">
            <w:pPr>
              <w:pStyle w:val="TableParagraph"/>
              <w:ind w:left="113"/>
              <w:rPr>
                <w:color w:val="000000" w:themeColor="text1"/>
              </w:rPr>
            </w:pPr>
          </w:p>
          <w:p w14:paraId="74BF4ADE" w14:textId="3DA82AAC" w:rsidR="00613523" w:rsidRDefault="00613523" w:rsidP="00485CD8">
            <w:pPr>
              <w:pStyle w:val="TableParagraph"/>
              <w:ind w:left="113"/>
              <w:rPr>
                <w:color w:val="000000" w:themeColor="text1"/>
              </w:rPr>
            </w:pPr>
            <w:r>
              <w:rPr>
                <w:color w:val="000000" w:themeColor="text1"/>
              </w:rPr>
              <w:t>2. Numérisation des décisions et mise en ligne au moyen de liens hypertextes</w:t>
            </w:r>
          </w:p>
          <w:p w14:paraId="69A82979" w14:textId="77777777" w:rsidR="00613523" w:rsidRPr="000C4AB3" w:rsidRDefault="00613523" w:rsidP="00485CD8">
            <w:pPr>
              <w:pStyle w:val="TableParagraph"/>
              <w:ind w:left="113"/>
              <w:rPr>
                <w:color w:val="000000" w:themeColor="text1"/>
              </w:rPr>
            </w:pPr>
          </w:p>
          <w:p w14:paraId="734BE67D" w14:textId="7779E491" w:rsidR="00613523" w:rsidRPr="00651F9D" w:rsidRDefault="00613523" w:rsidP="00485CD8">
            <w:pPr>
              <w:pStyle w:val="TableParagraph"/>
              <w:ind w:left="113"/>
              <w:rPr>
                <w:color w:val="000000" w:themeColor="text1"/>
              </w:rPr>
            </w:pPr>
            <w:r>
              <w:rPr>
                <w:color w:val="000000" w:themeColor="text1"/>
              </w:rPr>
              <w:t>3. Les outils créés sont acceptés et mis en pratique.</w:t>
            </w:r>
          </w:p>
        </w:tc>
        <w:tc>
          <w:tcPr>
            <w:tcW w:w="3401" w:type="dxa"/>
          </w:tcPr>
          <w:p w14:paraId="41D639F4" w14:textId="77777777" w:rsidR="00613523" w:rsidRDefault="00613523" w:rsidP="00485CD8">
            <w:pPr>
              <w:pStyle w:val="TableParagraph"/>
              <w:ind w:left="113"/>
              <w:rPr>
                <w:color w:val="000000" w:themeColor="text1"/>
                <w:u w:color="000000"/>
                <w14:textOutline w14:w="0" w14:cap="flat" w14:cmpd="sng" w14:algn="ctr">
                  <w14:noFill/>
                  <w14:prstDash w14:val="solid"/>
                  <w14:bevel/>
                </w14:textOutline>
              </w:rPr>
            </w:pPr>
          </w:p>
          <w:p w14:paraId="68A7BB09" w14:textId="26665117" w:rsidR="007A316D" w:rsidRDefault="00613523" w:rsidP="00485CD8">
            <w:pPr>
              <w:pStyle w:val="TableParagraph"/>
              <w:ind w:left="113"/>
              <w:rPr>
                <w:color w:val="000000" w:themeColor="text1"/>
                <w:u w:color="000000"/>
                <w14:textOutline w14:w="0" w14:cap="flat" w14:cmpd="sng" w14:algn="ctr">
                  <w14:noFill/>
                  <w14:prstDash w14:val="solid"/>
                  <w14:bevel/>
                </w14:textOutline>
              </w:rPr>
            </w:pPr>
            <w:r>
              <w:rPr>
                <w:color w:val="000000" w:themeColor="text1"/>
                <w:u w:color="000000"/>
                <w14:textOutline w14:w="0" w14:cap="flat" w14:cmpd="sng" w14:algn="ctr">
                  <w14:noFill/>
                  <w14:prstDash w14:val="solid"/>
                  <w14:bevel/>
                </w14:textOutline>
              </w:rPr>
              <w:t>Pleinement atteint</w:t>
            </w:r>
            <w:r w:rsidR="007A316D">
              <w:rPr>
                <w:color w:val="000000" w:themeColor="text1"/>
                <w:u w:color="000000"/>
                <w14:textOutline w14:w="0" w14:cap="flat" w14:cmpd="sng" w14:algn="ctr">
                  <w14:noFill/>
                  <w14:prstDash w14:val="solid"/>
                  <w14:bevel/>
                </w14:textOutline>
              </w:rPr>
              <w:t> :</w:t>
            </w:r>
            <w:r>
              <w:rPr>
                <w:color w:val="000000" w:themeColor="text1"/>
                <w:u w:color="000000"/>
                <w14:textOutline w14:w="0" w14:cap="flat" w14:cmpd="sng" w14:algn="ctr">
                  <w14:noFill/>
                  <w14:prstDash w14:val="solid"/>
                  <w14:bevel/>
                </w14:textOutline>
              </w:rPr>
              <w:t xml:space="preserve"> le guide de la jurisprudence a été finalisé.</w:t>
            </w:r>
          </w:p>
          <w:p w14:paraId="31198EBD" w14:textId="1A4297F2" w:rsidR="00613523" w:rsidRDefault="00613523" w:rsidP="00485CD8">
            <w:pPr>
              <w:pStyle w:val="TableParagraph"/>
              <w:ind w:left="113"/>
              <w:rPr>
                <w:color w:val="000000" w:themeColor="text1"/>
                <w:u w:color="000000"/>
                <w14:textOutline w14:w="0" w14:cap="flat" w14:cmpd="sng" w14:algn="ctr">
                  <w14:noFill/>
                  <w14:prstDash w14:val="solid"/>
                  <w14:bevel/>
                </w14:textOutline>
              </w:rPr>
            </w:pPr>
            <w:r>
              <w:rPr>
                <w:color w:val="000000" w:themeColor="text1"/>
                <w:u w:color="000000"/>
                <w14:textOutline w14:w="0" w14:cap="flat" w14:cmpd="sng" w14:algn="ctr">
                  <w14:noFill/>
                  <w14:prstDash w14:val="solid"/>
                  <w14:bevel/>
                </w14:textOutline>
              </w:rPr>
              <w:t>Les décisions judiciaires ont été recueillies et numérisées et seront bientôt accessibles en ligne au moyen de liens hypertextes sur le site</w:t>
            </w:r>
            <w:r w:rsidR="00E67B98">
              <w:rPr>
                <w:color w:val="000000" w:themeColor="text1"/>
                <w:u w:color="000000"/>
                <w14:textOutline w14:w="0" w14:cap="flat" w14:cmpd="sng" w14:algn="ctr">
                  <w14:noFill/>
                  <w14:prstDash w14:val="solid"/>
                  <w14:bevel/>
                </w14:textOutline>
              </w:rPr>
              <w:t> </w:t>
            </w:r>
            <w:r>
              <w:rPr>
                <w:color w:val="000000" w:themeColor="text1"/>
                <w:u w:color="000000"/>
                <w14:textOutline w14:w="0" w14:cap="flat" w14:cmpd="sng" w14:algn="ctr">
                  <w14:noFill/>
                  <w14:prstDash w14:val="solid"/>
                  <w14:bevel/>
                </w14:textOutline>
              </w:rPr>
              <w:t xml:space="preserve">Web </w:t>
            </w:r>
            <w:proofErr w:type="spellStart"/>
            <w:r>
              <w:rPr>
                <w:color w:val="000000" w:themeColor="text1"/>
                <w:u w:color="000000"/>
                <w14:textOutline w14:w="0" w14:cap="flat" w14:cmpd="sng" w14:algn="ctr">
                  <w14:noFill/>
                  <w14:prstDash w14:val="solid"/>
                  <w14:bevel/>
                </w14:textOutline>
              </w:rPr>
              <w:t>WIPO</w:t>
            </w:r>
            <w:proofErr w:type="spellEnd"/>
            <w:r>
              <w:rPr>
                <w:color w:val="000000" w:themeColor="text1"/>
                <w:u w:color="000000"/>
                <w14:textOutline w14:w="0" w14:cap="flat" w14:cmpd="sng" w14:algn="ctr">
                  <w14:noFill/>
                  <w14:prstDash w14:val="solid"/>
                  <w14:bevel/>
                </w14:textOutline>
              </w:rPr>
              <w:t xml:space="preserve"> Lex.</w:t>
            </w:r>
          </w:p>
          <w:p w14:paraId="50E65CE9" w14:textId="77777777" w:rsidR="008705EB" w:rsidRDefault="008705EB" w:rsidP="00485CD8">
            <w:pPr>
              <w:pStyle w:val="TableParagraph"/>
              <w:ind w:left="113"/>
              <w:rPr>
                <w:color w:val="000000" w:themeColor="text1"/>
                <w:u w:color="000000"/>
                <w14:textOutline w14:w="0" w14:cap="flat" w14:cmpd="sng" w14:algn="ctr">
                  <w14:noFill/>
                  <w14:prstDash w14:val="solid"/>
                  <w14:bevel/>
                </w14:textOutline>
              </w:rPr>
            </w:pPr>
          </w:p>
          <w:p w14:paraId="3C85AD12" w14:textId="471CA9F4" w:rsidR="00613523" w:rsidRDefault="00613523" w:rsidP="00485CD8">
            <w:pPr>
              <w:pStyle w:val="TableParagraph"/>
              <w:ind w:left="113" w:right="86"/>
            </w:pPr>
            <w:r>
              <w:t>Le guide de la jurisprudence a été présenté lors de l</w:t>
            </w:r>
            <w:r w:rsidR="007A316D">
              <w:t>’</w:t>
            </w:r>
            <w:r>
              <w:t>atelier sous</w:t>
            </w:r>
            <w:r w:rsidR="007A316D">
              <w:t>-</w:t>
            </w:r>
            <w:r>
              <w:t xml:space="preserve">régional hybride </w:t>
            </w:r>
            <w:proofErr w:type="gramStart"/>
            <w:r>
              <w:t>organisé</w:t>
            </w:r>
            <w:proofErr w:type="gramEnd"/>
            <w:r>
              <w:t xml:space="preserve"> à l</w:t>
            </w:r>
            <w:r w:rsidR="007A316D">
              <w:t>’</w:t>
            </w:r>
            <w:r>
              <w:t>intention des magistrats et du personnel judiciaire au Sénégal en mai 2025.  Les activités de promotion se poursuivront dans la région de l</w:t>
            </w:r>
            <w:r w:rsidR="007A316D">
              <w:t>’</w:t>
            </w:r>
            <w:r>
              <w:t>UEMOA.</w:t>
            </w:r>
          </w:p>
          <w:p w14:paraId="6F4D5F28" w14:textId="77777777" w:rsidR="00613523" w:rsidRPr="00932FA4" w:rsidRDefault="00613523" w:rsidP="00485CD8">
            <w:pPr>
              <w:pStyle w:val="TableParagraph"/>
              <w:ind w:left="113"/>
              <w:rPr>
                <w:color w:val="000000" w:themeColor="text1"/>
                <w:u w:color="000000"/>
                <w14:textOutline w14:w="0" w14:cap="flat" w14:cmpd="sng" w14:algn="ctr">
                  <w14:noFill/>
                  <w14:prstDash w14:val="solid"/>
                  <w14:bevel/>
                </w14:textOutline>
              </w:rPr>
            </w:pPr>
          </w:p>
        </w:tc>
        <w:tc>
          <w:tcPr>
            <w:tcW w:w="878" w:type="dxa"/>
          </w:tcPr>
          <w:p w14:paraId="064876A6" w14:textId="77777777" w:rsidR="00613523" w:rsidRPr="00824A0F" w:rsidRDefault="00613523" w:rsidP="00485CD8">
            <w:pPr>
              <w:pStyle w:val="TableParagraph"/>
              <w:ind w:left="18"/>
              <w:jc w:val="center"/>
              <w:rPr>
                <w:color w:val="000000" w:themeColor="text1"/>
                <w:u w:color="000000"/>
                <w14:textOutline w14:w="0" w14:cap="flat" w14:cmpd="sng" w14:algn="ctr">
                  <w14:noFill/>
                  <w14:prstDash w14:val="solid"/>
                  <w14:bevel/>
                </w14:textOutline>
              </w:rPr>
            </w:pPr>
          </w:p>
          <w:p w14:paraId="24FC6E30" w14:textId="77777777" w:rsidR="00613523" w:rsidRPr="00824A0F" w:rsidRDefault="00613523" w:rsidP="00485CD8">
            <w:pPr>
              <w:pStyle w:val="TableParagraph"/>
              <w:ind w:left="18"/>
              <w:jc w:val="center"/>
              <w:rPr>
                <w:color w:val="000000" w:themeColor="text1"/>
              </w:rPr>
            </w:pPr>
            <w:r>
              <w:rPr>
                <w:color w:val="000000" w:themeColor="text1"/>
              </w:rPr>
              <w:t>****</w:t>
            </w:r>
          </w:p>
        </w:tc>
      </w:tr>
      <w:tr w:rsidR="00613523" w:rsidRPr="00C6096E" w14:paraId="62E1F846" w14:textId="77777777" w:rsidTr="00485CD8">
        <w:trPr>
          <w:trHeight w:val="1888"/>
        </w:trPr>
        <w:tc>
          <w:tcPr>
            <w:tcW w:w="2520" w:type="dxa"/>
            <w:tcBorders>
              <w:right w:val="single" w:sz="6" w:space="0" w:color="000000"/>
            </w:tcBorders>
          </w:tcPr>
          <w:p w14:paraId="5F0EB027"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5188AAC6" w14:textId="667C1A35" w:rsidR="00613523" w:rsidRDefault="00613523" w:rsidP="00485CD8">
            <w:pPr>
              <w:pStyle w:val="TableParagraph"/>
              <w:ind w:left="113"/>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Atelier sous</w:t>
            </w:r>
            <w:r w:rsidR="007A316D">
              <w:rPr>
                <w:color w:val="000000"/>
                <w:u w:color="000000"/>
                <w14:textOutline w14:w="0" w14:cap="flat" w14:cmpd="sng" w14:algn="ctr">
                  <w14:noFill/>
                  <w14:prstDash w14:val="solid"/>
                  <w14:bevel/>
                </w14:textOutline>
              </w:rPr>
              <w:t>-</w:t>
            </w:r>
            <w:r>
              <w:rPr>
                <w:color w:val="000000"/>
                <w:u w:color="000000"/>
                <w14:textOutline w14:w="0" w14:cap="flat" w14:cmpd="sng" w14:algn="ctr">
                  <w14:noFill/>
                  <w14:prstDash w14:val="solid"/>
                  <w14:bevel/>
                </w14:textOutline>
              </w:rPr>
              <w:t>régional sur les contrats à l</w:t>
            </w:r>
            <w:r w:rsidR="007A316D">
              <w:rPr>
                <w:color w:val="000000"/>
                <w:u w:color="000000"/>
                <w14:textOutline w14:w="0" w14:cap="flat" w14:cmpd="sng" w14:algn="ctr">
                  <w14:noFill/>
                  <w14:prstDash w14:val="solid"/>
                  <w14:bevel/>
                </w14:textOutline>
              </w:rPr>
              <w:t>’</w:t>
            </w:r>
            <w:r>
              <w:rPr>
                <w:color w:val="000000"/>
                <w:u w:color="000000"/>
                <w14:textOutline w14:w="0" w14:cap="flat" w14:cmpd="sng" w14:algn="ctr">
                  <w14:noFill/>
                  <w14:prstDash w14:val="solid"/>
                  <w14:bevel/>
                </w14:textOutline>
              </w:rPr>
              <w:t>intention du personnel judiciaire</w:t>
            </w:r>
          </w:p>
          <w:p w14:paraId="030C6046"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0CD617F4"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0C6199CD"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175613C0"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5C405F81"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p w14:paraId="2C9CB7FF" w14:textId="77777777" w:rsidR="00613523" w:rsidRDefault="00613523" w:rsidP="00485CD8">
            <w:pPr>
              <w:pStyle w:val="TableParagraph"/>
              <w:ind w:left="113"/>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34B8D34" w14:textId="07CBEFC4" w:rsidR="00613523" w:rsidRPr="000C4AB3" w:rsidRDefault="00613523" w:rsidP="00485CD8">
            <w:pPr>
              <w:pStyle w:val="Corps"/>
              <w:spacing w:before="240"/>
              <w:ind w:left="113"/>
              <w:rPr>
                <w:rStyle w:val="Aucun"/>
                <w:rFonts w:eastAsia="Arial" w:cs="Arial"/>
                <w:color w:val="000000" w:themeColor="text1"/>
                <w:bdr w:val="none" w:sz="0" w:space="0" w:color="auto"/>
                <w14:textOutline w14:w="0" w14:cap="rnd" w14:cmpd="sng" w14:algn="ctr">
                  <w14:noFill/>
                  <w14:prstDash w14:val="solid"/>
                  <w14:bevel/>
                </w14:textOutline>
              </w:rPr>
            </w:pPr>
            <w:r>
              <w:rPr>
                <w:rStyle w:val="Aucun"/>
                <w:color w:val="000000" w:themeColor="text1"/>
              </w:rPr>
              <w:t>1. Les outils élaborés en matière de jurisprudence sont acceptés et mis en pratique par les bénéficiaires.</w:t>
            </w:r>
          </w:p>
          <w:p w14:paraId="5474B604" w14:textId="35B9E54E" w:rsidR="00613523" w:rsidRDefault="00613523" w:rsidP="00485CD8">
            <w:pPr>
              <w:pStyle w:val="Corps"/>
              <w:widowControl/>
              <w:spacing w:before="240"/>
              <w:ind w:left="113"/>
              <w:rPr>
                <w:rStyle w:val="Aucun"/>
                <w:color w:val="000000" w:themeColor="text1"/>
              </w:rPr>
            </w:pPr>
            <w:r>
              <w:rPr>
                <w:rStyle w:val="Aucun"/>
                <w:color w:val="000000" w:themeColor="text1"/>
              </w:rPr>
              <w:t>2. Pourcentage de bénéficiaires (groupes d</w:t>
            </w:r>
            <w:r w:rsidR="007A316D">
              <w:rPr>
                <w:rStyle w:val="Aucun"/>
                <w:color w:val="000000" w:themeColor="text1"/>
              </w:rPr>
              <w:t>’</w:t>
            </w:r>
            <w:r>
              <w:rPr>
                <w:rStyle w:val="Aucun"/>
                <w:color w:val="000000" w:themeColor="text1"/>
              </w:rPr>
              <w:t>utilisateurs par pays) ayant évalué le contenu de manière positive</w:t>
            </w:r>
          </w:p>
          <w:p w14:paraId="1C77A527" w14:textId="77777777" w:rsidR="00613523" w:rsidRPr="00651F9D" w:rsidRDefault="00613523" w:rsidP="00485CD8">
            <w:pPr>
              <w:pStyle w:val="Corps"/>
              <w:widowControl/>
              <w:spacing w:before="240"/>
              <w:ind w:left="113"/>
              <w:rPr>
                <w:rStyle w:val="Aucun"/>
                <w:color w:val="000000" w:themeColor="text1"/>
              </w:rPr>
            </w:pPr>
          </w:p>
        </w:tc>
        <w:tc>
          <w:tcPr>
            <w:tcW w:w="3401" w:type="dxa"/>
          </w:tcPr>
          <w:p w14:paraId="350779A6" w14:textId="77777777" w:rsidR="00613523" w:rsidRDefault="00613523" w:rsidP="00485CD8">
            <w:pPr>
              <w:pStyle w:val="TableParagraph"/>
              <w:ind w:left="113"/>
              <w:rPr>
                <w:color w:val="000000" w:themeColor="text1"/>
                <w:u w:color="000000"/>
                <w14:textOutline w14:w="0" w14:cap="flat" w14:cmpd="sng" w14:algn="ctr">
                  <w14:noFill/>
                  <w14:prstDash w14:val="solid"/>
                  <w14:bevel/>
                </w14:textOutline>
              </w:rPr>
            </w:pPr>
          </w:p>
          <w:p w14:paraId="3BD57CC7" w14:textId="783FBDCB" w:rsidR="007A316D" w:rsidRDefault="00613523" w:rsidP="00485CD8">
            <w:pPr>
              <w:pStyle w:val="NoSpacing"/>
              <w:ind w:left="113"/>
              <w:rPr>
                <w:color w:val="000000" w:themeColor="text1"/>
                <w:u w:color="000000"/>
                <w14:textOutline w14:w="0" w14:cap="flat" w14:cmpd="sng" w14:algn="ctr">
                  <w14:noFill/>
                  <w14:prstDash w14:val="solid"/>
                  <w14:bevel/>
                </w14:textOutline>
              </w:rPr>
            </w:pPr>
            <w:r>
              <w:rPr>
                <w:color w:val="000000" w:themeColor="text1"/>
                <w:u w:color="000000"/>
                <w14:textOutline w14:w="0" w14:cap="flat" w14:cmpd="sng" w14:algn="ctr">
                  <w14:noFill/>
                  <w14:prstDash w14:val="solid"/>
                  <w14:bevel/>
                </w14:textOutline>
              </w:rPr>
              <w:t>Pleinement atteint</w:t>
            </w:r>
            <w:r w:rsidR="007A316D">
              <w:rPr>
                <w:color w:val="000000" w:themeColor="text1"/>
                <w:u w:color="000000"/>
                <w14:textOutline w14:w="0" w14:cap="flat" w14:cmpd="sng" w14:algn="ctr">
                  <w14:noFill/>
                  <w14:prstDash w14:val="solid"/>
                  <w14:bevel/>
                </w14:textOutline>
              </w:rPr>
              <w:t> :</w:t>
            </w:r>
          </w:p>
          <w:p w14:paraId="7CD5AFCB" w14:textId="79D883D5" w:rsidR="00613523" w:rsidRPr="00BD578E" w:rsidRDefault="00613523" w:rsidP="00485CD8">
            <w:pPr>
              <w:pStyle w:val="NoSpacing"/>
              <w:ind w:left="113"/>
            </w:pPr>
            <w:proofErr w:type="gramStart"/>
            <w:r>
              <w:t>le</w:t>
            </w:r>
            <w:proofErr w:type="gramEnd"/>
            <w:r>
              <w:t xml:space="preserve"> premier atelier pilote national de formation à l</w:t>
            </w:r>
            <w:r w:rsidR="007A316D">
              <w:t>’</w:t>
            </w:r>
            <w:r>
              <w:t>intention des magistrats et du personnel judiciaire a eu lieu le 14 novembre 2024, à Lomé (Togo).</w:t>
            </w:r>
          </w:p>
          <w:p w14:paraId="2CC60ACA" w14:textId="34BA51D4" w:rsidR="00613523" w:rsidRPr="00C95C7E" w:rsidRDefault="00613523" w:rsidP="00485CD8">
            <w:pPr>
              <w:pStyle w:val="TableParagraph"/>
              <w:ind w:left="113"/>
              <w:rPr>
                <w:color w:val="000000" w:themeColor="text1"/>
              </w:rPr>
            </w:pPr>
            <w:r>
              <w:t>L</w:t>
            </w:r>
            <w:r w:rsidR="007A316D">
              <w:t>’</w:t>
            </w:r>
            <w:r>
              <w:t>atelier sous</w:t>
            </w:r>
            <w:r w:rsidR="007A316D">
              <w:t>-</w:t>
            </w:r>
            <w:r>
              <w:t>régional hybride à l</w:t>
            </w:r>
            <w:r w:rsidR="007A316D">
              <w:t>’</w:t>
            </w:r>
            <w:r>
              <w:t>intention des magistrats et du personnel judiciaire de la région de l</w:t>
            </w:r>
            <w:r w:rsidR="007A316D">
              <w:t>’</w:t>
            </w:r>
            <w:r>
              <w:t>UEMOA s</w:t>
            </w:r>
            <w:r w:rsidR="007A316D">
              <w:t>’</w:t>
            </w:r>
            <w:r>
              <w:t>est tenu le 26 mai 2025, à Dakar (Sénégal).</w:t>
            </w:r>
          </w:p>
        </w:tc>
        <w:tc>
          <w:tcPr>
            <w:tcW w:w="878" w:type="dxa"/>
          </w:tcPr>
          <w:p w14:paraId="4498AD97" w14:textId="77777777" w:rsidR="00613523" w:rsidRPr="00C95C7E" w:rsidRDefault="00613523" w:rsidP="00485CD8">
            <w:pPr>
              <w:pStyle w:val="TableParagraph"/>
              <w:ind w:left="18"/>
              <w:jc w:val="center"/>
              <w:rPr>
                <w:color w:val="000000" w:themeColor="text1"/>
                <w:u w:color="000000"/>
                <w14:textOutline w14:w="0" w14:cap="flat" w14:cmpd="sng" w14:algn="ctr">
                  <w14:noFill/>
                  <w14:prstDash w14:val="solid"/>
                  <w14:bevel/>
                </w14:textOutline>
              </w:rPr>
            </w:pPr>
          </w:p>
          <w:p w14:paraId="30485B43" w14:textId="77777777" w:rsidR="00613523" w:rsidRPr="00C95C7E" w:rsidRDefault="00613523" w:rsidP="00485CD8">
            <w:pPr>
              <w:pStyle w:val="TableParagraph"/>
              <w:ind w:left="18"/>
              <w:jc w:val="center"/>
              <w:rPr>
                <w:color w:val="000000" w:themeColor="text1"/>
                <w:u w:color="000000"/>
                <w14:textOutline w14:w="0" w14:cap="flat" w14:cmpd="sng" w14:algn="ctr">
                  <w14:noFill/>
                  <w14:prstDash w14:val="solid"/>
                  <w14:bevel/>
                </w14:textOutline>
              </w:rPr>
            </w:pPr>
            <w:r>
              <w:rPr>
                <w:color w:val="000000" w:themeColor="text1"/>
              </w:rPr>
              <w:t>****</w:t>
            </w:r>
          </w:p>
        </w:tc>
      </w:tr>
      <w:tr w:rsidR="00613523" w:rsidRPr="00C6096E" w14:paraId="38B1B277" w14:textId="77777777" w:rsidTr="00485CD8">
        <w:trPr>
          <w:trHeight w:val="510"/>
        </w:trPr>
        <w:tc>
          <w:tcPr>
            <w:tcW w:w="2520" w:type="dxa"/>
            <w:tcBorders>
              <w:right w:val="single" w:sz="6" w:space="0" w:color="000000"/>
            </w:tcBorders>
          </w:tcPr>
          <w:p w14:paraId="11FE7497" w14:textId="77777777" w:rsidR="00613523" w:rsidRDefault="00613523" w:rsidP="00485CD8">
            <w:pPr>
              <w:pStyle w:val="TableParagraph"/>
              <w:ind w:left="113"/>
              <w:rPr>
                <w:color w:val="000000" w:themeColor="text1"/>
                <w:u w:color="000000"/>
                <w14:textOutline w14:w="0" w14:cap="flat" w14:cmpd="sng" w14:algn="ctr">
                  <w14:noFill/>
                  <w14:prstDash w14:val="solid"/>
                  <w14:bevel/>
                </w14:textOutline>
              </w:rPr>
            </w:pPr>
          </w:p>
          <w:p w14:paraId="69CB928E" w14:textId="77777777" w:rsidR="00613523" w:rsidRPr="00C95C7E" w:rsidRDefault="00613523" w:rsidP="00485CD8">
            <w:pPr>
              <w:pStyle w:val="TableParagraph"/>
              <w:ind w:left="113"/>
              <w:rPr>
                <w:color w:val="000000" w:themeColor="text1"/>
                <w:u w:color="000000"/>
                <w14:textOutline w14:w="0" w14:cap="flat" w14:cmpd="sng" w14:algn="ctr">
                  <w14:noFill/>
                  <w14:prstDash w14:val="solid"/>
                  <w14:bevel/>
                </w14:textOutline>
              </w:rPr>
            </w:pPr>
            <w:r>
              <w:rPr>
                <w:color w:val="000000" w:themeColor="text1"/>
                <w:u w:color="000000"/>
                <w14:textOutline w14:w="0" w14:cap="flat" w14:cmpd="sng" w14:algn="ctr">
                  <w14:noFill/>
                  <w14:prstDash w14:val="solid"/>
                  <w14:bevel/>
                </w14:textOutline>
              </w:rPr>
              <w:t>Dialogue et formation en matière de réglementation</w:t>
            </w:r>
          </w:p>
        </w:tc>
        <w:tc>
          <w:tcPr>
            <w:tcW w:w="2695" w:type="dxa"/>
            <w:tcBorders>
              <w:top w:val="single" w:sz="6" w:space="0" w:color="000000"/>
              <w:left w:val="single" w:sz="6" w:space="0" w:color="000000"/>
              <w:bottom w:val="single" w:sz="6" w:space="0" w:color="000000"/>
            </w:tcBorders>
          </w:tcPr>
          <w:p w14:paraId="41C23949" w14:textId="379EB688" w:rsidR="00613523" w:rsidRPr="00290DC4" w:rsidRDefault="00613523" w:rsidP="00485CD8">
            <w:pPr>
              <w:pStyle w:val="Corps"/>
              <w:spacing w:before="240" w:after="120"/>
              <w:ind w:left="113"/>
              <w:rPr>
                <w:rStyle w:val="Aucun"/>
                <w:rFonts w:eastAsia="Arial" w:cs="Arial"/>
                <w:color w:val="000000" w:themeColor="text1"/>
                <w:bdr w:val="none" w:sz="0" w:space="0" w:color="auto"/>
                <w14:textOutline w14:w="0" w14:cap="rnd" w14:cmpd="sng" w14:algn="ctr">
                  <w14:noFill/>
                  <w14:prstDash w14:val="solid"/>
                  <w14:bevel/>
                </w14:textOutline>
              </w:rPr>
            </w:pPr>
            <w:r>
              <w:rPr>
                <w:rStyle w:val="Aucun"/>
                <w:color w:val="000000" w:themeColor="text1"/>
              </w:rPr>
              <w:t>1. Au moins deux réunions sont organisées entre plusieurs pays avec des responsables de la réglementation.</w:t>
            </w:r>
          </w:p>
          <w:p w14:paraId="531C8E58" w14:textId="5ECD4709" w:rsidR="00613523" w:rsidRPr="00C95C7E" w:rsidRDefault="00613523" w:rsidP="00485CD8">
            <w:pPr>
              <w:pStyle w:val="Corps"/>
              <w:widowControl/>
              <w:spacing w:before="240" w:after="120"/>
              <w:ind w:left="113"/>
              <w:rPr>
                <w:rStyle w:val="Aucun"/>
                <w:color w:val="000000" w:themeColor="text1"/>
              </w:rPr>
            </w:pPr>
            <w:r>
              <w:rPr>
                <w:rStyle w:val="Aucun"/>
                <w:color w:val="000000" w:themeColor="text1"/>
              </w:rPr>
              <w:t>2. Au moins deux pays modifient leur cahier des charges ou leurs lois en matière de réglementation.</w:t>
            </w:r>
          </w:p>
        </w:tc>
        <w:tc>
          <w:tcPr>
            <w:tcW w:w="3401" w:type="dxa"/>
          </w:tcPr>
          <w:p w14:paraId="036C89DE" w14:textId="77777777" w:rsidR="004766E0" w:rsidRDefault="00613523" w:rsidP="00485CD8">
            <w:pPr>
              <w:pStyle w:val="NoSpacing"/>
              <w:spacing w:before="240"/>
              <w:ind w:left="113"/>
            </w:pPr>
            <w:r>
              <w:rPr>
                <w:color w:val="000000" w:themeColor="text1"/>
                <w:u w:color="000000"/>
                <w14:textOutline w14:w="0" w14:cap="flat" w14:cmpd="sng" w14:algn="ctr">
                  <w14:noFill/>
                  <w14:prstDash w14:val="solid"/>
                  <w14:bevel/>
                </w14:textOutline>
              </w:rPr>
              <w:t>Quelques progrès</w:t>
            </w:r>
            <w:r w:rsidR="007A316D">
              <w:rPr>
                <w:color w:val="000000" w:themeColor="text1"/>
                <w:u w:color="000000"/>
                <w14:textOutline w14:w="0" w14:cap="flat" w14:cmpd="sng" w14:algn="ctr">
                  <w14:noFill/>
                  <w14:prstDash w14:val="solid"/>
                  <w14:bevel/>
                </w14:textOutline>
              </w:rPr>
              <w:t> :</w:t>
            </w:r>
            <w:r>
              <w:rPr>
                <w:color w:val="000000" w:themeColor="text1"/>
                <w:u w:color="000000"/>
                <w14:textOutline w14:w="0" w14:cap="flat" w14:cmpd="sng" w14:algn="ctr">
                  <w14:noFill/>
                  <w14:prstDash w14:val="solid"/>
                  <w14:bevel/>
                </w14:textOutline>
              </w:rPr>
              <w:t xml:space="preserve"> </w:t>
            </w:r>
            <w:r>
              <w:t>les préparatifs ont été lancés en vue d</w:t>
            </w:r>
            <w:r w:rsidR="007A316D">
              <w:t>’</w:t>
            </w:r>
            <w:r>
              <w:t>un dialogue/d</w:t>
            </w:r>
            <w:r w:rsidR="007A316D">
              <w:t>’</w:t>
            </w:r>
            <w:r>
              <w:t>une formation avec les responsables de la réglementation du secteur de la communication.</w:t>
            </w:r>
          </w:p>
          <w:p w14:paraId="13AB79E5" w14:textId="5DC25610" w:rsidR="007A316D" w:rsidRDefault="00613523" w:rsidP="00485CD8">
            <w:pPr>
              <w:pStyle w:val="NoSpacing"/>
              <w:spacing w:before="240"/>
              <w:ind w:left="113"/>
            </w:pPr>
            <w:r>
              <w:t xml:space="preserve">La </w:t>
            </w:r>
            <w:proofErr w:type="spellStart"/>
            <w:r>
              <w:t>SODAV</w:t>
            </w:r>
            <w:proofErr w:type="spellEnd"/>
            <w:r>
              <w:t xml:space="preserve"> a confirmé que le Sénégal serait honoré d</w:t>
            </w:r>
            <w:r w:rsidR="007A316D">
              <w:t>’</w:t>
            </w:r>
            <w:r>
              <w:t>organiser l</w:t>
            </w:r>
            <w:r w:rsidR="007A316D">
              <w:t>’</w:t>
            </w:r>
            <w:r>
              <w:t>activité en matière de réglementati</w:t>
            </w:r>
            <w:r w:rsidR="004766E0">
              <w:t>on</w:t>
            </w:r>
            <w:r w:rsidR="004766E0">
              <w:t xml:space="preserve">.  </w:t>
            </w:r>
            <w:r w:rsidR="004766E0">
              <w:t>Le</w:t>
            </w:r>
            <w:r>
              <w:t xml:space="preserve"> Secrétaire permanent de la plateforme des régulateurs des États membres de l</w:t>
            </w:r>
            <w:r w:rsidR="007A316D">
              <w:t>’</w:t>
            </w:r>
            <w:r>
              <w:t>UEMOA et de la Guinée a proposé d</w:t>
            </w:r>
            <w:r w:rsidR="007A316D">
              <w:t>’</w:t>
            </w:r>
            <w:r>
              <w:t>organiser un séminaire hybride à l</w:t>
            </w:r>
            <w:r w:rsidR="007A316D">
              <w:t>’</w:t>
            </w:r>
            <w:r>
              <w:t>intention des responsables de la réglementation et des organisations de gestion collective.</w:t>
            </w:r>
          </w:p>
          <w:p w14:paraId="19E2323E" w14:textId="05BF36F1" w:rsidR="00613523" w:rsidRPr="00C95C7E" w:rsidRDefault="00613523" w:rsidP="00485CD8">
            <w:pPr>
              <w:pStyle w:val="NoSpacing"/>
              <w:ind w:left="113"/>
              <w:rPr>
                <w:color w:val="000000" w:themeColor="text1"/>
              </w:rPr>
            </w:pPr>
          </w:p>
        </w:tc>
        <w:tc>
          <w:tcPr>
            <w:tcW w:w="878" w:type="dxa"/>
          </w:tcPr>
          <w:p w14:paraId="15AE40F4" w14:textId="77777777" w:rsidR="00613523" w:rsidRPr="00C95C7E" w:rsidRDefault="00613523" w:rsidP="00485CD8">
            <w:pPr>
              <w:pStyle w:val="TableParagraph"/>
              <w:ind w:left="18"/>
              <w:jc w:val="center"/>
              <w:rPr>
                <w:color w:val="000000" w:themeColor="text1"/>
                <w:u w:color="000000"/>
                <w14:textOutline w14:w="0" w14:cap="flat" w14:cmpd="sng" w14:algn="ctr">
                  <w14:noFill/>
                  <w14:prstDash w14:val="solid"/>
                  <w14:bevel/>
                </w14:textOutline>
              </w:rPr>
            </w:pPr>
          </w:p>
          <w:p w14:paraId="58FE8E9B" w14:textId="77777777" w:rsidR="00613523" w:rsidRPr="00C95C7E" w:rsidRDefault="00613523" w:rsidP="00485CD8">
            <w:pPr>
              <w:pStyle w:val="TableParagraph"/>
              <w:ind w:left="18"/>
              <w:jc w:val="center"/>
              <w:rPr>
                <w:color w:val="000000" w:themeColor="text1"/>
                <w:u w:color="000000"/>
                <w14:textOutline w14:w="0" w14:cap="flat" w14:cmpd="sng" w14:algn="ctr">
                  <w14:noFill/>
                  <w14:prstDash w14:val="solid"/>
                  <w14:bevel/>
                </w14:textOutline>
              </w:rPr>
            </w:pPr>
            <w:r>
              <w:rPr>
                <w:color w:val="000000" w:themeColor="text1"/>
                <w:u w:color="000000"/>
                <w14:textOutline w14:w="0" w14:cap="flat" w14:cmpd="sng" w14:algn="ctr">
                  <w14:noFill/>
                  <w14:prstDash w14:val="solid"/>
                  <w14:bevel/>
                </w14:textOutline>
              </w:rPr>
              <w:t>**</w:t>
            </w:r>
          </w:p>
        </w:tc>
      </w:tr>
    </w:tbl>
    <w:p w14:paraId="14185720" w14:textId="38C5C63E" w:rsidR="00613523" w:rsidRDefault="00613523" w:rsidP="00E44730">
      <w:pPr>
        <w:pStyle w:val="Endofdocument-Annex"/>
        <w:spacing w:before="720"/>
      </w:pPr>
      <w:r>
        <w:t>[</w:t>
      </w:r>
      <w:proofErr w:type="spellStart"/>
      <w:r>
        <w:t>L</w:t>
      </w:r>
      <w:r w:rsidR="007A316D">
        <w:t>’</w:t>
      </w:r>
      <w:r>
        <w:t>annexe</w:t>
      </w:r>
      <w:proofErr w:type="spellEnd"/>
      <w:r w:rsidR="00F3282A">
        <w:t> </w:t>
      </w:r>
      <w:r>
        <w:t>II suit]</w:t>
      </w:r>
    </w:p>
    <w:p w14:paraId="04D31C94" w14:textId="77777777" w:rsidR="00613523" w:rsidRDefault="00613523" w:rsidP="00613523">
      <w:pPr>
        <w:rPr>
          <w:u w:val="single"/>
        </w:rPr>
        <w:sectPr w:rsidR="00613523" w:rsidSect="00984AF5">
          <w:headerReference w:type="default" r:id="rId18"/>
          <w:headerReference w:type="first" r:id="rId19"/>
          <w:pgSz w:w="11907" w:h="16840" w:code="9"/>
          <w:pgMar w:top="1417" w:right="1417" w:bottom="1417" w:left="1417" w:header="709" w:footer="709" w:gutter="0"/>
          <w:pgNumType w:start="1"/>
          <w:cols w:space="720"/>
          <w:titlePg/>
          <w:docGrid w:linePitch="299"/>
        </w:sectPr>
      </w:pPr>
      <w:r>
        <w:br w:type="page"/>
      </w:r>
    </w:p>
    <w:p w14:paraId="2C52E3AE" w14:textId="77777777" w:rsidR="00613523" w:rsidRDefault="00613523" w:rsidP="00613523">
      <w:pPr>
        <w:tabs>
          <w:tab w:val="left" w:pos="4596"/>
        </w:tabs>
        <w:rPr>
          <w:sz w:val="20"/>
        </w:rPr>
      </w:pPr>
    </w:p>
    <w:p w14:paraId="02F564CE" w14:textId="77777777" w:rsidR="00613523" w:rsidRDefault="00613523" w:rsidP="00613523">
      <w:pPr>
        <w:tabs>
          <w:tab w:val="left" w:pos="4596"/>
        </w:tabs>
        <w:rPr>
          <w:sz w:val="20"/>
        </w:rPr>
      </w:pPr>
    </w:p>
    <w:tbl>
      <w:tblPr>
        <w:tblpPr w:leftFromText="180" w:rightFromText="180" w:vertAnchor="page" w:horzAnchor="margin" w:tblpXSpec="center" w:tblpY="2329"/>
        <w:tblW w:w="12137" w:type="dxa"/>
        <w:tblLook w:val="04A0" w:firstRow="1" w:lastRow="0" w:firstColumn="1" w:lastColumn="0" w:noHBand="0" w:noVBand="1"/>
      </w:tblPr>
      <w:tblGrid>
        <w:gridCol w:w="5904"/>
        <w:gridCol w:w="2257"/>
        <w:gridCol w:w="1704"/>
        <w:gridCol w:w="2272"/>
      </w:tblGrid>
      <w:tr w:rsidR="00613523" w:rsidRPr="00A61F96" w14:paraId="3048BA8A" w14:textId="77777777" w:rsidTr="00485CD8">
        <w:trPr>
          <w:trHeight w:val="286"/>
        </w:trPr>
        <w:tc>
          <w:tcPr>
            <w:tcW w:w="5904" w:type="dxa"/>
            <w:tcBorders>
              <w:top w:val="nil"/>
              <w:left w:val="nil"/>
              <w:bottom w:val="nil"/>
              <w:right w:val="nil"/>
            </w:tcBorders>
            <w:shd w:val="clear" w:color="auto" w:fill="FFFFFF" w:themeFill="background1"/>
            <w:noWrap/>
            <w:vAlign w:val="bottom"/>
            <w:hideMark/>
          </w:tcPr>
          <w:p w14:paraId="1B28D71B" w14:textId="77777777" w:rsidR="00613523" w:rsidRPr="00A61F96" w:rsidRDefault="00613523" w:rsidP="00485CD8">
            <w:pPr>
              <w:rPr>
                <w:rFonts w:ascii="Times New Roman" w:hAnsi="Times New Roman" w:cs="Times New Roman"/>
                <w:sz w:val="20"/>
              </w:rPr>
            </w:pPr>
            <w:bookmarkStart w:id="6" w:name="_Hlk207112944"/>
          </w:p>
        </w:tc>
        <w:tc>
          <w:tcPr>
            <w:tcW w:w="2257" w:type="dxa"/>
            <w:tcBorders>
              <w:top w:val="nil"/>
              <w:left w:val="nil"/>
              <w:bottom w:val="nil"/>
              <w:right w:val="nil"/>
            </w:tcBorders>
            <w:shd w:val="clear" w:color="auto" w:fill="FFFFFF" w:themeFill="background1"/>
            <w:noWrap/>
            <w:vAlign w:val="bottom"/>
            <w:hideMark/>
          </w:tcPr>
          <w:p w14:paraId="08D0D6FE" w14:textId="77777777" w:rsidR="00613523" w:rsidRPr="00A61F96" w:rsidRDefault="00613523" w:rsidP="00485CD8">
            <w:pPr>
              <w:rPr>
                <w:rFonts w:ascii="Times New Roman" w:hAnsi="Times New Roman" w:cs="Times New Roman"/>
                <w:sz w:val="20"/>
              </w:rPr>
            </w:pPr>
          </w:p>
        </w:tc>
        <w:tc>
          <w:tcPr>
            <w:tcW w:w="1704" w:type="dxa"/>
            <w:tcBorders>
              <w:top w:val="nil"/>
              <w:left w:val="nil"/>
              <w:bottom w:val="nil"/>
              <w:right w:val="nil"/>
            </w:tcBorders>
            <w:shd w:val="clear" w:color="auto" w:fill="FFFFFF" w:themeFill="background1"/>
            <w:noWrap/>
            <w:vAlign w:val="bottom"/>
            <w:hideMark/>
          </w:tcPr>
          <w:p w14:paraId="4ED490E2" w14:textId="77777777" w:rsidR="00613523" w:rsidRPr="00A61F96" w:rsidRDefault="00613523" w:rsidP="00485CD8">
            <w:pPr>
              <w:rPr>
                <w:rFonts w:ascii="Times New Roman" w:hAnsi="Times New Roman" w:cs="Times New Roman"/>
                <w:sz w:val="20"/>
              </w:rPr>
            </w:pPr>
          </w:p>
        </w:tc>
        <w:tc>
          <w:tcPr>
            <w:tcW w:w="2272" w:type="dxa"/>
            <w:tcBorders>
              <w:top w:val="nil"/>
              <w:left w:val="nil"/>
              <w:bottom w:val="nil"/>
              <w:right w:val="nil"/>
            </w:tcBorders>
            <w:shd w:val="clear" w:color="auto" w:fill="FFFFFF" w:themeFill="background1"/>
            <w:noWrap/>
            <w:vAlign w:val="bottom"/>
            <w:hideMark/>
          </w:tcPr>
          <w:p w14:paraId="4BC71A4C" w14:textId="77777777" w:rsidR="00613523" w:rsidRPr="00A61F96" w:rsidRDefault="00613523" w:rsidP="00485CD8">
            <w:pPr>
              <w:rPr>
                <w:rFonts w:ascii="Times New Roman" w:hAnsi="Times New Roman" w:cs="Times New Roman"/>
                <w:sz w:val="20"/>
              </w:rPr>
            </w:pPr>
          </w:p>
        </w:tc>
      </w:tr>
      <w:tr w:rsidR="00613523" w:rsidRPr="00A61F96" w14:paraId="2E0DEE84" w14:textId="77777777" w:rsidTr="00485CD8">
        <w:trPr>
          <w:trHeight w:val="286"/>
        </w:trPr>
        <w:tc>
          <w:tcPr>
            <w:tcW w:w="5904" w:type="dxa"/>
            <w:tcBorders>
              <w:top w:val="nil"/>
              <w:left w:val="nil"/>
              <w:bottom w:val="nil"/>
              <w:right w:val="nil"/>
            </w:tcBorders>
            <w:shd w:val="clear" w:color="auto" w:fill="FFFFFF" w:themeFill="background1"/>
            <w:noWrap/>
            <w:vAlign w:val="bottom"/>
          </w:tcPr>
          <w:p w14:paraId="71290D4E" w14:textId="77777777" w:rsidR="00613523" w:rsidRPr="00A61F96" w:rsidRDefault="00613523" w:rsidP="00485CD8">
            <w:pPr>
              <w:jc w:val="center"/>
              <w:rPr>
                <w:rFonts w:ascii="Times New Roman" w:hAnsi="Times New Roman" w:cs="Times New Roman"/>
                <w:sz w:val="20"/>
              </w:rPr>
            </w:pPr>
          </w:p>
        </w:tc>
        <w:tc>
          <w:tcPr>
            <w:tcW w:w="2257" w:type="dxa"/>
            <w:tcBorders>
              <w:top w:val="nil"/>
              <w:left w:val="nil"/>
              <w:bottom w:val="nil"/>
              <w:right w:val="nil"/>
            </w:tcBorders>
            <w:shd w:val="clear" w:color="auto" w:fill="FFFFFF" w:themeFill="background1"/>
            <w:noWrap/>
            <w:vAlign w:val="bottom"/>
          </w:tcPr>
          <w:p w14:paraId="4EF06CFC" w14:textId="77777777" w:rsidR="00613523" w:rsidRPr="00A61F96" w:rsidRDefault="00613523" w:rsidP="00485CD8">
            <w:pPr>
              <w:rPr>
                <w:rFonts w:ascii="Times New Roman" w:hAnsi="Times New Roman" w:cs="Times New Roman"/>
                <w:sz w:val="20"/>
              </w:rPr>
            </w:pPr>
          </w:p>
        </w:tc>
        <w:tc>
          <w:tcPr>
            <w:tcW w:w="1704" w:type="dxa"/>
            <w:tcBorders>
              <w:top w:val="nil"/>
              <w:left w:val="nil"/>
              <w:bottom w:val="nil"/>
              <w:right w:val="nil"/>
            </w:tcBorders>
            <w:shd w:val="clear" w:color="auto" w:fill="FFFFFF" w:themeFill="background1"/>
            <w:noWrap/>
            <w:vAlign w:val="bottom"/>
          </w:tcPr>
          <w:p w14:paraId="7891DEED" w14:textId="77777777" w:rsidR="00613523" w:rsidRPr="00A61F96" w:rsidRDefault="00613523" w:rsidP="00485CD8">
            <w:pPr>
              <w:rPr>
                <w:rFonts w:ascii="Times New Roman" w:hAnsi="Times New Roman" w:cs="Times New Roman"/>
                <w:sz w:val="20"/>
              </w:rPr>
            </w:pPr>
          </w:p>
        </w:tc>
        <w:tc>
          <w:tcPr>
            <w:tcW w:w="2272" w:type="dxa"/>
            <w:tcBorders>
              <w:top w:val="nil"/>
              <w:left w:val="nil"/>
              <w:bottom w:val="nil"/>
              <w:right w:val="nil"/>
            </w:tcBorders>
            <w:shd w:val="clear" w:color="auto" w:fill="FFFFFF" w:themeFill="background1"/>
            <w:noWrap/>
            <w:vAlign w:val="bottom"/>
          </w:tcPr>
          <w:p w14:paraId="0F223312" w14:textId="77777777" w:rsidR="00613523" w:rsidRPr="00A61F96" w:rsidRDefault="00613523" w:rsidP="00485CD8">
            <w:pPr>
              <w:rPr>
                <w:rFonts w:ascii="Times New Roman" w:hAnsi="Times New Roman" w:cs="Times New Roman"/>
                <w:sz w:val="20"/>
              </w:rPr>
            </w:pPr>
          </w:p>
        </w:tc>
      </w:tr>
      <w:tr w:rsidR="00613523" w:rsidRPr="00A72838" w14:paraId="4E3BDED4" w14:textId="77777777" w:rsidTr="00485CD8">
        <w:trPr>
          <w:trHeight w:val="810"/>
        </w:trPr>
        <w:tc>
          <w:tcPr>
            <w:tcW w:w="12137" w:type="dxa"/>
            <w:gridSpan w:val="4"/>
            <w:tcBorders>
              <w:top w:val="nil"/>
              <w:left w:val="nil"/>
              <w:bottom w:val="nil"/>
              <w:right w:val="nil"/>
            </w:tcBorders>
            <w:shd w:val="clear" w:color="auto" w:fill="FFFFFF" w:themeFill="background1"/>
            <w:vAlign w:val="center"/>
            <w:hideMark/>
          </w:tcPr>
          <w:p w14:paraId="67840189" w14:textId="48B49C5C" w:rsidR="00613523" w:rsidRPr="00C61709" w:rsidRDefault="00613523" w:rsidP="00485CD8">
            <w:pPr>
              <w:jc w:val="center"/>
              <w:rPr>
                <w:rFonts w:ascii="Arial Narrow" w:hAnsi="Arial Narrow"/>
                <w:b/>
                <w:bCs/>
                <w:color w:val="002839"/>
                <w:sz w:val="28"/>
                <w:szCs w:val="28"/>
              </w:rPr>
            </w:pPr>
            <w:r>
              <w:rPr>
                <w:rFonts w:ascii="Arial Narrow" w:hAnsi="Arial Narrow"/>
                <w:b/>
                <w:sz w:val="28"/>
              </w:rPr>
              <w:t>Projet du Plan d</w:t>
            </w:r>
            <w:r w:rsidR="007A316D">
              <w:rPr>
                <w:rFonts w:ascii="Arial Narrow" w:hAnsi="Arial Narrow"/>
                <w:b/>
                <w:sz w:val="28"/>
              </w:rPr>
              <w:t>’</w:t>
            </w:r>
            <w:r>
              <w:rPr>
                <w:rFonts w:ascii="Arial Narrow" w:hAnsi="Arial Narrow"/>
                <w:b/>
                <w:sz w:val="28"/>
              </w:rPr>
              <w:t>action pour le développement relatif au développement de la filière musicale et des nouveaux modèles économiques de la musique au Burkina Faso et dans tous les autres pays de l</w:t>
            </w:r>
            <w:r w:rsidR="007A316D">
              <w:rPr>
                <w:rFonts w:ascii="Arial Narrow" w:hAnsi="Arial Narrow"/>
                <w:b/>
                <w:sz w:val="28"/>
              </w:rPr>
              <w:t>’</w:t>
            </w:r>
            <w:r>
              <w:rPr>
                <w:rFonts w:ascii="Arial Narrow" w:hAnsi="Arial Narrow"/>
                <w:b/>
                <w:sz w:val="28"/>
              </w:rPr>
              <w:t>Union économique et monétaire ouest</w:t>
            </w:r>
            <w:r w:rsidR="007A316D">
              <w:rPr>
                <w:rFonts w:ascii="Arial Narrow" w:hAnsi="Arial Narrow"/>
                <w:b/>
                <w:sz w:val="28"/>
              </w:rPr>
              <w:t>-</w:t>
            </w:r>
            <w:r>
              <w:rPr>
                <w:rFonts w:ascii="Arial Narrow" w:hAnsi="Arial Narrow"/>
                <w:b/>
                <w:sz w:val="28"/>
              </w:rPr>
              <w:t>africaine (UEMOA)</w:t>
            </w:r>
          </w:p>
        </w:tc>
      </w:tr>
      <w:tr w:rsidR="00613523" w:rsidRPr="00A72838" w14:paraId="70725D45" w14:textId="77777777" w:rsidTr="00485CD8">
        <w:trPr>
          <w:trHeight w:val="263"/>
        </w:trPr>
        <w:tc>
          <w:tcPr>
            <w:tcW w:w="5904" w:type="dxa"/>
            <w:tcBorders>
              <w:top w:val="nil"/>
              <w:left w:val="nil"/>
              <w:bottom w:val="single" w:sz="4" w:space="0" w:color="005172"/>
              <w:right w:val="nil"/>
            </w:tcBorders>
            <w:shd w:val="clear" w:color="auto" w:fill="FFFFFF" w:themeFill="background1"/>
            <w:noWrap/>
            <w:vAlign w:val="bottom"/>
            <w:hideMark/>
          </w:tcPr>
          <w:p w14:paraId="69E040BB" w14:textId="77777777" w:rsidR="00613523" w:rsidRPr="00C61709" w:rsidRDefault="00613523" w:rsidP="00485CD8">
            <w:pPr>
              <w:rPr>
                <w:color w:val="000000"/>
                <w:sz w:val="20"/>
              </w:rPr>
            </w:pPr>
            <w:r>
              <w:rPr>
                <w:color w:val="000000"/>
                <w:sz w:val="20"/>
              </w:rPr>
              <w:t> </w:t>
            </w:r>
          </w:p>
        </w:tc>
        <w:tc>
          <w:tcPr>
            <w:tcW w:w="2257" w:type="dxa"/>
            <w:tcBorders>
              <w:top w:val="nil"/>
              <w:left w:val="nil"/>
              <w:bottom w:val="single" w:sz="4" w:space="0" w:color="005172"/>
              <w:right w:val="nil"/>
            </w:tcBorders>
            <w:shd w:val="clear" w:color="auto" w:fill="FFFFFF" w:themeFill="background1"/>
            <w:noWrap/>
            <w:vAlign w:val="bottom"/>
            <w:hideMark/>
          </w:tcPr>
          <w:p w14:paraId="5B203E58" w14:textId="77777777" w:rsidR="00613523" w:rsidRPr="00C61709" w:rsidRDefault="00613523" w:rsidP="00485CD8">
            <w:pPr>
              <w:rPr>
                <w:color w:val="000000"/>
                <w:sz w:val="20"/>
              </w:rPr>
            </w:pPr>
            <w:r>
              <w:rPr>
                <w:color w:val="000000"/>
                <w:sz w:val="20"/>
              </w:rPr>
              <w:t> </w:t>
            </w:r>
          </w:p>
        </w:tc>
        <w:tc>
          <w:tcPr>
            <w:tcW w:w="1704" w:type="dxa"/>
            <w:tcBorders>
              <w:top w:val="nil"/>
              <w:left w:val="nil"/>
              <w:bottom w:val="single" w:sz="4" w:space="0" w:color="005172"/>
              <w:right w:val="nil"/>
            </w:tcBorders>
            <w:shd w:val="clear" w:color="auto" w:fill="FFFFFF" w:themeFill="background1"/>
            <w:noWrap/>
            <w:vAlign w:val="bottom"/>
            <w:hideMark/>
          </w:tcPr>
          <w:p w14:paraId="7F048BD5" w14:textId="77777777" w:rsidR="00613523" w:rsidRPr="00C61709" w:rsidRDefault="00613523" w:rsidP="00485CD8">
            <w:pPr>
              <w:rPr>
                <w:color w:val="000000"/>
                <w:sz w:val="20"/>
              </w:rPr>
            </w:pPr>
            <w:r>
              <w:rPr>
                <w:color w:val="000000"/>
                <w:sz w:val="20"/>
              </w:rPr>
              <w:t> </w:t>
            </w:r>
          </w:p>
        </w:tc>
        <w:tc>
          <w:tcPr>
            <w:tcW w:w="2272" w:type="dxa"/>
            <w:tcBorders>
              <w:top w:val="nil"/>
              <w:left w:val="nil"/>
              <w:bottom w:val="single" w:sz="4" w:space="0" w:color="005172"/>
              <w:right w:val="nil"/>
            </w:tcBorders>
            <w:shd w:val="clear" w:color="auto" w:fill="FFFFFF" w:themeFill="background1"/>
            <w:noWrap/>
            <w:vAlign w:val="bottom"/>
            <w:hideMark/>
          </w:tcPr>
          <w:p w14:paraId="6C7570B9" w14:textId="77777777" w:rsidR="00613523" w:rsidRPr="00C61709" w:rsidRDefault="00613523" w:rsidP="00485CD8">
            <w:pPr>
              <w:rPr>
                <w:color w:val="000000"/>
                <w:sz w:val="20"/>
              </w:rPr>
            </w:pPr>
            <w:r>
              <w:rPr>
                <w:color w:val="000000"/>
                <w:sz w:val="20"/>
              </w:rPr>
              <w:t> </w:t>
            </w:r>
          </w:p>
        </w:tc>
      </w:tr>
      <w:tr w:rsidR="00613523" w:rsidRPr="00A72838" w14:paraId="728BED54" w14:textId="77777777" w:rsidTr="00485CD8">
        <w:trPr>
          <w:trHeight w:val="327"/>
        </w:trPr>
        <w:tc>
          <w:tcPr>
            <w:tcW w:w="5904" w:type="dxa"/>
            <w:tcBorders>
              <w:top w:val="nil"/>
              <w:left w:val="nil"/>
              <w:bottom w:val="nil"/>
              <w:right w:val="nil"/>
            </w:tcBorders>
            <w:shd w:val="clear" w:color="auto" w:fill="FFFFFF" w:themeFill="background1"/>
            <w:noWrap/>
            <w:vAlign w:val="bottom"/>
            <w:hideMark/>
          </w:tcPr>
          <w:p w14:paraId="6E7107D7" w14:textId="77777777" w:rsidR="00613523" w:rsidRPr="00C61709" w:rsidRDefault="00613523" w:rsidP="00485CD8">
            <w:pPr>
              <w:rPr>
                <w:rFonts w:ascii="Times New Roman" w:hAnsi="Times New Roman" w:cs="Times New Roman"/>
                <w:sz w:val="20"/>
              </w:rPr>
            </w:pPr>
          </w:p>
        </w:tc>
        <w:tc>
          <w:tcPr>
            <w:tcW w:w="2257" w:type="dxa"/>
            <w:tcBorders>
              <w:top w:val="nil"/>
              <w:left w:val="nil"/>
              <w:bottom w:val="nil"/>
              <w:right w:val="nil"/>
            </w:tcBorders>
            <w:shd w:val="clear" w:color="auto" w:fill="FFFFFF" w:themeFill="background1"/>
            <w:noWrap/>
            <w:vAlign w:val="bottom"/>
            <w:hideMark/>
          </w:tcPr>
          <w:p w14:paraId="0146B2FA" w14:textId="77777777" w:rsidR="00613523" w:rsidRPr="00C61709" w:rsidRDefault="00613523" w:rsidP="00485CD8">
            <w:pPr>
              <w:rPr>
                <w:rFonts w:ascii="Times New Roman" w:hAnsi="Times New Roman" w:cs="Times New Roman"/>
                <w:sz w:val="20"/>
              </w:rPr>
            </w:pPr>
          </w:p>
        </w:tc>
        <w:tc>
          <w:tcPr>
            <w:tcW w:w="1704" w:type="dxa"/>
            <w:tcBorders>
              <w:top w:val="nil"/>
              <w:left w:val="nil"/>
              <w:bottom w:val="nil"/>
              <w:right w:val="nil"/>
            </w:tcBorders>
            <w:shd w:val="clear" w:color="auto" w:fill="FFFFFF" w:themeFill="background1"/>
            <w:noWrap/>
            <w:vAlign w:val="bottom"/>
            <w:hideMark/>
          </w:tcPr>
          <w:p w14:paraId="104CDBA4" w14:textId="77777777" w:rsidR="00613523" w:rsidRPr="00C61709" w:rsidRDefault="00613523" w:rsidP="00485CD8">
            <w:pPr>
              <w:rPr>
                <w:rFonts w:ascii="Times New Roman" w:hAnsi="Times New Roman" w:cs="Times New Roman"/>
                <w:sz w:val="20"/>
              </w:rPr>
            </w:pPr>
          </w:p>
        </w:tc>
        <w:tc>
          <w:tcPr>
            <w:tcW w:w="2272" w:type="dxa"/>
            <w:tcBorders>
              <w:top w:val="nil"/>
              <w:left w:val="nil"/>
              <w:bottom w:val="nil"/>
              <w:right w:val="nil"/>
            </w:tcBorders>
            <w:shd w:val="clear" w:color="auto" w:fill="FFFFFF" w:themeFill="background1"/>
            <w:noWrap/>
            <w:vAlign w:val="bottom"/>
            <w:hideMark/>
          </w:tcPr>
          <w:p w14:paraId="6F92EC9B" w14:textId="77777777" w:rsidR="00613523" w:rsidRPr="00C61709" w:rsidRDefault="00613523" w:rsidP="00485CD8">
            <w:pPr>
              <w:rPr>
                <w:rFonts w:ascii="Times New Roman" w:hAnsi="Times New Roman" w:cs="Times New Roman"/>
                <w:sz w:val="20"/>
              </w:rPr>
            </w:pPr>
          </w:p>
        </w:tc>
      </w:tr>
      <w:tr w:rsidR="00613523" w:rsidRPr="00A72838" w14:paraId="50C77501" w14:textId="77777777" w:rsidTr="00485CD8">
        <w:trPr>
          <w:trHeight w:val="396"/>
        </w:trPr>
        <w:tc>
          <w:tcPr>
            <w:tcW w:w="12137" w:type="dxa"/>
            <w:gridSpan w:val="4"/>
            <w:tcBorders>
              <w:top w:val="nil"/>
              <w:left w:val="nil"/>
              <w:bottom w:val="nil"/>
              <w:right w:val="nil"/>
            </w:tcBorders>
            <w:shd w:val="clear" w:color="auto" w:fill="FFFFFF" w:themeFill="background1"/>
            <w:noWrap/>
            <w:vAlign w:val="bottom"/>
            <w:hideMark/>
          </w:tcPr>
          <w:p w14:paraId="7D1CB137" w14:textId="77777777" w:rsidR="00613523" w:rsidRPr="00C61709" w:rsidRDefault="00613523" w:rsidP="00485CD8">
            <w:pPr>
              <w:jc w:val="center"/>
              <w:rPr>
                <w:rFonts w:ascii="Arial Narrow" w:hAnsi="Arial Narrow"/>
                <w:b/>
                <w:bCs/>
                <w:color w:val="002839"/>
              </w:rPr>
            </w:pPr>
            <w:r>
              <w:rPr>
                <w:rFonts w:ascii="Arial Narrow" w:hAnsi="Arial Narrow"/>
                <w:b/>
                <w:color w:val="002839"/>
              </w:rPr>
              <w:t>Utilisation des ressources à fin juin 2025</w:t>
            </w:r>
          </w:p>
        </w:tc>
      </w:tr>
      <w:tr w:rsidR="00613523" w:rsidRPr="00A61F96" w14:paraId="55EBF802" w14:textId="77777777" w:rsidTr="00485CD8">
        <w:trPr>
          <w:trHeight w:val="396"/>
        </w:trPr>
        <w:tc>
          <w:tcPr>
            <w:tcW w:w="12137" w:type="dxa"/>
            <w:gridSpan w:val="4"/>
            <w:tcBorders>
              <w:top w:val="nil"/>
              <w:left w:val="nil"/>
              <w:bottom w:val="nil"/>
              <w:right w:val="nil"/>
            </w:tcBorders>
            <w:shd w:val="clear" w:color="auto" w:fill="FFFFFF" w:themeFill="background1"/>
            <w:noWrap/>
            <w:vAlign w:val="bottom"/>
            <w:hideMark/>
          </w:tcPr>
          <w:p w14:paraId="0EE0821B" w14:textId="77777777" w:rsidR="00613523" w:rsidRPr="00A61F96" w:rsidRDefault="00613523" w:rsidP="00485CD8">
            <w:pPr>
              <w:jc w:val="center"/>
              <w:rPr>
                <w:rFonts w:ascii="Arial Narrow" w:hAnsi="Arial Narrow"/>
                <w:i/>
                <w:iCs/>
                <w:color w:val="002839"/>
                <w:sz w:val="20"/>
              </w:rPr>
            </w:pPr>
            <w:r>
              <w:rPr>
                <w:rFonts w:ascii="Arial Narrow" w:hAnsi="Arial Narrow"/>
                <w:i/>
                <w:color w:val="002839"/>
                <w:sz w:val="20"/>
              </w:rPr>
              <w:t>(</w:t>
            </w:r>
            <w:proofErr w:type="gramStart"/>
            <w:r>
              <w:rPr>
                <w:rFonts w:ascii="Arial Narrow" w:hAnsi="Arial Narrow"/>
                <w:i/>
                <w:color w:val="002839"/>
                <w:sz w:val="20"/>
              </w:rPr>
              <w:t>en</w:t>
            </w:r>
            <w:proofErr w:type="gramEnd"/>
            <w:r>
              <w:rPr>
                <w:rFonts w:ascii="Arial Narrow" w:hAnsi="Arial Narrow"/>
                <w:i/>
                <w:color w:val="002839"/>
                <w:sz w:val="20"/>
              </w:rPr>
              <w:t xml:space="preserve"> francs suisses)</w:t>
            </w:r>
          </w:p>
        </w:tc>
      </w:tr>
      <w:tr w:rsidR="00613523" w:rsidRPr="00A61F96" w14:paraId="5DB6E82D" w14:textId="77777777" w:rsidTr="00485CD8">
        <w:trPr>
          <w:trHeight w:val="413"/>
        </w:trPr>
        <w:tc>
          <w:tcPr>
            <w:tcW w:w="5904" w:type="dxa"/>
            <w:tcBorders>
              <w:top w:val="nil"/>
              <w:left w:val="nil"/>
              <w:bottom w:val="nil"/>
              <w:right w:val="nil"/>
            </w:tcBorders>
            <w:shd w:val="clear" w:color="auto" w:fill="FFFFFF" w:themeFill="background1"/>
            <w:noWrap/>
            <w:vAlign w:val="bottom"/>
            <w:hideMark/>
          </w:tcPr>
          <w:p w14:paraId="58965964" w14:textId="77777777" w:rsidR="00613523" w:rsidRPr="00A61F96" w:rsidRDefault="00613523" w:rsidP="00485CD8">
            <w:pPr>
              <w:rPr>
                <w:rFonts w:ascii="Times New Roman" w:hAnsi="Times New Roman" w:cs="Times New Roman"/>
                <w:sz w:val="20"/>
              </w:rPr>
            </w:pPr>
          </w:p>
        </w:tc>
        <w:tc>
          <w:tcPr>
            <w:tcW w:w="2257" w:type="dxa"/>
            <w:tcBorders>
              <w:top w:val="nil"/>
              <w:left w:val="nil"/>
              <w:bottom w:val="nil"/>
              <w:right w:val="nil"/>
            </w:tcBorders>
            <w:shd w:val="clear" w:color="auto" w:fill="FFFFFF" w:themeFill="background1"/>
            <w:noWrap/>
            <w:vAlign w:val="bottom"/>
            <w:hideMark/>
          </w:tcPr>
          <w:p w14:paraId="1AF0240D" w14:textId="77777777" w:rsidR="00613523" w:rsidRPr="00A61F96" w:rsidRDefault="00613523" w:rsidP="00485CD8">
            <w:pPr>
              <w:rPr>
                <w:rFonts w:ascii="Times New Roman" w:hAnsi="Times New Roman" w:cs="Times New Roman"/>
                <w:sz w:val="20"/>
              </w:rPr>
            </w:pPr>
          </w:p>
        </w:tc>
        <w:tc>
          <w:tcPr>
            <w:tcW w:w="1704" w:type="dxa"/>
            <w:tcBorders>
              <w:top w:val="nil"/>
              <w:left w:val="nil"/>
              <w:bottom w:val="nil"/>
              <w:right w:val="nil"/>
            </w:tcBorders>
            <w:shd w:val="clear" w:color="auto" w:fill="FFFFFF" w:themeFill="background1"/>
            <w:noWrap/>
            <w:vAlign w:val="bottom"/>
            <w:hideMark/>
          </w:tcPr>
          <w:p w14:paraId="09A3CE95" w14:textId="77777777" w:rsidR="00613523" w:rsidRPr="00A61F96" w:rsidRDefault="00613523" w:rsidP="00485CD8">
            <w:pPr>
              <w:rPr>
                <w:rFonts w:ascii="Times New Roman" w:hAnsi="Times New Roman" w:cs="Times New Roman"/>
                <w:sz w:val="20"/>
              </w:rPr>
            </w:pPr>
          </w:p>
        </w:tc>
        <w:tc>
          <w:tcPr>
            <w:tcW w:w="2272" w:type="dxa"/>
            <w:tcBorders>
              <w:top w:val="nil"/>
              <w:left w:val="nil"/>
              <w:bottom w:val="nil"/>
              <w:right w:val="nil"/>
            </w:tcBorders>
            <w:shd w:val="clear" w:color="auto" w:fill="FFFFFF" w:themeFill="background1"/>
            <w:noWrap/>
            <w:vAlign w:val="bottom"/>
            <w:hideMark/>
          </w:tcPr>
          <w:p w14:paraId="6C38E505" w14:textId="77777777" w:rsidR="00613523" w:rsidRPr="00A61F96" w:rsidRDefault="00613523" w:rsidP="00485CD8">
            <w:pPr>
              <w:rPr>
                <w:rFonts w:ascii="Times New Roman" w:hAnsi="Times New Roman" w:cs="Times New Roman"/>
                <w:sz w:val="20"/>
              </w:rPr>
            </w:pPr>
          </w:p>
        </w:tc>
      </w:tr>
      <w:tr w:rsidR="00613523" w:rsidRPr="00A61F96" w14:paraId="369CC30B" w14:textId="77777777" w:rsidTr="00485CD8">
        <w:trPr>
          <w:trHeight w:val="741"/>
        </w:trPr>
        <w:tc>
          <w:tcPr>
            <w:tcW w:w="5904" w:type="dxa"/>
            <w:tcBorders>
              <w:top w:val="nil"/>
              <w:left w:val="nil"/>
              <w:bottom w:val="nil"/>
              <w:right w:val="nil"/>
            </w:tcBorders>
            <w:shd w:val="clear" w:color="auto" w:fill="C7CFD8"/>
            <w:noWrap/>
            <w:vAlign w:val="center"/>
            <w:hideMark/>
          </w:tcPr>
          <w:p w14:paraId="4CF5EDD3" w14:textId="77777777" w:rsidR="00613523" w:rsidRPr="00A61F96" w:rsidRDefault="00613523" w:rsidP="00485CD8">
            <w:pPr>
              <w:rPr>
                <w:rFonts w:ascii="Arial Narrow" w:hAnsi="Arial Narrow"/>
                <w:b/>
                <w:bCs/>
                <w:color w:val="002839"/>
              </w:rPr>
            </w:pPr>
            <w:r>
              <w:rPr>
                <w:rFonts w:ascii="Arial Narrow" w:hAnsi="Arial Narrow"/>
                <w:b/>
                <w:color w:val="002839"/>
              </w:rPr>
              <w:t xml:space="preserve">Catégorie de coûts </w:t>
            </w:r>
          </w:p>
        </w:tc>
        <w:tc>
          <w:tcPr>
            <w:tcW w:w="2257" w:type="dxa"/>
            <w:tcBorders>
              <w:top w:val="nil"/>
              <w:left w:val="nil"/>
              <w:bottom w:val="nil"/>
              <w:right w:val="nil"/>
            </w:tcBorders>
            <w:shd w:val="clear" w:color="auto" w:fill="C7CFD8"/>
            <w:vAlign w:val="center"/>
            <w:hideMark/>
          </w:tcPr>
          <w:p w14:paraId="11B18B93" w14:textId="77777777" w:rsidR="00613523" w:rsidRPr="00A61F96" w:rsidRDefault="00613523" w:rsidP="00485CD8">
            <w:pPr>
              <w:rPr>
                <w:rFonts w:ascii="Arial Narrow" w:hAnsi="Arial Narrow"/>
                <w:b/>
                <w:bCs/>
                <w:color w:val="002839"/>
              </w:rPr>
            </w:pPr>
            <w:r>
              <w:rPr>
                <w:rFonts w:ascii="Arial Narrow" w:hAnsi="Arial Narrow"/>
                <w:b/>
                <w:color w:val="002839"/>
              </w:rPr>
              <w:t>Budget du projet</w:t>
            </w:r>
          </w:p>
        </w:tc>
        <w:tc>
          <w:tcPr>
            <w:tcW w:w="1704" w:type="dxa"/>
            <w:tcBorders>
              <w:top w:val="nil"/>
              <w:left w:val="nil"/>
              <w:bottom w:val="nil"/>
              <w:right w:val="nil"/>
            </w:tcBorders>
            <w:shd w:val="clear" w:color="auto" w:fill="C7CFD8"/>
            <w:vAlign w:val="center"/>
            <w:hideMark/>
          </w:tcPr>
          <w:p w14:paraId="63444AA9" w14:textId="77777777" w:rsidR="00613523" w:rsidRPr="00867523" w:rsidRDefault="00613523" w:rsidP="00485CD8">
            <w:pPr>
              <w:rPr>
                <w:rFonts w:ascii="Arial Narrow" w:hAnsi="Arial Narrow"/>
                <w:b/>
                <w:bCs/>
                <w:color w:val="002839"/>
                <w:vertAlign w:val="superscript"/>
              </w:rPr>
            </w:pPr>
            <w:r>
              <w:rPr>
                <w:rFonts w:ascii="Arial Narrow" w:hAnsi="Arial Narrow"/>
                <w:b/>
                <w:color w:val="002839"/>
              </w:rPr>
              <w:t>Dépenses</w:t>
            </w:r>
            <w:r>
              <w:rPr>
                <w:rFonts w:ascii="Arial Narrow" w:hAnsi="Arial Narrow"/>
                <w:b/>
                <w:color w:val="002839"/>
                <w:vertAlign w:val="superscript"/>
              </w:rPr>
              <w:t>1</w:t>
            </w:r>
          </w:p>
        </w:tc>
        <w:tc>
          <w:tcPr>
            <w:tcW w:w="2272" w:type="dxa"/>
            <w:tcBorders>
              <w:top w:val="nil"/>
              <w:left w:val="nil"/>
              <w:bottom w:val="nil"/>
              <w:right w:val="nil"/>
            </w:tcBorders>
            <w:shd w:val="clear" w:color="auto" w:fill="C7CFD8"/>
            <w:vAlign w:val="center"/>
            <w:hideMark/>
          </w:tcPr>
          <w:p w14:paraId="4DF12171" w14:textId="75F1CC42" w:rsidR="00613523" w:rsidRPr="00A61F96" w:rsidRDefault="00613523" w:rsidP="00485CD8">
            <w:pPr>
              <w:rPr>
                <w:rFonts w:ascii="Arial Narrow" w:hAnsi="Arial Narrow"/>
                <w:b/>
                <w:bCs/>
                <w:color w:val="002839"/>
              </w:rPr>
            </w:pPr>
            <w:r>
              <w:rPr>
                <w:rFonts w:ascii="Arial Narrow" w:hAnsi="Arial Narrow"/>
                <w:b/>
                <w:color w:val="002839"/>
              </w:rPr>
              <w:t>Utilisation du budget</w:t>
            </w:r>
          </w:p>
        </w:tc>
      </w:tr>
      <w:tr w:rsidR="00613523" w:rsidRPr="00A61F96" w14:paraId="339CAAA4" w14:textId="77777777" w:rsidTr="00485CD8">
        <w:trPr>
          <w:trHeight w:val="655"/>
        </w:trPr>
        <w:tc>
          <w:tcPr>
            <w:tcW w:w="5904" w:type="dxa"/>
            <w:tcBorders>
              <w:top w:val="nil"/>
              <w:left w:val="nil"/>
              <w:bottom w:val="nil"/>
              <w:right w:val="nil"/>
            </w:tcBorders>
            <w:shd w:val="clear" w:color="auto" w:fill="FFFFFF" w:themeFill="background1"/>
            <w:vAlign w:val="center"/>
            <w:hideMark/>
          </w:tcPr>
          <w:p w14:paraId="36F3526A" w14:textId="77777777" w:rsidR="00613523" w:rsidRPr="00A61F96" w:rsidRDefault="00613523" w:rsidP="00485CD8">
            <w:pPr>
              <w:rPr>
                <w:rFonts w:ascii="Arial Narrow" w:hAnsi="Arial Narrow"/>
                <w:color w:val="002839"/>
              </w:rPr>
            </w:pPr>
            <w:r>
              <w:rPr>
                <w:rFonts w:ascii="Arial Narrow" w:hAnsi="Arial Narrow"/>
                <w:color w:val="002839"/>
              </w:rPr>
              <w:t>Ressources en personnel</w:t>
            </w:r>
          </w:p>
        </w:tc>
        <w:tc>
          <w:tcPr>
            <w:tcW w:w="2257" w:type="dxa"/>
            <w:tcBorders>
              <w:top w:val="nil"/>
              <w:left w:val="nil"/>
              <w:bottom w:val="nil"/>
              <w:right w:val="nil"/>
            </w:tcBorders>
            <w:shd w:val="clear" w:color="auto" w:fill="FFFFFF" w:themeFill="background1"/>
            <w:noWrap/>
            <w:vAlign w:val="center"/>
            <w:hideMark/>
          </w:tcPr>
          <w:p w14:paraId="2FAD890C" w14:textId="7B3E362E" w:rsidR="00613523" w:rsidRPr="00A61F96" w:rsidRDefault="00613523" w:rsidP="004766E0">
            <w:pPr>
              <w:jc w:val="right"/>
              <w:rPr>
                <w:rFonts w:ascii="Arial Narrow" w:hAnsi="Arial Narrow"/>
                <w:color w:val="002839"/>
              </w:rPr>
            </w:pPr>
            <w:r>
              <w:rPr>
                <w:rFonts w:ascii="Arial Narrow" w:hAnsi="Arial Narrow"/>
                <w:color w:val="002839"/>
              </w:rPr>
              <w:t>114 200</w:t>
            </w:r>
          </w:p>
        </w:tc>
        <w:tc>
          <w:tcPr>
            <w:tcW w:w="1704" w:type="dxa"/>
            <w:tcBorders>
              <w:top w:val="nil"/>
              <w:left w:val="nil"/>
              <w:bottom w:val="nil"/>
              <w:right w:val="nil"/>
            </w:tcBorders>
            <w:shd w:val="clear" w:color="auto" w:fill="FFFFFF" w:themeFill="background1"/>
            <w:vAlign w:val="center"/>
            <w:hideMark/>
          </w:tcPr>
          <w:p w14:paraId="2F6F5159" w14:textId="37E5BCA6" w:rsidR="00613523" w:rsidRPr="00A72838" w:rsidRDefault="00613523" w:rsidP="004766E0">
            <w:pPr>
              <w:jc w:val="right"/>
              <w:rPr>
                <w:rFonts w:ascii="Arial Narrow" w:hAnsi="Arial Narrow"/>
                <w:color w:val="000000"/>
              </w:rPr>
            </w:pPr>
            <w:r>
              <w:rPr>
                <w:rFonts w:ascii="Arial Narrow" w:hAnsi="Arial Narrow"/>
                <w:color w:val="000000"/>
              </w:rPr>
              <w:t xml:space="preserve"> </w:t>
            </w:r>
            <w:r>
              <w:rPr>
                <w:rFonts w:ascii="Arial Narrow" w:hAnsi="Arial Narrow"/>
                <w:color w:val="000000"/>
              </w:rPr>
              <w:t xml:space="preserve"> – </w:t>
            </w:r>
            <w:r>
              <w:rPr>
                <w:rFonts w:ascii="Arial Narrow" w:hAnsi="Arial Narrow"/>
                <w:color w:val="000000"/>
              </w:rPr>
              <w:t xml:space="preserve"> </w:t>
            </w:r>
          </w:p>
        </w:tc>
        <w:tc>
          <w:tcPr>
            <w:tcW w:w="2272" w:type="dxa"/>
            <w:tcBorders>
              <w:top w:val="nil"/>
              <w:left w:val="nil"/>
              <w:bottom w:val="nil"/>
              <w:right w:val="nil"/>
            </w:tcBorders>
            <w:shd w:val="clear" w:color="auto" w:fill="FFFFFF" w:themeFill="background1"/>
            <w:vAlign w:val="center"/>
            <w:hideMark/>
          </w:tcPr>
          <w:p w14:paraId="5C90A1D1" w14:textId="77777777" w:rsidR="00613523" w:rsidRPr="00A61F96" w:rsidRDefault="00613523" w:rsidP="004766E0">
            <w:pPr>
              <w:jc w:val="right"/>
              <w:rPr>
                <w:rFonts w:ascii="Arial Narrow" w:hAnsi="Arial Narrow"/>
                <w:color w:val="000000"/>
              </w:rPr>
            </w:pPr>
            <w:r>
              <w:rPr>
                <w:rFonts w:ascii="Arial Narrow" w:hAnsi="Arial Narrow"/>
                <w:color w:val="000000"/>
              </w:rPr>
              <w:t>0%</w:t>
            </w:r>
          </w:p>
        </w:tc>
      </w:tr>
      <w:tr w:rsidR="00613523" w:rsidRPr="00A61F96" w14:paraId="3C88AB1F" w14:textId="77777777" w:rsidTr="00485CD8">
        <w:trPr>
          <w:trHeight w:val="568"/>
        </w:trPr>
        <w:tc>
          <w:tcPr>
            <w:tcW w:w="5904" w:type="dxa"/>
            <w:tcBorders>
              <w:top w:val="nil"/>
              <w:left w:val="nil"/>
              <w:bottom w:val="nil"/>
              <w:right w:val="nil"/>
            </w:tcBorders>
            <w:shd w:val="clear" w:color="auto" w:fill="FFFFFF" w:themeFill="background1"/>
            <w:vAlign w:val="center"/>
            <w:hideMark/>
          </w:tcPr>
          <w:p w14:paraId="1C4B15A5" w14:textId="77777777" w:rsidR="00613523" w:rsidRPr="00A61F96" w:rsidRDefault="00613523" w:rsidP="00485CD8">
            <w:pPr>
              <w:rPr>
                <w:rFonts w:ascii="Arial Narrow" w:hAnsi="Arial Narrow"/>
                <w:color w:val="002839"/>
              </w:rPr>
            </w:pPr>
            <w:r>
              <w:rPr>
                <w:rFonts w:ascii="Arial Narrow" w:hAnsi="Arial Narrow"/>
                <w:color w:val="002839"/>
              </w:rPr>
              <w:t>Autres ressources</w:t>
            </w:r>
          </w:p>
        </w:tc>
        <w:tc>
          <w:tcPr>
            <w:tcW w:w="2257" w:type="dxa"/>
            <w:tcBorders>
              <w:top w:val="nil"/>
              <w:left w:val="nil"/>
              <w:bottom w:val="nil"/>
              <w:right w:val="nil"/>
            </w:tcBorders>
            <w:shd w:val="clear" w:color="auto" w:fill="FFFFFF" w:themeFill="background1"/>
            <w:noWrap/>
            <w:vAlign w:val="center"/>
            <w:hideMark/>
          </w:tcPr>
          <w:p w14:paraId="078A1A09" w14:textId="1CB1865D" w:rsidR="00613523" w:rsidRPr="00A61F96" w:rsidRDefault="00613523" w:rsidP="004766E0">
            <w:pPr>
              <w:jc w:val="right"/>
              <w:rPr>
                <w:rFonts w:ascii="Arial Narrow" w:hAnsi="Arial Narrow"/>
                <w:color w:val="002839"/>
              </w:rPr>
            </w:pPr>
            <w:r>
              <w:rPr>
                <w:rFonts w:ascii="Arial Narrow" w:hAnsi="Arial Narrow"/>
                <w:b/>
                <w:color w:val="002839"/>
              </w:rPr>
              <w:t>454 000</w:t>
            </w:r>
          </w:p>
        </w:tc>
        <w:tc>
          <w:tcPr>
            <w:tcW w:w="1704" w:type="dxa"/>
            <w:tcBorders>
              <w:top w:val="nil"/>
              <w:left w:val="nil"/>
              <w:bottom w:val="nil"/>
              <w:right w:val="nil"/>
            </w:tcBorders>
            <w:shd w:val="clear" w:color="auto" w:fill="FFFFFF" w:themeFill="background1"/>
            <w:vAlign w:val="center"/>
            <w:hideMark/>
          </w:tcPr>
          <w:p w14:paraId="58157C7F" w14:textId="78C66D63" w:rsidR="00613523" w:rsidRPr="00A72838" w:rsidRDefault="00613523" w:rsidP="004766E0">
            <w:pPr>
              <w:jc w:val="right"/>
              <w:rPr>
                <w:rFonts w:ascii="Arial Narrow" w:hAnsi="Arial Narrow"/>
                <w:color w:val="000000"/>
              </w:rPr>
            </w:pPr>
            <w:r>
              <w:rPr>
                <w:rFonts w:ascii="Arial Narrow" w:hAnsi="Arial Narrow"/>
                <w:color w:val="000000"/>
              </w:rPr>
              <w:t>440 498</w:t>
            </w:r>
          </w:p>
        </w:tc>
        <w:tc>
          <w:tcPr>
            <w:tcW w:w="2272" w:type="dxa"/>
            <w:tcBorders>
              <w:top w:val="nil"/>
              <w:left w:val="nil"/>
              <w:bottom w:val="nil"/>
              <w:right w:val="nil"/>
            </w:tcBorders>
            <w:shd w:val="clear" w:color="auto" w:fill="FFFFFF" w:themeFill="background1"/>
            <w:vAlign w:val="center"/>
            <w:hideMark/>
          </w:tcPr>
          <w:p w14:paraId="4B55FAF0" w14:textId="77777777" w:rsidR="00613523" w:rsidRPr="00A61F96" w:rsidRDefault="00613523" w:rsidP="004766E0">
            <w:pPr>
              <w:jc w:val="right"/>
              <w:rPr>
                <w:rFonts w:ascii="Arial Narrow" w:hAnsi="Arial Narrow"/>
                <w:color w:val="000000"/>
              </w:rPr>
            </w:pPr>
            <w:r>
              <w:rPr>
                <w:rFonts w:ascii="Arial Narrow" w:hAnsi="Arial Narrow"/>
                <w:color w:val="000000"/>
              </w:rPr>
              <w:t>78%</w:t>
            </w:r>
          </w:p>
        </w:tc>
      </w:tr>
      <w:tr w:rsidR="00613523" w:rsidRPr="00A61F96" w14:paraId="607A4061" w14:textId="77777777" w:rsidTr="00485CD8">
        <w:trPr>
          <w:trHeight w:val="482"/>
        </w:trPr>
        <w:tc>
          <w:tcPr>
            <w:tcW w:w="5904" w:type="dxa"/>
            <w:tcBorders>
              <w:top w:val="single" w:sz="4" w:space="0" w:color="AAB8C4"/>
              <w:left w:val="nil"/>
              <w:bottom w:val="single" w:sz="8" w:space="0" w:color="AAB8C4"/>
              <w:right w:val="nil"/>
            </w:tcBorders>
            <w:shd w:val="clear" w:color="auto" w:fill="FFFFFF" w:themeFill="background1"/>
            <w:noWrap/>
            <w:vAlign w:val="center"/>
            <w:hideMark/>
          </w:tcPr>
          <w:p w14:paraId="6219873F" w14:textId="77777777" w:rsidR="00613523" w:rsidRPr="00A61F96" w:rsidRDefault="00613523" w:rsidP="00485CD8">
            <w:pPr>
              <w:rPr>
                <w:rFonts w:ascii="Arial Narrow" w:hAnsi="Arial Narrow"/>
                <w:b/>
                <w:bCs/>
                <w:color w:val="002839"/>
              </w:rPr>
            </w:pPr>
            <w:r>
              <w:rPr>
                <w:rFonts w:ascii="Arial Narrow" w:hAnsi="Arial Narrow"/>
                <w:b/>
                <w:color w:val="002839"/>
              </w:rPr>
              <w:t>Total</w:t>
            </w:r>
          </w:p>
        </w:tc>
        <w:tc>
          <w:tcPr>
            <w:tcW w:w="2257" w:type="dxa"/>
            <w:tcBorders>
              <w:top w:val="single" w:sz="4" w:space="0" w:color="AAB8C4"/>
              <w:left w:val="nil"/>
              <w:bottom w:val="single" w:sz="8" w:space="0" w:color="AAB8C4"/>
              <w:right w:val="nil"/>
            </w:tcBorders>
            <w:shd w:val="clear" w:color="auto" w:fill="FFFFFF" w:themeFill="background1"/>
            <w:noWrap/>
            <w:vAlign w:val="center"/>
            <w:hideMark/>
          </w:tcPr>
          <w:p w14:paraId="08666491" w14:textId="617C56CE" w:rsidR="00613523" w:rsidRPr="00A61F96" w:rsidRDefault="00613523" w:rsidP="008705EB">
            <w:pPr>
              <w:jc w:val="right"/>
              <w:rPr>
                <w:rFonts w:ascii="Arial Narrow" w:hAnsi="Arial Narrow"/>
                <w:b/>
                <w:bCs/>
                <w:color w:val="002839"/>
              </w:rPr>
            </w:pPr>
            <w:r>
              <w:rPr>
                <w:rFonts w:ascii="Arial Narrow" w:hAnsi="Arial Narrow"/>
                <w:b/>
                <w:color w:val="002839"/>
              </w:rPr>
              <w:t>568 200</w:t>
            </w:r>
          </w:p>
        </w:tc>
        <w:tc>
          <w:tcPr>
            <w:tcW w:w="1704" w:type="dxa"/>
            <w:tcBorders>
              <w:top w:val="single" w:sz="4" w:space="0" w:color="AAB8C4"/>
              <w:left w:val="nil"/>
              <w:bottom w:val="single" w:sz="8" w:space="0" w:color="AAB8C4"/>
              <w:right w:val="nil"/>
            </w:tcBorders>
            <w:shd w:val="clear" w:color="auto" w:fill="FFFFFF" w:themeFill="background1"/>
            <w:noWrap/>
            <w:vAlign w:val="center"/>
            <w:hideMark/>
          </w:tcPr>
          <w:p w14:paraId="5B2CB8A2" w14:textId="7A1AFF70" w:rsidR="00613523" w:rsidRPr="00A72838" w:rsidRDefault="00613523" w:rsidP="008705EB">
            <w:pPr>
              <w:jc w:val="right"/>
              <w:rPr>
                <w:rFonts w:ascii="Arial Narrow" w:hAnsi="Arial Narrow"/>
                <w:b/>
                <w:bCs/>
                <w:color w:val="002839"/>
              </w:rPr>
            </w:pPr>
            <w:r>
              <w:rPr>
                <w:rFonts w:ascii="Arial Narrow" w:hAnsi="Arial Narrow"/>
                <w:b/>
                <w:color w:val="002839"/>
              </w:rPr>
              <w:t>440 498</w:t>
            </w:r>
          </w:p>
        </w:tc>
        <w:tc>
          <w:tcPr>
            <w:tcW w:w="2272" w:type="dxa"/>
            <w:tcBorders>
              <w:top w:val="single" w:sz="4" w:space="0" w:color="AAB8C4"/>
              <w:left w:val="nil"/>
              <w:bottom w:val="single" w:sz="8" w:space="0" w:color="AAB8C4"/>
              <w:right w:val="nil"/>
            </w:tcBorders>
            <w:shd w:val="clear" w:color="auto" w:fill="FFFFFF" w:themeFill="background1"/>
            <w:noWrap/>
            <w:vAlign w:val="center"/>
            <w:hideMark/>
          </w:tcPr>
          <w:p w14:paraId="5DB41443" w14:textId="77777777" w:rsidR="00613523" w:rsidRPr="00A61F96" w:rsidRDefault="00613523" w:rsidP="008705EB">
            <w:pPr>
              <w:jc w:val="right"/>
              <w:rPr>
                <w:rFonts w:ascii="Arial Narrow" w:hAnsi="Arial Narrow"/>
                <w:b/>
                <w:bCs/>
                <w:color w:val="002839"/>
              </w:rPr>
            </w:pPr>
            <w:r>
              <w:rPr>
                <w:rFonts w:ascii="Arial Narrow" w:hAnsi="Arial Narrow"/>
                <w:b/>
                <w:color w:val="002839"/>
              </w:rPr>
              <w:t>78%</w:t>
            </w:r>
          </w:p>
        </w:tc>
      </w:tr>
      <w:tr w:rsidR="00613523" w:rsidRPr="00C61709" w14:paraId="53E95A70" w14:textId="77777777" w:rsidTr="00485CD8">
        <w:trPr>
          <w:trHeight w:val="286"/>
        </w:trPr>
        <w:tc>
          <w:tcPr>
            <w:tcW w:w="8161" w:type="dxa"/>
            <w:gridSpan w:val="2"/>
            <w:tcBorders>
              <w:top w:val="nil"/>
              <w:left w:val="nil"/>
              <w:bottom w:val="nil"/>
              <w:right w:val="nil"/>
            </w:tcBorders>
            <w:shd w:val="clear" w:color="auto" w:fill="FFFFFF" w:themeFill="background1"/>
            <w:noWrap/>
            <w:vAlign w:val="bottom"/>
            <w:hideMark/>
          </w:tcPr>
          <w:p w14:paraId="4D04B49C" w14:textId="368F2A6E" w:rsidR="00613523" w:rsidRPr="00C61709" w:rsidRDefault="00613523" w:rsidP="00485CD8">
            <w:pPr>
              <w:rPr>
                <w:rFonts w:ascii="Times New Roman" w:hAnsi="Times New Roman" w:cs="Times New Roman"/>
                <w:sz w:val="20"/>
              </w:rPr>
            </w:pPr>
            <w:r>
              <w:rPr>
                <w:color w:val="002839"/>
                <w:sz w:val="20"/>
                <w:vertAlign w:val="superscript"/>
              </w:rPr>
              <w:t>1</w:t>
            </w:r>
            <w:r>
              <w:rPr>
                <w:color w:val="002839"/>
                <w:sz w:val="20"/>
              </w:rPr>
              <w:t xml:space="preserve"> Exclut les dépenses relatives à l</w:t>
            </w:r>
            <w:r w:rsidR="007A316D">
              <w:rPr>
                <w:color w:val="002839"/>
                <w:sz w:val="20"/>
              </w:rPr>
              <w:t>’</w:t>
            </w:r>
            <w:r>
              <w:rPr>
                <w:color w:val="002839"/>
                <w:sz w:val="20"/>
              </w:rPr>
              <w:t>évaluation du projet.</w:t>
            </w:r>
          </w:p>
        </w:tc>
        <w:tc>
          <w:tcPr>
            <w:tcW w:w="1704" w:type="dxa"/>
            <w:tcBorders>
              <w:top w:val="nil"/>
              <w:left w:val="nil"/>
              <w:bottom w:val="nil"/>
              <w:right w:val="nil"/>
            </w:tcBorders>
            <w:shd w:val="clear" w:color="auto" w:fill="FFFFFF" w:themeFill="background1"/>
            <w:noWrap/>
            <w:vAlign w:val="bottom"/>
            <w:hideMark/>
          </w:tcPr>
          <w:p w14:paraId="4891A9AD" w14:textId="77777777" w:rsidR="00613523" w:rsidRPr="00C61709" w:rsidRDefault="00613523" w:rsidP="00485CD8">
            <w:pPr>
              <w:rPr>
                <w:rFonts w:ascii="Times New Roman" w:hAnsi="Times New Roman" w:cs="Times New Roman"/>
                <w:sz w:val="20"/>
              </w:rPr>
            </w:pPr>
          </w:p>
        </w:tc>
        <w:tc>
          <w:tcPr>
            <w:tcW w:w="2272" w:type="dxa"/>
            <w:tcBorders>
              <w:top w:val="nil"/>
              <w:left w:val="nil"/>
              <w:bottom w:val="nil"/>
              <w:right w:val="nil"/>
            </w:tcBorders>
            <w:shd w:val="clear" w:color="auto" w:fill="FFFFFF" w:themeFill="background1"/>
            <w:noWrap/>
            <w:vAlign w:val="bottom"/>
            <w:hideMark/>
          </w:tcPr>
          <w:p w14:paraId="172725FF" w14:textId="77777777" w:rsidR="00613523" w:rsidRPr="00C61709" w:rsidRDefault="00613523" w:rsidP="00485CD8">
            <w:pPr>
              <w:rPr>
                <w:rFonts w:ascii="Times New Roman" w:hAnsi="Times New Roman" w:cs="Times New Roman"/>
                <w:sz w:val="20"/>
              </w:rPr>
            </w:pPr>
          </w:p>
        </w:tc>
      </w:tr>
      <w:bookmarkEnd w:id="6"/>
    </w:tbl>
    <w:p w14:paraId="3A3F5A5F" w14:textId="77777777" w:rsidR="00613523" w:rsidRDefault="00613523" w:rsidP="00613523">
      <w:pPr>
        <w:tabs>
          <w:tab w:val="left" w:pos="4596"/>
        </w:tabs>
        <w:rPr>
          <w:sz w:val="20"/>
        </w:rPr>
      </w:pPr>
    </w:p>
    <w:p w14:paraId="2B7AC6A1" w14:textId="77777777" w:rsidR="00613523" w:rsidRDefault="00613523" w:rsidP="00613523">
      <w:pPr>
        <w:rPr>
          <w:u w:val="single"/>
        </w:rPr>
      </w:pPr>
    </w:p>
    <w:p w14:paraId="2022D958" w14:textId="77777777" w:rsidR="00613523" w:rsidRPr="00867523" w:rsidRDefault="00613523" w:rsidP="00613523"/>
    <w:p w14:paraId="73F8CA0D" w14:textId="77777777" w:rsidR="00613523" w:rsidRPr="00867523" w:rsidRDefault="00613523" w:rsidP="00613523"/>
    <w:p w14:paraId="2A6C40B2" w14:textId="77777777" w:rsidR="00613523" w:rsidRPr="00867523" w:rsidRDefault="00613523" w:rsidP="00613523"/>
    <w:p w14:paraId="15FABCC4" w14:textId="77777777" w:rsidR="00613523" w:rsidRPr="00867523" w:rsidRDefault="00613523" w:rsidP="00613523"/>
    <w:p w14:paraId="4F286559" w14:textId="77777777" w:rsidR="00613523" w:rsidRPr="00867523" w:rsidRDefault="00613523" w:rsidP="00613523"/>
    <w:p w14:paraId="5BC4DF5F" w14:textId="77777777" w:rsidR="00613523" w:rsidRPr="00867523" w:rsidRDefault="00613523" w:rsidP="00613523"/>
    <w:p w14:paraId="2ABA29C3" w14:textId="77777777" w:rsidR="00613523" w:rsidRPr="00867523" w:rsidRDefault="00613523" w:rsidP="00613523"/>
    <w:p w14:paraId="42E0E70C" w14:textId="77777777" w:rsidR="00613523" w:rsidRPr="00867523" w:rsidRDefault="00613523" w:rsidP="00613523"/>
    <w:p w14:paraId="490C7C98" w14:textId="77777777" w:rsidR="00613523" w:rsidRPr="00867523" w:rsidRDefault="00613523" w:rsidP="00613523"/>
    <w:p w14:paraId="7F14A6C3" w14:textId="77777777" w:rsidR="00613523" w:rsidRPr="00867523" w:rsidRDefault="00613523" w:rsidP="00613523"/>
    <w:p w14:paraId="564E74FC" w14:textId="77777777" w:rsidR="00613523" w:rsidRPr="00867523" w:rsidRDefault="00613523" w:rsidP="00613523"/>
    <w:p w14:paraId="1AEAC1FD" w14:textId="77777777" w:rsidR="00613523" w:rsidRPr="00867523" w:rsidRDefault="00613523" w:rsidP="00613523"/>
    <w:p w14:paraId="3B20C39A" w14:textId="77777777" w:rsidR="00613523" w:rsidRPr="00867523" w:rsidRDefault="00613523" w:rsidP="00613523"/>
    <w:p w14:paraId="72FCC9BA" w14:textId="77777777" w:rsidR="00613523" w:rsidRPr="00867523" w:rsidRDefault="00613523" w:rsidP="00613523"/>
    <w:p w14:paraId="66D3DC27" w14:textId="77777777" w:rsidR="00613523" w:rsidRPr="00867523" w:rsidRDefault="00613523" w:rsidP="00613523"/>
    <w:p w14:paraId="68B1C079" w14:textId="77777777" w:rsidR="00613523" w:rsidRPr="00867523" w:rsidRDefault="00613523" w:rsidP="00613523"/>
    <w:p w14:paraId="0631C8EA" w14:textId="77777777" w:rsidR="00613523" w:rsidRPr="00867523" w:rsidRDefault="00613523" w:rsidP="00613523"/>
    <w:p w14:paraId="3EF55C26" w14:textId="77777777" w:rsidR="00613523" w:rsidRPr="00867523" w:rsidRDefault="00613523" w:rsidP="00613523"/>
    <w:p w14:paraId="65DCFEE9" w14:textId="77777777" w:rsidR="00613523" w:rsidRPr="00867523" w:rsidRDefault="00613523" w:rsidP="00613523"/>
    <w:p w14:paraId="6A2C1A11" w14:textId="77777777" w:rsidR="00613523" w:rsidRPr="00867523" w:rsidRDefault="00613523" w:rsidP="00613523"/>
    <w:p w14:paraId="38F0EDD2" w14:textId="77777777" w:rsidR="00613523" w:rsidRPr="00867523" w:rsidRDefault="00613523" w:rsidP="00613523"/>
    <w:p w14:paraId="0DE05D7F" w14:textId="77777777" w:rsidR="00613523" w:rsidRPr="00867523" w:rsidRDefault="00613523" w:rsidP="00613523"/>
    <w:p w14:paraId="736F7A32" w14:textId="77777777" w:rsidR="00613523" w:rsidRPr="00867523" w:rsidRDefault="00613523" w:rsidP="00613523">
      <w:pPr>
        <w:rPr>
          <w:vertAlign w:val="superscript"/>
        </w:rPr>
      </w:pPr>
    </w:p>
    <w:p w14:paraId="16AFBEB0" w14:textId="77777777" w:rsidR="00613523" w:rsidRPr="00867523" w:rsidRDefault="00613523" w:rsidP="00613523"/>
    <w:p w14:paraId="7B72B0D7" w14:textId="3592D472" w:rsidR="00984AF5" w:rsidRPr="004766E0" w:rsidRDefault="00613523" w:rsidP="00984AF5">
      <w:pPr>
        <w:pStyle w:val="Endofdocument-Annex"/>
        <w:spacing w:before="720"/>
        <w:ind w:left="8368"/>
        <w:rPr>
          <w:lang w:val="fr-FR"/>
        </w:rPr>
      </w:pPr>
      <w:r w:rsidRPr="004766E0">
        <w:rPr>
          <w:lang w:val="fr-FR"/>
        </w:rPr>
        <w:t>[Fin de l</w:t>
      </w:r>
      <w:r w:rsidR="007A316D" w:rsidRPr="004766E0">
        <w:rPr>
          <w:lang w:val="fr-FR"/>
        </w:rPr>
        <w:t>’</w:t>
      </w:r>
      <w:r w:rsidRPr="004766E0">
        <w:rPr>
          <w:lang w:val="fr-FR"/>
        </w:rPr>
        <w:t>annexe II et du document]</w:t>
      </w:r>
    </w:p>
    <w:sectPr w:rsidR="00984AF5" w:rsidRPr="004766E0" w:rsidSect="00984AF5">
      <w:headerReference w:type="default" r:id="rId20"/>
      <w:headerReference w:type="first" r:id="rId2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E812" w14:textId="77777777" w:rsidR="00613523" w:rsidRDefault="00613523">
      <w:r>
        <w:separator/>
      </w:r>
    </w:p>
  </w:endnote>
  <w:endnote w:type="continuationSeparator" w:id="0">
    <w:p w14:paraId="45C80AF0" w14:textId="77777777" w:rsidR="00613523" w:rsidRPr="009D30E6" w:rsidRDefault="00613523" w:rsidP="00D45252">
      <w:pPr>
        <w:rPr>
          <w:sz w:val="17"/>
          <w:szCs w:val="17"/>
        </w:rPr>
      </w:pPr>
      <w:r w:rsidRPr="009D30E6">
        <w:rPr>
          <w:sz w:val="17"/>
          <w:szCs w:val="17"/>
        </w:rPr>
        <w:separator/>
      </w:r>
    </w:p>
    <w:p w14:paraId="26587234" w14:textId="77777777" w:rsidR="00613523" w:rsidRPr="009D30E6" w:rsidRDefault="00613523" w:rsidP="00D45252">
      <w:pPr>
        <w:spacing w:after="60"/>
        <w:rPr>
          <w:sz w:val="17"/>
          <w:szCs w:val="17"/>
        </w:rPr>
      </w:pPr>
      <w:r w:rsidRPr="009D30E6">
        <w:rPr>
          <w:sz w:val="17"/>
          <w:szCs w:val="17"/>
        </w:rPr>
        <w:t>[Suite de la note de la page précédente]</w:t>
      </w:r>
    </w:p>
  </w:endnote>
  <w:endnote w:type="continuationNotice" w:id="1">
    <w:p w14:paraId="76657B92" w14:textId="77777777" w:rsidR="00613523" w:rsidRPr="009D30E6" w:rsidRDefault="0061352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1444" w14:textId="77777777" w:rsidR="00613523" w:rsidRDefault="00613523" w:rsidP="00965E89">
    <w:pPr>
      <w:pStyle w:val="Footer"/>
    </w:pPr>
    <w:r>
      <w:rPr>
        <w:noProof/>
      </w:rPr>
      <mc:AlternateContent>
        <mc:Choice Requires="wps">
          <w:drawing>
            <wp:anchor distT="0" distB="0" distL="0" distR="0" simplePos="0" relativeHeight="251659264" behindDoc="0" locked="0" layoutInCell="1" allowOverlap="1" wp14:anchorId="3132013D" wp14:editId="66664305">
              <wp:simplePos x="0" y="0"/>
              <wp:positionH relativeFrom="page">
                <wp:posOffset>3060065</wp:posOffset>
              </wp:positionH>
              <wp:positionV relativeFrom="page">
                <wp:posOffset>10138410</wp:posOffset>
              </wp:positionV>
              <wp:extent cx="1564005" cy="345440"/>
              <wp:effectExtent l="0" t="0" r="17145" b="0"/>
              <wp:wrapNone/>
              <wp:docPr id="1406390523"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BCC37A0" w14:textId="77777777" w:rsidR="00613523" w:rsidRPr="009F3897" w:rsidRDefault="00613523" w:rsidP="009F3897">
                          <w:pPr>
                            <w:rPr>
                              <w:rFonts w:ascii="Calibri" w:eastAsia="Calibri" w:hAnsi="Calibri" w:cs="Calibri"/>
                              <w:noProof/>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2013D" id="_x0000_t202" coordsize="21600,21600" o:spt="202" path="m,l,21600r21600,l21600,xe">
              <v:stroke joinstyle="miter"/>
              <v:path gradientshapeok="t" o:connecttype="rect"/>
            </v:shapetype>
            <v:shape id="Text Box 5" o:spid="_x0000_s1026" type="#_x0000_t202" alt="WIPO FOR OFFICIAL USE ONLY " style="position:absolute;margin-left:240.95pt;margin-top:798.3pt;width:123.15pt;height:27.2pt;z-index:25165926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" filled="f" stroked="f">
              <v:textbox style="mso-fit-shape-to-text:t" inset="0,0,0,15pt">
                <w:txbxContent>
                  <w:p w14:paraId="2BCC37A0" w14:textId="77777777" w:rsidR="00613523" w:rsidRPr="009F3897" w:rsidRDefault="00613523" w:rsidP="009F3897">
                    <w:pPr>
                      <w:rPr>
                        <w:rFonts w:ascii="Calibri" w:eastAsia="Calibri" w:hAnsi="Calibri" w:cs="Calibri"/>
                        <w:noProof/>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1822" w14:textId="77777777" w:rsidR="00613523" w:rsidRDefault="00613523">
      <w:r>
        <w:separator/>
      </w:r>
    </w:p>
  </w:footnote>
  <w:footnote w:type="continuationSeparator" w:id="0">
    <w:p w14:paraId="26FDD4EB" w14:textId="77777777" w:rsidR="00613523" w:rsidRDefault="00613523" w:rsidP="007461F1">
      <w:r>
        <w:separator/>
      </w:r>
    </w:p>
    <w:p w14:paraId="72DE11D6" w14:textId="77777777" w:rsidR="00613523" w:rsidRPr="009D30E6" w:rsidRDefault="00613523" w:rsidP="007461F1">
      <w:pPr>
        <w:spacing w:after="60"/>
        <w:rPr>
          <w:sz w:val="17"/>
          <w:szCs w:val="17"/>
        </w:rPr>
      </w:pPr>
      <w:r w:rsidRPr="009D30E6">
        <w:rPr>
          <w:sz w:val="17"/>
          <w:szCs w:val="17"/>
        </w:rPr>
        <w:t>[Suite de la note de la page précédente]</w:t>
      </w:r>
    </w:p>
  </w:footnote>
  <w:footnote w:type="continuationNotice" w:id="1">
    <w:p w14:paraId="7AC57544" w14:textId="77777777" w:rsidR="00613523" w:rsidRPr="009D30E6" w:rsidRDefault="0061352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E143" w14:textId="77777777" w:rsidR="00613523" w:rsidRPr="002326AB" w:rsidRDefault="00613523" w:rsidP="00255E13">
    <w:pPr>
      <w:jc w:val="right"/>
      <w:rPr>
        <w:caps/>
      </w:rPr>
    </w:pPr>
    <w:proofErr w:type="spellStart"/>
    <w:r>
      <w:rPr>
        <w:caps/>
      </w:rPr>
      <w:t>CDIP</w:t>
    </w:r>
    <w:proofErr w:type="spellEnd"/>
    <w:r>
      <w:rPr>
        <w:caps/>
      </w:rPr>
      <w:t>/35/4</w:t>
    </w:r>
  </w:p>
  <w:p w14:paraId="3CFE8049" w14:textId="77777777" w:rsidR="00613523" w:rsidRDefault="00613523" w:rsidP="00255E13">
    <w:pPr>
      <w:pStyle w:val="Header"/>
      <w:jc w:val="right"/>
    </w:pPr>
    <w:r>
      <w:t>ANNEXE I, page 2</w:t>
    </w:r>
  </w:p>
  <w:p w14:paraId="0A8C4C29" w14:textId="77777777" w:rsidR="00613523" w:rsidRDefault="00613523">
    <w:pPr>
      <w:pStyle w:val="Header"/>
    </w:pPr>
  </w:p>
  <w:p w14:paraId="435279FD" w14:textId="77777777" w:rsidR="00613523" w:rsidRDefault="00613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A1EE" w14:textId="77777777" w:rsidR="00613523" w:rsidRDefault="00613523">
    <w:pPr>
      <w:pStyle w:val="Header"/>
    </w:pPr>
  </w:p>
  <w:p w14:paraId="2BAF0EF0" w14:textId="77777777" w:rsidR="00613523" w:rsidRDefault="00613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80F7" w14:textId="77777777" w:rsidR="00984AF5" w:rsidRPr="002326AB" w:rsidRDefault="00984AF5" w:rsidP="00255E13">
    <w:pPr>
      <w:jc w:val="right"/>
      <w:rPr>
        <w:caps/>
      </w:rPr>
    </w:pPr>
    <w:proofErr w:type="spellStart"/>
    <w:r>
      <w:rPr>
        <w:caps/>
      </w:rPr>
      <w:t>CDIP</w:t>
    </w:r>
    <w:proofErr w:type="spellEnd"/>
    <w:r>
      <w:rPr>
        <w:caps/>
      </w:rPr>
      <w:t>/35/4</w:t>
    </w:r>
  </w:p>
  <w:p w14:paraId="4AED47FD" w14:textId="34C6910E" w:rsidR="00984AF5" w:rsidRDefault="00984AF5" w:rsidP="00984AF5">
    <w:pPr>
      <w:pStyle w:val="Header"/>
      <w:spacing w:after="480"/>
      <w:jc w:val="right"/>
    </w:pPr>
    <w:r>
      <w:t>Annexe I, page </w:t>
    </w:r>
    <w:sdt>
      <w:sdtPr>
        <w:id w:val="14740975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77ED" w14:textId="77777777" w:rsidR="00613523" w:rsidRPr="002326AB" w:rsidRDefault="00613523" w:rsidP="00255E13">
    <w:pPr>
      <w:jc w:val="right"/>
      <w:rPr>
        <w:caps/>
      </w:rPr>
    </w:pPr>
    <w:proofErr w:type="spellStart"/>
    <w:r>
      <w:rPr>
        <w:caps/>
      </w:rPr>
      <w:t>CDIP</w:t>
    </w:r>
    <w:proofErr w:type="spellEnd"/>
    <w:r>
      <w:rPr>
        <w:caps/>
      </w:rPr>
      <w:t>/35/4</w:t>
    </w:r>
  </w:p>
  <w:p w14:paraId="3AB98EC0" w14:textId="38101F27" w:rsidR="00613523" w:rsidRDefault="00984AF5" w:rsidP="00984AF5">
    <w:pPr>
      <w:pStyle w:val="Header"/>
      <w:spacing w:after="48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1C1F" w14:textId="4E69BAC5" w:rsidR="00F16975" w:rsidRPr="00B45C15" w:rsidRDefault="00613523" w:rsidP="00477D6B">
    <w:pPr>
      <w:jc w:val="right"/>
      <w:rPr>
        <w:caps/>
      </w:rPr>
    </w:pPr>
    <w:bookmarkStart w:id="7" w:name="Code2"/>
    <w:bookmarkEnd w:id="7"/>
    <w:proofErr w:type="spellStart"/>
    <w:r>
      <w:rPr>
        <w:caps/>
      </w:rPr>
      <w:t>CDIP</w:t>
    </w:r>
    <w:proofErr w:type="spellEnd"/>
    <w:r>
      <w:rPr>
        <w:caps/>
      </w:rPr>
      <w:t>/35/4</w:t>
    </w:r>
  </w:p>
  <w:p w14:paraId="6F1C20C5" w14:textId="4DFC9FC9" w:rsidR="00574036" w:rsidRDefault="00984AF5" w:rsidP="00984AF5">
    <w:pPr>
      <w:spacing w:after="480"/>
      <w:jc w:val="right"/>
    </w:pPr>
    <w:r>
      <w:t xml:space="preserve">Annexe II, </w:t>
    </w:r>
    <w:r w:rsidR="00F16975">
      <w:t xml:space="preserve">page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D70A" w14:textId="77777777" w:rsidR="00984AF5" w:rsidRPr="002326AB" w:rsidRDefault="00984AF5" w:rsidP="00255E13">
    <w:pPr>
      <w:jc w:val="right"/>
      <w:rPr>
        <w:caps/>
      </w:rPr>
    </w:pPr>
    <w:proofErr w:type="spellStart"/>
    <w:r>
      <w:rPr>
        <w:caps/>
      </w:rPr>
      <w:t>CDIP</w:t>
    </w:r>
    <w:proofErr w:type="spellEnd"/>
    <w:r>
      <w:rPr>
        <w:caps/>
      </w:rPr>
      <w:t>/35/4</w:t>
    </w:r>
  </w:p>
  <w:p w14:paraId="396C4F75" w14:textId="0B311785" w:rsidR="00984AF5" w:rsidRDefault="00984AF5" w:rsidP="00984AF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8552BD"/>
    <w:multiLevelType w:val="hybridMultilevel"/>
    <w:tmpl w:val="A17EDB78"/>
    <w:lvl w:ilvl="0" w:tplc="036E03FA">
      <w:numFmt w:val="bullet"/>
      <w:lvlText w:val=""/>
      <w:lvlJc w:val="left"/>
      <w:pPr>
        <w:ind w:left="930" w:hanging="570"/>
      </w:pPr>
      <w:rPr>
        <w:rFonts w:ascii="Symbol" w:eastAsia="Arial" w:hAnsi="Symbol" w:cs="Aria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013116"/>
    <w:multiLevelType w:val="hybridMultilevel"/>
    <w:tmpl w:val="B06C8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76623F"/>
    <w:multiLevelType w:val="hybridMultilevel"/>
    <w:tmpl w:val="783C39B0"/>
    <w:lvl w:ilvl="0" w:tplc="5DAC018A">
      <w:numFmt w:val="bullet"/>
      <w:lvlText w:val="•"/>
      <w:lvlJc w:val="left"/>
      <w:pPr>
        <w:ind w:left="930" w:hanging="570"/>
      </w:pPr>
      <w:rPr>
        <w:rFonts w:ascii="Calibri" w:hAnsi="Calibri" w:hint="default"/>
        <w:b/>
        <w:spacing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309A1"/>
    <w:multiLevelType w:val="hybridMultilevel"/>
    <w:tmpl w:val="3B96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03E58"/>
    <w:multiLevelType w:val="hybridMultilevel"/>
    <w:tmpl w:val="FE0A8F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61606"/>
    <w:multiLevelType w:val="hybridMultilevel"/>
    <w:tmpl w:val="00A4034A"/>
    <w:lvl w:ilvl="0" w:tplc="9BEE9842">
      <w:numFmt w:val="bullet"/>
      <w:lvlText w:val="•"/>
      <w:lvlJc w:val="left"/>
      <w:pPr>
        <w:ind w:left="930" w:hanging="570"/>
      </w:pPr>
      <w:rPr>
        <w:rFonts w:ascii="Calibri" w:hAnsi="Calibri" w:hint="default"/>
        <w:b/>
        <w:spacing w:val="-2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6277E4"/>
    <w:multiLevelType w:val="hybridMultilevel"/>
    <w:tmpl w:val="68588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E32128"/>
    <w:multiLevelType w:val="hybridMultilevel"/>
    <w:tmpl w:val="7BF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8710F"/>
    <w:multiLevelType w:val="hybridMultilevel"/>
    <w:tmpl w:val="494082CA"/>
    <w:lvl w:ilvl="0" w:tplc="FC70E08C">
      <w:start w:val="1"/>
      <w:numFmt w:val="decimal"/>
      <w:lvlText w:val="%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BB1419"/>
    <w:multiLevelType w:val="hybridMultilevel"/>
    <w:tmpl w:val="8DF8FA76"/>
    <w:lvl w:ilvl="0" w:tplc="1DB064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3"/>
  </w:num>
  <w:num w:numId="2" w16cid:durableId="1514341178">
    <w:abstractNumId w:val="10"/>
  </w:num>
  <w:num w:numId="3" w16cid:durableId="1600137799">
    <w:abstractNumId w:val="0"/>
  </w:num>
  <w:num w:numId="4" w16cid:durableId="2007901379">
    <w:abstractNumId w:val="11"/>
  </w:num>
  <w:num w:numId="5" w16cid:durableId="1962764970">
    <w:abstractNumId w:val="2"/>
  </w:num>
  <w:num w:numId="6" w16cid:durableId="1856072525">
    <w:abstractNumId w:val="5"/>
  </w:num>
  <w:num w:numId="7" w16cid:durableId="1563715922">
    <w:abstractNumId w:val="7"/>
  </w:num>
  <w:num w:numId="8" w16cid:durableId="1620261747">
    <w:abstractNumId w:val="15"/>
  </w:num>
  <w:num w:numId="9" w16cid:durableId="1312057192">
    <w:abstractNumId w:val="13"/>
  </w:num>
  <w:num w:numId="10" w16cid:durableId="1190491170">
    <w:abstractNumId w:val="4"/>
  </w:num>
  <w:num w:numId="11" w16cid:durableId="2320625">
    <w:abstractNumId w:val="8"/>
  </w:num>
  <w:num w:numId="12" w16cid:durableId="2009478636">
    <w:abstractNumId w:val="6"/>
  </w:num>
  <w:num w:numId="13" w16cid:durableId="1454907982">
    <w:abstractNumId w:val="1"/>
  </w:num>
  <w:num w:numId="14" w16cid:durableId="175269215">
    <w:abstractNumId w:val="9"/>
  </w:num>
  <w:num w:numId="15" w16cid:durableId="107046087">
    <w:abstractNumId w:val="14"/>
  </w:num>
  <w:num w:numId="16" w16cid:durableId="1252814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23"/>
    <w:rsid w:val="00011B7D"/>
    <w:rsid w:val="00020C7E"/>
    <w:rsid w:val="00075432"/>
    <w:rsid w:val="000760CD"/>
    <w:rsid w:val="0009458A"/>
    <w:rsid w:val="000F5E56"/>
    <w:rsid w:val="001060FF"/>
    <w:rsid w:val="001362EE"/>
    <w:rsid w:val="001625C0"/>
    <w:rsid w:val="001832A6"/>
    <w:rsid w:val="00195C6E"/>
    <w:rsid w:val="001B266A"/>
    <w:rsid w:val="001B488E"/>
    <w:rsid w:val="001C6508"/>
    <w:rsid w:val="001D3D56"/>
    <w:rsid w:val="002044B0"/>
    <w:rsid w:val="00240654"/>
    <w:rsid w:val="002634C4"/>
    <w:rsid w:val="002956DE"/>
    <w:rsid w:val="002A79DB"/>
    <w:rsid w:val="002D3DA1"/>
    <w:rsid w:val="002E4D1A"/>
    <w:rsid w:val="002F16BC"/>
    <w:rsid w:val="002F4E68"/>
    <w:rsid w:val="00322ABB"/>
    <w:rsid w:val="00322C0B"/>
    <w:rsid w:val="003637BB"/>
    <w:rsid w:val="00381798"/>
    <w:rsid w:val="003845C1"/>
    <w:rsid w:val="003A67A3"/>
    <w:rsid w:val="004008A2"/>
    <w:rsid w:val="004025DF"/>
    <w:rsid w:val="0040540C"/>
    <w:rsid w:val="00423E3E"/>
    <w:rsid w:val="00427AF4"/>
    <w:rsid w:val="004647DA"/>
    <w:rsid w:val="004766E0"/>
    <w:rsid w:val="00477D6B"/>
    <w:rsid w:val="004B0438"/>
    <w:rsid w:val="004D6471"/>
    <w:rsid w:val="00513280"/>
    <w:rsid w:val="0051455D"/>
    <w:rsid w:val="00525B63"/>
    <w:rsid w:val="00525E59"/>
    <w:rsid w:val="00541348"/>
    <w:rsid w:val="005421DD"/>
    <w:rsid w:val="00550BF7"/>
    <w:rsid w:val="00554FA5"/>
    <w:rsid w:val="00564399"/>
    <w:rsid w:val="00567A4C"/>
    <w:rsid w:val="00574036"/>
    <w:rsid w:val="00595F07"/>
    <w:rsid w:val="005E6516"/>
    <w:rsid w:val="00605827"/>
    <w:rsid w:val="00613523"/>
    <w:rsid w:val="00616671"/>
    <w:rsid w:val="006725FE"/>
    <w:rsid w:val="0068484F"/>
    <w:rsid w:val="006B0DB5"/>
    <w:rsid w:val="006E1EC4"/>
    <w:rsid w:val="007461F1"/>
    <w:rsid w:val="00792814"/>
    <w:rsid w:val="007A316D"/>
    <w:rsid w:val="007D2A31"/>
    <w:rsid w:val="007D6961"/>
    <w:rsid w:val="007F07CB"/>
    <w:rsid w:val="00807C77"/>
    <w:rsid w:val="00810CEF"/>
    <w:rsid w:val="0081208D"/>
    <w:rsid w:val="008500CE"/>
    <w:rsid w:val="008705EB"/>
    <w:rsid w:val="00897816"/>
    <w:rsid w:val="008B2CC1"/>
    <w:rsid w:val="008E7930"/>
    <w:rsid w:val="0090731E"/>
    <w:rsid w:val="00966A22"/>
    <w:rsid w:val="00974CD6"/>
    <w:rsid w:val="00984AF5"/>
    <w:rsid w:val="009D30E6"/>
    <w:rsid w:val="009E3F6F"/>
    <w:rsid w:val="009F499F"/>
    <w:rsid w:val="00A11D74"/>
    <w:rsid w:val="00AC0AE4"/>
    <w:rsid w:val="00AD61DB"/>
    <w:rsid w:val="00AE47C0"/>
    <w:rsid w:val="00B1090C"/>
    <w:rsid w:val="00B35AF5"/>
    <w:rsid w:val="00B44153"/>
    <w:rsid w:val="00B45C15"/>
    <w:rsid w:val="00BE0BE0"/>
    <w:rsid w:val="00BE2DE4"/>
    <w:rsid w:val="00C664C8"/>
    <w:rsid w:val="00CF0460"/>
    <w:rsid w:val="00D24594"/>
    <w:rsid w:val="00D43E0F"/>
    <w:rsid w:val="00D45252"/>
    <w:rsid w:val="00D71B4D"/>
    <w:rsid w:val="00D75C1E"/>
    <w:rsid w:val="00D93D55"/>
    <w:rsid w:val="00DB1C48"/>
    <w:rsid w:val="00DD4917"/>
    <w:rsid w:val="00DD6A16"/>
    <w:rsid w:val="00E0091A"/>
    <w:rsid w:val="00E203AA"/>
    <w:rsid w:val="00E44730"/>
    <w:rsid w:val="00E5217A"/>
    <w:rsid w:val="00E527A5"/>
    <w:rsid w:val="00E67B98"/>
    <w:rsid w:val="00E76456"/>
    <w:rsid w:val="00EE71CB"/>
    <w:rsid w:val="00F16975"/>
    <w:rsid w:val="00F3282A"/>
    <w:rsid w:val="00F66152"/>
    <w:rsid w:val="00F90B3C"/>
    <w:rsid w:val="00FE19E9"/>
    <w:rsid w:val="00FE6276"/>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AD985"/>
  <w15:docId w15:val="{C78FEF04-EC54-43CA-857B-6C12F1E8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rsid w:val="00613523"/>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523"/>
    <w:rPr>
      <w:color w:val="0000FF" w:themeColor="hyperlink"/>
      <w:u w:val="single"/>
    </w:rPr>
  </w:style>
  <w:style w:type="paragraph" w:customStyle="1" w:styleId="TableParagraph">
    <w:name w:val="Table Paragraph"/>
    <w:basedOn w:val="Normal"/>
    <w:uiPriority w:val="1"/>
    <w:qFormat/>
    <w:rsid w:val="00613523"/>
    <w:pPr>
      <w:widowControl w:val="0"/>
      <w:autoSpaceDE w:val="0"/>
      <w:autoSpaceDN w:val="0"/>
    </w:pPr>
    <w:rPr>
      <w:rFonts w:eastAsia="Arial"/>
      <w:szCs w:val="22"/>
      <w:lang w:val="fr-FR" w:eastAsia="en-US"/>
    </w:rPr>
  </w:style>
  <w:style w:type="paragraph" w:customStyle="1" w:styleId="Default">
    <w:name w:val="Default"/>
    <w:rsid w:val="00613523"/>
    <w:pPr>
      <w:autoSpaceDE w:val="0"/>
      <w:autoSpaceDN w:val="0"/>
      <w:adjustRightInd w:val="0"/>
    </w:pPr>
    <w:rPr>
      <w:rFonts w:ascii="Arial" w:hAnsi="Arial" w:cs="Arial"/>
      <w:color w:val="000000"/>
      <w:sz w:val="24"/>
      <w:szCs w:val="24"/>
      <w:lang w:val="fr-FR" w:eastAsia="en-US"/>
    </w:rPr>
  </w:style>
  <w:style w:type="paragraph" w:styleId="ListParagraph">
    <w:name w:val="List Paragraph"/>
    <w:basedOn w:val="Normal"/>
    <w:uiPriority w:val="34"/>
    <w:qFormat/>
    <w:rsid w:val="00613523"/>
    <w:pPr>
      <w:ind w:left="720"/>
      <w:contextualSpacing/>
    </w:pPr>
    <w:rPr>
      <w:rFonts w:eastAsia="Times New Roman"/>
      <w:lang w:val="fr-FR" w:eastAsia="en-US"/>
    </w:rPr>
  </w:style>
  <w:style w:type="paragraph" w:styleId="NoSpacing">
    <w:name w:val="No Spacing"/>
    <w:uiPriority w:val="1"/>
    <w:qFormat/>
    <w:rsid w:val="00613523"/>
    <w:rPr>
      <w:rFonts w:ascii="Arial" w:hAnsi="Arial" w:cs="Arial"/>
      <w:sz w:val="22"/>
      <w:lang w:val="fr-FR" w:eastAsia="en-US"/>
    </w:rPr>
  </w:style>
  <w:style w:type="paragraph" w:customStyle="1" w:styleId="Corps">
    <w:name w:val="Corps"/>
    <w:rsid w:val="00613523"/>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fr-FR" w:eastAsia="en-US"/>
      <w14:textOutline w14:w="0" w14:cap="flat" w14:cmpd="sng" w14:algn="ctr">
        <w14:noFill/>
        <w14:prstDash w14:val="solid"/>
        <w14:bevel/>
      </w14:textOutline>
    </w:rPr>
  </w:style>
  <w:style w:type="character" w:customStyle="1" w:styleId="Aucun">
    <w:name w:val="Aucun"/>
    <w:rsid w:val="00613523"/>
    <w:rPr>
      <w:lang w:val="fr-FR"/>
    </w:rPr>
  </w:style>
  <w:style w:type="character" w:customStyle="1" w:styleId="HeaderChar">
    <w:name w:val="Header Char"/>
    <w:basedOn w:val="DefaultParagraphFont"/>
    <w:link w:val="Header"/>
    <w:semiHidden/>
    <w:rsid w:val="0061352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ipo.int/meetings/fr/doc_details.jsp?doc_id=637071" TargetMode="External"/><Relationship Id="rId2" Type="http://schemas.openxmlformats.org/officeDocument/2006/relationships/customXml" Target="../customXml/item2.xml"/><Relationship Id="rId16" Type="http://schemas.openxmlformats.org/officeDocument/2006/relationships/hyperlink" Target="https://dacatalogue.wipo.int/projects/DA_1_4_10_11_23"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catalogue.wipo.int/projects/DA_1_4_10_11_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56E51-EED7-49F0-A397-2599784B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FC411-07E1-408D-B8BD-0EACC8EC3122}">
  <ds:schemaRefs>
    <ds:schemaRef ds:uri="http://schemas.microsoft.com/sharepoint/v3/contenttype/forms"/>
  </ds:schemaRefs>
</ds:datastoreItem>
</file>

<file path=customXml/itemProps3.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customXml/itemProps4.xml><?xml version="1.0" encoding="utf-8"?>
<ds:datastoreItem xmlns:ds="http://schemas.openxmlformats.org/officeDocument/2006/customXml" ds:itemID="{D207DEE8-5D41-44A5-9CDA-23575ED9188A}">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docProps/app.xml><?xml version="1.0" encoding="utf-8"?>
<Properties xmlns="http://schemas.openxmlformats.org/officeDocument/2006/extended-properties" xmlns:vt="http://schemas.openxmlformats.org/officeDocument/2006/docPropsVTypes">
  <Template>CDIP_35 (F).dotm</Template>
  <TotalTime>23</TotalTime>
  <Pages>18</Pages>
  <Words>5423</Words>
  <Characters>30965</Characters>
  <Application>Microsoft Office Word</Application>
  <DocSecurity>0</DocSecurity>
  <Lines>2381</Lines>
  <Paragraphs>1732</Paragraphs>
  <ScaleCrop>false</ScaleCrop>
  <HeadingPairs>
    <vt:vector size="2" baseType="variant">
      <vt:variant>
        <vt:lpstr>Title</vt:lpstr>
      </vt:variant>
      <vt:variant>
        <vt:i4>1</vt:i4>
      </vt:variant>
    </vt:vector>
  </HeadingPairs>
  <TitlesOfParts>
    <vt:vector size="1" baseType="lpstr">
      <vt:lpstr>CDIP/35/4</vt:lpstr>
    </vt:vector>
  </TitlesOfParts>
  <Company>WIPO</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CDIP/35/4</dc:title>
  <dc:creator>LE GUEN Haude</dc:creator>
  <cp:keywords>FOR OFFICIAL USE ONLY</cp:keywords>
  <cp:lastModifiedBy>LE GUEN Haude</cp:lastModifiedBy>
  <cp:revision>7</cp:revision>
  <cp:lastPrinted>2011-05-19T12:37:00Z</cp:lastPrinted>
  <dcterms:created xsi:type="dcterms:W3CDTF">2025-09-12T14:23:00Z</dcterms:created>
  <dcterms:modified xsi:type="dcterms:W3CDTF">2025-09-12T14:47:00Z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y fmtid="{D5CDD505-2E9C-101B-9397-08002B2CF9AE}" pid="15" name="ContentTypeId">
    <vt:lpwstr>0x0101005ABDE43AC2B2FA498C2D4BCF657BBF08</vt:lpwstr>
  </property>
  <property fmtid="{D5CDD505-2E9C-101B-9397-08002B2CF9AE}" pid="16" name="MediaServiceImageTags">
    <vt:lpwstr/>
  </property>
</Properties>
</file>