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B687" w14:textId="77777777" w:rsidR="008B2CC1" w:rsidRPr="00A225A4" w:rsidRDefault="0040540C" w:rsidP="00897816">
      <w:pPr>
        <w:pBdr>
          <w:bottom w:val="single" w:sz="4" w:space="11" w:color="auto"/>
        </w:pBdr>
        <w:spacing w:after="120"/>
        <w:jc w:val="right"/>
        <w:rPr>
          <w:lang w:val="fr-FR"/>
        </w:rPr>
      </w:pPr>
      <w:r w:rsidRPr="00A225A4">
        <w:rPr>
          <w:noProof/>
          <w:lang w:val="fr-FR" w:eastAsia="fr-CH"/>
        </w:rPr>
        <w:drawing>
          <wp:inline distT="0" distB="0" distL="0" distR="0" wp14:anchorId="633A3E48" wp14:editId="4C74341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3E70AB9" w14:textId="77777777" w:rsidR="00B1090C" w:rsidRPr="00A225A4" w:rsidRDefault="00897816" w:rsidP="0040540C">
      <w:pPr>
        <w:jc w:val="right"/>
        <w:rPr>
          <w:rFonts w:ascii="Arial Black" w:hAnsi="Arial Black"/>
          <w:caps/>
          <w:sz w:val="15"/>
          <w:lang w:val="fr-FR"/>
        </w:rPr>
      </w:pPr>
      <w:r w:rsidRPr="00A225A4">
        <w:rPr>
          <w:rFonts w:ascii="Arial Black" w:hAnsi="Arial Black"/>
          <w:caps/>
          <w:sz w:val="15"/>
          <w:lang w:val="fr-FR"/>
        </w:rPr>
        <w:t>CDIP/3</w:t>
      </w:r>
      <w:r w:rsidR="002D3DA1" w:rsidRPr="00A225A4">
        <w:rPr>
          <w:rFonts w:ascii="Arial Black" w:hAnsi="Arial Black"/>
          <w:caps/>
          <w:sz w:val="15"/>
          <w:lang w:val="fr-FR"/>
        </w:rPr>
        <w:t>3</w:t>
      </w:r>
      <w:r w:rsidRPr="00A225A4">
        <w:rPr>
          <w:rFonts w:ascii="Arial Black" w:hAnsi="Arial Black"/>
          <w:caps/>
          <w:sz w:val="15"/>
          <w:lang w:val="fr-FR"/>
        </w:rPr>
        <w:t>/</w:t>
      </w:r>
      <w:bookmarkStart w:id="0" w:name="Code"/>
      <w:bookmarkEnd w:id="0"/>
      <w:r w:rsidR="00DB5144" w:rsidRPr="00A225A4">
        <w:rPr>
          <w:rFonts w:ascii="Arial Black" w:hAnsi="Arial Black"/>
          <w:caps/>
          <w:sz w:val="15"/>
          <w:lang w:val="fr-FR"/>
        </w:rPr>
        <w:t>Inf/2</w:t>
      </w:r>
    </w:p>
    <w:p w14:paraId="41931F18" w14:textId="4BB6986F" w:rsidR="008B2CC1" w:rsidRPr="00A225A4" w:rsidRDefault="00B1090C" w:rsidP="0040540C">
      <w:pPr>
        <w:jc w:val="right"/>
        <w:rPr>
          <w:lang w:val="fr-FR"/>
        </w:rPr>
      </w:pPr>
      <w:r w:rsidRPr="00A225A4">
        <w:rPr>
          <w:rFonts w:ascii="Arial Black" w:hAnsi="Arial Black"/>
          <w:caps/>
          <w:sz w:val="15"/>
          <w:lang w:val="fr-FR"/>
        </w:rPr>
        <w:t>ORIGINAL</w:t>
      </w:r>
      <w:r w:rsidR="00E76BCD" w:rsidRPr="00A225A4">
        <w:rPr>
          <w:rFonts w:ascii="Arial Black" w:hAnsi="Arial Black"/>
          <w:caps/>
          <w:sz w:val="15"/>
          <w:lang w:val="fr-FR"/>
        </w:rPr>
        <w:t> :</w:t>
      </w:r>
      <w:r w:rsidR="002956DE" w:rsidRPr="00A225A4">
        <w:rPr>
          <w:rFonts w:ascii="Arial Black" w:hAnsi="Arial Black"/>
          <w:caps/>
          <w:sz w:val="15"/>
          <w:lang w:val="fr-FR"/>
        </w:rPr>
        <w:t xml:space="preserve"> </w:t>
      </w:r>
      <w:bookmarkStart w:id="1" w:name="Original"/>
      <w:r w:rsidR="00DB5144" w:rsidRPr="00A225A4">
        <w:rPr>
          <w:rFonts w:ascii="Arial Black" w:hAnsi="Arial Black"/>
          <w:caps/>
          <w:sz w:val="15"/>
          <w:lang w:val="fr-FR"/>
        </w:rPr>
        <w:t>anglais</w:t>
      </w:r>
    </w:p>
    <w:bookmarkEnd w:id="1"/>
    <w:p w14:paraId="441CA4EC" w14:textId="76A717D9" w:rsidR="008B2CC1" w:rsidRPr="00A225A4" w:rsidRDefault="00B1090C" w:rsidP="00B1090C">
      <w:pPr>
        <w:spacing w:after="1200"/>
        <w:jc w:val="right"/>
        <w:rPr>
          <w:lang w:val="fr-FR"/>
        </w:rPr>
      </w:pPr>
      <w:r w:rsidRPr="00A225A4">
        <w:rPr>
          <w:rFonts w:ascii="Arial Black" w:hAnsi="Arial Black"/>
          <w:caps/>
          <w:sz w:val="15"/>
          <w:lang w:val="fr-FR"/>
        </w:rPr>
        <w:t>DATE</w:t>
      </w:r>
      <w:r w:rsidR="00E76BCD" w:rsidRPr="00A225A4">
        <w:rPr>
          <w:rFonts w:ascii="Arial Black" w:hAnsi="Arial Black"/>
          <w:caps/>
          <w:sz w:val="15"/>
          <w:lang w:val="fr-FR"/>
        </w:rPr>
        <w:t> :</w:t>
      </w:r>
      <w:r w:rsidR="002956DE" w:rsidRPr="00A225A4">
        <w:rPr>
          <w:rFonts w:ascii="Arial Black" w:hAnsi="Arial Black"/>
          <w:caps/>
          <w:sz w:val="15"/>
          <w:lang w:val="fr-FR"/>
        </w:rPr>
        <w:t xml:space="preserve"> </w:t>
      </w:r>
      <w:bookmarkStart w:id="2" w:name="Date"/>
      <w:r w:rsidR="00AF79A3">
        <w:rPr>
          <w:rFonts w:ascii="Arial Black" w:hAnsi="Arial Black"/>
          <w:caps/>
          <w:sz w:val="15"/>
          <w:lang w:val="fr-FR"/>
        </w:rPr>
        <w:t>27</w:t>
      </w:r>
      <w:r w:rsidR="00DB5144" w:rsidRPr="00A225A4">
        <w:rPr>
          <w:rFonts w:ascii="Arial Black" w:hAnsi="Arial Black"/>
          <w:caps/>
          <w:sz w:val="15"/>
          <w:lang w:val="fr-FR"/>
        </w:rPr>
        <w:t> </w:t>
      </w:r>
      <w:r w:rsidR="00E76BCD" w:rsidRPr="00A225A4">
        <w:rPr>
          <w:rFonts w:ascii="Arial Black" w:hAnsi="Arial Black"/>
          <w:caps/>
          <w:sz w:val="15"/>
          <w:lang w:val="fr-FR"/>
        </w:rPr>
        <w:t>septembre 20</w:t>
      </w:r>
      <w:r w:rsidR="00DB5144" w:rsidRPr="00A225A4">
        <w:rPr>
          <w:rFonts w:ascii="Arial Black" w:hAnsi="Arial Black"/>
          <w:caps/>
          <w:sz w:val="15"/>
          <w:lang w:val="fr-FR"/>
        </w:rPr>
        <w:t>24</w:t>
      </w:r>
    </w:p>
    <w:bookmarkEnd w:id="2"/>
    <w:p w14:paraId="19EFDD56" w14:textId="77777777" w:rsidR="003845C1" w:rsidRPr="00A225A4" w:rsidRDefault="001060FF" w:rsidP="00840039">
      <w:pPr>
        <w:spacing w:after="480"/>
        <w:rPr>
          <w:b/>
          <w:bCs/>
          <w:sz w:val="28"/>
          <w:szCs w:val="28"/>
          <w:lang w:val="fr-FR"/>
        </w:rPr>
      </w:pPr>
      <w:r w:rsidRPr="00A225A4">
        <w:rPr>
          <w:b/>
          <w:bCs/>
          <w:sz w:val="28"/>
          <w:szCs w:val="28"/>
          <w:lang w:val="fr-FR"/>
        </w:rPr>
        <w:t>Comité d</w:t>
      </w:r>
      <w:r w:rsidR="00897816" w:rsidRPr="00A225A4">
        <w:rPr>
          <w:b/>
          <w:bCs/>
          <w:sz w:val="28"/>
          <w:szCs w:val="28"/>
          <w:lang w:val="fr-FR"/>
        </w:rPr>
        <w:t>u développement et de la propriété intellectuelle</w:t>
      </w:r>
      <w:r w:rsidR="003637BB" w:rsidRPr="00A225A4">
        <w:rPr>
          <w:b/>
          <w:bCs/>
          <w:sz w:val="28"/>
          <w:szCs w:val="28"/>
          <w:lang w:val="fr-FR"/>
        </w:rPr>
        <w:t> </w:t>
      </w:r>
      <w:r w:rsidR="00897816" w:rsidRPr="00A225A4">
        <w:rPr>
          <w:b/>
          <w:bCs/>
          <w:sz w:val="28"/>
          <w:szCs w:val="28"/>
          <w:lang w:val="fr-FR"/>
        </w:rPr>
        <w:t>(CDIP)</w:t>
      </w:r>
    </w:p>
    <w:p w14:paraId="220AD96D" w14:textId="5228027B" w:rsidR="00FE19E9" w:rsidRPr="00A225A4" w:rsidRDefault="000760CD" w:rsidP="00FE19E9">
      <w:pPr>
        <w:outlineLvl w:val="1"/>
        <w:rPr>
          <w:b/>
          <w:sz w:val="24"/>
          <w:szCs w:val="24"/>
          <w:lang w:val="fr-FR"/>
        </w:rPr>
      </w:pPr>
      <w:r w:rsidRPr="00A225A4">
        <w:rPr>
          <w:b/>
          <w:sz w:val="24"/>
          <w:szCs w:val="24"/>
          <w:lang w:val="fr-FR"/>
        </w:rPr>
        <w:t>Trente</w:t>
      </w:r>
      <w:r w:rsidR="00BA6BB6" w:rsidRPr="00A225A4">
        <w:rPr>
          <w:b/>
          <w:sz w:val="24"/>
          <w:szCs w:val="24"/>
          <w:lang w:val="fr-FR"/>
        </w:rPr>
        <w:noBreakHyphen/>
      </w:r>
      <w:r w:rsidR="002D3DA1" w:rsidRPr="00A225A4">
        <w:rPr>
          <w:b/>
          <w:sz w:val="24"/>
          <w:szCs w:val="24"/>
          <w:lang w:val="fr-FR"/>
        </w:rPr>
        <w:t>trois</w:t>
      </w:r>
      <w:r w:rsidR="00E76BCD" w:rsidRPr="00A225A4">
        <w:rPr>
          <w:b/>
          <w:sz w:val="24"/>
          <w:szCs w:val="24"/>
          <w:lang w:val="fr-FR"/>
        </w:rPr>
        <w:t>ième session</w:t>
      </w:r>
    </w:p>
    <w:p w14:paraId="1543F262" w14:textId="2F54ECCD" w:rsidR="008B2CC1" w:rsidRPr="00A225A4" w:rsidRDefault="000760CD" w:rsidP="001060FF">
      <w:pPr>
        <w:spacing w:after="720"/>
        <w:outlineLvl w:val="1"/>
        <w:rPr>
          <w:b/>
          <w:sz w:val="24"/>
          <w:szCs w:val="24"/>
          <w:lang w:val="fr-FR"/>
        </w:rPr>
      </w:pPr>
      <w:r w:rsidRPr="00A225A4">
        <w:rPr>
          <w:b/>
          <w:sz w:val="24"/>
          <w:szCs w:val="24"/>
          <w:lang w:val="fr-FR"/>
        </w:rPr>
        <w:t xml:space="preserve">Genève, </w:t>
      </w:r>
      <w:r w:rsidR="002D3DA1" w:rsidRPr="00A225A4">
        <w:rPr>
          <w:b/>
          <w:sz w:val="24"/>
          <w:szCs w:val="24"/>
          <w:lang w:val="fr-FR"/>
        </w:rPr>
        <w:t>9 – 13</w:t>
      </w:r>
      <w:r w:rsidR="00513584" w:rsidRPr="00A225A4">
        <w:rPr>
          <w:b/>
          <w:bCs/>
          <w:sz w:val="24"/>
          <w:szCs w:val="24"/>
          <w:lang w:val="fr-FR"/>
        </w:rPr>
        <w:t> </w:t>
      </w:r>
      <w:r w:rsidR="00E76BCD" w:rsidRPr="00A225A4">
        <w:rPr>
          <w:b/>
          <w:bCs/>
          <w:sz w:val="24"/>
          <w:szCs w:val="24"/>
          <w:lang w:val="fr-FR"/>
        </w:rPr>
        <w:t>décembre </w:t>
      </w:r>
      <w:r w:rsidR="00E76BCD" w:rsidRPr="00A225A4">
        <w:rPr>
          <w:b/>
          <w:sz w:val="24"/>
          <w:szCs w:val="24"/>
          <w:lang w:val="fr-FR"/>
        </w:rPr>
        <w:t>20</w:t>
      </w:r>
      <w:r w:rsidR="006E1EC4" w:rsidRPr="00A225A4">
        <w:rPr>
          <w:b/>
          <w:sz w:val="24"/>
          <w:szCs w:val="24"/>
          <w:lang w:val="fr-FR"/>
        </w:rPr>
        <w:t>24</w:t>
      </w:r>
    </w:p>
    <w:p w14:paraId="6AB64D86" w14:textId="7628E233" w:rsidR="008B2CC1" w:rsidRPr="00A225A4" w:rsidRDefault="00DB5144" w:rsidP="00B1090C">
      <w:pPr>
        <w:spacing w:after="360"/>
        <w:rPr>
          <w:caps/>
          <w:sz w:val="24"/>
          <w:lang w:val="fr-FR"/>
        </w:rPr>
      </w:pPr>
      <w:bookmarkStart w:id="3" w:name="TitleOfDoc"/>
      <w:r w:rsidRPr="00A225A4">
        <w:rPr>
          <w:caps/>
          <w:sz w:val="24"/>
          <w:lang w:val="fr-FR"/>
        </w:rPr>
        <w:t>Résumé du “Guide de l</w:t>
      </w:r>
      <w:r w:rsidR="00E76BCD" w:rsidRPr="00A225A4">
        <w:rPr>
          <w:caps/>
          <w:sz w:val="24"/>
          <w:lang w:val="fr-FR"/>
        </w:rPr>
        <w:t>’</w:t>
      </w:r>
      <w:r w:rsidRPr="00A225A4">
        <w:rPr>
          <w:caps/>
          <w:sz w:val="24"/>
          <w:lang w:val="fr-FR"/>
        </w:rPr>
        <w:t>OMPI sur les questions de propriété intellectuelle liées aux applications mobiles et aux médias sociaux</w:t>
      </w:r>
      <w:r w:rsidR="00513584" w:rsidRPr="00A225A4">
        <w:rPr>
          <w:lang w:val="fr-FR"/>
        </w:rPr>
        <w:t>”</w:t>
      </w:r>
    </w:p>
    <w:p w14:paraId="6EC90929" w14:textId="3826403C" w:rsidR="008B2CC1" w:rsidRPr="00A225A4" w:rsidRDefault="00DB5144" w:rsidP="00020C7E">
      <w:pPr>
        <w:spacing w:after="960"/>
        <w:rPr>
          <w:i/>
          <w:lang w:val="fr-FR"/>
        </w:rPr>
      </w:pPr>
      <w:bookmarkStart w:id="4" w:name="Prepared"/>
      <w:bookmarkEnd w:id="3"/>
      <w:bookmarkEnd w:id="4"/>
      <w:r w:rsidRPr="00A225A4">
        <w:rPr>
          <w:i/>
          <w:lang w:val="fr-FR"/>
        </w:rPr>
        <w:t>établi par Daniel J.</w:t>
      </w:r>
      <w:r w:rsidR="00D43CF0" w:rsidRPr="00A225A4">
        <w:rPr>
          <w:i/>
          <w:lang w:val="fr-FR"/>
        </w:rPr>
        <w:t> </w:t>
      </w:r>
      <w:r w:rsidRPr="00A225A4">
        <w:rPr>
          <w:i/>
          <w:lang w:val="fr-FR"/>
        </w:rPr>
        <w:t>Gervais</w:t>
      </w:r>
    </w:p>
    <w:p w14:paraId="453D20CD" w14:textId="64BCD678" w:rsidR="00E76BCD" w:rsidRPr="00A225A4" w:rsidRDefault="00DB5144" w:rsidP="00DB5144">
      <w:pPr>
        <w:pStyle w:val="ONUMFS"/>
        <w:rPr>
          <w:lang w:val="fr-FR"/>
        </w:rPr>
      </w:pPr>
      <w:r w:rsidRPr="00A225A4">
        <w:rPr>
          <w:color w:val="000000"/>
          <w:lang w:val="fr-FR"/>
        </w:rPr>
        <w:t>L</w:t>
      </w:r>
      <w:r w:rsidR="00E76BCD" w:rsidRPr="00A225A4">
        <w:rPr>
          <w:color w:val="000000"/>
          <w:lang w:val="fr-FR"/>
        </w:rPr>
        <w:t>’</w:t>
      </w:r>
      <w:r w:rsidRPr="00A225A4">
        <w:rPr>
          <w:color w:val="000000"/>
          <w:lang w:val="fr-FR"/>
        </w:rPr>
        <w:t xml:space="preserve">annexe du présent document contient le </w:t>
      </w:r>
      <w:r w:rsidRPr="00A225A4">
        <w:rPr>
          <w:lang w:val="fr-FR"/>
        </w:rPr>
        <w:t>rés</w:t>
      </w:r>
      <w:r w:rsidR="00513584" w:rsidRPr="00A225A4">
        <w:rPr>
          <w:lang w:val="fr-FR"/>
        </w:rPr>
        <w:t>um</w:t>
      </w:r>
      <w:r w:rsidRPr="00A225A4">
        <w:rPr>
          <w:lang w:val="fr-FR"/>
        </w:rPr>
        <w:t xml:space="preserve">é du </w:t>
      </w:r>
      <w:r w:rsidR="00513584" w:rsidRPr="00A225A4">
        <w:rPr>
          <w:lang w:val="fr-FR"/>
        </w:rPr>
        <w:t>“</w:t>
      </w:r>
      <w:r w:rsidRPr="00A225A4">
        <w:rPr>
          <w:lang w:val="fr-FR"/>
        </w:rPr>
        <w:t>Guide de l</w:t>
      </w:r>
      <w:r w:rsidR="00E76BCD" w:rsidRPr="00A225A4">
        <w:rPr>
          <w:lang w:val="fr-FR"/>
        </w:rPr>
        <w:t>’</w:t>
      </w:r>
      <w:r w:rsidRPr="00A225A4">
        <w:rPr>
          <w:lang w:val="fr-FR"/>
        </w:rPr>
        <w:t xml:space="preserve">OMPI sur les questions de propriété intellectuelle liées aux applications mobiles et aux médias </w:t>
      </w:r>
      <w:r w:rsidR="00513584" w:rsidRPr="00A225A4">
        <w:rPr>
          <w:lang w:val="fr-FR"/>
        </w:rPr>
        <w:t>so</w:t>
      </w:r>
      <w:r w:rsidRPr="00A225A4">
        <w:rPr>
          <w:lang w:val="fr-FR"/>
        </w:rPr>
        <w:t>ciaux</w:t>
      </w:r>
      <w:r w:rsidR="00513584" w:rsidRPr="00A225A4">
        <w:rPr>
          <w:lang w:val="fr-FR"/>
        </w:rPr>
        <w:t>”</w:t>
      </w:r>
      <w:r w:rsidRPr="00A225A4">
        <w:rPr>
          <w:lang w:val="fr-FR"/>
        </w:rPr>
        <w:t>.</w:t>
      </w:r>
    </w:p>
    <w:p w14:paraId="095631B2" w14:textId="37BC178F" w:rsidR="00DB5144" w:rsidRPr="00A225A4" w:rsidRDefault="00DB5144" w:rsidP="00DB5144">
      <w:pPr>
        <w:pStyle w:val="ONUMFS"/>
        <w:rPr>
          <w:rFonts w:eastAsia="MS Mincho"/>
          <w:bCs/>
          <w:iCs/>
          <w:szCs w:val="22"/>
          <w:lang w:val="fr-FR"/>
        </w:rPr>
      </w:pPr>
      <w:bookmarkStart w:id="5" w:name="_Hlk175580252"/>
      <w:r w:rsidRPr="00A225A4">
        <w:rPr>
          <w:lang w:val="fr-FR"/>
        </w:rPr>
        <w:t>Ce guide a été établi dans le cadre</w:t>
      </w:r>
      <w:r w:rsidR="00840039" w:rsidRPr="00A225A4">
        <w:rPr>
          <w:lang w:val="fr-FR"/>
        </w:rPr>
        <w:t xml:space="preserve"> </w:t>
      </w:r>
      <w:r w:rsidRPr="00A225A4">
        <w:rPr>
          <w:lang w:val="fr-FR"/>
        </w:rPr>
        <w:t>du projet du Plan d</w:t>
      </w:r>
      <w:r w:rsidR="00E76BCD" w:rsidRPr="00A225A4">
        <w:rPr>
          <w:lang w:val="fr-FR"/>
        </w:rPr>
        <w:t>’</w:t>
      </w:r>
      <w:r w:rsidRPr="00A225A4">
        <w:rPr>
          <w:lang w:val="fr-FR"/>
        </w:rPr>
        <w:t>action pour le dév</w:t>
      </w:r>
      <w:r w:rsidR="00840039" w:rsidRPr="00A225A4">
        <w:rPr>
          <w:lang w:val="fr-FR"/>
        </w:rPr>
        <w:t>el</w:t>
      </w:r>
      <w:r w:rsidRPr="00A225A4">
        <w:rPr>
          <w:lang w:val="fr-FR"/>
        </w:rPr>
        <w:t xml:space="preserve">oppement intitulé </w:t>
      </w:r>
      <w:r w:rsidR="00513584" w:rsidRPr="00A225A4">
        <w:rPr>
          <w:lang w:val="fr-FR"/>
        </w:rPr>
        <w:t>“</w:t>
      </w:r>
      <w:r w:rsidRPr="00A225A4">
        <w:rPr>
          <w:lang w:val="fr-FR"/>
        </w:rPr>
        <w:t>Renforcement de l</w:t>
      </w:r>
      <w:r w:rsidR="00E76BCD" w:rsidRPr="00A225A4">
        <w:rPr>
          <w:lang w:val="fr-FR"/>
        </w:rPr>
        <w:t>’</w:t>
      </w:r>
      <w:r w:rsidRPr="00A225A4">
        <w:rPr>
          <w:lang w:val="fr-FR"/>
        </w:rPr>
        <w:t>utilisation de la propriété intellectuelle pour les applications mobiles dans le se</w:t>
      </w:r>
      <w:r w:rsidR="00840039" w:rsidRPr="00A225A4">
        <w:rPr>
          <w:lang w:val="fr-FR"/>
        </w:rPr>
        <w:t>c</w:t>
      </w:r>
      <w:r w:rsidRPr="00A225A4">
        <w:rPr>
          <w:lang w:val="fr-FR"/>
        </w:rPr>
        <w:t>teur d</w:t>
      </w:r>
      <w:r w:rsidR="00840039" w:rsidRPr="00A225A4">
        <w:rPr>
          <w:lang w:val="fr-FR"/>
        </w:rPr>
        <w:t>e</w:t>
      </w:r>
      <w:r w:rsidRPr="00A225A4">
        <w:rPr>
          <w:lang w:val="fr-FR"/>
        </w:rPr>
        <w:t xml:space="preserve">s </w:t>
      </w:r>
      <w:r w:rsidR="00840039" w:rsidRPr="00A225A4">
        <w:rPr>
          <w:lang w:val="fr-FR"/>
        </w:rPr>
        <w:t>lo</w:t>
      </w:r>
      <w:r w:rsidRPr="00A225A4">
        <w:rPr>
          <w:lang w:val="fr-FR"/>
        </w:rPr>
        <w:t xml:space="preserve">giciels </w:t>
      </w:r>
      <w:r w:rsidR="00840039" w:rsidRPr="00A225A4">
        <w:rPr>
          <w:lang w:val="fr-FR"/>
        </w:rPr>
        <w:t>–</w:t>
      </w:r>
      <w:r w:rsidRPr="00A225A4">
        <w:rPr>
          <w:lang w:val="fr-FR"/>
        </w:rPr>
        <w:t xml:space="preserve"> </w:t>
      </w:r>
      <w:r w:rsidR="00840039" w:rsidRPr="00A225A4">
        <w:rPr>
          <w:lang w:val="fr-FR"/>
        </w:rPr>
        <w:t>P</w:t>
      </w:r>
      <w:r w:rsidRPr="00A225A4">
        <w:rPr>
          <w:lang w:val="fr-FR"/>
        </w:rPr>
        <w:t>hase</w:t>
      </w:r>
      <w:r w:rsidR="00840039" w:rsidRPr="00A225A4">
        <w:rPr>
          <w:lang w:val="fr-FR"/>
        </w:rPr>
        <w:t> </w:t>
      </w:r>
      <w:r w:rsidRPr="00A225A4">
        <w:rPr>
          <w:lang w:val="fr-FR"/>
        </w:rPr>
        <w:t>II</w:t>
      </w:r>
      <w:r w:rsidR="00513584" w:rsidRPr="00A225A4">
        <w:rPr>
          <w:lang w:val="fr-FR"/>
        </w:rPr>
        <w:t>”</w:t>
      </w:r>
      <w:r w:rsidRPr="00A225A4">
        <w:rPr>
          <w:lang w:val="fr-FR"/>
        </w:rPr>
        <w:t xml:space="preserve"> (document</w:t>
      </w:r>
      <w:r w:rsidR="00513584" w:rsidRPr="00A225A4">
        <w:rPr>
          <w:lang w:val="fr-FR"/>
        </w:rPr>
        <w:t> </w:t>
      </w:r>
      <w:hyperlink r:id="rId9" w:history="1">
        <w:r w:rsidRPr="00A225A4">
          <w:rPr>
            <w:rStyle w:val="Hyperlink"/>
            <w:lang w:val="fr-FR"/>
          </w:rPr>
          <w:t>CDIP/29/8</w:t>
        </w:r>
        <w:bookmarkEnd w:id="5"/>
        <w:r w:rsidR="00A06AF6" w:rsidRPr="00A225A4">
          <w:rPr>
            <w:rStyle w:val="Hyperlink"/>
            <w:lang w:val="fr-FR"/>
          </w:rPr>
          <w:t> </w:t>
        </w:r>
        <w:r w:rsidRPr="00A225A4">
          <w:rPr>
            <w:rStyle w:val="Hyperlink"/>
            <w:lang w:val="fr-FR"/>
          </w:rPr>
          <w:t>REV.</w:t>
        </w:r>
      </w:hyperlink>
      <w:r w:rsidRPr="00A225A4">
        <w:rPr>
          <w:lang w:val="fr-FR"/>
        </w:rPr>
        <w:t xml:space="preserve">).  Il a été rédigé par </w:t>
      </w:r>
      <w:bookmarkStart w:id="6" w:name="_Hlk175580273"/>
      <w:r w:rsidRPr="00A225A4">
        <w:rPr>
          <w:lang w:val="fr-FR"/>
        </w:rPr>
        <w:t>M. Daniel J.</w:t>
      </w:r>
      <w:r w:rsidR="00840039" w:rsidRPr="00A225A4">
        <w:rPr>
          <w:lang w:val="fr-FR"/>
        </w:rPr>
        <w:t> </w:t>
      </w:r>
      <w:r w:rsidRPr="00A225A4">
        <w:rPr>
          <w:lang w:val="fr-FR"/>
        </w:rPr>
        <w:t>Gervais, professeur de droit à la faculté de droit de l</w:t>
      </w:r>
      <w:r w:rsidR="00E76BCD" w:rsidRPr="00A225A4">
        <w:rPr>
          <w:lang w:val="fr-FR"/>
        </w:rPr>
        <w:t>’</w:t>
      </w:r>
      <w:r w:rsidRPr="00A225A4">
        <w:rPr>
          <w:lang w:val="fr-FR"/>
        </w:rPr>
        <w:t>Université Vanderbilt de Nashville</w:t>
      </w:r>
      <w:bookmarkEnd w:id="6"/>
      <w:r w:rsidRPr="00A225A4">
        <w:rPr>
          <w:lang w:val="fr-FR"/>
        </w:rPr>
        <w:t xml:space="preserve"> (États</w:t>
      </w:r>
      <w:r w:rsidR="00BA6BB6" w:rsidRPr="00A225A4">
        <w:rPr>
          <w:lang w:val="fr-FR"/>
        </w:rPr>
        <w:noBreakHyphen/>
      </w:r>
      <w:r w:rsidRPr="00A225A4">
        <w:rPr>
          <w:lang w:val="fr-FR"/>
        </w:rPr>
        <w:t>Unis d</w:t>
      </w:r>
      <w:r w:rsidR="00E76BCD" w:rsidRPr="00A225A4">
        <w:rPr>
          <w:lang w:val="fr-FR"/>
        </w:rPr>
        <w:t>’</w:t>
      </w:r>
      <w:r w:rsidRPr="00A225A4">
        <w:rPr>
          <w:lang w:val="fr-FR"/>
        </w:rPr>
        <w:t>Amérique).</w:t>
      </w:r>
    </w:p>
    <w:p w14:paraId="4ABD2832" w14:textId="2572EE57" w:rsidR="00DB5144" w:rsidRPr="00A225A4" w:rsidRDefault="00DB5144" w:rsidP="00DB5144">
      <w:pPr>
        <w:pStyle w:val="ONUMFS"/>
        <w:ind w:left="5533"/>
        <w:rPr>
          <w:rFonts w:eastAsia="Arial"/>
          <w:i/>
          <w:szCs w:val="22"/>
          <w:lang w:val="fr-FR"/>
        </w:rPr>
      </w:pPr>
      <w:r w:rsidRPr="00A225A4">
        <w:rPr>
          <w:i/>
          <w:lang w:val="fr-FR"/>
        </w:rPr>
        <w:t>Le comité est invité à prendre note des informations qui figurent dans l</w:t>
      </w:r>
      <w:r w:rsidR="00E76BCD" w:rsidRPr="00A225A4">
        <w:rPr>
          <w:i/>
          <w:lang w:val="fr-FR"/>
        </w:rPr>
        <w:t>’</w:t>
      </w:r>
      <w:r w:rsidRPr="00A225A4">
        <w:rPr>
          <w:i/>
          <w:lang w:val="fr-FR"/>
        </w:rPr>
        <w:t>annexe du présent document.</w:t>
      </w:r>
    </w:p>
    <w:p w14:paraId="55BBD849" w14:textId="54D0912B" w:rsidR="00DB5144" w:rsidRPr="00A225A4" w:rsidRDefault="00DB5144" w:rsidP="00840039">
      <w:pPr>
        <w:pStyle w:val="Endofdocument-Annex"/>
        <w:spacing w:before="720"/>
        <w:rPr>
          <w:lang w:val="fr-FR"/>
        </w:rPr>
        <w:sectPr w:rsidR="00DB5144" w:rsidRPr="00A225A4" w:rsidSect="00DB5144">
          <w:headerReference w:type="default" r:id="rId10"/>
          <w:endnotePr>
            <w:numFmt w:val="decimal"/>
          </w:endnotePr>
          <w:pgSz w:w="11907" w:h="16840" w:code="9"/>
          <w:pgMar w:top="567" w:right="1134" w:bottom="1418" w:left="1418" w:header="510" w:footer="1021" w:gutter="0"/>
          <w:cols w:space="720"/>
          <w:titlePg/>
          <w:docGrid w:linePitch="299"/>
        </w:sectPr>
      </w:pPr>
      <w:r w:rsidRPr="00A225A4">
        <w:rPr>
          <w:lang w:val="fr-FR"/>
        </w:rPr>
        <w:t>[L</w:t>
      </w:r>
      <w:r w:rsidR="00E76BCD" w:rsidRPr="00A225A4">
        <w:rPr>
          <w:lang w:val="fr-FR"/>
        </w:rPr>
        <w:t>’</w:t>
      </w:r>
      <w:r w:rsidRPr="00A225A4">
        <w:rPr>
          <w:lang w:val="fr-FR"/>
        </w:rPr>
        <w:t>annexe suit]</w:t>
      </w:r>
    </w:p>
    <w:p w14:paraId="22228FEC" w14:textId="49C8FBDD" w:rsidR="00DB5144" w:rsidRPr="00A225A4" w:rsidRDefault="00DB5144" w:rsidP="00513584">
      <w:pPr>
        <w:pStyle w:val="Heading2"/>
        <w:spacing w:before="0" w:after="360"/>
        <w:jc w:val="center"/>
        <w:rPr>
          <w:b/>
          <w:caps w:val="0"/>
          <w:lang w:val="fr-FR"/>
        </w:rPr>
      </w:pPr>
      <w:r w:rsidRPr="00A225A4">
        <w:rPr>
          <w:b/>
          <w:caps w:val="0"/>
          <w:lang w:val="fr-FR"/>
        </w:rPr>
        <w:lastRenderedPageBreak/>
        <w:t>Guide de l</w:t>
      </w:r>
      <w:r w:rsidR="00E76BCD" w:rsidRPr="00A225A4">
        <w:rPr>
          <w:b/>
          <w:caps w:val="0"/>
          <w:lang w:val="fr-FR"/>
        </w:rPr>
        <w:t>’</w:t>
      </w:r>
      <w:r w:rsidRPr="00A225A4">
        <w:rPr>
          <w:b/>
          <w:caps w:val="0"/>
          <w:lang w:val="fr-FR"/>
        </w:rPr>
        <w:t>OMPI sur les questions de propriété intellectuelle liées aux applications mobiles et aux médias sociaux</w:t>
      </w:r>
      <w:r w:rsidR="00513584" w:rsidRPr="00A225A4">
        <w:rPr>
          <w:b/>
          <w:caps w:val="0"/>
          <w:lang w:val="fr-FR"/>
        </w:rPr>
        <w:br/>
      </w:r>
      <w:r w:rsidR="00513584" w:rsidRPr="00A225A4">
        <w:rPr>
          <w:b/>
          <w:caps w:val="0"/>
          <w:lang w:val="fr-FR"/>
        </w:rPr>
        <w:br/>
      </w:r>
      <w:r w:rsidRPr="00A225A4">
        <w:rPr>
          <w:b/>
          <w:caps w:val="0"/>
          <w:lang w:val="fr-FR"/>
        </w:rPr>
        <w:t>Résumé</w:t>
      </w:r>
    </w:p>
    <w:p w14:paraId="51665988" w14:textId="628E49D9" w:rsidR="00E76BCD" w:rsidRPr="00A225A4" w:rsidRDefault="00DB5144" w:rsidP="00513584">
      <w:pPr>
        <w:spacing w:after="220"/>
        <w:rPr>
          <w:lang w:val="fr-FR"/>
        </w:rPr>
      </w:pPr>
      <w:r w:rsidRPr="00A225A4">
        <w:rPr>
          <w:lang w:val="fr-FR"/>
        </w:rPr>
        <w:t>La propriété intellectuelle joue un rôle essentiel dans les médias sociaux et le cycle de vie des applications mobiles, en permettant aux petites et moyennes entreprises (PME) de protéger leur innovation, leur marque et leur avantage concurrentiel dans une économie numérique portée par l</w:t>
      </w:r>
      <w:r w:rsidR="00E76BCD" w:rsidRPr="00A225A4">
        <w:rPr>
          <w:lang w:val="fr-FR"/>
        </w:rPr>
        <w:t>’</w:t>
      </w:r>
      <w:r w:rsidRPr="00A225A4">
        <w:rPr>
          <w:lang w:val="fr-FR"/>
        </w:rPr>
        <w:t>omniprésence de la technologie mobile.</w:t>
      </w:r>
    </w:p>
    <w:p w14:paraId="23BFEF82" w14:textId="2E7B0C19" w:rsidR="00DB5144" w:rsidRPr="00A225A4" w:rsidRDefault="00DB5144" w:rsidP="00513584">
      <w:pPr>
        <w:spacing w:after="220"/>
        <w:rPr>
          <w:lang w:val="fr-FR"/>
        </w:rPr>
      </w:pPr>
      <w:r w:rsidRPr="00A225A4">
        <w:rPr>
          <w:lang w:val="fr-FR"/>
        </w:rPr>
        <w:t>Le passage du Web aux applications mobiles et aux plateformes de médias sociaux est venu modifier en profondeur l</w:t>
      </w:r>
      <w:r w:rsidR="00E76BCD" w:rsidRPr="00A225A4">
        <w:rPr>
          <w:lang w:val="fr-FR"/>
        </w:rPr>
        <w:t>’</w:t>
      </w:r>
      <w:r w:rsidRPr="00A225A4">
        <w:rPr>
          <w:lang w:val="fr-FR"/>
        </w:rPr>
        <w:t>accès à l</w:t>
      </w:r>
      <w:r w:rsidR="00E76BCD" w:rsidRPr="00A225A4">
        <w:rPr>
          <w:lang w:val="fr-FR"/>
        </w:rPr>
        <w:t>’</w:t>
      </w:r>
      <w:r w:rsidRPr="00A225A4">
        <w:rPr>
          <w:lang w:val="fr-FR"/>
        </w:rPr>
        <w:t>Internet, ces applications et plateformes offrant divers avantages, notamment un engagement accru des utilisateurs et des expériences personnalisées.  Alors que les applications mobiles et les plateformes de médias sociaux continuent de dynamiser des secteurs allant du commerce électronique au divertissement, la reconnaissance et la gestion des droits de propriété intellectuelle revêtent une importance fondamentale pour</w:t>
      </w:r>
      <w:r w:rsidR="00E76BCD" w:rsidRPr="00A225A4">
        <w:rPr>
          <w:lang w:val="fr-FR"/>
        </w:rPr>
        <w:t xml:space="preserve"> les PME</w:t>
      </w:r>
      <w:r w:rsidRPr="00A225A4">
        <w:rPr>
          <w:lang w:val="fr-FR"/>
        </w:rPr>
        <w:t>.</w:t>
      </w:r>
    </w:p>
    <w:p w14:paraId="3A0CB179" w14:textId="418BEDCE" w:rsidR="00E76BCD" w:rsidRPr="00A225A4" w:rsidRDefault="00DB5144" w:rsidP="00513584">
      <w:pPr>
        <w:spacing w:after="220"/>
        <w:rPr>
          <w:lang w:val="fr-FR"/>
        </w:rPr>
      </w:pPr>
      <w:r w:rsidRPr="00A225A4">
        <w:rPr>
          <w:lang w:val="fr-FR"/>
        </w:rPr>
        <w:t>Le présent guide analyse les questions de propriété intellectuelle liées à l</w:t>
      </w:r>
      <w:r w:rsidR="00E76BCD" w:rsidRPr="00A225A4">
        <w:rPr>
          <w:lang w:val="fr-FR"/>
        </w:rPr>
        <w:t>’</w:t>
      </w:r>
      <w:r w:rsidRPr="00A225A4">
        <w:rPr>
          <w:lang w:val="fr-FR"/>
        </w:rPr>
        <w:t>utilisation des applications mobiles dans les médias sociaux et à l</w:t>
      </w:r>
      <w:r w:rsidR="00E76BCD" w:rsidRPr="00A225A4">
        <w:rPr>
          <w:lang w:val="fr-FR"/>
        </w:rPr>
        <w:t>’</w:t>
      </w:r>
      <w:r w:rsidRPr="00A225A4">
        <w:rPr>
          <w:lang w:val="fr-FR"/>
        </w:rPr>
        <w:t>utilisation des médias sociaux par les entreprises.  Il donne un aperçu du rôle et des fonctions des applications mobiles dans l</w:t>
      </w:r>
      <w:r w:rsidR="00E76BCD" w:rsidRPr="00A225A4">
        <w:rPr>
          <w:lang w:val="fr-FR"/>
        </w:rPr>
        <w:t>’</w:t>
      </w:r>
      <w:r w:rsidRPr="00A225A4">
        <w:rPr>
          <w:lang w:val="fr-FR"/>
        </w:rPr>
        <w:t>écosystème numérique et de l</w:t>
      </w:r>
      <w:r w:rsidR="00E76BCD" w:rsidRPr="00A225A4">
        <w:rPr>
          <w:lang w:val="fr-FR"/>
        </w:rPr>
        <w:t>’</w:t>
      </w:r>
      <w:r w:rsidRPr="00A225A4">
        <w:rPr>
          <w:lang w:val="fr-FR"/>
        </w:rPr>
        <w:t>applicabilité des différents droits de propriété intellectuelle dans le cadre du développement, de la commercialisation, de la distribution et de l</w:t>
      </w:r>
      <w:r w:rsidR="00E76BCD" w:rsidRPr="00A225A4">
        <w:rPr>
          <w:lang w:val="fr-FR"/>
        </w:rPr>
        <w:t>’</w:t>
      </w:r>
      <w:r w:rsidRPr="00A225A4">
        <w:rPr>
          <w:lang w:val="fr-FR"/>
        </w:rPr>
        <w:t>utilisation d</w:t>
      </w:r>
      <w:r w:rsidR="00E76BCD" w:rsidRPr="00A225A4">
        <w:rPr>
          <w:lang w:val="fr-FR"/>
        </w:rPr>
        <w:t>’</w:t>
      </w:r>
      <w:r w:rsidRPr="00A225A4">
        <w:rPr>
          <w:lang w:val="fr-FR"/>
        </w:rPr>
        <w:t xml:space="preserve">applications. </w:t>
      </w:r>
      <w:r w:rsidR="00D43CF0" w:rsidRPr="00A225A4">
        <w:rPr>
          <w:lang w:val="fr-FR"/>
        </w:rPr>
        <w:t xml:space="preserve"> </w:t>
      </w:r>
    </w:p>
    <w:p w14:paraId="5858686F" w14:textId="40F8BF7D" w:rsidR="00DB5144" w:rsidRPr="00A225A4" w:rsidRDefault="00DB5144" w:rsidP="00513584">
      <w:pPr>
        <w:spacing w:after="220"/>
        <w:rPr>
          <w:lang w:val="fr-FR"/>
        </w:rPr>
      </w:pPr>
      <w:r w:rsidRPr="00A225A4">
        <w:rPr>
          <w:lang w:val="fr-FR"/>
        </w:rPr>
        <w:t>Le droit d</w:t>
      </w:r>
      <w:r w:rsidR="00E76BCD" w:rsidRPr="00A225A4">
        <w:rPr>
          <w:lang w:val="fr-FR"/>
        </w:rPr>
        <w:t>’</w:t>
      </w:r>
      <w:r w:rsidRPr="00A225A4">
        <w:rPr>
          <w:lang w:val="fr-FR"/>
        </w:rPr>
        <w:t>auteur est l</w:t>
      </w:r>
      <w:r w:rsidR="00E76BCD" w:rsidRPr="00A225A4">
        <w:rPr>
          <w:lang w:val="fr-FR"/>
        </w:rPr>
        <w:t>’</w:t>
      </w:r>
      <w:r w:rsidRPr="00A225A4">
        <w:rPr>
          <w:lang w:val="fr-FR"/>
        </w:rPr>
        <w:t>une des pierres angulaires de la propriété intellectuelle en lien avec le développement d</w:t>
      </w:r>
      <w:r w:rsidR="00E76BCD" w:rsidRPr="00A225A4">
        <w:rPr>
          <w:lang w:val="fr-FR"/>
        </w:rPr>
        <w:t>’</w:t>
      </w:r>
      <w:r w:rsidRPr="00A225A4">
        <w:rPr>
          <w:lang w:val="fr-FR"/>
        </w:rPr>
        <w:t xml:space="preserve">applications et la préparation de publications sur les plateformes de médias sociaux; </w:t>
      </w:r>
      <w:r w:rsidR="00D43CF0" w:rsidRPr="00A225A4">
        <w:rPr>
          <w:lang w:val="fr-FR"/>
        </w:rPr>
        <w:t xml:space="preserve"> </w:t>
      </w:r>
      <w:r w:rsidRPr="00A225A4">
        <w:rPr>
          <w:lang w:val="fr-FR"/>
        </w:rPr>
        <w:t>il couvre non seulement le logiciel (le code), mais aussi les médias utilisés dans l</w:t>
      </w:r>
      <w:r w:rsidR="00E76BCD" w:rsidRPr="00A225A4">
        <w:rPr>
          <w:lang w:val="fr-FR"/>
        </w:rPr>
        <w:t>’</w:t>
      </w:r>
      <w:r w:rsidRPr="00A225A4">
        <w:rPr>
          <w:lang w:val="fr-FR"/>
        </w:rPr>
        <w:t>application ou les publications, tels que les images, les sons et le texte.  Il permet aux développeurs d</w:t>
      </w:r>
      <w:r w:rsidR="00E76BCD" w:rsidRPr="00A225A4">
        <w:rPr>
          <w:lang w:val="fr-FR"/>
        </w:rPr>
        <w:t>’</w:t>
      </w:r>
      <w:r w:rsidRPr="00A225A4">
        <w:rPr>
          <w:lang w:val="fr-FR"/>
        </w:rPr>
        <w:t>applications et aux créateurs de contenus pour les plateformes de médias sociaux d</w:t>
      </w:r>
      <w:r w:rsidR="00E76BCD" w:rsidRPr="00A225A4">
        <w:rPr>
          <w:lang w:val="fr-FR"/>
        </w:rPr>
        <w:t>’</w:t>
      </w:r>
      <w:r w:rsidRPr="00A225A4">
        <w:rPr>
          <w:lang w:val="fr-FR"/>
        </w:rPr>
        <w:t>autoriser ou de restreindre l</w:t>
      </w:r>
      <w:r w:rsidR="00E76BCD" w:rsidRPr="00A225A4">
        <w:rPr>
          <w:lang w:val="fr-FR"/>
        </w:rPr>
        <w:t>’</w:t>
      </w:r>
      <w:r w:rsidRPr="00A225A4">
        <w:rPr>
          <w:lang w:val="fr-FR"/>
        </w:rPr>
        <w:t>utilisation de leurs créations, en fournissant un cadre juridique pour contrôler la copie, la distribution et l</w:t>
      </w:r>
      <w:r w:rsidR="00E76BCD" w:rsidRPr="00A225A4">
        <w:rPr>
          <w:lang w:val="fr-FR"/>
        </w:rPr>
        <w:t>’</w:t>
      </w:r>
      <w:r w:rsidRPr="00A225A4">
        <w:rPr>
          <w:lang w:val="fr-FR"/>
        </w:rPr>
        <w:t xml:space="preserve">adaptation de leur travail.  La </w:t>
      </w:r>
      <w:hyperlink r:id="rId11" w:history="1">
        <w:r w:rsidRPr="00A225A4">
          <w:rPr>
            <w:rStyle w:val="Hyperlink"/>
            <w:lang w:val="fr-FR"/>
          </w:rPr>
          <w:t>Convention de Berne</w:t>
        </w:r>
      </w:hyperlink>
      <w:r w:rsidRPr="00A225A4">
        <w:rPr>
          <w:lang w:val="fr-FR"/>
        </w:rPr>
        <w:t xml:space="preserve"> définit dans les contours de la protection des œuvres littéraires et artistiques et le grand nombre de ses membres témoigne d</w:t>
      </w:r>
      <w:r w:rsidR="00E76BCD" w:rsidRPr="00A225A4">
        <w:rPr>
          <w:lang w:val="fr-FR"/>
        </w:rPr>
        <w:t>’</w:t>
      </w:r>
      <w:r w:rsidRPr="00A225A4">
        <w:rPr>
          <w:lang w:val="fr-FR"/>
        </w:rPr>
        <w:t>un consensus mondial sur les normes relatives au droit d</w:t>
      </w:r>
      <w:r w:rsidR="00E76BCD" w:rsidRPr="00A225A4">
        <w:rPr>
          <w:lang w:val="fr-FR"/>
        </w:rPr>
        <w:t>’</w:t>
      </w:r>
      <w:r w:rsidRPr="00A225A4">
        <w:rPr>
          <w:lang w:val="fr-FR"/>
        </w:rPr>
        <w:t>auteur.</w:t>
      </w:r>
    </w:p>
    <w:p w14:paraId="0CD49401" w14:textId="2A73A0F3" w:rsidR="00E76BCD" w:rsidRPr="00A225A4" w:rsidRDefault="00DB5144" w:rsidP="00513584">
      <w:pPr>
        <w:spacing w:after="220"/>
        <w:rPr>
          <w:lang w:val="fr-FR"/>
        </w:rPr>
      </w:pPr>
      <w:r w:rsidRPr="00A225A4">
        <w:rPr>
          <w:lang w:val="fr-FR"/>
        </w:rPr>
        <w:t>Les marques, qui comprennent les marques de produits et les marques de services, ont pour fonction essentielle de distinguer l</w:t>
      </w:r>
      <w:r w:rsidR="00E76BCD" w:rsidRPr="00A225A4">
        <w:rPr>
          <w:lang w:val="fr-FR"/>
        </w:rPr>
        <w:t>’</w:t>
      </w:r>
      <w:r w:rsidRPr="00A225A4">
        <w:rPr>
          <w:lang w:val="fr-FR"/>
        </w:rPr>
        <w:t>offre d</w:t>
      </w:r>
      <w:r w:rsidR="00E76BCD" w:rsidRPr="00A225A4">
        <w:rPr>
          <w:lang w:val="fr-FR"/>
        </w:rPr>
        <w:t>’</w:t>
      </w:r>
      <w:r w:rsidRPr="00A225A4">
        <w:rPr>
          <w:lang w:val="fr-FR"/>
        </w:rPr>
        <w:t>une entreprise de celle d</w:t>
      </w:r>
      <w:r w:rsidR="00E76BCD" w:rsidRPr="00A225A4">
        <w:rPr>
          <w:lang w:val="fr-FR"/>
        </w:rPr>
        <w:t>’</w:t>
      </w:r>
      <w:r w:rsidRPr="00A225A4">
        <w:rPr>
          <w:lang w:val="fr-FR"/>
        </w:rPr>
        <w:t>autres entrepris</w:t>
      </w:r>
      <w:r w:rsidR="00E038AE" w:rsidRPr="00A225A4">
        <w:rPr>
          <w:lang w:val="fr-FR"/>
        </w:rPr>
        <w:t>es.  El</w:t>
      </w:r>
      <w:r w:rsidRPr="00A225A4">
        <w:rPr>
          <w:lang w:val="fr-FR"/>
        </w:rPr>
        <w:t>les permettent de mieux reconnaître la marque et de fidéliser les consommateurs, ce qui constitue un actif sur le marché surchargé des applications.  L</w:t>
      </w:r>
      <w:r w:rsidR="00E76BCD" w:rsidRPr="00A225A4">
        <w:rPr>
          <w:lang w:val="fr-FR"/>
        </w:rPr>
        <w:t>’</w:t>
      </w:r>
      <w:r w:rsidRPr="00A225A4">
        <w:rPr>
          <w:lang w:val="fr-FR"/>
        </w:rPr>
        <w:t>enregistrement des marques apporte une meilleure protection sur le plan juridique et est rationalisé à l</w:t>
      </w:r>
      <w:r w:rsidR="00E76BCD" w:rsidRPr="00A225A4">
        <w:rPr>
          <w:lang w:val="fr-FR"/>
        </w:rPr>
        <w:t>’</w:t>
      </w:r>
      <w:r w:rsidRPr="00A225A4">
        <w:rPr>
          <w:lang w:val="fr-FR"/>
        </w:rPr>
        <w:t>échelle internationale par le système de Madrid, que l</w:t>
      </w:r>
      <w:r w:rsidR="00E76BCD" w:rsidRPr="00A225A4">
        <w:rPr>
          <w:lang w:val="fr-FR"/>
        </w:rPr>
        <w:t>’</w:t>
      </w:r>
      <w:r w:rsidRPr="00A225A4">
        <w:rPr>
          <w:lang w:val="fr-FR"/>
        </w:rPr>
        <w:t>Organisation Mondiale de la Propriété Intellectuelle (OMPI) administre.</w:t>
      </w:r>
    </w:p>
    <w:p w14:paraId="102C07E1" w14:textId="7753CBA0" w:rsidR="00DB5144" w:rsidRPr="00A225A4" w:rsidRDefault="00DB5144" w:rsidP="00513584">
      <w:pPr>
        <w:spacing w:after="220"/>
        <w:rPr>
          <w:lang w:val="fr-FR"/>
        </w:rPr>
      </w:pPr>
      <w:r w:rsidRPr="00A225A4">
        <w:rPr>
          <w:lang w:val="fr-FR"/>
        </w:rPr>
        <w:t>Les secrets d</w:t>
      </w:r>
      <w:r w:rsidR="00E76BCD" w:rsidRPr="00A225A4">
        <w:rPr>
          <w:lang w:val="fr-FR"/>
        </w:rPr>
        <w:t>’</w:t>
      </w:r>
      <w:r w:rsidRPr="00A225A4">
        <w:rPr>
          <w:lang w:val="fr-FR"/>
        </w:rPr>
        <w:t>affaires assurent la protection des informations commerciales confidentielles essentielles</w:t>
      </w:r>
      <w:r w:rsidR="00E76BCD" w:rsidRPr="00A225A4">
        <w:rPr>
          <w:lang w:val="fr-FR"/>
        </w:rPr>
        <w:t xml:space="preserve"> aux PME</w:t>
      </w:r>
      <w:r w:rsidRPr="00A225A4">
        <w:rPr>
          <w:lang w:val="fr-FR"/>
        </w:rPr>
        <w:t>, notamment les données clients et le savoir</w:t>
      </w:r>
      <w:r w:rsidR="00BA6BB6" w:rsidRPr="00A225A4">
        <w:rPr>
          <w:lang w:val="fr-FR"/>
        </w:rPr>
        <w:noBreakHyphen/>
      </w:r>
      <w:r w:rsidRPr="00A225A4">
        <w:rPr>
          <w:lang w:val="fr-FR"/>
        </w:rPr>
        <w:t>faire exclus</w:t>
      </w:r>
      <w:r w:rsidR="00E038AE" w:rsidRPr="00A225A4">
        <w:rPr>
          <w:lang w:val="fr-FR"/>
        </w:rPr>
        <w:t>if.  Le</w:t>
      </w:r>
      <w:r w:rsidRPr="00A225A4">
        <w:rPr>
          <w:lang w:val="fr-FR"/>
        </w:rPr>
        <w:t>s secrets d</w:t>
      </w:r>
      <w:r w:rsidR="00E76BCD" w:rsidRPr="00A225A4">
        <w:rPr>
          <w:lang w:val="fr-FR"/>
        </w:rPr>
        <w:t>’</w:t>
      </w:r>
      <w:r w:rsidRPr="00A225A4">
        <w:rPr>
          <w:lang w:val="fr-FR"/>
        </w:rPr>
        <w:t>affaires, moins coûteux que les brevets, ne nécessitent pas d</w:t>
      </w:r>
      <w:r w:rsidR="00E76BCD" w:rsidRPr="00A225A4">
        <w:rPr>
          <w:lang w:val="fr-FR"/>
        </w:rPr>
        <w:t>’</w:t>
      </w:r>
      <w:r w:rsidRPr="00A225A4">
        <w:rPr>
          <w:lang w:val="fr-FR"/>
        </w:rPr>
        <w:t>enregistrement formel mais plutôt des mesures raisonnables pour en préserver la confidentialité.</w:t>
      </w:r>
    </w:p>
    <w:p w14:paraId="04370833" w14:textId="5A402F60" w:rsidR="00DB5144" w:rsidRPr="00A225A4" w:rsidRDefault="00DB5144" w:rsidP="00513584">
      <w:pPr>
        <w:spacing w:after="220"/>
        <w:rPr>
          <w:lang w:val="fr-FR"/>
        </w:rPr>
      </w:pPr>
      <w:r w:rsidRPr="00A225A4">
        <w:rPr>
          <w:lang w:val="fr-FR"/>
        </w:rPr>
        <w:t>Dans le contexte des marchés (ou magasins) en ligne, les applications jouent un rôle centralisateur et permettent</w:t>
      </w:r>
      <w:r w:rsidR="00E76BCD" w:rsidRPr="00A225A4">
        <w:rPr>
          <w:lang w:val="fr-FR"/>
        </w:rPr>
        <w:t xml:space="preserve"> aux PME</w:t>
      </w:r>
      <w:r w:rsidRPr="00A225A4">
        <w:rPr>
          <w:lang w:val="fr-FR"/>
        </w:rPr>
        <w:t xml:space="preserve"> d</w:t>
      </w:r>
      <w:r w:rsidR="00E76BCD" w:rsidRPr="00A225A4">
        <w:rPr>
          <w:lang w:val="fr-FR"/>
        </w:rPr>
        <w:t>’</w:t>
      </w:r>
      <w:r w:rsidRPr="00A225A4">
        <w:rPr>
          <w:lang w:val="fr-FR"/>
        </w:rPr>
        <w:t>accéder à des marchés plus vastes.  Les plateformes de médias sociaux constituent également un moyen d</w:t>
      </w:r>
      <w:r w:rsidR="00E76BCD" w:rsidRPr="00A225A4">
        <w:rPr>
          <w:lang w:val="fr-FR"/>
        </w:rPr>
        <w:t>’</w:t>
      </w:r>
      <w:r w:rsidRPr="00A225A4">
        <w:rPr>
          <w:lang w:val="fr-FR"/>
        </w:rPr>
        <w:t>atteindre cet objectif, en particulier grâce à l</w:t>
      </w:r>
      <w:r w:rsidR="00E76BCD" w:rsidRPr="00A225A4">
        <w:rPr>
          <w:lang w:val="fr-FR"/>
        </w:rPr>
        <w:t>’</w:t>
      </w:r>
      <w:r w:rsidRPr="00A225A4">
        <w:rPr>
          <w:lang w:val="fr-FR"/>
        </w:rPr>
        <w:t>intégration d</w:t>
      </w:r>
      <w:r w:rsidR="00E76BCD" w:rsidRPr="00A225A4">
        <w:rPr>
          <w:lang w:val="fr-FR"/>
        </w:rPr>
        <w:t>’</w:t>
      </w:r>
      <w:r w:rsidRPr="00A225A4">
        <w:rPr>
          <w:lang w:val="fr-FR"/>
        </w:rPr>
        <w:t>applications.  Les plateformes mondiales requièrent souvent des partenariats stratégiques et une prise de conscience des incidences sur le plan de la propriété intellectuelle est nécessaire pour que</w:t>
      </w:r>
      <w:r w:rsidR="00E76BCD" w:rsidRPr="00A225A4">
        <w:rPr>
          <w:lang w:val="fr-FR"/>
        </w:rPr>
        <w:t xml:space="preserve"> les PME</w:t>
      </w:r>
      <w:r w:rsidRPr="00A225A4">
        <w:rPr>
          <w:lang w:val="fr-FR"/>
        </w:rPr>
        <w:t xml:space="preserve"> puissent se développer pleinement.</w:t>
      </w:r>
    </w:p>
    <w:p w14:paraId="047A27A3" w14:textId="6AA373D2" w:rsidR="00E76BCD" w:rsidRPr="00A225A4" w:rsidRDefault="00DB5144" w:rsidP="00513584">
      <w:pPr>
        <w:spacing w:after="220"/>
        <w:rPr>
          <w:lang w:val="fr-FR"/>
        </w:rPr>
      </w:pPr>
      <w:r w:rsidRPr="00A225A4">
        <w:rPr>
          <w:lang w:val="fr-FR"/>
        </w:rPr>
        <w:t>Pour utiliser efficacement la propriété intellectuelle,</w:t>
      </w:r>
      <w:r w:rsidR="00E76BCD" w:rsidRPr="00A225A4">
        <w:rPr>
          <w:lang w:val="fr-FR"/>
        </w:rPr>
        <w:t xml:space="preserve"> les PME</w:t>
      </w:r>
      <w:r w:rsidRPr="00A225A4">
        <w:rPr>
          <w:lang w:val="fr-FR"/>
        </w:rPr>
        <w:t xml:space="preserve"> devraient tenir compte des lignes directrices suivantes</w:t>
      </w:r>
      <w:r w:rsidR="00E76BCD" w:rsidRPr="00A225A4">
        <w:rPr>
          <w:lang w:val="fr-FR"/>
        </w:rPr>
        <w:t> :</w:t>
      </w:r>
    </w:p>
    <w:p w14:paraId="60CEBED1" w14:textId="7650ED5E" w:rsidR="00DB5144" w:rsidRPr="00A225A4" w:rsidRDefault="00DB5144" w:rsidP="00513584">
      <w:pPr>
        <w:pStyle w:val="ListParagraph"/>
        <w:numPr>
          <w:ilvl w:val="0"/>
          <w:numId w:val="7"/>
        </w:numPr>
        <w:tabs>
          <w:tab w:val="left" w:pos="1134"/>
        </w:tabs>
        <w:spacing w:after="220"/>
        <w:ind w:left="1134" w:hanging="567"/>
        <w:rPr>
          <w:rFonts w:ascii="Arial" w:hAnsi="Arial" w:cs="Arial"/>
        </w:rPr>
      </w:pPr>
      <w:r w:rsidRPr="00A225A4">
        <w:rPr>
          <w:rFonts w:ascii="Arial" w:hAnsi="Arial"/>
        </w:rPr>
        <w:t>acquérir une bonne compréhension des différentes formes de propriété intellectuelle et de leur application dans le cadre du processus de développement d</w:t>
      </w:r>
      <w:r w:rsidR="00E76BCD" w:rsidRPr="00A225A4">
        <w:rPr>
          <w:rFonts w:ascii="Arial" w:hAnsi="Arial"/>
        </w:rPr>
        <w:t>’</w:t>
      </w:r>
      <w:r w:rsidRPr="00A225A4">
        <w:rPr>
          <w:rFonts w:ascii="Arial" w:hAnsi="Arial"/>
        </w:rPr>
        <w:t>applications ou de création de contenu pour les médias sociaux;</w:t>
      </w:r>
    </w:p>
    <w:p w14:paraId="49819886" w14:textId="4568F0D0" w:rsidR="00E76BCD" w:rsidRPr="00A225A4" w:rsidRDefault="00DB5144" w:rsidP="00513584">
      <w:pPr>
        <w:pStyle w:val="ListParagraph"/>
        <w:numPr>
          <w:ilvl w:val="0"/>
          <w:numId w:val="7"/>
        </w:numPr>
        <w:spacing w:after="220"/>
        <w:ind w:left="1134" w:hanging="567"/>
        <w:rPr>
          <w:rFonts w:ascii="Arial" w:hAnsi="Arial"/>
        </w:rPr>
      </w:pPr>
      <w:r w:rsidRPr="00A225A4">
        <w:rPr>
          <w:rFonts w:ascii="Arial" w:hAnsi="Arial"/>
        </w:rPr>
        <w:t>effectuer des recherches approfondies sur les marques et les noms de domaine afin d</w:t>
      </w:r>
      <w:r w:rsidR="00E76BCD" w:rsidRPr="00A225A4">
        <w:rPr>
          <w:rFonts w:ascii="Arial" w:hAnsi="Arial"/>
        </w:rPr>
        <w:t>’</w:t>
      </w:r>
      <w:r w:rsidRPr="00A225A4">
        <w:rPr>
          <w:rFonts w:ascii="Arial" w:hAnsi="Arial"/>
        </w:rPr>
        <w:t>assurer la protection de leur marque à l</w:t>
      </w:r>
      <w:r w:rsidR="00E76BCD" w:rsidRPr="00A225A4">
        <w:rPr>
          <w:rFonts w:ascii="Arial" w:hAnsi="Arial"/>
        </w:rPr>
        <w:t>’</w:t>
      </w:r>
      <w:r w:rsidRPr="00A225A4">
        <w:rPr>
          <w:rFonts w:ascii="Arial" w:hAnsi="Arial"/>
        </w:rPr>
        <w:t>échelle mondiale et de prévenir toute atteinte;</w:t>
      </w:r>
    </w:p>
    <w:p w14:paraId="6F6D5B28" w14:textId="08C340BE" w:rsidR="00DB5144" w:rsidRPr="00A225A4" w:rsidRDefault="00DB5144" w:rsidP="00513584">
      <w:pPr>
        <w:pStyle w:val="ListParagraph"/>
        <w:numPr>
          <w:ilvl w:val="0"/>
          <w:numId w:val="7"/>
        </w:numPr>
        <w:spacing w:after="220"/>
        <w:ind w:left="1134" w:hanging="567"/>
        <w:rPr>
          <w:rFonts w:ascii="Arial" w:hAnsi="Arial" w:cs="Arial"/>
        </w:rPr>
      </w:pPr>
      <w:r w:rsidRPr="00A225A4">
        <w:rPr>
          <w:rFonts w:ascii="Arial" w:hAnsi="Arial"/>
        </w:rPr>
        <w:t>obtenir tous les droits et autorisations nécessaires lors de l</w:t>
      </w:r>
      <w:r w:rsidR="00E76BCD" w:rsidRPr="00A225A4">
        <w:rPr>
          <w:rFonts w:ascii="Arial" w:hAnsi="Arial"/>
        </w:rPr>
        <w:t>’</w:t>
      </w:r>
      <w:r w:rsidRPr="00A225A4">
        <w:rPr>
          <w:rFonts w:ascii="Arial" w:hAnsi="Arial"/>
        </w:rPr>
        <w:t>utilisation de contenus de tiers et connaître les effets du recours à des licences de logiciels libres;</w:t>
      </w:r>
    </w:p>
    <w:p w14:paraId="514F038B" w14:textId="5FBC7E8E" w:rsidR="00DB5144" w:rsidRPr="00A225A4" w:rsidRDefault="00DB5144" w:rsidP="00513584">
      <w:pPr>
        <w:pStyle w:val="ListParagraph"/>
        <w:numPr>
          <w:ilvl w:val="0"/>
          <w:numId w:val="7"/>
        </w:numPr>
        <w:spacing w:after="220"/>
        <w:ind w:left="1134" w:hanging="567"/>
        <w:rPr>
          <w:rFonts w:ascii="Arial" w:hAnsi="Arial" w:cs="Arial"/>
        </w:rPr>
      </w:pPr>
      <w:r w:rsidRPr="00A225A4">
        <w:rPr>
          <w:rFonts w:ascii="Arial" w:hAnsi="Arial"/>
        </w:rPr>
        <w:t>protéger les secrets d</w:t>
      </w:r>
      <w:r w:rsidR="00E76BCD" w:rsidRPr="00A225A4">
        <w:rPr>
          <w:rFonts w:ascii="Arial" w:hAnsi="Arial"/>
        </w:rPr>
        <w:t>’</w:t>
      </w:r>
      <w:r w:rsidRPr="00A225A4">
        <w:rPr>
          <w:rFonts w:ascii="Arial" w:hAnsi="Arial"/>
        </w:rPr>
        <w:t>affaires par des mesures de sécurité et de confidentialité solides, tout en respectant la législation sur la protection des données;</w:t>
      </w:r>
    </w:p>
    <w:p w14:paraId="5F47C8A1" w14:textId="5FAA1888" w:rsidR="00DB5144" w:rsidRPr="00A225A4" w:rsidRDefault="00DB5144" w:rsidP="00513584">
      <w:pPr>
        <w:pStyle w:val="ListParagraph"/>
        <w:numPr>
          <w:ilvl w:val="0"/>
          <w:numId w:val="7"/>
        </w:numPr>
        <w:spacing w:after="220"/>
        <w:ind w:left="1134" w:hanging="567"/>
        <w:rPr>
          <w:rFonts w:ascii="Arial" w:hAnsi="Arial" w:cs="Arial"/>
        </w:rPr>
      </w:pPr>
      <w:r w:rsidRPr="00A225A4">
        <w:rPr>
          <w:rFonts w:ascii="Arial" w:hAnsi="Arial"/>
        </w:rPr>
        <w:t xml:space="preserve">gérer les partenariats de manière stratégique, en définissant les droits et obligations dans des contrats, </w:t>
      </w:r>
      <w:r w:rsidR="00E76BCD" w:rsidRPr="00A225A4">
        <w:rPr>
          <w:rFonts w:ascii="Arial" w:hAnsi="Arial"/>
        </w:rPr>
        <w:t>y compris</w:t>
      </w:r>
      <w:r w:rsidRPr="00A225A4">
        <w:rPr>
          <w:rFonts w:ascii="Arial" w:hAnsi="Arial"/>
        </w:rPr>
        <w:t xml:space="preserve"> la cession de droits de propriété intellectuelle et l</w:t>
      </w:r>
      <w:r w:rsidR="00E76BCD" w:rsidRPr="00A225A4">
        <w:rPr>
          <w:rFonts w:ascii="Arial" w:hAnsi="Arial"/>
        </w:rPr>
        <w:t>’</w:t>
      </w:r>
      <w:r w:rsidRPr="00A225A4">
        <w:rPr>
          <w:rFonts w:ascii="Arial" w:hAnsi="Arial"/>
        </w:rPr>
        <w:t>octroi de licences sur ces derniers;</w:t>
      </w:r>
    </w:p>
    <w:p w14:paraId="5FE8C039" w14:textId="016253FB" w:rsidR="00DB5144" w:rsidRPr="00A225A4" w:rsidRDefault="00DB5144" w:rsidP="00513584">
      <w:pPr>
        <w:pStyle w:val="ListParagraph"/>
        <w:numPr>
          <w:ilvl w:val="0"/>
          <w:numId w:val="7"/>
        </w:numPr>
        <w:spacing w:after="220"/>
        <w:ind w:left="1134" w:hanging="567"/>
        <w:rPr>
          <w:rFonts w:ascii="Arial" w:hAnsi="Arial" w:cs="Arial"/>
        </w:rPr>
      </w:pPr>
      <w:r w:rsidRPr="00A225A4">
        <w:rPr>
          <w:rFonts w:ascii="Arial" w:hAnsi="Arial"/>
        </w:rPr>
        <w:t>gérer la propriété intellectuelle de manière proactive</w:t>
      </w:r>
      <w:r w:rsidR="00E76BCD" w:rsidRPr="00A225A4">
        <w:rPr>
          <w:rFonts w:ascii="Arial" w:hAnsi="Arial"/>
        </w:rPr>
        <w:t> :</w:t>
      </w:r>
      <w:r w:rsidRPr="00A225A4">
        <w:rPr>
          <w:rFonts w:ascii="Arial" w:hAnsi="Arial"/>
        </w:rPr>
        <w:t xml:space="preserve"> il ne s</w:t>
      </w:r>
      <w:r w:rsidR="00E76BCD" w:rsidRPr="00A225A4">
        <w:rPr>
          <w:rFonts w:ascii="Arial" w:hAnsi="Arial"/>
        </w:rPr>
        <w:t>’</w:t>
      </w:r>
      <w:r w:rsidRPr="00A225A4">
        <w:rPr>
          <w:rFonts w:ascii="Arial" w:hAnsi="Arial"/>
        </w:rPr>
        <w:t>agit pas seulement d</w:t>
      </w:r>
      <w:r w:rsidR="00E76BCD" w:rsidRPr="00A225A4">
        <w:rPr>
          <w:rFonts w:ascii="Arial" w:hAnsi="Arial"/>
        </w:rPr>
        <w:t>’</w:t>
      </w:r>
      <w:r w:rsidRPr="00A225A4">
        <w:rPr>
          <w:rFonts w:ascii="Arial" w:hAnsi="Arial"/>
        </w:rPr>
        <w:t>une nécessité juridique, mais aussi d</w:t>
      </w:r>
      <w:r w:rsidR="00E76BCD" w:rsidRPr="00A225A4">
        <w:rPr>
          <w:rFonts w:ascii="Arial" w:hAnsi="Arial"/>
        </w:rPr>
        <w:t>’</w:t>
      </w:r>
      <w:r w:rsidRPr="00A225A4">
        <w:rPr>
          <w:rFonts w:ascii="Arial" w:hAnsi="Arial"/>
        </w:rPr>
        <w:t>un outil stratégique grâce auquel</w:t>
      </w:r>
      <w:r w:rsidR="00E76BCD" w:rsidRPr="00A225A4">
        <w:rPr>
          <w:rFonts w:ascii="Arial" w:hAnsi="Arial"/>
        </w:rPr>
        <w:t xml:space="preserve"> les PME</w:t>
      </w:r>
      <w:r w:rsidRPr="00A225A4">
        <w:rPr>
          <w:rFonts w:ascii="Arial" w:hAnsi="Arial"/>
        </w:rPr>
        <w:t xml:space="preserve"> peuvent tirer le meilleur parti du potentiel commercial de leurs applications mobiles et de leurs publications dans les médias sociaux, ouvrant ainsi des perspectives d</w:t>
      </w:r>
      <w:r w:rsidR="00E76BCD" w:rsidRPr="00A225A4">
        <w:rPr>
          <w:rFonts w:ascii="Arial" w:hAnsi="Arial"/>
        </w:rPr>
        <w:t>’</w:t>
      </w:r>
      <w:r w:rsidRPr="00A225A4">
        <w:rPr>
          <w:rFonts w:ascii="Arial" w:hAnsi="Arial"/>
        </w:rPr>
        <w:t>innovation et de croissance dans un monde de plus en plus connecté.</w:t>
      </w:r>
    </w:p>
    <w:p w14:paraId="266EE1F6" w14:textId="4FEA3651" w:rsidR="00E76BCD" w:rsidRPr="00A225A4" w:rsidRDefault="00DB5144" w:rsidP="00513584">
      <w:pPr>
        <w:spacing w:before="288" w:after="220"/>
        <w:ind w:right="144"/>
        <w:rPr>
          <w:lang w:val="fr-FR"/>
        </w:rPr>
      </w:pPr>
      <w:r w:rsidRPr="00A225A4">
        <w:rPr>
          <w:lang w:val="fr-FR"/>
        </w:rPr>
        <w:t xml:space="preserve">La version complète du guide est disponible sur la </w:t>
      </w:r>
      <w:r w:rsidR="00E76BCD" w:rsidRPr="00A225A4">
        <w:rPr>
          <w:lang w:val="fr-FR"/>
        </w:rPr>
        <w:t>page W</w:t>
      </w:r>
      <w:r w:rsidRPr="00A225A4">
        <w:rPr>
          <w:lang w:val="fr-FR"/>
        </w:rPr>
        <w:t>eb consacrée au projet à l</w:t>
      </w:r>
      <w:r w:rsidR="00E76BCD" w:rsidRPr="00A225A4">
        <w:rPr>
          <w:lang w:val="fr-FR"/>
        </w:rPr>
        <w:t>’</w:t>
      </w:r>
      <w:r w:rsidRPr="00A225A4">
        <w:rPr>
          <w:lang w:val="fr-FR"/>
        </w:rPr>
        <w:t>adresse suivante</w:t>
      </w:r>
      <w:r w:rsidR="00E76BCD" w:rsidRPr="00A225A4">
        <w:rPr>
          <w:lang w:val="fr-FR"/>
        </w:rPr>
        <w:t> :</w:t>
      </w:r>
      <w:r w:rsidRPr="00A225A4">
        <w:rPr>
          <w:lang w:val="fr-FR"/>
        </w:rPr>
        <w:t xml:space="preserve"> </w:t>
      </w:r>
      <w:hyperlink r:id="rId12" w:history="1">
        <w:r w:rsidRPr="00A225A4">
          <w:rPr>
            <w:rStyle w:val="Hyperlink"/>
            <w:lang w:val="fr-FR"/>
          </w:rPr>
          <w:t>https://www.wipo.int/web/mobile</w:t>
        </w:r>
        <w:r w:rsidR="00BA6BB6" w:rsidRPr="00A225A4">
          <w:rPr>
            <w:rStyle w:val="Hyperlink"/>
            <w:lang w:val="fr-FR"/>
          </w:rPr>
          <w:noBreakHyphen/>
        </w:r>
        <w:r w:rsidRPr="00A225A4">
          <w:rPr>
            <w:rStyle w:val="Hyperlink"/>
            <w:lang w:val="fr-FR"/>
          </w:rPr>
          <w:t>apps</w:t>
        </w:r>
      </w:hyperlink>
    </w:p>
    <w:p w14:paraId="317150EC" w14:textId="363D9DA8" w:rsidR="000F5E56" w:rsidRPr="00A225A4" w:rsidRDefault="00DB5144" w:rsidP="00840039">
      <w:pPr>
        <w:pStyle w:val="Endofdocument-Annex"/>
        <w:spacing w:before="720"/>
        <w:ind w:left="5530"/>
        <w:rPr>
          <w:lang w:val="fr-FR"/>
        </w:rPr>
      </w:pPr>
      <w:r w:rsidRPr="00A225A4">
        <w:rPr>
          <w:lang w:val="fr-FR"/>
        </w:rPr>
        <w:t>[Fin de l</w:t>
      </w:r>
      <w:r w:rsidR="00E76BCD" w:rsidRPr="00A225A4">
        <w:rPr>
          <w:lang w:val="fr-FR"/>
        </w:rPr>
        <w:t>’</w:t>
      </w:r>
      <w:r w:rsidRPr="00A225A4">
        <w:rPr>
          <w:lang w:val="fr-FR"/>
        </w:rPr>
        <w:t>annexe et du document]</w:t>
      </w:r>
    </w:p>
    <w:sectPr w:rsidR="000F5E56" w:rsidRPr="00A225A4" w:rsidSect="0084003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1F81C" w14:textId="77777777" w:rsidR="00DB5144" w:rsidRDefault="00DB5144">
      <w:r>
        <w:separator/>
      </w:r>
    </w:p>
  </w:endnote>
  <w:endnote w:type="continuationSeparator" w:id="0">
    <w:p w14:paraId="50DCB62D" w14:textId="77777777" w:rsidR="00DB5144" w:rsidRPr="009D30E6" w:rsidRDefault="00DB5144" w:rsidP="00D45252">
      <w:pPr>
        <w:rPr>
          <w:sz w:val="17"/>
          <w:szCs w:val="17"/>
        </w:rPr>
      </w:pPr>
      <w:r w:rsidRPr="009D30E6">
        <w:rPr>
          <w:sz w:val="17"/>
          <w:szCs w:val="17"/>
        </w:rPr>
        <w:separator/>
      </w:r>
    </w:p>
    <w:p w14:paraId="3E45C4CC" w14:textId="77777777" w:rsidR="00DB5144" w:rsidRPr="009D30E6" w:rsidRDefault="00DB5144" w:rsidP="00D45252">
      <w:pPr>
        <w:spacing w:after="60"/>
        <w:rPr>
          <w:sz w:val="17"/>
          <w:szCs w:val="17"/>
        </w:rPr>
      </w:pPr>
      <w:r w:rsidRPr="009D30E6">
        <w:rPr>
          <w:sz w:val="17"/>
          <w:szCs w:val="17"/>
        </w:rPr>
        <w:t>[Suite de la note de la page précédente]</w:t>
      </w:r>
    </w:p>
  </w:endnote>
  <w:endnote w:type="continuationNotice" w:id="1">
    <w:p w14:paraId="0F84B13E" w14:textId="77777777" w:rsidR="00DB5144" w:rsidRPr="009D30E6" w:rsidRDefault="00DB514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1757" w14:textId="77777777" w:rsidR="00DB5144" w:rsidRDefault="00DB5144">
      <w:r>
        <w:separator/>
      </w:r>
    </w:p>
  </w:footnote>
  <w:footnote w:type="continuationSeparator" w:id="0">
    <w:p w14:paraId="53D0AA74" w14:textId="77777777" w:rsidR="00DB5144" w:rsidRDefault="00DB5144" w:rsidP="007461F1">
      <w:r>
        <w:separator/>
      </w:r>
    </w:p>
    <w:p w14:paraId="07281570" w14:textId="77777777" w:rsidR="00DB5144" w:rsidRPr="009D30E6" w:rsidRDefault="00DB5144" w:rsidP="007461F1">
      <w:pPr>
        <w:spacing w:after="60"/>
        <w:rPr>
          <w:sz w:val="17"/>
          <w:szCs w:val="17"/>
        </w:rPr>
      </w:pPr>
      <w:r w:rsidRPr="009D30E6">
        <w:rPr>
          <w:sz w:val="17"/>
          <w:szCs w:val="17"/>
        </w:rPr>
        <w:t>[Suite de la note de la page précédente]</w:t>
      </w:r>
    </w:p>
  </w:footnote>
  <w:footnote w:type="continuationNotice" w:id="1">
    <w:p w14:paraId="3419BDBA" w14:textId="77777777" w:rsidR="00DB5144" w:rsidRPr="009D30E6" w:rsidRDefault="00DB514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70825" w14:textId="77777777" w:rsidR="00DB5144" w:rsidRPr="002326AB" w:rsidRDefault="00DB5144" w:rsidP="00477D6B">
    <w:pPr>
      <w:jc w:val="right"/>
      <w:rPr>
        <w:caps/>
      </w:rPr>
    </w:pPr>
    <w:r>
      <w:rPr>
        <w:caps/>
      </w:rPr>
      <w:t>CDIP/31/INF/2</w:t>
    </w:r>
  </w:p>
  <w:p w14:paraId="2FC04D82" w14:textId="1C1B2CB5" w:rsidR="00DB5144" w:rsidRDefault="00DB5144" w:rsidP="00827E3F">
    <w:pPr>
      <w:pStyle w:val="Header"/>
      <w:jc w:val="right"/>
    </w:pPr>
    <w:r>
      <w:t>Annexe, page</w:t>
    </w:r>
    <w:r w:rsidR="00513584">
      <w:t> </w:t>
    </w:r>
    <w:sdt>
      <w:sdtPr>
        <w:id w:val="13536877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7F6A3470" w14:textId="77777777" w:rsidR="00DB5144" w:rsidRDefault="00DB5144" w:rsidP="00477D6B">
    <w:pPr>
      <w:jc w:val="right"/>
    </w:pPr>
  </w:p>
  <w:p w14:paraId="286AA014" w14:textId="77777777" w:rsidR="00DB5144" w:rsidRDefault="00DB514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F68D6" w14:textId="77777777" w:rsidR="00F16975" w:rsidRPr="00B45C15" w:rsidRDefault="00DB5144" w:rsidP="00477D6B">
    <w:pPr>
      <w:jc w:val="right"/>
      <w:rPr>
        <w:caps/>
      </w:rPr>
    </w:pPr>
    <w:bookmarkStart w:id="7" w:name="Code2"/>
    <w:bookmarkEnd w:id="7"/>
    <w:r>
      <w:rPr>
        <w:caps/>
      </w:rPr>
      <w:t>CDIP/33/Inf/2</w:t>
    </w:r>
  </w:p>
  <w:p w14:paraId="4A615B00" w14:textId="2628661C" w:rsidR="00574036" w:rsidRDefault="00840039" w:rsidP="00840039">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0E61C" w14:textId="77777777" w:rsidR="00840039" w:rsidRDefault="00840039" w:rsidP="00840039">
    <w:pPr>
      <w:jc w:val="right"/>
      <w:rPr>
        <w:caps/>
      </w:rPr>
    </w:pPr>
    <w:r>
      <w:rPr>
        <w:caps/>
      </w:rPr>
      <w:t>CDIP/33/INF/2</w:t>
    </w:r>
  </w:p>
  <w:p w14:paraId="1CC040C1" w14:textId="6DDC74CD" w:rsidR="00840039" w:rsidRPr="00840039" w:rsidRDefault="00840039" w:rsidP="00840039">
    <w:pPr>
      <w:spacing w:after="480"/>
      <w:jc w:val="right"/>
      <w:rPr>
        <w:caps/>
      </w:rPr>
    </w:pPr>
    <w:r>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1D4FAC"/>
    <w:multiLevelType w:val="hybridMultilevel"/>
    <w:tmpl w:val="1AB6398A"/>
    <w:lvl w:ilvl="0" w:tplc="04090011">
      <w:start w:val="1"/>
      <w:numFmt w:val="decimal"/>
      <w:lvlText w:val="%1)"/>
      <w:lvlJc w:val="lef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16cid:durableId="763647199">
    <w:abstractNumId w:val="2"/>
  </w:num>
  <w:num w:numId="2" w16cid:durableId="1514341178">
    <w:abstractNumId w:val="4"/>
  </w:num>
  <w:num w:numId="3" w16cid:durableId="1600137799">
    <w:abstractNumId w:val="0"/>
  </w:num>
  <w:num w:numId="4" w16cid:durableId="2007901379">
    <w:abstractNumId w:val="5"/>
  </w:num>
  <w:num w:numId="5" w16cid:durableId="1962764970">
    <w:abstractNumId w:val="1"/>
  </w:num>
  <w:num w:numId="6" w16cid:durableId="1856072525">
    <w:abstractNumId w:val="3"/>
  </w:num>
  <w:num w:numId="7" w16cid:durableId="1222059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44"/>
    <w:rsid w:val="00011B7D"/>
    <w:rsid w:val="00020C7E"/>
    <w:rsid w:val="00033F51"/>
    <w:rsid w:val="00075432"/>
    <w:rsid w:val="000760CD"/>
    <w:rsid w:val="0009458A"/>
    <w:rsid w:val="000B3C15"/>
    <w:rsid w:val="000F2474"/>
    <w:rsid w:val="000F5E56"/>
    <w:rsid w:val="001060FF"/>
    <w:rsid w:val="001362EE"/>
    <w:rsid w:val="001832A6"/>
    <w:rsid w:val="00195C6E"/>
    <w:rsid w:val="001B266A"/>
    <w:rsid w:val="001B488E"/>
    <w:rsid w:val="001C6508"/>
    <w:rsid w:val="001D3D56"/>
    <w:rsid w:val="00240654"/>
    <w:rsid w:val="002634C4"/>
    <w:rsid w:val="002956DE"/>
    <w:rsid w:val="002A79DB"/>
    <w:rsid w:val="002D3DA1"/>
    <w:rsid w:val="002E4D1A"/>
    <w:rsid w:val="002F16BC"/>
    <w:rsid w:val="002F4E68"/>
    <w:rsid w:val="00322C0B"/>
    <w:rsid w:val="003637BB"/>
    <w:rsid w:val="00381798"/>
    <w:rsid w:val="003845C1"/>
    <w:rsid w:val="00391AE1"/>
    <w:rsid w:val="003A67A3"/>
    <w:rsid w:val="004008A2"/>
    <w:rsid w:val="004025DF"/>
    <w:rsid w:val="0040540C"/>
    <w:rsid w:val="00423E3E"/>
    <w:rsid w:val="00427AF4"/>
    <w:rsid w:val="004647DA"/>
    <w:rsid w:val="00477D6B"/>
    <w:rsid w:val="004D6471"/>
    <w:rsid w:val="00505851"/>
    <w:rsid w:val="00513584"/>
    <w:rsid w:val="0051455D"/>
    <w:rsid w:val="00525B63"/>
    <w:rsid w:val="00525E59"/>
    <w:rsid w:val="00541348"/>
    <w:rsid w:val="005421DD"/>
    <w:rsid w:val="00554FA5"/>
    <w:rsid w:val="00567A4C"/>
    <w:rsid w:val="00574036"/>
    <w:rsid w:val="00595F07"/>
    <w:rsid w:val="005E6516"/>
    <w:rsid w:val="00605827"/>
    <w:rsid w:val="00616671"/>
    <w:rsid w:val="00624419"/>
    <w:rsid w:val="0068484F"/>
    <w:rsid w:val="006B0DB5"/>
    <w:rsid w:val="006E1EC4"/>
    <w:rsid w:val="007461F1"/>
    <w:rsid w:val="007D2A31"/>
    <w:rsid w:val="007D6961"/>
    <w:rsid w:val="007F07CB"/>
    <w:rsid w:val="00807C77"/>
    <w:rsid w:val="00810CEF"/>
    <w:rsid w:val="0081208D"/>
    <w:rsid w:val="00840039"/>
    <w:rsid w:val="00897816"/>
    <w:rsid w:val="008B2CC1"/>
    <w:rsid w:val="008B69CC"/>
    <w:rsid w:val="008E7930"/>
    <w:rsid w:val="0090731E"/>
    <w:rsid w:val="00966A22"/>
    <w:rsid w:val="00974CD6"/>
    <w:rsid w:val="009D30E6"/>
    <w:rsid w:val="009E3F6F"/>
    <w:rsid w:val="009F499F"/>
    <w:rsid w:val="00A00BCE"/>
    <w:rsid w:val="00A06AF6"/>
    <w:rsid w:val="00A11D74"/>
    <w:rsid w:val="00A225A4"/>
    <w:rsid w:val="00AC0AE4"/>
    <w:rsid w:val="00AD61DB"/>
    <w:rsid w:val="00AE47C0"/>
    <w:rsid w:val="00AF79A3"/>
    <w:rsid w:val="00B1090C"/>
    <w:rsid w:val="00B35AF5"/>
    <w:rsid w:val="00B45C15"/>
    <w:rsid w:val="00BA6BB6"/>
    <w:rsid w:val="00BE0BE0"/>
    <w:rsid w:val="00C664C8"/>
    <w:rsid w:val="00CB635A"/>
    <w:rsid w:val="00CE0FF2"/>
    <w:rsid w:val="00CF0460"/>
    <w:rsid w:val="00D43CF0"/>
    <w:rsid w:val="00D43E0F"/>
    <w:rsid w:val="00D45252"/>
    <w:rsid w:val="00D71B4D"/>
    <w:rsid w:val="00D75C1E"/>
    <w:rsid w:val="00D93D55"/>
    <w:rsid w:val="00DB1C48"/>
    <w:rsid w:val="00DB5144"/>
    <w:rsid w:val="00DD4917"/>
    <w:rsid w:val="00DD6A16"/>
    <w:rsid w:val="00E0091A"/>
    <w:rsid w:val="00E038AE"/>
    <w:rsid w:val="00E07A23"/>
    <w:rsid w:val="00E203AA"/>
    <w:rsid w:val="00E5217A"/>
    <w:rsid w:val="00E527A5"/>
    <w:rsid w:val="00E76456"/>
    <w:rsid w:val="00E76BCD"/>
    <w:rsid w:val="00EE71CB"/>
    <w:rsid w:val="00F16975"/>
    <w:rsid w:val="00F66152"/>
    <w:rsid w:val="00F90B3C"/>
    <w:rsid w:val="00FE19E9"/>
    <w:rsid w:val="00FE6276"/>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97D34"/>
  <w15:docId w15:val="{3A83EDB1-E971-4D12-97DC-5DC2C62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aliases w:val="List Paragraph (numbered (a)),Dot pt,F5 List Paragraph,List Paragraph1,Colorful List - Accent 11,No Spacing1,List Paragraph Char Char Char,Indicator Text,Numbered Para 1,Bullet 1,Bullet Points,List Paragraph2,Numbered Paragraph"/>
    <w:basedOn w:val="Normal"/>
    <w:link w:val="ListParagraphChar"/>
    <w:uiPriority w:val="34"/>
    <w:qFormat/>
    <w:rsid w:val="00DB5144"/>
    <w:pPr>
      <w:ind w:left="720"/>
    </w:pPr>
    <w:rPr>
      <w:rFonts w:ascii="Calibri" w:eastAsiaTheme="minorEastAsia" w:hAnsi="Calibri" w:cs="Calibri"/>
      <w:szCs w:val="22"/>
      <w:lang w:val="fr-FR" w:eastAsia="en-US"/>
    </w:rPr>
  </w:style>
  <w:style w:type="character" w:styleId="Hyperlink">
    <w:name w:val="Hyperlink"/>
    <w:basedOn w:val="DefaultParagraphFont"/>
    <w:unhideWhenUsed/>
    <w:rsid w:val="00DB5144"/>
    <w:rPr>
      <w:color w:val="0000FF" w:themeColor="hyperlink"/>
      <w:u w:val="single"/>
    </w:rPr>
  </w:style>
  <w:style w:type="character" w:customStyle="1" w:styleId="Endofdocument-AnnexChar">
    <w:name w:val="[End of document - Annex] Char"/>
    <w:link w:val="Endofdocument-Annex"/>
    <w:rsid w:val="00DB5144"/>
    <w:rPr>
      <w:rFonts w:ascii="Arial" w:eastAsia="SimSun" w:hAnsi="Arial" w:cs="Arial"/>
      <w:sz w:val="22"/>
      <w:lang w:val="en-US" w:eastAsia="zh-CN"/>
    </w:rPr>
  </w:style>
  <w:style w:type="character" w:customStyle="1" w:styleId="HeaderChar">
    <w:name w:val="Header Char"/>
    <w:basedOn w:val="DefaultParagraphFont"/>
    <w:link w:val="Header"/>
    <w:rsid w:val="00DB5144"/>
    <w:rPr>
      <w:rFonts w:ascii="Arial" w:eastAsia="SimSun" w:hAnsi="Arial" w:cs="Arial"/>
      <w:sz w:val="22"/>
      <w:lang w:eastAsia="zh-CN"/>
    </w:rPr>
  </w:style>
  <w:style w:type="character" w:customStyle="1" w:styleId="ListParagraphChar">
    <w:name w:val="List Paragraph Char"/>
    <w:aliases w:val="List Paragraph (numbered (a)) Char,Dot pt Char,F5 List Paragraph Char,List Paragraph1 Char,Colorful List - Accent 11 Char,No Spacing1 Char,List Paragraph Char Char Char Char,Indicator Text Char,Numbered Para 1 Char,Bullet 1 Char"/>
    <w:basedOn w:val="DefaultParagraphFont"/>
    <w:link w:val="ListParagraph"/>
    <w:uiPriority w:val="34"/>
    <w:rsid w:val="00DB5144"/>
    <w:rPr>
      <w:rFonts w:ascii="Calibri" w:eastAsiaTheme="minorEastAsia" w:hAnsi="Calibri" w:cs="Calibri"/>
      <w:sz w:val="22"/>
      <w:szCs w:val="22"/>
      <w:lang w:val="fr-FR" w:eastAsia="en-US"/>
    </w:rPr>
  </w:style>
  <w:style w:type="character" w:styleId="FollowedHyperlink">
    <w:name w:val="FollowedHyperlink"/>
    <w:basedOn w:val="DefaultParagraphFont"/>
    <w:semiHidden/>
    <w:unhideWhenUsed/>
    <w:rsid w:val="005135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eb/mobile-ap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reaties/fr/ip/berne/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oc_details.jsp?doc_id=58913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CDIP_33 (F)</Template>
  <TotalTime>1</TotalTime>
  <Pages>3</Pages>
  <Words>942</Words>
  <Characters>5697</Characters>
  <Application>Microsoft Office Word</Application>
  <DocSecurity>0</DocSecurity>
  <Lines>94</Lines>
  <Paragraphs>38</Paragraphs>
  <ScaleCrop>false</ScaleCrop>
  <HeadingPairs>
    <vt:vector size="2" baseType="variant">
      <vt:variant>
        <vt:lpstr>Title</vt:lpstr>
      </vt:variant>
      <vt:variant>
        <vt:i4>1</vt:i4>
      </vt:variant>
    </vt:vector>
  </HeadingPairs>
  <TitlesOfParts>
    <vt:vector size="1" baseType="lpstr">
      <vt:lpstr>CDIP/33/</vt:lpstr>
    </vt:vector>
  </TitlesOfParts>
  <Company>WIPO</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CDIP/33/INF/2</dc:title>
  <dc:creator>LE GUEN Haude</dc:creator>
  <cp:keywords>FOR OFFICIAL USE ONLY</cp:keywords>
  <cp:lastModifiedBy>ESTEVES DOS SANTOS Anabela</cp:lastModifiedBy>
  <cp:revision>3</cp:revision>
  <cp:lastPrinted>2011-05-19T12:37:00Z</cp:lastPrinted>
  <dcterms:created xsi:type="dcterms:W3CDTF">2024-09-16T07:31:00Z</dcterms:created>
  <dcterms:modified xsi:type="dcterms:W3CDTF">2024-09-20T08:03:00Z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