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A3E7F" w14:textId="77777777" w:rsidR="008B2CC1" w:rsidRPr="0040540C" w:rsidRDefault="0040540C" w:rsidP="00897816">
      <w:pPr>
        <w:pBdr>
          <w:bottom w:val="single" w:sz="4" w:space="11" w:color="auto"/>
        </w:pBdr>
        <w:spacing w:after="120"/>
        <w:jc w:val="right"/>
      </w:pPr>
      <w:r>
        <w:rPr>
          <w:noProof/>
          <w:lang w:val="en-US" w:eastAsia="en-US"/>
        </w:rPr>
        <w:drawing>
          <wp:inline distT="0" distB="0" distL="0" distR="0" wp14:anchorId="0B0EB686" wp14:editId="4E7CDB5D">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38C5B89" w14:textId="77777777" w:rsidR="000B28D4" w:rsidRDefault="00897816" w:rsidP="0040540C">
      <w:pPr>
        <w:jc w:val="right"/>
        <w:rPr>
          <w:rFonts w:ascii="Arial Black" w:hAnsi="Arial Black"/>
          <w:caps/>
          <w:sz w:val="15"/>
        </w:rPr>
      </w:pPr>
      <w:r>
        <w:rPr>
          <w:rFonts w:ascii="Arial Black" w:hAnsi="Arial Black"/>
          <w:caps/>
          <w:sz w:val="15"/>
        </w:rPr>
        <w:t>CDIP/3</w:t>
      </w:r>
      <w:r w:rsidR="000760CD">
        <w:rPr>
          <w:rFonts w:ascii="Arial Black" w:hAnsi="Arial Black"/>
          <w:caps/>
          <w:sz w:val="15"/>
        </w:rPr>
        <w:t>1</w:t>
      </w:r>
      <w:r>
        <w:rPr>
          <w:rFonts w:ascii="Arial Black" w:hAnsi="Arial Black"/>
          <w:caps/>
          <w:sz w:val="15"/>
        </w:rPr>
        <w:t>/</w:t>
      </w:r>
      <w:bookmarkStart w:id="0" w:name="Code"/>
      <w:bookmarkEnd w:id="0"/>
      <w:r w:rsidR="00136F7A">
        <w:rPr>
          <w:rFonts w:ascii="Arial Black" w:hAnsi="Arial Black"/>
          <w:caps/>
          <w:sz w:val="15"/>
        </w:rPr>
        <w:t>10</w:t>
      </w:r>
      <w:r w:rsidR="008F25FA">
        <w:rPr>
          <w:rFonts w:ascii="Arial Black" w:hAnsi="Arial Black"/>
          <w:caps/>
          <w:sz w:val="15"/>
        </w:rPr>
        <w:t> </w:t>
      </w:r>
      <w:r w:rsidR="00136F7A">
        <w:rPr>
          <w:rFonts w:ascii="Arial Black" w:hAnsi="Arial Black"/>
          <w:caps/>
          <w:sz w:val="15"/>
        </w:rPr>
        <w:t>Rev.</w:t>
      </w:r>
    </w:p>
    <w:p w14:paraId="6AA088F5" w14:textId="77777777" w:rsidR="008B2CC1" w:rsidRPr="0040540C" w:rsidRDefault="00B1090C" w:rsidP="0040540C">
      <w:pPr>
        <w:jc w:val="right"/>
      </w:pPr>
      <w:r w:rsidRPr="0090731E">
        <w:rPr>
          <w:rFonts w:ascii="Arial Black" w:hAnsi="Arial Black"/>
          <w:caps/>
          <w:sz w:val="15"/>
        </w:rPr>
        <w:t>ORIGINAL</w:t>
      </w:r>
      <w:r w:rsidR="000B28D4">
        <w:rPr>
          <w:rFonts w:ascii="Arial Black" w:hAnsi="Arial Black"/>
          <w:caps/>
          <w:sz w:val="15"/>
        </w:rPr>
        <w:t> :</w:t>
      </w:r>
      <w:r w:rsidR="002956DE">
        <w:rPr>
          <w:rFonts w:ascii="Arial Black" w:hAnsi="Arial Black"/>
          <w:caps/>
          <w:sz w:val="15"/>
        </w:rPr>
        <w:t xml:space="preserve"> </w:t>
      </w:r>
      <w:bookmarkStart w:id="1" w:name="Original"/>
      <w:r w:rsidR="00136F7A">
        <w:rPr>
          <w:rFonts w:ascii="Arial Black" w:hAnsi="Arial Black"/>
          <w:caps/>
          <w:sz w:val="15"/>
        </w:rPr>
        <w:t>anglais</w:t>
      </w:r>
    </w:p>
    <w:bookmarkEnd w:id="1"/>
    <w:p w14:paraId="2BB31850" w14:textId="77777777" w:rsidR="008B2CC1" w:rsidRPr="0040540C" w:rsidRDefault="00B1090C" w:rsidP="00B1090C">
      <w:pPr>
        <w:spacing w:after="1200"/>
        <w:jc w:val="right"/>
      </w:pPr>
      <w:r w:rsidRPr="0090731E">
        <w:rPr>
          <w:rFonts w:ascii="Arial Black" w:hAnsi="Arial Black"/>
          <w:caps/>
          <w:sz w:val="15"/>
        </w:rPr>
        <w:t>DATE</w:t>
      </w:r>
      <w:r w:rsidR="000B28D4">
        <w:rPr>
          <w:rFonts w:ascii="Arial Black" w:hAnsi="Arial Black"/>
          <w:caps/>
          <w:sz w:val="15"/>
        </w:rPr>
        <w:t> : 1</w:t>
      </w:r>
      <w:r w:rsidR="000B28D4" w:rsidRPr="000B28D4">
        <w:rPr>
          <w:rFonts w:ascii="Arial Black" w:hAnsi="Arial Black"/>
          <w:caps/>
          <w:sz w:val="15"/>
          <w:vertAlign w:val="superscript"/>
        </w:rPr>
        <w:t>er</w:t>
      </w:r>
      <w:r w:rsidR="000B28D4">
        <w:rPr>
          <w:rFonts w:ascii="Arial Black" w:hAnsi="Arial Black"/>
          <w:caps/>
          <w:sz w:val="15"/>
        </w:rPr>
        <w:t> </w:t>
      </w:r>
      <w:bookmarkStart w:id="2" w:name="Date"/>
      <w:r w:rsidR="000B28D4">
        <w:rPr>
          <w:rFonts w:ascii="Arial Black" w:hAnsi="Arial Black"/>
          <w:caps/>
          <w:sz w:val="15"/>
        </w:rPr>
        <w:t>décembre 20</w:t>
      </w:r>
      <w:r w:rsidR="00136F7A">
        <w:rPr>
          <w:rFonts w:ascii="Arial Black" w:hAnsi="Arial Black"/>
          <w:caps/>
          <w:sz w:val="15"/>
        </w:rPr>
        <w:t>23</w:t>
      </w:r>
    </w:p>
    <w:bookmarkEnd w:id="2"/>
    <w:p w14:paraId="10B891D4" w14:textId="77777777" w:rsidR="003845C1" w:rsidRPr="00972809" w:rsidRDefault="001060FF" w:rsidP="00972809">
      <w:pPr>
        <w:pStyle w:val="Title"/>
      </w:pPr>
      <w:r w:rsidRPr="00972809">
        <w:t>Comité d</w:t>
      </w:r>
      <w:r w:rsidR="00897816" w:rsidRPr="00972809">
        <w:t>u développement et de la propriété intellectuelle</w:t>
      </w:r>
      <w:r w:rsidR="003637BB" w:rsidRPr="00972809">
        <w:t> </w:t>
      </w:r>
      <w:r w:rsidR="00897816" w:rsidRPr="00972809">
        <w:t>(CDIP)</w:t>
      </w:r>
    </w:p>
    <w:p w14:paraId="13BF208D" w14:textId="77777777" w:rsidR="00FE19E9" w:rsidRDefault="000760CD" w:rsidP="00FE19E9">
      <w:pPr>
        <w:outlineLvl w:val="1"/>
        <w:rPr>
          <w:b/>
          <w:sz w:val="24"/>
          <w:szCs w:val="24"/>
        </w:rPr>
      </w:pPr>
      <w:r w:rsidRPr="000760CD">
        <w:rPr>
          <w:b/>
          <w:sz w:val="24"/>
          <w:szCs w:val="24"/>
        </w:rPr>
        <w:t>Trente</w:t>
      </w:r>
      <w:r w:rsidR="000B28D4">
        <w:rPr>
          <w:b/>
          <w:sz w:val="24"/>
          <w:szCs w:val="24"/>
        </w:rPr>
        <w:t> et unième session</w:t>
      </w:r>
    </w:p>
    <w:p w14:paraId="26506CFC" w14:textId="77777777" w:rsidR="008B2CC1" w:rsidRPr="003845C1" w:rsidRDefault="000760CD" w:rsidP="001060FF">
      <w:pPr>
        <w:spacing w:after="720"/>
        <w:outlineLvl w:val="1"/>
        <w:rPr>
          <w:b/>
          <w:sz w:val="24"/>
          <w:szCs w:val="24"/>
        </w:rPr>
      </w:pPr>
      <w:r w:rsidRPr="000760CD">
        <w:rPr>
          <w:b/>
          <w:sz w:val="24"/>
          <w:szCs w:val="24"/>
        </w:rPr>
        <w:t>Genève, 27</w:t>
      </w:r>
      <w:r w:rsidR="003637BB">
        <w:rPr>
          <w:b/>
          <w:sz w:val="24"/>
          <w:szCs w:val="24"/>
        </w:rPr>
        <w:t> </w:t>
      </w:r>
      <w:r w:rsidRPr="000760CD">
        <w:rPr>
          <w:b/>
          <w:sz w:val="24"/>
          <w:szCs w:val="24"/>
        </w:rPr>
        <w:t>novembre –</w:t>
      </w:r>
      <w:r w:rsidR="000B28D4">
        <w:rPr>
          <w:b/>
          <w:sz w:val="24"/>
          <w:szCs w:val="24"/>
        </w:rPr>
        <w:t xml:space="preserve"> 1</w:t>
      </w:r>
      <w:r w:rsidR="000B28D4" w:rsidRPr="000B28D4">
        <w:rPr>
          <w:b/>
          <w:sz w:val="24"/>
          <w:szCs w:val="24"/>
          <w:vertAlign w:val="superscript"/>
        </w:rPr>
        <w:t>er</w:t>
      </w:r>
      <w:r w:rsidR="000B28D4">
        <w:rPr>
          <w:b/>
          <w:sz w:val="24"/>
          <w:szCs w:val="24"/>
        </w:rPr>
        <w:t> </w:t>
      </w:r>
      <w:r w:rsidRPr="000760CD">
        <w:rPr>
          <w:b/>
          <w:sz w:val="24"/>
          <w:szCs w:val="24"/>
        </w:rPr>
        <w:t>décembre</w:t>
      </w:r>
      <w:r w:rsidR="003637BB">
        <w:rPr>
          <w:b/>
          <w:sz w:val="24"/>
          <w:szCs w:val="24"/>
        </w:rPr>
        <w:t> </w:t>
      </w:r>
      <w:r w:rsidR="00897816" w:rsidRPr="00897816">
        <w:rPr>
          <w:b/>
          <w:sz w:val="24"/>
          <w:szCs w:val="24"/>
        </w:rPr>
        <w:t>2023</w:t>
      </w:r>
    </w:p>
    <w:p w14:paraId="7671B604" w14:textId="77777777" w:rsidR="008B2CC1" w:rsidRPr="003845C1" w:rsidRDefault="00136F7A" w:rsidP="00B1090C">
      <w:pPr>
        <w:spacing w:after="360"/>
        <w:rPr>
          <w:caps/>
          <w:sz w:val="24"/>
        </w:rPr>
      </w:pPr>
      <w:bookmarkStart w:id="3" w:name="TitleOfDoc"/>
      <w:r>
        <w:rPr>
          <w:caps/>
          <w:sz w:val="24"/>
        </w:rPr>
        <w:t>Projet révisé sur le droit d</w:t>
      </w:r>
      <w:r w:rsidR="000B28D4">
        <w:rPr>
          <w:caps/>
          <w:sz w:val="24"/>
        </w:rPr>
        <w:t>’</w:t>
      </w:r>
      <w:r>
        <w:rPr>
          <w:caps/>
          <w:sz w:val="24"/>
        </w:rPr>
        <w:t>auteur et la diffusion de contenu dans l</w:t>
      </w:r>
      <w:r w:rsidR="000B28D4">
        <w:rPr>
          <w:caps/>
          <w:sz w:val="24"/>
        </w:rPr>
        <w:t>’</w:t>
      </w:r>
      <w:r>
        <w:rPr>
          <w:caps/>
          <w:sz w:val="24"/>
        </w:rPr>
        <w:t>environnement numérique – Phase II – Proposition de projet soumise par le Brésil, le Pérou et l</w:t>
      </w:r>
      <w:r w:rsidR="000B28D4">
        <w:rPr>
          <w:caps/>
          <w:sz w:val="24"/>
        </w:rPr>
        <w:t>’</w:t>
      </w:r>
      <w:r>
        <w:rPr>
          <w:caps/>
          <w:sz w:val="24"/>
        </w:rPr>
        <w:t>Argentine</w:t>
      </w:r>
    </w:p>
    <w:p w14:paraId="0360B9AF" w14:textId="77777777" w:rsidR="008B2CC1" w:rsidRPr="008B2CC1" w:rsidRDefault="00136F7A" w:rsidP="00020C7E">
      <w:pPr>
        <w:spacing w:after="960"/>
        <w:rPr>
          <w:i/>
        </w:rPr>
      </w:pPr>
      <w:bookmarkStart w:id="4" w:name="Prepared"/>
      <w:bookmarkEnd w:id="3"/>
      <w:bookmarkEnd w:id="4"/>
      <w:proofErr w:type="gramStart"/>
      <w:r>
        <w:rPr>
          <w:i/>
        </w:rPr>
        <w:t>établi</w:t>
      </w:r>
      <w:proofErr w:type="gramEnd"/>
      <w:r>
        <w:rPr>
          <w:i/>
        </w:rPr>
        <w:t xml:space="preserve"> par le Secrétariat</w:t>
      </w:r>
    </w:p>
    <w:p w14:paraId="30C0165D" w14:textId="77777777" w:rsidR="00136F7A" w:rsidRDefault="00136F7A" w:rsidP="00972809">
      <w:pPr>
        <w:pStyle w:val="ONUMFS"/>
      </w:pPr>
      <w:r>
        <w:t>À la trente</w:t>
      </w:r>
      <w:r w:rsidR="000B28D4">
        <w:t> et unième session</w:t>
      </w:r>
      <w:r>
        <w:t xml:space="preserve"> du Comité du développement et de la propriété intellectuelle (CDIP), le comité examiné une proposition concernant la phase II du projet du Plan d</w:t>
      </w:r>
      <w:r w:rsidR="000B28D4">
        <w:t>’</w:t>
      </w:r>
      <w:r>
        <w:t xml:space="preserve">action pour le développement sur </w:t>
      </w:r>
      <w:r>
        <w:rPr>
          <w:rStyle w:val="NenhumA"/>
        </w:rPr>
        <w:t>le droit d</w:t>
      </w:r>
      <w:r w:rsidR="000B28D4">
        <w:rPr>
          <w:rStyle w:val="NenhumA"/>
        </w:rPr>
        <w:t>’</w:t>
      </w:r>
      <w:r>
        <w:rPr>
          <w:rStyle w:val="NenhumA"/>
        </w:rPr>
        <w:t>auteur et la diffusion de contenu dans l</w:t>
      </w:r>
      <w:r w:rsidR="000B28D4">
        <w:rPr>
          <w:rStyle w:val="NenhumA"/>
        </w:rPr>
        <w:t>’</w:t>
      </w:r>
      <w:r>
        <w:rPr>
          <w:rStyle w:val="NenhumA"/>
        </w:rPr>
        <w:t>environnement numérique</w:t>
      </w:r>
      <w:r>
        <w:t>, soumise par le Brésil, le Pérou et l</w:t>
      </w:r>
      <w:r w:rsidR="000B28D4">
        <w:t>’</w:t>
      </w:r>
      <w:r>
        <w:t>Argenti</w:t>
      </w:r>
      <w:r w:rsidR="00972809">
        <w:t>ne.  Su</w:t>
      </w:r>
      <w:r>
        <w:t>r la base des observations formulées au cours des discussions, la proposition de projet a été révisée durant la session.</w:t>
      </w:r>
    </w:p>
    <w:p w14:paraId="5426B292" w14:textId="77777777" w:rsidR="00136F7A" w:rsidRPr="001D61ED" w:rsidRDefault="00136F7A" w:rsidP="00972809">
      <w:pPr>
        <w:pStyle w:val="ONUMFS"/>
        <w:rPr>
          <w:sz w:val="24"/>
        </w:rPr>
      </w:pPr>
      <w:r>
        <w:t>La proposition de projet révisée figure dans les annexes du présent document.</w:t>
      </w:r>
    </w:p>
    <w:p w14:paraId="6B9D5B23" w14:textId="77777777" w:rsidR="00136F7A" w:rsidRPr="00972809" w:rsidRDefault="00136F7A" w:rsidP="00972809">
      <w:pPr>
        <w:pStyle w:val="ONUMFS"/>
        <w:ind w:left="5533"/>
        <w:rPr>
          <w:i/>
          <w:sz w:val="24"/>
        </w:rPr>
      </w:pPr>
      <w:r w:rsidRPr="00972809">
        <w:rPr>
          <w:i/>
        </w:rPr>
        <w:t>Le comité est invité à examiner l</w:t>
      </w:r>
      <w:r w:rsidR="000B28D4" w:rsidRPr="00972809">
        <w:rPr>
          <w:i/>
        </w:rPr>
        <w:t>’</w:t>
      </w:r>
      <w:r w:rsidRPr="00972809">
        <w:rPr>
          <w:i/>
        </w:rPr>
        <w:t>annexe ci</w:t>
      </w:r>
      <w:r w:rsidR="00972809" w:rsidRPr="00972809">
        <w:rPr>
          <w:i/>
        </w:rPr>
        <w:noBreakHyphen/>
      </w:r>
      <w:r w:rsidRPr="00972809">
        <w:rPr>
          <w:i/>
        </w:rPr>
        <w:t>jointe.</w:t>
      </w:r>
    </w:p>
    <w:p w14:paraId="0EBE2E3A" w14:textId="77777777" w:rsidR="00136F7A" w:rsidRDefault="00136F7A" w:rsidP="00972809">
      <w:pPr>
        <w:pStyle w:val="Endofdocument-Annex"/>
        <w:spacing w:before="720"/>
      </w:pPr>
      <w:r>
        <w:t>[</w:t>
      </w:r>
      <w:proofErr w:type="spellStart"/>
      <w:r>
        <w:t>L</w:t>
      </w:r>
      <w:r w:rsidR="000B28D4">
        <w:t>’</w:t>
      </w:r>
      <w:r>
        <w:t>annexe</w:t>
      </w:r>
      <w:proofErr w:type="spellEnd"/>
      <w:r>
        <w:t xml:space="preserve"> suit]</w:t>
      </w:r>
      <w:r>
        <w:br w:type="page"/>
      </w:r>
    </w:p>
    <w:p w14:paraId="310018C0" w14:textId="77777777" w:rsidR="00136F7A" w:rsidRDefault="00136F7A" w:rsidP="00136F7A">
      <w:pPr>
        <w:sectPr w:rsidR="00136F7A" w:rsidSect="00605827">
          <w:headerReference w:type="default" r:id="rId9"/>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136F7A" w:rsidRPr="00F8661A" w14:paraId="165CD36C" w14:textId="77777777" w:rsidTr="000364AB">
        <w:trPr>
          <w:trHeight w:val="253"/>
        </w:trPr>
        <w:tc>
          <w:tcPr>
            <w:tcW w:w="9352" w:type="dxa"/>
            <w:gridSpan w:val="2"/>
            <w:shd w:val="clear" w:color="auto" w:fill="00FFCC"/>
          </w:tcPr>
          <w:p w14:paraId="6BC241A2" w14:textId="77777777" w:rsidR="00136F7A" w:rsidRPr="00F8661A" w:rsidRDefault="00972809" w:rsidP="00972809">
            <w:pPr>
              <w:widowControl w:val="0"/>
              <w:autoSpaceDE w:val="0"/>
              <w:autoSpaceDN w:val="0"/>
              <w:spacing w:line="234" w:lineRule="exact"/>
              <w:ind w:left="1032" w:right="85" w:hanging="567"/>
              <w:jc w:val="center"/>
              <w:rPr>
                <w:rFonts w:eastAsia="Arial"/>
                <w:b/>
              </w:rPr>
            </w:pPr>
            <w:r>
              <w:rPr>
                <w:b/>
              </w:rPr>
              <w:lastRenderedPageBreak/>
              <w:t>1.</w:t>
            </w:r>
            <w:r>
              <w:rPr>
                <w:b/>
              </w:rPr>
              <w:tab/>
            </w:r>
            <w:r w:rsidR="00136F7A">
              <w:rPr>
                <w:b/>
              </w:rPr>
              <w:t>Présentation du projet</w:t>
            </w:r>
          </w:p>
        </w:tc>
      </w:tr>
      <w:tr w:rsidR="00136F7A" w:rsidRPr="00F8661A" w14:paraId="4486FE02" w14:textId="77777777" w:rsidTr="000364AB">
        <w:trPr>
          <w:trHeight w:val="253"/>
        </w:trPr>
        <w:tc>
          <w:tcPr>
            <w:tcW w:w="9352" w:type="dxa"/>
            <w:gridSpan w:val="2"/>
            <w:shd w:val="clear" w:color="auto" w:fill="00FFCC"/>
          </w:tcPr>
          <w:p w14:paraId="02279B8C" w14:textId="77777777" w:rsidR="00136F7A" w:rsidRPr="00557B66" w:rsidRDefault="00136F7A" w:rsidP="00972809">
            <w:pPr>
              <w:pStyle w:val="ListParagraph"/>
              <w:numPr>
                <w:ilvl w:val="1"/>
                <w:numId w:val="10"/>
              </w:numPr>
              <w:spacing w:line="234" w:lineRule="exact"/>
              <w:ind w:left="1032" w:right="85" w:hanging="567"/>
              <w:jc w:val="center"/>
              <w:rPr>
                <w:b/>
              </w:rPr>
            </w:pPr>
            <w:r>
              <w:rPr>
                <w:b/>
              </w:rPr>
              <w:t>Code du projet</w:t>
            </w:r>
          </w:p>
        </w:tc>
      </w:tr>
      <w:tr w:rsidR="00136F7A" w:rsidRPr="00F8661A" w14:paraId="5E7DC36A" w14:textId="77777777" w:rsidTr="000364AB">
        <w:trPr>
          <w:trHeight w:val="364"/>
        </w:trPr>
        <w:tc>
          <w:tcPr>
            <w:tcW w:w="9352" w:type="dxa"/>
            <w:gridSpan w:val="2"/>
          </w:tcPr>
          <w:p w14:paraId="09CB7CC2" w14:textId="77777777" w:rsidR="00136F7A" w:rsidRPr="00F8661A" w:rsidRDefault="00136F7A" w:rsidP="000364AB">
            <w:pPr>
              <w:widowControl w:val="0"/>
              <w:autoSpaceDE w:val="0"/>
              <w:autoSpaceDN w:val="0"/>
              <w:spacing w:before="120" w:after="120"/>
              <w:ind w:left="115"/>
              <w:jc w:val="center"/>
              <w:rPr>
                <w:rFonts w:eastAsia="Arial"/>
              </w:rPr>
            </w:pPr>
            <w:r>
              <w:t>DA_1_3_4_10_11_16_25_35_02</w:t>
            </w:r>
          </w:p>
        </w:tc>
      </w:tr>
      <w:tr w:rsidR="00136F7A" w:rsidRPr="00F8661A" w14:paraId="424F4AAA" w14:textId="77777777" w:rsidTr="000364AB">
        <w:trPr>
          <w:trHeight w:val="251"/>
        </w:trPr>
        <w:tc>
          <w:tcPr>
            <w:tcW w:w="9352" w:type="dxa"/>
            <w:gridSpan w:val="2"/>
            <w:shd w:val="clear" w:color="auto" w:fill="00FFCC"/>
          </w:tcPr>
          <w:p w14:paraId="19BEA868" w14:textId="77777777" w:rsidR="00136F7A" w:rsidRPr="00F8661A" w:rsidRDefault="00136F7A" w:rsidP="00972809">
            <w:pPr>
              <w:widowControl w:val="0"/>
              <w:numPr>
                <w:ilvl w:val="1"/>
                <w:numId w:val="7"/>
              </w:numPr>
              <w:autoSpaceDE w:val="0"/>
              <w:autoSpaceDN w:val="0"/>
              <w:spacing w:line="232" w:lineRule="exact"/>
              <w:ind w:left="669" w:right="91" w:hanging="567"/>
              <w:jc w:val="center"/>
              <w:rPr>
                <w:rFonts w:eastAsia="Arial"/>
                <w:b/>
              </w:rPr>
            </w:pPr>
            <w:r>
              <w:rPr>
                <w:b/>
              </w:rPr>
              <w:t>Intitulé du projet</w:t>
            </w:r>
          </w:p>
        </w:tc>
      </w:tr>
      <w:tr w:rsidR="00136F7A" w:rsidRPr="005D72F4" w14:paraId="7722AD50" w14:textId="77777777" w:rsidTr="00972809">
        <w:trPr>
          <w:trHeight w:val="608"/>
        </w:trPr>
        <w:tc>
          <w:tcPr>
            <w:tcW w:w="9352" w:type="dxa"/>
            <w:gridSpan w:val="2"/>
          </w:tcPr>
          <w:p w14:paraId="76F02E07" w14:textId="77777777" w:rsidR="00136F7A" w:rsidRPr="005D72F4" w:rsidRDefault="00136F7A" w:rsidP="000364AB">
            <w:pPr>
              <w:pStyle w:val="TableParagraph"/>
              <w:spacing w:before="120" w:after="120"/>
              <w:ind w:right="72"/>
              <w:jc w:val="center"/>
            </w:pPr>
            <w:r>
              <w:t>Droit d</w:t>
            </w:r>
            <w:r w:rsidR="000B28D4">
              <w:t>’</w:t>
            </w:r>
            <w:r>
              <w:t>auteur et distribution de contenu dans l</w:t>
            </w:r>
            <w:r w:rsidR="000B28D4">
              <w:t>’</w:t>
            </w:r>
            <w:r>
              <w:t>environnement numérique – Phase II</w:t>
            </w:r>
          </w:p>
        </w:tc>
      </w:tr>
      <w:tr w:rsidR="00136F7A" w:rsidRPr="005D72F4" w14:paraId="5EC00B0E" w14:textId="77777777" w:rsidTr="000364AB">
        <w:trPr>
          <w:trHeight w:val="252"/>
        </w:trPr>
        <w:tc>
          <w:tcPr>
            <w:tcW w:w="9352" w:type="dxa"/>
            <w:gridSpan w:val="2"/>
            <w:shd w:val="clear" w:color="auto" w:fill="00FFCC"/>
          </w:tcPr>
          <w:p w14:paraId="085FD020" w14:textId="77777777" w:rsidR="00136F7A" w:rsidRPr="005D72F4" w:rsidRDefault="00136F7A" w:rsidP="00972809">
            <w:pPr>
              <w:widowControl w:val="0"/>
              <w:numPr>
                <w:ilvl w:val="1"/>
                <w:numId w:val="7"/>
              </w:numPr>
              <w:autoSpaceDE w:val="0"/>
              <w:autoSpaceDN w:val="0"/>
              <w:spacing w:line="232" w:lineRule="exact"/>
              <w:ind w:left="669" w:right="91" w:hanging="567"/>
              <w:jc w:val="center"/>
              <w:rPr>
                <w:rFonts w:eastAsia="Arial"/>
                <w:b/>
              </w:rPr>
            </w:pPr>
            <w:r>
              <w:rPr>
                <w:b/>
              </w:rPr>
              <w:t>Recommandations du Plan d</w:t>
            </w:r>
            <w:r w:rsidR="000B28D4">
              <w:rPr>
                <w:b/>
              </w:rPr>
              <w:t>’</w:t>
            </w:r>
            <w:r>
              <w:rPr>
                <w:b/>
              </w:rPr>
              <w:t>action pour le développement</w:t>
            </w:r>
          </w:p>
        </w:tc>
      </w:tr>
      <w:tr w:rsidR="00136F7A" w:rsidRPr="005D72F4" w14:paraId="2E1E02B3" w14:textId="77777777" w:rsidTr="000364AB">
        <w:trPr>
          <w:trHeight w:val="760"/>
        </w:trPr>
        <w:tc>
          <w:tcPr>
            <w:tcW w:w="9352" w:type="dxa"/>
            <w:gridSpan w:val="2"/>
          </w:tcPr>
          <w:p w14:paraId="0874F11B" w14:textId="77777777" w:rsidR="00136F7A" w:rsidRPr="007D0610" w:rsidRDefault="00136F7A" w:rsidP="00972809">
            <w:pPr>
              <w:spacing w:after="220"/>
              <w:ind w:left="120"/>
              <w:rPr>
                <w:iCs/>
              </w:rPr>
            </w:pPr>
            <w:r>
              <w:rPr>
                <w:i/>
              </w:rPr>
              <w:t>Recommandation n° 1</w:t>
            </w:r>
            <w:r w:rsidR="000B28D4">
              <w:rPr>
                <w:i/>
              </w:rPr>
              <w:t> :</w:t>
            </w:r>
            <w:r>
              <w:t xml:space="preserve"> L</w:t>
            </w:r>
            <w:r w:rsidR="000B28D4">
              <w:t>’</w:t>
            </w:r>
            <w:r>
              <w:t>assistance technique de l</w:t>
            </w:r>
            <w:r w:rsidR="000B28D4">
              <w:t>’</w:t>
            </w:r>
            <w:r>
              <w:t xml:space="preserve">OMPI doit notamment être axée sur le développement et la demande et elle doit être </w:t>
            </w:r>
            <w:proofErr w:type="gramStart"/>
            <w:r>
              <w:t xml:space="preserve">transparente; </w:t>
            </w:r>
            <w:r w:rsidR="008F25FA">
              <w:t xml:space="preserve"> </w:t>
            </w:r>
            <w:r>
              <w:t>elle</w:t>
            </w:r>
            <w:proofErr w:type="gramEnd"/>
            <w:r>
              <w:t xml:space="preserve"> doit tenir compte des priorités et des besoins particuliers des pays en développement, en particulier</w:t>
            </w:r>
            <w:r w:rsidR="000B28D4">
              <w:t xml:space="preserve"> des PMA</w:t>
            </w:r>
            <w:r>
              <w:t>, ainsi que des différents niveaux de développement des États membres et les activités doivent être menées à bien dans les déla</w:t>
            </w:r>
            <w:r w:rsidR="00972809">
              <w:t xml:space="preserve">is.  À </w:t>
            </w:r>
            <w:r>
              <w:t>cet égard, les mécanismes d</w:t>
            </w:r>
            <w:r w:rsidR="000B28D4">
              <w:t>’</w:t>
            </w:r>
            <w:r>
              <w:t>établissement et d</w:t>
            </w:r>
            <w:r w:rsidR="000B28D4">
              <w:t>’</w:t>
            </w:r>
            <w:r>
              <w:t>exécution et procédures d</w:t>
            </w:r>
            <w:r w:rsidR="000B28D4">
              <w:t>’</w:t>
            </w:r>
            <w:r>
              <w:t>évaluation des programmes d</w:t>
            </w:r>
            <w:r w:rsidR="000B28D4">
              <w:t>’</w:t>
            </w:r>
            <w:r>
              <w:t>assistance technique doivent être ciblés par pays.</w:t>
            </w:r>
          </w:p>
          <w:p w14:paraId="09524432" w14:textId="77777777" w:rsidR="00136F7A" w:rsidRDefault="00136F7A" w:rsidP="00972809">
            <w:pPr>
              <w:spacing w:after="220"/>
              <w:ind w:left="120"/>
            </w:pPr>
            <w:r>
              <w:rPr>
                <w:i/>
              </w:rPr>
              <w:t>Recommandation n° 3</w:t>
            </w:r>
            <w:r w:rsidR="000B28D4">
              <w:rPr>
                <w:i/>
              </w:rPr>
              <w:t> :</w:t>
            </w:r>
            <w:r>
              <w:t xml:space="preserve"> Accroître les ressources humaines et financières en faveur des programmes d</w:t>
            </w:r>
            <w:r w:rsidR="000B28D4">
              <w:t>’</w:t>
            </w:r>
            <w:r>
              <w:t>assistance technique de l</w:t>
            </w:r>
            <w:r w:rsidR="000B28D4">
              <w:t>’</w:t>
            </w:r>
            <w:r>
              <w:t>OMPI pour promouvoir notamment une culture de la propriété intellectuelle axée sur le développement, en mettant l</w:t>
            </w:r>
            <w:r w:rsidR="000B28D4">
              <w:t>’</w:t>
            </w:r>
            <w:r>
              <w:t>accent sur l</w:t>
            </w:r>
            <w:r w:rsidR="000B28D4">
              <w:t>’</w:t>
            </w:r>
            <w:r>
              <w:t>initiation à la propriété intellectuelle dans les programmes d</w:t>
            </w:r>
            <w:r w:rsidR="000B28D4">
              <w:t>’</w:t>
            </w:r>
            <w:r>
              <w:t>enseignement de différents niveaux et la sensibilisation accrue de l</w:t>
            </w:r>
            <w:r w:rsidR="000B28D4">
              <w:t>’</w:t>
            </w:r>
            <w:r>
              <w:t>opinion publique à la propriété intellectuelle.</w:t>
            </w:r>
          </w:p>
          <w:p w14:paraId="340EEC29" w14:textId="77777777" w:rsidR="00136F7A" w:rsidRDefault="00136F7A" w:rsidP="00972809">
            <w:pPr>
              <w:spacing w:after="220"/>
              <w:ind w:left="120"/>
            </w:pPr>
            <w:r>
              <w:rPr>
                <w:i/>
              </w:rPr>
              <w:t>Recommandation n° 4</w:t>
            </w:r>
            <w:r w:rsidR="000B28D4">
              <w:rPr>
                <w:i/>
              </w:rPr>
              <w:t> :</w:t>
            </w:r>
            <w:r>
              <w:t xml:space="preserve"> Accorder une attention particulière aux besoins</w:t>
            </w:r>
            <w:r w:rsidR="000B28D4">
              <w:t xml:space="preserve"> des PME</w:t>
            </w:r>
            <w:r>
              <w:t>, des institutions chargées de la recherche scientifique et des industries culturelles et aider les États membres, à leur demande, à élaborer des stratégies nationales appropriées dans le domaine de la propriété intellectuelle.</w:t>
            </w:r>
          </w:p>
          <w:p w14:paraId="3B86AB00" w14:textId="77777777" w:rsidR="00136F7A" w:rsidRDefault="00136F7A" w:rsidP="00972809">
            <w:pPr>
              <w:spacing w:after="220"/>
              <w:ind w:left="120"/>
            </w:pPr>
            <w:r>
              <w:rPr>
                <w:i/>
              </w:rPr>
              <w:t>Recommandation n° 10</w:t>
            </w:r>
            <w:r w:rsidR="000B28D4">
              <w:rPr>
                <w:i/>
              </w:rPr>
              <w:t> :</w:t>
            </w:r>
            <w:r>
              <w:t xml:space="preserve"> Aider les États membres à développer et à améliorer les capacités institutionnelles nationales en propriété intellectuelle par le développement des infrastructures et autres moyens en vue de renforcer l</w:t>
            </w:r>
            <w:r w:rsidR="000B28D4">
              <w:t>’</w:t>
            </w:r>
            <w:r>
              <w:t>efficacité des institutions nationales de propriété intellectuelle et de concilier protection de la propriété intellectuelle et préservation de l</w:t>
            </w:r>
            <w:r w:rsidR="000B28D4">
              <w:t>’</w:t>
            </w:r>
            <w:r>
              <w:t>intérêt génér</w:t>
            </w:r>
            <w:r w:rsidR="00972809">
              <w:t>al.  Ce</w:t>
            </w:r>
            <w:r>
              <w:t>tte assistance technique devrait également être étendue aux organisations sous</w:t>
            </w:r>
            <w:r w:rsidR="00972809">
              <w:noBreakHyphen/>
            </w:r>
            <w:r>
              <w:t>régionales et régionales œuvrant dans le domaine de la propriété intellectuelle.</w:t>
            </w:r>
          </w:p>
          <w:p w14:paraId="385AEB21" w14:textId="77777777" w:rsidR="00136F7A" w:rsidRDefault="00136F7A" w:rsidP="00972809">
            <w:pPr>
              <w:spacing w:after="220"/>
              <w:ind w:left="120"/>
            </w:pPr>
            <w:r>
              <w:rPr>
                <w:i/>
              </w:rPr>
              <w:t>Recommandation n° 11</w:t>
            </w:r>
            <w:r w:rsidR="000B28D4">
              <w:rPr>
                <w:i/>
              </w:rPr>
              <w:t> :</w:t>
            </w:r>
            <w:r>
              <w:t xml:space="preserve"> Aider les États membres à renforcer leur capacité nationale de protection des créations, innovations et inventions nationales et soutenir au besoin le développement des infrastructures scientifiques et technologiques nationales, conformément au mandat de l</w:t>
            </w:r>
            <w:r w:rsidR="000B28D4">
              <w:t>’</w:t>
            </w:r>
            <w:r>
              <w:t>OMPI.</w:t>
            </w:r>
          </w:p>
          <w:p w14:paraId="12FB1972" w14:textId="77777777" w:rsidR="00136F7A" w:rsidRDefault="00136F7A" w:rsidP="00972809">
            <w:pPr>
              <w:spacing w:after="220"/>
              <w:ind w:left="120"/>
            </w:pPr>
            <w:r>
              <w:rPr>
                <w:i/>
              </w:rPr>
              <w:t>Recommandation n° 16</w:t>
            </w:r>
            <w:r w:rsidR="000B28D4">
              <w:rPr>
                <w:i/>
              </w:rPr>
              <w:t> :</w:t>
            </w:r>
            <w:r>
              <w:t xml:space="preserve"> Prendre en considération la préservation du domaine public dans l</w:t>
            </w:r>
            <w:r w:rsidR="000B28D4">
              <w:t>’</w:t>
            </w:r>
            <w:r>
              <w:t>élaboration des normes à l</w:t>
            </w:r>
            <w:r w:rsidR="000B28D4">
              <w:t>’</w:t>
            </w:r>
            <w:r>
              <w:t>OMPI et approfondir l</w:t>
            </w:r>
            <w:r w:rsidR="000B28D4">
              <w:t>’</w:t>
            </w:r>
            <w:r>
              <w:t>analyse des conséquences et des avantages d</w:t>
            </w:r>
            <w:r w:rsidR="000B28D4">
              <w:t>’</w:t>
            </w:r>
            <w:r>
              <w:t>un domaine public riche et accessible.</w:t>
            </w:r>
          </w:p>
          <w:p w14:paraId="460BF6B1" w14:textId="77777777" w:rsidR="00136F7A" w:rsidRDefault="00136F7A" w:rsidP="00972809">
            <w:pPr>
              <w:spacing w:after="220"/>
              <w:ind w:left="120"/>
            </w:pPr>
            <w:r>
              <w:rPr>
                <w:i/>
              </w:rPr>
              <w:t>Recommandation n° 25</w:t>
            </w:r>
            <w:r w:rsidR="000B28D4">
              <w:rPr>
                <w:i/>
              </w:rPr>
              <w:t> :</w:t>
            </w:r>
            <w:r>
              <w:t xml:space="preserve"> 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w:t>
            </w:r>
            <w:r w:rsidR="000B28D4">
              <w:t>’</w:t>
            </w:r>
            <w:r>
              <w:t>en tirer profit, le cas échéant.</w:t>
            </w:r>
          </w:p>
          <w:p w14:paraId="5403BAB1" w14:textId="77777777" w:rsidR="00136F7A" w:rsidRPr="005D72F4" w:rsidRDefault="00136F7A" w:rsidP="00972809">
            <w:pPr>
              <w:spacing w:after="220"/>
              <w:ind w:left="120"/>
            </w:pPr>
            <w:r>
              <w:rPr>
                <w:i/>
              </w:rPr>
              <w:t>Recommandation n° 35</w:t>
            </w:r>
            <w:r w:rsidR="000B28D4">
              <w:rPr>
                <w:i/>
              </w:rPr>
              <w:t> :</w:t>
            </w:r>
            <w:r>
              <w:t xml:space="preserve"> Demander à l</w:t>
            </w:r>
            <w:r w:rsidR="000B28D4">
              <w:t>’</w:t>
            </w:r>
            <w:r>
              <w:t>OMPI de réaliser, à la demande des États membres, de nouvelles études pour évaluer l</w:t>
            </w:r>
            <w:r w:rsidR="000B28D4">
              <w:t>’</w:t>
            </w:r>
            <w:r>
              <w:t>incidence économique, sociale et culturelle de l</w:t>
            </w:r>
            <w:r w:rsidR="000B28D4">
              <w:t>’</w:t>
            </w:r>
            <w:r>
              <w:t>utilisation des systèmes de propriété intellectuelle dans ces États.</w:t>
            </w:r>
          </w:p>
        </w:tc>
      </w:tr>
      <w:tr w:rsidR="00136F7A" w:rsidRPr="005D72F4" w14:paraId="36C1A8FA" w14:textId="77777777" w:rsidTr="000364AB">
        <w:trPr>
          <w:trHeight w:val="251"/>
        </w:trPr>
        <w:tc>
          <w:tcPr>
            <w:tcW w:w="9352" w:type="dxa"/>
            <w:gridSpan w:val="2"/>
            <w:shd w:val="clear" w:color="auto" w:fill="00FFCC"/>
          </w:tcPr>
          <w:p w14:paraId="505A642B" w14:textId="77777777" w:rsidR="00136F7A" w:rsidRPr="005D72F4" w:rsidRDefault="00136F7A" w:rsidP="00972809">
            <w:pPr>
              <w:keepNext/>
              <w:widowControl w:val="0"/>
              <w:numPr>
                <w:ilvl w:val="1"/>
                <w:numId w:val="7"/>
              </w:numPr>
              <w:autoSpaceDE w:val="0"/>
              <w:autoSpaceDN w:val="0"/>
              <w:spacing w:line="232" w:lineRule="exact"/>
              <w:ind w:left="669" w:right="91" w:hanging="567"/>
              <w:jc w:val="center"/>
              <w:rPr>
                <w:rFonts w:eastAsia="Arial"/>
                <w:b/>
              </w:rPr>
            </w:pPr>
            <w:r>
              <w:rPr>
                <w:b/>
              </w:rPr>
              <w:t>Durée du projet</w:t>
            </w:r>
          </w:p>
        </w:tc>
      </w:tr>
      <w:tr w:rsidR="00136F7A" w:rsidRPr="005D72F4" w14:paraId="428D66A3" w14:textId="77777777" w:rsidTr="000364AB">
        <w:trPr>
          <w:trHeight w:val="251"/>
        </w:trPr>
        <w:tc>
          <w:tcPr>
            <w:tcW w:w="9352" w:type="dxa"/>
            <w:gridSpan w:val="2"/>
            <w:shd w:val="clear" w:color="auto" w:fill="auto"/>
          </w:tcPr>
          <w:p w14:paraId="3E7C531D" w14:textId="77777777" w:rsidR="00136F7A" w:rsidRPr="005D72F4" w:rsidRDefault="00136F7A" w:rsidP="000364AB">
            <w:pPr>
              <w:widowControl w:val="0"/>
              <w:autoSpaceDE w:val="0"/>
              <w:autoSpaceDN w:val="0"/>
              <w:spacing w:before="120" w:after="120" w:line="240" w:lineRule="exact"/>
              <w:ind w:left="461" w:right="86"/>
              <w:jc w:val="center"/>
              <w:rPr>
                <w:rFonts w:eastAsia="Arial"/>
              </w:rPr>
            </w:pPr>
            <w:r>
              <w:t>36 mois</w:t>
            </w:r>
          </w:p>
        </w:tc>
      </w:tr>
      <w:tr w:rsidR="00136F7A" w:rsidRPr="005D72F4" w14:paraId="3F1ACFE6" w14:textId="77777777" w:rsidTr="000364AB">
        <w:trPr>
          <w:trHeight w:val="251"/>
        </w:trPr>
        <w:tc>
          <w:tcPr>
            <w:tcW w:w="9352" w:type="dxa"/>
            <w:gridSpan w:val="2"/>
            <w:shd w:val="clear" w:color="auto" w:fill="00FFCC"/>
          </w:tcPr>
          <w:p w14:paraId="45A752A8" w14:textId="77777777" w:rsidR="00136F7A" w:rsidRPr="005D72F4" w:rsidRDefault="00136F7A" w:rsidP="00972809">
            <w:pPr>
              <w:widowControl w:val="0"/>
              <w:numPr>
                <w:ilvl w:val="1"/>
                <w:numId w:val="7"/>
              </w:numPr>
              <w:autoSpaceDE w:val="0"/>
              <w:autoSpaceDN w:val="0"/>
              <w:spacing w:line="232" w:lineRule="exact"/>
              <w:ind w:left="669" w:right="91" w:hanging="567"/>
              <w:jc w:val="center"/>
              <w:rPr>
                <w:rFonts w:eastAsia="Arial"/>
                <w:b/>
              </w:rPr>
            </w:pPr>
            <w:r>
              <w:rPr>
                <w:b/>
              </w:rPr>
              <w:lastRenderedPageBreak/>
              <w:t>Budget du projet</w:t>
            </w:r>
          </w:p>
        </w:tc>
      </w:tr>
      <w:tr w:rsidR="00136F7A" w:rsidRPr="005D72F4" w14:paraId="45E4CE63" w14:textId="77777777" w:rsidTr="000364AB">
        <w:trPr>
          <w:trHeight w:val="251"/>
        </w:trPr>
        <w:tc>
          <w:tcPr>
            <w:tcW w:w="9352" w:type="dxa"/>
            <w:gridSpan w:val="2"/>
            <w:shd w:val="clear" w:color="auto" w:fill="auto"/>
          </w:tcPr>
          <w:p w14:paraId="02A66E5E" w14:textId="77777777" w:rsidR="00136F7A" w:rsidRPr="00D44A76" w:rsidRDefault="00136F7A" w:rsidP="000364AB">
            <w:pPr>
              <w:widowControl w:val="0"/>
              <w:autoSpaceDE w:val="0"/>
              <w:autoSpaceDN w:val="0"/>
              <w:spacing w:before="120" w:after="120" w:line="240" w:lineRule="exact"/>
              <w:ind w:left="120" w:right="86"/>
            </w:pPr>
            <w:r>
              <w:t>Le budget total du projet s</w:t>
            </w:r>
            <w:r w:rsidR="000B28D4">
              <w:t>’</w:t>
            </w:r>
            <w:r>
              <w:t>élève à 556 200 francs suiss</w:t>
            </w:r>
            <w:r w:rsidR="00972809">
              <w:t>es.  La</w:t>
            </w:r>
            <w:r>
              <w:t xml:space="preserve"> totalité de ce montant est liée à des dépenses autres que des dépenses de personnel.</w:t>
            </w:r>
          </w:p>
        </w:tc>
      </w:tr>
      <w:tr w:rsidR="00136F7A" w:rsidRPr="005D72F4" w14:paraId="0C77B4F7" w14:textId="77777777" w:rsidTr="000364AB">
        <w:trPr>
          <w:trHeight w:val="251"/>
        </w:trPr>
        <w:tc>
          <w:tcPr>
            <w:tcW w:w="9352" w:type="dxa"/>
            <w:gridSpan w:val="2"/>
            <w:shd w:val="clear" w:color="auto" w:fill="00FFCC"/>
          </w:tcPr>
          <w:p w14:paraId="75CE7552" w14:textId="77777777" w:rsidR="00136F7A" w:rsidRPr="000A74E4" w:rsidRDefault="00136F7A" w:rsidP="00972809">
            <w:pPr>
              <w:pStyle w:val="ListParagraph"/>
              <w:numPr>
                <w:ilvl w:val="0"/>
                <w:numId w:val="7"/>
              </w:numPr>
              <w:spacing w:line="232" w:lineRule="exact"/>
              <w:ind w:left="669" w:right="91" w:hanging="567"/>
              <w:jc w:val="center"/>
              <w:rPr>
                <w:b/>
              </w:rPr>
            </w:pPr>
            <w:r>
              <w:rPr>
                <w:b/>
              </w:rPr>
              <w:t>Description du projet</w:t>
            </w:r>
          </w:p>
        </w:tc>
      </w:tr>
      <w:tr w:rsidR="00136F7A" w:rsidRPr="005D72F4" w14:paraId="051ACB66" w14:textId="77777777" w:rsidTr="000364AB">
        <w:trPr>
          <w:trHeight w:val="251"/>
        </w:trPr>
        <w:tc>
          <w:tcPr>
            <w:tcW w:w="9352" w:type="dxa"/>
            <w:gridSpan w:val="2"/>
            <w:shd w:val="clear" w:color="auto" w:fill="auto"/>
          </w:tcPr>
          <w:p w14:paraId="67662A0A" w14:textId="4DFE4EEA" w:rsidR="00136F7A" w:rsidRPr="00ED1A0B" w:rsidRDefault="00136F7A" w:rsidP="000364AB">
            <w:pPr>
              <w:pStyle w:val="TableParagraph"/>
              <w:spacing w:after="240"/>
              <w:ind w:left="115"/>
            </w:pPr>
            <w:r>
              <w:t>La présente proposition de projet s</w:t>
            </w:r>
            <w:r w:rsidR="000B28D4">
              <w:t>’</w:t>
            </w:r>
            <w:r>
              <w:t>inscrit dans le prolongement du projet du Plan d</w:t>
            </w:r>
            <w:r w:rsidR="000B28D4">
              <w:t>’</w:t>
            </w:r>
            <w:r>
              <w:t>action pour le développement intitulé “</w:t>
            </w:r>
            <w:hyperlink r:id="rId10" w:history="1">
              <w:r w:rsidR="00972809">
                <w:rPr>
                  <w:rStyle w:val="Hyperlink"/>
                </w:rPr>
                <w:t>Le d</w:t>
              </w:r>
              <w:r>
                <w:rPr>
                  <w:rStyle w:val="Hyperlink"/>
                </w:rPr>
                <w:t>roit d</w:t>
              </w:r>
              <w:r w:rsidR="000B28D4">
                <w:rPr>
                  <w:rStyle w:val="Hyperlink"/>
                </w:rPr>
                <w:t>’</w:t>
              </w:r>
              <w:r>
                <w:rPr>
                  <w:rStyle w:val="Hyperlink"/>
                </w:rPr>
                <w:t>auteur et la distribution de contenu dans l</w:t>
              </w:r>
              <w:r w:rsidR="000B28D4">
                <w:rPr>
                  <w:rStyle w:val="Hyperlink"/>
                </w:rPr>
                <w:t>’</w:t>
              </w:r>
              <w:r>
                <w:rPr>
                  <w:rStyle w:val="Hyperlink"/>
                </w:rPr>
                <w:t>environnement numérique</w:t>
              </w:r>
            </w:hyperlink>
            <w:r>
              <w:t>” (ci</w:t>
            </w:r>
            <w:r w:rsidR="00972809">
              <w:noBreakHyphen/>
            </w:r>
            <w:r>
              <w:t>après dénommé “le projet initial”).</w:t>
            </w:r>
          </w:p>
          <w:p w14:paraId="5567B851" w14:textId="77777777" w:rsidR="00136F7A" w:rsidRPr="00B96BAC" w:rsidRDefault="00136F7A" w:rsidP="000364AB">
            <w:pPr>
              <w:pStyle w:val="TableParagraph"/>
              <w:spacing w:after="240"/>
              <w:ind w:left="115"/>
              <w:rPr>
                <w:b/>
              </w:rPr>
            </w:pPr>
            <w:r>
              <w:rPr>
                <w:b/>
              </w:rPr>
              <w:t>Contexte</w:t>
            </w:r>
          </w:p>
          <w:p w14:paraId="0716F0D8" w14:textId="77777777" w:rsidR="000B28D4" w:rsidRDefault="00136F7A" w:rsidP="00972809">
            <w:pPr>
              <w:pStyle w:val="TableParagraph"/>
              <w:spacing w:after="220"/>
              <w:ind w:left="110"/>
            </w:pPr>
            <w:r>
              <w:t xml:space="preserve">Le projet initial, proposé par le Brésil </w:t>
            </w:r>
            <w:r w:rsidR="000B28D4">
              <w:t>en 2018</w:t>
            </w:r>
            <w:r>
              <w:t>, portait sur la diffusion en continu de contenus audiovisuels en Amérique lati</w:t>
            </w:r>
            <w:r w:rsidR="00972809">
              <w:t>ne.  Il</w:t>
            </w:r>
            <w:r>
              <w:t xml:space="preserve"> a été mis en œuvre en Argentine, au Brésil, au Costa</w:t>
            </w:r>
            <w:r w:rsidR="008F25FA">
              <w:t> </w:t>
            </w:r>
            <w:r>
              <w:t>Rica, en Équateur, au Pérou et en Uruguay, et a donné lieu à une analyse approfondie de l</w:t>
            </w:r>
            <w:r w:rsidR="000B28D4">
              <w:t>’</w:t>
            </w:r>
            <w:r>
              <w:t>évolution du marché latino</w:t>
            </w:r>
            <w:r w:rsidR="00972809">
              <w:noBreakHyphen/>
            </w:r>
            <w:r>
              <w:t>américain de la diffusion en continu, avec une attention particulière portée aux indicateurs du marché, au cadre juridique applicable à la commercialisation du contenu audiovisuel, aux droits de propriété intellectuelle exploités dans une production audiovisuelle et aux défis auxquels sont confrontés les producteurs latino</w:t>
            </w:r>
            <w:r w:rsidR="00972809">
              <w:noBreakHyphen/>
            </w:r>
            <w:r>
              <w:t>américains lorsqu</w:t>
            </w:r>
            <w:r w:rsidR="000B28D4">
              <w:t>’</w:t>
            </w:r>
            <w:r>
              <w:t>ils doivent gérer des questions juridiques et financièr</w:t>
            </w:r>
            <w:r w:rsidR="00972809">
              <w:t>es.  De</w:t>
            </w:r>
            <w:r>
              <w:t>s exemples concrets ont été présentés dans 12 études de cas et des discussions approfondies ont eu lieu avec les parties prenantes et les représentants gouvernementaux.</w:t>
            </w:r>
          </w:p>
          <w:p w14:paraId="162233C9" w14:textId="77777777" w:rsidR="00136F7A" w:rsidRPr="00ED1A0B" w:rsidRDefault="00136F7A" w:rsidP="00972809">
            <w:pPr>
              <w:pStyle w:val="TableParagraph"/>
              <w:spacing w:after="220"/>
              <w:ind w:left="110"/>
              <w:rPr>
                <w:b/>
              </w:rPr>
            </w:pPr>
            <w:r>
              <w:rPr>
                <w:b/>
              </w:rPr>
              <w:t>Mesures proposées par les pays participants à l</w:t>
            </w:r>
            <w:r w:rsidR="000B28D4">
              <w:rPr>
                <w:b/>
              </w:rPr>
              <w:t>’</w:t>
            </w:r>
            <w:r>
              <w:rPr>
                <w:b/>
              </w:rPr>
              <w:t>issue du projet initial</w:t>
            </w:r>
          </w:p>
          <w:p w14:paraId="39296B07" w14:textId="77777777" w:rsidR="000B28D4" w:rsidRDefault="00136F7A" w:rsidP="00972809">
            <w:pPr>
              <w:pStyle w:val="TableParagraph"/>
              <w:spacing w:after="220"/>
              <w:ind w:left="110"/>
            </w:pPr>
            <w:r>
              <w:t>La proposition de poursuite du projet s</w:t>
            </w:r>
            <w:r w:rsidR="000B28D4">
              <w:t>’</w:t>
            </w:r>
            <w:r>
              <w:t>appuie sur les connaissances acquises grâce aux résultats du projet initial et tient compte des évolutions récentes du marché de l</w:t>
            </w:r>
            <w:r w:rsidR="000B28D4">
              <w:t>’</w:t>
            </w:r>
            <w:r>
              <w:t>audiovisu</w:t>
            </w:r>
            <w:r w:rsidR="00972809">
              <w:t>el.  Pl</w:t>
            </w:r>
            <w:r>
              <w:t>us précisément, elle aborde un certain nombre de mesures concrètes qui ont été proposées, examinées et définies par les gouvernements des pays participants et les parties prenantes afin de pérenniser les réalisations initiales du projet après la pandémie de COVID</w:t>
            </w:r>
            <w:r w:rsidR="00972809">
              <w:noBreakHyphen/>
            </w:r>
            <w:r>
              <w:t>19, notamment</w:t>
            </w:r>
            <w:r w:rsidR="000B28D4">
              <w:t> :</w:t>
            </w:r>
          </w:p>
          <w:p w14:paraId="04FBD08D" w14:textId="77777777" w:rsidR="00136F7A" w:rsidRPr="00ED1A0B" w:rsidRDefault="00136F7A" w:rsidP="00972809">
            <w:pPr>
              <w:pStyle w:val="TableParagraph"/>
              <w:numPr>
                <w:ilvl w:val="0"/>
                <w:numId w:val="15"/>
              </w:numPr>
              <w:ind w:left="1126" w:hanging="567"/>
            </w:pPr>
            <w:proofErr w:type="gramStart"/>
            <w:r>
              <w:t>promouvoir</w:t>
            </w:r>
            <w:proofErr w:type="gramEnd"/>
            <w:r>
              <w:t xml:space="preserve"> la coopération sous</w:t>
            </w:r>
            <w:r w:rsidR="00972809">
              <w:noBreakHyphen/>
            </w:r>
            <w:r>
              <w:t>régionale ou régionale par des pratiques recommandées en matière d</w:t>
            </w:r>
            <w:r w:rsidR="000B28D4">
              <w:t>’</w:t>
            </w:r>
            <w:r>
              <w:t>identification, de normalisation et de métadonnées des contenus audiovisuels;</w:t>
            </w:r>
          </w:p>
          <w:p w14:paraId="4B7C5F01" w14:textId="77777777" w:rsidR="00136F7A" w:rsidRPr="00682124" w:rsidRDefault="00136F7A" w:rsidP="00972809">
            <w:pPr>
              <w:pStyle w:val="TableParagraph"/>
              <w:numPr>
                <w:ilvl w:val="0"/>
                <w:numId w:val="15"/>
              </w:numPr>
              <w:ind w:left="1126" w:hanging="567"/>
            </w:pPr>
            <w:proofErr w:type="gramStart"/>
            <w:r>
              <w:t>favoriser</w:t>
            </w:r>
            <w:proofErr w:type="gramEnd"/>
            <w:r>
              <w:t xml:space="preserve"> la formation et une meilleure compréhension de la propriété intellectuelle dans le secteur audiovisuel à l</w:t>
            </w:r>
            <w:r w:rsidR="000B28D4">
              <w:t>’</w:t>
            </w:r>
            <w:r>
              <w:t>ère de la diffusion en continu;</w:t>
            </w:r>
          </w:p>
          <w:p w14:paraId="7D558286" w14:textId="77777777" w:rsidR="00136F7A" w:rsidRPr="00682124" w:rsidRDefault="00136F7A" w:rsidP="00972809">
            <w:pPr>
              <w:pStyle w:val="TableParagraph"/>
              <w:numPr>
                <w:ilvl w:val="0"/>
                <w:numId w:val="15"/>
              </w:numPr>
              <w:ind w:left="1126" w:hanging="567"/>
            </w:pPr>
            <w:proofErr w:type="gramStart"/>
            <w:r>
              <w:t>mieux</w:t>
            </w:r>
            <w:proofErr w:type="gramEnd"/>
            <w:r>
              <w:t xml:space="preserve"> comprendre la portée des technologies de pointe dans le secteur de l</w:t>
            </w:r>
            <w:r w:rsidR="000B28D4">
              <w:t>’</w:t>
            </w:r>
            <w:r>
              <w:t>audiovisuel;</w:t>
            </w:r>
          </w:p>
          <w:p w14:paraId="547D54BA" w14:textId="77777777" w:rsidR="00136F7A" w:rsidRPr="00682124" w:rsidRDefault="00136F7A" w:rsidP="00972809">
            <w:pPr>
              <w:pStyle w:val="TableParagraph"/>
              <w:numPr>
                <w:ilvl w:val="0"/>
                <w:numId w:val="15"/>
              </w:numPr>
              <w:ind w:left="1126" w:hanging="567"/>
            </w:pPr>
            <w:proofErr w:type="gramStart"/>
            <w:r>
              <w:t>renforcer</w:t>
            </w:r>
            <w:proofErr w:type="gramEnd"/>
            <w:r>
              <w:t xml:space="preserve"> la coopération en vue de l</w:t>
            </w:r>
            <w:r w:rsidR="000B28D4">
              <w:t>’</w:t>
            </w:r>
            <w:r>
              <w:t>intégration de la dimension de genre dans l</w:t>
            </w:r>
            <w:r w:rsidR="000B28D4">
              <w:t>’</w:t>
            </w:r>
            <w:r>
              <w:t xml:space="preserve">industrie audiovisuelle; </w:t>
            </w:r>
            <w:r w:rsidR="008F25FA">
              <w:t xml:space="preserve"> </w:t>
            </w:r>
            <w:r>
              <w:t>et</w:t>
            </w:r>
          </w:p>
          <w:p w14:paraId="67283BC2" w14:textId="77777777" w:rsidR="00136F7A" w:rsidRPr="00682124" w:rsidRDefault="00136F7A" w:rsidP="00972809">
            <w:pPr>
              <w:pStyle w:val="TableParagraph"/>
              <w:numPr>
                <w:ilvl w:val="0"/>
                <w:numId w:val="15"/>
              </w:numPr>
              <w:spacing w:after="220"/>
              <w:ind w:left="1126" w:hanging="567"/>
            </w:pPr>
            <w:proofErr w:type="gramStart"/>
            <w:r>
              <w:t>élaborer</w:t>
            </w:r>
            <w:proofErr w:type="gramEnd"/>
            <w:r>
              <w:t xml:space="preserve"> des documents de référence sur l</w:t>
            </w:r>
            <w:r w:rsidR="000B28D4">
              <w:t>’</w:t>
            </w:r>
            <w:r>
              <w:t>utilisation stratégique de la propriété intellectuelle à l</w:t>
            </w:r>
            <w:r w:rsidR="000B28D4">
              <w:t>’</w:t>
            </w:r>
            <w:r>
              <w:t>intention des parties prenantes et des créateurs du secteur audiovisuel de micro, petite et moyenne dimension.</w:t>
            </w:r>
          </w:p>
          <w:p w14:paraId="0D8979AA" w14:textId="77777777" w:rsidR="00136F7A" w:rsidRPr="00ED1A0B" w:rsidRDefault="00136F7A" w:rsidP="00972809">
            <w:pPr>
              <w:pStyle w:val="TableParagraph"/>
              <w:spacing w:after="220"/>
              <w:ind w:left="110"/>
              <w:rPr>
                <w:b/>
              </w:rPr>
            </w:pPr>
            <w:r>
              <w:rPr>
                <w:b/>
              </w:rPr>
              <w:t>Parties prenantes</w:t>
            </w:r>
          </w:p>
          <w:p w14:paraId="6E0D2FB8" w14:textId="77777777" w:rsidR="00136F7A" w:rsidRPr="00ED1A0B" w:rsidRDefault="00136F7A" w:rsidP="00972809">
            <w:pPr>
              <w:pStyle w:val="TableParagraph"/>
              <w:spacing w:after="220"/>
              <w:ind w:left="110"/>
            </w:pPr>
            <w:r>
              <w:t>Les principales parties prenantes pertinentes de ce projet sont les suivantes</w:t>
            </w:r>
            <w:r w:rsidR="000B28D4">
              <w:t> :</w:t>
            </w:r>
          </w:p>
          <w:p w14:paraId="0AEC9232" w14:textId="77777777" w:rsidR="00136F7A" w:rsidRPr="00ED1A0B" w:rsidRDefault="00136F7A" w:rsidP="00972809">
            <w:pPr>
              <w:pStyle w:val="TableParagraph"/>
              <w:numPr>
                <w:ilvl w:val="0"/>
                <w:numId w:val="16"/>
              </w:numPr>
              <w:ind w:left="1126" w:hanging="567"/>
            </w:pPr>
            <w:proofErr w:type="gramStart"/>
            <w:r>
              <w:t>les</w:t>
            </w:r>
            <w:proofErr w:type="gramEnd"/>
            <w:r>
              <w:t xml:space="preserve"> producteurs audiovisuels, en particulier les micro, petites et moyennes entreprises;</w:t>
            </w:r>
          </w:p>
          <w:p w14:paraId="30B12E74" w14:textId="77777777" w:rsidR="00136F7A" w:rsidRPr="00ED1A0B" w:rsidRDefault="00136F7A" w:rsidP="00972809">
            <w:pPr>
              <w:pStyle w:val="TableParagraph"/>
              <w:numPr>
                <w:ilvl w:val="0"/>
                <w:numId w:val="16"/>
              </w:numPr>
              <w:ind w:left="1126" w:hanging="567"/>
            </w:pPr>
            <w:proofErr w:type="gramStart"/>
            <w:r>
              <w:t>les</w:t>
            </w:r>
            <w:proofErr w:type="gramEnd"/>
            <w:r>
              <w:t xml:space="preserve"> auteurs et interprètes dans le secteur audiovisuel;</w:t>
            </w:r>
          </w:p>
          <w:p w14:paraId="184FEB04" w14:textId="77777777" w:rsidR="00136F7A" w:rsidRPr="00ED1A0B" w:rsidRDefault="00136F7A" w:rsidP="00972809">
            <w:pPr>
              <w:pStyle w:val="TableParagraph"/>
              <w:numPr>
                <w:ilvl w:val="0"/>
                <w:numId w:val="16"/>
              </w:numPr>
              <w:ind w:left="1126" w:hanging="567"/>
            </w:pPr>
            <w:proofErr w:type="gramStart"/>
            <w:r>
              <w:t>le</w:t>
            </w:r>
            <w:proofErr w:type="gramEnd"/>
            <w:r>
              <w:t xml:space="preserve"> secteur privé opérant dans le domaine de la distribution de contenus audiovisuels dans les pays bénéficiaires;</w:t>
            </w:r>
          </w:p>
          <w:p w14:paraId="4CF7A7E2" w14:textId="77777777" w:rsidR="00136F7A" w:rsidRPr="00ED1A0B" w:rsidRDefault="00136F7A" w:rsidP="00972809">
            <w:pPr>
              <w:pStyle w:val="TableParagraph"/>
              <w:numPr>
                <w:ilvl w:val="0"/>
                <w:numId w:val="16"/>
              </w:numPr>
              <w:ind w:left="1126" w:hanging="567"/>
            </w:pPr>
            <w:proofErr w:type="gramStart"/>
            <w:r>
              <w:t>les</w:t>
            </w:r>
            <w:proofErr w:type="gramEnd"/>
            <w:r>
              <w:t xml:space="preserve"> organisations de gestion collective;</w:t>
            </w:r>
          </w:p>
          <w:p w14:paraId="53F0621E" w14:textId="77777777" w:rsidR="00136F7A" w:rsidRPr="00ED1A0B" w:rsidRDefault="00136F7A" w:rsidP="00972809">
            <w:pPr>
              <w:pStyle w:val="TableParagraph"/>
              <w:numPr>
                <w:ilvl w:val="0"/>
                <w:numId w:val="16"/>
              </w:numPr>
              <w:ind w:left="1126" w:hanging="567"/>
            </w:pPr>
            <w:proofErr w:type="gramStart"/>
            <w:r>
              <w:t>les</w:t>
            </w:r>
            <w:proofErr w:type="gramEnd"/>
            <w:r>
              <w:t xml:space="preserve"> organismes publics chargés de la politique et de la réglementation en matière de </w:t>
            </w:r>
            <w:r>
              <w:lastRenderedPageBreak/>
              <w:t>droit d</w:t>
            </w:r>
            <w:r w:rsidR="000B28D4">
              <w:t>’</w:t>
            </w:r>
            <w:r>
              <w:t>auteur, les agences de promotion audiovisuelle et les agences cinématographiques;</w:t>
            </w:r>
          </w:p>
          <w:p w14:paraId="47F0EAA5" w14:textId="77777777" w:rsidR="00136F7A" w:rsidRPr="00ED1A0B" w:rsidRDefault="00136F7A" w:rsidP="00972809">
            <w:pPr>
              <w:pStyle w:val="TableParagraph"/>
              <w:numPr>
                <w:ilvl w:val="0"/>
                <w:numId w:val="16"/>
              </w:numPr>
              <w:ind w:left="1126" w:hanging="567"/>
            </w:pPr>
            <w:proofErr w:type="gramStart"/>
            <w:r>
              <w:t>les</w:t>
            </w:r>
            <w:proofErr w:type="gramEnd"/>
            <w:r>
              <w:t xml:space="preserve"> organisateurs de festivals et les responsables du marché audiovisuel;</w:t>
            </w:r>
          </w:p>
          <w:p w14:paraId="00669C4E" w14:textId="77777777" w:rsidR="00136F7A" w:rsidRDefault="00136F7A" w:rsidP="00972809">
            <w:pPr>
              <w:pStyle w:val="TableParagraph"/>
              <w:numPr>
                <w:ilvl w:val="0"/>
                <w:numId w:val="16"/>
              </w:numPr>
              <w:ind w:left="1126" w:hanging="567"/>
            </w:pPr>
            <w:proofErr w:type="gramStart"/>
            <w:r>
              <w:t>les</w:t>
            </w:r>
            <w:proofErr w:type="gramEnd"/>
            <w:r>
              <w:t xml:space="preserve"> conseillers juridiques pour les parties prenantes de l</w:t>
            </w:r>
            <w:r w:rsidR="000B28D4">
              <w:t>’</w:t>
            </w:r>
            <w:r>
              <w:t xml:space="preserve">industrie audiovisuelle; </w:t>
            </w:r>
            <w:r w:rsidR="008F25FA">
              <w:t xml:space="preserve"> </w:t>
            </w:r>
            <w:r>
              <w:t>et</w:t>
            </w:r>
          </w:p>
          <w:p w14:paraId="7B870013" w14:textId="77777777" w:rsidR="00136F7A" w:rsidRPr="000A74E4" w:rsidRDefault="00136F7A" w:rsidP="00972809">
            <w:pPr>
              <w:pStyle w:val="TableParagraph"/>
              <w:numPr>
                <w:ilvl w:val="0"/>
                <w:numId w:val="16"/>
              </w:numPr>
              <w:spacing w:after="120"/>
              <w:ind w:left="1126" w:hanging="567"/>
            </w:pPr>
            <w:proofErr w:type="gramStart"/>
            <w:r>
              <w:t>les</w:t>
            </w:r>
            <w:proofErr w:type="gramEnd"/>
            <w:r>
              <w:t xml:space="preserve"> plateformes de diffusion en continu.</w:t>
            </w:r>
          </w:p>
        </w:tc>
      </w:tr>
      <w:tr w:rsidR="00136F7A" w:rsidRPr="005D72F4" w14:paraId="5A292740" w14:textId="77777777" w:rsidTr="000364AB">
        <w:trPr>
          <w:trHeight w:val="278"/>
        </w:trPr>
        <w:tc>
          <w:tcPr>
            <w:tcW w:w="9352" w:type="dxa"/>
            <w:gridSpan w:val="2"/>
            <w:shd w:val="clear" w:color="auto" w:fill="00FFCC"/>
          </w:tcPr>
          <w:p w14:paraId="6FF9B888" w14:textId="77777777" w:rsidR="00136F7A" w:rsidRPr="005D72F4" w:rsidRDefault="00972809" w:rsidP="00972809">
            <w:pPr>
              <w:widowControl w:val="0"/>
              <w:autoSpaceDE w:val="0"/>
              <w:autoSpaceDN w:val="0"/>
              <w:spacing w:line="240" w:lineRule="exact"/>
              <w:ind w:left="680" w:hanging="567"/>
              <w:contextualSpacing/>
              <w:jc w:val="center"/>
              <w:rPr>
                <w:rFonts w:eastAsia="Arial"/>
                <w:b/>
              </w:rPr>
            </w:pPr>
            <w:r>
              <w:rPr>
                <w:b/>
              </w:rPr>
              <w:lastRenderedPageBreak/>
              <w:t>2.1.</w:t>
            </w:r>
            <w:r>
              <w:rPr>
                <w:b/>
              </w:rPr>
              <w:tab/>
            </w:r>
            <w:r w:rsidR="00136F7A">
              <w:rPr>
                <w:b/>
              </w:rPr>
              <w:t>Concept du projet</w:t>
            </w:r>
          </w:p>
        </w:tc>
      </w:tr>
      <w:tr w:rsidR="00136F7A" w:rsidRPr="005D72F4" w14:paraId="0DC15CE4" w14:textId="77777777" w:rsidTr="000364AB">
        <w:trPr>
          <w:trHeight w:val="346"/>
        </w:trPr>
        <w:tc>
          <w:tcPr>
            <w:tcW w:w="9352" w:type="dxa"/>
            <w:gridSpan w:val="2"/>
            <w:shd w:val="clear" w:color="auto" w:fill="auto"/>
          </w:tcPr>
          <w:p w14:paraId="77D3A72D" w14:textId="77777777" w:rsidR="00136F7A" w:rsidRPr="00AA2118" w:rsidRDefault="00136F7A" w:rsidP="000364AB">
            <w:pPr>
              <w:pStyle w:val="TableParagraph"/>
              <w:spacing w:before="120" w:after="120"/>
              <w:ind w:left="101"/>
            </w:pPr>
            <w:r>
              <w:t>La phase II proposée vise à tirer parti des connaissances accumulées dans le cadre du projet initial et à répondre aux évolutions récentes de l</w:t>
            </w:r>
            <w:r w:rsidR="000B28D4">
              <w:t>’</w:t>
            </w:r>
            <w:r>
              <w:t>ère postérieure à la pandémie de COVID</w:t>
            </w:r>
            <w:r w:rsidR="00972809">
              <w:noBreakHyphen/>
            </w:r>
            <w:r>
              <w:t>19.</w:t>
            </w:r>
          </w:p>
        </w:tc>
      </w:tr>
      <w:tr w:rsidR="00136F7A" w:rsidRPr="005D72F4" w14:paraId="225A5DCD" w14:textId="77777777" w:rsidTr="000364AB">
        <w:trPr>
          <w:trHeight w:val="346"/>
        </w:trPr>
        <w:tc>
          <w:tcPr>
            <w:tcW w:w="9352" w:type="dxa"/>
            <w:gridSpan w:val="2"/>
            <w:shd w:val="clear" w:color="auto" w:fill="00FFCC"/>
          </w:tcPr>
          <w:p w14:paraId="4E154DE6" w14:textId="77777777" w:rsidR="00136F7A" w:rsidRPr="00F41A8F" w:rsidRDefault="00972809" w:rsidP="00972809">
            <w:pPr>
              <w:widowControl w:val="0"/>
              <w:autoSpaceDE w:val="0"/>
              <w:autoSpaceDN w:val="0"/>
              <w:ind w:left="680" w:hanging="567"/>
              <w:jc w:val="center"/>
              <w:rPr>
                <w:rFonts w:eastAsia="Arial"/>
                <w:b/>
              </w:rPr>
            </w:pPr>
            <w:r>
              <w:rPr>
                <w:b/>
              </w:rPr>
              <w:t>2.2.</w:t>
            </w:r>
            <w:r>
              <w:rPr>
                <w:b/>
              </w:rPr>
              <w:tab/>
            </w:r>
            <w:r w:rsidR="00136F7A">
              <w:rPr>
                <w:b/>
              </w:rPr>
              <w:t>Objectifs, résultats et réalisations du projet</w:t>
            </w:r>
          </w:p>
        </w:tc>
      </w:tr>
      <w:tr w:rsidR="00136F7A" w:rsidRPr="005D72F4" w14:paraId="4B3D391C" w14:textId="77777777" w:rsidTr="000364AB">
        <w:trPr>
          <w:trHeight w:val="256"/>
        </w:trPr>
        <w:tc>
          <w:tcPr>
            <w:tcW w:w="9352" w:type="dxa"/>
            <w:gridSpan w:val="2"/>
          </w:tcPr>
          <w:p w14:paraId="7FCD54DD" w14:textId="77777777" w:rsidR="00136F7A" w:rsidRDefault="00136F7A" w:rsidP="000364AB">
            <w:pPr>
              <w:pStyle w:val="TableParagraph"/>
              <w:spacing w:before="120" w:after="120"/>
              <w:ind w:left="120" w:right="65"/>
            </w:pPr>
            <w:r>
              <w:t>L</w:t>
            </w:r>
            <w:r w:rsidR="000B28D4">
              <w:t>’</w:t>
            </w:r>
            <w:r>
              <w:rPr>
                <w:b/>
                <w:bCs/>
              </w:rPr>
              <w:t>objectif</w:t>
            </w:r>
            <w:r>
              <w:t xml:space="preserve"> global du projet est de mieux comprendre l</w:t>
            </w:r>
            <w:r w:rsidR="000B28D4">
              <w:t>’</w:t>
            </w:r>
            <w:r>
              <w:t>utilisation de la propriété intellectuelle pour commercialiser le contenu audiovisuel à l</w:t>
            </w:r>
            <w:r w:rsidR="000B28D4">
              <w:t>’</w:t>
            </w:r>
            <w:r>
              <w:t>ère de la diffusion en continu dans les pays bénéficiaires, tout en s</w:t>
            </w:r>
            <w:r w:rsidR="000B28D4">
              <w:t>’</w:t>
            </w:r>
            <w:r>
              <w:t>appuyant sur les réalisations du projet initial et en relevant les défis postérieurs à la pandémie de COVID</w:t>
            </w:r>
            <w:r w:rsidR="00972809">
              <w:noBreakHyphen/>
            </w:r>
            <w:r>
              <w:t>19.</w:t>
            </w:r>
          </w:p>
          <w:p w14:paraId="033DA8DC" w14:textId="77777777" w:rsidR="00136F7A" w:rsidRPr="00C362C2" w:rsidRDefault="00136F7A" w:rsidP="000364AB">
            <w:pPr>
              <w:pBdr>
                <w:top w:val="nil"/>
                <w:left w:val="nil"/>
                <w:bottom w:val="nil"/>
                <w:right w:val="nil"/>
                <w:between w:val="nil"/>
              </w:pBdr>
              <w:tabs>
                <w:tab w:val="left" w:pos="730"/>
              </w:tabs>
              <w:spacing w:before="120" w:after="240"/>
              <w:ind w:left="117" w:right="130"/>
              <w:rPr>
                <w:spacing w:val="-2"/>
              </w:rPr>
            </w:pPr>
            <w:r w:rsidRPr="00C362C2">
              <w:rPr>
                <w:spacing w:val="-2"/>
              </w:rPr>
              <w:t xml:space="preserve">Plus précisément, les </w:t>
            </w:r>
            <w:r w:rsidRPr="00C362C2">
              <w:rPr>
                <w:b/>
                <w:spacing w:val="-2"/>
              </w:rPr>
              <w:t>résultats</w:t>
            </w:r>
            <w:r w:rsidRPr="00C362C2">
              <w:rPr>
                <w:spacing w:val="-2"/>
              </w:rPr>
              <w:t xml:space="preserve"> attendus du projet sont une sensibilisation accrue et un renforcement des capacités des parties prenantes, notamment des créateurs, </w:t>
            </w:r>
            <w:proofErr w:type="gramStart"/>
            <w:r w:rsidRPr="00C362C2">
              <w:rPr>
                <w:spacing w:val="-2"/>
              </w:rPr>
              <w:t>des micro</w:t>
            </w:r>
            <w:proofErr w:type="gramEnd"/>
            <w:r w:rsidRPr="00C362C2">
              <w:rPr>
                <w:spacing w:val="-2"/>
              </w:rPr>
              <w:t>, petites et moyennes entreprises et des gouvernements, afin de mieux utiliser et commercialiser la propriété intellectuelle dans le marché audiovisuel, dans les pays participants.</w:t>
            </w:r>
          </w:p>
          <w:p w14:paraId="6F83BC16" w14:textId="77777777" w:rsidR="00136F7A" w:rsidRPr="009E4880" w:rsidRDefault="00136F7A" w:rsidP="000364AB">
            <w:pPr>
              <w:spacing w:before="120" w:after="120"/>
              <w:ind w:left="120" w:right="230"/>
              <w:contextualSpacing/>
              <w:jc w:val="both"/>
            </w:pPr>
            <w:r>
              <w:t xml:space="preserve">Le projet permettra les </w:t>
            </w:r>
            <w:r>
              <w:rPr>
                <w:b/>
                <w:bCs/>
              </w:rPr>
              <w:t>réalisations</w:t>
            </w:r>
            <w:r>
              <w:t xml:space="preserve"> suivantes</w:t>
            </w:r>
            <w:r w:rsidR="000B28D4">
              <w:t> :</w:t>
            </w:r>
          </w:p>
          <w:p w14:paraId="2BD392BB" w14:textId="77777777" w:rsidR="00136F7A" w:rsidRDefault="00136F7A" w:rsidP="000364AB">
            <w:pPr>
              <w:pStyle w:val="TableParagraph"/>
              <w:spacing w:before="120" w:after="120"/>
              <w:ind w:left="115" w:right="230"/>
              <w:rPr>
                <w:iCs/>
              </w:rPr>
            </w:pPr>
            <w:r>
              <w:t>Réalisation n° 1</w:t>
            </w:r>
            <w:r w:rsidR="000B28D4">
              <w:t> :</w:t>
            </w:r>
            <w:r>
              <w:t xml:space="preserve"> Identification des pratiques, des opportunités et des défis au niveau national, en rapport avec la commercialisation de la propriété intellectuelle sur le marché de l</w:t>
            </w:r>
            <w:r w:rsidR="000B28D4">
              <w:t>’</w:t>
            </w:r>
            <w:r>
              <w:t>audiovisuel dans les pays participants.</w:t>
            </w:r>
          </w:p>
          <w:p w14:paraId="6EB0C85A" w14:textId="77777777" w:rsidR="00136F7A" w:rsidRDefault="00136F7A" w:rsidP="000364AB">
            <w:pPr>
              <w:pStyle w:val="TableParagraph"/>
              <w:spacing w:before="120" w:after="120"/>
              <w:ind w:left="115" w:right="230"/>
              <w:rPr>
                <w:iCs/>
              </w:rPr>
            </w:pPr>
            <w:r>
              <w:t>Réalisation n° 2</w:t>
            </w:r>
            <w:r w:rsidR="000B28D4">
              <w:t> :</w:t>
            </w:r>
            <w:r>
              <w:t xml:space="preserve"> Formation des spécialistes et des créateurs de l</w:t>
            </w:r>
            <w:r w:rsidR="000B28D4">
              <w:t>’</w:t>
            </w:r>
            <w:r>
              <w:t>industrie audiovisuelle à la protection et à la gestion efficaces des actifs de propriété intellectuelle en vue de leur commercialisation.</w:t>
            </w:r>
          </w:p>
          <w:p w14:paraId="0F031C49" w14:textId="77777777" w:rsidR="00136F7A" w:rsidRPr="00AE04BA" w:rsidRDefault="00136F7A" w:rsidP="000364AB">
            <w:pPr>
              <w:pStyle w:val="TableParagraph"/>
              <w:spacing w:before="120" w:after="120"/>
              <w:ind w:left="120" w:right="175"/>
              <w:rPr>
                <w:iCs/>
              </w:rPr>
            </w:pPr>
            <w:r>
              <w:t>Réalisation n° 3</w:t>
            </w:r>
            <w:r w:rsidR="000B28D4">
              <w:t> :</w:t>
            </w:r>
            <w:r>
              <w:t xml:space="preserve"> Évaluation des perspectives de l</w:t>
            </w:r>
            <w:r w:rsidR="000B28D4">
              <w:t>’</w:t>
            </w:r>
            <w:r>
              <w:t>industrie audiovisuelle afin d</w:t>
            </w:r>
            <w:r w:rsidR="000B28D4">
              <w:t>’</w:t>
            </w:r>
            <w:r>
              <w:t>anticiper les changements et les tendances qui affecteront l</w:t>
            </w:r>
            <w:r w:rsidR="000B28D4">
              <w:t>’</w:t>
            </w:r>
            <w:r>
              <w:t>utilisation de la propriété intellectuelle sur le marché de l</w:t>
            </w:r>
            <w:r w:rsidR="000B28D4">
              <w:t>’</w:t>
            </w:r>
            <w:r>
              <w:t>audiovisuel.</w:t>
            </w:r>
          </w:p>
          <w:p w14:paraId="0560CC1A" w14:textId="77777777" w:rsidR="00136F7A" w:rsidRDefault="00136F7A" w:rsidP="000364AB">
            <w:pPr>
              <w:pStyle w:val="TableParagraph"/>
              <w:spacing w:before="120" w:after="120"/>
              <w:ind w:left="120" w:right="230"/>
              <w:rPr>
                <w:iCs/>
              </w:rPr>
            </w:pPr>
            <w:r>
              <w:t>Réalisation n° 4</w:t>
            </w:r>
            <w:r w:rsidR="000B28D4">
              <w:t> :</w:t>
            </w:r>
            <w:r>
              <w:t xml:space="preserve"> Mise au point d</w:t>
            </w:r>
            <w:r w:rsidR="000B28D4">
              <w:t>’</w:t>
            </w:r>
            <w:r>
              <w:t xml:space="preserve">outils pour </w:t>
            </w:r>
            <w:proofErr w:type="gramStart"/>
            <w:r>
              <w:t>les micro</w:t>
            </w:r>
            <w:proofErr w:type="gramEnd"/>
            <w:r>
              <w:t>, petites et moyennes entreprises en vue de la commercialisation de leurs actifs de propriété intellectuelle sur le marché mondial.</w:t>
            </w:r>
          </w:p>
          <w:p w14:paraId="6D82C208" w14:textId="77777777" w:rsidR="00136F7A" w:rsidRDefault="00136F7A" w:rsidP="000364AB">
            <w:pPr>
              <w:pStyle w:val="TableParagraph"/>
              <w:spacing w:before="120" w:after="120"/>
              <w:ind w:left="120" w:right="230"/>
              <w:rPr>
                <w:iCs/>
              </w:rPr>
            </w:pPr>
            <w:r>
              <w:t>Réalisation n° 5</w:t>
            </w:r>
            <w:r w:rsidR="000B28D4">
              <w:t> :</w:t>
            </w:r>
            <w:r>
              <w:t xml:space="preserve"> Élaboration d</w:t>
            </w:r>
            <w:r w:rsidR="000B28D4">
              <w:t>’</w:t>
            </w:r>
            <w:r>
              <w:t>une méthode pour mesurer la participation des femmes dans le secteur audiovisuel.</w:t>
            </w:r>
          </w:p>
          <w:p w14:paraId="4C5A9CC6" w14:textId="77777777" w:rsidR="00136F7A" w:rsidRPr="008F2A30" w:rsidRDefault="00136F7A" w:rsidP="000364AB">
            <w:pPr>
              <w:pStyle w:val="TableParagraph"/>
              <w:spacing w:before="120" w:after="120"/>
              <w:ind w:left="120" w:right="230"/>
              <w:rPr>
                <w:iCs/>
              </w:rPr>
            </w:pPr>
            <w:r>
              <w:t>Réalisation n° 6</w:t>
            </w:r>
            <w:r w:rsidR="000B28D4">
              <w:t> :</w:t>
            </w:r>
            <w:r>
              <w:t xml:space="preserve"> Évaluation des possibilités de circulation des actifs de propriété intellectuelle à l</w:t>
            </w:r>
            <w:r w:rsidR="000B28D4">
              <w:t>’</w:t>
            </w:r>
            <w:r>
              <w:t>échelle régionale ou mondiale.</w:t>
            </w:r>
          </w:p>
        </w:tc>
      </w:tr>
      <w:tr w:rsidR="00136F7A" w:rsidRPr="005D72F4" w14:paraId="488E9AD6" w14:textId="77777777" w:rsidTr="000364AB">
        <w:trPr>
          <w:trHeight w:val="280"/>
        </w:trPr>
        <w:tc>
          <w:tcPr>
            <w:tcW w:w="9352" w:type="dxa"/>
            <w:gridSpan w:val="2"/>
            <w:shd w:val="clear" w:color="auto" w:fill="00FFCC"/>
          </w:tcPr>
          <w:p w14:paraId="06C4D791" w14:textId="77777777" w:rsidR="00136F7A" w:rsidRPr="005D72F4" w:rsidRDefault="00136F7A" w:rsidP="00612843">
            <w:pPr>
              <w:pStyle w:val="ListParagraph"/>
              <w:numPr>
                <w:ilvl w:val="1"/>
                <w:numId w:val="9"/>
              </w:numPr>
              <w:ind w:left="567" w:hanging="567"/>
              <w:jc w:val="center"/>
              <w:rPr>
                <w:b/>
                <w:bCs/>
              </w:rPr>
            </w:pPr>
            <w:r>
              <w:rPr>
                <w:b/>
              </w:rPr>
              <w:t>Stratégie de mise en œuvre du projet</w:t>
            </w:r>
          </w:p>
        </w:tc>
      </w:tr>
      <w:tr w:rsidR="00136F7A" w:rsidRPr="005D72F4" w14:paraId="3ECFEB41" w14:textId="77777777" w:rsidTr="000364AB">
        <w:trPr>
          <w:trHeight w:val="280"/>
        </w:trPr>
        <w:tc>
          <w:tcPr>
            <w:tcW w:w="9352" w:type="dxa"/>
            <w:gridSpan w:val="2"/>
            <w:shd w:val="clear" w:color="auto" w:fill="auto"/>
          </w:tcPr>
          <w:p w14:paraId="21D6D052" w14:textId="77777777" w:rsidR="00612843" w:rsidRDefault="00136F7A" w:rsidP="00612843">
            <w:pPr>
              <w:pStyle w:val="TableParagraph"/>
              <w:spacing w:after="220"/>
              <w:ind w:left="117"/>
            </w:pPr>
            <w:r>
              <w:t>La stratégie de mise en œuvre est détaillée ci</w:t>
            </w:r>
            <w:r w:rsidR="00972809">
              <w:noBreakHyphen/>
            </w:r>
            <w:r>
              <w:t>dessous pour chaque réalisation</w:t>
            </w:r>
            <w:r w:rsidR="000B28D4">
              <w:t> :</w:t>
            </w:r>
          </w:p>
          <w:p w14:paraId="4902A5B1" w14:textId="77777777" w:rsidR="00612843" w:rsidRDefault="00136F7A" w:rsidP="00612843">
            <w:pPr>
              <w:pStyle w:val="TableParagraph"/>
              <w:spacing w:after="220"/>
              <w:ind w:left="117"/>
              <w:rPr>
                <w:bCs/>
              </w:rPr>
            </w:pPr>
            <w:r>
              <w:rPr>
                <w:b/>
              </w:rPr>
              <w:t>Réalisation n° 1</w:t>
            </w:r>
            <w:r w:rsidR="000B28D4">
              <w:rPr>
                <w:b/>
              </w:rPr>
              <w:t> :</w:t>
            </w:r>
            <w:r w:rsidRPr="00972809">
              <w:t xml:space="preserve"> </w:t>
            </w:r>
            <w:r>
              <w:t>Identification des pratiques, des opportunités et des défis au niveau national, en rapport avec la commercialisation de la propriété intellectuelle sur le marché de l</w:t>
            </w:r>
            <w:r w:rsidR="000B28D4">
              <w:t>’</w:t>
            </w:r>
            <w:r>
              <w:t>audiovisuel dans les pays participants.</w:t>
            </w:r>
          </w:p>
          <w:p w14:paraId="059B5138" w14:textId="77777777" w:rsidR="00612843" w:rsidRDefault="00136F7A" w:rsidP="00612843">
            <w:pPr>
              <w:pStyle w:val="TableParagraph"/>
              <w:spacing w:after="220"/>
              <w:ind w:left="117"/>
            </w:pPr>
            <w:r>
              <w:rPr>
                <w:b/>
              </w:rPr>
              <w:t>Activité 1.1</w:t>
            </w:r>
            <w:r w:rsidR="000B28D4">
              <w:rPr>
                <w:b/>
              </w:rPr>
              <w:t> :</w:t>
            </w:r>
            <w:r>
              <w:t xml:space="preserve"> Identifier et recenser les pratiques nationales des autorités audiovisuelles en matière de bases de données et d</w:t>
            </w:r>
            <w:r w:rsidR="000B28D4">
              <w:t>’</w:t>
            </w:r>
            <w:r>
              <w:t>outils disponibles pour la recherche d</w:t>
            </w:r>
            <w:r w:rsidR="000B28D4">
              <w:t>’</w:t>
            </w:r>
            <w:r>
              <w:t>informations sur la titularité d</w:t>
            </w:r>
            <w:r w:rsidR="000B28D4">
              <w:t>’</w:t>
            </w:r>
            <w:r>
              <w:t>œuvres audiovisuelles et la concession de licences dans ce domaine.</w:t>
            </w:r>
          </w:p>
          <w:p w14:paraId="3287839F" w14:textId="77777777" w:rsidR="00612843" w:rsidRDefault="00136F7A" w:rsidP="00612843">
            <w:pPr>
              <w:pStyle w:val="TableParagraph"/>
              <w:spacing w:after="220"/>
              <w:ind w:left="117"/>
              <w:rPr>
                <w:bCs/>
              </w:rPr>
            </w:pPr>
            <w:r>
              <w:rPr>
                <w:b/>
              </w:rPr>
              <w:t>Réalisation n° 2</w:t>
            </w:r>
            <w:r w:rsidR="000B28D4">
              <w:rPr>
                <w:b/>
              </w:rPr>
              <w:t> :</w:t>
            </w:r>
            <w:r>
              <w:t xml:space="preserve"> Formation des spécialistes et des créateurs de l</w:t>
            </w:r>
            <w:r w:rsidR="000B28D4">
              <w:t>’</w:t>
            </w:r>
            <w:r>
              <w:t>industrie audiovisuelle à la protection et à la gestion efficaces des actifs de propriété intellectuelle en vue de leur commercialisation.</w:t>
            </w:r>
          </w:p>
          <w:p w14:paraId="13D14008" w14:textId="77777777" w:rsidR="00612843" w:rsidRDefault="00136F7A" w:rsidP="00612843">
            <w:pPr>
              <w:pStyle w:val="TableParagraph"/>
              <w:spacing w:after="220"/>
              <w:ind w:left="117"/>
            </w:pPr>
            <w:r>
              <w:rPr>
                <w:b/>
              </w:rPr>
              <w:lastRenderedPageBreak/>
              <w:t>Activité 2.1</w:t>
            </w:r>
            <w:r w:rsidR="000B28D4">
              <w:rPr>
                <w:b/>
              </w:rPr>
              <w:t> :</w:t>
            </w:r>
            <w:r>
              <w:t xml:space="preserve"> Organiser des ateliers de formation pratique (au moins quatre) pour </w:t>
            </w:r>
            <w:proofErr w:type="gramStart"/>
            <w:r>
              <w:t>les micro</w:t>
            </w:r>
            <w:proofErr w:type="gramEnd"/>
            <w:r>
              <w:t>, petites et moyennes entreprises et les créateurs dans les pays participants afin de répondre à leurs besoins spécifiques en matière d</w:t>
            </w:r>
            <w:r w:rsidR="000B28D4">
              <w:t>’</w:t>
            </w:r>
            <w:r>
              <w:t>utilisation et d</w:t>
            </w:r>
            <w:r w:rsidR="000B28D4">
              <w:t>’</w:t>
            </w:r>
            <w:r>
              <w:t>acquisition de matériel relatif à la propriété intellectuelle, et de commercialisation du contenu audiovisuel.</w:t>
            </w:r>
          </w:p>
          <w:p w14:paraId="5D924181" w14:textId="77777777" w:rsidR="00612843" w:rsidRDefault="00136F7A" w:rsidP="00612843">
            <w:pPr>
              <w:pStyle w:val="TableParagraph"/>
              <w:spacing w:after="220"/>
              <w:ind w:left="117"/>
            </w:pPr>
            <w:r>
              <w:rPr>
                <w:b/>
              </w:rPr>
              <w:t>Réalisation n° 3</w:t>
            </w:r>
            <w:r w:rsidR="000B28D4">
              <w:rPr>
                <w:b/>
              </w:rPr>
              <w:t> :</w:t>
            </w:r>
            <w:r>
              <w:t xml:space="preserve"> Évaluation des perspectives de l</w:t>
            </w:r>
            <w:r w:rsidR="000B28D4">
              <w:t>’</w:t>
            </w:r>
            <w:r>
              <w:t>industrie audiovisuelle afin d</w:t>
            </w:r>
            <w:r w:rsidR="000B28D4">
              <w:t>’</w:t>
            </w:r>
            <w:r>
              <w:t>anticiper les changements et les tendances qui affecteront l</w:t>
            </w:r>
            <w:r w:rsidR="000B28D4">
              <w:t>’</w:t>
            </w:r>
            <w:r>
              <w:t>utilisation de la propriété intellectuelle sur le marché de l</w:t>
            </w:r>
            <w:r w:rsidR="000B28D4">
              <w:t>’</w:t>
            </w:r>
            <w:r>
              <w:t>audiovisuel.</w:t>
            </w:r>
          </w:p>
          <w:p w14:paraId="4EE7E075" w14:textId="77777777" w:rsidR="00612843" w:rsidRDefault="00136F7A" w:rsidP="00612843">
            <w:pPr>
              <w:pStyle w:val="TableParagraph"/>
              <w:spacing w:after="220"/>
              <w:ind w:left="117"/>
            </w:pPr>
            <w:r>
              <w:rPr>
                <w:b/>
              </w:rPr>
              <w:t>Activité 3.1</w:t>
            </w:r>
            <w:r w:rsidR="000B28D4">
              <w:rPr>
                <w:b/>
              </w:rPr>
              <w:t> :</w:t>
            </w:r>
            <w:r>
              <w:t xml:space="preserve"> </w:t>
            </w:r>
            <w:r>
              <w:rPr>
                <w:rStyle w:val="Nenhum"/>
              </w:rPr>
              <w:t>Un examen des marchés actuels de licences et des structures de gestion des droits liés à l</w:t>
            </w:r>
            <w:r w:rsidR="000B28D4">
              <w:rPr>
                <w:rStyle w:val="Nenhum"/>
              </w:rPr>
              <w:t>’</w:t>
            </w:r>
            <w:r>
              <w:rPr>
                <w:rStyle w:val="Nenhum"/>
              </w:rPr>
              <w:t>utilisation d</w:t>
            </w:r>
            <w:r w:rsidR="000B28D4">
              <w:rPr>
                <w:rStyle w:val="Nenhum"/>
              </w:rPr>
              <w:t>’</w:t>
            </w:r>
            <w:r>
              <w:rPr>
                <w:rStyle w:val="Nenhum"/>
              </w:rPr>
              <w:t>œuvres audiovisuelles et de systèmes d</w:t>
            </w:r>
            <w:r w:rsidR="000B28D4">
              <w:rPr>
                <w:rStyle w:val="Nenhum"/>
              </w:rPr>
              <w:t>’</w:t>
            </w:r>
            <w:r>
              <w:rPr>
                <w:rStyle w:val="Nenhum"/>
              </w:rPr>
              <w:t xml:space="preserve">intelligence artificielle, </w:t>
            </w:r>
            <w:r w:rsidR="000B28D4">
              <w:rPr>
                <w:rStyle w:val="Nenhum"/>
              </w:rPr>
              <w:t>y compris</w:t>
            </w:r>
            <w:r>
              <w:rPr>
                <w:rStyle w:val="Nenhum"/>
              </w:rPr>
              <w:t xml:space="preserve"> la commercialisation d</w:t>
            </w:r>
            <w:r w:rsidR="000B28D4">
              <w:rPr>
                <w:rStyle w:val="Nenhum"/>
              </w:rPr>
              <w:t>’</w:t>
            </w:r>
            <w:r>
              <w:rPr>
                <w:rStyle w:val="Nenhum"/>
              </w:rPr>
              <w:t>œuvres audiovisuelles en relation avec l</w:t>
            </w:r>
            <w:r w:rsidR="000B28D4">
              <w:rPr>
                <w:rStyle w:val="Nenhum"/>
              </w:rPr>
              <w:t>’</w:t>
            </w:r>
            <w:r>
              <w:rPr>
                <w:rStyle w:val="Nenhum"/>
              </w:rPr>
              <w:t>intelligence artificielle, et l</w:t>
            </w:r>
            <w:r w:rsidR="000B28D4">
              <w:rPr>
                <w:rStyle w:val="Nenhum"/>
              </w:rPr>
              <w:t>’</w:t>
            </w:r>
            <w:r>
              <w:rPr>
                <w:rStyle w:val="Nenhum"/>
              </w:rPr>
              <w:t>accessibilité de ces marchés par les micro, petites et moyennes entreprises et les créateurs locaux, ainsi qu</w:t>
            </w:r>
            <w:r w:rsidR="000B28D4">
              <w:rPr>
                <w:rStyle w:val="Nenhum"/>
              </w:rPr>
              <w:t>’</w:t>
            </w:r>
            <w:r>
              <w:rPr>
                <w:rStyle w:val="Nenhum"/>
              </w:rPr>
              <w:t>une évaluation préliminaire permettant de cerner les questions liées au droit d</w:t>
            </w:r>
            <w:r w:rsidR="000B28D4">
              <w:rPr>
                <w:rStyle w:val="Nenhum"/>
              </w:rPr>
              <w:t>’</w:t>
            </w:r>
            <w:r>
              <w:rPr>
                <w:rStyle w:val="Nenhum"/>
              </w:rPr>
              <w:t>auteur qui impliquent l</w:t>
            </w:r>
            <w:r w:rsidR="000B28D4">
              <w:rPr>
                <w:rStyle w:val="Nenhum"/>
              </w:rPr>
              <w:t>’</w:t>
            </w:r>
            <w:r>
              <w:rPr>
                <w:rStyle w:val="Nenhum"/>
              </w:rPr>
              <w:t>utilisation de nouvelles technologies</w:t>
            </w:r>
            <w:r>
              <w:rPr>
                <w:rStyle w:val="Nenhum"/>
                <w:shd w:val="clear" w:color="auto" w:fill="FEFFFF"/>
              </w:rPr>
              <w:t>.</w:t>
            </w:r>
          </w:p>
          <w:p w14:paraId="309AC63E" w14:textId="77777777" w:rsidR="00612843" w:rsidRDefault="00136F7A" w:rsidP="00612843">
            <w:pPr>
              <w:pStyle w:val="TableParagraph"/>
              <w:spacing w:after="220"/>
              <w:ind w:left="117"/>
            </w:pPr>
            <w:r>
              <w:rPr>
                <w:b/>
              </w:rPr>
              <w:t>Réalisation n° 4</w:t>
            </w:r>
            <w:r w:rsidR="000B28D4">
              <w:rPr>
                <w:b/>
              </w:rPr>
              <w:t> :</w:t>
            </w:r>
            <w:r>
              <w:t xml:space="preserve"> Mise au point d</w:t>
            </w:r>
            <w:r w:rsidR="000B28D4">
              <w:t>’</w:t>
            </w:r>
            <w:r>
              <w:t xml:space="preserve">outils pour </w:t>
            </w:r>
            <w:proofErr w:type="gramStart"/>
            <w:r>
              <w:t>les micro</w:t>
            </w:r>
            <w:proofErr w:type="gramEnd"/>
            <w:r>
              <w:t>, petites et moyennes entreprises en vue de la commercialisation de leurs actifs de propriété intellectuelle sur le marché mondial.</w:t>
            </w:r>
          </w:p>
          <w:p w14:paraId="3CB3F4EB" w14:textId="77777777" w:rsidR="00612843" w:rsidRDefault="00136F7A" w:rsidP="00612843">
            <w:pPr>
              <w:pStyle w:val="TableParagraph"/>
              <w:spacing w:after="220"/>
              <w:ind w:left="117"/>
            </w:pPr>
            <w:r>
              <w:rPr>
                <w:b/>
              </w:rPr>
              <w:t>Activité 4.1</w:t>
            </w:r>
            <w:r w:rsidR="000B28D4">
              <w:rPr>
                <w:b/>
              </w:rPr>
              <w:t> :</w:t>
            </w:r>
            <w:r>
              <w:t xml:space="preserve"> Élaborer un guide de référence pour l</w:t>
            </w:r>
            <w:r w:rsidR="000B28D4">
              <w:t>’</w:t>
            </w:r>
            <w:r>
              <w:t>utilisation et la commercialisation de la propriété intellectuelle dans la production audiovisuelle à l</w:t>
            </w:r>
            <w:r w:rsidR="000B28D4">
              <w:t>’</w:t>
            </w:r>
            <w:r>
              <w:t xml:space="preserve">intention </w:t>
            </w:r>
            <w:proofErr w:type="gramStart"/>
            <w:r>
              <w:t>des micro</w:t>
            </w:r>
            <w:proofErr w:type="gramEnd"/>
            <w:r>
              <w:t>, petites et moyennes entreprises.</w:t>
            </w:r>
          </w:p>
          <w:p w14:paraId="5EC79E48" w14:textId="77777777" w:rsidR="00612843" w:rsidRDefault="00136F7A" w:rsidP="00612843">
            <w:pPr>
              <w:pStyle w:val="TableParagraph"/>
              <w:spacing w:after="220"/>
              <w:ind w:left="117"/>
              <w:rPr>
                <w:bCs/>
              </w:rPr>
            </w:pPr>
            <w:r>
              <w:rPr>
                <w:b/>
              </w:rPr>
              <w:t>Activité 4.2</w:t>
            </w:r>
            <w:r w:rsidR="000B28D4">
              <w:rPr>
                <w:b/>
              </w:rPr>
              <w:t> :</w:t>
            </w:r>
            <w:r>
              <w:t xml:space="preserve"> Organiser des ateliers nationaux (au moins deux) sur la médiation et l</w:t>
            </w:r>
            <w:r w:rsidR="000B28D4">
              <w:t>’</w:t>
            </w:r>
            <w:r>
              <w:t>arbitrage dans les industries de la création.</w:t>
            </w:r>
          </w:p>
          <w:p w14:paraId="2B1011DD" w14:textId="77777777" w:rsidR="00612843" w:rsidRDefault="00136F7A" w:rsidP="00612843">
            <w:pPr>
              <w:pStyle w:val="TableParagraph"/>
              <w:spacing w:after="220"/>
              <w:ind w:left="117"/>
              <w:rPr>
                <w:bCs/>
              </w:rPr>
            </w:pPr>
            <w:r>
              <w:rPr>
                <w:b/>
                <w:bCs/>
              </w:rPr>
              <w:t>Réalisation n° 5</w:t>
            </w:r>
            <w:r w:rsidR="000B28D4">
              <w:rPr>
                <w:b/>
                <w:bCs/>
              </w:rPr>
              <w:t> :</w:t>
            </w:r>
            <w:r>
              <w:t xml:space="preserve"> Élaboration d</w:t>
            </w:r>
            <w:r w:rsidR="000B28D4">
              <w:t>’</w:t>
            </w:r>
            <w:r>
              <w:t>une méthode pour mesurer et encourager la participation des femmes dans le secteur audiovisuel, par exemple à travers des paramètres de financement public.</w:t>
            </w:r>
          </w:p>
          <w:p w14:paraId="228A1FBB" w14:textId="77777777" w:rsidR="00612843" w:rsidRDefault="00136F7A" w:rsidP="00612843">
            <w:pPr>
              <w:pStyle w:val="TableParagraph"/>
              <w:spacing w:after="220"/>
              <w:ind w:left="117"/>
            </w:pPr>
            <w:r>
              <w:rPr>
                <w:b/>
              </w:rPr>
              <w:t>Activité 5.1</w:t>
            </w:r>
            <w:r w:rsidR="000B28D4">
              <w:rPr>
                <w:b/>
              </w:rPr>
              <w:t> :</w:t>
            </w:r>
            <w:r>
              <w:t xml:space="preserve"> </w:t>
            </w:r>
            <w:r>
              <w:rPr>
                <w:rStyle w:val="Nenhum"/>
              </w:rPr>
              <w:t>Recenser les initiatives de mesure existantes et élaborer une méthode à l</w:t>
            </w:r>
            <w:r w:rsidR="000B28D4">
              <w:rPr>
                <w:rStyle w:val="Nenhum"/>
              </w:rPr>
              <w:t>’</w:t>
            </w:r>
            <w:r>
              <w:rPr>
                <w:rStyle w:val="Nenhum"/>
              </w:rPr>
              <w:t>usage des gouvernements et des agences audiovisuelles pour mesurer la participation des femmes dans le secteur audiovisuel à des postes clés tels que producteur, scénariste et réalisateur.</w:t>
            </w:r>
          </w:p>
          <w:p w14:paraId="27F0179C" w14:textId="77777777" w:rsidR="00612843" w:rsidRDefault="00136F7A" w:rsidP="00612843">
            <w:pPr>
              <w:pStyle w:val="TableParagraph"/>
              <w:spacing w:after="220"/>
              <w:ind w:left="117"/>
              <w:rPr>
                <w:bCs/>
              </w:rPr>
            </w:pPr>
            <w:r>
              <w:rPr>
                <w:b/>
              </w:rPr>
              <w:t>Réalisation n° 6</w:t>
            </w:r>
            <w:r w:rsidR="000B28D4">
              <w:rPr>
                <w:b/>
              </w:rPr>
              <w:t> :</w:t>
            </w:r>
            <w:r>
              <w:t xml:space="preserve"> Évaluation des possibilités de circulation des actifs de propriété intellectuelle à l</w:t>
            </w:r>
            <w:r w:rsidR="000B28D4">
              <w:t>’</w:t>
            </w:r>
            <w:r>
              <w:t>échelle régionale ou mondiale.</w:t>
            </w:r>
          </w:p>
          <w:p w14:paraId="40C68ADF" w14:textId="77777777" w:rsidR="00136F7A" w:rsidRDefault="00136F7A" w:rsidP="00612843">
            <w:pPr>
              <w:pStyle w:val="TableParagraph"/>
              <w:spacing w:after="220"/>
              <w:ind w:left="117"/>
            </w:pPr>
            <w:r>
              <w:rPr>
                <w:b/>
              </w:rPr>
              <w:t>Activité 6.1</w:t>
            </w:r>
            <w:r w:rsidR="000B28D4">
              <w:rPr>
                <w:b/>
              </w:rPr>
              <w:t> :</w:t>
            </w:r>
            <w:r>
              <w:t xml:space="preserve"> Analyser l</w:t>
            </w:r>
            <w:r w:rsidR="000B28D4">
              <w:t>’</w:t>
            </w:r>
            <w:r>
              <w:t>impact des accords internationaux de coproduction existant dans les pays bénéficiaires et de la commercialisation de la propriété intellectuelle relative au contenu audiovisuel.</w:t>
            </w:r>
          </w:p>
          <w:p w14:paraId="1BCA66A1" w14:textId="77777777" w:rsidR="00136F7A" w:rsidRPr="00384981" w:rsidRDefault="00136F7A" w:rsidP="00612843">
            <w:pPr>
              <w:pStyle w:val="TableParagraph"/>
              <w:spacing w:after="120"/>
              <w:ind w:left="117"/>
            </w:pPr>
            <w:r>
              <w:rPr>
                <w:b/>
              </w:rPr>
              <w:t>Activité 6.2</w:t>
            </w:r>
            <w:r w:rsidR="000B28D4">
              <w:rPr>
                <w:b/>
              </w:rPr>
              <w:t> :</w:t>
            </w:r>
            <w:r>
              <w:t xml:space="preserve"> Organiser un séminaire sur l</w:t>
            </w:r>
            <w:r w:rsidR="000B28D4">
              <w:t>’</w:t>
            </w:r>
            <w:r>
              <w:t>industrie audiovisuelle à l</w:t>
            </w:r>
            <w:r w:rsidR="000B28D4">
              <w:t>’</w:t>
            </w:r>
            <w:r>
              <w:t>ère de la diffusion en continu, en mettant l</w:t>
            </w:r>
            <w:r w:rsidR="000B28D4">
              <w:t>’</w:t>
            </w:r>
            <w:r>
              <w:t>accent sur les possibilités, les défis et les pratiques recommandées concernant la circulation régionale et mondiale des actifs de propriété intellectuelle.</w:t>
            </w:r>
          </w:p>
        </w:tc>
      </w:tr>
      <w:tr w:rsidR="00136F7A" w:rsidRPr="005D72F4" w14:paraId="75449D3F" w14:textId="77777777" w:rsidTr="000364AB">
        <w:trPr>
          <w:trHeight w:val="280"/>
        </w:trPr>
        <w:tc>
          <w:tcPr>
            <w:tcW w:w="9352" w:type="dxa"/>
            <w:gridSpan w:val="2"/>
            <w:shd w:val="clear" w:color="auto" w:fill="00FFCC"/>
          </w:tcPr>
          <w:p w14:paraId="4981025E" w14:textId="77777777" w:rsidR="00136F7A" w:rsidRPr="005D72F4" w:rsidRDefault="00136F7A" w:rsidP="00612843">
            <w:pPr>
              <w:widowControl w:val="0"/>
              <w:numPr>
                <w:ilvl w:val="1"/>
                <w:numId w:val="8"/>
              </w:numPr>
              <w:autoSpaceDE w:val="0"/>
              <w:autoSpaceDN w:val="0"/>
              <w:ind w:left="669" w:hanging="567"/>
              <w:jc w:val="center"/>
              <w:rPr>
                <w:rFonts w:eastAsia="Arial"/>
                <w:b/>
                <w:bCs/>
              </w:rPr>
            </w:pPr>
            <w:r>
              <w:rPr>
                <w:b/>
              </w:rPr>
              <w:lastRenderedPageBreak/>
              <w:t>Indicateurs du projet</w:t>
            </w:r>
          </w:p>
        </w:tc>
      </w:tr>
      <w:tr w:rsidR="00136F7A" w:rsidRPr="005D72F4" w14:paraId="0DD0B223" w14:textId="77777777" w:rsidTr="000364AB">
        <w:trPr>
          <w:trHeight w:val="280"/>
        </w:trPr>
        <w:tc>
          <w:tcPr>
            <w:tcW w:w="4676" w:type="dxa"/>
            <w:shd w:val="clear" w:color="auto" w:fill="auto"/>
          </w:tcPr>
          <w:p w14:paraId="64517691" w14:textId="77777777" w:rsidR="00136F7A" w:rsidRPr="00AB2740" w:rsidRDefault="00136F7A" w:rsidP="000364AB">
            <w:pPr>
              <w:widowControl w:val="0"/>
              <w:autoSpaceDE w:val="0"/>
              <w:autoSpaceDN w:val="0"/>
              <w:spacing w:before="120" w:after="120"/>
              <w:ind w:left="119"/>
              <w:jc w:val="center"/>
              <w:rPr>
                <w:rFonts w:eastAsia="Arial"/>
                <w:bCs/>
                <w:u w:val="single"/>
              </w:rPr>
            </w:pPr>
            <w:r>
              <w:rPr>
                <w:u w:val="single"/>
              </w:rPr>
              <w:t>Objectif du projet</w:t>
            </w:r>
            <w:r w:rsidR="000B28D4" w:rsidRPr="00612843">
              <w:t> :</w:t>
            </w:r>
          </w:p>
          <w:p w14:paraId="243E7C1C" w14:textId="77777777" w:rsidR="00136F7A" w:rsidRPr="009766A5" w:rsidRDefault="00136F7A" w:rsidP="000364AB">
            <w:pPr>
              <w:pStyle w:val="TableParagraph"/>
              <w:ind w:left="120"/>
              <w:rPr>
                <w:bCs/>
              </w:rPr>
            </w:pPr>
            <w:r>
              <w:t>Mieux comprendre l</w:t>
            </w:r>
            <w:r w:rsidR="000B28D4">
              <w:t>’</w:t>
            </w:r>
            <w:r>
              <w:t>utilisation de la propriété intellectuelle pour commercialiser le contenu audiovisuel à l</w:t>
            </w:r>
            <w:r w:rsidR="000B28D4">
              <w:t>’</w:t>
            </w:r>
            <w:r>
              <w:t>ère de la diffusion en continu, tout en s</w:t>
            </w:r>
            <w:r w:rsidR="000B28D4">
              <w:t>’</w:t>
            </w:r>
            <w:r>
              <w:t>appuyant sur les réalisations du projet initial et en relevant les défis postérieurs à la pandémie de COVID</w:t>
            </w:r>
            <w:r w:rsidR="00972809">
              <w:noBreakHyphen/>
            </w:r>
            <w:r>
              <w:t xml:space="preserve">19. </w:t>
            </w:r>
            <w:r w:rsidR="008F25FA">
              <w:t xml:space="preserve"> </w:t>
            </w:r>
          </w:p>
        </w:tc>
        <w:tc>
          <w:tcPr>
            <w:tcW w:w="4676" w:type="dxa"/>
            <w:shd w:val="clear" w:color="auto" w:fill="auto"/>
          </w:tcPr>
          <w:p w14:paraId="0C2BF313" w14:textId="77777777" w:rsidR="00136F7A" w:rsidRPr="00982735" w:rsidRDefault="00136F7A" w:rsidP="000364AB">
            <w:pPr>
              <w:widowControl w:val="0"/>
              <w:autoSpaceDE w:val="0"/>
              <w:autoSpaceDN w:val="0"/>
              <w:spacing w:before="120" w:after="120"/>
              <w:ind w:left="128"/>
              <w:jc w:val="center"/>
              <w:rPr>
                <w:rFonts w:eastAsia="Arial"/>
                <w:bCs/>
                <w:u w:val="single"/>
              </w:rPr>
            </w:pPr>
            <w:r>
              <w:rPr>
                <w:u w:val="single"/>
              </w:rPr>
              <w:t>Indicateurs concernant l</w:t>
            </w:r>
            <w:r w:rsidR="000B28D4">
              <w:rPr>
                <w:u w:val="single"/>
              </w:rPr>
              <w:t>’</w:t>
            </w:r>
            <w:r>
              <w:rPr>
                <w:u w:val="single"/>
              </w:rPr>
              <w:t>objectif</w:t>
            </w:r>
            <w:r w:rsidR="000B28D4" w:rsidRPr="00612843">
              <w:t> :</w:t>
            </w:r>
          </w:p>
          <w:p w14:paraId="0D18DC86" w14:textId="77777777" w:rsidR="00136F7A" w:rsidRPr="008968F2" w:rsidRDefault="00136F7A" w:rsidP="00612843">
            <w:pPr>
              <w:pStyle w:val="ListParagraph"/>
              <w:numPr>
                <w:ilvl w:val="0"/>
                <w:numId w:val="14"/>
              </w:numPr>
              <w:spacing w:before="120" w:after="120"/>
              <w:ind w:left="274" w:hanging="243"/>
            </w:pPr>
            <w:r>
              <w:t>Au moins 70% des participants déclarent mieux comprendre l</w:t>
            </w:r>
            <w:r w:rsidR="000B28D4">
              <w:t>’</w:t>
            </w:r>
            <w:r>
              <w:t>utilisation de la propriété intellectuelle pour commercialiser le contenu audiovisuel à l</w:t>
            </w:r>
            <w:r w:rsidR="000B28D4">
              <w:t>’</w:t>
            </w:r>
            <w:r>
              <w:t>ère de la diffusion en continu à la fin de la mise en œuvre du projet.</w:t>
            </w:r>
          </w:p>
        </w:tc>
      </w:tr>
      <w:tr w:rsidR="00136F7A" w:rsidRPr="005D72F4" w14:paraId="64470F8F" w14:textId="77777777" w:rsidTr="000364AB">
        <w:trPr>
          <w:trHeight w:val="280"/>
        </w:trPr>
        <w:tc>
          <w:tcPr>
            <w:tcW w:w="4676" w:type="dxa"/>
            <w:shd w:val="clear" w:color="auto" w:fill="auto"/>
          </w:tcPr>
          <w:p w14:paraId="1A4E97B3" w14:textId="77777777" w:rsidR="00136F7A" w:rsidRPr="00AB2740" w:rsidRDefault="00136F7A" w:rsidP="00C362C2">
            <w:pPr>
              <w:keepNext/>
              <w:widowControl w:val="0"/>
              <w:autoSpaceDE w:val="0"/>
              <w:autoSpaceDN w:val="0"/>
              <w:spacing w:before="120" w:after="120"/>
              <w:ind w:left="119" w:right="142"/>
              <w:jc w:val="center"/>
              <w:rPr>
                <w:rFonts w:eastAsia="Arial"/>
                <w:bCs/>
                <w:u w:val="single"/>
              </w:rPr>
            </w:pPr>
            <w:r>
              <w:rPr>
                <w:u w:val="single"/>
              </w:rPr>
              <w:lastRenderedPageBreak/>
              <w:t>Résultat du projet</w:t>
            </w:r>
            <w:r w:rsidR="000B28D4" w:rsidRPr="00612843">
              <w:t> :</w:t>
            </w:r>
          </w:p>
          <w:p w14:paraId="541E5D3B" w14:textId="2E9149FE" w:rsidR="00136F7A" w:rsidRPr="00056E8C" w:rsidRDefault="00136F7A" w:rsidP="000364AB">
            <w:pPr>
              <w:widowControl w:val="0"/>
              <w:autoSpaceDE w:val="0"/>
              <w:autoSpaceDN w:val="0"/>
              <w:spacing w:before="120"/>
              <w:ind w:left="115" w:right="144"/>
              <w:rPr>
                <w:iCs/>
              </w:rPr>
            </w:pPr>
            <w:r>
              <w:t xml:space="preserve">Sensibilisation accrue et renforcement des capacités des parties prenantes, notamment </w:t>
            </w:r>
            <w:proofErr w:type="gramStart"/>
            <w:r>
              <w:t>des micro</w:t>
            </w:r>
            <w:proofErr w:type="gramEnd"/>
            <w:r>
              <w:t>, petites et moyennes entreprises et des gouvernements, afin de mieux utiliser et commercialiser la propriété intellectuelle dans le marché audiovisuel, dans les pays participants.</w:t>
            </w:r>
          </w:p>
        </w:tc>
        <w:tc>
          <w:tcPr>
            <w:tcW w:w="4676" w:type="dxa"/>
            <w:shd w:val="clear" w:color="auto" w:fill="auto"/>
          </w:tcPr>
          <w:p w14:paraId="2BEB8AE9" w14:textId="77777777" w:rsidR="00136F7A" w:rsidRPr="00AB2740" w:rsidRDefault="00136F7A" w:rsidP="000364AB">
            <w:pPr>
              <w:widowControl w:val="0"/>
              <w:autoSpaceDE w:val="0"/>
              <w:autoSpaceDN w:val="0"/>
              <w:spacing w:before="120" w:after="120"/>
              <w:ind w:left="128"/>
              <w:jc w:val="center"/>
              <w:rPr>
                <w:rFonts w:eastAsia="Arial"/>
                <w:bCs/>
                <w:u w:val="single"/>
              </w:rPr>
            </w:pPr>
            <w:r>
              <w:rPr>
                <w:u w:val="single"/>
              </w:rPr>
              <w:t>Indicateurs de résultats</w:t>
            </w:r>
            <w:r w:rsidR="000B28D4" w:rsidRPr="00612843">
              <w:t> :</w:t>
            </w:r>
          </w:p>
          <w:p w14:paraId="063CC465" w14:textId="77777777" w:rsidR="00136F7A" w:rsidRPr="007943F4" w:rsidRDefault="00136F7A" w:rsidP="00612843">
            <w:pPr>
              <w:pStyle w:val="ListParagraph"/>
              <w:numPr>
                <w:ilvl w:val="0"/>
                <w:numId w:val="12"/>
              </w:numPr>
              <w:spacing w:before="120" w:after="120"/>
              <w:ind w:left="274" w:right="141" w:hanging="237"/>
            </w:pPr>
            <w:r>
              <w:t>Au moins 60% des participants ayant pris part aux activités prévues dans le cadre du projet indiquent que ce dernier leur a permis d</w:t>
            </w:r>
            <w:r w:rsidR="000B28D4">
              <w:t>’</w:t>
            </w:r>
            <w:r>
              <w:t>améliorer leurs connaissances et leurs compétences et matière d</w:t>
            </w:r>
            <w:r w:rsidR="000B28D4">
              <w:t>’</w:t>
            </w:r>
            <w:r>
              <w:t>utilisation et de commercialisation de la propriété intellectuelle sur le marché audiovisuel dans l</w:t>
            </w:r>
            <w:r w:rsidR="000B28D4">
              <w:t>’</w:t>
            </w:r>
            <w:r>
              <w:t>environnement numérique.</w:t>
            </w:r>
          </w:p>
        </w:tc>
      </w:tr>
      <w:tr w:rsidR="00136F7A" w:rsidRPr="005D72F4" w14:paraId="0F94C415" w14:textId="77777777" w:rsidTr="000364AB">
        <w:trPr>
          <w:trHeight w:val="280"/>
        </w:trPr>
        <w:tc>
          <w:tcPr>
            <w:tcW w:w="4676" w:type="dxa"/>
            <w:shd w:val="clear" w:color="auto" w:fill="auto"/>
          </w:tcPr>
          <w:p w14:paraId="152CDBFC" w14:textId="77777777" w:rsidR="00136F7A" w:rsidRPr="00AB2740" w:rsidRDefault="00136F7A" w:rsidP="000364AB">
            <w:pPr>
              <w:widowControl w:val="0"/>
              <w:autoSpaceDE w:val="0"/>
              <w:autoSpaceDN w:val="0"/>
              <w:spacing w:before="120" w:after="120"/>
              <w:ind w:left="119"/>
              <w:jc w:val="center"/>
              <w:rPr>
                <w:rFonts w:eastAsia="Arial"/>
                <w:bCs/>
                <w:u w:val="single"/>
              </w:rPr>
            </w:pPr>
            <w:r>
              <w:rPr>
                <w:u w:val="single"/>
              </w:rPr>
              <w:t>Résultats du projet</w:t>
            </w:r>
            <w:r w:rsidR="000B28D4" w:rsidRPr="00612843">
              <w:t> :</w:t>
            </w:r>
          </w:p>
          <w:p w14:paraId="75000FC3" w14:textId="77777777" w:rsidR="00136F7A" w:rsidRPr="00D47999" w:rsidRDefault="00136F7A" w:rsidP="000364AB">
            <w:pPr>
              <w:widowControl w:val="0"/>
              <w:autoSpaceDE w:val="0"/>
              <w:autoSpaceDN w:val="0"/>
              <w:spacing w:before="120"/>
              <w:ind w:left="115" w:right="58"/>
              <w:rPr>
                <w:bCs/>
              </w:rPr>
            </w:pPr>
            <w:r>
              <w:t>Identification des pratiques, des opportunités et des défis au niveau national, en rapport avec la commercialisation de la propriété intellectuelle sur le marché de l</w:t>
            </w:r>
            <w:r w:rsidR="000B28D4">
              <w:t>’</w:t>
            </w:r>
            <w:r>
              <w:t>audiovisuel dans les pays participants.</w:t>
            </w:r>
          </w:p>
        </w:tc>
        <w:tc>
          <w:tcPr>
            <w:tcW w:w="4676" w:type="dxa"/>
            <w:shd w:val="clear" w:color="auto" w:fill="auto"/>
          </w:tcPr>
          <w:p w14:paraId="1E69950B" w14:textId="77777777" w:rsidR="00136F7A" w:rsidRPr="00AB2740" w:rsidRDefault="00136F7A" w:rsidP="000364AB">
            <w:pPr>
              <w:widowControl w:val="0"/>
              <w:tabs>
                <w:tab w:val="left" w:pos="4147"/>
              </w:tabs>
              <w:autoSpaceDE w:val="0"/>
              <w:autoSpaceDN w:val="0"/>
              <w:spacing w:before="120" w:after="120"/>
              <w:ind w:left="130" w:right="216"/>
              <w:jc w:val="center"/>
              <w:rPr>
                <w:rFonts w:eastAsia="Arial"/>
                <w:bCs/>
                <w:u w:val="single"/>
              </w:rPr>
            </w:pPr>
            <w:r>
              <w:rPr>
                <w:u w:val="single"/>
              </w:rPr>
              <w:t>Indicateurs de réalisations</w:t>
            </w:r>
            <w:r w:rsidR="000B28D4" w:rsidRPr="00612843">
              <w:t> :</w:t>
            </w:r>
          </w:p>
          <w:p w14:paraId="53877B5F" w14:textId="77777777" w:rsidR="00136F7A" w:rsidRPr="002D6360" w:rsidRDefault="00136F7A" w:rsidP="00612843">
            <w:pPr>
              <w:pStyle w:val="ListParagraph"/>
              <w:numPr>
                <w:ilvl w:val="0"/>
                <w:numId w:val="13"/>
              </w:numPr>
              <w:spacing w:before="120" w:after="120"/>
              <w:ind w:left="274" w:right="135" w:hanging="237"/>
              <w:rPr>
                <w:bCs/>
                <w:u w:val="single"/>
              </w:rPr>
            </w:pPr>
            <w:r>
              <w:t>Compilation des pratiques, des opportunités et des défis au niveau national, validés par les coordonnateurs des pays bénéficiaires et le Secrétariat de l</w:t>
            </w:r>
            <w:r w:rsidR="000B28D4">
              <w:t>’</w:t>
            </w:r>
            <w:r>
              <w:t>OMPI.</w:t>
            </w:r>
          </w:p>
        </w:tc>
      </w:tr>
      <w:tr w:rsidR="00136F7A" w:rsidRPr="005D72F4" w14:paraId="0BC255E8" w14:textId="77777777" w:rsidTr="000364AB">
        <w:trPr>
          <w:trHeight w:val="280"/>
        </w:trPr>
        <w:tc>
          <w:tcPr>
            <w:tcW w:w="4676" w:type="dxa"/>
            <w:shd w:val="clear" w:color="auto" w:fill="auto"/>
          </w:tcPr>
          <w:p w14:paraId="59330191" w14:textId="77777777" w:rsidR="00136F7A" w:rsidRPr="00056E8C" w:rsidRDefault="00136F7A" w:rsidP="000364AB">
            <w:pPr>
              <w:pStyle w:val="TableParagraph"/>
              <w:spacing w:before="120" w:after="120"/>
              <w:ind w:left="119" w:right="141"/>
            </w:pPr>
            <w:r>
              <w:t>Formation des spécialistes et des créateurs de l</w:t>
            </w:r>
            <w:r w:rsidR="000B28D4">
              <w:t>’</w:t>
            </w:r>
            <w:r>
              <w:t>industrie audiovisuelle à la protection et à la gestion efficaces des actifs de propriété intellectuelle en vue de leur commercialisation.</w:t>
            </w:r>
          </w:p>
        </w:tc>
        <w:tc>
          <w:tcPr>
            <w:tcW w:w="4676" w:type="dxa"/>
            <w:shd w:val="clear" w:color="auto" w:fill="auto"/>
          </w:tcPr>
          <w:p w14:paraId="14CFEA66" w14:textId="77777777" w:rsidR="00136F7A" w:rsidRPr="000E6020" w:rsidRDefault="00136F7A" w:rsidP="00612843">
            <w:pPr>
              <w:pStyle w:val="ListParagraph"/>
              <w:numPr>
                <w:ilvl w:val="0"/>
                <w:numId w:val="13"/>
              </w:numPr>
              <w:spacing w:before="120" w:after="120"/>
              <w:ind w:left="274" w:right="135" w:hanging="237"/>
              <w:rPr>
                <w:b/>
                <w:bCs/>
                <w:u w:val="single"/>
              </w:rPr>
            </w:pPr>
            <w:r>
              <w:t>Au moins quatre</w:t>
            </w:r>
            <w:r w:rsidR="008F25FA">
              <w:t> </w:t>
            </w:r>
            <w:r>
              <w:t>ateliers de formation pratique organisés à l</w:t>
            </w:r>
            <w:r w:rsidR="000B28D4">
              <w:t>’</w:t>
            </w:r>
            <w:r>
              <w:t xml:space="preserve">intention </w:t>
            </w:r>
            <w:proofErr w:type="gramStart"/>
            <w:r>
              <w:t>des micro</w:t>
            </w:r>
            <w:proofErr w:type="gramEnd"/>
            <w:r>
              <w:t>, petites et moyennes entreprises et des créateurs dans les pays participants.</w:t>
            </w:r>
          </w:p>
          <w:p w14:paraId="076012EA" w14:textId="77777777" w:rsidR="00136F7A" w:rsidRPr="000E6020" w:rsidRDefault="00136F7A" w:rsidP="00612843">
            <w:pPr>
              <w:pStyle w:val="ListParagraph"/>
              <w:numPr>
                <w:ilvl w:val="0"/>
                <w:numId w:val="13"/>
              </w:numPr>
              <w:spacing w:before="120" w:after="120"/>
              <w:ind w:left="274" w:right="135" w:hanging="237"/>
              <w:rPr>
                <w:b/>
                <w:bCs/>
                <w:u w:val="single"/>
              </w:rPr>
            </w:pPr>
            <w:r>
              <w:t>Au moins 60% des participants ont indiqué que les ateliers leur avaient permis d</w:t>
            </w:r>
            <w:r w:rsidR="000B28D4">
              <w:t>’</w:t>
            </w:r>
            <w:r>
              <w:t xml:space="preserve">améliorer leurs connaissances et leurs compétences. </w:t>
            </w:r>
            <w:r w:rsidR="008F25FA">
              <w:t xml:space="preserve"> </w:t>
            </w:r>
          </w:p>
        </w:tc>
      </w:tr>
      <w:tr w:rsidR="00136F7A" w:rsidRPr="005D72F4" w14:paraId="2500A819" w14:textId="77777777" w:rsidTr="000364AB">
        <w:trPr>
          <w:trHeight w:val="280"/>
        </w:trPr>
        <w:tc>
          <w:tcPr>
            <w:tcW w:w="4676" w:type="dxa"/>
            <w:shd w:val="clear" w:color="auto" w:fill="FFFFFF" w:themeFill="background1"/>
          </w:tcPr>
          <w:p w14:paraId="39664FEB" w14:textId="77777777" w:rsidR="00136F7A" w:rsidRPr="00F8661A" w:rsidRDefault="00136F7A" w:rsidP="000364AB">
            <w:pPr>
              <w:pStyle w:val="TableParagraph"/>
              <w:spacing w:before="120" w:after="120"/>
              <w:ind w:left="119" w:right="141"/>
            </w:pPr>
            <w:r>
              <w:t>Évaluation des perspectives de l</w:t>
            </w:r>
            <w:r w:rsidR="000B28D4">
              <w:t>’</w:t>
            </w:r>
            <w:r>
              <w:t>industrie audiovisuelle afin d</w:t>
            </w:r>
            <w:r w:rsidR="000B28D4">
              <w:t>’</w:t>
            </w:r>
            <w:r>
              <w:t>anticiper les changements et les tendances qui affecteront l</w:t>
            </w:r>
            <w:r w:rsidR="000B28D4">
              <w:t>’</w:t>
            </w:r>
            <w:r>
              <w:t>utilisation de la propriété intellectuelle sur le marché de l</w:t>
            </w:r>
            <w:r w:rsidR="000B28D4">
              <w:t>’</w:t>
            </w:r>
            <w:r>
              <w:t>audiovisuel.</w:t>
            </w:r>
          </w:p>
        </w:tc>
        <w:tc>
          <w:tcPr>
            <w:tcW w:w="4676" w:type="dxa"/>
            <w:shd w:val="clear" w:color="auto" w:fill="FFFFFF" w:themeFill="background1"/>
          </w:tcPr>
          <w:p w14:paraId="2514AB69" w14:textId="77777777" w:rsidR="00136F7A" w:rsidRDefault="00136F7A" w:rsidP="00612843">
            <w:pPr>
              <w:pStyle w:val="TableParagraph"/>
              <w:numPr>
                <w:ilvl w:val="0"/>
                <w:numId w:val="13"/>
              </w:numPr>
              <w:spacing w:before="120" w:after="120"/>
              <w:ind w:left="274" w:right="175" w:hanging="237"/>
              <w:rPr>
                <w:iCs/>
              </w:rPr>
            </w:pPr>
            <w:r>
              <w:rPr>
                <w:rStyle w:val="Nenhum"/>
              </w:rPr>
              <w:t>Un examen des marchés actuels de licences et des structures de gestion des droits liés à l</w:t>
            </w:r>
            <w:r w:rsidR="000B28D4">
              <w:rPr>
                <w:rStyle w:val="Nenhum"/>
              </w:rPr>
              <w:t>’</w:t>
            </w:r>
            <w:r>
              <w:rPr>
                <w:rStyle w:val="Nenhum"/>
              </w:rPr>
              <w:t>utilisation d</w:t>
            </w:r>
            <w:r w:rsidR="000B28D4">
              <w:rPr>
                <w:rStyle w:val="Nenhum"/>
              </w:rPr>
              <w:t>’</w:t>
            </w:r>
            <w:r>
              <w:rPr>
                <w:rStyle w:val="Nenhum"/>
              </w:rPr>
              <w:t>œuvres audiovisuelles et de systèmes d</w:t>
            </w:r>
            <w:r w:rsidR="000B28D4">
              <w:rPr>
                <w:rStyle w:val="Nenhum"/>
              </w:rPr>
              <w:t>’</w:t>
            </w:r>
            <w:r>
              <w:rPr>
                <w:rStyle w:val="Nenhum"/>
              </w:rPr>
              <w:t xml:space="preserve">intelligence artificielle, </w:t>
            </w:r>
            <w:r w:rsidR="000B28D4">
              <w:rPr>
                <w:rStyle w:val="Nenhum"/>
              </w:rPr>
              <w:t>y compris</w:t>
            </w:r>
            <w:r>
              <w:rPr>
                <w:rStyle w:val="Nenhum"/>
              </w:rPr>
              <w:t xml:space="preserve"> la commercialisation d</w:t>
            </w:r>
            <w:r w:rsidR="000B28D4">
              <w:rPr>
                <w:rStyle w:val="Nenhum"/>
              </w:rPr>
              <w:t>’</w:t>
            </w:r>
            <w:r>
              <w:rPr>
                <w:rStyle w:val="Nenhum"/>
              </w:rPr>
              <w:t>œuvres audiovisuelles en relation avec l</w:t>
            </w:r>
            <w:r w:rsidR="000B28D4">
              <w:rPr>
                <w:rStyle w:val="Nenhum"/>
              </w:rPr>
              <w:t>’</w:t>
            </w:r>
            <w:r>
              <w:rPr>
                <w:rStyle w:val="Nenhum"/>
              </w:rPr>
              <w:t>intelligence artificielle, et l</w:t>
            </w:r>
            <w:r w:rsidR="000B28D4">
              <w:rPr>
                <w:rStyle w:val="Nenhum"/>
              </w:rPr>
              <w:t>’</w:t>
            </w:r>
            <w:r>
              <w:rPr>
                <w:rStyle w:val="Nenhum"/>
              </w:rPr>
              <w:t>accessibilité de ces marchés par les micro, petites et moyennes entreprises et les créateurs locaux, ainsi qu</w:t>
            </w:r>
            <w:r w:rsidR="000B28D4">
              <w:rPr>
                <w:rStyle w:val="Nenhum"/>
              </w:rPr>
              <w:t>’</w:t>
            </w:r>
            <w:r>
              <w:rPr>
                <w:rStyle w:val="Nenhum"/>
              </w:rPr>
              <w:t>une évaluation préliminaire permettant de cerner les questions liées au droit d</w:t>
            </w:r>
            <w:r w:rsidR="000B28D4">
              <w:rPr>
                <w:rStyle w:val="Nenhum"/>
              </w:rPr>
              <w:t>’</w:t>
            </w:r>
            <w:r>
              <w:rPr>
                <w:rStyle w:val="Nenhum"/>
              </w:rPr>
              <w:t>auteur qui impliquent l</w:t>
            </w:r>
            <w:r w:rsidR="000B28D4">
              <w:rPr>
                <w:rStyle w:val="Nenhum"/>
              </w:rPr>
              <w:t>’</w:t>
            </w:r>
            <w:r>
              <w:rPr>
                <w:rStyle w:val="Nenhum"/>
              </w:rPr>
              <w:t>utilisation de nouvelles technologies.</w:t>
            </w:r>
          </w:p>
        </w:tc>
      </w:tr>
      <w:tr w:rsidR="00136F7A" w:rsidRPr="005D72F4" w14:paraId="7E7F9E64" w14:textId="77777777" w:rsidTr="000364AB">
        <w:trPr>
          <w:trHeight w:val="280"/>
        </w:trPr>
        <w:tc>
          <w:tcPr>
            <w:tcW w:w="4676" w:type="dxa"/>
            <w:shd w:val="clear" w:color="auto" w:fill="auto"/>
          </w:tcPr>
          <w:p w14:paraId="253D8F77" w14:textId="77777777" w:rsidR="00136F7A" w:rsidRPr="009766A5" w:rsidRDefault="00136F7A" w:rsidP="000364AB">
            <w:pPr>
              <w:widowControl w:val="0"/>
              <w:autoSpaceDE w:val="0"/>
              <w:autoSpaceDN w:val="0"/>
              <w:spacing w:before="120" w:after="120"/>
              <w:ind w:left="119"/>
            </w:pPr>
            <w:r>
              <w:t>Mise au point d</w:t>
            </w:r>
            <w:r w:rsidR="000B28D4">
              <w:t>’</w:t>
            </w:r>
            <w:r>
              <w:t xml:space="preserve">outils pour </w:t>
            </w:r>
            <w:proofErr w:type="gramStart"/>
            <w:r>
              <w:t>les micro</w:t>
            </w:r>
            <w:proofErr w:type="gramEnd"/>
            <w:r>
              <w:t>, petites et moyennes entreprises en vue de la commercialisation de leurs actifs de propriété intellectuelle sur le marché mondial.</w:t>
            </w:r>
          </w:p>
        </w:tc>
        <w:tc>
          <w:tcPr>
            <w:tcW w:w="4676" w:type="dxa"/>
            <w:shd w:val="clear" w:color="auto" w:fill="auto"/>
          </w:tcPr>
          <w:p w14:paraId="45B58D8A" w14:textId="77777777" w:rsidR="00136F7A" w:rsidRPr="009E621F" w:rsidRDefault="00136F7A" w:rsidP="00612843">
            <w:pPr>
              <w:pStyle w:val="TableParagraph"/>
              <w:numPr>
                <w:ilvl w:val="0"/>
                <w:numId w:val="13"/>
              </w:numPr>
              <w:spacing w:before="120" w:after="120"/>
              <w:ind w:left="274" w:right="175" w:hanging="237"/>
              <w:rPr>
                <w:iCs/>
              </w:rPr>
            </w:pPr>
            <w:r>
              <w:t>Un guide de référence pour l</w:t>
            </w:r>
            <w:r w:rsidR="000B28D4">
              <w:t>’</w:t>
            </w:r>
            <w:r>
              <w:t>utilisation et la commercialisation de la propriété intellectuelle dans la production audiovisuelle à l</w:t>
            </w:r>
            <w:r w:rsidR="000B28D4">
              <w:t>’</w:t>
            </w:r>
            <w:r>
              <w:t xml:space="preserve">intention </w:t>
            </w:r>
            <w:proofErr w:type="gramStart"/>
            <w:r>
              <w:t>des micro</w:t>
            </w:r>
            <w:proofErr w:type="gramEnd"/>
            <w:r>
              <w:t>, petites et moyennes entreprises, établi et validé par les coordonnateurs des pays bénéficiaires et le Secrétariat de l</w:t>
            </w:r>
            <w:r w:rsidR="000B28D4">
              <w:t>’</w:t>
            </w:r>
            <w:r>
              <w:t>OMPI.</w:t>
            </w:r>
          </w:p>
          <w:p w14:paraId="6103C1A5" w14:textId="77777777" w:rsidR="00136F7A" w:rsidRPr="007D5353" w:rsidRDefault="00136F7A" w:rsidP="00612843">
            <w:pPr>
              <w:pStyle w:val="TableParagraph"/>
              <w:numPr>
                <w:ilvl w:val="0"/>
                <w:numId w:val="13"/>
              </w:numPr>
              <w:spacing w:before="120" w:after="120"/>
              <w:ind w:left="274" w:right="175" w:hanging="237"/>
              <w:rPr>
                <w:iCs/>
              </w:rPr>
            </w:pPr>
            <w:r>
              <w:t>Au moins deux</w:t>
            </w:r>
            <w:r w:rsidR="008F25FA">
              <w:t> </w:t>
            </w:r>
            <w:r>
              <w:t>ateliers nationaux organisés sur la médiation et l</w:t>
            </w:r>
            <w:r w:rsidR="000B28D4">
              <w:t>’</w:t>
            </w:r>
            <w:r>
              <w:t>arbitrage dans les industries de la création.</w:t>
            </w:r>
          </w:p>
          <w:p w14:paraId="6828C0F6" w14:textId="77777777" w:rsidR="00136F7A" w:rsidRPr="00790736" w:rsidRDefault="00136F7A" w:rsidP="00612843">
            <w:pPr>
              <w:pStyle w:val="TableParagraph"/>
              <w:keepNext/>
              <w:keepLines/>
              <w:numPr>
                <w:ilvl w:val="0"/>
                <w:numId w:val="13"/>
              </w:numPr>
              <w:spacing w:before="120" w:after="120"/>
              <w:ind w:left="274" w:right="175" w:hanging="237"/>
              <w:rPr>
                <w:iCs/>
              </w:rPr>
            </w:pPr>
            <w:r>
              <w:lastRenderedPageBreak/>
              <w:t>Au moins 60% des participants ont jugé utiles les informations fournies dans le cadre des ateliers nationaux.</w:t>
            </w:r>
          </w:p>
        </w:tc>
      </w:tr>
      <w:tr w:rsidR="00136F7A" w:rsidRPr="005D72F4" w14:paraId="5D65B18D" w14:textId="77777777" w:rsidTr="000364AB">
        <w:trPr>
          <w:trHeight w:val="280"/>
        </w:trPr>
        <w:tc>
          <w:tcPr>
            <w:tcW w:w="4676" w:type="dxa"/>
            <w:shd w:val="clear" w:color="auto" w:fill="auto"/>
          </w:tcPr>
          <w:p w14:paraId="00EC5A4B" w14:textId="77777777" w:rsidR="00136F7A" w:rsidRPr="00E432CD" w:rsidRDefault="00136F7A" w:rsidP="000364AB">
            <w:pPr>
              <w:widowControl w:val="0"/>
              <w:autoSpaceDE w:val="0"/>
              <w:autoSpaceDN w:val="0"/>
              <w:spacing w:before="120" w:after="120"/>
              <w:ind w:left="119"/>
              <w:rPr>
                <w:bCs/>
              </w:rPr>
            </w:pPr>
            <w:r>
              <w:lastRenderedPageBreak/>
              <w:t>Élaboration d</w:t>
            </w:r>
            <w:r w:rsidR="000B28D4">
              <w:t>’</w:t>
            </w:r>
            <w:r>
              <w:t>une méthode pour mesurer et encourager la participation des femmes dans le secteur audiovisuel, par exemple à travers des paramètres de financement public.</w:t>
            </w:r>
          </w:p>
        </w:tc>
        <w:tc>
          <w:tcPr>
            <w:tcW w:w="4676" w:type="dxa"/>
            <w:shd w:val="clear" w:color="auto" w:fill="auto"/>
          </w:tcPr>
          <w:p w14:paraId="06509B62" w14:textId="77777777" w:rsidR="00136F7A" w:rsidRDefault="00136F7A" w:rsidP="00612843">
            <w:pPr>
              <w:pStyle w:val="TableParagraph"/>
              <w:numPr>
                <w:ilvl w:val="0"/>
                <w:numId w:val="13"/>
              </w:numPr>
              <w:spacing w:before="120" w:after="120"/>
              <w:ind w:left="274" w:right="175" w:hanging="237"/>
              <w:rPr>
                <w:iCs/>
              </w:rPr>
            </w:pPr>
            <w:r>
              <w:t>Une méthode élaborée pour mesurer la participation des femmes dans le secteur audiovisuel, validée par les coordonnateurs des pays bénéficiaires et le Secrétariat de l</w:t>
            </w:r>
            <w:r w:rsidR="000B28D4">
              <w:t>’</w:t>
            </w:r>
            <w:r>
              <w:t>OMPI.</w:t>
            </w:r>
          </w:p>
        </w:tc>
      </w:tr>
      <w:tr w:rsidR="00136F7A" w:rsidRPr="005D72F4" w14:paraId="78267BC9" w14:textId="77777777" w:rsidTr="000364AB">
        <w:trPr>
          <w:trHeight w:val="280"/>
        </w:trPr>
        <w:tc>
          <w:tcPr>
            <w:tcW w:w="4676" w:type="dxa"/>
            <w:shd w:val="clear" w:color="auto" w:fill="auto"/>
          </w:tcPr>
          <w:p w14:paraId="21596757" w14:textId="77777777" w:rsidR="00136F7A" w:rsidRDefault="00136F7A" w:rsidP="000364AB">
            <w:pPr>
              <w:widowControl w:val="0"/>
              <w:autoSpaceDE w:val="0"/>
              <w:autoSpaceDN w:val="0"/>
              <w:spacing w:before="120" w:after="120"/>
              <w:ind w:left="119"/>
              <w:rPr>
                <w:bCs/>
              </w:rPr>
            </w:pPr>
            <w:r>
              <w:t>Évaluation des possibilités de circulation des actifs de propriété intellectuelle à l</w:t>
            </w:r>
            <w:r w:rsidR="000B28D4">
              <w:t>’</w:t>
            </w:r>
            <w:r>
              <w:t>échelle régionale ou mondiale.</w:t>
            </w:r>
          </w:p>
        </w:tc>
        <w:tc>
          <w:tcPr>
            <w:tcW w:w="4676" w:type="dxa"/>
            <w:shd w:val="clear" w:color="auto" w:fill="auto"/>
          </w:tcPr>
          <w:p w14:paraId="7DDE4B85" w14:textId="77777777" w:rsidR="00136F7A" w:rsidRPr="00B577E2" w:rsidRDefault="00136F7A" w:rsidP="00612843">
            <w:pPr>
              <w:pStyle w:val="TableParagraph"/>
              <w:numPr>
                <w:ilvl w:val="0"/>
                <w:numId w:val="13"/>
              </w:numPr>
              <w:spacing w:before="120" w:after="120"/>
              <w:ind w:left="274" w:right="175" w:hanging="237"/>
              <w:rPr>
                <w:iCs/>
              </w:rPr>
            </w:pPr>
            <w:r>
              <w:t>Rapport contenant une analyse de l</w:t>
            </w:r>
            <w:r w:rsidR="000B28D4">
              <w:t>’</w:t>
            </w:r>
            <w:r>
              <w:t>impact des accords internationaux de coproduction existant dans les pays bénéficiaires et de la commercialisation de la propriété intellectuelle relative au contenu audiovisuel, établi et validé par les coordonnateurs des pays bénéficiaires et le Secrétariat de l</w:t>
            </w:r>
            <w:r w:rsidR="000B28D4">
              <w:t>’</w:t>
            </w:r>
            <w:r>
              <w:t>OMPI.</w:t>
            </w:r>
          </w:p>
          <w:p w14:paraId="54042221" w14:textId="77777777" w:rsidR="00136F7A" w:rsidRPr="00B577E2" w:rsidRDefault="00136F7A" w:rsidP="00612843">
            <w:pPr>
              <w:pStyle w:val="TableParagraph"/>
              <w:numPr>
                <w:ilvl w:val="0"/>
                <w:numId w:val="13"/>
              </w:numPr>
              <w:spacing w:before="120" w:after="120"/>
              <w:ind w:left="274" w:right="175" w:hanging="237"/>
              <w:rPr>
                <w:iCs/>
              </w:rPr>
            </w:pPr>
            <w:r>
              <w:t>Séminaire organisé avec succès, mettant l</w:t>
            </w:r>
            <w:r w:rsidR="000B28D4">
              <w:t>’</w:t>
            </w:r>
            <w:r>
              <w:t>accent sur les possibilités, les défis et les pratiques recommandées concernant la circulation régionale et mondiale des actifs de propriété intellectuelle.</w:t>
            </w:r>
          </w:p>
          <w:p w14:paraId="3D9E2CB9" w14:textId="77777777" w:rsidR="00136F7A" w:rsidRPr="00E60739" w:rsidRDefault="00136F7A" w:rsidP="00612843">
            <w:pPr>
              <w:pStyle w:val="TableParagraph"/>
              <w:numPr>
                <w:ilvl w:val="0"/>
                <w:numId w:val="13"/>
              </w:numPr>
              <w:spacing w:before="120" w:after="120"/>
              <w:ind w:left="274" w:right="175" w:hanging="237"/>
              <w:rPr>
                <w:iCs/>
              </w:rPr>
            </w:pPr>
            <w:r>
              <w:t>Au moins 60% des participants ont estimé que les informations relatives à la circulation régionale et mondiale des actifs de propriété intellectuelle fournies lors du séminaire étaient utiles et applicables à leurs secteurs respectifs.</w:t>
            </w:r>
          </w:p>
        </w:tc>
      </w:tr>
      <w:tr w:rsidR="00136F7A" w:rsidRPr="005D72F4" w14:paraId="64FA6B78" w14:textId="77777777" w:rsidTr="000364AB">
        <w:trPr>
          <w:trHeight w:val="280"/>
        </w:trPr>
        <w:tc>
          <w:tcPr>
            <w:tcW w:w="9352" w:type="dxa"/>
            <w:gridSpan w:val="2"/>
            <w:shd w:val="clear" w:color="auto" w:fill="00FFCC"/>
          </w:tcPr>
          <w:p w14:paraId="7767D244" w14:textId="77777777" w:rsidR="00136F7A" w:rsidRPr="005D72F4" w:rsidRDefault="00136F7A" w:rsidP="00612843">
            <w:pPr>
              <w:widowControl w:val="0"/>
              <w:numPr>
                <w:ilvl w:val="1"/>
                <w:numId w:val="8"/>
              </w:numPr>
              <w:autoSpaceDE w:val="0"/>
              <w:autoSpaceDN w:val="0"/>
              <w:ind w:left="669" w:hanging="567"/>
              <w:jc w:val="center"/>
              <w:rPr>
                <w:rFonts w:eastAsia="Arial"/>
                <w:b/>
                <w:bCs/>
              </w:rPr>
            </w:pPr>
            <w:r>
              <w:rPr>
                <w:b/>
              </w:rPr>
              <w:t>Stratégie de pérennisation</w:t>
            </w:r>
          </w:p>
        </w:tc>
      </w:tr>
      <w:tr w:rsidR="00136F7A" w:rsidRPr="005D72F4" w14:paraId="01891E95" w14:textId="77777777" w:rsidTr="000364AB">
        <w:trPr>
          <w:trHeight w:val="370"/>
        </w:trPr>
        <w:tc>
          <w:tcPr>
            <w:tcW w:w="9352" w:type="dxa"/>
            <w:gridSpan w:val="2"/>
          </w:tcPr>
          <w:p w14:paraId="75F9C2AB" w14:textId="77777777" w:rsidR="00136F7A" w:rsidRDefault="00136F7A" w:rsidP="00612843">
            <w:pPr>
              <w:pStyle w:val="TableParagraph"/>
              <w:spacing w:after="220"/>
              <w:ind w:left="110"/>
            </w:pPr>
            <w:r>
              <w:t>Afin de pérenniser les résultats du projet, tous les supports et outils mis au point dans le cadre du projet (projet initial et phase II) seront mis à disposition sur le site</w:t>
            </w:r>
            <w:r w:rsidR="008F25FA">
              <w:t> </w:t>
            </w:r>
            <w:r>
              <w:t>Web de l</w:t>
            </w:r>
            <w:r w:rsidR="000B28D4">
              <w:t>’</w:t>
            </w:r>
            <w:r>
              <w:t>O</w:t>
            </w:r>
            <w:r w:rsidR="00972809">
              <w:t>MPI.  Il</w:t>
            </w:r>
            <w:r>
              <w:t>s seront également présentés aux autres États membres à l</w:t>
            </w:r>
            <w:r w:rsidR="000B28D4">
              <w:t>’</w:t>
            </w:r>
            <w:r>
              <w:t>occasion de réunions</w:t>
            </w:r>
            <w:r w:rsidR="000B28D4">
              <w:t xml:space="preserve"> du CDI</w:t>
            </w:r>
            <w:r>
              <w:t>P et de séances d</w:t>
            </w:r>
            <w:r w:rsidR="000B28D4">
              <w:t>’</w:t>
            </w:r>
            <w:r>
              <w:t>informati</w:t>
            </w:r>
            <w:r w:rsidR="00972809">
              <w:t>on.  Le</w:t>
            </w:r>
            <w:r>
              <w:t>s États membres bénéficiaires sont également vivement encouragés à mettre ces produits à disposition en vue de leur utilisation par le public.</w:t>
            </w:r>
          </w:p>
          <w:p w14:paraId="09ADFF6E" w14:textId="77777777" w:rsidR="000B28D4" w:rsidRDefault="00136F7A" w:rsidP="00612843">
            <w:pPr>
              <w:pStyle w:val="TableParagraph"/>
              <w:spacing w:after="220"/>
              <w:ind w:left="110"/>
            </w:pPr>
            <w:r>
              <w:t>En outre, la méthode d</w:t>
            </w:r>
            <w:r w:rsidR="000B28D4">
              <w:t>’</w:t>
            </w:r>
            <w:r>
              <w:t>organisation des ateliers de formation pratique sera élaborée de manière à permettre aux gouvernements locaux et aux parties prenantes de continuer d</w:t>
            </w:r>
            <w:r w:rsidR="000B28D4">
              <w:t>’</w:t>
            </w:r>
            <w:r>
              <w:t>organiser des formations similaires.</w:t>
            </w:r>
          </w:p>
          <w:p w14:paraId="732CC240" w14:textId="77777777" w:rsidR="00136F7A" w:rsidRDefault="00136F7A" w:rsidP="00612843">
            <w:pPr>
              <w:widowControl w:val="0"/>
              <w:autoSpaceDE w:val="0"/>
              <w:autoSpaceDN w:val="0"/>
              <w:spacing w:before="120" w:after="220"/>
              <w:ind w:left="115" w:right="130"/>
            </w:pPr>
            <w:r>
              <w:t>Il sera procédé à des mises à jour de la stratégie de pérennisation durant la mise en œuvre du projet.</w:t>
            </w:r>
          </w:p>
          <w:p w14:paraId="1725004C" w14:textId="77777777" w:rsidR="00136F7A" w:rsidRPr="005D72F4" w:rsidRDefault="00136F7A" w:rsidP="000364AB">
            <w:pPr>
              <w:widowControl w:val="0"/>
              <w:autoSpaceDE w:val="0"/>
              <w:autoSpaceDN w:val="0"/>
              <w:spacing w:before="120" w:after="120"/>
              <w:ind w:left="115" w:right="130"/>
              <w:rPr>
                <w:rFonts w:eastAsia="Arial"/>
              </w:rPr>
            </w:pPr>
            <w:r>
              <w:t>En outre, dans le cadre de la mise en œuvre du projet, les gouvernements des pays bénéficiaires et les parties prenantes locales seront aidés à établir des partenariats afin de garantir la durabilité à long terme des résultats obten</w:t>
            </w:r>
            <w:r w:rsidR="00972809">
              <w:t>us.  De</w:t>
            </w:r>
            <w:r>
              <w:t>s exemples de ces partenariats, issus de la première phase du projet, seraient l</w:t>
            </w:r>
            <w:r w:rsidR="000B28D4">
              <w:t>’</w:t>
            </w:r>
            <w:r>
              <w:t>inclusion, dans le programme des grands événements de l</w:t>
            </w:r>
            <w:r w:rsidR="000B28D4">
              <w:t>’</w:t>
            </w:r>
            <w:r>
              <w:t>industrie audiovisuelle dans les pays bénéficiaires, d</w:t>
            </w:r>
            <w:r w:rsidR="000B28D4">
              <w:t>’</w:t>
            </w:r>
            <w:r>
              <w:t>ateliers de formation par des institutions qui travaillent sur le terrain avec les industries de la création.</w:t>
            </w:r>
          </w:p>
        </w:tc>
      </w:tr>
      <w:tr w:rsidR="00136F7A" w:rsidRPr="005D72F4" w14:paraId="7B6E4836" w14:textId="77777777" w:rsidTr="000364AB">
        <w:trPr>
          <w:trHeight w:val="253"/>
        </w:trPr>
        <w:tc>
          <w:tcPr>
            <w:tcW w:w="9352" w:type="dxa"/>
            <w:gridSpan w:val="2"/>
            <w:shd w:val="clear" w:color="auto" w:fill="00FFCC"/>
          </w:tcPr>
          <w:p w14:paraId="0466EBBC" w14:textId="77777777" w:rsidR="00136F7A" w:rsidRPr="005D72F4" w:rsidRDefault="00136F7A" w:rsidP="00612843">
            <w:pPr>
              <w:widowControl w:val="0"/>
              <w:numPr>
                <w:ilvl w:val="1"/>
                <w:numId w:val="8"/>
              </w:numPr>
              <w:autoSpaceDE w:val="0"/>
              <w:autoSpaceDN w:val="0"/>
              <w:spacing w:line="234" w:lineRule="exact"/>
              <w:ind w:left="669" w:right="91" w:hanging="567"/>
              <w:jc w:val="center"/>
              <w:rPr>
                <w:rFonts w:eastAsia="Arial"/>
                <w:b/>
              </w:rPr>
            </w:pPr>
            <w:r>
              <w:rPr>
                <w:b/>
              </w:rPr>
              <w:t>Critères de sélection des pays pilotes/bénéficiaires</w:t>
            </w:r>
          </w:p>
        </w:tc>
      </w:tr>
      <w:tr w:rsidR="00136F7A" w:rsidRPr="005D72F4" w14:paraId="1D759C94" w14:textId="77777777" w:rsidTr="000364AB">
        <w:trPr>
          <w:trHeight w:val="253"/>
        </w:trPr>
        <w:tc>
          <w:tcPr>
            <w:tcW w:w="9352" w:type="dxa"/>
            <w:gridSpan w:val="2"/>
            <w:shd w:val="clear" w:color="auto" w:fill="auto"/>
          </w:tcPr>
          <w:p w14:paraId="50D53ECD" w14:textId="77777777" w:rsidR="00136F7A" w:rsidRDefault="00136F7A" w:rsidP="000364AB">
            <w:pPr>
              <w:spacing w:before="120" w:after="120"/>
              <w:ind w:left="120" w:right="86"/>
            </w:pPr>
            <w:r>
              <w:t>Le présent projet est proposé par le Brésil, à l</w:t>
            </w:r>
            <w:r w:rsidR="000B28D4">
              <w:t>’</w:t>
            </w:r>
            <w:r>
              <w:t>origine de la phase initiale, ainsi que par le Pérou et l</w:t>
            </w:r>
            <w:r w:rsidR="000B28D4">
              <w:t>’</w:t>
            </w:r>
            <w:r>
              <w:t>Argentine.</w:t>
            </w:r>
          </w:p>
          <w:p w14:paraId="1FD730BE" w14:textId="77777777" w:rsidR="00136F7A" w:rsidRPr="0038529E" w:rsidRDefault="00136F7A" w:rsidP="000364AB">
            <w:pPr>
              <w:spacing w:before="120" w:after="120"/>
              <w:ind w:left="120" w:right="86"/>
            </w:pPr>
            <w:r>
              <w:lastRenderedPageBreak/>
              <w:t>La phase II est ouverte aux candidatures des États membres désireux de mettre à profit les enseignements tirés des résultats du projet initial.</w:t>
            </w:r>
          </w:p>
        </w:tc>
      </w:tr>
      <w:tr w:rsidR="00136F7A" w:rsidRPr="005D72F4" w14:paraId="7D7D5743" w14:textId="77777777" w:rsidTr="000364AB">
        <w:trPr>
          <w:trHeight w:val="253"/>
        </w:trPr>
        <w:tc>
          <w:tcPr>
            <w:tcW w:w="9352" w:type="dxa"/>
            <w:gridSpan w:val="2"/>
            <w:shd w:val="clear" w:color="auto" w:fill="00FFCC"/>
          </w:tcPr>
          <w:p w14:paraId="44048C0B" w14:textId="77777777" w:rsidR="00136F7A" w:rsidRPr="005D72F4" w:rsidRDefault="00136F7A" w:rsidP="00612843">
            <w:pPr>
              <w:widowControl w:val="0"/>
              <w:numPr>
                <w:ilvl w:val="1"/>
                <w:numId w:val="8"/>
              </w:numPr>
              <w:autoSpaceDE w:val="0"/>
              <w:autoSpaceDN w:val="0"/>
              <w:spacing w:line="234" w:lineRule="exact"/>
              <w:ind w:left="669" w:right="91" w:hanging="567"/>
              <w:jc w:val="center"/>
              <w:rPr>
                <w:rFonts w:eastAsia="Arial"/>
                <w:b/>
              </w:rPr>
            </w:pPr>
            <w:r>
              <w:rPr>
                <w:b/>
              </w:rPr>
              <w:lastRenderedPageBreak/>
              <w:t>Entité organisationnelle de mise en œuvre</w:t>
            </w:r>
          </w:p>
        </w:tc>
      </w:tr>
      <w:tr w:rsidR="00136F7A" w:rsidRPr="005D72F4" w14:paraId="55F16AA4" w14:textId="77777777" w:rsidTr="000364AB">
        <w:trPr>
          <w:trHeight w:val="265"/>
        </w:trPr>
        <w:tc>
          <w:tcPr>
            <w:tcW w:w="9352" w:type="dxa"/>
            <w:gridSpan w:val="2"/>
          </w:tcPr>
          <w:p w14:paraId="4C899A4D" w14:textId="77777777" w:rsidR="00136F7A" w:rsidRPr="00D85E10" w:rsidRDefault="00136F7A" w:rsidP="000364AB">
            <w:pPr>
              <w:widowControl w:val="0"/>
              <w:autoSpaceDE w:val="0"/>
              <w:autoSpaceDN w:val="0"/>
              <w:spacing w:before="120" w:after="120"/>
              <w:ind w:left="115"/>
            </w:pPr>
            <w:r>
              <w:t>Division du droit d</w:t>
            </w:r>
            <w:r w:rsidR="000B28D4">
              <w:t>’</w:t>
            </w:r>
            <w:r>
              <w:t>auteur, Secteur du droit d</w:t>
            </w:r>
            <w:r w:rsidR="000B28D4">
              <w:t>’</w:t>
            </w:r>
            <w:r>
              <w:t>auteur et des industries de la création</w:t>
            </w:r>
          </w:p>
        </w:tc>
      </w:tr>
      <w:tr w:rsidR="00136F7A" w:rsidRPr="005D72F4" w14:paraId="53527ACA" w14:textId="77777777" w:rsidTr="000364AB">
        <w:trPr>
          <w:trHeight w:val="254"/>
        </w:trPr>
        <w:tc>
          <w:tcPr>
            <w:tcW w:w="9352" w:type="dxa"/>
            <w:gridSpan w:val="2"/>
            <w:shd w:val="clear" w:color="auto" w:fill="00FFCC"/>
          </w:tcPr>
          <w:p w14:paraId="2994FA49" w14:textId="77777777" w:rsidR="00136F7A" w:rsidRPr="005D72F4" w:rsidRDefault="00136F7A" w:rsidP="00612843">
            <w:pPr>
              <w:widowControl w:val="0"/>
              <w:numPr>
                <w:ilvl w:val="1"/>
                <w:numId w:val="8"/>
              </w:numPr>
              <w:autoSpaceDE w:val="0"/>
              <w:autoSpaceDN w:val="0"/>
              <w:spacing w:line="234" w:lineRule="exact"/>
              <w:ind w:left="669" w:right="91" w:hanging="567"/>
              <w:jc w:val="center"/>
              <w:rPr>
                <w:rFonts w:eastAsia="Arial"/>
                <w:b/>
              </w:rPr>
            </w:pPr>
            <w:r>
              <w:rPr>
                <w:b/>
              </w:rPr>
              <w:t>Liens vers d</w:t>
            </w:r>
            <w:r w:rsidR="000B28D4">
              <w:rPr>
                <w:b/>
              </w:rPr>
              <w:t>’</w:t>
            </w:r>
            <w:r>
              <w:rPr>
                <w:b/>
              </w:rPr>
              <w:t>autres entités organisationnelles</w:t>
            </w:r>
          </w:p>
        </w:tc>
      </w:tr>
      <w:tr w:rsidR="00136F7A" w:rsidRPr="005D72F4" w14:paraId="388BEE18" w14:textId="77777777" w:rsidTr="000364AB">
        <w:trPr>
          <w:trHeight w:val="373"/>
        </w:trPr>
        <w:tc>
          <w:tcPr>
            <w:tcW w:w="9352" w:type="dxa"/>
            <w:gridSpan w:val="2"/>
          </w:tcPr>
          <w:p w14:paraId="1E3D8109" w14:textId="77777777" w:rsidR="00136F7A" w:rsidRPr="00F41A8F" w:rsidRDefault="00136F7A" w:rsidP="000364AB">
            <w:pPr>
              <w:pStyle w:val="TableParagraph"/>
              <w:spacing w:line="276" w:lineRule="auto"/>
              <w:ind w:left="81" w:right="578"/>
            </w:pPr>
            <w:r>
              <w:t xml:space="preserve">Secteur du développement régional et </w:t>
            </w:r>
            <w:proofErr w:type="gramStart"/>
            <w:r>
              <w:t xml:space="preserve">national; </w:t>
            </w:r>
            <w:r w:rsidR="008F25FA">
              <w:t xml:space="preserve"> </w:t>
            </w:r>
            <w:r>
              <w:t>Secteur</w:t>
            </w:r>
            <w:proofErr w:type="gramEnd"/>
            <w:r>
              <w:t xml:space="preserve"> des écosystèmes de propriété intellectuelle et d</w:t>
            </w:r>
            <w:r w:rsidR="000B28D4">
              <w:t>’</w:t>
            </w:r>
            <w:r>
              <w:t>innovation</w:t>
            </w:r>
          </w:p>
        </w:tc>
      </w:tr>
      <w:tr w:rsidR="00136F7A" w:rsidRPr="005D72F4" w14:paraId="23B61480" w14:textId="77777777" w:rsidTr="000364AB">
        <w:trPr>
          <w:trHeight w:val="179"/>
        </w:trPr>
        <w:tc>
          <w:tcPr>
            <w:tcW w:w="9352" w:type="dxa"/>
            <w:gridSpan w:val="2"/>
            <w:shd w:val="clear" w:color="auto" w:fill="00FFCC"/>
          </w:tcPr>
          <w:p w14:paraId="6B39CE8E" w14:textId="77777777" w:rsidR="00136F7A" w:rsidRPr="00F41A8F" w:rsidRDefault="00136F7A" w:rsidP="00612843">
            <w:pPr>
              <w:widowControl w:val="0"/>
              <w:numPr>
                <w:ilvl w:val="1"/>
                <w:numId w:val="8"/>
              </w:numPr>
              <w:autoSpaceDE w:val="0"/>
              <w:autoSpaceDN w:val="0"/>
              <w:spacing w:line="250" w:lineRule="exact"/>
              <w:ind w:left="669" w:hanging="567"/>
              <w:jc w:val="center"/>
              <w:rPr>
                <w:rFonts w:eastAsia="Arial"/>
                <w:b/>
              </w:rPr>
            </w:pPr>
            <w:r>
              <w:rPr>
                <w:b/>
              </w:rPr>
              <w:t>Liens vers d</w:t>
            </w:r>
            <w:r w:rsidR="000B28D4">
              <w:rPr>
                <w:b/>
              </w:rPr>
              <w:t>’</w:t>
            </w:r>
            <w:r>
              <w:rPr>
                <w:b/>
              </w:rPr>
              <w:t>autres projets du Plan d</w:t>
            </w:r>
            <w:r w:rsidR="000B28D4">
              <w:rPr>
                <w:b/>
              </w:rPr>
              <w:t>’</w:t>
            </w:r>
            <w:r>
              <w:rPr>
                <w:b/>
              </w:rPr>
              <w:t>action pour le développement</w:t>
            </w:r>
          </w:p>
        </w:tc>
      </w:tr>
      <w:tr w:rsidR="00136F7A" w:rsidRPr="005D72F4" w14:paraId="156DA7E8" w14:textId="77777777" w:rsidTr="000364AB">
        <w:trPr>
          <w:trHeight w:val="568"/>
        </w:trPr>
        <w:tc>
          <w:tcPr>
            <w:tcW w:w="9352" w:type="dxa"/>
            <w:gridSpan w:val="2"/>
          </w:tcPr>
          <w:p w14:paraId="1B3D302B" w14:textId="48222487" w:rsidR="00136F7A" w:rsidRPr="00F41A8F" w:rsidRDefault="00136F7A" w:rsidP="000364AB">
            <w:pPr>
              <w:pStyle w:val="TableParagraph"/>
              <w:spacing w:before="120" w:after="120"/>
              <w:ind w:left="86" w:right="578"/>
              <w:rPr>
                <w:b/>
              </w:rPr>
            </w:pPr>
            <w:r>
              <w:t>Projet du Plan d</w:t>
            </w:r>
            <w:r w:rsidR="000B28D4">
              <w:t>’</w:t>
            </w:r>
            <w:r>
              <w:t xml:space="preserve">action pour le développement sur </w:t>
            </w:r>
            <w:r>
              <w:rPr>
                <w:i/>
              </w:rPr>
              <w:t>le droit d</w:t>
            </w:r>
            <w:r w:rsidR="000B28D4">
              <w:rPr>
                <w:i/>
              </w:rPr>
              <w:t>’</w:t>
            </w:r>
            <w:r>
              <w:rPr>
                <w:i/>
              </w:rPr>
              <w:t>auteur et la distribution de contenu dans l</w:t>
            </w:r>
            <w:r w:rsidR="000B28D4">
              <w:rPr>
                <w:i/>
              </w:rPr>
              <w:t>’</w:t>
            </w:r>
            <w:r>
              <w:rPr>
                <w:i/>
              </w:rPr>
              <w:t>environnement numérique</w:t>
            </w:r>
            <w:r>
              <w:t xml:space="preserve"> (</w:t>
            </w:r>
            <w:hyperlink r:id="rId11" w:history="1">
              <w:r>
                <w:rPr>
                  <w:rStyle w:val="Hyperlink"/>
                </w:rPr>
                <w:t xml:space="preserve">CDIP/22/15 </w:t>
              </w:r>
              <w:proofErr w:type="spellStart"/>
              <w:r>
                <w:rPr>
                  <w:rStyle w:val="Hyperlink"/>
                </w:rPr>
                <w:t>Rev</w:t>
              </w:r>
              <w:proofErr w:type="spellEnd"/>
              <w:r>
                <w:rPr>
                  <w:rStyle w:val="Hyperlink"/>
                </w:rPr>
                <w:t>.</w:t>
              </w:r>
            </w:hyperlink>
            <w:r>
              <w:t>)</w:t>
            </w:r>
          </w:p>
        </w:tc>
      </w:tr>
      <w:tr w:rsidR="00136F7A" w:rsidRPr="005D72F4" w14:paraId="69A2E50F" w14:textId="77777777" w:rsidTr="000364AB">
        <w:trPr>
          <w:trHeight w:val="242"/>
        </w:trPr>
        <w:tc>
          <w:tcPr>
            <w:tcW w:w="9352" w:type="dxa"/>
            <w:gridSpan w:val="2"/>
            <w:shd w:val="clear" w:color="auto" w:fill="00FFCC"/>
          </w:tcPr>
          <w:p w14:paraId="2ACF314B" w14:textId="77777777" w:rsidR="00136F7A" w:rsidRPr="00F41A8F" w:rsidRDefault="00136F7A" w:rsidP="00612843">
            <w:pPr>
              <w:widowControl w:val="0"/>
              <w:numPr>
                <w:ilvl w:val="1"/>
                <w:numId w:val="8"/>
              </w:numPr>
              <w:autoSpaceDE w:val="0"/>
              <w:autoSpaceDN w:val="0"/>
              <w:spacing w:line="246" w:lineRule="exact"/>
              <w:ind w:left="669" w:hanging="567"/>
              <w:contextualSpacing/>
              <w:jc w:val="center"/>
              <w:rPr>
                <w:rFonts w:eastAsia="Arial"/>
                <w:b/>
              </w:rPr>
            </w:pPr>
            <w:r>
              <w:rPr>
                <w:b/>
              </w:rPr>
              <w:t>Contribution aux résultats escomptés dans le programme et le budget de l</w:t>
            </w:r>
            <w:r w:rsidR="000B28D4">
              <w:rPr>
                <w:b/>
              </w:rPr>
              <w:t>’</w:t>
            </w:r>
            <w:r>
              <w:rPr>
                <w:b/>
              </w:rPr>
              <w:t>OMPI</w:t>
            </w:r>
          </w:p>
        </w:tc>
      </w:tr>
      <w:tr w:rsidR="00136F7A" w:rsidRPr="005D72F4" w14:paraId="004C71A3" w14:textId="77777777" w:rsidTr="000364AB">
        <w:trPr>
          <w:trHeight w:val="451"/>
        </w:trPr>
        <w:tc>
          <w:tcPr>
            <w:tcW w:w="9352" w:type="dxa"/>
            <w:gridSpan w:val="2"/>
          </w:tcPr>
          <w:p w14:paraId="293A4FFC" w14:textId="77777777" w:rsidR="00136F7A" w:rsidRPr="006A421D" w:rsidRDefault="00136F7A" w:rsidP="000364AB">
            <w:pPr>
              <w:widowControl w:val="0"/>
              <w:autoSpaceDE w:val="0"/>
              <w:autoSpaceDN w:val="0"/>
              <w:spacing w:before="120" w:after="120"/>
              <w:ind w:left="120" w:right="135"/>
              <w:jc w:val="center"/>
              <w:rPr>
                <w:rFonts w:eastAsia="Arial"/>
                <w:u w:val="single"/>
              </w:rPr>
            </w:pPr>
            <w:r>
              <w:rPr>
                <w:u w:val="single"/>
              </w:rPr>
              <w:t>Programme et budget pour l</w:t>
            </w:r>
            <w:r w:rsidR="000B28D4">
              <w:rPr>
                <w:u w:val="single"/>
              </w:rPr>
              <w:t>’</w:t>
            </w:r>
            <w:r>
              <w:rPr>
                <w:u w:val="single"/>
              </w:rPr>
              <w:t>exercice biennal 2024</w:t>
            </w:r>
            <w:r w:rsidR="00972809">
              <w:rPr>
                <w:u w:val="single"/>
              </w:rPr>
              <w:noBreakHyphen/>
            </w:r>
            <w:r>
              <w:rPr>
                <w:u w:val="single"/>
              </w:rPr>
              <w:t>2025</w:t>
            </w:r>
          </w:p>
          <w:p w14:paraId="3D1B40BA" w14:textId="77777777" w:rsidR="00136F7A" w:rsidRDefault="00136F7A" w:rsidP="00612843">
            <w:pPr>
              <w:pStyle w:val="TableParagraph"/>
              <w:spacing w:after="220"/>
              <w:ind w:left="110" w:right="77"/>
            </w:pPr>
            <w:r>
              <w:rPr>
                <w:b/>
              </w:rPr>
              <w:t>1.1</w:t>
            </w:r>
            <w:r w:rsidR="000B28D4">
              <w:rPr>
                <w:b/>
              </w:rPr>
              <w:t> :</w:t>
            </w:r>
            <w:r>
              <w:t xml:space="preserve"> Communication et dialogue plus efficaces au niveau mondial pour faire plus largement connaître le potentiel de la propriété intellectuelle en termes d</w:t>
            </w:r>
            <w:r w:rsidR="000B28D4">
              <w:t>’</w:t>
            </w:r>
            <w:r>
              <w:t>amélioration de la qualité de la vie pour tous et partout.</w:t>
            </w:r>
          </w:p>
          <w:p w14:paraId="598EF2AA" w14:textId="77777777" w:rsidR="00136F7A" w:rsidRDefault="00136F7A" w:rsidP="00612843">
            <w:pPr>
              <w:pStyle w:val="TableParagraph"/>
              <w:spacing w:after="220"/>
              <w:ind w:left="110" w:right="77"/>
            </w:pPr>
            <w:r>
              <w:rPr>
                <w:b/>
              </w:rPr>
              <w:t>2.2</w:t>
            </w:r>
            <w:r w:rsidR="000B28D4">
              <w:rPr>
                <w:b/>
              </w:rPr>
              <w:t> :</w:t>
            </w:r>
            <w:r w:rsidRPr="00972809">
              <w:t xml:space="preserve"> </w:t>
            </w:r>
            <w:r>
              <w:t>L</w:t>
            </w:r>
            <w:r w:rsidR="000B28D4">
              <w:t>’</w:t>
            </w:r>
            <w:r>
              <w:t>OMPI rassemble la communauté internationale afin d</w:t>
            </w:r>
            <w:r w:rsidR="000B28D4">
              <w:t>’</w:t>
            </w:r>
            <w:r>
              <w:t>anticiper les questions émergentes et les enjeux de politique générale qui se présentent au niveau mondial concernant la propriété intellectuelle, l</w:t>
            </w:r>
            <w:r w:rsidR="000B28D4">
              <w:t>’</w:t>
            </w:r>
            <w:r>
              <w:t>innovation et la créativité.</w:t>
            </w:r>
          </w:p>
          <w:p w14:paraId="5C004E74" w14:textId="77777777" w:rsidR="00136F7A" w:rsidRDefault="00136F7A" w:rsidP="00612843">
            <w:pPr>
              <w:pStyle w:val="TableParagraph"/>
              <w:spacing w:after="220"/>
              <w:ind w:left="110" w:right="77"/>
            </w:pPr>
            <w:r>
              <w:rPr>
                <w:b/>
                <w:bCs/>
              </w:rPr>
              <w:t>3.1</w:t>
            </w:r>
            <w:r w:rsidR="000B28D4">
              <w:rPr>
                <w:b/>
                <w:bCs/>
              </w:rPr>
              <w:t> :</w:t>
            </w:r>
            <w:r>
              <w:t xml:space="preserve"> Utilisation plus large et plus efficace des systèmes mondiaux, services, savoirs et données de propriété intellectuelle de l</w:t>
            </w:r>
            <w:r w:rsidR="000B28D4">
              <w:t>’</w:t>
            </w:r>
            <w:r>
              <w:t>OMPI.</w:t>
            </w:r>
          </w:p>
          <w:p w14:paraId="12CEAB29" w14:textId="77777777" w:rsidR="00136F7A" w:rsidRDefault="00136F7A" w:rsidP="00612843">
            <w:pPr>
              <w:pStyle w:val="TableParagraph"/>
              <w:spacing w:after="220"/>
              <w:ind w:left="110" w:right="77"/>
            </w:pPr>
            <w:r>
              <w:rPr>
                <w:b/>
              </w:rPr>
              <w:t>4.1</w:t>
            </w:r>
            <w:r w:rsidR="000B28D4">
              <w:rPr>
                <w:b/>
              </w:rPr>
              <w:t> :</w:t>
            </w:r>
            <w:r>
              <w:t xml:space="preserve"> Utilisation plus efficace de la propriété intellectuelle au service de la croissance et du développement de l</w:t>
            </w:r>
            <w:r w:rsidR="000B28D4">
              <w:t>’</w:t>
            </w:r>
            <w:r>
              <w:t>ensemble des États membres et de leurs régions et sous</w:t>
            </w:r>
            <w:r w:rsidR="00972809">
              <w:noBreakHyphen/>
            </w:r>
            <w:r>
              <w:t>régions respectives, notamment grâce à l</w:t>
            </w:r>
            <w:r w:rsidR="000B28D4">
              <w:t>’</w:t>
            </w:r>
            <w:r>
              <w:t>intégration des recommandations du Plan d</w:t>
            </w:r>
            <w:r w:rsidR="000B28D4">
              <w:t>’</w:t>
            </w:r>
            <w:r>
              <w:t>action pour le développement.</w:t>
            </w:r>
          </w:p>
          <w:p w14:paraId="1D88F068" w14:textId="77777777" w:rsidR="00136F7A" w:rsidRDefault="00136F7A" w:rsidP="00612843">
            <w:pPr>
              <w:pStyle w:val="TableParagraph"/>
              <w:spacing w:after="220"/>
              <w:ind w:left="110" w:right="77"/>
            </w:pPr>
            <w:r>
              <w:rPr>
                <w:b/>
              </w:rPr>
              <w:t>4.3</w:t>
            </w:r>
            <w:r w:rsidR="000B28D4">
              <w:rPr>
                <w:b/>
              </w:rPr>
              <w:t> :</w:t>
            </w:r>
            <w:r>
              <w:t xml:space="preserve"> Mise en valeur des connaissances et des compétences en matière de propriété intellectuelle dans tous les États membres</w:t>
            </w:r>
          </w:p>
          <w:p w14:paraId="297B7536" w14:textId="77777777" w:rsidR="00136F7A" w:rsidRPr="005D72F4" w:rsidRDefault="00136F7A" w:rsidP="00612843">
            <w:pPr>
              <w:pStyle w:val="TableParagraph"/>
              <w:spacing w:after="220"/>
              <w:ind w:left="110" w:right="77"/>
            </w:pPr>
            <w:r>
              <w:rPr>
                <w:b/>
              </w:rPr>
              <w:t>4.4</w:t>
            </w:r>
            <w:r w:rsidR="000B28D4">
              <w:rPr>
                <w:b/>
              </w:rPr>
              <w:t> :</w:t>
            </w:r>
            <w:r>
              <w:t xml:space="preserve"> Davantage d</w:t>
            </w:r>
            <w:r w:rsidR="000B28D4">
              <w:t>’</w:t>
            </w:r>
            <w:r>
              <w:t>innovateurs, de créateurs, de PME, d</w:t>
            </w:r>
            <w:r w:rsidR="000B28D4">
              <w:t>’</w:t>
            </w:r>
            <w:r>
              <w:t>universités, d</w:t>
            </w:r>
            <w:r w:rsidR="000B28D4">
              <w:t>’</w:t>
            </w:r>
            <w:r>
              <w:t>instituts de recherche et de communautés tirent profit de la propriété intellectuelle.</w:t>
            </w:r>
          </w:p>
        </w:tc>
      </w:tr>
      <w:tr w:rsidR="00136F7A" w:rsidRPr="005D72F4" w14:paraId="739F3EF0" w14:textId="77777777" w:rsidTr="000364AB">
        <w:trPr>
          <w:trHeight w:val="352"/>
        </w:trPr>
        <w:tc>
          <w:tcPr>
            <w:tcW w:w="9352" w:type="dxa"/>
            <w:gridSpan w:val="2"/>
            <w:shd w:val="clear" w:color="auto" w:fill="00FFCC"/>
          </w:tcPr>
          <w:p w14:paraId="0FB0259A" w14:textId="77777777" w:rsidR="00136F7A" w:rsidRPr="005D72F4" w:rsidRDefault="00136F7A" w:rsidP="00612843">
            <w:pPr>
              <w:widowControl w:val="0"/>
              <w:numPr>
                <w:ilvl w:val="1"/>
                <w:numId w:val="8"/>
              </w:numPr>
              <w:autoSpaceDE w:val="0"/>
              <w:autoSpaceDN w:val="0"/>
              <w:spacing w:line="240" w:lineRule="exact"/>
              <w:ind w:left="669" w:right="74" w:hanging="567"/>
              <w:contextualSpacing/>
              <w:jc w:val="center"/>
              <w:rPr>
                <w:rFonts w:eastAsia="Arial"/>
                <w:b/>
              </w:rPr>
            </w:pPr>
            <w:r>
              <w:rPr>
                <w:b/>
              </w:rPr>
              <w:t>Risque et atténuation</w:t>
            </w:r>
          </w:p>
        </w:tc>
      </w:tr>
      <w:tr w:rsidR="00136F7A" w:rsidRPr="00F8661A" w14:paraId="0D27A2E9" w14:textId="77777777" w:rsidTr="000364AB">
        <w:trPr>
          <w:trHeight w:val="424"/>
        </w:trPr>
        <w:tc>
          <w:tcPr>
            <w:tcW w:w="9352" w:type="dxa"/>
            <w:gridSpan w:val="2"/>
            <w:shd w:val="clear" w:color="auto" w:fill="FFFFFF"/>
          </w:tcPr>
          <w:p w14:paraId="3F3E7C06" w14:textId="77777777" w:rsidR="00136F7A" w:rsidRPr="000F34B9" w:rsidRDefault="00136F7A" w:rsidP="00612843">
            <w:pPr>
              <w:spacing w:after="220"/>
              <w:ind w:left="115"/>
            </w:pPr>
            <w:r>
              <w:rPr>
                <w:b/>
                <w:i/>
              </w:rPr>
              <w:t>Risque n° 1</w:t>
            </w:r>
            <w:r w:rsidR="000B28D4">
              <w:rPr>
                <w:b/>
                <w:i/>
              </w:rPr>
              <w:t> :</w:t>
            </w:r>
            <w:r>
              <w:rPr>
                <w:i/>
              </w:rPr>
              <w:t xml:space="preserve"> </w:t>
            </w:r>
            <w:r>
              <w:t>Instabilité politique, restructuration des institutions nationales ou évolution des priorités locales.</w:t>
            </w:r>
          </w:p>
          <w:p w14:paraId="5B28C161" w14:textId="77777777" w:rsidR="00136F7A" w:rsidRDefault="00136F7A" w:rsidP="00612843">
            <w:pPr>
              <w:spacing w:after="220"/>
              <w:ind w:left="115"/>
            </w:pPr>
            <w:r>
              <w:rPr>
                <w:b/>
                <w:i/>
              </w:rPr>
              <w:t>Mesure d</w:t>
            </w:r>
            <w:r w:rsidR="000B28D4">
              <w:rPr>
                <w:b/>
                <w:i/>
              </w:rPr>
              <w:t>’</w:t>
            </w:r>
            <w:r>
              <w:rPr>
                <w:b/>
                <w:i/>
              </w:rPr>
              <w:t>atténuation n° 1</w:t>
            </w:r>
            <w:r w:rsidR="000B28D4">
              <w:rPr>
                <w:b/>
                <w:i/>
              </w:rPr>
              <w:t> :</w:t>
            </w:r>
            <w:r w:rsidRPr="00972809">
              <w:t xml:space="preserve"> </w:t>
            </w:r>
            <w:r>
              <w:t>En cas de risque, l</w:t>
            </w:r>
            <w:r w:rsidR="000B28D4">
              <w:t>’</w:t>
            </w:r>
            <w:r>
              <w:t>équipe chargée du projet élaborera un calendrier révisé et réévaluera avec les pays bénéficiaires les priorités et la stratégie de mise en œuvre du projet.</w:t>
            </w:r>
          </w:p>
          <w:p w14:paraId="458F7FDA" w14:textId="77777777" w:rsidR="00136F7A" w:rsidRDefault="00136F7A" w:rsidP="00612843">
            <w:pPr>
              <w:spacing w:after="220"/>
              <w:ind w:left="115"/>
            </w:pPr>
            <w:r>
              <w:rPr>
                <w:b/>
                <w:i/>
              </w:rPr>
              <w:t>Risque n° 2</w:t>
            </w:r>
            <w:r w:rsidR="000B28D4">
              <w:rPr>
                <w:b/>
                <w:i/>
              </w:rPr>
              <w:t> :</w:t>
            </w:r>
            <w:r>
              <w:rPr>
                <w:i/>
              </w:rPr>
              <w:t xml:space="preserve"> </w:t>
            </w:r>
            <w:r>
              <w:t>Utilisation insuffisante des résultats obtenus dans le cadre du projet.</w:t>
            </w:r>
          </w:p>
          <w:p w14:paraId="2D28B154" w14:textId="77777777" w:rsidR="00136F7A" w:rsidRPr="00AD7F3F" w:rsidRDefault="00136F7A" w:rsidP="00612843">
            <w:pPr>
              <w:spacing w:after="220"/>
              <w:ind w:left="115"/>
              <w:rPr>
                <w:b/>
                <w:bCs/>
              </w:rPr>
            </w:pPr>
            <w:r>
              <w:rPr>
                <w:b/>
                <w:i/>
              </w:rPr>
              <w:t>Mesure d</w:t>
            </w:r>
            <w:r w:rsidR="000B28D4">
              <w:rPr>
                <w:b/>
                <w:i/>
              </w:rPr>
              <w:t>’</w:t>
            </w:r>
            <w:r>
              <w:rPr>
                <w:b/>
                <w:i/>
              </w:rPr>
              <w:t>atténuation n° 2</w:t>
            </w:r>
            <w:r w:rsidR="000B28D4">
              <w:rPr>
                <w:b/>
                <w:i/>
              </w:rPr>
              <w:t> :</w:t>
            </w:r>
            <w:r w:rsidRPr="00972809">
              <w:t xml:space="preserve"> </w:t>
            </w:r>
            <w:r>
              <w:t>Améliorer la diffusion des résultats du projet au moyen de rapports, de publications et de manifestations organisées par l</w:t>
            </w:r>
            <w:r w:rsidR="000B28D4">
              <w:t>’</w:t>
            </w:r>
            <w:r>
              <w:t>OMPI et les pays bénéficiaires.</w:t>
            </w:r>
          </w:p>
        </w:tc>
      </w:tr>
    </w:tbl>
    <w:p w14:paraId="44A16B62" w14:textId="77777777" w:rsidR="00136F7A" w:rsidRPr="00E144D0" w:rsidRDefault="00136F7A" w:rsidP="00136F7A"/>
    <w:p w14:paraId="7FA164EA" w14:textId="77777777" w:rsidR="00136F7A" w:rsidRDefault="00136F7A" w:rsidP="00136F7A">
      <w:pPr>
        <w:sectPr w:rsidR="00136F7A" w:rsidSect="008A24EF">
          <w:headerReference w:type="default" r:id="rId12"/>
          <w:headerReference w:type="first" r:id="rId13"/>
          <w:endnotePr>
            <w:numFmt w:val="decimal"/>
          </w:endnotePr>
          <w:pgSz w:w="11907" w:h="16840" w:code="9"/>
          <w:pgMar w:top="567" w:right="1134" w:bottom="1418" w:left="1418" w:header="510" w:footer="1021" w:gutter="0"/>
          <w:pgNumType w:start="1"/>
          <w:cols w:space="720"/>
          <w:titlePg/>
        </w:sectPr>
      </w:pPr>
    </w:p>
    <w:p w14:paraId="6DA96ECC" w14:textId="77777777" w:rsidR="000B28D4" w:rsidRDefault="00136F7A" w:rsidP="00612843">
      <w:pPr>
        <w:pStyle w:val="ListParagraph"/>
        <w:numPr>
          <w:ilvl w:val="0"/>
          <w:numId w:val="8"/>
        </w:numPr>
        <w:spacing w:after="220"/>
        <w:ind w:left="0" w:firstLine="0"/>
        <w:rPr>
          <w:b/>
        </w:rPr>
      </w:pPr>
      <w:r>
        <w:rPr>
          <w:b/>
        </w:rPr>
        <w:lastRenderedPageBreak/>
        <w:t>CALENDRIER DE MISE EN ŒUVRE PROVISOIRE</w:t>
      </w:r>
    </w:p>
    <w:tbl>
      <w:tblPr>
        <w:tblW w:w="5108"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27"/>
        <w:gridCol w:w="604"/>
        <w:gridCol w:w="598"/>
        <w:gridCol w:w="592"/>
        <w:gridCol w:w="601"/>
        <w:gridCol w:w="592"/>
        <w:gridCol w:w="592"/>
        <w:gridCol w:w="651"/>
        <w:gridCol w:w="572"/>
        <w:gridCol w:w="589"/>
        <w:gridCol w:w="589"/>
        <w:gridCol w:w="581"/>
        <w:gridCol w:w="598"/>
      </w:tblGrid>
      <w:tr w:rsidR="00136F7A" w:rsidRPr="00197D9F" w14:paraId="5981C95E" w14:textId="77777777" w:rsidTr="000364AB">
        <w:trPr>
          <w:trHeight w:val="20"/>
        </w:trPr>
        <w:tc>
          <w:tcPr>
            <w:tcW w:w="2546" w:type="pct"/>
            <w:vMerge w:val="restart"/>
            <w:shd w:val="clear" w:color="auto" w:fill="auto"/>
            <w:vAlign w:val="center"/>
          </w:tcPr>
          <w:p w14:paraId="180C89D0" w14:textId="77777777" w:rsidR="00136F7A" w:rsidRPr="00126689" w:rsidRDefault="00136F7A" w:rsidP="000364AB">
            <w:pPr>
              <w:rPr>
                <w:b/>
              </w:rPr>
            </w:pPr>
            <w:r>
              <w:rPr>
                <w:b/>
              </w:rPr>
              <w:t>Résultats attendus du projet</w:t>
            </w:r>
          </w:p>
        </w:tc>
        <w:tc>
          <w:tcPr>
            <w:tcW w:w="2454" w:type="pct"/>
            <w:gridSpan w:val="12"/>
            <w:shd w:val="clear" w:color="auto" w:fill="auto"/>
          </w:tcPr>
          <w:p w14:paraId="340FB439" w14:textId="77777777" w:rsidR="00136F7A" w:rsidRPr="00126689" w:rsidRDefault="00136F7A" w:rsidP="000364AB">
            <w:pPr>
              <w:jc w:val="center"/>
              <w:rPr>
                <w:b/>
              </w:rPr>
            </w:pPr>
            <w:r>
              <w:rPr>
                <w:b/>
              </w:rPr>
              <w:t>Trimestres</w:t>
            </w:r>
          </w:p>
        </w:tc>
      </w:tr>
      <w:tr w:rsidR="00136F7A" w:rsidRPr="00197D9F" w14:paraId="01564EBD" w14:textId="77777777" w:rsidTr="000364AB">
        <w:trPr>
          <w:trHeight w:val="20"/>
        </w:trPr>
        <w:tc>
          <w:tcPr>
            <w:tcW w:w="2546" w:type="pct"/>
            <w:vMerge/>
            <w:shd w:val="clear" w:color="auto" w:fill="auto"/>
          </w:tcPr>
          <w:p w14:paraId="6317131B" w14:textId="77777777" w:rsidR="00136F7A" w:rsidRPr="00126689" w:rsidRDefault="00136F7A" w:rsidP="000364AB">
            <w:pPr>
              <w:rPr>
                <w:b/>
              </w:rPr>
            </w:pPr>
          </w:p>
        </w:tc>
        <w:tc>
          <w:tcPr>
            <w:tcW w:w="821" w:type="pct"/>
            <w:gridSpan w:val="4"/>
            <w:shd w:val="clear" w:color="auto" w:fill="auto"/>
          </w:tcPr>
          <w:p w14:paraId="0744EB99" w14:textId="77777777" w:rsidR="00136F7A" w:rsidRPr="00126689" w:rsidRDefault="00136F7A" w:rsidP="000364AB">
            <w:pPr>
              <w:jc w:val="center"/>
              <w:rPr>
                <w:b/>
              </w:rPr>
            </w:pPr>
            <w:r>
              <w:rPr>
                <w:b/>
              </w:rPr>
              <w:t>Année 1</w:t>
            </w:r>
          </w:p>
        </w:tc>
        <w:tc>
          <w:tcPr>
            <w:tcW w:w="825" w:type="pct"/>
            <w:gridSpan w:val="4"/>
            <w:shd w:val="clear" w:color="auto" w:fill="auto"/>
          </w:tcPr>
          <w:p w14:paraId="7A0EF890" w14:textId="77777777" w:rsidR="00136F7A" w:rsidRPr="00126689" w:rsidRDefault="00136F7A" w:rsidP="000364AB">
            <w:pPr>
              <w:jc w:val="center"/>
              <w:rPr>
                <w:b/>
              </w:rPr>
            </w:pPr>
            <w:r>
              <w:rPr>
                <w:b/>
              </w:rPr>
              <w:t>Année 2</w:t>
            </w:r>
          </w:p>
        </w:tc>
        <w:tc>
          <w:tcPr>
            <w:tcW w:w="808" w:type="pct"/>
            <w:gridSpan w:val="4"/>
            <w:shd w:val="clear" w:color="auto" w:fill="auto"/>
          </w:tcPr>
          <w:p w14:paraId="2B629E0E" w14:textId="77777777" w:rsidR="00136F7A" w:rsidRPr="00126689" w:rsidRDefault="00136F7A" w:rsidP="000364AB">
            <w:pPr>
              <w:jc w:val="center"/>
              <w:rPr>
                <w:b/>
              </w:rPr>
            </w:pPr>
            <w:r>
              <w:rPr>
                <w:b/>
              </w:rPr>
              <w:t>Année 3</w:t>
            </w:r>
          </w:p>
        </w:tc>
      </w:tr>
      <w:tr w:rsidR="00612843" w:rsidRPr="00197D9F" w14:paraId="10759012" w14:textId="77777777" w:rsidTr="00612843">
        <w:trPr>
          <w:trHeight w:val="89"/>
        </w:trPr>
        <w:tc>
          <w:tcPr>
            <w:tcW w:w="2546" w:type="pct"/>
            <w:vMerge/>
            <w:shd w:val="clear" w:color="auto" w:fill="auto"/>
          </w:tcPr>
          <w:p w14:paraId="67175F5B" w14:textId="77777777" w:rsidR="00612843" w:rsidRPr="00126689" w:rsidRDefault="00612843" w:rsidP="00612843">
            <w:pPr>
              <w:pBdr>
                <w:top w:val="nil"/>
                <w:left w:val="nil"/>
                <w:bottom w:val="nil"/>
                <w:right w:val="nil"/>
                <w:between w:val="nil"/>
              </w:pBdr>
            </w:pPr>
          </w:p>
        </w:tc>
        <w:tc>
          <w:tcPr>
            <w:tcW w:w="207" w:type="pct"/>
            <w:shd w:val="clear" w:color="auto" w:fill="D9D9D9" w:themeFill="background1" w:themeFillShade="D9"/>
          </w:tcPr>
          <w:p w14:paraId="06B216D5" w14:textId="77777777" w:rsidR="00612843" w:rsidRPr="003F7714" w:rsidRDefault="00612843" w:rsidP="00612843">
            <w:pPr>
              <w:jc w:val="center"/>
              <w:rPr>
                <w:lang w:val="fr-FR"/>
              </w:rPr>
            </w:pPr>
            <w:r>
              <w:rPr>
                <w:lang w:val="fr-FR"/>
              </w:rPr>
              <w:t>T1</w:t>
            </w:r>
          </w:p>
        </w:tc>
        <w:tc>
          <w:tcPr>
            <w:tcW w:w="205" w:type="pct"/>
            <w:shd w:val="clear" w:color="auto" w:fill="D9D9D9" w:themeFill="background1" w:themeFillShade="D9"/>
          </w:tcPr>
          <w:p w14:paraId="7922901D" w14:textId="77777777" w:rsidR="00612843" w:rsidRPr="003F7714" w:rsidRDefault="00612843" w:rsidP="00612843">
            <w:pPr>
              <w:jc w:val="center"/>
              <w:rPr>
                <w:lang w:val="fr-FR"/>
              </w:rPr>
            </w:pPr>
            <w:r>
              <w:rPr>
                <w:lang w:val="fr-FR"/>
              </w:rPr>
              <w:t>T2</w:t>
            </w:r>
          </w:p>
        </w:tc>
        <w:tc>
          <w:tcPr>
            <w:tcW w:w="203" w:type="pct"/>
            <w:shd w:val="clear" w:color="auto" w:fill="D9D9D9" w:themeFill="background1" w:themeFillShade="D9"/>
          </w:tcPr>
          <w:p w14:paraId="3DFFA537" w14:textId="77777777" w:rsidR="00612843" w:rsidRPr="003F7714" w:rsidRDefault="00612843" w:rsidP="00612843">
            <w:pPr>
              <w:jc w:val="center"/>
              <w:rPr>
                <w:lang w:val="fr-FR"/>
              </w:rPr>
            </w:pPr>
            <w:r>
              <w:rPr>
                <w:lang w:val="fr-FR"/>
              </w:rPr>
              <w:t>T3</w:t>
            </w:r>
          </w:p>
        </w:tc>
        <w:tc>
          <w:tcPr>
            <w:tcW w:w="206" w:type="pct"/>
            <w:shd w:val="clear" w:color="auto" w:fill="D9D9D9" w:themeFill="background1" w:themeFillShade="D9"/>
          </w:tcPr>
          <w:p w14:paraId="1372126A" w14:textId="77777777" w:rsidR="00612843" w:rsidRPr="003F7714" w:rsidRDefault="00612843" w:rsidP="00612843">
            <w:pPr>
              <w:jc w:val="center"/>
              <w:rPr>
                <w:lang w:val="fr-FR"/>
              </w:rPr>
            </w:pPr>
            <w:r>
              <w:rPr>
                <w:lang w:val="fr-FR"/>
              </w:rPr>
              <w:t>T4</w:t>
            </w:r>
          </w:p>
        </w:tc>
        <w:tc>
          <w:tcPr>
            <w:tcW w:w="203" w:type="pct"/>
            <w:shd w:val="clear" w:color="auto" w:fill="auto"/>
          </w:tcPr>
          <w:p w14:paraId="1A392169" w14:textId="77777777" w:rsidR="00612843" w:rsidRPr="003F7714" w:rsidRDefault="00612843" w:rsidP="00612843">
            <w:pPr>
              <w:jc w:val="center"/>
              <w:rPr>
                <w:lang w:val="fr-FR"/>
              </w:rPr>
            </w:pPr>
            <w:r>
              <w:rPr>
                <w:lang w:val="fr-FR"/>
              </w:rPr>
              <w:t>T1</w:t>
            </w:r>
          </w:p>
        </w:tc>
        <w:tc>
          <w:tcPr>
            <w:tcW w:w="203" w:type="pct"/>
            <w:shd w:val="clear" w:color="auto" w:fill="auto"/>
          </w:tcPr>
          <w:p w14:paraId="1CC375C4" w14:textId="77777777" w:rsidR="00612843" w:rsidRPr="003F7714" w:rsidRDefault="00612843" w:rsidP="00612843">
            <w:pPr>
              <w:jc w:val="center"/>
              <w:rPr>
                <w:lang w:val="fr-FR"/>
              </w:rPr>
            </w:pPr>
            <w:r>
              <w:rPr>
                <w:lang w:val="fr-FR"/>
              </w:rPr>
              <w:t>T2</w:t>
            </w:r>
          </w:p>
        </w:tc>
        <w:tc>
          <w:tcPr>
            <w:tcW w:w="223" w:type="pct"/>
            <w:shd w:val="clear" w:color="auto" w:fill="auto"/>
          </w:tcPr>
          <w:p w14:paraId="118991A9" w14:textId="77777777" w:rsidR="00612843" w:rsidRPr="003F7714" w:rsidRDefault="00612843" w:rsidP="00612843">
            <w:pPr>
              <w:jc w:val="center"/>
              <w:rPr>
                <w:lang w:val="fr-FR"/>
              </w:rPr>
            </w:pPr>
            <w:r>
              <w:rPr>
                <w:lang w:val="fr-FR"/>
              </w:rPr>
              <w:t>T3</w:t>
            </w:r>
          </w:p>
        </w:tc>
        <w:tc>
          <w:tcPr>
            <w:tcW w:w="196" w:type="pct"/>
            <w:shd w:val="clear" w:color="auto" w:fill="auto"/>
          </w:tcPr>
          <w:p w14:paraId="65A5AF5F" w14:textId="77777777" w:rsidR="00612843" w:rsidRPr="003F7714" w:rsidRDefault="00612843" w:rsidP="00612843">
            <w:pPr>
              <w:jc w:val="center"/>
              <w:rPr>
                <w:lang w:val="fr-FR"/>
              </w:rPr>
            </w:pPr>
            <w:r>
              <w:rPr>
                <w:lang w:val="fr-FR"/>
              </w:rPr>
              <w:t>T4</w:t>
            </w:r>
          </w:p>
        </w:tc>
        <w:tc>
          <w:tcPr>
            <w:tcW w:w="202" w:type="pct"/>
            <w:shd w:val="clear" w:color="auto" w:fill="D9D9D9" w:themeFill="background1" w:themeFillShade="D9"/>
          </w:tcPr>
          <w:p w14:paraId="2045CB72" w14:textId="77777777" w:rsidR="00612843" w:rsidRPr="003F7714" w:rsidRDefault="00612843" w:rsidP="00612843">
            <w:pPr>
              <w:jc w:val="center"/>
              <w:rPr>
                <w:lang w:val="fr-FR"/>
              </w:rPr>
            </w:pPr>
            <w:r>
              <w:rPr>
                <w:lang w:val="fr-FR"/>
              </w:rPr>
              <w:t>T1</w:t>
            </w:r>
          </w:p>
        </w:tc>
        <w:tc>
          <w:tcPr>
            <w:tcW w:w="202" w:type="pct"/>
            <w:shd w:val="clear" w:color="auto" w:fill="D9D9D9" w:themeFill="background1" w:themeFillShade="D9"/>
          </w:tcPr>
          <w:p w14:paraId="309A9886" w14:textId="77777777" w:rsidR="00612843" w:rsidRPr="003F7714" w:rsidRDefault="00612843" w:rsidP="00612843">
            <w:pPr>
              <w:jc w:val="center"/>
              <w:rPr>
                <w:lang w:val="fr-FR"/>
              </w:rPr>
            </w:pPr>
            <w:r>
              <w:rPr>
                <w:lang w:val="fr-FR"/>
              </w:rPr>
              <w:t>T2</w:t>
            </w:r>
          </w:p>
        </w:tc>
        <w:tc>
          <w:tcPr>
            <w:tcW w:w="199" w:type="pct"/>
            <w:shd w:val="clear" w:color="auto" w:fill="D9D9D9" w:themeFill="background1" w:themeFillShade="D9"/>
          </w:tcPr>
          <w:p w14:paraId="35DA2ACA" w14:textId="77777777" w:rsidR="00612843" w:rsidRPr="003F7714" w:rsidRDefault="00612843" w:rsidP="00612843">
            <w:pPr>
              <w:jc w:val="center"/>
              <w:rPr>
                <w:lang w:val="fr-FR"/>
              </w:rPr>
            </w:pPr>
            <w:r>
              <w:rPr>
                <w:lang w:val="fr-FR"/>
              </w:rPr>
              <w:t>T3</w:t>
            </w:r>
          </w:p>
        </w:tc>
        <w:tc>
          <w:tcPr>
            <w:tcW w:w="205" w:type="pct"/>
            <w:shd w:val="clear" w:color="auto" w:fill="D9D9D9" w:themeFill="background1" w:themeFillShade="D9"/>
          </w:tcPr>
          <w:p w14:paraId="0DA8669F" w14:textId="77777777" w:rsidR="00612843" w:rsidRPr="003F7714" w:rsidRDefault="00612843" w:rsidP="00612843">
            <w:pPr>
              <w:jc w:val="center"/>
              <w:rPr>
                <w:lang w:val="fr-FR"/>
              </w:rPr>
            </w:pPr>
            <w:r>
              <w:rPr>
                <w:lang w:val="fr-FR"/>
              </w:rPr>
              <w:t>T4</w:t>
            </w:r>
          </w:p>
        </w:tc>
      </w:tr>
      <w:tr w:rsidR="00136F7A" w:rsidRPr="00197D9F" w14:paraId="020063A1" w14:textId="77777777" w:rsidTr="00612843">
        <w:trPr>
          <w:trHeight w:val="20"/>
        </w:trPr>
        <w:tc>
          <w:tcPr>
            <w:tcW w:w="2546" w:type="pct"/>
            <w:shd w:val="clear" w:color="auto" w:fill="auto"/>
          </w:tcPr>
          <w:p w14:paraId="0924BFC2" w14:textId="77777777" w:rsidR="000B28D4" w:rsidRDefault="00136F7A" w:rsidP="000364AB">
            <w:pPr>
              <w:rPr>
                <w:sz w:val="20"/>
              </w:rPr>
            </w:pPr>
            <w:r>
              <w:rPr>
                <w:sz w:val="20"/>
              </w:rPr>
              <w:t>Activités préalables à la mise en œuvre</w:t>
            </w:r>
            <w:r w:rsidRPr="00C45D6C">
              <w:rPr>
                <w:rStyle w:val="FootnoteReference"/>
                <w:sz w:val="20"/>
              </w:rPr>
              <w:footnoteReference w:id="2"/>
            </w:r>
            <w:r w:rsidR="000B28D4">
              <w:rPr>
                <w:sz w:val="20"/>
              </w:rPr>
              <w:t> :</w:t>
            </w:r>
          </w:p>
          <w:p w14:paraId="61DD3850" w14:textId="77777777" w:rsidR="00136F7A" w:rsidRPr="00C45D6C" w:rsidRDefault="00136F7A" w:rsidP="000364AB">
            <w:pPr>
              <w:rPr>
                <w:sz w:val="20"/>
              </w:rPr>
            </w:pPr>
            <w:r>
              <w:rPr>
                <w:sz w:val="20"/>
              </w:rPr>
              <w:t>– Nomination de coordonnateurs nationaux dans chacun des pays bénéficiaires</w:t>
            </w:r>
          </w:p>
          <w:p w14:paraId="7EC62FCC" w14:textId="77777777" w:rsidR="00136F7A" w:rsidRPr="00C45D6C" w:rsidRDefault="00136F7A" w:rsidP="000364AB">
            <w:pPr>
              <w:rPr>
                <w:sz w:val="20"/>
              </w:rPr>
            </w:pPr>
            <w:r>
              <w:rPr>
                <w:sz w:val="20"/>
              </w:rPr>
              <w:t>– Identification des consultants</w:t>
            </w:r>
          </w:p>
          <w:p w14:paraId="1424A40A" w14:textId="77777777" w:rsidR="00136F7A" w:rsidRPr="00C45D6C" w:rsidRDefault="00136F7A" w:rsidP="000364AB">
            <w:pPr>
              <w:rPr>
                <w:sz w:val="20"/>
              </w:rPr>
            </w:pPr>
            <w:r>
              <w:rPr>
                <w:sz w:val="20"/>
              </w:rPr>
              <w:t>– Élaboration et approbation des plans de projet par pays</w:t>
            </w:r>
          </w:p>
          <w:p w14:paraId="5CB5E215" w14:textId="77777777" w:rsidR="00136F7A" w:rsidRPr="00C45D6C" w:rsidRDefault="00136F7A" w:rsidP="000364AB">
            <w:pPr>
              <w:rPr>
                <w:sz w:val="20"/>
              </w:rPr>
            </w:pPr>
            <w:r>
              <w:rPr>
                <w:sz w:val="20"/>
              </w:rPr>
              <w:t>– Engagement d</w:t>
            </w:r>
            <w:r w:rsidR="000B28D4">
              <w:rPr>
                <w:sz w:val="20"/>
              </w:rPr>
              <w:t>’</w:t>
            </w:r>
            <w:r>
              <w:rPr>
                <w:sz w:val="20"/>
              </w:rPr>
              <w:t>un boursier</w:t>
            </w:r>
          </w:p>
        </w:tc>
        <w:tc>
          <w:tcPr>
            <w:tcW w:w="207" w:type="pct"/>
            <w:shd w:val="clear" w:color="auto" w:fill="D9D9D9" w:themeFill="background1" w:themeFillShade="D9"/>
            <w:vAlign w:val="center"/>
          </w:tcPr>
          <w:p w14:paraId="48AF2049" w14:textId="77777777" w:rsidR="00136F7A" w:rsidRPr="00126689" w:rsidRDefault="00136F7A" w:rsidP="000364AB">
            <w:pPr>
              <w:jc w:val="center"/>
            </w:pPr>
          </w:p>
        </w:tc>
        <w:tc>
          <w:tcPr>
            <w:tcW w:w="205" w:type="pct"/>
            <w:shd w:val="clear" w:color="auto" w:fill="D9D9D9" w:themeFill="background1" w:themeFillShade="D9"/>
            <w:vAlign w:val="center"/>
          </w:tcPr>
          <w:p w14:paraId="01767680" w14:textId="77777777" w:rsidR="00136F7A" w:rsidRPr="00126689" w:rsidRDefault="00136F7A" w:rsidP="000364AB">
            <w:pPr>
              <w:jc w:val="center"/>
            </w:pPr>
          </w:p>
        </w:tc>
        <w:tc>
          <w:tcPr>
            <w:tcW w:w="203" w:type="pct"/>
            <w:shd w:val="clear" w:color="auto" w:fill="D9D9D9" w:themeFill="background1" w:themeFillShade="D9"/>
            <w:vAlign w:val="center"/>
          </w:tcPr>
          <w:p w14:paraId="38ACC825" w14:textId="77777777" w:rsidR="00136F7A" w:rsidRPr="00126689" w:rsidRDefault="00136F7A" w:rsidP="000364AB">
            <w:pPr>
              <w:jc w:val="center"/>
            </w:pPr>
          </w:p>
        </w:tc>
        <w:tc>
          <w:tcPr>
            <w:tcW w:w="206" w:type="pct"/>
            <w:shd w:val="clear" w:color="auto" w:fill="D9D9D9" w:themeFill="background1" w:themeFillShade="D9"/>
            <w:vAlign w:val="center"/>
          </w:tcPr>
          <w:p w14:paraId="5786FD65" w14:textId="77777777" w:rsidR="00136F7A" w:rsidRPr="00126689" w:rsidRDefault="00136F7A" w:rsidP="000364AB">
            <w:pPr>
              <w:jc w:val="center"/>
            </w:pPr>
          </w:p>
        </w:tc>
        <w:tc>
          <w:tcPr>
            <w:tcW w:w="203" w:type="pct"/>
            <w:vAlign w:val="center"/>
          </w:tcPr>
          <w:p w14:paraId="70B3FBB5" w14:textId="77777777" w:rsidR="00136F7A" w:rsidRPr="00126689" w:rsidRDefault="00136F7A" w:rsidP="000364AB">
            <w:pPr>
              <w:jc w:val="center"/>
            </w:pPr>
          </w:p>
        </w:tc>
        <w:tc>
          <w:tcPr>
            <w:tcW w:w="203" w:type="pct"/>
            <w:vAlign w:val="center"/>
          </w:tcPr>
          <w:p w14:paraId="43CC3DCC" w14:textId="77777777" w:rsidR="00136F7A" w:rsidRPr="00126689" w:rsidRDefault="00136F7A" w:rsidP="000364AB">
            <w:pPr>
              <w:jc w:val="center"/>
            </w:pPr>
          </w:p>
        </w:tc>
        <w:tc>
          <w:tcPr>
            <w:tcW w:w="223" w:type="pct"/>
            <w:vAlign w:val="center"/>
          </w:tcPr>
          <w:p w14:paraId="0D6B9C72" w14:textId="77777777" w:rsidR="00136F7A" w:rsidRPr="00126689" w:rsidRDefault="00136F7A" w:rsidP="000364AB">
            <w:pPr>
              <w:jc w:val="center"/>
            </w:pPr>
          </w:p>
        </w:tc>
        <w:tc>
          <w:tcPr>
            <w:tcW w:w="196" w:type="pct"/>
            <w:vAlign w:val="center"/>
          </w:tcPr>
          <w:p w14:paraId="745D7304" w14:textId="77777777" w:rsidR="00136F7A" w:rsidRPr="00126689" w:rsidRDefault="00136F7A" w:rsidP="000364AB">
            <w:pPr>
              <w:jc w:val="center"/>
            </w:pPr>
          </w:p>
        </w:tc>
        <w:tc>
          <w:tcPr>
            <w:tcW w:w="202" w:type="pct"/>
            <w:shd w:val="clear" w:color="auto" w:fill="D9D9D9" w:themeFill="background1" w:themeFillShade="D9"/>
            <w:vAlign w:val="center"/>
          </w:tcPr>
          <w:p w14:paraId="401243BC" w14:textId="77777777" w:rsidR="00136F7A" w:rsidRPr="00126689" w:rsidRDefault="00136F7A" w:rsidP="000364AB">
            <w:pPr>
              <w:jc w:val="center"/>
            </w:pPr>
          </w:p>
        </w:tc>
        <w:tc>
          <w:tcPr>
            <w:tcW w:w="202" w:type="pct"/>
            <w:shd w:val="clear" w:color="auto" w:fill="D9D9D9" w:themeFill="background1" w:themeFillShade="D9"/>
            <w:vAlign w:val="center"/>
          </w:tcPr>
          <w:p w14:paraId="17BD50B3" w14:textId="77777777" w:rsidR="00136F7A" w:rsidRPr="00126689" w:rsidRDefault="00136F7A" w:rsidP="000364AB">
            <w:pPr>
              <w:jc w:val="center"/>
            </w:pPr>
          </w:p>
        </w:tc>
        <w:tc>
          <w:tcPr>
            <w:tcW w:w="199" w:type="pct"/>
            <w:shd w:val="clear" w:color="auto" w:fill="D9D9D9" w:themeFill="background1" w:themeFillShade="D9"/>
            <w:vAlign w:val="center"/>
          </w:tcPr>
          <w:p w14:paraId="54CDAEDB" w14:textId="77777777" w:rsidR="00136F7A" w:rsidRPr="00126689" w:rsidRDefault="00136F7A" w:rsidP="000364AB">
            <w:pPr>
              <w:jc w:val="center"/>
            </w:pPr>
          </w:p>
        </w:tc>
        <w:tc>
          <w:tcPr>
            <w:tcW w:w="205" w:type="pct"/>
            <w:shd w:val="clear" w:color="auto" w:fill="D9D9D9" w:themeFill="background1" w:themeFillShade="D9"/>
            <w:vAlign w:val="center"/>
          </w:tcPr>
          <w:p w14:paraId="71B9DA80" w14:textId="77777777" w:rsidR="00136F7A" w:rsidRPr="00126689" w:rsidRDefault="00136F7A" w:rsidP="000364AB">
            <w:pPr>
              <w:jc w:val="center"/>
            </w:pPr>
          </w:p>
        </w:tc>
      </w:tr>
      <w:tr w:rsidR="00136F7A" w:rsidRPr="00197D9F" w14:paraId="2909744B" w14:textId="77777777" w:rsidTr="00612843">
        <w:trPr>
          <w:trHeight w:val="20"/>
        </w:trPr>
        <w:tc>
          <w:tcPr>
            <w:tcW w:w="2546" w:type="pct"/>
            <w:shd w:val="clear" w:color="auto" w:fill="auto"/>
          </w:tcPr>
          <w:p w14:paraId="63FAC62B" w14:textId="77777777" w:rsidR="00136F7A" w:rsidRPr="00C45D6C" w:rsidRDefault="00136F7A" w:rsidP="000364AB">
            <w:pPr>
              <w:pStyle w:val="TableParagraph"/>
              <w:ind w:right="140"/>
              <w:rPr>
                <w:iCs/>
                <w:sz w:val="20"/>
                <w:szCs w:val="20"/>
              </w:rPr>
            </w:pPr>
            <w:r>
              <w:rPr>
                <w:sz w:val="20"/>
              </w:rPr>
              <w:t>Compilation des pratiques nationales des autorités audiovisuelles en matière de bases de données et d</w:t>
            </w:r>
            <w:r w:rsidR="000B28D4">
              <w:rPr>
                <w:sz w:val="20"/>
              </w:rPr>
              <w:t>’</w:t>
            </w:r>
            <w:r>
              <w:rPr>
                <w:sz w:val="20"/>
              </w:rPr>
              <w:t>outils disponibles pour la recherche d</w:t>
            </w:r>
            <w:r w:rsidR="000B28D4">
              <w:rPr>
                <w:sz w:val="20"/>
              </w:rPr>
              <w:t>’</w:t>
            </w:r>
            <w:r>
              <w:rPr>
                <w:sz w:val="20"/>
              </w:rPr>
              <w:t>informations sur la titularité d</w:t>
            </w:r>
            <w:r w:rsidR="000B28D4">
              <w:rPr>
                <w:sz w:val="20"/>
              </w:rPr>
              <w:t>’</w:t>
            </w:r>
            <w:r>
              <w:rPr>
                <w:sz w:val="20"/>
              </w:rPr>
              <w:t xml:space="preserve">œuvres audiovisuelles et la concession de licences dans ce domaine </w:t>
            </w:r>
          </w:p>
        </w:tc>
        <w:tc>
          <w:tcPr>
            <w:tcW w:w="207" w:type="pct"/>
            <w:shd w:val="clear" w:color="auto" w:fill="D9D9D9" w:themeFill="background1" w:themeFillShade="D9"/>
            <w:vAlign w:val="center"/>
          </w:tcPr>
          <w:p w14:paraId="26913FAF" w14:textId="77777777" w:rsidR="00136F7A" w:rsidRPr="00126689" w:rsidRDefault="00136F7A" w:rsidP="000364AB">
            <w:pPr>
              <w:jc w:val="center"/>
            </w:pPr>
            <w:proofErr w:type="gramStart"/>
            <w:r>
              <w:t>x</w:t>
            </w:r>
            <w:proofErr w:type="gramEnd"/>
          </w:p>
        </w:tc>
        <w:tc>
          <w:tcPr>
            <w:tcW w:w="205" w:type="pct"/>
            <w:shd w:val="clear" w:color="auto" w:fill="D9D9D9" w:themeFill="background1" w:themeFillShade="D9"/>
            <w:vAlign w:val="center"/>
          </w:tcPr>
          <w:p w14:paraId="2D44E1CF" w14:textId="77777777" w:rsidR="00136F7A" w:rsidRPr="00126689" w:rsidRDefault="00136F7A" w:rsidP="000364AB">
            <w:pPr>
              <w:jc w:val="center"/>
            </w:pPr>
            <w:proofErr w:type="gramStart"/>
            <w:r>
              <w:t>x</w:t>
            </w:r>
            <w:proofErr w:type="gramEnd"/>
          </w:p>
        </w:tc>
        <w:tc>
          <w:tcPr>
            <w:tcW w:w="203" w:type="pct"/>
            <w:shd w:val="clear" w:color="auto" w:fill="D9D9D9" w:themeFill="background1" w:themeFillShade="D9"/>
            <w:vAlign w:val="center"/>
          </w:tcPr>
          <w:p w14:paraId="469795BF" w14:textId="77777777" w:rsidR="00136F7A" w:rsidRPr="00126689" w:rsidRDefault="00136F7A" w:rsidP="000364AB">
            <w:pPr>
              <w:jc w:val="center"/>
            </w:pPr>
            <w:proofErr w:type="gramStart"/>
            <w:r>
              <w:t>x</w:t>
            </w:r>
            <w:proofErr w:type="gramEnd"/>
          </w:p>
        </w:tc>
        <w:tc>
          <w:tcPr>
            <w:tcW w:w="206" w:type="pct"/>
            <w:shd w:val="clear" w:color="auto" w:fill="D9D9D9" w:themeFill="background1" w:themeFillShade="D9"/>
            <w:vAlign w:val="center"/>
          </w:tcPr>
          <w:p w14:paraId="4058882B" w14:textId="77777777" w:rsidR="00136F7A" w:rsidRPr="00126689" w:rsidRDefault="00136F7A" w:rsidP="000364AB">
            <w:pPr>
              <w:jc w:val="center"/>
            </w:pPr>
            <w:proofErr w:type="gramStart"/>
            <w:r>
              <w:t>x</w:t>
            </w:r>
            <w:proofErr w:type="gramEnd"/>
          </w:p>
        </w:tc>
        <w:tc>
          <w:tcPr>
            <w:tcW w:w="203" w:type="pct"/>
            <w:vAlign w:val="center"/>
          </w:tcPr>
          <w:p w14:paraId="1F6CB3E9" w14:textId="77777777" w:rsidR="00136F7A" w:rsidRDefault="00136F7A" w:rsidP="000364AB">
            <w:pPr>
              <w:jc w:val="center"/>
            </w:pPr>
          </w:p>
        </w:tc>
        <w:tc>
          <w:tcPr>
            <w:tcW w:w="203" w:type="pct"/>
            <w:vAlign w:val="center"/>
          </w:tcPr>
          <w:p w14:paraId="283EC6C4" w14:textId="77777777" w:rsidR="00136F7A" w:rsidRDefault="00136F7A" w:rsidP="000364AB">
            <w:pPr>
              <w:jc w:val="center"/>
            </w:pPr>
          </w:p>
        </w:tc>
        <w:tc>
          <w:tcPr>
            <w:tcW w:w="223" w:type="pct"/>
            <w:vAlign w:val="center"/>
          </w:tcPr>
          <w:p w14:paraId="0B5C0DDF" w14:textId="77777777" w:rsidR="00136F7A" w:rsidRDefault="00136F7A" w:rsidP="000364AB">
            <w:pPr>
              <w:jc w:val="center"/>
            </w:pPr>
          </w:p>
        </w:tc>
        <w:tc>
          <w:tcPr>
            <w:tcW w:w="196" w:type="pct"/>
            <w:vAlign w:val="center"/>
          </w:tcPr>
          <w:p w14:paraId="658CCE1F" w14:textId="77777777" w:rsidR="00136F7A" w:rsidRDefault="00136F7A" w:rsidP="000364AB">
            <w:pPr>
              <w:jc w:val="center"/>
            </w:pPr>
          </w:p>
        </w:tc>
        <w:tc>
          <w:tcPr>
            <w:tcW w:w="202" w:type="pct"/>
            <w:shd w:val="clear" w:color="auto" w:fill="D9D9D9" w:themeFill="background1" w:themeFillShade="D9"/>
            <w:vAlign w:val="center"/>
          </w:tcPr>
          <w:p w14:paraId="65CC583F" w14:textId="77777777" w:rsidR="00136F7A" w:rsidRPr="00126689" w:rsidRDefault="00136F7A" w:rsidP="000364AB">
            <w:pPr>
              <w:jc w:val="center"/>
            </w:pPr>
          </w:p>
        </w:tc>
        <w:tc>
          <w:tcPr>
            <w:tcW w:w="202" w:type="pct"/>
            <w:shd w:val="clear" w:color="auto" w:fill="D9D9D9" w:themeFill="background1" w:themeFillShade="D9"/>
            <w:vAlign w:val="center"/>
          </w:tcPr>
          <w:p w14:paraId="6B6252AF" w14:textId="77777777" w:rsidR="00136F7A" w:rsidRPr="00126689" w:rsidRDefault="00136F7A" w:rsidP="000364AB">
            <w:pPr>
              <w:jc w:val="center"/>
            </w:pPr>
          </w:p>
        </w:tc>
        <w:tc>
          <w:tcPr>
            <w:tcW w:w="199" w:type="pct"/>
            <w:shd w:val="clear" w:color="auto" w:fill="D9D9D9" w:themeFill="background1" w:themeFillShade="D9"/>
            <w:vAlign w:val="center"/>
          </w:tcPr>
          <w:p w14:paraId="360AEFB2" w14:textId="77777777" w:rsidR="00136F7A" w:rsidRPr="00126689" w:rsidRDefault="00136F7A" w:rsidP="000364AB">
            <w:pPr>
              <w:jc w:val="center"/>
            </w:pPr>
          </w:p>
        </w:tc>
        <w:tc>
          <w:tcPr>
            <w:tcW w:w="205" w:type="pct"/>
            <w:shd w:val="clear" w:color="auto" w:fill="D9D9D9" w:themeFill="background1" w:themeFillShade="D9"/>
            <w:vAlign w:val="center"/>
          </w:tcPr>
          <w:p w14:paraId="5C9A5DB3" w14:textId="77777777" w:rsidR="00136F7A" w:rsidRPr="00126689" w:rsidRDefault="00136F7A" w:rsidP="000364AB">
            <w:pPr>
              <w:jc w:val="center"/>
            </w:pPr>
          </w:p>
        </w:tc>
      </w:tr>
      <w:tr w:rsidR="00136F7A" w:rsidRPr="00197D9F" w14:paraId="34289BAD" w14:textId="77777777" w:rsidTr="00612843">
        <w:trPr>
          <w:trHeight w:val="20"/>
        </w:trPr>
        <w:tc>
          <w:tcPr>
            <w:tcW w:w="2546" w:type="pct"/>
            <w:shd w:val="clear" w:color="auto" w:fill="auto"/>
          </w:tcPr>
          <w:p w14:paraId="6ABF3A09" w14:textId="77777777" w:rsidR="00136F7A" w:rsidRPr="00C45D6C" w:rsidRDefault="00136F7A" w:rsidP="00972809">
            <w:pPr>
              <w:pStyle w:val="TableParagraph"/>
              <w:widowControl/>
              <w:ind w:right="176"/>
              <w:rPr>
                <w:iCs/>
                <w:sz w:val="20"/>
                <w:szCs w:val="20"/>
              </w:rPr>
            </w:pPr>
            <w:r>
              <w:rPr>
                <w:sz w:val="20"/>
              </w:rPr>
              <w:t xml:space="preserve">Ateliers de formation pratique (au moins quatre) pour </w:t>
            </w:r>
            <w:proofErr w:type="gramStart"/>
            <w:r>
              <w:rPr>
                <w:sz w:val="20"/>
              </w:rPr>
              <w:t>les micro</w:t>
            </w:r>
            <w:proofErr w:type="gramEnd"/>
            <w:r>
              <w:rPr>
                <w:sz w:val="20"/>
              </w:rPr>
              <w:t>, petites et moyennes entreprises et les créateurs dans les pays participants afin de répondre à leurs besoins spécifiques en matière d</w:t>
            </w:r>
            <w:r w:rsidR="000B28D4">
              <w:rPr>
                <w:sz w:val="20"/>
              </w:rPr>
              <w:t>’</w:t>
            </w:r>
            <w:r>
              <w:rPr>
                <w:sz w:val="20"/>
              </w:rPr>
              <w:t>utilisation et d</w:t>
            </w:r>
            <w:r w:rsidR="000B28D4">
              <w:rPr>
                <w:sz w:val="20"/>
              </w:rPr>
              <w:t>’</w:t>
            </w:r>
            <w:r>
              <w:rPr>
                <w:sz w:val="20"/>
              </w:rPr>
              <w:t>acquisition de matériel relatif à la propriété intellectuelle et de commercialisation du contenu audiovisuel</w:t>
            </w:r>
          </w:p>
        </w:tc>
        <w:tc>
          <w:tcPr>
            <w:tcW w:w="207" w:type="pct"/>
            <w:shd w:val="clear" w:color="auto" w:fill="D9D9D9" w:themeFill="background1" w:themeFillShade="D9"/>
            <w:vAlign w:val="center"/>
          </w:tcPr>
          <w:p w14:paraId="45224E79" w14:textId="77777777" w:rsidR="00136F7A" w:rsidRPr="00126689" w:rsidRDefault="00136F7A" w:rsidP="000364AB">
            <w:pPr>
              <w:jc w:val="center"/>
            </w:pPr>
          </w:p>
        </w:tc>
        <w:tc>
          <w:tcPr>
            <w:tcW w:w="205" w:type="pct"/>
            <w:shd w:val="clear" w:color="auto" w:fill="D9D9D9" w:themeFill="background1" w:themeFillShade="D9"/>
            <w:vAlign w:val="center"/>
          </w:tcPr>
          <w:p w14:paraId="502964AD" w14:textId="77777777" w:rsidR="00136F7A" w:rsidRPr="00126689" w:rsidRDefault="00136F7A" w:rsidP="000364AB">
            <w:pPr>
              <w:jc w:val="center"/>
            </w:pPr>
          </w:p>
        </w:tc>
        <w:tc>
          <w:tcPr>
            <w:tcW w:w="203" w:type="pct"/>
            <w:shd w:val="clear" w:color="auto" w:fill="D9D9D9" w:themeFill="background1" w:themeFillShade="D9"/>
            <w:vAlign w:val="center"/>
          </w:tcPr>
          <w:p w14:paraId="5F083031" w14:textId="77777777" w:rsidR="00136F7A" w:rsidRPr="00126689" w:rsidRDefault="00136F7A" w:rsidP="000364AB">
            <w:pPr>
              <w:jc w:val="center"/>
            </w:pPr>
          </w:p>
        </w:tc>
        <w:tc>
          <w:tcPr>
            <w:tcW w:w="206" w:type="pct"/>
            <w:shd w:val="clear" w:color="auto" w:fill="D9D9D9" w:themeFill="background1" w:themeFillShade="D9"/>
            <w:vAlign w:val="center"/>
          </w:tcPr>
          <w:p w14:paraId="582D9E7E" w14:textId="77777777" w:rsidR="00136F7A" w:rsidRPr="00126689" w:rsidRDefault="00136F7A" w:rsidP="000364AB">
            <w:pPr>
              <w:jc w:val="center"/>
            </w:pPr>
          </w:p>
        </w:tc>
        <w:tc>
          <w:tcPr>
            <w:tcW w:w="203" w:type="pct"/>
            <w:vAlign w:val="center"/>
          </w:tcPr>
          <w:p w14:paraId="692627AE" w14:textId="77777777" w:rsidR="00136F7A" w:rsidRDefault="00136F7A" w:rsidP="000364AB">
            <w:pPr>
              <w:jc w:val="center"/>
            </w:pPr>
            <w:proofErr w:type="gramStart"/>
            <w:r>
              <w:t>x</w:t>
            </w:r>
            <w:proofErr w:type="gramEnd"/>
          </w:p>
        </w:tc>
        <w:tc>
          <w:tcPr>
            <w:tcW w:w="203" w:type="pct"/>
            <w:vAlign w:val="center"/>
          </w:tcPr>
          <w:p w14:paraId="77CD2B3B" w14:textId="77777777" w:rsidR="00136F7A" w:rsidRDefault="00136F7A" w:rsidP="000364AB">
            <w:pPr>
              <w:jc w:val="center"/>
            </w:pPr>
            <w:proofErr w:type="gramStart"/>
            <w:r>
              <w:t>x</w:t>
            </w:r>
            <w:proofErr w:type="gramEnd"/>
          </w:p>
        </w:tc>
        <w:tc>
          <w:tcPr>
            <w:tcW w:w="223" w:type="pct"/>
            <w:vAlign w:val="center"/>
          </w:tcPr>
          <w:p w14:paraId="15005B4A" w14:textId="77777777" w:rsidR="00136F7A" w:rsidRDefault="00136F7A" w:rsidP="000364AB">
            <w:pPr>
              <w:jc w:val="center"/>
            </w:pPr>
            <w:proofErr w:type="gramStart"/>
            <w:r>
              <w:t>x</w:t>
            </w:r>
            <w:proofErr w:type="gramEnd"/>
          </w:p>
        </w:tc>
        <w:tc>
          <w:tcPr>
            <w:tcW w:w="196" w:type="pct"/>
            <w:vAlign w:val="center"/>
          </w:tcPr>
          <w:p w14:paraId="49BAEC3D" w14:textId="77777777" w:rsidR="00136F7A" w:rsidRDefault="00136F7A" w:rsidP="000364AB">
            <w:pPr>
              <w:jc w:val="center"/>
            </w:pPr>
            <w:proofErr w:type="gramStart"/>
            <w:r>
              <w:t>x</w:t>
            </w:r>
            <w:proofErr w:type="gramEnd"/>
          </w:p>
        </w:tc>
        <w:tc>
          <w:tcPr>
            <w:tcW w:w="202" w:type="pct"/>
            <w:shd w:val="clear" w:color="auto" w:fill="D9D9D9" w:themeFill="background1" w:themeFillShade="D9"/>
            <w:vAlign w:val="center"/>
          </w:tcPr>
          <w:p w14:paraId="2305CF81" w14:textId="77777777" w:rsidR="00136F7A" w:rsidRPr="00126689" w:rsidRDefault="00136F7A" w:rsidP="000364AB">
            <w:pPr>
              <w:jc w:val="center"/>
            </w:pPr>
            <w:proofErr w:type="gramStart"/>
            <w:r>
              <w:t>x</w:t>
            </w:r>
            <w:proofErr w:type="gramEnd"/>
          </w:p>
        </w:tc>
        <w:tc>
          <w:tcPr>
            <w:tcW w:w="202" w:type="pct"/>
            <w:shd w:val="clear" w:color="auto" w:fill="D9D9D9" w:themeFill="background1" w:themeFillShade="D9"/>
            <w:vAlign w:val="center"/>
          </w:tcPr>
          <w:p w14:paraId="30F65E8E" w14:textId="77777777" w:rsidR="00136F7A" w:rsidRPr="00126689" w:rsidRDefault="00136F7A" w:rsidP="000364AB">
            <w:pPr>
              <w:jc w:val="center"/>
            </w:pPr>
            <w:proofErr w:type="gramStart"/>
            <w:r>
              <w:t>x</w:t>
            </w:r>
            <w:proofErr w:type="gramEnd"/>
          </w:p>
        </w:tc>
        <w:tc>
          <w:tcPr>
            <w:tcW w:w="199" w:type="pct"/>
            <w:shd w:val="clear" w:color="auto" w:fill="D9D9D9" w:themeFill="background1" w:themeFillShade="D9"/>
            <w:vAlign w:val="center"/>
          </w:tcPr>
          <w:p w14:paraId="76964D7E" w14:textId="77777777" w:rsidR="00136F7A" w:rsidRPr="00126689" w:rsidRDefault="00136F7A" w:rsidP="000364AB">
            <w:pPr>
              <w:jc w:val="center"/>
            </w:pPr>
          </w:p>
        </w:tc>
        <w:tc>
          <w:tcPr>
            <w:tcW w:w="205" w:type="pct"/>
            <w:shd w:val="clear" w:color="auto" w:fill="D9D9D9" w:themeFill="background1" w:themeFillShade="D9"/>
            <w:vAlign w:val="center"/>
          </w:tcPr>
          <w:p w14:paraId="7F27C7CA" w14:textId="77777777" w:rsidR="00136F7A" w:rsidRPr="00126689" w:rsidRDefault="00136F7A" w:rsidP="000364AB">
            <w:pPr>
              <w:jc w:val="center"/>
            </w:pPr>
          </w:p>
        </w:tc>
      </w:tr>
      <w:tr w:rsidR="00136F7A" w:rsidRPr="00197D9F" w14:paraId="75FD0618" w14:textId="77777777" w:rsidTr="00612843">
        <w:trPr>
          <w:trHeight w:val="20"/>
        </w:trPr>
        <w:tc>
          <w:tcPr>
            <w:tcW w:w="2546" w:type="pct"/>
            <w:shd w:val="clear" w:color="auto" w:fill="auto"/>
          </w:tcPr>
          <w:p w14:paraId="14E9091A" w14:textId="77777777" w:rsidR="00136F7A" w:rsidRPr="000707DA" w:rsidRDefault="00136F7A" w:rsidP="000364AB">
            <w:pPr>
              <w:pStyle w:val="TableParagraph"/>
              <w:ind w:right="175"/>
              <w:rPr>
                <w:sz w:val="20"/>
                <w:szCs w:val="20"/>
              </w:rPr>
            </w:pPr>
            <w:r>
              <w:rPr>
                <w:sz w:val="20"/>
              </w:rPr>
              <w:t>Un examen des marchés actuels de licences et des structures de gestion des droits liés à l</w:t>
            </w:r>
            <w:r w:rsidR="000B28D4">
              <w:rPr>
                <w:sz w:val="20"/>
              </w:rPr>
              <w:t>’</w:t>
            </w:r>
            <w:r>
              <w:rPr>
                <w:sz w:val="20"/>
              </w:rPr>
              <w:t>utilisation d</w:t>
            </w:r>
            <w:r w:rsidR="000B28D4">
              <w:rPr>
                <w:sz w:val="20"/>
              </w:rPr>
              <w:t>’</w:t>
            </w:r>
            <w:r>
              <w:rPr>
                <w:sz w:val="20"/>
              </w:rPr>
              <w:t>œuvres audiovisuelles et de systèmes d</w:t>
            </w:r>
            <w:r w:rsidR="000B28D4">
              <w:rPr>
                <w:sz w:val="20"/>
              </w:rPr>
              <w:t>’</w:t>
            </w:r>
            <w:r>
              <w:rPr>
                <w:sz w:val="20"/>
              </w:rPr>
              <w:t>intelligence artificielle</w:t>
            </w:r>
          </w:p>
        </w:tc>
        <w:tc>
          <w:tcPr>
            <w:tcW w:w="207" w:type="pct"/>
            <w:shd w:val="clear" w:color="auto" w:fill="D9D9D9" w:themeFill="background1" w:themeFillShade="D9"/>
            <w:vAlign w:val="center"/>
          </w:tcPr>
          <w:p w14:paraId="4B0EE856" w14:textId="77777777" w:rsidR="00136F7A" w:rsidRPr="00126689" w:rsidRDefault="00136F7A" w:rsidP="000364AB">
            <w:pPr>
              <w:jc w:val="center"/>
            </w:pPr>
          </w:p>
        </w:tc>
        <w:tc>
          <w:tcPr>
            <w:tcW w:w="205" w:type="pct"/>
            <w:shd w:val="clear" w:color="auto" w:fill="D9D9D9" w:themeFill="background1" w:themeFillShade="D9"/>
            <w:vAlign w:val="center"/>
          </w:tcPr>
          <w:p w14:paraId="15F4066F" w14:textId="77777777" w:rsidR="00136F7A" w:rsidRPr="00126689" w:rsidRDefault="00136F7A" w:rsidP="000364AB">
            <w:pPr>
              <w:jc w:val="center"/>
            </w:pPr>
          </w:p>
        </w:tc>
        <w:tc>
          <w:tcPr>
            <w:tcW w:w="203" w:type="pct"/>
            <w:shd w:val="clear" w:color="auto" w:fill="D9D9D9" w:themeFill="background1" w:themeFillShade="D9"/>
            <w:vAlign w:val="center"/>
          </w:tcPr>
          <w:p w14:paraId="4DA785F9" w14:textId="77777777" w:rsidR="00136F7A" w:rsidRPr="00126689" w:rsidRDefault="00136F7A" w:rsidP="000364AB">
            <w:pPr>
              <w:jc w:val="center"/>
            </w:pPr>
          </w:p>
        </w:tc>
        <w:tc>
          <w:tcPr>
            <w:tcW w:w="206" w:type="pct"/>
            <w:shd w:val="clear" w:color="auto" w:fill="D9D9D9" w:themeFill="background1" w:themeFillShade="D9"/>
            <w:vAlign w:val="center"/>
          </w:tcPr>
          <w:p w14:paraId="2ECB7D65" w14:textId="77777777" w:rsidR="00136F7A" w:rsidRPr="00126689" w:rsidRDefault="00136F7A" w:rsidP="000364AB">
            <w:pPr>
              <w:jc w:val="center"/>
            </w:pPr>
          </w:p>
        </w:tc>
        <w:tc>
          <w:tcPr>
            <w:tcW w:w="203" w:type="pct"/>
            <w:vAlign w:val="center"/>
          </w:tcPr>
          <w:p w14:paraId="4F9660A9" w14:textId="77777777" w:rsidR="00136F7A" w:rsidRDefault="00136F7A" w:rsidP="000364AB">
            <w:pPr>
              <w:jc w:val="center"/>
            </w:pPr>
            <w:proofErr w:type="gramStart"/>
            <w:r>
              <w:t>x</w:t>
            </w:r>
            <w:proofErr w:type="gramEnd"/>
          </w:p>
        </w:tc>
        <w:tc>
          <w:tcPr>
            <w:tcW w:w="203" w:type="pct"/>
            <w:vAlign w:val="center"/>
          </w:tcPr>
          <w:p w14:paraId="57070C7C" w14:textId="77777777" w:rsidR="00136F7A" w:rsidRDefault="00136F7A" w:rsidP="000364AB">
            <w:pPr>
              <w:jc w:val="center"/>
            </w:pPr>
            <w:proofErr w:type="gramStart"/>
            <w:r>
              <w:t>x</w:t>
            </w:r>
            <w:proofErr w:type="gramEnd"/>
          </w:p>
        </w:tc>
        <w:tc>
          <w:tcPr>
            <w:tcW w:w="223" w:type="pct"/>
            <w:vAlign w:val="center"/>
          </w:tcPr>
          <w:p w14:paraId="4476C9C3" w14:textId="77777777" w:rsidR="00136F7A" w:rsidRDefault="00136F7A" w:rsidP="000364AB">
            <w:pPr>
              <w:jc w:val="center"/>
            </w:pPr>
            <w:proofErr w:type="gramStart"/>
            <w:r>
              <w:t>x</w:t>
            </w:r>
            <w:proofErr w:type="gramEnd"/>
          </w:p>
        </w:tc>
        <w:tc>
          <w:tcPr>
            <w:tcW w:w="196" w:type="pct"/>
            <w:vAlign w:val="center"/>
          </w:tcPr>
          <w:p w14:paraId="1C271A14" w14:textId="77777777" w:rsidR="00136F7A" w:rsidRDefault="00136F7A" w:rsidP="000364AB">
            <w:pPr>
              <w:jc w:val="center"/>
            </w:pPr>
            <w:proofErr w:type="gramStart"/>
            <w:r>
              <w:t>x</w:t>
            </w:r>
            <w:proofErr w:type="gramEnd"/>
          </w:p>
        </w:tc>
        <w:tc>
          <w:tcPr>
            <w:tcW w:w="202" w:type="pct"/>
            <w:shd w:val="clear" w:color="auto" w:fill="D9D9D9" w:themeFill="background1" w:themeFillShade="D9"/>
            <w:vAlign w:val="center"/>
          </w:tcPr>
          <w:p w14:paraId="23203BBF" w14:textId="77777777" w:rsidR="00136F7A" w:rsidRPr="00126689" w:rsidRDefault="00136F7A" w:rsidP="000364AB">
            <w:pPr>
              <w:jc w:val="center"/>
            </w:pPr>
          </w:p>
        </w:tc>
        <w:tc>
          <w:tcPr>
            <w:tcW w:w="202" w:type="pct"/>
            <w:shd w:val="clear" w:color="auto" w:fill="D9D9D9" w:themeFill="background1" w:themeFillShade="D9"/>
            <w:vAlign w:val="center"/>
          </w:tcPr>
          <w:p w14:paraId="26A0D6FE" w14:textId="77777777" w:rsidR="00136F7A" w:rsidRPr="00126689" w:rsidRDefault="00136F7A" w:rsidP="000364AB">
            <w:pPr>
              <w:jc w:val="center"/>
            </w:pPr>
          </w:p>
        </w:tc>
        <w:tc>
          <w:tcPr>
            <w:tcW w:w="199" w:type="pct"/>
            <w:shd w:val="clear" w:color="auto" w:fill="D9D9D9" w:themeFill="background1" w:themeFillShade="D9"/>
            <w:vAlign w:val="center"/>
          </w:tcPr>
          <w:p w14:paraId="0364A87E" w14:textId="77777777" w:rsidR="00136F7A" w:rsidRPr="00126689" w:rsidRDefault="00136F7A" w:rsidP="000364AB">
            <w:pPr>
              <w:jc w:val="center"/>
            </w:pPr>
          </w:p>
        </w:tc>
        <w:tc>
          <w:tcPr>
            <w:tcW w:w="205" w:type="pct"/>
            <w:shd w:val="clear" w:color="auto" w:fill="D9D9D9" w:themeFill="background1" w:themeFillShade="D9"/>
            <w:vAlign w:val="center"/>
          </w:tcPr>
          <w:p w14:paraId="47A0918F" w14:textId="77777777" w:rsidR="00136F7A" w:rsidRPr="00126689" w:rsidRDefault="00136F7A" w:rsidP="000364AB">
            <w:pPr>
              <w:jc w:val="center"/>
            </w:pPr>
          </w:p>
        </w:tc>
      </w:tr>
      <w:tr w:rsidR="00136F7A" w:rsidRPr="00197D9F" w14:paraId="7C55B10C" w14:textId="77777777" w:rsidTr="00612843">
        <w:trPr>
          <w:trHeight w:val="20"/>
        </w:trPr>
        <w:tc>
          <w:tcPr>
            <w:tcW w:w="2546" w:type="pct"/>
            <w:shd w:val="clear" w:color="auto" w:fill="auto"/>
          </w:tcPr>
          <w:p w14:paraId="06DFBD2F" w14:textId="77777777" w:rsidR="00136F7A" w:rsidRPr="00C45D6C" w:rsidRDefault="00136F7A" w:rsidP="000364AB">
            <w:pPr>
              <w:pStyle w:val="TableParagraph"/>
              <w:ind w:right="175"/>
              <w:rPr>
                <w:iCs/>
                <w:sz w:val="20"/>
                <w:szCs w:val="20"/>
              </w:rPr>
            </w:pPr>
            <w:r>
              <w:rPr>
                <w:sz w:val="20"/>
              </w:rPr>
              <w:t>Guide de référence pour l</w:t>
            </w:r>
            <w:r w:rsidR="000B28D4">
              <w:rPr>
                <w:sz w:val="20"/>
              </w:rPr>
              <w:t>’</w:t>
            </w:r>
            <w:r>
              <w:rPr>
                <w:sz w:val="20"/>
              </w:rPr>
              <w:t>utilisation et la commercialisation de la propriété intellectuelle dans la production audiovisuelle l</w:t>
            </w:r>
            <w:r w:rsidR="000B28D4">
              <w:rPr>
                <w:sz w:val="20"/>
              </w:rPr>
              <w:t>’</w:t>
            </w:r>
            <w:r>
              <w:rPr>
                <w:sz w:val="20"/>
              </w:rPr>
              <w:t xml:space="preserve">intention </w:t>
            </w:r>
            <w:proofErr w:type="gramStart"/>
            <w:r>
              <w:rPr>
                <w:sz w:val="20"/>
              </w:rPr>
              <w:t>des micro</w:t>
            </w:r>
            <w:proofErr w:type="gramEnd"/>
            <w:r>
              <w:rPr>
                <w:sz w:val="20"/>
              </w:rPr>
              <w:t xml:space="preserve">, petites et moyennes entreprises </w:t>
            </w:r>
          </w:p>
        </w:tc>
        <w:tc>
          <w:tcPr>
            <w:tcW w:w="207" w:type="pct"/>
            <w:shd w:val="clear" w:color="auto" w:fill="D9D9D9" w:themeFill="background1" w:themeFillShade="D9"/>
            <w:vAlign w:val="center"/>
          </w:tcPr>
          <w:p w14:paraId="50696E4B" w14:textId="77777777" w:rsidR="00136F7A" w:rsidRPr="00126689" w:rsidRDefault="00136F7A" w:rsidP="000364AB">
            <w:pPr>
              <w:jc w:val="center"/>
            </w:pPr>
          </w:p>
        </w:tc>
        <w:tc>
          <w:tcPr>
            <w:tcW w:w="205" w:type="pct"/>
            <w:shd w:val="clear" w:color="auto" w:fill="D9D9D9" w:themeFill="background1" w:themeFillShade="D9"/>
            <w:vAlign w:val="center"/>
          </w:tcPr>
          <w:p w14:paraId="77B91241" w14:textId="77777777" w:rsidR="00136F7A" w:rsidRPr="00126689" w:rsidRDefault="00136F7A" w:rsidP="000364AB">
            <w:pPr>
              <w:jc w:val="center"/>
            </w:pPr>
          </w:p>
        </w:tc>
        <w:tc>
          <w:tcPr>
            <w:tcW w:w="203" w:type="pct"/>
            <w:shd w:val="clear" w:color="auto" w:fill="D9D9D9" w:themeFill="background1" w:themeFillShade="D9"/>
            <w:vAlign w:val="center"/>
          </w:tcPr>
          <w:p w14:paraId="11FE2DBE" w14:textId="77777777" w:rsidR="00136F7A" w:rsidRPr="00126689" w:rsidRDefault="00136F7A" w:rsidP="000364AB">
            <w:pPr>
              <w:jc w:val="center"/>
            </w:pPr>
          </w:p>
        </w:tc>
        <w:tc>
          <w:tcPr>
            <w:tcW w:w="206" w:type="pct"/>
            <w:shd w:val="clear" w:color="auto" w:fill="D9D9D9" w:themeFill="background1" w:themeFillShade="D9"/>
            <w:vAlign w:val="center"/>
          </w:tcPr>
          <w:p w14:paraId="5F2D9BAD" w14:textId="77777777" w:rsidR="00136F7A" w:rsidRPr="00126689" w:rsidRDefault="00136F7A" w:rsidP="000364AB">
            <w:pPr>
              <w:jc w:val="center"/>
            </w:pPr>
          </w:p>
        </w:tc>
        <w:tc>
          <w:tcPr>
            <w:tcW w:w="203" w:type="pct"/>
            <w:vAlign w:val="center"/>
          </w:tcPr>
          <w:p w14:paraId="73BA2AE3" w14:textId="77777777" w:rsidR="00136F7A" w:rsidRDefault="00136F7A" w:rsidP="000364AB">
            <w:pPr>
              <w:jc w:val="center"/>
            </w:pPr>
          </w:p>
        </w:tc>
        <w:tc>
          <w:tcPr>
            <w:tcW w:w="203" w:type="pct"/>
            <w:vAlign w:val="center"/>
          </w:tcPr>
          <w:p w14:paraId="480C4E03" w14:textId="77777777" w:rsidR="00136F7A" w:rsidRDefault="00136F7A" w:rsidP="000364AB">
            <w:pPr>
              <w:jc w:val="center"/>
            </w:pPr>
            <w:proofErr w:type="gramStart"/>
            <w:r>
              <w:t>x</w:t>
            </w:r>
            <w:proofErr w:type="gramEnd"/>
          </w:p>
        </w:tc>
        <w:tc>
          <w:tcPr>
            <w:tcW w:w="223" w:type="pct"/>
            <w:vAlign w:val="center"/>
          </w:tcPr>
          <w:p w14:paraId="1B199332" w14:textId="77777777" w:rsidR="00136F7A" w:rsidRDefault="00136F7A" w:rsidP="000364AB">
            <w:pPr>
              <w:jc w:val="center"/>
            </w:pPr>
            <w:proofErr w:type="gramStart"/>
            <w:r>
              <w:t>x</w:t>
            </w:r>
            <w:proofErr w:type="gramEnd"/>
          </w:p>
        </w:tc>
        <w:tc>
          <w:tcPr>
            <w:tcW w:w="196" w:type="pct"/>
            <w:vAlign w:val="center"/>
          </w:tcPr>
          <w:p w14:paraId="3F30B14B" w14:textId="77777777" w:rsidR="00136F7A" w:rsidRDefault="00136F7A" w:rsidP="000364AB">
            <w:pPr>
              <w:jc w:val="center"/>
            </w:pPr>
            <w:proofErr w:type="gramStart"/>
            <w:r>
              <w:t>x</w:t>
            </w:r>
            <w:proofErr w:type="gramEnd"/>
          </w:p>
        </w:tc>
        <w:tc>
          <w:tcPr>
            <w:tcW w:w="202" w:type="pct"/>
            <w:shd w:val="clear" w:color="auto" w:fill="D9D9D9" w:themeFill="background1" w:themeFillShade="D9"/>
            <w:vAlign w:val="center"/>
          </w:tcPr>
          <w:p w14:paraId="4A0E52B4" w14:textId="77777777" w:rsidR="00136F7A" w:rsidRPr="00126689" w:rsidRDefault="00136F7A" w:rsidP="000364AB">
            <w:pPr>
              <w:jc w:val="center"/>
            </w:pPr>
            <w:proofErr w:type="gramStart"/>
            <w:r>
              <w:t>x</w:t>
            </w:r>
            <w:proofErr w:type="gramEnd"/>
          </w:p>
        </w:tc>
        <w:tc>
          <w:tcPr>
            <w:tcW w:w="202" w:type="pct"/>
            <w:shd w:val="clear" w:color="auto" w:fill="D9D9D9" w:themeFill="background1" w:themeFillShade="D9"/>
            <w:vAlign w:val="center"/>
          </w:tcPr>
          <w:p w14:paraId="22878FAB" w14:textId="77777777" w:rsidR="00136F7A" w:rsidRPr="00126689" w:rsidRDefault="00136F7A" w:rsidP="000364AB">
            <w:pPr>
              <w:jc w:val="center"/>
            </w:pPr>
          </w:p>
        </w:tc>
        <w:tc>
          <w:tcPr>
            <w:tcW w:w="199" w:type="pct"/>
            <w:shd w:val="clear" w:color="auto" w:fill="D9D9D9" w:themeFill="background1" w:themeFillShade="D9"/>
            <w:vAlign w:val="center"/>
          </w:tcPr>
          <w:p w14:paraId="459F6983" w14:textId="77777777" w:rsidR="00136F7A" w:rsidRPr="00126689" w:rsidRDefault="00136F7A" w:rsidP="000364AB">
            <w:pPr>
              <w:jc w:val="center"/>
            </w:pPr>
          </w:p>
        </w:tc>
        <w:tc>
          <w:tcPr>
            <w:tcW w:w="205" w:type="pct"/>
            <w:shd w:val="clear" w:color="auto" w:fill="D9D9D9" w:themeFill="background1" w:themeFillShade="D9"/>
            <w:vAlign w:val="center"/>
          </w:tcPr>
          <w:p w14:paraId="0F9FB0FE" w14:textId="77777777" w:rsidR="00136F7A" w:rsidRPr="00126689" w:rsidRDefault="00136F7A" w:rsidP="000364AB">
            <w:pPr>
              <w:jc w:val="center"/>
            </w:pPr>
          </w:p>
        </w:tc>
      </w:tr>
      <w:tr w:rsidR="00136F7A" w:rsidRPr="00197D9F" w14:paraId="6D870F2C" w14:textId="77777777" w:rsidTr="00612843">
        <w:trPr>
          <w:trHeight w:val="20"/>
        </w:trPr>
        <w:tc>
          <w:tcPr>
            <w:tcW w:w="2546" w:type="pct"/>
            <w:shd w:val="clear" w:color="auto" w:fill="auto"/>
          </w:tcPr>
          <w:p w14:paraId="7E762313" w14:textId="77777777" w:rsidR="00136F7A" w:rsidRPr="00C45D6C" w:rsidRDefault="00136F7A" w:rsidP="000364AB">
            <w:pPr>
              <w:pStyle w:val="TableParagraph"/>
              <w:ind w:right="175"/>
              <w:rPr>
                <w:iCs/>
                <w:sz w:val="20"/>
                <w:szCs w:val="20"/>
              </w:rPr>
            </w:pPr>
            <w:r>
              <w:rPr>
                <w:sz w:val="20"/>
              </w:rPr>
              <w:t>Ateliers nationaux (au moins deux) sur la médiation et l</w:t>
            </w:r>
            <w:r w:rsidR="000B28D4">
              <w:rPr>
                <w:sz w:val="20"/>
              </w:rPr>
              <w:t>’</w:t>
            </w:r>
            <w:r>
              <w:rPr>
                <w:sz w:val="20"/>
              </w:rPr>
              <w:t>arbitrage dans les industries de la création</w:t>
            </w:r>
          </w:p>
        </w:tc>
        <w:tc>
          <w:tcPr>
            <w:tcW w:w="207" w:type="pct"/>
            <w:shd w:val="clear" w:color="auto" w:fill="D9D9D9" w:themeFill="background1" w:themeFillShade="D9"/>
            <w:vAlign w:val="center"/>
          </w:tcPr>
          <w:p w14:paraId="152C8AB6" w14:textId="77777777" w:rsidR="00136F7A" w:rsidRPr="00126689" w:rsidRDefault="00136F7A" w:rsidP="000364AB">
            <w:pPr>
              <w:jc w:val="center"/>
            </w:pPr>
          </w:p>
        </w:tc>
        <w:tc>
          <w:tcPr>
            <w:tcW w:w="205" w:type="pct"/>
            <w:shd w:val="clear" w:color="auto" w:fill="D9D9D9" w:themeFill="background1" w:themeFillShade="D9"/>
            <w:vAlign w:val="center"/>
          </w:tcPr>
          <w:p w14:paraId="68D236DD" w14:textId="77777777" w:rsidR="00136F7A" w:rsidRPr="00126689" w:rsidRDefault="00136F7A" w:rsidP="000364AB">
            <w:pPr>
              <w:jc w:val="center"/>
            </w:pPr>
          </w:p>
        </w:tc>
        <w:tc>
          <w:tcPr>
            <w:tcW w:w="203" w:type="pct"/>
            <w:shd w:val="clear" w:color="auto" w:fill="D9D9D9" w:themeFill="background1" w:themeFillShade="D9"/>
            <w:vAlign w:val="center"/>
          </w:tcPr>
          <w:p w14:paraId="638FB8D0" w14:textId="77777777" w:rsidR="00136F7A" w:rsidRPr="00126689" w:rsidRDefault="00136F7A" w:rsidP="000364AB">
            <w:pPr>
              <w:jc w:val="center"/>
            </w:pPr>
          </w:p>
        </w:tc>
        <w:tc>
          <w:tcPr>
            <w:tcW w:w="206" w:type="pct"/>
            <w:shd w:val="clear" w:color="auto" w:fill="D9D9D9" w:themeFill="background1" w:themeFillShade="D9"/>
            <w:vAlign w:val="center"/>
          </w:tcPr>
          <w:p w14:paraId="1BB1FF6C" w14:textId="77777777" w:rsidR="00136F7A" w:rsidRPr="00126689" w:rsidRDefault="00136F7A" w:rsidP="000364AB">
            <w:pPr>
              <w:jc w:val="center"/>
            </w:pPr>
          </w:p>
        </w:tc>
        <w:tc>
          <w:tcPr>
            <w:tcW w:w="203" w:type="pct"/>
            <w:vAlign w:val="center"/>
          </w:tcPr>
          <w:p w14:paraId="16A08F61" w14:textId="77777777" w:rsidR="00136F7A" w:rsidRPr="00126689" w:rsidRDefault="00136F7A" w:rsidP="000364AB">
            <w:pPr>
              <w:jc w:val="center"/>
            </w:pPr>
            <w:proofErr w:type="gramStart"/>
            <w:r>
              <w:t>x</w:t>
            </w:r>
            <w:proofErr w:type="gramEnd"/>
          </w:p>
        </w:tc>
        <w:tc>
          <w:tcPr>
            <w:tcW w:w="203" w:type="pct"/>
            <w:vAlign w:val="center"/>
          </w:tcPr>
          <w:p w14:paraId="28A9381C" w14:textId="77777777" w:rsidR="00136F7A" w:rsidRPr="00126689" w:rsidRDefault="00136F7A" w:rsidP="000364AB">
            <w:pPr>
              <w:jc w:val="center"/>
            </w:pPr>
            <w:proofErr w:type="gramStart"/>
            <w:r>
              <w:t>x</w:t>
            </w:r>
            <w:proofErr w:type="gramEnd"/>
          </w:p>
        </w:tc>
        <w:tc>
          <w:tcPr>
            <w:tcW w:w="223" w:type="pct"/>
            <w:vAlign w:val="center"/>
          </w:tcPr>
          <w:p w14:paraId="7EDA42AA" w14:textId="77777777" w:rsidR="00136F7A" w:rsidRPr="00126689" w:rsidRDefault="00136F7A" w:rsidP="000364AB">
            <w:pPr>
              <w:jc w:val="center"/>
            </w:pPr>
            <w:proofErr w:type="gramStart"/>
            <w:r>
              <w:t>x</w:t>
            </w:r>
            <w:proofErr w:type="gramEnd"/>
          </w:p>
        </w:tc>
        <w:tc>
          <w:tcPr>
            <w:tcW w:w="196" w:type="pct"/>
            <w:vAlign w:val="center"/>
          </w:tcPr>
          <w:p w14:paraId="163C7251" w14:textId="77777777" w:rsidR="00136F7A" w:rsidRPr="00126689" w:rsidRDefault="00136F7A" w:rsidP="000364AB">
            <w:pPr>
              <w:jc w:val="center"/>
            </w:pPr>
            <w:proofErr w:type="gramStart"/>
            <w:r>
              <w:t>x</w:t>
            </w:r>
            <w:proofErr w:type="gramEnd"/>
          </w:p>
        </w:tc>
        <w:tc>
          <w:tcPr>
            <w:tcW w:w="202" w:type="pct"/>
            <w:shd w:val="clear" w:color="auto" w:fill="D9D9D9" w:themeFill="background1" w:themeFillShade="D9"/>
            <w:vAlign w:val="center"/>
          </w:tcPr>
          <w:p w14:paraId="27FA38F6" w14:textId="77777777" w:rsidR="00136F7A" w:rsidRDefault="00136F7A" w:rsidP="000364AB">
            <w:pPr>
              <w:jc w:val="center"/>
            </w:pPr>
          </w:p>
        </w:tc>
        <w:tc>
          <w:tcPr>
            <w:tcW w:w="202" w:type="pct"/>
            <w:shd w:val="clear" w:color="auto" w:fill="D9D9D9" w:themeFill="background1" w:themeFillShade="D9"/>
            <w:vAlign w:val="center"/>
          </w:tcPr>
          <w:p w14:paraId="4567FD4C" w14:textId="77777777" w:rsidR="00136F7A" w:rsidRDefault="00136F7A" w:rsidP="000364AB">
            <w:pPr>
              <w:jc w:val="center"/>
            </w:pPr>
          </w:p>
        </w:tc>
        <w:tc>
          <w:tcPr>
            <w:tcW w:w="199" w:type="pct"/>
            <w:shd w:val="clear" w:color="auto" w:fill="D9D9D9" w:themeFill="background1" w:themeFillShade="D9"/>
            <w:vAlign w:val="center"/>
          </w:tcPr>
          <w:p w14:paraId="416D34D6" w14:textId="77777777" w:rsidR="00136F7A" w:rsidRDefault="00136F7A" w:rsidP="000364AB">
            <w:pPr>
              <w:jc w:val="center"/>
            </w:pPr>
          </w:p>
        </w:tc>
        <w:tc>
          <w:tcPr>
            <w:tcW w:w="205" w:type="pct"/>
            <w:shd w:val="clear" w:color="auto" w:fill="D9D9D9" w:themeFill="background1" w:themeFillShade="D9"/>
            <w:vAlign w:val="center"/>
          </w:tcPr>
          <w:p w14:paraId="1590C29F" w14:textId="77777777" w:rsidR="00136F7A" w:rsidRPr="00126689" w:rsidRDefault="00136F7A" w:rsidP="000364AB">
            <w:pPr>
              <w:jc w:val="center"/>
            </w:pPr>
          </w:p>
        </w:tc>
      </w:tr>
      <w:tr w:rsidR="00136F7A" w:rsidRPr="00197D9F" w14:paraId="30E44C76" w14:textId="77777777" w:rsidTr="00612843">
        <w:trPr>
          <w:trHeight w:val="20"/>
        </w:trPr>
        <w:tc>
          <w:tcPr>
            <w:tcW w:w="2546" w:type="pct"/>
            <w:shd w:val="clear" w:color="auto" w:fill="auto"/>
          </w:tcPr>
          <w:p w14:paraId="715DFAC6" w14:textId="77777777" w:rsidR="00136F7A" w:rsidRPr="00C45D6C" w:rsidRDefault="00136F7A" w:rsidP="000364AB">
            <w:pPr>
              <w:rPr>
                <w:b/>
                <w:iCs/>
                <w:sz w:val="20"/>
              </w:rPr>
            </w:pPr>
            <w:r>
              <w:rPr>
                <w:sz w:val="20"/>
              </w:rPr>
              <w:t>Méthode pour mesurer la participation des femmes dans le secteur audiovisuel, sur la base d</w:t>
            </w:r>
            <w:r w:rsidR="000B28D4">
              <w:rPr>
                <w:sz w:val="20"/>
              </w:rPr>
              <w:t>’</w:t>
            </w:r>
            <w:r>
              <w:rPr>
                <w:sz w:val="20"/>
              </w:rPr>
              <w:t>une étude de cas établie dans le cadre du projet initial</w:t>
            </w:r>
          </w:p>
        </w:tc>
        <w:tc>
          <w:tcPr>
            <w:tcW w:w="207" w:type="pct"/>
            <w:shd w:val="clear" w:color="auto" w:fill="D9D9D9" w:themeFill="background1" w:themeFillShade="D9"/>
            <w:vAlign w:val="center"/>
          </w:tcPr>
          <w:p w14:paraId="3D6A7E6F" w14:textId="77777777" w:rsidR="00136F7A" w:rsidRPr="00126689" w:rsidRDefault="00136F7A" w:rsidP="000364AB">
            <w:pPr>
              <w:jc w:val="center"/>
            </w:pPr>
          </w:p>
        </w:tc>
        <w:tc>
          <w:tcPr>
            <w:tcW w:w="205" w:type="pct"/>
            <w:shd w:val="clear" w:color="auto" w:fill="D9D9D9" w:themeFill="background1" w:themeFillShade="D9"/>
            <w:vAlign w:val="center"/>
          </w:tcPr>
          <w:p w14:paraId="39812F95" w14:textId="77777777" w:rsidR="00136F7A" w:rsidRPr="00126689" w:rsidRDefault="00136F7A" w:rsidP="000364AB">
            <w:pPr>
              <w:jc w:val="center"/>
            </w:pPr>
          </w:p>
        </w:tc>
        <w:tc>
          <w:tcPr>
            <w:tcW w:w="203" w:type="pct"/>
            <w:shd w:val="clear" w:color="auto" w:fill="D9D9D9" w:themeFill="background1" w:themeFillShade="D9"/>
            <w:vAlign w:val="center"/>
          </w:tcPr>
          <w:p w14:paraId="2C0B3701" w14:textId="77777777" w:rsidR="00136F7A" w:rsidRPr="00126689" w:rsidRDefault="00136F7A" w:rsidP="000364AB">
            <w:pPr>
              <w:jc w:val="center"/>
            </w:pPr>
          </w:p>
        </w:tc>
        <w:tc>
          <w:tcPr>
            <w:tcW w:w="206" w:type="pct"/>
            <w:shd w:val="clear" w:color="auto" w:fill="D9D9D9" w:themeFill="background1" w:themeFillShade="D9"/>
            <w:vAlign w:val="center"/>
          </w:tcPr>
          <w:p w14:paraId="4549ECF7" w14:textId="77777777" w:rsidR="00136F7A" w:rsidRPr="00126689" w:rsidRDefault="00136F7A" w:rsidP="000364AB">
            <w:pPr>
              <w:jc w:val="center"/>
            </w:pPr>
          </w:p>
        </w:tc>
        <w:tc>
          <w:tcPr>
            <w:tcW w:w="203" w:type="pct"/>
            <w:vAlign w:val="center"/>
          </w:tcPr>
          <w:p w14:paraId="4014A422" w14:textId="77777777" w:rsidR="00136F7A" w:rsidRPr="00126689" w:rsidRDefault="00136F7A" w:rsidP="000364AB">
            <w:pPr>
              <w:jc w:val="center"/>
            </w:pPr>
            <w:proofErr w:type="gramStart"/>
            <w:r>
              <w:t>x</w:t>
            </w:r>
            <w:proofErr w:type="gramEnd"/>
          </w:p>
        </w:tc>
        <w:tc>
          <w:tcPr>
            <w:tcW w:w="203" w:type="pct"/>
            <w:vAlign w:val="center"/>
          </w:tcPr>
          <w:p w14:paraId="72E99579" w14:textId="77777777" w:rsidR="00136F7A" w:rsidRPr="00126689" w:rsidRDefault="00136F7A" w:rsidP="000364AB">
            <w:pPr>
              <w:jc w:val="center"/>
            </w:pPr>
            <w:proofErr w:type="gramStart"/>
            <w:r>
              <w:t>x</w:t>
            </w:r>
            <w:proofErr w:type="gramEnd"/>
          </w:p>
        </w:tc>
        <w:tc>
          <w:tcPr>
            <w:tcW w:w="223" w:type="pct"/>
            <w:vAlign w:val="center"/>
          </w:tcPr>
          <w:p w14:paraId="06183D18" w14:textId="77777777" w:rsidR="00136F7A" w:rsidRPr="00126689" w:rsidRDefault="00136F7A" w:rsidP="000364AB">
            <w:pPr>
              <w:jc w:val="center"/>
            </w:pPr>
            <w:proofErr w:type="gramStart"/>
            <w:r>
              <w:t>x</w:t>
            </w:r>
            <w:proofErr w:type="gramEnd"/>
          </w:p>
        </w:tc>
        <w:tc>
          <w:tcPr>
            <w:tcW w:w="196" w:type="pct"/>
            <w:vAlign w:val="center"/>
          </w:tcPr>
          <w:p w14:paraId="6AEC7830" w14:textId="77777777" w:rsidR="00136F7A" w:rsidRPr="00126689" w:rsidRDefault="00136F7A" w:rsidP="000364AB">
            <w:pPr>
              <w:jc w:val="center"/>
            </w:pPr>
            <w:proofErr w:type="gramStart"/>
            <w:r>
              <w:t>x</w:t>
            </w:r>
            <w:proofErr w:type="gramEnd"/>
          </w:p>
        </w:tc>
        <w:tc>
          <w:tcPr>
            <w:tcW w:w="202" w:type="pct"/>
            <w:shd w:val="clear" w:color="auto" w:fill="D9D9D9" w:themeFill="background1" w:themeFillShade="D9"/>
            <w:vAlign w:val="center"/>
          </w:tcPr>
          <w:p w14:paraId="0CCBCBAB" w14:textId="77777777" w:rsidR="00136F7A" w:rsidRDefault="00136F7A" w:rsidP="000364AB">
            <w:pPr>
              <w:jc w:val="center"/>
            </w:pPr>
            <w:proofErr w:type="gramStart"/>
            <w:r>
              <w:t>x</w:t>
            </w:r>
            <w:proofErr w:type="gramEnd"/>
          </w:p>
        </w:tc>
        <w:tc>
          <w:tcPr>
            <w:tcW w:w="202" w:type="pct"/>
            <w:shd w:val="clear" w:color="auto" w:fill="D9D9D9" w:themeFill="background1" w:themeFillShade="D9"/>
            <w:vAlign w:val="center"/>
          </w:tcPr>
          <w:p w14:paraId="015106EA" w14:textId="77777777" w:rsidR="00136F7A" w:rsidRDefault="00136F7A" w:rsidP="000364AB">
            <w:pPr>
              <w:jc w:val="center"/>
            </w:pPr>
          </w:p>
        </w:tc>
        <w:tc>
          <w:tcPr>
            <w:tcW w:w="199" w:type="pct"/>
            <w:shd w:val="clear" w:color="auto" w:fill="D9D9D9" w:themeFill="background1" w:themeFillShade="D9"/>
            <w:vAlign w:val="center"/>
          </w:tcPr>
          <w:p w14:paraId="1C82DD6E" w14:textId="77777777" w:rsidR="00136F7A" w:rsidRDefault="00136F7A" w:rsidP="000364AB">
            <w:pPr>
              <w:jc w:val="center"/>
            </w:pPr>
          </w:p>
        </w:tc>
        <w:tc>
          <w:tcPr>
            <w:tcW w:w="205" w:type="pct"/>
            <w:shd w:val="clear" w:color="auto" w:fill="D9D9D9" w:themeFill="background1" w:themeFillShade="D9"/>
            <w:vAlign w:val="center"/>
          </w:tcPr>
          <w:p w14:paraId="6375950F" w14:textId="77777777" w:rsidR="00136F7A" w:rsidRPr="00126689" w:rsidRDefault="00136F7A" w:rsidP="000364AB">
            <w:pPr>
              <w:jc w:val="center"/>
            </w:pPr>
          </w:p>
        </w:tc>
      </w:tr>
      <w:tr w:rsidR="00136F7A" w:rsidRPr="00197D9F" w14:paraId="61605E59" w14:textId="77777777" w:rsidTr="00612843">
        <w:trPr>
          <w:trHeight w:val="20"/>
        </w:trPr>
        <w:tc>
          <w:tcPr>
            <w:tcW w:w="2546" w:type="pct"/>
            <w:shd w:val="clear" w:color="auto" w:fill="auto"/>
          </w:tcPr>
          <w:p w14:paraId="41560B28" w14:textId="77777777" w:rsidR="00136F7A" w:rsidRPr="00C45D6C" w:rsidRDefault="00136F7A" w:rsidP="000364AB">
            <w:pPr>
              <w:pStyle w:val="TableParagraph"/>
              <w:ind w:right="173"/>
              <w:rPr>
                <w:iCs/>
                <w:sz w:val="20"/>
                <w:szCs w:val="20"/>
              </w:rPr>
            </w:pPr>
            <w:r>
              <w:rPr>
                <w:sz w:val="20"/>
              </w:rPr>
              <w:t>Analyse de l</w:t>
            </w:r>
            <w:r w:rsidR="000B28D4">
              <w:rPr>
                <w:sz w:val="20"/>
              </w:rPr>
              <w:t>’</w:t>
            </w:r>
            <w:r>
              <w:rPr>
                <w:sz w:val="20"/>
              </w:rPr>
              <w:t>impact des accords internationaux de coproduction existant dans les pays bénéficiaires et de la commercialisation de la propriété intellectuelle relative au contenu audiovisuel</w:t>
            </w:r>
          </w:p>
        </w:tc>
        <w:tc>
          <w:tcPr>
            <w:tcW w:w="207" w:type="pct"/>
            <w:shd w:val="clear" w:color="auto" w:fill="D9D9D9" w:themeFill="background1" w:themeFillShade="D9"/>
            <w:vAlign w:val="center"/>
          </w:tcPr>
          <w:p w14:paraId="1CF6D187" w14:textId="77777777" w:rsidR="00136F7A" w:rsidRPr="00126689" w:rsidRDefault="00136F7A" w:rsidP="000364AB">
            <w:pPr>
              <w:jc w:val="center"/>
            </w:pPr>
          </w:p>
        </w:tc>
        <w:tc>
          <w:tcPr>
            <w:tcW w:w="205" w:type="pct"/>
            <w:shd w:val="clear" w:color="auto" w:fill="D9D9D9" w:themeFill="background1" w:themeFillShade="D9"/>
            <w:vAlign w:val="center"/>
          </w:tcPr>
          <w:p w14:paraId="43D0F345" w14:textId="77777777" w:rsidR="00136F7A" w:rsidRPr="00126689" w:rsidRDefault="00136F7A" w:rsidP="000364AB">
            <w:pPr>
              <w:jc w:val="center"/>
            </w:pPr>
          </w:p>
        </w:tc>
        <w:tc>
          <w:tcPr>
            <w:tcW w:w="203" w:type="pct"/>
            <w:shd w:val="clear" w:color="auto" w:fill="D9D9D9" w:themeFill="background1" w:themeFillShade="D9"/>
            <w:vAlign w:val="center"/>
          </w:tcPr>
          <w:p w14:paraId="421185FE" w14:textId="77777777" w:rsidR="00136F7A" w:rsidRPr="00126689" w:rsidRDefault="00136F7A" w:rsidP="000364AB">
            <w:pPr>
              <w:jc w:val="center"/>
            </w:pPr>
          </w:p>
        </w:tc>
        <w:tc>
          <w:tcPr>
            <w:tcW w:w="206" w:type="pct"/>
            <w:shd w:val="clear" w:color="auto" w:fill="D9D9D9" w:themeFill="background1" w:themeFillShade="D9"/>
            <w:vAlign w:val="center"/>
          </w:tcPr>
          <w:p w14:paraId="354E38A4" w14:textId="77777777" w:rsidR="00136F7A" w:rsidRPr="00126689" w:rsidRDefault="00136F7A" w:rsidP="000364AB">
            <w:pPr>
              <w:jc w:val="center"/>
            </w:pPr>
          </w:p>
        </w:tc>
        <w:tc>
          <w:tcPr>
            <w:tcW w:w="203" w:type="pct"/>
            <w:vAlign w:val="center"/>
          </w:tcPr>
          <w:p w14:paraId="14DFBD7A" w14:textId="77777777" w:rsidR="00136F7A" w:rsidRPr="00126689" w:rsidRDefault="00136F7A" w:rsidP="000364AB">
            <w:pPr>
              <w:jc w:val="center"/>
            </w:pPr>
          </w:p>
        </w:tc>
        <w:tc>
          <w:tcPr>
            <w:tcW w:w="203" w:type="pct"/>
            <w:vAlign w:val="center"/>
          </w:tcPr>
          <w:p w14:paraId="6674B940" w14:textId="77777777" w:rsidR="00136F7A" w:rsidRPr="00126689" w:rsidRDefault="00136F7A" w:rsidP="000364AB">
            <w:pPr>
              <w:jc w:val="center"/>
            </w:pPr>
          </w:p>
        </w:tc>
        <w:tc>
          <w:tcPr>
            <w:tcW w:w="223" w:type="pct"/>
            <w:vAlign w:val="center"/>
          </w:tcPr>
          <w:p w14:paraId="26F3B47A" w14:textId="77777777" w:rsidR="00136F7A" w:rsidRPr="00126689" w:rsidRDefault="00136F7A" w:rsidP="000364AB">
            <w:pPr>
              <w:jc w:val="center"/>
            </w:pPr>
            <w:proofErr w:type="gramStart"/>
            <w:r>
              <w:t>x</w:t>
            </w:r>
            <w:proofErr w:type="gramEnd"/>
          </w:p>
        </w:tc>
        <w:tc>
          <w:tcPr>
            <w:tcW w:w="196" w:type="pct"/>
            <w:vAlign w:val="center"/>
          </w:tcPr>
          <w:p w14:paraId="6E5F7932" w14:textId="77777777" w:rsidR="00136F7A" w:rsidRPr="00126689" w:rsidRDefault="00136F7A" w:rsidP="000364AB">
            <w:pPr>
              <w:jc w:val="center"/>
            </w:pPr>
            <w:proofErr w:type="gramStart"/>
            <w:r>
              <w:t>x</w:t>
            </w:r>
            <w:proofErr w:type="gramEnd"/>
          </w:p>
        </w:tc>
        <w:tc>
          <w:tcPr>
            <w:tcW w:w="202" w:type="pct"/>
            <w:shd w:val="clear" w:color="auto" w:fill="D9D9D9" w:themeFill="background1" w:themeFillShade="D9"/>
            <w:vAlign w:val="center"/>
          </w:tcPr>
          <w:p w14:paraId="5FB95AF0" w14:textId="77777777" w:rsidR="00136F7A" w:rsidRDefault="00136F7A" w:rsidP="000364AB">
            <w:pPr>
              <w:jc w:val="center"/>
            </w:pPr>
            <w:proofErr w:type="gramStart"/>
            <w:r>
              <w:t>x</w:t>
            </w:r>
            <w:proofErr w:type="gramEnd"/>
          </w:p>
        </w:tc>
        <w:tc>
          <w:tcPr>
            <w:tcW w:w="202" w:type="pct"/>
            <w:shd w:val="clear" w:color="auto" w:fill="D9D9D9" w:themeFill="background1" w:themeFillShade="D9"/>
            <w:vAlign w:val="center"/>
          </w:tcPr>
          <w:p w14:paraId="64E2990E" w14:textId="77777777" w:rsidR="00136F7A" w:rsidRDefault="00136F7A" w:rsidP="000364AB">
            <w:pPr>
              <w:jc w:val="center"/>
            </w:pPr>
          </w:p>
        </w:tc>
        <w:tc>
          <w:tcPr>
            <w:tcW w:w="199" w:type="pct"/>
            <w:shd w:val="clear" w:color="auto" w:fill="D9D9D9" w:themeFill="background1" w:themeFillShade="D9"/>
            <w:vAlign w:val="center"/>
          </w:tcPr>
          <w:p w14:paraId="64168F31" w14:textId="77777777" w:rsidR="00136F7A" w:rsidRDefault="00136F7A" w:rsidP="000364AB">
            <w:pPr>
              <w:jc w:val="center"/>
            </w:pPr>
          </w:p>
        </w:tc>
        <w:tc>
          <w:tcPr>
            <w:tcW w:w="205" w:type="pct"/>
            <w:shd w:val="clear" w:color="auto" w:fill="D9D9D9" w:themeFill="background1" w:themeFillShade="D9"/>
            <w:vAlign w:val="center"/>
          </w:tcPr>
          <w:p w14:paraId="50803439" w14:textId="77777777" w:rsidR="00136F7A" w:rsidRPr="00126689" w:rsidRDefault="00136F7A" w:rsidP="000364AB">
            <w:pPr>
              <w:jc w:val="center"/>
            </w:pPr>
          </w:p>
        </w:tc>
      </w:tr>
      <w:tr w:rsidR="00136F7A" w:rsidRPr="00197D9F" w14:paraId="6F785E15" w14:textId="77777777" w:rsidTr="00612843">
        <w:trPr>
          <w:trHeight w:val="20"/>
        </w:trPr>
        <w:tc>
          <w:tcPr>
            <w:tcW w:w="2546" w:type="pct"/>
            <w:shd w:val="clear" w:color="auto" w:fill="auto"/>
          </w:tcPr>
          <w:p w14:paraId="49106EE6" w14:textId="77777777" w:rsidR="00136F7A" w:rsidRPr="00C45D6C" w:rsidRDefault="00136F7A" w:rsidP="000364AB">
            <w:pPr>
              <w:pStyle w:val="TableParagraph"/>
              <w:ind w:right="173"/>
              <w:rPr>
                <w:iCs/>
                <w:sz w:val="20"/>
                <w:szCs w:val="20"/>
              </w:rPr>
            </w:pPr>
            <w:r>
              <w:rPr>
                <w:sz w:val="20"/>
              </w:rPr>
              <w:t>Séminaire sur l</w:t>
            </w:r>
            <w:r w:rsidR="000B28D4">
              <w:rPr>
                <w:sz w:val="20"/>
              </w:rPr>
              <w:t>’</w:t>
            </w:r>
            <w:r>
              <w:rPr>
                <w:sz w:val="20"/>
              </w:rPr>
              <w:t>industrie audiovisuelle à l</w:t>
            </w:r>
            <w:r w:rsidR="000B28D4">
              <w:rPr>
                <w:sz w:val="20"/>
              </w:rPr>
              <w:t>’</w:t>
            </w:r>
            <w:r>
              <w:rPr>
                <w:sz w:val="20"/>
              </w:rPr>
              <w:t>ère de la diffusion en continu</w:t>
            </w:r>
          </w:p>
        </w:tc>
        <w:tc>
          <w:tcPr>
            <w:tcW w:w="207" w:type="pct"/>
            <w:shd w:val="clear" w:color="auto" w:fill="D9D9D9" w:themeFill="background1" w:themeFillShade="D9"/>
            <w:vAlign w:val="center"/>
          </w:tcPr>
          <w:p w14:paraId="167B3CFB" w14:textId="77777777" w:rsidR="00136F7A" w:rsidRPr="00126689" w:rsidRDefault="00136F7A" w:rsidP="000364AB">
            <w:pPr>
              <w:jc w:val="center"/>
            </w:pPr>
          </w:p>
        </w:tc>
        <w:tc>
          <w:tcPr>
            <w:tcW w:w="205" w:type="pct"/>
            <w:shd w:val="clear" w:color="auto" w:fill="D9D9D9" w:themeFill="background1" w:themeFillShade="D9"/>
            <w:vAlign w:val="center"/>
          </w:tcPr>
          <w:p w14:paraId="10DF3158" w14:textId="77777777" w:rsidR="00136F7A" w:rsidRPr="00126689" w:rsidRDefault="00136F7A" w:rsidP="000364AB">
            <w:pPr>
              <w:jc w:val="center"/>
            </w:pPr>
          </w:p>
        </w:tc>
        <w:tc>
          <w:tcPr>
            <w:tcW w:w="203" w:type="pct"/>
            <w:shd w:val="clear" w:color="auto" w:fill="D9D9D9" w:themeFill="background1" w:themeFillShade="D9"/>
            <w:vAlign w:val="center"/>
          </w:tcPr>
          <w:p w14:paraId="5D74AD5F" w14:textId="77777777" w:rsidR="00136F7A" w:rsidRPr="00126689" w:rsidRDefault="00136F7A" w:rsidP="000364AB">
            <w:pPr>
              <w:jc w:val="center"/>
            </w:pPr>
          </w:p>
        </w:tc>
        <w:tc>
          <w:tcPr>
            <w:tcW w:w="206" w:type="pct"/>
            <w:shd w:val="clear" w:color="auto" w:fill="D9D9D9" w:themeFill="background1" w:themeFillShade="D9"/>
            <w:vAlign w:val="center"/>
          </w:tcPr>
          <w:p w14:paraId="602BFC63" w14:textId="77777777" w:rsidR="00136F7A" w:rsidRPr="00126689" w:rsidRDefault="00136F7A" w:rsidP="000364AB">
            <w:pPr>
              <w:jc w:val="center"/>
            </w:pPr>
          </w:p>
        </w:tc>
        <w:tc>
          <w:tcPr>
            <w:tcW w:w="203" w:type="pct"/>
            <w:vAlign w:val="center"/>
          </w:tcPr>
          <w:p w14:paraId="127E4ADE" w14:textId="77777777" w:rsidR="00136F7A" w:rsidRPr="00126689" w:rsidRDefault="00136F7A" w:rsidP="000364AB">
            <w:pPr>
              <w:jc w:val="center"/>
            </w:pPr>
          </w:p>
        </w:tc>
        <w:tc>
          <w:tcPr>
            <w:tcW w:w="203" w:type="pct"/>
            <w:vAlign w:val="center"/>
          </w:tcPr>
          <w:p w14:paraId="120AE584" w14:textId="77777777" w:rsidR="00136F7A" w:rsidRPr="00126689" w:rsidRDefault="00136F7A" w:rsidP="000364AB">
            <w:pPr>
              <w:jc w:val="center"/>
            </w:pPr>
          </w:p>
        </w:tc>
        <w:tc>
          <w:tcPr>
            <w:tcW w:w="223" w:type="pct"/>
            <w:vAlign w:val="center"/>
          </w:tcPr>
          <w:p w14:paraId="4713BBA4" w14:textId="77777777" w:rsidR="00136F7A" w:rsidRPr="00126689" w:rsidRDefault="00136F7A" w:rsidP="000364AB">
            <w:pPr>
              <w:jc w:val="center"/>
            </w:pPr>
          </w:p>
        </w:tc>
        <w:tc>
          <w:tcPr>
            <w:tcW w:w="196" w:type="pct"/>
            <w:vAlign w:val="center"/>
          </w:tcPr>
          <w:p w14:paraId="5B124F61" w14:textId="77777777" w:rsidR="00136F7A" w:rsidRPr="00126689" w:rsidRDefault="00136F7A" w:rsidP="000364AB">
            <w:pPr>
              <w:jc w:val="center"/>
            </w:pPr>
          </w:p>
        </w:tc>
        <w:tc>
          <w:tcPr>
            <w:tcW w:w="202" w:type="pct"/>
            <w:shd w:val="clear" w:color="auto" w:fill="D9D9D9" w:themeFill="background1" w:themeFillShade="D9"/>
            <w:vAlign w:val="center"/>
          </w:tcPr>
          <w:p w14:paraId="687C1D0B" w14:textId="77777777" w:rsidR="00136F7A" w:rsidRDefault="00136F7A" w:rsidP="000364AB">
            <w:pPr>
              <w:jc w:val="center"/>
            </w:pPr>
          </w:p>
        </w:tc>
        <w:tc>
          <w:tcPr>
            <w:tcW w:w="202" w:type="pct"/>
            <w:shd w:val="clear" w:color="auto" w:fill="D9D9D9" w:themeFill="background1" w:themeFillShade="D9"/>
            <w:vAlign w:val="center"/>
          </w:tcPr>
          <w:p w14:paraId="7C7322E8" w14:textId="77777777" w:rsidR="00136F7A" w:rsidRDefault="00136F7A" w:rsidP="000364AB">
            <w:pPr>
              <w:jc w:val="center"/>
            </w:pPr>
            <w:proofErr w:type="gramStart"/>
            <w:r>
              <w:t>x</w:t>
            </w:r>
            <w:proofErr w:type="gramEnd"/>
          </w:p>
        </w:tc>
        <w:tc>
          <w:tcPr>
            <w:tcW w:w="199" w:type="pct"/>
            <w:shd w:val="clear" w:color="auto" w:fill="D9D9D9" w:themeFill="background1" w:themeFillShade="D9"/>
            <w:vAlign w:val="center"/>
          </w:tcPr>
          <w:p w14:paraId="680F1E68" w14:textId="77777777" w:rsidR="00136F7A" w:rsidRPr="00761F0A" w:rsidRDefault="00136F7A" w:rsidP="000364AB">
            <w:pPr>
              <w:jc w:val="center"/>
            </w:pPr>
            <w:proofErr w:type="gramStart"/>
            <w:r>
              <w:t>x</w:t>
            </w:r>
            <w:proofErr w:type="gramEnd"/>
          </w:p>
        </w:tc>
        <w:tc>
          <w:tcPr>
            <w:tcW w:w="205" w:type="pct"/>
            <w:shd w:val="clear" w:color="auto" w:fill="D9D9D9" w:themeFill="background1" w:themeFillShade="D9"/>
            <w:vAlign w:val="center"/>
          </w:tcPr>
          <w:p w14:paraId="270E6D00" w14:textId="77777777" w:rsidR="00136F7A" w:rsidRPr="00126689" w:rsidRDefault="00136F7A" w:rsidP="000364AB">
            <w:pPr>
              <w:jc w:val="center"/>
            </w:pPr>
          </w:p>
        </w:tc>
      </w:tr>
      <w:tr w:rsidR="00136F7A" w:rsidRPr="00197D9F" w14:paraId="4EBB54E9" w14:textId="77777777" w:rsidTr="00612843">
        <w:trPr>
          <w:trHeight w:val="20"/>
        </w:trPr>
        <w:tc>
          <w:tcPr>
            <w:tcW w:w="2546" w:type="pct"/>
            <w:shd w:val="clear" w:color="auto" w:fill="auto"/>
          </w:tcPr>
          <w:p w14:paraId="77BE3799" w14:textId="77777777" w:rsidR="00136F7A" w:rsidRPr="00C45D6C" w:rsidRDefault="00136F7A" w:rsidP="000364AB">
            <w:pPr>
              <w:rPr>
                <w:sz w:val="20"/>
              </w:rPr>
            </w:pPr>
            <w:r>
              <w:rPr>
                <w:sz w:val="20"/>
              </w:rPr>
              <w:t>Évaluation du projet</w:t>
            </w:r>
          </w:p>
        </w:tc>
        <w:tc>
          <w:tcPr>
            <w:tcW w:w="207" w:type="pct"/>
            <w:shd w:val="clear" w:color="auto" w:fill="D9D9D9" w:themeFill="background1" w:themeFillShade="D9"/>
            <w:vAlign w:val="center"/>
          </w:tcPr>
          <w:p w14:paraId="5767DF0B" w14:textId="77777777" w:rsidR="00136F7A" w:rsidRPr="00126689" w:rsidRDefault="00136F7A" w:rsidP="000364AB">
            <w:pPr>
              <w:jc w:val="center"/>
            </w:pPr>
          </w:p>
        </w:tc>
        <w:tc>
          <w:tcPr>
            <w:tcW w:w="205" w:type="pct"/>
            <w:shd w:val="clear" w:color="auto" w:fill="D9D9D9" w:themeFill="background1" w:themeFillShade="D9"/>
            <w:vAlign w:val="center"/>
          </w:tcPr>
          <w:p w14:paraId="46E48994" w14:textId="77777777" w:rsidR="00136F7A" w:rsidRPr="00126689" w:rsidRDefault="00136F7A" w:rsidP="000364AB">
            <w:pPr>
              <w:jc w:val="center"/>
            </w:pPr>
          </w:p>
        </w:tc>
        <w:tc>
          <w:tcPr>
            <w:tcW w:w="203" w:type="pct"/>
            <w:shd w:val="clear" w:color="auto" w:fill="D9D9D9" w:themeFill="background1" w:themeFillShade="D9"/>
            <w:vAlign w:val="center"/>
          </w:tcPr>
          <w:p w14:paraId="487ED1C6" w14:textId="77777777" w:rsidR="00136F7A" w:rsidRPr="00126689" w:rsidRDefault="00136F7A" w:rsidP="000364AB">
            <w:pPr>
              <w:jc w:val="center"/>
            </w:pPr>
          </w:p>
        </w:tc>
        <w:tc>
          <w:tcPr>
            <w:tcW w:w="206" w:type="pct"/>
            <w:shd w:val="clear" w:color="auto" w:fill="D9D9D9" w:themeFill="background1" w:themeFillShade="D9"/>
            <w:vAlign w:val="center"/>
          </w:tcPr>
          <w:p w14:paraId="44427F0F" w14:textId="77777777" w:rsidR="00136F7A" w:rsidRPr="00126689" w:rsidRDefault="00136F7A" w:rsidP="000364AB">
            <w:pPr>
              <w:jc w:val="center"/>
            </w:pPr>
          </w:p>
        </w:tc>
        <w:tc>
          <w:tcPr>
            <w:tcW w:w="203" w:type="pct"/>
            <w:vAlign w:val="center"/>
          </w:tcPr>
          <w:p w14:paraId="46112C07" w14:textId="77777777" w:rsidR="00136F7A" w:rsidRPr="00126689" w:rsidRDefault="00136F7A" w:rsidP="000364AB">
            <w:pPr>
              <w:jc w:val="center"/>
            </w:pPr>
          </w:p>
        </w:tc>
        <w:tc>
          <w:tcPr>
            <w:tcW w:w="203" w:type="pct"/>
            <w:vAlign w:val="center"/>
          </w:tcPr>
          <w:p w14:paraId="1BD2F09F" w14:textId="77777777" w:rsidR="00136F7A" w:rsidRPr="00126689" w:rsidRDefault="00136F7A" w:rsidP="000364AB">
            <w:pPr>
              <w:jc w:val="center"/>
            </w:pPr>
          </w:p>
        </w:tc>
        <w:tc>
          <w:tcPr>
            <w:tcW w:w="223" w:type="pct"/>
            <w:vAlign w:val="center"/>
          </w:tcPr>
          <w:p w14:paraId="0665C2B5" w14:textId="77777777" w:rsidR="00136F7A" w:rsidRPr="00126689" w:rsidRDefault="00136F7A" w:rsidP="000364AB">
            <w:pPr>
              <w:jc w:val="center"/>
            </w:pPr>
          </w:p>
        </w:tc>
        <w:tc>
          <w:tcPr>
            <w:tcW w:w="196" w:type="pct"/>
            <w:vAlign w:val="center"/>
          </w:tcPr>
          <w:p w14:paraId="08EB3D0C" w14:textId="77777777" w:rsidR="00136F7A" w:rsidRPr="00126689" w:rsidRDefault="00136F7A" w:rsidP="000364AB">
            <w:pPr>
              <w:jc w:val="center"/>
            </w:pPr>
          </w:p>
        </w:tc>
        <w:tc>
          <w:tcPr>
            <w:tcW w:w="202" w:type="pct"/>
            <w:shd w:val="clear" w:color="auto" w:fill="D9D9D9" w:themeFill="background1" w:themeFillShade="D9"/>
            <w:vAlign w:val="center"/>
          </w:tcPr>
          <w:p w14:paraId="4391BE0A" w14:textId="77777777" w:rsidR="00136F7A" w:rsidRPr="00126689" w:rsidRDefault="00136F7A" w:rsidP="000364AB">
            <w:pPr>
              <w:jc w:val="center"/>
            </w:pPr>
          </w:p>
        </w:tc>
        <w:tc>
          <w:tcPr>
            <w:tcW w:w="202" w:type="pct"/>
            <w:shd w:val="clear" w:color="auto" w:fill="D9D9D9" w:themeFill="background1" w:themeFillShade="D9"/>
            <w:vAlign w:val="center"/>
          </w:tcPr>
          <w:p w14:paraId="493466D1" w14:textId="77777777" w:rsidR="00136F7A" w:rsidRPr="00126689" w:rsidRDefault="00136F7A" w:rsidP="000364AB">
            <w:pPr>
              <w:jc w:val="center"/>
            </w:pPr>
          </w:p>
        </w:tc>
        <w:tc>
          <w:tcPr>
            <w:tcW w:w="199" w:type="pct"/>
            <w:shd w:val="clear" w:color="auto" w:fill="D9D9D9" w:themeFill="background1" w:themeFillShade="D9"/>
            <w:vAlign w:val="center"/>
          </w:tcPr>
          <w:p w14:paraId="7A5929F4" w14:textId="77777777" w:rsidR="00136F7A" w:rsidRPr="00126689" w:rsidRDefault="00136F7A" w:rsidP="000364AB">
            <w:pPr>
              <w:jc w:val="center"/>
            </w:pPr>
          </w:p>
        </w:tc>
        <w:tc>
          <w:tcPr>
            <w:tcW w:w="205" w:type="pct"/>
            <w:shd w:val="clear" w:color="auto" w:fill="D9D9D9" w:themeFill="background1" w:themeFillShade="D9"/>
            <w:vAlign w:val="center"/>
          </w:tcPr>
          <w:p w14:paraId="49AB612A" w14:textId="77777777" w:rsidR="00136F7A" w:rsidRPr="00126689" w:rsidRDefault="00136F7A" w:rsidP="000364AB">
            <w:pPr>
              <w:jc w:val="center"/>
            </w:pPr>
            <w:proofErr w:type="gramStart"/>
            <w:r>
              <w:t>x</w:t>
            </w:r>
            <w:proofErr w:type="gramEnd"/>
          </w:p>
        </w:tc>
      </w:tr>
      <w:tr w:rsidR="00136F7A" w:rsidRPr="00197D9F" w14:paraId="46F210FB" w14:textId="77777777" w:rsidTr="00612843">
        <w:trPr>
          <w:trHeight w:val="20"/>
        </w:trPr>
        <w:tc>
          <w:tcPr>
            <w:tcW w:w="2546" w:type="pct"/>
            <w:shd w:val="clear" w:color="auto" w:fill="auto"/>
          </w:tcPr>
          <w:p w14:paraId="03B54185" w14:textId="77777777" w:rsidR="00136F7A" w:rsidRPr="00C45D6C" w:rsidRDefault="00136F7A" w:rsidP="000364AB">
            <w:pPr>
              <w:rPr>
                <w:sz w:val="20"/>
              </w:rPr>
            </w:pPr>
            <w:r>
              <w:rPr>
                <w:sz w:val="20"/>
              </w:rPr>
              <w:t>Événement en marge de la session</w:t>
            </w:r>
            <w:r w:rsidR="000B28D4">
              <w:rPr>
                <w:sz w:val="20"/>
              </w:rPr>
              <w:t xml:space="preserve"> du CDI</w:t>
            </w:r>
            <w:r>
              <w:rPr>
                <w:sz w:val="20"/>
              </w:rPr>
              <w:t>P</w:t>
            </w:r>
          </w:p>
        </w:tc>
        <w:tc>
          <w:tcPr>
            <w:tcW w:w="207" w:type="pct"/>
            <w:shd w:val="clear" w:color="auto" w:fill="D9D9D9" w:themeFill="background1" w:themeFillShade="D9"/>
            <w:vAlign w:val="center"/>
          </w:tcPr>
          <w:p w14:paraId="5B9F3ABF" w14:textId="77777777" w:rsidR="00136F7A" w:rsidRPr="00126689" w:rsidRDefault="00136F7A" w:rsidP="000364AB">
            <w:pPr>
              <w:jc w:val="center"/>
            </w:pPr>
          </w:p>
        </w:tc>
        <w:tc>
          <w:tcPr>
            <w:tcW w:w="205" w:type="pct"/>
            <w:shd w:val="clear" w:color="auto" w:fill="D9D9D9" w:themeFill="background1" w:themeFillShade="D9"/>
            <w:vAlign w:val="center"/>
          </w:tcPr>
          <w:p w14:paraId="069D8A68" w14:textId="77777777" w:rsidR="00136F7A" w:rsidRPr="00126689" w:rsidRDefault="00136F7A" w:rsidP="000364AB">
            <w:pPr>
              <w:jc w:val="center"/>
            </w:pPr>
          </w:p>
        </w:tc>
        <w:tc>
          <w:tcPr>
            <w:tcW w:w="203" w:type="pct"/>
            <w:shd w:val="clear" w:color="auto" w:fill="D9D9D9" w:themeFill="background1" w:themeFillShade="D9"/>
            <w:vAlign w:val="center"/>
          </w:tcPr>
          <w:p w14:paraId="64D3632A" w14:textId="77777777" w:rsidR="00136F7A" w:rsidRPr="00126689" w:rsidRDefault="00136F7A" w:rsidP="000364AB">
            <w:pPr>
              <w:jc w:val="center"/>
            </w:pPr>
          </w:p>
        </w:tc>
        <w:tc>
          <w:tcPr>
            <w:tcW w:w="206" w:type="pct"/>
            <w:shd w:val="clear" w:color="auto" w:fill="D9D9D9" w:themeFill="background1" w:themeFillShade="D9"/>
            <w:vAlign w:val="center"/>
          </w:tcPr>
          <w:p w14:paraId="1C90229E" w14:textId="77777777" w:rsidR="00136F7A" w:rsidRPr="00126689" w:rsidRDefault="00136F7A" w:rsidP="000364AB">
            <w:pPr>
              <w:jc w:val="center"/>
            </w:pPr>
          </w:p>
        </w:tc>
        <w:tc>
          <w:tcPr>
            <w:tcW w:w="203" w:type="pct"/>
            <w:vAlign w:val="center"/>
          </w:tcPr>
          <w:p w14:paraId="608CD180" w14:textId="77777777" w:rsidR="00136F7A" w:rsidRPr="00126689" w:rsidRDefault="00136F7A" w:rsidP="000364AB">
            <w:pPr>
              <w:jc w:val="center"/>
            </w:pPr>
          </w:p>
        </w:tc>
        <w:tc>
          <w:tcPr>
            <w:tcW w:w="203" w:type="pct"/>
            <w:vAlign w:val="center"/>
          </w:tcPr>
          <w:p w14:paraId="154E0DFE" w14:textId="77777777" w:rsidR="00136F7A" w:rsidRPr="00126689" w:rsidRDefault="00136F7A" w:rsidP="000364AB">
            <w:pPr>
              <w:jc w:val="center"/>
            </w:pPr>
          </w:p>
        </w:tc>
        <w:tc>
          <w:tcPr>
            <w:tcW w:w="223" w:type="pct"/>
            <w:vAlign w:val="center"/>
          </w:tcPr>
          <w:p w14:paraId="6E7B91BA" w14:textId="77777777" w:rsidR="00136F7A" w:rsidRPr="00126689" w:rsidRDefault="00136F7A" w:rsidP="000364AB">
            <w:pPr>
              <w:jc w:val="center"/>
            </w:pPr>
          </w:p>
        </w:tc>
        <w:tc>
          <w:tcPr>
            <w:tcW w:w="196" w:type="pct"/>
            <w:vAlign w:val="center"/>
          </w:tcPr>
          <w:p w14:paraId="15927F37" w14:textId="77777777" w:rsidR="00136F7A" w:rsidRPr="00126689" w:rsidRDefault="00136F7A" w:rsidP="000364AB">
            <w:pPr>
              <w:jc w:val="center"/>
            </w:pPr>
          </w:p>
        </w:tc>
        <w:tc>
          <w:tcPr>
            <w:tcW w:w="202" w:type="pct"/>
            <w:shd w:val="clear" w:color="auto" w:fill="D9D9D9" w:themeFill="background1" w:themeFillShade="D9"/>
            <w:vAlign w:val="center"/>
          </w:tcPr>
          <w:p w14:paraId="30271129" w14:textId="77777777" w:rsidR="00136F7A" w:rsidRPr="00126689" w:rsidRDefault="00136F7A" w:rsidP="000364AB">
            <w:pPr>
              <w:jc w:val="center"/>
            </w:pPr>
          </w:p>
        </w:tc>
        <w:tc>
          <w:tcPr>
            <w:tcW w:w="202" w:type="pct"/>
            <w:shd w:val="clear" w:color="auto" w:fill="D9D9D9" w:themeFill="background1" w:themeFillShade="D9"/>
            <w:vAlign w:val="center"/>
          </w:tcPr>
          <w:p w14:paraId="65CA23DD" w14:textId="77777777" w:rsidR="00136F7A" w:rsidRPr="00126689" w:rsidRDefault="00136F7A" w:rsidP="000364AB">
            <w:pPr>
              <w:jc w:val="center"/>
            </w:pPr>
          </w:p>
        </w:tc>
        <w:tc>
          <w:tcPr>
            <w:tcW w:w="199" w:type="pct"/>
            <w:shd w:val="clear" w:color="auto" w:fill="D9D9D9" w:themeFill="background1" w:themeFillShade="D9"/>
            <w:vAlign w:val="center"/>
          </w:tcPr>
          <w:p w14:paraId="16CECA8D" w14:textId="77777777" w:rsidR="00136F7A" w:rsidRPr="00126689" w:rsidRDefault="00136F7A" w:rsidP="000364AB">
            <w:pPr>
              <w:jc w:val="center"/>
            </w:pPr>
          </w:p>
        </w:tc>
        <w:tc>
          <w:tcPr>
            <w:tcW w:w="205" w:type="pct"/>
            <w:shd w:val="clear" w:color="auto" w:fill="D9D9D9" w:themeFill="background1" w:themeFillShade="D9"/>
            <w:vAlign w:val="center"/>
          </w:tcPr>
          <w:p w14:paraId="163D40F7" w14:textId="77777777" w:rsidR="00136F7A" w:rsidRPr="00126689" w:rsidRDefault="00136F7A" w:rsidP="000364AB">
            <w:pPr>
              <w:jc w:val="center"/>
            </w:pPr>
            <w:proofErr w:type="gramStart"/>
            <w:r>
              <w:t>x</w:t>
            </w:r>
            <w:proofErr w:type="gramEnd"/>
          </w:p>
        </w:tc>
      </w:tr>
    </w:tbl>
    <w:p w14:paraId="4F825170" w14:textId="77777777" w:rsidR="00136F7A" w:rsidRDefault="00136F7A" w:rsidP="00612843">
      <w:pPr>
        <w:pStyle w:val="ListParagraph"/>
        <w:numPr>
          <w:ilvl w:val="0"/>
          <w:numId w:val="8"/>
        </w:numPr>
        <w:spacing w:after="120"/>
        <w:ind w:left="567" w:hanging="567"/>
        <w:rPr>
          <w:b/>
        </w:rPr>
      </w:pPr>
      <w:r>
        <w:rPr>
          <w:b/>
        </w:rPr>
        <w:lastRenderedPageBreak/>
        <w:t>BUDGET DU PROJET PAR RÉALISATION</w:t>
      </w:r>
    </w:p>
    <w:tbl>
      <w:tblPr>
        <w:tblW w:w="13140" w:type="dxa"/>
        <w:tblInd w:w="175" w:type="dxa"/>
        <w:tblLook w:val="04A0" w:firstRow="1" w:lastRow="0" w:firstColumn="1" w:lastColumn="0" w:noHBand="0" w:noVBand="1"/>
        <w:tblCaption w:val="Budget du projet par résultat"/>
        <w:tblDescription w:val="Budget du projet par résultat"/>
      </w:tblPr>
      <w:tblGrid>
        <w:gridCol w:w="5220"/>
        <w:gridCol w:w="1080"/>
        <w:gridCol w:w="1170"/>
        <w:gridCol w:w="1170"/>
        <w:gridCol w:w="1080"/>
        <w:gridCol w:w="1080"/>
        <w:gridCol w:w="1170"/>
        <w:gridCol w:w="1170"/>
      </w:tblGrid>
      <w:tr w:rsidR="00136F7A" w:rsidRPr="00C45D6C" w14:paraId="39E99732" w14:textId="77777777" w:rsidTr="00612843">
        <w:trPr>
          <w:trHeight w:val="404"/>
        </w:trPr>
        <w:tc>
          <w:tcPr>
            <w:tcW w:w="522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557B10E0" w14:textId="77777777" w:rsidR="00136F7A" w:rsidRPr="00C45D6C" w:rsidRDefault="00136F7A" w:rsidP="000364AB">
            <w:pPr>
              <w:rPr>
                <w:rFonts w:ascii="Arial Narrow" w:eastAsia="Times New Roman" w:hAnsi="Arial Narrow"/>
                <w:i/>
                <w:iCs/>
                <w:sz w:val="20"/>
              </w:rPr>
            </w:pPr>
            <w:r>
              <w:rPr>
                <w:rFonts w:ascii="Arial Narrow" w:hAnsi="Arial Narrow"/>
                <w:i/>
                <w:sz w:val="20"/>
              </w:rPr>
              <w:t>(</w:t>
            </w:r>
            <w:proofErr w:type="gramStart"/>
            <w:r>
              <w:rPr>
                <w:rFonts w:ascii="Arial Narrow" w:hAnsi="Arial Narrow"/>
                <w:i/>
                <w:sz w:val="20"/>
              </w:rPr>
              <w:t>en</w:t>
            </w:r>
            <w:proofErr w:type="gramEnd"/>
            <w:r>
              <w:rPr>
                <w:rFonts w:ascii="Arial Narrow" w:hAnsi="Arial Narrow"/>
                <w:i/>
                <w:sz w:val="20"/>
              </w:rPr>
              <w:t xml:space="preserve"> francs suisses)</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D433D62"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Année 1</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4796DAE7"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Année 2</w:t>
            </w:r>
          </w:p>
        </w:tc>
        <w:tc>
          <w:tcPr>
            <w:tcW w:w="225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158A4F7"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Année 3</w:t>
            </w:r>
          </w:p>
        </w:tc>
        <w:tc>
          <w:tcPr>
            <w:tcW w:w="1170" w:type="dxa"/>
            <w:vMerge w:val="restart"/>
            <w:tcBorders>
              <w:top w:val="single" w:sz="4" w:space="0" w:color="BFBFBF"/>
              <w:left w:val="nil"/>
              <w:right w:val="single" w:sz="4" w:space="0" w:color="BFBFBF"/>
            </w:tcBorders>
            <w:shd w:val="clear" w:color="auto" w:fill="D9D9D9" w:themeFill="background1" w:themeFillShade="D9"/>
            <w:vAlign w:val="center"/>
            <w:hideMark/>
          </w:tcPr>
          <w:p w14:paraId="40BD516D"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Total</w:t>
            </w:r>
          </w:p>
        </w:tc>
      </w:tr>
      <w:tr w:rsidR="00136F7A" w:rsidRPr="00C45D6C" w14:paraId="684DA526" w14:textId="77777777" w:rsidTr="00612843">
        <w:trPr>
          <w:trHeight w:val="530"/>
        </w:trPr>
        <w:tc>
          <w:tcPr>
            <w:tcW w:w="5220"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515A1AE0" w14:textId="77777777" w:rsidR="00136F7A" w:rsidRPr="00C45D6C" w:rsidRDefault="00136F7A" w:rsidP="000364AB">
            <w:pPr>
              <w:rPr>
                <w:rFonts w:ascii="Arial Narrow" w:eastAsia="Times New Roman" w:hAnsi="Arial Narrow"/>
                <w:b/>
                <w:bCs/>
                <w:sz w:val="20"/>
              </w:rPr>
            </w:pPr>
            <w:r>
              <w:rPr>
                <w:rFonts w:ascii="Arial Narrow" w:hAnsi="Arial Narrow"/>
                <w:b/>
                <w:sz w:val="20"/>
              </w:rPr>
              <w:t>Résultats attendus du projet</w:t>
            </w:r>
          </w:p>
        </w:tc>
        <w:tc>
          <w:tcPr>
            <w:tcW w:w="108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08C5E8AF"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Dépenses de 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2B7C24DE"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Autres dépenses</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549F2154"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Dépenses de personnel</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77CE74B2"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Autres dépenses</w:t>
            </w:r>
          </w:p>
        </w:tc>
        <w:tc>
          <w:tcPr>
            <w:tcW w:w="1080" w:type="dxa"/>
            <w:tcBorders>
              <w:top w:val="nil"/>
              <w:left w:val="nil"/>
              <w:bottom w:val="single" w:sz="4" w:space="0" w:color="BFBFBF"/>
              <w:right w:val="single" w:sz="4" w:space="0" w:color="A6A6A6"/>
            </w:tcBorders>
            <w:shd w:val="clear" w:color="auto" w:fill="D9D9D9" w:themeFill="background1" w:themeFillShade="D9"/>
            <w:vAlign w:val="center"/>
            <w:hideMark/>
          </w:tcPr>
          <w:p w14:paraId="465FC10E"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Dépenses de personnel</w:t>
            </w:r>
          </w:p>
        </w:tc>
        <w:tc>
          <w:tcPr>
            <w:tcW w:w="1170" w:type="dxa"/>
            <w:tcBorders>
              <w:top w:val="nil"/>
              <w:left w:val="nil"/>
              <w:bottom w:val="single" w:sz="4" w:space="0" w:color="BFBFBF"/>
              <w:right w:val="single" w:sz="4" w:space="0" w:color="A6A6A6"/>
            </w:tcBorders>
            <w:shd w:val="clear" w:color="auto" w:fill="D9D9D9" w:themeFill="background1" w:themeFillShade="D9"/>
            <w:vAlign w:val="center"/>
            <w:hideMark/>
          </w:tcPr>
          <w:p w14:paraId="627E219B"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Autres dépenses</w:t>
            </w:r>
          </w:p>
        </w:tc>
        <w:tc>
          <w:tcPr>
            <w:tcW w:w="1170" w:type="dxa"/>
            <w:vMerge/>
            <w:tcBorders>
              <w:left w:val="nil"/>
              <w:bottom w:val="single" w:sz="4" w:space="0" w:color="BFBFBF"/>
              <w:right w:val="single" w:sz="4" w:space="0" w:color="BFBFBF"/>
            </w:tcBorders>
            <w:vAlign w:val="center"/>
            <w:hideMark/>
          </w:tcPr>
          <w:p w14:paraId="1BDC2A40" w14:textId="77777777" w:rsidR="00136F7A" w:rsidRPr="00C45D6C" w:rsidRDefault="00136F7A" w:rsidP="000364AB">
            <w:pPr>
              <w:rPr>
                <w:rFonts w:ascii="Arial Narrow" w:eastAsia="Times New Roman" w:hAnsi="Arial Narrow"/>
                <w:b/>
                <w:bCs/>
                <w:sz w:val="20"/>
              </w:rPr>
            </w:pPr>
          </w:p>
        </w:tc>
      </w:tr>
      <w:tr w:rsidR="00136F7A" w:rsidRPr="00C45D6C" w14:paraId="4138283E" w14:textId="77777777" w:rsidTr="00612843">
        <w:trPr>
          <w:trHeight w:val="414"/>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05C5A316" w14:textId="77777777" w:rsidR="00136F7A" w:rsidRPr="00C45D6C" w:rsidRDefault="00136F7A" w:rsidP="000364AB">
            <w:pPr>
              <w:rPr>
                <w:rFonts w:ascii="Arial Narrow" w:eastAsia="Times New Roman" w:hAnsi="Arial Narrow"/>
                <w:sz w:val="20"/>
              </w:rPr>
            </w:pPr>
            <w:r>
              <w:rPr>
                <w:rFonts w:ascii="Arial Narrow" w:hAnsi="Arial Narrow"/>
                <w:sz w:val="20"/>
              </w:rPr>
              <w:t>Coordination du projet</w:t>
            </w:r>
          </w:p>
        </w:tc>
        <w:tc>
          <w:tcPr>
            <w:tcW w:w="1080" w:type="dxa"/>
            <w:tcBorders>
              <w:top w:val="nil"/>
              <w:left w:val="nil"/>
              <w:bottom w:val="single" w:sz="4" w:space="0" w:color="BFBFBF"/>
              <w:right w:val="single" w:sz="4" w:space="0" w:color="BFBFBF"/>
            </w:tcBorders>
            <w:shd w:val="clear" w:color="auto" w:fill="auto"/>
            <w:noWrap/>
            <w:vAlign w:val="center"/>
            <w:hideMark/>
          </w:tcPr>
          <w:p w14:paraId="0A0E354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E1E6D5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0554AD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732508B2" w14:textId="77777777" w:rsidR="00136F7A" w:rsidRPr="00C45D6C" w:rsidRDefault="00136F7A" w:rsidP="000364AB">
            <w:pPr>
              <w:jc w:val="right"/>
              <w:rPr>
                <w:rFonts w:ascii="Arial Narrow" w:eastAsia="Times New Roman" w:hAnsi="Arial Narrow"/>
                <w:sz w:val="20"/>
              </w:rPr>
            </w:pPr>
            <w:r>
              <w:rPr>
                <w:rFonts w:ascii="Arial Narrow" w:hAnsi="Arial Narrow"/>
                <w:sz w:val="20"/>
              </w:rPr>
              <w:t>77 100</w:t>
            </w:r>
          </w:p>
        </w:tc>
        <w:tc>
          <w:tcPr>
            <w:tcW w:w="1080" w:type="dxa"/>
            <w:tcBorders>
              <w:top w:val="nil"/>
              <w:left w:val="nil"/>
              <w:bottom w:val="single" w:sz="4" w:space="0" w:color="BFBFBF"/>
              <w:right w:val="single" w:sz="4" w:space="0" w:color="BFBFBF"/>
            </w:tcBorders>
            <w:shd w:val="clear" w:color="auto" w:fill="auto"/>
            <w:noWrap/>
            <w:vAlign w:val="center"/>
            <w:hideMark/>
          </w:tcPr>
          <w:p w14:paraId="6ECB98C3"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13B053AC" w14:textId="77777777" w:rsidR="00136F7A" w:rsidRPr="00C45D6C" w:rsidRDefault="00136F7A" w:rsidP="000364AB">
            <w:pPr>
              <w:jc w:val="right"/>
              <w:rPr>
                <w:rFonts w:ascii="Arial Narrow" w:eastAsia="Times New Roman" w:hAnsi="Arial Narrow"/>
                <w:sz w:val="20"/>
              </w:rPr>
            </w:pPr>
            <w:r>
              <w:rPr>
                <w:rFonts w:ascii="Arial Narrow" w:hAnsi="Arial Narrow"/>
                <w:sz w:val="20"/>
              </w:rPr>
              <w:t>77 100</w:t>
            </w:r>
          </w:p>
        </w:tc>
        <w:tc>
          <w:tcPr>
            <w:tcW w:w="1170" w:type="dxa"/>
            <w:tcBorders>
              <w:top w:val="nil"/>
              <w:left w:val="nil"/>
              <w:bottom w:val="single" w:sz="4" w:space="0" w:color="BFBFBF"/>
              <w:right w:val="single" w:sz="4" w:space="0" w:color="BFBFBF"/>
            </w:tcBorders>
            <w:shd w:val="clear" w:color="auto" w:fill="auto"/>
            <w:noWrap/>
            <w:vAlign w:val="center"/>
            <w:hideMark/>
          </w:tcPr>
          <w:p w14:paraId="6E86B770" w14:textId="77777777" w:rsidR="00136F7A" w:rsidRPr="00C45D6C" w:rsidRDefault="00136F7A" w:rsidP="00612843">
            <w:pPr>
              <w:jc w:val="right"/>
              <w:rPr>
                <w:rFonts w:ascii="Arial Narrow" w:eastAsia="Times New Roman" w:hAnsi="Arial Narrow"/>
                <w:sz w:val="20"/>
              </w:rPr>
            </w:pPr>
            <w:r>
              <w:rPr>
                <w:rFonts w:ascii="Arial Narrow" w:hAnsi="Arial Narrow"/>
                <w:sz w:val="20"/>
              </w:rPr>
              <w:t>154 200</w:t>
            </w:r>
          </w:p>
        </w:tc>
      </w:tr>
      <w:tr w:rsidR="00136F7A" w:rsidRPr="00C45D6C" w14:paraId="099AEB2D" w14:textId="77777777" w:rsidTr="00612843">
        <w:trPr>
          <w:trHeight w:val="93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226CA360" w14:textId="77777777" w:rsidR="00136F7A" w:rsidRPr="00C45D6C" w:rsidRDefault="00136F7A" w:rsidP="000364AB">
            <w:pPr>
              <w:rPr>
                <w:rFonts w:ascii="Arial Narrow" w:eastAsia="Times New Roman" w:hAnsi="Arial Narrow"/>
                <w:sz w:val="20"/>
              </w:rPr>
            </w:pPr>
            <w:r>
              <w:rPr>
                <w:rFonts w:ascii="Arial Narrow" w:hAnsi="Arial Narrow"/>
                <w:sz w:val="20"/>
              </w:rPr>
              <w:t>Compilation des pratiques nationales des autorités audiovisuelles en matière de bases de données et d</w:t>
            </w:r>
            <w:r w:rsidR="000B28D4">
              <w:rPr>
                <w:rFonts w:ascii="Arial Narrow" w:hAnsi="Arial Narrow"/>
                <w:sz w:val="20"/>
              </w:rPr>
              <w:t>’</w:t>
            </w:r>
            <w:r>
              <w:rPr>
                <w:rFonts w:ascii="Arial Narrow" w:hAnsi="Arial Narrow"/>
                <w:sz w:val="20"/>
              </w:rPr>
              <w:t>outils disponibles pour la recherche d</w:t>
            </w:r>
            <w:r w:rsidR="000B28D4">
              <w:rPr>
                <w:rFonts w:ascii="Arial Narrow" w:hAnsi="Arial Narrow"/>
                <w:sz w:val="20"/>
              </w:rPr>
              <w:t>’</w:t>
            </w:r>
            <w:r>
              <w:rPr>
                <w:rFonts w:ascii="Arial Narrow" w:hAnsi="Arial Narrow"/>
                <w:sz w:val="20"/>
              </w:rPr>
              <w:t>informations sur la titularité d</w:t>
            </w:r>
            <w:r w:rsidR="000B28D4">
              <w:rPr>
                <w:rFonts w:ascii="Arial Narrow" w:hAnsi="Arial Narrow"/>
                <w:sz w:val="20"/>
              </w:rPr>
              <w:t>’</w:t>
            </w:r>
            <w:r>
              <w:rPr>
                <w:rFonts w:ascii="Arial Narrow" w:hAnsi="Arial Narrow"/>
                <w:sz w:val="20"/>
              </w:rPr>
              <w:t xml:space="preserve">œuvres audiovisuelles et la concession de licences dans ce domaine </w:t>
            </w:r>
          </w:p>
        </w:tc>
        <w:tc>
          <w:tcPr>
            <w:tcW w:w="1080" w:type="dxa"/>
            <w:tcBorders>
              <w:top w:val="nil"/>
              <w:left w:val="nil"/>
              <w:bottom w:val="single" w:sz="4" w:space="0" w:color="BFBFBF"/>
              <w:right w:val="single" w:sz="4" w:space="0" w:color="BFBFBF"/>
            </w:tcBorders>
            <w:shd w:val="clear" w:color="auto" w:fill="auto"/>
            <w:noWrap/>
            <w:vAlign w:val="center"/>
            <w:hideMark/>
          </w:tcPr>
          <w:p w14:paraId="3CC44CF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1C9E803"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49D6A91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4B217D5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ED27654"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B125AC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A31F544"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r>
      <w:tr w:rsidR="00136F7A" w:rsidRPr="00C45D6C" w14:paraId="04FD722C" w14:textId="77777777" w:rsidTr="00612843">
        <w:trPr>
          <w:trHeight w:val="1106"/>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173CDD0A" w14:textId="77777777" w:rsidR="00136F7A" w:rsidRPr="00C45D6C" w:rsidRDefault="00136F7A" w:rsidP="000364AB">
            <w:pPr>
              <w:rPr>
                <w:rFonts w:ascii="Arial Narrow" w:eastAsia="Times New Roman" w:hAnsi="Arial Narrow"/>
                <w:sz w:val="20"/>
              </w:rPr>
            </w:pPr>
            <w:r>
              <w:rPr>
                <w:rFonts w:ascii="Arial Narrow" w:hAnsi="Arial Narrow"/>
                <w:sz w:val="20"/>
              </w:rPr>
              <w:t xml:space="preserve">Ateliers de formation pratique (au moins quatre) pour </w:t>
            </w:r>
            <w:proofErr w:type="gramStart"/>
            <w:r>
              <w:rPr>
                <w:rFonts w:ascii="Arial Narrow" w:hAnsi="Arial Narrow"/>
                <w:sz w:val="20"/>
              </w:rPr>
              <w:t>les micro</w:t>
            </w:r>
            <w:proofErr w:type="gramEnd"/>
            <w:r>
              <w:rPr>
                <w:rFonts w:ascii="Arial Narrow" w:hAnsi="Arial Narrow"/>
                <w:sz w:val="20"/>
              </w:rPr>
              <w:t>, petites et moyennes entreprises et les créateurs dans les pays participants afin de répondre à leurs besoins spécifiques en matière d</w:t>
            </w:r>
            <w:r w:rsidR="000B28D4">
              <w:rPr>
                <w:rFonts w:ascii="Arial Narrow" w:hAnsi="Arial Narrow"/>
                <w:sz w:val="20"/>
              </w:rPr>
              <w:t>’</w:t>
            </w:r>
            <w:r>
              <w:rPr>
                <w:rFonts w:ascii="Arial Narrow" w:hAnsi="Arial Narrow"/>
                <w:sz w:val="20"/>
              </w:rPr>
              <w:t>utilisation et d</w:t>
            </w:r>
            <w:r w:rsidR="000B28D4">
              <w:rPr>
                <w:rFonts w:ascii="Arial Narrow" w:hAnsi="Arial Narrow"/>
                <w:sz w:val="20"/>
              </w:rPr>
              <w:t>’</w:t>
            </w:r>
            <w:r>
              <w:rPr>
                <w:rFonts w:ascii="Arial Narrow" w:hAnsi="Arial Narrow"/>
                <w:sz w:val="20"/>
              </w:rPr>
              <w:t>acquisition de matériel relatif à la propriété intellectuelle et de commercialisation du contenu audiovisuel</w:t>
            </w:r>
          </w:p>
        </w:tc>
        <w:tc>
          <w:tcPr>
            <w:tcW w:w="1080" w:type="dxa"/>
            <w:tcBorders>
              <w:top w:val="nil"/>
              <w:left w:val="nil"/>
              <w:bottom w:val="single" w:sz="4" w:space="0" w:color="BFBFBF"/>
              <w:right w:val="single" w:sz="4" w:space="0" w:color="BFBFBF"/>
            </w:tcBorders>
            <w:shd w:val="clear" w:color="auto" w:fill="auto"/>
            <w:noWrap/>
            <w:vAlign w:val="center"/>
            <w:hideMark/>
          </w:tcPr>
          <w:p w14:paraId="14F88B3F"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E02B5B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690238C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1548D11C" w14:textId="77777777" w:rsidR="00136F7A" w:rsidRPr="00C45D6C" w:rsidRDefault="00136F7A" w:rsidP="000364AB">
            <w:pPr>
              <w:jc w:val="right"/>
              <w:rPr>
                <w:rFonts w:ascii="Arial Narrow" w:eastAsia="Times New Roman" w:hAnsi="Arial Narrow"/>
                <w:sz w:val="20"/>
              </w:rPr>
            </w:pPr>
            <w:r>
              <w:rPr>
                <w:rFonts w:ascii="Arial Narrow" w:hAnsi="Arial Narrow"/>
                <w:sz w:val="20"/>
              </w:rPr>
              <w:t>60 000</w:t>
            </w:r>
          </w:p>
        </w:tc>
        <w:tc>
          <w:tcPr>
            <w:tcW w:w="1080" w:type="dxa"/>
            <w:tcBorders>
              <w:top w:val="nil"/>
              <w:left w:val="nil"/>
              <w:bottom w:val="single" w:sz="4" w:space="0" w:color="BFBFBF"/>
              <w:right w:val="single" w:sz="4" w:space="0" w:color="BFBFBF"/>
            </w:tcBorders>
            <w:shd w:val="clear" w:color="auto" w:fill="auto"/>
            <w:noWrap/>
            <w:vAlign w:val="center"/>
            <w:hideMark/>
          </w:tcPr>
          <w:p w14:paraId="258AD61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A443607"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c>
          <w:tcPr>
            <w:tcW w:w="1170" w:type="dxa"/>
            <w:tcBorders>
              <w:top w:val="nil"/>
              <w:left w:val="nil"/>
              <w:bottom w:val="single" w:sz="4" w:space="0" w:color="BFBFBF"/>
              <w:right w:val="single" w:sz="4" w:space="0" w:color="BFBFBF"/>
            </w:tcBorders>
            <w:shd w:val="clear" w:color="auto" w:fill="auto"/>
            <w:noWrap/>
            <w:vAlign w:val="center"/>
            <w:hideMark/>
          </w:tcPr>
          <w:p w14:paraId="05D9862F" w14:textId="77777777" w:rsidR="00136F7A" w:rsidRPr="00C45D6C" w:rsidRDefault="00136F7A" w:rsidP="000364AB">
            <w:pPr>
              <w:jc w:val="right"/>
              <w:rPr>
                <w:rFonts w:ascii="Arial Narrow" w:eastAsia="Times New Roman" w:hAnsi="Arial Narrow"/>
                <w:sz w:val="20"/>
              </w:rPr>
            </w:pPr>
            <w:r>
              <w:rPr>
                <w:rFonts w:ascii="Arial Narrow" w:hAnsi="Arial Narrow"/>
                <w:sz w:val="20"/>
              </w:rPr>
              <w:t>80 000</w:t>
            </w:r>
          </w:p>
        </w:tc>
      </w:tr>
      <w:tr w:rsidR="00136F7A" w:rsidRPr="00C45D6C" w14:paraId="1DC5A3EB" w14:textId="77777777" w:rsidTr="00612843">
        <w:trPr>
          <w:trHeight w:val="63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0A11C533" w14:textId="77777777" w:rsidR="00136F7A" w:rsidRPr="00C45D6C" w:rsidRDefault="00136F7A" w:rsidP="000364AB">
            <w:pPr>
              <w:rPr>
                <w:rFonts w:ascii="Arial Narrow" w:eastAsia="Times New Roman" w:hAnsi="Arial Narrow"/>
                <w:sz w:val="20"/>
              </w:rPr>
            </w:pPr>
            <w:r>
              <w:rPr>
                <w:rFonts w:ascii="Arial Narrow" w:hAnsi="Arial Narrow"/>
                <w:sz w:val="20"/>
              </w:rPr>
              <w:t>Un examen des marchés actuels de licences et des structures de gestion des droits liés à l</w:t>
            </w:r>
            <w:r w:rsidR="000B28D4">
              <w:rPr>
                <w:rFonts w:ascii="Arial Narrow" w:hAnsi="Arial Narrow"/>
                <w:sz w:val="20"/>
              </w:rPr>
              <w:t>’</w:t>
            </w:r>
            <w:r>
              <w:rPr>
                <w:rFonts w:ascii="Arial Narrow" w:hAnsi="Arial Narrow"/>
                <w:sz w:val="20"/>
              </w:rPr>
              <w:t>utilisation d</w:t>
            </w:r>
            <w:r w:rsidR="000B28D4">
              <w:rPr>
                <w:rFonts w:ascii="Arial Narrow" w:hAnsi="Arial Narrow"/>
                <w:sz w:val="20"/>
              </w:rPr>
              <w:t>’</w:t>
            </w:r>
            <w:r>
              <w:rPr>
                <w:rFonts w:ascii="Arial Narrow" w:hAnsi="Arial Narrow"/>
                <w:sz w:val="20"/>
              </w:rPr>
              <w:t>œuvres audiovisuelles et de systèmes d</w:t>
            </w:r>
            <w:r w:rsidR="000B28D4">
              <w:rPr>
                <w:rFonts w:ascii="Arial Narrow" w:hAnsi="Arial Narrow"/>
                <w:sz w:val="20"/>
              </w:rPr>
              <w:t>’</w:t>
            </w:r>
            <w:r>
              <w:rPr>
                <w:rFonts w:ascii="Arial Narrow" w:hAnsi="Arial Narrow"/>
                <w:sz w:val="20"/>
              </w:rPr>
              <w:t>intelligence artificielle</w:t>
            </w:r>
          </w:p>
        </w:tc>
        <w:tc>
          <w:tcPr>
            <w:tcW w:w="1080" w:type="dxa"/>
            <w:tcBorders>
              <w:top w:val="nil"/>
              <w:left w:val="nil"/>
              <w:bottom w:val="single" w:sz="4" w:space="0" w:color="BFBFBF"/>
              <w:right w:val="single" w:sz="4" w:space="0" w:color="BFBFBF"/>
            </w:tcBorders>
            <w:shd w:val="clear" w:color="auto" w:fill="auto"/>
            <w:noWrap/>
            <w:vAlign w:val="center"/>
            <w:hideMark/>
          </w:tcPr>
          <w:p w14:paraId="66C6E66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781018F"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B25C17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627C99AC"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c>
          <w:tcPr>
            <w:tcW w:w="1080" w:type="dxa"/>
            <w:tcBorders>
              <w:top w:val="nil"/>
              <w:left w:val="nil"/>
              <w:bottom w:val="single" w:sz="4" w:space="0" w:color="BFBFBF"/>
              <w:right w:val="single" w:sz="4" w:space="0" w:color="BFBFBF"/>
            </w:tcBorders>
            <w:shd w:val="clear" w:color="auto" w:fill="auto"/>
            <w:noWrap/>
            <w:vAlign w:val="center"/>
            <w:hideMark/>
          </w:tcPr>
          <w:p w14:paraId="61203D5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CDE14F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5ED7F457"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r>
      <w:tr w:rsidR="00136F7A" w:rsidRPr="00C45D6C" w14:paraId="71EFF5C1" w14:textId="77777777" w:rsidTr="00612843">
        <w:trPr>
          <w:trHeight w:val="737"/>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422E40F1" w14:textId="77777777" w:rsidR="00136F7A" w:rsidRPr="00C45D6C" w:rsidRDefault="00136F7A" w:rsidP="000364AB">
            <w:pPr>
              <w:rPr>
                <w:rFonts w:ascii="Arial Narrow" w:eastAsia="Times New Roman" w:hAnsi="Arial Narrow"/>
                <w:sz w:val="20"/>
              </w:rPr>
            </w:pPr>
            <w:r>
              <w:rPr>
                <w:rFonts w:ascii="Arial Narrow" w:hAnsi="Arial Narrow"/>
                <w:sz w:val="20"/>
              </w:rPr>
              <w:t>Guide de référence pour l</w:t>
            </w:r>
            <w:r w:rsidR="000B28D4">
              <w:rPr>
                <w:rFonts w:ascii="Arial Narrow" w:hAnsi="Arial Narrow"/>
                <w:sz w:val="20"/>
              </w:rPr>
              <w:t>’</w:t>
            </w:r>
            <w:r>
              <w:rPr>
                <w:rFonts w:ascii="Arial Narrow" w:hAnsi="Arial Narrow"/>
                <w:sz w:val="20"/>
              </w:rPr>
              <w:t>utilisation et la commercialisation de la propriété intellectuelle dans la production audiovisuelle l</w:t>
            </w:r>
            <w:r w:rsidR="000B28D4">
              <w:rPr>
                <w:rFonts w:ascii="Arial Narrow" w:hAnsi="Arial Narrow"/>
                <w:sz w:val="20"/>
              </w:rPr>
              <w:t>’</w:t>
            </w:r>
            <w:r>
              <w:rPr>
                <w:rFonts w:ascii="Arial Narrow" w:hAnsi="Arial Narrow"/>
                <w:sz w:val="20"/>
              </w:rPr>
              <w:t xml:space="preserve">intention </w:t>
            </w:r>
            <w:proofErr w:type="gramStart"/>
            <w:r>
              <w:rPr>
                <w:rFonts w:ascii="Arial Narrow" w:hAnsi="Arial Narrow"/>
                <w:sz w:val="20"/>
              </w:rPr>
              <w:t>des micro</w:t>
            </w:r>
            <w:proofErr w:type="gramEnd"/>
            <w:r>
              <w:rPr>
                <w:rFonts w:ascii="Arial Narrow" w:hAnsi="Arial Narrow"/>
                <w:sz w:val="20"/>
              </w:rPr>
              <w:t xml:space="preserve">, petites et moyennes entreprises </w:t>
            </w:r>
          </w:p>
        </w:tc>
        <w:tc>
          <w:tcPr>
            <w:tcW w:w="1080" w:type="dxa"/>
            <w:tcBorders>
              <w:top w:val="nil"/>
              <w:left w:val="nil"/>
              <w:bottom w:val="single" w:sz="4" w:space="0" w:color="BFBFBF"/>
              <w:right w:val="single" w:sz="4" w:space="0" w:color="BFBFBF"/>
            </w:tcBorders>
            <w:shd w:val="clear" w:color="auto" w:fill="auto"/>
            <w:noWrap/>
            <w:vAlign w:val="center"/>
            <w:hideMark/>
          </w:tcPr>
          <w:p w14:paraId="037E3DD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1D16FDE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161670F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75F961FD" w14:textId="77777777" w:rsidR="00136F7A" w:rsidRPr="00C45D6C" w:rsidRDefault="00136F7A" w:rsidP="000364AB">
            <w:pPr>
              <w:jc w:val="right"/>
              <w:rPr>
                <w:rFonts w:ascii="Arial Narrow" w:eastAsia="Times New Roman" w:hAnsi="Arial Narrow"/>
                <w:sz w:val="20"/>
              </w:rPr>
            </w:pPr>
            <w:r>
              <w:rPr>
                <w:rFonts w:ascii="Arial Narrow" w:hAnsi="Arial Narrow"/>
                <w:sz w:val="20"/>
              </w:rPr>
              <w:t>10 000</w:t>
            </w:r>
          </w:p>
        </w:tc>
        <w:tc>
          <w:tcPr>
            <w:tcW w:w="1080" w:type="dxa"/>
            <w:tcBorders>
              <w:top w:val="nil"/>
              <w:left w:val="nil"/>
              <w:bottom w:val="single" w:sz="4" w:space="0" w:color="BFBFBF"/>
              <w:right w:val="single" w:sz="4" w:space="0" w:color="BFBFBF"/>
            </w:tcBorders>
            <w:shd w:val="clear" w:color="auto" w:fill="auto"/>
            <w:noWrap/>
            <w:vAlign w:val="center"/>
            <w:hideMark/>
          </w:tcPr>
          <w:p w14:paraId="7B311D1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635269D" w14:textId="77777777" w:rsidR="00136F7A" w:rsidRPr="00C45D6C" w:rsidRDefault="00136F7A" w:rsidP="000364AB">
            <w:pPr>
              <w:jc w:val="right"/>
              <w:rPr>
                <w:rFonts w:ascii="Arial Narrow" w:eastAsia="Times New Roman" w:hAnsi="Arial Narrow"/>
                <w:sz w:val="20"/>
              </w:rPr>
            </w:pPr>
            <w:r>
              <w:rPr>
                <w:rFonts w:ascii="Arial Narrow" w:hAnsi="Arial Narrow"/>
                <w:sz w:val="20"/>
              </w:rPr>
              <w:t>10 000</w:t>
            </w:r>
          </w:p>
        </w:tc>
        <w:tc>
          <w:tcPr>
            <w:tcW w:w="1170" w:type="dxa"/>
            <w:tcBorders>
              <w:top w:val="nil"/>
              <w:left w:val="nil"/>
              <w:bottom w:val="single" w:sz="4" w:space="0" w:color="BFBFBF"/>
              <w:right w:val="single" w:sz="4" w:space="0" w:color="BFBFBF"/>
            </w:tcBorders>
            <w:shd w:val="clear" w:color="auto" w:fill="auto"/>
            <w:noWrap/>
            <w:vAlign w:val="center"/>
            <w:hideMark/>
          </w:tcPr>
          <w:p w14:paraId="60171E3D"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r>
      <w:tr w:rsidR="00136F7A" w:rsidRPr="00C45D6C" w14:paraId="0FCD79CB" w14:textId="77777777" w:rsidTr="00612843">
        <w:trPr>
          <w:trHeight w:val="341"/>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1DB3E706" w14:textId="77777777" w:rsidR="00136F7A" w:rsidRPr="00C45D6C" w:rsidRDefault="00136F7A" w:rsidP="000364AB">
            <w:pPr>
              <w:rPr>
                <w:rFonts w:ascii="Arial Narrow" w:eastAsia="Times New Roman" w:hAnsi="Arial Narrow"/>
                <w:sz w:val="20"/>
              </w:rPr>
            </w:pPr>
            <w:r>
              <w:rPr>
                <w:rFonts w:ascii="Arial Narrow" w:hAnsi="Arial Narrow"/>
                <w:sz w:val="20"/>
              </w:rPr>
              <w:t>Ateliers nationaux (au moins deux) sur la médiation et l</w:t>
            </w:r>
            <w:r w:rsidR="000B28D4">
              <w:rPr>
                <w:rFonts w:ascii="Arial Narrow" w:hAnsi="Arial Narrow"/>
                <w:sz w:val="20"/>
              </w:rPr>
              <w:t>’</w:t>
            </w:r>
            <w:r>
              <w:rPr>
                <w:rFonts w:ascii="Arial Narrow" w:hAnsi="Arial Narrow"/>
                <w:sz w:val="20"/>
              </w:rPr>
              <w:t>arbitrage dans les industries de la création</w:t>
            </w:r>
          </w:p>
        </w:tc>
        <w:tc>
          <w:tcPr>
            <w:tcW w:w="1080" w:type="dxa"/>
            <w:tcBorders>
              <w:top w:val="nil"/>
              <w:left w:val="nil"/>
              <w:bottom w:val="single" w:sz="4" w:space="0" w:color="BFBFBF"/>
              <w:right w:val="single" w:sz="4" w:space="0" w:color="BFBFBF"/>
            </w:tcBorders>
            <w:shd w:val="clear" w:color="auto" w:fill="auto"/>
            <w:noWrap/>
            <w:vAlign w:val="center"/>
            <w:hideMark/>
          </w:tcPr>
          <w:p w14:paraId="19B2990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73A5CF8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B173F0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vAlign w:val="center"/>
            <w:hideMark/>
          </w:tcPr>
          <w:p w14:paraId="05DA4A1D" w14:textId="77777777" w:rsidR="00136F7A" w:rsidRPr="00C45D6C" w:rsidRDefault="00136F7A" w:rsidP="000364AB">
            <w:pPr>
              <w:jc w:val="right"/>
              <w:rPr>
                <w:rFonts w:ascii="Arial Narrow" w:eastAsia="Times New Roman" w:hAnsi="Arial Narrow"/>
                <w:sz w:val="20"/>
              </w:rPr>
            </w:pPr>
            <w:r>
              <w:rPr>
                <w:rFonts w:ascii="Arial Narrow" w:hAnsi="Arial Narrow"/>
                <w:sz w:val="20"/>
              </w:rPr>
              <w:t>60 000</w:t>
            </w:r>
          </w:p>
        </w:tc>
        <w:tc>
          <w:tcPr>
            <w:tcW w:w="1080" w:type="dxa"/>
            <w:tcBorders>
              <w:top w:val="nil"/>
              <w:left w:val="nil"/>
              <w:bottom w:val="single" w:sz="4" w:space="0" w:color="BFBFBF"/>
              <w:right w:val="single" w:sz="4" w:space="0" w:color="BFBFBF"/>
            </w:tcBorders>
            <w:shd w:val="clear" w:color="auto" w:fill="auto"/>
            <w:noWrap/>
            <w:vAlign w:val="center"/>
            <w:hideMark/>
          </w:tcPr>
          <w:p w14:paraId="2259E81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6E29A4F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EAAF6DE" w14:textId="77777777" w:rsidR="00136F7A" w:rsidRPr="00C45D6C" w:rsidRDefault="00136F7A" w:rsidP="000364AB">
            <w:pPr>
              <w:jc w:val="right"/>
              <w:rPr>
                <w:rFonts w:ascii="Arial Narrow" w:eastAsia="Times New Roman" w:hAnsi="Arial Narrow"/>
                <w:sz w:val="20"/>
              </w:rPr>
            </w:pPr>
            <w:r>
              <w:rPr>
                <w:rFonts w:ascii="Arial Narrow" w:hAnsi="Arial Narrow"/>
                <w:sz w:val="20"/>
              </w:rPr>
              <w:t>60 000</w:t>
            </w:r>
          </w:p>
        </w:tc>
      </w:tr>
      <w:tr w:rsidR="00136F7A" w:rsidRPr="00C45D6C" w14:paraId="68949498" w14:textId="77777777" w:rsidTr="00612843">
        <w:trPr>
          <w:trHeight w:val="539"/>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58C61DBD" w14:textId="77777777" w:rsidR="00136F7A" w:rsidRPr="00C45D6C" w:rsidRDefault="00136F7A" w:rsidP="000364AB">
            <w:pPr>
              <w:rPr>
                <w:rFonts w:ascii="Arial Narrow" w:eastAsia="Times New Roman" w:hAnsi="Arial Narrow"/>
                <w:sz w:val="20"/>
              </w:rPr>
            </w:pPr>
            <w:r>
              <w:rPr>
                <w:rFonts w:ascii="Arial Narrow" w:hAnsi="Arial Narrow"/>
                <w:sz w:val="20"/>
              </w:rPr>
              <w:t>Méthode pour mesurer la participation des femmes dans le secteur audiovisuel, sur la base d</w:t>
            </w:r>
            <w:r w:rsidR="000B28D4">
              <w:rPr>
                <w:rFonts w:ascii="Arial Narrow" w:hAnsi="Arial Narrow"/>
                <w:sz w:val="20"/>
              </w:rPr>
              <w:t>’</w:t>
            </w:r>
            <w:r>
              <w:rPr>
                <w:rFonts w:ascii="Arial Narrow" w:hAnsi="Arial Narrow"/>
                <w:sz w:val="20"/>
              </w:rPr>
              <w:t>une étude de cas établie dans le cadre du projet initial</w:t>
            </w:r>
          </w:p>
        </w:tc>
        <w:tc>
          <w:tcPr>
            <w:tcW w:w="1080" w:type="dxa"/>
            <w:tcBorders>
              <w:top w:val="nil"/>
              <w:left w:val="nil"/>
              <w:bottom w:val="single" w:sz="4" w:space="0" w:color="BFBFBF"/>
              <w:right w:val="single" w:sz="4" w:space="0" w:color="BFBFBF"/>
            </w:tcBorders>
            <w:shd w:val="clear" w:color="auto" w:fill="auto"/>
            <w:noWrap/>
            <w:vAlign w:val="center"/>
            <w:hideMark/>
          </w:tcPr>
          <w:p w14:paraId="436FAFF4"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EBE0ABE"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4BAEF27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11989819"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80" w:type="dxa"/>
            <w:tcBorders>
              <w:top w:val="nil"/>
              <w:left w:val="nil"/>
              <w:bottom w:val="single" w:sz="4" w:space="0" w:color="BFBFBF"/>
              <w:right w:val="single" w:sz="4" w:space="0" w:color="BFBFBF"/>
            </w:tcBorders>
            <w:shd w:val="clear" w:color="auto" w:fill="auto"/>
            <w:noWrap/>
            <w:vAlign w:val="center"/>
            <w:hideMark/>
          </w:tcPr>
          <w:p w14:paraId="260FBAE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4481A56E"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3CB43651" w14:textId="77777777" w:rsidR="00136F7A" w:rsidRPr="00C45D6C" w:rsidRDefault="00136F7A" w:rsidP="000364AB">
            <w:pPr>
              <w:jc w:val="right"/>
              <w:rPr>
                <w:rFonts w:ascii="Arial Narrow" w:eastAsia="Times New Roman" w:hAnsi="Arial Narrow"/>
                <w:sz w:val="20"/>
              </w:rPr>
            </w:pPr>
            <w:r>
              <w:rPr>
                <w:rFonts w:ascii="Arial Narrow" w:hAnsi="Arial Narrow"/>
                <w:sz w:val="20"/>
              </w:rPr>
              <w:t>30 000</w:t>
            </w:r>
          </w:p>
        </w:tc>
      </w:tr>
      <w:tr w:rsidR="00136F7A" w:rsidRPr="00C45D6C" w14:paraId="71F45C9F" w14:textId="77777777" w:rsidTr="00612843">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27157CE3" w14:textId="77777777" w:rsidR="00136F7A" w:rsidRPr="00C45D6C" w:rsidRDefault="00136F7A" w:rsidP="000364AB">
            <w:pPr>
              <w:rPr>
                <w:rFonts w:ascii="Arial Narrow" w:eastAsia="Times New Roman" w:hAnsi="Arial Narrow"/>
                <w:sz w:val="20"/>
              </w:rPr>
            </w:pPr>
            <w:r>
              <w:rPr>
                <w:rFonts w:ascii="Arial Narrow" w:hAnsi="Arial Narrow"/>
                <w:sz w:val="20"/>
              </w:rPr>
              <w:t>Analyse de l</w:t>
            </w:r>
            <w:r w:rsidR="000B28D4">
              <w:rPr>
                <w:rFonts w:ascii="Arial Narrow" w:hAnsi="Arial Narrow"/>
                <w:sz w:val="20"/>
              </w:rPr>
              <w:t>’</w:t>
            </w:r>
            <w:r>
              <w:rPr>
                <w:rFonts w:ascii="Arial Narrow" w:hAnsi="Arial Narrow"/>
                <w:sz w:val="20"/>
              </w:rPr>
              <w:t>impact des accords internationaux de coproduction existant dans les pays bénéficiaires et de la commercialisation de la propriété intellectuelle relative au contenu audiovisuel</w:t>
            </w:r>
          </w:p>
        </w:tc>
        <w:tc>
          <w:tcPr>
            <w:tcW w:w="1080" w:type="dxa"/>
            <w:tcBorders>
              <w:top w:val="nil"/>
              <w:left w:val="nil"/>
              <w:bottom w:val="single" w:sz="4" w:space="0" w:color="BFBFBF"/>
              <w:right w:val="single" w:sz="4" w:space="0" w:color="BFBFBF"/>
            </w:tcBorders>
            <w:shd w:val="clear" w:color="auto" w:fill="auto"/>
            <w:noWrap/>
            <w:vAlign w:val="center"/>
          </w:tcPr>
          <w:p w14:paraId="7E64D8FE"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7DE581E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68B48D7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71A3403A"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80" w:type="dxa"/>
            <w:tcBorders>
              <w:top w:val="nil"/>
              <w:left w:val="nil"/>
              <w:bottom w:val="single" w:sz="4" w:space="0" w:color="BFBFBF"/>
              <w:right w:val="single" w:sz="4" w:space="0" w:color="BFBFBF"/>
            </w:tcBorders>
            <w:shd w:val="clear" w:color="auto" w:fill="auto"/>
            <w:noWrap/>
            <w:vAlign w:val="center"/>
          </w:tcPr>
          <w:p w14:paraId="1EE3EDE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tcPr>
          <w:p w14:paraId="292A8213"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170" w:type="dxa"/>
            <w:tcBorders>
              <w:top w:val="nil"/>
              <w:left w:val="nil"/>
              <w:bottom w:val="single" w:sz="4" w:space="0" w:color="BFBFBF"/>
              <w:right w:val="single" w:sz="4" w:space="0" w:color="BFBFBF"/>
            </w:tcBorders>
            <w:shd w:val="clear" w:color="auto" w:fill="auto"/>
            <w:noWrap/>
            <w:vAlign w:val="center"/>
          </w:tcPr>
          <w:p w14:paraId="5ECCCD7F" w14:textId="77777777" w:rsidR="00136F7A" w:rsidRPr="00C45D6C" w:rsidRDefault="00136F7A" w:rsidP="000364AB">
            <w:pPr>
              <w:jc w:val="right"/>
              <w:rPr>
                <w:rFonts w:ascii="Arial Narrow" w:eastAsia="Times New Roman" w:hAnsi="Arial Narrow"/>
                <w:sz w:val="20"/>
              </w:rPr>
            </w:pPr>
            <w:r>
              <w:rPr>
                <w:rFonts w:ascii="Arial Narrow" w:hAnsi="Arial Narrow"/>
                <w:sz w:val="20"/>
              </w:rPr>
              <w:t>30 000</w:t>
            </w:r>
          </w:p>
        </w:tc>
      </w:tr>
      <w:tr w:rsidR="00136F7A" w:rsidRPr="00C45D6C" w14:paraId="63022063" w14:textId="77777777" w:rsidTr="00612843">
        <w:trPr>
          <w:trHeight w:val="305"/>
        </w:trPr>
        <w:tc>
          <w:tcPr>
            <w:tcW w:w="5220" w:type="dxa"/>
            <w:tcBorders>
              <w:top w:val="nil"/>
              <w:left w:val="single" w:sz="4" w:space="0" w:color="BFBFBF"/>
              <w:bottom w:val="single" w:sz="4" w:space="0" w:color="BFBFBF"/>
              <w:right w:val="single" w:sz="4" w:space="0" w:color="BFBFBF"/>
            </w:tcBorders>
            <w:shd w:val="clear" w:color="auto" w:fill="auto"/>
            <w:vAlign w:val="center"/>
          </w:tcPr>
          <w:p w14:paraId="469237A6" w14:textId="77777777" w:rsidR="00136F7A" w:rsidRPr="00C45D6C" w:rsidRDefault="00136F7A" w:rsidP="000364AB">
            <w:pPr>
              <w:rPr>
                <w:rFonts w:ascii="Arial Narrow" w:eastAsia="Times New Roman" w:hAnsi="Arial Narrow"/>
                <w:sz w:val="20"/>
              </w:rPr>
            </w:pPr>
            <w:r>
              <w:rPr>
                <w:rFonts w:ascii="Arial Narrow" w:hAnsi="Arial Narrow"/>
                <w:sz w:val="20"/>
              </w:rPr>
              <w:t>Séminaire sur l</w:t>
            </w:r>
            <w:r w:rsidR="000B28D4">
              <w:rPr>
                <w:rFonts w:ascii="Arial Narrow" w:hAnsi="Arial Narrow"/>
                <w:sz w:val="20"/>
              </w:rPr>
              <w:t>’</w:t>
            </w:r>
            <w:r>
              <w:rPr>
                <w:rFonts w:ascii="Arial Narrow" w:hAnsi="Arial Narrow"/>
                <w:sz w:val="20"/>
              </w:rPr>
              <w:t>industrie audiovisuelle à l</w:t>
            </w:r>
            <w:r w:rsidR="000B28D4">
              <w:rPr>
                <w:rFonts w:ascii="Arial Narrow" w:hAnsi="Arial Narrow"/>
                <w:sz w:val="20"/>
              </w:rPr>
              <w:t>’</w:t>
            </w:r>
            <w:r>
              <w:rPr>
                <w:rFonts w:ascii="Arial Narrow" w:hAnsi="Arial Narrow"/>
                <w:sz w:val="20"/>
              </w:rPr>
              <w:t>ère de la diffusion en continu</w:t>
            </w:r>
          </w:p>
        </w:tc>
        <w:tc>
          <w:tcPr>
            <w:tcW w:w="1080" w:type="dxa"/>
            <w:tcBorders>
              <w:top w:val="nil"/>
              <w:left w:val="nil"/>
              <w:bottom w:val="single" w:sz="4" w:space="0" w:color="BFBFBF"/>
              <w:right w:val="single" w:sz="4" w:space="0" w:color="BFBFBF"/>
            </w:tcBorders>
            <w:shd w:val="clear" w:color="auto" w:fill="auto"/>
            <w:noWrap/>
            <w:vAlign w:val="center"/>
          </w:tcPr>
          <w:p w14:paraId="726DA6C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73A336F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tcPr>
          <w:p w14:paraId="577FAD1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581F463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tcPr>
          <w:p w14:paraId="42D541B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tcPr>
          <w:p w14:paraId="0A46B086" w14:textId="77777777" w:rsidR="00136F7A" w:rsidRPr="00C45D6C" w:rsidRDefault="00136F7A" w:rsidP="000364AB">
            <w:pPr>
              <w:jc w:val="right"/>
              <w:rPr>
                <w:rFonts w:ascii="Arial Narrow" w:eastAsia="Times New Roman" w:hAnsi="Arial Narrow"/>
                <w:sz w:val="20"/>
              </w:rPr>
            </w:pPr>
            <w:r>
              <w:rPr>
                <w:rFonts w:ascii="Arial Narrow" w:hAnsi="Arial Narrow"/>
                <w:sz w:val="20"/>
              </w:rPr>
              <w:t>120 000</w:t>
            </w:r>
          </w:p>
        </w:tc>
        <w:tc>
          <w:tcPr>
            <w:tcW w:w="1170" w:type="dxa"/>
            <w:tcBorders>
              <w:top w:val="nil"/>
              <w:left w:val="nil"/>
              <w:bottom w:val="single" w:sz="4" w:space="0" w:color="BFBFBF"/>
              <w:right w:val="single" w:sz="4" w:space="0" w:color="BFBFBF"/>
            </w:tcBorders>
            <w:shd w:val="clear" w:color="auto" w:fill="auto"/>
            <w:noWrap/>
            <w:vAlign w:val="center"/>
          </w:tcPr>
          <w:p w14:paraId="54EEAA25" w14:textId="77777777" w:rsidR="00136F7A" w:rsidRPr="00C45D6C" w:rsidRDefault="00136F7A" w:rsidP="000364AB">
            <w:pPr>
              <w:jc w:val="right"/>
              <w:rPr>
                <w:rFonts w:ascii="Arial Narrow" w:eastAsia="Times New Roman" w:hAnsi="Arial Narrow"/>
                <w:sz w:val="20"/>
              </w:rPr>
            </w:pPr>
            <w:r>
              <w:rPr>
                <w:rFonts w:ascii="Arial Narrow" w:hAnsi="Arial Narrow"/>
                <w:sz w:val="20"/>
              </w:rPr>
              <w:t>120 000</w:t>
            </w:r>
          </w:p>
        </w:tc>
      </w:tr>
      <w:tr w:rsidR="00136F7A" w:rsidRPr="00C45D6C" w14:paraId="1898C719" w14:textId="77777777" w:rsidTr="00612843">
        <w:trPr>
          <w:trHeight w:val="278"/>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63A152B9" w14:textId="77777777" w:rsidR="00136F7A" w:rsidRPr="00C45D6C" w:rsidRDefault="00136F7A" w:rsidP="000364AB">
            <w:pPr>
              <w:rPr>
                <w:rFonts w:ascii="Arial Narrow" w:eastAsia="Times New Roman" w:hAnsi="Arial Narrow"/>
                <w:sz w:val="20"/>
              </w:rPr>
            </w:pPr>
            <w:r>
              <w:rPr>
                <w:rFonts w:ascii="Arial Narrow" w:hAnsi="Arial Narrow"/>
                <w:sz w:val="20"/>
              </w:rPr>
              <w:t xml:space="preserve">Évaluation du projet </w:t>
            </w:r>
          </w:p>
        </w:tc>
        <w:tc>
          <w:tcPr>
            <w:tcW w:w="1080" w:type="dxa"/>
            <w:tcBorders>
              <w:top w:val="nil"/>
              <w:left w:val="nil"/>
              <w:bottom w:val="single" w:sz="4" w:space="0" w:color="BFBFBF"/>
              <w:right w:val="single" w:sz="4" w:space="0" w:color="BFBFBF"/>
            </w:tcBorders>
            <w:shd w:val="clear" w:color="auto" w:fill="auto"/>
            <w:noWrap/>
            <w:vAlign w:val="center"/>
            <w:hideMark/>
          </w:tcPr>
          <w:p w14:paraId="3EEF7E7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4D36D5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3E16F28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1163274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23E6501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559A7963"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170" w:type="dxa"/>
            <w:tcBorders>
              <w:top w:val="nil"/>
              <w:left w:val="nil"/>
              <w:bottom w:val="single" w:sz="4" w:space="0" w:color="BFBFBF"/>
              <w:right w:val="single" w:sz="4" w:space="0" w:color="BFBFBF"/>
            </w:tcBorders>
            <w:shd w:val="clear" w:color="auto" w:fill="auto"/>
            <w:noWrap/>
            <w:vAlign w:val="center"/>
            <w:hideMark/>
          </w:tcPr>
          <w:p w14:paraId="222FA34F"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r>
      <w:tr w:rsidR="00136F7A" w:rsidRPr="00C45D6C" w14:paraId="61B60841" w14:textId="77777777" w:rsidTr="00612843">
        <w:trPr>
          <w:trHeight w:val="332"/>
        </w:trPr>
        <w:tc>
          <w:tcPr>
            <w:tcW w:w="5220" w:type="dxa"/>
            <w:tcBorders>
              <w:top w:val="nil"/>
              <w:left w:val="single" w:sz="4" w:space="0" w:color="BFBFBF"/>
              <w:bottom w:val="single" w:sz="4" w:space="0" w:color="BFBFBF"/>
              <w:right w:val="single" w:sz="4" w:space="0" w:color="BFBFBF"/>
            </w:tcBorders>
            <w:shd w:val="clear" w:color="auto" w:fill="auto"/>
            <w:vAlign w:val="center"/>
            <w:hideMark/>
          </w:tcPr>
          <w:p w14:paraId="381AC2CE" w14:textId="77777777" w:rsidR="00136F7A" w:rsidRPr="00C45D6C" w:rsidRDefault="00136F7A" w:rsidP="000364AB">
            <w:pPr>
              <w:rPr>
                <w:rFonts w:ascii="Arial Narrow" w:eastAsia="Times New Roman" w:hAnsi="Arial Narrow"/>
                <w:sz w:val="20"/>
              </w:rPr>
            </w:pPr>
            <w:r>
              <w:rPr>
                <w:rFonts w:ascii="Arial Narrow" w:hAnsi="Arial Narrow"/>
                <w:sz w:val="20"/>
              </w:rPr>
              <w:t>Événement en marge de la session</w:t>
            </w:r>
            <w:r w:rsidR="000B28D4">
              <w:rPr>
                <w:rFonts w:ascii="Arial Narrow" w:hAnsi="Arial Narrow"/>
                <w:sz w:val="20"/>
              </w:rPr>
              <w:t xml:space="preserve"> du CDI</w:t>
            </w:r>
            <w:r>
              <w:rPr>
                <w:rFonts w:ascii="Arial Narrow" w:hAnsi="Arial Narrow"/>
                <w:sz w:val="20"/>
              </w:rPr>
              <w:t xml:space="preserve">P </w:t>
            </w:r>
          </w:p>
        </w:tc>
        <w:tc>
          <w:tcPr>
            <w:tcW w:w="1080" w:type="dxa"/>
            <w:tcBorders>
              <w:top w:val="nil"/>
              <w:left w:val="nil"/>
              <w:bottom w:val="single" w:sz="4" w:space="0" w:color="BFBFBF"/>
              <w:right w:val="single" w:sz="4" w:space="0" w:color="BFBFBF"/>
            </w:tcBorders>
            <w:shd w:val="clear" w:color="auto" w:fill="auto"/>
            <w:noWrap/>
            <w:vAlign w:val="center"/>
            <w:hideMark/>
          </w:tcPr>
          <w:p w14:paraId="75B01F9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00B7E980"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noWrap/>
            <w:vAlign w:val="center"/>
            <w:hideMark/>
          </w:tcPr>
          <w:p w14:paraId="2A8595A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61CB5D2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80" w:type="dxa"/>
            <w:tcBorders>
              <w:top w:val="nil"/>
              <w:left w:val="nil"/>
              <w:bottom w:val="single" w:sz="4" w:space="0" w:color="BFBFBF"/>
              <w:right w:val="single" w:sz="4" w:space="0" w:color="BFBFBF"/>
            </w:tcBorders>
            <w:shd w:val="clear" w:color="auto" w:fill="auto"/>
            <w:noWrap/>
            <w:vAlign w:val="center"/>
            <w:hideMark/>
          </w:tcPr>
          <w:p w14:paraId="51C1373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70" w:type="dxa"/>
            <w:tcBorders>
              <w:top w:val="nil"/>
              <w:left w:val="nil"/>
              <w:bottom w:val="single" w:sz="4" w:space="0" w:color="BFBFBF"/>
              <w:right w:val="single" w:sz="4" w:space="0" w:color="BFBFBF"/>
            </w:tcBorders>
            <w:shd w:val="clear" w:color="auto" w:fill="auto"/>
            <w:vAlign w:val="center"/>
            <w:hideMark/>
          </w:tcPr>
          <w:p w14:paraId="7C70D268"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c>
          <w:tcPr>
            <w:tcW w:w="1170" w:type="dxa"/>
            <w:tcBorders>
              <w:top w:val="nil"/>
              <w:left w:val="nil"/>
              <w:bottom w:val="single" w:sz="4" w:space="0" w:color="BFBFBF"/>
              <w:right w:val="single" w:sz="4" w:space="0" w:color="BFBFBF"/>
            </w:tcBorders>
            <w:shd w:val="clear" w:color="auto" w:fill="auto"/>
            <w:noWrap/>
            <w:vAlign w:val="center"/>
            <w:hideMark/>
          </w:tcPr>
          <w:p w14:paraId="0F44E947"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r>
      <w:tr w:rsidR="00136F7A" w:rsidRPr="00C45D6C" w14:paraId="42DA466F" w14:textId="77777777" w:rsidTr="00612843">
        <w:trPr>
          <w:trHeight w:val="370"/>
        </w:trPr>
        <w:tc>
          <w:tcPr>
            <w:tcW w:w="522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F67A00C" w14:textId="77777777" w:rsidR="00136F7A" w:rsidRPr="00C45D6C" w:rsidRDefault="00136F7A" w:rsidP="000364AB">
            <w:pPr>
              <w:rPr>
                <w:rFonts w:ascii="Arial Narrow" w:eastAsia="Times New Roman" w:hAnsi="Arial Narrow"/>
                <w:b/>
                <w:bCs/>
                <w:sz w:val="20"/>
              </w:rPr>
            </w:pPr>
            <w:r>
              <w:rPr>
                <w:rFonts w:ascii="Arial Narrow" w:hAnsi="Arial Narrow"/>
                <w:b/>
                <w:sz w:val="20"/>
              </w:rPr>
              <w:t xml:space="preserve">Total </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573BE8E" w14:textId="77777777" w:rsidR="00136F7A" w:rsidRPr="00C45D6C" w:rsidRDefault="00972809" w:rsidP="000364AB">
            <w:pPr>
              <w:jc w:val="right"/>
              <w:rPr>
                <w:rFonts w:ascii="Arial Narrow" w:eastAsia="Times New Roman" w:hAnsi="Arial Narrow"/>
                <w:b/>
                <w:bCs/>
                <w:sz w:val="20"/>
              </w:rPr>
            </w:pPr>
            <w:r>
              <w:rPr>
                <w:rFonts w:ascii="Arial Narrow" w:hAnsi="Arial Narrow"/>
                <w:b/>
                <w:sz w:val="20"/>
              </w:rPr>
              <w:noBreakHyphen/>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4623164"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15 000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60DA111" w14:textId="77777777" w:rsidR="00136F7A" w:rsidRPr="00C45D6C" w:rsidRDefault="00972809" w:rsidP="000364AB">
            <w:pPr>
              <w:jc w:val="right"/>
              <w:rPr>
                <w:rFonts w:ascii="Arial Narrow" w:eastAsia="Times New Roman" w:hAnsi="Arial Narrow"/>
                <w:b/>
                <w:bCs/>
                <w:sz w:val="20"/>
              </w:rPr>
            </w:pPr>
            <w:r>
              <w:rPr>
                <w:rFonts w:ascii="Arial Narrow" w:hAnsi="Arial Narrow"/>
                <w:b/>
                <w:sz w:val="20"/>
              </w:rPr>
              <w:noBreakHyphen/>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3E8FDEA"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257 100</w:t>
            </w:r>
          </w:p>
        </w:tc>
        <w:tc>
          <w:tcPr>
            <w:tcW w:w="108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C61D3B3" w14:textId="77777777" w:rsidR="00136F7A" w:rsidRPr="00C45D6C" w:rsidRDefault="00972809" w:rsidP="000364AB">
            <w:pPr>
              <w:jc w:val="right"/>
              <w:rPr>
                <w:rFonts w:ascii="Arial Narrow" w:eastAsia="Times New Roman" w:hAnsi="Arial Narrow"/>
                <w:b/>
                <w:bCs/>
                <w:sz w:val="20"/>
              </w:rPr>
            </w:pPr>
            <w:r>
              <w:rPr>
                <w:rFonts w:ascii="Arial Narrow" w:hAnsi="Arial Narrow"/>
                <w:b/>
                <w:sz w:val="20"/>
              </w:rPr>
              <w:noBreakHyphen/>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0033DC4"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284 100</w:t>
            </w:r>
          </w:p>
        </w:tc>
        <w:tc>
          <w:tcPr>
            <w:tcW w:w="117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654379"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556 200</w:t>
            </w:r>
          </w:p>
        </w:tc>
      </w:tr>
    </w:tbl>
    <w:p w14:paraId="4ACCE31F" w14:textId="77777777" w:rsidR="00136F7A" w:rsidRPr="00511576" w:rsidRDefault="00136F7A" w:rsidP="00612843">
      <w:pPr>
        <w:pStyle w:val="ListParagraph"/>
        <w:numPr>
          <w:ilvl w:val="0"/>
          <w:numId w:val="17"/>
        </w:numPr>
        <w:spacing w:after="60"/>
        <w:ind w:left="567" w:hanging="567"/>
        <w:rPr>
          <w:b/>
        </w:rPr>
      </w:pPr>
      <w:r>
        <w:rPr>
          <w:b/>
        </w:rPr>
        <w:lastRenderedPageBreak/>
        <w:t xml:space="preserve">BUDGET </w:t>
      </w:r>
      <w:r w:rsidR="00612843">
        <w:rPr>
          <w:b/>
        </w:rPr>
        <w:t>DU PROJET PAR CATÉGORIE DE COÛT</w:t>
      </w:r>
    </w:p>
    <w:tbl>
      <w:tblPr>
        <w:tblW w:w="15888" w:type="dxa"/>
        <w:tblInd w:w="-725" w:type="dxa"/>
        <w:tblLook w:val="04A0" w:firstRow="1" w:lastRow="0" w:firstColumn="1" w:lastColumn="0" w:noHBand="0" w:noVBand="1"/>
        <w:tblCaption w:val="Budget du projet par catégorie de coût"/>
        <w:tblDescription w:val="Budget du projet par catégorie de coût"/>
      </w:tblPr>
      <w:tblGrid>
        <w:gridCol w:w="5540"/>
        <w:gridCol w:w="1000"/>
        <w:gridCol w:w="891"/>
        <w:gridCol w:w="1794"/>
        <w:gridCol w:w="1210"/>
        <w:gridCol w:w="1200"/>
        <w:gridCol w:w="1192"/>
        <w:gridCol w:w="1076"/>
        <w:gridCol w:w="1192"/>
        <w:gridCol w:w="809"/>
      </w:tblGrid>
      <w:tr w:rsidR="00612843" w:rsidRPr="00C45D6C" w14:paraId="560704AE" w14:textId="77777777" w:rsidTr="00C362C2">
        <w:trPr>
          <w:trHeight w:val="317"/>
          <w:tblHeader/>
        </w:trPr>
        <w:tc>
          <w:tcPr>
            <w:tcW w:w="5540"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131EB16" w14:textId="77777777" w:rsidR="00136F7A" w:rsidRPr="00C45D6C" w:rsidRDefault="00136F7A" w:rsidP="000364AB">
            <w:pPr>
              <w:rPr>
                <w:rFonts w:ascii="Arial Narrow" w:eastAsia="Times New Roman" w:hAnsi="Arial Narrow"/>
                <w:i/>
                <w:iCs/>
                <w:sz w:val="20"/>
              </w:rPr>
            </w:pPr>
            <w:r>
              <w:rPr>
                <w:rFonts w:ascii="Arial Narrow" w:hAnsi="Arial Narrow"/>
                <w:i/>
                <w:sz w:val="20"/>
              </w:rPr>
              <w:t>(</w:t>
            </w:r>
            <w:proofErr w:type="gramStart"/>
            <w:r>
              <w:rPr>
                <w:rFonts w:ascii="Arial Narrow" w:hAnsi="Arial Narrow"/>
                <w:i/>
                <w:sz w:val="20"/>
              </w:rPr>
              <w:t>en</w:t>
            </w:r>
            <w:proofErr w:type="gramEnd"/>
            <w:r>
              <w:rPr>
                <w:rFonts w:ascii="Arial Narrow" w:hAnsi="Arial Narrow"/>
                <w:i/>
                <w:sz w:val="20"/>
              </w:rPr>
              <w:t xml:space="preserve"> francs suisses)</w:t>
            </w:r>
          </w:p>
        </w:tc>
        <w:tc>
          <w:tcPr>
            <w:tcW w:w="3685"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63148820"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 xml:space="preserve">Voyages, formations et indemnités </w:t>
            </w:r>
          </w:p>
        </w:tc>
        <w:tc>
          <w:tcPr>
            <w:tcW w:w="5870"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25B72B5D"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Services contractuels</w:t>
            </w:r>
          </w:p>
        </w:tc>
        <w:tc>
          <w:tcPr>
            <w:tcW w:w="793"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7F074C4C"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Total</w:t>
            </w:r>
          </w:p>
        </w:tc>
      </w:tr>
      <w:tr w:rsidR="00612843" w:rsidRPr="00C45D6C" w14:paraId="1C838F1E" w14:textId="77777777" w:rsidTr="00C362C2">
        <w:trPr>
          <w:trHeight w:val="562"/>
          <w:tblHeader/>
        </w:trPr>
        <w:tc>
          <w:tcPr>
            <w:tcW w:w="5540"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664B77D3" w14:textId="77777777" w:rsidR="00136F7A" w:rsidRPr="00C45D6C" w:rsidRDefault="00136F7A" w:rsidP="000364AB">
            <w:pPr>
              <w:rPr>
                <w:rFonts w:ascii="Arial Narrow" w:eastAsia="Times New Roman" w:hAnsi="Arial Narrow"/>
                <w:b/>
                <w:bCs/>
                <w:sz w:val="20"/>
              </w:rPr>
            </w:pPr>
            <w:r>
              <w:rPr>
                <w:rFonts w:ascii="Arial Narrow" w:hAnsi="Arial Narrow"/>
                <w:b/>
                <w:sz w:val="20"/>
              </w:rPr>
              <w:t>Résultats attendus du projet</w:t>
            </w:r>
          </w:p>
        </w:tc>
        <w:tc>
          <w:tcPr>
            <w:tcW w:w="1000" w:type="dxa"/>
            <w:tcBorders>
              <w:top w:val="nil"/>
              <w:left w:val="nil"/>
              <w:bottom w:val="single" w:sz="4" w:space="0" w:color="BFBFBF"/>
              <w:right w:val="single" w:sz="4" w:space="0" w:color="A6A6A6"/>
            </w:tcBorders>
            <w:shd w:val="clear" w:color="auto" w:fill="D9D9D9" w:themeFill="background1" w:themeFillShade="D9"/>
            <w:vAlign w:val="center"/>
            <w:hideMark/>
          </w:tcPr>
          <w:p w14:paraId="7840DA14"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Missions du personnel</w:t>
            </w:r>
          </w:p>
        </w:tc>
        <w:tc>
          <w:tcPr>
            <w:tcW w:w="891" w:type="dxa"/>
            <w:tcBorders>
              <w:top w:val="nil"/>
              <w:left w:val="nil"/>
              <w:bottom w:val="single" w:sz="4" w:space="0" w:color="BFBFBF"/>
              <w:right w:val="single" w:sz="4" w:space="0" w:color="A6A6A6"/>
            </w:tcBorders>
            <w:shd w:val="clear" w:color="auto" w:fill="D9D9D9" w:themeFill="background1" w:themeFillShade="D9"/>
            <w:vAlign w:val="center"/>
            <w:hideMark/>
          </w:tcPr>
          <w:p w14:paraId="6AFB17D7"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Voyages de tiers</w:t>
            </w:r>
          </w:p>
        </w:tc>
        <w:tc>
          <w:tcPr>
            <w:tcW w:w="1794" w:type="dxa"/>
            <w:tcBorders>
              <w:top w:val="nil"/>
              <w:left w:val="nil"/>
              <w:bottom w:val="single" w:sz="4" w:space="0" w:color="BFBFBF"/>
              <w:right w:val="single" w:sz="4" w:space="0" w:color="A6A6A6"/>
            </w:tcBorders>
            <w:shd w:val="clear" w:color="auto" w:fill="D9D9D9" w:themeFill="background1" w:themeFillShade="D9"/>
            <w:vAlign w:val="center"/>
            <w:hideMark/>
          </w:tcPr>
          <w:p w14:paraId="3DCE8692"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Formations et demandes de paiement des frais de voyage y relatifs</w:t>
            </w:r>
          </w:p>
        </w:tc>
        <w:tc>
          <w:tcPr>
            <w:tcW w:w="121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370D656F"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Conférences</w:t>
            </w:r>
          </w:p>
        </w:tc>
        <w:tc>
          <w:tcPr>
            <w:tcW w:w="1200"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17F9175D"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Publications</w:t>
            </w:r>
          </w:p>
        </w:tc>
        <w:tc>
          <w:tcPr>
            <w:tcW w:w="1192" w:type="dxa"/>
            <w:tcBorders>
              <w:top w:val="nil"/>
              <w:left w:val="nil"/>
              <w:bottom w:val="single" w:sz="4" w:space="0" w:color="BFBFBF"/>
              <w:right w:val="single" w:sz="4" w:space="0" w:color="A6A6A6"/>
            </w:tcBorders>
            <w:shd w:val="clear" w:color="auto" w:fill="D9D9D9" w:themeFill="background1" w:themeFillShade="D9"/>
            <w:vAlign w:val="center"/>
            <w:hideMark/>
          </w:tcPr>
          <w:p w14:paraId="4A01FB90"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Services contractuels individuels</w:t>
            </w:r>
          </w:p>
        </w:tc>
        <w:tc>
          <w:tcPr>
            <w:tcW w:w="1076" w:type="dxa"/>
            <w:tcBorders>
              <w:top w:val="nil"/>
              <w:left w:val="nil"/>
              <w:bottom w:val="single" w:sz="4" w:space="0" w:color="BFBFBF"/>
              <w:right w:val="single" w:sz="4" w:space="0" w:color="A6A6A6"/>
            </w:tcBorders>
            <w:shd w:val="clear" w:color="auto" w:fill="D9D9D9" w:themeFill="background1" w:themeFillShade="D9"/>
            <w:vAlign w:val="center"/>
            <w:hideMark/>
          </w:tcPr>
          <w:p w14:paraId="491CA6AB"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Bourses de l</w:t>
            </w:r>
            <w:r w:rsidR="000B28D4">
              <w:rPr>
                <w:rFonts w:ascii="Arial Narrow" w:hAnsi="Arial Narrow"/>
                <w:b/>
                <w:sz w:val="20"/>
              </w:rPr>
              <w:t>’</w:t>
            </w:r>
            <w:r>
              <w:rPr>
                <w:rFonts w:ascii="Arial Narrow" w:hAnsi="Arial Narrow"/>
                <w:b/>
                <w:sz w:val="20"/>
              </w:rPr>
              <w:t>OMPI</w:t>
            </w:r>
          </w:p>
        </w:tc>
        <w:tc>
          <w:tcPr>
            <w:tcW w:w="1192" w:type="dxa"/>
            <w:tcBorders>
              <w:top w:val="nil"/>
              <w:left w:val="nil"/>
              <w:bottom w:val="single" w:sz="4" w:space="0" w:color="BFBFBF"/>
              <w:right w:val="nil"/>
            </w:tcBorders>
            <w:shd w:val="clear" w:color="auto" w:fill="D9D9D9" w:themeFill="background1" w:themeFillShade="D9"/>
            <w:vAlign w:val="center"/>
            <w:hideMark/>
          </w:tcPr>
          <w:p w14:paraId="6B32C26A" w14:textId="77777777" w:rsidR="00136F7A" w:rsidRPr="00C45D6C" w:rsidRDefault="00136F7A" w:rsidP="000364AB">
            <w:pPr>
              <w:jc w:val="center"/>
              <w:rPr>
                <w:rFonts w:ascii="Arial Narrow" w:eastAsia="Times New Roman" w:hAnsi="Arial Narrow"/>
                <w:b/>
                <w:bCs/>
                <w:sz w:val="20"/>
              </w:rPr>
            </w:pPr>
            <w:r>
              <w:rPr>
                <w:rFonts w:ascii="Arial Narrow" w:hAnsi="Arial Narrow"/>
                <w:b/>
                <w:sz w:val="20"/>
              </w:rPr>
              <w:t>Autres services contractuels</w:t>
            </w:r>
          </w:p>
        </w:tc>
        <w:tc>
          <w:tcPr>
            <w:tcW w:w="793" w:type="dxa"/>
            <w:vMerge/>
            <w:tcBorders>
              <w:left w:val="single" w:sz="4" w:space="0" w:color="A6A6A6"/>
              <w:bottom w:val="single" w:sz="4" w:space="0" w:color="BFBFBF"/>
              <w:right w:val="single" w:sz="4" w:space="0" w:color="BFBFBF"/>
            </w:tcBorders>
            <w:vAlign w:val="center"/>
            <w:hideMark/>
          </w:tcPr>
          <w:p w14:paraId="1559439D" w14:textId="77777777" w:rsidR="00136F7A" w:rsidRPr="00C45D6C" w:rsidRDefault="00136F7A" w:rsidP="000364AB">
            <w:pPr>
              <w:rPr>
                <w:rFonts w:ascii="Arial Narrow" w:eastAsia="Times New Roman" w:hAnsi="Arial Narrow"/>
                <w:b/>
                <w:bCs/>
                <w:sz w:val="20"/>
              </w:rPr>
            </w:pPr>
          </w:p>
        </w:tc>
      </w:tr>
      <w:tr w:rsidR="00612843" w:rsidRPr="00C45D6C" w14:paraId="15821EE0" w14:textId="77777777" w:rsidTr="00C362C2">
        <w:trPr>
          <w:trHeight w:val="238"/>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7E162466" w14:textId="77777777" w:rsidR="00136F7A" w:rsidRPr="00C45D6C" w:rsidRDefault="00136F7A" w:rsidP="000364AB">
            <w:pPr>
              <w:rPr>
                <w:rFonts w:ascii="Arial Narrow" w:eastAsia="Times New Roman" w:hAnsi="Arial Narrow"/>
                <w:sz w:val="20"/>
              </w:rPr>
            </w:pPr>
            <w:r>
              <w:rPr>
                <w:rFonts w:ascii="Arial Narrow" w:hAnsi="Arial Narrow"/>
                <w:sz w:val="20"/>
              </w:rPr>
              <w:t>Coordination du projet</w:t>
            </w:r>
          </w:p>
        </w:tc>
        <w:tc>
          <w:tcPr>
            <w:tcW w:w="1000" w:type="dxa"/>
            <w:tcBorders>
              <w:top w:val="nil"/>
              <w:left w:val="nil"/>
              <w:bottom w:val="single" w:sz="4" w:space="0" w:color="BFBFBF"/>
              <w:right w:val="single" w:sz="4" w:space="0" w:color="BFBFBF"/>
            </w:tcBorders>
            <w:shd w:val="clear" w:color="auto" w:fill="auto"/>
            <w:noWrap/>
            <w:vAlign w:val="center"/>
            <w:hideMark/>
          </w:tcPr>
          <w:p w14:paraId="327F473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57DC64BE"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3D11C3B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6D8DEC2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78A9F94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2BCDC42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76" w:type="dxa"/>
            <w:tcBorders>
              <w:top w:val="nil"/>
              <w:left w:val="nil"/>
              <w:bottom w:val="single" w:sz="4" w:space="0" w:color="BFBFBF"/>
              <w:right w:val="single" w:sz="4" w:space="0" w:color="BFBFBF"/>
            </w:tcBorders>
            <w:shd w:val="clear" w:color="auto" w:fill="auto"/>
            <w:noWrap/>
            <w:vAlign w:val="center"/>
            <w:hideMark/>
          </w:tcPr>
          <w:p w14:paraId="0FEA1902" w14:textId="77777777" w:rsidR="00136F7A" w:rsidRPr="00C45D6C" w:rsidRDefault="00136F7A" w:rsidP="000364AB">
            <w:pPr>
              <w:jc w:val="right"/>
              <w:rPr>
                <w:rFonts w:ascii="Arial Narrow" w:eastAsia="Times New Roman" w:hAnsi="Arial Narrow"/>
                <w:sz w:val="20"/>
              </w:rPr>
            </w:pPr>
            <w:r>
              <w:rPr>
                <w:rFonts w:ascii="Arial Narrow" w:hAnsi="Arial Narrow"/>
                <w:sz w:val="20"/>
              </w:rPr>
              <w:t>154 200</w:t>
            </w:r>
          </w:p>
        </w:tc>
        <w:tc>
          <w:tcPr>
            <w:tcW w:w="1192" w:type="dxa"/>
            <w:tcBorders>
              <w:top w:val="nil"/>
              <w:left w:val="nil"/>
              <w:bottom w:val="single" w:sz="4" w:space="0" w:color="BFBFBF"/>
              <w:right w:val="single" w:sz="4" w:space="0" w:color="BFBFBF"/>
            </w:tcBorders>
            <w:shd w:val="clear" w:color="auto" w:fill="auto"/>
            <w:noWrap/>
            <w:vAlign w:val="center"/>
            <w:hideMark/>
          </w:tcPr>
          <w:p w14:paraId="22CE0E3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793" w:type="dxa"/>
            <w:tcBorders>
              <w:top w:val="nil"/>
              <w:left w:val="nil"/>
              <w:bottom w:val="single" w:sz="4" w:space="0" w:color="BFBFBF"/>
              <w:right w:val="single" w:sz="4" w:space="0" w:color="BFBFBF"/>
            </w:tcBorders>
            <w:shd w:val="clear" w:color="auto" w:fill="auto"/>
            <w:noWrap/>
            <w:vAlign w:val="center"/>
            <w:hideMark/>
          </w:tcPr>
          <w:p w14:paraId="5604E997" w14:textId="77777777" w:rsidR="00136F7A" w:rsidRPr="00C45D6C" w:rsidRDefault="00136F7A" w:rsidP="00612843">
            <w:pPr>
              <w:jc w:val="right"/>
              <w:rPr>
                <w:rFonts w:ascii="Arial Narrow" w:eastAsia="Times New Roman" w:hAnsi="Arial Narrow"/>
                <w:sz w:val="20"/>
              </w:rPr>
            </w:pPr>
            <w:r>
              <w:rPr>
                <w:rFonts w:ascii="Arial Narrow" w:hAnsi="Arial Narrow"/>
                <w:sz w:val="20"/>
              </w:rPr>
              <w:t>154 200</w:t>
            </w:r>
          </w:p>
        </w:tc>
      </w:tr>
      <w:tr w:rsidR="00612843" w:rsidRPr="00C45D6C" w14:paraId="2728EE54" w14:textId="77777777" w:rsidTr="00C362C2">
        <w:trPr>
          <w:trHeight w:val="988"/>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3BE722C2" w14:textId="77777777" w:rsidR="00136F7A" w:rsidRPr="00C45D6C" w:rsidRDefault="00136F7A" w:rsidP="000364AB">
            <w:pPr>
              <w:rPr>
                <w:rFonts w:ascii="Arial Narrow" w:eastAsia="Times New Roman" w:hAnsi="Arial Narrow"/>
                <w:sz w:val="20"/>
              </w:rPr>
            </w:pPr>
            <w:r>
              <w:rPr>
                <w:rFonts w:ascii="Arial Narrow" w:hAnsi="Arial Narrow"/>
                <w:sz w:val="20"/>
              </w:rPr>
              <w:t>Compilation des pratiques nationales des autorités audiovisuelles en matière de bases de données et d</w:t>
            </w:r>
            <w:r w:rsidR="000B28D4">
              <w:rPr>
                <w:rFonts w:ascii="Arial Narrow" w:hAnsi="Arial Narrow"/>
                <w:sz w:val="20"/>
              </w:rPr>
              <w:t>’</w:t>
            </w:r>
            <w:r>
              <w:rPr>
                <w:rFonts w:ascii="Arial Narrow" w:hAnsi="Arial Narrow"/>
                <w:sz w:val="20"/>
              </w:rPr>
              <w:t>outils disponibles pour la recherche d</w:t>
            </w:r>
            <w:r w:rsidR="000B28D4">
              <w:rPr>
                <w:rFonts w:ascii="Arial Narrow" w:hAnsi="Arial Narrow"/>
                <w:sz w:val="20"/>
              </w:rPr>
              <w:t>’</w:t>
            </w:r>
            <w:r>
              <w:rPr>
                <w:rFonts w:ascii="Arial Narrow" w:hAnsi="Arial Narrow"/>
                <w:sz w:val="20"/>
              </w:rPr>
              <w:t>informations sur la titularité d</w:t>
            </w:r>
            <w:r w:rsidR="000B28D4">
              <w:rPr>
                <w:rFonts w:ascii="Arial Narrow" w:hAnsi="Arial Narrow"/>
                <w:sz w:val="20"/>
              </w:rPr>
              <w:t>’</w:t>
            </w:r>
            <w:r>
              <w:rPr>
                <w:rFonts w:ascii="Arial Narrow" w:hAnsi="Arial Narrow"/>
                <w:sz w:val="20"/>
              </w:rPr>
              <w:t>œuvres audiovisuelles et la concession de licences dans ce domaine</w:t>
            </w:r>
          </w:p>
        </w:tc>
        <w:tc>
          <w:tcPr>
            <w:tcW w:w="1000" w:type="dxa"/>
            <w:tcBorders>
              <w:top w:val="nil"/>
              <w:left w:val="nil"/>
              <w:bottom w:val="single" w:sz="4" w:space="0" w:color="BFBFBF"/>
              <w:right w:val="single" w:sz="4" w:space="0" w:color="BFBFBF"/>
            </w:tcBorders>
            <w:shd w:val="clear" w:color="auto" w:fill="auto"/>
            <w:noWrap/>
            <w:vAlign w:val="center"/>
            <w:hideMark/>
          </w:tcPr>
          <w:p w14:paraId="2D2D4CD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3DE977D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40A78BF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76B124D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04DE7EEF"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66B84700"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76" w:type="dxa"/>
            <w:tcBorders>
              <w:top w:val="nil"/>
              <w:left w:val="nil"/>
              <w:bottom w:val="single" w:sz="4" w:space="0" w:color="BFBFBF"/>
              <w:right w:val="single" w:sz="4" w:space="0" w:color="BFBFBF"/>
            </w:tcBorders>
            <w:shd w:val="clear" w:color="auto" w:fill="auto"/>
            <w:noWrap/>
            <w:vAlign w:val="center"/>
            <w:hideMark/>
          </w:tcPr>
          <w:p w14:paraId="4688C35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07BA892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793" w:type="dxa"/>
            <w:tcBorders>
              <w:top w:val="nil"/>
              <w:left w:val="nil"/>
              <w:bottom w:val="single" w:sz="4" w:space="0" w:color="BFBFBF"/>
              <w:right w:val="single" w:sz="4" w:space="0" w:color="BFBFBF"/>
            </w:tcBorders>
            <w:shd w:val="clear" w:color="auto" w:fill="auto"/>
            <w:noWrap/>
            <w:vAlign w:val="center"/>
            <w:hideMark/>
          </w:tcPr>
          <w:p w14:paraId="1A2C0E2F"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r>
      <w:tr w:rsidR="00612843" w:rsidRPr="00C45D6C" w14:paraId="7570FDAE" w14:textId="77777777" w:rsidTr="00C362C2">
        <w:trPr>
          <w:trHeight w:val="1116"/>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684BCA67" w14:textId="77777777" w:rsidR="00136F7A" w:rsidRPr="00C45D6C" w:rsidRDefault="00136F7A" w:rsidP="000364AB">
            <w:pPr>
              <w:rPr>
                <w:rFonts w:ascii="Arial Narrow" w:eastAsia="Times New Roman" w:hAnsi="Arial Narrow"/>
                <w:sz w:val="20"/>
              </w:rPr>
            </w:pPr>
            <w:r>
              <w:rPr>
                <w:rFonts w:ascii="Arial Narrow" w:hAnsi="Arial Narrow"/>
                <w:sz w:val="20"/>
              </w:rPr>
              <w:t xml:space="preserve">Ateliers de formation pratique (au moins quatre) pour </w:t>
            </w:r>
            <w:proofErr w:type="gramStart"/>
            <w:r>
              <w:rPr>
                <w:rFonts w:ascii="Arial Narrow" w:hAnsi="Arial Narrow"/>
                <w:sz w:val="20"/>
              </w:rPr>
              <w:t>les micro</w:t>
            </w:r>
            <w:proofErr w:type="gramEnd"/>
            <w:r>
              <w:rPr>
                <w:rFonts w:ascii="Arial Narrow" w:hAnsi="Arial Narrow"/>
                <w:sz w:val="20"/>
              </w:rPr>
              <w:t>, petites et moyennes entreprises et les créateurs dans les pays participants afin de répondre à leurs besoins spécifiques en matière d</w:t>
            </w:r>
            <w:r w:rsidR="000B28D4">
              <w:rPr>
                <w:rFonts w:ascii="Arial Narrow" w:hAnsi="Arial Narrow"/>
                <w:sz w:val="20"/>
              </w:rPr>
              <w:t>’</w:t>
            </w:r>
            <w:r>
              <w:rPr>
                <w:rFonts w:ascii="Arial Narrow" w:hAnsi="Arial Narrow"/>
                <w:sz w:val="20"/>
              </w:rPr>
              <w:t>utilisation et d</w:t>
            </w:r>
            <w:r w:rsidR="000B28D4">
              <w:rPr>
                <w:rFonts w:ascii="Arial Narrow" w:hAnsi="Arial Narrow"/>
                <w:sz w:val="20"/>
              </w:rPr>
              <w:t>’</w:t>
            </w:r>
            <w:r>
              <w:rPr>
                <w:rFonts w:ascii="Arial Narrow" w:hAnsi="Arial Narrow"/>
                <w:sz w:val="20"/>
              </w:rPr>
              <w:t>acquisition de matériel relatif à la propriété intellectuelle et de commercialisation du contenu audiovisuel</w:t>
            </w:r>
          </w:p>
        </w:tc>
        <w:tc>
          <w:tcPr>
            <w:tcW w:w="1000" w:type="dxa"/>
            <w:tcBorders>
              <w:top w:val="nil"/>
              <w:left w:val="nil"/>
              <w:bottom w:val="single" w:sz="4" w:space="0" w:color="BFBFBF"/>
              <w:right w:val="single" w:sz="4" w:space="0" w:color="BFBFBF"/>
            </w:tcBorders>
            <w:shd w:val="clear" w:color="auto" w:fill="auto"/>
            <w:noWrap/>
            <w:vAlign w:val="center"/>
            <w:hideMark/>
          </w:tcPr>
          <w:p w14:paraId="3EA0D2F8" w14:textId="77777777" w:rsidR="00136F7A" w:rsidRPr="00C45D6C" w:rsidRDefault="00136F7A" w:rsidP="000364AB">
            <w:pPr>
              <w:jc w:val="right"/>
              <w:rPr>
                <w:rFonts w:ascii="Arial Narrow" w:eastAsia="Times New Roman" w:hAnsi="Arial Narrow"/>
                <w:sz w:val="20"/>
              </w:rPr>
            </w:pPr>
            <w:r>
              <w:rPr>
                <w:rFonts w:ascii="Arial Narrow" w:hAnsi="Arial Narrow"/>
                <w:sz w:val="20"/>
              </w:rPr>
              <w:t>25 000</w:t>
            </w:r>
          </w:p>
        </w:tc>
        <w:tc>
          <w:tcPr>
            <w:tcW w:w="891" w:type="dxa"/>
            <w:tcBorders>
              <w:top w:val="nil"/>
              <w:left w:val="nil"/>
              <w:bottom w:val="single" w:sz="4" w:space="0" w:color="BFBFBF"/>
              <w:right w:val="single" w:sz="4" w:space="0" w:color="BFBFBF"/>
            </w:tcBorders>
            <w:shd w:val="clear" w:color="auto" w:fill="auto"/>
            <w:noWrap/>
            <w:vAlign w:val="center"/>
            <w:hideMark/>
          </w:tcPr>
          <w:p w14:paraId="3ACA501B" w14:textId="77777777" w:rsidR="00136F7A" w:rsidRPr="00C45D6C" w:rsidRDefault="00136F7A" w:rsidP="000364AB">
            <w:pPr>
              <w:jc w:val="right"/>
              <w:rPr>
                <w:rFonts w:ascii="Arial Narrow" w:eastAsia="Times New Roman" w:hAnsi="Arial Narrow"/>
                <w:sz w:val="20"/>
              </w:rPr>
            </w:pPr>
            <w:r>
              <w:rPr>
                <w:rFonts w:ascii="Arial Narrow" w:hAnsi="Arial Narrow"/>
                <w:sz w:val="20"/>
              </w:rPr>
              <w:t>35 000</w:t>
            </w:r>
          </w:p>
        </w:tc>
        <w:tc>
          <w:tcPr>
            <w:tcW w:w="1794" w:type="dxa"/>
            <w:tcBorders>
              <w:top w:val="nil"/>
              <w:left w:val="nil"/>
              <w:bottom w:val="single" w:sz="4" w:space="0" w:color="BFBFBF"/>
              <w:right w:val="single" w:sz="4" w:space="0" w:color="BFBFBF"/>
            </w:tcBorders>
            <w:shd w:val="clear" w:color="auto" w:fill="auto"/>
            <w:noWrap/>
            <w:vAlign w:val="center"/>
            <w:hideMark/>
          </w:tcPr>
          <w:p w14:paraId="7E6FF7BE"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28802F5B"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c>
          <w:tcPr>
            <w:tcW w:w="1200" w:type="dxa"/>
            <w:tcBorders>
              <w:top w:val="nil"/>
              <w:left w:val="nil"/>
              <w:bottom w:val="single" w:sz="4" w:space="0" w:color="BFBFBF"/>
              <w:right w:val="single" w:sz="4" w:space="0" w:color="BFBFBF"/>
            </w:tcBorders>
            <w:shd w:val="clear" w:color="auto" w:fill="auto"/>
            <w:noWrap/>
            <w:vAlign w:val="center"/>
            <w:hideMark/>
          </w:tcPr>
          <w:p w14:paraId="58A58F4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62773D42" w14:textId="77777777" w:rsidR="00136F7A" w:rsidRPr="00C45D6C" w:rsidRDefault="00136F7A" w:rsidP="000364AB">
            <w:pPr>
              <w:jc w:val="right"/>
              <w:rPr>
                <w:rFonts w:ascii="Arial Narrow" w:eastAsia="Times New Roman" w:hAnsi="Arial Narrow"/>
                <w:sz w:val="20"/>
              </w:rPr>
            </w:pPr>
            <w:r>
              <w:rPr>
                <w:rFonts w:ascii="Arial Narrow" w:hAnsi="Arial Narrow"/>
                <w:sz w:val="20"/>
              </w:rPr>
              <w:t>8 000</w:t>
            </w:r>
          </w:p>
        </w:tc>
        <w:tc>
          <w:tcPr>
            <w:tcW w:w="1076" w:type="dxa"/>
            <w:tcBorders>
              <w:top w:val="nil"/>
              <w:left w:val="nil"/>
              <w:bottom w:val="single" w:sz="4" w:space="0" w:color="BFBFBF"/>
              <w:right w:val="single" w:sz="4" w:space="0" w:color="BFBFBF"/>
            </w:tcBorders>
            <w:shd w:val="clear" w:color="auto" w:fill="auto"/>
            <w:noWrap/>
            <w:vAlign w:val="center"/>
            <w:hideMark/>
          </w:tcPr>
          <w:p w14:paraId="1376075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3204397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793" w:type="dxa"/>
            <w:tcBorders>
              <w:top w:val="nil"/>
              <w:left w:val="nil"/>
              <w:bottom w:val="single" w:sz="4" w:space="0" w:color="BFBFBF"/>
              <w:right w:val="single" w:sz="4" w:space="0" w:color="BFBFBF"/>
            </w:tcBorders>
            <w:shd w:val="clear" w:color="auto" w:fill="auto"/>
            <w:noWrap/>
            <w:vAlign w:val="center"/>
            <w:hideMark/>
          </w:tcPr>
          <w:p w14:paraId="671D9884" w14:textId="77777777" w:rsidR="00136F7A" w:rsidRPr="00C45D6C" w:rsidRDefault="00136F7A" w:rsidP="000364AB">
            <w:pPr>
              <w:jc w:val="right"/>
              <w:rPr>
                <w:rFonts w:ascii="Arial Narrow" w:eastAsia="Times New Roman" w:hAnsi="Arial Narrow"/>
                <w:sz w:val="20"/>
              </w:rPr>
            </w:pPr>
            <w:r>
              <w:rPr>
                <w:rFonts w:ascii="Arial Narrow" w:hAnsi="Arial Narrow"/>
                <w:sz w:val="20"/>
              </w:rPr>
              <w:t>80 000</w:t>
            </w:r>
          </w:p>
        </w:tc>
      </w:tr>
      <w:tr w:rsidR="00612843" w:rsidRPr="00C45D6C" w14:paraId="7E01224A" w14:textId="77777777" w:rsidTr="00C362C2">
        <w:trPr>
          <w:trHeight w:val="602"/>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0AC0F479" w14:textId="77777777" w:rsidR="00136F7A" w:rsidRPr="00C45D6C" w:rsidRDefault="00136F7A" w:rsidP="000364AB">
            <w:pPr>
              <w:rPr>
                <w:rFonts w:ascii="Arial Narrow" w:eastAsia="Times New Roman" w:hAnsi="Arial Narrow"/>
                <w:sz w:val="20"/>
              </w:rPr>
            </w:pPr>
            <w:r>
              <w:rPr>
                <w:rFonts w:ascii="Arial Narrow" w:hAnsi="Arial Narrow"/>
                <w:sz w:val="20"/>
              </w:rPr>
              <w:t>Un examen des marchés actuels de licences et des structures de gestion des droits liés à l</w:t>
            </w:r>
            <w:r w:rsidR="000B28D4">
              <w:rPr>
                <w:rFonts w:ascii="Arial Narrow" w:hAnsi="Arial Narrow"/>
                <w:sz w:val="20"/>
              </w:rPr>
              <w:t>’</w:t>
            </w:r>
            <w:r>
              <w:rPr>
                <w:rFonts w:ascii="Arial Narrow" w:hAnsi="Arial Narrow"/>
                <w:sz w:val="20"/>
              </w:rPr>
              <w:t>utilisation d</w:t>
            </w:r>
            <w:r w:rsidR="000B28D4">
              <w:rPr>
                <w:rFonts w:ascii="Arial Narrow" w:hAnsi="Arial Narrow"/>
                <w:sz w:val="20"/>
              </w:rPr>
              <w:t>’</w:t>
            </w:r>
            <w:r>
              <w:rPr>
                <w:rFonts w:ascii="Arial Narrow" w:hAnsi="Arial Narrow"/>
                <w:sz w:val="20"/>
              </w:rPr>
              <w:t>œuvres audiovisuelles et de systèmes d</w:t>
            </w:r>
            <w:r w:rsidR="000B28D4">
              <w:rPr>
                <w:rFonts w:ascii="Arial Narrow" w:hAnsi="Arial Narrow"/>
                <w:sz w:val="20"/>
              </w:rPr>
              <w:t>’</w:t>
            </w:r>
            <w:r>
              <w:rPr>
                <w:rFonts w:ascii="Arial Narrow" w:hAnsi="Arial Narrow"/>
                <w:sz w:val="20"/>
              </w:rPr>
              <w:t>intelligence artificielle</w:t>
            </w:r>
          </w:p>
        </w:tc>
        <w:tc>
          <w:tcPr>
            <w:tcW w:w="1000" w:type="dxa"/>
            <w:tcBorders>
              <w:top w:val="nil"/>
              <w:left w:val="nil"/>
              <w:bottom w:val="single" w:sz="4" w:space="0" w:color="BFBFBF"/>
              <w:right w:val="single" w:sz="4" w:space="0" w:color="BFBFBF"/>
            </w:tcBorders>
            <w:shd w:val="clear" w:color="auto" w:fill="auto"/>
            <w:noWrap/>
            <w:vAlign w:val="center"/>
            <w:hideMark/>
          </w:tcPr>
          <w:p w14:paraId="276F8DF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7DA6058F"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65302E1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04642A6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11BB7E4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60E8EB05"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76" w:type="dxa"/>
            <w:tcBorders>
              <w:top w:val="nil"/>
              <w:left w:val="nil"/>
              <w:bottom w:val="single" w:sz="4" w:space="0" w:color="BFBFBF"/>
              <w:right w:val="single" w:sz="4" w:space="0" w:color="BFBFBF"/>
            </w:tcBorders>
            <w:shd w:val="clear" w:color="auto" w:fill="auto"/>
            <w:noWrap/>
            <w:vAlign w:val="center"/>
            <w:hideMark/>
          </w:tcPr>
          <w:p w14:paraId="628D0E9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587650CF" w14:textId="77777777" w:rsidR="00136F7A" w:rsidRPr="00C45D6C" w:rsidRDefault="00136F7A" w:rsidP="000364AB">
            <w:pPr>
              <w:jc w:val="right"/>
              <w:rPr>
                <w:rFonts w:ascii="Arial Narrow" w:eastAsia="Times New Roman" w:hAnsi="Arial Narrow"/>
                <w:sz w:val="20"/>
              </w:rPr>
            </w:pPr>
            <w:r>
              <w:rPr>
                <w:rFonts w:ascii="Arial Narrow" w:hAnsi="Arial Narrow"/>
                <w:sz w:val="20"/>
              </w:rPr>
              <w:t>5 000</w:t>
            </w:r>
          </w:p>
        </w:tc>
        <w:tc>
          <w:tcPr>
            <w:tcW w:w="793" w:type="dxa"/>
            <w:tcBorders>
              <w:top w:val="nil"/>
              <w:left w:val="nil"/>
              <w:bottom w:val="single" w:sz="4" w:space="0" w:color="BFBFBF"/>
              <w:right w:val="single" w:sz="4" w:space="0" w:color="BFBFBF"/>
            </w:tcBorders>
            <w:shd w:val="clear" w:color="auto" w:fill="auto"/>
            <w:noWrap/>
            <w:vAlign w:val="center"/>
            <w:hideMark/>
          </w:tcPr>
          <w:p w14:paraId="4E0702BE"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r>
      <w:tr w:rsidR="00612843" w:rsidRPr="00C45D6C" w14:paraId="77FAB608" w14:textId="77777777" w:rsidTr="00C362C2">
        <w:trPr>
          <w:trHeight w:val="512"/>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0C8D66F9" w14:textId="77777777" w:rsidR="00136F7A" w:rsidRPr="00C45D6C" w:rsidRDefault="00136F7A" w:rsidP="00612843">
            <w:pPr>
              <w:rPr>
                <w:rFonts w:ascii="Arial Narrow" w:eastAsia="Times New Roman" w:hAnsi="Arial Narrow"/>
                <w:sz w:val="20"/>
              </w:rPr>
            </w:pPr>
            <w:r>
              <w:rPr>
                <w:rFonts w:ascii="Arial Narrow" w:hAnsi="Arial Narrow"/>
                <w:sz w:val="20"/>
              </w:rPr>
              <w:t>Guide de référence pour l</w:t>
            </w:r>
            <w:r w:rsidR="000B28D4">
              <w:rPr>
                <w:rFonts w:ascii="Arial Narrow" w:hAnsi="Arial Narrow"/>
                <w:sz w:val="20"/>
              </w:rPr>
              <w:t>’</w:t>
            </w:r>
            <w:r>
              <w:rPr>
                <w:rFonts w:ascii="Arial Narrow" w:hAnsi="Arial Narrow"/>
                <w:sz w:val="20"/>
              </w:rPr>
              <w:t>utilisation et la commercialisation de la propriété intellectuelle dans la production audiovisuelle l</w:t>
            </w:r>
            <w:r w:rsidR="000B28D4">
              <w:rPr>
                <w:rFonts w:ascii="Arial Narrow" w:hAnsi="Arial Narrow"/>
                <w:sz w:val="20"/>
              </w:rPr>
              <w:t>’</w:t>
            </w:r>
            <w:r>
              <w:rPr>
                <w:rFonts w:ascii="Arial Narrow" w:hAnsi="Arial Narrow"/>
                <w:sz w:val="20"/>
              </w:rPr>
              <w:t xml:space="preserve">intention </w:t>
            </w:r>
            <w:proofErr w:type="gramStart"/>
            <w:r>
              <w:rPr>
                <w:rFonts w:ascii="Arial Narrow" w:hAnsi="Arial Narrow"/>
                <w:sz w:val="20"/>
              </w:rPr>
              <w:t>des micro</w:t>
            </w:r>
            <w:proofErr w:type="gramEnd"/>
            <w:r>
              <w:rPr>
                <w:rFonts w:ascii="Arial Narrow" w:hAnsi="Arial Narrow"/>
                <w:sz w:val="20"/>
              </w:rPr>
              <w:t>, petites et moyennes entreprises</w:t>
            </w:r>
          </w:p>
        </w:tc>
        <w:tc>
          <w:tcPr>
            <w:tcW w:w="1000" w:type="dxa"/>
            <w:tcBorders>
              <w:top w:val="nil"/>
              <w:left w:val="nil"/>
              <w:bottom w:val="single" w:sz="4" w:space="0" w:color="BFBFBF"/>
              <w:right w:val="single" w:sz="4" w:space="0" w:color="BFBFBF"/>
            </w:tcBorders>
            <w:shd w:val="clear" w:color="auto" w:fill="auto"/>
            <w:noWrap/>
            <w:vAlign w:val="center"/>
            <w:hideMark/>
          </w:tcPr>
          <w:p w14:paraId="27B41C20"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43A7BDE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152D55A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073BE8D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2060860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32019E8B"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76" w:type="dxa"/>
            <w:tcBorders>
              <w:top w:val="nil"/>
              <w:left w:val="nil"/>
              <w:bottom w:val="single" w:sz="4" w:space="0" w:color="BFBFBF"/>
              <w:right w:val="single" w:sz="4" w:space="0" w:color="BFBFBF"/>
            </w:tcBorders>
            <w:shd w:val="clear" w:color="auto" w:fill="auto"/>
            <w:noWrap/>
            <w:vAlign w:val="center"/>
            <w:hideMark/>
          </w:tcPr>
          <w:p w14:paraId="032C0D9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4C12448E" w14:textId="77777777" w:rsidR="00136F7A" w:rsidRPr="00C45D6C" w:rsidRDefault="00136F7A" w:rsidP="000364AB">
            <w:pPr>
              <w:jc w:val="right"/>
              <w:rPr>
                <w:rFonts w:ascii="Arial Narrow" w:eastAsia="Times New Roman" w:hAnsi="Arial Narrow"/>
                <w:sz w:val="20"/>
              </w:rPr>
            </w:pPr>
            <w:r>
              <w:rPr>
                <w:rFonts w:ascii="Arial Narrow" w:hAnsi="Arial Narrow"/>
                <w:sz w:val="20"/>
              </w:rPr>
              <w:t>5 000</w:t>
            </w:r>
          </w:p>
        </w:tc>
        <w:tc>
          <w:tcPr>
            <w:tcW w:w="793" w:type="dxa"/>
            <w:tcBorders>
              <w:top w:val="nil"/>
              <w:left w:val="nil"/>
              <w:bottom w:val="single" w:sz="4" w:space="0" w:color="BFBFBF"/>
              <w:right w:val="single" w:sz="4" w:space="0" w:color="BFBFBF"/>
            </w:tcBorders>
            <w:shd w:val="clear" w:color="auto" w:fill="auto"/>
            <w:noWrap/>
            <w:vAlign w:val="center"/>
            <w:hideMark/>
          </w:tcPr>
          <w:p w14:paraId="73DCC83D" w14:textId="77777777" w:rsidR="00136F7A" w:rsidRPr="00C45D6C" w:rsidRDefault="00136F7A" w:rsidP="000364AB">
            <w:pPr>
              <w:jc w:val="right"/>
              <w:rPr>
                <w:rFonts w:ascii="Arial Narrow" w:eastAsia="Times New Roman" w:hAnsi="Arial Narrow"/>
                <w:sz w:val="20"/>
              </w:rPr>
            </w:pPr>
            <w:r>
              <w:rPr>
                <w:rFonts w:ascii="Arial Narrow" w:hAnsi="Arial Narrow"/>
                <w:sz w:val="20"/>
              </w:rPr>
              <w:t>20 000</w:t>
            </w:r>
          </w:p>
        </w:tc>
      </w:tr>
      <w:tr w:rsidR="00612843" w:rsidRPr="00C45D6C" w14:paraId="74E1BCF2" w14:textId="77777777" w:rsidTr="00C362C2">
        <w:trPr>
          <w:trHeight w:val="260"/>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68264412" w14:textId="77777777" w:rsidR="00136F7A" w:rsidRPr="00C45D6C" w:rsidRDefault="00136F7A" w:rsidP="000364AB">
            <w:pPr>
              <w:rPr>
                <w:rFonts w:ascii="Arial Narrow" w:eastAsia="Times New Roman" w:hAnsi="Arial Narrow"/>
                <w:sz w:val="20"/>
              </w:rPr>
            </w:pPr>
            <w:r>
              <w:rPr>
                <w:rFonts w:ascii="Arial Narrow" w:hAnsi="Arial Narrow"/>
                <w:sz w:val="20"/>
              </w:rPr>
              <w:t>Ateliers nationaux (au moins deux) sur la médiation et l</w:t>
            </w:r>
            <w:r w:rsidR="000B28D4">
              <w:rPr>
                <w:rFonts w:ascii="Arial Narrow" w:hAnsi="Arial Narrow"/>
                <w:sz w:val="20"/>
              </w:rPr>
              <w:t>’</w:t>
            </w:r>
            <w:r>
              <w:rPr>
                <w:rFonts w:ascii="Arial Narrow" w:hAnsi="Arial Narrow"/>
                <w:sz w:val="20"/>
              </w:rPr>
              <w:t>arbitrage dans les industries de la création</w:t>
            </w:r>
          </w:p>
        </w:tc>
        <w:tc>
          <w:tcPr>
            <w:tcW w:w="1000" w:type="dxa"/>
            <w:tcBorders>
              <w:top w:val="nil"/>
              <w:left w:val="nil"/>
              <w:bottom w:val="single" w:sz="4" w:space="0" w:color="BFBFBF"/>
              <w:right w:val="single" w:sz="4" w:space="0" w:color="BFBFBF"/>
            </w:tcBorders>
            <w:shd w:val="clear" w:color="auto" w:fill="auto"/>
            <w:noWrap/>
            <w:vAlign w:val="center"/>
            <w:hideMark/>
          </w:tcPr>
          <w:p w14:paraId="1F0E476C"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c>
          <w:tcPr>
            <w:tcW w:w="891" w:type="dxa"/>
            <w:tcBorders>
              <w:top w:val="nil"/>
              <w:left w:val="nil"/>
              <w:bottom w:val="single" w:sz="4" w:space="0" w:color="BFBFBF"/>
              <w:right w:val="single" w:sz="4" w:space="0" w:color="BFBFBF"/>
            </w:tcBorders>
            <w:shd w:val="clear" w:color="auto" w:fill="auto"/>
            <w:noWrap/>
            <w:vAlign w:val="center"/>
            <w:hideMark/>
          </w:tcPr>
          <w:p w14:paraId="01D6CEC2" w14:textId="77777777" w:rsidR="00136F7A" w:rsidRPr="00C45D6C" w:rsidRDefault="00136F7A" w:rsidP="000364AB">
            <w:pPr>
              <w:jc w:val="right"/>
              <w:rPr>
                <w:rFonts w:ascii="Arial Narrow" w:eastAsia="Times New Roman" w:hAnsi="Arial Narrow"/>
                <w:sz w:val="20"/>
              </w:rPr>
            </w:pPr>
            <w:r>
              <w:rPr>
                <w:rFonts w:ascii="Arial Narrow" w:hAnsi="Arial Narrow"/>
                <w:sz w:val="20"/>
              </w:rPr>
              <w:t>32 000</w:t>
            </w:r>
          </w:p>
        </w:tc>
        <w:tc>
          <w:tcPr>
            <w:tcW w:w="1794" w:type="dxa"/>
            <w:tcBorders>
              <w:top w:val="nil"/>
              <w:left w:val="nil"/>
              <w:bottom w:val="single" w:sz="4" w:space="0" w:color="BFBFBF"/>
              <w:right w:val="single" w:sz="4" w:space="0" w:color="BFBFBF"/>
            </w:tcBorders>
            <w:shd w:val="clear" w:color="auto" w:fill="auto"/>
            <w:noWrap/>
            <w:vAlign w:val="center"/>
            <w:hideMark/>
          </w:tcPr>
          <w:p w14:paraId="28C697C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65B8B88E" w14:textId="77777777" w:rsidR="00136F7A" w:rsidRPr="00C45D6C" w:rsidRDefault="00136F7A" w:rsidP="000364AB">
            <w:pPr>
              <w:jc w:val="right"/>
              <w:rPr>
                <w:rFonts w:ascii="Arial Narrow" w:eastAsia="Times New Roman" w:hAnsi="Arial Narrow"/>
                <w:sz w:val="20"/>
              </w:rPr>
            </w:pPr>
            <w:r>
              <w:rPr>
                <w:rFonts w:ascii="Arial Narrow" w:hAnsi="Arial Narrow"/>
                <w:sz w:val="20"/>
              </w:rPr>
              <w:t>6 000</w:t>
            </w:r>
          </w:p>
        </w:tc>
        <w:tc>
          <w:tcPr>
            <w:tcW w:w="1200" w:type="dxa"/>
            <w:tcBorders>
              <w:top w:val="nil"/>
              <w:left w:val="nil"/>
              <w:bottom w:val="single" w:sz="4" w:space="0" w:color="BFBFBF"/>
              <w:right w:val="single" w:sz="4" w:space="0" w:color="BFBFBF"/>
            </w:tcBorders>
            <w:shd w:val="clear" w:color="auto" w:fill="auto"/>
            <w:noWrap/>
            <w:vAlign w:val="center"/>
            <w:hideMark/>
          </w:tcPr>
          <w:p w14:paraId="7A8D1093"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10C1D450" w14:textId="77777777" w:rsidR="00136F7A" w:rsidRPr="00C45D6C" w:rsidRDefault="00136F7A" w:rsidP="000364AB">
            <w:pPr>
              <w:jc w:val="right"/>
              <w:rPr>
                <w:rFonts w:ascii="Arial Narrow" w:eastAsia="Times New Roman" w:hAnsi="Arial Narrow"/>
                <w:sz w:val="20"/>
              </w:rPr>
            </w:pPr>
            <w:r>
              <w:rPr>
                <w:rFonts w:ascii="Arial Narrow" w:hAnsi="Arial Narrow"/>
                <w:sz w:val="20"/>
              </w:rPr>
              <w:t>10 000</w:t>
            </w:r>
          </w:p>
        </w:tc>
        <w:tc>
          <w:tcPr>
            <w:tcW w:w="1076" w:type="dxa"/>
            <w:tcBorders>
              <w:top w:val="nil"/>
              <w:left w:val="nil"/>
              <w:bottom w:val="single" w:sz="4" w:space="0" w:color="BFBFBF"/>
              <w:right w:val="single" w:sz="4" w:space="0" w:color="BFBFBF"/>
            </w:tcBorders>
            <w:shd w:val="clear" w:color="auto" w:fill="auto"/>
            <w:noWrap/>
            <w:vAlign w:val="center"/>
            <w:hideMark/>
          </w:tcPr>
          <w:p w14:paraId="76FAACBE"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09C1F14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793" w:type="dxa"/>
            <w:tcBorders>
              <w:top w:val="nil"/>
              <w:left w:val="nil"/>
              <w:bottom w:val="single" w:sz="4" w:space="0" w:color="BFBFBF"/>
              <w:right w:val="single" w:sz="4" w:space="0" w:color="BFBFBF"/>
            </w:tcBorders>
            <w:shd w:val="clear" w:color="auto" w:fill="auto"/>
            <w:noWrap/>
            <w:vAlign w:val="center"/>
            <w:hideMark/>
          </w:tcPr>
          <w:p w14:paraId="70512ABE" w14:textId="77777777" w:rsidR="00136F7A" w:rsidRPr="00C45D6C" w:rsidRDefault="00136F7A" w:rsidP="000364AB">
            <w:pPr>
              <w:jc w:val="right"/>
              <w:rPr>
                <w:rFonts w:ascii="Arial Narrow" w:eastAsia="Times New Roman" w:hAnsi="Arial Narrow"/>
                <w:sz w:val="20"/>
              </w:rPr>
            </w:pPr>
            <w:r>
              <w:rPr>
                <w:rFonts w:ascii="Arial Narrow" w:hAnsi="Arial Narrow"/>
                <w:sz w:val="20"/>
              </w:rPr>
              <w:t>60 000</w:t>
            </w:r>
          </w:p>
        </w:tc>
      </w:tr>
      <w:tr w:rsidR="00612843" w:rsidRPr="00C45D6C" w14:paraId="33EA7771" w14:textId="77777777" w:rsidTr="00C362C2">
        <w:trPr>
          <w:trHeight w:val="449"/>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131A8EEC" w14:textId="77777777" w:rsidR="00136F7A" w:rsidRPr="00C45D6C" w:rsidRDefault="00136F7A" w:rsidP="000364AB">
            <w:pPr>
              <w:rPr>
                <w:rFonts w:ascii="Arial Narrow" w:eastAsia="Times New Roman" w:hAnsi="Arial Narrow"/>
                <w:sz w:val="20"/>
              </w:rPr>
            </w:pPr>
            <w:r>
              <w:rPr>
                <w:rFonts w:ascii="Arial Narrow" w:hAnsi="Arial Narrow"/>
                <w:sz w:val="20"/>
              </w:rPr>
              <w:t>Méthode pour mesurer la participation des femmes dans le secteur audiovisuel, sur la base d</w:t>
            </w:r>
            <w:r w:rsidR="000B28D4">
              <w:rPr>
                <w:rFonts w:ascii="Arial Narrow" w:hAnsi="Arial Narrow"/>
                <w:sz w:val="20"/>
              </w:rPr>
              <w:t>’</w:t>
            </w:r>
            <w:r>
              <w:rPr>
                <w:rFonts w:ascii="Arial Narrow" w:hAnsi="Arial Narrow"/>
                <w:sz w:val="20"/>
              </w:rPr>
              <w:t>une étude de cas établie dans le cadre du projet initial</w:t>
            </w:r>
          </w:p>
        </w:tc>
        <w:tc>
          <w:tcPr>
            <w:tcW w:w="1000" w:type="dxa"/>
            <w:tcBorders>
              <w:top w:val="nil"/>
              <w:left w:val="nil"/>
              <w:bottom w:val="single" w:sz="4" w:space="0" w:color="BFBFBF"/>
              <w:right w:val="single" w:sz="4" w:space="0" w:color="BFBFBF"/>
            </w:tcBorders>
            <w:shd w:val="clear" w:color="auto" w:fill="auto"/>
            <w:noWrap/>
            <w:vAlign w:val="center"/>
            <w:hideMark/>
          </w:tcPr>
          <w:p w14:paraId="7CE9A2B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2A141C0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6084E2F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6504A33A"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7DF6E56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03CC5C05" w14:textId="77777777" w:rsidR="00136F7A" w:rsidRPr="00C45D6C" w:rsidRDefault="00136F7A" w:rsidP="000364AB">
            <w:pPr>
              <w:jc w:val="right"/>
              <w:rPr>
                <w:rFonts w:ascii="Arial Narrow" w:eastAsia="Times New Roman" w:hAnsi="Arial Narrow"/>
                <w:sz w:val="20"/>
              </w:rPr>
            </w:pPr>
            <w:r>
              <w:rPr>
                <w:rFonts w:ascii="Arial Narrow" w:hAnsi="Arial Narrow"/>
                <w:sz w:val="20"/>
              </w:rPr>
              <w:t>25 000</w:t>
            </w:r>
          </w:p>
        </w:tc>
        <w:tc>
          <w:tcPr>
            <w:tcW w:w="1076" w:type="dxa"/>
            <w:tcBorders>
              <w:top w:val="nil"/>
              <w:left w:val="nil"/>
              <w:bottom w:val="single" w:sz="4" w:space="0" w:color="BFBFBF"/>
              <w:right w:val="single" w:sz="4" w:space="0" w:color="BFBFBF"/>
            </w:tcBorders>
            <w:shd w:val="clear" w:color="auto" w:fill="auto"/>
            <w:noWrap/>
            <w:vAlign w:val="center"/>
            <w:hideMark/>
          </w:tcPr>
          <w:p w14:paraId="51F2E1F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6DD48D42" w14:textId="77777777" w:rsidR="00136F7A" w:rsidRPr="00C45D6C" w:rsidRDefault="00136F7A" w:rsidP="000364AB">
            <w:pPr>
              <w:jc w:val="right"/>
              <w:rPr>
                <w:rFonts w:ascii="Arial Narrow" w:eastAsia="Times New Roman" w:hAnsi="Arial Narrow"/>
                <w:sz w:val="20"/>
              </w:rPr>
            </w:pPr>
            <w:r>
              <w:rPr>
                <w:rFonts w:ascii="Arial Narrow" w:hAnsi="Arial Narrow"/>
                <w:sz w:val="20"/>
              </w:rPr>
              <w:t>5 000</w:t>
            </w:r>
          </w:p>
        </w:tc>
        <w:tc>
          <w:tcPr>
            <w:tcW w:w="793" w:type="dxa"/>
            <w:tcBorders>
              <w:top w:val="nil"/>
              <w:left w:val="nil"/>
              <w:bottom w:val="single" w:sz="4" w:space="0" w:color="BFBFBF"/>
              <w:right w:val="single" w:sz="4" w:space="0" w:color="BFBFBF"/>
            </w:tcBorders>
            <w:shd w:val="clear" w:color="auto" w:fill="auto"/>
            <w:noWrap/>
            <w:vAlign w:val="center"/>
            <w:hideMark/>
          </w:tcPr>
          <w:p w14:paraId="0E3C21D4" w14:textId="77777777" w:rsidR="00136F7A" w:rsidRPr="00C45D6C" w:rsidRDefault="00136F7A" w:rsidP="000364AB">
            <w:pPr>
              <w:jc w:val="right"/>
              <w:rPr>
                <w:rFonts w:ascii="Arial Narrow" w:eastAsia="Times New Roman" w:hAnsi="Arial Narrow"/>
                <w:sz w:val="20"/>
              </w:rPr>
            </w:pPr>
            <w:r>
              <w:rPr>
                <w:rFonts w:ascii="Arial Narrow" w:hAnsi="Arial Narrow"/>
                <w:sz w:val="20"/>
              </w:rPr>
              <w:t>30 000</w:t>
            </w:r>
          </w:p>
        </w:tc>
      </w:tr>
      <w:tr w:rsidR="00612843" w:rsidRPr="00C45D6C" w14:paraId="175062FB" w14:textId="77777777" w:rsidTr="00C362C2">
        <w:trPr>
          <w:trHeight w:val="431"/>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44F4F115" w14:textId="77777777" w:rsidR="00136F7A" w:rsidRPr="00C45D6C" w:rsidRDefault="00136F7A" w:rsidP="000364AB">
            <w:pPr>
              <w:rPr>
                <w:rFonts w:ascii="Arial Narrow" w:eastAsia="Times New Roman" w:hAnsi="Arial Narrow"/>
                <w:sz w:val="20"/>
              </w:rPr>
            </w:pPr>
            <w:r>
              <w:rPr>
                <w:rFonts w:ascii="Arial Narrow" w:hAnsi="Arial Narrow"/>
                <w:sz w:val="20"/>
              </w:rPr>
              <w:t>Analyse de l</w:t>
            </w:r>
            <w:r w:rsidR="000B28D4">
              <w:rPr>
                <w:rFonts w:ascii="Arial Narrow" w:hAnsi="Arial Narrow"/>
                <w:sz w:val="20"/>
              </w:rPr>
              <w:t>’</w:t>
            </w:r>
            <w:r>
              <w:rPr>
                <w:rFonts w:ascii="Arial Narrow" w:hAnsi="Arial Narrow"/>
                <w:sz w:val="20"/>
              </w:rPr>
              <w:t>impact des accords internationaux de coproduction existant dans les pays bénéficiaires et de la commercialisation de la propriété intellectuelle relative au contenu audiovisuel</w:t>
            </w:r>
          </w:p>
        </w:tc>
        <w:tc>
          <w:tcPr>
            <w:tcW w:w="1000" w:type="dxa"/>
            <w:tcBorders>
              <w:top w:val="nil"/>
              <w:left w:val="nil"/>
              <w:bottom w:val="single" w:sz="4" w:space="0" w:color="BFBFBF"/>
              <w:right w:val="single" w:sz="4" w:space="0" w:color="BFBFBF"/>
            </w:tcBorders>
            <w:shd w:val="clear" w:color="auto" w:fill="auto"/>
            <w:noWrap/>
            <w:vAlign w:val="center"/>
            <w:hideMark/>
          </w:tcPr>
          <w:p w14:paraId="03D193F7"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1A261C56"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4319CC2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4FBA0E3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2FC0659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030542BF" w14:textId="77777777" w:rsidR="00136F7A" w:rsidRPr="00C45D6C" w:rsidRDefault="00136F7A" w:rsidP="000364AB">
            <w:pPr>
              <w:jc w:val="right"/>
              <w:rPr>
                <w:rFonts w:ascii="Arial Narrow" w:eastAsia="Times New Roman" w:hAnsi="Arial Narrow"/>
                <w:sz w:val="20"/>
              </w:rPr>
            </w:pPr>
            <w:r>
              <w:rPr>
                <w:rFonts w:ascii="Arial Narrow" w:hAnsi="Arial Narrow"/>
                <w:sz w:val="20"/>
              </w:rPr>
              <w:t>25 000</w:t>
            </w:r>
          </w:p>
        </w:tc>
        <w:tc>
          <w:tcPr>
            <w:tcW w:w="1076" w:type="dxa"/>
            <w:tcBorders>
              <w:top w:val="nil"/>
              <w:left w:val="nil"/>
              <w:bottom w:val="single" w:sz="4" w:space="0" w:color="BFBFBF"/>
              <w:right w:val="single" w:sz="4" w:space="0" w:color="BFBFBF"/>
            </w:tcBorders>
            <w:shd w:val="clear" w:color="auto" w:fill="auto"/>
            <w:noWrap/>
            <w:vAlign w:val="center"/>
            <w:hideMark/>
          </w:tcPr>
          <w:p w14:paraId="7BDE4F6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1A994791" w14:textId="77777777" w:rsidR="00136F7A" w:rsidRPr="00C45D6C" w:rsidRDefault="00136F7A" w:rsidP="000364AB">
            <w:pPr>
              <w:jc w:val="right"/>
              <w:rPr>
                <w:rFonts w:ascii="Arial Narrow" w:eastAsia="Times New Roman" w:hAnsi="Arial Narrow"/>
                <w:sz w:val="20"/>
              </w:rPr>
            </w:pPr>
            <w:r>
              <w:rPr>
                <w:rFonts w:ascii="Arial Narrow" w:hAnsi="Arial Narrow"/>
                <w:sz w:val="20"/>
              </w:rPr>
              <w:t>5 000</w:t>
            </w:r>
          </w:p>
        </w:tc>
        <w:tc>
          <w:tcPr>
            <w:tcW w:w="793" w:type="dxa"/>
            <w:tcBorders>
              <w:top w:val="nil"/>
              <w:left w:val="nil"/>
              <w:bottom w:val="single" w:sz="4" w:space="0" w:color="BFBFBF"/>
              <w:right w:val="single" w:sz="4" w:space="0" w:color="BFBFBF"/>
            </w:tcBorders>
            <w:shd w:val="clear" w:color="auto" w:fill="auto"/>
            <w:noWrap/>
            <w:vAlign w:val="center"/>
            <w:hideMark/>
          </w:tcPr>
          <w:p w14:paraId="055B36C2" w14:textId="77777777" w:rsidR="00136F7A" w:rsidRPr="00C45D6C" w:rsidRDefault="00136F7A" w:rsidP="000364AB">
            <w:pPr>
              <w:jc w:val="right"/>
              <w:rPr>
                <w:rFonts w:ascii="Arial Narrow" w:eastAsia="Times New Roman" w:hAnsi="Arial Narrow"/>
                <w:sz w:val="20"/>
              </w:rPr>
            </w:pPr>
            <w:r>
              <w:rPr>
                <w:rFonts w:ascii="Arial Narrow" w:hAnsi="Arial Narrow"/>
                <w:sz w:val="20"/>
              </w:rPr>
              <w:t>30 000</w:t>
            </w:r>
          </w:p>
        </w:tc>
      </w:tr>
      <w:tr w:rsidR="00612843" w:rsidRPr="00C45D6C" w14:paraId="53791FE2" w14:textId="77777777" w:rsidTr="00C362C2">
        <w:trPr>
          <w:trHeight w:val="260"/>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01F1FAFF" w14:textId="77777777" w:rsidR="00136F7A" w:rsidRPr="00C45D6C" w:rsidRDefault="00136F7A" w:rsidP="000364AB">
            <w:pPr>
              <w:rPr>
                <w:rFonts w:ascii="Arial Narrow" w:eastAsia="Times New Roman" w:hAnsi="Arial Narrow"/>
                <w:sz w:val="20"/>
              </w:rPr>
            </w:pPr>
            <w:r>
              <w:rPr>
                <w:rFonts w:ascii="Arial Narrow" w:hAnsi="Arial Narrow"/>
                <w:sz w:val="20"/>
              </w:rPr>
              <w:t>Séminaire sur l</w:t>
            </w:r>
            <w:r w:rsidR="000B28D4">
              <w:rPr>
                <w:rFonts w:ascii="Arial Narrow" w:hAnsi="Arial Narrow"/>
                <w:sz w:val="20"/>
              </w:rPr>
              <w:t>’</w:t>
            </w:r>
            <w:r>
              <w:rPr>
                <w:rFonts w:ascii="Arial Narrow" w:hAnsi="Arial Narrow"/>
                <w:sz w:val="20"/>
              </w:rPr>
              <w:t>industrie audiovisuelle à l</w:t>
            </w:r>
            <w:r w:rsidR="000B28D4">
              <w:rPr>
                <w:rFonts w:ascii="Arial Narrow" w:hAnsi="Arial Narrow"/>
                <w:sz w:val="20"/>
              </w:rPr>
              <w:t>’</w:t>
            </w:r>
            <w:r>
              <w:rPr>
                <w:rFonts w:ascii="Arial Narrow" w:hAnsi="Arial Narrow"/>
                <w:sz w:val="20"/>
              </w:rPr>
              <w:t>ère de la diffusion en continu</w:t>
            </w:r>
          </w:p>
        </w:tc>
        <w:tc>
          <w:tcPr>
            <w:tcW w:w="1000" w:type="dxa"/>
            <w:tcBorders>
              <w:top w:val="nil"/>
              <w:left w:val="nil"/>
              <w:bottom w:val="single" w:sz="4" w:space="0" w:color="BFBFBF"/>
              <w:right w:val="single" w:sz="4" w:space="0" w:color="BFBFBF"/>
            </w:tcBorders>
            <w:shd w:val="clear" w:color="auto" w:fill="auto"/>
            <w:noWrap/>
            <w:vAlign w:val="center"/>
            <w:hideMark/>
          </w:tcPr>
          <w:p w14:paraId="3B36CAE0"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c>
          <w:tcPr>
            <w:tcW w:w="891" w:type="dxa"/>
            <w:tcBorders>
              <w:top w:val="nil"/>
              <w:left w:val="nil"/>
              <w:bottom w:val="single" w:sz="4" w:space="0" w:color="BFBFBF"/>
              <w:right w:val="single" w:sz="4" w:space="0" w:color="BFBFBF"/>
            </w:tcBorders>
            <w:shd w:val="clear" w:color="auto" w:fill="auto"/>
            <w:noWrap/>
            <w:vAlign w:val="center"/>
            <w:hideMark/>
          </w:tcPr>
          <w:p w14:paraId="4011BCBC" w14:textId="77777777" w:rsidR="00136F7A" w:rsidRPr="00C45D6C" w:rsidRDefault="00136F7A" w:rsidP="000364AB">
            <w:pPr>
              <w:jc w:val="right"/>
              <w:rPr>
                <w:rFonts w:ascii="Arial Narrow" w:eastAsia="Times New Roman" w:hAnsi="Arial Narrow"/>
                <w:sz w:val="20"/>
              </w:rPr>
            </w:pPr>
            <w:r>
              <w:rPr>
                <w:rFonts w:ascii="Arial Narrow" w:hAnsi="Arial Narrow"/>
                <w:sz w:val="20"/>
              </w:rPr>
              <w:t>80 000</w:t>
            </w:r>
          </w:p>
        </w:tc>
        <w:tc>
          <w:tcPr>
            <w:tcW w:w="1794" w:type="dxa"/>
            <w:tcBorders>
              <w:top w:val="nil"/>
              <w:left w:val="nil"/>
              <w:bottom w:val="single" w:sz="4" w:space="0" w:color="BFBFBF"/>
              <w:right w:val="single" w:sz="4" w:space="0" w:color="BFBFBF"/>
            </w:tcBorders>
            <w:shd w:val="clear" w:color="auto" w:fill="auto"/>
            <w:noWrap/>
            <w:vAlign w:val="center"/>
            <w:hideMark/>
          </w:tcPr>
          <w:p w14:paraId="03823C1C"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3648C069" w14:textId="77777777" w:rsidR="00136F7A" w:rsidRPr="00C45D6C" w:rsidRDefault="00136F7A" w:rsidP="000364AB">
            <w:pPr>
              <w:jc w:val="right"/>
              <w:rPr>
                <w:rFonts w:ascii="Arial Narrow" w:eastAsia="Times New Roman" w:hAnsi="Arial Narrow"/>
                <w:sz w:val="20"/>
              </w:rPr>
            </w:pPr>
            <w:r>
              <w:rPr>
                <w:rFonts w:ascii="Arial Narrow" w:hAnsi="Arial Narrow"/>
                <w:sz w:val="20"/>
              </w:rPr>
              <w:t>8 000</w:t>
            </w:r>
          </w:p>
        </w:tc>
        <w:tc>
          <w:tcPr>
            <w:tcW w:w="1200" w:type="dxa"/>
            <w:tcBorders>
              <w:top w:val="nil"/>
              <w:left w:val="nil"/>
              <w:bottom w:val="single" w:sz="4" w:space="0" w:color="BFBFBF"/>
              <w:right w:val="single" w:sz="4" w:space="0" w:color="BFBFBF"/>
            </w:tcBorders>
            <w:shd w:val="clear" w:color="auto" w:fill="auto"/>
            <w:noWrap/>
            <w:vAlign w:val="center"/>
            <w:hideMark/>
          </w:tcPr>
          <w:p w14:paraId="200A4580"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451912AC"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c>
          <w:tcPr>
            <w:tcW w:w="1076" w:type="dxa"/>
            <w:tcBorders>
              <w:top w:val="nil"/>
              <w:left w:val="nil"/>
              <w:bottom w:val="single" w:sz="4" w:space="0" w:color="BFBFBF"/>
              <w:right w:val="single" w:sz="4" w:space="0" w:color="BFBFBF"/>
            </w:tcBorders>
            <w:shd w:val="clear" w:color="auto" w:fill="auto"/>
            <w:noWrap/>
            <w:vAlign w:val="center"/>
            <w:hideMark/>
          </w:tcPr>
          <w:p w14:paraId="6DEE1BC9"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62ACDCE9" w14:textId="77777777" w:rsidR="00136F7A" w:rsidRPr="00C45D6C" w:rsidRDefault="00136F7A" w:rsidP="000364AB">
            <w:pPr>
              <w:jc w:val="right"/>
              <w:rPr>
                <w:rFonts w:ascii="Arial Narrow" w:eastAsia="Times New Roman" w:hAnsi="Arial Narrow"/>
                <w:sz w:val="20"/>
              </w:rPr>
            </w:pPr>
            <w:r>
              <w:rPr>
                <w:rFonts w:ascii="Arial Narrow" w:hAnsi="Arial Narrow"/>
                <w:sz w:val="20"/>
              </w:rPr>
              <w:t>5 000</w:t>
            </w:r>
          </w:p>
        </w:tc>
        <w:tc>
          <w:tcPr>
            <w:tcW w:w="793" w:type="dxa"/>
            <w:tcBorders>
              <w:top w:val="nil"/>
              <w:left w:val="nil"/>
              <w:bottom w:val="single" w:sz="4" w:space="0" w:color="BFBFBF"/>
              <w:right w:val="single" w:sz="4" w:space="0" w:color="BFBFBF"/>
            </w:tcBorders>
            <w:shd w:val="clear" w:color="auto" w:fill="auto"/>
            <w:noWrap/>
            <w:vAlign w:val="center"/>
            <w:hideMark/>
          </w:tcPr>
          <w:p w14:paraId="1CA3D041" w14:textId="77777777" w:rsidR="00136F7A" w:rsidRPr="00C45D6C" w:rsidRDefault="00136F7A" w:rsidP="000364AB">
            <w:pPr>
              <w:jc w:val="right"/>
              <w:rPr>
                <w:rFonts w:ascii="Arial Narrow" w:eastAsia="Times New Roman" w:hAnsi="Arial Narrow"/>
                <w:sz w:val="20"/>
              </w:rPr>
            </w:pPr>
            <w:r>
              <w:rPr>
                <w:rFonts w:ascii="Arial Narrow" w:hAnsi="Arial Narrow"/>
                <w:sz w:val="20"/>
              </w:rPr>
              <w:t>120 000</w:t>
            </w:r>
          </w:p>
        </w:tc>
      </w:tr>
      <w:tr w:rsidR="00612843" w:rsidRPr="00C45D6C" w14:paraId="4717D0FB" w14:textId="77777777" w:rsidTr="00C362C2">
        <w:trPr>
          <w:trHeight w:val="260"/>
        </w:trPr>
        <w:tc>
          <w:tcPr>
            <w:tcW w:w="5540" w:type="dxa"/>
            <w:tcBorders>
              <w:top w:val="nil"/>
              <w:left w:val="single" w:sz="4" w:space="0" w:color="BFBFBF"/>
              <w:bottom w:val="single" w:sz="4" w:space="0" w:color="BFBFBF"/>
              <w:right w:val="single" w:sz="4" w:space="0" w:color="BFBFBF"/>
            </w:tcBorders>
            <w:shd w:val="clear" w:color="auto" w:fill="auto"/>
            <w:vAlign w:val="center"/>
          </w:tcPr>
          <w:p w14:paraId="68C90BDF" w14:textId="77777777" w:rsidR="00136F7A" w:rsidRPr="00C45D6C" w:rsidDel="00DA68DA" w:rsidRDefault="00136F7A" w:rsidP="000364AB">
            <w:pPr>
              <w:rPr>
                <w:rFonts w:ascii="Arial Narrow" w:eastAsia="Times New Roman" w:hAnsi="Arial Narrow"/>
                <w:sz w:val="20"/>
              </w:rPr>
            </w:pPr>
            <w:r>
              <w:rPr>
                <w:rFonts w:ascii="Arial Narrow" w:hAnsi="Arial Narrow"/>
                <w:sz w:val="20"/>
              </w:rPr>
              <w:t>Évaluation du projet</w:t>
            </w:r>
          </w:p>
        </w:tc>
        <w:tc>
          <w:tcPr>
            <w:tcW w:w="1000" w:type="dxa"/>
            <w:tcBorders>
              <w:top w:val="nil"/>
              <w:left w:val="nil"/>
              <w:bottom w:val="single" w:sz="4" w:space="0" w:color="BFBFBF"/>
              <w:right w:val="single" w:sz="4" w:space="0" w:color="BFBFBF"/>
            </w:tcBorders>
            <w:shd w:val="clear" w:color="auto" w:fill="auto"/>
            <w:noWrap/>
            <w:vAlign w:val="center"/>
          </w:tcPr>
          <w:p w14:paraId="03D96400"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tcPr>
          <w:p w14:paraId="45DDFC63"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tcPr>
          <w:p w14:paraId="70283821"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tcPr>
          <w:p w14:paraId="51FE45D8"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tcPr>
          <w:p w14:paraId="22CA530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tcPr>
          <w:p w14:paraId="46E0DC8F"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76" w:type="dxa"/>
            <w:tcBorders>
              <w:top w:val="nil"/>
              <w:left w:val="nil"/>
              <w:bottom w:val="single" w:sz="4" w:space="0" w:color="BFBFBF"/>
              <w:right w:val="single" w:sz="4" w:space="0" w:color="BFBFBF"/>
            </w:tcBorders>
            <w:shd w:val="clear" w:color="auto" w:fill="auto"/>
            <w:noWrap/>
            <w:vAlign w:val="center"/>
          </w:tcPr>
          <w:p w14:paraId="3B7A34B0"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tcPr>
          <w:p w14:paraId="5A441C80" w14:textId="7158764B" w:rsidR="00136F7A" w:rsidRPr="00C45D6C" w:rsidRDefault="00A75D78" w:rsidP="000364AB">
            <w:pPr>
              <w:jc w:val="right"/>
              <w:rPr>
                <w:rFonts w:ascii="Arial Narrow" w:eastAsia="Times New Roman" w:hAnsi="Arial Narrow"/>
                <w:sz w:val="20"/>
              </w:rPr>
            </w:pPr>
            <w:r>
              <w:rPr>
                <w:rFonts w:ascii="Arial Narrow" w:hAnsi="Arial Narrow"/>
                <w:sz w:val="20"/>
              </w:rPr>
              <w:t>15 000</w:t>
            </w:r>
          </w:p>
        </w:tc>
        <w:tc>
          <w:tcPr>
            <w:tcW w:w="793" w:type="dxa"/>
            <w:tcBorders>
              <w:top w:val="nil"/>
              <w:left w:val="nil"/>
              <w:bottom w:val="single" w:sz="4" w:space="0" w:color="BFBFBF"/>
              <w:right w:val="single" w:sz="4" w:space="0" w:color="BFBFBF"/>
            </w:tcBorders>
            <w:shd w:val="clear" w:color="auto" w:fill="auto"/>
            <w:noWrap/>
            <w:vAlign w:val="center"/>
          </w:tcPr>
          <w:p w14:paraId="02064F2B" w14:textId="77777777" w:rsidR="00136F7A" w:rsidRPr="00C45D6C" w:rsidRDefault="00136F7A" w:rsidP="000364AB">
            <w:pPr>
              <w:jc w:val="right"/>
              <w:rPr>
                <w:rFonts w:ascii="Arial Narrow" w:eastAsia="Times New Roman" w:hAnsi="Arial Narrow"/>
                <w:sz w:val="20"/>
              </w:rPr>
            </w:pPr>
            <w:r>
              <w:rPr>
                <w:rFonts w:ascii="Arial Narrow" w:hAnsi="Arial Narrow"/>
                <w:sz w:val="20"/>
              </w:rPr>
              <w:t>15 000</w:t>
            </w:r>
          </w:p>
        </w:tc>
      </w:tr>
      <w:tr w:rsidR="00612843" w:rsidRPr="00C45D6C" w14:paraId="39E4F30D" w14:textId="77777777" w:rsidTr="00C362C2">
        <w:trPr>
          <w:trHeight w:val="260"/>
        </w:trPr>
        <w:tc>
          <w:tcPr>
            <w:tcW w:w="5540" w:type="dxa"/>
            <w:tcBorders>
              <w:top w:val="nil"/>
              <w:left w:val="single" w:sz="4" w:space="0" w:color="BFBFBF"/>
              <w:bottom w:val="single" w:sz="4" w:space="0" w:color="BFBFBF"/>
              <w:right w:val="single" w:sz="4" w:space="0" w:color="BFBFBF"/>
            </w:tcBorders>
            <w:shd w:val="clear" w:color="auto" w:fill="auto"/>
            <w:vAlign w:val="center"/>
            <w:hideMark/>
          </w:tcPr>
          <w:p w14:paraId="77B8F50A" w14:textId="77777777" w:rsidR="00136F7A" w:rsidRPr="00C45D6C" w:rsidRDefault="00136F7A" w:rsidP="000364AB">
            <w:pPr>
              <w:rPr>
                <w:rFonts w:ascii="Arial Narrow" w:eastAsia="Times New Roman" w:hAnsi="Arial Narrow"/>
                <w:sz w:val="20"/>
              </w:rPr>
            </w:pPr>
            <w:r>
              <w:rPr>
                <w:rFonts w:ascii="Arial Narrow" w:hAnsi="Arial Narrow"/>
                <w:sz w:val="20"/>
              </w:rPr>
              <w:t>Événement en marge de la session</w:t>
            </w:r>
            <w:r w:rsidR="000B28D4">
              <w:rPr>
                <w:rFonts w:ascii="Arial Narrow" w:hAnsi="Arial Narrow"/>
                <w:sz w:val="20"/>
              </w:rPr>
              <w:t xml:space="preserve"> du CDI</w:t>
            </w:r>
            <w:r>
              <w:rPr>
                <w:rFonts w:ascii="Arial Narrow" w:hAnsi="Arial Narrow"/>
                <w:sz w:val="20"/>
              </w:rPr>
              <w:t>P</w:t>
            </w:r>
          </w:p>
        </w:tc>
        <w:tc>
          <w:tcPr>
            <w:tcW w:w="1000" w:type="dxa"/>
            <w:tcBorders>
              <w:top w:val="nil"/>
              <w:left w:val="nil"/>
              <w:bottom w:val="single" w:sz="4" w:space="0" w:color="BFBFBF"/>
              <w:right w:val="single" w:sz="4" w:space="0" w:color="BFBFBF"/>
            </w:tcBorders>
            <w:shd w:val="clear" w:color="auto" w:fill="auto"/>
            <w:noWrap/>
            <w:vAlign w:val="center"/>
            <w:hideMark/>
          </w:tcPr>
          <w:p w14:paraId="0D9D78E5"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891" w:type="dxa"/>
            <w:tcBorders>
              <w:top w:val="nil"/>
              <w:left w:val="nil"/>
              <w:bottom w:val="single" w:sz="4" w:space="0" w:color="BFBFBF"/>
              <w:right w:val="single" w:sz="4" w:space="0" w:color="BFBFBF"/>
            </w:tcBorders>
            <w:shd w:val="clear" w:color="auto" w:fill="auto"/>
            <w:noWrap/>
            <w:vAlign w:val="center"/>
            <w:hideMark/>
          </w:tcPr>
          <w:p w14:paraId="6D33B13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794" w:type="dxa"/>
            <w:tcBorders>
              <w:top w:val="nil"/>
              <w:left w:val="nil"/>
              <w:bottom w:val="single" w:sz="4" w:space="0" w:color="BFBFBF"/>
              <w:right w:val="single" w:sz="4" w:space="0" w:color="BFBFBF"/>
            </w:tcBorders>
            <w:shd w:val="clear" w:color="auto" w:fill="auto"/>
            <w:noWrap/>
            <w:vAlign w:val="center"/>
            <w:hideMark/>
          </w:tcPr>
          <w:p w14:paraId="7321BA5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10" w:type="dxa"/>
            <w:tcBorders>
              <w:top w:val="nil"/>
              <w:left w:val="nil"/>
              <w:bottom w:val="single" w:sz="4" w:space="0" w:color="BFBFBF"/>
              <w:right w:val="single" w:sz="4" w:space="0" w:color="BFBFBF"/>
            </w:tcBorders>
            <w:shd w:val="clear" w:color="auto" w:fill="auto"/>
            <w:noWrap/>
            <w:vAlign w:val="center"/>
            <w:hideMark/>
          </w:tcPr>
          <w:p w14:paraId="6FF7242D"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200" w:type="dxa"/>
            <w:tcBorders>
              <w:top w:val="nil"/>
              <w:left w:val="nil"/>
              <w:bottom w:val="single" w:sz="4" w:space="0" w:color="BFBFBF"/>
              <w:right w:val="single" w:sz="4" w:space="0" w:color="BFBFBF"/>
            </w:tcBorders>
            <w:shd w:val="clear" w:color="auto" w:fill="auto"/>
            <w:noWrap/>
            <w:vAlign w:val="center"/>
            <w:hideMark/>
          </w:tcPr>
          <w:p w14:paraId="7733BA92"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1689665B"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076" w:type="dxa"/>
            <w:tcBorders>
              <w:top w:val="nil"/>
              <w:left w:val="nil"/>
              <w:bottom w:val="single" w:sz="4" w:space="0" w:color="BFBFBF"/>
              <w:right w:val="single" w:sz="4" w:space="0" w:color="BFBFBF"/>
            </w:tcBorders>
            <w:shd w:val="clear" w:color="auto" w:fill="auto"/>
            <w:noWrap/>
            <w:vAlign w:val="center"/>
            <w:hideMark/>
          </w:tcPr>
          <w:p w14:paraId="30287984" w14:textId="77777777" w:rsidR="00136F7A" w:rsidRPr="00C45D6C" w:rsidRDefault="00136F7A" w:rsidP="000364AB">
            <w:pPr>
              <w:jc w:val="right"/>
              <w:rPr>
                <w:rFonts w:ascii="Arial Narrow" w:eastAsia="Times New Roman" w:hAnsi="Arial Narrow"/>
                <w:sz w:val="20"/>
              </w:rPr>
            </w:pPr>
            <w:r>
              <w:rPr>
                <w:rFonts w:ascii="Arial Narrow" w:hAnsi="Arial Narrow"/>
                <w:sz w:val="20"/>
              </w:rPr>
              <w:t>–</w:t>
            </w:r>
          </w:p>
        </w:tc>
        <w:tc>
          <w:tcPr>
            <w:tcW w:w="1192" w:type="dxa"/>
            <w:tcBorders>
              <w:top w:val="nil"/>
              <w:left w:val="nil"/>
              <w:bottom w:val="single" w:sz="4" w:space="0" w:color="BFBFBF"/>
              <w:right w:val="single" w:sz="4" w:space="0" w:color="BFBFBF"/>
            </w:tcBorders>
            <w:shd w:val="clear" w:color="auto" w:fill="auto"/>
            <w:noWrap/>
            <w:vAlign w:val="center"/>
            <w:hideMark/>
          </w:tcPr>
          <w:p w14:paraId="1BCA893C" w14:textId="562D4AB8" w:rsidR="00136F7A" w:rsidRPr="00C45D6C" w:rsidRDefault="00A75D78" w:rsidP="000364AB">
            <w:pPr>
              <w:jc w:val="right"/>
              <w:rPr>
                <w:rFonts w:ascii="Arial Narrow" w:eastAsia="Times New Roman" w:hAnsi="Arial Narrow"/>
                <w:sz w:val="20"/>
              </w:rPr>
            </w:pPr>
            <w:r>
              <w:rPr>
                <w:rFonts w:ascii="Arial Narrow" w:hAnsi="Arial Narrow"/>
                <w:sz w:val="20"/>
              </w:rPr>
              <w:t>12 000</w:t>
            </w:r>
          </w:p>
        </w:tc>
        <w:tc>
          <w:tcPr>
            <w:tcW w:w="793" w:type="dxa"/>
            <w:tcBorders>
              <w:top w:val="nil"/>
              <w:left w:val="nil"/>
              <w:bottom w:val="single" w:sz="4" w:space="0" w:color="BFBFBF"/>
              <w:right w:val="single" w:sz="4" w:space="0" w:color="BFBFBF"/>
            </w:tcBorders>
            <w:shd w:val="clear" w:color="auto" w:fill="auto"/>
            <w:noWrap/>
            <w:vAlign w:val="center"/>
            <w:hideMark/>
          </w:tcPr>
          <w:p w14:paraId="43FF72D3" w14:textId="77777777" w:rsidR="00136F7A" w:rsidRPr="00C45D6C" w:rsidRDefault="00136F7A" w:rsidP="000364AB">
            <w:pPr>
              <w:jc w:val="right"/>
              <w:rPr>
                <w:rFonts w:ascii="Arial Narrow" w:eastAsia="Times New Roman" w:hAnsi="Arial Narrow"/>
                <w:sz w:val="20"/>
              </w:rPr>
            </w:pPr>
            <w:r>
              <w:rPr>
                <w:rFonts w:ascii="Arial Narrow" w:hAnsi="Arial Narrow"/>
                <w:sz w:val="20"/>
              </w:rPr>
              <w:t>12 000</w:t>
            </w:r>
          </w:p>
        </w:tc>
      </w:tr>
      <w:tr w:rsidR="00612843" w:rsidRPr="00C45D6C" w14:paraId="50EADF11" w14:textId="77777777" w:rsidTr="00C362C2">
        <w:trPr>
          <w:trHeight w:val="343"/>
        </w:trPr>
        <w:tc>
          <w:tcPr>
            <w:tcW w:w="5540"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F4D10DE" w14:textId="425BD203" w:rsidR="00136F7A" w:rsidRPr="00C45D6C" w:rsidRDefault="00136F7A" w:rsidP="000364AB">
            <w:pPr>
              <w:rPr>
                <w:rFonts w:ascii="Arial Narrow" w:eastAsia="Times New Roman" w:hAnsi="Arial Narrow"/>
                <w:b/>
                <w:bCs/>
                <w:sz w:val="20"/>
              </w:rPr>
            </w:pPr>
            <w:r>
              <w:rPr>
                <w:rFonts w:ascii="Arial Narrow" w:hAnsi="Arial Narrow"/>
                <w:b/>
                <w:sz w:val="20"/>
              </w:rPr>
              <w:t>Total</w:t>
            </w:r>
          </w:p>
        </w:tc>
        <w:tc>
          <w:tcPr>
            <w:tcW w:w="10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A8CD1A3"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49 000</w:t>
            </w:r>
          </w:p>
        </w:tc>
        <w:tc>
          <w:tcPr>
            <w:tcW w:w="89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75354E0"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147 000</w:t>
            </w:r>
          </w:p>
        </w:tc>
        <w:tc>
          <w:tcPr>
            <w:tcW w:w="179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EBD61E" w14:textId="77777777" w:rsidR="00136F7A" w:rsidRPr="00C45D6C" w:rsidRDefault="00972809" w:rsidP="000364AB">
            <w:pPr>
              <w:jc w:val="right"/>
              <w:rPr>
                <w:rFonts w:ascii="Arial Narrow" w:eastAsia="Times New Roman" w:hAnsi="Arial Narrow"/>
                <w:b/>
                <w:bCs/>
                <w:sz w:val="20"/>
              </w:rPr>
            </w:pPr>
            <w:r>
              <w:rPr>
                <w:rFonts w:ascii="Arial Narrow" w:hAnsi="Arial Narrow"/>
                <w:b/>
                <w:sz w:val="20"/>
              </w:rPr>
              <w:noBreakHyphen/>
            </w:r>
          </w:p>
        </w:tc>
        <w:tc>
          <w:tcPr>
            <w:tcW w:w="121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C81EDF9"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26 000</w:t>
            </w:r>
          </w:p>
        </w:tc>
        <w:tc>
          <w:tcPr>
            <w:tcW w:w="12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F9368B0" w14:textId="77777777" w:rsidR="00136F7A" w:rsidRPr="00C45D6C" w:rsidRDefault="00972809" w:rsidP="000364AB">
            <w:pPr>
              <w:jc w:val="right"/>
              <w:rPr>
                <w:rFonts w:ascii="Arial Narrow" w:eastAsia="Times New Roman" w:hAnsi="Arial Narrow"/>
                <w:b/>
                <w:bCs/>
                <w:sz w:val="20"/>
              </w:rPr>
            </w:pPr>
            <w:r>
              <w:rPr>
                <w:rFonts w:ascii="Arial Narrow" w:hAnsi="Arial Narrow"/>
                <w:b/>
                <w:sz w:val="20"/>
              </w:rPr>
              <w:noBreakHyphen/>
            </w:r>
          </w:p>
        </w:tc>
        <w:tc>
          <w:tcPr>
            <w:tcW w:w="11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523EBE5"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128 000</w:t>
            </w:r>
          </w:p>
        </w:tc>
        <w:tc>
          <w:tcPr>
            <w:tcW w:w="107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E1DA6B9"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154 200</w:t>
            </w:r>
          </w:p>
        </w:tc>
        <w:tc>
          <w:tcPr>
            <w:tcW w:w="11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921532"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52 000</w:t>
            </w:r>
          </w:p>
        </w:tc>
        <w:tc>
          <w:tcPr>
            <w:tcW w:w="79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9440118" w14:textId="77777777" w:rsidR="00136F7A" w:rsidRPr="00C45D6C" w:rsidRDefault="00136F7A" w:rsidP="000364AB">
            <w:pPr>
              <w:jc w:val="right"/>
              <w:rPr>
                <w:rFonts w:ascii="Arial Narrow" w:eastAsia="Times New Roman" w:hAnsi="Arial Narrow"/>
                <w:b/>
                <w:bCs/>
                <w:sz w:val="20"/>
              </w:rPr>
            </w:pPr>
            <w:r>
              <w:rPr>
                <w:rFonts w:ascii="Arial Narrow" w:hAnsi="Arial Narrow"/>
                <w:b/>
                <w:sz w:val="20"/>
              </w:rPr>
              <w:t>556 200</w:t>
            </w:r>
          </w:p>
        </w:tc>
      </w:tr>
    </w:tbl>
    <w:p w14:paraId="5D7C77D9" w14:textId="77777777" w:rsidR="00136F7A" w:rsidRPr="00612843" w:rsidRDefault="00136F7A" w:rsidP="00C362C2">
      <w:pPr>
        <w:pStyle w:val="Endofdocument-Annex"/>
        <w:spacing w:before="240"/>
        <w:ind w:left="10069"/>
        <w:rPr>
          <w:lang w:val="fr-FR"/>
        </w:rPr>
      </w:pPr>
      <w:r w:rsidRPr="00612843">
        <w:rPr>
          <w:lang w:val="fr-FR"/>
        </w:rPr>
        <w:t>[Fin de l</w:t>
      </w:r>
      <w:r w:rsidR="000B28D4" w:rsidRPr="00612843">
        <w:rPr>
          <w:lang w:val="fr-FR"/>
        </w:rPr>
        <w:t>’</w:t>
      </w:r>
      <w:r w:rsidRPr="00612843">
        <w:rPr>
          <w:lang w:val="fr-FR"/>
        </w:rPr>
        <w:t>annexe et du document]</w:t>
      </w:r>
    </w:p>
    <w:sectPr w:rsidR="00136F7A" w:rsidRPr="00612843" w:rsidSect="00972809">
      <w:headerReference w:type="default" r:id="rId14"/>
      <w:footerReference w:type="default" r:id="rId15"/>
      <w:headerReference w:type="first" r:id="rId16"/>
      <w:footerReference w:type="first" r:id="rId17"/>
      <w:endnotePr>
        <w:numFmt w:val="decimal"/>
      </w:endnotePr>
      <w:pgSz w:w="16840" w:h="11907" w:orient="landscape"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602B" w14:textId="77777777" w:rsidR="00136F7A" w:rsidRDefault="00136F7A">
      <w:r>
        <w:separator/>
      </w:r>
    </w:p>
  </w:endnote>
  <w:endnote w:type="continuationSeparator" w:id="0">
    <w:p w14:paraId="50897EE4" w14:textId="77777777" w:rsidR="00136F7A" w:rsidRPr="009D30E6" w:rsidRDefault="00136F7A" w:rsidP="00D45252">
      <w:pPr>
        <w:rPr>
          <w:sz w:val="17"/>
          <w:szCs w:val="17"/>
        </w:rPr>
      </w:pPr>
      <w:r w:rsidRPr="009D30E6">
        <w:rPr>
          <w:sz w:val="17"/>
          <w:szCs w:val="17"/>
        </w:rPr>
        <w:separator/>
      </w:r>
    </w:p>
    <w:p w14:paraId="45D5DBFA" w14:textId="77777777" w:rsidR="00136F7A" w:rsidRPr="009D30E6" w:rsidRDefault="00136F7A" w:rsidP="00D45252">
      <w:pPr>
        <w:spacing w:after="60"/>
        <w:rPr>
          <w:sz w:val="17"/>
          <w:szCs w:val="17"/>
        </w:rPr>
      </w:pPr>
      <w:r w:rsidRPr="009D30E6">
        <w:rPr>
          <w:sz w:val="17"/>
          <w:szCs w:val="17"/>
        </w:rPr>
        <w:t>[Suite de la note de la page précédente]</w:t>
      </w:r>
    </w:p>
  </w:endnote>
  <w:endnote w:type="continuationNotice" w:id="1">
    <w:p w14:paraId="0F6F78E2" w14:textId="77777777" w:rsidR="00136F7A" w:rsidRPr="009D30E6" w:rsidRDefault="00136F7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E3BF" w14:textId="77777777" w:rsidR="001060FF" w:rsidRDefault="00106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7EF05" w14:textId="77777777"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C7A7C" w14:textId="77777777" w:rsidR="00136F7A" w:rsidRDefault="00136F7A">
      <w:r>
        <w:separator/>
      </w:r>
    </w:p>
  </w:footnote>
  <w:footnote w:type="continuationSeparator" w:id="0">
    <w:p w14:paraId="3F959441" w14:textId="77777777" w:rsidR="00136F7A" w:rsidRDefault="00136F7A" w:rsidP="007461F1">
      <w:r>
        <w:separator/>
      </w:r>
    </w:p>
    <w:p w14:paraId="68656A36" w14:textId="77777777" w:rsidR="00136F7A" w:rsidRPr="009D30E6" w:rsidRDefault="00136F7A" w:rsidP="007461F1">
      <w:pPr>
        <w:spacing w:after="60"/>
        <w:rPr>
          <w:sz w:val="17"/>
          <w:szCs w:val="17"/>
        </w:rPr>
      </w:pPr>
      <w:r w:rsidRPr="009D30E6">
        <w:rPr>
          <w:sz w:val="17"/>
          <w:szCs w:val="17"/>
        </w:rPr>
        <w:t>[Suite de la note de la page précédente]</w:t>
      </w:r>
    </w:p>
  </w:footnote>
  <w:footnote w:type="continuationNotice" w:id="1">
    <w:p w14:paraId="7DA97B69" w14:textId="77777777" w:rsidR="00136F7A" w:rsidRPr="009D30E6" w:rsidRDefault="00136F7A" w:rsidP="007461F1">
      <w:pPr>
        <w:spacing w:before="60"/>
        <w:jc w:val="right"/>
        <w:rPr>
          <w:sz w:val="17"/>
          <w:szCs w:val="17"/>
        </w:rPr>
      </w:pPr>
      <w:r w:rsidRPr="009D30E6">
        <w:rPr>
          <w:sz w:val="17"/>
          <w:szCs w:val="17"/>
        </w:rPr>
        <w:t>[Suite de la note page suivante]</w:t>
      </w:r>
    </w:p>
  </w:footnote>
  <w:footnote w:id="2">
    <w:p w14:paraId="558A1CB5" w14:textId="77777777" w:rsidR="00136F7A" w:rsidRDefault="00136F7A" w:rsidP="00972809">
      <w:pPr>
        <w:pStyle w:val="FootnoteText"/>
        <w:tabs>
          <w:tab w:val="left" w:pos="567"/>
        </w:tabs>
      </w:pPr>
      <w:r>
        <w:rPr>
          <w:rStyle w:val="FootnoteReference"/>
        </w:rPr>
        <w:footnoteRef/>
      </w:r>
      <w:r w:rsidR="00972809">
        <w:t xml:space="preserve"> </w:t>
      </w:r>
      <w:r w:rsidR="00972809">
        <w:tab/>
      </w:r>
      <w:r>
        <w:t>La mise en œuvre du projet commencera uniquement lorsque les activités préalables à la mise en œuvre du projet auront été effectuées, c</w:t>
      </w:r>
      <w:r w:rsidR="00E3636F">
        <w:t>’</w:t>
      </w:r>
      <w:r>
        <w:t>est</w:t>
      </w:r>
      <w:r w:rsidR="00972809">
        <w:noBreakHyphen/>
      </w:r>
      <w:r>
        <w:t>à</w:t>
      </w:r>
      <w:r w:rsidR="00972809">
        <w:noBreakHyphen/>
      </w:r>
      <w:r>
        <w:t>dire</w:t>
      </w:r>
      <w:r w:rsidR="00E3636F">
        <w:t> :</w:t>
      </w:r>
      <w:r>
        <w:t xml:space="preserve"> i) tous les pays participants auront été sélectionnés, ii) des coordonnateurs auront été désignés dans chacun d</w:t>
      </w:r>
      <w:r w:rsidR="00E3636F">
        <w:t>’</w:t>
      </w:r>
      <w:r>
        <w:t>eux, iii) l</w:t>
      </w:r>
      <w:r w:rsidR="00E3636F">
        <w:t>’</w:t>
      </w:r>
      <w:r>
        <w:t>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E78A" w14:textId="77777777" w:rsidR="00136F7A" w:rsidRPr="002326AB" w:rsidRDefault="00136F7A" w:rsidP="00477D6B">
    <w:pPr>
      <w:jc w:val="right"/>
      <w:rPr>
        <w:caps/>
      </w:rPr>
    </w:pPr>
  </w:p>
  <w:p w14:paraId="049E88B4" w14:textId="77777777" w:rsidR="00136F7A" w:rsidRDefault="00136F7A" w:rsidP="00477D6B">
    <w:pPr>
      <w:jc w:val="right"/>
    </w:pPr>
    <w:r>
      <w:t>page </w:t>
    </w:r>
    <w:r>
      <w:fldChar w:fldCharType="begin"/>
    </w:r>
    <w:r>
      <w:instrText xml:space="preserve"> PAGE  \* MERGEFORMAT </w:instrText>
    </w:r>
    <w:r>
      <w:fldChar w:fldCharType="separate"/>
    </w:r>
    <w:r>
      <w:t>3</w:t>
    </w:r>
    <w:r>
      <w:fldChar w:fldCharType="end"/>
    </w:r>
  </w:p>
  <w:p w14:paraId="50EF26A0" w14:textId="77777777" w:rsidR="00136F7A" w:rsidRDefault="00136F7A" w:rsidP="00477D6B">
    <w:pPr>
      <w:jc w:val="right"/>
    </w:pPr>
  </w:p>
  <w:p w14:paraId="01A99BAD" w14:textId="77777777" w:rsidR="00136F7A" w:rsidRDefault="00136F7A"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653FE" w14:textId="70274E2D" w:rsidR="00136F7A" w:rsidRPr="00F321E0" w:rsidRDefault="00136F7A" w:rsidP="008A24EF">
    <w:pPr>
      <w:pBdr>
        <w:top w:val="nil"/>
        <w:left w:val="nil"/>
        <w:bottom w:val="nil"/>
        <w:right w:val="nil"/>
        <w:between w:val="nil"/>
      </w:pBdr>
      <w:tabs>
        <w:tab w:val="center" w:pos="4680"/>
        <w:tab w:val="right" w:pos="9360"/>
      </w:tabs>
      <w:jc w:val="right"/>
      <w:rPr>
        <w:rFonts w:eastAsia="Calibri"/>
        <w:color w:val="000000"/>
      </w:rPr>
    </w:pPr>
    <w:r>
      <w:rPr>
        <w:color w:val="000000"/>
      </w:rPr>
      <w:t>CDIP/31/10 </w:t>
    </w:r>
    <w:r>
      <w:rPr>
        <w:color w:val="000000"/>
      </w:rPr>
      <w:t>R</w:t>
    </w:r>
    <w:r w:rsidR="00C362C2">
      <w:rPr>
        <w:color w:val="000000"/>
      </w:rPr>
      <w:t>ev</w:t>
    </w:r>
    <w:r>
      <w:rPr>
        <w:color w:val="000000"/>
      </w:rPr>
      <w:t>.</w:t>
    </w:r>
  </w:p>
  <w:p w14:paraId="629117DB" w14:textId="77777777" w:rsidR="00136F7A" w:rsidRDefault="00136F7A" w:rsidP="00972809">
    <w:pPr>
      <w:spacing w:after="480"/>
      <w:jc w:val="right"/>
    </w:pPr>
    <w:r>
      <w:t xml:space="preserve">Annexe, page </w:t>
    </w:r>
    <w:r>
      <w:fldChar w:fldCharType="begin"/>
    </w:r>
    <w:r>
      <w:instrText xml:space="preserve"> PAGE  \* MERGEFORMAT </w:instrText>
    </w:r>
    <w:r>
      <w:fldChar w:fldCharType="separate"/>
    </w:r>
    <w:r w:rsidR="00612843">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19FCD" w14:textId="78B2B4D9" w:rsidR="00136F7A" w:rsidRPr="00F321E0" w:rsidRDefault="00136F7A"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CDIP/31/10 </w:t>
    </w:r>
    <w:r>
      <w:rPr>
        <w:color w:val="000000"/>
      </w:rPr>
      <w:t>R</w:t>
    </w:r>
    <w:r w:rsidR="00C362C2">
      <w:rPr>
        <w:color w:val="000000"/>
      </w:rPr>
      <w:t>ev</w:t>
    </w:r>
    <w:r>
      <w:rPr>
        <w:color w:val="000000"/>
      </w:rPr>
      <w:t>.</w:t>
    </w:r>
  </w:p>
  <w:p w14:paraId="381C6B7E" w14:textId="77777777" w:rsidR="00136F7A" w:rsidRDefault="00136F7A" w:rsidP="00972809">
    <w:pPr>
      <w:spacing w:after="480"/>
      <w:jc w:val="right"/>
    </w:pPr>
    <w:r>
      <w:t>ANNEXE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CE832" w14:textId="3671879E" w:rsidR="00F16975" w:rsidRPr="00B45C15" w:rsidRDefault="00136F7A" w:rsidP="00477D6B">
    <w:pPr>
      <w:jc w:val="right"/>
      <w:rPr>
        <w:caps/>
      </w:rPr>
    </w:pPr>
    <w:bookmarkStart w:id="5" w:name="Code2"/>
    <w:bookmarkEnd w:id="5"/>
    <w:r>
      <w:rPr>
        <w:caps/>
      </w:rPr>
      <w:t>CDIP/31/10</w:t>
    </w:r>
    <w:r w:rsidR="00C362C2">
      <w:rPr>
        <w:caps/>
      </w:rPr>
      <w:t> </w:t>
    </w:r>
    <w:r>
      <w:rPr>
        <w:caps/>
      </w:rPr>
      <w:t>R</w:t>
    </w:r>
    <w:r w:rsidR="00C362C2" w:rsidRPr="00C362C2">
      <w:t>ev</w:t>
    </w:r>
    <w:r>
      <w:rPr>
        <w:caps/>
      </w:rPr>
      <w:t>.</w:t>
    </w:r>
  </w:p>
  <w:p w14:paraId="60D48C12" w14:textId="77777777" w:rsidR="00574036" w:rsidRDefault="00972809" w:rsidP="00972809">
    <w:pPr>
      <w:spacing w:after="480"/>
      <w:jc w:val="right"/>
    </w:pPr>
    <w:r>
      <w:t xml:space="preserve">Annexe, </w:t>
    </w:r>
    <w:r w:rsidR="00F16975">
      <w:t xml:space="preserve">page </w:t>
    </w:r>
    <w:r w:rsidR="00F16975">
      <w:fldChar w:fldCharType="begin"/>
    </w:r>
    <w:r w:rsidR="00F16975">
      <w:instrText xml:space="preserve"> PAGE  \* MERGEFORMAT </w:instrText>
    </w:r>
    <w:r w:rsidR="00F16975">
      <w:fldChar w:fldCharType="separate"/>
    </w:r>
    <w:r w:rsidR="00612843">
      <w:rPr>
        <w:noProof/>
      </w:rPr>
      <w:t>10</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B8E5C" w14:textId="441A087C" w:rsidR="00972809" w:rsidRPr="00F321E0" w:rsidRDefault="00972809" w:rsidP="00060751">
    <w:pPr>
      <w:pBdr>
        <w:top w:val="nil"/>
        <w:left w:val="nil"/>
        <w:bottom w:val="nil"/>
        <w:right w:val="nil"/>
        <w:between w:val="nil"/>
      </w:pBdr>
      <w:tabs>
        <w:tab w:val="center" w:pos="4680"/>
        <w:tab w:val="right" w:pos="9360"/>
      </w:tabs>
      <w:jc w:val="right"/>
      <w:rPr>
        <w:rFonts w:eastAsia="Calibri"/>
        <w:color w:val="000000"/>
      </w:rPr>
    </w:pPr>
    <w:r>
      <w:rPr>
        <w:color w:val="000000"/>
      </w:rPr>
      <w:t>CDIP/31/10 </w:t>
    </w:r>
    <w:r>
      <w:rPr>
        <w:color w:val="000000"/>
      </w:rPr>
      <w:t>R</w:t>
    </w:r>
    <w:r w:rsidR="00C362C2">
      <w:rPr>
        <w:color w:val="000000"/>
      </w:rPr>
      <w:t>ev</w:t>
    </w:r>
    <w:r>
      <w:rPr>
        <w:color w:val="000000"/>
      </w:rPr>
      <w:t>.</w:t>
    </w:r>
  </w:p>
  <w:p w14:paraId="6F214CD1" w14:textId="77777777" w:rsidR="00972809" w:rsidRDefault="00972809" w:rsidP="00972809">
    <w:pPr>
      <w:spacing w:after="480"/>
      <w:jc w:val="right"/>
    </w:pPr>
    <w:r>
      <w:t>Annexe, page </w:t>
    </w:r>
    <w:r>
      <w:fldChar w:fldCharType="begin"/>
    </w:r>
    <w:r>
      <w:instrText xml:space="preserve"> PAGE   \* MERGEFORMAT </w:instrText>
    </w:r>
    <w:r>
      <w:fldChar w:fldCharType="separate"/>
    </w:r>
    <w:r w:rsidR="00612843">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F1062C42"/>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AF6071"/>
    <w:multiLevelType w:val="hybridMultilevel"/>
    <w:tmpl w:val="11CE82DA"/>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1"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1A1C07"/>
    <w:multiLevelType w:val="hybridMultilevel"/>
    <w:tmpl w:val="7244FA60"/>
    <w:lvl w:ilvl="0" w:tplc="1F06A96A">
      <w:start w:val="5"/>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6EB6814"/>
    <w:multiLevelType w:val="hybridMultilevel"/>
    <w:tmpl w:val="1632046E"/>
    <w:lvl w:ilvl="0" w:tplc="C038B6FE">
      <w:numFmt w:val="bullet"/>
      <w:lvlText w:val="-"/>
      <w:lvlJc w:val="left"/>
      <w:pPr>
        <w:ind w:left="830" w:hanging="360"/>
      </w:pPr>
      <w:rPr>
        <w:rFonts w:ascii="Times New Roman" w:eastAsiaTheme="minorHAnsi"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16cid:durableId="970096494">
    <w:abstractNumId w:val="6"/>
  </w:num>
  <w:num w:numId="2" w16cid:durableId="1828091756">
    <w:abstractNumId w:val="13"/>
  </w:num>
  <w:num w:numId="3" w16cid:durableId="417681416">
    <w:abstractNumId w:val="0"/>
  </w:num>
  <w:num w:numId="4" w16cid:durableId="1931966447">
    <w:abstractNumId w:val="15"/>
  </w:num>
  <w:num w:numId="5" w16cid:durableId="40903817">
    <w:abstractNumId w:val="2"/>
  </w:num>
  <w:num w:numId="6" w16cid:durableId="703212685">
    <w:abstractNumId w:val="9"/>
  </w:num>
  <w:num w:numId="7" w16cid:durableId="2134668346">
    <w:abstractNumId w:val="8"/>
  </w:num>
  <w:num w:numId="8" w16cid:durableId="282418152">
    <w:abstractNumId w:val="7"/>
  </w:num>
  <w:num w:numId="9" w16cid:durableId="5522613">
    <w:abstractNumId w:val="3"/>
  </w:num>
  <w:num w:numId="10" w16cid:durableId="1608387908">
    <w:abstractNumId w:val="14"/>
  </w:num>
  <w:num w:numId="11" w16cid:durableId="1457261700">
    <w:abstractNumId w:val="11"/>
  </w:num>
  <w:num w:numId="12" w16cid:durableId="292294705">
    <w:abstractNumId w:val="10"/>
  </w:num>
  <w:num w:numId="13" w16cid:durableId="776365194">
    <w:abstractNumId w:val="1"/>
  </w:num>
  <w:num w:numId="14" w16cid:durableId="915935717">
    <w:abstractNumId w:val="5"/>
  </w:num>
  <w:num w:numId="15" w16cid:durableId="1070955874">
    <w:abstractNumId w:val="4"/>
  </w:num>
  <w:num w:numId="16" w16cid:durableId="1003044602">
    <w:abstractNumId w:val="16"/>
  </w:num>
  <w:num w:numId="17" w16cid:durableId="1281451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F7A"/>
    <w:rsid w:val="00011B7D"/>
    <w:rsid w:val="00020C7E"/>
    <w:rsid w:val="00075432"/>
    <w:rsid w:val="000760CD"/>
    <w:rsid w:val="0009458A"/>
    <w:rsid w:val="000B28D4"/>
    <w:rsid w:val="000F5E56"/>
    <w:rsid w:val="001060FF"/>
    <w:rsid w:val="001362EE"/>
    <w:rsid w:val="00136F7A"/>
    <w:rsid w:val="001832A6"/>
    <w:rsid w:val="00195C6E"/>
    <w:rsid w:val="001B266A"/>
    <w:rsid w:val="001B488E"/>
    <w:rsid w:val="001C4652"/>
    <w:rsid w:val="001C6508"/>
    <w:rsid w:val="001D3D56"/>
    <w:rsid w:val="00240654"/>
    <w:rsid w:val="002634C4"/>
    <w:rsid w:val="002956DE"/>
    <w:rsid w:val="002E4D1A"/>
    <w:rsid w:val="002F16BC"/>
    <w:rsid w:val="002F4E68"/>
    <w:rsid w:val="00322C0B"/>
    <w:rsid w:val="00322F32"/>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A4690"/>
    <w:rsid w:val="005E6516"/>
    <w:rsid w:val="00605827"/>
    <w:rsid w:val="00612843"/>
    <w:rsid w:val="00616671"/>
    <w:rsid w:val="0066343A"/>
    <w:rsid w:val="006B0DB5"/>
    <w:rsid w:val="007461F1"/>
    <w:rsid w:val="007D6961"/>
    <w:rsid w:val="007E77F3"/>
    <w:rsid w:val="007F07CB"/>
    <w:rsid w:val="00807C77"/>
    <w:rsid w:val="00810CEF"/>
    <w:rsid w:val="0081208D"/>
    <w:rsid w:val="00827111"/>
    <w:rsid w:val="00897816"/>
    <w:rsid w:val="008B2CC1"/>
    <w:rsid w:val="008E7930"/>
    <w:rsid w:val="008F25FA"/>
    <w:rsid w:val="0090731E"/>
    <w:rsid w:val="00966A22"/>
    <w:rsid w:val="00972809"/>
    <w:rsid w:val="00974CD6"/>
    <w:rsid w:val="009D30E6"/>
    <w:rsid w:val="009E3F6F"/>
    <w:rsid w:val="009F499F"/>
    <w:rsid w:val="00A11D74"/>
    <w:rsid w:val="00A75D78"/>
    <w:rsid w:val="00AC0AE4"/>
    <w:rsid w:val="00AD61DB"/>
    <w:rsid w:val="00AE47C0"/>
    <w:rsid w:val="00B1090C"/>
    <w:rsid w:val="00B35AF5"/>
    <w:rsid w:val="00B45C15"/>
    <w:rsid w:val="00BE0BE0"/>
    <w:rsid w:val="00C362C2"/>
    <w:rsid w:val="00C664C8"/>
    <w:rsid w:val="00CC75AE"/>
    <w:rsid w:val="00CF0460"/>
    <w:rsid w:val="00D43E0F"/>
    <w:rsid w:val="00D45252"/>
    <w:rsid w:val="00D71B4D"/>
    <w:rsid w:val="00D75C1E"/>
    <w:rsid w:val="00D93D55"/>
    <w:rsid w:val="00DB1C48"/>
    <w:rsid w:val="00DB249F"/>
    <w:rsid w:val="00DD4917"/>
    <w:rsid w:val="00DD6A16"/>
    <w:rsid w:val="00E0091A"/>
    <w:rsid w:val="00E203AA"/>
    <w:rsid w:val="00E3636F"/>
    <w:rsid w:val="00E5217A"/>
    <w:rsid w:val="00E527A5"/>
    <w:rsid w:val="00E76456"/>
    <w:rsid w:val="00EE71CB"/>
    <w:rsid w:val="00F12892"/>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0047D4"/>
  <w15:docId w15:val="{5E9CA393-B20B-44F3-9DF1-E2A87782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ableParagraph">
    <w:name w:val="Table Paragraph"/>
    <w:basedOn w:val="Normal"/>
    <w:uiPriority w:val="1"/>
    <w:qFormat/>
    <w:rsid w:val="00136F7A"/>
    <w:pPr>
      <w:widowControl w:val="0"/>
      <w:autoSpaceDE w:val="0"/>
      <w:autoSpaceDN w:val="0"/>
    </w:pPr>
    <w:rPr>
      <w:rFonts w:eastAsia="Arial"/>
      <w:szCs w:val="22"/>
      <w:lang w:val="fr-FR" w:eastAsia="en-US"/>
    </w:rPr>
  </w:style>
  <w:style w:type="paragraph" w:styleId="ListParagraph">
    <w:name w:val="List Paragraph"/>
    <w:basedOn w:val="Normal"/>
    <w:uiPriority w:val="34"/>
    <w:qFormat/>
    <w:rsid w:val="00136F7A"/>
    <w:pPr>
      <w:widowControl w:val="0"/>
      <w:autoSpaceDE w:val="0"/>
      <w:autoSpaceDN w:val="0"/>
      <w:ind w:left="935" w:hanging="361"/>
    </w:pPr>
    <w:rPr>
      <w:rFonts w:eastAsia="Arial"/>
      <w:szCs w:val="22"/>
      <w:lang w:val="fr-FR" w:eastAsia="en-US"/>
    </w:rPr>
  </w:style>
  <w:style w:type="character" w:styleId="Hyperlink">
    <w:name w:val="Hyperlink"/>
    <w:basedOn w:val="DefaultParagraphFont"/>
    <w:uiPriority w:val="99"/>
    <w:unhideWhenUsed/>
    <w:rsid w:val="00136F7A"/>
    <w:rPr>
      <w:color w:val="0000FF" w:themeColor="hyperlink"/>
      <w:u w:val="single"/>
    </w:rPr>
  </w:style>
  <w:style w:type="character" w:customStyle="1" w:styleId="ONUMFSChar">
    <w:name w:val="ONUM FS Char"/>
    <w:basedOn w:val="DefaultParagraphFont"/>
    <w:link w:val="ONUMFS"/>
    <w:rsid w:val="00136F7A"/>
    <w:rPr>
      <w:rFonts w:ascii="Arial" w:eastAsia="SimSun" w:hAnsi="Arial" w:cs="Arial"/>
      <w:sz w:val="22"/>
      <w:lang w:eastAsia="zh-CN"/>
    </w:rPr>
  </w:style>
  <w:style w:type="character" w:customStyle="1" w:styleId="HeaderChar">
    <w:name w:val="Header Char"/>
    <w:basedOn w:val="DefaultParagraphFont"/>
    <w:link w:val="Header"/>
    <w:uiPriority w:val="99"/>
    <w:rsid w:val="00136F7A"/>
    <w:rPr>
      <w:rFonts w:ascii="Arial" w:eastAsia="SimSun" w:hAnsi="Arial" w:cs="Arial"/>
      <w:sz w:val="22"/>
      <w:lang w:eastAsia="zh-CN"/>
    </w:rPr>
  </w:style>
  <w:style w:type="character" w:customStyle="1" w:styleId="FootnoteTextChar">
    <w:name w:val="Footnote Text Char"/>
    <w:basedOn w:val="DefaultParagraphFont"/>
    <w:link w:val="FootnoteText"/>
    <w:semiHidden/>
    <w:rsid w:val="00136F7A"/>
    <w:rPr>
      <w:rFonts w:ascii="Arial" w:eastAsia="SimSun" w:hAnsi="Arial" w:cs="Arial"/>
      <w:sz w:val="18"/>
      <w:lang w:eastAsia="zh-CN"/>
    </w:rPr>
  </w:style>
  <w:style w:type="character" w:styleId="FootnoteReference">
    <w:name w:val="footnote reference"/>
    <w:basedOn w:val="DefaultParagraphFont"/>
    <w:semiHidden/>
    <w:unhideWhenUsed/>
    <w:rsid w:val="00136F7A"/>
    <w:rPr>
      <w:vertAlign w:val="superscript"/>
    </w:rPr>
  </w:style>
  <w:style w:type="character" w:customStyle="1" w:styleId="FooterChar">
    <w:name w:val="Footer Char"/>
    <w:basedOn w:val="DefaultParagraphFont"/>
    <w:link w:val="Footer"/>
    <w:uiPriority w:val="99"/>
    <w:rsid w:val="00136F7A"/>
    <w:rPr>
      <w:rFonts w:ascii="Arial" w:eastAsia="SimSun" w:hAnsi="Arial" w:cs="Arial"/>
      <w:sz w:val="22"/>
      <w:lang w:eastAsia="zh-CN"/>
    </w:rPr>
  </w:style>
  <w:style w:type="character" w:customStyle="1" w:styleId="NenhumA">
    <w:name w:val="Nenhum A"/>
    <w:rsid w:val="00136F7A"/>
  </w:style>
  <w:style w:type="character" w:customStyle="1" w:styleId="Nenhum">
    <w:name w:val="Nenhum"/>
    <w:rsid w:val="00136F7A"/>
  </w:style>
  <w:style w:type="character" w:styleId="FollowedHyperlink">
    <w:name w:val="FollowedHyperlink"/>
    <w:basedOn w:val="DefaultParagraphFont"/>
    <w:semiHidden/>
    <w:unhideWhenUsed/>
    <w:rsid w:val="00972809"/>
    <w:rPr>
      <w:color w:val="800080" w:themeColor="followedHyperlink"/>
      <w:u w:val="single"/>
    </w:rPr>
  </w:style>
  <w:style w:type="paragraph" w:styleId="Title">
    <w:name w:val="Title"/>
    <w:basedOn w:val="Heading1"/>
    <w:next w:val="Normal"/>
    <w:link w:val="TitleChar"/>
    <w:qFormat/>
    <w:rsid w:val="00972809"/>
    <w:pPr>
      <w:spacing w:before="0" w:after="600"/>
    </w:pPr>
    <w:rPr>
      <w:caps w:val="0"/>
      <w:sz w:val="28"/>
    </w:rPr>
  </w:style>
  <w:style w:type="character" w:customStyle="1" w:styleId="TitleChar">
    <w:name w:val="Title Char"/>
    <w:basedOn w:val="DefaultParagraphFont"/>
    <w:link w:val="Title"/>
    <w:rsid w:val="00972809"/>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oc_details.jsp?doc_id=42177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meetings/fr/doc_details.jsp?doc_id=42177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04D2-FDB3-4D33-9D0B-F981C237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38</TotalTime>
  <Pages>11</Pages>
  <Words>4222</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CDIP/31/10 Rev.</dc:title>
  <dc:creator>Nadège Bernard</dc:creator>
  <cp:keywords>FOR OFFICIAL USE ONLY</cp:keywords>
  <cp:lastModifiedBy>ESTEVES DOS SANTOS Anabela</cp:lastModifiedBy>
  <cp:revision>9</cp:revision>
  <cp:lastPrinted>2011-05-19T12:37:00Z</cp:lastPrinted>
  <dcterms:created xsi:type="dcterms:W3CDTF">2023-12-06T13:55:00Z</dcterms:created>
  <dcterms:modified xsi:type="dcterms:W3CDTF">2025-01-20T09:51:00Z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2023-12-06T14:04:33Z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b21b32a0-980a-4301-9b22-bc344b4d1d6e</vt:lpwstr>
  </property>
  <property fmtid="{D5CDD505-2E9C-101B-9397-08002B2CF9AE}" pid="14" name="MSIP_Label_20773ee6-353b-4fb9-a59d-0b94c8c67bea_ContentBits">
    <vt:lpwstr>0</vt:lpwstr>
  </property>
</Properties>
</file>