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897816">
      <w:pPr>
        <w:pBdr>
          <w:bottom w:val="single" w:sz="4" w:space="11" w:color="auto"/>
        </w:pBd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Default="00897816" w:rsidP="0040540C">
      <w:pPr>
        <w:jc w:val="right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sz w:val="15"/>
        </w:rPr>
        <w:t>CDIP/30/</w:t>
      </w:r>
      <w:bookmarkStart w:id="1" w:name="Code"/>
      <w:bookmarkEnd w:id="1"/>
      <w:r w:rsidR="00807124">
        <w:rPr>
          <w:rFonts w:ascii="Arial Black" w:hAnsi="Arial Black"/>
          <w:caps/>
          <w:sz w:val="15"/>
        </w:rPr>
        <w:t>13</w:t>
      </w:r>
    </w:p>
    <w:p w:rsidR="008B2CC1" w:rsidRPr="0040540C" w:rsidRDefault="00B1090C" w:rsidP="0040540C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2B1B28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2" w:name="Original"/>
      <w:r w:rsidR="00807124">
        <w:rPr>
          <w:rFonts w:ascii="Arial Black" w:hAnsi="Arial Black"/>
          <w:caps/>
          <w:sz w:val="15"/>
        </w:rPr>
        <w:t>anglais</w:t>
      </w:r>
    </w:p>
    <w:bookmarkEnd w:id="2"/>
    <w:p w:rsidR="008B2CC1" w:rsidRPr="0040540C" w:rsidRDefault="00B1090C" w:rsidP="00B1090C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2B1B28">
        <w:rPr>
          <w:rFonts w:ascii="Arial Black" w:hAnsi="Arial Black"/>
          <w:caps/>
          <w:sz w:val="15"/>
        </w:rPr>
        <w:t> :</w:t>
      </w:r>
      <w:r w:rsidR="002956DE">
        <w:rPr>
          <w:rFonts w:ascii="Arial Black" w:hAnsi="Arial Black"/>
          <w:caps/>
          <w:sz w:val="15"/>
        </w:rPr>
        <w:t xml:space="preserve"> </w:t>
      </w:r>
      <w:bookmarkStart w:id="3" w:name="Date"/>
      <w:r w:rsidR="00807124">
        <w:rPr>
          <w:rFonts w:ascii="Arial Black" w:hAnsi="Arial Black"/>
          <w:caps/>
          <w:sz w:val="15"/>
        </w:rPr>
        <w:t>10 mars 2023</w:t>
      </w:r>
    </w:p>
    <w:bookmarkEnd w:id="3"/>
    <w:p w:rsidR="003845C1" w:rsidRPr="00ED696A" w:rsidRDefault="001060FF" w:rsidP="00ED696A">
      <w:pPr>
        <w:spacing w:after="600"/>
        <w:rPr>
          <w:b/>
          <w:sz w:val="28"/>
        </w:rPr>
      </w:pPr>
      <w:r w:rsidRPr="00ED696A">
        <w:rPr>
          <w:b/>
          <w:sz w:val="28"/>
        </w:rPr>
        <w:t>Comité d</w:t>
      </w:r>
      <w:r w:rsidR="00897816" w:rsidRPr="00ED696A">
        <w:rPr>
          <w:b/>
          <w:sz w:val="28"/>
        </w:rPr>
        <w:t>u développement et de la propriété intellectuelle (CDIP)</w:t>
      </w:r>
    </w:p>
    <w:p w:rsidR="00FE19E9" w:rsidRDefault="00897816" w:rsidP="00FE19E9">
      <w:pPr>
        <w:outlineLvl w:val="1"/>
        <w:rPr>
          <w:b/>
          <w:sz w:val="24"/>
          <w:szCs w:val="24"/>
        </w:rPr>
      </w:pPr>
      <w:r w:rsidRPr="00897816">
        <w:rPr>
          <w:b/>
          <w:sz w:val="24"/>
          <w:szCs w:val="24"/>
        </w:rPr>
        <w:t>Trent</w:t>
      </w:r>
      <w:r w:rsidR="002B1B28">
        <w:rPr>
          <w:b/>
          <w:sz w:val="24"/>
          <w:szCs w:val="24"/>
        </w:rPr>
        <w:t>ième session</w:t>
      </w:r>
    </w:p>
    <w:p w:rsidR="008B2CC1" w:rsidRPr="003845C1" w:rsidRDefault="00897816" w:rsidP="001060FF">
      <w:pPr>
        <w:spacing w:after="720"/>
        <w:outlineLvl w:val="1"/>
        <w:rPr>
          <w:b/>
          <w:sz w:val="24"/>
          <w:szCs w:val="24"/>
        </w:rPr>
      </w:pPr>
      <w:r w:rsidRPr="00897816">
        <w:rPr>
          <w:b/>
          <w:sz w:val="24"/>
          <w:szCs w:val="24"/>
        </w:rPr>
        <w:t xml:space="preserve">Genève, 24 </w:t>
      </w:r>
      <w:r w:rsidR="001060FF">
        <w:rPr>
          <w:b/>
          <w:sz w:val="24"/>
          <w:szCs w:val="24"/>
        </w:rPr>
        <w:t>–</w:t>
      </w:r>
      <w:r w:rsidRPr="00897816">
        <w:rPr>
          <w:b/>
          <w:sz w:val="24"/>
          <w:szCs w:val="24"/>
        </w:rPr>
        <w:t xml:space="preserve"> 28</w:t>
      </w:r>
      <w:r w:rsidR="00807124">
        <w:rPr>
          <w:b/>
          <w:sz w:val="24"/>
          <w:szCs w:val="24"/>
        </w:rPr>
        <w:t> </w:t>
      </w:r>
      <w:r w:rsidRPr="00897816">
        <w:rPr>
          <w:b/>
          <w:sz w:val="24"/>
          <w:szCs w:val="24"/>
        </w:rPr>
        <w:t>avril</w:t>
      </w:r>
      <w:r w:rsidR="00807124">
        <w:rPr>
          <w:b/>
          <w:sz w:val="24"/>
          <w:szCs w:val="24"/>
        </w:rPr>
        <w:t> </w:t>
      </w:r>
      <w:r w:rsidRPr="00897816">
        <w:rPr>
          <w:b/>
          <w:sz w:val="24"/>
          <w:szCs w:val="24"/>
        </w:rPr>
        <w:t>2023</w:t>
      </w:r>
    </w:p>
    <w:p w:rsidR="008B2CC1" w:rsidRPr="003845C1" w:rsidRDefault="00807124" w:rsidP="00B1090C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t>Rapport sur les femmes et la propriété intellectuelle</w:t>
      </w:r>
      <w:r w:rsidR="002B1B28">
        <w:rPr>
          <w:caps/>
          <w:sz w:val="24"/>
        </w:rPr>
        <w:t> :</w:t>
      </w:r>
      <w:r>
        <w:rPr>
          <w:caps/>
          <w:sz w:val="24"/>
        </w:rPr>
        <w:t xml:space="preserve"> compilation et partage de données</w:t>
      </w:r>
    </w:p>
    <w:p w:rsidR="008B2CC1" w:rsidRPr="008B2CC1" w:rsidRDefault="00807124" w:rsidP="00020C7E">
      <w:pPr>
        <w:spacing w:after="960"/>
        <w:rPr>
          <w:i/>
        </w:rPr>
      </w:pPr>
      <w:bookmarkStart w:id="5" w:name="Prepared"/>
      <w:bookmarkEnd w:id="4"/>
      <w:bookmarkEnd w:id="5"/>
      <w:r>
        <w:rPr>
          <w:i/>
        </w:rPr>
        <w:t>Document établi par le Secrétariat</w:t>
      </w:r>
    </w:p>
    <w:p w:rsidR="002B1B28" w:rsidRPr="00EE620D" w:rsidRDefault="00807124" w:rsidP="00EE620D">
      <w:pPr>
        <w:pStyle w:val="ONUMFS"/>
      </w:pPr>
      <w:r w:rsidRPr="00EE620D">
        <w:t>À sa vingt</w:t>
      </w:r>
      <w:r w:rsidR="00572D79">
        <w:noBreakHyphen/>
      </w:r>
      <w:r w:rsidRPr="00EE620D">
        <w:t>six</w:t>
      </w:r>
      <w:r w:rsidR="002B1B28" w:rsidRPr="00EE620D">
        <w:t>ième session</w:t>
      </w:r>
      <w:r w:rsidRPr="00EE620D">
        <w:t>, tenue du</w:t>
      </w:r>
      <w:r w:rsidR="00EE620D">
        <w:t> </w:t>
      </w:r>
      <w:r w:rsidRPr="00EE620D">
        <w:t>26</w:t>
      </w:r>
      <w:r w:rsidR="00EE620D">
        <w:t> </w:t>
      </w:r>
      <w:r w:rsidRPr="00EE620D">
        <w:t>au</w:t>
      </w:r>
      <w:r w:rsidR="00EE620D">
        <w:t> </w:t>
      </w:r>
      <w:r w:rsidRPr="00EE620D">
        <w:t>3</w:t>
      </w:r>
      <w:r w:rsidR="002B1B28" w:rsidRPr="00EE620D">
        <w:t>0 juillet 20</w:t>
      </w:r>
      <w:r w:rsidRPr="00EE620D">
        <w:t>21, le Comité du développement et de la propriété intellectuelle</w:t>
      </w:r>
      <w:r w:rsidR="00EE620D">
        <w:t> </w:t>
      </w:r>
      <w:r w:rsidRPr="00EE620D">
        <w:t>(CDIP), alors qu</w:t>
      </w:r>
      <w:r w:rsidR="002B1B28" w:rsidRPr="00EE620D">
        <w:t>’</w:t>
      </w:r>
      <w:r w:rsidRPr="00EE620D">
        <w:t>il examinait le thème “Femmes et propriété intellectuelle” au titre du point de l</w:t>
      </w:r>
      <w:r w:rsidR="002B1B28" w:rsidRPr="00EE620D">
        <w:t>’</w:t>
      </w:r>
      <w:r w:rsidRPr="00EE620D">
        <w:t>ordre du jour consacré à la propriété intellectuelle et au développement, a adopté une proposition de suivi présentée par la délégation du Mexique (contenue dans le document CDIP/26/10</w:t>
      </w:r>
      <w:r w:rsidR="00EB17DF" w:rsidRPr="00EE620D">
        <w:t> </w:t>
      </w:r>
      <w:proofErr w:type="spellStart"/>
      <w:r w:rsidRPr="00EE620D">
        <w:t>Rev</w:t>
      </w:r>
      <w:proofErr w:type="spellEnd"/>
      <w:r w:rsidRPr="00EE620D">
        <w:t>.) qui, entre autres, priait le Secrétariat d</w:t>
      </w:r>
      <w:r w:rsidR="002B1B28" w:rsidRPr="00EE620D">
        <w:t>’</w:t>
      </w:r>
      <w:r w:rsidRPr="00EE620D">
        <w:t>entreprendre une série d</w:t>
      </w:r>
      <w:r w:rsidR="002B1B28" w:rsidRPr="00EE620D">
        <w:t>’</w:t>
      </w:r>
      <w:r w:rsidRPr="00EE620D">
        <w:t>actions, et a décidé “</w:t>
      </w:r>
      <w:r w:rsidR="006136DB">
        <w:rPr>
          <w:i/>
        </w:rPr>
        <w:t>de revisiter le thème ‘</w:t>
      </w:r>
      <w:r w:rsidRPr="00EE620D">
        <w:rPr>
          <w:i/>
        </w:rPr>
        <w:t>Les femmes et la propriété intellectuelle</w:t>
      </w:r>
      <w:r w:rsidR="006136DB">
        <w:rPr>
          <w:i/>
        </w:rPr>
        <w:t>’</w:t>
      </w:r>
      <w:r w:rsidRPr="00EE620D">
        <w:rPr>
          <w:i/>
        </w:rPr>
        <w:t xml:space="preserve"> de manière périodique, lorsque le Secrétariat de l</w:t>
      </w:r>
      <w:r w:rsidR="002B1B28" w:rsidRPr="00EE620D">
        <w:rPr>
          <w:i/>
        </w:rPr>
        <w:t>’</w:t>
      </w:r>
      <w:r w:rsidRPr="00EE620D">
        <w:rPr>
          <w:i/>
        </w:rPr>
        <w:t>OMPI le juge nécessaire, au titre du point de l</w:t>
      </w:r>
      <w:r w:rsidR="002B1B28" w:rsidRPr="00EE620D">
        <w:rPr>
          <w:i/>
        </w:rPr>
        <w:t>’</w:t>
      </w:r>
      <w:r w:rsidRPr="00EE620D">
        <w:rPr>
          <w:i/>
        </w:rPr>
        <w:t>ordre du jour consacré à la propriété intellectuelle et au développement, à partir de la session du printemps</w:t>
      </w:r>
      <w:r w:rsidR="00B24ECB">
        <w:rPr>
          <w:i/>
        </w:rPr>
        <w:t> </w:t>
      </w:r>
      <w:r w:rsidRPr="00EE620D">
        <w:rPr>
          <w:i/>
        </w:rPr>
        <w:t>2023</w:t>
      </w:r>
      <w:r w:rsidR="002B1B28" w:rsidRPr="00EE620D">
        <w:rPr>
          <w:i/>
        </w:rPr>
        <w:t xml:space="preserve"> du CDI</w:t>
      </w:r>
      <w:r w:rsidRPr="00EE620D">
        <w:rPr>
          <w:i/>
        </w:rPr>
        <w:t>P</w:t>
      </w:r>
      <w:r w:rsidRPr="00EE620D">
        <w:t>”.</w:t>
      </w:r>
    </w:p>
    <w:p w:rsidR="00807124" w:rsidRPr="00EE620D" w:rsidRDefault="00807124" w:rsidP="00EE620D">
      <w:pPr>
        <w:pStyle w:val="ONUMFS"/>
      </w:pPr>
      <w:r w:rsidRPr="00EE620D">
        <w:t>Le présent document, ainsi que le document</w:t>
      </w:r>
      <w:r w:rsidR="00EE620D">
        <w:t> </w:t>
      </w:r>
      <w:r w:rsidRPr="00EE620D">
        <w:t>CDIP/30/12, cherche à faciliter le réexamen par le comité de la question “Femmes et propriété intellectuelle” à la présente sessi</w:t>
      </w:r>
      <w:r w:rsidR="00D010C7" w:rsidRPr="00EE620D">
        <w:t>on.  Il</w:t>
      </w:r>
      <w:r w:rsidRPr="00EE620D">
        <w:t xml:space="preserve"> rend compte de la compilation et du partage de données ventilées par sexe dans le domaine de la propriété intellectuelle, tandis que le document</w:t>
      </w:r>
      <w:r w:rsidR="00EE620D">
        <w:t> </w:t>
      </w:r>
      <w:r w:rsidRPr="00EE620D">
        <w:t>CDIP/30/12 porte sur le plan d</w:t>
      </w:r>
      <w:r w:rsidR="002B1B28" w:rsidRPr="00EE620D">
        <w:t>’</w:t>
      </w:r>
      <w:r w:rsidRPr="00EE620D">
        <w:t>action stratégique de l</w:t>
      </w:r>
      <w:r w:rsidR="002B1B28" w:rsidRPr="00EE620D">
        <w:t>’</w:t>
      </w:r>
      <w:r w:rsidRPr="00EE620D">
        <w:t>OMPI pour soutenir les femmes et leur donner des moyens d</w:t>
      </w:r>
      <w:r w:rsidR="002B1B28" w:rsidRPr="00EE620D">
        <w:t>’</w:t>
      </w:r>
      <w:r w:rsidRPr="00EE620D">
        <w:t>action dans le domaine de la propriété intellectuelle, et donne un aperçu de la complémentarité des activités internes et externes de l</w:t>
      </w:r>
      <w:r w:rsidR="002B1B28" w:rsidRPr="00EE620D">
        <w:t>’</w:t>
      </w:r>
      <w:r w:rsidRPr="00EE620D">
        <w:t>O</w:t>
      </w:r>
      <w:r w:rsidR="00D010C7" w:rsidRPr="00EE620D">
        <w:t>MPI.  Le</w:t>
      </w:r>
      <w:r w:rsidRPr="00EE620D">
        <w:t xml:space="preserve"> présent rapport couvre les années</w:t>
      </w:r>
      <w:r w:rsidR="00EE620D">
        <w:t> </w:t>
      </w:r>
      <w:r w:rsidRPr="00EE620D">
        <w:t>2021</w:t>
      </w:r>
      <w:r w:rsidR="00EE620D">
        <w:t> </w:t>
      </w:r>
      <w:r w:rsidRPr="00EE620D">
        <w:t>et</w:t>
      </w:r>
      <w:r w:rsidR="00EE620D">
        <w:t> </w:t>
      </w:r>
      <w:r w:rsidRPr="00EE620D">
        <w:t>2022.</w:t>
      </w:r>
    </w:p>
    <w:p w:rsidR="00807124" w:rsidRPr="00ED696A" w:rsidRDefault="00ED696A" w:rsidP="006136DB">
      <w:pPr>
        <w:pStyle w:val="Heading1"/>
        <w:ind w:left="567" w:hanging="567"/>
      </w:pPr>
      <w:r w:rsidRPr="00ED696A">
        <w:t>Compilation de données internationales comparables et ventilées par sexe sur les titulaires et les créateurs de droits de propriété intellectuelle</w:t>
      </w:r>
    </w:p>
    <w:p w:rsidR="002B1B28" w:rsidRDefault="00807124" w:rsidP="00AE45F9">
      <w:pPr>
        <w:pStyle w:val="ONUMFS"/>
      </w:pPr>
      <w:r>
        <w:t>Les demandes internationales de brevet ne comprennent pas de renseignement sur le sexe du déposant ou du créate</w:t>
      </w:r>
      <w:r w:rsidR="00D010C7">
        <w:t>ur.  Ce</w:t>
      </w:r>
      <w:r>
        <w:t xml:space="preserve">pendant, cette information est utile pour la communauté </w:t>
      </w:r>
      <w:r>
        <w:lastRenderedPageBreak/>
        <w:t>de la propriété intellectuelle, par exemple pour mettre en évidence et comprendre les disparités potentielles en matière d</w:t>
      </w:r>
      <w:r w:rsidR="002B1B28">
        <w:t>’</w:t>
      </w:r>
      <w:r>
        <w:t>innovati</w:t>
      </w:r>
      <w:r w:rsidR="00D010C7">
        <w:t>on.  Pa</w:t>
      </w:r>
      <w:r>
        <w:t>r conséquent, depuis la vingt</w:t>
      </w:r>
      <w:r w:rsidR="00572D79">
        <w:noBreakHyphen/>
      </w:r>
      <w:r>
        <w:t>deux</w:t>
      </w:r>
      <w:r w:rsidR="002B1B28">
        <w:t>ième session du CDI</w:t>
      </w:r>
      <w:r>
        <w:t>P, le Secrétariat a poursuivi ses travaux en vue d</w:t>
      </w:r>
      <w:r w:rsidR="002B1B28">
        <w:t>’</w:t>
      </w:r>
      <w:r>
        <w:t>élaborer des méthodologies pour mieux comprendre le lien entre égalité des sexes et propriété intellectuelle et, sur cette base, de compiler des données internationales comparables et ventilées par se</w:t>
      </w:r>
      <w:r w:rsidR="00D010C7">
        <w:t>xe.  Ce</w:t>
      </w:r>
      <w:r>
        <w:t>s travaux ont notamment été menés par le Département de l</w:t>
      </w:r>
      <w:r w:rsidR="002B1B28">
        <w:t>’</w:t>
      </w:r>
      <w:r>
        <w:t>économie et de l</w:t>
      </w:r>
      <w:r w:rsidR="002B1B28">
        <w:t>’</w:t>
      </w:r>
      <w:r>
        <w:t>analyse de données du Secteur des écosystèmes de propriété intellectuelle et d</w:t>
      </w:r>
      <w:r w:rsidR="002B1B28">
        <w:t>’</w:t>
      </w:r>
      <w:r>
        <w:t>innovati</w:t>
      </w:r>
      <w:r w:rsidR="00D010C7">
        <w:t>on.  En</w:t>
      </w:r>
      <w:r>
        <w:t xml:space="preserve"> particulier</w:t>
      </w:r>
      <w:r w:rsidR="00EB17DF">
        <w:t> </w:t>
      </w:r>
      <w:r>
        <w:t>:</w:t>
      </w:r>
    </w:p>
    <w:p w:rsidR="00807124" w:rsidRPr="00731CE1" w:rsidRDefault="00807124" w:rsidP="00ED696A">
      <w:pPr>
        <w:pStyle w:val="ONUMFS"/>
        <w:rPr>
          <w:rFonts w:eastAsia="Times New Roman"/>
        </w:rPr>
      </w:pPr>
      <w:r>
        <w:t>La Division des statistiques et de l</w:t>
      </w:r>
      <w:r w:rsidR="002B1B28">
        <w:t>’</w:t>
      </w:r>
      <w:r>
        <w:t>analyse des données a publié les statistiques du Traité de coopération en matière de brevets</w:t>
      </w:r>
      <w:r w:rsidR="00572D79">
        <w:t> </w:t>
      </w:r>
      <w:r>
        <w:t>(PCT) ventilées par sexe dans ses publications phares et son centre de données</w:t>
      </w:r>
      <w:r w:rsidR="00572D79">
        <w:t> </w:t>
      </w:r>
      <w:r>
        <w:t xml:space="preserve">Web au cours de la période considérée, </w:t>
      </w:r>
      <w:r w:rsidR="002B1B28">
        <w:t>à savoir</w:t>
      </w:r>
      <w:r>
        <w:t> la Revue annuelle du PCT (2021</w:t>
      </w:r>
      <w:r w:rsidR="00572D79">
        <w:t> </w:t>
      </w:r>
      <w:r>
        <w:t>et</w:t>
      </w:r>
      <w:r w:rsidR="00572D79">
        <w:t> </w:t>
      </w:r>
      <w:r>
        <w:t>2022), les indicateurs mondiaux relatifs à la propriété intellectuelle (2021</w:t>
      </w:r>
      <w:r w:rsidR="00572D79">
        <w:t> </w:t>
      </w:r>
      <w:r>
        <w:t>et</w:t>
      </w:r>
      <w:r w:rsidR="00572D79">
        <w:t> </w:t>
      </w:r>
      <w:r>
        <w:t>2022) et le centre de données statistiques de propriété intellectuelle (mises à jour régulières au cours de la période considérée).</w:t>
      </w:r>
    </w:p>
    <w:p w:rsidR="00807124" w:rsidRPr="006136DB" w:rsidRDefault="00807124" w:rsidP="00ED696A">
      <w:pPr>
        <w:pStyle w:val="ONUMFS"/>
        <w:rPr>
          <w:rFonts w:eastAsia="Times New Roman"/>
          <w:spacing w:val="-2"/>
        </w:rPr>
      </w:pPr>
      <w:r w:rsidRPr="006136DB">
        <w:rPr>
          <w:spacing w:val="-2"/>
        </w:rPr>
        <w:t>La Section de l</w:t>
      </w:r>
      <w:r w:rsidR="002B1B28" w:rsidRPr="006136DB">
        <w:rPr>
          <w:spacing w:val="-2"/>
        </w:rPr>
        <w:t>’</w:t>
      </w:r>
      <w:r w:rsidRPr="006136DB">
        <w:rPr>
          <w:spacing w:val="-2"/>
        </w:rPr>
        <w:t>économie de l</w:t>
      </w:r>
      <w:r w:rsidR="002B1B28" w:rsidRPr="006136DB">
        <w:rPr>
          <w:spacing w:val="-2"/>
        </w:rPr>
        <w:t>’</w:t>
      </w:r>
      <w:r w:rsidRPr="006136DB">
        <w:rPr>
          <w:spacing w:val="-2"/>
        </w:rPr>
        <w:t>innovation a continué de mener des recherches économiques et méthodologiques sur l</w:t>
      </w:r>
      <w:r w:rsidR="002B1B28" w:rsidRPr="006136DB">
        <w:rPr>
          <w:spacing w:val="-2"/>
        </w:rPr>
        <w:t>’</w:t>
      </w:r>
      <w:r w:rsidRPr="006136DB">
        <w:rPr>
          <w:spacing w:val="-2"/>
        </w:rPr>
        <w:t>égalité des sexes et la propriété intellectuel</w:t>
      </w:r>
      <w:r w:rsidR="00D010C7" w:rsidRPr="006136DB">
        <w:rPr>
          <w:spacing w:val="-2"/>
        </w:rPr>
        <w:t>le.  En</w:t>
      </w:r>
      <w:r w:rsidR="002B1B28" w:rsidRPr="006136DB">
        <w:rPr>
          <w:spacing w:val="-2"/>
        </w:rPr>
        <w:t> 2022</w:t>
      </w:r>
      <w:r w:rsidRPr="006136DB">
        <w:rPr>
          <w:spacing w:val="-2"/>
        </w:rPr>
        <w:t>, la section a recruté le premier boursier chargé de la recherche sur les disparités en matière de genre et de diversité dans les domaines de l</w:t>
      </w:r>
      <w:r w:rsidR="002B1B28" w:rsidRPr="006136DB">
        <w:rPr>
          <w:spacing w:val="-2"/>
        </w:rPr>
        <w:t>’</w:t>
      </w:r>
      <w:r w:rsidRPr="006136DB">
        <w:rPr>
          <w:spacing w:val="-2"/>
        </w:rPr>
        <w:t>innovation et de la créativi</w:t>
      </w:r>
      <w:r w:rsidR="00D010C7" w:rsidRPr="006136DB">
        <w:rPr>
          <w:spacing w:val="-2"/>
        </w:rPr>
        <w:t>té.  La</w:t>
      </w:r>
      <w:r w:rsidRPr="006136DB">
        <w:rPr>
          <w:spacing w:val="-2"/>
        </w:rPr>
        <w:t xml:space="preserve"> recherche s</w:t>
      </w:r>
      <w:r w:rsidR="002B1B28" w:rsidRPr="006136DB">
        <w:rPr>
          <w:spacing w:val="-2"/>
        </w:rPr>
        <w:t>’</w:t>
      </w:r>
      <w:r w:rsidRPr="006136DB">
        <w:rPr>
          <w:spacing w:val="-2"/>
        </w:rPr>
        <w:t>est poursuivie selon deux</w:t>
      </w:r>
      <w:r w:rsidR="00EB17DF" w:rsidRPr="006136DB">
        <w:rPr>
          <w:spacing w:val="-2"/>
        </w:rPr>
        <w:t> </w:t>
      </w:r>
      <w:r w:rsidRPr="006136DB">
        <w:rPr>
          <w:spacing w:val="-2"/>
        </w:rPr>
        <w:t>axes principaux</w:t>
      </w:r>
      <w:r w:rsidR="002B1B28" w:rsidRPr="006136DB">
        <w:rPr>
          <w:spacing w:val="-2"/>
        </w:rPr>
        <w:t> :</w:t>
      </w:r>
      <w:r w:rsidRPr="006136DB">
        <w:rPr>
          <w:spacing w:val="-2"/>
        </w:rPr>
        <w:t xml:space="preserve"> i)</w:t>
      </w:r>
      <w:r w:rsidR="00EB17DF" w:rsidRPr="006136DB">
        <w:rPr>
          <w:spacing w:val="-2"/>
        </w:rPr>
        <w:t> </w:t>
      </w:r>
      <w:r w:rsidRPr="006136DB">
        <w:rPr>
          <w:spacing w:val="-2"/>
        </w:rPr>
        <w:t>améliorer encore les méthodes visant à lever les ambig</w:t>
      </w:r>
      <w:r w:rsidR="00B24ECB" w:rsidRPr="006136DB">
        <w:rPr>
          <w:spacing w:val="-2"/>
        </w:rPr>
        <w:t>uï</w:t>
      </w:r>
      <w:r w:rsidR="00572D79" w:rsidRPr="006136DB">
        <w:rPr>
          <w:spacing w:val="-2"/>
        </w:rPr>
        <w:t>tés relatives au genre</w:t>
      </w:r>
      <w:r w:rsidR="00EB17DF" w:rsidRPr="006136DB">
        <w:rPr>
          <w:spacing w:val="-2"/>
        </w:rPr>
        <w:t xml:space="preserve"> </w:t>
      </w:r>
      <w:r w:rsidRPr="006136DB">
        <w:rPr>
          <w:spacing w:val="-2"/>
        </w:rPr>
        <w:t>et</w:t>
      </w:r>
      <w:r w:rsidR="00572D79" w:rsidRPr="006136DB">
        <w:rPr>
          <w:spacing w:val="-2"/>
        </w:rPr>
        <w:t> </w:t>
      </w:r>
      <w:r w:rsidRPr="006136DB">
        <w:rPr>
          <w:spacing w:val="-2"/>
        </w:rPr>
        <w:t>ii)</w:t>
      </w:r>
      <w:r w:rsidR="00EB17DF" w:rsidRPr="006136DB">
        <w:rPr>
          <w:spacing w:val="-2"/>
        </w:rPr>
        <w:t> </w:t>
      </w:r>
      <w:r w:rsidRPr="006136DB">
        <w:rPr>
          <w:spacing w:val="-2"/>
        </w:rPr>
        <w:t>améliorer et élargir les collections et les données relatives à la propriété intellectuelle ventilées par sexe, incluant d</w:t>
      </w:r>
      <w:r w:rsidR="002B1B28" w:rsidRPr="006136DB">
        <w:rPr>
          <w:spacing w:val="-2"/>
        </w:rPr>
        <w:t>’</w:t>
      </w:r>
      <w:r w:rsidRPr="006136DB">
        <w:rPr>
          <w:spacing w:val="-2"/>
        </w:rPr>
        <w:t>autres méthodes de mesure de la diversité.</w:t>
      </w:r>
    </w:p>
    <w:p w:rsidR="00807124" w:rsidRPr="006136DB" w:rsidRDefault="00807124" w:rsidP="00ED696A">
      <w:pPr>
        <w:pStyle w:val="ONUMFS"/>
        <w:rPr>
          <w:rFonts w:eastAsia="Times New Roman"/>
          <w:spacing w:val="-2"/>
        </w:rPr>
      </w:pPr>
      <w:r w:rsidRPr="006136DB">
        <w:rPr>
          <w:spacing w:val="-2"/>
        </w:rPr>
        <w:t>Durant la période considérée, la Section de l</w:t>
      </w:r>
      <w:r w:rsidR="002B1B28" w:rsidRPr="006136DB">
        <w:rPr>
          <w:spacing w:val="-2"/>
        </w:rPr>
        <w:t>’</w:t>
      </w:r>
      <w:r w:rsidRPr="006136DB">
        <w:rPr>
          <w:spacing w:val="-2"/>
        </w:rPr>
        <w:t>économie de l</w:t>
      </w:r>
      <w:r w:rsidR="002B1B28" w:rsidRPr="006136DB">
        <w:rPr>
          <w:spacing w:val="-2"/>
        </w:rPr>
        <w:t>’</w:t>
      </w:r>
      <w:r w:rsidRPr="006136DB">
        <w:rPr>
          <w:spacing w:val="-2"/>
        </w:rPr>
        <w:t>innovation a amélioré encore les méthodes visant à lever les ambig</w:t>
      </w:r>
      <w:r w:rsidR="00B24ECB" w:rsidRPr="006136DB">
        <w:rPr>
          <w:spacing w:val="-2"/>
        </w:rPr>
        <w:t>uï</w:t>
      </w:r>
      <w:r w:rsidRPr="006136DB">
        <w:rPr>
          <w:spacing w:val="-2"/>
        </w:rPr>
        <w:t>tés relatives au genre en prenant les mesures suivantes</w:t>
      </w:r>
      <w:r w:rsidR="002B1B28" w:rsidRPr="006136DB">
        <w:rPr>
          <w:spacing w:val="-2"/>
        </w:rPr>
        <w:t> :</w:t>
      </w:r>
    </w:p>
    <w:p w:rsidR="002B1B28" w:rsidRDefault="00807124" w:rsidP="00572D79">
      <w:pPr>
        <w:pStyle w:val="ONUMFS"/>
        <w:numPr>
          <w:ilvl w:val="1"/>
          <w:numId w:val="9"/>
        </w:numPr>
        <w:ind w:left="1134" w:hanging="567"/>
      </w:pPr>
      <w:r>
        <w:t>création et amélioration de versions plus accessibles du dictionnaire mondial des prénoms classés par sexe</w:t>
      </w:r>
      <w:r w:rsidR="00572D79">
        <w:t> </w:t>
      </w:r>
      <w:r>
        <w:t>(WGND) en le publiant dans le répertoire</w:t>
      </w:r>
      <w:r w:rsidR="00572D79">
        <w:t> </w:t>
      </w:r>
      <w:r>
        <w:t>Harvard</w:t>
      </w:r>
      <w:r w:rsidR="00572D79">
        <w:t> </w:t>
      </w:r>
      <w:proofErr w:type="spellStart"/>
      <w:r>
        <w:t>Dataverse</w:t>
      </w:r>
      <w:proofErr w:type="spellEnd"/>
      <w:r>
        <w:rPr>
          <w:rStyle w:val="FootnoteReference"/>
        </w:rPr>
        <w:footnoteReference w:id="2"/>
      </w:r>
      <w:r>
        <w:t>, sur GitHub</w:t>
      </w:r>
      <w:r w:rsidRPr="00545B40">
        <w:rPr>
          <w:rStyle w:val="FootnoteReference"/>
        </w:rPr>
        <w:footnoteReference w:id="3"/>
      </w:r>
      <w:r w:rsidRPr="00545B40">
        <w:rPr>
          <w:rStyle w:val="FootnoteReference"/>
        </w:rPr>
        <w:t xml:space="preserve"> </w:t>
      </w:r>
      <w:r>
        <w:t>et le service de stockage d</w:t>
      </w:r>
      <w:r w:rsidR="002B1B28">
        <w:t>’</w:t>
      </w:r>
      <w:r>
        <w:t>objets d</w:t>
      </w:r>
      <w:r w:rsidR="002B1B28">
        <w:t>’</w:t>
      </w:r>
      <w:r>
        <w:t>Amazon (Amazon</w:t>
      </w:r>
      <w:r w:rsidR="00B24ECB">
        <w:t> </w:t>
      </w:r>
      <w:r>
        <w:t>S3)</w:t>
      </w:r>
      <w:r>
        <w:rPr>
          <w:rStyle w:val="FootnoteReference"/>
        </w:rPr>
        <w:footnoteReference w:id="4"/>
      </w:r>
      <w:r w:rsidR="00572D79">
        <w:t>;</w:t>
      </w:r>
    </w:p>
    <w:p w:rsidR="002B1B28" w:rsidRDefault="00807124" w:rsidP="00572D79">
      <w:pPr>
        <w:pStyle w:val="ONUMFS"/>
        <w:numPr>
          <w:ilvl w:val="1"/>
          <w:numId w:val="9"/>
        </w:numPr>
        <w:ind w:left="1134" w:hanging="567"/>
      </w:pPr>
      <w:proofErr w:type="gramStart"/>
      <w:r>
        <w:t>création</w:t>
      </w:r>
      <w:proofErr w:type="gramEnd"/>
      <w:r>
        <w:t xml:space="preserve"> d</w:t>
      </w:r>
      <w:r w:rsidR="002B1B28">
        <w:t>’</w:t>
      </w:r>
      <w:r>
        <w:t>une commande</w:t>
      </w:r>
      <w:r w:rsidR="00572D79">
        <w:t> </w:t>
      </w:r>
      <w:r>
        <w:t xml:space="preserve">STATA </w:t>
      </w:r>
      <w:r>
        <w:rPr>
          <w:i/>
        </w:rPr>
        <w:t>(</w:t>
      </w:r>
      <w:proofErr w:type="spellStart"/>
      <w:r>
        <w:rPr>
          <w:i/>
        </w:rPr>
        <w:t>genderit</w:t>
      </w:r>
      <w:proofErr w:type="spellEnd"/>
      <w:r>
        <w:t>) pour permettre aux chercheurs d</w:t>
      </w:r>
      <w:r w:rsidR="002B1B28">
        <w:t>’</w:t>
      </w:r>
      <w:r>
        <w:t>utiliser</w:t>
      </w:r>
      <w:r w:rsidR="002B1B28">
        <w:t xml:space="preserve"> le WGN</w:t>
      </w:r>
      <w:r>
        <w:t>D</w:t>
      </w:r>
      <w:r w:rsidR="00B24ECB">
        <w:t> </w:t>
      </w:r>
      <w:r>
        <w:t>2.0 de manière plus accessib</w:t>
      </w:r>
      <w:r w:rsidR="00D010C7">
        <w:t>le.  En</w:t>
      </w:r>
      <w:r w:rsidR="002B1B28">
        <w:t> 2022</w:t>
      </w:r>
      <w:r>
        <w:t>, une version bêta a été publiée sur GitHub</w:t>
      </w:r>
      <w:r w:rsidRPr="008B142B">
        <w:rPr>
          <w:rStyle w:val="FootnoteReference"/>
        </w:rPr>
        <w:footnoteReference w:id="5"/>
      </w:r>
      <w:r>
        <w:t xml:space="preserve"> et est en cours de test par le Département de l</w:t>
      </w:r>
      <w:r w:rsidR="002B1B28">
        <w:t>’</w:t>
      </w:r>
      <w:r>
        <w:t>économie et de l</w:t>
      </w:r>
      <w:r w:rsidR="002B1B28">
        <w:t>’</w:t>
      </w:r>
      <w:r>
        <w:t>analyse de données et des chercheurs universitaires</w:t>
      </w:r>
      <w:r>
        <w:rPr>
          <w:rStyle w:val="FootnoteReference"/>
        </w:rPr>
        <w:footnoteReference w:id="6"/>
      </w:r>
      <w:r w:rsidR="00572D79">
        <w:t>;</w:t>
      </w:r>
    </w:p>
    <w:p w:rsidR="002B1B28" w:rsidRDefault="00807124" w:rsidP="00572D79">
      <w:pPr>
        <w:pStyle w:val="ONUMFS"/>
        <w:numPr>
          <w:ilvl w:val="1"/>
          <w:numId w:val="9"/>
        </w:numPr>
        <w:ind w:left="1134" w:hanging="567"/>
      </w:pPr>
      <w:proofErr w:type="gramStart"/>
      <w:r>
        <w:t>étude</w:t>
      </w:r>
      <w:proofErr w:type="gramEnd"/>
      <w:r>
        <w:t xml:space="preserve"> de l</w:t>
      </w:r>
      <w:r w:rsidR="002B1B28">
        <w:t>’</w:t>
      </w:r>
      <w:r>
        <w:t>utilisation d</w:t>
      </w:r>
      <w:r w:rsidR="002B1B28">
        <w:t>’</w:t>
      </w:r>
      <w:r>
        <w:t>autres sources de données sur la propriété intellectuelle, en collaboration avec la Division des bases de données mondiales du Secteur de l</w:t>
      </w:r>
      <w:r w:rsidR="002B1B28">
        <w:t>’</w:t>
      </w:r>
      <w:r>
        <w:t>infrastructure et des plateformes de l</w:t>
      </w:r>
      <w:r w:rsidR="002B1B28">
        <w:t>’</w:t>
      </w:r>
      <w:r>
        <w:t>OMPI, afin de produire de nouveaux indicateurs et d</w:t>
      </w:r>
      <w:r w:rsidR="002B1B28">
        <w:t>’</w:t>
      </w:r>
      <w:r>
        <w:t>améliorer ceux existan</w:t>
      </w:r>
      <w:r w:rsidR="00D010C7">
        <w:t>ts.  En</w:t>
      </w:r>
      <w:r>
        <w:t xml:space="preserve"> conséquence, </w:t>
      </w:r>
      <w:bookmarkStart w:id="6" w:name="_Ref71547896"/>
      <w:r>
        <w:t>la fiabilité de l</w:t>
      </w:r>
      <w:r w:rsidR="002B1B28">
        <w:t>’</w:t>
      </w:r>
      <w:r>
        <w:t>utilisation</w:t>
      </w:r>
      <w:r w:rsidR="002B1B28">
        <w:t xml:space="preserve"> du WGN</w:t>
      </w:r>
      <w:r>
        <w:t>D pour les prénoms chinois et coréens en caractères originaux a été grandement améliorée</w:t>
      </w:r>
      <w:r w:rsidR="00572D79">
        <w:t>;</w:t>
      </w:r>
    </w:p>
    <w:bookmarkEnd w:id="6"/>
    <w:p w:rsidR="00807124" w:rsidRPr="00777A0F" w:rsidRDefault="00807124" w:rsidP="00950D76">
      <w:pPr>
        <w:pStyle w:val="ONUMFS"/>
        <w:numPr>
          <w:ilvl w:val="1"/>
          <w:numId w:val="9"/>
        </w:numPr>
        <w:ind w:left="1134" w:hanging="567"/>
      </w:pPr>
      <w:proofErr w:type="gramStart"/>
      <w:r>
        <w:t>poursuite</w:t>
      </w:r>
      <w:proofErr w:type="gramEnd"/>
      <w:r>
        <w:t xml:space="preserve"> de la conception de la série de méthodes de prévision de la parité femmes</w:t>
      </w:r>
      <w:r w:rsidR="00572D79">
        <w:noBreakHyphen/>
      </w:r>
      <w:r>
        <w:t>hommes, qui permettent de comparer différents scénarios quant à la date à laquelle la parité pourrait être attein</w:t>
      </w:r>
      <w:r w:rsidR="00D010C7">
        <w:t>te.  Le</w:t>
      </w:r>
      <w:r>
        <w:t xml:space="preserve"> Département de l</w:t>
      </w:r>
      <w:r w:rsidR="002B1B28">
        <w:t>’</w:t>
      </w:r>
      <w:r>
        <w:t>économie et de l</w:t>
      </w:r>
      <w:r w:rsidR="002B1B28">
        <w:t>’</w:t>
      </w:r>
      <w:r>
        <w:t>analyse de données a continué d</w:t>
      </w:r>
      <w:r w:rsidR="002B1B28">
        <w:t>’</w:t>
      </w:r>
      <w:r>
        <w:t>appliquer ces méthodes aux inventeurs</w:t>
      </w:r>
      <w:r w:rsidR="002B1B28">
        <w:t xml:space="preserve"> du </w:t>
      </w:r>
      <w:r w:rsidR="00D010C7">
        <w:t>PCT.  Ce</w:t>
      </w:r>
      <w:r>
        <w:t>s méthodes sont publiées et partagées en interne sur un répertoire</w:t>
      </w:r>
      <w:r w:rsidR="00572D79">
        <w:t> </w:t>
      </w:r>
      <w:r>
        <w:t>GitHub privé</w:t>
      </w:r>
      <w:r>
        <w:rPr>
          <w:rStyle w:val="FootnoteReference"/>
        </w:rPr>
        <w:footnoteReference w:id="7"/>
      </w:r>
      <w:r>
        <w:t>.</w:t>
      </w:r>
    </w:p>
    <w:p w:rsidR="00807124" w:rsidRPr="00E74E7E" w:rsidRDefault="00807124" w:rsidP="00E74E7E">
      <w:pPr>
        <w:pStyle w:val="ONUMFS"/>
      </w:pPr>
      <w:r w:rsidRPr="00E74E7E">
        <w:lastRenderedPageBreak/>
        <w:t>Au cours de la même période, la Section de l</w:t>
      </w:r>
      <w:r w:rsidR="002B1B28" w:rsidRPr="00E74E7E">
        <w:t>’</w:t>
      </w:r>
      <w:r w:rsidRPr="00E74E7E">
        <w:t>économie de l</w:t>
      </w:r>
      <w:r w:rsidR="002B1B28" w:rsidRPr="00E74E7E">
        <w:t>’</w:t>
      </w:r>
      <w:r w:rsidRPr="00E74E7E">
        <w:t>innovation a mené des recherches portant sur l</w:t>
      </w:r>
      <w:r w:rsidR="002B1B28" w:rsidRPr="00E74E7E">
        <w:t>’</w:t>
      </w:r>
      <w:r w:rsidRPr="00E74E7E">
        <w:t>amélioration, l</w:t>
      </w:r>
      <w:r w:rsidR="002B1B28" w:rsidRPr="00E74E7E">
        <w:t>’</w:t>
      </w:r>
      <w:r w:rsidRPr="00E74E7E">
        <w:t>extension et l</w:t>
      </w:r>
      <w:r w:rsidR="002B1B28" w:rsidRPr="00E74E7E">
        <w:t>’</w:t>
      </w:r>
      <w:r w:rsidRPr="00E74E7E">
        <w:t>analyse des données de propriété intellectuelle ventilées par sexe et pris les mesures suivantes</w:t>
      </w:r>
      <w:r w:rsidR="002B1B28" w:rsidRPr="00E74E7E">
        <w:t> :</w:t>
      </w:r>
    </w:p>
    <w:p w:rsidR="002B1B28" w:rsidRDefault="00E74E7E" w:rsidP="00E74E7E">
      <w:pPr>
        <w:pStyle w:val="ONUMFS"/>
        <w:numPr>
          <w:ilvl w:val="0"/>
          <w:numId w:val="0"/>
        </w:numPr>
        <w:ind w:left="1134" w:hanging="567"/>
      </w:pPr>
      <w:r>
        <w:t>7.1</w:t>
      </w:r>
      <w:r>
        <w:tab/>
      </w:r>
      <w:r w:rsidR="00807124">
        <w:t>mise à jour de l</w:t>
      </w:r>
      <w:r w:rsidR="002B1B28">
        <w:t>’</w:t>
      </w:r>
      <w:r w:rsidR="00807124">
        <w:t xml:space="preserve">étude intitulée </w:t>
      </w:r>
      <w:r w:rsidR="002B1B28">
        <w:t>“</w:t>
      </w:r>
      <w:r w:rsidR="00807124">
        <w:rPr>
          <w:i/>
        </w:rPr>
        <w:t>Déterminer la part des inventeurs et des inventrices dans le contexte</w:t>
      </w:r>
      <w:r w:rsidR="002B1B28">
        <w:rPr>
          <w:i/>
        </w:rPr>
        <w:t xml:space="preserve"> du PCT</w:t>
      </w:r>
      <w:r w:rsidR="002B1B28">
        <w:t>”</w:t>
      </w:r>
      <w:r w:rsidR="00807124" w:rsidRPr="00314170">
        <w:rPr>
          <w:rStyle w:val="FootnoteReference"/>
          <w:i/>
        </w:rPr>
        <w:footnoteReference w:id="8"/>
      </w:r>
      <w:r w:rsidR="00807124">
        <w:t>.  L</w:t>
      </w:r>
      <w:r w:rsidR="002B1B28">
        <w:t>’</w:t>
      </w:r>
      <w:r w:rsidR="00807124">
        <w:t>étude actualisée développe les indicateurs relatifs aux disparités entre hommes et femmes qui ont été produits et fournit un point de référence pour des analyses ultérieur</w:t>
      </w:r>
      <w:r w:rsidR="00D010C7">
        <w:t>es.  L’é</w:t>
      </w:r>
      <w:r w:rsidR="00807124">
        <w:t>tude a pu s</w:t>
      </w:r>
      <w:r w:rsidR="002B1B28">
        <w:t>’</w:t>
      </w:r>
      <w:r w:rsidR="00807124">
        <w:t>appuyer sur l</w:t>
      </w:r>
      <w:r w:rsidR="002B1B28">
        <w:t>’</w:t>
      </w:r>
      <w:r w:rsidR="00807124">
        <w:t>inclusion de données de collections nationales, ce qui a permis de mieux lever les ambig</w:t>
      </w:r>
      <w:r w:rsidR="00B24ECB">
        <w:t>uï</w:t>
      </w:r>
      <w:r w:rsidR="00807124">
        <w:t>tés relatives au genre des prénoms chinois et coréens en caractères origina</w:t>
      </w:r>
      <w:r w:rsidR="00D010C7">
        <w:t>ux.  Ce</w:t>
      </w:r>
      <w:r w:rsidR="00807124">
        <w:t>tte étude sera publiée dans le cadre de la série d</w:t>
      </w:r>
      <w:r w:rsidR="002B1B28">
        <w:t>’</w:t>
      </w:r>
      <w:r w:rsidR="00807124">
        <w:t>études de l</w:t>
      </w:r>
      <w:r w:rsidR="002B1B28">
        <w:t>’</w:t>
      </w:r>
      <w:r w:rsidR="00807124">
        <w:t>OMPI sur le développement</w:t>
      </w:r>
      <w:r w:rsidR="00807124">
        <w:rPr>
          <w:rStyle w:val="FootnoteReference"/>
        </w:rPr>
        <w:footnoteReference w:id="9"/>
      </w:r>
      <w:r>
        <w:t>;</w:t>
      </w:r>
    </w:p>
    <w:p w:rsidR="002B1B28" w:rsidRDefault="00807124" w:rsidP="00E74E7E">
      <w:pPr>
        <w:pStyle w:val="ONUMFS"/>
        <w:numPr>
          <w:ilvl w:val="1"/>
          <w:numId w:val="10"/>
        </w:numPr>
        <w:ind w:left="1134" w:hanging="567"/>
      </w:pPr>
      <w:proofErr w:type="gramStart"/>
      <w:r>
        <w:t>poursuite</w:t>
      </w:r>
      <w:proofErr w:type="gramEnd"/>
      <w:r>
        <w:t xml:space="preserve"> de l</w:t>
      </w:r>
      <w:r w:rsidR="002B1B28">
        <w:t>’</w:t>
      </w:r>
      <w:r>
        <w:t>étude de la levée des ambig</w:t>
      </w:r>
      <w:r w:rsidR="00B24ECB">
        <w:t>uï</w:t>
      </w:r>
      <w:r>
        <w:t>tés relatives au genre des inventeurs et des créateurs de modèles d</w:t>
      </w:r>
      <w:r w:rsidR="002B1B28">
        <w:t>’</w:t>
      </w:r>
      <w:r>
        <w:t>utilité dans les collections nationales sur la propriété intellectuel</w:t>
      </w:r>
      <w:r w:rsidR="00D010C7">
        <w:t>le.  La</w:t>
      </w:r>
      <w:r>
        <w:t xml:space="preserve"> Section de l</w:t>
      </w:r>
      <w:r w:rsidR="002B1B28">
        <w:t>’</w:t>
      </w:r>
      <w:r>
        <w:t>économie de l</w:t>
      </w:r>
      <w:r w:rsidR="002B1B28">
        <w:t>’</w:t>
      </w:r>
      <w:r>
        <w:t>innovation a étudié les moyens d</w:t>
      </w:r>
      <w:r w:rsidR="002B1B28">
        <w:t>’</w:t>
      </w:r>
      <w:r>
        <w:t>étendre cette recherche à d</w:t>
      </w:r>
      <w:r w:rsidR="002B1B28">
        <w:t>’</w:t>
      </w:r>
      <w:r>
        <w:t>autres sources que les données sur l</w:t>
      </w:r>
      <w:r w:rsidR="002B1B28">
        <w:t>’</w:t>
      </w:r>
      <w:r>
        <w:t>enregistrement disponibles dans les bases de données</w:t>
      </w:r>
      <w:r w:rsidR="00B428BB">
        <w:t> </w:t>
      </w:r>
      <w:r>
        <w:t>DOCDB et</w:t>
      </w:r>
      <w:r w:rsidR="00B428BB">
        <w:t> </w:t>
      </w:r>
      <w:r>
        <w:t>PATSTAT</w:t>
      </w:r>
      <w:r>
        <w:rPr>
          <w:rStyle w:val="FootnoteReference"/>
        </w:rPr>
        <w:footnoteReference w:id="10"/>
      </w:r>
      <w:r w:rsidR="00E74E7E">
        <w:t>;</w:t>
      </w:r>
    </w:p>
    <w:p w:rsidR="002B1B28" w:rsidRDefault="00807124" w:rsidP="00E74E7E">
      <w:pPr>
        <w:pStyle w:val="ONUMFS"/>
        <w:numPr>
          <w:ilvl w:val="1"/>
          <w:numId w:val="10"/>
        </w:numPr>
        <w:ind w:left="1134" w:hanging="567"/>
      </w:pPr>
      <w:proofErr w:type="gramStart"/>
      <w:r>
        <w:t>analyse</w:t>
      </w:r>
      <w:proofErr w:type="gramEnd"/>
      <w:r>
        <w:t xml:space="preserve"> du potentiel de la levée des ambig</w:t>
      </w:r>
      <w:r w:rsidR="00B24ECB">
        <w:t>uï</w:t>
      </w:r>
      <w:r>
        <w:t>tés relatives au genre dans les données sur l</w:t>
      </w:r>
      <w:r w:rsidR="002B1B28">
        <w:t>’</w:t>
      </w:r>
      <w:r>
        <w:t>enregistrement d</w:t>
      </w:r>
      <w:r w:rsidR="002B1B28">
        <w:t>’</w:t>
      </w:r>
      <w:r>
        <w:t>un dessin ou modèle industri</w:t>
      </w:r>
      <w:r w:rsidR="00D010C7">
        <w:t>el.  De</w:t>
      </w:r>
      <w:r>
        <w:t xml:space="preserve"> nouvelles données ont été recueillies pour le système de </w:t>
      </w:r>
      <w:r w:rsidR="002B1B28">
        <w:t>La Haye</w:t>
      </w:r>
      <w:r>
        <w:t xml:space="preserve"> et les collections nationales, grâce au Secteur des marques et des dessins et modèles et à la Base de données mondiale sur les dessins et modèl</w:t>
      </w:r>
      <w:r w:rsidR="00D010C7">
        <w:t>es.  Le</w:t>
      </w:r>
      <w:r>
        <w:t>s résultats préliminaires semblent prometteurs</w:t>
      </w:r>
      <w:r>
        <w:rPr>
          <w:rStyle w:val="FootnoteReference"/>
        </w:rPr>
        <w:footnoteReference w:id="11"/>
      </w:r>
      <w:r w:rsidR="00E74E7E">
        <w:t>;</w:t>
      </w:r>
    </w:p>
    <w:p w:rsidR="002B1B28" w:rsidRDefault="00807124" w:rsidP="00E74E7E">
      <w:pPr>
        <w:pStyle w:val="ONUMFS"/>
        <w:numPr>
          <w:ilvl w:val="1"/>
          <w:numId w:val="10"/>
        </w:numPr>
        <w:ind w:left="1134" w:hanging="567"/>
      </w:pPr>
      <w:proofErr w:type="gramStart"/>
      <w:r>
        <w:t>analyse</w:t>
      </w:r>
      <w:proofErr w:type="gramEnd"/>
      <w:r>
        <w:t xml:space="preserve"> du potentiel de la levée des ambig</w:t>
      </w:r>
      <w:r w:rsidR="00B24ECB">
        <w:t>uï</w:t>
      </w:r>
      <w:r>
        <w:t>tés relatives au genre dans les données sur l</w:t>
      </w:r>
      <w:r w:rsidR="002B1B28">
        <w:t>’</w:t>
      </w:r>
      <w:r>
        <w:t>enregistrement d</w:t>
      </w:r>
      <w:r w:rsidR="002B1B28">
        <w:t>’</w:t>
      </w:r>
      <w:r>
        <w:t>une marq</w:t>
      </w:r>
      <w:r w:rsidR="00D010C7">
        <w:t>ue.  De</w:t>
      </w:r>
      <w:r>
        <w:t xml:space="preserve"> nouvelles données ont été recueillies pour le système de Madrid et les collections nationales grâce au Secteur des marques et des dessins et modèles et à la Base de données mondiale sur les dessins et modèles</w:t>
      </w:r>
      <w:r>
        <w:rPr>
          <w:rStyle w:val="FootnoteReference"/>
        </w:rPr>
        <w:footnoteReference w:id="12"/>
      </w:r>
      <w:r>
        <w:t>.</w:t>
      </w:r>
    </w:p>
    <w:p w:rsidR="00807124" w:rsidRPr="00B428BB" w:rsidRDefault="00B428BB" w:rsidP="006136DB">
      <w:pPr>
        <w:pStyle w:val="Heading1"/>
        <w:keepNext w:val="0"/>
        <w:keepLines/>
        <w:ind w:left="567" w:hanging="567"/>
      </w:pPr>
      <w:r w:rsidRPr="00B428BB">
        <w:t>Mise en commun des méthodes et des procédures de collecte de données ventilées par sexe, des indicateurs utilisés, des méthodes de suivi et d</w:t>
      </w:r>
      <w:r w:rsidR="002B1B28" w:rsidRPr="00B428BB">
        <w:t>’</w:t>
      </w:r>
      <w:r w:rsidRPr="00B428BB">
        <w:t>évaluation, et de l</w:t>
      </w:r>
      <w:r w:rsidR="002B1B28" w:rsidRPr="00B428BB">
        <w:t>’</w:t>
      </w:r>
      <w:r w:rsidRPr="00B428BB">
        <w:t>analyse économique des écarts entre les sexes en matière de propriété intellectuelle</w:t>
      </w:r>
    </w:p>
    <w:p w:rsidR="00807124" w:rsidRPr="00777A0F" w:rsidRDefault="00807124" w:rsidP="006136DB">
      <w:pPr>
        <w:pStyle w:val="ONUMFS"/>
        <w:keepNext/>
      </w:pPr>
      <w:bookmarkStart w:id="7" w:name="_Ref71563722"/>
      <w:r>
        <w:t>Au cours de la période considérée, le Secrétariat a mis en œuvre plusieurs initiatives de mise en commun des analyses et des méthodologies concernant les femmes et les thèmes liés à la propriété intellectuel</w:t>
      </w:r>
      <w:r w:rsidR="00D010C7">
        <w:t>le.  La</w:t>
      </w:r>
      <w:r>
        <w:t xml:space="preserve"> Section de l</w:t>
      </w:r>
      <w:r w:rsidR="002B1B28">
        <w:t>’</w:t>
      </w:r>
      <w:r>
        <w:t>économie de l</w:t>
      </w:r>
      <w:r w:rsidR="002B1B28">
        <w:t>’</w:t>
      </w:r>
      <w:r>
        <w:t>innovation a étudié plusieurs manières de communiquer au public sa méthode visant à lever les ambig</w:t>
      </w:r>
      <w:r w:rsidR="00B24ECB">
        <w:t>uï</w:t>
      </w:r>
      <w:r>
        <w:t>tés relatives au genre, qui consiste notamment à</w:t>
      </w:r>
      <w:r w:rsidR="00EB17DF">
        <w:t> </w:t>
      </w:r>
      <w:r>
        <w:t>:</w:t>
      </w:r>
      <w:bookmarkEnd w:id="7"/>
    </w:p>
    <w:p w:rsidR="002B1B28" w:rsidRDefault="00807124" w:rsidP="00B428BB">
      <w:pPr>
        <w:pStyle w:val="ONUMFS"/>
        <w:numPr>
          <w:ilvl w:val="1"/>
          <w:numId w:val="11"/>
        </w:numPr>
        <w:ind w:left="1134" w:hanging="567"/>
      </w:pPr>
      <w:proofErr w:type="gramStart"/>
      <w:r>
        <w:t>contacter</w:t>
      </w:r>
      <w:proofErr w:type="gramEnd"/>
      <w:r>
        <w:t xml:space="preserve"> directement les réseaux universitaires, les entités des Nations</w:t>
      </w:r>
      <w:r w:rsidR="00EB17DF">
        <w:t> Unies</w:t>
      </w:r>
      <w:r>
        <w:t xml:space="preserve"> (par exemple ONU</w:t>
      </w:r>
      <w:r w:rsidR="00572D79">
        <w:noBreakHyphen/>
      </w:r>
      <w:r>
        <w:t>Femmes), les offices de propriété intellectuelle et les personnes intéressées au sein des entreprises privées et des bureaux de transfert de technologie;</w:t>
      </w:r>
    </w:p>
    <w:p w:rsidR="002B1B28" w:rsidRDefault="00807124" w:rsidP="00B428BB">
      <w:pPr>
        <w:pStyle w:val="ONUMFS"/>
        <w:numPr>
          <w:ilvl w:val="1"/>
          <w:numId w:val="11"/>
        </w:numPr>
        <w:ind w:left="1134" w:hanging="567"/>
      </w:pPr>
      <w:proofErr w:type="gramStart"/>
      <w:r>
        <w:t>utiliser</w:t>
      </w:r>
      <w:proofErr w:type="gramEnd"/>
      <w:r>
        <w:t xml:space="preserve"> plusieurs bases de données déjà mentionnées, telles que Harvard</w:t>
      </w:r>
      <w:r w:rsidR="0044742B">
        <w:t> </w:t>
      </w:r>
      <w:proofErr w:type="spellStart"/>
      <w:r>
        <w:t>Dataverse</w:t>
      </w:r>
      <w:proofErr w:type="spellEnd"/>
      <w:r>
        <w:t>, GitHub ou</w:t>
      </w:r>
      <w:r w:rsidR="0044742B">
        <w:t> </w:t>
      </w:r>
      <w:r>
        <w:t>Amazon</w:t>
      </w:r>
      <w:r w:rsidR="00B24ECB">
        <w:t> </w:t>
      </w:r>
      <w:r>
        <w:t>S3.  Le nombre de téléchargements a continué d</w:t>
      </w:r>
      <w:r w:rsidR="002B1B28">
        <w:t>’</w:t>
      </w:r>
      <w:r>
        <w:t xml:space="preserve">augmenter pour atteindre plus de </w:t>
      </w:r>
      <w:r w:rsidR="00EB17DF">
        <w:t>6600</w:t>
      </w:r>
      <w:r w:rsidR="00B24ECB">
        <w:t> </w:t>
      </w:r>
      <w:r>
        <w:t>téléchargements sur le site</w:t>
      </w:r>
      <w:r w:rsidR="00EB17DF">
        <w:t> </w:t>
      </w:r>
      <w:r>
        <w:t>Web de l</w:t>
      </w:r>
      <w:r w:rsidR="002B1B28">
        <w:t>’</w:t>
      </w:r>
      <w:r>
        <w:t xml:space="preserve">OMPI et environ </w:t>
      </w:r>
      <w:r w:rsidR="00EB17DF">
        <w:t>7000</w:t>
      </w:r>
      <w:r>
        <w:t xml:space="preserve"> dans la base de données Harvard</w:t>
      </w:r>
      <w:r w:rsidR="0044742B">
        <w:t> </w:t>
      </w:r>
      <w:proofErr w:type="spellStart"/>
      <w:r>
        <w:t>Dataverse</w:t>
      </w:r>
      <w:proofErr w:type="spellEnd"/>
      <w:r w:rsidRPr="00777A0F">
        <w:rPr>
          <w:rStyle w:val="FootnoteReference"/>
          <w:rFonts w:eastAsia="Times New Roman"/>
        </w:rPr>
        <w:footnoteReference w:id="13"/>
      </w:r>
      <w:r w:rsidR="0044742B">
        <w:t>;</w:t>
      </w:r>
    </w:p>
    <w:p w:rsidR="00807124" w:rsidRDefault="00807124" w:rsidP="00B428BB">
      <w:pPr>
        <w:pStyle w:val="ONUMFS"/>
        <w:numPr>
          <w:ilvl w:val="1"/>
          <w:numId w:val="11"/>
        </w:numPr>
        <w:ind w:left="1134" w:hanging="567"/>
      </w:pPr>
      <w:proofErr w:type="gramStart"/>
      <w:r>
        <w:t>diffuser</w:t>
      </w:r>
      <w:proofErr w:type="gramEnd"/>
      <w:r>
        <w:t xml:space="preserve"> les lignes directrices sur la manière de mesurer les disparités entre hommes et femmes dans les données relatives à l</w:t>
      </w:r>
      <w:r w:rsidR="002B1B28">
        <w:t>’</w:t>
      </w:r>
      <w:r>
        <w:t>innovation et à la propriété intellectuel</w:t>
      </w:r>
      <w:r w:rsidR="00D010C7">
        <w:t>le.  Ce</w:t>
      </w:r>
      <w:r>
        <w:t>s lignes directrices ont été traduites dans les six</w:t>
      </w:r>
      <w:r w:rsidR="00EB17DF">
        <w:t> </w:t>
      </w:r>
      <w:r>
        <w:t>langues officielles de l</w:t>
      </w:r>
      <w:r w:rsidR="002B1B28">
        <w:t>’</w:t>
      </w:r>
      <w:r>
        <w:t>OMPI</w:t>
      </w:r>
      <w:r>
        <w:rPr>
          <w:rStyle w:val="FootnoteReference"/>
        </w:rPr>
        <w:footnoteReference w:id="14"/>
      </w:r>
      <w:r>
        <w:t>.</w:t>
      </w:r>
    </w:p>
    <w:p w:rsidR="002B1B28" w:rsidRPr="0044742B" w:rsidRDefault="00807124" w:rsidP="0044742B">
      <w:pPr>
        <w:pStyle w:val="ONUMFS"/>
      </w:pPr>
      <w:r w:rsidRPr="0044742B">
        <w:t>La Section de l</w:t>
      </w:r>
      <w:r w:rsidR="002B1B28" w:rsidRPr="0044742B">
        <w:t>’</w:t>
      </w:r>
      <w:r w:rsidRPr="0044742B">
        <w:t>économie de l</w:t>
      </w:r>
      <w:r w:rsidR="002B1B28" w:rsidRPr="0044742B">
        <w:t>’</w:t>
      </w:r>
      <w:r w:rsidRPr="0044742B">
        <w:t>innovation a continué de produire du contenu dans le cadre de la série de contenus</w:t>
      </w:r>
      <w:r w:rsidR="0044742B" w:rsidRPr="0044742B">
        <w:t> </w:t>
      </w:r>
      <w:r w:rsidRPr="0044742B">
        <w:t>Web sur le thème de l</w:t>
      </w:r>
      <w:r w:rsidR="002B1B28" w:rsidRPr="0044742B">
        <w:t>’</w:t>
      </w:r>
      <w:r w:rsidRPr="0044742B">
        <w:t>innovation, la créativité et le genre</w:t>
      </w:r>
      <w:r w:rsidRPr="0044742B">
        <w:rPr>
          <w:rStyle w:val="FootnoteReference"/>
        </w:rPr>
        <w:footnoteReference w:id="15"/>
      </w:r>
      <w:r w:rsidRPr="0044742B">
        <w:t xml:space="preserve"> qui vise à présenter au grand public la recherche économique et méthodologique que mène le Secrétari</w:t>
      </w:r>
      <w:r w:rsidR="00D010C7" w:rsidRPr="0044742B">
        <w:t>at.  Ce</w:t>
      </w:r>
      <w:r w:rsidRPr="0044742B">
        <w:t>s contenus sont utilisés non seulement pour promouvoir les travaux de l</w:t>
      </w:r>
      <w:r w:rsidR="002B1B28" w:rsidRPr="0044742B">
        <w:t>’</w:t>
      </w:r>
      <w:r w:rsidRPr="0044742B">
        <w:t>OMPI sur ce thème, mais également pour mettre en lumière les travaux d</w:t>
      </w:r>
      <w:r w:rsidR="002B1B28" w:rsidRPr="0044742B">
        <w:t>’</w:t>
      </w:r>
      <w:r w:rsidRPr="0044742B">
        <w:t>offices nationaux de propriété intellectuelle, tels que ceux des États</w:t>
      </w:r>
      <w:r w:rsidR="00572D79" w:rsidRPr="0044742B">
        <w:noBreakHyphen/>
      </w:r>
      <w:r w:rsidRPr="0044742B">
        <w:t>Unis d</w:t>
      </w:r>
      <w:r w:rsidR="002B1B28" w:rsidRPr="0044742B">
        <w:t>’</w:t>
      </w:r>
      <w:r w:rsidRPr="0044742B">
        <w:t>Amérique, du Royaume</w:t>
      </w:r>
      <w:r w:rsidR="00572D79" w:rsidRPr="0044742B">
        <w:noBreakHyphen/>
      </w:r>
      <w:r w:rsidRPr="0044742B">
        <w:t>Uni, du Canada ou du Chili.</w:t>
      </w:r>
    </w:p>
    <w:p w:rsidR="002B1B28" w:rsidRPr="0044742B" w:rsidRDefault="002B1B28" w:rsidP="0044742B">
      <w:pPr>
        <w:pStyle w:val="ONUMFS"/>
      </w:pPr>
      <w:r w:rsidRPr="0044742B">
        <w:t>Depuis 2021</w:t>
      </w:r>
      <w:r w:rsidR="00807124" w:rsidRPr="0044742B">
        <w:t>, la Section de l</w:t>
      </w:r>
      <w:r w:rsidRPr="0044742B">
        <w:t>’</w:t>
      </w:r>
      <w:r w:rsidR="00807124" w:rsidRPr="0044742B">
        <w:t>économie de l</w:t>
      </w:r>
      <w:r w:rsidRPr="0044742B">
        <w:t>’</w:t>
      </w:r>
      <w:r w:rsidR="00807124" w:rsidRPr="0044742B">
        <w:t xml:space="preserve">innovation organise en collaboration avec </w:t>
      </w:r>
      <w:proofErr w:type="spellStart"/>
      <w:r w:rsidR="00807124" w:rsidRPr="0044742B">
        <w:t>Invent</w:t>
      </w:r>
      <w:proofErr w:type="spellEnd"/>
      <w:r w:rsidR="0044742B" w:rsidRPr="0044742B">
        <w:t> </w:t>
      </w:r>
      <w:proofErr w:type="spellStart"/>
      <w:r w:rsidR="00807124" w:rsidRPr="0044742B">
        <w:t>Together</w:t>
      </w:r>
      <w:proofErr w:type="spellEnd"/>
      <w:r w:rsidR="00807124" w:rsidRPr="0044742B">
        <w:t xml:space="preserve"> une série de séminaires en ligne sur les disparités entre hommes et femmes dans le domaine de la propriété intellectuel</w:t>
      </w:r>
      <w:r w:rsidR="00D010C7" w:rsidRPr="0044742B">
        <w:t>le.  Le</w:t>
      </w:r>
      <w:r w:rsidR="00807124" w:rsidRPr="0044742B">
        <w:t xml:space="preserve"> principal objectif de ces séminaires est de recueillir des informations sur les mesures prises pour remédier à ces disparités, les projets susceptibles d</w:t>
      </w:r>
      <w:r w:rsidRPr="0044742B">
        <w:t>’</w:t>
      </w:r>
      <w:r w:rsidR="00807124" w:rsidRPr="0044742B">
        <w:t>être reproduits et élargis à l</w:t>
      </w:r>
      <w:r w:rsidRPr="0044742B">
        <w:t>’</w:t>
      </w:r>
      <w:r w:rsidR="00807124" w:rsidRPr="0044742B">
        <w:t>échelle mondiale, et les nouvelles actions mondiales qui pourraient être mises en évidence et avoir des retombées positives concrètes en permettant aux groupes sous</w:t>
      </w:r>
      <w:r w:rsidR="00572D79" w:rsidRPr="0044742B">
        <w:noBreakHyphen/>
      </w:r>
      <w:r w:rsidR="00807124" w:rsidRPr="0044742B">
        <w:t>représentés d</w:t>
      </w:r>
      <w:r w:rsidRPr="0044742B">
        <w:t>’</w:t>
      </w:r>
      <w:r w:rsidR="00807124" w:rsidRPr="0044742B">
        <w:t>utiliser des brevets et d</w:t>
      </w:r>
      <w:r w:rsidRPr="0044742B">
        <w:t>’</w:t>
      </w:r>
      <w:r w:rsidR="00807124" w:rsidRPr="0044742B">
        <w:t>autres droits de propriété intellectuel</w:t>
      </w:r>
      <w:r w:rsidR="00D010C7" w:rsidRPr="0044742B">
        <w:t>le.  Tr</w:t>
      </w:r>
      <w:r w:rsidR="00807124" w:rsidRPr="0044742B">
        <w:t>ois</w:t>
      </w:r>
      <w:r w:rsidR="00EB17DF" w:rsidRPr="0044742B">
        <w:t> </w:t>
      </w:r>
      <w:r w:rsidR="00807124" w:rsidRPr="0044742B">
        <w:t>éditions de ces séminaires ont eu lieu, portant respectivement sur la région des Amériques, la région européenne, ainsi que les régions de l</w:t>
      </w:r>
      <w:r w:rsidRPr="0044742B">
        <w:t>’</w:t>
      </w:r>
      <w:r w:rsidR="00807124" w:rsidRPr="0044742B">
        <w:t>Asie de l</w:t>
      </w:r>
      <w:r w:rsidRPr="0044742B">
        <w:t>’</w:t>
      </w:r>
      <w:r w:rsidR="00807124" w:rsidRPr="0044742B">
        <w:t>Est et de l</w:t>
      </w:r>
      <w:r w:rsidRPr="0044742B">
        <w:t>’</w:t>
      </w:r>
      <w:r w:rsidR="00807124" w:rsidRPr="0044742B">
        <w:t>Asie</w:t>
      </w:r>
      <w:r w:rsidR="00572D79" w:rsidRPr="0044742B">
        <w:noBreakHyphen/>
      </w:r>
      <w:r w:rsidR="00807124" w:rsidRPr="0044742B">
        <w:t>Pacifique</w:t>
      </w:r>
      <w:r w:rsidR="00807124" w:rsidRPr="0044742B">
        <w:rPr>
          <w:rStyle w:val="FootnoteReference"/>
        </w:rPr>
        <w:footnoteReference w:id="16"/>
      </w:r>
      <w:r w:rsidR="0044742B" w:rsidRPr="0044742B">
        <w:t>.</w:t>
      </w:r>
    </w:p>
    <w:p w:rsidR="00807124" w:rsidRPr="0044742B" w:rsidRDefault="0044742B" w:rsidP="006136DB">
      <w:pPr>
        <w:pStyle w:val="Heading1"/>
        <w:ind w:left="567" w:hanging="567"/>
      </w:pPr>
      <w:r w:rsidRPr="0044742B">
        <w:t>Voie à suivre</w:t>
      </w:r>
    </w:p>
    <w:p w:rsidR="00807124" w:rsidRPr="00777A0F" w:rsidRDefault="00807124" w:rsidP="0044742B">
      <w:pPr>
        <w:pStyle w:val="ONUMFS"/>
      </w:pPr>
      <w:r>
        <w:t>À partir de l</w:t>
      </w:r>
      <w:r w:rsidR="002B1B28">
        <w:t>’</w:t>
      </w:r>
      <w:r>
        <w:t>expérience du Secrétariat durant la période examinée, une série d</w:t>
      </w:r>
      <w:r w:rsidR="002B1B28">
        <w:t>’</w:t>
      </w:r>
      <w:r>
        <w:t>étapes concrètes doivent être examinées.</w:t>
      </w:r>
    </w:p>
    <w:p w:rsidR="002B1B28" w:rsidRDefault="00807124" w:rsidP="00724353">
      <w:pPr>
        <w:pStyle w:val="ONUMFS"/>
        <w:keepLines/>
      </w:pPr>
      <w:r>
        <w:t>Premièrement, l</w:t>
      </w:r>
      <w:r w:rsidR="002B1B28">
        <w:t>’</w:t>
      </w:r>
      <w:r>
        <w:t>accès du public non spécialisé au contenu méthodologique lié au genre s</w:t>
      </w:r>
      <w:r w:rsidR="002B1B28">
        <w:t>’</w:t>
      </w:r>
      <w:r>
        <w:t>est révélé être la bonne stratég</w:t>
      </w:r>
      <w:r w:rsidR="00D010C7">
        <w:t>ie.  Ce</w:t>
      </w:r>
      <w:r>
        <w:t>la a permis de diffuser les méthodes auprès d</w:t>
      </w:r>
      <w:r w:rsidR="002B1B28">
        <w:t>’</w:t>
      </w:r>
      <w:r>
        <w:t>un plus grand nombre d</w:t>
      </w:r>
      <w:r w:rsidR="002B1B28">
        <w:t>’</w:t>
      </w:r>
      <w:r>
        <w:t>États membres et de créer des capacités locales de production d</w:t>
      </w:r>
      <w:r w:rsidR="002B1B28">
        <w:t>’</w:t>
      </w:r>
      <w:r>
        <w:t>analyses tenant compte des questions de genre et ventilées par sexe.</w:t>
      </w:r>
    </w:p>
    <w:p w:rsidR="00807124" w:rsidRDefault="00807124" w:rsidP="006136DB">
      <w:pPr>
        <w:pStyle w:val="ONUMFS"/>
        <w:keepNext/>
        <w:keepLines/>
      </w:pPr>
      <w:r>
        <w:t>Deuxièmement, le Secrétariat continuera de mener des recherches sur les méthodologies visant à étendre et à analyser les données internationales comparables et ventilées relatives au sexe des créateurs et des titulaires de droits de propriété intellectuel</w:t>
      </w:r>
      <w:r w:rsidR="00D010C7">
        <w:t>le.  En</w:t>
      </w:r>
      <w:r>
        <w:t xml:space="preserve"> particulier, il convient de citer les méthodologies visant à élargir l</w:t>
      </w:r>
      <w:r w:rsidR="002B1B28">
        <w:t>’</w:t>
      </w:r>
      <w:r>
        <w:t>analyse à d</w:t>
      </w:r>
      <w:r w:rsidR="002B1B28">
        <w:t>’</w:t>
      </w:r>
      <w:r>
        <w:t>autres droits de propriété intellectuelle, telles que les modèles d</w:t>
      </w:r>
      <w:r w:rsidR="002B1B28">
        <w:t>’</w:t>
      </w:r>
      <w:r>
        <w:t>utilité, les dessins et modèles industriels ou les marques</w:t>
      </w:r>
      <w:r>
        <w:rPr>
          <w:rStyle w:val="FootnoteReference"/>
        </w:rPr>
        <w:footnoteReference w:id="17"/>
      </w:r>
      <w:r>
        <w:t>.</w:t>
      </w:r>
    </w:p>
    <w:p w:rsidR="00807124" w:rsidRPr="0044742B" w:rsidRDefault="00807124" w:rsidP="0044742B">
      <w:pPr>
        <w:pStyle w:val="ONUMFS"/>
        <w:ind w:left="5533"/>
        <w:rPr>
          <w:i/>
        </w:rPr>
      </w:pPr>
      <w:r w:rsidRPr="0044742B">
        <w:rPr>
          <w:i/>
        </w:rPr>
        <w:t>Le comité est invité à prendre note des informations contenues dans le présent document.</w:t>
      </w:r>
    </w:p>
    <w:p w:rsidR="00807124" w:rsidRPr="00045573" w:rsidRDefault="00807124" w:rsidP="0044742B">
      <w:pPr>
        <w:pStyle w:val="Endofdocument-Annex"/>
        <w:spacing w:before="720"/>
        <w:rPr>
          <w:szCs w:val="22"/>
        </w:rPr>
      </w:pPr>
      <w:r>
        <w:t>[Fin du document]</w:t>
      </w:r>
    </w:p>
    <w:sectPr w:rsidR="00807124" w:rsidRPr="00045573" w:rsidSect="008071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124" w:rsidRDefault="00807124">
      <w:r>
        <w:separator/>
      </w:r>
    </w:p>
  </w:endnote>
  <w:endnote w:type="continuationSeparator" w:id="0">
    <w:p w:rsidR="00807124" w:rsidRPr="009D30E6" w:rsidRDefault="0080712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07124" w:rsidRPr="009D30E6" w:rsidRDefault="0080712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07124" w:rsidRPr="009D30E6" w:rsidRDefault="0080712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CB" w:rsidRDefault="00B24E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CB" w:rsidRDefault="00B24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CB" w:rsidRDefault="00B24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124" w:rsidRDefault="00807124">
      <w:r>
        <w:separator/>
      </w:r>
    </w:p>
  </w:footnote>
  <w:footnote w:type="continuationSeparator" w:id="0">
    <w:p w:rsidR="00807124" w:rsidRDefault="00807124" w:rsidP="007461F1">
      <w:r>
        <w:separator/>
      </w:r>
    </w:p>
    <w:p w:rsidR="00807124" w:rsidRPr="009D30E6" w:rsidRDefault="0080712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07124" w:rsidRPr="009D30E6" w:rsidRDefault="0080712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807124" w:rsidRPr="00A01938" w:rsidRDefault="00807124" w:rsidP="008071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01938">
        <w:rPr>
          <w:lang w:val="en-US"/>
        </w:rPr>
        <w:t xml:space="preserve"> </w:t>
      </w:r>
      <w:r w:rsidR="00572D79">
        <w:rPr>
          <w:lang w:val="en-US"/>
        </w:rPr>
        <w:tab/>
      </w:r>
      <w:proofErr w:type="spellStart"/>
      <w:r w:rsidRPr="00A01938">
        <w:rPr>
          <w:lang w:val="en-US"/>
        </w:rPr>
        <w:t>Voir</w:t>
      </w:r>
      <w:proofErr w:type="spellEnd"/>
      <w:r w:rsidRPr="00A01938">
        <w:rPr>
          <w:lang w:val="en-US"/>
        </w:rPr>
        <w:t xml:space="preserve"> </w:t>
      </w:r>
      <w:hyperlink r:id="rId1" w:history="1">
        <w:r w:rsidRPr="00A01938">
          <w:rPr>
            <w:rStyle w:val="Hyperlink"/>
            <w:lang w:val="en-US"/>
          </w:rPr>
          <w:t>dataverse.harvard.edu/</w:t>
        </w:r>
        <w:proofErr w:type="spellStart"/>
        <w:r w:rsidRPr="00A01938">
          <w:rPr>
            <w:rStyle w:val="Hyperlink"/>
            <w:lang w:val="en-US"/>
          </w:rPr>
          <w:t>dataverse</w:t>
        </w:r>
        <w:proofErr w:type="spellEnd"/>
        <w:r w:rsidRPr="00A01938">
          <w:rPr>
            <w:rStyle w:val="Hyperlink"/>
            <w:lang w:val="en-US"/>
          </w:rPr>
          <w:t>/WGND</w:t>
        </w:r>
      </w:hyperlink>
      <w:r w:rsidR="00572D79" w:rsidRPr="00572D79">
        <w:rPr>
          <w:rStyle w:val="Hyperlink"/>
          <w:color w:val="auto"/>
          <w:u w:val="none"/>
          <w:lang w:val="en-US"/>
        </w:rPr>
        <w:t>.</w:t>
      </w:r>
    </w:p>
  </w:footnote>
  <w:footnote w:id="3">
    <w:p w:rsidR="00807124" w:rsidRPr="00572D79" w:rsidRDefault="00807124" w:rsidP="008071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01938">
        <w:rPr>
          <w:lang w:val="en-US"/>
        </w:rPr>
        <w:t xml:space="preserve"> </w:t>
      </w:r>
      <w:r w:rsidR="00572D79">
        <w:rPr>
          <w:lang w:val="en-US"/>
        </w:rPr>
        <w:tab/>
      </w:r>
      <w:proofErr w:type="spellStart"/>
      <w:r w:rsidRPr="00A01938">
        <w:rPr>
          <w:lang w:val="en-US"/>
        </w:rPr>
        <w:t>Voir</w:t>
      </w:r>
      <w:proofErr w:type="spellEnd"/>
      <w:r w:rsidRPr="00A01938">
        <w:rPr>
          <w:lang w:val="en-US"/>
        </w:rPr>
        <w:t xml:space="preserve"> </w:t>
      </w:r>
      <w:hyperlink r:id="rId2" w:history="1">
        <w:r w:rsidRPr="00A01938">
          <w:rPr>
            <w:rStyle w:val="Hyperlink"/>
            <w:lang w:val="en-US"/>
          </w:rPr>
          <w:t>github.com/IES</w:t>
        </w:r>
        <w:r w:rsidR="00B428BB">
          <w:rPr>
            <w:rStyle w:val="Hyperlink"/>
            <w:lang w:val="en-US"/>
          </w:rPr>
          <w:noBreakHyphen/>
        </w:r>
        <w:r w:rsidRPr="00A01938">
          <w:rPr>
            <w:rStyle w:val="Hyperlink"/>
            <w:lang w:val="en-US"/>
          </w:rPr>
          <w:t>platform/r4r_gender/blob/main/</w:t>
        </w:r>
        <w:proofErr w:type="spellStart"/>
        <w:r w:rsidRPr="00A01938">
          <w:rPr>
            <w:rStyle w:val="Hyperlink"/>
            <w:lang w:val="en-US"/>
          </w:rPr>
          <w:t>wgnd</w:t>
        </w:r>
        <w:proofErr w:type="spellEnd"/>
        <w:r w:rsidRPr="00A01938">
          <w:rPr>
            <w:rStyle w:val="Hyperlink"/>
            <w:lang w:val="en-US"/>
          </w:rPr>
          <w:t>/README.md</w:t>
        </w:r>
      </w:hyperlink>
      <w:r w:rsidR="00572D79">
        <w:rPr>
          <w:rStyle w:val="Hyperlink"/>
          <w:color w:val="auto"/>
          <w:u w:val="none"/>
          <w:lang w:val="en-US"/>
        </w:rPr>
        <w:t>.</w:t>
      </w:r>
    </w:p>
  </w:footnote>
  <w:footnote w:id="4">
    <w:p w:rsidR="00807124" w:rsidRPr="00572D79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2D79">
        <w:tab/>
      </w:r>
      <w:r>
        <w:t xml:space="preserve">Voir </w:t>
      </w:r>
      <w:hyperlink r:id="rId3" w:history="1">
        <w:r>
          <w:rPr>
            <w:rStyle w:val="Hyperlink"/>
          </w:rPr>
          <w:t>ies</w:t>
        </w:r>
        <w:r w:rsidR="00B428BB">
          <w:rPr>
            <w:rStyle w:val="Hyperlink"/>
          </w:rPr>
          <w:noBreakHyphen/>
        </w:r>
        <w:r>
          <w:rPr>
            <w:rStyle w:val="Hyperlink"/>
          </w:rPr>
          <w:t>r4r</w:t>
        </w:r>
        <w:r w:rsidR="00B428BB">
          <w:rPr>
            <w:rStyle w:val="Hyperlink"/>
          </w:rPr>
          <w:noBreakHyphen/>
        </w:r>
        <w:r>
          <w:rPr>
            <w:rStyle w:val="Hyperlink"/>
          </w:rPr>
          <w:t>public.s3.eu</w:t>
        </w:r>
        <w:r w:rsidR="00B428BB">
          <w:rPr>
            <w:rStyle w:val="Hyperlink"/>
          </w:rPr>
          <w:noBreakHyphen/>
        </w:r>
        <w:r>
          <w:rPr>
            <w:rStyle w:val="Hyperlink"/>
          </w:rPr>
          <w:t>central</w:t>
        </w:r>
        <w:r w:rsidR="00B428BB">
          <w:rPr>
            <w:rStyle w:val="Hyperlink"/>
          </w:rPr>
          <w:noBreakHyphen/>
        </w:r>
        <w:r>
          <w:rPr>
            <w:rStyle w:val="Hyperlink"/>
          </w:rPr>
          <w:t>1.amazonaws.com/</w:t>
        </w:r>
        <w:proofErr w:type="spellStart"/>
        <w:r>
          <w:rPr>
            <w:rStyle w:val="Hyperlink"/>
          </w:rPr>
          <w:t>wgnd</w:t>
        </w:r>
        <w:proofErr w:type="spellEnd"/>
        <w:r>
          <w:rPr>
            <w:rStyle w:val="Hyperlink"/>
          </w:rPr>
          <w:t>/wgnd_2_0.zip</w:t>
        </w:r>
      </w:hyperlink>
      <w:r w:rsidR="00572D79">
        <w:rPr>
          <w:rStyle w:val="Hyperlink"/>
          <w:color w:val="auto"/>
          <w:u w:val="none"/>
        </w:rPr>
        <w:t>.</w:t>
      </w:r>
    </w:p>
  </w:footnote>
  <w:footnote w:id="5">
    <w:p w:rsidR="00807124" w:rsidRPr="00572D79" w:rsidRDefault="00807124" w:rsidP="008071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01938">
        <w:rPr>
          <w:lang w:val="en-US"/>
        </w:rPr>
        <w:t xml:space="preserve"> </w:t>
      </w:r>
      <w:r w:rsidR="00572D79">
        <w:rPr>
          <w:lang w:val="en-US"/>
        </w:rPr>
        <w:tab/>
      </w:r>
      <w:proofErr w:type="spellStart"/>
      <w:r w:rsidRPr="00A01938">
        <w:rPr>
          <w:lang w:val="en-US"/>
        </w:rPr>
        <w:t>Voir</w:t>
      </w:r>
      <w:proofErr w:type="spellEnd"/>
      <w:r w:rsidRPr="00A01938">
        <w:rPr>
          <w:lang w:val="en-US"/>
        </w:rPr>
        <w:t xml:space="preserve"> </w:t>
      </w:r>
      <w:hyperlink r:id="rId4" w:history="1">
        <w:r w:rsidRPr="00A01938">
          <w:rPr>
            <w:rStyle w:val="Hyperlink"/>
            <w:lang w:val="en-US"/>
          </w:rPr>
          <w:t>github.com/IES</w:t>
        </w:r>
        <w:r w:rsidR="00B428BB">
          <w:rPr>
            <w:rStyle w:val="Hyperlink"/>
            <w:lang w:val="en-US"/>
          </w:rPr>
          <w:noBreakHyphen/>
        </w:r>
        <w:r w:rsidRPr="00A01938">
          <w:rPr>
            <w:rStyle w:val="Hyperlink"/>
            <w:lang w:val="en-US"/>
          </w:rPr>
          <w:t>platform/r4r_gender/blob/main/</w:t>
        </w:r>
        <w:proofErr w:type="spellStart"/>
        <w:r w:rsidRPr="00A01938">
          <w:rPr>
            <w:rStyle w:val="Hyperlink"/>
            <w:lang w:val="en-US"/>
          </w:rPr>
          <w:t>genderit</w:t>
        </w:r>
        <w:proofErr w:type="spellEnd"/>
        <w:r w:rsidRPr="00A01938">
          <w:rPr>
            <w:rStyle w:val="Hyperlink"/>
            <w:lang w:val="en-US"/>
          </w:rPr>
          <w:t>/readme.md</w:t>
        </w:r>
      </w:hyperlink>
      <w:r w:rsidR="00572D79">
        <w:rPr>
          <w:rStyle w:val="Hyperlink"/>
          <w:color w:val="auto"/>
          <w:u w:val="none"/>
          <w:lang w:val="en-US"/>
        </w:rPr>
        <w:t>.</w:t>
      </w:r>
    </w:p>
  </w:footnote>
  <w:footnote w:id="6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72D79">
        <w:tab/>
      </w:r>
      <w:r>
        <w:t>Une version pour Python devrait être publiée au cours de la pério</w:t>
      </w:r>
      <w:r w:rsidR="00FA1653">
        <w:t>de 2023</w:t>
      </w:r>
      <w:r w:rsidR="00B428BB">
        <w:noBreakHyphen/>
      </w:r>
      <w:r w:rsidR="00572D79">
        <w:t>2024.</w:t>
      </w:r>
    </w:p>
  </w:footnote>
  <w:footnote w:id="7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28BB">
        <w:tab/>
      </w:r>
      <w:r>
        <w:t>Accessible aux utilisateurs externes sur demande.</w:t>
      </w:r>
    </w:p>
  </w:footnote>
  <w:footnote w:id="8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28BB">
        <w:tab/>
      </w:r>
      <w:r>
        <w:t>L</w:t>
      </w:r>
      <w:r w:rsidR="00FA1653">
        <w:t>’</w:t>
      </w:r>
      <w:r>
        <w:t xml:space="preserve">étude a été publiée </w:t>
      </w:r>
      <w:r w:rsidR="00FA1653">
        <w:t>en 2016</w:t>
      </w:r>
      <w:r>
        <w:t xml:space="preserve"> et est disponible à l</w:t>
      </w:r>
      <w:r w:rsidR="00FA1653">
        <w:t>’</w:t>
      </w:r>
      <w:r>
        <w:t>adresse suivante</w:t>
      </w:r>
      <w:r w:rsidR="00FA1653">
        <w:t> :</w:t>
      </w:r>
      <w:r>
        <w:t xml:space="preserve"> </w:t>
      </w:r>
      <w:hyperlink r:id="rId5" w:history="1">
        <w:r>
          <w:rPr>
            <w:rStyle w:val="Hyperlink"/>
          </w:rPr>
          <w:t>www.wipo.int/publications/fr/details.jsp?id=4125</w:t>
        </w:r>
      </w:hyperlink>
      <w:r w:rsidR="00B428BB">
        <w:t>.</w:t>
      </w:r>
    </w:p>
  </w:footnote>
  <w:footnote w:id="9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28BB">
        <w:tab/>
      </w:r>
      <w:r>
        <w:t>Les études de l</w:t>
      </w:r>
      <w:r w:rsidR="00FA1653">
        <w:t>’</w:t>
      </w:r>
      <w:r>
        <w:t>OMPI sur le développement sont disponibles à l</w:t>
      </w:r>
      <w:r w:rsidR="00FA1653">
        <w:t>’</w:t>
      </w:r>
      <w:r>
        <w:t>adresse suivante</w:t>
      </w:r>
      <w:r w:rsidR="00EB17DF">
        <w:t> :</w:t>
      </w:r>
      <w:r>
        <w:t xml:space="preserve"> </w:t>
      </w:r>
      <w:hyperlink r:id="rId6" w:history="1">
        <w:r>
          <w:rPr>
            <w:rStyle w:val="Hyperlink"/>
          </w:rPr>
          <w:t>www.wipo.int/econ_stat/en/economics/studies/</w:t>
        </w:r>
      </w:hyperlink>
      <w:r w:rsidR="00B428BB">
        <w:t>.</w:t>
      </w:r>
    </w:p>
  </w:footnote>
  <w:footnote w:id="10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28BB">
        <w:tab/>
      </w:r>
      <w:r>
        <w:t>Grâce à la collaboration avec la Base de données mondiale sur les dessins et modèles, la recherche couvrira davantage de données et int</w:t>
      </w:r>
      <w:r w:rsidR="00B24ECB">
        <w:t>é</w:t>
      </w:r>
      <w:r>
        <w:t>grera celles de P</w:t>
      </w:r>
      <w:r w:rsidR="00B24ECB">
        <w:t>ATENTSCOPE</w:t>
      </w:r>
      <w:r>
        <w:t xml:space="preserve"> au cours de l</w:t>
      </w:r>
      <w:r w:rsidR="00FA1653">
        <w:t>’</w:t>
      </w:r>
      <w:r>
        <w:t>année</w:t>
      </w:r>
      <w:r w:rsidR="00B24ECB">
        <w:t> </w:t>
      </w:r>
      <w:r>
        <w:t>2023.</w:t>
      </w:r>
    </w:p>
  </w:footnote>
  <w:footnote w:id="11">
    <w:p w:rsidR="00807124" w:rsidRPr="00B428BB" w:rsidRDefault="00807124" w:rsidP="00807124">
      <w:pPr>
        <w:rPr>
          <w:rFonts w:eastAsia="Times New Roman"/>
          <w:sz w:val="18"/>
        </w:rPr>
      </w:pPr>
      <w:r>
        <w:rPr>
          <w:rStyle w:val="FootnoteReference"/>
          <w:sz w:val="18"/>
        </w:rPr>
        <w:footnoteRef/>
      </w:r>
      <w:r>
        <w:rPr>
          <w:rStyle w:val="FootnoteReference"/>
          <w:sz w:val="18"/>
        </w:rPr>
        <w:t xml:space="preserve"> </w:t>
      </w:r>
      <w:r w:rsidR="00B428BB">
        <w:rPr>
          <w:sz w:val="18"/>
        </w:rPr>
        <w:tab/>
      </w:r>
      <w:r>
        <w:rPr>
          <w:sz w:val="18"/>
        </w:rPr>
        <w:t xml:space="preserve">Les premiers résultats devraient être publiés </w:t>
      </w:r>
      <w:r w:rsidR="00FA1653">
        <w:rPr>
          <w:sz w:val="18"/>
        </w:rPr>
        <w:t>en 2023</w:t>
      </w:r>
      <w:r w:rsidR="00B428BB">
        <w:rPr>
          <w:sz w:val="18"/>
        </w:rPr>
        <w:noBreakHyphen/>
      </w:r>
      <w:r>
        <w:rPr>
          <w:sz w:val="18"/>
        </w:rPr>
        <w:t>2024.  Il s</w:t>
      </w:r>
      <w:r w:rsidR="00FA1653">
        <w:rPr>
          <w:sz w:val="18"/>
        </w:rPr>
        <w:t>’</w:t>
      </w:r>
      <w:r>
        <w:rPr>
          <w:sz w:val="18"/>
        </w:rPr>
        <w:t>agit notamment d</w:t>
      </w:r>
      <w:r w:rsidR="00FA1653">
        <w:rPr>
          <w:sz w:val="18"/>
        </w:rPr>
        <w:t>’</w:t>
      </w:r>
      <w:r>
        <w:rPr>
          <w:sz w:val="18"/>
        </w:rPr>
        <w:t>une collaboration en cours avec la Division pour les pays en transition et les pays développés du Secteur du développement régional et national de l</w:t>
      </w:r>
      <w:r w:rsidR="00FA1653">
        <w:rPr>
          <w:sz w:val="18"/>
        </w:rPr>
        <w:t>’</w:t>
      </w:r>
      <w:r>
        <w:rPr>
          <w:sz w:val="18"/>
        </w:rPr>
        <w:t>OMPI dans le but d</w:t>
      </w:r>
      <w:r w:rsidR="00FA1653">
        <w:rPr>
          <w:sz w:val="18"/>
        </w:rPr>
        <w:t>’</w:t>
      </w:r>
      <w:r>
        <w:rPr>
          <w:sz w:val="18"/>
        </w:rPr>
        <w:t>établir un rapport sur la transformation de l</w:t>
      </w:r>
      <w:r w:rsidR="00FA1653">
        <w:rPr>
          <w:sz w:val="18"/>
        </w:rPr>
        <w:t>’</w:t>
      </w:r>
      <w:r>
        <w:rPr>
          <w:sz w:val="18"/>
        </w:rPr>
        <w:t>économie par les dessins et modèles</w:t>
      </w:r>
      <w:r w:rsidR="00FA1653">
        <w:rPr>
          <w:sz w:val="18"/>
        </w:rPr>
        <w:t xml:space="preserve"> – </w:t>
      </w:r>
      <w:r>
        <w:rPr>
          <w:sz w:val="18"/>
        </w:rPr>
        <w:t>les femmes et l</w:t>
      </w:r>
      <w:r w:rsidR="00FA1653">
        <w:rPr>
          <w:sz w:val="18"/>
        </w:rPr>
        <w:t>’</w:t>
      </w:r>
      <w:r>
        <w:rPr>
          <w:sz w:val="18"/>
        </w:rPr>
        <w:t>innovation.</w:t>
      </w:r>
    </w:p>
  </w:footnote>
  <w:footnote w:id="12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28BB">
        <w:tab/>
      </w:r>
      <w:r>
        <w:t>Si les ressources le permettent, la Section de l</w:t>
      </w:r>
      <w:r w:rsidR="00FA1653">
        <w:t>’</w:t>
      </w:r>
      <w:r>
        <w:t>économie de l</w:t>
      </w:r>
      <w:r w:rsidR="00FA1653">
        <w:t>’</w:t>
      </w:r>
      <w:r>
        <w:t>innovation prévoit de mener des recherches sur les disparités entre hommes et femmes dans le domaine des marques au cours de la pério</w:t>
      </w:r>
      <w:r w:rsidR="00FA1653">
        <w:t>de 2023</w:t>
      </w:r>
      <w:r w:rsidR="00B428BB">
        <w:noBreakHyphen/>
      </w:r>
      <w:r>
        <w:t>2024.</w:t>
      </w:r>
    </w:p>
  </w:footnote>
  <w:footnote w:id="13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742B">
        <w:tab/>
      </w:r>
      <w:r>
        <w:t>GitHub et Amazon</w:t>
      </w:r>
      <w:r w:rsidR="00B24ECB">
        <w:t> </w:t>
      </w:r>
      <w:r>
        <w:t>S3 ne fournissent pas de statistiques rétrospectives sur les visites et les téléchargements.</w:t>
      </w:r>
    </w:p>
  </w:footnote>
  <w:footnote w:id="14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742B">
        <w:tab/>
      </w:r>
      <w:r w:rsidR="00FA1653">
        <w:t>À savoir</w:t>
      </w:r>
      <w:r>
        <w:t xml:space="preserve"> le français, l</w:t>
      </w:r>
      <w:r w:rsidR="00FA1653">
        <w:t>’</w:t>
      </w:r>
      <w:r>
        <w:t>anglais, l</w:t>
      </w:r>
      <w:r w:rsidR="00FA1653">
        <w:t>’</w:t>
      </w:r>
      <w:r>
        <w:t>arabe, le chinois, l</w:t>
      </w:r>
      <w:r w:rsidR="00FA1653">
        <w:t>’</w:t>
      </w:r>
      <w:r>
        <w:t>espagnol et le russe.</w:t>
      </w:r>
    </w:p>
  </w:footnote>
  <w:footnote w:id="15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742B">
        <w:tab/>
      </w:r>
      <w:r>
        <w:t xml:space="preserve">Voir </w:t>
      </w:r>
      <w:hyperlink r:id="rId7" w:history="1">
        <w:r>
          <w:rPr>
            <w:rStyle w:val="Hyperlink"/>
          </w:rPr>
          <w:t>www.wipo.int/econ_stat/fr/economics</w:t>
        </w:r>
      </w:hyperlink>
      <w:r>
        <w:t xml:space="preserve">. </w:t>
      </w:r>
      <w:r w:rsidR="00EB17DF">
        <w:t xml:space="preserve"> </w:t>
      </w:r>
    </w:p>
  </w:footnote>
  <w:footnote w:id="16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44742B">
        <w:tab/>
      </w:r>
      <w:r>
        <w:t>Une quatrième</w:t>
      </w:r>
      <w:r w:rsidR="0044742B">
        <w:t> </w:t>
      </w:r>
      <w:r>
        <w:t xml:space="preserve">édition est prévue pour les régions africaine et arabe </w:t>
      </w:r>
      <w:r w:rsidR="00FA1653">
        <w:t>en 2023</w:t>
      </w:r>
      <w:r>
        <w:t>.</w:t>
      </w:r>
    </w:p>
  </w:footnote>
  <w:footnote w:id="17">
    <w:p w:rsidR="00807124" w:rsidRDefault="00807124" w:rsidP="0080712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057F4">
        <w:tab/>
      </w:r>
      <w:r>
        <w:t>Notamment dans le cadre d</w:t>
      </w:r>
      <w:r w:rsidR="00FA1653">
        <w:t>’</w:t>
      </w:r>
      <w:r>
        <w:t>une collaboration avec la Division pour les pays en transition et les pays développés du Secteur du développement régional et national de l</w:t>
      </w:r>
      <w:r w:rsidR="00FA1653">
        <w:t>’</w:t>
      </w:r>
      <w:r>
        <w:t>OMPI visant à étudier la possibilité de présenter les résultats d</w:t>
      </w:r>
      <w:r w:rsidR="00FA1653">
        <w:t>’</w:t>
      </w:r>
      <w:r>
        <w:t>une recherche économique sur la diversité dans le secteur des jeux vidéo.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CB" w:rsidRDefault="00B24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807124" w:rsidP="00477D6B">
    <w:pPr>
      <w:jc w:val="right"/>
      <w:rPr>
        <w:caps/>
      </w:rPr>
    </w:pPr>
    <w:bookmarkStart w:id="8" w:name="Code2"/>
    <w:bookmarkEnd w:id="8"/>
    <w:r>
      <w:rPr>
        <w:caps/>
      </w:rPr>
      <w:t>CDIP/30/13</w:t>
    </w:r>
  </w:p>
  <w:p w:rsidR="00F16975" w:rsidRDefault="00F16975" w:rsidP="00572D79">
    <w:pPr>
      <w:spacing w:after="480"/>
      <w:jc w:val="right"/>
    </w:pPr>
    <w:r>
      <w:t>page</w:t>
    </w:r>
    <w:r w:rsidR="00B24EC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F269C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ECB" w:rsidRDefault="00B24E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ED2F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B90F72"/>
    <w:multiLevelType w:val="multilevel"/>
    <w:tmpl w:val="A2DC44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3F4C0D04"/>
    <w:multiLevelType w:val="multilevel"/>
    <w:tmpl w:val="193EB3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45518D"/>
    <w:multiLevelType w:val="hybridMultilevel"/>
    <w:tmpl w:val="8484315A"/>
    <w:lvl w:ilvl="0" w:tplc="73284F38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66A5D"/>
    <w:multiLevelType w:val="multilevel"/>
    <w:tmpl w:val="9962E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24"/>
    <w:rsid w:val="00011B7D"/>
    <w:rsid w:val="00020C7E"/>
    <w:rsid w:val="00075432"/>
    <w:rsid w:val="0009458A"/>
    <w:rsid w:val="000F5E56"/>
    <w:rsid w:val="001060FF"/>
    <w:rsid w:val="0013395C"/>
    <w:rsid w:val="001362EE"/>
    <w:rsid w:val="001832A6"/>
    <w:rsid w:val="00195C6E"/>
    <w:rsid w:val="001B266A"/>
    <w:rsid w:val="001B488E"/>
    <w:rsid w:val="001C6508"/>
    <w:rsid w:val="001D3D56"/>
    <w:rsid w:val="00240654"/>
    <w:rsid w:val="002634C4"/>
    <w:rsid w:val="002956DE"/>
    <w:rsid w:val="002B1B28"/>
    <w:rsid w:val="002E4D1A"/>
    <w:rsid w:val="002F16BC"/>
    <w:rsid w:val="002F4E68"/>
    <w:rsid w:val="00314170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4742B"/>
    <w:rsid w:val="004647DA"/>
    <w:rsid w:val="00477D6B"/>
    <w:rsid w:val="004D6471"/>
    <w:rsid w:val="0051455D"/>
    <w:rsid w:val="00525B63"/>
    <w:rsid w:val="00525E59"/>
    <w:rsid w:val="00541348"/>
    <w:rsid w:val="005421DD"/>
    <w:rsid w:val="005473F7"/>
    <w:rsid w:val="00554FA5"/>
    <w:rsid w:val="00567A4C"/>
    <w:rsid w:val="00572D79"/>
    <w:rsid w:val="00574036"/>
    <w:rsid w:val="00595F07"/>
    <w:rsid w:val="005E6516"/>
    <w:rsid w:val="00605827"/>
    <w:rsid w:val="006136DB"/>
    <w:rsid w:val="00616671"/>
    <w:rsid w:val="006B0DB5"/>
    <w:rsid w:val="00724353"/>
    <w:rsid w:val="007461F1"/>
    <w:rsid w:val="007D6961"/>
    <w:rsid w:val="007F07CB"/>
    <w:rsid w:val="00807124"/>
    <w:rsid w:val="00810CEF"/>
    <w:rsid w:val="0081208D"/>
    <w:rsid w:val="00897816"/>
    <w:rsid w:val="008B2CC1"/>
    <w:rsid w:val="008E7930"/>
    <w:rsid w:val="0090731E"/>
    <w:rsid w:val="00950D76"/>
    <w:rsid w:val="00966A22"/>
    <w:rsid w:val="00974CD6"/>
    <w:rsid w:val="009D30E6"/>
    <w:rsid w:val="009E3F6F"/>
    <w:rsid w:val="009F499F"/>
    <w:rsid w:val="00A11D74"/>
    <w:rsid w:val="00AC0AE4"/>
    <w:rsid w:val="00AD61DB"/>
    <w:rsid w:val="00AE45F9"/>
    <w:rsid w:val="00B1090C"/>
    <w:rsid w:val="00B24ECB"/>
    <w:rsid w:val="00B35AF5"/>
    <w:rsid w:val="00B428BB"/>
    <w:rsid w:val="00B45C15"/>
    <w:rsid w:val="00BE0BE0"/>
    <w:rsid w:val="00C057F4"/>
    <w:rsid w:val="00C45995"/>
    <w:rsid w:val="00C664C8"/>
    <w:rsid w:val="00C81F0E"/>
    <w:rsid w:val="00CB6E23"/>
    <w:rsid w:val="00CF0460"/>
    <w:rsid w:val="00CF269C"/>
    <w:rsid w:val="00D010C7"/>
    <w:rsid w:val="00D43E0F"/>
    <w:rsid w:val="00D45252"/>
    <w:rsid w:val="00D71B4D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2862"/>
    <w:rsid w:val="00E72FB7"/>
    <w:rsid w:val="00E74E7E"/>
    <w:rsid w:val="00E76456"/>
    <w:rsid w:val="00EB17DF"/>
    <w:rsid w:val="00ED696A"/>
    <w:rsid w:val="00EE620D"/>
    <w:rsid w:val="00EE71CB"/>
    <w:rsid w:val="00F16975"/>
    <w:rsid w:val="00F66152"/>
    <w:rsid w:val="00FA1653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5E516F3-ED63-4DC9-9DF1-E3E858D4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Heading2"/>
    <w:next w:val="Normal"/>
    <w:qFormat/>
    <w:rsid w:val="00ED696A"/>
    <w:pPr>
      <w:numPr>
        <w:numId w:val="8"/>
      </w:numPr>
      <w:spacing w:after="240"/>
      <w:outlineLvl w:val="0"/>
    </w:p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34"/>
    <w:qFormat/>
    <w:rsid w:val="00807124"/>
    <w:pPr>
      <w:ind w:left="720"/>
      <w:contextualSpacing/>
    </w:pPr>
    <w:rPr>
      <w:lang w:val="fr-FR"/>
    </w:rPr>
  </w:style>
  <w:style w:type="character" w:styleId="Hyperlink">
    <w:name w:val="Hyperlink"/>
    <w:basedOn w:val="DefaultParagraphFont"/>
    <w:unhideWhenUsed/>
    <w:rsid w:val="0080712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124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807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es-r4r-public.s3.eu-central-1.amazonaws.com/wgnd/wgnd_2_0.zip" TargetMode="External"/><Relationship Id="rId7" Type="http://schemas.openxmlformats.org/officeDocument/2006/relationships/hyperlink" Target="http://www.wipo.int/econ_stat/fr/economics" TargetMode="External"/><Relationship Id="rId2" Type="http://schemas.openxmlformats.org/officeDocument/2006/relationships/hyperlink" Target="https://github.com/IES-platform/r4r_gender/blob/main/wgnd/README.md" TargetMode="External"/><Relationship Id="rId1" Type="http://schemas.openxmlformats.org/officeDocument/2006/relationships/hyperlink" Target="https://dataverse.harvard.edu/dataverse/WGND" TargetMode="External"/><Relationship Id="rId6" Type="http://schemas.openxmlformats.org/officeDocument/2006/relationships/hyperlink" Target="http://www.wipo.int/econ_stat/en/economics/studies/" TargetMode="External"/><Relationship Id="rId5" Type="http://schemas.openxmlformats.org/officeDocument/2006/relationships/hyperlink" Target="http://www.wipo.int/publications/fr/details.jsp?id=4125" TargetMode="External"/><Relationship Id="rId4" Type="http://schemas.openxmlformats.org/officeDocument/2006/relationships/hyperlink" Target="https://github.com/IES-platform/r4r_gender/blob/main/genderit/readme.m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_30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B2AC-7354-4AFE-9104-AA0EF8AF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CDIP_30 (F)</Template>
  <TotalTime>1</TotalTime>
  <Pages>5</Pages>
  <Words>1755</Words>
  <Characters>9537</Characters>
  <Application>Microsoft Office Word</Application>
  <DocSecurity>0</DocSecurity>
  <Lines>153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CDIP/30/</vt:lpstr>
    </vt:vector>
  </TitlesOfParts>
  <Company>WIPO</Company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CDIP/30/</dc:title>
  <dc:creator>AUBERT Annaelle</dc:creator>
  <cp:keywords>FOR OFFICIAL USE ONLY</cp:keywords>
  <cp:lastModifiedBy>PANAKAL Joseph Lazar</cp:lastModifiedBy>
  <cp:revision>2</cp:revision>
  <cp:lastPrinted>2011-05-19T12:37:00Z</cp:lastPrinted>
  <dcterms:created xsi:type="dcterms:W3CDTF">2023-03-13T15:49:00Z</dcterms:created>
  <dcterms:modified xsi:type="dcterms:W3CDTF">2023-03-13T15:49:00Z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