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D61D" w14:textId="77777777" w:rsidR="00975298" w:rsidRPr="000A4281" w:rsidRDefault="00975298" w:rsidP="00975298">
      <w:bookmarkStart w:id="0" w:name="_GoBack"/>
      <w:bookmarkEnd w:id="0"/>
    </w:p>
    <w:p w14:paraId="5935C1CF" w14:textId="77777777" w:rsidR="009B150A" w:rsidRPr="008B2CC1" w:rsidRDefault="009B150A" w:rsidP="009B150A">
      <w:pPr>
        <w:spacing w:after="120"/>
        <w:jc w:val="right"/>
      </w:pPr>
      <w:r>
        <w:rPr>
          <w:noProof/>
          <w:lang w:val="en-US"/>
        </w:rPr>
        <w:drawing>
          <wp:inline distT="0" distB="0" distL="0" distR="0" wp14:anchorId="19C3C011" wp14:editId="05AC1B1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rPr>
        <mc:AlternateContent>
          <mc:Choice Requires="wps">
            <w:drawing>
              <wp:inline distT="0" distB="0" distL="0" distR="0" wp14:anchorId="36978C02" wp14:editId="6EE2F5F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A020B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E591762" w14:textId="77777777" w:rsidR="009B150A" w:rsidRPr="00DB0349" w:rsidRDefault="009B150A" w:rsidP="009B150A">
      <w:pPr>
        <w:jc w:val="right"/>
        <w:rPr>
          <w:rFonts w:ascii="Arial Black" w:hAnsi="Arial Black"/>
          <w:caps/>
          <w:sz w:val="15"/>
          <w:szCs w:val="15"/>
        </w:rPr>
      </w:pPr>
      <w:r>
        <w:rPr>
          <w:rFonts w:ascii="Arial Black" w:hAnsi="Arial Black"/>
          <w:caps/>
          <w:sz w:val="15"/>
        </w:rPr>
        <w:t>CDIP/29/</w:t>
      </w:r>
      <w:bookmarkStart w:id="1" w:name="Code"/>
      <w:r>
        <w:rPr>
          <w:rFonts w:ascii="Arial Black" w:hAnsi="Arial Black"/>
          <w:caps/>
          <w:sz w:val="15"/>
        </w:rPr>
        <w:t>2</w:t>
      </w:r>
    </w:p>
    <w:bookmarkEnd w:id="1"/>
    <w:p w14:paraId="3AE30E1A" w14:textId="7C29A5F8" w:rsidR="009B150A" w:rsidRPr="00DB0349" w:rsidRDefault="009B150A" w:rsidP="009B150A">
      <w:pPr>
        <w:jc w:val="right"/>
        <w:rPr>
          <w:rFonts w:ascii="Arial Black" w:hAnsi="Arial Black"/>
          <w:caps/>
          <w:sz w:val="15"/>
          <w:szCs w:val="15"/>
        </w:rPr>
      </w:pPr>
      <w:r>
        <w:rPr>
          <w:rFonts w:ascii="Arial Black" w:hAnsi="Arial Black"/>
          <w:caps/>
          <w:sz w:val="15"/>
          <w:szCs w:val="15"/>
        </w:rPr>
        <w:t xml:space="preserve">Original : </w:t>
      </w:r>
      <w:bookmarkStart w:id="2" w:name="Original"/>
      <w:r>
        <w:rPr>
          <w:rFonts w:ascii="Arial Black" w:hAnsi="Arial Black"/>
          <w:caps/>
          <w:sz w:val="15"/>
          <w:szCs w:val="15"/>
        </w:rPr>
        <w:t>anglais</w:t>
      </w:r>
    </w:p>
    <w:bookmarkEnd w:id="2"/>
    <w:p w14:paraId="33A0CCE5" w14:textId="14FA224A" w:rsidR="009B150A" w:rsidRPr="00DB0349" w:rsidRDefault="009B150A" w:rsidP="009B150A">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Pr>
          <w:rFonts w:ascii="Arial Black" w:hAnsi="Arial Black"/>
          <w:caps/>
          <w:sz w:val="15"/>
          <w:szCs w:val="15"/>
        </w:rPr>
        <w:t>5 septembre 2022</w:t>
      </w:r>
    </w:p>
    <w:bookmarkEnd w:id="3"/>
    <w:p w14:paraId="3AE131AD" w14:textId="77777777" w:rsidR="009B150A" w:rsidRPr="00DB0349" w:rsidRDefault="009B150A" w:rsidP="009B150A">
      <w:pPr>
        <w:spacing w:after="600"/>
        <w:outlineLvl w:val="0"/>
        <w:rPr>
          <w:b/>
          <w:sz w:val="28"/>
          <w:szCs w:val="28"/>
        </w:rPr>
      </w:pPr>
      <w:r w:rsidRPr="00105B7C">
        <w:rPr>
          <w:b/>
          <w:sz w:val="28"/>
          <w:szCs w:val="28"/>
        </w:rPr>
        <w:t>Comité du développement et de la propriété intellectuelle (CDIP)</w:t>
      </w:r>
    </w:p>
    <w:p w14:paraId="6C3B946F" w14:textId="4F0A9B93" w:rsidR="009B150A" w:rsidRPr="003845C1" w:rsidRDefault="009B150A" w:rsidP="009B150A">
      <w:pPr>
        <w:spacing w:after="720"/>
        <w:outlineLvl w:val="1"/>
        <w:rPr>
          <w:b/>
          <w:sz w:val="24"/>
          <w:szCs w:val="24"/>
        </w:rPr>
      </w:pPr>
      <w:r w:rsidRPr="00105B7C">
        <w:rPr>
          <w:b/>
          <w:sz w:val="24"/>
          <w:szCs w:val="24"/>
        </w:rPr>
        <w:t>Vingt</w:t>
      </w:r>
      <w:r w:rsidR="00D117A8">
        <w:rPr>
          <w:b/>
          <w:sz w:val="24"/>
          <w:szCs w:val="24"/>
        </w:rPr>
        <w:noBreakHyphen/>
      </w:r>
      <w:r w:rsidRPr="00105B7C">
        <w:rPr>
          <w:b/>
          <w:sz w:val="24"/>
          <w:szCs w:val="24"/>
        </w:rPr>
        <w:t>neuv</w:t>
      </w:r>
      <w:r>
        <w:rPr>
          <w:b/>
          <w:sz w:val="24"/>
          <w:szCs w:val="24"/>
        </w:rPr>
        <w:t>ième session</w:t>
      </w:r>
      <w:r>
        <w:rPr>
          <w:b/>
          <w:sz w:val="24"/>
          <w:szCs w:val="24"/>
        </w:rPr>
        <w:br/>
      </w:r>
      <w:r w:rsidRPr="00105B7C">
        <w:rPr>
          <w:b/>
          <w:sz w:val="24"/>
          <w:szCs w:val="24"/>
        </w:rPr>
        <w:t>Genève, 17 – 21</w:t>
      </w:r>
      <w:r>
        <w:rPr>
          <w:b/>
          <w:sz w:val="24"/>
          <w:szCs w:val="24"/>
        </w:rPr>
        <w:t> </w:t>
      </w:r>
      <w:r w:rsidRPr="00105B7C">
        <w:rPr>
          <w:b/>
          <w:sz w:val="24"/>
          <w:szCs w:val="24"/>
        </w:rPr>
        <w:t>octobre</w:t>
      </w:r>
      <w:r>
        <w:rPr>
          <w:b/>
          <w:sz w:val="24"/>
          <w:szCs w:val="24"/>
        </w:rPr>
        <w:t> </w:t>
      </w:r>
      <w:r w:rsidRPr="00105B7C">
        <w:rPr>
          <w:b/>
          <w:sz w:val="24"/>
          <w:szCs w:val="24"/>
        </w:rPr>
        <w:t>2022</w:t>
      </w:r>
    </w:p>
    <w:p w14:paraId="3B959630" w14:textId="21064885" w:rsidR="009B150A" w:rsidRDefault="009B150A" w:rsidP="009B150A">
      <w:pPr>
        <w:spacing w:after="360"/>
        <w:rPr>
          <w:caps/>
          <w:sz w:val="24"/>
        </w:rPr>
      </w:pPr>
      <w:bookmarkStart w:id="4" w:name="TitleOfDoc"/>
      <w:r>
        <w:rPr>
          <w:caps/>
          <w:sz w:val="24"/>
        </w:rPr>
        <w:t>Rapports sur l’état d’avancement des projets en cours relevant du Plan d’action pour le développement</w:t>
      </w:r>
    </w:p>
    <w:p w14:paraId="3BB494F8" w14:textId="6F9B804A" w:rsidR="009B150A" w:rsidRPr="00842A13" w:rsidRDefault="009B150A" w:rsidP="009B150A">
      <w:pPr>
        <w:spacing w:after="960"/>
      </w:pPr>
      <w:bookmarkStart w:id="5" w:name="Prepared"/>
      <w:bookmarkEnd w:id="4"/>
      <w:r>
        <w:t>Document établi par le Secrétariat</w:t>
      </w:r>
    </w:p>
    <w:bookmarkEnd w:id="5"/>
    <w:p w14:paraId="26C6792D" w14:textId="716880F0" w:rsidR="009B150A" w:rsidRPr="000D70C2" w:rsidRDefault="00486F67" w:rsidP="00F70660">
      <w:pPr>
        <w:spacing w:after="220"/>
        <w:rPr>
          <w:rStyle w:val="ONUMFSChar"/>
        </w:rPr>
      </w:pPr>
      <w:r>
        <w:fldChar w:fldCharType="begin"/>
      </w:r>
      <w:r>
        <w:instrText xml:space="preserve"> AUTONUM  </w:instrText>
      </w:r>
      <w:r>
        <w:fldChar w:fldCharType="end"/>
      </w:r>
      <w:r>
        <w:tab/>
      </w:r>
      <w:r w:rsidRPr="000D70C2">
        <w:rPr>
          <w:rStyle w:val="ONUMFSChar"/>
        </w:rPr>
        <w:t>Les annexes du présent document contiennent une compilation des rapports sur l</w:t>
      </w:r>
      <w:r w:rsidR="009B150A" w:rsidRPr="000D70C2">
        <w:rPr>
          <w:rStyle w:val="ONUMFSChar"/>
        </w:rPr>
        <w:t>’</w:t>
      </w:r>
      <w:r w:rsidRPr="000D70C2">
        <w:rPr>
          <w:rStyle w:val="ONUMFSChar"/>
        </w:rPr>
        <w:t>état d</w:t>
      </w:r>
      <w:r w:rsidR="009B150A" w:rsidRPr="000D70C2">
        <w:rPr>
          <w:rStyle w:val="ONUMFSChar"/>
        </w:rPr>
        <w:t>’</w:t>
      </w:r>
      <w:r w:rsidRPr="000D70C2">
        <w:rPr>
          <w:rStyle w:val="ONUMFSChar"/>
        </w:rPr>
        <w:t>avancement de la mise en œuvre des projets en cours relevant du Plan d</w:t>
      </w:r>
      <w:r w:rsidR="009B150A" w:rsidRPr="000D70C2">
        <w:rPr>
          <w:rStyle w:val="ONUMFSChar"/>
        </w:rPr>
        <w:t>’</w:t>
      </w:r>
      <w:r w:rsidRPr="000D70C2">
        <w:rPr>
          <w:rStyle w:val="ONUMFSChar"/>
        </w:rPr>
        <w:t xml:space="preserve">action pour le développement, </w:t>
      </w:r>
      <w:r w:rsidR="009B150A" w:rsidRPr="000D70C2">
        <w:rPr>
          <w:rStyle w:val="ONUMFSChar"/>
        </w:rPr>
        <w:t>à savoir :</w:t>
      </w:r>
    </w:p>
    <w:p w14:paraId="5F530C4F" w14:textId="39A21F63" w:rsidR="00F70660" w:rsidRDefault="00111FE8" w:rsidP="00F70660">
      <w:pPr>
        <w:pStyle w:val="ListParagraph"/>
        <w:numPr>
          <w:ilvl w:val="0"/>
          <w:numId w:val="12"/>
        </w:numPr>
        <w:tabs>
          <w:tab w:val="left" w:pos="1701"/>
        </w:tabs>
        <w:spacing w:after="220"/>
        <w:ind w:left="1134" w:firstLine="0"/>
        <w:contextualSpacing w:val="0"/>
      </w:pPr>
      <w:hyperlink r:id="rId9" w:history="1">
        <w:r w:rsidR="003F2F26">
          <w:rPr>
            <w:rStyle w:val="Hyperlink"/>
          </w:rPr>
          <w:t>Droit d</w:t>
        </w:r>
        <w:r w:rsidR="009B150A">
          <w:rPr>
            <w:rStyle w:val="Hyperlink"/>
          </w:rPr>
          <w:t>’</w:t>
        </w:r>
        <w:r w:rsidR="003F2F26">
          <w:rPr>
            <w:rStyle w:val="Hyperlink"/>
          </w:rPr>
          <w:t>auteur et distribution de contenu dans l</w:t>
        </w:r>
        <w:r w:rsidR="009B150A">
          <w:rPr>
            <w:rStyle w:val="Hyperlink"/>
          </w:rPr>
          <w:t>’</w:t>
        </w:r>
        <w:r w:rsidR="003F2F26">
          <w:rPr>
            <w:rStyle w:val="Hyperlink"/>
          </w:rPr>
          <w:t>environnement numérique</w:t>
        </w:r>
      </w:hyperlink>
      <w:r w:rsidR="003F2F26">
        <w:t xml:space="preserve"> (Annexe I);</w:t>
      </w:r>
      <w:r w:rsidR="00F70660">
        <w:t xml:space="preserve"> </w:t>
      </w:r>
    </w:p>
    <w:p w14:paraId="3D8B4ACA" w14:textId="1B9AECD0" w:rsidR="00F70660" w:rsidRDefault="00111FE8" w:rsidP="00F70660">
      <w:pPr>
        <w:pStyle w:val="ListParagraph"/>
        <w:numPr>
          <w:ilvl w:val="0"/>
          <w:numId w:val="12"/>
        </w:numPr>
        <w:tabs>
          <w:tab w:val="left" w:pos="1701"/>
          <w:tab w:val="left" w:pos="1843"/>
        </w:tabs>
        <w:spacing w:after="220"/>
        <w:ind w:left="1134" w:firstLine="0"/>
        <w:contextualSpacing w:val="0"/>
      </w:pPr>
      <w:hyperlink r:id="rId10" w:history="1">
        <w:r w:rsidR="00923D43">
          <w:rPr>
            <w:rStyle w:val="Hyperlink"/>
          </w:rPr>
          <w:t>Enregistrement des marques collectives des entreprises locales en tant qu</w:t>
        </w:r>
        <w:r w:rsidR="009B150A">
          <w:rPr>
            <w:rStyle w:val="Hyperlink"/>
          </w:rPr>
          <w:t>’</w:t>
        </w:r>
        <w:r w:rsidR="00923D43">
          <w:rPr>
            <w:rStyle w:val="Hyperlink"/>
          </w:rPr>
          <w:t>axe transversal du développement économique</w:t>
        </w:r>
      </w:hyperlink>
      <w:r w:rsidR="00923D43">
        <w:t xml:space="preserve"> (Annexe II);</w:t>
      </w:r>
      <w:r w:rsidR="00F70660">
        <w:t xml:space="preserve"> </w:t>
      </w:r>
    </w:p>
    <w:p w14:paraId="3FEE0725" w14:textId="217BA4DB" w:rsidR="00F70660" w:rsidRDefault="00111FE8" w:rsidP="00F70660">
      <w:pPr>
        <w:pStyle w:val="ListParagraph"/>
        <w:numPr>
          <w:ilvl w:val="0"/>
          <w:numId w:val="12"/>
        </w:numPr>
        <w:tabs>
          <w:tab w:val="left" w:pos="1701"/>
          <w:tab w:val="left" w:pos="1843"/>
        </w:tabs>
        <w:spacing w:after="220"/>
        <w:ind w:left="1134" w:firstLine="0"/>
        <w:contextualSpacing w:val="0"/>
      </w:pPr>
      <w:hyperlink r:id="rId11" w:history="1">
        <w:r w:rsidR="003F2F26">
          <w:rPr>
            <w:rStyle w:val="Hyperlink"/>
          </w:rPr>
          <w:t>Renforcer le rôle des femmes dans l</w:t>
        </w:r>
        <w:r w:rsidR="009B150A">
          <w:rPr>
            <w:rStyle w:val="Hyperlink"/>
          </w:rPr>
          <w:t>’</w:t>
        </w:r>
        <w:r w:rsidR="003F2F26">
          <w:rPr>
            <w:rStyle w:val="Hyperlink"/>
          </w:rPr>
          <w:t>innovation et l</w:t>
        </w:r>
        <w:r w:rsidR="009B150A">
          <w:rPr>
            <w:rStyle w:val="Hyperlink"/>
          </w:rPr>
          <w:t>’</w:t>
        </w:r>
        <w:r w:rsidR="003F2F26">
          <w:rPr>
            <w:rStyle w:val="Hyperlink"/>
          </w:rPr>
          <w:t>entrepreneuriat</w:t>
        </w:r>
        <w:r w:rsidR="00A65F61">
          <w:rPr>
            <w:rStyle w:val="Hyperlink"/>
          </w:rPr>
          <w:t> </w:t>
        </w:r>
        <w:r w:rsidR="00C17142">
          <w:rPr>
            <w:rStyle w:val="Hyperlink"/>
          </w:rPr>
          <w:t>:</w:t>
        </w:r>
        <w:r w:rsidR="003F2F26">
          <w:rPr>
            <w:rStyle w:val="Hyperlink"/>
          </w:rPr>
          <w:t xml:space="preserve"> encourager les femmes des pays en développement à utiliser le système de la propriété intellectuelle</w:t>
        </w:r>
      </w:hyperlink>
      <w:r w:rsidR="00D117A8">
        <w:t xml:space="preserve"> (Annexe III);</w:t>
      </w:r>
      <w:r w:rsidR="00F70660">
        <w:t xml:space="preserve"> </w:t>
      </w:r>
    </w:p>
    <w:p w14:paraId="50E9F64E" w14:textId="6C2D1D33" w:rsidR="00F70660" w:rsidRDefault="00111FE8" w:rsidP="00F70660">
      <w:pPr>
        <w:pStyle w:val="ListParagraph"/>
        <w:numPr>
          <w:ilvl w:val="0"/>
          <w:numId w:val="12"/>
        </w:numPr>
        <w:tabs>
          <w:tab w:val="left" w:pos="1701"/>
          <w:tab w:val="left" w:pos="1843"/>
        </w:tabs>
        <w:spacing w:after="220"/>
        <w:ind w:left="1134" w:firstLine="0"/>
        <w:contextualSpacing w:val="0"/>
      </w:pPr>
      <w:hyperlink r:id="rId12" w:history="1">
        <w:hyperlink r:id="rId13" w:history="1">
          <w:r w:rsidR="003F2F26">
            <w:rPr>
              <w:rStyle w:val="Hyperlink"/>
            </w:rPr>
            <w:t>Propriété intellectuelle et tourisme gastronomique au Pérou et dans d</w:t>
          </w:r>
          <w:r w:rsidR="009B150A">
            <w:rPr>
              <w:rStyle w:val="Hyperlink"/>
            </w:rPr>
            <w:t>’</w:t>
          </w:r>
          <w:r w:rsidR="003F2F26">
            <w:rPr>
              <w:rStyle w:val="Hyperlink"/>
            </w:rPr>
            <w:t>autres pays en développement</w:t>
          </w:r>
        </w:hyperlink>
      </w:hyperlink>
      <w:hyperlink r:id="rId14" w:history="1">
        <w:hyperlink r:id="rId15" w:history="1">
          <w:r w:rsidR="003F2F26">
            <w:rPr>
              <w:rStyle w:val="Hyperlink"/>
            </w:rPr>
            <w:t>Promouvoir le développement du tourisme gastronomique au moyen de la propriété intellectuelle</w:t>
          </w:r>
        </w:hyperlink>
      </w:hyperlink>
      <w:r w:rsidR="003F2F26">
        <w:t xml:space="preserve"> (Annexe IV)</w:t>
      </w:r>
      <w:r w:rsidR="00D117A8">
        <w:t>;</w:t>
      </w:r>
      <w:r w:rsidR="00F70660">
        <w:t xml:space="preserve"> </w:t>
      </w:r>
    </w:p>
    <w:p w14:paraId="16A00990" w14:textId="19C61203" w:rsidR="00DA287F" w:rsidRPr="000A4281" w:rsidRDefault="00111FE8" w:rsidP="00F70660">
      <w:pPr>
        <w:pStyle w:val="ListParagraph"/>
        <w:numPr>
          <w:ilvl w:val="0"/>
          <w:numId w:val="12"/>
        </w:numPr>
        <w:tabs>
          <w:tab w:val="left" w:pos="1701"/>
          <w:tab w:val="left" w:pos="1843"/>
        </w:tabs>
        <w:spacing w:after="220"/>
        <w:ind w:left="1134" w:firstLine="0"/>
        <w:contextualSpacing w:val="0"/>
      </w:pPr>
      <w:hyperlink r:id="rId16" w:history="1">
        <w:r w:rsidR="003F2F26">
          <w:rPr>
            <w:rStyle w:val="Hyperlink"/>
          </w:rPr>
          <w:t>Recenser et utiliser les inventions tombées dans le domaine public</w:t>
        </w:r>
      </w:hyperlink>
      <w:r w:rsidR="003F2F26">
        <w:t xml:space="preserve"> (Annexe V);</w:t>
      </w:r>
    </w:p>
    <w:p w14:paraId="2E74F30E" w14:textId="5EADAE51" w:rsidR="008E1E42" w:rsidRPr="000A4281" w:rsidRDefault="00111FE8" w:rsidP="00F70660">
      <w:pPr>
        <w:pStyle w:val="ListParagraph"/>
        <w:numPr>
          <w:ilvl w:val="0"/>
          <w:numId w:val="12"/>
        </w:numPr>
        <w:tabs>
          <w:tab w:val="left" w:pos="1701"/>
          <w:tab w:val="left" w:pos="1843"/>
        </w:tabs>
        <w:spacing w:after="220"/>
        <w:ind w:left="1134" w:firstLine="0"/>
        <w:contextualSpacing w:val="0"/>
      </w:pPr>
      <w:hyperlink r:id="rId17" w:history="1">
        <w:r w:rsidR="003F2F26">
          <w:rPr>
            <w:rStyle w:val="Hyperlink"/>
          </w:rPr>
          <w:t>Développement de la filière musicale et des nouveaux modèles économiques de la musique au Burkina Faso et dans certains pays de la zone de l</w:t>
        </w:r>
        <w:r w:rsidR="009B150A">
          <w:rPr>
            <w:rStyle w:val="Hyperlink"/>
          </w:rPr>
          <w:t>’</w:t>
        </w:r>
        <w:r w:rsidR="003F2F26">
          <w:rPr>
            <w:rStyle w:val="Hyperlink"/>
          </w:rPr>
          <w:t>Union économique et monétaire ouest</w:t>
        </w:r>
        <w:r w:rsidR="00D117A8">
          <w:rPr>
            <w:rStyle w:val="Hyperlink"/>
          </w:rPr>
          <w:noBreakHyphen/>
        </w:r>
        <w:r w:rsidR="003F2F26">
          <w:rPr>
            <w:rStyle w:val="Hyperlink"/>
          </w:rPr>
          <w:t>africaine (UEMOA)</w:t>
        </w:r>
      </w:hyperlink>
      <w:r w:rsidR="003F2F26">
        <w:t xml:space="preserve"> (Annexe VI);</w:t>
      </w:r>
    </w:p>
    <w:p w14:paraId="45B2CB8C" w14:textId="4805403A" w:rsidR="008E1E42" w:rsidRPr="000A4281" w:rsidRDefault="00111FE8" w:rsidP="00F70660">
      <w:pPr>
        <w:pStyle w:val="ListParagraph"/>
        <w:numPr>
          <w:ilvl w:val="0"/>
          <w:numId w:val="12"/>
        </w:numPr>
        <w:tabs>
          <w:tab w:val="left" w:pos="1701"/>
          <w:tab w:val="left" w:pos="1843"/>
        </w:tabs>
        <w:spacing w:after="220"/>
        <w:ind w:left="1134" w:firstLine="0"/>
        <w:contextualSpacing w:val="0"/>
      </w:pPr>
      <w:hyperlink r:id="rId18" w:history="1">
        <w:r w:rsidR="003F2F26">
          <w:rPr>
            <w:rStyle w:val="Hyperlink"/>
          </w:rPr>
          <w:t>Promotion de l</w:t>
        </w:r>
        <w:r w:rsidR="009B150A">
          <w:rPr>
            <w:rStyle w:val="Hyperlink"/>
          </w:rPr>
          <w:t>’</w:t>
        </w:r>
        <w:r w:rsidR="003F2F26">
          <w:rPr>
            <w:rStyle w:val="Hyperlink"/>
          </w:rPr>
          <w:t>utilisation de la propriété intellectuelle dans les industries de la création des pays en développement à l</w:t>
        </w:r>
        <w:r w:rsidR="009B150A">
          <w:rPr>
            <w:rStyle w:val="Hyperlink"/>
          </w:rPr>
          <w:t>’</w:t>
        </w:r>
        <w:r w:rsidR="003F2F26">
          <w:rPr>
            <w:rStyle w:val="Hyperlink"/>
          </w:rPr>
          <w:t>ère du numérique</w:t>
        </w:r>
      </w:hyperlink>
      <w:r w:rsidR="003F2F26">
        <w:t xml:space="preserve"> (Annexe VII);</w:t>
      </w:r>
    </w:p>
    <w:p w14:paraId="280DA404" w14:textId="0C7DD301" w:rsidR="00DA287F" w:rsidRPr="000A4281" w:rsidRDefault="00111FE8" w:rsidP="00F70660">
      <w:pPr>
        <w:pStyle w:val="ListParagraph"/>
        <w:numPr>
          <w:ilvl w:val="0"/>
          <w:numId w:val="12"/>
        </w:numPr>
        <w:tabs>
          <w:tab w:val="left" w:pos="1701"/>
          <w:tab w:val="left" w:pos="1843"/>
        </w:tabs>
        <w:spacing w:after="220"/>
        <w:ind w:left="1134" w:firstLine="0"/>
        <w:contextualSpacing w:val="0"/>
      </w:pPr>
      <w:hyperlink r:id="rId19" w:history="1">
        <w:r w:rsidR="003F2F26">
          <w:rPr>
            <w:rStyle w:val="Hyperlink"/>
          </w:rPr>
          <w:t>Systématisation des données statistiques et conception et mise en œuvre d</w:t>
        </w:r>
        <w:r w:rsidR="009B150A">
          <w:rPr>
            <w:rStyle w:val="Hyperlink"/>
          </w:rPr>
          <w:t>’</w:t>
        </w:r>
        <w:r w:rsidR="003F2F26">
          <w:rPr>
            <w:rStyle w:val="Hyperlink"/>
          </w:rPr>
          <w:t>une méthode pour l</w:t>
        </w:r>
        <w:r w:rsidR="009B150A">
          <w:rPr>
            <w:rStyle w:val="Hyperlink"/>
          </w:rPr>
          <w:t>’</w:t>
        </w:r>
        <w:r w:rsidR="003F2F26">
          <w:rPr>
            <w:rStyle w:val="Hyperlink"/>
          </w:rPr>
          <w:t>élaboration d</w:t>
        </w:r>
        <w:r w:rsidR="009B150A">
          <w:rPr>
            <w:rStyle w:val="Hyperlink"/>
          </w:rPr>
          <w:t>’</w:t>
        </w:r>
        <w:r w:rsidR="003F2F26">
          <w:rPr>
            <w:rStyle w:val="Hyperlink"/>
          </w:rPr>
          <w:t>évaluations d</w:t>
        </w:r>
        <w:r w:rsidR="009B150A">
          <w:rPr>
            <w:rStyle w:val="Hyperlink"/>
          </w:rPr>
          <w:t>’</w:t>
        </w:r>
        <w:r w:rsidR="003F2F26">
          <w:rPr>
            <w:rStyle w:val="Hyperlink"/>
          </w:rPr>
          <w:t>incidence sur l</w:t>
        </w:r>
        <w:r w:rsidR="009B150A">
          <w:rPr>
            <w:rStyle w:val="Hyperlink"/>
          </w:rPr>
          <w:t>’</w:t>
        </w:r>
        <w:r w:rsidR="003F2F26">
          <w:rPr>
            <w:rStyle w:val="Hyperlink"/>
          </w:rPr>
          <w:t>utilisation du système de la propriété intellectuelle</w:t>
        </w:r>
      </w:hyperlink>
      <w:r w:rsidR="003F2F26">
        <w:t xml:space="preserve"> (Annexe VIII);</w:t>
      </w:r>
    </w:p>
    <w:p w14:paraId="18A48ADB" w14:textId="79F28F01" w:rsidR="009B150A" w:rsidRDefault="00111FE8" w:rsidP="00F70660">
      <w:pPr>
        <w:pStyle w:val="ListParagraph"/>
        <w:numPr>
          <w:ilvl w:val="0"/>
          <w:numId w:val="12"/>
        </w:numPr>
        <w:tabs>
          <w:tab w:val="left" w:pos="1701"/>
          <w:tab w:val="left" w:pos="1843"/>
        </w:tabs>
        <w:spacing w:after="220"/>
        <w:ind w:left="1134" w:firstLine="0"/>
        <w:contextualSpacing w:val="0"/>
      </w:pPr>
      <w:hyperlink r:id="rId20" w:history="1">
        <w:r w:rsidR="003F2F26">
          <w:rPr>
            <w:rStyle w:val="Hyperlink"/>
          </w:rPr>
          <w:t>Donner les moyens aux petites entreprises de se développer grâce à la propriété intellectuelle</w:t>
        </w:r>
        <w:r w:rsidR="00A65F61">
          <w:rPr>
            <w:rStyle w:val="Hyperlink"/>
          </w:rPr>
          <w:t> </w:t>
        </w:r>
        <w:r w:rsidR="00C17142">
          <w:rPr>
            <w:rStyle w:val="Hyperlink"/>
          </w:rPr>
          <w:t>:</w:t>
        </w:r>
      </w:hyperlink>
      <w:hyperlink r:id="rId21" w:history="1">
        <w:r w:rsidR="00A65F61">
          <w:t xml:space="preserve"> </w:t>
        </w:r>
        <w:r w:rsidR="003F2F26">
          <w:rPr>
            <w:rStyle w:val="Hyperlink"/>
          </w:rPr>
          <w:t>élaborer des stratégies en faveur des indications géographiques ou des marques collectives après l</w:t>
        </w:r>
        <w:r w:rsidR="009B150A">
          <w:rPr>
            <w:rStyle w:val="Hyperlink"/>
          </w:rPr>
          <w:t>’</w:t>
        </w:r>
        <w:r w:rsidR="003F2F26">
          <w:rPr>
            <w:rStyle w:val="Hyperlink"/>
          </w:rPr>
          <w:t>enregistrement</w:t>
        </w:r>
      </w:hyperlink>
      <w:r w:rsidR="003F2F26">
        <w:t xml:space="preserve"> (Annexe IX).</w:t>
      </w:r>
    </w:p>
    <w:p w14:paraId="71345C41" w14:textId="6965100C" w:rsidR="00F70660" w:rsidRPr="00F70660" w:rsidRDefault="00486F67" w:rsidP="00F70660">
      <w:pPr>
        <w:spacing w:after="220"/>
        <w:rPr>
          <w:rStyle w:val="ONUMFSChar"/>
        </w:rPr>
      </w:pPr>
      <w:r w:rsidRPr="007765BF">
        <w:fldChar w:fldCharType="begin"/>
      </w:r>
      <w:r w:rsidRPr="007765BF">
        <w:instrText xml:space="preserve"> AUTONUM  </w:instrText>
      </w:r>
      <w:r w:rsidRPr="007765BF">
        <w:fldChar w:fldCharType="end"/>
      </w:r>
      <w:r>
        <w:tab/>
      </w:r>
      <w:r w:rsidRPr="00F70660">
        <w:rPr>
          <w:rStyle w:val="ONUMFSChar"/>
        </w:rPr>
        <w:t>Les rapports susmentionnés sont structurés suivant les formulaires d</w:t>
      </w:r>
      <w:r w:rsidR="009B150A" w:rsidRPr="00F70660">
        <w:rPr>
          <w:rStyle w:val="ONUMFSChar"/>
        </w:rPr>
        <w:t>’</w:t>
      </w:r>
      <w:r w:rsidRPr="00F70660">
        <w:rPr>
          <w:rStyle w:val="ONUMFSChar"/>
        </w:rPr>
        <w:t>établissement de rapports actualisés à la suite de la mise en œuvre du projet du Plan d</w:t>
      </w:r>
      <w:r w:rsidR="009B150A" w:rsidRPr="00F70660">
        <w:rPr>
          <w:rStyle w:val="ONUMFSChar"/>
        </w:rPr>
        <w:t>’</w:t>
      </w:r>
      <w:r w:rsidRPr="00F70660">
        <w:rPr>
          <w:rStyle w:val="ONUMFSChar"/>
        </w:rPr>
        <w:t>action pour le développement concernant les</w:t>
      </w:r>
      <w:r w:rsidR="00A65F61" w:rsidRPr="00F70660">
        <w:rPr>
          <w:rStyle w:val="ONUMFSChar"/>
        </w:rPr>
        <w:t xml:space="preserve"> </w:t>
      </w:r>
      <w:hyperlink r:id="rId22" w:history="1">
        <w:r w:rsidRPr="00F70660">
          <w:rPr>
            <w:rStyle w:val="Hyperlink"/>
          </w:rPr>
          <w:t>instruments permettant d</w:t>
        </w:r>
        <w:r w:rsidR="009B150A" w:rsidRPr="00F70660">
          <w:rPr>
            <w:rStyle w:val="Hyperlink"/>
          </w:rPr>
          <w:t>’</w:t>
        </w:r>
        <w:r w:rsidRPr="00F70660">
          <w:rPr>
            <w:rStyle w:val="Hyperlink"/>
          </w:rPr>
          <w:t>élaborer des propositions de projet efficaces au titre du Plan d</w:t>
        </w:r>
        <w:r w:rsidR="009B150A" w:rsidRPr="00F70660">
          <w:rPr>
            <w:rStyle w:val="Hyperlink"/>
          </w:rPr>
          <w:t>’</w:t>
        </w:r>
        <w:r w:rsidRPr="00F70660">
          <w:rPr>
            <w:rStyle w:val="Hyperlink"/>
          </w:rPr>
          <w:t>action pour le développement</w:t>
        </w:r>
      </w:hyperlink>
      <w:r w:rsidR="00D117A8" w:rsidRPr="00F70660">
        <w:rPr>
          <w:rStyle w:val="ONUMFSChar"/>
        </w:rPr>
        <w:t>.</w:t>
      </w:r>
    </w:p>
    <w:p w14:paraId="1560AEFF" w14:textId="77396DC0" w:rsidR="00975298" w:rsidRPr="00F70660" w:rsidRDefault="00486F67" w:rsidP="00F70660">
      <w:pPr>
        <w:pStyle w:val="ONUMFS"/>
        <w:ind w:left="5533"/>
        <w:rPr>
          <w:i/>
        </w:rPr>
      </w:pPr>
      <w:r w:rsidRPr="00F70660">
        <w:rPr>
          <w:i/>
        </w:rPr>
        <w:t>Le CDIP est invité à prendre note des informations qui figurent dans les annexes du présent document.</w:t>
      </w:r>
    </w:p>
    <w:p w14:paraId="0E3D6BE0" w14:textId="77777777" w:rsidR="00975298" w:rsidRPr="006E16C1" w:rsidRDefault="00975298" w:rsidP="00F70660">
      <w:pPr>
        <w:pStyle w:val="Endofdocument-Annex"/>
        <w:spacing w:before="720"/>
        <w:rPr>
          <w:szCs w:val="22"/>
        </w:rPr>
      </w:pPr>
      <w:r>
        <w:t>[Les annexes suivent]</w:t>
      </w:r>
    </w:p>
    <w:p w14:paraId="4AC940F2" w14:textId="77777777" w:rsidR="00F77B7E" w:rsidRPr="000A4281" w:rsidRDefault="00F77B7E" w:rsidP="001F541D">
      <w:r>
        <w:br w:type="page"/>
      </w:r>
    </w:p>
    <w:p w14:paraId="25CD6DDD" w14:textId="77777777" w:rsidR="001F541D" w:rsidRPr="000A4281" w:rsidRDefault="001F541D" w:rsidP="001F541D">
      <w:pPr>
        <w:sectPr w:rsidR="001F541D" w:rsidRPr="000A4281" w:rsidSect="009B150A">
          <w:headerReference w:type="even" r:id="rId23"/>
          <w:headerReference w:type="default" r:id="rId24"/>
          <w:footerReference w:type="even" r:id="rId25"/>
          <w:footerReference w:type="default" r:id="rId26"/>
          <w:headerReference w:type="first" r:id="rId27"/>
          <w:footerReference w:type="first" r:id="rId28"/>
          <w:type w:val="nextColumn"/>
          <w:pgSz w:w="11907" w:h="16840" w:code="9"/>
          <w:pgMar w:top="567" w:right="1134" w:bottom="1418" w:left="1418" w:header="510" w:footer="1021" w:gutter="0"/>
          <w:pgNumType w:start="1"/>
          <w:cols w:space="720"/>
          <w:titlePg/>
          <w:docGrid w:linePitch="299"/>
        </w:sectPr>
      </w:pPr>
    </w:p>
    <w:p w14:paraId="54FC8AFB" w14:textId="77777777" w:rsidR="001F541D" w:rsidRPr="000A4281" w:rsidRDefault="001F541D" w:rsidP="001F541D"/>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2407A3" w:rsidRPr="000A4281" w14:paraId="1B9933F8" w14:textId="77777777" w:rsidTr="0026000B">
        <w:trPr>
          <w:trHeight w:val="431"/>
        </w:trPr>
        <w:tc>
          <w:tcPr>
            <w:tcW w:w="9290" w:type="dxa"/>
            <w:gridSpan w:val="2"/>
          </w:tcPr>
          <w:p w14:paraId="776C94E6" w14:textId="77777777" w:rsidR="002407A3" w:rsidRPr="000A4281" w:rsidRDefault="002407A3" w:rsidP="0026000B">
            <w:pPr>
              <w:pStyle w:val="TableParagraph"/>
              <w:spacing w:before="88"/>
              <w:ind w:left="110"/>
              <w:rPr>
                <w:sz w:val="20"/>
                <w:szCs w:val="20"/>
              </w:rPr>
            </w:pPr>
            <w:r>
              <w:rPr>
                <w:sz w:val="20"/>
              </w:rPr>
              <w:t>RÉSUMÉ DU PROJET</w:t>
            </w:r>
          </w:p>
        </w:tc>
      </w:tr>
      <w:tr w:rsidR="002407A3" w:rsidRPr="000A4281" w14:paraId="0706CB32" w14:textId="77777777" w:rsidTr="000E0E0C">
        <w:trPr>
          <w:trHeight w:val="324"/>
        </w:trPr>
        <w:tc>
          <w:tcPr>
            <w:tcW w:w="2377" w:type="dxa"/>
            <w:shd w:val="clear" w:color="auto" w:fill="68E089"/>
            <w:vAlign w:val="center"/>
          </w:tcPr>
          <w:p w14:paraId="5F6B60AC" w14:textId="77777777" w:rsidR="002407A3" w:rsidRPr="00B46D4E" w:rsidRDefault="002407A3" w:rsidP="0026000B">
            <w:pPr>
              <w:pStyle w:val="TableParagraph"/>
              <w:ind w:left="110"/>
            </w:pPr>
            <w:r>
              <w:rPr>
                <w:u w:val="single"/>
              </w:rPr>
              <w:t>Code du projet</w:t>
            </w:r>
          </w:p>
        </w:tc>
        <w:tc>
          <w:tcPr>
            <w:tcW w:w="6913" w:type="dxa"/>
            <w:vAlign w:val="center"/>
          </w:tcPr>
          <w:p w14:paraId="35688D70" w14:textId="77777777" w:rsidR="002407A3" w:rsidRPr="00B46D4E" w:rsidRDefault="002407A3" w:rsidP="0026000B">
            <w:pPr>
              <w:pStyle w:val="TableParagraph"/>
              <w:ind w:left="109"/>
            </w:pPr>
            <w:r>
              <w:t>DA_1_3_4_10_11_16_25_35_01</w:t>
            </w:r>
          </w:p>
        </w:tc>
      </w:tr>
      <w:tr w:rsidR="002407A3" w:rsidRPr="000A4281" w14:paraId="4A19B109" w14:textId="77777777" w:rsidTr="00967A18">
        <w:trPr>
          <w:trHeight w:val="627"/>
        </w:trPr>
        <w:tc>
          <w:tcPr>
            <w:tcW w:w="2377" w:type="dxa"/>
            <w:shd w:val="clear" w:color="auto" w:fill="68E089"/>
            <w:vAlign w:val="center"/>
          </w:tcPr>
          <w:p w14:paraId="2AADF7E9" w14:textId="77777777" w:rsidR="002407A3" w:rsidRPr="00B46D4E" w:rsidRDefault="002407A3" w:rsidP="0026000B">
            <w:pPr>
              <w:pStyle w:val="TableParagraph"/>
              <w:spacing w:before="1"/>
              <w:ind w:left="110"/>
            </w:pPr>
            <w:r>
              <w:rPr>
                <w:u w:val="single"/>
              </w:rPr>
              <w:t>Intitulé</w:t>
            </w:r>
          </w:p>
        </w:tc>
        <w:tc>
          <w:tcPr>
            <w:tcW w:w="6913" w:type="dxa"/>
            <w:vAlign w:val="center"/>
          </w:tcPr>
          <w:p w14:paraId="3322F9C5" w14:textId="21FCAD4B" w:rsidR="002407A3" w:rsidRPr="00B46D4E" w:rsidRDefault="00111FE8" w:rsidP="0026000B">
            <w:pPr>
              <w:pStyle w:val="TableParagraph"/>
              <w:spacing w:before="1"/>
              <w:ind w:left="109"/>
              <w:rPr>
                <w:rStyle w:val="Hyperlink"/>
                <w:i/>
                <w:iCs/>
              </w:rPr>
            </w:pPr>
            <w:hyperlink r:id="rId29" w:history="1">
              <w:r w:rsidR="003F2F26">
                <w:rPr>
                  <w:rStyle w:val="Hyperlink"/>
                  <w:i/>
                </w:rPr>
                <w:t>Droit d</w:t>
              </w:r>
              <w:r w:rsidR="009B150A">
                <w:rPr>
                  <w:rStyle w:val="Hyperlink"/>
                  <w:i/>
                </w:rPr>
                <w:t>’</w:t>
              </w:r>
              <w:r w:rsidR="003F2F26">
                <w:rPr>
                  <w:rStyle w:val="Hyperlink"/>
                  <w:i/>
                </w:rPr>
                <w:t>auteur et distribution de contenu dans l</w:t>
              </w:r>
              <w:r w:rsidR="009B150A">
                <w:rPr>
                  <w:rStyle w:val="Hyperlink"/>
                  <w:i/>
                </w:rPr>
                <w:t>’</w:t>
              </w:r>
              <w:r w:rsidR="003F2F26">
                <w:rPr>
                  <w:rStyle w:val="Hyperlink"/>
                  <w:i/>
                </w:rPr>
                <w:t>environnement numérique</w:t>
              </w:r>
            </w:hyperlink>
          </w:p>
          <w:p w14:paraId="6F0C68B4" w14:textId="70316CAC" w:rsidR="008B7F76" w:rsidRPr="00B46D4E" w:rsidRDefault="008B7F76" w:rsidP="0026000B">
            <w:pPr>
              <w:pStyle w:val="TableParagraph"/>
              <w:spacing w:before="1"/>
              <w:ind w:left="109"/>
              <w:rPr>
                <w:b/>
                <w:bCs/>
                <w:i/>
                <w:iCs/>
              </w:rPr>
            </w:pPr>
          </w:p>
        </w:tc>
      </w:tr>
      <w:tr w:rsidR="002407A3" w:rsidRPr="000A4281" w14:paraId="0D376661" w14:textId="77777777" w:rsidTr="000E0E0C">
        <w:trPr>
          <w:trHeight w:val="531"/>
        </w:trPr>
        <w:tc>
          <w:tcPr>
            <w:tcW w:w="2377" w:type="dxa"/>
            <w:shd w:val="clear" w:color="auto" w:fill="68E089"/>
            <w:vAlign w:val="center"/>
          </w:tcPr>
          <w:p w14:paraId="56A9729F" w14:textId="7590CAFE" w:rsidR="002407A3" w:rsidRPr="00B46D4E" w:rsidRDefault="00111FE8" w:rsidP="00984BAB">
            <w:pPr>
              <w:pStyle w:val="TableParagraph"/>
              <w:ind w:left="110" w:right="121"/>
            </w:pPr>
            <w:hyperlink r:id="rId30" w:history="1">
              <w:r w:rsidR="003F2F26">
                <w:rPr>
                  <w:rStyle w:val="Hyperlink"/>
                </w:rPr>
                <w:t>Recommandations du Plan d</w:t>
              </w:r>
              <w:r w:rsidR="009B150A">
                <w:rPr>
                  <w:rStyle w:val="Hyperlink"/>
                </w:rPr>
                <w:t>’</w:t>
              </w:r>
              <w:r w:rsidR="003F2F26">
                <w:rPr>
                  <w:rStyle w:val="Hyperlink"/>
                </w:rPr>
                <w:t>action pour le développement</w:t>
              </w:r>
            </w:hyperlink>
          </w:p>
        </w:tc>
        <w:tc>
          <w:tcPr>
            <w:tcW w:w="6913" w:type="dxa"/>
            <w:vAlign w:val="center"/>
          </w:tcPr>
          <w:p w14:paraId="1E10DEDA" w14:textId="25BDAE41" w:rsidR="009B150A" w:rsidRDefault="002407A3" w:rsidP="005454E4">
            <w:pPr>
              <w:pStyle w:val="TableParagraph"/>
              <w:ind w:left="109" w:right="880"/>
            </w:pPr>
            <w:r>
              <w:t>Programmes</w:t>
            </w:r>
            <w:r w:rsidR="00A65F61">
              <w:t> </w:t>
            </w:r>
            <w:r>
              <w:t>1, 3, 4, 10, 16, 25 et 35.</w:t>
            </w:r>
          </w:p>
          <w:p w14:paraId="0990A5DB" w14:textId="2C88FAF9" w:rsidR="00BC3089" w:rsidRPr="005454E4" w:rsidRDefault="00BC3089" w:rsidP="00BC3089">
            <w:pPr>
              <w:pStyle w:val="TableParagraph"/>
              <w:ind w:right="880"/>
              <w:rPr>
                <w:iCs/>
              </w:rPr>
            </w:pPr>
          </w:p>
        </w:tc>
      </w:tr>
      <w:tr w:rsidR="002407A3" w:rsidRPr="000A4281" w14:paraId="08E6BEAA" w14:textId="77777777" w:rsidTr="00984BAB">
        <w:trPr>
          <w:trHeight w:val="528"/>
        </w:trPr>
        <w:tc>
          <w:tcPr>
            <w:tcW w:w="2377" w:type="dxa"/>
            <w:shd w:val="clear" w:color="auto" w:fill="68E089"/>
            <w:vAlign w:val="center"/>
          </w:tcPr>
          <w:p w14:paraId="215F43F9" w14:textId="77777777" w:rsidR="002407A3" w:rsidRPr="00B46D4E" w:rsidRDefault="002407A3" w:rsidP="0026000B">
            <w:pPr>
              <w:pStyle w:val="TableParagraph"/>
              <w:ind w:left="110"/>
            </w:pPr>
            <w:r>
              <w:rPr>
                <w:u w:val="single"/>
              </w:rPr>
              <w:t>Budget du projet</w:t>
            </w:r>
          </w:p>
        </w:tc>
        <w:tc>
          <w:tcPr>
            <w:tcW w:w="6913" w:type="dxa"/>
            <w:vAlign w:val="center"/>
          </w:tcPr>
          <w:p w14:paraId="3C04380A" w14:textId="026F44EC" w:rsidR="002407A3" w:rsidRPr="00B46D4E" w:rsidRDefault="00254944" w:rsidP="000A4281">
            <w:pPr>
              <w:pStyle w:val="TableParagraph"/>
              <w:ind w:left="109" w:right="720"/>
            </w:pPr>
            <w:r>
              <w:t>Budget total du projet</w:t>
            </w:r>
            <w:r w:rsidR="009B150A">
              <w:t> :</w:t>
            </w:r>
            <w:r>
              <w:t xml:space="preserve"> 556 00</w:t>
            </w:r>
            <w:r w:rsidR="009B150A">
              <w:t>0 franc</w:t>
            </w:r>
            <w:r>
              <w:t>s suisses, dont</w:t>
            </w:r>
            <w:r w:rsidR="009B150A">
              <w:t> :</w:t>
            </w:r>
            <w:r>
              <w:t xml:space="preserve"> 385 00</w:t>
            </w:r>
            <w:r w:rsidR="009B150A">
              <w:t>0 franc</w:t>
            </w:r>
            <w:r>
              <w:t>s suisses pour les dépenses autres que les dépenses de personnel et 171 00</w:t>
            </w:r>
            <w:r w:rsidR="009B150A">
              <w:t>0 franc</w:t>
            </w:r>
            <w:r>
              <w:t xml:space="preserve">s suisses pour les dépenses de personnel.  </w:t>
            </w:r>
          </w:p>
        </w:tc>
      </w:tr>
      <w:tr w:rsidR="002407A3" w:rsidRPr="000A4281" w14:paraId="74875EA6" w14:textId="77777777" w:rsidTr="000E0E0C">
        <w:trPr>
          <w:trHeight w:val="531"/>
        </w:trPr>
        <w:tc>
          <w:tcPr>
            <w:tcW w:w="2377" w:type="dxa"/>
            <w:shd w:val="clear" w:color="auto" w:fill="68E089"/>
            <w:vAlign w:val="center"/>
          </w:tcPr>
          <w:p w14:paraId="172D29DF" w14:textId="77777777" w:rsidR="002407A3" w:rsidRPr="00B46D4E" w:rsidRDefault="002407A3" w:rsidP="0026000B">
            <w:pPr>
              <w:pStyle w:val="TableParagraph"/>
              <w:spacing w:before="1"/>
              <w:ind w:left="110"/>
            </w:pPr>
            <w:r>
              <w:rPr>
                <w:u w:val="single"/>
              </w:rPr>
              <w:t>Date de début du projet</w:t>
            </w:r>
          </w:p>
        </w:tc>
        <w:tc>
          <w:tcPr>
            <w:tcW w:w="6913" w:type="dxa"/>
            <w:vAlign w:val="center"/>
          </w:tcPr>
          <w:p w14:paraId="3AAC06A3" w14:textId="77777777" w:rsidR="002407A3" w:rsidRPr="00B46D4E" w:rsidRDefault="002407A3" w:rsidP="0026000B">
            <w:pPr>
              <w:pStyle w:val="TableParagraph"/>
              <w:spacing w:before="1"/>
              <w:ind w:left="109"/>
            </w:pPr>
            <w:r>
              <w:t>Janvier 2019</w:t>
            </w:r>
          </w:p>
        </w:tc>
      </w:tr>
      <w:tr w:rsidR="002407A3" w:rsidRPr="000A4281" w14:paraId="38B0A81E" w14:textId="77777777" w:rsidTr="000E0E0C">
        <w:trPr>
          <w:trHeight w:val="531"/>
        </w:trPr>
        <w:tc>
          <w:tcPr>
            <w:tcW w:w="2377" w:type="dxa"/>
            <w:shd w:val="clear" w:color="auto" w:fill="68E089"/>
            <w:vAlign w:val="center"/>
          </w:tcPr>
          <w:p w14:paraId="0846F26E" w14:textId="77777777" w:rsidR="002407A3" w:rsidRPr="00B46D4E" w:rsidRDefault="002407A3" w:rsidP="0026000B">
            <w:pPr>
              <w:pStyle w:val="TableParagraph"/>
              <w:ind w:left="110"/>
            </w:pPr>
            <w:r>
              <w:rPr>
                <w:u w:val="single"/>
              </w:rPr>
              <w:t>Durée du projet</w:t>
            </w:r>
          </w:p>
        </w:tc>
        <w:tc>
          <w:tcPr>
            <w:tcW w:w="6913" w:type="dxa"/>
            <w:vAlign w:val="center"/>
          </w:tcPr>
          <w:p w14:paraId="24CF1DA2" w14:textId="0A0EBD20" w:rsidR="002407A3" w:rsidRPr="00B46D4E" w:rsidRDefault="002407A3" w:rsidP="0026000B">
            <w:pPr>
              <w:pStyle w:val="TableParagraph"/>
              <w:ind w:left="109"/>
            </w:pPr>
            <w:r>
              <w:t>30 mois, auxquels s</w:t>
            </w:r>
            <w:r w:rsidR="009B150A">
              <w:t>’</w:t>
            </w:r>
            <w:r>
              <w:t>ajoute une extension de 18 mois, approuvée à la vingt</w:t>
            </w:r>
            <w:r w:rsidR="00D117A8">
              <w:noBreakHyphen/>
            </w:r>
            <w:r>
              <w:t>six</w:t>
            </w:r>
            <w:r w:rsidR="009B150A">
              <w:t>ième session du CDI</w:t>
            </w:r>
            <w:r>
              <w:t xml:space="preserve">P. </w:t>
            </w:r>
            <w:r w:rsidR="00597CB2">
              <w:t xml:space="preserve"> </w:t>
            </w:r>
          </w:p>
        </w:tc>
      </w:tr>
      <w:tr w:rsidR="002407A3" w:rsidRPr="000A4281" w14:paraId="18436475" w14:textId="77777777" w:rsidTr="000E0E0C">
        <w:trPr>
          <w:trHeight w:val="801"/>
        </w:trPr>
        <w:tc>
          <w:tcPr>
            <w:tcW w:w="2377" w:type="dxa"/>
            <w:shd w:val="clear" w:color="auto" w:fill="68E089"/>
            <w:vAlign w:val="center"/>
          </w:tcPr>
          <w:p w14:paraId="4A19C624" w14:textId="5A8687FE" w:rsidR="002407A3" w:rsidRPr="00B46D4E" w:rsidRDefault="002407A3" w:rsidP="00A67641">
            <w:pPr>
              <w:pStyle w:val="TableParagraph"/>
              <w:ind w:left="110"/>
              <w:rPr>
                <w:u w:val="single"/>
              </w:rPr>
            </w:pPr>
            <w:r>
              <w:rPr>
                <w:u w:val="single"/>
              </w:rPr>
              <w:t>Principaux secteurs</w:t>
            </w:r>
            <w:r w:rsidR="00A67641">
              <w:rPr>
                <w:u w:val="single"/>
              </w:rPr>
              <w:t>/</w:t>
            </w:r>
            <w:r>
              <w:rPr>
                <w:u w:val="single"/>
              </w:rPr>
              <w:t>domaines de l</w:t>
            </w:r>
            <w:r w:rsidR="009B150A">
              <w:rPr>
                <w:u w:val="single"/>
              </w:rPr>
              <w:t>’</w:t>
            </w:r>
            <w:r>
              <w:rPr>
                <w:u w:val="single"/>
              </w:rPr>
              <w:t>OMPI concernés</w:t>
            </w:r>
          </w:p>
        </w:tc>
        <w:tc>
          <w:tcPr>
            <w:tcW w:w="6913" w:type="dxa"/>
            <w:vAlign w:val="center"/>
          </w:tcPr>
          <w:p w14:paraId="59D33FCC" w14:textId="6B159EB7" w:rsidR="00052A62" w:rsidRPr="00B46D4E" w:rsidRDefault="00DC4D13" w:rsidP="00DC4D13">
            <w:pPr>
              <w:pStyle w:val="TableParagraph"/>
              <w:ind w:left="109" w:right="531"/>
            </w:pPr>
            <w:r>
              <w:t>Secteur de mise en œuvre</w:t>
            </w:r>
            <w:r w:rsidR="009B150A">
              <w:t> :</w:t>
            </w:r>
            <w:r>
              <w:t xml:space="preserve"> Secteur du droit d</w:t>
            </w:r>
            <w:r w:rsidR="009B150A">
              <w:t>’</w:t>
            </w:r>
            <w:r>
              <w:t xml:space="preserve">auteur et des industries de la création </w:t>
            </w:r>
          </w:p>
        </w:tc>
      </w:tr>
      <w:tr w:rsidR="002407A3" w:rsidRPr="000A4281" w14:paraId="27E58146" w14:textId="77777777" w:rsidTr="000E0E0C">
        <w:trPr>
          <w:trHeight w:val="621"/>
        </w:trPr>
        <w:tc>
          <w:tcPr>
            <w:tcW w:w="2377" w:type="dxa"/>
            <w:shd w:val="clear" w:color="auto" w:fill="68E089"/>
            <w:vAlign w:val="center"/>
          </w:tcPr>
          <w:p w14:paraId="6C718CD5" w14:textId="77777777" w:rsidR="002407A3" w:rsidRPr="00B46D4E" w:rsidRDefault="002407A3" w:rsidP="0026000B">
            <w:pPr>
              <w:pStyle w:val="TableParagraph"/>
              <w:ind w:left="110" w:right="394"/>
            </w:pPr>
            <w:r>
              <w:rPr>
                <w:u w:val="single"/>
              </w:rPr>
              <w:t>Brève description du projet</w:t>
            </w:r>
          </w:p>
        </w:tc>
        <w:tc>
          <w:tcPr>
            <w:tcW w:w="6913" w:type="dxa"/>
            <w:vAlign w:val="center"/>
          </w:tcPr>
          <w:p w14:paraId="6A0A3183" w14:textId="17639CDD" w:rsidR="009B150A" w:rsidRDefault="002407A3" w:rsidP="0026000B">
            <w:pPr>
              <w:pStyle w:val="TableParagraph"/>
              <w:ind w:left="109"/>
            </w:pPr>
            <w:r>
              <w:t>Le projet vise à fournir des informations claires au sujet des régimes nationaux relatifs au droit d</w:t>
            </w:r>
            <w:r w:rsidR="009B150A">
              <w:t>’</w:t>
            </w:r>
            <w:r>
              <w:t>auteur et aux droits connexes applicables au contenu audiovisuel concédé sous licence et distribué dans l</w:t>
            </w:r>
            <w:r w:rsidR="009B150A">
              <w:t>’</w:t>
            </w:r>
            <w:r>
              <w:t>environnement numérique.</w:t>
            </w:r>
          </w:p>
          <w:p w14:paraId="0E02888B" w14:textId="0842141C" w:rsidR="002407A3" w:rsidRPr="00B46D4E" w:rsidRDefault="002407A3" w:rsidP="0026000B">
            <w:pPr>
              <w:pStyle w:val="TableParagraph"/>
              <w:ind w:left="109"/>
            </w:pPr>
          </w:p>
          <w:p w14:paraId="244A3CBB" w14:textId="30545B1C" w:rsidR="009B150A" w:rsidRDefault="002407A3" w:rsidP="0026000B">
            <w:pPr>
              <w:pStyle w:val="TableParagraph"/>
              <w:ind w:left="109"/>
            </w:pPr>
            <w:r>
              <w:t>En particulier, le projet sensibilisera les créateurs et les parties prenantes aux régimes nationaux existants et évaluera les questions d</w:t>
            </w:r>
            <w:r w:rsidR="009B150A">
              <w:t>’</w:t>
            </w:r>
            <w:r>
              <w:t>actualité en lien avec le droit d</w:t>
            </w:r>
            <w:r w:rsidR="009B150A">
              <w:t>’</w:t>
            </w:r>
            <w:r>
              <w:t>auteur et les droits connexes applicables au contenu audiovisuel dans l</w:t>
            </w:r>
            <w:r w:rsidR="009B150A">
              <w:t>’</w:t>
            </w:r>
            <w:r>
              <w:t>environnement numérique des pays participants</w:t>
            </w:r>
            <w:r w:rsidR="009B150A">
              <w:t> :</w:t>
            </w:r>
            <w:r>
              <w:t xml:space="preserve"> Argentine, Brésil, Costa</w:t>
            </w:r>
            <w:r w:rsidR="00597CB2">
              <w:t> </w:t>
            </w:r>
            <w:r>
              <w:t>Rica, Équateur, Pérou et Uruguay.</w:t>
            </w:r>
          </w:p>
          <w:p w14:paraId="4875821E" w14:textId="241A6966" w:rsidR="002407A3" w:rsidRPr="00B46D4E" w:rsidRDefault="002407A3" w:rsidP="0026000B">
            <w:pPr>
              <w:pStyle w:val="TableParagraph"/>
              <w:ind w:left="109"/>
            </w:pPr>
          </w:p>
          <w:p w14:paraId="3EA04252" w14:textId="622CFD64" w:rsidR="002407A3" w:rsidRPr="00B46D4E" w:rsidRDefault="002407A3" w:rsidP="0026000B">
            <w:pPr>
              <w:pStyle w:val="TableParagraph"/>
              <w:ind w:left="109"/>
            </w:pPr>
            <w:r>
              <w:t>Ce projet vise également à déterminer, en fonction de chaque cadre juridique national, le droit d</w:t>
            </w:r>
            <w:r w:rsidR="009B150A">
              <w:t>’</w:t>
            </w:r>
            <w:r>
              <w:t>auteur et les droits connexes applicables à la distribution de contenu audiovisuel dans l</w:t>
            </w:r>
            <w:r w:rsidR="009B150A">
              <w:t>’</w:t>
            </w:r>
            <w:r>
              <w:t>environnement numérique, en vue de permettre aux créateurs locaux, aux titulaires de droits et aux parties prenantes de mieux comprendre l</w:t>
            </w:r>
            <w:r w:rsidR="009B150A">
              <w:t>’</w:t>
            </w:r>
            <w:r>
              <w:t>industr</w:t>
            </w:r>
            <w:r w:rsidR="00C17142">
              <w:t>ie.  Le</w:t>
            </w:r>
            <w:r>
              <w:t xml:space="preserve"> fait d</w:t>
            </w:r>
            <w:r w:rsidR="009B150A">
              <w:t>’</w:t>
            </w:r>
            <w:r>
              <w:t>améliorer l</w:t>
            </w:r>
            <w:r w:rsidR="009B150A">
              <w:t>’</w:t>
            </w:r>
            <w:r>
              <w:t>accès des parties prenantes locales, notamment les créateurs, producteurs, plateformes numériques et responsables politiques, aux informations pertinentes sur le droit d</w:t>
            </w:r>
            <w:r w:rsidR="009B150A">
              <w:t>’</w:t>
            </w:r>
            <w:r>
              <w:t>auteur et les droits connexes pourrait contribuer au développement du marché numérique local et à l</w:t>
            </w:r>
            <w:r w:rsidR="009B150A">
              <w:t>’</w:t>
            </w:r>
            <w:r>
              <w:t>exploitation du contenu audiovisuel local.</w:t>
            </w:r>
          </w:p>
          <w:p w14:paraId="5F0D9A4E" w14:textId="2F4D2C11" w:rsidR="00BC3089" w:rsidRPr="00B46D4E" w:rsidRDefault="00BC3089" w:rsidP="00BC3089">
            <w:pPr>
              <w:pStyle w:val="TableParagraph"/>
            </w:pPr>
          </w:p>
        </w:tc>
      </w:tr>
      <w:tr w:rsidR="002407A3" w:rsidRPr="000A4281" w14:paraId="3C081E45" w14:textId="77777777" w:rsidTr="00052A62">
        <w:trPr>
          <w:trHeight w:val="583"/>
        </w:trPr>
        <w:tc>
          <w:tcPr>
            <w:tcW w:w="2377" w:type="dxa"/>
            <w:shd w:val="clear" w:color="auto" w:fill="68E089"/>
            <w:vAlign w:val="center"/>
          </w:tcPr>
          <w:p w14:paraId="2A9D133A" w14:textId="77777777" w:rsidR="002407A3" w:rsidRPr="00B46D4E" w:rsidRDefault="002407A3" w:rsidP="0026000B">
            <w:pPr>
              <w:pStyle w:val="TableParagraph"/>
              <w:spacing w:before="1"/>
              <w:ind w:left="110"/>
            </w:pPr>
            <w:r>
              <w:rPr>
                <w:u w:val="single"/>
              </w:rPr>
              <w:t>Responsable du projet</w:t>
            </w:r>
          </w:p>
        </w:tc>
        <w:tc>
          <w:tcPr>
            <w:tcW w:w="6913" w:type="dxa"/>
            <w:vAlign w:val="center"/>
          </w:tcPr>
          <w:p w14:paraId="66F765C5" w14:textId="6713DCE4" w:rsidR="002407A3" w:rsidRPr="00B46D4E" w:rsidRDefault="002407A3" w:rsidP="00E75370">
            <w:pPr>
              <w:pStyle w:val="TableParagraph"/>
              <w:ind w:left="109"/>
              <w:rPr>
                <w:iCs/>
              </w:rPr>
            </w:pPr>
            <w:r>
              <w:t>Mme</w:t>
            </w:r>
            <w:r w:rsidR="00597CB2">
              <w:t> </w:t>
            </w:r>
            <w:r>
              <w:t>Michele Woods, directrice, Division du droit d</w:t>
            </w:r>
            <w:r w:rsidR="009B150A">
              <w:t>’</w:t>
            </w:r>
            <w:r>
              <w:t>auteur, Secteur du droit d</w:t>
            </w:r>
            <w:r w:rsidR="009B150A">
              <w:t>’</w:t>
            </w:r>
            <w:r>
              <w:t xml:space="preserve">auteur et des industries de la création </w:t>
            </w:r>
          </w:p>
        </w:tc>
      </w:tr>
      <w:tr w:rsidR="002407A3" w:rsidRPr="000A4281" w14:paraId="5C1DBB47" w14:textId="77777777" w:rsidTr="000E0E0C">
        <w:trPr>
          <w:trHeight w:val="891"/>
        </w:trPr>
        <w:tc>
          <w:tcPr>
            <w:tcW w:w="2377" w:type="dxa"/>
            <w:shd w:val="clear" w:color="auto" w:fill="68E089"/>
            <w:vAlign w:val="center"/>
          </w:tcPr>
          <w:p w14:paraId="1E7DFF88" w14:textId="4EC86DAE" w:rsidR="002407A3" w:rsidRPr="00B46D4E" w:rsidRDefault="002407A3" w:rsidP="0026000B">
            <w:pPr>
              <w:pStyle w:val="TableParagraph"/>
              <w:spacing w:before="1"/>
              <w:ind w:left="110" w:right="221"/>
            </w:pPr>
            <w:r>
              <w:t xml:space="preserve">Liens avec les résultats escomptés dans le </w:t>
            </w:r>
            <w:hyperlink r:id="rId31" w:history="1">
              <w:r w:rsidR="00601EE2">
                <w:rPr>
                  <w:rStyle w:val="Hyperlink"/>
                </w:rPr>
                <w:t>p</w:t>
              </w:r>
              <w:r>
                <w:rPr>
                  <w:rStyle w:val="Hyperlink"/>
                </w:rPr>
                <w:t>rogramme de travail et budget pour l</w:t>
              </w:r>
              <w:r w:rsidR="009B150A">
                <w:rPr>
                  <w:rStyle w:val="Hyperlink"/>
                </w:rPr>
                <w:t>’</w:t>
              </w:r>
              <w:r>
                <w:rPr>
                  <w:rStyle w:val="Hyperlink"/>
                </w:rPr>
                <w:t>exercice</w:t>
              </w:r>
              <w:r w:rsidR="00A65F61">
                <w:rPr>
                  <w:rStyle w:val="Hyperlink"/>
                </w:rPr>
                <w:t> </w:t>
              </w:r>
              <w:r>
                <w:rPr>
                  <w:rStyle w:val="Hyperlink"/>
                </w:rPr>
                <w:t>2022</w:t>
              </w:r>
              <w:r w:rsidR="00D117A8">
                <w:rPr>
                  <w:rStyle w:val="Hyperlink"/>
                </w:rPr>
                <w:noBreakHyphen/>
              </w:r>
              <w:r>
                <w:rPr>
                  <w:rStyle w:val="Hyperlink"/>
                </w:rPr>
                <w:t>2023</w:t>
              </w:r>
            </w:hyperlink>
          </w:p>
        </w:tc>
        <w:tc>
          <w:tcPr>
            <w:tcW w:w="6913" w:type="dxa"/>
            <w:vAlign w:val="center"/>
          </w:tcPr>
          <w:p w14:paraId="46720115" w14:textId="6C351D9A" w:rsidR="009B150A" w:rsidRDefault="002407A3" w:rsidP="0026000B">
            <w:pPr>
              <w:pStyle w:val="TableParagraph"/>
              <w:spacing w:before="1"/>
              <w:ind w:left="109" w:right="109"/>
            </w:pPr>
            <w:r>
              <w:t>1.1 Communication et dialogue plus efficaces au niveau mondial pour faire plus largement connaître le potentiel de la propriété intellectuelle en termes d</w:t>
            </w:r>
            <w:r w:rsidR="009B150A">
              <w:t>’</w:t>
            </w:r>
            <w:r>
              <w:t>amélioration de la qualité de la vie pour tous et partout</w:t>
            </w:r>
            <w:r w:rsidR="00D117A8">
              <w:t>.</w:t>
            </w:r>
          </w:p>
          <w:p w14:paraId="1704C325" w14:textId="5E323040" w:rsidR="002407A3" w:rsidRPr="00B46D4E" w:rsidRDefault="002407A3" w:rsidP="0026000B">
            <w:pPr>
              <w:pStyle w:val="TableParagraph"/>
              <w:spacing w:before="1"/>
              <w:ind w:left="109" w:right="109"/>
            </w:pPr>
          </w:p>
          <w:p w14:paraId="2CBF2EDF" w14:textId="6DA5A6B9" w:rsidR="002407A3" w:rsidRPr="00B46D4E" w:rsidRDefault="002407A3" w:rsidP="0026000B">
            <w:pPr>
              <w:pStyle w:val="TableParagraph"/>
              <w:spacing w:before="1"/>
              <w:ind w:left="109" w:right="109"/>
            </w:pPr>
            <w:r>
              <w:t>4.1 Utilisation plus efficace de la propriété intellectuelle au service de la croissance et du développement de l</w:t>
            </w:r>
            <w:r w:rsidR="009B150A">
              <w:t>’</w:t>
            </w:r>
            <w:r>
              <w:t xml:space="preserve">ensemble des États </w:t>
            </w:r>
            <w:r>
              <w:lastRenderedPageBreak/>
              <w:t>membres et de leurs régions et sous</w:t>
            </w:r>
            <w:r w:rsidR="00D117A8">
              <w:noBreakHyphen/>
            </w:r>
            <w:r>
              <w:t>régions respectives, notamment grâce à l</w:t>
            </w:r>
            <w:r w:rsidR="009B150A">
              <w:t>’</w:t>
            </w:r>
            <w:r>
              <w:t>intégration des recommandations du Plan d</w:t>
            </w:r>
            <w:r w:rsidR="009B150A">
              <w:t>’</w:t>
            </w:r>
            <w:r>
              <w:t>action pour le développement.</w:t>
            </w:r>
          </w:p>
          <w:p w14:paraId="7FAFCC42" w14:textId="77777777" w:rsidR="00052A62" w:rsidRPr="00B46D4E" w:rsidRDefault="00052A62" w:rsidP="0026000B">
            <w:pPr>
              <w:pStyle w:val="TableParagraph"/>
              <w:spacing w:before="1"/>
              <w:ind w:left="109" w:right="109"/>
            </w:pPr>
          </w:p>
          <w:p w14:paraId="6DF7FEF9" w14:textId="61C5E35A" w:rsidR="002407A3" w:rsidRPr="00B46D4E" w:rsidRDefault="002407A3" w:rsidP="0026000B">
            <w:pPr>
              <w:pStyle w:val="TableParagraph"/>
              <w:spacing w:before="1"/>
              <w:ind w:left="109" w:right="109"/>
            </w:pPr>
            <w:r>
              <w:t>4.3 Mise en valeur des connaissances et des compétences en matière de propriété intellectuelle dans tous les États membres</w:t>
            </w:r>
          </w:p>
          <w:p w14:paraId="643EE680" w14:textId="77777777" w:rsidR="002407A3" w:rsidRPr="00B46D4E" w:rsidRDefault="002407A3" w:rsidP="0026000B">
            <w:pPr>
              <w:pStyle w:val="TableParagraph"/>
              <w:spacing w:before="1"/>
              <w:ind w:left="109" w:right="109"/>
            </w:pPr>
          </w:p>
        </w:tc>
      </w:tr>
      <w:tr w:rsidR="002407A3" w:rsidRPr="000A4281" w14:paraId="0264DB99" w14:textId="77777777" w:rsidTr="000E0E0C">
        <w:trPr>
          <w:trHeight w:val="1071"/>
        </w:trPr>
        <w:tc>
          <w:tcPr>
            <w:tcW w:w="2377" w:type="dxa"/>
            <w:shd w:val="clear" w:color="auto" w:fill="68E089"/>
            <w:vAlign w:val="center"/>
          </w:tcPr>
          <w:p w14:paraId="7BA67984" w14:textId="77777777" w:rsidR="002407A3" w:rsidRPr="00BF0679" w:rsidRDefault="002407A3" w:rsidP="00984BAB">
            <w:pPr>
              <w:pStyle w:val="TableParagraph"/>
              <w:ind w:left="109"/>
              <w:rPr>
                <w:u w:val="single"/>
              </w:rPr>
            </w:pPr>
            <w:r>
              <w:rPr>
                <w:u w:val="single"/>
              </w:rPr>
              <w:lastRenderedPageBreak/>
              <w:t>Progrès dans la mise en œuvre du projet</w:t>
            </w:r>
          </w:p>
        </w:tc>
        <w:tc>
          <w:tcPr>
            <w:tcW w:w="6913" w:type="dxa"/>
            <w:vAlign w:val="center"/>
          </w:tcPr>
          <w:p w14:paraId="0B07E240" w14:textId="3F34ED53" w:rsidR="009B150A" w:rsidRDefault="002407A3" w:rsidP="00984BAB">
            <w:pPr>
              <w:ind w:left="109"/>
            </w:pPr>
            <w:r>
              <w:t>Deux études et sept</w:t>
            </w:r>
            <w:r w:rsidR="00597CB2">
              <w:t> </w:t>
            </w:r>
            <w:r>
              <w:t xml:space="preserve">études de cas ont été mises à disposition </w:t>
            </w:r>
            <w:r w:rsidR="009B150A">
              <w:t>en 2020</w:t>
            </w:r>
            <w:r>
              <w:t xml:space="preserve"> et présentées à la vingt</w:t>
            </w:r>
            <w:r w:rsidR="00D117A8">
              <w:noBreakHyphen/>
            </w:r>
            <w:r>
              <w:t>huit</w:t>
            </w:r>
            <w:r w:rsidR="009B150A">
              <w:t>ième session du CDI</w:t>
            </w:r>
            <w:r>
              <w:t xml:space="preserve">P en </w:t>
            </w:r>
            <w:r w:rsidR="009B150A">
              <w:t>mai 20</w:t>
            </w:r>
            <w:r>
              <w:t xml:space="preserve">22, </w:t>
            </w:r>
            <w:r w:rsidR="009B150A">
              <w:t>à savoir :</w:t>
            </w:r>
          </w:p>
          <w:p w14:paraId="17E0976A" w14:textId="1EA069CF" w:rsidR="002407A3" w:rsidRPr="00B46D4E" w:rsidRDefault="002407A3" w:rsidP="00984BAB">
            <w:pPr>
              <w:ind w:left="109"/>
              <w:rPr>
                <w:rFonts w:eastAsia="Arial"/>
                <w:szCs w:val="22"/>
              </w:rPr>
            </w:pPr>
          </w:p>
          <w:p w14:paraId="1E1D8D62" w14:textId="35533100" w:rsidR="002407A3" w:rsidRPr="00B46D4E" w:rsidRDefault="002407A3" w:rsidP="00984BAB">
            <w:pPr>
              <w:ind w:left="109"/>
              <w:rPr>
                <w:rFonts w:eastAsia="Arial"/>
                <w:szCs w:val="22"/>
              </w:rPr>
            </w:pPr>
            <w:r>
              <w:t>I. ÉTUDE I</w:t>
            </w:r>
            <w:r w:rsidR="009B150A">
              <w:t> :</w:t>
            </w:r>
            <w:r>
              <w:t xml:space="preserve"> CADRE JURIDIQUE CONCERNANT LE DROIT D</w:t>
            </w:r>
            <w:r w:rsidR="009B150A">
              <w:t>’</w:t>
            </w:r>
            <w:r>
              <w:t>AUTEUR ET MÉCANISMES DE CONCESSION DE LICENCES APPLICABLES AU CONTENU AUDIOVISUEL DANS L</w:t>
            </w:r>
            <w:r w:rsidR="009B150A">
              <w:t>’</w:t>
            </w:r>
            <w:r>
              <w:t>ENVIRON</w:t>
            </w:r>
            <w:r w:rsidR="00A65F61">
              <w:t>N</w:t>
            </w:r>
            <w:r>
              <w:t>EMENT NUMÉRIQUE</w:t>
            </w:r>
          </w:p>
          <w:p w14:paraId="6EC5B434" w14:textId="77777777" w:rsidR="002407A3" w:rsidRPr="00B46D4E" w:rsidRDefault="002407A3" w:rsidP="00984BAB">
            <w:pPr>
              <w:ind w:left="109"/>
              <w:rPr>
                <w:rFonts w:eastAsia="Arial"/>
                <w:szCs w:val="22"/>
              </w:rPr>
            </w:pPr>
          </w:p>
          <w:p w14:paraId="319F134C" w14:textId="7A2A593B" w:rsidR="002407A3" w:rsidRPr="00B46D4E" w:rsidRDefault="002407A3" w:rsidP="00984BAB">
            <w:pPr>
              <w:ind w:left="109"/>
              <w:rPr>
                <w:rFonts w:eastAsia="Arial"/>
                <w:szCs w:val="22"/>
              </w:rPr>
            </w:pPr>
            <w:r>
              <w:t>Première partie</w:t>
            </w:r>
            <w:r w:rsidR="009B150A">
              <w:t> :</w:t>
            </w:r>
            <w:r>
              <w:t xml:space="preserve"> Les modèles économiques audiovisuels OTT (“over</w:t>
            </w:r>
            <w:r w:rsidR="00D117A8">
              <w:noBreakHyphen/>
            </w:r>
            <w:r>
              <w:t>the</w:t>
            </w:r>
            <w:r w:rsidR="00D117A8">
              <w:noBreakHyphen/>
            </w:r>
            <w:r>
              <w:t>top”, ou service de diffusion par contournement) en Amérique latine</w:t>
            </w:r>
            <w:r w:rsidR="009B150A">
              <w:t> :</w:t>
            </w:r>
            <w:r>
              <w:t xml:space="preserve"> tendances récentes et évolution future</w:t>
            </w:r>
          </w:p>
          <w:p w14:paraId="3EB40D5F" w14:textId="77777777" w:rsidR="002407A3" w:rsidRPr="00B46D4E" w:rsidRDefault="002407A3" w:rsidP="00984BAB">
            <w:pPr>
              <w:ind w:left="109"/>
              <w:rPr>
                <w:rFonts w:eastAsia="Arial"/>
                <w:szCs w:val="22"/>
              </w:rPr>
            </w:pPr>
          </w:p>
          <w:p w14:paraId="1C71C949" w14:textId="12119282" w:rsidR="002407A3" w:rsidRPr="00B46D4E" w:rsidRDefault="002407A3" w:rsidP="00984BAB">
            <w:pPr>
              <w:ind w:left="109"/>
              <w:rPr>
                <w:rFonts w:eastAsia="Arial"/>
                <w:szCs w:val="22"/>
              </w:rPr>
            </w:pPr>
            <w:r>
              <w:t>Deuxième partie</w:t>
            </w:r>
            <w:r w:rsidR="009B150A">
              <w:t> :</w:t>
            </w:r>
            <w:r>
              <w:t xml:space="preserve"> Cadre juridique concernant le secteur de l</w:t>
            </w:r>
            <w:r w:rsidR="009B150A">
              <w:t>’</w:t>
            </w:r>
            <w:r>
              <w:t>audiovisuel dans l</w:t>
            </w:r>
            <w:r w:rsidR="009B150A">
              <w:t>’</w:t>
            </w:r>
            <w:r>
              <w:t>environnement numérique</w:t>
            </w:r>
          </w:p>
          <w:p w14:paraId="5443ABD7" w14:textId="77777777" w:rsidR="002407A3" w:rsidRPr="00B46D4E" w:rsidRDefault="002407A3" w:rsidP="00984BAB">
            <w:pPr>
              <w:ind w:left="109"/>
              <w:rPr>
                <w:rFonts w:eastAsia="Arial"/>
                <w:szCs w:val="22"/>
              </w:rPr>
            </w:pPr>
          </w:p>
          <w:p w14:paraId="59848E09" w14:textId="1B168E05" w:rsidR="009B150A" w:rsidRDefault="002407A3" w:rsidP="00E1697C">
            <w:pPr>
              <w:ind w:left="109"/>
            </w:pPr>
            <w:r>
              <w:t>Annexe</w:t>
            </w:r>
            <w:r w:rsidR="009B150A">
              <w:t> :</w:t>
            </w:r>
            <w:r>
              <w:t xml:space="preserve"> Résumé du droit d</w:t>
            </w:r>
            <w:r w:rsidR="009B150A">
              <w:t>’</w:t>
            </w:r>
            <w:r>
              <w:t xml:space="preserve">auteur et des droits connexes applicables à la concession de licences </w:t>
            </w:r>
            <w:r w:rsidR="00D117A8">
              <w:t>de contenu audiovisuel en ligne</w:t>
            </w:r>
          </w:p>
          <w:p w14:paraId="1307A84A" w14:textId="487F5FA1" w:rsidR="002407A3" w:rsidRPr="00B46D4E" w:rsidRDefault="002407A3" w:rsidP="00984BAB">
            <w:pPr>
              <w:ind w:left="109"/>
              <w:rPr>
                <w:rFonts w:eastAsia="Arial"/>
                <w:szCs w:val="22"/>
              </w:rPr>
            </w:pPr>
          </w:p>
          <w:p w14:paraId="27CFD7E8" w14:textId="21013802" w:rsidR="002407A3" w:rsidRPr="00B46D4E" w:rsidRDefault="002407A3" w:rsidP="00984BAB">
            <w:pPr>
              <w:ind w:left="109"/>
              <w:rPr>
                <w:rFonts w:eastAsia="Arial"/>
                <w:szCs w:val="22"/>
              </w:rPr>
            </w:pPr>
            <w:r>
              <w:t>Troisième partie</w:t>
            </w:r>
            <w:r w:rsidR="009B150A">
              <w:t> :</w:t>
            </w:r>
            <w:r>
              <w:t xml:space="preserve"> Traitement juridique des auteurs étrangers de contenus audiovisuels</w:t>
            </w:r>
          </w:p>
          <w:p w14:paraId="6B9A9B85" w14:textId="77777777" w:rsidR="002407A3" w:rsidRPr="00B46D4E" w:rsidRDefault="002407A3" w:rsidP="00984BAB">
            <w:pPr>
              <w:ind w:left="109"/>
              <w:rPr>
                <w:rFonts w:eastAsia="Arial"/>
                <w:szCs w:val="22"/>
              </w:rPr>
            </w:pPr>
          </w:p>
          <w:p w14:paraId="24643572" w14:textId="3AE2D870" w:rsidR="009B150A" w:rsidRDefault="002407A3" w:rsidP="00984BAB">
            <w:pPr>
              <w:ind w:left="109"/>
            </w:pPr>
            <w:r>
              <w:t>Quatrième partie</w:t>
            </w:r>
            <w:r w:rsidR="009B150A">
              <w:t> :</w:t>
            </w:r>
            <w:r>
              <w:t xml:space="preserve"> Pratiques contractuelles concernant le secteur de l</w:t>
            </w:r>
            <w:r w:rsidR="009B150A">
              <w:t>’</w:t>
            </w:r>
            <w:r>
              <w:t>audiovisuel dans l</w:t>
            </w:r>
            <w:r w:rsidR="009B150A">
              <w:t>’</w:t>
            </w:r>
            <w:r>
              <w:t>environnement numérique en Amérique latine</w:t>
            </w:r>
          </w:p>
          <w:p w14:paraId="1F77667B" w14:textId="4D49D459" w:rsidR="002407A3" w:rsidRPr="00B46D4E" w:rsidRDefault="002407A3" w:rsidP="00984BAB">
            <w:pPr>
              <w:ind w:left="109"/>
              <w:rPr>
                <w:rFonts w:eastAsia="Arial"/>
                <w:szCs w:val="22"/>
              </w:rPr>
            </w:pPr>
          </w:p>
          <w:p w14:paraId="42A330FC" w14:textId="143312D4" w:rsidR="002407A3" w:rsidRPr="00B46D4E" w:rsidRDefault="002407A3" w:rsidP="00984BAB">
            <w:pPr>
              <w:ind w:left="109"/>
              <w:rPr>
                <w:rFonts w:eastAsia="Arial"/>
                <w:szCs w:val="22"/>
              </w:rPr>
            </w:pPr>
            <w:r>
              <w:t>Cinquième partie</w:t>
            </w:r>
            <w:r w:rsidR="009B150A">
              <w:t> :</w:t>
            </w:r>
            <w:r>
              <w:t xml:space="preserve"> Identification et utilisation des métadonnées des contenus audiovisuels</w:t>
            </w:r>
          </w:p>
          <w:p w14:paraId="099B0526" w14:textId="77777777" w:rsidR="002407A3" w:rsidRPr="00B46D4E" w:rsidRDefault="002407A3" w:rsidP="00984BAB">
            <w:pPr>
              <w:ind w:left="109"/>
              <w:rPr>
                <w:rFonts w:eastAsia="Arial"/>
                <w:szCs w:val="22"/>
              </w:rPr>
            </w:pPr>
          </w:p>
          <w:p w14:paraId="191A6EF8" w14:textId="1AB666B3" w:rsidR="009B150A" w:rsidRDefault="002407A3" w:rsidP="00984BAB">
            <w:pPr>
              <w:ind w:left="109"/>
            </w:pPr>
            <w:r>
              <w:t>Sixième partie</w:t>
            </w:r>
            <w:r w:rsidR="009B150A">
              <w:t> :</w:t>
            </w:r>
            <w:r>
              <w:t xml:space="preserve"> Modes extrajudiciaires de règlement des litiges à l</w:t>
            </w:r>
            <w:r w:rsidR="009B150A">
              <w:t>’</w:t>
            </w:r>
            <w:r>
              <w:t>OMPI, appliqués aux modèles économiques OTT</w:t>
            </w:r>
          </w:p>
          <w:p w14:paraId="6A78603A" w14:textId="494F8402" w:rsidR="002407A3" w:rsidRPr="00B46D4E" w:rsidRDefault="002407A3" w:rsidP="00984BAB">
            <w:pPr>
              <w:pStyle w:val="Heading2"/>
              <w:ind w:left="109"/>
              <w:rPr>
                <w:rFonts w:eastAsia="Arial"/>
                <w:bCs w:val="0"/>
                <w:iCs w:val="0"/>
                <w:caps w:val="0"/>
                <w:szCs w:val="22"/>
              </w:rPr>
            </w:pPr>
            <w:r>
              <w:rPr>
                <w:caps w:val="0"/>
              </w:rPr>
              <w:t>II. ÉTUDE II</w:t>
            </w:r>
            <w:r w:rsidR="009B150A">
              <w:rPr>
                <w:caps w:val="0"/>
              </w:rPr>
              <w:t> :</w:t>
            </w:r>
            <w:r>
              <w:rPr>
                <w:caps w:val="0"/>
              </w:rPr>
              <w:t xml:space="preserve"> LE DOMAINE PUBLIC DE L</w:t>
            </w:r>
            <w:r w:rsidR="009B150A">
              <w:rPr>
                <w:caps w:val="0"/>
              </w:rPr>
              <w:t>’</w:t>
            </w:r>
            <w:r>
              <w:rPr>
                <w:caps w:val="0"/>
              </w:rPr>
              <w:t>AUDIOVISUEL</w:t>
            </w:r>
          </w:p>
          <w:p w14:paraId="2F68C9AD" w14:textId="1772A0A1" w:rsidR="009B150A" w:rsidRDefault="002407A3" w:rsidP="00984BAB">
            <w:pPr>
              <w:pStyle w:val="Heading2"/>
              <w:ind w:left="109"/>
              <w:rPr>
                <w:caps w:val="0"/>
              </w:rPr>
            </w:pPr>
            <w:r>
              <w:rPr>
                <w:caps w:val="0"/>
              </w:rPr>
              <w:t>III. ÉTUDES DE CAS</w:t>
            </w:r>
            <w:r w:rsidR="009B150A">
              <w:rPr>
                <w:caps w:val="0"/>
              </w:rPr>
              <w:t> :</w:t>
            </w:r>
          </w:p>
          <w:p w14:paraId="0C5C35ED" w14:textId="0981A893" w:rsidR="002407A3" w:rsidRPr="00B46D4E" w:rsidRDefault="002407A3" w:rsidP="00984BAB">
            <w:pPr>
              <w:pStyle w:val="Heading3"/>
              <w:ind w:left="109"/>
              <w:rPr>
                <w:rFonts w:eastAsia="Arial"/>
                <w:bCs w:val="0"/>
                <w:szCs w:val="22"/>
                <w:u w:val="none"/>
              </w:rPr>
            </w:pPr>
            <w:r>
              <w:rPr>
                <w:u w:val="none"/>
              </w:rPr>
              <w:t>Étude de cas I</w:t>
            </w:r>
            <w:r w:rsidR="009B150A">
              <w:rPr>
                <w:u w:val="none"/>
              </w:rPr>
              <w:t> :</w:t>
            </w:r>
            <w:r>
              <w:rPr>
                <w:u w:val="none"/>
              </w:rPr>
              <w:t xml:space="preserve"> Les femmes dans le secteur audiovisuel</w:t>
            </w:r>
            <w:r w:rsidR="009B150A">
              <w:rPr>
                <w:u w:val="none"/>
              </w:rPr>
              <w:t> :</w:t>
            </w:r>
            <w:r>
              <w:rPr>
                <w:u w:val="none"/>
              </w:rPr>
              <w:t xml:space="preserve"> tour d</w:t>
            </w:r>
            <w:r w:rsidR="009B150A">
              <w:rPr>
                <w:u w:val="none"/>
              </w:rPr>
              <w:t>’</w:t>
            </w:r>
            <w:r>
              <w:rPr>
                <w:u w:val="none"/>
              </w:rPr>
              <w:t>horizon des pays d</w:t>
            </w:r>
            <w:r w:rsidR="009B150A">
              <w:rPr>
                <w:u w:val="none"/>
              </w:rPr>
              <w:t>’</w:t>
            </w:r>
            <w:r>
              <w:rPr>
                <w:u w:val="none"/>
              </w:rPr>
              <w:t>Amérique latine et de l</w:t>
            </w:r>
            <w:r w:rsidR="009B150A">
              <w:rPr>
                <w:u w:val="none"/>
              </w:rPr>
              <w:t>’</w:t>
            </w:r>
            <w:r>
              <w:rPr>
                <w:u w:val="none"/>
              </w:rPr>
              <w:t>Espagne</w:t>
            </w:r>
          </w:p>
          <w:p w14:paraId="488D85FC" w14:textId="2E5CE244" w:rsidR="002407A3" w:rsidRPr="00B46D4E" w:rsidRDefault="002407A3" w:rsidP="00984BAB">
            <w:pPr>
              <w:pStyle w:val="Heading3"/>
              <w:ind w:left="109"/>
              <w:rPr>
                <w:rFonts w:eastAsia="Arial"/>
                <w:bCs w:val="0"/>
                <w:szCs w:val="22"/>
                <w:u w:val="none"/>
              </w:rPr>
            </w:pPr>
            <w:r>
              <w:rPr>
                <w:u w:val="none"/>
              </w:rPr>
              <w:t>Étude de cas II</w:t>
            </w:r>
            <w:r w:rsidR="009B150A">
              <w:rPr>
                <w:u w:val="none"/>
              </w:rPr>
              <w:t> :</w:t>
            </w:r>
            <w:r>
              <w:rPr>
                <w:u w:val="none"/>
              </w:rPr>
              <w:t xml:space="preserve"> L</w:t>
            </w:r>
            <w:r w:rsidR="009B150A">
              <w:rPr>
                <w:u w:val="none"/>
              </w:rPr>
              <w:t>’</w:t>
            </w:r>
            <w:r>
              <w:rPr>
                <w:u w:val="none"/>
              </w:rPr>
              <w:t>expérience d</w:t>
            </w:r>
            <w:r w:rsidR="009B150A">
              <w:rPr>
                <w:u w:val="none"/>
              </w:rPr>
              <w:t>’</w:t>
            </w:r>
            <w:r>
              <w:rPr>
                <w:u w:val="none"/>
              </w:rPr>
              <w:t>un producteur indépendant brésilien relative à la distribution de contenus audiovisuels en ligne</w:t>
            </w:r>
          </w:p>
          <w:p w14:paraId="7859F9EC" w14:textId="77777777" w:rsidR="002407A3" w:rsidRPr="00B46D4E" w:rsidRDefault="002407A3" w:rsidP="00984BAB">
            <w:pPr>
              <w:ind w:left="109"/>
              <w:rPr>
                <w:rFonts w:eastAsia="Arial"/>
                <w:szCs w:val="22"/>
              </w:rPr>
            </w:pPr>
          </w:p>
          <w:p w14:paraId="2ED5C9B9" w14:textId="5FD9522D" w:rsidR="002407A3" w:rsidRPr="00B46D4E" w:rsidRDefault="002407A3" w:rsidP="00984BAB">
            <w:pPr>
              <w:ind w:left="109"/>
              <w:rPr>
                <w:rFonts w:eastAsia="Arial"/>
                <w:szCs w:val="22"/>
              </w:rPr>
            </w:pPr>
            <w:r>
              <w:t>Étude de cas III</w:t>
            </w:r>
            <w:r w:rsidR="009B150A">
              <w:t> :</w:t>
            </w:r>
            <w:r>
              <w:t xml:space="preserve"> Le développement d</w:t>
            </w:r>
            <w:r w:rsidR="009B150A">
              <w:t>’</w:t>
            </w:r>
            <w:r>
              <w:t>une plateforme OTT locale</w:t>
            </w:r>
          </w:p>
          <w:p w14:paraId="5AA882C4" w14:textId="77777777" w:rsidR="002407A3" w:rsidRPr="00B46D4E" w:rsidRDefault="002407A3" w:rsidP="00984BAB">
            <w:pPr>
              <w:ind w:left="109"/>
              <w:rPr>
                <w:rFonts w:eastAsia="Arial"/>
                <w:szCs w:val="22"/>
              </w:rPr>
            </w:pPr>
          </w:p>
          <w:p w14:paraId="0DAD7AC3" w14:textId="4C4DB2E0" w:rsidR="002407A3" w:rsidRPr="00B46D4E" w:rsidRDefault="002407A3" w:rsidP="00984BAB">
            <w:pPr>
              <w:ind w:left="109"/>
              <w:rPr>
                <w:rFonts w:eastAsia="Arial"/>
                <w:szCs w:val="22"/>
              </w:rPr>
            </w:pPr>
            <w:r>
              <w:t>Étude de cas IV</w:t>
            </w:r>
            <w:r w:rsidR="009B150A">
              <w:t> :</w:t>
            </w:r>
            <w:r>
              <w:t xml:space="preserve"> L</w:t>
            </w:r>
            <w:r w:rsidR="009B150A">
              <w:t>’</w:t>
            </w:r>
            <w:r>
              <w:t>acquittement des droits pour la distribution numérique</w:t>
            </w:r>
          </w:p>
          <w:p w14:paraId="534B5159" w14:textId="77777777" w:rsidR="002407A3" w:rsidRPr="00B46D4E" w:rsidRDefault="002407A3" w:rsidP="00984BAB">
            <w:pPr>
              <w:ind w:left="109"/>
              <w:rPr>
                <w:rFonts w:eastAsia="Arial"/>
                <w:szCs w:val="22"/>
              </w:rPr>
            </w:pPr>
          </w:p>
          <w:p w14:paraId="7E87078F" w14:textId="60B0CDF2" w:rsidR="009B150A" w:rsidRDefault="002407A3" w:rsidP="00984BAB">
            <w:pPr>
              <w:ind w:left="109"/>
            </w:pPr>
            <w:r>
              <w:lastRenderedPageBreak/>
              <w:t>Étude de cas V</w:t>
            </w:r>
            <w:r w:rsidR="009B150A">
              <w:t> :</w:t>
            </w:r>
            <w:r>
              <w:t xml:space="preserve"> Le rôle des services d</w:t>
            </w:r>
            <w:r w:rsidR="009B150A">
              <w:t>’</w:t>
            </w:r>
            <w:r>
              <w:t>agrégation de contenu dans la distribution de vidéo à la demande au Brésil et en Amérique latine</w:t>
            </w:r>
            <w:r w:rsidR="009B150A">
              <w:t> :</w:t>
            </w:r>
            <w:r>
              <w:t xml:space="preserve"> l</w:t>
            </w:r>
            <w:r w:rsidR="009B150A">
              <w:t>’</w:t>
            </w:r>
            <w:r>
              <w:t>expérience de Sofa Digital</w:t>
            </w:r>
          </w:p>
          <w:p w14:paraId="463657B3" w14:textId="33632B75" w:rsidR="002407A3" w:rsidRPr="00B46D4E" w:rsidRDefault="002407A3" w:rsidP="00984BAB">
            <w:pPr>
              <w:ind w:left="109"/>
              <w:rPr>
                <w:rFonts w:eastAsia="Arial"/>
                <w:szCs w:val="22"/>
              </w:rPr>
            </w:pPr>
          </w:p>
          <w:p w14:paraId="534EE7F7" w14:textId="4FADA01A" w:rsidR="009B150A" w:rsidRDefault="002407A3" w:rsidP="00984BAB">
            <w:pPr>
              <w:ind w:left="109"/>
            </w:pPr>
            <w:r>
              <w:t>Étude de cas VI</w:t>
            </w:r>
            <w:r w:rsidR="009B150A">
              <w:t> :</w:t>
            </w:r>
            <w:r>
              <w:t xml:space="preserve"> Les données dans l</w:t>
            </w:r>
            <w:r w:rsidR="009B150A">
              <w:t>’</w:t>
            </w:r>
            <w:r>
              <w:t>audiovisuel</w:t>
            </w:r>
            <w:r w:rsidR="009B150A">
              <w:t> :</w:t>
            </w:r>
            <w:r>
              <w:t xml:space="preserve"> tendances et perspectives</w:t>
            </w:r>
          </w:p>
          <w:p w14:paraId="050A758E" w14:textId="1D39F3E9" w:rsidR="002407A3" w:rsidRPr="00B46D4E" w:rsidRDefault="002407A3" w:rsidP="00984BAB">
            <w:pPr>
              <w:ind w:left="109"/>
              <w:rPr>
                <w:rFonts w:eastAsia="Arial"/>
                <w:szCs w:val="22"/>
              </w:rPr>
            </w:pPr>
          </w:p>
          <w:p w14:paraId="44634698" w14:textId="565442D0" w:rsidR="009B150A" w:rsidRDefault="002407A3" w:rsidP="00984BAB">
            <w:pPr>
              <w:ind w:left="109"/>
            </w:pPr>
            <w:r>
              <w:t>Étude de cas VII</w:t>
            </w:r>
            <w:r w:rsidR="009B150A">
              <w:t> :</w:t>
            </w:r>
            <w:r>
              <w:t xml:space="preserve"> Les plateformes en ligne cine.ar et cine.ar.play</w:t>
            </w:r>
          </w:p>
          <w:p w14:paraId="7B799562" w14:textId="620DBEF2" w:rsidR="002407A3" w:rsidRPr="00B46D4E" w:rsidRDefault="002407A3" w:rsidP="00984BAB">
            <w:pPr>
              <w:pStyle w:val="Heading3"/>
              <w:ind w:left="109"/>
              <w:rPr>
                <w:rFonts w:eastAsia="Arial"/>
                <w:bCs w:val="0"/>
                <w:szCs w:val="22"/>
                <w:u w:val="none"/>
              </w:rPr>
            </w:pPr>
          </w:p>
        </w:tc>
      </w:tr>
      <w:tr w:rsidR="002407A3" w:rsidRPr="000A4281" w14:paraId="4809F5FF" w14:textId="77777777" w:rsidTr="000E0E0C">
        <w:trPr>
          <w:trHeight w:val="801"/>
        </w:trPr>
        <w:tc>
          <w:tcPr>
            <w:tcW w:w="2377" w:type="dxa"/>
            <w:shd w:val="clear" w:color="auto" w:fill="68E089"/>
            <w:vAlign w:val="center"/>
          </w:tcPr>
          <w:p w14:paraId="72492DF5" w14:textId="77777777" w:rsidR="002407A3" w:rsidRPr="00B46D4E" w:rsidRDefault="002407A3" w:rsidP="0026000B">
            <w:pPr>
              <w:pStyle w:val="TableParagraph"/>
              <w:spacing w:line="242" w:lineRule="auto"/>
              <w:ind w:left="110" w:right="708"/>
            </w:pPr>
            <w:r>
              <w:rPr>
                <w:u w:val="single"/>
              </w:rPr>
              <w:lastRenderedPageBreak/>
              <w:t>Premiers résultats observés</w:t>
            </w:r>
          </w:p>
        </w:tc>
        <w:tc>
          <w:tcPr>
            <w:tcW w:w="6913" w:type="dxa"/>
            <w:vAlign w:val="center"/>
          </w:tcPr>
          <w:p w14:paraId="7C7504BE" w14:textId="77777777" w:rsidR="002407A3" w:rsidRPr="00B46D4E" w:rsidRDefault="002407A3" w:rsidP="00CD2D47">
            <w:pPr>
              <w:pStyle w:val="TableParagraph"/>
              <w:numPr>
                <w:ilvl w:val="0"/>
                <w:numId w:val="20"/>
              </w:numPr>
              <w:ind w:right="84"/>
              <w:rPr>
                <w:iCs/>
              </w:rPr>
            </w:pPr>
            <w:r>
              <w:t>Inventaire des différentes législations applicables à la distribution des œuvres audiovisuelles par les modèles OTT en Amérique latine</w:t>
            </w:r>
          </w:p>
          <w:p w14:paraId="3043DDCB" w14:textId="77777777" w:rsidR="002407A3" w:rsidRPr="00B46D4E" w:rsidRDefault="002407A3" w:rsidP="0026000B">
            <w:pPr>
              <w:rPr>
                <w:iCs/>
                <w:szCs w:val="22"/>
              </w:rPr>
            </w:pPr>
          </w:p>
          <w:p w14:paraId="78F67390" w14:textId="44F0869A" w:rsidR="009B150A" w:rsidRDefault="002407A3" w:rsidP="00CD2D47">
            <w:pPr>
              <w:pStyle w:val="TableParagraph"/>
              <w:numPr>
                <w:ilvl w:val="0"/>
                <w:numId w:val="20"/>
              </w:numPr>
              <w:ind w:right="84"/>
            </w:pPr>
            <w:r>
              <w:t>Recensement des questions d</w:t>
            </w:r>
            <w:r w:rsidR="009B150A">
              <w:t>’</w:t>
            </w:r>
            <w:r>
              <w:t>actualité ayant une incidence sur le marché numérique latino</w:t>
            </w:r>
            <w:r w:rsidR="00D117A8">
              <w:noBreakHyphen/>
            </w:r>
            <w:r>
              <w:t>américain</w:t>
            </w:r>
          </w:p>
          <w:p w14:paraId="44ED4BCF" w14:textId="2F9818A6" w:rsidR="002407A3" w:rsidRPr="00B46D4E" w:rsidRDefault="002407A3" w:rsidP="0026000B">
            <w:pPr>
              <w:pStyle w:val="TableParagraph"/>
              <w:ind w:right="84"/>
              <w:rPr>
                <w:iCs/>
              </w:rPr>
            </w:pPr>
          </w:p>
          <w:p w14:paraId="792CCE06" w14:textId="4B1BAF34" w:rsidR="009B150A" w:rsidRDefault="002407A3" w:rsidP="00CD2D47">
            <w:pPr>
              <w:pStyle w:val="TableParagraph"/>
              <w:numPr>
                <w:ilvl w:val="0"/>
                <w:numId w:val="20"/>
              </w:numPr>
              <w:ind w:right="84"/>
            </w:pPr>
            <w:r>
              <w:t>Recensement d</w:t>
            </w:r>
            <w:r w:rsidR="009B150A">
              <w:t>’</w:t>
            </w:r>
            <w:r>
              <w:t>exemples et d</w:t>
            </w:r>
            <w:r w:rsidR="009B150A">
              <w:t>’</w:t>
            </w:r>
            <w:r>
              <w:t>expériences sur le marché numérique actuel en Amérique latine</w:t>
            </w:r>
          </w:p>
          <w:p w14:paraId="3E5A533D" w14:textId="6398D4E9" w:rsidR="002407A3" w:rsidRPr="00B46D4E" w:rsidRDefault="002407A3" w:rsidP="0026000B">
            <w:pPr>
              <w:pStyle w:val="TableParagraph"/>
              <w:ind w:right="84"/>
              <w:rPr>
                <w:iCs/>
              </w:rPr>
            </w:pPr>
          </w:p>
          <w:p w14:paraId="2A382C58" w14:textId="793EAA6C" w:rsidR="002407A3" w:rsidRPr="00B46D4E" w:rsidRDefault="002407A3" w:rsidP="00CD2D47">
            <w:pPr>
              <w:pStyle w:val="TableParagraph"/>
              <w:numPr>
                <w:ilvl w:val="0"/>
                <w:numId w:val="20"/>
              </w:numPr>
              <w:ind w:right="84"/>
            </w:pPr>
            <w:r>
              <w:t>Effets de la pandémie de COVID</w:t>
            </w:r>
            <w:r w:rsidR="00D117A8">
              <w:noBreakHyphen/>
            </w:r>
            <w:r>
              <w:t>19 sur le marché audiovisuel OTT en Amérique latine</w:t>
            </w:r>
          </w:p>
        </w:tc>
      </w:tr>
      <w:tr w:rsidR="002407A3" w:rsidRPr="000A4281" w14:paraId="004E517B" w14:textId="77777777" w:rsidTr="000E0E0C">
        <w:trPr>
          <w:trHeight w:val="703"/>
        </w:trPr>
        <w:tc>
          <w:tcPr>
            <w:tcW w:w="2377" w:type="dxa"/>
            <w:shd w:val="clear" w:color="auto" w:fill="68E089"/>
            <w:vAlign w:val="center"/>
          </w:tcPr>
          <w:p w14:paraId="412F2329" w14:textId="77777777" w:rsidR="002407A3" w:rsidRPr="00B46D4E" w:rsidRDefault="002407A3" w:rsidP="0026000B">
            <w:pPr>
              <w:pStyle w:val="TableParagraph"/>
              <w:spacing w:before="1"/>
              <w:ind w:left="110" w:right="279"/>
            </w:pPr>
            <w:r>
              <w:rPr>
                <w:u w:val="single"/>
              </w:rPr>
              <w:t>Expérience acquise et enseignements tirés</w:t>
            </w:r>
          </w:p>
        </w:tc>
        <w:tc>
          <w:tcPr>
            <w:tcW w:w="6913" w:type="dxa"/>
            <w:vAlign w:val="center"/>
          </w:tcPr>
          <w:p w14:paraId="536E58EC" w14:textId="7C2E819D" w:rsidR="009B150A" w:rsidRDefault="002407A3" w:rsidP="00CD2D47">
            <w:pPr>
              <w:pStyle w:val="TableParagraph"/>
              <w:numPr>
                <w:ilvl w:val="0"/>
                <w:numId w:val="20"/>
              </w:numPr>
              <w:ind w:right="84"/>
            </w:pPr>
            <w:r>
              <w:t>Recensement des questions transversales de propriété intellectuelle qui s</w:t>
            </w:r>
            <w:r w:rsidR="009B150A">
              <w:t>’</w:t>
            </w:r>
            <w:r>
              <w:t>appliquent également au secteur de l</w:t>
            </w:r>
            <w:r w:rsidR="009B150A">
              <w:t>’</w:t>
            </w:r>
            <w:r>
              <w:t>audiovisuel numérique.</w:t>
            </w:r>
          </w:p>
          <w:p w14:paraId="589FF5DC" w14:textId="21BC64A9" w:rsidR="002407A3" w:rsidRPr="00B46D4E" w:rsidRDefault="002407A3" w:rsidP="0026000B">
            <w:pPr>
              <w:pStyle w:val="TableParagraph"/>
              <w:ind w:left="469" w:right="84"/>
            </w:pPr>
          </w:p>
          <w:p w14:paraId="0BA7D2D7" w14:textId="059B83FE" w:rsidR="002407A3" w:rsidRPr="00B46D4E" w:rsidRDefault="002407A3" w:rsidP="00CD2D47">
            <w:pPr>
              <w:pStyle w:val="TableParagraph"/>
              <w:numPr>
                <w:ilvl w:val="0"/>
                <w:numId w:val="20"/>
              </w:numPr>
              <w:ind w:right="84"/>
            </w:pPr>
            <w:r>
              <w:t>Enjeux posés par la collaboration horizontale avec le secteur au sujet de la propriété intellectuelle, en raison de la fragmentation de certaines branches (informatique, télécommunications, audiovisuel, juridique, etc.) qui rend difficile l</w:t>
            </w:r>
            <w:r w:rsidR="009B150A">
              <w:t>’</w:t>
            </w:r>
            <w:r>
              <w:t>accès aux professionnels sur le terrain.</w:t>
            </w:r>
          </w:p>
          <w:p w14:paraId="4B56320C" w14:textId="77777777" w:rsidR="009B150A" w:rsidRDefault="009B150A" w:rsidP="0026000B">
            <w:pPr>
              <w:pStyle w:val="TableParagraph"/>
              <w:ind w:right="84"/>
            </w:pPr>
          </w:p>
          <w:p w14:paraId="5FF668DE" w14:textId="62CFECBA" w:rsidR="002407A3" w:rsidRPr="00B46D4E" w:rsidRDefault="002407A3" w:rsidP="00CD2D47">
            <w:pPr>
              <w:pStyle w:val="TableParagraph"/>
              <w:numPr>
                <w:ilvl w:val="0"/>
                <w:numId w:val="20"/>
              </w:numPr>
              <w:ind w:right="84"/>
            </w:pPr>
            <w:r>
              <w:t>Peu d</w:t>
            </w:r>
            <w:r w:rsidR="009B150A">
              <w:t>’</w:t>
            </w:r>
            <w:r>
              <w:t>informations disponibles sur le marché numérique de l</w:t>
            </w:r>
            <w:r w:rsidR="009B150A">
              <w:t>’</w:t>
            </w:r>
            <w:r>
              <w:t>Amérique latine et le rôle du droit d</w:t>
            </w:r>
            <w:r w:rsidR="009B150A">
              <w:t>’</w:t>
            </w:r>
            <w:r>
              <w:t>auteur et des droits connexes pour le marché et les créateurs.</w:t>
            </w:r>
          </w:p>
          <w:p w14:paraId="0B22019D" w14:textId="77777777" w:rsidR="002407A3" w:rsidRPr="00B46D4E" w:rsidRDefault="002407A3" w:rsidP="0026000B">
            <w:pPr>
              <w:pStyle w:val="TableParagraph"/>
              <w:ind w:right="84"/>
            </w:pPr>
          </w:p>
          <w:p w14:paraId="326014AF" w14:textId="1F40F456" w:rsidR="009B150A" w:rsidRDefault="002407A3" w:rsidP="00CD2D47">
            <w:pPr>
              <w:pStyle w:val="TableParagraph"/>
              <w:numPr>
                <w:ilvl w:val="0"/>
                <w:numId w:val="20"/>
              </w:numPr>
              <w:ind w:right="84"/>
            </w:pPr>
            <w:r>
              <w:t>Peu d</w:t>
            </w:r>
            <w:r w:rsidR="009B150A">
              <w:t>’</w:t>
            </w:r>
            <w:r>
              <w:t>interaction entre les spécialistes de la propriété intellectuelle et les professionnels de l</w:t>
            </w:r>
            <w:r w:rsidR="009B150A">
              <w:t>’</w:t>
            </w:r>
            <w:r>
              <w:t>audiovisuel, malgré la volonté des professionnels d</w:t>
            </w:r>
            <w:r w:rsidR="009B150A">
              <w:t>’</w:t>
            </w:r>
            <w:r>
              <w:t>en apprendre davantage sur les questions actuelles de droit d</w:t>
            </w:r>
            <w:r w:rsidR="009B150A">
              <w:t>’</w:t>
            </w:r>
            <w:r>
              <w:t>auteur présentant un intérêt pour leur activité.</w:t>
            </w:r>
          </w:p>
          <w:p w14:paraId="72718A70" w14:textId="44CAC7CE" w:rsidR="002407A3" w:rsidRPr="00B46D4E" w:rsidRDefault="002407A3" w:rsidP="0026000B">
            <w:pPr>
              <w:pStyle w:val="TableParagraph"/>
              <w:ind w:left="469" w:right="84"/>
            </w:pPr>
          </w:p>
          <w:p w14:paraId="58AF7EF8" w14:textId="7F637158" w:rsidR="009B150A" w:rsidRDefault="002407A3" w:rsidP="00CD2D47">
            <w:pPr>
              <w:pStyle w:val="TableParagraph"/>
              <w:numPr>
                <w:ilvl w:val="0"/>
                <w:numId w:val="20"/>
              </w:numPr>
              <w:ind w:right="84"/>
            </w:pPr>
            <w:r>
              <w:t>Expérience positive en matière de collaboration avec le secteur de l</w:t>
            </w:r>
            <w:r w:rsidR="009B150A">
              <w:t>’</w:t>
            </w:r>
            <w:r>
              <w:t>audiovisuel, dans le cadre d</w:t>
            </w:r>
            <w:r w:rsidR="009B150A">
              <w:t>’</w:t>
            </w:r>
            <w:r>
              <w:t>événements internationaux dans lesquels un large éventail de sujets pertinents sont examinés mais où la propriété intellectuelle n</w:t>
            </w:r>
            <w:r w:rsidR="009B150A">
              <w:t>’</w:t>
            </w:r>
            <w:r>
              <w:t>est normalement pas abordée.</w:t>
            </w:r>
          </w:p>
          <w:p w14:paraId="08D8CD72" w14:textId="1F74A375" w:rsidR="002407A3" w:rsidRPr="00B46D4E" w:rsidRDefault="002407A3" w:rsidP="00BC3089">
            <w:pPr>
              <w:pStyle w:val="TableParagraph"/>
              <w:ind w:left="469" w:right="84"/>
            </w:pPr>
          </w:p>
        </w:tc>
      </w:tr>
      <w:tr w:rsidR="002407A3" w:rsidRPr="000A4281" w14:paraId="06249FBD" w14:textId="77777777" w:rsidTr="000E0E0C">
        <w:trPr>
          <w:trHeight w:val="1423"/>
        </w:trPr>
        <w:tc>
          <w:tcPr>
            <w:tcW w:w="2377" w:type="dxa"/>
            <w:shd w:val="clear" w:color="auto" w:fill="68E089"/>
            <w:vAlign w:val="center"/>
          </w:tcPr>
          <w:p w14:paraId="57987E99" w14:textId="164B8652" w:rsidR="002407A3" w:rsidRPr="00B46D4E" w:rsidRDefault="002407A3" w:rsidP="0026000B">
            <w:pPr>
              <w:pStyle w:val="TableParagraph"/>
              <w:ind w:left="110"/>
            </w:pPr>
            <w:r>
              <w:rPr>
                <w:u w:val="single"/>
              </w:rPr>
              <w:t>Risques et mesures d</w:t>
            </w:r>
            <w:r w:rsidR="009B150A">
              <w:rPr>
                <w:u w:val="single"/>
              </w:rPr>
              <w:t>’</w:t>
            </w:r>
            <w:r>
              <w:rPr>
                <w:u w:val="single"/>
              </w:rPr>
              <w:t>atténuation</w:t>
            </w:r>
          </w:p>
        </w:tc>
        <w:tc>
          <w:tcPr>
            <w:tcW w:w="6913" w:type="dxa"/>
            <w:vAlign w:val="center"/>
          </w:tcPr>
          <w:p w14:paraId="103DA627" w14:textId="31A1CC81" w:rsidR="002407A3" w:rsidRPr="00B46D4E" w:rsidRDefault="002407A3" w:rsidP="00E1697C">
            <w:pPr>
              <w:pStyle w:val="TableParagraph"/>
              <w:spacing w:line="252" w:lineRule="exact"/>
              <w:ind w:left="109" w:right="721"/>
            </w:pPr>
            <w:r>
              <w:rPr>
                <w:u w:val="single"/>
              </w:rPr>
              <w:t>Risque</w:t>
            </w:r>
            <w:r w:rsidR="009B150A">
              <w:rPr>
                <w:u w:val="single"/>
              </w:rPr>
              <w:t> :</w:t>
            </w:r>
            <w:r>
              <w:t xml:space="preserve"> La pandémie de COVID</w:t>
            </w:r>
            <w:r w:rsidR="00D117A8">
              <w:noBreakHyphen/>
            </w:r>
            <w:r>
              <w:t>19 a empêché l</w:t>
            </w:r>
            <w:r w:rsidR="009B150A">
              <w:t>’</w:t>
            </w:r>
            <w:r>
              <w:t>organisation en temps utile des événements prévus dans le projet appro</w:t>
            </w:r>
            <w:r w:rsidR="00C17142">
              <w:t>uvé (résultat n° 2, activités n</w:t>
            </w:r>
            <w:r w:rsidR="00C17142" w:rsidRPr="00C17142">
              <w:rPr>
                <w:vertAlign w:val="superscript"/>
              </w:rPr>
              <w:t>os</w:t>
            </w:r>
            <w:r>
              <w:t> 3 et 4).  La possibilité d</w:t>
            </w:r>
            <w:r w:rsidR="009B150A">
              <w:t>’</w:t>
            </w:r>
            <w:r>
              <w:t xml:space="preserve">organiser des </w:t>
            </w:r>
            <w:r w:rsidR="00597CB2">
              <w:t>webinaire</w:t>
            </w:r>
            <w:r>
              <w:t>s a été envisagée, mais les discussions initiales avec les parties prenantes ont fait apparaître un risque élevé qu</w:t>
            </w:r>
            <w:r w:rsidR="009B150A">
              <w:t>’</w:t>
            </w:r>
            <w:r>
              <w:t xml:space="preserve">il y ait peu de contacts avec le </w:t>
            </w:r>
            <w:r>
              <w:lastRenderedPageBreak/>
              <w:t>secteur, en particulier du fait qu</w:t>
            </w:r>
            <w:r w:rsidR="009B150A">
              <w:t>’</w:t>
            </w:r>
            <w:r>
              <w:t>une part importante des professionnels et des entreprises subissaient les effets négatifs de la pandémie sur le marc</w:t>
            </w:r>
            <w:r w:rsidR="00C17142">
              <w:t>hé.  L’o</w:t>
            </w:r>
            <w:r>
              <w:t>rganisation des activités à distance au commencement de la pandémie de COVID</w:t>
            </w:r>
            <w:r w:rsidR="00D117A8">
              <w:noBreakHyphen/>
            </w:r>
            <w:r>
              <w:t>19 n</w:t>
            </w:r>
            <w:r w:rsidR="009B150A">
              <w:t>’</w:t>
            </w:r>
            <w:r>
              <w:t>aurait pas atteint les objectifs du projet.</w:t>
            </w:r>
          </w:p>
          <w:p w14:paraId="5011B9C2" w14:textId="77777777" w:rsidR="002407A3" w:rsidRPr="00B46D4E" w:rsidRDefault="002407A3" w:rsidP="0026000B">
            <w:pPr>
              <w:pStyle w:val="TableParagraph"/>
              <w:spacing w:line="252" w:lineRule="exact"/>
              <w:ind w:left="109" w:right="721"/>
            </w:pPr>
          </w:p>
          <w:p w14:paraId="2D710DE3" w14:textId="3947FCFC" w:rsidR="009B150A" w:rsidRDefault="002407A3" w:rsidP="0026000B">
            <w:pPr>
              <w:pStyle w:val="TableParagraph"/>
              <w:spacing w:line="252" w:lineRule="exact"/>
              <w:ind w:left="109" w:right="721"/>
            </w:pPr>
            <w:r>
              <w:t xml:space="preserve">La </w:t>
            </w:r>
            <w:r>
              <w:rPr>
                <w:u w:val="single"/>
              </w:rPr>
              <w:t>stratégie d</w:t>
            </w:r>
            <w:r w:rsidR="009B150A">
              <w:rPr>
                <w:u w:val="single"/>
              </w:rPr>
              <w:t>’</w:t>
            </w:r>
            <w:r>
              <w:rPr>
                <w:u w:val="single"/>
              </w:rPr>
              <w:t>atténuation</w:t>
            </w:r>
            <w:r>
              <w:t xml:space="preserve"> adoptée comprenait</w:t>
            </w:r>
            <w:r w:rsidR="009B150A">
              <w:t> :</w:t>
            </w:r>
          </w:p>
          <w:p w14:paraId="46F0E2B3" w14:textId="202FE5BA" w:rsidR="009B150A" w:rsidRDefault="002407A3" w:rsidP="00CD2D47">
            <w:pPr>
              <w:pStyle w:val="TableParagraph"/>
              <w:numPr>
                <w:ilvl w:val="0"/>
                <w:numId w:val="20"/>
              </w:numPr>
              <w:spacing w:line="252" w:lineRule="exact"/>
              <w:ind w:right="721"/>
            </w:pPr>
            <w:r>
              <w:t>l</w:t>
            </w:r>
            <w:r w:rsidR="009B150A">
              <w:t>’</w:t>
            </w:r>
            <w:r>
              <w:t>ajournement des activités prévues</w:t>
            </w:r>
          </w:p>
          <w:p w14:paraId="02775735" w14:textId="5C90EA37" w:rsidR="009B150A" w:rsidRDefault="002407A3" w:rsidP="00CD2D47">
            <w:pPr>
              <w:pStyle w:val="TableParagraph"/>
              <w:numPr>
                <w:ilvl w:val="0"/>
                <w:numId w:val="20"/>
              </w:numPr>
              <w:spacing w:line="252" w:lineRule="exact"/>
              <w:ind w:right="721"/>
            </w:pPr>
            <w:r>
              <w:t>la mise à jour des informations relatives au marché OTT en Amérique latine, afin de tenir compte des effets de la pandémie de COVID</w:t>
            </w:r>
            <w:r w:rsidR="00D117A8">
              <w:noBreakHyphen/>
            </w:r>
            <w:r>
              <w:t>19</w:t>
            </w:r>
          </w:p>
          <w:p w14:paraId="434B78CD" w14:textId="765F45CE" w:rsidR="002407A3" w:rsidRPr="00B46D4E" w:rsidRDefault="002407A3" w:rsidP="00CD2D47">
            <w:pPr>
              <w:pStyle w:val="TableParagraph"/>
              <w:numPr>
                <w:ilvl w:val="0"/>
                <w:numId w:val="20"/>
              </w:numPr>
              <w:spacing w:line="252" w:lineRule="exact"/>
              <w:ind w:right="721"/>
            </w:pPr>
            <w:r>
              <w:t>le renforcement des contacts avec les principales parties prenantes en vue d</w:t>
            </w:r>
            <w:r w:rsidR="009B150A">
              <w:t>’</w:t>
            </w:r>
            <w:r>
              <w:t>inclure la question de la propriété intellectuelle dans la relance du marché de l</w:t>
            </w:r>
            <w:r w:rsidR="009B150A">
              <w:t>’</w:t>
            </w:r>
            <w:r>
              <w:t>audiovisuel après la pandémie</w:t>
            </w:r>
          </w:p>
          <w:p w14:paraId="740BD055" w14:textId="12650882" w:rsidR="009B150A" w:rsidRDefault="002407A3" w:rsidP="00CD2D47">
            <w:pPr>
              <w:pStyle w:val="TableParagraph"/>
              <w:numPr>
                <w:ilvl w:val="0"/>
                <w:numId w:val="20"/>
              </w:numPr>
              <w:spacing w:line="252" w:lineRule="exact"/>
              <w:ind w:right="721"/>
            </w:pPr>
            <w:r>
              <w:t xml:space="preserve">des échanges avec les parties prenantes locales, afin de relier les principales activités existantes aux résultats du projet. </w:t>
            </w:r>
            <w:r w:rsidR="00597CB2">
              <w:t xml:space="preserve"> </w:t>
            </w:r>
          </w:p>
          <w:p w14:paraId="4166219F" w14:textId="37593324" w:rsidR="00BC3089" w:rsidRPr="00B46D4E" w:rsidRDefault="00BC3089" w:rsidP="00BC3089">
            <w:pPr>
              <w:pStyle w:val="TableParagraph"/>
              <w:spacing w:line="252" w:lineRule="exact"/>
              <w:ind w:left="469" w:right="721"/>
            </w:pPr>
          </w:p>
        </w:tc>
      </w:tr>
      <w:tr w:rsidR="002407A3" w:rsidRPr="000A4281" w14:paraId="5CF8081C" w14:textId="77777777" w:rsidTr="000E0E0C">
        <w:trPr>
          <w:trHeight w:val="1891"/>
        </w:trPr>
        <w:tc>
          <w:tcPr>
            <w:tcW w:w="2377" w:type="dxa"/>
            <w:shd w:val="clear" w:color="auto" w:fill="68E089"/>
            <w:vAlign w:val="center"/>
          </w:tcPr>
          <w:p w14:paraId="4610DA5F" w14:textId="77777777" w:rsidR="002407A3" w:rsidRPr="00B46D4E" w:rsidRDefault="002407A3" w:rsidP="0026000B">
            <w:pPr>
              <w:pStyle w:val="TableParagraph"/>
              <w:ind w:left="110" w:right="536"/>
              <w:rPr>
                <w:u w:val="single"/>
              </w:rPr>
            </w:pPr>
            <w:r>
              <w:rPr>
                <w:u w:val="single"/>
              </w:rPr>
              <w:lastRenderedPageBreak/>
              <w:t>Questions nécessitant un appui ou une attention immédiats</w:t>
            </w:r>
          </w:p>
        </w:tc>
        <w:tc>
          <w:tcPr>
            <w:tcW w:w="6913" w:type="dxa"/>
            <w:vAlign w:val="center"/>
          </w:tcPr>
          <w:p w14:paraId="10E17336" w14:textId="57613593" w:rsidR="002407A3" w:rsidRPr="00B46D4E" w:rsidRDefault="002407A3" w:rsidP="0026000B">
            <w:pPr>
              <w:pStyle w:val="TableParagraph"/>
              <w:spacing w:line="244" w:lineRule="auto"/>
              <w:ind w:left="109" w:right="109"/>
            </w:pPr>
            <w:r>
              <w:t>À la suite de la stratégie d</w:t>
            </w:r>
            <w:r w:rsidR="009B150A">
              <w:t>’</w:t>
            </w:r>
            <w:r>
              <w:t>atténuation adoptée en raison de la pandémie de COVID</w:t>
            </w:r>
            <w:r w:rsidR="00D117A8">
              <w:noBreakHyphen/>
            </w:r>
            <w:r>
              <w:t>19, il est proposé de prolonger de 12 mois le calendrier de mise en œuvre du projet, sans incidences budgétaires supplémentaires, pour</w:t>
            </w:r>
            <w:r w:rsidR="009B150A">
              <w:t> :</w:t>
            </w:r>
          </w:p>
          <w:p w14:paraId="340D8FEC" w14:textId="6F126CFC" w:rsidR="002407A3" w:rsidRPr="00B46D4E" w:rsidRDefault="002407A3" w:rsidP="00CD2D47">
            <w:pPr>
              <w:pStyle w:val="TableParagraph"/>
              <w:numPr>
                <w:ilvl w:val="0"/>
                <w:numId w:val="20"/>
              </w:numPr>
              <w:spacing w:line="244" w:lineRule="auto"/>
              <w:ind w:right="109"/>
            </w:pPr>
            <w:r>
              <w:t>mener l</w:t>
            </w:r>
            <w:r w:rsidR="009B150A">
              <w:t>’</w:t>
            </w:r>
            <w:r>
              <w:t>activité n° 2 et atteindre le résultat n° 3 en 2022</w:t>
            </w:r>
          </w:p>
          <w:p w14:paraId="4934687C" w14:textId="64F0C643" w:rsidR="009B150A" w:rsidRDefault="002407A3" w:rsidP="00CD2D47">
            <w:pPr>
              <w:pStyle w:val="TableParagraph"/>
              <w:numPr>
                <w:ilvl w:val="0"/>
                <w:numId w:val="20"/>
              </w:numPr>
              <w:spacing w:line="244" w:lineRule="auto"/>
              <w:ind w:right="109"/>
            </w:pPr>
            <w:r>
              <w:t>mener l</w:t>
            </w:r>
            <w:r w:rsidR="009B150A">
              <w:t>’</w:t>
            </w:r>
            <w:r>
              <w:t>activité n° 2 et atteindre le résultat n° 4 en 2023</w:t>
            </w:r>
          </w:p>
          <w:p w14:paraId="634B8F17" w14:textId="17C9059D" w:rsidR="009B150A" w:rsidRDefault="002407A3" w:rsidP="00CD2D47">
            <w:pPr>
              <w:pStyle w:val="TableParagraph"/>
              <w:numPr>
                <w:ilvl w:val="0"/>
                <w:numId w:val="20"/>
              </w:numPr>
              <w:spacing w:line="244" w:lineRule="auto"/>
              <w:ind w:right="109"/>
            </w:pPr>
            <w:r>
              <w:t>mener l</w:t>
            </w:r>
            <w:r w:rsidR="009B150A">
              <w:t>’</w:t>
            </w:r>
            <w:r>
              <w:t xml:space="preserve">évaluation du projet </w:t>
            </w:r>
            <w:r w:rsidR="009B150A">
              <w:t>en 2023</w:t>
            </w:r>
            <w:r>
              <w:t>.</w:t>
            </w:r>
          </w:p>
          <w:p w14:paraId="1EB6C031" w14:textId="7A9939CE" w:rsidR="002407A3" w:rsidRPr="00B46D4E" w:rsidRDefault="002407A3" w:rsidP="0026000B">
            <w:pPr>
              <w:pStyle w:val="TableParagraph"/>
              <w:spacing w:line="244" w:lineRule="auto"/>
              <w:ind w:left="469" w:right="109"/>
            </w:pPr>
          </w:p>
          <w:p w14:paraId="4FC8BDD0" w14:textId="7F302437" w:rsidR="009B150A" w:rsidRDefault="002407A3" w:rsidP="0026000B">
            <w:pPr>
              <w:pStyle w:val="TableParagraph"/>
              <w:spacing w:line="252" w:lineRule="exact"/>
              <w:ind w:left="109" w:right="721"/>
            </w:pPr>
            <w:r>
              <w:t>Compte tenu de la situation économique du marché de l</w:t>
            </w:r>
            <w:r w:rsidR="009B150A">
              <w:t>’</w:t>
            </w:r>
            <w:r>
              <w:t>audiovisuel, les résultats du projet pilote pourraient servir de base à la participation des parties prenantes aux objectifs du proj</w:t>
            </w:r>
            <w:r w:rsidR="00C17142">
              <w:t>et.  Da</w:t>
            </w:r>
            <w:r>
              <w:t>ns ce sens, le nouveau calendrier proposé tient compte des événements majeurs qui se déroulent en Amérique latine, où les résultats du projet pourraient être mis à la disposition d</w:t>
            </w:r>
            <w:r w:rsidR="009B150A">
              <w:t>’</w:t>
            </w:r>
            <w:r>
              <w:t>un plus large public.</w:t>
            </w:r>
          </w:p>
          <w:p w14:paraId="35F040F0" w14:textId="64BD5DEA" w:rsidR="002407A3" w:rsidRPr="00B46D4E" w:rsidRDefault="002407A3" w:rsidP="0026000B">
            <w:pPr>
              <w:pStyle w:val="TableParagraph"/>
              <w:spacing w:line="244" w:lineRule="auto"/>
              <w:ind w:right="109"/>
            </w:pPr>
          </w:p>
        </w:tc>
      </w:tr>
      <w:tr w:rsidR="002407A3" w:rsidRPr="000A4281" w14:paraId="03E00F8E" w14:textId="77777777" w:rsidTr="000E0E0C">
        <w:trPr>
          <w:trHeight w:val="469"/>
        </w:trPr>
        <w:tc>
          <w:tcPr>
            <w:tcW w:w="2377" w:type="dxa"/>
            <w:shd w:val="clear" w:color="auto" w:fill="68E089"/>
            <w:vAlign w:val="center"/>
          </w:tcPr>
          <w:p w14:paraId="325BFA9B" w14:textId="77777777" w:rsidR="002407A3" w:rsidRPr="00B46D4E" w:rsidRDefault="002407A3" w:rsidP="0026000B">
            <w:pPr>
              <w:pStyle w:val="TableParagraph"/>
              <w:ind w:left="110"/>
            </w:pPr>
            <w:r>
              <w:rPr>
                <w:u w:val="single"/>
              </w:rPr>
              <w:t>Voie à suivre</w:t>
            </w:r>
          </w:p>
        </w:tc>
        <w:tc>
          <w:tcPr>
            <w:tcW w:w="6913" w:type="dxa"/>
            <w:vAlign w:val="center"/>
          </w:tcPr>
          <w:p w14:paraId="5DACFAB6" w14:textId="0D3E42C8" w:rsidR="009B150A" w:rsidRDefault="002407A3" w:rsidP="0026000B">
            <w:pPr>
              <w:pStyle w:val="TableParagraph"/>
              <w:ind w:left="109" w:right="458"/>
            </w:pPr>
            <w:r>
              <w:t>Organisation de deux</w:t>
            </w:r>
            <w:r w:rsidR="00597CB2">
              <w:t> </w:t>
            </w:r>
            <w:r>
              <w:t>ateliers et d</w:t>
            </w:r>
            <w:r w:rsidR="009B150A">
              <w:t>’</w:t>
            </w:r>
            <w:r>
              <w:t xml:space="preserve">une réunion régionale </w:t>
            </w:r>
            <w:r w:rsidR="00C17142">
              <w:t>(résultat n° 2, activités n</w:t>
            </w:r>
            <w:r w:rsidR="00C17142" w:rsidRPr="00C17142">
              <w:rPr>
                <w:vertAlign w:val="superscript"/>
              </w:rPr>
              <w:t>os</w:t>
            </w:r>
            <w:r>
              <w:t> 3 et 4).</w:t>
            </w:r>
          </w:p>
          <w:p w14:paraId="1DA69F2F" w14:textId="6326AC4D" w:rsidR="00266E29" w:rsidRPr="00B46D4E" w:rsidRDefault="00266E29" w:rsidP="00266E29">
            <w:pPr>
              <w:pStyle w:val="TableParagraph"/>
              <w:ind w:right="458"/>
            </w:pPr>
          </w:p>
          <w:p w14:paraId="489EC09C" w14:textId="2FAE9B8C" w:rsidR="002407A3" w:rsidRPr="00B46D4E" w:rsidRDefault="002407A3" w:rsidP="0026000B">
            <w:pPr>
              <w:pStyle w:val="TableParagraph"/>
              <w:ind w:left="109" w:right="458"/>
            </w:pPr>
            <w:r>
              <w:t>Commande d</w:t>
            </w:r>
            <w:r w:rsidR="009B150A">
              <w:t>’</w:t>
            </w:r>
            <w:r>
              <w:t>un examen collégial des études publiées.</w:t>
            </w:r>
          </w:p>
          <w:p w14:paraId="34BB55EF" w14:textId="792E3EAC" w:rsidR="009B150A" w:rsidRDefault="002407A3" w:rsidP="0026000B">
            <w:pPr>
              <w:pStyle w:val="TableParagraph"/>
              <w:ind w:left="109" w:right="458"/>
            </w:pPr>
            <w:r>
              <w:t>Commande d</w:t>
            </w:r>
            <w:r w:rsidR="009B150A">
              <w:t>’</w:t>
            </w:r>
            <w:r>
              <w:t>une évaluation du projet pilote.</w:t>
            </w:r>
          </w:p>
          <w:p w14:paraId="4DBDC29E" w14:textId="501AF1CE" w:rsidR="002407A3" w:rsidRPr="00B46D4E" w:rsidRDefault="002407A3" w:rsidP="0026000B">
            <w:pPr>
              <w:pStyle w:val="TableParagraph"/>
              <w:ind w:left="109" w:right="458"/>
            </w:pPr>
          </w:p>
        </w:tc>
      </w:tr>
      <w:tr w:rsidR="002407A3" w:rsidRPr="000A4281" w14:paraId="41BBC085" w14:textId="77777777" w:rsidTr="000E0E0C">
        <w:trPr>
          <w:trHeight w:val="631"/>
        </w:trPr>
        <w:tc>
          <w:tcPr>
            <w:tcW w:w="2377" w:type="dxa"/>
            <w:shd w:val="clear" w:color="auto" w:fill="68E089"/>
            <w:vAlign w:val="center"/>
          </w:tcPr>
          <w:p w14:paraId="45C15A21" w14:textId="77777777" w:rsidR="002407A3" w:rsidRPr="00B46D4E" w:rsidRDefault="002407A3" w:rsidP="0026000B">
            <w:pPr>
              <w:pStyle w:val="TableParagraph"/>
              <w:spacing w:before="1"/>
              <w:ind w:left="110" w:right="732"/>
            </w:pPr>
            <w:r>
              <w:rPr>
                <w:u w:val="single"/>
              </w:rPr>
              <w:t>Calendrier de mise en œuvre</w:t>
            </w:r>
          </w:p>
        </w:tc>
        <w:tc>
          <w:tcPr>
            <w:tcW w:w="6913" w:type="dxa"/>
            <w:vAlign w:val="center"/>
          </w:tcPr>
          <w:p w14:paraId="25AB8FE3" w14:textId="12220D97" w:rsidR="002407A3" w:rsidRPr="00B46D4E" w:rsidRDefault="002407A3" w:rsidP="0026000B">
            <w:pPr>
              <w:pStyle w:val="TableParagraph"/>
              <w:spacing w:before="1"/>
              <w:ind w:left="109"/>
            </w:pPr>
            <w:r>
              <w:t>Les événements énumérés au titre du r</w:t>
            </w:r>
            <w:r w:rsidR="00C17142">
              <w:t>ésultat n° 2 et des activités n</w:t>
            </w:r>
            <w:r w:rsidR="00C17142" w:rsidRPr="00C17142">
              <w:rPr>
                <w:vertAlign w:val="superscript"/>
              </w:rPr>
              <w:t>o</w:t>
            </w:r>
            <w:r>
              <w:rPr>
                <w:vertAlign w:val="superscript"/>
              </w:rPr>
              <w:t>s</w:t>
            </w:r>
            <w:r>
              <w:t> 3 et 4 ont été reportés à l</w:t>
            </w:r>
            <w:r w:rsidR="009B150A">
              <w:t>’</w:t>
            </w:r>
            <w:r>
              <w:t xml:space="preserve">exercice </w:t>
            </w:r>
            <w:r w:rsidR="009B150A">
              <w:t>biennal 2022</w:t>
            </w:r>
            <w:r w:rsidR="00D117A8">
              <w:noBreakHyphen/>
            </w:r>
            <w:r>
              <w:t xml:space="preserve">2023. </w:t>
            </w:r>
            <w:r w:rsidR="00597CB2">
              <w:t xml:space="preserve"> </w:t>
            </w:r>
          </w:p>
        </w:tc>
      </w:tr>
      <w:tr w:rsidR="002407A3" w:rsidRPr="000A4281" w14:paraId="22E114B5" w14:textId="77777777" w:rsidTr="000E0E0C">
        <w:trPr>
          <w:trHeight w:val="613"/>
        </w:trPr>
        <w:tc>
          <w:tcPr>
            <w:tcW w:w="2377" w:type="dxa"/>
            <w:shd w:val="clear" w:color="auto" w:fill="68E089"/>
            <w:vAlign w:val="center"/>
          </w:tcPr>
          <w:p w14:paraId="5AD58BFA" w14:textId="77777777" w:rsidR="002407A3" w:rsidRPr="00B46D4E" w:rsidRDefault="002407A3" w:rsidP="0026000B">
            <w:pPr>
              <w:pStyle w:val="TableParagraph"/>
              <w:ind w:left="110" w:right="220"/>
            </w:pPr>
            <w:r>
              <w:rPr>
                <w:u w:val="single"/>
              </w:rPr>
              <w:t>Taux de réalisation du projet</w:t>
            </w:r>
          </w:p>
        </w:tc>
        <w:tc>
          <w:tcPr>
            <w:tcW w:w="6913" w:type="dxa"/>
            <w:vAlign w:val="center"/>
          </w:tcPr>
          <w:p w14:paraId="4D67D19B" w14:textId="7AC3AB47" w:rsidR="002407A3" w:rsidRPr="00B46D4E" w:rsidRDefault="00E1697C" w:rsidP="00E1697C">
            <w:pPr>
              <w:pStyle w:val="TableParagraph"/>
              <w:ind w:left="109" w:right="84"/>
            </w:pPr>
            <w:r>
              <w:t>Le taux de réalisation du projet à la fin du mois de juillet 2022, par rapport au budget total alloué au projet, était de</w:t>
            </w:r>
            <w:r w:rsidR="009B150A">
              <w:t> :</w:t>
            </w:r>
            <w:r>
              <w:t xml:space="preserve"> 27%. </w:t>
            </w:r>
            <w:r w:rsidR="00597CB2">
              <w:t xml:space="preserve"> </w:t>
            </w:r>
          </w:p>
        </w:tc>
      </w:tr>
      <w:tr w:rsidR="002407A3" w:rsidRPr="000A4281" w14:paraId="6497B643" w14:textId="77777777" w:rsidTr="000E0E0C">
        <w:trPr>
          <w:trHeight w:val="703"/>
        </w:trPr>
        <w:tc>
          <w:tcPr>
            <w:tcW w:w="2377" w:type="dxa"/>
            <w:shd w:val="clear" w:color="auto" w:fill="68E089"/>
            <w:vAlign w:val="center"/>
          </w:tcPr>
          <w:p w14:paraId="2FE41EB9" w14:textId="77777777" w:rsidR="002407A3" w:rsidRPr="00B46D4E" w:rsidRDefault="002407A3" w:rsidP="0026000B">
            <w:pPr>
              <w:pStyle w:val="TableParagraph"/>
              <w:ind w:left="110"/>
            </w:pPr>
            <w:r>
              <w:rPr>
                <w:u w:val="single"/>
              </w:rPr>
              <w:t>Rapports précédents</w:t>
            </w:r>
          </w:p>
        </w:tc>
        <w:tc>
          <w:tcPr>
            <w:tcW w:w="6913" w:type="dxa"/>
            <w:vAlign w:val="center"/>
          </w:tcPr>
          <w:p w14:paraId="5D7B772C" w14:textId="2E0E6B02" w:rsidR="002407A3" w:rsidRPr="00B46D4E" w:rsidRDefault="002407A3" w:rsidP="0026000B">
            <w:pPr>
              <w:pStyle w:val="TableParagraph"/>
              <w:ind w:left="109" w:right="892"/>
            </w:pPr>
            <w:r>
              <w:t>Il s</w:t>
            </w:r>
            <w:r w:rsidR="009B150A">
              <w:t>’</w:t>
            </w:r>
            <w:r>
              <w:t>agit du troisième rapport présenté</w:t>
            </w:r>
            <w:r w:rsidR="009B150A">
              <w:t xml:space="preserve"> au C</w:t>
            </w:r>
            <w:r w:rsidR="00C17142">
              <w:t>DIP.  Le</w:t>
            </w:r>
            <w:r>
              <w:t>s premier et deuxième rapports figurent respectivement dans l</w:t>
            </w:r>
            <w:r w:rsidR="009B150A">
              <w:t>’</w:t>
            </w:r>
            <w:r>
              <w:t xml:space="preserve">annexe V du </w:t>
            </w:r>
            <w:r w:rsidR="009B150A">
              <w:t>document CD</w:t>
            </w:r>
            <w:r>
              <w:t>IP/24/2 et l</w:t>
            </w:r>
            <w:r w:rsidR="009B150A">
              <w:t>’</w:t>
            </w:r>
            <w:r>
              <w:t xml:space="preserve">annexe VI du </w:t>
            </w:r>
            <w:r w:rsidR="009B150A">
              <w:t>document CD</w:t>
            </w:r>
            <w:r>
              <w:t xml:space="preserve">IP/26/2.  </w:t>
            </w:r>
          </w:p>
        </w:tc>
      </w:tr>
    </w:tbl>
    <w:p w14:paraId="2B381C08" w14:textId="20C9F21A" w:rsidR="001F541D" w:rsidRDefault="001F541D" w:rsidP="001F541D"/>
    <w:p w14:paraId="7E59A41C" w14:textId="77777777" w:rsidR="00B55616" w:rsidRPr="000A4281" w:rsidRDefault="00B55616" w:rsidP="001F541D"/>
    <w:p w14:paraId="229823C4" w14:textId="4A37B67B" w:rsidR="00CA6187" w:rsidRPr="000A4281" w:rsidRDefault="00CA6187" w:rsidP="00F70660">
      <w:pPr>
        <w:pStyle w:val="BodyText"/>
        <w:keepNext/>
        <w:spacing w:before="94"/>
        <w:ind w:left="136"/>
      </w:pPr>
      <w:r>
        <w:lastRenderedPageBreak/>
        <w:t>AUTO</w:t>
      </w:r>
      <w:r w:rsidR="00D117A8">
        <w:noBreakHyphen/>
      </w:r>
      <w:r>
        <w:t>ÉVALUATION DU PROJET</w:t>
      </w:r>
    </w:p>
    <w:p w14:paraId="41A0ED45" w14:textId="4B623F2F" w:rsidR="00CA6187" w:rsidRPr="000A4281" w:rsidRDefault="00CA6187" w:rsidP="00CA6187">
      <w:pPr>
        <w:pStyle w:val="BodyText"/>
        <w:ind w:left="136"/>
      </w:pPr>
      <w:r>
        <w:t>Code d</w:t>
      </w:r>
      <w:r w:rsidR="009B150A">
        <w:t>’</w:t>
      </w:r>
      <w:r>
        <w:t>évaluation</w:t>
      </w:r>
    </w:p>
    <w:tbl>
      <w:tblPr>
        <w:tblW w:w="937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841"/>
        <w:gridCol w:w="1843"/>
        <w:gridCol w:w="1701"/>
        <w:gridCol w:w="1842"/>
        <w:gridCol w:w="2143"/>
      </w:tblGrid>
      <w:tr w:rsidR="00CA6187" w:rsidRPr="000A4281" w14:paraId="55734527" w14:textId="77777777" w:rsidTr="00A67641">
        <w:trPr>
          <w:trHeight w:val="470"/>
        </w:trPr>
        <w:tc>
          <w:tcPr>
            <w:tcW w:w="1841" w:type="dxa"/>
            <w:shd w:val="clear" w:color="auto" w:fill="7BBEDA"/>
            <w:vAlign w:val="center"/>
          </w:tcPr>
          <w:p w14:paraId="0D70D68F" w14:textId="77777777" w:rsidR="00CA6187" w:rsidRPr="000A4281" w:rsidRDefault="00CA6187" w:rsidP="0026000B">
            <w:pPr>
              <w:pStyle w:val="TableParagraph"/>
              <w:spacing w:before="106"/>
              <w:ind w:left="110"/>
            </w:pPr>
            <w:r>
              <w:t>****</w:t>
            </w:r>
          </w:p>
        </w:tc>
        <w:tc>
          <w:tcPr>
            <w:tcW w:w="1843" w:type="dxa"/>
            <w:shd w:val="clear" w:color="auto" w:fill="7BBEDA"/>
            <w:vAlign w:val="center"/>
          </w:tcPr>
          <w:p w14:paraId="3CE3EC50" w14:textId="77777777" w:rsidR="00CA6187" w:rsidRPr="000A4281" w:rsidRDefault="00CA6187" w:rsidP="0026000B">
            <w:pPr>
              <w:pStyle w:val="TableParagraph"/>
              <w:spacing w:before="106"/>
              <w:ind w:left="110"/>
            </w:pPr>
            <w:r>
              <w:t>***</w:t>
            </w:r>
          </w:p>
        </w:tc>
        <w:tc>
          <w:tcPr>
            <w:tcW w:w="1701" w:type="dxa"/>
            <w:shd w:val="clear" w:color="auto" w:fill="7BBEDA"/>
            <w:vAlign w:val="center"/>
          </w:tcPr>
          <w:p w14:paraId="0EED9407" w14:textId="77777777" w:rsidR="00CA6187" w:rsidRPr="000A4281" w:rsidRDefault="00CA6187" w:rsidP="0026000B">
            <w:pPr>
              <w:pStyle w:val="TableParagraph"/>
              <w:spacing w:before="106"/>
              <w:ind w:left="108"/>
            </w:pPr>
            <w:r>
              <w:t>**</w:t>
            </w:r>
          </w:p>
        </w:tc>
        <w:tc>
          <w:tcPr>
            <w:tcW w:w="1842" w:type="dxa"/>
            <w:shd w:val="clear" w:color="auto" w:fill="7BBEDA"/>
            <w:vAlign w:val="center"/>
          </w:tcPr>
          <w:p w14:paraId="4B5497A6" w14:textId="77777777" w:rsidR="00CA6187" w:rsidRPr="000A4281" w:rsidRDefault="00CA6187" w:rsidP="0026000B">
            <w:pPr>
              <w:pStyle w:val="TableParagraph"/>
              <w:spacing w:before="106"/>
              <w:ind w:left="108"/>
            </w:pPr>
            <w:r>
              <w:t>AP</w:t>
            </w:r>
          </w:p>
        </w:tc>
        <w:tc>
          <w:tcPr>
            <w:tcW w:w="2143" w:type="dxa"/>
            <w:shd w:val="clear" w:color="auto" w:fill="7BBEDA"/>
            <w:vAlign w:val="center"/>
          </w:tcPr>
          <w:p w14:paraId="074AA39C" w14:textId="77777777" w:rsidR="00CA6187" w:rsidRPr="000A4281" w:rsidRDefault="00CA6187" w:rsidP="0026000B">
            <w:pPr>
              <w:pStyle w:val="TableParagraph"/>
              <w:spacing w:before="106"/>
              <w:ind w:left="110"/>
            </w:pPr>
            <w:r>
              <w:t>s.o.</w:t>
            </w:r>
          </w:p>
        </w:tc>
      </w:tr>
      <w:tr w:rsidR="00CA6187" w:rsidRPr="000A4281" w14:paraId="0D66329A" w14:textId="77777777" w:rsidTr="00A67641">
        <w:trPr>
          <w:trHeight w:val="506"/>
        </w:trPr>
        <w:tc>
          <w:tcPr>
            <w:tcW w:w="1841" w:type="dxa"/>
            <w:shd w:val="clear" w:color="auto" w:fill="7BBEDA"/>
            <w:vAlign w:val="center"/>
          </w:tcPr>
          <w:p w14:paraId="4230CCD3" w14:textId="31F5F7EC" w:rsidR="00CA6187" w:rsidRPr="000A4281" w:rsidRDefault="00A67641" w:rsidP="0026000B">
            <w:pPr>
              <w:pStyle w:val="TableParagraph"/>
              <w:spacing w:line="252" w:lineRule="exact"/>
              <w:ind w:left="110" w:right="408"/>
            </w:pPr>
            <w:r>
              <w:t xml:space="preserve">Objectifs pleinement </w:t>
            </w:r>
            <w:r w:rsidR="00CA6187">
              <w:t>atteint</w:t>
            </w:r>
            <w:r>
              <w:t>s</w:t>
            </w:r>
          </w:p>
        </w:tc>
        <w:tc>
          <w:tcPr>
            <w:tcW w:w="1843" w:type="dxa"/>
            <w:shd w:val="clear" w:color="auto" w:fill="7BBEDA"/>
            <w:vAlign w:val="center"/>
          </w:tcPr>
          <w:p w14:paraId="652E8474" w14:textId="77777777" w:rsidR="00CA6187" w:rsidRPr="000A4281" w:rsidRDefault="00CA6187" w:rsidP="0026000B">
            <w:pPr>
              <w:pStyle w:val="TableParagraph"/>
              <w:spacing w:line="252" w:lineRule="exact"/>
              <w:ind w:left="110" w:right="687"/>
            </w:pPr>
            <w:r>
              <w:t>De grands progrès</w:t>
            </w:r>
          </w:p>
        </w:tc>
        <w:tc>
          <w:tcPr>
            <w:tcW w:w="1701" w:type="dxa"/>
            <w:shd w:val="clear" w:color="auto" w:fill="7BBEDA"/>
            <w:vAlign w:val="center"/>
          </w:tcPr>
          <w:p w14:paraId="449C531F" w14:textId="77777777" w:rsidR="00CA6187" w:rsidRPr="000A4281" w:rsidRDefault="00CA6187" w:rsidP="0026000B">
            <w:pPr>
              <w:pStyle w:val="TableParagraph"/>
              <w:spacing w:line="251" w:lineRule="exact"/>
              <w:ind w:left="108"/>
            </w:pPr>
            <w:r>
              <w:t>Quelques progrès</w:t>
            </w:r>
          </w:p>
        </w:tc>
        <w:tc>
          <w:tcPr>
            <w:tcW w:w="1842" w:type="dxa"/>
            <w:shd w:val="clear" w:color="auto" w:fill="7BBEDA"/>
            <w:vAlign w:val="center"/>
          </w:tcPr>
          <w:p w14:paraId="3C2DA534" w14:textId="5F511E51" w:rsidR="00CA6187" w:rsidRPr="000A4281" w:rsidRDefault="00A67641" w:rsidP="0026000B">
            <w:pPr>
              <w:pStyle w:val="TableParagraph"/>
              <w:spacing w:line="251" w:lineRule="exact"/>
              <w:ind w:left="108"/>
            </w:pPr>
            <w:r>
              <w:t>Aucun</w:t>
            </w:r>
            <w:r w:rsidR="00CA6187">
              <w:t xml:space="preserve"> progrès</w:t>
            </w:r>
          </w:p>
        </w:tc>
        <w:tc>
          <w:tcPr>
            <w:tcW w:w="2143" w:type="dxa"/>
            <w:shd w:val="clear" w:color="auto" w:fill="7BBEDA"/>
            <w:vAlign w:val="center"/>
          </w:tcPr>
          <w:p w14:paraId="3E2786AB" w14:textId="31A96FFA" w:rsidR="00CA6187" w:rsidRPr="000A4281" w:rsidRDefault="00A67641" w:rsidP="0026000B">
            <w:pPr>
              <w:pStyle w:val="TableParagraph"/>
              <w:spacing w:line="252" w:lineRule="exact"/>
              <w:ind w:left="110" w:right="203"/>
            </w:pPr>
            <w:r>
              <w:t>Non</w:t>
            </w:r>
            <w:r w:rsidR="00CA6187">
              <w:t xml:space="preserve"> évalué/</w:t>
            </w:r>
            <w:r w:rsidR="00F70660">
              <w:t xml:space="preserve"> </w:t>
            </w:r>
            <w:r w:rsidR="00CA6187">
              <w:t>abandonné</w:t>
            </w:r>
          </w:p>
        </w:tc>
      </w:tr>
    </w:tbl>
    <w:p w14:paraId="24B007AD" w14:textId="77777777" w:rsidR="00CA6187" w:rsidRPr="000A4281" w:rsidRDefault="00CA6187" w:rsidP="00CA61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Outputs"/>
      </w:tblPr>
      <w:tblGrid>
        <w:gridCol w:w="2410"/>
        <w:gridCol w:w="2695"/>
        <w:gridCol w:w="2865"/>
        <w:gridCol w:w="1412"/>
      </w:tblGrid>
      <w:tr w:rsidR="00CA6187" w:rsidRPr="000A4281" w14:paraId="5FEF80D9" w14:textId="77777777" w:rsidTr="007461B1">
        <w:trPr>
          <w:trHeight w:val="1264"/>
        </w:trPr>
        <w:tc>
          <w:tcPr>
            <w:tcW w:w="2410" w:type="dxa"/>
            <w:shd w:val="clear" w:color="auto" w:fill="68E089"/>
            <w:vAlign w:val="center"/>
          </w:tcPr>
          <w:p w14:paraId="10234780" w14:textId="77777777" w:rsidR="00CA6187" w:rsidRPr="000A4281" w:rsidRDefault="00CA6187" w:rsidP="0026000B">
            <w:pPr>
              <w:pStyle w:val="TableParagraph"/>
              <w:spacing w:before="10"/>
            </w:pPr>
          </w:p>
          <w:p w14:paraId="347AB033" w14:textId="04561762" w:rsidR="00CA6187" w:rsidRPr="000A4281" w:rsidRDefault="00CA6187" w:rsidP="0026000B">
            <w:pPr>
              <w:pStyle w:val="TableParagraph"/>
              <w:ind w:left="110" w:right="624"/>
            </w:pPr>
            <w:r>
              <w:rPr>
                <w:u w:val="single"/>
              </w:rPr>
              <w:t>Résultats du projet</w:t>
            </w:r>
            <w:r>
              <w:rPr>
                <w:vertAlign w:val="superscript"/>
              </w:rPr>
              <w:t>3</w:t>
            </w:r>
            <w:r w:rsidR="007461B1">
              <w:t xml:space="preserve"> </w:t>
            </w:r>
            <w:r w:rsidR="007461B1">
              <w:br/>
            </w:r>
            <w:r>
              <w:t>(Résultat escompté)</w:t>
            </w:r>
          </w:p>
        </w:tc>
        <w:tc>
          <w:tcPr>
            <w:tcW w:w="2695" w:type="dxa"/>
            <w:shd w:val="clear" w:color="auto" w:fill="68E089"/>
            <w:vAlign w:val="center"/>
          </w:tcPr>
          <w:p w14:paraId="61C65EEE" w14:textId="77777777" w:rsidR="00CA6187" w:rsidRPr="000A4281" w:rsidRDefault="00CA6187" w:rsidP="0026000B">
            <w:pPr>
              <w:pStyle w:val="TableParagraph"/>
              <w:spacing w:before="10"/>
            </w:pPr>
          </w:p>
          <w:p w14:paraId="5611BCFB" w14:textId="208BDACD" w:rsidR="009B150A" w:rsidRDefault="00CA6187" w:rsidP="0026000B">
            <w:pPr>
              <w:pStyle w:val="TableParagraph"/>
              <w:ind w:left="110" w:right="236"/>
            </w:pPr>
            <w:r>
              <w:rPr>
                <w:u w:val="single"/>
              </w:rPr>
              <w:t>Indicateurs d</w:t>
            </w:r>
            <w:r w:rsidR="009B150A">
              <w:rPr>
                <w:u w:val="single"/>
              </w:rPr>
              <w:t>’</w:t>
            </w:r>
            <w:r>
              <w:rPr>
                <w:u w:val="single"/>
              </w:rPr>
              <w:t>exécution</w:t>
            </w:r>
          </w:p>
          <w:p w14:paraId="0B956535" w14:textId="11DC9375" w:rsidR="00CA6187" w:rsidRPr="000A4281" w:rsidRDefault="00CA6187" w:rsidP="0026000B">
            <w:pPr>
              <w:pStyle w:val="TableParagraph"/>
              <w:spacing w:before="1"/>
              <w:ind w:left="110"/>
            </w:pPr>
            <w:r>
              <w:t>(indicateurs de résultats)</w:t>
            </w:r>
          </w:p>
        </w:tc>
        <w:tc>
          <w:tcPr>
            <w:tcW w:w="2865" w:type="dxa"/>
            <w:shd w:val="clear" w:color="auto" w:fill="68E089"/>
            <w:vAlign w:val="center"/>
          </w:tcPr>
          <w:p w14:paraId="7D5849AA" w14:textId="77777777" w:rsidR="00CA6187" w:rsidRPr="000A4281" w:rsidRDefault="00CA6187" w:rsidP="0026000B">
            <w:pPr>
              <w:pStyle w:val="TableParagraph"/>
              <w:spacing w:before="10"/>
            </w:pPr>
          </w:p>
          <w:p w14:paraId="3F0EED6D" w14:textId="6159B0C6" w:rsidR="00CA6187" w:rsidRPr="000A4281" w:rsidRDefault="00CA6187" w:rsidP="0026000B">
            <w:pPr>
              <w:pStyle w:val="TableParagraph"/>
              <w:ind w:left="108"/>
            </w:pPr>
            <w:r>
              <w:rPr>
                <w:u w:val="single"/>
              </w:rPr>
              <w:t>Données relatives à l</w:t>
            </w:r>
            <w:r w:rsidR="009B150A">
              <w:rPr>
                <w:u w:val="single"/>
              </w:rPr>
              <w:t>’</w:t>
            </w:r>
            <w:r>
              <w:rPr>
                <w:u w:val="single"/>
              </w:rPr>
              <w:t>exécution</w:t>
            </w:r>
          </w:p>
        </w:tc>
        <w:tc>
          <w:tcPr>
            <w:tcW w:w="1412" w:type="dxa"/>
            <w:shd w:val="clear" w:color="auto" w:fill="68E089"/>
            <w:vAlign w:val="center"/>
          </w:tcPr>
          <w:p w14:paraId="3AB75360" w14:textId="77777777" w:rsidR="00CA6187" w:rsidRPr="000A4281" w:rsidRDefault="00CA6187" w:rsidP="0026000B">
            <w:pPr>
              <w:pStyle w:val="TableParagraph"/>
              <w:spacing w:before="10"/>
            </w:pPr>
          </w:p>
          <w:p w14:paraId="26066F7B" w14:textId="410908FA" w:rsidR="00CA6187" w:rsidRPr="000A4281" w:rsidRDefault="00CA6187" w:rsidP="0026000B">
            <w:pPr>
              <w:pStyle w:val="TableParagraph"/>
              <w:ind w:left="111"/>
            </w:pPr>
            <w:r>
              <w:rPr>
                <w:u w:val="single"/>
              </w:rPr>
              <w:t>Code d</w:t>
            </w:r>
            <w:r w:rsidR="009B150A">
              <w:rPr>
                <w:u w:val="single"/>
              </w:rPr>
              <w:t>’</w:t>
            </w:r>
            <w:r>
              <w:rPr>
                <w:u w:val="single"/>
              </w:rPr>
              <w:t>évaluation</w:t>
            </w:r>
          </w:p>
        </w:tc>
      </w:tr>
      <w:tr w:rsidR="00CA6187" w:rsidRPr="000A4281" w14:paraId="4131E966" w14:textId="77777777" w:rsidTr="007461B1">
        <w:trPr>
          <w:trHeight w:val="508"/>
        </w:trPr>
        <w:tc>
          <w:tcPr>
            <w:tcW w:w="2410" w:type="dxa"/>
            <w:tcBorders>
              <w:right w:val="single" w:sz="6" w:space="0" w:color="000000"/>
            </w:tcBorders>
            <w:vAlign w:val="center"/>
          </w:tcPr>
          <w:p w14:paraId="022EE365" w14:textId="01BFF096" w:rsidR="00CA6187" w:rsidRPr="000A4281" w:rsidRDefault="00CA6187" w:rsidP="0026000B">
            <w:pPr>
              <w:rPr>
                <w:bCs/>
              </w:rPr>
            </w:pPr>
            <w:r>
              <w:t>Résultat n° 1</w:t>
            </w:r>
            <w:r w:rsidR="009B150A">
              <w:t> :</w:t>
            </w:r>
            <w:r>
              <w:t xml:space="preserve"> Meilleure connaissance du rôle du droit d</w:t>
            </w:r>
            <w:r w:rsidR="009B150A">
              <w:t>’</w:t>
            </w:r>
            <w:r>
              <w:t>auteur et des droits connexes dans la distribution de contenu audiovisuel accessible en ligne</w:t>
            </w:r>
          </w:p>
        </w:tc>
        <w:tc>
          <w:tcPr>
            <w:tcW w:w="2695" w:type="dxa"/>
            <w:tcBorders>
              <w:left w:val="single" w:sz="6" w:space="0" w:color="000000"/>
              <w:bottom w:val="single" w:sz="6" w:space="0" w:color="000000"/>
            </w:tcBorders>
            <w:vAlign w:val="center"/>
          </w:tcPr>
          <w:p w14:paraId="5BD65602" w14:textId="78C020DD" w:rsidR="00CA6187" w:rsidRPr="000A4281" w:rsidRDefault="00CA6187" w:rsidP="0026000B">
            <w:r>
              <w:t>Activité n° 1</w:t>
            </w:r>
            <w:r w:rsidR="009B150A">
              <w:t> :</w:t>
            </w:r>
            <w:r w:rsidR="00597CB2">
              <w:t xml:space="preserve"> </w:t>
            </w:r>
            <w:r>
              <w:tab/>
              <w:t>Présentation d</w:t>
            </w:r>
            <w:r w:rsidR="009B150A">
              <w:t>’</w:t>
            </w:r>
            <w:r>
              <w:t>une étude sur le cadre juridique du droit d</w:t>
            </w:r>
            <w:r w:rsidR="009B150A">
              <w:t>’</w:t>
            </w:r>
            <w:r>
              <w:t>auteur et la concession de licences pour les œuvres audiovisuelles dans l</w:t>
            </w:r>
            <w:r w:rsidR="009B150A">
              <w:t>’</w:t>
            </w:r>
            <w:r>
              <w:t>environnement numérique</w:t>
            </w:r>
          </w:p>
          <w:p w14:paraId="48AE6D09" w14:textId="77777777" w:rsidR="00CA6187" w:rsidRPr="000A4281" w:rsidRDefault="00CA6187" w:rsidP="0026000B"/>
          <w:p w14:paraId="6699C8BC" w14:textId="7DB9C2D4" w:rsidR="00CA6187" w:rsidRPr="000A4281" w:rsidRDefault="00CA6187" w:rsidP="0026000B">
            <w:r>
              <w:t>Activité n° 2</w:t>
            </w:r>
            <w:r w:rsidR="009B150A">
              <w:t> :</w:t>
            </w:r>
            <w:r w:rsidR="00597CB2">
              <w:t xml:space="preserve"> </w:t>
            </w:r>
            <w:r>
              <w:tab/>
              <w:t>Présentation d</w:t>
            </w:r>
            <w:r w:rsidR="009B150A">
              <w:t>’</w:t>
            </w:r>
            <w:r>
              <w:t>un résumé du droit d</w:t>
            </w:r>
            <w:r w:rsidR="009B150A">
              <w:t>’</w:t>
            </w:r>
            <w:r>
              <w:t>auteur et des droits connexes applicables au niveau national pour la concession de licences sur le contenu audiovisuel accessible en ligne</w:t>
            </w:r>
          </w:p>
          <w:p w14:paraId="34B6C5AA" w14:textId="77777777" w:rsidR="00CA6187" w:rsidRPr="000A4281" w:rsidRDefault="00CA6187" w:rsidP="0026000B"/>
          <w:p w14:paraId="62C9DDC7" w14:textId="5A744BA8" w:rsidR="00CA6187" w:rsidRPr="000A4281" w:rsidRDefault="00CA6187" w:rsidP="0026000B">
            <w:r>
              <w:t>Activité n° 3</w:t>
            </w:r>
            <w:r w:rsidR="009B150A">
              <w:t> :</w:t>
            </w:r>
            <w:r w:rsidR="00597CB2">
              <w:t xml:space="preserve"> </w:t>
            </w:r>
            <w:r>
              <w:tab/>
              <w:t>Présentation d</w:t>
            </w:r>
            <w:r w:rsidR="009B150A">
              <w:t>’</w:t>
            </w:r>
            <w:r>
              <w:t>une étude sur les œuvres audiovisuelles figurant dans le domaine public dans les pays participants</w:t>
            </w:r>
          </w:p>
        </w:tc>
        <w:tc>
          <w:tcPr>
            <w:tcW w:w="2865" w:type="dxa"/>
            <w:vAlign w:val="center"/>
          </w:tcPr>
          <w:p w14:paraId="754DFF05" w14:textId="6E1B3F46" w:rsidR="00CA6187" w:rsidRPr="000A4281" w:rsidRDefault="00CA6187" w:rsidP="0026000B">
            <w:r>
              <w:t>Finalisé dans l</w:t>
            </w:r>
            <w:r w:rsidR="009B150A">
              <w:t>’</w:t>
            </w:r>
            <w:r>
              <w:t>étude I du projet.</w:t>
            </w:r>
          </w:p>
          <w:p w14:paraId="4C3D59F4" w14:textId="77777777" w:rsidR="00CA6187" w:rsidRPr="000A4281" w:rsidRDefault="00CA6187" w:rsidP="0026000B"/>
          <w:p w14:paraId="68B0B849" w14:textId="77777777" w:rsidR="00CA6187" w:rsidRPr="000A4281" w:rsidRDefault="00CA6187" w:rsidP="0026000B"/>
          <w:p w14:paraId="5E9AAFC5" w14:textId="77777777" w:rsidR="00CA6187" w:rsidRPr="000A4281" w:rsidRDefault="00CA6187" w:rsidP="0026000B"/>
          <w:p w14:paraId="6F55FDF1" w14:textId="77777777" w:rsidR="00CA6187" w:rsidRPr="000A4281" w:rsidRDefault="00CA6187" w:rsidP="0026000B"/>
          <w:p w14:paraId="68B75B02" w14:textId="7EDE52B8" w:rsidR="009B150A" w:rsidRDefault="00CA6187" w:rsidP="0026000B">
            <w:r>
              <w:t>Finalisé dans la deuxième partie de l</w:t>
            </w:r>
            <w:r w:rsidR="009B150A">
              <w:t>’</w:t>
            </w:r>
            <w:r>
              <w:t>étude I du projet (annexe).</w:t>
            </w:r>
          </w:p>
          <w:p w14:paraId="6E3A5BB1" w14:textId="018BBBFC" w:rsidR="00CA6187" w:rsidRPr="000A4281" w:rsidRDefault="00CA6187" w:rsidP="0026000B"/>
          <w:p w14:paraId="4FDC76DB" w14:textId="77777777" w:rsidR="00CA6187" w:rsidRPr="000A4281" w:rsidRDefault="00CA6187" w:rsidP="0026000B"/>
          <w:p w14:paraId="57C89C94" w14:textId="77777777" w:rsidR="00CA6187" w:rsidRPr="000A4281" w:rsidRDefault="00CA6187" w:rsidP="0026000B"/>
          <w:p w14:paraId="462BBE9E" w14:textId="77777777" w:rsidR="00CA6187" w:rsidRPr="000A4281" w:rsidRDefault="00CA6187" w:rsidP="0026000B"/>
          <w:p w14:paraId="173C9FF9" w14:textId="77777777" w:rsidR="00CA6187" w:rsidRPr="000A4281" w:rsidRDefault="00CA6187" w:rsidP="0026000B"/>
          <w:p w14:paraId="0BD1CE81" w14:textId="283876E1" w:rsidR="00CA6187" w:rsidRPr="000A4281" w:rsidRDefault="00CA6187" w:rsidP="0026000B">
            <w:r>
              <w:t>Finalisé dans l</w:t>
            </w:r>
            <w:r w:rsidR="009B150A">
              <w:t>’</w:t>
            </w:r>
            <w:r>
              <w:t>étude</w:t>
            </w:r>
            <w:r w:rsidR="00A65F61">
              <w:t> </w:t>
            </w:r>
            <w:r>
              <w:t xml:space="preserve">II du projet. </w:t>
            </w:r>
            <w:r w:rsidR="00597CB2">
              <w:t xml:space="preserve"> </w:t>
            </w:r>
          </w:p>
        </w:tc>
        <w:tc>
          <w:tcPr>
            <w:tcW w:w="1412" w:type="dxa"/>
            <w:vAlign w:val="center"/>
          </w:tcPr>
          <w:p w14:paraId="0AEBE370" w14:textId="77777777" w:rsidR="00CA6187" w:rsidRPr="000A4281" w:rsidRDefault="00CA6187" w:rsidP="0026000B">
            <w:pPr>
              <w:pStyle w:val="TableParagraph"/>
            </w:pPr>
            <w:r>
              <w:t>****</w:t>
            </w:r>
          </w:p>
          <w:p w14:paraId="1680F87C" w14:textId="77777777" w:rsidR="00CA6187" w:rsidRPr="000A4281" w:rsidRDefault="00CA6187" w:rsidP="0026000B">
            <w:pPr>
              <w:pStyle w:val="TableParagraph"/>
            </w:pPr>
          </w:p>
          <w:p w14:paraId="6CC97ABF" w14:textId="77777777" w:rsidR="00CA6187" w:rsidRPr="000A4281" w:rsidRDefault="00CA6187" w:rsidP="0026000B">
            <w:pPr>
              <w:pStyle w:val="TableParagraph"/>
            </w:pPr>
          </w:p>
          <w:p w14:paraId="0876D917" w14:textId="77777777" w:rsidR="00CA6187" w:rsidRPr="000A4281" w:rsidRDefault="00CA6187" w:rsidP="0026000B">
            <w:pPr>
              <w:pStyle w:val="TableParagraph"/>
            </w:pPr>
          </w:p>
          <w:p w14:paraId="527309D1" w14:textId="77777777" w:rsidR="00CA6187" w:rsidRPr="000A4281" w:rsidRDefault="00CA6187" w:rsidP="0026000B">
            <w:pPr>
              <w:pStyle w:val="TableParagraph"/>
            </w:pPr>
          </w:p>
          <w:p w14:paraId="224C7530" w14:textId="77777777" w:rsidR="00CA6187" w:rsidRPr="000A4281" w:rsidRDefault="00CA6187" w:rsidP="0026000B">
            <w:pPr>
              <w:pStyle w:val="TableParagraph"/>
            </w:pPr>
          </w:p>
          <w:p w14:paraId="6A38793E" w14:textId="77777777" w:rsidR="00CA6187" w:rsidRPr="000A4281" w:rsidRDefault="00CA6187" w:rsidP="0026000B">
            <w:pPr>
              <w:pStyle w:val="TableParagraph"/>
            </w:pPr>
            <w:r>
              <w:t>****</w:t>
            </w:r>
          </w:p>
          <w:p w14:paraId="13903251" w14:textId="77777777" w:rsidR="00CA6187" w:rsidRPr="000A4281" w:rsidRDefault="00CA6187" w:rsidP="0026000B">
            <w:pPr>
              <w:pStyle w:val="TableParagraph"/>
            </w:pPr>
          </w:p>
          <w:p w14:paraId="1DE70B65" w14:textId="77777777" w:rsidR="00CA6187" w:rsidRPr="000A4281" w:rsidRDefault="00CA6187" w:rsidP="0026000B">
            <w:pPr>
              <w:pStyle w:val="TableParagraph"/>
            </w:pPr>
          </w:p>
          <w:p w14:paraId="43ACDD7C" w14:textId="77777777" w:rsidR="00CA6187" w:rsidRPr="000A4281" w:rsidRDefault="00CA6187" w:rsidP="0026000B">
            <w:pPr>
              <w:pStyle w:val="TableParagraph"/>
            </w:pPr>
          </w:p>
          <w:p w14:paraId="59B9B5F0" w14:textId="77777777" w:rsidR="00CA6187" w:rsidRPr="000A4281" w:rsidRDefault="00CA6187" w:rsidP="0026000B">
            <w:pPr>
              <w:pStyle w:val="TableParagraph"/>
            </w:pPr>
          </w:p>
          <w:p w14:paraId="44859480" w14:textId="77777777" w:rsidR="00CA6187" w:rsidRPr="000A4281" w:rsidRDefault="00CA6187" w:rsidP="0026000B">
            <w:pPr>
              <w:pStyle w:val="TableParagraph"/>
            </w:pPr>
          </w:p>
          <w:p w14:paraId="539EC3F2" w14:textId="77777777" w:rsidR="00CA6187" w:rsidRPr="000A4281" w:rsidRDefault="00CA6187" w:rsidP="0026000B">
            <w:pPr>
              <w:pStyle w:val="TableParagraph"/>
            </w:pPr>
          </w:p>
          <w:p w14:paraId="0CD005C4" w14:textId="77777777" w:rsidR="00CA6187" w:rsidRPr="000A4281" w:rsidRDefault="00CA6187" w:rsidP="0026000B">
            <w:pPr>
              <w:pStyle w:val="TableParagraph"/>
            </w:pPr>
            <w:r>
              <w:t>****</w:t>
            </w:r>
          </w:p>
          <w:p w14:paraId="2379E46E" w14:textId="77777777" w:rsidR="00CA6187" w:rsidRPr="000A4281" w:rsidRDefault="00CA6187" w:rsidP="0026000B">
            <w:pPr>
              <w:pStyle w:val="TableParagraph"/>
            </w:pPr>
          </w:p>
          <w:p w14:paraId="163D1A98" w14:textId="77777777" w:rsidR="00CA6187" w:rsidRPr="000A4281" w:rsidRDefault="00CA6187" w:rsidP="0026000B">
            <w:pPr>
              <w:pStyle w:val="TableParagraph"/>
            </w:pPr>
          </w:p>
        </w:tc>
      </w:tr>
      <w:tr w:rsidR="00CA6187" w:rsidRPr="000A4281" w14:paraId="15885A7E" w14:textId="77777777" w:rsidTr="007461B1">
        <w:trPr>
          <w:trHeight w:val="510"/>
        </w:trPr>
        <w:tc>
          <w:tcPr>
            <w:tcW w:w="2410" w:type="dxa"/>
            <w:tcBorders>
              <w:right w:val="single" w:sz="6" w:space="0" w:color="000000"/>
            </w:tcBorders>
            <w:vAlign w:val="center"/>
          </w:tcPr>
          <w:p w14:paraId="32D3C007" w14:textId="7DEBB265" w:rsidR="00CA6187" w:rsidRPr="000A4281" w:rsidRDefault="00CA6187" w:rsidP="0026000B">
            <w:pPr>
              <w:rPr>
                <w:bCs/>
              </w:rPr>
            </w:pPr>
            <w:r>
              <w:t>Résultat n° 2</w:t>
            </w:r>
            <w:r w:rsidR="009B150A">
              <w:t> :</w:t>
            </w:r>
            <w:r>
              <w:t xml:space="preserve"> Meilleure compréhension de la situation actuelle en matière de concession de licences dans l</w:t>
            </w:r>
            <w:r w:rsidR="009B150A">
              <w:t>’</w:t>
            </w:r>
            <w:r>
              <w:t>environnement numérique</w:t>
            </w:r>
          </w:p>
        </w:tc>
        <w:tc>
          <w:tcPr>
            <w:tcW w:w="2695" w:type="dxa"/>
            <w:tcBorders>
              <w:top w:val="single" w:sz="6" w:space="0" w:color="000000"/>
              <w:left w:val="single" w:sz="6" w:space="0" w:color="000000"/>
              <w:bottom w:val="single" w:sz="6" w:space="0" w:color="000000"/>
            </w:tcBorders>
            <w:vAlign w:val="center"/>
          </w:tcPr>
          <w:p w14:paraId="007A9B72" w14:textId="723A1190" w:rsidR="00CA6187" w:rsidRPr="000A4281" w:rsidRDefault="00CA6187" w:rsidP="0026000B">
            <w:r>
              <w:t>Activité n° 1</w:t>
            </w:r>
            <w:r w:rsidR="009B150A">
              <w:t> :</w:t>
            </w:r>
            <w:r w:rsidR="00597CB2">
              <w:t xml:space="preserve"> </w:t>
            </w:r>
            <w:r>
              <w:tab/>
              <w:t>Présentation d</w:t>
            </w:r>
            <w:r w:rsidR="009B150A">
              <w:t>’</w:t>
            </w:r>
            <w:r>
              <w:t>une évaluation concernant le processus de distribution de contenu par l</w:t>
            </w:r>
            <w:r w:rsidR="009B150A">
              <w:t>’</w:t>
            </w:r>
            <w:r>
              <w:t>intermédiaire des circuits numériques dans les pays retenus</w:t>
            </w:r>
          </w:p>
          <w:p w14:paraId="7AAA2227" w14:textId="77777777" w:rsidR="00CA6187" w:rsidRPr="000A4281" w:rsidRDefault="00CA6187" w:rsidP="0026000B"/>
          <w:p w14:paraId="6BED25C8" w14:textId="38C0A33F" w:rsidR="00CA6187" w:rsidRPr="000A4281" w:rsidRDefault="00CA6187" w:rsidP="0026000B">
            <w:r>
              <w:t>Activité n° 2</w:t>
            </w:r>
            <w:r w:rsidR="009B150A">
              <w:t> :</w:t>
            </w:r>
            <w:r w:rsidR="00597CB2">
              <w:t xml:space="preserve"> </w:t>
            </w:r>
            <w:r>
              <w:tab/>
              <w:t>Présentation d</w:t>
            </w:r>
            <w:r w:rsidR="009B150A">
              <w:t>’</w:t>
            </w:r>
            <w:r>
              <w:t>une étude économique sur le marché audiovisuel numérique</w:t>
            </w:r>
          </w:p>
          <w:p w14:paraId="03CF5987" w14:textId="77777777" w:rsidR="00CA6187" w:rsidRPr="000A4281" w:rsidRDefault="00CA6187" w:rsidP="0026000B"/>
          <w:p w14:paraId="44AA4ADD" w14:textId="6D4335FD" w:rsidR="00CA6187" w:rsidRPr="000A4281" w:rsidRDefault="00CA6187" w:rsidP="0026000B">
            <w:r>
              <w:t>Activité n° 3</w:t>
            </w:r>
            <w:r w:rsidR="009B150A">
              <w:t> :</w:t>
            </w:r>
            <w:r w:rsidR="00597CB2">
              <w:t xml:space="preserve"> </w:t>
            </w:r>
            <w:r>
              <w:tab/>
              <w:t>Organisation de deux</w:t>
            </w:r>
            <w:r w:rsidR="00597CB2">
              <w:t> </w:t>
            </w:r>
            <w:r>
              <w:t>ateliers (de deux</w:t>
            </w:r>
            <w:r w:rsidR="00597CB2">
              <w:t> </w:t>
            </w:r>
            <w:r>
              <w:t>jours chacun) pour échanger des informations et évaluer l</w:t>
            </w:r>
            <w:r w:rsidR="00C17142">
              <w:t>a mise en œuvre des résultats n</w:t>
            </w:r>
            <w:r w:rsidR="00C17142" w:rsidRPr="00C17142">
              <w:rPr>
                <w:vertAlign w:val="superscript"/>
              </w:rPr>
              <w:t>os</w:t>
            </w:r>
            <w:r>
              <w:t> 1 et 2</w:t>
            </w:r>
          </w:p>
          <w:p w14:paraId="5406CA50" w14:textId="77777777" w:rsidR="00CA6187" w:rsidRPr="000A4281" w:rsidRDefault="00CA6187" w:rsidP="0026000B"/>
          <w:p w14:paraId="238C4A96" w14:textId="77777777" w:rsidR="00CA6187" w:rsidRPr="000A4281" w:rsidRDefault="00CA6187" w:rsidP="0026000B"/>
          <w:p w14:paraId="58162911" w14:textId="46E34D60" w:rsidR="00CA6187" w:rsidRPr="000A4281" w:rsidRDefault="00CA6187" w:rsidP="0026000B">
            <w:r>
              <w:t>Activité n° 4</w:t>
            </w:r>
            <w:r w:rsidR="009B150A">
              <w:t> :</w:t>
            </w:r>
            <w:r w:rsidR="00597CB2">
              <w:t xml:space="preserve"> </w:t>
            </w:r>
            <w:r>
              <w:tab/>
              <w:t>Organisation d</w:t>
            </w:r>
            <w:r w:rsidR="009B150A">
              <w:t>’</w:t>
            </w:r>
            <w:r>
              <w:t>un séminaire régional sur le droit d</w:t>
            </w:r>
            <w:r w:rsidR="009B150A">
              <w:t>’</w:t>
            </w:r>
            <w:r>
              <w:t>auteur et la distribution de contenu dans l</w:t>
            </w:r>
            <w:r w:rsidR="009B150A">
              <w:t>’</w:t>
            </w:r>
            <w:r>
              <w:t>environnement numérique</w:t>
            </w:r>
          </w:p>
        </w:tc>
        <w:tc>
          <w:tcPr>
            <w:tcW w:w="2865" w:type="dxa"/>
            <w:vAlign w:val="center"/>
          </w:tcPr>
          <w:p w14:paraId="65326371" w14:textId="77777777" w:rsidR="00CA6187" w:rsidRPr="000A4281" w:rsidRDefault="00CA6187" w:rsidP="0026000B">
            <w:r>
              <w:lastRenderedPageBreak/>
              <w:t>Finalisé dans sept études de cas relatives au projet.</w:t>
            </w:r>
          </w:p>
          <w:p w14:paraId="591DBFF7" w14:textId="77777777" w:rsidR="00CA6187" w:rsidRPr="000A4281" w:rsidRDefault="00CA6187" w:rsidP="0026000B"/>
          <w:p w14:paraId="655A3F5E" w14:textId="77777777" w:rsidR="00CA6187" w:rsidRPr="000A4281" w:rsidRDefault="00CA6187" w:rsidP="0026000B"/>
          <w:p w14:paraId="523DF4C8" w14:textId="77777777" w:rsidR="00CA6187" w:rsidRPr="000A4281" w:rsidRDefault="00CA6187" w:rsidP="0026000B"/>
          <w:p w14:paraId="2DE46B42" w14:textId="77777777" w:rsidR="00CA6187" w:rsidRPr="000A4281" w:rsidRDefault="00CA6187" w:rsidP="0026000B"/>
          <w:p w14:paraId="2EF38B35" w14:textId="77777777" w:rsidR="00CA6187" w:rsidRPr="000A4281" w:rsidRDefault="00CA6187" w:rsidP="0026000B"/>
          <w:p w14:paraId="50304DFD" w14:textId="1A33747D" w:rsidR="00CA6187" w:rsidRPr="000A4281" w:rsidRDefault="00CA6187" w:rsidP="0026000B">
            <w:r>
              <w:t>Finalisé et mis à disposition sous la responsabilité de l</w:t>
            </w:r>
            <w:r w:rsidR="009B150A">
              <w:t>’</w:t>
            </w:r>
            <w:r>
              <w:t>économiste en chef.</w:t>
            </w:r>
          </w:p>
          <w:p w14:paraId="682CC5AA" w14:textId="77777777" w:rsidR="00CA6187" w:rsidRPr="000A4281" w:rsidRDefault="00CA6187" w:rsidP="0026000B"/>
          <w:p w14:paraId="18A7F409" w14:textId="77777777" w:rsidR="00CA6187" w:rsidRPr="000A4281" w:rsidRDefault="00CA6187" w:rsidP="0026000B"/>
          <w:p w14:paraId="7E49B89C" w14:textId="77777777" w:rsidR="00CA6187" w:rsidRPr="000A4281" w:rsidRDefault="00CA6187" w:rsidP="0026000B"/>
          <w:p w14:paraId="6D3C337A" w14:textId="77777777" w:rsidR="00CA6187" w:rsidRPr="000A4281" w:rsidRDefault="00CA6187" w:rsidP="0026000B"/>
          <w:p w14:paraId="398FC46F" w14:textId="77777777" w:rsidR="00CA6187" w:rsidRPr="000A4281" w:rsidRDefault="00CA6187" w:rsidP="0026000B">
            <w:r>
              <w:lastRenderedPageBreak/>
              <w:t>À prévoir.</w:t>
            </w:r>
          </w:p>
          <w:p w14:paraId="5B6FAC91" w14:textId="77777777" w:rsidR="00CA6187" w:rsidRPr="000A4281" w:rsidRDefault="00CA6187" w:rsidP="0026000B"/>
          <w:p w14:paraId="663C1323" w14:textId="77777777" w:rsidR="00CA6187" w:rsidRPr="000A4281" w:rsidRDefault="00CA6187" w:rsidP="0026000B"/>
          <w:p w14:paraId="29B7051A" w14:textId="77777777" w:rsidR="00CA6187" w:rsidRPr="000A4281" w:rsidRDefault="00CA6187" w:rsidP="0026000B"/>
          <w:p w14:paraId="6D4B72AF" w14:textId="77777777" w:rsidR="00CA6187" w:rsidRPr="000A4281" w:rsidRDefault="00CA6187" w:rsidP="0026000B"/>
          <w:p w14:paraId="027BA547" w14:textId="77777777" w:rsidR="00CA6187" w:rsidRPr="000A4281" w:rsidRDefault="00CA6187" w:rsidP="0026000B"/>
          <w:p w14:paraId="5C805874" w14:textId="77777777" w:rsidR="00CA6187" w:rsidRPr="000A4281" w:rsidRDefault="00CA6187" w:rsidP="0026000B"/>
          <w:p w14:paraId="42CE34CE" w14:textId="77777777" w:rsidR="00CA6187" w:rsidRPr="000A4281" w:rsidRDefault="00CA6187" w:rsidP="0026000B">
            <w:r>
              <w:t>À prévoir.</w:t>
            </w:r>
          </w:p>
        </w:tc>
        <w:tc>
          <w:tcPr>
            <w:tcW w:w="1412" w:type="dxa"/>
            <w:vAlign w:val="center"/>
          </w:tcPr>
          <w:p w14:paraId="7BCCAB6F" w14:textId="77777777" w:rsidR="00CA6187" w:rsidRPr="000A4281" w:rsidRDefault="00CA6187" w:rsidP="0026000B">
            <w:pPr>
              <w:pStyle w:val="TableParagraph"/>
            </w:pPr>
          </w:p>
          <w:p w14:paraId="75D9B10A" w14:textId="77777777" w:rsidR="00CA6187" w:rsidRPr="000A4281" w:rsidRDefault="00CA6187" w:rsidP="0026000B">
            <w:pPr>
              <w:pStyle w:val="TableParagraph"/>
            </w:pPr>
            <w:r>
              <w:t>****</w:t>
            </w:r>
          </w:p>
          <w:p w14:paraId="3B69C63E" w14:textId="77777777" w:rsidR="00CA6187" w:rsidRPr="000A4281" w:rsidRDefault="00CA6187" w:rsidP="0026000B">
            <w:pPr>
              <w:pStyle w:val="TableParagraph"/>
            </w:pPr>
          </w:p>
          <w:p w14:paraId="63E70ADE" w14:textId="77777777" w:rsidR="00CA6187" w:rsidRPr="000A4281" w:rsidRDefault="00CA6187" w:rsidP="0026000B">
            <w:pPr>
              <w:pStyle w:val="TableParagraph"/>
            </w:pPr>
          </w:p>
          <w:p w14:paraId="3198D864" w14:textId="77777777" w:rsidR="00CA6187" w:rsidRPr="000A4281" w:rsidRDefault="00CA6187" w:rsidP="0026000B">
            <w:pPr>
              <w:pStyle w:val="TableParagraph"/>
            </w:pPr>
          </w:p>
          <w:p w14:paraId="4FB243D4" w14:textId="77777777" w:rsidR="00CA6187" w:rsidRPr="000A4281" w:rsidRDefault="00CA6187" w:rsidP="0026000B">
            <w:pPr>
              <w:pStyle w:val="TableParagraph"/>
            </w:pPr>
          </w:p>
          <w:p w14:paraId="04E0EB25" w14:textId="77777777" w:rsidR="00CA6187" w:rsidRPr="000A4281" w:rsidRDefault="00CA6187" w:rsidP="0026000B">
            <w:pPr>
              <w:pStyle w:val="TableParagraph"/>
            </w:pPr>
          </w:p>
          <w:p w14:paraId="43A996B9" w14:textId="77777777" w:rsidR="00CA6187" w:rsidRPr="000A4281" w:rsidRDefault="00CA6187" w:rsidP="0026000B">
            <w:pPr>
              <w:pStyle w:val="TableParagraph"/>
            </w:pPr>
            <w:r>
              <w:t>****</w:t>
            </w:r>
          </w:p>
          <w:p w14:paraId="5C081E75" w14:textId="77777777" w:rsidR="00CA6187" w:rsidRPr="000A4281" w:rsidRDefault="00CA6187" w:rsidP="0026000B">
            <w:pPr>
              <w:pStyle w:val="TableParagraph"/>
            </w:pPr>
          </w:p>
          <w:p w14:paraId="3E8553E2" w14:textId="77777777" w:rsidR="00CA6187" w:rsidRPr="000A4281" w:rsidRDefault="00CA6187" w:rsidP="0026000B">
            <w:pPr>
              <w:pStyle w:val="TableParagraph"/>
            </w:pPr>
          </w:p>
          <w:p w14:paraId="1BEFD5BA" w14:textId="77777777" w:rsidR="00CA6187" w:rsidRPr="000A4281" w:rsidRDefault="00CA6187" w:rsidP="0026000B">
            <w:pPr>
              <w:pStyle w:val="TableParagraph"/>
            </w:pPr>
          </w:p>
          <w:p w14:paraId="5AE70521" w14:textId="77777777" w:rsidR="00CA6187" w:rsidRPr="000A4281" w:rsidRDefault="00CA6187" w:rsidP="0026000B">
            <w:pPr>
              <w:pStyle w:val="TableParagraph"/>
            </w:pPr>
          </w:p>
          <w:p w14:paraId="6BBCA48B" w14:textId="77777777" w:rsidR="00CA6187" w:rsidRPr="000A4281" w:rsidRDefault="00CA6187" w:rsidP="0026000B">
            <w:pPr>
              <w:pStyle w:val="TableParagraph"/>
            </w:pPr>
            <w:r>
              <w:t>**</w:t>
            </w:r>
          </w:p>
          <w:p w14:paraId="3F01555E" w14:textId="77777777" w:rsidR="00CA6187" w:rsidRPr="000A4281" w:rsidRDefault="00CA6187" w:rsidP="0026000B">
            <w:pPr>
              <w:pStyle w:val="TableParagraph"/>
            </w:pPr>
          </w:p>
          <w:p w14:paraId="3134CE24" w14:textId="77777777" w:rsidR="00CA6187" w:rsidRPr="000A4281" w:rsidRDefault="00CA6187" w:rsidP="0026000B">
            <w:pPr>
              <w:pStyle w:val="TableParagraph"/>
            </w:pPr>
          </w:p>
          <w:p w14:paraId="51D5107F" w14:textId="77777777" w:rsidR="00CA6187" w:rsidRPr="000A4281" w:rsidRDefault="00CA6187" w:rsidP="0026000B">
            <w:pPr>
              <w:pStyle w:val="TableParagraph"/>
            </w:pPr>
          </w:p>
          <w:p w14:paraId="75E6B4AC" w14:textId="77777777" w:rsidR="00CA6187" w:rsidRPr="000A4281" w:rsidRDefault="00CA6187" w:rsidP="0026000B">
            <w:pPr>
              <w:pStyle w:val="TableParagraph"/>
            </w:pPr>
          </w:p>
          <w:p w14:paraId="2EAE10D6" w14:textId="77777777" w:rsidR="00CA6187" w:rsidRPr="000A4281" w:rsidRDefault="00CA6187" w:rsidP="0026000B">
            <w:pPr>
              <w:pStyle w:val="TableParagraph"/>
            </w:pPr>
          </w:p>
          <w:p w14:paraId="66C8C060" w14:textId="77777777" w:rsidR="00CA6187" w:rsidRPr="000A4281" w:rsidRDefault="00CA6187" w:rsidP="0026000B">
            <w:pPr>
              <w:pStyle w:val="TableParagraph"/>
            </w:pPr>
          </w:p>
          <w:p w14:paraId="3E890C86" w14:textId="77777777" w:rsidR="00CA6187" w:rsidRPr="000A4281" w:rsidRDefault="00CA6187" w:rsidP="0026000B">
            <w:pPr>
              <w:pStyle w:val="TableParagraph"/>
            </w:pPr>
          </w:p>
          <w:p w14:paraId="2AB24EDE" w14:textId="77777777" w:rsidR="00CA6187" w:rsidRPr="000A4281" w:rsidRDefault="00CA6187" w:rsidP="0026000B">
            <w:pPr>
              <w:pStyle w:val="TableParagraph"/>
            </w:pPr>
            <w:r>
              <w:t>**</w:t>
            </w:r>
          </w:p>
        </w:tc>
      </w:tr>
    </w:tbl>
    <w:p w14:paraId="2B043DF6" w14:textId="77777777" w:rsidR="00CA6187" w:rsidRPr="000A4281" w:rsidRDefault="00CA6187" w:rsidP="00CA6187">
      <w:pPr>
        <w:pStyle w:val="BodyText"/>
      </w:pPr>
    </w:p>
    <w:p w14:paraId="5E31531F" w14:textId="77777777" w:rsidR="009B150A" w:rsidRDefault="00CA6187" w:rsidP="00CA6187">
      <w:r>
        <w:t>CALENDRIER DE MISE EN ŒUVRE RÉVISÉ</w:t>
      </w:r>
    </w:p>
    <w:p w14:paraId="436F73AF" w14:textId="5D2B38DD" w:rsidR="00CA6187" w:rsidRPr="000A4281" w:rsidRDefault="00CA6187" w:rsidP="00CA6187"/>
    <w:tbl>
      <w:tblPr>
        <w:tblW w:w="949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Revised Implementation Timeline"/>
      </w:tblPr>
      <w:tblGrid>
        <w:gridCol w:w="4536"/>
        <w:gridCol w:w="709"/>
        <w:gridCol w:w="709"/>
        <w:gridCol w:w="709"/>
        <w:gridCol w:w="708"/>
        <w:gridCol w:w="709"/>
        <w:gridCol w:w="709"/>
        <w:gridCol w:w="709"/>
      </w:tblGrid>
      <w:tr w:rsidR="00CA6187" w:rsidRPr="000A4281" w14:paraId="3F54EA58" w14:textId="77777777" w:rsidTr="006E16C1">
        <w:trPr>
          <w:trHeight w:val="500"/>
          <w:tblHeader/>
        </w:trPr>
        <w:tc>
          <w:tcPr>
            <w:tcW w:w="4536" w:type="dxa"/>
            <w:tcBorders>
              <w:top w:val="single" w:sz="12" w:space="0" w:color="auto"/>
            </w:tcBorders>
            <w:vAlign w:val="center"/>
          </w:tcPr>
          <w:p w14:paraId="25B5C6B6" w14:textId="77777777" w:rsidR="00CA6187" w:rsidRPr="000A4281" w:rsidRDefault="00CA6187" w:rsidP="0026000B">
            <w:r>
              <w:t>Activité</w:t>
            </w:r>
          </w:p>
        </w:tc>
        <w:tc>
          <w:tcPr>
            <w:tcW w:w="2835" w:type="dxa"/>
            <w:gridSpan w:val="4"/>
            <w:tcBorders>
              <w:top w:val="single" w:sz="12" w:space="0" w:color="auto"/>
            </w:tcBorders>
            <w:vAlign w:val="center"/>
          </w:tcPr>
          <w:p w14:paraId="4994E831" w14:textId="77777777" w:rsidR="00CA6187" w:rsidRPr="000A4281" w:rsidRDefault="00CA6187" w:rsidP="0026000B">
            <w:r>
              <w:t>2022</w:t>
            </w:r>
          </w:p>
        </w:tc>
        <w:tc>
          <w:tcPr>
            <w:tcW w:w="2127" w:type="dxa"/>
            <w:gridSpan w:val="3"/>
            <w:tcBorders>
              <w:top w:val="single" w:sz="12" w:space="0" w:color="auto"/>
            </w:tcBorders>
            <w:shd w:val="clear" w:color="auto" w:fill="68E089"/>
            <w:vAlign w:val="center"/>
          </w:tcPr>
          <w:p w14:paraId="709C82DA" w14:textId="77777777" w:rsidR="00CA6187" w:rsidRPr="000A4281" w:rsidRDefault="00CA6187" w:rsidP="0026000B">
            <w:r>
              <w:t>2023</w:t>
            </w:r>
          </w:p>
        </w:tc>
      </w:tr>
      <w:tr w:rsidR="00CA6187" w:rsidRPr="000A4281" w14:paraId="62AEFD09" w14:textId="77777777" w:rsidTr="006E16C1">
        <w:trPr>
          <w:trHeight w:val="267"/>
        </w:trPr>
        <w:tc>
          <w:tcPr>
            <w:tcW w:w="4536" w:type="dxa"/>
          </w:tcPr>
          <w:p w14:paraId="37AF0344" w14:textId="77777777" w:rsidR="00CA6187" w:rsidRPr="000A4281" w:rsidRDefault="00CA6187" w:rsidP="0026000B"/>
          <w:p w14:paraId="501D249D" w14:textId="77777777" w:rsidR="00CA6187" w:rsidRPr="000A4281" w:rsidRDefault="00CA6187" w:rsidP="0026000B"/>
        </w:tc>
        <w:tc>
          <w:tcPr>
            <w:tcW w:w="709" w:type="dxa"/>
          </w:tcPr>
          <w:p w14:paraId="09127DDF" w14:textId="77777777" w:rsidR="00CA6187" w:rsidRPr="000A4281" w:rsidRDefault="00CA6187" w:rsidP="0026000B">
            <w:r>
              <w:t>1</w:t>
            </w:r>
            <w:r>
              <w:rPr>
                <w:vertAlign w:val="superscript"/>
              </w:rPr>
              <w:t>er</w:t>
            </w:r>
          </w:p>
        </w:tc>
        <w:tc>
          <w:tcPr>
            <w:tcW w:w="709" w:type="dxa"/>
          </w:tcPr>
          <w:p w14:paraId="25737788" w14:textId="3C26DBC7" w:rsidR="00CA6187" w:rsidRPr="000A4281" w:rsidRDefault="00CA6187" w:rsidP="0026000B">
            <w:r>
              <w:t>2</w:t>
            </w:r>
            <w:r w:rsidR="00A65F61">
              <w:rPr>
                <w:vertAlign w:val="superscript"/>
              </w:rPr>
              <w:t>e</w:t>
            </w:r>
          </w:p>
        </w:tc>
        <w:tc>
          <w:tcPr>
            <w:tcW w:w="709" w:type="dxa"/>
          </w:tcPr>
          <w:p w14:paraId="59BD53A1" w14:textId="0FDCD7D7" w:rsidR="00CA6187" w:rsidRPr="000A4281" w:rsidRDefault="00CA6187" w:rsidP="0026000B">
            <w:r>
              <w:t>3</w:t>
            </w:r>
            <w:r w:rsidR="00A65F61">
              <w:rPr>
                <w:vertAlign w:val="superscript"/>
              </w:rPr>
              <w:t>e</w:t>
            </w:r>
          </w:p>
        </w:tc>
        <w:tc>
          <w:tcPr>
            <w:tcW w:w="708" w:type="dxa"/>
          </w:tcPr>
          <w:p w14:paraId="4F3E1C4E" w14:textId="137DF070" w:rsidR="00CA6187" w:rsidRPr="000A4281" w:rsidRDefault="00CA6187" w:rsidP="0026000B">
            <w:r>
              <w:t>4</w:t>
            </w:r>
            <w:r w:rsidR="00A65F61">
              <w:rPr>
                <w:vertAlign w:val="superscript"/>
              </w:rPr>
              <w:t>e</w:t>
            </w:r>
          </w:p>
        </w:tc>
        <w:tc>
          <w:tcPr>
            <w:tcW w:w="709" w:type="dxa"/>
            <w:shd w:val="clear" w:color="auto" w:fill="68E089"/>
          </w:tcPr>
          <w:p w14:paraId="1CD0CDDB" w14:textId="77777777" w:rsidR="00CA6187" w:rsidRPr="000A4281" w:rsidRDefault="00CA6187" w:rsidP="0026000B">
            <w:r>
              <w:t>1</w:t>
            </w:r>
            <w:r>
              <w:rPr>
                <w:vertAlign w:val="superscript"/>
              </w:rPr>
              <w:t>er</w:t>
            </w:r>
          </w:p>
        </w:tc>
        <w:tc>
          <w:tcPr>
            <w:tcW w:w="709" w:type="dxa"/>
            <w:shd w:val="clear" w:color="auto" w:fill="68E089"/>
          </w:tcPr>
          <w:p w14:paraId="11760528" w14:textId="1ACB183F" w:rsidR="00CA6187" w:rsidRPr="000A4281" w:rsidRDefault="00CA6187" w:rsidP="0026000B">
            <w:r>
              <w:t>2</w:t>
            </w:r>
            <w:r w:rsidR="00A65F61">
              <w:rPr>
                <w:vertAlign w:val="superscript"/>
              </w:rPr>
              <w:t>e</w:t>
            </w:r>
          </w:p>
        </w:tc>
        <w:tc>
          <w:tcPr>
            <w:tcW w:w="709" w:type="dxa"/>
            <w:shd w:val="clear" w:color="auto" w:fill="68E089"/>
          </w:tcPr>
          <w:p w14:paraId="77B084A7" w14:textId="70A5A114" w:rsidR="00CA6187" w:rsidRPr="000A4281" w:rsidRDefault="00CA6187" w:rsidP="0026000B">
            <w:r>
              <w:t>3</w:t>
            </w:r>
            <w:r w:rsidR="00A65F61">
              <w:rPr>
                <w:vertAlign w:val="superscript"/>
              </w:rPr>
              <w:t>e</w:t>
            </w:r>
          </w:p>
          <w:p w14:paraId="49DDF28E" w14:textId="77777777" w:rsidR="00CA6187" w:rsidRPr="000A4281" w:rsidRDefault="00CA6187" w:rsidP="0026000B"/>
        </w:tc>
      </w:tr>
      <w:tr w:rsidR="00CA6187" w:rsidRPr="000A4281" w14:paraId="3DE424FC" w14:textId="77777777" w:rsidTr="006E16C1">
        <w:trPr>
          <w:trHeight w:val="273"/>
        </w:trPr>
        <w:tc>
          <w:tcPr>
            <w:tcW w:w="4536" w:type="dxa"/>
          </w:tcPr>
          <w:p w14:paraId="6E2E3F19" w14:textId="74E0C044" w:rsidR="00CA6187" w:rsidRPr="000A4281" w:rsidRDefault="00CA6187" w:rsidP="0026000B">
            <w:r>
              <w:t>Résultat n° 2, activité n° 3</w:t>
            </w:r>
            <w:r w:rsidR="009B150A">
              <w:t> :</w:t>
            </w:r>
            <w:r>
              <w:t xml:space="preserve"> Deux ateliers</w:t>
            </w:r>
            <w:r w:rsidR="009B150A">
              <w:t> :</w:t>
            </w:r>
            <w:r>
              <w:t xml:space="preserve"> La concession de licences sur le contenu audiovisuel dans les pays retenus</w:t>
            </w:r>
          </w:p>
        </w:tc>
        <w:tc>
          <w:tcPr>
            <w:tcW w:w="709" w:type="dxa"/>
          </w:tcPr>
          <w:p w14:paraId="7F379372" w14:textId="77777777" w:rsidR="00CA6187" w:rsidRPr="000A4281" w:rsidRDefault="00CA6187" w:rsidP="0026000B"/>
        </w:tc>
        <w:tc>
          <w:tcPr>
            <w:tcW w:w="709" w:type="dxa"/>
          </w:tcPr>
          <w:p w14:paraId="122075E0" w14:textId="77777777" w:rsidR="00CA6187" w:rsidRPr="000A4281" w:rsidRDefault="00CA6187" w:rsidP="0026000B"/>
        </w:tc>
        <w:tc>
          <w:tcPr>
            <w:tcW w:w="709" w:type="dxa"/>
          </w:tcPr>
          <w:p w14:paraId="0256D6CA" w14:textId="77777777" w:rsidR="00CA6187" w:rsidRPr="000A4281" w:rsidRDefault="00CA6187" w:rsidP="0026000B">
            <w:r>
              <w:t>X</w:t>
            </w:r>
          </w:p>
        </w:tc>
        <w:tc>
          <w:tcPr>
            <w:tcW w:w="708" w:type="dxa"/>
          </w:tcPr>
          <w:p w14:paraId="587AB0A3" w14:textId="77777777" w:rsidR="00CA6187" w:rsidRPr="000A4281" w:rsidRDefault="00CA6187" w:rsidP="0026000B">
            <w:r>
              <w:t>X</w:t>
            </w:r>
          </w:p>
        </w:tc>
        <w:tc>
          <w:tcPr>
            <w:tcW w:w="709" w:type="dxa"/>
            <w:shd w:val="clear" w:color="auto" w:fill="68E089"/>
          </w:tcPr>
          <w:p w14:paraId="75D75254" w14:textId="77777777" w:rsidR="00CA6187" w:rsidRPr="000A4281" w:rsidRDefault="00CA6187" w:rsidP="0026000B"/>
        </w:tc>
        <w:tc>
          <w:tcPr>
            <w:tcW w:w="709" w:type="dxa"/>
            <w:shd w:val="clear" w:color="auto" w:fill="68E089"/>
          </w:tcPr>
          <w:p w14:paraId="607E4DAF" w14:textId="77777777" w:rsidR="00CA6187" w:rsidRPr="000A4281" w:rsidRDefault="00CA6187" w:rsidP="0026000B"/>
        </w:tc>
        <w:tc>
          <w:tcPr>
            <w:tcW w:w="709" w:type="dxa"/>
            <w:shd w:val="clear" w:color="auto" w:fill="68E089"/>
          </w:tcPr>
          <w:p w14:paraId="68772570" w14:textId="77777777" w:rsidR="00CA6187" w:rsidRPr="000A4281" w:rsidRDefault="00CA6187" w:rsidP="0026000B"/>
        </w:tc>
      </w:tr>
      <w:tr w:rsidR="00CA6187" w:rsidRPr="000A4281" w14:paraId="7657A0AC" w14:textId="77777777" w:rsidTr="006E16C1">
        <w:trPr>
          <w:trHeight w:val="249"/>
        </w:trPr>
        <w:tc>
          <w:tcPr>
            <w:tcW w:w="4536" w:type="dxa"/>
          </w:tcPr>
          <w:p w14:paraId="746BB594" w14:textId="0F5FEDC0" w:rsidR="00CA6187" w:rsidRPr="000A4281" w:rsidRDefault="00CA6187" w:rsidP="0026000B">
            <w:r>
              <w:t>Résultat n°</w:t>
            </w:r>
            <w:r w:rsidR="00597CB2">
              <w:t> </w:t>
            </w:r>
            <w:r>
              <w:t>2, activité n° 4</w:t>
            </w:r>
            <w:r w:rsidR="009B150A">
              <w:t> :</w:t>
            </w:r>
            <w:r>
              <w:t xml:space="preserve"> Organisation d</w:t>
            </w:r>
            <w:r w:rsidR="009B150A">
              <w:t>’</w:t>
            </w:r>
            <w:r>
              <w:t>un séminaire régional sur le droit d</w:t>
            </w:r>
            <w:r w:rsidR="009B150A">
              <w:t>’</w:t>
            </w:r>
            <w:r>
              <w:t>auteur et la distribution de contenu dans l</w:t>
            </w:r>
            <w:r w:rsidR="009B150A">
              <w:t>’</w:t>
            </w:r>
            <w:r>
              <w:t>environnement numérique</w:t>
            </w:r>
          </w:p>
        </w:tc>
        <w:tc>
          <w:tcPr>
            <w:tcW w:w="709" w:type="dxa"/>
          </w:tcPr>
          <w:p w14:paraId="6321ED65" w14:textId="77777777" w:rsidR="00CA6187" w:rsidRPr="000A4281" w:rsidRDefault="00CA6187" w:rsidP="0026000B"/>
        </w:tc>
        <w:tc>
          <w:tcPr>
            <w:tcW w:w="709" w:type="dxa"/>
          </w:tcPr>
          <w:p w14:paraId="279D14A2" w14:textId="77777777" w:rsidR="00CA6187" w:rsidRPr="000A4281" w:rsidRDefault="00CA6187" w:rsidP="0026000B"/>
        </w:tc>
        <w:tc>
          <w:tcPr>
            <w:tcW w:w="709" w:type="dxa"/>
          </w:tcPr>
          <w:p w14:paraId="502D55A1" w14:textId="77777777" w:rsidR="00CA6187" w:rsidRPr="000A4281" w:rsidRDefault="00CA6187" w:rsidP="0026000B"/>
        </w:tc>
        <w:tc>
          <w:tcPr>
            <w:tcW w:w="708" w:type="dxa"/>
          </w:tcPr>
          <w:p w14:paraId="763AE5F7" w14:textId="77777777" w:rsidR="00CA6187" w:rsidRPr="000A4281" w:rsidRDefault="00CA6187" w:rsidP="0026000B"/>
        </w:tc>
        <w:tc>
          <w:tcPr>
            <w:tcW w:w="709" w:type="dxa"/>
            <w:shd w:val="clear" w:color="auto" w:fill="68E089"/>
          </w:tcPr>
          <w:p w14:paraId="4C9524D3" w14:textId="77777777" w:rsidR="00CA6187" w:rsidRPr="000A4281" w:rsidRDefault="00CA6187" w:rsidP="0026000B">
            <w:r>
              <w:t>X</w:t>
            </w:r>
          </w:p>
        </w:tc>
        <w:tc>
          <w:tcPr>
            <w:tcW w:w="709" w:type="dxa"/>
            <w:shd w:val="clear" w:color="auto" w:fill="68E089"/>
          </w:tcPr>
          <w:p w14:paraId="10B2824E" w14:textId="77777777" w:rsidR="00CA6187" w:rsidRPr="000A4281" w:rsidRDefault="00CA6187" w:rsidP="0026000B">
            <w:r>
              <w:t>X</w:t>
            </w:r>
          </w:p>
        </w:tc>
        <w:tc>
          <w:tcPr>
            <w:tcW w:w="709" w:type="dxa"/>
            <w:shd w:val="clear" w:color="auto" w:fill="68E089"/>
          </w:tcPr>
          <w:p w14:paraId="2B3DA109" w14:textId="77777777" w:rsidR="00CA6187" w:rsidRPr="000A4281" w:rsidRDefault="00CA6187" w:rsidP="0026000B"/>
        </w:tc>
      </w:tr>
      <w:tr w:rsidR="00CA6187" w:rsidRPr="000A4281" w14:paraId="15763FC9" w14:textId="77777777" w:rsidTr="006E16C1">
        <w:trPr>
          <w:trHeight w:val="249"/>
        </w:trPr>
        <w:tc>
          <w:tcPr>
            <w:tcW w:w="4536" w:type="dxa"/>
          </w:tcPr>
          <w:p w14:paraId="1ABBCE7D" w14:textId="77777777" w:rsidR="00CA6187" w:rsidRPr="000A4281" w:rsidRDefault="00CA6187" w:rsidP="0026000B">
            <w:r>
              <w:t>Évaluation du projet</w:t>
            </w:r>
          </w:p>
        </w:tc>
        <w:tc>
          <w:tcPr>
            <w:tcW w:w="709" w:type="dxa"/>
          </w:tcPr>
          <w:p w14:paraId="31ED4962" w14:textId="77777777" w:rsidR="00CA6187" w:rsidRPr="000A4281" w:rsidRDefault="00CA6187" w:rsidP="0026000B"/>
        </w:tc>
        <w:tc>
          <w:tcPr>
            <w:tcW w:w="709" w:type="dxa"/>
          </w:tcPr>
          <w:p w14:paraId="77250260" w14:textId="77777777" w:rsidR="00CA6187" w:rsidRPr="000A4281" w:rsidRDefault="00CA6187" w:rsidP="0026000B"/>
        </w:tc>
        <w:tc>
          <w:tcPr>
            <w:tcW w:w="709" w:type="dxa"/>
          </w:tcPr>
          <w:p w14:paraId="61D90B8B" w14:textId="77777777" w:rsidR="00CA6187" w:rsidRPr="000A4281" w:rsidRDefault="00CA6187" w:rsidP="0026000B"/>
        </w:tc>
        <w:tc>
          <w:tcPr>
            <w:tcW w:w="708" w:type="dxa"/>
          </w:tcPr>
          <w:p w14:paraId="5E9CB846" w14:textId="77777777" w:rsidR="00CA6187" w:rsidRPr="000A4281" w:rsidRDefault="00CA6187" w:rsidP="0026000B"/>
        </w:tc>
        <w:tc>
          <w:tcPr>
            <w:tcW w:w="709" w:type="dxa"/>
            <w:shd w:val="clear" w:color="auto" w:fill="68E089"/>
          </w:tcPr>
          <w:p w14:paraId="3D563B08" w14:textId="77777777" w:rsidR="00CA6187" w:rsidRPr="000A4281" w:rsidRDefault="00CA6187" w:rsidP="0026000B"/>
        </w:tc>
        <w:tc>
          <w:tcPr>
            <w:tcW w:w="709" w:type="dxa"/>
            <w:shd w:val="clear" w:color="auto" w:fill="68E089"/>
          </w:tcPr>
          <w:p w14:paraId="3023876F" w14:textId="77777777" w:rsidR="00CA6187" w:rsidRPr="000A4281" w:rsidRDefault="00CA6187" w:rsidP="0026000B"/>
        </w:tc>
        <w:tc>
          <w:tcPr>
            <w:tcW w:w="709" w:type="dxa"/>
            <w:shd w:val="clear" w:color="auto" w:fill="68E089"/>
          </w:tcPr>
          <w:p w14:paraId="5E0F8BE2" w14:textId="77777777" w:rsidR="00CA6187" w:rsidRPr="000A4281" w:rsidRDefault="00CA6187" w:rsidP="0026000B">
            <w:r>
              <w:t>X</w:t>
            </w:r>
          </w:p>
        </w:tc>
      </w:tr>
    </w:tbl>
    <w:p w14:paraId="7D796C31" w14:textId="77777777" w:rsidR="001F541D" w:rsidRPr="000A4281" w:rsidRDefault="001F541D" w:rsidP="001F541D"/>
    <w:p w14:paraId="70C41E20" w14:textId="4485CA4E" w:rsidR="00F45319" w:rsidRPr="006E16C1" w:rsidRDefault="00A37CEA" w:rsidP="00531316">
      <w:pPr>
        <w:tabs>
          <w:tab w:val="left" w:pos="6521"/>
        </w:tabs>
        <w:rPr>
          <w:szCs w:val="22"/>
        </w:rPr>
      </w:pPr>
      <w:r>
        <w:tab/>
        <w:t>[L</w:t>
      </w:r>
      <w:r w:rsidR="009B150A">
        <w:t>’</w:t>
      </w:r>
      <w:r>
        <w:t>annexe II suit]</w:t>
      </w:r>
      <w:r>
        <w:tab/>
      </w:r>
    </w:p>
    <w:p w14:paraId="2EC49EA6" w14:textId="77777777" w:rsidR="00F45319" w:rsidRPr="000A4281" w:rsidRDefault="00F45319" w:rsidP="00F45319">
      <w:pPr>
        <w:rPr>
          <w:sz w:val="24"/>
          <w:szCs w:val="24"/>
        </w:rPr>
      </w:pPr>
    </w:p>
    <w:p w14:paraId="2A344E68" w14:textId="77777777" w:rsidR="008C5972" w:rsidRDefault="008C5972" w:rsidP="00F45319">
      <w:pPr>
        <w:rPr>
          <w:sz w:val="24"/>
          <w:szCs w:val="24"/>
        </w:rPr>
        <w:sectPr w:rsidR="008C5972" w:rsidSect="009B150A">
          <w:headerReference w:type="default" r:id="rId32"/>
          <w:headerReference w:type="first" r:id="rId33"/>
          <w:type w:val="nextColumn"/>
          <w:pgSz w:w="11907" w:h="16840" w:code="9"/>
          <w:pgMar w:top="567" w:right="1134" w:bottom="1418" w:left="1418" w:header="510" w:footer="1021"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8B7F76" w:rsidRPr="008B7F76" w14:paraId="237C18B9" w14:textId="77777777" w:rsidTr="00266E29">
        <w:trPr>
          <w:trHeight w:val="431"/>
        </w:trPr>
        <w:tc>
          <w:tcPr>
            <w:tcW w:w="9290" w:type="dxa"/>
            <w:gridSpan w:val="2"/>
          </w:tcPr>
          <w:p w14:paraId="61696608" w14:textId="77777777" w:rsidR="008B7F76" w:rsidRPr="008B7F76" w:rsidRDefault="008B7F76" w:rsidP="008B7F76">
            <w:pPr>
              <w:tabs>
                <w:tab w:val="left" w:pos="6521"/>
              </w:tabs>
            </w:pPr>
            <w:r>
              <w:lastRenderedPageBreak/>
              <w:t>RÉSUMÉ DU PROJET</w:t>
            </w:r>
          </w:p>
        </w:tc>
      </w:tr>
      <w:tr w:rsidR="008B7F76" w:rsidRPr="008B7F76" w14:paraId="73D80668" w14:textId="77777777" w:rsidTr="000E0E0C">
        <w:trPr>
          <w:trHeight w:val="324"/>
        </w:trPr>
        <w:tc>
          <w:tcPr>
            <w:tcW w:w="2377" w:type="dxa"/>
            <w:shd w:val="clear" w:color="auto" w:fill="68E089"/>
            <w:vAlign w:val="center"/>
          </w:tcPr>
          <w:p w14:paraId="6ACD468C" w14:textId="77777777" w:rsidR="008B7F76" w:rsidRPr="008B7F76" w:rsidRDefault="008B7F76" w:rsidP="008B7F76">
            <w:pPr>
              <w:tabs>
                <w:tab w:val="left" w:pos="6521"/>
              </w:tabs>
            </w:pPr>
            <w:r>
              <w:rPr>
                <w:u w:val="single"/>
              </w:rPr>
              <w:t>Code du projet</w:t>
            </w:r>
          </w:p>
        </w:tc>
        <w:tc>
          <w:tcPr>
            <w:tcW w:w="6913" w:type="dxa"/>
            <w:vAlign w:val="center"/>
          </w:tcPr>
          <w:p w14:paraId="601864CA" w14:textId="77777777" w:rsidR="008B7F76" w:rsidRPr="008B7F76" w:rsidRDefault="008B7F76" w:rsidP="008B7F76">
            <w:pPr>
              <w:tabs>
                <w:tab w:val="left" w:pos="6521"/>
              </w:tabs>
            </w:pPr>
            <w:r>
              <w:t>DA_1_4_10_01</w:t>
            </w:r>
          </w:p>
          <w:p w14:paraId="22DF8402" w14:textId="77777777" w:rsidR="008B7F76" w:rsidRPr="008B7F76" w:rsidRDefault="008B7F76" w:rsidP="008B7F76">
            <w:pPr>
              <w:tabs>
                <w:tab w:val="left" w:pos="6521"/>
              </w:tabs>
            </w:pPr>
          </w:p>
        </w:tc>
      </w:tr>
      <w:tr w:rsidR="008B7F76" w:rsidRPr="008B7F76" w14:paraId="505671B5" w14:textId="77777777" w:rsidTr="000E0E0C">
        <w:trPr>
          <w:trHeight w:val="342"/>
        </w:trPr>
        <w:tc>
          <w:tcPr>
            <w:tcW w:w="2377" w:type="dxa"/>
            <w:shd w:val="clear" w:color="auto" w:fill="68E089"/>
            <w:vAlign w:val="center"/>
          </w:tcPr>
          <w:p w14:paraId="417AC123" w14:textId="77777777" w:rsidR="008B7F76" w:rsidRPr="008B7F76" w:rsidRDefault="008B7F76" w:rsidP="008B7F76">
            <w:pPr>
              <w:tabs>
                <w:tab w:val="left" w:pos="6521"/>
              </w:tabs>
            </w:pPr>
            <w:r>
              <w:rPr>
                <w:u w:val="single"/>
              </w:rPr>
              <w:t>Intitulé</w:t>
            </w:r>
          </w:p>
        </w:tc>
        <w:tc>
          <w:tcPr>
            <w:tcW w:w="6913" w:type="dxa"/>
            <w:vAlign w:val="center"/>
          </w:tcPr>
          <w:p w14:paraId="2D65D61A" w14:textId="2747250C" w:rsidR="008B7F76" w:rsidRPr="008B7F76" w:rsidRDefault="00111FE8" w:rsidP="008B7F76">
            <w:pPr>
              <w:tabs>
                <w:tab w:val="left" w:pos="6521"/>
              </w:tabs>
              <w:rPr>
                <w:i/>
              </w:rPr>
            </w:pPr>
            <w:hyperlink r:id="rId34" w:history="1">
              <w:r w:rsidR="003F2F26">
                <w:rPr>
                  <w:rStyle w:val="Hyperlink"/>
                  <w:i/>
                </w:rPr>
                <w:t>L</w:t>
              </w:r>
              <w:r w:rsidR="009B150A">
                <w:rPr>
                  <w:rStyle w:val="Hyperlink"/>
                  <w:i/>
                </w:rPr>
                <w:t>’</w:t>
              </w:r>
              <w:r w:rsidR="003F2F26">
                <w:rPr>
                  <w:rStyle w:val="Hyperlink"/>
                  <w:i/>
                </w:rPr>
                <w:t>enregistrement des marques collectives des entreprises locales en tant qu</w:t>
              </w:r>
              <w:r w:rsidR="009B150A">
                <w:rPr>
                  <w:rStyle w:val="Hyperlink"/>
                  <w:i/>
                </w:rPr>
                <w:t>’</w:t>
              </w:r>
              <w:r w:rsidR="003F2F26">
                <w:rPr>
                  <w:rStyle w:val="Hyperlink"/>
                  <w:i/>
                </w:rPr>
                <w:t>axe transversal du développement économique</w:t>
              </w:r>
            </w:hyperlink>
          </w:p>
          <w:p w14:paraId="287CA1C3" w14:textId="2117E982" w:rsidR="008B7F76" w:rsidRPr="008B7F76" w:rsidRDefault="008B7F76" w:rsidP="008B7F76">
            <w:pPr>
              <w:tabs>
                <w:tab w:val="left" w:pos="6521"/>
              </w:tabs>
            </w:pPr>
          </w:p>
        </w:tc>
      </w:tr>
      <w:tr w:rsidR="008B7F76" w:rsidRPr="008B7F76" w14:paraId="755931EC" w14:textId="77777777" w:rsidTr="000E0E0C">
        <w:trPr>
          <w:trHeight w:val="531"/>
        </w:trPr>
        <w:tc>
          <w:tcPr>
            <w:tcW w:w="2377" w:type="dxa"/>
            <w:shd w:val="clear" w:color="auto" w:fill="68E089"/>
            <w:vAlign w:val="center"/>
          </w:tcPr>
          <w:p w14:paraId="1F550B9E" w14:textId="6F6512A0" w:rsidR="008B7F76" w:rsidRPr="008B7F76" w:rsidRDefault="00111FE8" w:rsidP="008B7F76">
            <w:pPr>
              <w:tabs>
                <w:tab w:val="left" w:pos="6521"/>
              </w:tabs>
            </w:pPr>
            <w:hyperlink r:id="rId35" w:history="1">
              <w:r w:rsidR="003F2F26">
                <w:rPr>
                  <w:rStyle w:val="Hyperlink"/>
                </w:rPr>
                <w:t>Recommandations du Plan d</w:t>
              </w:r>
              <w:r w:rsidR="009B150A">
                <w:rPr>
                  <w:rStyle w:val="Hyperlink"/>
                </w:rPr>
                <w:t>’</w:t>
              </w:r>
              <w:r w:rsidR="003F2F26">
                <w:rPr>
                  <w:rStyle w:val="Hyperlink"/>
                </w:rPr>
                <w:t>action pour le développement</w:t>
              </w:r>
            </w:hyperlink>
          </w:p>
        </w:tc>
        <w:tc>
          <w:tcPr>
            <w:tcW w:w="6913" w:type="dxa"/>
            <w:vAlign w:val="center"/>
          </w:tcPr>
          <w:p w14:paraId="4D0FBB91" w14:textId="77777777" w:rsidR="009B150A" w:rsidRDefault="008B7F76" w:rsidP="005454E4">
            <w:pPr>
              <w:pStyle w:val="TableParagraph"/>
              <w:ind w:left="109" w:right="458"/>
            </w:pPr>
            <w:r>
              <w:t>Recommandations n</w:t>
            </w:r>
            <w:r>
              <w:rPr>
                <w:vertAlign w:val="superscript"/>
              </w:rPr>
              <w:t>os</w:t>
            </w:r>
            <w:r>
              <w:t> 1, 4 et 10</w:t>
            </w:r>
          </w:p>
          <w:p w14:paraId="0228E155" w14:textId="1CE9B69F" w:rsidR="008B7F76" w:rsidRPr="008B7F76" w:rsidRDefault="008B7F76" w:rsidP="00170E86">
            <w:pPr>
              <w:pStyle w:val="TableParagraph"/>
              <w:ind w:left="109" w:right="458"/>
            </w:pPr>
          </w:p>
        </w:tc>
      </w:tr>
      <w:tr w:rsidR="008B7F76" w:rsidRPr="008B7F76" w14:paraId="030920CF" w14:textId="77777777" w:rsidTr="000E0E0C">
        <w:trPr>
          <w:trHeight w:val="621"/>
        </w:trPr>
        <w:tc>
          <w:tcPr>
            <w:tcW w:w="2377" w:type="dxa"/>
            <w:shd w:val="clear" w:color="auto" w:fill="68E089"/>
            <w:vAlign w:val="center"/>
          </w:tcPr>
          <w:p w14:paraId="79DD25D7" w14:textId="77777777" w:rsidR="008B7F76" w:rsidRPr="008B7F76" w:rsidRDefault="008B7F76" w:rsidP="008B7F76">
            <w:pPr>
              <w:tabs>
                <w:tab w:val="left" w:pos="6521"/>
              </w:tabs>
            </w:pPr>
            <w:r>
              <w:rPr>
                <w:u w:val="single"/>
              </w:rPr>
              <w:t>Budget du projet</w:t>
            </w:r>
          </w:p>
        </w:tc>
        <w:tc>
          <w:tcPr>
            <w:tcW w:w="6913" w:type="dxa"/>
            <w:vAlign w:val="center"/>
          </w:tcPr>
          <w:p w14:paraId="7AF53F94" w14:textId="415F1E77" w:rsidR="009B150A" w:rsidRDefault="008B7F76" w:rsidP="00170E86">
            <w:pPr>
              <w:pStyle w:val="TableParagraph"/>
              <w:ind w:left="109" w:right="458"/>
            </w:pPr>
            <w:r>
              <w:t>Budget total du projet</w:t>
            </w:r>
            <w:r w:rsidR="009B150A">
              <w:t> :</w:t>
            </w:r>
            <w:r>
              <w:t xml:space="preserve"> 450 00</w:t>
            </w:r>
            <w:r w:rsidR="009B150A">
              <w:t>0 franc</w:t>
            </w:r>
            <w:r>
              <w:t>s suisses, dont 125 00</w:t>
            </w:r>
            <w:r w:rsidR="009B150A">
              <w:t>0 franc</w:t>
            </w:r>
            <w:r>
              <w:t>s suisses pour les dépenses de personnel et 325 00</w:t>
            </w:r>
            <w:r w:rsidR="009B150A">
              <w:t>0 franc</w:t>
            </w:r>
            <w:r>
              <w:t>s suisses pour les autres dépenses.</w:t>
            </w:r>
          </w:p>
          <w:p w14:paraId="3EFCCB1E" w14:textId="42095456" w:rsidR="008B7F76" w:rsidRPr="008B7F76" w:rsidRDefault="008B7F76" w:rsidP="008B7F76">
            <w:pPr>
              <w:tabs>
                <w:tab w:val="left" w:pos="6521"/>
              </w:tabs>
            </w:pPr>
          </w:p>
        </w:tc>
      </w:tr>
      <w:tr w:rsidR="008B7F76" w:rsidRPr="008B7F76" w14:paraId="7BBF59D3" w14:textId="77777777" w:rsidTr="000E0E0C">
        <w:trPr>
          <w:trHeight w:val="531"/>
        </w:trPr>
        <w:tc>
          <w:tcPr>
            <w:tcW w:w="2377" w:type="dxa"/>
            <w:shd w:val="clear" w:color="auto" w:fill="68E089"/>
            <w:vAlign w:val="center"/>
          </w:tcPr>
          <w:p w14:paraId="103C4FB0" w14:textId="77777777" w:rsidR="008B7F76" w:rsidRPr="008B7F76" w:rsidRDefault="008B7F76" w:rsidP="008B7F76">
            <w:pPr>
              <w:tabs>
                <w:tab w:val="left" w:pos="6521"/>
              </w:tabs>
            </w:pPr>
            <w:r>
              <w:rPr>
                <w:u w:val="single"/>
              </w:rPr>
              <w:t>Date de début du projet</w:t>
            </w:r>
          </w:p>
        </w:tc>
        <w:tc>
          <w:tcPr>
            <w:tcW w:w="6913" w:type="dxa"/>
            <w:vAlign w:val="center"/>
          </w:tcPr>
          <w:p w14:paraId="74C9C60A" w14:textId="77777777" w:rsidR="008B7F76" w:rsidRPr="008B7F76" w:rsidRDefault="008B7F76" w:rsidP="00170E86">
            <w:pPr>
              <w:pStyle w:val="TableParagraph"/>
              <w:ind w:left="109" w:right="458"/>
            </w:pPr>
            <w:r>
              <w:t>Janvier 2021</w:t>
            </w:r>
          </w:p>
        </w:tc>
      </w:tr>
      <w:tr w:rsidR="008B7F76" w:rsidRPr="008B7F76" w14:paraId="6D86CA96" w14:textId="77777777" w:rsidTr="000E0E0C">
        <w:trPr>
          <w:trHeight w:val="531"/>
        </w:trPr>
        <w:tc>
          <w:tcPr>
            <w:tcW w:w="2377" w:type="dxa"/>
            <w:shd w:val="clear" w:color="auto" w:fill="68E089"/>
            <w:vAlign w:val="center"/>
          </w:tcPr>
          <w:p w14:paraId="76E5FEF1" w14:textId="77777777" w:rsidR="008B7F76" w:rsidRPr="008B7F76" w:rsidRDefault="008B7F76" w:rsidP="008B7F76">
            <w:pPr>
              <w:tabs>
                <w:tab w:val="left" w:pos="6521"/>
              </w:tabs>
            </w:pPr>
            <w:r>
              <w:rPr>
                <w:u w:val="single"/>
              </w:rPr>
              <w:t>Durée du projet</w:t>
            </w:r>
          </w:p>
        </w:tc>
        <w:tc>
          <w:tcPr>
            <w:tcW w:w="6913" w:type="dxa"/>
            <w:vAlign w:val="center"/>
          </w:tcPr>
          <w:p w14:paraId="7072572A" w14:textId="4A304106" w:rsidR="008B7F76" w:rsidRPr="008B7F76" w:rsidRDefault="008B7F76" w:rsidP="00170E86">
            <w:pPr>
              <w:pStyle w:val="TableParagraph"/>
              <w:ind w:left="109" w:right="458"/>
            </w:pPr>
            <w:r>
              <w:t>30 mois (durée initiale de 24 mois + prolongation de six mois convenue à la vingt</w:t>
            </w:r>
            <w:r w:rsidR="00D117A8">
              <w:noBreakHyphen/>
            </w:r>
            <w:r>
              <w:t>six</w:t>
            </w:r>
            <w:r w:rsidR="009B150A">
              <w:t>ième session</w:t>
            </w:r>
            <w:r>
              <w:t xml:space="preserve"> du CDIP)</w:t>
            </w:r>
          </w:p>
        </w:tc>
      </w:tr>
      <w:tr w:rsidR="008B7F76" w:rsidRPr="008B7F76" w14:paraId="3DB2450C" w14:textId="77777777" w:rsidTr="000E0E0C">
        <w:trPr>
          <w:trHeight w:val="801"/>
        </w:trPr>
        <w:tc>
          <w:tcPr>
            <w:tcW w:w="2377" w:type="dxa"/>
            <w:shd w:val="clear" w:color="auto" w:fill="68E089"/>
            <w:vAlign w:val="center"/>
          </w:tcPr>
          <w:p w14:paraId="6E9F9E23" w14:textId="186AE374" w:rsidR="008B7F76" w:rsidRPr="008B7F76" w:rsidRDefault="008B7F76" w:rsidP="00A67641">
            <w:pPr>
              <w:tabs>
                <w:tab w:val="left" w:pos="6521"/>
              </w:tabs>
              <w:rPr>
                <w:u w:val="single"/>
              </w:rPr>
            </w:pPr>
            <w:r>
              <w:rPr>
                <w:u w:val="single"/>
              </w:rPr>
              <w:t>Principaux secteurs</w:t>
            </w:r>
            <w:r w:rsidR="00A67641">
              <w:rPr>
                <w:u w:val="single"/>
              </w:rPr>
              <w:t xml:space="preserve">/domaines </w:t>
            </w:r>
            <w:r>
              <w:rPr>
                <w:u w:val="single"/>
              </w:rPr>
              <w:t>de l</w:t>
            </w:r>
            <w:r w:rsidR="009B150A">
              <w:rPr>
                <w:u w:val="single"/>
              </w:rPr>
              <w:t>’</w:t>
            </w:r>
            <w:r>
              <w:rPr>
                <w:u w:val="single"/>
              </w:rPr>
              <w:t>OMPI</w:t>
            </w:r>
            <w:r w:rsidR="00A67641">
              <w:rPr>
                <w:u w:val="single"/>
              </w:rPr>
              <w:t xml:space="preserve"> concernés</w:t>
            </w:r>
          </w:p>
        </w:tc>
        <w:tc>
          <w:tcPr>
            <w:tcW w:w="6913" w:type="dxa"/>
            <w:vAlign w:val="center"/>
          </w:tcPr>
          <w:p w14:paraId="4B9BE1B3" w14:textId="793A07D6" w:rsidR="009B150A" w:rsidRDefault="00DC4D13" w:rsidP="00DC4D13">
            <w:pPr>
              <w:pStyle w:val="TableParagraph"/>
              <w:ind w:left="109" w:right="458"/>
            </w:pPr>
            <w:r>
              <w:t>Secteur de mise en œuvre</w:t>
            </w:r>
            <w:r w:rsidR="009B150A">
              <w:t> :</w:t>
            </w:r>
            <w:r>
              <w:t xml:space="preserve"> Secteur du développement régional et national</w:t>
            </w:r>
          </w:p>
          <w:p w14:paraId="440BA670" w14:textId="1BACAF35" w:rsidR="008B7F76" w:rsidRPr="008B7F76" w:rsidRDefault="00DC4D13" w:rsidP="00DC4D13">
            <w:pPr>
              <w:pStyle w:val="TableParagraph"/>
              <w:ind w:left="109" w:right="458"/>
            </w:pPr>
            <w:r>
              <w:t>Autres secteurs concernés</w:t>
            </w:r>
            <w:r w:rsidR="009B150A">
              <w:t> :</w:t>
            </w:r>
            <w:r>
              <w:t xml:space="preserve"> Secteur des marques et des dessins et modèles; </w:t>
            </w:r>
            <w:r w:rsidR="00597CB2">
              <w:t xml:space="preserve"> </w:t>
            </w:r>
            <w:r>
              <w:t>Secteur des écosystèmes de propriété intellectuelle et d</w:t>
            </w:r>
            <w:r w:rsidR="009B150A">
              <w:t>’</w:t>
            </w:r>
            <w:r>
              <w:t>innovation</w:t>
            </w:r>
          </w:p>
          <w:p w14:paraId="0DFCFE3E" w14:textId="77777777" w:rsidR="008B7F76" w:rsidRPr="008B7F76" w:rsidRDefault="008B7F76" w:rsidP="008B7F76">
            <w:pPr>
              <w:tabs>
                <w:tab w:val="left" w:pos="6521"/>
              </w:tabs>
            </w:pPr>
          </w:p>
        </w:tc>
      </w:tr>
      <w:tr w:rsidR="008B7F76" w:rsidRPr="008B7F76" w14:paraId="7C4FE676" w14:textId="77777777" w:rsidTr="000E0E0C">
        <w:trPr>
          <w:trHeight w:val="621"/>
        </w:trPr>
        <w:tc>
          <w:tcPr>
            <w:tcW w:w="2377" w:type="dxa"/>
            <w:shd w:val="clear" w:color="auto" w:fill="68E089"/>
            <w:vAlign w:val="center"/>
          </w:tcPr>
          <w:p w14:paraId="7B0FC3DC" w14:textId="77777777" w:rsidR="008B7F76" w:rsidRPr="008B7F76" w:rsidRDefault="008B7F76" w:rsidP="008B7F76">
            <w:pPr>
              <w:tabs>
                <w:tab w:val="left" w:pos="6521"/>
              </w:tabs>
            </w:pPr>
            <w:r>
              <w:rPr>
                <w:u w:val="single"/>
              </w:rPr>
              <w:t>Brève description du projet</w:t>
            </w:r>
          </w:p>
        </w:tc>
        <w:tc>
          <w:tcPr>
            <w:tcW w:w="6913" w:type="dxa"/>
            <w:vAlign w:val="center"/>
          </w:tcPr>
          <w:p w14:paraId="2CD9E43F" w14:textId="33D5D815" w:rsidR="009B150A" w:rsidRDefault="008B7F76" w:rsidP="00170E86">
            <w:pPr>
              <w:pStyle w:val="TableParagraph"/>
              <w:ind w:left="109" w:right="458"/>
            </w:pPr>
            <w:r>
              <w:t>Le projet vise à permettre à l</w:t>
            </w:r>
            <w:r w:rsidR="009B150A">
              <w:t>’</w:t>
            </w:r>
            <w:r>
              <w:t>office national compétent (le SENAPI pour l</w:t>
            </w:r>
            <w:r w:rsidR="009B150A">
              <w:t>’</w:t>
            </w:r>
            <w:r>
              <w:t>État plurinational de Bolivie ou l</w:t>
            </w:r>
            <w:r w:rsidR="009B150A">
              <w:t>’</w:t>
            </w:r>
            <w:r>
              <w:t>office correspondant dans chaque pays bénéficiaire) d</w:t>
            </w:r>
            <w:r w:rsidR="009B150A">
              <w:t>’</w:t>
            </w:r>
            <w:r>
              <w:t>associer enregistrement des marques collectives et développement local en fournissant un appui aux petites et moyennes entreprises qui privilégient des pratiques favorisant une image positive de leurs produits, une commercialisation à l</w:t>
            </w:r>
            <w:r w:rsidR="009B150A">
              <w:t>’</w:t>
            </w:r>
            <w:r>
              <w:t>échelle nationale, un lien avec les pratiques traditionnelles et une valeur ajoutée grâce à la priorité donnée à la viabilité.</w:t>
            </w:r>
          </w:p>
          <w:p w14:paraId="09F4F284" w14:textId="362E64B2" w:rsidR="008B7F76" w:rsidRPr="008B7F76" w:rsidRDefault="008B7F76" w:rsidP="008B7F76">
            <w:pPr>
              <w:tabs>
                <w:tab w:val="left" w:pos="6521"/>
              </w:tabs>
            </w:pPr>
          </w:p>
          <w:p w14:paraId="6E331EF1" w14:textId="05A7EAF0" w:rsidR="009B150A" w:rsidRDefault="008B7F76" w:rsidP="00170E86">
            <w:pPr>
              <w:pStyle w:val="TableParagraph"/>
              <w:ind w:left="109" w:right="458"/>
            </w:pPr>
            <w:r>
              <w:t>Il est proposé de créer une “pépinière de marques collectives”, avec la participation</w:t>
            </w:r>
            <w:r w:rsidR="009B150A">
              <w:t xml:space="preserve"> du SEN</w:t>
            </w:r>
            <w:r>
              <w:t>API et des entités publiques et privées associées (dans chaque pays bénéficiaire), qui sera chargée d</w:t>
            </w:r>
            <w:r w:rsidR="009B150A">
              <w:t>’</w:t>
            </w:r>
            <w:r>
              <w:t>évaluer la viabilité technique, financière et commerciale des produits et services considérés, de proposer des services de conseil technique pour la protection des marques et de faciliter l</w:t>
            </w:r>
            <w:r w:rsidR="009B150A">
              <w:t>’</w:t>
            </w:r>
            <w:r>
              <w:t>enregistrement des marques collectives.</w:t>
            </w:r>
          </w:p>
          <w:p w14:paraId="0132FB97" w14:textId="3E1607B9" w:rsidR="008B7F76" w:rsidRPr="008B7F76" w:rsidRDefault="008B7F76" w:rsidP="008B7F76">
            <w:pPr>
              <w:tabs>
                <w:tab w:val="left" w:pos="6521"/>
              </w:tabs>
            </w:pPr>
          </w:p>
          <w:p w14:paraId="6B66F722" w14:textId="61793167" w:rsidR="009B150A" w:rsidRDefault="008B7F76" w:rsidP="00170E86">
            <w:pPr>
              <w:pStyle w:val="TableParagraph"/>
              <w:ind w:left="109" w:right="458"/>
            </w:pPr>
            <w:r>
              <w:t>Cela permettra de contribuer à la croissance économique et au développement des régions de l</w:t>
            </w:r>
            <w:r w:rsidR="009B150A">
              <w:t>’</w:t>
            </w:r>
            <w:r>
              <w:t>État plurinational de Bolivie (et de trois</w:t>
            </w:r>
            <w:r w:rsidR="00597CB2">
              <w:t> </w:t>
            </w:r>
            <w:r>
              <w:t>autres pays en développement) en tirant parti de la relation entre capital social, entreprises de production et propriété intellectuelle.</w:t>
            </w:r>
          </w:p>
          <w:p w14:paraId="0E080DB4" w14:textId="3A37027B" w:rsidR="008B7F76" w:rsidRPr="008B7F76" w:rsidRDefault="008B7F76" w:rsidP="008B7F76">
            <w:pPr>
              <w:tabs>
                <w:tab w:val="left" w:pos="6521"/>
              </w:tabs>
            </w:pPr>
          </w:p>
          <w:p w14:paraId="3CBD96DB" w14:textId="465042BB" w:rsidR="009B150A" w:rsidRDefault="008B7F76" w:rsidP="00170E86">
            <w:pPr>
              <w:pStyle w:val="TableParagraph"/>
              <w:ind w:left="109" w:right="458"/>
            </w:pPr>
            <w:r>
              <w:t>L</w:t>
            </w:r>
            <w:r w:rsidR="009B150A">
              <w:t>’</w:t>
            </w:r>
            <w:r>
              <w:t>assistance technique comportera trois</w:t>
            </w:r>
            <w:r w:rsidR="00597CB2">
              <w:t> </w:t>
            </w:r>
            <w:r>
              <w:t>étap</w:t>
            </w:r>
            <w:r w:rsidR="00C17142">
              <w:t>es.  Il</w:t>
            </w:r>
            <w:r>
              <w:t xml:space="preserve"> s</w:t>
            </w:r>
            <w:r w:rsidR="009B150A">
              <w:t>’</w:t>
            </w:r>
            <w:r>
              <w:t>agira tout d</w:t>
            </w:r>
            <w:r w:rsidR="009B150A">
              <w:t>’</w:t>
            </w:r>
            <w:r>
              <w:t>abord de recenser les chefs d</w:t>
            </w:r>
            <w:r w:rsidR="009B150A">
              <w:t>’</w:t>
            </w:r>
            <w:r>
              <w:t>entreprise et les autres parties prenantes qui pourraient bénéficier de l</w:t>
            </w:r>
            <w:r w:rsidR="009B150A">
              <w:t>’</w:t>
            </w:r>
            <w:r>
              <w:t>enregistrement d</w:t>
            </w:r>
            <w:r w:rsidR="009B150A">
              <w:t>’</w:t>
            </w:r>
            <w:r>
              <w:t>une marque collecti</w:t>
            </w:r>
            <w:r w:rsidR="00C17142">
              <w:t>ve.  La</w:t>
            </w:r>
            <w:r>
              <w:t xml:space="preserve"> marque collective sera ensuite créée et enregistr</w:t>
            </w:r>
            <w:r w:rsidR="00C17142">
              <w:t>ée.  Da</w:t>
            </w:r>
            <w:r>
              <w:t xml:space="preserve">ns un troisième temps, une assistance sera </w:t>
            </w:r>
            <w:r>
              <w:lastRenderedPageBreak/>
              <w:t>fournie dans le cadre d</w:t>
            </w:r>
            <w:r w:rsidR="009B150A">
              <w:t>’</w:t>
            </w:r>
            <w:r>
              <w:t>activités de sensibilisation et de renforcement des capacités en vue d</w:t>
            </w:r>
            <w:r w:rsidR="009B150A">
              <w:t>’</w:t>
            </w:r>
            <w:r>
              <w:t>assurer sa viabilité.</w:t>
            </w:r>
          </w:p>
          <w:p w14:paraId="055CB3A3" w14:textId="6823B402" w:rsidR="008B7F76" w:rsidRPr="008B7F76" w:rsidRDefault="008B7F76" w:rsidP="008B7F76">
            <w:pPr>
              <w:tabs>
                <w:tab w:val="left" w:pos="6521"/>
              </w:tabs>
            </w:pPr>
          </w:p>
          <w:p w14:paraId="2FC906A7" w14:textId="1FB565C6" w:rsidR="008B7F76" w:rsidRPr="008B7F76" w:rsidRDefault="00B46D4E" w:rsidP="00170E86">
            <w:pPr>
              <w:pStyle w:val="TableParagraph"/>
              <w:ind w:left="109" w:right="458"/>
            </w:pPr>
            <w:r>
              <w:rPr>
                <w:u w:val="single"/>
              </w:rPr>
              <w:t>Le résultat escompté du projet</w:t>
            </w:r>
            <w:r>
              <w:t xml:space="preserve"> est la création d</w:t>
            </w:r>
            <w:r w:rsidR="009B150A">
              <w:t>’</w:t>
            </w:r>
            <w:r>
              <w:t>un système d</w:t>
            </w:r>
            <w:r w:rsidR="009B150A">
              <w:t>’</w:t>
            </w:r>
            <w:r>
              <w:t>appui et de renforcement pour faciliter l</w:t>
            </w:r>
            <w:r w:rsidR="009B150A">
              <w:t>’</w:t>
            </w:r>
            <w:r>
              <w:t>enregistrement des marques collectives des entreprises locales en tant qu</w:t>
            </w:r>
            <w:r w:rsidR="009B150A">
              <w:t>’</w:t>
            </w:r>
            <w:r>
              <w:t>axe transversal du développement économique productif.</w:t>
            </w:r>
          </w:p>
          <w:p w14:paraId="4E10F9E7" w14:textId="77777777" w:rsidR="008B7F76" w:rsidRPr="008B7F76" w:rsidRDefault="008B7F76" w:rsidP="008B7F76">
            <w:pPr>
              <w:tabs>
                <w:tab w:val="left" w:pos="6521"/>
              </w:tabs>
            </w:pPr>
          </w:p>
        </w:tc>
      </w:tr>
      <w:tr w:rsidR="008B7F76" w:rsidRPr="008B7F76" w14:paraId="5B95DA19" w14:textId="77777777" w:rsidTr="000E0E0C">
        <w:trPr>
          <w:trHeight w:val="432"/>
        </w:trPr>
        <w:tc>
          <w:tcPr>
            <w:tcW w:w="2377" w:type="dxa"/>
            <w:shd w:val="clear" w:color="auto" w:fill="68E089"/>
            <w:vAlign w:val="center"/>
          </w:tcPr>
          <w:p w14:paraId="20492B04" w14:textId="77777777" w:rsidR="008B7F76" w:rsidRPr="008B7F76" w:rsidRDefault="008B7F76" w:rsidP="008B7F76">
            <w:pPr>
              <w:tabs>
                <w:tab w:val="left" w:pos="6521"/>
              </w:tabs>
            </w:pPr>
            <w:r>
              <w:rPr>
                <w:u w:val="single"/>
              </w:rPr>
              <w:lastRenderedPageBreak/>
              <w:t>Responsable du projet</w:t>
            </w:r>
          </w:p>
        </w:tc>
        <w:tc>
          <w:tcPr>
            <w:tcW w:w="6913" w:type="dxa"/>
            <w:vAlign w:val="center"/>
          </w:tcPr>
          <w:p w14:paraId="523E3BCA" w14:textId="6E57BD0B" w:rsidR="009B150A" w:rsidRDefault="008B7F76" w:rsidP="00170E86">
            <w:pPr>
              <w:pStyle w:val="TableParagraph"/>
              <w:ind w:left="109" w:right="458"/>
            </w:pPr>
            <w:r>
              <w:t>M.</w:t>
            </w:r>
            <w:r w:rsidR="00C17142">
              <w:t> </w:t>
            </w:r>
            <w:r>
              <w:t>Georges Ghandour, conseiller principal, Division de la coordination du Plan d</w:t>
            </w:r>
            <w:r w:rsidR="009B150A">
              <w:t>’</w:t>
            </w:r>
            <w:r>
              <w:t>action pour le développement</w:t>
            </w:r>
          </w:p>
          <w:p w14:paraId="3203EC88" w14:textId="50511923" w:rsidR="008B7F76" w:rsidRPr="008B7F76" w:rsidRDefault="008B7F76" w:rsidP="008B7F76">
            <w:pPr>
              <w:tabs>
                <w:tab w:val="left" w:pos="6521"/>
              </w:tabs>
            </w:pPr>
          </w:p>
        </w:tc>
      </w:tr>
      <w:tr w:rsidR="008B7F76" w:rsidRPr="008B7F76" w14:paraId="5F27381F" w14:textId="77777777" w:rsidTr="000E0E0C">
        <w:trPr>
          <w:trHeight w:val="891"/>
        </w:trPr>
        <w:tc>
          <w:tcPr>
            <w:tcW w:w="2377" w:type="dxa"/>
            <w:shd w:val="clear" w:color="auto" w:fill="68E089"/>
            <w:vAlign w:val="center"/>
          </w:tcPr>
          <w:p w14:paraId="1EDCCFDE" w14:textId="6EDC2E7D" w:rsidR="008B7F76" w:rsidRPr="00CB27C3" w:rsidRDefault="008B7F76" w:rsidP="007672D8">
            <w:pPr>
              <w:tabs>
                <w:tab w:val="left" w:pos="6521"/>
              </w:tabs>
              <w:rPr>
                <w:u w:val="single"/>
              </w:rPr>
            </w:pPr>
            <w:r>
              <w:t xml:space="preserve">Liens avec les résultats escomptés dans le </w:t>
            </w:r>
            <w:hyperlink r:id="rId36" w:history="1">
              <w:r w:rsidR="00601EE2">
                <w:rPr>
                  <w:rStyle w:val="Hyperlink"/>
                </w:rPr>
                <w:t>p</w:t>
              </w:r>
              <w:r>
                <w:rPr>
                  <w:rStyle w:val="Hyperlink"/>
                </w:rPr>
                <w:t>rogramme de travail et budget pour l</w:t>
              </w:r>
              <w:r w:rsidR="009B150A">
                <w:rPr>
                  <w:rStyle w:val="Hyperlink"/>
                </w:rPr>
                <w:t>’</w:t>
              </w:r>
              <w:r>
                <w:rPr>
                  <w:rStyle w:val="Hyperlink"/>
                </w:rPr>
                <w:t xml:space="preserve">exercice </w:t>
              </w:r>
              <w:r w:rsidR="009B150A">
                <w:rPr>
                  <w:rStyle w:val="Hyperlink"/>
                </w:rPr>
                <w:t>biennal 2022</w:t>
              </w:r>
              <w:r w:rsidR="00D117A8">
                <w:rPr>
                  <w:rStyle w:val="Hyperlink"/>
                </w:rPr>
                <w:noBreakHyphen/>
              </w:r>
              <w:r>
                <w:rPr>
                  <w:rStyle w:val="Hyperlink"/>
                </w:rPr>
                <w:t>2023</w:t>
              </w:r>
              <w:r w:rsidRPr="00CB27C3">
                <w:rPr>
                  <w:rStyle w:val="Hyperlink"/>
                  <w:vertAlign w:val="superscript"/>
                </w:rPr>
                <w:footnoteReference w:id="2"/>
              </w:r>
            </w:hyperlink>
          </w:p>
        </w:tc>
        <w:tc>
          <w:tcPr>
            <w:tcW w:w="6913" w:type="dxa"/>
            <w:vAlign w:val="center"/>
          </w:tcPr>
          <w:p w14:paraId="181F48E0" w14:textId="1DD3AA3B" w:rsidR="008B7F76" w:rsidRPr="008B7F76" w:rsidRDefault="008B7F76" w:rsidP="00170E86">
            <w:pPr>
              <w:pStyle w:val="TableParagraph"/>
              <w:ind w:left="109" w:right="458"/>
            </w:pPr>
            <w:r>
              <w:t>4.1</w:t>
            </w:r>
            <w:r w:rsidR="009B150A">
              <w:t> :</w:t>
            </w:r>
            <w:r>
              <w:t xml:space="preserve"> Utilisation plus efficace de la propriété intellectuelle au service de la croissance et du développement de l</w:t>
            </w:r>
            <w:r w:rsidR="009B150A">
              <w:t>’</w:t>
            </w:r>
            <w:r>
              <w:t>ensemble des États membres et de leurs régions et sous</w:t>
            </w:r>
            <w:r w:rsidR="00D117A8">
              <w:noBreakHyphen/>
            </w:r>
            <w:r>
              <w:t>régions respectives, notamment grâce à l</w:t>
            </w:r>
            <w:r w:rsidR="009B150A">
              <w:t>’</w:t>
            </w:r>
            <w:r>
              <w:t>intégration des recommandations du Plan d</w:t>
            </w:r>
            <w:r w:rsidR="009B150A">
              <w:t>’</w:t>
            </w:r>
            <w:r>
              <w:t>action pour le développement.</w:t>
            </w:r>
          </w:p>
          <w:p w14:paraId="033B68F5" w14:textId="77777777" w:rsidR="008B7F76" w:rsidRPr="00170E86" w:rsidRDefault="008B7F76" w:rsidP="008B7F76">
            <w:pPr>
              <w:tabs>
                <w:tab w:val="left" w:pos="6521"/>
              </w:tabs>
              <w:rPr>
                <w:rFonts w:eastAsia="Arial"/>
                <w:szCs w:val="22"/>
              </w:rPr>
            </w:pPr>
          </w:p>
          <w:p w14:paraId="19363F98" w14:textId="4D1EC317" w:rsidR="008B7F76" w:rsidRPr="00170E86" w:rsidRDefault="008B7F76" w:rsidP="00170E86">
            <w:pPr>
              <w:pStyle w:val="TableParagraph"/>
              <w:ind w:left="109" w:right="458"/>
            </w:pPr>
            <w:r>
              <w:t>4.3</w:t>
            </w:r>
            <w:r w:rsidR="009B150A">
              <w:t> :</w:t>
            </w:r>
            <w:r>
              <w:t xml:space="preserve"> Mise en valeur des connaissances et des compétences en matière de propriété intellectuelle dans tous les États membres</w:t>
            </w:r>
          </w:p>
          <w:p w14:paraId="513273BA" w14:textId="77777777" w:rsidR="008B7F76" w:rsidRPr="00170E86" w:rsidRDefault="008B7F76" w:rsidP="00170E86">
            <w:pPr>
              <w:pStyle w:val="TableParagraph"/>
              <w:ind w:left="109" w:right="458"/>
            </w:pPr>
          </w:p>
          <w:p w14:paraId="178E7852" w14:textId="5D34A555" w:rsidR="008B7F76" w:rsidRPr="00170E86" w:rsidRDefault="008B7F76" w:rsidP="00170E86">
            <w:pPr>
              <w:pStyle w:val="TableParagraph"/>
              <w:ind w:left="109" w:right="458"/>
            </w:pPr>
            <w:r>
              <w:t>4.4</w:t>
            </w:r>
            <w:r w:rsidR="009B150A">
              <w:t> :</w:t>
            </w:r>
            <w:r>
              <w:t xml:space="preserve"> Davantage d</w:t>
            </w:r>
            <w:r w:rsidR="009B150A">
              <w:t>’</w:t>
            </w:r>
            <w:r>
              <w:t>innovateurs, de créateurs, de PME, d</w:t>
            </w:r>
            <w:r w:rsidR="009B150A">
              <w:t>’</w:t>
            </w:r>
            <w:r>
              <w:t>universités, d</w:t>
            </w:r>
            <w:r w:rsidR="009B150A">
              <w:t>’</w:t>
            </w:r>
            <w:r>
              <w:t>instituts de recherche et de communautés tirent profit de la propriété intellectuelle</w:t>
            </w:r>
          </w:p>
          <w:p w14:paraId="4FAA9BC8" w14:textId="77777777" w:rsidR="008B7F76" w:rsidRPr="00170E86" w:rsidRDefault="008B7F76" w:rsidP="008B7F76">
            <w:pPr>
              <w:tabs>
                <w:tab w:val="left" w:pos="6521"/>
              </w:tabs>
              <w:rPr>
                <w:rFonts w:eastAsia="Arial"/>
                <w:szCs w:val="22"/>
              </w:rPr>
            </w:pPr>
          </w:p>
        </w:tc>
      </w:tr>
      <w:tr w:rsidR="008B7F76" w:rsidRPr="008B7F76" w14:paraId="61AAEDD9" w14:textId="77777777" w:rsidTr="0052233C">
        <w:trPr>
          <w:trHeight w:val="670"/>
        </w:trPr>
        <w:tc>
          <w:tcPr>
            <w:tcW w:w="2377" w:type="dxa"/>
            <w:shd w:val="clear" w:color="auto" w:fill="68E089"/>
            <w:vAlign w:val="center"/>
          </w:tcPr>
          <w:p w14:paraId="7EA0EFC0" w14:textId="77777777" w:rsidR="008B7F76" w:rsidRPr="008B7F76" w:rsidRDefault="008B7F76" w:rsidP="008B7F76">
            <w:pPr>
              <w:tabs>
                <w:tab w:val="left" w:pos="6521"/>
              </w:tabs>
            </w:pPr>
            <w:r>
              <w:rPr>
                <w:u w:val="single"/>
              </w:rPr>
              <w:t>Progrès dans la mise en œuvre du projet</w:t>
            </w:r>
          </w:p>
        </w:tc>
        <w:tc>
          <w:tcPr>
            <w:tcW w:w="6913" w:type="dxa"/>
            <w:vAlign w:val="center"/>
          </w:tcPr>
          <w:p w14:paraId="6B7CBE97" w14:textId="551E7B15" w:rsidR="009B150A" w:rsidRDefault="009B150A" w:rsidP="00170E86">
            <w:pPr>
              <w:pStyle w:val="TableParagraph"/>
              <w:ind w:left="109" w:right="458"/>
            </w:pPr>
            <w:r>
              <w:t>En 2020</w:t>
            </w:r>
            <w:r w:rsidR="008B7F76">
              <w:t>, les pays bénéficiaires ont été sélectionnés (Bolivie, Brésil, Philippines et Tunisie), des coordonnateurs locaux ont été désignés et des travaux préparatoires ont été entrepris (voir le précédent rapport sur l</w:t>
            </w:r>
            <w:r>
              <w:t>’</w:t>
            </w:r>
            <w:r w:rsidR="008B7F76">
              <w:t>état d</w:t>
            </w:r>
            <w:r>
              <w:t>’</w:t>
            </w:r>
            <w:r w:rsidR="008B7F76">
              <w:t>avancement</w:t>
            </w:r>
            <w:r w:rsidR="00D117A8">
              <w:t xml:space="preserve"> – </w:t>
            </w:r>
            <w:r w:rsidR="008B7F76">
              <w:t>CDIP/26/2).</w:t>
            </w:r>
          </w:p>
          <w:p w14:paraId="37CFB864" w14:textId="388899B0" w:rsidR="008B7F76" w:rsidRPr="008B7F76" w:rsidRDefault="008B7F76" w:rsidP="00170E86">
            <w:pPr>
              <w:pStyle w:val="TableParagraph"/>
              <w:ind w:left="109" w:right="458"/>
            </w:pPr>
          </w:p>
          <w:p w14:paraId="36E1B1C4" w14:textId="5AE07933" w:rsidR="008B7F76" w:rsidRPr="008B7F76" w:rsidRDefault="008B7F76" w:rsidP="00170E86">
            <w:pPr>
              <w:pStyle w:val="TableParagraph"/>
              <w:ind w:left="109" w:right="458"/>
            </w:pPr>
            <w:r>
              <w:t>La mise en œuvre du projet a été officiellement lancée en janvier 2021.  Fin juin 2022, la situation était la suivante dans chacun des pays bénéficiaires</w:t>
            </w:r>
            <w:r w:rsidR="009B150A">
              <w:t> :</w:t>
            </w:r>
          </w:p>
          <w:p w14:paraId="0B6D7317" w14:textId="77777777" w:rsidR="008B7F76" w:rsidRPr="008B7F76" w:rsidRDefault="008B7F76" w:rsidP="00170E86">
            <w:pPr>
              <w:pStyle w:val="TableParagraph"/>
              <w:ind w:left="109" w:right="458"/>
            </w:pPr>
          </w:p>
          <w:p w14:paraId="7D8B79E2" w14:textId="77777777" w:rsidR="009B150A" w:rsidRDefault="008B7F76" w:rsidP="00170E86">
            <w:pPr>
              <w:pStyle w:val="TableParagraph"/>
              <w:ind w:left="109" w:right="458"/>
              <w:rPr>
                <w:u w:val="single"/>
              </w:rPr>
            </w:pPr>
            <w:r>
              <w:rPr>
                <w:u w:val="single"/>
              </w:rPr>
              <w:t>Bolivie (État plurinational de)</w:t>
            </w:r>
          </w:p>
          <w:p w14:paraId="6867442C" w14:textId="2BA895E7" w:rsidR="008B7F76" w:rsidRPr="008B7F76" w:rsidRDefault="008B7F76" w:rsidP="00BE25BC">
            <w:pPr>
              <w:pStyle w:val="TableParagraph"/>
              <w:numPr>
                <w:ilvl w:val="0"/>
                <w:numId w:val="55"/>
              </w:numPr>
              <w:ind w:right="458"/>
            </w:pPr>
            <w:r>
              <w:t>Approbation du plan de mise en œuvre des projets au niveau national.</w:t>
            </w:r>
          </w:p>
          <w:p w14:paraId="47985DC9" w14:textId="714D0BBE" w:rsidR="008B7F76" w:rsidRPr="008B7F76" w:rsidRDefault="008B7F76" w:rsidP="00BE25BC">
            <w:pPr>
              <w:pStyle w:val="TableParagraph"/>
              <w:numPr>
                <w:ilvl w:val="0"/>
                <w:numId w:val="55"/>
              </w:numPr>
              <w:ind w:right="458"/>
            </w:pPr>
            <w:r>
              <w:t>Étude exploratoire</w:t>
            </w:r>
            <w:r w:rsidR="009B150A">
              <w:t> :</w:t>
            </w:r>
            <w:r>
              <w:t xml:space="preserve"> en cours, devrait être achevée en juillet 2022.</w:t>
            </w:r>
          </w:p>
          <w:p w14:paraId="72B87183" w14:textId="39B1D67E" w:rsidR="008B7F76" w:rsidRPr="008B7F76" w:rsidRDefault="008B7F76" w:rsidP="00BE25BC">
            <w:pPr>
              <w:pStyle w:val="TableParagraph"/>
              <w:numPr>
                <w:ilvl w:val="0"/>
                <w:numId w:val="55"/>
              </w:numPr>
              <w:ind w:right="458"/>
            </w:pPr>
            <w:r>
              <w:t>Événement d</w:t>
            </w:r>
            <w:r w:rsidR="009B150A">
              <w:t>’</w:t>
            </w:r>
            <w:r>
              <w:t>information portant sur les avantages potentiels de l</w:t>
            </w:r>
            <w:r w:rsidR="009B150A">
              <w:t>’</w:t>
            </w:r>
            <w:r>
              <w:t>utilisation des marques collectives</w:t>
            </w:r>
            <w:r w:rsidR="009B150A">
              <w:t> :</w:t>
            </w:r>
            <w:r>
              <w:t xml:space="preserve"> préparatifs en cours, devrait se tenir le 8 juillet 2022.</w:t>
            </w:r>
          </w:p>
          <w:p w14:paraId="5829F5F2" w14:textId="2561AA0F" w:rsidR="008B7F76" w:rsidRPr="008B7F76" w:rsidRDefault="008B7F76" w:rsidP="00BE25BC">
            <w:pPr>
              <w:pStyle w:val="TableParagraph"/>
              <w:numPr>
                <w:ilvl w:val="0"/>
                <w:numId w:val="55"/>
              </w:numPr>
              <w:ind w:right="458"/>
            </w:pPr>
            <w:r>
              <w:t>Sélection d</w:t>
            </w:r>
            <w:r w:rsidR="009B150A">
              <w:t>’</w:t>
            </w:r>
            <w:r>
              <w:t>un produit/service pour lequel une marque collective sera créée et enregistrée, et création d</w:t>
            </w:r>
            <w:r w:rsidR="009B150A">
              <w:t>’</w:t>
            </w:r>
            <w:r>
              <w:t>une association ou recensement d</w:t>
            </w:r>
            <w:r w:rsidR="009B150A">
              <w:t>’</w:t>
            </w:r>
            <w:r>
              <w:t>une association déjà existante</w:t>
            </w:r>
            <w:r w:rsidR="009B150A">
              <w:t> :</w:t>
            </w:r>
            <w:r>
              <w:t xml:space="preserve"> terminé</w:t>
            </w:r>
            <w:r w:rsidR="00C17142">
              <w:t>es.  L’a</w:t>
            </w:r>
            <w:r>
              <w:t>ssociation ARACH (Asociación Regional de Apicultores del Chaco Chuinaqueño) a été sélectionnée.  L</w:t>
            </w:r>
            <w:r w:rsidR="009B150A">
              <w:t>’</w:t>
            </w:r>
            <w:r>
              <w:t>ARACH est une association faîtière regroupant 25 organisations de producteurs de miel de la région du Chaco.</w:t>
            </w:r>
          </w:p>
          <w:p w14:paraId="47FB976D" w14:textId="328DA229" w:rsidR="008B7F76" w:rsidRPr="008B7F76" w:rsidRDefault="008B7F76" w:rsidP="00BE25BC">
            <w:pPr>
              <w:pStyle w:val="TableParagraph"/>
              <w:numPr>
                <w:ilvl w:val="0"/>
                <w:numId w:val="55"/>
              </w:numPr>
              <w:ind w:right="458"/>
            </w:pPr>
            <w:r>
              <w:t>Activité de formation sur les marques collectives</w:t>
            </w:r>
            <w:r w:rsidR="009B150A">
              <w:t> :</w:t>
            </w:r>
            <w:r>
              <w:t xml:space="preserve"> préparatifs en cours, devrait avoir lieu le 25 juillet 2022.</w:t>
            </w:r>
          </w:p>
          <w:p w14:paraId="19ED0FE9" w14:textId="77777777" w:rsidR="008B7F76" w:rsidRPr="008B7F76" w:rsidRDefault="008B7F76" w:rsidP="00170E86">
            <w:pPr>
              <w:pStyle w:val="TableParagraph"/>
              <w:ind w:left="109" w:right="458"/>
            </w:pPr>
          </w:p>
          <w:p w14:paraId="1D4AA0D5" w14:textId="77777777" w:rsidR="008B7F76" w:rsidRPr="00170E86" w:rsidRDefault="008B7F76" w:rsidP="00170E86">
            <w:pPr>
              <w:pStyle w:val="TableParagraph"/>
              <w:ind w:left="109" w:right="458"/>
              <w:rPr>
                <w:u w:val="single"/>
              </w:rPr>
            </w:pPr>
            <w:r>
              <w:rPr>
                <w:u w:val="single"/>
              </w:rPr>
              <w:t>Brésil</w:t>
            </w:r>
          </w:p>
          <w:p w14:paraId="5308CE97" w14:textId="181421A1" w:rsidR="008B7F76" w:rsidRPr="008B7F76" w:rsidRDefault="008B7F76" w:rsidP="00BE25BC">
            <w:pPr>
              <w:pStyle w:val="TableParagraph"/>
              <w:numPr>
                <w:ilvl w:val="0"/>
                <w:numId w:val="54"/>
              </w:numPr>
              <w:ind w:right="458"/>
            </w:pPr>
            <w:r>
              <w:t>Plan de mise en œuvre des projets au niveau national</w:t>
            </w:r>
            <w:r w:rsidR="009B150A">
              <w:t> :</w:t>
            </w:r>
            <w:r>
              <w:t xml:space="preserve"> approuvé.</w:t>
            </w:r>
          </w:p>
          <w:p w14:paraId="1EC1F2DD" w14:textId="67405646" w:rsidR="008B7F76" w:rsidRPr="008B7F76" w:rsidRDefault="008B7F76" w:rsidP="00BE25BC">
            <w:pPr>
              <w:pStyle w:val="TableParagraph"/>
              <w:numPr>
                <w:ilvl w:val="0"/>
                <w:numId w:val="54"/>
              </w:numPr>
              <w:ind w:right="458"/>
            </w:pPr>
            <w:r>
              <w:t>Étude exploratoire</w:t>
            </w:r>
            <w:r w:rsidR="009B150A">
              <w:t> :</w:t>
            </w:r>
            <w:r>
              <w:t xml:space="preserve"> terminée.</w:t>
            </w:r>
          </w:p>
          <w:p w14:paraId="3012E7FB" w14:textId="75ADD72D" w:rsidR="008B7F76" w:rsidRPr="008B7F76" w:rsidRDefault="008B7F76" w:rsidP="00BE25BC">
            <w:pPr>
              <w:pStyle w:val="TableParagraph"/>
              <w:numPr>
                <w:ilvl w:val="0"/>
                <w:numId w:val="54"/>
              </w:numPr>
              <w:ind w:right="458"/>
            </w:pPr>
            <w:r>
              <w:t>Événement d</w:t>
            </w:r>
            <w:r w:rsidR="009B150A">
              <w:t>’</w:t>
            </w:r>
            <w:r>
              <w:t>information portant sur les avantages potentiels de l</w:t>
            </w:r>
            <w:r w:rsidR="009B150A">
              <w:t>’</w:t>
            </w:r>
            <w:r>
              <w:t>utilisation des marques collectives</w:t>
            </w:r>
            <w:r w:rsidR="009B150A">
              <w:t> :</w:t>
            </w:r>
            <w:r>
              <w:t xml:space="preserve"> tenu les 5</w:t>
            </w:r>
            <w:r w:rsidR="00A65F61">
              <w:t xml:space="preserve"> </w:t>
            </w:r>
            <w:r>
              <w:t>et 6 juillet 2021.</w:t>
            </w:r>
          </w:p>
          <w:p w14:paraId="058C3C12" w14:textId="707187DB" w:rsidR="008B7F76" w:rsidRPr="008B7F76" w:rsidRDefault="008B7F76" w:rsidP="00BE25BC">
            <w:pPr>
              <w:pStyle w:val="TableParagraph"/>
              <w:numPr>
                <w:ilvl w:val="0"/>
                <w:numId w:val="54"/>
              </w:numPr>
              <w:ind w:right="458"/>
            </w:pPr>
            <w:r>
              <w:t>Sélection d</w:t>
            </w:r>
            <w:r w:rsidR="009B150A">
              <w:t>’</w:t>
            </w:r>
            <w:r>
              <w:t>un produit/service pour lequel une marque collective sera créée et enregistrée, et création d</w:t>
            </w:r>
            <w:r w:rsidR="009B150A">
              <w:t>’</w:t>
            </w:r>
            <w:r>
              <w:t>une association ou recensement d</w:t>
            </w:r>
            <w:r w:rsidR="009B150A">
              <w:t>’</w:t>
            </w:r>
            <w:r>
              <w:t>une association déjà existante</w:t>
            </w:r>
            <w:r w:rsidR="009B150A">
              <w:t> :</w:t>
            </w:r>
            <w:r>
              <w:t xml:space="preserve"> terminé</w:t>
            </w:r>
            <w:r w:rsidR="00C17142">
              <w:t>es.  L’a</w:t>
            </w:r>
            <w:r>
              <w:t>ssociation APAFE (Associação dos Produtores Agroextrativistas da Floresta Nacional de Tefé e Entorno), située à Tefé et Alvãraes, dans la région amazonienne, a été provisoirement sélectionn</w:t>
            </w:r>
            <w:r w:rsidR="00C17142">
              <w:t>ée.  Se</w:t>
            </w:r>
            <w:r>
              <w:t>s membres produisent la fleur de manioc et des produits dérivés, miel, huiles, etc.</w:t>
            </w:r>
          </w:p>
          <w:p w14:paraId="62EB15B2" w14:textId="39DC5C4A" w:rsidR="008B7F76" w:rsidRPr="008B7F76" w:rsidRDefault="008B7F76" w:rsidP="00BE25BC">
            <w:pPr>
              <w:pStyle w:val="TableParagraph"/>
              <w:numPr>
                <w:ilvl w:val="0"/>
                <w:numId w:val="54"/>
              </w:numPr>
              <w:ind w:right="458"/>
            </w:pPr>
            <w:r>
              <w:t>Atelier avec les membres de l</w:t>
            </w:r>
            <w:r w:rsidR="009B150A">
              <w:t>’</w:t>
            </w:r>
            <w:r>
              <w:t>association sur les principaux éléments de leur marque collective</w:t>
            </w:r>
            <w:r w:rsidR="009B150A">
              <w:t> :</w:t>
            </w:r>
            <w:r>
              <w:t xml:space="preserve"> tenu le 13 septembre et le 8 novembre 2021.  Ces ateliers ont été complétés par des consultations en ligne à petite échelle avec les représentants de l</w:t>
            </w:r>
            <w:r w:rsidR="009B150A">
              <w:t>’</w:t>
            </w:r>
            <w:r>
              <w:t>association.</w:t>
            </w:r>
          </w:p>
          <w:p w14:paraId="3F8D56D2" w14:textId="03887F31" w:rsidR="008B7F76" w:rsidRPr="008B7F76" w:rsidRDefault="008B7F76" w:rsidP="00BE25BC">
            <w:pPr>
              <w:pStyle w:val="TableParagraph"/>
              <w:numPr>
                <w:ilvl w:val="0"/>
                <w:numId w:val="54"/>
              </w:numPr>
              <w:ind w:right="458"/>
            </w:pPr>
            <w:r>
              <w:t>Rédaction et adoption du règlement d</w:t>
            </w:r>
            <w:r w:rsidR="009B150A">
              <w:t>’</w:t>
            </w:r>
            <w:r>
              <w:t>usage de la marque collective</w:t>
            </w:r>
            <w:r w:rsidR="009B150A">
              <w:t> :</w:t>
            </w:r>
            <w:r>
              <w:t xml:space="preserve"> terminé</w:t>
            </w:r>
            <w:r w:rsidR="00C17142">
              <w:t>es.  Ou</w:t>
            </w:r>
            <w:r>
              <w:t>tre le règlement d</w:t>
            </w:r>
            <w:r w:rsidR="009B150A">
              <w:t>’</w:t>
            </w:r>
            <w:r>
              <w:t>usage, un plan de contrôle de la marque collective est en cours d</w:t>
            </w:r>
            <w:r w:rsidR="009B150A">
              <w:t>’</w:t>
            </w:r>
            <w:r>
              <w:t>élaboration.</w:t>
            </w:r>
          </w:p>
          <w:p w14:paraId="7810052C" w14:textId="17A15FF0" w:rsidR="008B7F76" w:rsidRPr="008B7F76" w:rsidRDefault="008B7F76" w:rsidP="00BE25BC">
            <w:pPr>
              <w:pStyle w:val="TableParagraph"/>
              <w:numPr>
                <w:ilvl w:val="0"/>
                <w:numId w:val="54"/>
              </w:numPr>
              <w:ind w:right="458"/>
            </w:pPr>
            <w:r>
              <w:t>Conception du logo de la marque collective</w:t>
            </w:r>
            <w:r w:rsidR="009B150A">
              <w:t> :</w:t>
            </w:r>
            <w:r>
              <w:t xml:space="preserve"> achevée.</w:t>
            </w:r>
          </w:p>
          <w:p w14:paraId="2CC7EB08" w14:textId="78DB7336" w:rsidR="008B7F76" w:rsidRPr="008B7F76" w:rsidRDefault="008B7F76" w:rsidP="00BE25BC">
            <w:pPr>
              <w:pStyle w:val="TableParagraph"/>
              <w:numPr>
                <w:ilvl w:val="0"/>
                <w:numId w:val="54"/>
              </w:numPr>
              <w:ind w:right="458"/>
            </w:pPr>
            <w:r>
              <w:t>Enregistrement de la marque collective</w:t>
            </w:r>
            <w:r w:rsidR="009B150A">
              <w:t> :</w:t>
            </w:r>
            <w:r w:rsidR="00A65F61">
              <w:t xml:space="preserve"> </w:t>
            </w:r>
            <w:r>
              <w:t>en cou</w:t>
            </w:r>
            <w:r w:rsidR="00C17142">
              <w:t>rs.  La</w:t>
            </w:r>
            <w:r>
              <w:t xml:space="preserve"> demande d</w:t>
            </w:r>
            <w:r w:rsidR="009B150A">
              <w:t>’</w:t>
            </w:r>
            <w:r>
              <w:t>enregistrement de la marque collective a été déposée par l</w:t>
            </w:r>
            <w:r w:rsidR="009B150A">
              <w:t>’</w:t>
            </w:r>
            <w:r>
              <w:t>office national de propriété intellectuelle le 11 février 2022.</w:t>
            </w:r>
          </w:p>
          <w:p w14:paraId="18D34EF8" w14:textId="109C96CA" w:rsidR="008B7F76" w:rsidRPr="008B7F76" w:rsidRDefault="008B7F76" w:rsidP="00BE25BC">
            <w:pPr>
              <w:pStyle w:val="TableParagraph"/>
              <w:numPr>
                <w:ilvl w:val="0"/>
                <w:numId w:val="54"/>
              </w:numPr>
              <w:ind w:right="458"/>
            </w:pPr>
            <w:r>
              <w:t>Guide pratique sur l</w:t>
            </w:r>
            <w:r w:rsidR="009B150A">
              <w:t>’</w:t>
            </w:r>
            <w:r>
              <w:t>élaboration et l</w:t>
            </w:r>
            <w:r w:rsidR="009B150A">
              <w:t>’</w:t>
            </w:r>
            <w:r>
              <w:t>enregistrement des marques collectives</w:t>
            </w:r>
            <w:r w:rsidR="009B150A">
              <w:t> :</w:t>
            </w:r>
            <w:r>
              <w:t xml:space="preserve"> en cours d</w:t>
            </w:r>
            <w:r w:rsidR="009B150A">
              <w:t>’</w:t>
            </w:r>
            <w:r>
              <w:t>élaborati</w:t>
            </w:r>
            <w:r w:rsidR="00C17142">
              <w:t>on.  Le</w:t>
            </w:r>
            <w:r>
              <w:t xml:space="preserve"> premier projet a été présenté à l</w:t>
            </w:r>
            <w:r w:rsidR="009B150A">
              <w:t>’</w:t>
            </w:r>
            <w:r>
              <w:t>équipe chargée du projet et le projet final devrait être achevé en juillet 2022.</w:t>
            </w:r>
          </w:p>
          <w:p w14:paraId="175AADDF" w14:textId="0173A4B1" w:rsidR="008B7F76" w:rsidRPr="008B7F76" w:rsidRDefault="008B7F76" w:rsidP="00BE25BC">
            <w:pPr>
              <w:pStyle w:val="TableParagraph"/>
              <w:numPr>
                <w:ilvl w:val="0"/>
                <w:numId w:val="54"/>
              </w:numPr>
              <w:ind w:right="458"/>
            </w:pPr>
            <w:r>
              <w:t>Activité de formation sur les marques collectives</w:t>
            </w:r>
            <w:r w:rsidR="009B150A">
              <w:t> :</w:t>
            </w:r>
            <w:r>
              <w:t xml:space="preserve"> tenue le </w:t>
            </w:r>
            <w:r w:rsidR="009B150A">
              <w:t>4 avril 20</w:t>
            </w:r>
            <w:r>
              <w:t>22</w:t>
            </w:r>
          </w:p>
          <w:p w14:paraId="318C6210" w14:textId="77777777" w:rsidR="008B7F76" w:rsidRPr="00170E86" w:rsidRDefault="008B7F76" w:rsidP="00170E86">
            <w:pPr>
              <w:pStyle w:val="TableParagraph"/>
              <w:ind w:left="109" w:right="458"/>
              <w:rPr>
                <w:u w:val="single"/>
              </w:rPr>
            </w:pPr>
          </w:p>
          <w:p w14:paraId="719AC2DF" w14:textId="77777777" w:rsidR="008B7F76" w:rsidRPr="00170E86" w:rsidRDefault="008B7F76" w:rsidP="00170E86">
            <w:pPr>
              <w:pStyle w:val="TableParagraph"/>
              <w:ind w:left="109" w:right="458"/>
              <w:rPr>
                <w:u w:val="single"/>
              </w:rPr>
            </w:pPr>
            <w:r>
              <w:rPr>
                <w:u w:val="single"/>
              </w:rPr>
              <w:t>Philippines</w:t>
            </w:r>
          </w:p>
          <w:p w14:paraId="5932D4A7" w14:textId="2FBC39CA" w:rsidR="008B7F76" w:rsidRPr="008B7F76" w:rsidRDefault="008B7F76" w:rsidP="00BE25BC">
            <w:pPr>
              <w:pStyle w:val="TableParagraph"/>
              <w:numPr>
                <w:ilvl w:val="0"/>
                <w:numId w:val="53"/>
              </w:numPr>
              <w:ind w:right="458"/>
            </w:pPr>
            <w:r>
              <w:t>Plan de mise en œuvre du projet au niveau national</w:t>
            </w:r>
            <w:r w:rsidR="009B150A">
              <w:t> :</w:t>
            </w:r>
            <w:r>
              <w:t xml:space="preserve"> approuvé.</w:t>
            </w:r>
          </w:p>
          <w:p w14:paraId="564975F6" w14:textId="192833E8" w:rsidR="008B7F76" w:rsidRPr="008B7F76" w:rsidRDefault="008B7F76" w:rsidP="00BE25BC">
            <w:pPr>
              <w:pStyle w:val="TableParagraph"/>
              <w:numPr>
                <w:ilvl w:val="0"/>
                <w:numId w:val="53"/>
              </w:numPr>
              <w:ind w:right="458"/>
            </w:pPr>
            <w:r>
              <w:t>Étude exploratoire</w:t>
            </w:r>
            <w:r w:rsidR="009B150A">
              <w:t> :</w:t>
            </w:r>
            <w:r w:rsidR="00A65F61">
              <w:t xml:space="preserve"> </w:t>
            </w:r>
            <w:r>
              <w:t>achevée.</w:t>
            </w:r>
          </w:p>
          <w:p w14:paraId="25394576" w14:textId="7B9FDC51" w:rsidR="008B7F76" w:rsidRPr="008B7F76" w:rsidRDefault="008B7F76" w:rsidP="00BE25BC">
            <w:pPr>
              <w:pStyle w:val="TableParagraph"/>
              <w:numPr>
                <w:ilvl w:val="0"/>
                <w:numId w:val="53"/>
              </w:numPr>
              <w:ind w:right="458"/>
            </w:pPr>
            <w:r>
              <w:t>Événement d</w:t>
            </w:r>
            <w:r w:rsidR="009B150A">
              <w:t>’</w:t>
            </w:r>
            <w:r>
              <w:t>information portant sur les avantages potentiels de l</w:t>
            </w:r>
            <w:r w:rsidR="009B150A">
              <w:t>’</w:t>
            </w:r>
            <w:r>
              <w:t>utilisation des marques collectives</w:t>
            </w:r>
            <w:r w:rsidR="009B150A">
              <w:t> :</w:t>
            </w:r>
            <w:r>
              <w:t xml:space="preserve"> tenu du</w:t>
            </w:r>
            <w:r w:rsidR="00A65F61">
              <w:t xml:space="preserve"> </w:t>
            </w:r>
            <w:r>
              <w:t>14 au 16 avril 2021.</w:t>
            </w:r>
          </w:p>
          <w:p w14:paraId="212A7957" w14:textId="77777777" w:rsidR="008B7F76" w:rsidRPr="008B7F76" w:rsidRDefault="008B7F76" w:rsidP="00170E86">
            <w:pPr>
              <w:pStyle w:val="TableParagraph"/>
              <w:ind w:left="109" w:right="458"/>
            </w:pPr>
          </w:p>
          <w:p w14:paraId="757DBE4B" w14:textId="08C307AC" w:rsidR="008B7F76" w:rsidRPr="008B7F76" w:rsidRDefault="008B7F76" w:rsidP="00BE25BC">
            <w:pPr>
              <w:pStyle w:val="TableParagraph"/>
              <w:numPr>
                <w:ilvl w:val="0"/>
                <w:numId w:val="53"/>
              </w:numPr>
              <w:ind w:right="458"/>
            </w:pPr>
            <w:r>
              <w:t>Sélection d</w:t>
            </w:r>
            <w:r w:rsidR="009B150A">
              <w:t>’</w:t>
            </w:r>
            <w:r>
              <w:t>un produit/service pour lequel une marque collective sera créée et enregistrée, et création d</w:t>
            </w:r>
            <w:r w:rsidR="009B150A">
              <w:t>’</w:t>
            </w:r>
            <w:r>
              <w:t>une association ou recensement d</w:t>
            </w:r>
            <w:r w:rsidR="009B150A">
              <w:t>’</w:t>
            </w:r>
            <w:r>
              <w:t>une association déjà existante</w:t>
            </w:r>
            <w:r w:rsidR="009B150A">
              <w:t> :</w:t>
            </w:r>
            <w:r>
              <w:t xml:space="preserve"> terminé</w:t>
            </w:r>
            <w:r w:rsidR="00C17142">
              <w:t>es.  L’a</w:t>
            </w:r>
            <w:r>
              <w:t>ssociation OKB (Orgullo Kan Bicol) a été sélectionn</w:t>
            </w:r>
            <w:r w:rsidR="00C17142">
              <w:t>ée.  Se</w:t>
            </w:r>
            <w:r>
              <w:t>s membres produisent divers types de produits dérivés de l</w:t>
            </w:r>
            <w:r w:rsidR="009B150A">
              <w:t>’</w:t>
            </w:r>
            <w:r>
              <w:t>arbre tropical “Pili”</w:t>
            </w:r>
            <w:r w:rsidR="009B150A">
              <w:t> :</w:t>
            </w:r>
            <w:r>
              <w:t xml:space="preserve"> noix, pâtisseries, artisanat à partir de la coquille et </w:t>
            </w:r>
            <w:r>
              <w:lastRenderedPageBreak/>
              <w:t>produits cosmétiques à partir de l</w:t>
            </w:r>
            <w:r w:rsidR="009B150A">
              <w:t>’</w:t>
            </w:r>
            <w:r>
              <w:t>huile, entre autres.</w:t>
            </w:r>
          </w:p>
          <w:p w14:paraId="5F7F4C9D" w14:textId="36ACD42F" w:rsidR="008B7F76" w:rsidRPr="008B7F76" w:rsidRDefault="008B7F76" w:rsidP="00BE25BC">
            <w:pPr>
              <w:pStyle w:val="TableParagraph"/>
              <w:numPr>
                <w:ilvl w:val="0"/>
                <w:numId w:val="53"/>
              </w:numPr>
              <w:ind w:right="458"/>
            </w:pPr>
            <w:r>
              <w:t>Atelier avec les membres de l</w:t>
            </w:r>
            <w:r w:rsidR="009B150A">
              <w:t>’</w:t>
            </w:r>
            <w:r>
              <w:t>association sur les principaux éléments de leur marque collective</w:t>
            </w:r>
            <w:r w:rsidR="009B150A">
              <w:t> :</w:t>
            </w:r>
            <w:r>
              <w:t xml:space="preserve"> tenu les 11 et 12 août ainsi que le 7 et le 16 septembre 2021.  Ces ateliers ont été complétés par des consultations en ligne à petite échelle avec les représentants de l</w:t>
            </w:r>
            <w:r w:rsidR="009B150A">
              <w:t>’</w:t>
            </w:r>
            <w:r>
              <w:t>association.</w:t>
            </w:r>
          </w:p>
          <w:p w14:paraId="0A6B8FC1" w14:textId="78DA7C39" w:rsidR="008B7F76" w:rsidRPr="008B7F76" w:rsidRDefault="008B7F76" w:rsidP="00BE25BC">
            <w:pPr>
              <w:pStyle w:val="TableParagraph"/>
              <w:numPr>
                <w:ilvl w:val="0"/>
                <w:numId w:val="53"/>
              </w:numPr>
              <w:ind w:right="458"/>
            </w:pPr>
            <w:r>
              <w:t>Rédaction et adoption du règlement d</w:t>
            </w:r>
            <w:r w:rsidR="009B150A">
              <w:t>’</w:t>
            </w:r>
            <w:r>
              <w:t>usage de la marque collective</w:t>
            </w:r>
            <w:r w:rsidR="009B150A">
              <w:t> :</w:t>
            </w:r>
            <w:r>
              <w:t xml:space="preserve"> terminées.</w:t>
            </w:r>
          </w:p>
          <w:p w14:paraId="6ED6FD0B" w14:textId="2DBC5AAD" w:rsidR="008B7F76" w:rsidRPr="008B7F76" w:rsidRDefault="008B7F76" w:rsidP="00BE25BC">
            <w:pPr>
              <w:pStyle w:val="TableParagraph"/>
              <w:numPr>
                <w:ilvl w:val="0"/>
                <w:numId w:val="53"/>
              </w:numPr>
              <w:ind w:right="458"/>
            </w:pPr>
            <w:r>
              <w:t>Conception du logo de la marque collective</w:t>
            </w:r>
            <w:r w:rsidR="009B150A">
              <w:t> :</w:t>
            </w:r>
            <w:r>
              <w:t xml:space="preserve"> terminée.</w:t>
            </w:r>
          </w:p>
          <w:p w14:paraId="41A24C64" w14:textId="4CF676FA" w:rsidR="009B150A" w:rsidRDefault="008B7F76" w:rsidP="00BE25BC">
            <w:pPr>
              <w:pStyle w:val="TableParagraph"/>
              <w:numPr>
                <w:ilvl w:val="0"/>
                <w:numId w:val="53"/>
              </w:numPr>
              <w:ind w:right="458"/>
            </w:pPr>
            <w:r>
              <w:t>Enregistrement de la marque collective</w:t>
            </w:r>
            <w:r w:rsidR="009B150A">
              <w:t> :</w:t>
            </w:r>
            <w:r w:rsidR="00A65F61">
              <w:t xml:space="preserve"> </w:t>
            </w:r>
            <w:r>
              <w:t>termi</w:t>
            </w:r>
            <w:r w:rsidR="00C17142">
              <w:t>né.  Le</w:t>
            </w:r>
            <w:r>
              <w:t xml:space="preserve"> certificat d</w:t>
            </w:r>
            <w:r w:rsidR="009B150A">
              <w:t>’</w:t>
            </w:r>
            <w:r>
              <w:t>enregistrement a été délivré le 25 avril 2022.</w:t>
            </w:r>
          </w:p>
          <w:p w14:paraId="6417ED10" w14:textId="6694B3B1" w:rsidR="008B7F76" w:rsidRPr="008B7F76" w:rsidRDefault="008B7F76" w:rsidP="00BE25BC">
            <w:pPr>
              <w:pStyle w:val="TableParagraph"/>
              <w:numPr>
                <w:ilvl w:val="0"/>
                <w:numId w:val="53"/>
              </w:numPr>
              <w:ind w:right="458"/>
            </w:pPr>
            <w:r>
              <w:t>Événement pour le lancement de la marque collective</w:t>
            </w:r>
            <w:r w:rsidR="009B150A">
              <w:t> :</w:t>
            </w:r>
            <w:r>
              <w:t xml:space="preserve"> tenu le 14 juin 2022.</w:t>
            </w:r>
          </w:p>
          <w:p w14:paraId="04EE5895" w14:textId="77777777" w:rsidR="008B7F76" w:rsidRPr="00170E86" w:rsidRDefault="008B7F76" w:rsidP="00170E86">
            <w:pPr>
              <w:pStyle w:val="TableParagraph"/>
              <w:ind w:left="109" w:right="458"/>
              <w:rPr>
                <w:u w:val="single"/>
              </w:rPr>
            </w:pPr>
          </w:p>
          <w:p w14:paraId="46C8F078" w14:textId="77777777" w:rsidR="008B7F76" w:rsidRPr="00170E86" w:rsidRDefault="008B7F76" w:rsidP="00170E86">
            <w:pPr>
              <w:pStyle w:val="TableParagraph"/>
              <w:ind w:left="109" w:right="458"/>
              <w:rPr>
                <w:u w:val="single"/>
              </w:rPr>
            </w:pPr>
            <w:r>
              <w:rPr>
                <w:u w:val="single"/>
              </w:rPr>
              <w:t>Tunisie</w:t>
            </w:r>
          </w:p>
          <w:p w14:paraId="25BE091B" w14:textId="07B76D9F" w:rsidR="008B7F76" w:rsidRPr="008B7F76" w:rsidRDefault="008B7F76" w:rsidP="00BE25BC">
            <w:pPr>
              <w:pStyle w:val="TableParagraph"/>
              <w:numPr>
                <w:ilvl w:val="0"/>
                <w:numId w:val="52"/>
              </w:numPr>
              <w:ind w:right="458"/>
            </w:pPr>
            <w:r>
              <w:t>Plan de mise en œuvre du projet au niveau national</w:t>
            </w:r>
            <w:r w:rsidR="009B150A">
              <w:t> :</w:t>
            </w:r>
            <w:r>
              <w:t xml:space="preserve"> approuvé.</w:t>
            </w:r>
          </w:p>
          <w:p w14:paraId="165508AC" w14:textId="3C70CE97" w:rsidR="008B7F76" w:rsidRPr="008B7F76" w:rsidRDefault="008B7F76" w:rsidP="00BE25BC">
            <w:pPr>
              <w:pStyle w:val="TableParagraph"/>
              <w:numPr>
                <w:ilvl w:val="0"/>
                <w:numId w:val="52"/>
              </w:numPr>
              <w:ind w:right="458"/>
            </w:pPr>
            <w:r>
              <w:t>Étude exploratoire</w:t>
            </w:r>
            <w:r w:rsidR="009B150A">
              <w:t> :</w:t>
            </w:r>
            <w:r w:rsidR="00A65F61">
              <w:t xml:space="preserve"> </w:t>
            </w:r>
            <w:r>
              <w:t>achevée.</w:t>
            </w:r>
          </w:p>
          <w:p w14:paraId="76CFA066" w14:textId="0ED3A7A8" w:rsidR="008B7F76" w:rsidRPr="008B7F76" w:rsidRDefault="008B7F76" w:rsidP="00BE25BC">
            <w:pPr>
              <w:pStyle w:val="TableParagraph"/>
              <w:numPr>
                <w:ilvl w:val="0"/>
                <w:numId w:val="52"/>
              </w:numPr>
              <w:ind w:right="458"/>
            </w:pPr>
            <w:r>
              <w:t>Événement d</w:t>
            </w:r>
            <w:r w:rsidR="009B150A">
              <w:t>’</w:t>
            </w:r>
            <w:r>
              <w:t>information portant sur les avantages potentiels de l</w:t>
            </w:r>
            <w:r w:rsidR="009B150A">
              <w:t>’</w:t>
            </w:r>
            <w:r>
              <w:t>utilisation des marques collectives</w:t>
            </w:r>
            <w:r w:rsidR="009B150A">
              <w:t> :</w:t>
            </w:r>
            <w:r w:rsidR="00A65F61">
              <w:t xml:space="preserve"> </w:t>
            </w:r>
            <w:r>
              <w:t>tenu le 25 juin 2021.</w:t>
            </w:r>
          </w:p>
          <w:p w14:paraId="156F87BB" w14:textId="0DAE704C" w:rsidR="008B7F76" w:rsidRPr="008B7F76" w:rsidRDefault="008B7F76" w:rsidP="00BE25BC">
            <w:pPr>
              <w:pStyle w:val="TableParagraph"/>
              <w:numPr>
                <w:ilvl w:val="0"/>
                <w:numId w:val="52"/>
              </w:numPr>
              <w:ind w:right="458"/>
            </w:pPr>
            <w:r>
              <w:t>Sélection d</w:t>
            </w:r>
            <w:r w:rsidR="009B150A">
              <w:t>’</w:t>
            </w:r>
            <w:r>
              <w:t>un produit/service pour lequel une marque collective sera créée et enregistrée, et création d</w:t>
            </w:r>
            <w:r w:rsidR="009B150A">
              <w:t>’</w:t>
            </w:r>
            <w:r>
              <w:t>une association ou recensement d</w:t>
            </w:r>
            <w:r w:rsidR="009B150A">
              <w:t>’</w:t>
            </w:r>
            <w:r>
              <w:t>une association déjà existante</w:t>
            </w:r>
            <w:r w:rsidR="009B150A">
              <w:t> :</w:t>
            </w:r>
            <w:r>
              <w:t xml:space="preserve"> terminé</w:t>
            </w:r>
            <w:r w:rsidR="00C17142">
              <w:t>es.  Un</w:t>
            </w:r>
            <w:r>
              <w:t xml:space="preserve"> groupe de producteurs de miel et de produits dérivés du miels, d</w:t>
            </w:r>
            <w:r w:rsidR="009B150A">
              <w:t>’</w:t>
            </w:r>
            <w:r>
              <w:t>huile essentielle et d</w:t>
            </w:r>
            <w:r w:rsidR="009B150A">
              <w:t>’</w:t>
            </w:r>
            <w:r>
              <w:t>autres produits locaux de la région de Ghardimaou, Jendouba, a été sélection</w:t>
            </w:r>
            <w:r w:rsidR="00C17142">
              <w:t>né.  L’é</w:t>
            </w:r>
            <w:r>
              <w:t>quipe chargée du projet a aidé les producteurs à créer une association</w:t>
            </w:r>
            <w:r w:rsidR="009B150A">
              <w:t> :</w:t>
            </w:r>
            <w:r>
              <w:t xml:space="preserve"> l</w:t>
            </w:r>
            <w:r w:rsidR="009B150A">
              <w:t>’</w:t>
            </w:r>
            <w:r>
              <w:t>APROG (Association de producteurs pour la promotion des produits de Ghardimaou).</w:t>
            </w:r>
          </w:p>
          <w:p w14:paraId="6BC73D37" w14:textId="684EDBC0" w:rsidR="008B7F76" w:rsidRPr="008B7F76" w:rsidRDefault="008B7F76" w:rsidP="00BE25BC">
            <w:pPr>
              <w:pStyle w:val="TableParagraph"/>
              <w:numPr>
                <w:ilvl w:val="0"/>
                <w:numId w:val="52"/>
              </w:numPr>
              <w:ind w:right="458"/>
            </w:pPr>
            <w:r>
              <w:t>Atelier avec les membres de l</w:t>
            </w:r>
            <w:r w:rsidR="009B150A">
              <w:t>’</w:t>
            </w:r>
            <w:r>
              <w:t>association sur les principaux éléments de leur marque collective</w:t>
            </w:r>
            <w:r w:rsidR="009B150A">
              <w:t> :</w:t>
            </w:r>
            <w:r w:rsidR="00A65F61">
              <w:t xml:space="preserve"> </w:t>
            </w:r>
            <w:r>
              <w:t>tenu le 18 novembre 2021.  Ces ateliers ont été complétés par des consultations en ligne à petite échelle avec les représentants de l</w:t>
            </w:r>
            <w:r w:rsidR="009B150A">
              <w:t>’</w:t>
            </w:r>
            <w:r>
              <w:t>association.</w:t>
            </w:r>
          </w:p>
          <w:p w14:paraId="511BA2FB" w14:textId="18EBC904" w:rsidR="008B7F76" w:rsidRPr="008B7F76" w:rsidRDefault="008B7F76" w:rsidP="00BE25BC">
            <w:pPr>
              <w:pStyle w:val="TableParagraph"/>
              <w:numPr>
                <w:ilvl w:val="0"/>
                <w:numId w:val="52"/>
              </w:numPr>
              <w:ind w:right="458"/>
            </w:pPr>
            <w:r>
              <w:t>Rédaction et adoption du règlement d</w:t>
            </w:r>
            <w:r w:rsidR="009B150A">
              <w:t>’</w:t>
            </w:r>
            <w:r>
              <w:t>usage de la marque collective</w:t>
            </w:r>
            <w:r w:rsidR="009B150A">
              <w:t> :</w:t>
            </w:r>
            <w:r>
              <w:t xml:space="preserve"> terminé</w:t>
            </w:r>
            <w:r w:rsidR="00C17142">
              <w:t>es.  Ou</w:t>
            </w:r>
            <w:r>
              <w:t>tre le règlement d</w:t>
            </w:r>
            <w:r w:rsidR="009B150A">
              <w:t>’</w:t>
            </w:r>
            <w:r>
              <w:t>usage, un cahier de charges est en cours d</w:t>
            </w:r>
            <w:r w:rsidR="009B150A">
              <w:t>’</w:t>
            </w:r>
            <w:r>
              <w:t>élaboration.</w:t>
            </w:r>
          </w:p>
          <w:p w14:paraId="6BC996D3" w14:textId="4018B983" w:rsidR="008B7F76" w:rsidRPr="008B7F76" w:rsidRDefault="008B7F76" w:rsidP="00BE25BC">
            <w:pPr>
              <w:pStyle w:val="TableParagraph"/>
              <w:numPr>
                <w:ilvl w:val="0"/>
                <w:numId w:val="52"/>
              </w:numPr>
              <w:ind w:right="458"/>
            </w:pPr>
            <w:r>
              <w:t>Conception du logo de la marque collective</w:t>
            </w:r>
            <w:r w:rsidR="009B150A">
              <w:t> :</w:t>
            </w:r>
            <w:r>
              <w:t xml:space="preserve"> terminée.</w:t>
            </w:r>
          </w:p>
          <w:p w14:paraId="7865F4AE" w14:textId="790C1FBD" w:rsidR="008B7F76" w:rsidRPr="008B7F76" w:rsidRDefault="008B7F76" w:rsidP="00BE25BC">
            <w:pPr>
              <w:pStyle w:val="TableParagraph"/>
              <w:numPr>
                <w:ilvl w:val="0"/>
                <w:numId w:val="52"/>
              </w:numPr>
              <w:ind w:right="458"/>
            </w:pPr>
            <w:r>
              <w:t>Enregistrement de la marque collective</w:t>
            </w:r>
            <w:r w:rsidR="009B150A">
              <w:t> :</w:t>
            </w:r>
            <w:r>
              <w:t xml:space="preserve"> en cou</w:t>
            </w:r>
            <w:r w:rsidR="00C17142">
              <w:t>rs.  Le</w:t>
            </w:r>
            <w:r>
              <w:t>s préparatifs relatifs à la demande d</w:t>
            </w:r>
            <w:r w:rsidR="009B150A">
              <w:t>’</w:t>
            </w:r>
            <w:r>
              <w:t>enregistrement de la marque collective auprès de l</w:t>
            </w:r>
            <w:r w:rsidR="009B150A">
              <w:t>’</w:t>
            </w:r>
            <w:r>
              <w:t>office national de la propriété intellectuelle sont en cours.</w:t>
            </w:r>
          </w:p>
          <w:p w14:paraId="1CE9DF7F" w14:textId="3F56CE82" w:rsidR="008B7F76" w:rsidRPr="008B7F76" w:rsidRDefault="008B7F76" w:rsidP="00BE25BC">
            <w:pPr>
              <w:pStyle w:val="TableParagraph"/>
              <w:numPr>
                <w:ilvl w:val="0"/>
                <w:numId w:val="52"/>
              </w:numPr>
              <w:ind w:right="458"/>
            </w:pPr>
            <w:r>
              <w:t>Activité de formation sur les marques collectives à l</w:t>
            </w:r>
            <w:r w:rsidR="009B150A">
              <w:t>’</w:t>
            </w:r>
            <w:r>
              <w:t>intention de l</w:t>
            </w:r>
            <w:r w:rsidR="009B150A">
              <w:t>’</w:t>
            </w:r>
            <w:r>
              <w:t>office national de la propriété intellectuelle</w:t>
            </w:r>
            <w:r w:rsidR="009B150A">
              <w:t> :</w:t>
            </w:r>
            <w:r>
              <w:t xml:space="preserve"> tenu le</w:t>
            </w:r>
            <w:r w:rsidR="009B150A">
              <w:t xml:space="preserve"> 1</w:t>
            </w:r>
            <w:r w:rsidR="009B150A" w:rsidRPr="009B150A">
              <w:rPr>
                <w:vertAlign w:val="superscript"/>
              </w:rPr>
              <w:t>er</w:t>
            </w:r>
            <w:r w:rsidR="009B150A">
              <w:t> </w:t>
            </w:r>
            <w:r>
              <w:t>juin 2022.</w:t>
            </w:r>
          </w:p>
          <w:p w14:paraId="7C339368" w14:textId="0FF0610E" w:rsidR="008B7F76" w:rsidRPr="00170E86" w:rsidRDefault="008B7F76" w:rsidP="00BE25BC">
            <w:pPr>
              <w:pStyle w:val="TableParagraph"/>
              <w:numPr>
                <w:ilvl w:val="0"/>
                <w:numId w:val="52"/>
              </w:numPr>
              <w:ind w:right="458"/>
            </w:pPr>
            <w:r>
              <w:t xml:space="preserve">En outre, une </w:t>
            </w:r>
            <w:r w:rsidR="009B150A">
              <w:t>page W</w:t>
            </w:r>
            <w:r>
              <w:t>eb pour le projet a été publiée sur le site</w:t>
            </w:r>
            <w:r w:rsidR="00597CB2">
              <w:t> </w:t>
            </w:r>
            <w:r>
              <w:t>Web de l</w:t>
            </w:r>
            <w:r w:rsidR="009B150A">
              <w:t>’</w:t>
            </w:r>
            <w:r>
              <w:t>OMPI à l</w:t>
            </w:r>
            <w:r w:rsidR="009B150A">
              <w:t>’</w:t>
            </w:r>
            <w:r>
              <w:t>adresse</w:t>
            </w:r>
            <w:r w:rsidR="009B150A">
              <w:t> :</w:t>
            </w:r>
            <w:r>
              <w:t xml:space="preserve"> </w:t>
            </w:r>
            <w:hyperlink r:id="rId37" w:history="1">
              <w:r>
                <w:rPr>
                  <w:rStyle w:val="Hyperlink"/>
                </w:rPr>
                <w:t>https://collective</w:t>
              </w:r>
              <w:r w:rsidR="00D117A8">
                <w:rPr>
                  <w:rStyle w:val="Hyperlink"/>
                </w:rPr>
                <w:noBreakHyphen/>
              </w:r>
              <w:r>
                <w:rPr>
                  <w:rStyle w:val="Hyperlink"/>
                </w:rPr>
                <w:t>marks/en/index.html</w:t>
              </w:r>
            </w:hyperlink>
            <w:r>
              <w:t xml:space="preserve">. </w:t>
            </w:r>
            <w:r w:rsidR="00597CB2">
              <w:t xml:space="preserve"> </w:t>
            </w:r>
            <w:r>
              <w:t xml:space="preserve">Des informations et des données actualisées seront publiées sur la </w:t>
            </w:r>
            <w:r w:rsidR="009B150A">
              <w:t>page W</w:t>
            </w:r>
            <w:r>
              <w:t>eb à mesure de l</w:t>
            </w:r>
            <w:r w:rsidR="009B150A">
              <w:t>’</w:t>
            </w:r>
            <w:r>
              <w:t xml:space="preserve">évolution du projet.  </w:t>
            </w:r>
          </w:p>
        </w:tc>
      </w:tr>
      <w:tr w:rsidR="008B7F76" w:rsidRPr="008B7F76" w14:paraId="0C0AE04E" w14:textId="77777777" w:rsidTr="000E0E0C">
        <w:trPr>
          <w:trHeight w:val="801"/>
        </w:trPr>
        <w:tc>
          <w:tcPr>
            <w:tcW w:w="2377" w:type="dxa"/>
            <w:shd w:val="clear" w:color="auto" w:fill="68E089"/>
            <w:vAlign w:val="center"/>
          </w:tcPr>
          <w:p w14:paraId="75737B6A" w14:textId="77777777" w:rsidR="008B7F76" w:rsidRPr="008B7F76" w:rsidRDefault="008B7F76" w:rsidP="008B7F76">
            <w:pPr>
              <w:tabs>
                <w:tab w:val="left" w:pos="6521"/>
              </w:tabs>
            </w:pPr>
            <w:r>
              <w:rPr>
                <w:u w:val="single"/>
              </w:rPr>
              <w:lastRenderedPageBreak/>
              <w:t>Premiers résultats observés</w:t>
            </w:r>
          </w:p>
        </w:tc>
        <w:tc>
          <w:tcPr>
            <w:tcW w:w="6913" w:type="dxa"/>
            <w:vAlign w:val="center"/>
          </w:tcPr>
          <w:p w14:paraId="24B72AB5" w14:textId="41239BD2" w:rsidR="009B150A" w:rsidRDefault="0052233C" w:rsidP="0052233C">
            <w:pPr>
              <w:pStyle w:val="TableParagraph"/>
              <w:ind w:left="360" w:right="458"/>
            </w:pPr>
            <w:r>
              <w:t>Les premiers résultats observés à ce jour sont les suivants</w:t>
            </w:r>
            <w:r w:rsidR="009B150A">
              <w:t> :</w:t>
            </w:r>
          </w:p>
          <w:p w14:paraId="497900AF" w14:textId="0A5973AB" w:rsidR="0052233C" w:rsidRDefault="0052233C" w:rsidP="0052233C">
            <w:pPr>
              <w:pStyle w:val="TableParagraph"/>
              <w:ind w:left="360" w:right="458"/>
            </w:pPr>
          </w:p>
          <w:p w14:paraId="6A528CB0" w14:textId="6DE41906" w:rsidR="008B7F76" w:rsidRPr="008B7F76" w:rsidRDefault="008B7F76" w:rsidP="00BE25BC">
            <w:pPr>
              <w:pStyle w:val="TableParagraph"/>
              <w:numPr>
                <w:ilvl w:val="0"/>
                <w:numId w:val="50"/>
              </w:numPr>
              <w:ind w:left="360" w:right="458"/>
            </w:pPr>
            <w:r>
              <w:t>Les membres des associations de producteurs sélectionnées connaissent mieux les marques collectives grâce aux activités et aux consultations menées durant la phase de mise en œuvre du projet.</w:t>
            </w:r>
          </w:p>
          <w:p w14:paraId="7BEC2D73" w14:textId="77777777" w:rsidR="008B7F76" w:rsidRPr="008B7F76" w:rsidRDefault="008B7F76" w:rsidP="00170E86">
            <w:pPr>
              <w:tabs>
                <w:tab w:val="left" w:pos="6521"/>
              </w:tabs>
            </w:pPr>
          </w:p>
          <w:p w14:paraId="2FA946B8" w14:textId="11EC4E7F" w:rsidR="008B7F76" w:rsidRPr="008B7F76" w:rsidRDefault="008B7F76" w:rsidP="0002667E">
            <w:pPr>
              <w:pStyle w:val="TableParagraph"/>
              <w:numPr>
                <w:ilvl w:val="0"/>
                <w:numId w:val="50"/>
              </w:numPr>
              <w:ind w:left="360" w:right="458"/>
            </w:pPr>
            <w:r>
              <w:t>La gouvernance ainsi que la coopération entre les membres des associations sélectionnées semblent renforcées grâce aux activités menées en faveur du développement de la marque collective.</w:t>
            </w:r>
          </w:p>
        </w:tc>
      </w:tr>
      <w:tr w:rsidR="008B7F76" w:rsidRPr="008B7F76" w14:paraId="186AB2E4" w14:textId="77777777" w:rsidTr="000E0E0C">
        <w:trPr>
          <w:trHeight w:val="703"/>
        </w:trPr>
        <w:tc>
          <w:tcPr>
            <w:tcW w:w="2377" w:type="dxa"/>
            <w:shd w:val="clear" w:color="auto" w:fill="68E089"/>
            <w:vAlign w:val="center"/>
          </w:tcPr>
          <w:p w14:paraId="184BD38D" w14:textId="77777777" w:rsidR="008B7F76" w:rsidRPr="008B7F76" w:rsidRDefault="008B7F76" w:rsidP="008B7F76">
            <w:pPr>
              <w:tabs>
                <w:tab w:val="left" w:pos="6521"/>
              </w:tabs>
            </w:pPr>
            <w:r>
              <w:rPr>
                <w:u w:val="single"/>
              </w:rPr>
              <w:t>Expérience acquise et enseignements tirés</w:t>
            </w:r>
          </w:p>
        </w:tc>
        <w:tc>
          <w:tcPr>
            <w:tcW w:w="6913" w:type="dxa"/>
            <w:vAlign w:val="center"/>
          </w:tcPr>
          <w:p w14:paraId="4A85527F" w14:textId="30BE8C02" w:rsidR="009B150A" w:rsidRDefault="007672D8" w:rsidP="007672D8">
            <w:pPr>
              <w:pStyle w:val="TableParagraph"/>
              <w:ind w:left="360" w:right="458"/>
            </w:pPr>
            <w:r>
              <w:t>À ce jour, l</w:t>
            </w:r>
            <w:r w:rsidR="009B150A">
              <w:t>’</w:t>
            </w:r>
            <w:r>
              <w:t>expérience acquise et les enseignements tirés se présentent comme suit</w:t>
            </w:r>
            <w:r w:rsidR="009B150A">
              <w:t> :</w:t>
            </w:r>
          </w:p>
          <w:p w14:paraId="704C9C27" w14:textId="21EE3573" w:rsidR="007672D8" w:rsidRDefault="007672D8" w:rsidP="007672D8">
            <w:pPr>
              <w:pStyle w:val="TableParagraph"/>
              <w:ind w:left="360" w:right="458"/>
            </w:pPr>
          </w:p>
          <w:p w14:paraId="2FFF7914" w14:textId="240BB8CC" w:rsidR="008B7F76" w:rsidRPr="008B7F76" w:rsidRDefault="008B7F76" w:rsidP="00BE25BC">
            <w:pPr>
              <w:pStyle w:val="TableParagraph"/>
              <w:numPr>
                <w:ilvl w:val="0"/>
                <w:numId w:val="51"/>
              </w:numPr>
              <w:ind w:left="360" w:right="458"/>
            </w:pPr>
            <w:r>
              <w:t>La collaboration avec un vaste ensemble d</w:t>
            </w:r>
            <w:r w:rsidR="009B150A">
              <w:t>’</w:t>
            </w:r>
            <w:r>
              <w:t>institutions nationales et locales a été essentielle à la réussite du proj</w:t>
            </w:r>
            <w:r w:rsidR="00C17142">
              <w:t>et.  En</w:t>
            </w:r>
            <w:r>
              <w:t xml:space="preserve"> particulier, les institutions apportant leur appui aux entreprises et producteurs locaux ont facilité la communication avec les associations choisies et joueront un rôle crucial dans la phase postérieure à la mise en œuvre.</w:t>
            </w:r>
          </w:p>
          <w:p w14:paraId="76D4B839" w14:textId="77777777" w:rsidR="008B7F76" w:rsidRPr="008B7F76" w:rsidRDefault="008B7F76" w:rsidP="00170E86">
            <w:pPr>
              <w:pStyle w:val="TableParagraph"/>
              <w:ind w:left="360" w:right="458"/>
            </w:pPr>
          </w:p>
          <w:p w14:paraId="59AC593E" w14:textId="002DAD85" w:rsidR="008B7F76" w:rsidRPr="008B7F76" w:rsidRDefault="008B7F76" w:rsidP="00BE25BC">
            <w:pPr>
              <w:pStyle w:val="TableParagraph"/>
              <w:numPr>
                <w:ilvl w:val="0"/>
                <w:numId w:val="51"/>
              </w:numPr>
              <w:ind w:left="360" w:right="458"/>
            </w:pPr>
            <w:r>
              <w:t>La souplesse dans la gestion du projet a été un élément essentiel pour répondre aux défis posés par la pandémie de COVID</w:t>
            </w:r>
            <w:r w:rsidR="00D117A8">
              <w:noBreakHyphen/>
            </w:r>
            <w:r>
              <w:t>19 et s</w:t>
            </w:r>
            <w:r w:rsidR="009B150A">
              <w:t>’</w:t>
            </w:r>
            <w:r>
              <w:t>adapter aux besoins et à la situation de chaque pays bénéficiaire.</w:t>
            </w:r>
          </w:p>
          <w:p w14:paraId="43E88726" w14:textId="77777777" w:rsidR="008B7F76" w:rsidRPr="008B7F76" w:rsidRDefault="008B7F76" w:rsidP="00170E86">
            <w:pPr>
              <w:pStyle w:val="TableParagraph"/>
              <w:ind w:left="360" w:right="458"/>
            </w:pPr>
          </w:p>
          <w:p w14:paraId="4A959EA9" w14:textId="566AC467" w:rsidR="008B7F76" w:rsidRPr="008B7F76" w:rsidRDefault="008B7F76" w:rsidP="00BE25BC">
            <w:pPr>
              <w:pStyle w:val="TableParagraph"/>
              <w:numPr>
                <w:ilvl w:val="0"/>
                <w:numId w:val="51"/>
              </w:numPr>
              <w:ind w:left="360" w:right="458"/>
            </w:pPr>
            <w:r>
              <w:t>Bien que la grande majorité des activités du projet aient été menées sous des formes virtuelles ou hybrides, les activités en personne demeurent très importantes dans certains cas, par exemple pour l</w:t>
            </w:r>
            <w:r w:rsidR="009B150A">
              <w:t>’</w:t>
            </w:r>
            <w:r>
              <w:t>interaction avec les associations de producteurs, souvent situées dans des zones rurales et isolées.</w:t>
            </w:r>
          </w:p>
          <w:p w14:paraId="68F49BC6" w14:textId="77777777" w:rsidR="008B7F76" w:rsidRPr="008B7F76" w:rsidRDefault="008B7F76" w:rsidP="00170E86">
            <w:pPr>
              <w:pStyle w:val="TableParagraph"/>
              <w:ind w:left="360" w:right="458"/>
            </w:pPr>
          </w:p>
          <w:p w14:paraId="6FAE9A84" w14:textId="626DF44F" w:rsidR="008B7F76" w:rsidRPr="008B7F76" w:rsidRDefault="008B7F76" w:rsidP="0002667E">
            <w:pPr>
              <w:pStyle w:val="TableParagraph"/>
              <w:numPr>
                <w:ilvl w:val="0"/>
                <w:numId w:val="51"/>
              </w:numPr>
              <w:ind w:left="360" w:right="458"/>
            </w:pPr>
            <w:r>
              <w:t>Les membres des associations sélectionnées pourraient avoir besoin d</w:t>
            </w:r>
            <w:r w:rsidR="009B150A">
              <w:t>’</w:t>
            </w:r>
            <w:r>
              <w:t>une aide supplémentaire pour la gestion, l</w:t>
            </w:r>
            <w:r w:rsidR="009B150A">
              <w:t>’</w:t>
            </w:r>
            <w:r>
              <w:t>utilisation et le contrôle de la marque collective après l</w:t>
            </w:r>
            <w:r w:rsidR="009B150A">
              <w:t>’</w:t>
            </w:r>
            <w:r>
              <w:t>enregistrement.</w:t>
            </w:r>
          </w:p>
        </w:tc>
      </w:tr>
      <w:tr w:rsidR="008B7F76" w:rsidRPr="008B7F76" w14:paraId="1A1134EE" w14:textId="77777777" w:rsidTr="000E0E0C">
        <w:trPr>
          <w:trHeight w:val="1423"/>
        </w:trPr>
        <w:tc>
          <w:tcPr>
            <w:tcW w:w="2377" w:type="dxa"/>
            <w:shd w:val="clear" w:color="auto" w:fill="68E089"/>
            <w:vAlign w:val="center"/>
          </w:tcPr>
          <w:p w14:paraId="505D8EE6" w14:textId="23245098" w:rsidR="008B7F76" w:rsidRPr="008B7F76" w:rsidRDefault="008B7F76" w:rsidP="008B7F76">
            <w:pPr>
              <w:tabs>
                <w:tab w:val="left" w:pos="6521"/>
              </w:tabs>
            </w:pPr>
            <w:r>
              <w:rPr>
                <w:u w:val="single"/>
              </w:rPr>
              <w:t>Risques et mesures d</w:t>
            </w:r>
            <w:r w:rsidR="009B150A">
              <w:rPr>
                <w:u w:val="single"/>
              </w:rPr>
              <w:t>’</w:t>
            </w:r>
            <w:r>
              <w:rPr>
                <w:u w:val="single"/>
              </w:rPr>
              <w:t>atténuation</w:t>
            </w:r>
          </w:p>
        </w:tc>
        <w:tc>
          <w:tcPr>
            <w:tcW w:w="6913" w:type="dxa"/>
            <w:vAlign w:val="center"/>
          </w:tcPr>
          <w:p w14:paraId="4E3974F1" w14:textId="3CF795A1" w:rsidR="009B150A" w:rsidRDefault="008B7F76" w:rsidP="003E72C2">
            <w:pPr>
              <w:pStyle w:val="TableParagraph"/>
              <w:ind w:left="109" w:right="458"/>
            </w:pPr>
            <w:r>
              <w:rPr>
                <w:u w:val="single"/>
              </w:rPr>
              <w:t>Risque n° 1</w:t>
            </w:r>
            <w:r w:rsidR="009B150A">
              <w:rPr>
                <w:u w:val="single"/>
              </w:rPr>
              <w:t> :</w:t>
            </w:r>
            <w:r>
              <w:t xml:space="preserve"> Possible récurrence de la crise liée à</w:t>
            </w:r>
            <w:r w:rsidR="009B150A">
              <w:t xml:space="preserve"> la COV</w:t>
            </w:r>
            <w:r>
              <w:t>ID</w:t>
            </w:r>
            <w:r w:rsidR="00D117A8">
              <w:noBreakHyphen/>
            </w:r>
            <w:r>
              <w:t>19, en conséquence, des confinements et autres mesures restrictives empêchant la mise en œuvre du proj</w:t>
            </w:r>
            <w:r w:rsidR="00C17142">
              <w:t>et.  Il</w:t>
            </w:r>
            <w:r>
              <w:t xml:space="preserve"> s</w:t>
            </w:r>
            <w:r w:rsidR="009B150A">
              <w:t>’</w:t>
            </w:r>
            <w:r>
              <w:t>agit d</w:t>
            </w:r>
            <w:r w:rsidR="009B150A">
              <w:t>’</w:t>
            </w:r>
            <w:r>
              <w:t>un risque modéré.</w:t>
            </w:r>
          </w:p>
          <w:p w14:paraId="0D4821B0" w14:textId="77777777" w:rsidR="009B150A" w:rsidRDefault="009B150A" w:rsidP="007672D8">
            <w:pPr>
              <w:pStyle w:val="TableParagraph"/>
              <w:ind w:left="109" w:right="458"/>
            </w:pPr>
          </w:p>
          <w:p w14:paraId="4B5CC574" w14:textId="0453FB2E" w:rsidR="008B7F76" w:rsidRPr="008B7F76" w:rsidRDefault="008B7F76" w:rsidP="007672D8">
            <w:pPr>
              <w:pStyle w:val="TableParagraph"/>
              <w:ind w:left="109" w:right="458"/>
            </w:pPr>
            <w:r>
              <w:rPr>
                <w:u w:val="single"/>
              </w:rPr>
              <w:t>Atténuation</w:t>
            </w:r>
            <w:r w:rsidR="0036290B">
              <w:rPr>
                <w:u w:val="single"/>
              </w:rPr>
              <w:t> :</w:t>
            </w:r>
            <w:r>
              <w:t xml:space="preserve"> Suivi de la situation du pays et échanges réguliers avec les coordonnateurs loca</w:t>
            </w:r>
            <w:r w:rsidR="00C17142">
              <w:t>ux.  Si</w:t>
            </w:r>
            <w:r>
              <w:t xml:space="preserve"> nécessaire, une prolongation de la durée du projet sera demandée au C</w:t>
            </w:r>
            <w:r w:rsidR="00C17142">
              <w:t>DIP.  Ad</w:t>
            </w:r>
            <w:r>
              <w:t>aptation des modalités de mise en œuvre des activités (réunions virtuelles en priorité, minimum de déplacements) si possible.</w:t>
            </w:r>
          </w:p>
          <w:p w14:paraId="410FDF0A" w14:textId="77777777" w:rsidR="008B7F76" w:rsidRPr="008B7F76" w:rsidRDefault="008B7F76" w:rsidP="003E72C2">
            <w:pPr>
              <w:pStyle w:val="TableParagraph"/>
              <w:ind w:left="109" w:right="458"/>
            </w:pPr>
          </w:p>
          <w:p w14:paraId="1261A135" w14:textId="0EEC26F1" w:rsidR="009B150A" w:rsidRDefault="008B7F76" w:rsidP="003E72C2">
            <w:pPr>
              <w:pStyle w:val="TableParagraph"/>
              <w:ind w:left="109" w:right="458"/>
            </w:pPr>
            <w:r>
              <w:rPr>
                <w:u w:val="single"/>
              </w:rPr>
              <w:t>Risque n° 2</w:t>
            </w:r>
            <w:r w:rsidR="009B150A">
              <w:rPr>
                <w:u w:val="single"/>
              </w:rPr>
              <w:t> :</w:t>
            </w:r>
            <w:r>
              <w:t xml:space="preserve"> L</w:t>
            </w:r>
            <w:r w:rsidR="009B150A">
              <w:t>’</w:t>
            </w:r>
            <w:r>
              <w:t>enregistrement des marques collectives mises au point dans les pays bénéficiaires pourrait prendre plus longtemps que prévu dans le descriptif du projet, compte tenu des délais moyens de traitement des offices nationaux de propriété intellectuel</w:t>
            </w:r>
            <w:r w:rsidR="00C17142">
              <w:t>le.  Il</w:t>
            </w:r>
            <w:r>
              <w:t xml:space="preserve"> s</w:t>
            </w:r>
            <w:r w:rsidR="009B150A">
              <w:t>’</w:t>
            </w:r>
            <w:r>
              <w:t>agit d</w:t>
            </w:r>
            <w:r w:rsidR="009B150A">
              <w:t>’</w:t>
            </w:r>
            <w:r>
              <w:t>un risque modéré.</w:t>
            </w:r>
          </w:p>
          <w:p w14:paraId="0512F03B" w14:textId="23411223" w:rsidR="007672D8" w:rsidRDefault="007672D8" w:rsidP="003E72C2">
            <w:pPr>
              <w:pStyle w:val="TableParagraph"/>
              <w:ind w:left="109" w:right="458"/>
            </w:pPr>
          </w:p>
          <w:p w14:paraId="696409D3" w14:textId="15ABE205" w:rsidR="008B7F76" w:rsidRPr="008B7F76" w:rsidRDefault="008B7F76" w:rsidP="007672D8">
            <w:pPr>
              <w:pStyle w:val="TableParagraph"/>
              <w:ind w:left="109" w:right="458"/>
            </w:pPr>
            <w:r>
              <w:rPr>
                <w:u w:val="single"/>
              </w:rPr>
              <w:t>Atténuation</w:t>
            </w:r>
            <w:r w:rsidR="009B150A">
              <w:rPr>
                <w:u w:val="single"/>
              </w:rPr>
              <w:t> :</w:t>
            </w:r>
            <w:r>
              <w:t xml:space="preserve"> Les demandes d</w:t>
            </w:r>
            <w:r w:rsidR="009B150A">
              <w:t>’</w:t>
            </w:r>
            <w:r>
              <w:t>enregistrement de la marque collective seront déposées dès que possib</w:t>
            </w:r>
            <w:r w:rsidR="00C17142">
              <w:t>le.  Si</w:t>
            </w:r>
            <w:r>
              <w:t xml:space="preserve"> nécessaire, les événements de lancement de la marque collective se tiendront avant que le certificat d</w:t>
            </w:r>
            <w:r w:rsidR="009B150A">
              <w:t>’</w:t>
            </w:r>
            <w:r>
              <w:t>enregistrement soit délivré, afin de respecter le calendrier du projet.</w:t>
            </w:r>
          </w:p>
          <w:p w14:paraId="3DD9E20F" w14:textId="77777777" w:rsidR="008B7F76" w:rsidRPr="008B7F76" w:rsidRDefault="008B7F76" w:rsidP="003E72C2">
            <w:pPr>
              <w:pStyle w:val="TableParagraph"/>
              <w:ind w:left="109" w:right="458"/>
            </w:pPr>
          </w:p>
          <w:p w14:paraId="267E9256" w14:textId="4A6AC1BE" w:rsidR="009B150A" w:rsidRDefault="008B7F76" w:rsidP="003E72C2">
            <w:pPr>
              <w:pStyle w:val="TableParagraph"/>
              <w:ind w:left="109" w:right="458"/>
            </w:pPr>
            <w:r>
              <w:rPr>
                <w:u w:val="single"/>
              </w:rPr>
              <w:t>Risque n°</w:t>
            </w:r>
            <w:r w:rsidR="00597CB2">
              <w:rPr>
                <w:u w:val="single"/>
              </w:rPr>
              <w:t> </w:t>
            </w:r>
            <w:r>
              <w:rPr>
                <w:u w:val="single"/>
              </w:rPr>
              <w:t>3</w:t>
            </w:r>
            <w:r w:rsidR="009B150A">
              <w:rPr>
                <w:u w:val="single"/>
              </w:rPr>
              <w:t> :</w:t>
            </w:r>
            <w:r>
              <w:t xml:space="preserve"> Les associations de producteurs pourraient avoir besoin d</w:t>
            </w:r>
            <w:r w:rsidR="009B150A">
              <w:t>’</w:t>
            </w:r>
            <w:r>
              <w:t>une assistance supplémentaire pour utiliser efficacement la marque collective une fois le projet ache</w:t>
            </w:r>
            <w:r w:rsidR="00C17142">
              <w:t>vé.  Il</w:t>
            </w:r>
            <w:r>
              <w:t xml:space="preserve"> s</w:t>
            </w:r>
            <w:r w:rsidR="009B150A">
              <w:t>’</w:t>
            </w:r>
            <w:r>
              <w:t>agit d</w:t>
            </w:r>
            <w:r w:rsidR="009B150A">
              <w:t>’</w:t>
            </w:r>
            <w:r>
              <w:t>un risque modéré.</w:t>
            </w:r>
          </w:p>
          <w:p w14:paraId="282F4453" w14:textId="46723596" w:rsidR="007672D8" w:rsidRDefault="007672D8" w:rsidP="003E72C2">
            <w:pPr>
              <w:pStyle w:val="TableParagraph"/>
              <w:ind w:left="109" w:right="458"/>
            </w:pPr>
          </w:p>
          <w:p w14:paraId="53AC74FF" w14:textId="65BF9AEF" w:rsidR="008B7F76" w:rsidRPr="008B7F76" w:rsidRDefault="008B7F76" w:rsidP="0002667E">
            <w:pPr>
              <w:pStyle w:val="TableParagraph"/>
              <w:ind w:left="109" w:right="458"/>
            </w:pPr>
            <w:r>
              <w:rPr>
                <w:u w:val="single"/>
              </w:rPr>
              <w:t>Atténuation</w:t>
            </w:r>
            <w:r w:rsidR="009B150A">
              <w:rPr>
                <w:u w:val="single"/>
              </w:rPr>
              <w:t> :</w:t>
            </w:r>
            <w:r w:rsidRPr="0036290B">
              <w:rPr>
                <w:u w:val="single"/>
              </w:rPr>
              <w:t xml:space="preserve"> </w:t>
            </w:r>
            <w:r>
              <w:t>L</w:t>
            </w:r>
            <w:r w:rsidR="009B150A">
              <w:t>’</w:t>
            </w:r>
            <w:r>
              <w:t>équipe chargée du projet fournira un appui aux associations sélectionnées concernant l</w:t>
            </w:r>
            <w:r w:rsidR="009B150A">
              <w:t>’</w:t>
            </w:r>
            <w:r>
              <w:t xml:space="preserve">utilisation et le contrôle de la marque collective, sous réserve du calendrier du projet et du budget prévu. </w:t>
            </w:r>
            <w:r w:rsidR="00597CB2">
              <w:t xml:space="preserve"> </w:t>
            </w:r>
          </w:p>
        </w:tc>
      </w:tr>
      <w:tr w:rsidR="008B7F76" w:rsidRPr="008B7F76" w14:paraId="38824884" w14:textId="77777777" w:rsidTr="000E0E0C">
        <w:trPr>
          <w:trHeight w:val="980"/>
        </w:trPr>
        <w:tc>
          <w:tcPr>
            <w:tcW w:w="2377" w:type="dxa"/>
            <w:shd w:val="clear" w:color="auto" w:fill="68E089"/>
            <w:vAlign w:val="center"/>
          </w:tcPr>
          <w:p w14:paraId="21283D38" w14:textId="77777777" w:rsidR="008B7F76" w:rsidRPr="008B7F76" w:rsidRDefault="008B7F76" w:rsidP="008B7F76">
            <w:pPr>
              <w:tabs>
                <w:tab w:val="left" w:pos="6521"/>
              </w:tabs>
            </w:pPr>
            <w:r>
              <w:rPr>
                <w:u w:val="single"/>
              </w:rPr>
              <w:lastRenderedPageBreak/>
              <w:t>Questions nécessitant un appui ou une attention immédiats</w:t>
            </w:r>
          </w:p>
        </w:tc>
        <w:tc>
          <w:tcPr>
            <w:tcW w:w="6913" w:type="dxa"/>
            <w:vAlign w:val="center"/>
          </w:tcPr>
          <w:p w14:paraId="55DA7333" w14:textId="766F2551" w:rsidR="008B7F76" w:rsidRPr="008B7F76" w:rsidRDefault="008B7F76" w:rsidP="003E72C2">
            <w:pPr>
              <w:pStyle w:val="TableParagraph"/>
              <w:ind w:left="109" w:right="458"/>
            </w:pPr>
            <w:r>
              <w:t>Une prolongation de</w:t>
            </w:r>
            <w:r w:rsidR="00597CB2">
              <w:t xml:space="preserve"> </w:t>
            </w:r>
            <w:r>
              <w:t>six mois (jusqu</w:t>
            </w:r>
            <w:r w:rsidR="009B150A">
              <w:t>’</w:t>
            </w:r>
            <w:r>
              <w:t xml:space="preserve">à la fin du mois de </w:t>
            </w:r>
            <w:r w:rsidR="009B150A">
              <w:t>décembre 20</w:t>
            </w:r>
            <w:r>
              <w:t>23), sans incidence budgétaire, est proposée.</w:t>
            </w:r>
          </w:p>
        </w:tc>
      </w:tr>
      <w:tr w:rsidR="008B7F76" w:rsidRPr="008B7F76" w14:paraId="37E982E8" w14:textId="77777777" w:rsidTr="000E0E0C">
        <w:trPr>
          <w:trHeight w:val="469"/>
        </w:trPr>
        <w:tc>
          <w:tcPr>
            <w:tcW w:w="2377" w:type="dxa"/>
            <w:shd w:val="clear" w:color="auto" w:fill="68E089"/>
            <w:vAlign w:val="center"/>
          </w:tcPr>
          <w:p w14:paraId="7924B363" w14:textId="77777777" w:rsidR="008B7F76" w:rsidRPr="008B7F76" w:rsidRDefault="008B7F76" w:rsidP="008B7F76">
            <w:pPr>
              <w:tabs>
                <w:tab w:val="left" w:pos="6521"/>
              </w:tabs>
            </w:pPr>
            <w:r>
              <w:rPr>
                <w:u w:val="single"/>
              </w:rPr>
              <w:t>Voie à suivre</w:t>
            </w:r>
          </w:p>
        </w:tc>
        <w:tc>
          <w:tcPr>
            <w:tcW w:w="6913" w:type="dxa"/>
            <w:vAlign w:val="center"/>
          </w:tcPr>
          <w:p w14:paraId="1002C917" w14:textId="7F6E1529" w:rsidR="008B7F76" w:rsidRPr="008B7F76" w:rsidRDefault="008B7F76" w:rsidP="003E72C2">
            <w:pPr>
              <w:pStyle w:val="TableParagraph"/>
              <w:ind w:left="109" w:right="458"/>
            </w:pPr>
            <w:r>
              <w:t>Les prochaines étapes de la mise en œuvre dans chacun des pays bénéficiaires, conformément au descriptif de projet, sont les suivantes</w:t>
            </w:r>
            <w:r w:rsidR="009B150A">
              <w:t> :</w:t>
            </w:r>
          </w:p>
          <w:p w14:paraId="55E92F07" w14:textId="77777777" w:rsidR="008B7F76" w:rsidRPr="008B7F76" w:rsidRDefault="008B7F76" w:rsidP="008B7F76">
            <w:pPr>
              <w:tabs>
                <w:tab w:val="left" w:pos="6521"/>
              </w:tabs>
            </w:pPr>
          </w:p>
          <w:p w14:paraId="6DBDF7CE" w14:textId="701FA917" w:rsidR="008B7F76" w:rsidRPr="008B7F76" w:rsidRDefault="008B7F76" w:rsidP="007672D8">
            <w:pPr>
              <w:pStyle w:val="TableParagraph"/>
              <w:ind w:left="109" w:right="458"/>
              <w:rPr>
                <w:u w:val="single"/>
              </w:rPr>
            </w:pPr>
            <w:r>
              <w:rPr>
                <w:u w:val="single"/>
              </w:rPr>
              <w:t>Bolivie (État plurinational de)</w:t>
            </w:r>
            <w:r w:rsidR="009B150A">
              <w:rPr>
                <w:u w:val="single"/>
              </w:rPr>
              <w:t> :</w:t>
            </w:r>
            <w:r>
              <w:t xml:space="preserve"> L</w:t>
            </w:r>
            <w:r w:rsidR="009B150A">
              <w:t>’</w:t>
            </w:r>
            <w:r>
              <w:t>équipe chargée du projet collaborera avec l</w:t>
            </w:r>
            <w:r w:rsidR="009B150A">
              <w:t>’</w:t>
            </w:r>
            <w:r>
              <w:t>association de producteurs sélectionnée pour développer la marque collecti</w:t>
            </w:r>
            <w:r w:rsidR="00C17142">
              <w:t>ve.  De</w:t>
            </w:r>
            <w:r>
              <w:t>s ateliers seront organisés afin de faciliter un accord au sein de l</w:t>
            </w:r>
            <w:r w:rsidR="009B150A">
              <w:t>’</w:t>
            </w:r>
            <w:r>
              <w:t>association sur les principaux éléments de leur marque</w:t>
            </w:r>
            <w:r w:rsidR="009B150A">
              <w:t> :</w:t>
            </w:r>
            <w:r>
              <w:t xml:space="preserve"> règlement d</w:t>
            </w:r>
            <w:r w:rsidR="009B150A">
              <w:t>’</w:t>
            </w:r>
            <w:r>
              <w:t>usage et logo.</w:t>
            </w:r>
          </w:p>
          <w:p w14:paraId="2BD898FE" w14:textId="77777777" w:rsidR="008B7F76" w:rsidRPr="008B7F76" w:rsidRDefault="008B7F76" w:rsidP="008B7F76">
            <w:pPr>
              <w:tabs>
                <w:tab w:val="left" w:pos="6521"/>
              </w:tabs>
            </w:pPr>
          </w:p>
          <w:p w14:paraId="2F720531" w14:textId="2D2F395A" w:rsidR="008B7F76" w:rsidRPr="008B7F76" w:rsidRDefault="008B7F76" w:rsidP="003E72C2">
            <w:pPr>
              <w:pStyle w:val="TableParagraph"/>
              <w:ind w:left="109" w:right="458"/>
            </w:pPr>
            <w:r>
              <w:rPr>
                <w:u w:val="single"/>
              </w:rPr>
              <w:t>Brésil</w:t>
            </w:r>
            <w:r w:rsidR="009B150A">
              <w:rPr>
                <w:u w:val="single"/>
              </w:rPr>
              <w:t> :</w:t>
            </w:r>
            <w:r>
              <w:t xml:space="preserve"> Finalisation du guide pratique sur les marques collectives, production de matériel de sensibilisation et organisation d</w:t>
            </w:r>
            <w:r w:rsidR="009B150A">
              <w:t>’</w:t>
            </w:r>
            <w:r>
              <w:t>une manifestation de lancement de la marque collective.</w:t>
            </w:r>
          </w:p>
          <w:p w14:paraId="443DF620" w14:textId="77777777" w:rsidR="008B7F76" w:rsidRPr="008B7F76" w:rsidRDefault="008B7F76" w:rsidP="008B7F76">
            <w:pPr>
              <w:tabs>
                <w:tab w:val="left" w:pos="6521"/>
              </w:tabs>
            </w:pPr>
          </w:p>
          <w:p w14:paraId="181814DA" w14:textId="6B8FF461" w:rsidR="008B7F76" w:rsidRPr="008B7F76" w:rsidRDefault="008B7F76" w:rsidP="003E72C2">
            <w:pPr>
              <w:pStyle w:val="TableParagraph"/>
              <w:ind w:left="109" w:right="458"/>
            </w:pPr>
            <w:r>
              <w:rPr>
                <w:u w:val="single"/>
              </w:rPr>
              <w:t>Philippines</w:t>
            </w:r>
            <w:r w:rsidR="009B150A">
              <w:rPr>
                <w:u w:val="single"/>
              </w:rPr>
              <w:t> :</w:t>
            </w:r>
            <w:r>
              <w:t xml:space="preserve"> Finalisation du guide pratique sur les marques collectives, organisation d</w:t>
            </w:r>
            <w:r w:rsidR="009B150A">
              <w:t>’</w:t>
            </w:r>
            <w:r>
              <w:t>activités de formation à l</w:t>
            </w:r>
            <w:r w:rsidR="009B150A">
              <w:t>’</w:t>
            </w:r>
            <w:r>
              <w:t>intention du personnel de l</w:t>
            </w:r>
            <w:r w:rsidR="009B150A">
              <w:t>’</w:t>
            </w:r>
            <w:r>
              <w:t>Office de propriété intellectuelle et production de matériel de sensibilisation.</w:t>
            </w:r>
          </w:p>
          <w:p w14:paraId="6EE49FE5" w14:textId="77777777" w:rsidR="008B7F76" w:rsidRPr="008B7F76" w:rsidRDefault="008B7F76" w:rsidP="008B7F76">
            <w:pPr>
              <w:tabs>
                <w:tab w:val="left" w:pos="6521"/>
              </w:tabs>
            </w:pPr>
          </w:p>
          <w:p w14:paraId="53D716F1" w14:textId="0EC20426" w:rsidR="008B7F76" w:rsidRPr="008B7F76" w:rsidRDefault="008B7F76" w:rsidP="003E72C2">
            <w:pPr>
              <w:pStyle w:val="TableParagraph"/>
              <w:ind w:left="109" w:right="458"/>
            </w:pPr>
            <w:r>
              <w:rPr>
                <w:u w:val="single"/>
              </w:rPr>
              <w:t>Tunisie</w:t>
            </w:r>
            <w:r w:rsidR="009B150A">
              <w:rPr>
                <w:u w:val="single"/>
              </w:rPr>
              <w:t> :</w:t>
            </w:r>
            <w:r>
              <w:t xml:space="preserve"> Dépôt de la demande d</w:t>
            </w:r>
            <w:r w:rsidR="009B150A">
              <w:t>’</w:t>
            </w:r>
            <w:r>
              <w:t>enregistrement de la marque collective auprès de l</w:t>
            </w:r>
            <w:r w:rsidR="009B150A">
              <w:t>’</w:t>
            </w:r>
            <w:r>
              <w:t>office national de la propriété industrielle sont en cours, rédaction d</w:t>
            </w:r>
            <w:r w:rsidR="009B150A">
              <w:t>’</w:t>
            </w:r>
            <w:r>
              <w:t>un guide pratique et mise au point de matériel de sensibilisation.</w:t>
            </w:r>
          </w:p>
          <w:p w14:paraId="7D97F40A" w14:textId="77777777" w:rsidR="008B7F76" w:rsidRPr="008B7F76" w:rsidRDefault="008B7F76" w:rsidP="008B7F76">
            <w:pPr>
              <w:tabs>
                <w:tab w:val="left" w:pos="6521"/>
              </w:tabs>
            </w:pPr>
          </w:p>
          <w:p w14:paraId="5BE201FC" w14:textId="6EAB0777" w:rsidR="009B150A" w:rsidRDefault="008B7F76" w:rsidP="003E72C2">
            <w:pPr>
              <w:pStyle w:val="TableParagraph"/>
              <w:ind w:left="109" w:right="458"/>
            </w:pPr>
            <w:r>
              <w:t>En outre, l</w:t>
            </w:r>
            <w:r w:rsidR="009B150A">
              <w:t>’</w:t>
            </w:r>
            <w:r>
              <w:t>équipe chargée du projet fournira un appui aux associations sélectionnées concernant la gestion de la marque collective après l</w:t>
            </w:r>
            <w:r w:rsidR="009B150A">
              <w:t>’</w:t>
            </w:r>
            <w:r>
              <w:t>enregistrement, selon les besoin</w:t>
            </w:r>
            <w:r w:rsidR="00A65F61">
              <w:t>s</w:t>
            </w:r>
            <w:r>
              <w:t xml:space="preserve"> de chaque pays bénéficiaire.</w:t>
            </w:r>
          </w:p>
          <w:p w14:paraId="6AF79A5B" w14:textId="60C0B4B9" w:rsidR="008B7F76" w:rsidRPr="008B7F76" w:rsidRDefault="008B7F76" w:rsidP="008B7F76">
            <w:pPr>
              <w:tabs>
                <w:tab w:val="left" w:pos="6521"/>
              </w:tabs>
            </w:pPr>
          </w:p>
        </w:tc>
      </w:tr>
      <w:tr w:rsidR="008B7F76" w:rsidRPr="008B7F76" w14:paraId="49169003" w14:textId="77777777" w:rsidTr="000E0E0C">
        <w:trPr>
          <w:trHeight w:val="631"/>
        </w:trPr>
        <w:tc>
          <w:tcPr>
            <w:tcW w:w="2377" w:type="dxa"/>
            <w:shd w:val="clear" w:color="auto" w:fill="68E089"/>
            <w:vAlign w:val="center"/>
          </w:tcPr>
          <w:p w14:paraId="144FBCD9" w14:textId="77777777" w:rsidR="008B7F76" w:rsidRPr="008B7F76" w:rsidRDefault="008B7F76" w:rsidP="008B7F76">
            <w:pPr>
              <w:tabs>
                <w:tab w:val="left" w:pos="6521"/>
              </w:tabs>
            </w:pPr>
            <w:r>
              <w:rPr>
                <w:u w:val="single"/>
              </w:rPr>
              <w:t>Calendrier de mise en œuvre</w:t>
            </w:r>
          </w:p>
        </w:tc>
        <w:tc>
          <w:tcPr>
            <w:tcW w:w="6913" w:type="dxa"/>
            <w:vAlign w:val="center"/>
          </w:tcPr>
          <w:p w14:paraId="520C9E02" w14:textId="72485F04" w:rsidR="008B7F76" w:rsidRPr="008B7F76" w:rsidRDefault="008B7F76" w:rsidP="003E72C2">
            <w:pPr>
              <w:pStyle w:val="TableParagraph"/>
              <w:ind w:left="109" w:right="458"/>
            </w:pPr>
            <w:r>
              <w:t>Dans l</w:t>
            </w:r>
            <w:r w:rsidR="009B150A">
              <w:t>’</w:t>
            </w:r>
            <w:r>
              <w:t>ensemble, la mise en œuvre du projet avance selon le calendri</w:t>
            </w:r>
            <w:r w:rsidR="00C17142">
              <w:t>er.  La</w:t>
            </w:r>
            <w:r>
              <w:t xml:space="preserve"> mise en œuvre est néanmoins retardée en Bolivie.</w:t>
            </w:r>
          </w:p>
        </w:tc>
      </w:tr>
      <w:tr w:rsidR="008B7F76" w:rsidRPr="008B7F76" w14:paraId="20A8ABC3" w14:textId="77777777" w:rsidTr="000E0E0C">
        <w:trPr>
          <w:trHeight w:val="613"/>
        </w:trPr>
        <w:tc>
          <w:tcPr>
            <w:tcW w:w="2377" w:type="dxa"/>
            <w:shd w:val="clear" w:color="auto" w:fill="68E089"/>
            <w:vAlign w:val="center"/>
          </w:tcPr>
          <w:p w14:paraId="019FA267" w14:textId="6BB29D4F" w:rsidR="008B7F76" w:rsidRPr="008B7F76" w:rsidRDefault="008B7F76" w:rsidP="008B7F76">
            <w:pPr>
              <w:tabs>
                <w:tab w:val="left" w:pos="6521"/>
              </w:tabs>
            </w:pPr>
            <w:r>
              <w:rPr>
                <w:u w:val="single"/>
              </w:rPr>
              <w:lastRenderedPageBreak/>
              <w:t>Taux d</w:t>
            </w:r>
            <w:r w:rsidR="009B150A">
              <w:rPr>
                <w:u w:val="single"/>
              </w:rPr>
              <w:t>’</w:t>
            </w:r>
            <w:r>
              <w:rPr>
                <w:u w:val="single"/>
              </w:rPr>
              <w:t>exécution du projet</w:t>
            </w:r>
          </w:p>
        </w:tc>
        <w:tc>
          <w:tcPr>
            <w:tcW w:w="6913" w:type="dxa"/>
            <w:vAlign w:val="center"/>
          </w:tcPr>
          <w:p w14:paraId="6425FEB1" w14:textId="2E2EAB92" w:rsidR="008B7F76" w:rsidRPr="008B7F76" w:rsidRDefault="003E72C2" w:rsidP="003E72C2">
            <w:pPr>
              <w:pStyle w:val="TableParagraph"/>
              <w:ind w:left="109" w:right="458"/>
            </w:pPr>
            <w:r>
              <w:t>Le taux d</w:t>
            </w:r>
            <w:r w:rsidR="009B150A">
              <w:t>’</w:t>
            </w:r>
            <w:r>
              <w:t>exécution du budget à la fin du mois de juillet 2022, par rapport au budget total alloué au projet, était de</w:t>
            </w:r>
            <w:r w:rsidR="009B150A">
              <w:t> :</w:t>
            </w:r>
            <w:r>
              <w:t xml:space="preserve"> 25%</w:t>
            </w:r>
          </w:p>
        </w:tc>
      </w:tr>
      <w:tr w:rsidR="008B7F76" w:rsidRPr="008B7F76" w14:paraId="3A6162C9" w14:textId="77777777" w:rsidTr="000E0E0C">
        <w:trPr>
          <w:trHeight w:val="703"/>
        </w:trPr>
        <w:tc>
          <w:tcPr>
            <w:tcW w:w="2377" w:type="dxa"/>
            <w:shd w:val="clear" w:color="auto" w:fill="68E089"/>
            <w:vAlign w:val="center"/>
          </w:tcPr>
          <w:p w14:paraId="01D22685" w14:textId="77777777" w:rsidR="008B7F76" w:rsidRPr="008B7F76" w:rsidRDefault="008B7F76" w:rsidP="008B7F76">
            <w:pPr>
              <w:tabs>
                <w:tab w:val="left" w:pos="6521"/>
              </w:tabs>
            </w:pPr>
            <w:r>
              <w:rPr>
                <w:u w:val="single"/>
              </w:rPr>
              <w:t>Rapports précédents</w:t>
            </w:r>
          </w:p>
        </w:tc>
        <w:tc>
          <w:tcPr>
            <w:tcW w:w="6913" w:type="dxa"/>
            <w:vAlign w:val="center"/>
          </w:tcPr>
          <w:p w14:paraId="761C6526" w14:textId="13C82271" w:rsidR="008B7F76" w:rsidRPr="008B7F76" w:rsidRDefault="008B7F76" w:rsidP="003E72C2">
            <w:pPr>
              <w:pStyle w:val="TableParagraph"/>
              <w:ind w:left="109" w:right="458"/>
            </w:pPr>
            <w:r>
              <w:t>Il s</w:t>
            </w:r>
            <w:r w:rsidR="009B150A">
              <w:t>’</w:t>
            </w:r>
            <w:r>
              <w:t>agit du deuxième rapport sur l</w:t>
            </w:r>
            <w:r w:rsidR="009B150A">
              <w:t>’</w:t>
            </w:r>
            <w:r>
              <w:t>état d</w:t>
            </w:r>
            <w:r w:rsidR="009B150A">
              <w:t>’</w:t>
            </w:r>
            <w:r>
              <w:t>avanceme</w:t>
            </w:r>
            <w:r w:rsidR="00C17142">
              <w:t>nt.  Le</w:t>
            </w:r>
            <w:r>
              <w:t xml:space="preserve"> premier rapport a été présenté à la vingt</w:t>
            </w:r>
            <w:r w:rsidR="00D117A8">
              <w:noBreakHyphen/>
            </w:r>
            <w:r>
              <w:t>six</w:t>
            </w:r>
            <w:r w:rsidR="009B150A">
              <w:t>ième session</w:t>
            </w:r>
            <w:r>
              <w:t xml:space="preserve"> du CDIP dans l</w:t>
            </w:r>
            <w:r w:rsidR="009B150A">
              <w:t>’annexe I</w:t>
            </w:r>
            <w:r>
              <w:t xml:space="preserve">I du document </w:t>
            </w:r>
            <w:hyperlink r:id="rId38" w:history="1">
              <w:r>
                <w:rPr>
                  <w:rStyle w:val="Hyperlink"/>
                </w:rPr>
                <w:t>CDIP/26/2</w:t>
              </w:r>
            </w:hyperlink>
            <w:r>
              <w:t>.</w:t>
            </w:r>
          </w:p>
        </w:tc>
      </w:tr>
    </w:tbl>
    <w:p w14:paraId="656A7BEF" w14:textId="4B47460E" w:rsidR="0002667E" w:rsidRDefault="0002667E" w:rsidP="006E16C1">
      <w:pPr>
        <w:pStyle w:val="BodyText"/>
        <w:spacing w:after="0"/>
        <w:ind w:left="130"/>
      </w:pPr>
    </w:p>
    <w:p w14:paraId="08575730" w14:textId="77777777" w:rsidR="00B55616" w:rsidRDefault="00B55616" w:rsidP="006E16C1">
      <w:pPr>
        <w:pStyle w:val="BodyText"/>
        <w:spacing w:after="0"/>
        <w:ind w:left="130"/>
      </w:pPr>
    </w:p>
    <w:p w14:paraId="29978D9F" w14:textId="5C725DD3" w:rsidR="00A84073" w:rsidRPr="000A4281" w:rsidRDefault="00A84073" w:rsidP="008B7F76">
      <w:pPr>
        <w:pStyle w:val="BodyText"/>
        <w:spacing w:before="94"/>
        <w:ind w:left="136"/>
      </w:pPr>
      <w:r>
        <w:t>AUTO</w:t>
      </w:r>
      <w:r w:rsidR="00D117A8">
        <w:noBreakHyphen/>
      </w:r>
      <w:r>
        <w:t>ÉVALUATION DU PROJET</w:t>
      </w:r>
    </w:p>
    <w:p w14:paraId="3620DE49" w14:textId="692DBD0D" w:rsidR="00A84073" w:rsidRPr="000A4281" w:rsidRDefault="00A84073" w:rsidP="00A84073">
      <w:pPr>
        <w:pStyle w:val="BodyText"/>
        <w:ind w:left="136"/>
      </w:pPr>
      <w:r>
        <w:t>Code d</w:t>
      </w:r>
      <w:r w:rsidR="009B150A">
        <w:t>’</w:t>
      </w:r>
      <w:r>
        <w:t>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3"/>
        <w:gridCol w:w="1842"/>
        <w:gridCol w:w="1560"/>
        <w:gridCol w:w="1842"/>
        <w:gridCol w:w="2123"/>
      </w:tblGrid>
      <w:tr w:rsidR="00A84073" w:rsidRPr="000A4281" w14:paraId="5D00A393" w14:textId="77777777" w:rsidTr="00A67641">
        <w:trPr>
          <w:trHeight w:val="470"/>
        </w:trPr>
        <w:tc>
          <w:tcPr>
            <w:tcW w:w="1983" w:type="dxa"/>
            <w:shd w:val="clear" w:color="auto" w:fill="7BBEDA"/>
            <w:vAlign w:val="center"/>
          </w:tcPr>
          <w:p w14:paraId="5E4763EC" w14:textId="77777777" w:rsidR="00A84073" w:rsidRPr="000A4281" w:rsidRDefault="00A84073" w:rsidP="0026000B">
            <w:pPr>
              <w:pStyle w:val="TableParagraph"/>
              <w:spacing w:before="106"/>
              <w:ind w:left="110"/>
            </w:pPr>
            <w:r>
              <w:t>****</w:t>
            </w:r>
          </w:p>
        </w:tc>
        <w:tc>
          <w:tcPr>
            <w:tcW w:w="1842" w:type="dxa"/>
            <w:shd w:val="clear" w:color="auto" w:fill="7BBEDA"/>
            <w:vAlign w:val="center"/>
          </w:tcPr>
          <w:p w14:paraId="73D14619" w14:textId="77777777" w:rsidR="00A84073" w:rsidRPr="000A4281" w:rsidRDefault="00A84073" w:rsidP="0026000B">
            <w:pPr>
              <w:pStyle w:val="TableParagraph"/>
              <w:spacing w:before="106"/>
              <w:ind w:left="110"/>
            </w:pPr>
            <w:r>
              <w:t>***</w:t>
            </w:r>
          </w:p>
        </w:tc>
        <w:tc>
          <w:tcPr>
            <w:tcW w:w="1560" w:type="dxa"/>
            <w:shd w:val="clear" w:color="auto" w:fill="7BBEDA"/>
            <w:vAlign w:val="center"/>
          </w:tcPr>
          <w:p w14:paraId="3E7B2677" w14:textId="77777777" w:rsidR="00A84073" w:rsidRPr="000A4281" w:rsidRDefault="00A84073" w:rsidP="0026000B">
            <w:pPr>
              <w:pStyle w:val="TableParagraph"/>
              <w:spacing w:before="106"/>
              <w:ind w:left="108"/>
            </w:pPr>
            <w:r>
              <w:t>**</w:t>
            </w:r>
          </w:p>
        </w:tc>
        <w:tc>
          <w:tcPr>
            <w:tcW w:w="1842" w:type="dxa"/>
            <w:shd w:val="clear" w:color="auto" w:fill="7BBEDA"/>
            <w:vAlign w:val="center"/>
          </w:tcPr>
          <w:p w14:paraId="157F86F7" w14:textId="77777777" w:rsidR="00A84073" w:rsidRPr="000A4281" w:rsidRDefault="00A84073" w:rsidP="0026000B">
            <w:pPr>
              <w:pStyle w:val="TableParagraph"/>
              <w:spacing w:before="106"/>
              <w:ind w:left="108"/>
            </w:pPr>
            <w:r>
              <w:t>AP</w:t>
            </w:r>
          </w:p>
        </w:tc>
        <w:tc>
          <w:tcPr>
            <w:tcW w:w="2123" w:type="dxa"/>
            <w:shd w:val="clear" w:color="auto" w:fill="7BBEDA"/>
            <w:vAlign w:val="center"/>
          </w:tcPr>
          <w:p w14:paraId="58695C24" w14:textId="77777777" w:rsidR="00A84073" w:rsidRPr="000A4281" w:rsidRDefault="00A84073" w:rsidP="0026000B">
            <w:pPr>
              <w:pStyle w:val="TableParagraph"/>
              <w:spacing w:before="106"/>
              <w:ind w:left="110"/>
            </w:pPr>
            <w:r>
              <w:t>s.o.</w:t>
            </w:r>
          </w:p>
        </w:tc>
      </w:tr>
      <w:tr w:rsidR="00A84073" w:rsidRPr="000A4281" w14:paraId="41346A43" w14:textId="77777777" w:rsidTr="00A67641">
        <w:trPr>
          <w:trHeight w:val="506"/>
        </w:trPr>
        <w:tc>
          <w:tcPr>
            <w:tcW w:w="1983" w:type="dxa"/>
            <w:shd w:val="clear" w:color="auto" w:fill="7BBEDA"/>
            <w:vAlign w:val="center"/>
          </w:tcPr>
          <w:p w14:paraId="7C9017B7" w14:textId="1C49BC79" w:rsidR="00A84073" w:rsidRPr="000A4281" w:rsidRDefault="00A67641" w:rsidP="0026000B">
            <w:pPr>
              <w:pStyle w:val="TableParagraph"/>
              <w:spacing w:line="252" w:lineRule="exact"/>
              <w:ind w:left="110" w:right="408"/>
            </w:pPr>
            <w:r>
              <w:t>Objectifs pleinement</w:t>
            </w:r>
            <w:r w:rsidR="00A84073">
              <w:t xml:space="preserve"> atteint</w:t>
            </w:r>
            <w:r>
              <w:t>s</w:t>
            </w:r>
          </w:p>
        </w:tc>
        <w:tc>
          <w:tcPr>
            <w:tcW w:w="1842" w:type="dxa"/>
            <w:shd w:val="clear" w:color="auto" w:fill="7BBEDA"/>
            <w:vAlign w:val="center"/>
          </w:tcPr>
          <w:p w14:paraId="3EEAB51A" w14:textId="77777777" w:rsidR="00A84073" w:rsidRPr="000A4281" w:rsidRDefault="00A84073" w:rsidP="0026000B">
            <w:pPr>
              <w:pStyle w:val="TableParagraph"/>
              <w:spacing w:line="252" w:lineRule="exact"/>
              <w:ind w:left="110" w:right="687"/>
            </w:pPr>
            <w:r>
              <w:t>De grands progrès</w:t>
            </w:r>
          </w:p>
        </w:tc>
        <w:tc>
          <w:tcPr>
            <w:tcW w:w="1560" w:type="dxa"/>
            <w:shd w:val="clear" w:color="auto" w:fill="7BBEDA"/>
            <w:vAlign w:val="center"/>
          </w:tcPr>
          <w:p w14:paraId="4D327665" w14:textId="77777777" w:rsidR="00A84073" w:rsidRPr="000A4281" w:rsidRDefault="00A84073" w:rsidP="0026000B">
            <w:pPr>
              <w:pStyle w:val="TableParagraph"/>
              <w:spacing w:line="251" w:lineRule="exact"/>
              <w:ind w:left="108"/>
            </w:pPr>
            <w:r>
              <w:t>Quelques progrès</w:t>
            </w:r>
          </w:p>
        </w:tc>
        <w:tc>
          <w:tcPr>
            <w:tcW w:w="1842" w:type="dxa"/>
            <w:shd w:val="clear" w:color="auto" w:fill="7BBEDA"/>
            <w:vAlign w:val="center"/>
          </w:tcPr>
          <w:p w14:paraId="23F4D344" w14:textId="3F06960E" w:rsidR="00A84073" w:rsidRPr="000A4281" w:rsidRDefault="00A67641" w:rsidP="0026000B">
            <w:pPr>
              <w:pStyle w:val="TableParagraph"/>
              <w:spacing w:line="251" w:lineRule="exact"/>
              <w:ind w:left="108"/>
            </w:pPr>
            <w:r>
              <w:t>Aucun</w:t>
            </w:r>
            <w:r w:rsidR="00A84073">
              <w:t xml:space="preserve"> progrès</w:t>
            </w:r>
          </w:p>
        </w:tc>
        <w:tc>
          <w:tcPr>
            <w:tcW w:w="2123" w:type="dxa"/>
            <w:shd w:val="clear" w:color="auto" w:fill="7BBEDA"/>
            <w:vAlign w:val="center"/>
          </w:tcPr>
          <w:p w14:paraId="025991A0" w14:textId="7B5BE22A" w:rsidR="00A84073" w:rsidRPr="000A4281" w:rsidRDefault="00A67641" w:rsidP="0026000B">
            <w:pPr>
              <w:pStyle w:val="TableParagraph"/>
              <w:spacing w:line="252" w:lineRule="exact"/>
              <w:ind w:left="110" w:right="203"/>
            </w:pPr>
            <w:r>
              <w:t xml:space="preserve">Non </w:t>
            </w:r>
            <w:r w:rsidR="00A84073">
              <w:t>évalué/</w:t>
            </w:r>
            <w:r w:rsidR="00DD65C4">
              <w:t xml:space="preserve"> </w:t>
            </w:r>
            <w:r w:rsidR="00A84073">
              <w:t>abandonné</w:t>
            </w:r>
          </w:p>
        </w:tc>
      </w:tr>
    </w:tbl>
    <w:p w14:paraId="12DD5C98" w14:textId="77777777" w:rsidR="00A84073" w:rsidRPr="000A4281" w:rsidRDefault="00A84073" w:rsidP="00A84073">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2865"/>
        <w:gridCol w:w="1412"/>
      </w:tblGrid>
      <w:tr w:rsidR="005E34AF" w:rsidRPr="00C6096E" w14:paraId="6258BCB9" w14:textId="77777777" w:rsidTr="009E12BC">
        <w:trPr>
          <w:trHeight w:val="1264"/>
        </w:trPr>
        <w:tc>
          <w:tcPr>
            <w:tcW w:w="2410" w:type="dxa"/>
            <w:shd w:val="clear" w:color="auto" w:fill="68E089"/>
          </w:tcPr>
          <w:p w14:paraId="48410792" w14:textId="77777777" w:rsidR="005E34AF" w:rsidRPr="00C6096E" w:rsidRDefault="005E34AF" w:rsidP="001D4360">
            <w:pPr>
              <w:pStyle w:val="TableParagraph"/>
              <w:spacing w:before="10"/>
            </w:pPr>
          </w:p>
          <w:p w14:paraId="01CC3AF1" w14:textId="6CCA4EA7" w:rsidR="005E34AF" w:rsidRPr="00C6096E" w:rsidRDefault="005E34AF" w:rsidP="001D4360">
            <w:pPr>
              <w:pStyle w:val="TableParagraph"/>
              <w:ind w:left="110" w:right="624"/>
            </w:pPr>
            <w:r>
              <w:rPr>
                <w:u w:val="single"/>
              </w:rPr>
              <w:t>Résultats du projet</w:t>
            </w:r>
            <w:r>
              <w:rPr>
                <w:vertAlign w:val="superscript"/>
              </w:rPr>
              <w:t>3</w:t>
            </w:r>
            <w:r w:rsidR="009E12BC">
              <w:t xml:space="preserve"> </w:t>
            </w:r>
            <w:r>
              <w:t>(Résultat escompté)</w:t>
            </w:r>
          </w:p>
        </w:tc>
        <w:tc>
          <w:tcPr>
            <w:tcW w:w="2695" w:type="dxa"/>
            <w:shd w:val="clear" w:color="auto" w:fill="68E089"/>
          </w:tcPr>
          <w:p w14:paraId="12FDED4B" w14:textId="77777777" w:rsidR="005E34AF" w:rsidRPr="00C6096E" w:rsidRDefault="005E34AF" w:rsidP="001D4360">
            <w:pPr>
              <w:pStyle w:val="TableParagraph"/>
              <w:spacing w:before="10"/>
            </w:pPr>
          </w:p>
          <w:p w14:paraId="32852380" w14:textId="7FE09419" w:rsidR="005E34AF" w:rsidRPr="00C6096E" w:rsidRDefault="005E34AF" w:rsidP="001D4360">
            <w:pPr>
              <w:pStyle w:val="TableParagraph"/>
              <w:ind w:left="110" w:right="236"/>
            </w:pPr>
            <w:r>
              <w:t>Indicateurs d</w:t>
            </w:r>
            <w:r w:rsidR="009B150A">
              <w:t>’</w:t>
            </w:r>
            <w:r>
              <w:t>exécution</w:t>
            </w:r>
          </w:p>
          <w:p w14:paraId="38AFBA65" w14:textId="77777777" w:rsidR="005E34AF" w:rsidRPr="00C6096E" w:rsidRDefault="005E34AF" w:rsidP="001D4360">
            <w:pPr>
              <w:pStyle w:val="TableParagraph"/>
              <w:spacing w:before="1"/>
              <w:ind w:left="110"/>
            </w:pPr>
            <w:r>
              <w:t>(Indicateurs résultats)</w:t>
            </w:r>
          </w:p>
        </w:tc>
        <w:tc>
          <w:tcPr>
            <w:tcW w:w="2865" w:type="dxa"/>
            <w:shd w:val="clear" w:color="auto" w:fill="68E089"/>
          </w:tcPr>
          <w:p w14:paraId="488E86D0" w14:textId="77777777" w:rsidR="005E34AF" w:rsidRPr="00C6096E" w:rsidRDefault="005E34AF" w:rsidP="001D4360">
            <w:pPr>
              <w:pStyle w:val="TableParagraph"/>
              <w:spacing w:before="10"/>
            </w:pPr>
          </w:p>
          <w:p w14:paraId="1ED6B667" w14:textId="77777777" w:rsidR="005E34AF" w:rsidRPr="00C6096E" w:rsidRDefault="005E34AF" w:rsidP="001D4360">
            <w:pPr>
              <w:pStyle w:val="TableParagraph"/>
              <w:ind w:left="108"/>
            </w:pPr>
            <w:r>
              <w:rPr>
                <w:u w:val="single"/>
              </w:rPr>
              <w:t>Données de performance</w:t>
            </w:r>
          </w:p>
        </w:tc>
        <w:tc>
          <w:tcPr>
            <w:tcW w:w="1412" w:type="dxa"/>
            <w:shd w:val="clear" w:color="auto" w:fill="68E089"/>
          </w:tcPr>
          <w:p w14:paraId="2E2042EB" w14:textId="77777777" w:rsidR="005E34AF" w:rsidRPr="00C6096E" w:rsidRDefault="005E34AF" w:rsidP="001D4360">
            <w:pPr>
              <w:pStyle w:val="TableParagraph"/>
              <w:spacing w:before="10"/>
            </w:pPr>
          </w:p>
          <w:p w14:paraId="26B3FF60" w14:textId="0EDFC518" w:rsidR="005E34AF" w:rsidRPr="00C6096E" w:rsidRDefault="005E34AF" w:rsidP="001D4360">
            <w:pPr>
              <w:pStyle w:val="TableParagraph"/>
              <w:ind w:left="111"/>
            </w:pPr>
            <w:r>
              <w:rPr>
                <w:u w:val="single"/>
              </w:rPr>
              <w:t>Code d</w:t>
            </w:r>
            <w:r w:rsidR="009B150A">
              <w:rPr>
                <w:u w:val="single"/>
              </w:rPr>
              <w:t>’</w:t>
            </w:r>
            <w:r>
              <w:rPr>
                <w:u w:val="single"/>
              </w:rPr>
              <w:t>évaluation</w:t>
            </w:r>
          </w:p>
        </w:tc>
      </w:tr>
      <w:tr w:rsidR="0052233C" w:rsidRPr="00C6096E" w14:paraId="0969B984" w14:textId="77777777" w:rsidTr="009E12BC">
        <w:trPr>
          <w:trHeight w:val="885"/>
        </w:trPr>
        <w:tc>
          <w:tcPr>
            <w:tcW w:w="2410" w:type="dxa"/>
            <w:vMerge w:val="restart"/>
            <w:tcBorders>
              <w:right w:val="single" w:sz="6" w:space="0" w:color="000000"/>
            </w:tcBorders>
          </w:tcPr>
          <w:p w14:paraId="014CDD8D" w14:textId="6DFEB91D" w:rsidR="0052233C" w:rsidRPr="00C6096E" w:rsidRDefault="0052233C" w:rsidP="001D4360">
            <w:pPr>
              <w:pStyle w:val="TableParagraph"/>
              <w:ind w:left="163"/>
            </w:pPr>
            <w:r>
              <w:t>Sélection de trois</w:t>
            </w:r>
            <w:r w:rsidR="00597CB2">
              <w:t> </w:t>
            </w:r>
            <w:r>
              <w:t>pays bénéficiaires (en plus de l</w:t>
            </w:r>
            <w:r w:rsidR="009B150A">
              <w:t>’</w:t>
            </w:r>
            <w:r>
              <w:t>État plurinational de Bolivie)</w:t>
            </w:r>
          </w:p>
        </w:tc>
        <w:tc>
          <w:tcPr>
            <w:tcW w:w="2695" w:type="dxa"/>
            <w:tcBorders>
              <w:left w:val="single" w:sz="6" w:space="0" w:color="000000"/>
              <w:bottom w:val="single" w:sz="6" w:space="0" w:color="000000"/>
            </w:tcBorders>
          </w:tcPr>
          <w:p w14:paraId="3FBFC555" w14:textId="77777777" w:rsidR="009B150A" w:rsidRDefault="0052233C" w:rsidP="001D4360">
            <w:pPr>
              <w:pStyle w:val="TableParagraph"/>
              <w:ind w:left="163"/>
            </w:pPr>
            <w:r>
              <w:t>Trois pays sont sélectionnés (sur la base des critères de sélection convenus);  et</w:t>
            </w:r>
          </w:p>
          <w:p w14:paraId="244F437C" w14:textId="08730627" w:rsidR="0052233C" w:rsidRDefault="0052233C" w:rsidP="001D4360">
            <w:pPr>
              <w:pStyle w:val="TableParagraph"/>
              <w:ind w:left="163"/>
            </w:pPr>
          </w:p>
          <w:p w14:paraId="0FDCBE65" w14:textId="29888B3C" w:rsidR="0052233C" w:rsidRPr="00C6096E" w:rsidRDefault="0052233C" w:rsidP="001D4360">
            <w:pPr>
              <w:pStyle w:val="TableParagraph"/>
              <w:ind w:left="163"/>
            </w:pPr>
          </w:p>
        </w:tc>
        <w:tc>
          <w:tcPr>
            <w:tcW w:w="2865" w:type="dxa"/>
          </w:tcPr>
          <w:p w14:paraId="5D6FA75E" w14:textId="4314B85C" w:rsidR="009B150A" w:rsidRDefault="0052233C" w:rsidP="001D4360">
            <w:pPr>
              <w:pStyle w:val="TableParagraph"/>
              <w:ind w:left="163"/>
            </w:pPr>
            <w:r>
              <w:t>Objectifs pleinement atteints</w:t>
            </w:r>
            <w:r w:rsidR="009B150A">
              <w:t> :</w:t>
            </w:r>
            <w:r>
              <w:t xml:space="preserve"> les pays sélectionnés (en plus de l</w:t>
            </w:r>
            <w:r w:rsidR="009B150A">
              <w:t>’</w:t>
            </w:r>
            <w:r>
              <w:t>État plurinational de Bolivie) sont les Philippines, le Brésil et la Tunisie.</w:t>
            </w:r>
          </w:p>
          <w:p w14:paraId="14601CC3" w14:textId="3B022C70" w:rsidR="0052233C" w:rsidRPr="00C6096E" w:rsidRDefault="0052233C" w:rsidP="0052233C">
            <w:pPr>
              <w:pStyle w:val="TableParagraph"/>
            </w:pPr>
          </w:p>
        </w:tc>
        <w:tc>
          <w:tcPr>
            <w:tcW w:w="1412" w:type="dxa"/>
            <w:vMerge w:val="restart"/>
          </w:tcPr>
          <w:p w14:paraId="463C111F" w14:textId="77777777" w:rsidR="0052233C" w:rsidRPr="00C6096E" w:rsidRDefault="0052233C" w:rsidP="001D4360">
            <w:pPr>
              <w:pStyle w:val="TableParagraph"/>
              <w:ind w:left="163"/>
            </w:pPr>
            <w:r>
              <w:t>****</w:t>
            </w:r>
          </w:p>
        </w:tc>
      </w:tr>
      <w:tr w:rsidR="0052233C" w:rsidRPr="00C6096E" w14:paraId="6604C93F" w14:textId="77777777" w:rsidTr="009E12BC">
        <w:trPr>
          <w:trHeight w:val="885"/>
        </w:trPr>
        <w:tc>
          <w:tcPr>
            <w:tcW w:w="2410" w:type="dxa"/>
            <w:vMerge/>
            <w:tcBorders>
              <w:right w:val="single" w:sz="6" w:space="0" w:color="000000"/>
            </w:tcBorders>
          </w:tcPr>
          <w:p w14:paraId="46648A46" w14:textId="77777777" w:rsidR="0052233C" w:rsidRDefault="0052233C" w:rsidP="001D4360">
            <w:pPr>
              <w:pStyle w:val="TableParagraph"/>
              <w:ind w:left="163"/>
            </w:pPr>
          </w:p>
        </w:tc>
        <w:tc>
          <w:tcPr>
            <w:tcW w:w="2695" w:type="dxa"/>
            <w:tcBorders>
              <w:left w:val="single" w:sz="6" w:space="0" w:color="000000"/>
              <w:bottom w:val="single" w:sz="6" w:space="0" w:color="000000"/>
            </w:tcBorders>
          </w:tcPr>
          <w:p w14:paraId="1A197BF8" w14:textId="76524E64" w:rsidR="0052233C" w:rsidRDefault="0052233C" w:rsidP="001D4360">
            <w:pPr>
              <w:pStyle w:val="TableParagraph"/>
              <w:ind w:left="163"/>
            </w:pPr>
            <w:r>
              <w:t>Des coordonnateurs chargés de la mise en œuvre du projet dans les différents pays ont été désignés.</w:t>
            </w:r>
          </w:p>
        </w:tc>
        <w:tc>
          <w:tcPr>
            <w:tcW w:w="2865" w:type="dxa"/>
          </w:tcPr>
          <w:p w14:paraId="5EB59915" w14:textId="4DBCC181" w:rsidR="0052233C" w:rsidRDefault="0052233C" w:rsidP="001D4360">
            <w:pPr>
              <w:pStyle w:val="TableParagraph"/>
              <w:ind w:left="163"/>
            </w:pPr>
            <w:r>
              <w:t>Dans tous ces pays, des coordonnateurs locaux ont été désignés.</w:t>
            </w:r>
          </w:p>
        </w:tc>
        <w:tc>
          <w:tcPr>
            <w:tcW w:w="1412" w:type="dxa"/>
            <w:vMerge/>
          </w:tcPr>
          <w:p w14:paraId="77BE991C" w14:textId="77777777" w:rsidR="0052233C" w:rsidRDefault="0052233C" w:rsidP="001D4360">
            <w:pPr>
              <w:pStyle w:val="TableParagraph"/>
              <w:ind w:left="163"/>
            </w:pPr>
          </w:p>
        </w:tc>
      </w:tr>
      <w:tr w:rsidR="005E34AF" w:rsidRPr="00C6096E" w14:paraId="61C0297A" w14:textId="77777777" w:rsidTr="009E12BC">
        <w:trPr>
          <w:trHeight w:val="510"/>
        </w:trPr>
        <w:tc>
          <w:tcPr>
            <w:tcW w:w="2410" w:type="dxa"/>
            <w:tcBorders>
              <w:right w:val="single" w:sz="6" w:space="0" w:color="000000"/>
            </w:tcBorders>
          </w:tcPr>
          <w:p w14:paraId="37FEBBF8" w14:textId="77777777" w:rsidR="005E34AF" w:rsidRPr="00C6096E" w:rsidRDefault="005E34AF" w:rsidP="001D4360">
            <w:pPr>
              <w:pStyle w:val="TableParagraph"/>
              <w:ind w:left="163"/>
            </w:pPr>
            <w:r>
              <w:t>Approbation des plans de mise en œuvre des projets au niveau national.</w:t>
            </w:r>
          </w:p>
        </w:tc>
        <w:tc>
          <w:tcPr>
            <w:tcW w:w="2695" w:type="dxa"/>
            <w:tcBorders>
              <w:top w:val="single" w:sz="6" w:space="0" w:color="000000"/>
              <w:left w:val="single" w:sz="6" w:space="0" w:color="000000"/>
              <w:bottom w:val="single" w:sz="6" w:space="0" w:color="000000"/>
            </w:tcBorders>
          </w:tcPr>
          <w:p w14:paraId="427DE9B7" w14:textId="77777777" w:rsidR="005E34AF" w:rsidRPr="00C6096E" w:rsidRDefault="005E34AF" w:rsidP="001D4360">
            <w:pPr>
              <w:pStyle w:val="TableParagraph"/>
              <w:ind w:left="163"/>
            </w:pPr>
            <w:r>
              <w:t>Quatre plans de mise en œuvre des projets ont été élaborés et approuvés (un par pays bénéficiaire).</w:t>
            </w:r>
          </w:p>
        </w:tc>
        <w:tc>
          <w:tcPr>
            <w:tcW w:w="2865" w:type="dxa"/>
          </w:tcPr>
          <w:p w14:paraId="737BFC66" w14:textId="6F1BE901" w:rsidR="005E34AF" w:rsidRPr="00C6096E" w:rsidRDefault="005E34AF" w:rsidP="00B75F20">
            <w:pPr>
              <w:pStyle w:val="TableParagraph"/>
              <w:ind w:left="163"/>
            </w:pPr>
            <w:r>
              <w:t>Entièrement atteint</w:t>
            </w:r>
            <w:r w:rsidR="009B150A">
              <w:t> :</w:t>
            </w:r>
            <w:r>
              <w:t xml:space="preserve"> des plans de projet ont été élaborés au niveau national dans </w:t>
            </w:r>
            <w:r w:rsidR="00B75F20">
              <w:t xml:space="preserve">les </w:t>
            </w:r>
            <w:r>
              <w:t>quatre</w:t>
            </w:r>
            <w:r w:rsidR="00597CB2">
              <w:t> </w:t>
            </w:r>
            <w:r>
              <w:t>pays bénéficiaires.</w:t>
            </w:r>
          </w:p>
        </w:tc>
        <w:tc>
          <w:tcPr>
            <w:tcW w:w="1412" w:type="dxa"/>
          </w:tcPr>
          <w:p w14:paraId="768EDCF9" w14:textId="77777777" w:rsidR="005E34AF" w:rsidRPr="00C6096E" w:rsidRDefault="005E34AF" w:rsidP="001D4360">
            <w:pPr>
              <w:pStyle w:val="TableParagraph"/>
              <w:ind w:left="163"/>
            </w:pPr>
            <w:r>
              <w:t>****</w:t>
            </w:r>
          </w:p>
        </w:tc>
      </w:tr>
      <w:tr w:rsidR="005E34AF" w:rsidRPr="00C6096E" w14:paraId="4D1C28C8" w14:textId="77777777" w:rsidTr="009E12BC">
        <w:trPr>
          <w:trHeight w:val="510"/>
        </w:trPr>
        <w:tc>
          <w:tcPr>
            <w:tcW w:w="2410" w:type="dxa"/>
            <w:tcBorders>
              <w:right w:val="single" w:sz="6" w:space="0" w:color="000000"/>
            </w:tcBorders>
          </w:tcPr>
          <w:p w14:paraId="24041240" w14:textId="50EC2FD6" w:rsidR="005E34AF" w:rsidRDefault="005E34AF" w:rsidP="001D4360">
            <w:pPr>
              <w:pStyle w:val="TableParagraph"/>
              <w:ind w:left="163"/>
            </w:pPr>
            <w:r>
              <w:t>Réalisation de quatre</w:t>
            </w:r>
            <w:r w:rsidR="00597CB2">
              <w:t> </w:t>
            </w:r>
            <w:r>
              <w:t>études exploratoires sur des produits ou services pouvant bénéficier de l</w:t>
            </w:r>
            <w:r w:rsidR="009B150A">
              <w:t>’</w:t>
            </w:r>
            <w:r>
              <w:t>utilisation de marques collectives (une par pays bénéficiaire)</w:t>
            </w:r>
          </w:p>
        </w:tc>
        <w:tc>
          <w:tcPr>
            <w:tcW w:w="2695" w:type="dxa"/>
            <w:tcBorders>
              <w:top w:val="single" w:sz="6" w:space="0" w:color="000000"/>
              <w:left w:val="single" w:sz="6" w:space="0" w:color="000000"/>
              <w:bottom w:val="single" w:sz="6" w:space="0" w:color="000000"/>
            </w:tcBorders>
          </w:tcPr>
          <w:p w14:paraId="4B3CEE6D" w14:textId="38A84748" w:rsidR="005E34AF" w:rsidRPr="00C6096E" w:rsidRDefault="005E34AF" w:rsidP="001D4360">
            <w:pPr>
              <w:pStyle w:val="TableParagraph"/>
              <w:ind w:left="163"/>
            </w:pPr>
            <w:r>
              <w:t>Études exploratoires finales validées par les coordonnateurs locaux des pays bénéficiaires et le Secrétariat de l</w:t>
            </w:r>
            <w:r w:rsidR="009B150A">
              <w:t>’</w:t>
            </w:r>
            <w:r>
              <w:t>OMPI</w:t>
            </w:r>
          </w:p>
        </w:tc>
        <w:tc>
          <w:tcPr>
            <w:tcW w:w="2865" w:type="dxa"/>
          </w:tcPr>
          <w:p w14:paraId="7B93A8E1" w14:textId="65F1412D" w:rsidR="005E34AF" w:rsidRPr="00C6096E" w:rsidRDefault="005E34AF" w:rsidP="001D4360">
            <w:pPr>
              <w:pStyle w:val="TableParagraph"/>
              <w:ind w:left="163"/>
            </w:pPr>
            <w:r>
              <w:t>De grands progrès</w:t>
            </w:r>
            <w:r w:rsidR="009B150A">
              <w:t> :</w:t>
            </w:r>
            <w:r>
              <w:t xml:space="preserve"> trois</w:t>
            </w:r>
            <w:r w:rsidR="00597CB2">
              <w:t> </w:t>
            </w:r>
            <w:r>
              <w:t xml:space="preserve">études exploratoires achevées; </w:t>
            </w:r>
            <w:r w:rsidR="00597CB2">
              <w:t xml:space="preserve"> </w:t>
            </w:r>
            <w:r>
              <w:t>une en phase finale du développement.</w:t>
            </w:r>
          </w:p>
        </w:tc>
        <w:tc>
          <w:tcPr>
            <w:tcW w:w="1412" w:type="dxa"/>
          </w:tcPr>
          <w:p w14:paraId="6AC2C568" w14:textId="77777777" w:rsidR="005E34AF" w:rsidRPr="00C6096E" w:rsidRDefault="005E34AF" w:rsidP="001D4360">
            <w:pPr>
              <w:pStyle w:val="TableParagraph"/>
              <w:ind w:left="163"/>
            </w:pPr>
            <w:r>
              <w:t>***</w:t>
            </w:r>
          </w:p>
        </w:tc>
      </w:tr>
      <w:tr w:rsidR="005E34AF" w:rsidRPr="00C6096E" w14:paraId="319012DC" w14:textId="77777777" w:rsidTr="009E12BC">
        <w:trPr>
          <w:trHeight w:val="510"/>
        </w:trPr>
        <w:tc>
          <w:tcPr>
            <w:tcW w:w="2410" w:type="dxa"/>
            <w:tcBorders>
              <w:right w:val="single" w:sz="6" w:space="0" w:color="000000"/>
            </w:tcBorders>
          </w:tcPr>
          <w:p w14:paraId="4C55601D" w14:textId="73440070" w:rsidR="005E34AF" w:rsidRDefault="005E34AF" w:rsidP="001D4360">
            <w:pPr>
              <w:pStyle w:val="TableParagraph"/>
              <w:ind w:left="163"/>
            </w:pPr>
            <w:r>
              <w:t>Événements d</w:t>
            </w:r>
            <w:r w:rsidR="009B150A">
              <w:t>’</w:t>
            </w:r>
            <w:r>
              <w:t>information à l</w:t>
            </w:r>
            <w:r w:rsidR="009B150A">
              <w:t>’</w:t>
            </w:r>
            <w:r>
              <w:t xml:space="preserve">intention des </w:t>
            </w:r>
            <w:r>
              <w:lastRenderedPageBreak/>
              <w:t>autorités locales et des entrepreneurs locaux sur les avantages potentiels de l</w:t>
            </w:r>
            <w:r w:rsidR="009B150A">
              <w:t>’</w:t>
            </w:r>
            <w:r>
              <w:t>utilisation des marques collectives</w:t>
            </w:r>
          </w:p>
        </w:tc>
        <w:tc>
          <w:tcPr>
            <w:tcW w:w="2695" w:type="dxa"/>
            <w:tcBorders>
              <w:top w:val="single" w:sz="6" w:space="0" w:color="000000"/>
              <w:left w:val="single" w:sz="6" w:space="0" w:color="000000"/>
              <w:bottom w:val="single" w:sz="6" w:space="0" w:color="000000"/>
            </w:tcBorders>
          </w:tcPr>
          <w:p w14:paraId="0255221D" w14:textId="55EFDA76" w:rsidR="005E34AF" w:rsidRPr="00C6096E" w:rsidRDefault="005E34AF" w:rsidP="001D4360">
            <w:pPr>
              <w:pStyle w:val="TableParagraph"/>
              <w:ind w:left="163"/>
            </w:pPr>
            <w:r>
              <w:lastRenderedPageBreak/>
              <w:t xml:space="preserve">Un pourcentage important des participants à ces événements a fait </w:t>
            </w:r>
            <w:r>
              <w:lastRenderedPageBreak/>
              <w:t>état d</w:t>
            </w:r>
            <w:r w:rsidR="009B150A">
              <w:t>’</w:t>
            </w:r>
            <w:r>
              <w:t>une meilleure compréhension des avantages potentiels de l</w:t>
            </w:r>
            <w:r w:rsidR="009B150A">
              <w:t>’</w:t>
            </w:r>
            <w:r>
              <w:t>utilisation des marques collectives.</w:t>
            </w:r>
          </w:p>
        </w:tc>
        <w:tc>
          <w:tcPr>
            <w:tcW w:w="2865" w:type="dxa"/>
          </w:tcPr>
          <w:p w14:paraId="170A6364" w14:textId="01EB694D" w:rsidR="005E34AF" w:rsidRDefault="005E34AF" w:rsidP="001D4360">
            <w:pPr>
              <w:pStyle w:val="TableParagraph"/>
              <w:ind w:left="163"/>
            </w:pPr>
            <w:r>
              <w:lastRenderedPageBreak/>
              <w:t>De grands progrès</w:t>
            </w:r>
            <w:r w:rsidR="009B150A">
              <w:t> :</w:t>
            </w:r>
            <w:r>
              <w:t xml:space="preserve"> trois</w:t>
            </w:r>
            <w:r w:rsidR="00597CB2">
              <w:t> </w:t>
            </w:r>
            <w:r>
              <w:t>manifestations d</w:t>
            </w:r>
            <w:r w:rsidR="009B150A">
              <w:t>’</w:t>
            </w:r>
            <w:r>
              <w:t xml:space="preserve">information tenues, avec </w:t>
            </w:r>
            <w:r>
              <w:lastRenderedPageBreak/>
              <w:t xml:space="preserve">une moyenne de plus de 90% des participants indiquant que les événements étaient utiles ou très utiles pour mieux comprendre les marques collectives; </w:t>
            </w:r>
            <w:r w:rsidR="00597CB2">
              <w:t xml:space="preserve"> </w:t>
            </w:r>
            <w:r>
              <w:t>une manifestation prévue le 8 juillet 2022.</w:t>
            </w:r>
          </w:p>
          <w:p w14:paraId="0493B74B" w14:textId="77777777" w:rsidR="005E34AF" w:rsidRPr="00C6096E" w:rsidRDefault="005E34AF" w:rsidP="001D4360">
            <w:pPr>
              <w:pStyle w:val="TableParagraph"/>
              <w:ind w:left="163"/>
            </w:pPr>
          </w:p>
        </w:tc>
        <w:tc>
          <w:tcPr>
            <w:tcW w:w="1412" w:type="dxa"/>
          </w:tcPr>
          <w:p w14:paraId="31EB790F" w14:textId="77777777" w:rsidR="005E34AF" w:rsidRPr="00C6096E" w:rsidRDefault="005E34AF" w:rsidP="001D4360">
            <w:pPr>
              <w:pStyle w:val="TableParagraph"/>
              <w:ind w:left="163"/>
            </w:pPr>
            <w:r>
              <w:lastRenderedPageBreak/>
              <w:t>***</w:t>
            </w:r>
          </w:p>
        </w:tc>
      </w:tr>
      <w:tr w:rsidR="005E34AF" w:rsidRPr="00C6096E" w14:paraId="27712C76" w14:textId="77777777" w:rsidTr="009E12BC">
        <w:trPr>
          <w:trHeight w:val="510"/>
        </w:trPr>
        <w:tc>
          <w:tcPr>
            <w:tcW w:w="2410" w:type="dxa"/>
            <w:tcBorders>
              <w:right w:val="single" w:sz="6" w:space="0" w:color="000000"/>
            </w:tcBorders>
          </w:tcPr>
          <w:p w14:paraId="7F3056AA" w14:textId="79B18BC6" w:rsidR="005E34AF" w:rsidRDefault="005E34AF" w:rsidP="001D4360">
            <w:pPr>
              <w:pStyle w:val="TableParagraph"/>
              <w:ind w:left="163"/>
            </w:pPr>
            <w:r>
              <w:t>Sélection dans chaque pays bénéficiaire d</w:t>
            </w:r>
            <w:r w:rsidR="009B150A">
              <w:t>’</w:t>
            </w:r>
            <w:r>
              <w:t>un produit pour lequel une marque collective sera créée et enregistrée, et création d</w:t>
            </w:r>
            <w:r w:rsidR="009B150A">
              <w:t>’</w:t>
            </w:r>
            <w:r>
              <w:t>une association ou recensement d</w:t>
            </w:r>
            <w:r w:rsidR="009B150A">
              <w:t>’</w:t>
            </w:r>
            <w:r>
              <w:t>une association déjà existante</w:t>
            </w:r>
          </w:p>
        </w:tc>
        <w:tc>
          <w:tcPr>
            <w:tcW w:w="2695" w:type="dxa"/>
            <w:tcBorders>
              <w:top w:val="single" w:sz="6" w:space="0" w:color="000000"/>
              <w:left w:val="single" w:sz="6" w:space="0" w:color="000000"/>
              <w:bottom w:val="single" w:sz="6" w:space="0" w:color="000000"/>
            </w:tcBorders>
          </w:tcPr>
          <w:p w14:paraId="7C79A24D" w14:textId="77777777" w:rsidR="005E34AF" w:rsidRPr="00C6096E" w:rsidRDefault="005E34AF" w:rsidP="001D4360">
            <w:pPr>
              <w:pStyle w:val="TableParagraph"/>
              <w:ind w:left="163"/>
            </w:pPr>
            <w:r>
              <w:t>Un produit a été sélectionné et une association créée/recensée dans chaque pays bénéficiaire.</w:t>
            </w:r>
          </w:p>
        </w:tc>
        <w:tc>
          <w:tcPr>
            <w:tcW w:w="2865" w:type="dxa"/>
          </w:tcPr>
          <w:p w14:paraId="61546F90" w14:textId="35538061" w:rsidR="005E34AF" w:rsidRPr="00C6096E" w:rsidRDefault="005E34AF" w:rsidP="001D4360">
            <w:pPr>
              <w:pStyle w:val="TableParagraph"/>
              <w:ind w:left="163"/>
            </w:pPr>
            <w:r>
              <w:t>Entièrement atteint</w:t>
            </w:r>
            <w:r w:rsidR="009B150A">
              <w:t> :</w:t>
            </w:r>
            <w:r>
              <w:t xml:space="preserve"> quatre</w:t>
            </w:r>
            <w:r w:rsidR="00597CB2">
              <w:t> </w:t>
            </w:r>
            <w:r>
              <w:t xml:space="preserve">produits ont été sélectionnés et une association créée/recensée dans chaque pays bénéficiaire. </w:t>
            </w:r>
            <w:r w:rsidR="00597CB2">
              <w:t xml:space="preserve"> </w:t>
            </w:r>
          </w:p>
        </w:tc>
        <w:tc>
          <w:tcPr>
            <w:tcW w:w="1412" w:type="dxa"/>
          </w:tcPr>
          <w:p w14:paraId="7F48D06F" w14:textId="77777777" w:rsidR="005E34AF" w:rsidRPr="00C6096E" w:rsidRDefault="005E34AF" w:rsidP="001D4360">
            <w:pPr>
              <w:pStyle w:val="TableParagraph"/>
              <w:ind w:left="163"/>
            </w:pPr>
            <w:r>
              <w:t>****</w:t>
            </w:r>
          </w:p>
        </w:tc>
      </w:tr>
      <w:tr w:rsidR="005E34AF" w:rsidRPr="00C6096E" w14:paraId="45EB634D" w14:textId="77777777" w:rsidTr="009E12BC">
        <w:trPr>
          <w:trHeight w:val="510"/>
        </w:trPr>
        <w:tc>
          <w:tcPr>
            <w:tcW w:w="2410" w:type="dxa"/>
            <w:tcBorders>
              <w:right w:val="single" w:sz="6" w:space="0" w:color="000000"/>
            </w:tcBorders>
          </w:tcPr>
          <w:p w14:paraId="3BC36157" w14:textId="77777777" w:rsidR="005E34AF" w:rsidRDefault="005E34AF" w:rsidP="001D4360">
            <w:pPr>
              <w:pStyle w:val="TableParagraph"/>
              <w:ind w:left="163"/>
            </w:pPr>
            <w:r>
              <w:t>Ateliers avec les membres des associations</w:t>
            </w:r>
          </w:p>
        </w:tc>
        <w:tc>
          <w:tcPr>
            <w:tcW w:w="2695" w:type="dxa"/>
            <w:tcBorders>
              <w:top w:val="single" w:sz="6" w:space="0" w:color="000000"/>
              <w:left w:val="single" w:sz="6" w:space="0" w:color="000000"/>
              <w:bottom w:val="single" w:sz="6" w:space="0" w:color="000000"/>
            </w:tcBorders>
          </w:tcPr>
          <w:p w14:paraId="517A2278" w14:textId="23399372" w:rsidR="005E34AF" w:rsidRPr="00C6096E" w:rsidRDefault="005E34AF" w:rsidP="001D4360">
            <w:pPr>
              <w:pStyle w:val="TableParagraph"/>
              <w:ind w:left="163"/>
            </w:pPr>
            <w:r>
              <w:t>Large consensus entre les membres des associations sur les principaux éléments du développement et de l</w:t>
            </w:r>
            <w:r w:rsidR="009B150A">
              <w:t>’</w:t>
            </w:r>
            <w:r>
              <w:t>enregistrement de la marque collective.</w:t>
            </w:r>
          </w:p>
        </w:tc>
        <w:tc>
          <w:tcPr>
            <w:tcW w:w="2865" w:type="dxa"/>
          </w:tcPr>
          <w:p w14:paraId="55892398" w14:textId="2886C205" w:rsidR="005E34AF" w:rsidRPr="00C6096E" w:rsidRDefault="005E34AF" w:rsidP="001D4360">
            <w:pPr>
              <w:pStyle w:val="TableParagraph"/>
              <w:ind w:left="163"/>
            </w:pPr>
            <w:r>
              <w:t>De grands progrès</w:t>
            </w:r>
            <w:r w:rsidR="009B150A">
              <w:t> :</w:t>
            </w:r>
            <w:r>
              <w:t xml:space="preserve"> les ateliers tenus dans trois pays bénéficiaires ont abouti à un accord sur le règlement d</w:t>
            </w:r>
            <w:r w:rsidR="009B150A">
              <w:t>’</w:t>
            </w:r>
            <w:r>
              <w:t xml:space="preserve">usage et le logo de la marque collective correspondante; </w:t>
            </w:r>
            <w:r w:rsidR="00597CB2">
              <w:t xml:space="preserve"> </w:t>
            </w:r>
            <w:r>
              <w:t>l</w:t>
            </w:r>
            <w:r w:rsidR="009B150A">
              <w:t>’</w:t>
            </w:r>
            <w:r>
              <w:t>atelier n</w:t>
            </w:r>
            <w:r w:rsidR="009B150A">
              <w:t>’</w:t>
            </w:r>
            <w:r>
              <w:t>a pas encore eu lieu dans le pays restant.</w:t>
            </w:r>
          </w:p>
        </w:tc>
        <w:tc>
          <w:tcPr>
            <w:tcW w:w="1412" w:type="dxa"/>
          </w:tcPr>
          <w:p w14:paraId="09275B6F" w14:textId="77777777" w:rsidR="005E34AF" w:rsidRPr="00C6096E" w:rsidRDefault="005E34AF" w:rsidP="001D4360">
            <w:pPr>
              <w:pStyle w:val="TableParagraph"/>
              <w:ind w:left="163"/>
            </w:pPr>
            <w:r>
              <w:t>***</w:t>
            </w:r>
          </w:p>
        </w:tc>
      </w:tr>
      <w:tr w:rsidR="005E34AF" w:rsidRPr="00C6096E" w14:paraId="4CEE028D" w14:textId="77777777" w:rsidTr="009E12BC">
        <w:trPr>
          <w:trHeight w:val="510"/>
        </w:trPr>
        <w:tc>
          <w:tcPr>
            <w:tcW w:w="2410" w:type="dxa"/>
            <w:tcBorders>
              <w:right w:val="single" w:sz="6" w:space="0" w:color="000000"/>
            </w:tcBorders>
          </w:tcPr>
          <w:p w14:paraId="724D60BA" w14:textId="7DF4D705" w:rsidR="005E34AF" w:rsidRDefault="005E34AF" w:rsidP="001D4360">
            <w:pPr>
              <w:pStyle w:val="TableParagraph"/>
              <w:ind w:left="163"/>
            </w:pPr>
            <w:r>
              <w:t>Rédaction et adoption du règlement d</w:t>
            </w:r>
            <w:r w:rsidR="009B150A">
              <w:t>’</w:t>
            </w:r>
            <w:r>
              <w:t>usage de la marque collective (dans chaque pays bénéficiaire)</w:t>
            </w:r>
          </w:p>
        </w:tc>
        <w:tc>
          <w:tcPr>
            <w:tcW w:w="2695" w:type="dxa"/>
            <w:tcBorders>
              <w:top w:val="single" w:sz="6" w:space="0" w:color="000000"/>
              <w:left w:val="single" w:sz="6" w:space="0" w:color="000000"/>
              <w:bottom w:val="single" w:sz="6" w:space="0" w:color="000000"/>
            </w:tcBorders>
          </w:tcPr>
          <w:p w14:paraId="1D84C505" w14:textId="0AEE7BB5" w:rsidR="005E34AF" w:rsidRPr="00C6096E" w:rsidRDefault="005E34AF" w:rsidP="001D4360">
            <w:pPr>
              <w:pStyle w:val="TableParagraph"/>
              <w:ind w:left="163"/>
            </w:pPr>
            <w:r>
              <w:t>Un règlement d</w:t>
            </w:r>
            <w:r w:rsidR="009B150A">
              <w:t>’</w:t>
            </w:r>
            <w:r>
              <w:t>usage a été rédigé et adopté dans chaque pays bénéficiaire.</w:t>
            </w:r>
          </w:p>
        </w:tc>
        <w:tc>
          <w:tcPr>
            <w:tcW w:w="2865" w:type="dxa"/>
          </w:tcPr>
          <w:p w14:paraId="098717A1" w14:textId="33ADEBDC" w:rsidR="005E34AF" w:rsidRPr="00C6096E" w:rsidRDefault="005E34AF" w:rsidP="001D4360">
            <w:pPr>
              <w:pStyle w:val="TableParagraph"/>
              <w:ind w:left="163"/>
            </w:pPr>
            <w:r>
              <w:t>De grands progrès</w:t>
            </w:r>
            <w:r w:rsidR="009B150A">
              <w:t> :</w:t>
            </w:r>
            <w:r>
              <w:t xml:space="preserve"> trois</w:t>
            </w:r>
            <w:r w:rsidR="00597CB2">
              <w:t> </w:t>
            </w:r>
            <w:r>
              <w:t>ensemble</w:t>
            </w:r>
            <w:r w:rsidR="0036290B">
              <w:t>s</w:t>
            </w:r>
            <w:r>
              <w:t xml:space="preserve"> de règlements d</w:t>
            </w:r>
            <w:r w:rsidR="009B150A">
              <w:t>’</w:t>
            </w:r>
            <w:r>
              <w:t xml:space="preserve">usage rédigés et adoptés; </w:t>
            </w:r>
            <w:r w:rsidR="00597CB2">
              <w:t xml:space="preserve"> </w:t>
            </w:r>
            <w:r>
              <w:t>un en instance.</w:t>
            </w:r>
          </w:p>
        </w:tc>
        <w:tc>
          <w:tcPr>
            <w:tcW w:w="1412" w:type="dxa"/>
          </w:tcPr>
          <w:p w14:paraId="1EA2218E" w14:textId="77777777" w:rsidR="005E34AF" w:rsidRPr="00C6096E" w:rsidRDefault="005E34AF" w:rsidP="001D4360">
            <w:pPr>
              <w:pStyle w:val="TableParagraph"/>
              <w:ind w:left="163"/>
            </w:pPr>
            <w:r>
              <w:t>***</w:t>
            </w:r>
          </w:p>
        </w:tc>
      </w:tr>
      <w:tr w:rsidR="005E34AF" w:rsidRPr="00C6096E" w14:paraId="1AA2F2B9" w14:textId="77777777" w:rsidTr="009E12BC">
        <w:trPr>
          <w:trHeight w:val="510"/>
        </w:trPr>
        <w:tc>
          <w:tcPr>
            <w:tcW w:w="2410" w:type="dxa"/>
            <w:tcBorders>
              <w:right w:val="single" w:sz="6" w:space="0" w:color="000000"/>
            </w:tcBorders>
          </w:tcPr>
          <w:p w14:paraId="61E4BD61" w14:textId="77777777" w:rsidR="005E34AF" w:rsidRDefault="005E34AF" w:rsidP="001D4360">
            <w:pPr>
              <w:pStyle w:val="TableParagraph"/>
              <w:ind w:left="163"/>
            </w:pPr>
            <w:r>
              <w:t>Conception du logo de la marque collective (dans chaque pays bénéficiaire)</w:t>
            </w:r>
          </w:p>
        </w:tc>
        <w:tc>
          <w:tcPr>
            <w:tcW w:w="2695" w:type="dxa"/>
            <w:tcBorders>
              <w:top w:val="single" w:sz="6" w:space="0" w:color="000000"/>
              <w:left w:val="single" w:sz="6" w:space="0" w:color="000000"/>
              <w:bottom w:val="single" w:sz="6" w:space="0" w:color="000000"/>
            </w:tcBorders>
          </w:tcPr>
          <w:p w14:paraId="1F420A22" w14:textId="77777777" w:rsidR="005E34AF" w:rsidRPr="00C6096E" w:rsidRDefault="005E34AF" w:rsidP="001D4360">
            <w:pPr>
              <w:pStyle w:val="TableParagraph"/>
              <w:ind w:left="163"/>
            </w:pPr>
            <w:r>
              <w:t>Conception du logo de la marque collective (dans chaque pays bénéficiaire)</w:t>
            </w:r>
          </w:p>
        </w:tc>
        <w:tc>
          <w:tcPr>
            <w:tcW w:w="2865" w:type="dxa"/>
          </w:tcPr>
          <w:p w14:paraId="438B704D" w14:textId="268A32C2" w:rsidR="005E34AF" w:rsidRPr="00C6096E" w:rsidRDefault="005E34AF" w:rsidP="001D4360">
            <w:pPr>
              <w:pStyle w:val="TableParagraph"/>
              <w:ind w:left="163"/>
            </w:pPr>
            <w:r>
              <w:t>De grands progrès</w:t>
            </w:r>
            <w:r w:rsidR="009B150A">
              <w:t> :</w:t>
            </w:r>
            <w:r>
              <w:t xml:space="preserve"> trois</w:t>
            </w:r>
            <w:r w:rsidR="00597CB2">
              <w:t> </w:t>
            </w:r>
            <w:r>
              <w:t xml:space="preserve">logos conçus; </w:t>
            </w:r>
            <w:r w:rsidR="00597CB2">
              <w:t xml:space="preserve"> </w:t>
            </w:r>
            <w:r>
              <w:t>un en instance</w:t>
            </w:r>
          </w:p>
        </w:tc>
        <w:tc>
          <w:tcPr>
            <w:tcW w:w="1412" w:type="dxa"/>
          </w:tcPr>
          <w:p w14:paraId="57600B6B" w14:textId="77777777" w:rsidR="005E34AF" w:rsidRPr="00C6096E" w:rsidRDefault="005E34AF" w:rsidP="001D4360">
            <w:pPr>
              <w:pStyle w:val="TableParagraph"/>
              <w:ind w:left="163"/>
            </w:pPr>
            <w:r>
              <w:t>***</w:t>
            </w:r>
          </w:p>
        </w:tc>
      </w:tr>
      <w:tr w:rsidR="005E34AF" w:rsidRPr="00C6096E" w14:paraId="7649E642" w14:textId="77777777" w:rsidTr="009E12BC">
        <w:trPr>
          <w:trHeight w:val="510"/>
        </w:trPr>
        <w:tc>
          <w:tcPr>
            <w:tcW w:w="2410" w:type="dxa"/>
            <w:tcBorders>
              <w:right w:val="single" w:sz="6" w:space="0" w:color="000000"/>
            </w:tcBorders>
          </w:tcPr>
          <w:p w14:paraId="7846576E" w14:textId="77777777" w:rsidR="005E34AF" w:rsidRDefault="005E34AF" w:rsidP="001D4360">
            <w:pPr>
              <w:pStyle w:val="TableParagraph"/>
              <w:ind w:left="163"/>
            </w:pPr>
            <w:r>
              <w:t>Enregistrement de la marque collective (dans chaque pays bénéficiaire)</w:t>
            </w:r>
          </w:p>
        </w:tc>
        <w:tc>
          <w:tcPr>
            <w:tcW w:w="2695" w:type="dxa"/>
            <w:tcBorders>
              <w:top w:val="single" w:sz="6" w:space="0" w:color="000000"/>
              <w:left w:val="single" w:sz="6" w:space="0" w:color="000000"/>
              <w:bottom w:val="single" w:sz="6" w:space="0" w:color="000000"/>
            </w:tcBorders>
          </w:tcPr>
          <w:p w14:paraId="3D9507F4" w14:textId="77777777" w:rsidR="005E34AF" w:rsidRPr="00C6096E" w:rsidRDefault="005E34AF" w:rsidP="001D4360">
            <w:pPr>
              <w:pStyle w:val="TableParagraph"/>
              <w:ind w:left="163"/>
            </w:pPr>
            <w:r>
              <w:t>Une marque collective a été enregistrée dans chaque pays bénéficiaire.</w:t>
            </w:r>
          </w:p>
        </w:tc>
        <w:tc>
          <w:tcPr>
            <w:tcW w:w="2865" w:type="dxa"/>
          </w:tcPr>
          <w:p w14:paraId="195EF22F" w14:textId="757B54E9" w:rsidR="005E34AF" w:rsidRPr="00C6096E" w:rsidRDefault="005E34AF" w:rsidP="001D4360">
            <w:pPr>
              <w:pStyle w:val="TableParagraph"/>
              <w:ind w:left="163"/>
            </w:pPr>
            <w:r>
              <w:t>Quelques progrès</w:t>
            </w:r>
            <w:r w:rsidR="009B150A">
              <w:t> :</w:t>
            </w:r>
            <w:r>
              <w:t xml:space="preserve"> une marque collective enregistrée, une marque en cours d</w:t>
            </w:r>
            <w:r w:rsidR="009B150A">
              <w:t>’</w:t>
            </w:r>
            <w:r>
              <w:t>enregistrement, une demande de dépôt d</w:t>
            </w:r>
            <w:r w:rsidR="009B150A">
              <w:t>’</w:t>
            </w:r>
            <w:r>
              <w:t>enregistrement de la marque collective en phase finale de préparation, une en instance</w:t>
            </w:r>
          </w:p>
        </w:tc>
        <w:tc>
          <w:tcPr>
            <w:tcW w:w="1412" w:type="dxa"/>
          </w:tcPr>
          <w:p w14:paraId="6A7DC70B" w14:textId="77777777" w:rsidR="005E34AF" w:rsidRPr="00C6096E" w:rsidRDefault="005E34AF" w:rsidP="001D4360">
            <w:pPr>
              <w:pStyle w:val="TableParagraph"/>
              <w:ind w:left="163"/>
            </w:pPr>
            <w:r>
              <w:t>**</w:t>
            </w:r>
          </w:p>
        </w:tc>
      </w:tr>
      <w:tr w:rsidR="005E34AF" w:rsidRPr="00C6096E" w14:paraId="46498CE1" w14:textId="77777777" w:rsidTr="009E12BC">
        <w:trPr>
          <w:trHeight w:val="510"/>
        </w:trPr>
        <w:tc>
          <w:tcPr>
            <w:tcW w:w="2410" w:type="dxa"/>
            <w:tcBorders>
              <w:right w:val="single" w:sz="6" w:space="0" w:color="000000"/>
            </w:tcBorders>
          </w:tcPr>
          <w:p w14:paraId="0C135616" w14:textId="77777777" w:rsidR="005E34AF" w:rsidRDefault="005E34AF" w:rsidP="001D4360">
            <w:pPr>
              <w:pStyle w:val="TableParagraph"/>
              <w:ind w:left="163"/>
            </w:pPr>
            <w:r>
              <w:t>Événements pour le lancement de la marque collective</w:t>
            </w:r>
          </w:p>
        </w:tc>
        <w:tc>
          <w:tcPr>
            <w:tcW w:w="2695" w:type="dxa"/>
            <w:tcBorders>
              <w:top w:val="single" w:sz="6" w:space="0" w:color="000000"/>
              <w:left w:val="single" w:sz="6" w:space="0" w:color="000000"/>
              <w:bottom w:val="single" w:sz="6" w:space="0" w:color="000000"/>
            </w:tcBorders>
          </w:tcPr>
          <w:p w14:paraId="5CDA30E1" w14:textId="1F7B0E9E" w:rsidR="005E34AF" w:rsidRPr="00C6096E" w:rsidRDefault="005E34AF" w:rsidP="001D4360">
            <w:pPr>
              <w:pStyle w:val="TableParagraph"/>
              <w:ind w:left="163"/>
            </w:pPr>
            <w:r>
              <w:t>Organisation réussie d</w:t>
            </w:r>
            <w:r w:rsidR="009B150A">
              <w:t>’</w:t>
            </w:r>
            <w:r>
              <w:t xml:space="preserve">événements de lancement (un pour chaque marque </w:t>
            </w:r>
            <w:r>
              <w:lastRenderedPageBreak/>
              <w:t>collective/pays bénéficiaire)</w:t>
            </w:r>
          </w:p>
        </w:tc>
        <w:tc>
          <w:tcPr>
            <w:tcW w:w="2865" w:type="dxa"/>
          </w:tcPr>
          <w:p w14:paraId="39920BFE" w14:textId="7D702E6B" w:rsidR="005E34AF" w:rsidRPr="00C6096E" w:rsidRDefault="005E34AF" w:rsidP="001D4360">
            <w:pPr>
              <w:pStyle w:val="TableParagraph"/>
              <w:ind w:left="163"/>
            </w:pPr>
            <w:r>
              <w:lastRenderedPageBreak/>
              <w:t>Quelques progrès</w:t>
            </w:r>
            <w:r w:rsidR="009B150A">
              <w:t> :</w:t>
            </w:r>
            <w:r>
              <w:t xml:space="preserve"> un événement organisé, trois</w:t>
            </w:r>
            <w:r w:rsidR="0036290B">
              <w:t xml:space="preserve"> </w:t>
            </w:r>
            <w:r>
              <w:t>en instance</w:t>
            </w:r>
          </w:p>
        </w:tc>
        <w:tc>
          <w:tcPr>
            <w:tcW w:w="1412" w:type="dxa"/>
          </w:tcPr>
          <w:p w14:paraId="32E2EA76" w14:textId="77777777" w:rsidR="005E34AF" w:rsidRPr="00C6096E" w:rsidRDefault="005E34AF" w:rsidP="001D4360">
            <w:pPr>
              <w:pStyle w:val="TableParagraph"/>
              <w:ind w:left="163"/>
            </w:pPr>
            <w:r>
              <w:t>**</w:t>
            </w:r>
          </w:p>
        </w:tc>
      </w:tr>
      <w:tr w:rsidR="005E34AF" w:rsidRPr="00C6096E" w14:paraId="60E9DEDB" w14:textId="77777777" w:rsidTr="009E12BC">
        <w:trPr>
          <w:trHeight w:val="510"/>
        </w:trPr>
        <w:tc>
          <w:tcPr>
            <w:tcW w:w="2410" w:type="dxa"/>
            <w:tcBorders>
              <w:right w:val="single" w:sz="6" w:space="0" w:color="000000"/>
            </w:tcBorders>
          </w:tcPr>
          <w:p w14:paraId="0EAE6FAE" w14:textId="386DB03F" w:rsidR="005E34AF" w:rsidRDefault="005E34AF" w:rsidP="001D4360">
            <w:pPr>
              <w:pStyle w:val="TableParagraph"/>
              <w:ind w:left="163"/>
            </w:pPr>
            <w:r>
              <w:t>Élaboration d</w:t>
            </w:r>
            <w:r w:rsidR="009B150A">
              <w:t>’</w:t>
            </w:r>
            <w:r>
              <w:t>un guide pratique sur l</w:t>
            </w:r>
            <w:r w:rsidR="009B150A">
              <w:t>’</w:t>
            </w:r>
            <w:r>
              <w:t>élaboration et l</w:t>
            </w:r>
            <w:r w:rsidR="009B150A">
              <w:t>’</w:t>
            </w:r>
            <w:r>
              <w:t>enregistrement des marques collectives, aux fins de leur reproduction dans d</w:t>
            </w:r>
            <w:r w:rsidR="009B150A">
              <w:t>’</w:t>
            </w:r>
            <w:r>
              <w:t>autres contextes</w:t>
            </w:r>
          </w:p>
        </w:tc>
        <w:tc>
          <w:tcPr>
            <w:tcW w:w="2695" w:type="dxa"/>
            <w:tcBorders>
              <w:top w:val="single" w:sz="6" w:space="0" w:color="000000"/>
              <w:left w:val="single" w:sz="6" w:space="0" w:color="000000"/>
              <w:bottom w:val="single" w:sz="6" w:space="0" w:color="000000"/>
            </w:tcBorders>
          </w:tcPr>
          <w:p w14:paraId="54FF14D1" w14:textId="77777777" w:rsidR="005E34AF" w:rsidRPr="00C6096E" w:rsidRDefault="005E34AF" w:rsidP="001D4360">
            <w:pPr>
              <w:pStyle w:val="TableParagraph"/>
              <w:ind w:left="163"/>
            </w:pPr>
            <w:r>
              <w:t>Guide pratique élaboré pour chaque pays bénéficiaire</w:t>
            </w:r>
          </w:p>
        </w:tc>
        <w:tc>
          <w:tcPr>
            <w:tcW w:w="2865" w:type="dxa"/>
          </w:tcPr>
          <w:p w14:paraId="58CE6F04" w14:textId="57707425" w:rsidR="005E34AF" w:rsidRPr="00C6096E" w:rsidRDefault="005E34AF" w:rsidP="001D4360">
            <w:pPr>
              <w:pStyle w:val="TableParagraph"/>
              <w:ind w:left="163"/>
            </w:pPr>
            <w:r>
              <w:t>Quelques progrès</w:t>
            </w:r>
            <w:r w:rsidR="009B150A">
              <w:t> :</w:t>
            </w:r>
            <w:r>
              <w:t xml:space="preserve"> deux</w:t>
            </w:r>
            <w:r w:rsidR="00597CB2">
              <w:t> </w:t>
            </w:r>
            <w:r>
              <w:t>guides en cours d</w:t>
            </w:r>
            <w:r w:rsidR="009B150A">
              <w:t>’</w:t>
            </w:r>
            <w:r>
              <w:t>élaboration, deux</w:t>
            </w:r>
            <w:r w:rsidR="0036290B">
              <w:t xml:space="preserve"> </w:t>
            </w:r>
            <w:r>
              <w:t>en instance</w:t>
            </w:r>
          </w:p>
        </w:tc>
        <w:tc>
          <w:tcPr>
            <w:tcW w:w="1412" w:type="dxa"/>
          </w:tcPr>
          <w:p w14:paraId="0285C52C" w14:textId="77777777" w:rsidR="005E34AF" w:rsidRPr="00C6096E" w:rsidRDefault="005E34AF" w:rsidP="001D4360">
            <w:pPr>
              <w:pStyle w:val="TableParagraph"/>
              <w:ind w:left="163"/>
            </w:pPr>
            <w:r>
              <w:t>**</w:t>
            </w:r>
          </w:p>
        </w:tc>
      </w:tr>
      <w:tr w:rsidR="005E34AF" w:rsidRPr="00C6096E" w14:paraId="0C91BAFF" w14:textId="77777777" w:rsidTr="009E12BC">
        <w:trPr>
          <w:trHeight w:val="510"/>
        </w:trPr>
        <w:tc>
          <w:tcPr>
            <w:tcW w:w="2410" w:type="dxa"/>
            <w:tcBorders>
              <w:right w:val="single" w:sz="6" w:space="0" w:color="000000"/>
            </w:tcBorders>
          </w:tcPr>
          <w:p w14:paraId="07176868" w14:textId="062331A8" w:rsidR="005E34AF" w:rsidRDefault="005E34AF" w:rsidP="001D4360">
            <w:pPr>
              <w:pStyle w:val="TableParagraph"/>
              <w:ind w:left="163"/>
            </w:pPr>
            <w:r>
              <w:t>Conduite d</w:t>
            </w:r>
            <w:r w:rsidR="009B150A">
              <w:t>’</w:t>
            </w:r>
            <w:r>
              <w:t>activités de formation pour les offices de propriété intellectuelle sur le développement et l</w:t>
            </w:r>
            <w:r w:rsidR="009B150A">
              <w:t>’</w:t>
            </w:r>
            <w:r>
              <w:t>enregistrement de marques collectives (dans chaque pays bénéficiaire)</w:t>
            </w:r>
          </w:p>
        </w:tc>
        <w:tc>
          <w:tcPr>
            <w:tcW w:w="2695" w:type="dxa"/>
            <w:tcBorders>
              <w:top w:val="single" w:sz="6" w:space="0" w:color="000000"/>
              <w:left w:val="single" w:sz="6" w:space="0" w:color="000000"/>
              <w:bottom w:val="single" w:sz="6" w:space="0" w:color="000000"/>
            </w:tcBorders>
          </w:tcPr>
          <w:p w14:paraId="280D1707" w14:textId="759D471E" w:rsidR="005E34AF" w:rsidRPr="00C6096E" w:rsidRDefault="005E34AF" w:rsidP="001D4360">
            <w:pPr>
              <w:pStyle w:val="TableParagraph"/>
              <w:ind w:left="163"/>
            </w:pPr>
            <w:r>
              <w:t>Un pourcentage important de participants a indiqué que les formations avaient amélioré leurs connaissances et leurs compétences concernant le développement et l</w:t>
            </w:r>
            <w:r w:rsidR="009B150A">
              <w:t>’</w:t>
            </w:r>
            <w:r>
              <w:t>enregistrement de marques collectives.</w:t>
            </w:r>
          </w:p>
        </w:tc>
        <w:tc>
          <w:tcPr>
            <w:tcW w:w="2865" w:type="dxa"/>
          </w:tcPr>
          <w:p w14:paraId="4340AD46" w14:textId="2200B579" w:rsidR="005E34AF" w:rsidRPr="00C6096E" w:rsidRDefault="005E34AF" w:rsidP="005E34AF">
            <w:pPr>
              <w:pStyle w:val="TableParagraph"/>
              <w:ind w:left="163"/>
            </w:pPr>
            <w:r>
              <w:t>De grands progrès</w:t>
            </w:r>
            <w:r w:rsidR="009B150A">
              <w:t> :</w:t>
            </w:r>
            <w:r>
              <w:t xml:space="preserve"> deux</w:t>
            </w:r>
            <w:r w:rsidR="00597CB2">
              <w:t> </w:t>
            </w:r>
            <w:r>
              <w:t>activités de formation organisées, avec une moyenne de plus de 95% des participants indiquant que ces formations étaient utiles ou très utiles pour mieux comprendre l</w:t>
            </w:r>
            <w:r w:rsidR="009B150A">
              <w:t>’</w:t>
            </w:r>
            <w:r>
              <w:t>élaboration, l</w:t>
            </w:r>
            <w:r w:rsidR="009B150A">
              <w:t>’</w:t>
            </w:r>
            <w:r>
              <w:t>enregistrement et l</w:t>
            </w:r>
            <w:r w:rsidR="009B150A">
              <w:t>’</w:t>
            </w:r>
            <w:r>
              <w:t xml:space="preserve">utilisation des marques collectives; </w:t>
            </w:r>
            <w:r w:rsidR="00597CB2">
              <w:t xml:space="preserve"> </w:t>
            </w:r>
            <w:r>
              <w:t>deux</w:t>
            </w:r>
            <w:r w:rsidR="00597CB2">
              <w:t> </w:t>
            </w:r>
            <w:r>
              <w:t>activités de formation en cours d</w:t>
            </w:r>
            <w:r w:rsidR="009B150A">
              <w:t>’</w:t>
            </w:r>
            <w:r>
              <w:t>élaboration.</w:t>
            </w:r>
          </w:p>
        </w:tc>
        <w:tc>
          <w:tcPr>
            <w:tcW w:w="1412" w:type="dxa"/>
          </w:tcPr>
          <w:p w14:paraId="23444181" w14:textId="77777777" w:rsidR="005E34AF" w:rsidRPr="00C6096E" w:rsidRDefault="005E34AF" w:rsidP="001D4360">
            <w:pPr>
              <w:pStyle w:val="TableParagraph"/>
              <w:ind w:left="163"/>
            </w:pPr>
            <w:r>
              <w:t>***</w:t>
            </w:r>
          </w:p>
        </w:tc>
      </w:tr>
      <w:tr w:rsidR="005E34AF" w:rsidRPr="00C6096E" w14:paraId="29317283" w14:textId="77777777" w:rsidTr="009E12BC">
        <w:trPr>
          <w:trHeight w:val="510"/>
        </w:trPr>
        <w:tc>
          <w:tcPr>
            <w:tcW w:w="2410" w:type="dxa"/>
            <w:tcBorders>
              <w:right w:val="single" w:sz="6" w:space="0" w:color="000000"/>
            </w:tcBorders>
          </w:tcPr>
          <w:p w14:paraId="4DBF86E7" w14:textId="77777777" w:rsidR="005E34AF" w:rsidRDefault="005E34AF" w:rsidP="001D4360">
            <w:pPr>
              <w:pStyle w:val="TableParagraph"/>
              <w:ind w:left="163"/>
            </w:pPr>
            <w:r>
              <w:t>Production de matériel de sensibilisation (dans chaque pays bénéficiaire)</w:t>
            </w:r>
          </w:p>
        </w:tc>
        <w:tc>
          <w:tcPr>
            <w:tcW w:w="2695" w:type="dxa"/>
            <w:tcBorders>
              <w:top w:val="single" w:sz="6" w:space="0" w:color="000000"/>
              <w:left w:val="single" w:sz="6" w:space="0" w:color="000000"/>
              <w:bottom w:val="single" w:sz="6" w:space="0" w:color="000000"/>
            </w:tcBorders>
          </w:tcPr>
          <w:p w14:paraId="47A72395" w14:textId="77777777" w:rsidR="005E34AF" w:rsidRPr="00C6096E" w:rsidRDefault="005E34AF" w:rsidP="001D4360">
            <w:pPr>
              <w:pStyle w:val="TableParagraph"/>
              <w:ind w:left="163"/>
            </w:pPr>
            <w:r>
              <w:t>Une brochure promotionnelle et une courte vidéo ont été produites (pour chaque pays bénéficiaire).</w:t>
            </w:r>
          </w:p>
        </w:tc>
        <w:tc>
          <w:tcPr>
            <w:tcW w:w="2865" w:type="dxa"/>
          </w:tcPr>
          <w:p w14:paraId="720CF8E5" w14:textId="24C8E881" w:rsidR="005E34AF" w:rsidRPr="00C6096E" w:rsidRDefault="005E34AF" w:rsidP="001D4360">
            <w:pPr>
              <w:pStyle w:val="TableParagraph"/>
              <w:ind w:left="163"/>
            </w:pPr>
            <w:r>
              <w:t>Quelques progrès</w:t>
            </w:r>
            <w:r w:rsidR="009B150A">
              <w:t> :</w:t>
            </w:r>
            <w:r>
              <w:t xml:space="preserve"> la production de vidéos de sensibilisation a débuté</w:t>
            </w:r>
          </w:p>
        </w:tc>
        <w:tc>
          <w:tcPr>
            <w:tcW w:w="1412" w:type="dxa"/>
          </w:tcPr>
          <w:p w14:paraId="76B56D5D" w14:textId="77777777" w:rsidR="005E34AF" w:rsidRPr="00C6096E" w:rsidRDefault="005E34AF" w:rsidP="001D4360">
            <w:pPr>
              <w:pStyle w:val="TableParagraph"/>
              <w:ind w:left="163"/>
            </w:pPr>
            <w:r>
              <w:t>**</w:t>
            </w:r>
          </w:p>
        </w:tc>
      </w:tr>
    </w:tbl>
    <w:p w14:paraId="4231D573" w14:textId="77777777" w:rsidR="001F541D" w:rsidRPr="000A4281" w:rsidRDefault="001F541D" w:rsidP="00F45319">
      <w:pPr>
        <w:tabs>
          <w:tab w:val="left" w:pos="6521"/>
        </w:tabs>
        <w:rPr>
          <w:sz w:val="2"/>
        </w:rPr>
      </w:pPr>
    </w:p>
    <w:p w14:paraId="0CD67E48" w14:textId="77777777" w:rsidR="001F541D" w:rsidRPr="000A4281" w:rsidRDefault="001F541D" w:rsidP="001F541D">
      <w:pPr>
        <w:rPr>
          <w:sz w:val="2"/>
        </w:rPr>
      </w:pPr>
    </w:p>
    <w:p w14:paraId="1BB747D5" w14:textId="77777777" w:rsidR="00EF18B4" w:rsidRPr="000A4281" w:rsidRDefault="00EF18B4" w:rsidP="00EF18B4">
      <w:pPr>
        <w:rPr>
          <w:sz w:val="2"/>
        </w:rPr>
      </w:pPr>
    </w:p>
    <w:p w14:paraId="730141FC" w14:textId="74D2FF4E" w:rsidR="0036041F" w:rsidRPr="000A4281" w:rsidRDefault="0036041F" w:rsidP="00601EE2">
      <w:pPr>
        <w:pStyle w:val="Endofdocument-Annex"/>
        <w:spacing w:before="720"/>
      </w:pPr>
      <w:r>
        <w:t>[L</w:t>
      </w:r>
      <w:r w:rsidR="009B150A">
        <w:t>’annexe I</w:t>
      </w:r>
      <w:r w:rsidR="00601EE2">
        <w:t>II suit]</w:t>
      </w:r>
    </w:p>
    <w:p w14:paraId="4C00BC8E" w14:textId="209A9BF2" w:rsidR="00D44887" w:rsidRPr="000A4281" w:rsidRDefault="00D44887" w:rsidP="00D44887">
      <w:pPr>
        <w:tabs>
          <w:tab w:val="left" w:pos="6398"/>
        </w:tabs>
        <w:sectPr w:rsidR="00D44887" w:rsidRPr="000A4281" w:rsidSect="00D44887">
          <w:headerReference w:type="even" r:id="rId39"/>
          <w:headerReference w:type="default" r:id="rId40"/>
          <w:footerReference w:type="even" r:id="rId41"/>
          <w:footerReference w:type="default" r:id="rId42"/>
          <w:headerReference w:type="first" r:id="rId43"/>
          <w:footerReference w:type="first" r:id="rId44"/>
          <w:type w:val="nextColumn"/>
          <w:pgSz w:w="11907" w:h="16840" w:code="9"/>
          <w:pgMar w:top="1418" w:right="1418" w:bottom="1418" w:left="1418"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D44887" w:rsidRPr="000A4281" w14:paraId="0449EEF2" w14:textId="77777777" w:rsidTr="002315D8">
        <w:trPr>
          <w:trHeight w:val="431"/>
        </w:trPr>
        <w:tc>
          <w:tcPr>
            <w:tcW w:w="9290" w:type="dxa"/>
            <w:gridSpan w:val="2"/>
          </w:tcPr>
          <w:p w14:paraId="534E7777" w14:textId="77777777" w:rsidR="00D44887" w:rsidRPr="000A4281" w:rsidRDefault="00D44887" w:rsidP="002315D8">
            <w:pPr>
              <w:pStyle w:val="TableParagraph"/>
              <w:spacing w:before="88"/>
              <w:ind w:left="110"/>
            </w:pPr>
            <w:r>
              <w:lastRenderedPageBreak/>
              <w:t>RÉSUMÉ DU PROJET</w:t>
            </w:r>
          </w:p>
        </w:tc>
      </w:tr>
      <w:tr w:rsidR="00D44887" w:rsidRPr="000A4281" w14:paraId="45B33B22" w14:textId="77777777" w:rsidTr="002315D8">
        <w:trPr>
          <w:trHeight w:val="324"/>
        </w:trPr>
        <w:tc>
          <w:tcPr>
            <w:tcW w:w="2377" w:type="dxa"/>
            <w:shd w:val="clear" w:color="auto" w:fill="68E089"/>
            <w:vAlign w:val="center"/>
          </w:tcPr>
          <w:p w14:paraId="23605DCF" w14:textId="77777777" w:rsidR="00D44887" w:rsidRPr="000A4281" w:rsidRDefault="00D44887" w:rsidP="002315D8">
            <w:pPr>
              <w:pStyle w:val="TableParagraph"/>
              <w:ind w:left="110"/>
            </w:pPr>
            <w:r>
              <w:rPr>
                <w:u w:val="single"/>
              </w:rPr>
              <w:t>Code du projet</w:t>
            </w:r>
          </w:p>
        </w:tc>
        <w:tc>
          <w:tcPr>
            <w:tcW w:w="6913" w:type="dxa"/>
            <w:vAlign w:val="center"/>
          </w:tcPr>
          <w:p w14:paraId="42FB81E6" w14:textId="77777777" w:rsidR="00D44887" w:rsidRPr="000A4281" w:rsidRDefault="00D44887" w:rsidP="002315D8">
            <w:pPr>
              <w:pStyle w:val="TableParagraph"/>
              <w:ind w:left="109"/>
            </w:pPr>
            <w:r>
              <w:rPr>
                <w:i/>
              </w:rPr>
              <w:t>DA_1_10_12_19_31_01</w:t>
            </w:r>
          </w:p>
        </w:tc>
      </w:tr>
      <w:tr w:rsidR="00D44887" w:rsidRPr="000A4281" w14:paraId="7D36D6E1" w14:textId="77777777" w:rsidTr="002315D8">
        <w:trPr>
          <w:trHeight w:val="342"/>
        </w:trPr>
        <w:tc>
          <w:tcPr>
            <w:tcW w:w="2377" w:type="dxa"/>
            <w:shd w:val="clear" w:color="auto" w:fill="68E089"/>
            <w:vAlign w:val="center"/>
          </w:tcPr>
          <w:p w14:paraId="07F05462" w14:textId="77777777" w:rsidR="00D44887" w:rsidRPr="000A4281" w:rsidRDefault="00D44887" w:rsidP="002315D8">
            <w:pPr>
              <w:pStyle w:val="TableParagraph"/>
              <w:spacing w:before="1"/>
              <w:ind w:left="110"/>
            </w:pPr>
            <w:r>
              <w:rPr>
                <w:u w:val="single"/>
              </w:rPr>
              <w:t>Intitulé</w:t>
            </w:r>
          </w:p>
        </w:tc>
        <w:tc>
          <w:tcPr>
            <w:tcW w:w="6913" w:type="dxa"/>
            <w:vAlign w:val="center"/>
          </w:tcPr>
          <w:p w14:paraId="29E1DC97" w14:textId="6935EECE" w:rsidR="00D44887" w:rsidRDefault="00111FE8" w:rsidP="002315D8">
            <w:pPr>
              <w:pStyle w:val="TableParagraph"/>
              <w:spacing w:before="1"/>
              <w:ind w:left="109"/>
            </w:pPr>
            <w:hyperlink r:id="rId45" w:history="1">
              <w:r w:rsidR="00D44887">
                <w:rPr>
                  <w:rStyle w:val="Hyperlink"/>
                  <w:i/>
                </w:rPr>
                <w:t>Renforcer le rôle des femmes dans l’innovation et l’entrepreneuriat : encourager les femmes des pays en développement à utiliser le système de la propriété intellectuelle</w:t>
              </w:r>
            </w:hyperlink>
          </w:p>
          <w:p w14:paraId="58D84E0B" w14:textId="77777777" w:rsidR="00D44887" w:rsidRPr="008B7F76" w:rsidRDefault="00D44887" w:rsidP="002315D8">
            <w:pPr>
              <w:pStyle w:val="TableParagraph"/>
              <w:spacing w:before="1"/>
              <w:ind w:left="109"/>
              <w:rPr>
                <w:b/>
                <w:bCs/>
              </w:rPr>
            </w:pPr>
          </w:p>
        </w:tc>
      </w:tr>
      <w:tr w:rsidR="00D44887" w:rsidRPr="000A4281" w14:paraId="14DCFB9F" w14:textId="77777777" w:rsidTr="002315D8">
        <w:trPr>
          <w:trHeight w:val="531"/>
        </w:trPr>
        <w:tc>
          <w:tcPr>
            <w:tcW w:w="2377" w:type="dxa"/>
            <w:shd w:val="clear" w:color="auto" w:fill="68E089"/>
            <w:vAlign w:val="center"/>
          </w:tcPr>
          <w:p w14:paraId="3BDE829B" w14:textId="55173BA4" w:rsidR="00D44887" w:rsidRPr="000A4281" w:rsidRDefault="00111FE8" w:rsidP="002315D8">
            <w:pPr>
              <w:pStyle w:val="TableParagraph"/>
              <w:ind w:left="110" w:right="121"/>
            </w:pPr>
            <w:hyperlink r:id="rId46" w:history="1">
              <w:r w:rsidR="00D44887">
                <w:rPr>
                  <w:rStyle w:val="Hyperlink"/>
                </w:rPr>
                <w:t>Recommandations du plan d’action pour le développement</w:t>
              </w:r>
            </w:hyperlink>
          </w:p>
        </w:tc>
        <w:tc>
          <w:tcPr>
            <w:tcW w:w="6913" w:type="dxa"/>
            <w:vAlign w:val="center"/>
          </w:tcPr>
          <w:p w14:paraId="62453A5D" w14:textId="77777777" w:rsidR="00D44887" w:rsidRPr="005454E4" w:rsidRDefault="00D44887" w:rsidP="002315D8">
            <w:pPr>
              <w:pStyle w:val="TableParagraph"/>
              <w:ind w:left="109" w:right="880"/>
              <w:rPr>
                <w:iCs/>
              </w:rPr>
            </w:pPr>
            <w:r>
              <w:t>Recommandations n</w:t>
            </w:r>
            <w:r>
              <w:rPr>
                <w:vertAlign w:val="superscript"/>
              </w:rPr>
              <w:t>os</w:t>
            </w:r>
            <w:r>
              <w:t> 1, 10, 12, 19 et 31.</w:t>
            </w:r>
          </w:p>
        </w:tc>
      </w:tr>
      <w:tr w:rsidR="00D44887" w:rsidRPr="0089649C" w14:paraId="4F3C4C4E" w14:textId="77777777" w:rsidTr="002315D8">
        <w:trPr>
          <w:trHeight w:val="621"/>
        </w:trPr>
        <w:tc>
          <w:tcPr>
            <w:tcW w:w="2377" w:type="dxa"/>
            <w:shd w:val="clear" w:color="auto" w:fill="68E089"/>
            <w:vAlign w:val="center"/>
          </w:tcPr>
          <w:p w14:paraId="7CADC392" w14:textId="77777777" w:rsidR="00D44887" w:rsidRPr="000A4281" w:rsidRDefault="00D44887" w:rsidP="002315D8">
            <w:pPr>
              <w:pStyle w:val="TableParagraph"/>
              <w:ind w:left="110"/>
            </w:pPr>
            <w:r>
              <w:rPr>
                <w:u w:val="single"/>
              </w:rPr>
              <w:t>Budget du projet</w:t>
            </w:r>
          </w:p>
        </w:tc>
        <w:tc>
          <w:tcPr>
            <w:tcW w:w="6913" w:type="dxa"/>
            <w:vAlign w:val="center"/>
          </w:tcPr>
          <w:p w14:paraId="3134BCD0" w14:textId="77777777" w:rsidR="00D44887" w:rsidRPr="0089649C" w:rsidRDefault="00D44887" w:rsidP="002315D8">
            <w:pPr>
              <w:pStyle w:val="TableParagraph"/>
              <w:ind w:left="109" w:right="720"/>
            </w:pPr>
            <w:r>
              <w:t xml:space="preserve">Budget total du projet : 415 000 francs suisses alloués au titre des dépenses autres que les ressources en personnel.  </w:t>
            </w:r>
          </w:p>
        </w:tc>
      </w:tr>
      <w:tr w:rsidR="00D44887" w:rsidRPr="000A4281" w14:paraId="0D92FCD4" w14:textId="77777777" w:rsidTr="002315D8">
        <w:trPr>
          <w:trHeight w:val="531"/>
        </w:trPr>
        <w:tc>
          <w:tcPr>
            <w:tcW w:w="2377" w:type="dxa"/>
            <w:shd w:val="clear" w:color="auto" w:fill="68E089"/>
            <w:vAlign w:val="center"/>
          </w:tcPr>
          <w:p w14:paraId="574836E2" w14:textId="77777777" w:rsidR="00D44887" w:rsidRPr="000A4281" w:rsidRDefault="00D44887" w:rsidP="002315D8">
            <w:pPr>
              <w:pStyle w:val="TableParagraph"/>
              <w:spacing w:before="1"/>
              <w:ind w:left="110"/>
            </w:pPr>
            <w:r>
              <w:rPr>
                <w:u w:val="single"/>
              </w:rPr>
              <w:t>Date de début du projet</w:t>
            </w:r>
          </w:p>
        </w:tc>
        <w:tc>
          <w:tcPr>
            <w:tcW w:w="6913" w:type="dxa"/>
            <w:vAlign w:val="center"/>
          </w:tcPr>
          <w:p w14:paraId="086E612F" w14:textId="77777777" w:rsidR="00D44887" w:rsidRPr="000A4281" w:rsidRDefault="00D44887" w:rsidP="002315D8">
            <w:pPr>
              <w:pStyle w:val="TableParagraph"/>
              <w:spacing w:before="1"/>
              <w:ind w:left="109"/>
            </w:pPr>
            <w:r>
              <w:t>Janvier 2019</w:t>
            </w:r>
          </w:p>
        </w:tc>
      </w:tr>
      <w:tr w:rsidR="00D44887" w:rsidRPr="000A4281" w14:paraId="17DAA0CE" w14:textId="77777777" w:rsidTr="002315D8">
        <w:trPr>
          <w:trHeight w:val="531"/>
        </w:trPr>
        <w:tc>
          <w:tcPr>
            <w:tcW w:w="2377" w:type="dxa"/>
            <w:shd w:val="clear" w:color="auto" w:fill="68E089"/>
            <w:vAlign w:val="center"/>
          </w:tcPr>
          <w:p w14:paraId="5AF9FFB2" w14:textId="77777777" w:rsidR="00D44887" w:rsidRPr="000A4281" w:rsidRDefault="00D44887" w:rsidP="002315D8">
            <w:pPr>
              <w:pStyle w:val="TableParagraph"/>
              <w:ind w:left="110"/>
            </w:pPr>
            <w:r>
              <w:rPr>
                <w:u w:val="single"/>
              </w:rPr>
              <w:t>Durée du projet</w:t>
            </w:r>
          </w:p>
        </w:tc>
        <w:tc>
          <w:tcPr>
            <w:tcW w:w="6913" w:type="dxa"/>
            <w:vAlign w:val="center"/>
          </w:tcPr>
          <w:p w14:paraId="43D32FB9" w14:textId="77777777" w:rsidR="00D44887" w:rsidRPr="000A4281" w:rsidRDefault="00D44887" w:rsidP="002315D8">
            <w:pPr>
              <w:pStyle w:val="TableParagraph"/>
              <w:ind w:left="109"/>
            </w:pPr>
            <w:r>
              <w:t>48 mois</w:t>
            </w:r>
          </w:p>
        </w:tc>
      </w:tr>
      <w:tr w:rsidR="00D44887" w:rsidRPr="000A4281" w14:paraId="2A29CED1" w14:textId="77777777" w:rsidTr="002315D8">
        <w:trPr>
          <w:trHeight w:val="801"/>
        </w:trPr>
        <w:tc>
          <w:tcPr>
            <w:tcW w:w="2377" w:type="dxa"/>
            <w:shd w:val="clear" w:color="auto" w:fill="68E089"/>
            <w:vAlign w:val="center"/>
          </w:tcPr>
          <w:p w14:paraId="74CAD3F2" w14:textId="20EA5425" w:rsidR="00D44887" w:rsidRPr="000A4281" w:rsidRDefault="00D44887" w:rsidP="00D640A7">
            <w:pPr>
              <w:pStyle w:val="TableParagraph"/>
              <w:ind w:left="110"/>
              <w:rPr>
                <w:u w:val="single"/>
              </w:rPr>
            </w:pPr>
            <w:r>
              <w:rPr>
                <w:u w:val="single"/>
              </w:rPr>
              <w:t>Principaux</w:t>
            </w:r>
            <w:r w:rsidR="00D640A7">
              <w:rPr>
                <w:u w:val="single"/>
              </w:rPr>
              <w:t xml:space="preserve"> </w:t>
            </w:r>
            <w:r>
              <w:rPr>
                <w:u w:val="single"/>
              </w:rPr>
              <w:t>secteurs/domaines de l’OMPI concernés</w:t>
            </w:r>
          </w:p>
        </w:tc>
        <w:tc>
          <w:tcPr>
            <w:tcW w:w="6913" w:type="dxa"/>
            <w:vAlign w:val="center"/>
          </w:tcPr>
          <w:p w14:paraId="2431EBA5" w14:textId="77777777" w:rsidR="00D44887" w:rsidRPr="000A4281" w:rsidRDefault="00D44887" w:rsidP="002315D8">
            <w:pPr>
              <w:pStyle w:val="TableParagraph"/>
              <w:ind w:left="109" w:right="531"/>
            </w:pPr>
            <w:r>
              <w:t xml:space="preserve">Secteur de mise en œuvre : écosystèmes de propriété intellectuelle et d’innovation </w:t>
            </w:r>
          </w:p>
        </w:tc>
      </w:tr>
      <w:tr w:rsidR="00D44887" w:rsidRPr="000A4281" w14:paraId="0080D328" w14:textId="77777777" w:rsidTr="002315D8">
        <w:trPr>
          <w:trHeight w:val="621"/>
        </w:trPr>
        <w:tc>
          <w:tcPr>
            <w:tcW w:w="2377" w:type="dxa"/>
            <w:shd w:val="clear" w:color="auto" w:fill="68E089"/>
            <w:vAlign w:val="center"/>
          </w:tcPr>
          <w:p w14:paraId="20EFF268" w14:textId="77777777" w:rsidR="00D44887" w:rsidRPr="000A4281" w:rsidRDefault="00D44887" w:rsidP="002315D8">
            <w:pPr>
              <w:pStyle w:val="TableParagraph"/>
              <w:ind w:left="110" w:right="394"/>
            </w:pPr>
            <w:r>
              <w:rPr>
                <w:u w:val="single"/>
              </w:rPr>
              <w:t>Brève description du projet</w:t>
            </w:r>
          </w:p>
        </w:tc>
        <w:tc>
          <w:tcPr>
            <w:tcW w:w="6913" w:type="dxa"/>
            <w:vAlign w:val="center"/>
          </w:tcPr>
          <w:p w14:paraId="30334863" w14:textId="77777777" w:rsidR="00D44887" w:rsidRDefault="00D44887" w:rsidP="002315D8">
            <w:pPr>
              <w:pStyle w:val="TableParagraph"/>
              <w:ind w:left="109"/>
            </w:pPr>
            <w:r>
              <w:t>Le projet vise à favoriser la participation des inventrices et des innovatrices au système national d’innovation en les aidant à tirer un meilleur parti du système de la propriété intellectuelle.</w:t>
            </w:r>
          </w:p>
          <w:p w14:paraId="3A6CD82E" w14:textId="77777777" w:rsidR="00D44887" w:rsidRPr="000A4281" w:rsidRDefault="00D44887" w:rsidP="002315D8">
            <w:pPr>
              <w:pStyle w:val="TableParagraph"/>
              <w:ind w:left="109"/>
            </w:pPr>
          </w:p>
          <w:p w14:paraId="7CAE2ADC" w14:textId="77777777" w:rsidR="00D44887" w:rsidRPr="000A4281" w:rsidRDefault="00D44887" w:rsidP="002315D8">
            <w:pPr>
              <w:pStyle w:val="TableParagraph"/>
              <w:ind w:left="109"/>
            </w:pPr>
            <w:r>
              <w:t>Ce projet vise donc à aider les inventrices et les innovatrices à approfondir leurs connaissances sur le fonctionnement et l’utilisation du système de la propriété intellectuelle en leur proposant des programmes d’appui plus ciblés et en leur offrant des possibilités de mentorat et de réseautage.  L’objectif principal du projet serait de créer ou de renforcer les capacités nationales afin d’apporter un soutien en matière de propriété intellectuelle aux inventrices.</w:t>
            </w:r>
          </w:p>
          <w:p w14:paraId="40AF2512" w14:textId="77777777" w:rsidR="00D44887" w:rsidRPr="000A4281" w:rsidRDefault="00D44887" w:rsidP="002315D8">
            <w:pPr>
              <w:pStyle w:val="TableParagraph"/>
              <w:ind w:left="109"/>
            </w:pPr>
          </w:p>
          <w:p w14:paraId="1A2DF3CA" w14:textId="77777777" w:rsidR="00D44887" w:rsidRDefault="00D44887" w:rsidP="002315D8">
            <w:pPr>
              <w:pStyle w:val="TableParagraph"/>
              <w:ind w:left="109"/>
            </w:pPr>
            <w:r>
              <w:t>Le projet comprend deux grands groupes d’activités.</w:t>
            </w:r>
          </w:p>
          <w:p w14:paraId="6FEE5476" w14:textId="77777777" w:rsidR="00D44887" w:rsidRPr="000A4281" w:rsidRDefault="00D44887" w:rsidP="002315D8">
            <w:pPr>
              <w:pStyle w:val="TableParagraph"/>
              <w:ind w:left="109"/>
            </w:pPr>
          </w:p>
          <w:p w14:paraId="252B2908" w14:textId="77777777" w:rsidR="00D44887" w:rsidRDefault="00D44887" w:rsidP="002315D8">
            <w:pPr>
              <w:pStyle w:val="TableParagraph"/>
              <w:numPr>
                <w:ilvl w:val="0"/>
                <w:numId w:val="21"/>
              </w:numPr>
            </w:pPr>
            <w:r>
              <w:t>Le premier, général et fondamental, ne se concentre pas sur un pays en particulier.  Il comprend un examen de la documentation des inventrices et de leur accès au système de la propriété intellectuelle, un guide à l’intention des jeunes entreprises, qui contient les questions de propriété intellectuelle qui les concernent, des témoignages d’inventrices du monde entier ainsi qu’une série de bonnes pratiques et de modèles visant à soutenir les inventrices.</w:t>
            </w:r>
          </w:p>
          <w:p w14:paraId="03D1DC9F" w14:textId="77777777" w:rsidR="00D44887" w:rsidRPr="000A4281" w:rsidRDefault="00D44887" w:rsidP="002315D8">
            <w:pPr>
              <w:pStyle w:val="TableParagraph"/>
              <w:ind w:left="109"/>
            </w:pPr>
          </w:p>
          <w:p w14:paraId="25096288" w14:textId="77777777" w:rsidR="00D44887" w:rsidRDefault="00D44887" w:rsidP="002315D8">
            <w:pPr>
              <w:pStyle w:val="TableParagraph"/>
              <w:numPr>
                <w:ilvl w:val="0"/>
                <w:numId w:val="21"/>
              </w:numPr>
            </w:pPr>
            <w:r>
              <w:t>Le second est plus spécifique et se concentre davantage sur les pays.  Les activités de ce groupe se concentreront sur quatre pays pilotes : le Mexique, Oman, l’Ouganda et le Pakistan.  Dans chacun de ces pays, une évaluation nationale est réalisée afin de recenser la situation des inventrices, leur utilisation du système de la propriété intellectuelle, les problèmes rencontrés, les systèmes de soutien éventuels, etc.  Sur la base des informations rassemblées, des recommandations seront émises sur la nature du soutien à apporter en matière de propriété intellectuelle et sur la manière dont ce soutien devra être structuré et apporté.</w:t>
            </w:r>
          </w:p>
          <w:p w14:paraId="7415B9AB" w14:textId="77777777" w:rsidR="00D44887" w:rsidRPr="000A4281" w:rsidRDefault="00D44887" w:rsidP="002315D8">
            <w:pPr>
              <w:pStyle w:val="TableParagraph"/>
              <w:ind w:left="109"/>
            </w:pPr>
          </w:p>
        </w:tc>
      </w:tr>
      <w:tr w:rsidR="00D44887" w:rsidRPr="000A4281" w14:paraId="434EE361" w14:textId="77777777" w:rsidTr="002315D8">
        <w:trPr>
          <w:trHeight w:val="432"/>
        </w:trPr>
        <w:tc>
          <w:tcPr>
            <w:tcW w:w="2377" w:type="dxa"/>
            <w:shd w:val="clear" w:color="auto" w:fill="68E089"/>
            <w:vAlign w:val="center"/>
          </w:tcPr>
          <w:p w14:paraId="693146B9" w14:textId="77777777" w:rsidR="00D44887" w:rsidRPr="000A4281" w:rsidRDefault="00D44887" w:rsidP="002315D8">
            <w:pPr>
              <w:pStyle w:val="TableParagraph"/>
              <w:spacing w:before="1"/>
              <w:ind w:left="110"/>
            </w:pPr>
            <w:r>
              <w:rPr>
                <w:u w:val="single"/>
              </w:rPr>
              <w:lastRenderedPageBreak/>
              <w:t>Responsable du projet</w:t>
            </w:r>
          </w:p>
        </w:tc>
        <w:tc>
          <w:tcPr>
            <w:tcW w:w="6913" w:type="dxa"/>
            <w:vAlign w:val="center"/>
          </w:tcPr>
          <w:p w14:paraId="227312F5" w14:textId="77777777" w:rsidR="00D44887" w:rsidRPr="000A4281" w:rsidRDefault="00D44887" w:rsidP="002315D8">
            <w:pPr>
              <w:pStyle w:val="TableParagraph"/>
              <w:spacing w:before="1"/>
              <w:ind w:left="109"/>
              <w:rPr>
                <w:iCs/>
              </w:rPr>
            </w:pPr>
            <w:r>
              <w:t>Mme Tamara Nanayakkara, conseillère à la Division de la propriété intellectuelle pour les entreprises</w:t>
            </w:r>
          </w:p>
          <w:p w14:paraId="33AB0796" w14:textId="77777777" w:rsidR="00D44887" w:rsidRPr="000A4281" w:rsidRDefault="00D44887" w:rsidP="002315D8">
            <w:pPr>
              <w:pStyle w:val="TableParagraph"/>
              <w:spacing w:before="1"/>
              <w:ind w:left="109"/>
            </w:pPr>
          </w:p>
        </w:tc>
      </w:tr>
      <w:tr w:rsidR="00D44887" w:rsidRPr="000A4281" w14:paraId="0659EB37" w14:textId="77777777" w:rsidTr="002315D8">
        <w:trPr>
          <w:trHeight w:val="891"/>
        </w:trPr>
        <w:tc>
          <w:tcPr>
            <w:tcW w:w="2377" w:type="dxa"/>
            <w:shd w:val="clear" w:color="auto" w:fill="68E089"/>
            <w:vAlign w:val="center"/>
          </w:tcPr>
          <w:p w14:paraId="4475CA91" w14:textId="7757D525" w:rsidR="00D44887" w:rsidRPr="000A4281" w:rsidRDefault="00D44887" w:rsidP="002315D8">
            <w:pPr>
              <w:pStyle w:val="TableParagraph"/>
              <w:spacing w:before="1"/>
              <w:ind w:left="110" w:right="221"/>
            </w:pPr>
            <w:r>
              <w:rPr>
                <w:u w:val="single"/>
              </w:rPr>
              <w:t xml:space="preserve">Liens avec les résultats escomptés dans le </w:t>
            </w:r>
            <w:hyperlink r:id="rId47" w:history="1">
              <w:r>
                <w:rPr>
                  <w:rStyle w:val="Hyperlink"/>
                </w:rPr>
                <w:t>programme de travail et budget pour 2022-2023</w:t>
              </w:r>
            </w:hyperlink>
          </w:p>
        </w:tc>
        <w:tc>
          <w:tcPr>
            <w:tcW w:w="6913" w:type="dxa"/>
          </w:tcPr>
          <w:p w14:paraId="75E8FDB4" w14:textId="77777777" w:rsidR="00D44887" w:rsidRPr="000A4281" w:rsidRDefault="00D44887" w:rsidP="002315D8">
            <w:pPr>
              <w:pStyle w:val="TableParagraph"/>
              <w:spacing w:before="1"/>
              <w:ind w:left="109" w:right="109"/>
            </w:pPr>
            <w:r>
              <w:t xml:space="preserve">4.4 Davantage d’innovateurs, de créateurs, de PME, d’universités, d’instituts de recherche et de communautés tirent profit de la propriété intellectuelle.  </w:t>
            </w:r>
          </w:p>
        </w:tc>
      </w:tr>
      <w:tr w:rsidR="00D44887" w:rsidRPr="000A4281" w14:paraId="177E3FC6" w14:textId="77777777" w:rsidTr="002315D8">
        <w:trPr>
          <w:trHeight w:val="1071"/>
        </w:trPr>
        <w:tc>
          <w:tcPr>
            <w:tcW w:w="2377" w:type="dxa"/>
            <w:shd w:val="clear" w:color="auto" w:fill="68E089"/>
            <w:vAlign w:val="center"/>
          </w:tcPr>
          <w:p w14:paraId="42A1442B" w14:textId="77777777" w:rsidR="00D44887" w:rsidRPr="000A4281" w:rsidRDefault="00D44887" w:rsidP="002315D8">
            <w:pPr>
              <w:pStyle w:val="TableParagraph"/>
              <w:ind w:left="110" w:right="378"/>
            </w:pPr>
            <w:r>
              <w:rPr>
                <w:u w:val="single"/>
              </w:rPr>
              <w:t>État d’avancement du projet</w:t>
            </w:r>
          </w:p>
        </w:tc>
        <w:tc>
          <w:tcPr>
            <w:tcW w:w="6913" w:type="dxa"/>
            <w:vAlign w:val="center"/>
          </w:tcPr>
          <w:p w14:paraId="3FC0FF63" w14:textId="77777777" w:rsidR="00D44887" w:rsidRDefault="00D44887" w:rsidP="002315D8">
            <w:pPr>
              <w:pStyle w:val="TableParagraph"/>
              <w:ind w:left="109" w:right="84"/>
            </w:pPr>
            <w:r>
              <w:t>Les activités ci-après ont été réalisées pendant la période allant de janvier 2021 à juin 2022.</w:t>
            </w:r>
          </w:p>
          <w:p w14:paraId="6A1243AB" w14:textId="77777777" w:rsidR="00D44887" w:rsidRPr="000A4281" w:rsidRDefault="00D44887" w:rsidP="002315D8">
            <w:pPr>
              <w:pStyle w:val="TableParagraph"/>
              <w:ind w:left="109" w:right="84"/>
            </w:pPr>
          </w:p>
          <w:p w14:paraId="59BAD4A1" w14:textId="77777777" w:rsidR="00D44887" w:rsidRDefault="00D44887" w:rsidP="002315D8">
            <w:pPr>
              <w:pStyle w:val="TableParagraph"/>
              <w:ind w:left="109" w:right="84"/>
            </w:pPr>
            <w:r>
              <w:rPr>
                <w:u w:val="single"/>
              </w:rPr>
              <w:t>I. Avancement des activités relevant du premier groupe</w:t>
            </w:r>
            <w:r>
              <w:t xml:space="preserve"> (qui ne se concentre pas sur un pays en particulier).</w:t>
            </w:r>
          </w:p>
          <w:p w14:paraId="6F7C18B3" w14:textId="77777777" w:rsidR="00D44887" w:rsidRPr="000A4281" w:rsidRDefault="00D44887" w:rsidP="002315D8">
            <w:pPr>
              <w:pStyle w:val="TableParagraph"/>
              <w:ind w:left="109" w:right="84"/>
            </w:pPr>
          </w:p>
          <w:p w14:paraId="06CC80AB" w14:textId="77777777" w:rsidR="00D44887" w:rsidRDefault="00D44887" w:rsidP="002315D8">
            <w:pPr>
              <w:pStyle w:val="TableParagraph"/>
              <w:ind w:left="109" w:right="84"/>
            </w:pPr>
            <w:r>
              <w:t>Dans le cadre du projet, il a été envisagé de mettre en place quatre résultats différents pour définir la base de référence générale du projet, comprenant un rapport sur les bonnes pratiques, une analyse documentaire, le recueil de témoignages d’inventrices et la création d’un guide sur les questions de propriété intellectuelle concernant la commercialisation d’un produit fondé sur un brevet.</w:t>
            </w:r>
          </w:p>
          <w:p w14:paraId="6E70DA7D" w14:textId="77777777" w:rsidR="00D44887" w:rsidRPr="000A4281" w:rsidRDefault="00D44887" w:rsidP="002315D8">
            <w:pPr>
              <w:pStyle w:val="TableParagraph"/>
              <w:ind w:right="84"/>
            </w:pPr>
          </w:p>
          <w:p w14:paraId="7A7ADA5A" w14:textId="29B27C91" w:rsidR="00D44887" w:rsidRDefault="00D44887" w:rsidP="002315D8">
            <w:pPr>
              <w:pStyle w:val="TableParagraph"/>
              <w:ind w:left="109" w:right="84"/>
            </w:pPr>
            <w:r>
              <w:t>Toutes ces activités sont maintenant terminées.  Le Guide de la propriété intellectuelle à l’intention des jeunes entreprises “</w:t>
            </w:r>
            <w:hyperlink r:id="rId48" w:history="1">
              <w:r>
                <w:rPr>
                  <w:rStyle w:val="Hyperlink"/>
                </w:rPr>
                <w:t>De l’idée à l’entreprise</w:t>
              </w:r>
            </w:hyperlink>
            <w:r>
              <w:t xml:space="preserve">” a été publié et traduit dans toutes les langues de l’ONU et en japonais.  Le document </w:t>
            </w:r>
            <w:hyperlink r:id="rId49" w:history="1">
              <w:r>
                <w:rPr>
                  <w:rStyle w:val="Hyperlink"/>
                </w:rPr>
                <w:t>CDIP/28/INF/4</w:t>
              </w:r>
            </w:hyperlink>
            <w:r>
              <w:t xml:space="preserve"> contient une présentation du guide et a été présenté au CDIP à sa vingt-huitième session.</w:t>
            </w:r>
          </w:p>
          <w:p w14:paraId="5617B318" w14:textId="77777777" w:rsidR="00D44887" w:rsidRPr="000A4281" w:rsidRDefault="00D44887" w:rsidP="002315D8">
            <w:pPr>
              <w:pStyle w:val="TableParagraph"/>
              <w:ind w:left="109" w:right="84"/>
            </w:pPr>
          </w:p>
          <w:p w14:paraId="663E780F" w14:textId="3F619DF8" w:rsidR="00D44887" w:rsidRDefault="00D44887" w:rsidP="002315D8">
            <w:pPr>
              <w:pStyle w:val="TableParagraph"/>
              <w:ind w:left="109" w:right="84"/>
            </w:pPr>
            <w:r>
              <w:t xml:space="preserve">En parallèle, une infographie définissant les grandes lignes du guide sous une forme attrayante et conviviale a également été élaborée et est accessible à l’adresse </w:t>
            </w:r>
            <w:hyperlink r:id="rId50" w:history="1">
              <w:r>
                <w:rPr>
                  <w:rStyle w:val="Hyperlink"/>
                </w:rPr>
                <w:t>https://www.wipo.int/sme/en/enterprising-ideas/</w:t>
              </w:r>
            </w:hyperlink>
            <w:r>
              <w:t>.</w:t>
            </w:r>
          </w:p>
          <w:p w14:paraId="0590B736" w14:textId="77777777" w:rsidR="00D44887" w:rsidRPr="000A4281" w:rsidRDefault="00D44887" w:rsidP="002315D8">
            <w:pPr>
              <w:pStyle w:val="TableParagraph"/>
              <w:ind w:left="720" w:right="84"/>
            </w:pPr>
          </w:p>
          <w:p w14:paraId="1BD14B57" w14:textId="77777777" w:rsidR="00D44887" w:rsidRDefault="00D44887" w:rsidP="002315D8">
            <w:pPr>
              <w:pStyle w:val="TableParagraph"/>
              <w:ind w:left="109" w:right="84"/>
            </w:pPr>
            <w:r>
              <w:t>La série de témoignages a aussi été rassemblée et les témoignages seront disponibles au fur et à mesure sur le site Web de l’OMPI.</w:t>
            </w:r>
          </w:p>
          <w:p w14:paraId="47440F56" w14:textId="77777777" w:rsidR="00D44887" w:rsidRPr="000A4281" w:rsidRDefault="00D44887" w:rsidP="002315D8">
            <w:pPr>
              <w:pStyle w:val="TableParagraph"/>
              <w:ind w:left="109" w:right="84"/>
            </w:pPr>
          </w:p>
          <w:p w14:paraId="190D4211" w14:textId="77777777" w:rsidR="00D44887" w:rsidRDefault="00D44887" w:rsidP="002315D8">
            <w:pPr>
              <w:pStyle w:val="TableParagraph"/>
              <w:ind w:left="109" w:right="84"/>
              <w:rPr>
                <w:u w:val="single"/>
              </w:rPr>
            </w:pPr>
            <w:r>
              <w:rPr>
                <w:u w:val="single"/>
              </w:rPr>
              <w:t>II. Avancement des activités relevant du second groupe</w:t>
            </w:r>
            <w:r>
              <w:t xml:space="preserve"> (qui se concentre sur les pays bénéficiaires) :</w:t>
            </w:r>
          </w:p>
          <w:p w14:paraId="2CAC4844" w14:textId="77777777" w:rsidR="00D44887" w:rsidRPr="000A4281" w:rsidRDefault="00D44887" w:rsidP="002315D8">
            <w:pPr>
              <w:pStyle w:val="TableParagraph"/>
              <w:ind w:left="109" w:right="84"/>
            </w:pPr>
          </w:p>
          <w:p w14:paraId="685D141E" w14:textId="77777777" w:rsidR="00D44887" w:rsidRDefault="00D44887" w:rsidP="002315D8">
            <w:pPr>
              <w:pStyle w:val="TableParagraph"/>
              <w:ind w:left="109" w:right="84"/>
            </w:pPr>
            <w:r>
              <w:t>Au terme de l’élaboration des rapports sur la situation des inventrices dans les quatre pays pilotes et au terme de la présentation des conclusions à Oman, en Ouganda et au Pakistan (en 2021), un événement a été organisé avec le Mexique en vue de présenter les conclusions du rapport et de débattre de la suite à donner avec les parties prenantes.  Compte tenu de la situation liée à la pandémie mondiale, cet événement a été organisé en ligne, sous la forme d’une réunion virtuelle.</w:t>
            </w:r>
          </w:p>
          <w:p w14:paraId="55D9C4AC" w14:textId="77777777" w:rsidR="00D44887" w:rsidRPr="000A4281" w:rsidRDefault="00D44887" w:rsidP="002315D8">
            <w:pPr>
              <w:pStyle w:val="TableParagraph"/>
              <w:ind w:right="84"/>
            </w:pPr>
          </w:p>
          <w:p w14:paraId="1E5AEB67" w14:textId="77777777" w:rsidR="00D44887" w:rsidRDefault="00D44887" w:rsidP="002315D8">
            <w:pPr>
              <w:pStyle w:val="TableParagraph"/>
              <w:ind w:left="109" w:right="84"/>
            </w:pPr>
            <w:r>
              <w:t xml:space="preserve">Les réunions ont été structurées comme suit : la première partie de la réunion était consacrée à la présentation des conclusions concernant les difficultés auxquelles les inventrices sont confrontées </w:t>
            </w:r>
            <w:r>
              <w:lastRenderedPageBreak/>
              <w:t>et à une discussion plus approfondie des conclusions par un groupe d’inventrices;  la deuxième partie de la réunion portait sur les recommandations formulées et un débat avec un groupe a eu lieu aux fins de la mise en place d’un réseau de personnes potentiellement appelées à apporter un soutien.  La réunion s’est terminée par un débat portant sur les moyens permettant d’établir un système de soutien dans les pays.</w:t>
            </w:r>
          </w:p>
          <w:p w14:paraId="21059DFE" w14:textId="77777777" w:rsidR="00D44887" w:rsidRPr="000A4281" w:rsidRDefault="00D44887" w:rsidP="002315D8">
            <w:pPr>
              <w:pStyle w:val="TableParagraph"/>
              <w:ind w:right="84"/>
            </w:pPr>
          </w:p>
          <w:p w14:paraId="6F8AEF5D" w14:textId="77777777" w:rsidR="00D44887" w:rsidRPr="000A4281" w:rsidRDefault="00D44887" w:rsidP="002315D8">
            <w:pPr>
              <w:pStyle w:val="TableParagraph"/>
              <w:ind w:left="109" w:right="84"/>
            </w:pPr>
            <w:r>
              <w:t>À la suite des présentations des rapports nationaux et des consultations menées avec les pays pilotes, il a été exprimé la nécessité faire mieux connaître le fonctionnement du système des brevets en général et, plus particulièrement, l’utilisation des bases de données et la rédaction des revendications.  Dès lors, un programme de formation a été organisé en ligne sur ces domaines en particulier et a été suivi par plus de 700 personnes.</w:t>
            </w:r>
          </w:p>
          <w:p w14:paraId="400DB7AC" w14:textId="77777777" w:rsidR="00D44887" w:rsidRPr="000A4281" w:rsidRDefault="00D44887" w:rsidP="002315D8"/>
          <w:p w14:paraId="694C291C" w14:textId="77777777" w:rsidR="00D44887" w:rsidRDefault="00D44887" w:rsidP="002315D8">
            <w:pPr>
              <w:pStyle w:val="TableParagraph"/>
              <w:ind w:left="109" w:right="84"/>
            </w:pPr>
            <w:r>
              <w:rPr>
                <w:rStyle w:val="Heading3Char"/>
                <w:u w:val="none"/>
              </w:rPr>
              <w:t xml:space="preserve">Aux fins de l’élaboration des rapports par pays, </w:t>
            </w:r>
            <w:r>
              <w:t>une liste des parties prenantes, des institutions, des organisations et des personnes travaillant dans le domaine de la propriété intellectuelle a également été établie.</w:t>
            </w:r>
          </w:p>
          <w:p w14:paraId="29D1F908" w14:textId="77777777" w:rsidR="00D44887" w:rsidRPr="000A4281" w:rsidRDefault="00D44887" w:rsidP="002315D8">
            <w:pPr>
              <w:pStyle w:val="TableParagraph"/>
              <w:ind w:left="109" w:right="84"/>
            </w:pPr>
          </w:p>
          <w:p w14:paraId="774B63EC" w14:textId="77777777" w:rsidR="00D44887" w:rsidRDefault="00D44887" w:rsidP="002315D8">
            <w:pPr>
              <w:pStyle w:val="TableParagraph"/>
              <w:ind w:left="109" w:right="84"/>
              <w:rPr>
                <w:rStyle w:val="Heading3Char"/>
              </w:rPr>
            </w:pPr>
            <w:r>
              <w:t xml:space="preserve">Dans les quatre pays pilotes, </w:t>
            </w:r>
            <w:r>
              <w:rPr>
                <w:rStyle w:val="Heading3Char"/>
                <w:u w:val="none"/>
              </w:rPr>
              <w:t>les institutions, les centres et les coordonnateurs ont été désignés pour accompagner les inventrices et innovatrices à l’avenir.</w:t>
            </w:r>
          </w:p>
          <w:p w14:paraId="22454188" w14:textId="77777777" w:rsidR="00D44887" w:rsidRPr="000A4281" w:rsidRDefault="00D44887" w:rsidP="002315D8"/>
          <w:p w14:paraId="55EFCE5B" w14:textId="1EF5FE06" w:rsidR="00D44887" w:rsidRDefault="00D44887" w:rsidP="002315D8">
            <w:pPr>
              <w:pStyle w:val="TableParagraph"/>
              <w:ind w:left="109" w:right="84"/>
            </w:pPr>
            <w:r>
              <w:t xml:space="preserve">Afin de compléter la liste des mentors locaux et de soutenir les possibilités de mentorat dans les pays pilotes, un programme pilote de mentorat au niveau international a été mis en place.  Le document </w:t>
            </w:r>
            <w:hyperlink r:id="rId51" w:history="1">
              <w:r>
                <w:rPr>
                  <w:rStyle w:val="Hyperlink"/>
                </w:rPr>
                <w:t>CDIP/28/INF/3</w:t>
              </w:r>
            </w:hyperlink>
            <w:r>
              <w:t xml:space="preserve"> contient un rapport de synthèse concernant le programme de mentorat, qui s’est tenu de novembre 2021 à février 2022.  Le document a été présenté au CDIP à sa vingt-huitième session tenue en mai 2022.</w:t>
            </w:r>
          </w:p>
          <w:p w14:paraId="6BCC4BA1" w14:textId="77777777" w:rsidR="00D44887" w:rsidRPr="000A4281" w:rsidRDefault="00D44887" w:rsidP="002315D8">
            <w:pPr>
              <w:pStyle w:val="TableParagraph"/>
              <w:spacing w:before="1"/>
              <w:ind w:right="805"/>
            </w:pPr>
          </w:p>
        </w:tc>
      </w:tr>
      <w:tr w:rsidR="00D44887" w:rsidRPr="000A4281" w14:paraId="7366E8F6" w14:textId="77777777" w:rsidTr="002315D8">
        <w:trPr>
          <w:trHeight w:val="801"/>
        </w:trPr>
        <w:tc>
          <w:tcPr>
            <w:tcW w:w="2377" w:type="dxa"/>
            <w:shd w:val="clear" w:color="auto" w:fill="68E089"/>
            <w:vAlign w:val="center"/>
          </w:tcPr>
          <w:p w14:paraId="61615223" w14:textId="77777777" w:rsidR="00D44887" w:rsidRPr="000A4281" w:rsidRDefault="00D44887" w:rsidP="002315D8">
            <w:pPr>
              <w:pStyle w:val="TableParagraph"/>
              <w:spacing w:line="242" w:lineRule="auto"/>
              <w:ind w:left="110" w:right="708"/>
            </w:pPr>
            <w:r>
              <w:rPr>
                <w:u w:val="single"/>
              </w:rPr>
              <w:lastRenderedPageBreak/>
              <w:t>Premiers résultats observés</w:t>
            </w:r>
          </w:p>
        </w:tc>
        <w:tc>
          <w:tcPr>
            <w:tcW w:w="6913" w:type="dxa"/>
            <w:vAlign w:val="center"/>
          </w:tcPr>
          <w:p w14:paraId="6D99064B" w14:textId="77777777" w:rsidR="00D44887" w:rsidRDefault="00D44887" w:rsidP="002315D8">
            <w:pPr>
              <w:pStyle w:val="TableParagraph"/>
              <w:ind w:left="109" w:right="84"/>
            </w:pPr>
            <w:r>
              <w:t>Dans chacun des pays pilotes, un coordonnateur a été désigné pour apporter un soutien adéquat et favoriser l’accès aux autres systèmes d’appui dans le pays.  Il s’agit entre autres des prestataires de services, des mentors et des services d’assistance juridique au niveau local.</w:t>
            </w:r>
          </w:p>
          <w:p w14:paraId="22935592" w14:textId="77777777" w:rsidR="00D44887" w:rsidRPr="000A4281" w:rsidRDefault="00D44887" w:rsidP="002315D8">
            <w:pPr>
              <w:pStyle w:val="TableParagraph"/>
              <w:ind w:left="109" w:right="84"/>
              <w:rPr>
                <w:iCs/>
              </w:rPr>
            </w:pPr>
          </w:p>
          <w:p w14:paraId="0946924A" w14:textId="77777777" w:rsidR="00D44887" w:rsidRPr="000A4281" w:rsidRDefault="00D44887" w:rsidP="002315D8">
            <w:pPr>
              <w:pStyle w:val="TableParagraph"/>
              <w:ind w:left="109" w:right="84"/>
            </w:pPr>
            <w:r>
              <w:t>En outre, à travers le programme de mentorat international, les inventrices sélectionnées dans les pays participants ont reçu des conseils pour tirer parti du système de la propriété intellectuelle de sorte à soutenir leurs efforts dans la commercialisation de leurs inventions.</w:t>
            </w:r>
          </w:p>
        </w:tc>
      </w:tr>
      <w:tr w:rsidR="00D44887" w:rsidRPr="000A4281" w14:paraId="4FE84907" w14:textId="77777777" w:rsidTr="002315D8">
        <w:trPr>
          <w:trHeight w:val="703"/>
        </w:trPr>
        <w:tc>
          <w:tcPr>
            <w:tcW w:w="2377" w:type="dxa"/>
            <w:shd w:val="clear" w:color="auto" w:fill="68E089"/>
            <w:vAlign w:val="center"/>
          </w:tcPr>
          <w:p w14:paraId="4E041B87" w14:textId="77777777" w:rsidR="00D44887" w:rsidRPr="000A4281" w:rsidRDefault="00D44887" w:rsidP="002315D8">
            <w:pPr>
              <w:pStyle w:val="TableParagraph"/>
              <w:spacing w:before="1"/>
              <w:ind w:left="110" w:right="279"/>
            </w:pPr>
            <w:r>
              <w:rPr>
                <w:u w:val="single"/>
              </w:rPr>
              <w:t>Expérience acquise et enseignements tirés</w:t>
            </w:r>
          </w:p>
        </w:tc>
        <w:tc>
          <w:tcPr>
            <w:tcW w:w="6913" w:type="dxa"/>
            <w:vAlign w:val="center"/>
          </w:tcPr>
          <w:p w14:paraId="0EA0F51E" w14:textId="77777777" w:rsidR="00D44887" w:rsidRPr="000A4281" w:rsidRDefault="00D44887" w:rsidP="002315D8">
            <w:pPr>
              <w:pStyle w:val="TableParagraph"/>
              <w:ind w:left="109" w:right="84"/>
            </w:pPr>
            <w:r>
              <w:t>La tenue de certaines activités dans un environnement en ligne s’est avérée être une bonne pratique, qui a favorisé une plus grande participation à moindre coût.  Par exemple, la tenue du programme de mentorat dans un environnement en ligne a permis aux inventrices d’accéder à un appui de qualité au niveau international, sans frais et à des dates et des périodes flexibles.  De même, le programme de formation en ligne sur l’utilisation du système des brevets a attiré un grand nombre de participants, qui ont ainsi pu bénéficier du cours organisé en ligne.</w:t>
            </w:r>
          </w:p>
        </w:tc>
      </w:tr>
      <w:tr w:rsidR="00D44887" w:rsidRPr="000A4281" w14:paraId="63BF8CD7" w14:textId="77777777" w:rsidTr="002315D8">
        <w:trPr>
          <w:trHeight w:val="1423"/>
        </w:trPr>
        <w:tc>
          <w:tcPr>
            <w:tcW w:w="2377" w:type="dxa"/>
            <w:shd w:val="clear" w:color="auto" w:fill="68E089"/>
            <w:vAlign w:val="center"/>
          </w:tcPr>
          <w:p w14:paraId="1D46762D" w14:textId="77777777" w:rsidR="00D44887" w:rsidRPr="000A4281" w:rsidRDefault="00D44887" w:rsidP="002315D8">
            <w:pPr>
              <w:pStyle w:val="TableParagraph"/>
              <w:ind w:left="110"/>
            </w:pPr>
            <w:r>
              <w:rPr>
                <w:u w:val="single"/>
              </w:rPr>
              <w:lastRenderedPageBreak/>
              <w:t>Risques et mesures d’atténuation</w:t>
            </w:r>
          </w:p>
        </w:tc>
        <w:tc>
          <w:tcPr>
            <w:tcW w:w="6913" w:type="dxa"/>
            <w:vAlign w:val="center"/>
          </w:tcPr>
          <w:p w14:paraId="33304DA7" w14:textId="77777777" w:rsidR="00D44887" w:rsidRDefault="00D44887" w:rsidP="002315D8">
            <w:pPr>
              <w:pStyle w:val="TableParagraph"/>
              <w:spacing w:line="252" w:lineRule="exact"/>
              <w:ind w:left="109" w:right="721"/>
            </w:pPr>
            <w:r w:rsidRPr="00284427">
              <w:rPr>
                <w:u w:val="single"/>
              </w:rPr>
              <w:t>Risque :</w:t>
            </w:r>
            <w:r>
              <w:t xml:space="preserve"> Pendant la période de référence, la pandémie mondiale a empêché la tenue des réunions physiques ainsi que d’autres activités de renforcement des capacités prévues à l’origine.  Cela a généré des retards dans la mise en œuvre du projet et obligé l’équipe de projet à revoir sa stratégie pour la réalisation de certaines activités.</w:t>
            </w:r>
          </w:p>
          <w:p w14:paraId="5F1FC713" w14:textId="77777777" w:rsidR="00D44887" w:rsidRPr="000A4281" w:rsidRDefault="00D44887" w:rsidP="002315D8">
            <w:pPr>
              <w:pStyle w:val="TableParagraph"/>
              <w:spacing w:line="252" w:lineRule="exact"/>
              <w:ind w:left="109" w:right="721"/>
            </w:pPr>
          </w:p>
          <w:p w14:paraId="612501B6" w14:textId="77777777" w:rsidR="00D44887" w:rsidRPr="000A4281" w:rsidRDefault="00D44887" w:rsidP="002315D8">
            <w:pPr>
              <w:pStyle w:val="TableParagraph"/>
              <w:spacing w:line="252" w:lineRule="exact"/>
              <w:ind w:left="109" w:right="721"/>
            </w:pPr>
            <w:r w:rsidRPr="00284427">
              <w:rPr>
                <w:u w:val="single"/>
              </w:rPr>
              <w:t>Atténuation :</w:t>
            </w:r>
            <w:r>
              <w:t xml:space="preserve"> La situation a été atténuée au moyen d’une collaboration en ligne avec les pays bénéficiaires et les inventrices et par l’organisation d’activités complémentaires, à la demande des parties prenantes des pays pilotes.  </w:t>
            </w:r>
          </w:p>
        </w:tc>
      </w:tr>
      <w:tr w:rsidR="00D44887" w:rsidRPr="000A4281" w14:paraId="29423FF2" w14:textId="77777777" w:rsidTr="002315D8">
        <w:trPr>
          <w:trHeight w:val="1124"/>
        </w:trPr>
        <w:tc>
          <w:tcPr>
            <w:tcW w:w="2377" w:type="dxa"/>
            <w:shd w:val="clear" w:color="auto" w:fill="68E089"/>
            <w:vAlign w:val="center"/>
          </w:tcPr>
          <w:p w14:paraId="468AF942" w14:textId="77777777" w:rsidR="00D44887" w:rsidRPr="000A4281" w:rsidRDefault="00D44887" w:rsidP="002315D8">
            <w:pPr>
              <w:pStyle w:val="TableParagraph"/>
              <w:ind w:left="110" w:right="536"/>
            </w:pPr>
            <w:r>
              <w:rPr>
                <w:u w:val="single"/>
              </w:rPr>
              <w:t>Questions nécessitant un soutien ou une attention immédiate</w:t>
            </w:r>
          </w:p>
        </w:tc>
        <w:tc>
          <w:tcPr>
            <w:tcW w:w="6913" w:type="dxa"/>
            <w:vAlign w:val="center"/>
          </w:tcPr>
          <w:p w14:paraId="5C893B0E" w14:textId="77777777" w:rsidR="00D44887" w:rsidRDefault="00D44887" w:rsidP="002315D8">
            <w:pPr>
              <w:pStyle w:val="TableParagraph"/>
              <w:ind w:left="109" w:right="109"/>
            </w:pPr>
            <w:r>
              <w:t>Le projet est mis en œuvre selon le calendrier et aucune question en particulier ne nécessite une attention immédiate.</w:t>
            </w:r>
          </w:p>
          <w:p w14:paraId="17AB7F60" w14:textId="77777777" w:rsidR="00D44887" w:rsidRPr="000A4281" w:rsidRDefault="00D44887" w:rsidP="002315D8">
            <w:pPr>
              <w:pStyle w:val="TableParagraph"/>
              <w:spacing w:line="244" w:lineRule="auto"/>
              <w:ind w:right="109"/>
            </w:pPr>
          </w:p>
        </w:tc>
      </w:tr>
      <w:tr w:rsidR="00D44887" w:rsidRPr="000A4281" w14:paraId="58628EFB" w14:textId="77777777" w:rsidTr="002315D8">
        <w:trPr>
          <w:trHeight w:val="469"/>
        </w:trPr>
        <w:tc>
          <w:tcPr>
            <w:tcW w:w="2377" w:type="dxa"/>
            <w:shd w:val="clear" w:color="auto" w:fill="68E089"/>
            <w:vAlign w:val="center"/>
          </w:tcPr>
          <w:p w14:paraId="6D9BF7FC" w14:textId="77777777" w:rsidR="00D44887" w:rsidRPr="000A4281" w:rsidRDefault="00D44887" w:rsidP="002315D8">
            <w:pPr>
              <w:pStyle w:val="TableParagraph"/>
              <w:ind w:left="110"/>
            </w:pPr>
            <w:r>
              <w:rPr>
                <w:u w:val="single"/>
              </w:rPr>
              <w:t>Voie à suivre</w:t>
            </w:r>
          </w:p>
        </w:tc>
        <w:tc>
          <w:tcPr>
            <w:tcW w:w="6913" w:type="dxa"/>
            <w:vAlign w:val="center"/>
          </w:tcPr>
          <w:p w14:paraId="13856CEB" w14:textId="77777777" w:rsidR="00D44887" w:rsidRDefault="00D44887" w:rsidP="002315D8">
            <w:pPr>
              <w:pStyle w:val="TableParagraph"/>
              <w:ind w:left="109" w:right="84"/>
            </w:pPr>
            <w:r>
              <w:t xml:space="preserve">Le projet devrait prendre fin d’ici fin 2022.  Les résultats finaux du projet comprennent un guide présentant la méthode élaborée et employée au cours de la mise en œuvre du projet, ainsi que les leçons qui en ont été tirées, et un ensemble des outils mis en place au cours du projet (notamment un </w:t>
            </w:r>
            <w:r>
              <w:rPr>
                <w:rStyle w:val="Heading3Char"/>
                <w:u w:val="none"/>
              </w:rPr>
              <w:t>outil de présentation à utiliser à l’avenir dans les ateliers</w:t>
            </w:r>
            <w:r>
              <w:t>), qui sont à élaborer.</w:t>
            </w:r>
          </w:p>
          <w:p w14:paraId="00B03C48" w14:textId="77777777" w:rsidR="00D44887" w:rsidRPr="000A4281" w:rsidRDefault="00D44887" w:rsidP="002315D8">
            <w:pPr>
              <w:pStyle w:val="TableParagraph"/>
              <w:ind w:left="109" w:right="84"/>
              <w:rPr>
                <w:iCs/>
              </w:rPr>
            </w:pPr>
          </w:p>
          <w:p w14:paraId="04053F85" w14:textId="77777777" w:rsidR="00D44887" w:rsidRPr="000A4281" w:rsidRDefault="00D44887" w:rsidP="002315D8">
            <w:pPr>
              <w:pStyle w:val="TableParagraph"/>
              <w:ind w:left="109" w:right="84"/>
            </w:pPr>
            <w:r>
              <w:t xml:space="preserve">En outre, pour assurer le succès des résultats du projet sur le long terme ou de façon durable, il est important que les coordonnateurs désignés de chaque pays pilote continuent d’être pertinents et engagés à long terme.  Cet aspect sera pris en considération lors de l’élaboration du guide afin de garantir que son contenu puisse être utilisé par les coordonnateurs existants ou nouveaux dans tous les pays pilotes et les autres pays.  </w:t>
            </w:r>
          </w:p>
        </w:tc>
      </w:tr>
      <w:tr w:rsidR="00D44887" w:rsidRPr="000A4281" w14:paraId="580904B3" w14:textId="77777777" w:rsidTr="002315D8">
        <w:trPr>
          <w:trHeight w:val="631"/>
        </w:trPr>
        <w:tc>
          <w:tcPr>
            <w:tcW w:w="2377" w:type="dxa"/>
            <w:shd w:val="clear" w:color="auto" w:fill="68E089"/>
            <w:vAlign w:val="center"/>
          </w:tcPr>
          <w:p w14:paraId="58142B53" w14:textId="77777777" w:rsidR="00D44887" w:rsidRPr="000A4281" w:rsidRDefault="00D44887" w:rsidP="002315D8">
            <w:pPr>
              <w:pStyle w:val="TableParagraph"/>
              <w:spacing w:before="1"/>
              <w:ind w:left="110" w:right="732"/>
            </w:pPr>
            <w:r>
              <w:rPr>
                <w:u w:val="single"/>
              </w:rPr>
              <w:t>Calendrier de mise en œuvre</w:t>
            </w:r>
          </w:p>
        </w:tc>
        <w:tc>
          <w:tcPr>
            <w:tcW w:w="6913" w:type="dxa"/>
            <w:vAlign w:val="center"/>
          </w:tcPr>
          <w:p w14:paraId="18CEFE93" w14:textId="77777777" w:rsidR="00D44887" w:rsidRPr="000A4281" w:rsidRDefault="00D44887" w:rsidP="002315D8">
            <w:pPr>
              <w:pStyle w:val="TableParagraph"/>
              <w:spacing w:before="1"/>
              <w:ind w:left="109"/>
            </w:pPr>
            <w:r>
              <w:t>Le projet est mis en œuvre selon le calendrier révisé figurant dans le document CDIP/26/2, annexe I.</w:t>
            </w:r>
          </w:p>
        </w:tc>
      </w:tr>
      <w:tr w:rsidR="00D44887" w:rsidRPr="000A4281" w14:paraId="04B10257" w14:textId="77777777" w:rsidTr="002315D8">
        <w:trPr>
          <w:trHeight w:val="613"/>
        </w:trPr>
        <w:tc>
          <w:tcPr>
            <w:tcW w:w="2377" w:type="dxa"/>
            <w:shd w:val="clear" w:color="auto" w:fill="68E089"/>
            <w:vAlign w:val="center"/>
          </w:tcPr>
          <w:p w14:paraId="6D0622D0" w14:textId="77777777" w:rsidR="00D44887" w:rsidRPr="000A4281" w:rsidRDefault="00D44887" w:rsidP="002315D8">
            <w:pPr>
              <w:pStyle w:val="TableParagraph"/>
              <w:ind w:left="110" w:right="220"/>
            </w:pPr>
            <w:r>
              <w:rPr>
                <w:u w:val="single"/>
              </w:rPr>
              <w:t>Taux de réalisation du projet</w:t>
            </w:r>
          </w:p>
        </w:tc>
        <w:tc>
          <w:tcPr>
            <w:tcW w:w="6913" w:type="dxa"/>
            <w:vAlign w:val="center"/>
          </w:tcPr>
          <w:p w14:paraId="1F7272F6" w14:textId="77777777" w:rsidR="00D44887" w:rsidRPr="000A4281" w:rsidRDefault="00D44887" w:rsidP="002315D8">
            <w:pPr>
              <w:pStyle w:val="TableParagraph"/>
              <w:ind w:left="109" w:right="84"/>
            </w:pPr>
            <w:r>
              <w:t>Le taux d’exécution du budget à la fin juillet 2022, proportionnel au budget total alloué pour le projet, a été de 54%.</w:t>
            </w:r>
          </w:p>
        </w:tc>
      </w:tr>
      <w:tr w:rsidR="00D44887" w:rsidRPr="000A4281" w14:paraId="5B723618" w14:textId="77777777" w:rsidTr="002315D8">
        <w:trPr>
          <w:trHeight w:val="703"/>
        </w:trPr>
        <w:tc>
          <w:tcPr>
            <w:tcW w:w="2377" w:type="dxa"/>
            <w:shd w:val="clear" w:color="auto" w:fill="68E089"/>
            <w:vAlign w:val="center"/>
          </w:tcPr>
          <w:p w14:paraId="15B37536" w14:textId="77777777" w:rsidR="00D44887" w:rsidRPr="000A4281" w:rsidRDefault="00D44887" w:rsidP="002315D8">
            <w:pPr>
              <w:pStyle w:val="TableParagraph"/>
              <w:ind w:left="110"/>
            </w:pPr>
            <w:r>
              <w:rPr>
                <w:u w:val="single"/>
              </w:rPr>
              <w:t>Rapports précédents</w:t>
            </w:r>
          </w:p>
        </w:tc>
        <w:tc>
          <w:tcPr>
            <w:tcW w:w="6913" w:type="dxa"/>
            <w:vAlign w:val="center"/>
          </w:tcPr>
          <w:p w14:paraId="20A45589" w14:textId="6525D748" w:rsidR="00D44887" w:rsidRPr="000A4281" w:rsidRDefault="00D44887" w:rsidP="002315D8">
            <w:pPr>
              <w:pStyle w:val="TableParagraph"/>
              <w:ind w:left="109" w:right="84"/>
            </w:pPr>
            <w:r>
              <w:t xml:space="preserve">Il s’agit du troisième rapport présenté au CDIP.  Les premier et deuxième rapports figurent respectivement dans les documents </w:t>
            </w:r>
            <w:hyperlink r:id="rId52" w:history="1">
              <w:r>
                <w:rPr>
                  <w:rStyle w:val="Hyperlink"/>
                </w:rPr>
                <w:t>CDIP/24/2</w:t>
              </w:r>
            </w:hyperlink>
            <w:r>
              <w:t xml:space="preserve">, annexe II, et </w:t>
            </w:r>
            <w:hyperlink r:id="rId53" w:history="1">
              <w:r>
                <w:rPr>
                  <w:rStyle w:val="Hyperlink"/>
                </w:rPr>
                <w:t>CDIP/26/2</w:t>
              </w:r>
            </w:hyperlink>
            <w:r>
              <w:t xml:space="preserve">, annexe I. </w:t>
            </w:r>
          </w:p>
        </w:tc>
      </w:tr>
    </w:tbl>
    <w:p w14:paraId="479221F1" w14:textId="77777777" w:rsidR="00D44887" w:rsidRDefault="00D44887" w:rsidP="00D44887">
      <w:pPr>
        <w:pStyle w:val="BodyText"/>
        <w:spacing w:after="0"/>
        <w:ind w:left="130"/>
        <w:rPr>
          <w:szCs w:val="22"/>
        </w:rPr>
      </w:pPr>
    </w:p>
    <w:p w14:paraId="4C2CF19E" w14:textId="77777777" w:rsidR="00D44887" w:rsidRDefault="00D44887" w:rsidP="00D44887">
      <w:pPr>
        <w:pStyle w:val="BodyText"/>
        <w:spacing w:after="0"/>
        <w:ind w:left="130"/>
        <w:rPr>
          <w:szCs w:val="22"/>
        </w:rPr>
      </w:pPr>
    </w:p>
    <w:p w14:paraId="733E16C8" w14:textId="77777777" w:rsidR="00D44887" w:rsidRPr="000A4281" w:rsidRDefault="00D44887" w:rsidP="00D44887">
      <w:pPr>
        <w:pStyle w:val="BodyText"/>
        <w:spacing w:before="94"/>
        <w:ind w:left="136"/>
        <w:rPr>
          <w:szCs w:val="22"/>
        </w:rPr>
      </w:pPr>
      <w:r>
        <w:t>AUTO-ÉVALUATION DU PROJET</w:t>
      </w:r>
    </w:p>
    <w:p w14:paraId="2FFCF570" w14:textId="77777777" w:rsidR="00D44887" w:rsidRPr="000A4281" w:rsidRDefault="00D44887" w:rsidP="00D44887">
      <w:pPr>
        <w:pStyle w:val="BodyText"/>
        <w:ind w:left="136"/>
        <w:rPr>
          <w:szCs w:val="22"/>
        </w:rPr>
      </w:pPr>
      <w:r>
        <w:t>Code d’évaluation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1"/>
        <w:gridCol w:w="1843"/>
        <w:gridCol w:w="1701"/>
        <w:gridCol w:w="1842"/>
        <w:gridCol w:w="2123"/>
      </w:tblGrid>
      <w:tr w:rsidR="00D44887" w:rsidRPr="000A4281" w14:paraId="51DBA0CC" w14:textId="77777777" w:rsidTr="002315D8">
        <w:trPr>
          <w:trHeight w:val="470"/>
        </w:trPr>
        <w:tc>
          <w:tcPr>
            <w:tcW w:w="1841" w:type="dxa"/>
            <w:shd w:val="clear" w:color="auto" w:fill="7BBEDA"/>
            <w:vAlign w:val="center"/>
          </w:tcPr>
          <w:p w14:paraId="16608A0E" w14:textId="77777777" w:rsidR="00D44887" w:rsidRPr="000A4281" w:rsidRDefault="00D44887" w:rsidP="002315D8">
            <w:pPr>
              <w:pStyle w:val="TableParagraph"/>
              <w:spacing w:before="106"/>
              <w:ind w:left="110"/>
            </w:pPr>
            <w:r>
              <w:t>****</w:t>
            </w:r>
          </w:p>
        </w:tc>
        <w:tc>
          <w:tcPr>
            <w:tcW w:w="1843" w:type="dxa"/>
            <w:shd w:val="clear" w:color="auto" w:fill="7BBEDA"/>
            <w:vAlign w:val="center"/>
          </w:tcPr>
          <w:p w14:paraId="109CEFB0" w14:textId="77777777" w:rsidR="00D44887" w:rsidRPr="000A4281" w:rsidRDefault="00D44887" w:rsidP="002315D8">
            <w:pPr>
              <w:pStyle w:val="TableParagraph"/>
              <w:spacing w:before="106"/>
              <w:ind w:left="110"/>
            </w:pPr>
            <w:r>
              <w:t>***</w:t>
            </w:r>
          </w:p>
        </w:tc>
        <w:tc>
          <w:tcPr>
            <w:tcW w:w="1701" w:type="dxa"/>
            <w:shd w:val="clear" w:color="auto" w:fill="7BBEDA"/>
            <w:vAlign w:val="center"/>
          </w:tcPr>
          <w:p w14:paraId="6FA3FA0B" w14:textId="77777777" w:rsidR="00D44887" w:rsidRPr="000A4281" w:rsidRDefault="00D44887" w:rsidP="002315D8">
            <w:pPr>
              <w:pStyle w:val="TableParagraph"/>
              <w:spacing w:before="106"/>
              <w:ind w:left="108"/>
            </w:pPr>
            <w:r>
              <w:t>**</w:t>
            </w:r>
          </w:p>
        </w:tc>
        <w:tc>
          <w:tcPr>
            <w:tcW w:w="1842" w:type="dxa"/>
            <w:shd w:val="clear" w:color="auto" w:fill="7BBEDA"/>
            <w:vAlign w:val="center"/>
          </w:tcPr>
          <w:p w14:paraId="00BC604D" w14:textId="77777777" w:rsidR="00D44887" w:rsidRPr="000A4281" w:rsidRDefault="00D44887" w:rsidP="002315D8">
            <w:pPr>
              <w:pStyle w:val="TableParagraph"/>
              <w:spacing w:before="106"/>
              <w:ind w:left="108"/>
            </w:pPr>
            <w:r>
              <w:t>AP</w:t>
            </w:r>
          </w:p>
        </w:tc>
        <w:tc>
          <w:tcPr>
            <w:tcW w:w="2123" w:type="dxa"/>
            <w:shd w:val="clear" w:color="auto" w:fill="7BBEDA"/>
            <w:vAlign w:val="center"/>
          </w:tcPr>
          <w:p w14:paraId="55C71774" w14:textId="77777777" w:rsidR="00D44887" w:rsidRPr="000A4281" w:rsidRDefault="00D44887" w:rsidP="002315D8">
            <w:pPr>
              <w:pStyle w:val="TableParagraph"/>
              <w:spacing w:before="106"/>
              <w:ind w:left="110"/>
            </w:pPr>
            <w:r>
              <w:t>NA</w:t>
            </w:r>
          </w:p>
        </w:tc>
      </w:tr>
      <w:tr w:rsidR="00D44887" w:rsidRPr="000A4281" w14:paraId="4D6057E1" w14:textId="77777777" w:rsidTr="002315D8">
        <w:trPr>
          <w:trHeight w:val="506"/>
        </w:trPr>
        <w:tc>
          <w:tcPr>
            <w:tcW w:w="1841" w:type="dxa"/>
            <w:shd w:val="clear" w:color="auto" w:fill="7BBEDA"/>
            <w:vAlign w:val="center"/>
          </w:tcPr>
          <w:p w14:paraId="71B48760" w14:textId="4361EFD4" w:rsidR="00D44887" w:rsidRPr="000A4281" w:rsidRDefault="00D640A7" w:rsidP="002315D8">
            <w:pPr>
              <w:pStyle w:val="TableParagraph"/>
              <w:spacing w:line="252" w:lineRule="exact"/>
              <w:ind w:left="110" w:right="408"/>
            </w:pPr>
            <w:r>
              <w:t xml:space="preserve">Objectifs pleinement </w:t>
            </w:r>
            <w:r w:rsidR="00D44887">
              <w:t>atteint</w:t>
            </w:r>
            <w:r>
              <w:t>s</w:t>
            </w:r>
          </w:p>
        </w:tc>
        <w:tc>
          <w:tcPr>
            <w:tcW w:w="1843" w:type="dxa"/>
            <w:shd w:val="clear" w:color="auto" w:fill="7BBEDA"/>
            <w:vAlign w:val="center"/>
          </w:tcPr>
          <w:p w14:paraId="35BA62D7" w14:textId="77777777" w:rsidR="00D44887" w:rsidRPr="000A4281" w:rsidRDefault="00D44887" w:rsidP="002315D8">
            <w:pPr>
              <w:pStyle w:val="TableParagraph"/>
              <w:spacing w:line="252" w:lineRule="exact"/>
              <w:ind w:left="110" w:right="687"/>
            </w:pPr>
            <w:r>
              <w:t>De grands progrès</w:t>
            </w:r>
          </w:p>
        </w:tc>
        <w:tc>
          <w:tcPr>
            <w:tcW w:w="1701" w:type="dxa"/>
            <w:shd w:val="clear" w:color="auto" w:fill="7BBEDA"/>
            <w:vAlign w:val="center"/>
          </w:tcPr>
          <w:p w14:paraId="4A6E9A69" w14:textId="77777777" w:rsidR="00D44887" w:rsidRPr="000A4281" w:rsidRDefault="00D44887" w:rsidP="002315D8">
            <w:pPr>
              <w:pStyle w:val="TableParagraph"/>
              <w:spacing w:line="251" w:lineRule="exact"/>
              <w:ind w:left="108"/>
            </w:pPr>
            <w:r>
              <w:t>Quelques progrès</w:t>
            </w:r>
          </w:p>
        </w:tc>
        <w:tc>
          <w:tcPr>
            <w:tcW w:w="1842" w:type="dxa"/>
            <w:shd w:val="clear" w:color="auto" w:fill="7BBEDA"/>
            <w:vAlign w:val="center"/>
          </w:tcPr>
          <w:p w14:paraId="102692DA" w14:textId="77777777" w:rsidR="00D44887" w:rsidRPr="000A4281" w:rsidRDefault="00D44887" w:rsidP="002315D8">
            <w:pPr>
              <w:pStyle w:val="TableParagraph"/>
              <w:spacing w:line="251" w:lineRule="exact"/>
              <w:ind w:left="108"/>
            </w:pPr>
            <w:r>
              <w:t>Aucun progrès</w:t>
            </w:r>
          </w:p>
        </w:tc>
        <w:tc>
          <w:tcPr>
            <w:tcW w:w="2123" w:type="dxa"/>
            <w:shd w:val="clear" w:color="auto" w:fill="7BBEDA"/>
            <w:vAlign w:val="center"/>
          </w:tcPr>
          <w:p w14:paraId="32DC6D78" w14:textId="77777777" w:rsidR="00D44887" w:rsidRPr="000A4281" w:rsidRDefault="00D44887" w:rsidP="002315D8">
            <w:pPr>
              <w:pStyle w:val="TableParagraph"/>
              <w:spacing w:line="252" w:lineRule="exact"/>
              <w:ind w:left="110" w:right="203"/>
            </w:pPr>
            <w:r>
              <w:t>Non évalué/ abandonné</w:t>
            </w:r>
          </w:p>
        </w:tc>
      </w:tr>
    </w:tbl>
    <w:p w14:paraId="041830ED" w14:textId="77777777" w:rsidR="00D44887" w:rsidRPr="000A4281" w:rsidRDefault="00D44887" w:rsidP="00D44887">
      <w:pPr>
        <w:pStyle w:val="BodyText"/>
        <w:spacing w:before="11"/>
        <w:rPr>
          <w:szCs w:val="22"/>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2865"/>
        <w:gridCol w:w="1412"/>
      </w:tblGrid>
      <w:tr w:rsidR="00D44887" w:rsidRPr="000A4281" w14:paraId="226039E6" w14:textId="77777777" w:rsidTr="002315D8">
        <w:trPr>
          <w:trHeight w:val="1264"/>
        </w:trPr>
        <w:tc>
          <w:tcPr>
            <w:tcW w:w="2410" w:type="dxa"/>
            <w:shd w:val="clear" w:color="auto" w:fill="68E089"/>
            <w:vAlign w:val="center"/>
          </w:tcPr>
          <w:p w14:paraId="2F19B3F0" w14:textId="77777777" w:rsidR="00D44887" w:rsidRPr="000A4281" w:rsidRDefault="00D44887" w:rsidP="002315D8">
            <w:pPr>
              <w:pStyle w:val="TableParagraph"/>
              <w:spacing w:before="10"/>
            </w:pPr>
          </w:p>
          <w:p w14:paraId="0818CEBD" w14:textId="77777777" w:rsidR="00D44887" w:rsidRPr="000A4281" w:rsidRDefault="00D44887" w:rsidP="002315D8">
            <w:pPr>
              <w:pStyle w:val="TableParagraph"/>
              <w:ind w:left="110" w:right="624"/>
            </w:pPr>
            <w:r>
              <w:rPr>
                <w:u w:val="single"/>
              </w:rPr>
              <w:t>Résultats du projet</w:t>
            </w:r>
            <w:r>
              <w:rPr>
                <w:u w:val="single"/>
                <w:vertAlign w:val="superscript"/>
              </w:rPr>
              <w:t>3</w:t>
            </w:r>
            <w:r>
              <w:t xml:space="preserve"> (Résultat escompté)</w:t>
            </w:r>
          </w:p>
        </w:tc>
        <w:tc>
          <w:tcPr>
            <w:tcW w:w="2695" w:type="dxa"/>
            <w:shd w:val="clear" w:color="auto" w:fill="68E089"/>
            <w:vAlign w:val="center"/>
          </w:tcPr>
          <w:p w14:paraId="3ABFE640" w14:textId="77777777" w:rsidR="00D44887" w:rsidRPr="000A4281" w:rsidRDefault="00D44887" w:rsidP="002315D8">
            <w:pPr>
              <w:pStyle w:val="TableParagraph"/>
              <w:spacing w:before="10"/>
            </w:pPr>
          </w:p>
          <w:p w14:paraId="6EF10AED" w14:textId="77777777" w:rsidR="00D44887" w:rsidRPr="000A4281" w:rsidRDefault="00D44887" w:rsidP="002315D8">
            <w:pPr>
              <w:pStyle w:val="TableParagraph"/>
              <w:ind w:left="110" w:right="236"/>
            </w:pPr>
            <w:r>
              <w:rPr>
                <w:u w:val="single"/>
              </w:rPr>
              <w:t>Indicateurs d’achèvement réussi</w:t>
            </w:r>
          </w:p>
          <w:p w14:paraId="303D1298" w14:textId="77777777" w:rsidR="00D44887" w:rsidRPr="000A4281" w:rsidRDefault="00D44887" w:rsidP="002315D8">
            <w:pPr>
              <w:pStyle w:val="TableParagraph"/>
              <w:spacing w:before="1"/>
              <w:ind w:left="110"/>
            </w:pPr>
            <w:r>
              <w:t>(indicateurs de résultats)</w:t>
            </w:r>
          </w:p>
        </w:tc>
        <w:tc>
          <w:tcPr>
            <w:tcW w:w="2865" w:type="dxa"/>
            <w:shd w:val="clear" w:color="auto" w:fill="68E089"/>
            <w:vAlign w:val="center"/>
          </w:tcPr>
          <w:p w14:paraId="31FF2BA9" w14:textId="77777777" w:rsidR="00D44887" w:rsidRPr="000A4281" w:rsidRDefault="00D44887" w:rsidP="002315D8">
            <w:pPr>
              <w:pStyle w:val="TableParagraph"/>
              <w:spacing w:before="10"/>
            </w:pPr>
          </w:p>
          <w:p w14:paraId="253AAF17" w14:textId="77777777" w:rsidR="00D44887" w:rsidRPr="000A4281" w:rsidRDefault="00D44887" w:rsidP="002315D8">
            <w:pPr>
              <w:pStyle w:val="TableParagraph"/>
              <w:ind w:left="108"/>
            </w:pPr>
            <w:r>
              <w:rPr>
                <w:u w:val="single"/>
              </w:rPr>
              <w:t>Données relatives à l’exécution</w:t>
            </w:r>
          </w:p>
        </w:tc>
        <w:tc>
          <w:tcPr>
            <w:tcW w:w="1412" w:type="dxa"/>
            <w:shd w:val="clear" w:color="auto" w:fill="68E089"/>
            <w:vAlign w:val="center"/>
          </w:tcPr>
          <w:p w14:paraId="575BBDC6" w14:textId="77777777" w:rsidR="00D44887" w:rsidRPr="000A4281" w:rsidRDefault="00D44887" w:rsidP="002315D8">
            <w:pPr>
              <w:pStyle w:val="TableParagraph"/>
              <w:spacing w:before="10"/>
            </w:pPr>
          </w:p>
          <w:p w14:paraId="758C4C83" w14:textId="77777777" w:rsidR="00D44887" w:rsidRPr="000A4281" w:rsidRDefault="00D44887" w:rsidP="002315D8">
            <w:pPr>
              <w:pStyle w:val="TableParagraph"/>
              <w:ind w:left="111"/>
            </w:pPr>
            <w:r>
              <w:rPr>
                <w:u w:val="single"/>
              </w:rPr>
              <w:t>Code d’évaluation</w:t>
            </w:r>
          </w:p>
        </w:tc>
      </w:tr>
      <w:tr w:rsidR="00D44887" w:rsidRPr="000A4281" w14:paraId="60143BF1" w14:textId="77777777" w:rsidTr="002315D8">
        <w:trPr>
          <w:trHeight w:val="1551"/>
        </w:trPr>
        <w:tc>
          <w:tcPr>
            <w:tcW w:w="2410" w:type="dxa"/>
            <w:vMerge w:val="restart"/>
            <w:tcBorders>
              <w:right w:val="single" w:sz="6" w:space="0" w:color="000000"/>
            </w:tcBorders>
            <w:vAlign w:val="center"/>
          </w:tcPr>
          <w:p w14:paraId="6099ED37" w14:textId="77777777" w:rsidR="00D44887" w:rsidRPr="000A4281" w:rsidRDefault="00D44887" w:rsidP="002315D8">
            <w:pPr>
              <w:pStyle w:val="TableParagraph"/>
            </w:pPr>
            <w:r>
              <w:t>1. Meilleure compréhension des difficultés rencontrées par les inventrices et les innovatrices et solutions éventuelles retenues.</w:t>
            </w:r>
          </w:p>
        </w:tc>
        <w:tc>
          <w:tcPr>
            <w:tcW w:w="2695" w:type="dxa"/>
            <w:tcBorders>
              <w:left w:val="single" w:sz="6" w:space="0" w:color="000000"/>
              <w:bottom w:val="single" w:sz="6" w:space="0" w:color="000000"/>
            </w:tcBorders>
          </w:tcPr>
          <w:p w14:paraId="0C2E4DD2" w14:textId="77777777" w:rsidR="00D44887" w:rsidRPr="000A4281" w:rsidRDefault="00D44887" w:rsidP="002315D8">
            <w:pPr>
              <w:pStyle w:val="TableParagraph"/>
            </w:pPr>
            <w:r>
              <w:t>I. Un examen de la documentation existante sur la situation des inventrices, des innovatrices et des entrepreneuses a été réalisé.</w:t>
            </w:r>
          </w:p>
        </w:tc>
        <w:tc>
          <w:tcPr>
            <w:tcW w:w="2865" w:type="dxa"/>
            <w:vAlign w:val="center"/>
          </w:tcPr>
          <w:p w14:paraId="676C27E9" w14:textId="77777777" w:rsidR="00D44887" w:rsidRPr="000A4281" w:rsidRDefault="00D44887" w:rsidP="002315D8">
            <w:r>
              <w:t>Mis en œuvre</w:t>
            </w:r>
          </w:p>
          <w:p w14:paraId="3B43FF72" w14:textId="77777777" w:rsidR="00D44887" w:rsidRPr="000A4281" w:rsidRDefault="00D44887" w:rsidP="002315D8">
            <w:pPr>
              <w:pStyle w:val="TableParagraph"/>
            </w:pPr>
          </w:p>
        </w:tc>
        <w:tc>
          <w:tcPr>
            <w:tcW w:w="1412" w:type="dxa"/>
            <w:vAlign w:val="center"/>
          </w:tcPr>
          <w:p w14:paraId="3AAB7E2C" w14:textId="77777777" w:rsidR="00D44887" w:rsidRPr="000A4281" w:rsidRDefault="00D44887" w:rsidP="002315D8">
            <w:r>
              <w:t>****</w:t>
            </w:r>
          </w:p>
        </w:tc>
      </w:tr>
      <w:tr w:rsidR="00D44887" w:rsidRPr="000A4281" w14:paraId="0E0E8D4A" w14:textId="77777777" w:rsidTr="002315D8">
        <w:trPr>
          <w:trHeight w:val="1855"/>
        </w:trPr>
        <w:tc>
          <w:tcPr>
            <w:tcW w:w="2410" w:type="dxa"/>
            <w:vMerge/>
            <w:tcBorders>
              <w:right w:val="single" w:sz="6" w:space="0" w:color="000000"/>
            </w:tcBorders>
            <w:vAlign w:val="center"/>
          </w:tcPr>
          <w:p w14:paraId="034C8437" w14:textId="77777777" w:rsidR="00D44887" w:rsidRPr="000A4281" w:rsidRDefault="00D44887" w:rsidP="002315D8">
            <w:pPr>
              <w:pStyle w:val="TableParagraph"/>
              <w:rPr>
                <w:bCs/>
              </w:rPr>
            </w:pPr>
          </w:p>
        </w:tc>
        <w:tc>
          <w:tcPr>
            <w:tcW w:w="2695" w:type="dxa"/>
            <w:tcBorders>
              <w:left w:val="single" w:sz="6" w:space="0" w:color="000000"/>
              <w:bottom w:val="single" w:sz="6" w:space="0" w:color="000000"/>
            </w:tcBorders>
            <w:vAlign w:val="center"/>
          </w:tcPr>
          <w:p w14:paraId="2978E888" w14:textId="77777777" w:rsidR="00D44887" w:rsidRPr="000A4281" w:rsidRDefault="00D44887" w:rsidP="002315D8">
            <w:pPr>
              <w:pStyle w:val="TableParagraph"/>
            </w:pPr>
            <w:r>
              <w:t>II. Un catalogue des pratiques recommandées, des modèles et d’exemples de programmes et d’initiatives visant à aider les inventrices et les innovatrices à accéder au système de la propriété intellectuelle ou à l’utiliser a été établi.</w:t>
            </w:r>
          </w:p>
          <w:p w14:paraId="1E7D65E1" w14:textId="77777777" w:rsidR="00D44887" w:rsidRPr="000A4281" w:rsidRDefault="00D44887" w:rsidP="002315D8">
            <w:pPr>
              <w:pStyle w:val="TableParagraph"/>
            </w:pPr>
          </w:p>
        </w:tc>
        <w:tc>
          <w:tcPr>
            <w:tcW w:w="2865" w:type="dxa"/>
            <w:vAlign w:val="center"/>
          </w:tcPr>
          <w:p w14:paraId="4BBA2342" w14:textId="77777777" w:rsidR="00D44887" w:rsidRPr="000A4281" w:rsidRDefault="00D44887" w:rsidP="002315D8">
            <w:r>
              <w:t>Mis en œuvre</w:t>
            </w:r>
          </w:p>
          <w:p w14:paraId="3EE76F7F" w14:textId="77777777" w:rsidR="00D44887" w:rsidRPr="000A4281" w:rsidRDefault="00D44887" w:rsidP="002315D8"/>
        </w:tc>
        <w:tc>
          <w:tcPr>
            <w:tcW w:w="1412" w:type="dxa"/>
            <w:vAlign w:val="center"/>
          </w:tcPr>
          <w:p w14:paraId="4FAD30C7" w14:textId="77777777" w:rsidR="00D44887" w:rsidRPr="000A4281" w:rsidRDefault="00D44887" w:rsidP="002315D8">
            <w:r>
              <w:t>****</w:t>
            </w:r>
          </w:p>
          <w:p w14:paraId="423533BC" w14:textId="77777777" w:rsidR="00D44887" w:rsidRPr="000A4281" w:rsidRDefault="00D44887" w:rsidP="002315D8"/>
        </w:tc>
      </w:tr>
      <w:tr w:rsidR="00D44887" w:rsidRPr="000A4281" w14:paraId="362E00CE" w14:textId="77777777" w:rsidTr="002315D8">
        <w:trPr>
          <w:trHeight w:val="1855"/>
        </w:trPr>
        <w:tc>
          <w:tcPr>
            <w:tcW w:w="2410" w:type="dxa"/>
            <w:vMerge/>
            <w:tcBorders>
              <w:right w:val="single" w:sz="6" w:space="0" w:color="000000"/>
            </w:tcBorders>
            <w:vAlign w:val="center"/>
          </w:tcPr>
          <w:p w14:paraId="5F4F0920" w14:textId="77777777" w:rsidR="00D44887" w:rsidRPr="000A4281" w:rsidRDefault="00D44887" w:rsidP="002315D8">
            <w:pPr>
              <w:pStyle w:val="TableParagraph"/>
              <w:rPr>
                <w:bCs/>
              </w:rPr>
            </w:pPr>
          </w:p>
        </w:tc>
        <w:tc>
          <w:tcPr>
            <w:tcW w:w="2695" w:type="dxa"/>
            <w:tcBorders>
              <w:left w:val="single" w:sz="6" w:space="0" w:color="000000"/>
              <w:bottom w:val="single" w:sz="6" w:space="0" w:color="000000"/>
            </w:tcBorders>
            <w:vAlign w:val="center"/>
          </w:tcPr>
          <w:p w14:paraId="761E0822" w14:textId="77777777" w:rsidR="00D44887" w:rsidRPr="000A4281" w:rsidRDefault="00D44887" w:rsidP="002315D8">
            <w:pPr>
              <w:pStyle w:val="TableParagraph"/>
            </w:pPr>
            <w:r>
              <w:t>III. Une série de témoignages d’inventrices et d’innovatrices ayant fait protéger ou commercialiser leurs inventions ou leurs innovations a été recueillie.</w:t>
            </w:r>
          </w:p>
          <w:p w14:paraId="792AF5B0" w14:textId="77777777" w:rsidR="00D44887" w:rsidRPr="000A4281" w:rsidRDefault="00D44887" w:rsidP="002315D8">
            <w:pPr>
              <w:pStyle w:val="TableParagraph"/>
            </w:pPr>
          </w:p>
        </w:tc>
        <w:tc>
          <w:tcPr>
            <w:tcW w:w="2865" w:type="dxa"/>
            <w:vAlign w:val="center"/>
          </w:tcPr>
          <w:p w14:paraId="00204C2A" w14:textId="77777777" w:rsidR="00D44887" w:rsidRPr="000A4281" w:rsidRDefault="00D44887" w:rsidP="002315D8">
            <w:r>
              <w:t>Terminés</w:t>
            </w:r>
          </w:p>
        </w:tc>
        <w:tc>
          <w:tcPr>
            <w:tcW w:w="1412" w:type="dxa"/>
            <w:vAlign w:val="center"/>
          </w:tcPr>
          <w:p w14:paraId="72169809" w14:textId="77777777" w:rsidR="00D44887" w:rsidRPr="000A4281" w:rsidRDefault="00D44887" w:rsidP="002315D8">
            <w:pPr>
              <w:pStyle w:val="TableParagraph"/>
            </w:pPr>
            <w:r>
              <w:t>****</w:t>
            </w:r>
          </w:p>
          <w:p w14:paraId="67D374A0" w14:textId="77777777" w:rsidR="00D44887" w:rsidRPr="000A4281" w:rsidRDefault="00D44887" w:rsidP="002315D8"/>
        </w:tc>
      </w:tr>
      <w:tr w:rsidR="00D44887" w:rsidRPr="000A4281" w14:paraId="0F395561" w14:textId="77777777" w:rsidTr="002315D8">
        <w:trPr>
          <w:trHeight w:val="2153"/>
        </w:trPr>
        <w:tc>
          <w:tcPr>
            <w:tcW w:w="2410" w:type="dxa"/>
            <w:vMerge w:val="restart"/>
            <w:tcBorders>
              <w:right w:val="single" w:sz="6" w:space="0" w:color="000000"/>
            </w:tcBorders>
            <w:vAlign w:val="center"/>
          </w:tcPr>
          <w:p w14:paraId="1DE1C125" w14:textId="77777777" w:rsidR="00D44887" w:rsidRPr="000A4281" w:rsidRDefault="00D44887" w:rsidP="002315D8">
            <w:pPr>
              <w:rPr>
                <w:rStyle w:val="Heading3Char"/>
                <w:szCs w:val="22"/>
                <w:u w:val="none"/>
              </w:rPr>
            </w:pPr>
            <w:r>
              <w:rPr>
                <w:rStyle w:val="Heading3Char"/>
                <w:u w:val="none"/>
              </w:rPr>
              <w:t>2. Définition d’une base de référence nationale dans quatre pays participants</w:t>
            </w:r>
          </w:p>
        </w:tc>
        <w:tc>
          <w:tcPr>
            <w:tcW w:w="2695" w:type="dxa"/>
            <w:tcBorders>
              <w:top w:val="single" w:sz="6" w:space="0" w:color="000000"/>
              <w:left w:val="single" w:sz="6" w:space="0" w:color="000000"/>
              <w:bottom w:val="single" w:sz="6" w:space="0" w:color="000000"/>
            </w:tcBorders>
            <w:vAlign w:val="center"/>
          </w:tcPr>
          <w:p w14:paraId="78BB67E7" w14:textId="77777777" w:rsidR="00D44887" w:rsidRPr="000A4281" w:rsidRDefault="00D44887" w:rsidP="002315D8">
            <w:pPr>
              <w:rPr>
                <w:rStyle w:val="Heading3Char"/>
                <w:szCs w:val="22"/>
                <w:u w:val="none"/>
              </w:rPr>
            </w:pPr>
            <w:r>
              <w:rPr>
                <w:rStyle w:val="Heading3Char"/>
                <w:u w:val="none"/>
              </w:rPr>
              <w:t>I. Quatre (4) rapports d’évaluation (un dans chaque pays pilote) sur les enjeux et les obstacles auxquels sont confrontées les femmes qui souhaitent accéder au système de la propriété intellectuelle et l’utiliser ont été établis.</w:t>
            </w:r>
          </w:p>
        </w:tc>
        <w:tc>
          <w:tcPr>
            <w:tcW w:w="2865" w:type="dxa"/>
            <w:vAlign w:val="center"/>
          </w:tcPr>
          <w:p w14:paraId="488E035A" w14:textId="77777777" w:rsidR="00D44887" w:rsidRPr="000A4281" w:rsidRDefault="00D44887" w:rsidP="002315D8">
            <w:r>
              <w:t>Mis en œuvre</w:t>
            </w:r>
          </w:p>
        </w:tc>
        <w:tc>
          <w:tcPr>
            <w:tcW w:w="1412" w:type="dxa"/>
            <w:vAlign w:val="center"/>
          </w:tcPr>
          <w:p w14:paraId="0B23660C" w14:textId="77777777" w:rsidR="00D44887" w:rsidRPr="000A4281" w:rsidRDefault="00D44887" w:rsidP="002315D8">
            <w:r>
              <w:t>****</w:t>
            </w:r>
          </w:p>
          <w:p w14:paraId="680E7F5F" w14:textId="77777777" w:rsidR="00D44887" w:rsidRPr="000A4281" w:rsidRDefault="00D44887" w:rsidP="002315D8"/>
        </w:tc>
      </w:tr>
      <w:tr w:rsidR="00D44887" w:rsidRPr="000A4281" w14:paraId="1605E456" w14:textId="77777777" w:rsidTr="002315D8">
        <w:trPr>
          <w:trHeight w:val="2152"/>
        </w:trPr>
        <w:tc>
          <w:tcPr>
            <w:tcW w:w="2410" w:type="dxa"/>
            <w:vMerge/>
            <w:tcBorders>
              <w:right w:val="single" w:sz="6" w:space="0" w:color="000000"/>
            </w:tcBorders>
            <w:vAlign w:val="center"/>
          </w:tcPr>
          <w:p w14:paraId="258D1300" w14:textId="77777777" w:rsidR="00D44887" w:rsidRPr="000A4281" w:rsidRDefault="00D44887" w:rsidP="002315D8">
            <w:pPr>
              <w:rPr>
                <w:rStyle w:val="Heading3Char"/>
                <w:szCs w:val="22"/>
                <w:u w:val="none"/>
              </w:rPr>
            </w:pPr>
          </w:p>
        </w:tc>
        <w:tc>
          <w:tcPr>
            <w:tcW w:w="2695" w:type="dxa"/>
            <w:tcBorders>
              <w:top w:val="single" w:sz="6" w:space="0" w:color="000000"/>
              <w:left w:val="single" w:sz="6" w:space="0" w:color="000000"/>
              <w:bottom w:val="single" w:sz="6" w:space="0" w:color="000000"/>
            </w:tcBorders>
            <w:vAlign w:val="center"/>
          </w:tcPr>
          <w:p w14:paraId="301EB9A6" w14:textId="77777777" w:rsidR="00D44887" w:rsidRPr="000A4281" w:rsidRDefault="00D44887" w:rsidP="002315D8">
            <w:pPr>
              <w:rPr>
                <w:rStyle w:val="Heading3Char"/>
                <w:szCs w:val="22"/>
                <w:u w:val="none"/>
              </w:rPr>
            </w:pPr>
            <w:r>
              <w:rPr>
                <w:rStyle w:val="Heading3Char"/>
                <w:u w:val="none"/>
              </w:rPr>
              <w:t>II. Des coordonnateurs ont été recensés dans chacun des quatre (4) pays pilotes et une liste des parties prenantes, des institutions correspondantes, des organismes et des particuliers actifs sur le terrain a été établie.</w:t>
            </w:r>
          </w:p>
        </w:tc>
        <w:tc>
          <w:tcPr>
            <w:tcW w:w="2865" w:type="dxa"/>
            <w:vAlign w:val="center"/>
          </w:tcPr>
          <w:p w14:paraId="25C4D632" w14:textId="77777777" w:rsidR="00D44887" w:rsidRPr="000A4281" w:rsidRDefault="00D44887" w:rsidP="002315D8">
            <w:r>
              <w:t>Recensés</w:t>
            </w:r>
          </w:p>
        </w:tc>
        <w:tc>
          <w:tcPr>
            <w:tcW w:w="1412" w:type="dxa"/>
            <w:vAlign w:val="center"/>
          </w:tcPr>
          <w:p w14:paraId="0B59FB2F" w14:textId="77777777" w:rsidR="00D44887" w:rsidRPr="000A4281" w:rsidRDefault="00D44887" w:rsidP="002315D8">
            <w:r>
              <w:t>****</w:t>
            </w:r>
          </w:p>
        </w:tc>
      </w:tr>
      <w:tr w:rsidR="00D44887" w:rsidRPr="000A4281" w14:paraId="718D31D4" w14:textId="77777777" w:rsidTr="002315D8">
        <w:trPr>
          <w:trHeight w:val="510"/>
        </w:trPr>
        <w:tc>
          <w:tcPr>
            <w:tcW w:w="2410" w:type="dxa"/>
            <w:tcBorders>
              <w:right w:val="single" w:sz="6" w:space="0" w:color="000000"/>
            </w:tcBorders>
            <w:vAlign w:val="center"/>
          </w:tcPr>
          <w:p w14:paraId="7B157BCC" w14:textId="77777777" w:rsidR="00D44887" w:rsidRPr="000A4281" w:rsidRDefault="00D44887" w:rsidP="002315D8">
            <w:pPr>
              <w:spacing w:before="240" w:after="240"/>
              <w:rPr>
                <w:rStyle w:val="Heading3Char"/>
                <w:szCs w:val="22"/>
              </w:rPr>
            </w:pPr>
            <w:r>
              <w:t xml:space="preserve">3. Amélioration des connaissances des parties prenantes en ce qui concerne le rôle que </w:t>
            </w:r>
            <w:r>
              <w:lastRenderedPageBreak/>
              <w:t>joue le système de la propriété intellectuelle dans la protection et dans la commercialisation des inventions</w:t>
            </w:r>
          </w:p>
        </w:tc>
        <w:tc>
          <w:tcPr>
            <w:tcW w:w="2695" w:type="dxa"/>
            <w:tcBorders>
              <w:top w:val="single" w:sz="6" w:space="0" w:color="000000"/>
              <w:left w:val="single" w:sz="6" w:space="0" w:color="000000"/>
              <w:bottom w:val="single" w:sz="6" w:space="0" w:color="000000"/>
            </w:tcBorders>
            <w:vAlign w:val="center"/>
          </w:tcPr>
          <w:p w14:paraId="023B4909" w14:textId="77777777" w:rsidR="00D44887" w:rsidRPr="000A4281" w:rsidRDefault="00D44887" w:rsidP="002315D8">
            <w:pPr>
              <w:spacing w:before="240"/>
              <w:rPr>
                <w:rStyle w:val="Emphasis"/>
                <w:rFonts w:eastAsia="SimSun"/>
                <w:i w:val="0"/>
              </w:rPr>
            </w:pPr>
            <w:r>
              <w:rPr>
                <w:rStyle w:val="Heading3Char"/>
                <w:u w:val="none"/>
              </w:rPr>
              <w:lastRenderedPageBreak/>
              <w:t xml:space="preserve">Quatre (4) événements, tels que des conférences, des tables rondes, des séminaires ou des groupes </w:t>
            </w:r>
            <w:r>
              <w:rPr>
                <w:rStyle w:val="Heading3Char"/>
                <w:u w:val="none"/>
              </w:rPr>
              <w:lastRenderedPageBreak/>
              <w:t>en ligne, ont été organisés dans les pays pilotes (un par pays).</w:t>
            </w:r>
          </w:p>
        </w:tc>
        <w:tc>
          <w:tcPr>
            <w:tcW w:w="2865" w:type="dxa"/>
            <w:vAlign w:val="center"/>
          </w:tcPr>
          <w:p w14:paraId="376D7E91" w14:textId="77777777" w:rsidR="00D44887" w:rsidRPr="00E11B14" w:rsidRDefault="00D44887" w:rsidP="002315D8">
            <w:pPr>
              <w:pStyle w:val="Heading3"/>
              <w:spacing w:after="240"/>
              <w:rPr>
                <w:szCs w:val="22"/>
                <w:u w:val="none"/>
              </w:rPr>
            </w:pPr>
            <w:r>
              <w:rPr>
                <w:u w:val="none"/>
              </w:rPr>
              <w:lastRenderedPageBreak/>
              <w:t xml:space="preserve">Terminés  </w:t>
            </w:r>
          </w:p>
        </w:tc>
        <w:tc>
          <w:tcPr>
            <w:tcW w:w="1412" w:type="dxa"/>
            <w:vAlign w:val="center"/>
          </w:tcPr>
          <w:p w14:paraId="7E9D3F2A" w14:textId="77777777" w:rsidR="00D44887" w:rsidRPr="00E11B14" w:rsidRDefault="00D44887" w:rsidP="002315D8">
            <w:pPr>
              <w:pStyle w:val="Heading3"/>
              <w:spacing w:after="240"/>
              <w:rPr>
                <w:szCs w:val="22"/>
                <w:u w:val="none"/>
              </w:rPr>
            </w:pPr>
            <w:r>
              <w:rPr>
                <w:u w:val="none"/>
              </w:rPr>
              <w:t>****</w:t>
            </w:r>
          </w:p>
        </w:tc>
      </w:tr>
      <w:tr w:rsidR="00D44887" w:rsidRPr="000A4281" w14:paraId="72A8B33D" w14:textId="77777777" w:rsidTr="002315D8">
        <w:trPr>
          <w:trHeight w:val="1195"/>
        </w:trPr>
        <w:tc>
          <w:tcPr>
            <w:tcW w:w="2410" w:type="dxa"/>
            <w:vMerge w:val="restart"/>
            <w:tcBorders>
              <w:right w:val="single" w:sz="6" w:space="0" w:color="000000"/>
            </w:tcBorders>
            <w:vAlign w:val="center"/>
          </w:tcPr>
          <w:p w14:paraId="50BD90B8" w14:textId="77777777" w:rsidR="00D44887" w:rsidRPr="000A4281" w:rsidRDefault="00D44887" w:rsidP="002315D8">
            <w:pPr>
              <w:spacing w:before="240"/>
              <w:rPr>
                <w:rStyle w:val="Heading3Char"/>
                <w:szCs w:val="22"/>
                <w:u w:val="none"/>
              </w:rPr>
            </w:pPr>
            <w:r>
              <w:rPr>
                <w:rStyle w:val="Heading3Char"/>
                <w:u w:val="none"/>
              </w:rPr>
              <w:t>4. Élaboration de matériel de formation pour les inventrices et les innovatrices</w:t>
            </w:r>
          </w:p>
        </w:tc>
        <w:tc>
          <w:tcPr>
            <w:tcW w:w="2695" w:type="dxa"/>
            <w:tcBorders>
              <w:top w:val="single" w:sz="6" w:space="0" w:color="000000"/>
              <w:left w:val="single" w:sz="6" w:space="0" w:color="000000"/>
              <w:bottom w:val="single" w:sz="6" w:space="0" w:color="000000"/>
            </w:tcBorders>
          </w:tcPr>
          <w:p w14:paraId="1365C2AE" w14:textId="77777777" w:rsidR="00D44887" w:rsidRPr="000A4281" w:rsidRDefault="00D44887" w:rsidP="002315D8">
            <w:pPr>
              <w:spacing w:before="240"/>
              <w:rPr>
                <w:rStyle w:val="Heading3Char"/>
                <w:szCs w:val="22"/>
                <w:u w:val="none"/>
              </w:rPr>
            </w:pPr>
            <w:r>
              <w:rPr>
                <w:rStyle w:val="Heading3Char"/>
                <w:u w:val="none"/>
              </w:rPr>
              <w:t xml:space="preserve">I. Un guide sur les questions de propriété intellectuelle liées à la commercialisation d’un produit fondé sur un brevet et à la création d’une nouvelle entreprise a été établi. </w:t>
            </w:r>
          </w:p>
        </w:tc>
        <w:tc>
          <w:tcPr>
            <w:tcW w:w="2865" w:type="dxa"/>
            <w:vAlign w:val="center"/>
          </w:tcPr>
          <w:p w14:paraId="41EA4CE6" w14:textId="77777777" w:rsidR="00D44887" w:rsidRPr="000A4281" w:rsidRDefault="00D44887" w:rsidP="002315D8">
            <w:pPr>
              <w:pStyle w:val="Heading3"/>
            </w:pPr>
            <w:r>
              <w:rPr>
                <w:u w:val="none"/>
              </w:rPr>
              <w:t xml:space="preserve">Guide publié.  En outre, une infographie en complément du guide a également été élaborée et publiée en ligne. </w:t>
            </w:r>
          </w:p>
        </w:tc>
        <w:tc>
          <w:tcPr>
            <w:tcW w:w="1412" w:type="dxa"/>
            <w:vAlign w:val="center"/>
          </w:tcPr>
          <w:p w14:paraId="5494FC87" w14:textId="77777777" w:rsidR="00D44887" w:rsidRPr="000A4281" w:rsidRDefault="00D44887" w:rsidP="002315D8">
            <w:pPr>
              <w:pStyle w:val="Heading3"/>
            </w:pPr>
            <w:r>
              <w:rPr>
                <w:u w:val="none"/>
              </w:rPr>
              <w:t>****</w:t>
            </w:r>
          </w:p>
        </w:tc>
      </w:tr>
      <w:tr w:rsidR="00D44887" w:rsidRPr="000A4281" w14:paraId="6A654F2D" w14:textId="77777777" w:rsidTr="002315D8">
        <w:trPr>
          <w:trHeight w:val="1195"/>
        </w:trPr>
        <w:tc>
          <w:tcPr>
            <w:tcW w:w="2410" w:type="dxa"/>
            <w:vMerge/>
            <w:tcBorders>
              <w:right w:val="single" w:sz="6" w:space="0" w:color="000000"/>
            </w:tcBorders>
            <w:vAlign w:val="center"/>
          </w:tcPr>
          <w:p w14:paraId="4CF11017" w14:textId="77777777" w:rsidR="00D44887" w:rsidRPr="000A4281" w:rsidRDefault="00D44887" w:rsidP="002315D8">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57030F9B" w14:textId="77777777" w:rsidR="00D44887" w:rsidRDefault="00D44887" w:rsidP="002315D8">
            <w:pPr>
              <w:spacing w:before="240"/>
              <w:rPr>
                <w:rStyle w:val="Heading3Char"/>
                <w:u w:val="none"/>
              </w:rPr>
            </w:pPr>
            <w:r>
              <w:rPr>
                <w:rStyle w:val="Heading3Char"/>
                <w:u w:val="none"/>
              </w:rPr>
              <w:t>II. Du matériel de présentation à utiliser dans le cadre d’ateliers a été élaboré.</w:t>
            </w:r>
          </w:p>
          <w:p w14:paraId="2B7A9190" w14:textId="77777777" w:rsidR="00D44887" w:rsidRPr="000A4281" w:rsidRDefault="00D44887" w:rsidP="002315D8">
            <w:pPr>
              <w:spacing w:before="240"/>
              <w:rPr>
                <w:rStyle w:val="Heading3Char"/>
                <w:szCs w:val="22"/>
                <w:u w:val="none"/>
              </w:rPr>
            </w:pPr>
          </w:p>
        </w:tc>
        <w:tc>
          <w:tcPr>
            <w:tcW w:w="2865" w:type="dxa"/>
            <w:vAlign w:val="center"/>
          </w:tcPr>
          <w:p w14:paraId="182F1C81" w14:textId="77777777" w:rsidR="00D44887" w:rsidRPr="000A4281" w:rsidRDefault="00D44887" w:rsidP="002315D8">
            <w:r>
              <w:t>En cours</w:t>
            </w:r>
          </w:p>
          <w:p w14:paraId="62653683" w14:textId="77777777" w:rsidR="00D44887" w:rsidRPr="000A4281" w:rsidRDefault="00D44887" w:rsidP="002315D8">
            <w:pPr>
              <w:pStyle w:val="Heading3"/>
              <w:rPr>
                <w:szCs w:val="22"/>
                <w:u w:val="none"/>
              </w:rPr>
            </w:pPr>
          </w:p>
        </w:tc>
        <w:tc>
          <w:tcPr>
            <w:tcW w:w="1412" w:type="dxa"/>
            <w:vAlign w:val="center"/>
          </w:tcPr>
          <w:p w14:paraId="5FE91B86" w14:textId="77777777" w:rsidR="00D44887" w:rsidRPr="000A4281" w:rsidRDefault="00D44887" w:rsidP="002315D8">
            <w:r>
              <w:t>***</w:t>
            </w:r>
          </w:p>
          <w:p w14:paraId="0CD1DF04" w14:textId="77777777" w:rsidR="00D44887" w:rsidRPr="000A4281" w:rsidRDefault="00D44887" w:rsidP="002315D8">
            <w:pPr>
              <w:pStyle w:val="Heading3"/>
              <w:rPr>
                <w:szCs w:val="22"/>
                <w:u w:val="none"/>
              </w:rPr>
            </w:pPr>
          </w:p>
        </w:tc>
      </w:tr>
      <w:tr w:rsidR="00D44887" w:rsidRPr="000A4281" w14:paraId="408294D0" w14:textId="77777777" w:rsidTr="002315D8">
        <w:trPr>
          <w:trHeight w:val="1195"/>
        </w:trPr>
        <w:tc>
          <w:tcPr>
            <w:tcW w:w="2410" w:type="dxa"/>
            <w:vMerge/>
            <w:tcBorders>
              <w:right w:val="single" w:sz="6" w:space="0" w:color="000000"/>
            </w:tcBorders>
            <w:vAlign w:val="center"/>
          </w:tcPr>
          <w:p w14:paraId="4B9B706D" w14:textId="77777777" w:rsidR="00D44887" w:rsidRPr="000A4281" w:rsidRDefault="00D44887" w:rsidP="002315D8">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2534E1D6" w14:textId="77777777" w:rsidR="00D44887" w:rsidRPr="000A4281" w:rsidRDefault="00D44887" w:rsidP="002315D8">
            <w:pPr>
              <w:spacing w:before="240"/>
              <w:rPr>
                <w:rStyle w:val="Heading3Char"/>
                <w:szCs w:val="22"/>
                <w:u w:val="none"/>
              </w:rPr>
            </w:pPr>
            <w:r>
              <w:rPr>
                <w:rStyle w:val="Heading3Char"/>
                <w:u w:val="none"/>
              </w:rPr>
              <w:t>III. Le matériel pertinent existant à l’OMPI a été réuni.</w:t>
            </w:r>
          </w:p>
        </w:tc>
        <w:tc>
          <w:tcPr>
            <w:tcW w:w="2865" w:type="dxa"/>
            <w:vAlign w:val="center"/>
          </w:tcPr>
          <w:p w14:paraId="78C89938" w14:textId="77777777" w:rsidR="00D44887" w:rsidRPr="000A4281" w:rsidRDefault="00D44887" w:rsidP="002315D8">
            <w:pPr>
              <w:pStyle w:val="Heading3"/>
              <w:rPr>
                <w:szCs w:val="22"/>
                <w:u w:val="none"/>
              </w:rPr>
            </w:pPr>
            <w:r>
              <w:t>En cours</w:t>
            </w:r>
          </w:p>
        </w:tc>
        <w:tc>
          <w:tcPr>
            <w:tcW w:w="1412" w:type="dxa"/>
            <w:vAlign w:val="center"/>
          </w:tcPr>
          <w:p w14:paraId="42AAE850" w14:textId="77777777" w:rsidR="00D44887" w:rsidRPr="000A4281" w:rsidRDefault="00D44887" w:rsidP="002315D8">
            <w:r>
              <w:t>***</w:t>
            </w:r>
          </w:p>
          <w:p w14:paraId="319F1F5A" w14:textId="77777777" w:rsidR="00D44887" w:rsidRPr="000A4281" w:rsidRDefault="00D44887" w:rsidP="002315D8">
            <w:pPr>
              <w:pStyle w:val="Heading3"/>
              <w:rPr>
                <w:szCs w:val="22"/>
                <w:u w:val="none"/>
              </w:rPr>
            </w:pPr>
          </w:p>
        </w:tc>
      </w:tr>
      <w:tr w:rsidR="00D44887" w:rsidRPr="000A4281" w14:paraId="2E87F162" w14:textId="77777777" w:rsidTr="002315D8">
        <w:trPr>
          <w:trHeight w:val="2030"/>
        </w:trPr>
        <w:tc>
          <w:tcPr>
            <w:tcW w:w="2410" w:type="dxa"/>
            <w:vMerge w:val="restart"/>
            <w:tcBorders>
              <w:right w:val="single" w:sz="6" w:space="0" w:color="000000"/>
            </w:tcBorders>
            <w:vAlign w:val="center"/>
          </w:tcPr>
          <w:p w14:paraId="6C93D696" w14:textId="77777777" w:rsidR="00D44887" w:rsidRPr="000A4281" w:rsidRDefault="00D44887" w:rsidP="002315D8">
            <w:pPr>
              <w:spacing w:before="240"/>
              <w:rPr>
                <w:rStyle w:val="Heading3Char"/>
                <w:szCs w:val="22"/>
                <w:u w:val="none"/>
              </w:rPr>
            </w:pPr>
            <w:r>
              <w:rPr>
                <w:rStyle w:val="Heading3Char"/>
                <w:u w:val="none"/>
              </w:rPr>
              <w:t>5. Renforcement des capacités en ce qui concerne la fourniture de services d’appui en matière de propriété intellectuelle aux femmes</w:t>
            </w:r>
          </w:p>
        </w:tc>
        <w:tc>
          <w:tcPr>
            <w:tcW w:w="2695" w:type="dxa"/>
            <w:tcBorders>
              <w:top w:val="single" w:sz="6" w:space="0" w:color="000000"/>
              <w:left w:val="single" w:sz="6" w:space="0" w:color="000000"/>
              <w:bottom w:val="single" w:sz="6" w:space="0" w:color="000000"/>
            </w:tcBorders>
          </w:tcPr>
          <w:p w14:paraId="7E9C2F53" w14:textId="77777777" w:rsidR="00D44887" w:rsidRPr="000A4281" w:rsidRDefault="00D44887" w:rsidP="002315D8">
            <w:pPr>
              <w:spacing w:before="240"/>
              <w:rPr>
                <w:rStyle w:val="Heading3Char"/>
                <w:szCs w:val="22"/>
              </w:rPr>
            </w:pPr>
            <w:r>
              <w:rPr>
                <w:rStyle w:val="Heading3Char"/>
                <w:u w:val="none"/>
              </w:rPr>
              <w:t>I. Quatre (4) institutions, centres ou organismes (un dans chaque pays pilote) ont été sélectionnés, avec un service ou un coordonnateur chargé de fournir un appui aux inventrices et aux innovatrices.</w:t>
            </w:r>
          </w:p>
        </w:tc>
        <w:tc>
          <w:tcPr>
            <w:tcW w:w="2865" w:type="dxa"/>
            <w:vAlign w:val="center"/>
          </w:tcPr>
          <w:p w14:paraId="48D086A7" w14:textId="77777777" w:rsidR="00D44887" w:rsidRPr="000A4281" w:rsidRDefault="00D44887" w:rsidP="002315D8">
            <w:pPr>
              <w:pStyle w:val="Heading3"/>
            </w:pPr>
            <w:r>
              <w:rPr>
                <w:u w:val="none"/>
              </w:rPr>
              <w:t>Sélectionnés</w:t>
            </w:r>
          </w:p>
        </w:tc>
        <w:tc>
          <w:tcPr>
            <w:tcW w:w="1412" w:type="dxa"/>
            <w:vAlign w:val="center"/>
          </w:tcPr>
          <w:p w14:paraId="02CA861E" w14:textId="77777777" w:rsidR="00D44887" w:rsidRPr="000A4281" w:rsidRDefault="00D44887" w:rsidP="002315D8">
            <w:pPr>
              <w:pStyle w:val="Heading3"/>
            </w:pPr>
            <w:r>
              <w:rPr>
                <w:u w:val="none"/>
              </w:rPr>
              <w:t>****</w:t>
            </w:r>
          </w:p>
        </w:tc>
      </w:tr>
      <w:tr w:rsidR="00D44887" w:rsidRPr="000A4281" w14:paraId="458E9AF7" w14:textId="77777777" w:rsidTr="002315D8">
        <w:trPr>
          <w:trHeight w:val="1635"/>
        </w:trPr>
        <w:tc>
          <w:tcPr>
            <w:tcW w:w="2410" w:type="dxa"/>
            <w:vMerge/>
            <w:tcBorders>
              <w:right w:val="single" w:sz="6" w:space="0" w:color="000000"/>
            </w:tcBorders>
            <w:vAlign w:val="center"/>
          </w:tcPr>
          <w:p w14:paraId="30441732" w14:textId="77777777" w:rsidR="00D44887" w:rsidRPr="000A4281" w:rsidRDefault="00D44887" w:rsidP="002315D8">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3F3A946F" w14:textId="77777777" w:rsidR="00D44887" w:rsidRPr="000A4281" w:rsidRDefault="00D44887" w:rsidP="002315D8">
            <w:pPr>
              <w:spacing w:before="240"/>
              <w:rPr>
                <w:rStyle w:val="Heading3Char"/>
                <w:szCs w:val="22"/>
                <w:u w:val="none"/>
              </w:rPr>
            </w:pPr>
            <w:r>
              <w:rPr>
                <w:rStyle w:val="Heading3Char"/>
                <w:u w:val="none"/>
              </w:rPr>
              <w:t>II. Quatre (4) programmes de renforcement des capacités ont été mis en œuvre (un dans chaque pays pilote) dans les centres sélectionnés.</w:t>
            </w:r>
          </w:p>
        </w:tc>
        <w:tc>
          <w:tcPr>
            <w:tcW w:w="2865" w:type="dxa"/>
            <w:vAlign w:val="center"/>
          </w:tcPr>
          <w:p w14:paraId="455D33CD" w14:textId="77777777" w:rsidR="00D44887" w:rsidRPr="000375DC" w:rsidRDefault="00D44887" w:rsidP="002315D8">
            <w:pPr>
              <w:pStyle w:val="Heading3"/>
              <w:rPr>
                <w:szCs w:val="22"/>
                <w:u w:val="none"/>
              </w:rPr>
            </w:pPr>
            <w:r>
              <w:rPr>
                <w:u w:val="none"/>
              </w:rPr>
              <w:t>Le programme de formation collective a été dispensé aux quatre pays pilotes.</w:t>
            </w:r>
          </w:p>
        </w:tc>
        <w:tc>
          <w:tcPr>
            <w:tcW w:w="1412" w:type="dxa"/>
            <w:vAlign w:val="center"/>
          </w:tcPr>
          <w:p w14:paraId="23991245" w14:textId="77777777" w:rsidR="00D44887" w:rsidRPr="000A4281" w:rsidRDefault="00D44887" w:rsidP="002315D8">
            <w:r>
              <w:t>****</w:t>
            </w:r>
          </w:p>
          <w:p w14:paraId="425EAFE4" w14:textId="77777777" w:rsidR="00D44887" w:rsidRPr="00E11B14" w:rsidRDefault="00D44887" w:rsidP="002315D8">
            <w:pPr>
              <w:pStyle w:val="Heading3"/>
              <w:rPr>
                <w:szCs w:val="22"/>
                <w:u w:val="none"/>
              </w:rPr>
            </w:pPr>
          </w:p>
        </w:tc>
      </w:tr>
      <w:tr w:rsidR="00D44887" w:rsidRPr="000A4281" w14:paraId="4C799165" w14:textId="77777777" w:rsidTr="002315D8">
        <w:trPr>
          <w:trHeight w:val="510"/>
        </w:trPr>
        <w:tc>
          <w:tcPr>
            <w:tcW w:w="2410" w:type="dxa"/>
            <w:tcBorders>
              <w:right w:val="single" w:sz="6" w:space="0" w:color="000000"/>
            </w:tcBorders>
            <w:vAlign w:val="center"/>
          </w:tcPr>
          <w:p w14:paraId="0ADBC71B" w14:textId="77777777" w:rsidR="00D44887" w:rsidRPr="000A4281" w:rsidRDefault="00D44887" w:rsidP="002315D8">
            <w:pPr>
              <w:spacing w:before="240"/>
              <w:rPr>
                <w:bCs/>
              </w:rPr>
            </w:pPr>
            <w:r>
              <w:t>6. Création d’un réseau d’inventrices et d’entrepreneuses de premier plan dans les pays sélectionnés;  désignation d’un groupe de mentors au sein du réseau.</w:t>
            </w:r>
          </w:p>
        </w:tc>
        <w:tc>
          <w:tcPr>
            <w:tcW w:w="2695" w:type="dxa"/>
            <w:tcBorders>
              <w:top w:val="single" w:sz="6" w:space="0" w:color="000000"/>
              <w:left w:val="single" w:sz="6" w:space="0" w:color="000000"/>
              <w:bottom w:val="single" w:sz="6" w:space="0" w:color="000000"/>
            </w:tcBorders>
            <w:vAlign w:val="center"/>
          </w:tcPr>
          <w:p w14:paraId="2C721454" w14:textId="77777777" w:rsidR="00D44887" w:rsidRPr="000A4281" w:rsidRDefault="00D44887" w:rsidP="002315D8">
            <w:pPr>
              <w:spacing w:before="240"/>
              <w:rPr>
                <w:rStyle w:val="Heading3Char"/>
                <w:szCs w:val="22"/>
                <w:u w:val="none"/>
              </w:rPr>
            </w:pPr>
            <w:r>
              <w:rPr>
                <w:rStyle w:val="Heading3Char"/>
                <w:u w:val="none"/>
              </w:rPr>
              <w:t>Une liste d’inventrices, d’innovatrices et d’entrepreneuses volontaires a été établie pour chaque pays pilote et un groupe de personnes disposées à les parrainer a été identifié.</w:t>
            </w:r>
          </w:p>
        </w:tc>
        <w:tc>
          <w:tcPr>
            <w:tcW w:w="2865" w:type="dxa"/>
            <w:vAlign w:val="center"/>
          </w:tcPr>
          <w:p w14:paraId="2F8292DD" w14:textId="77777777" w:rsidR="00D44887" w:rsidRDefault="00D44887" w:rsidP="002315D8">
            <w:pPr>
              <w:pStyle w:val="Heading3"/>
              <w:rPr>
                <w:u w:val="none"/>
              </w:rPr>
            </w:pPr>
            <w:r>
              <w:rPr>
                <w:u w:val="none"/>
              </w:rPr>
              <w:t>En cours</w:t>
            </w:r>
          </w:p>
          <w:p w14:paraId="3F48F28A" w14:textId="77777777" w:rsidR="00D44887" w:rsidRDefault="00D44887" w:rsidP="002315D8">
            <w:pPr>
              <w:pStyle w:val="Heading3"/>
            </w:pPr>
            <w:r>
              <w:rPr>
                <w:u w:val="none"/>
              </w:rPr>
              <w:t xml:space="preserve">Un programme de mentorat international a été mis en place et des innovateurs et entrepreneurs de l’Ouganda, du Pakistan et d’Oman y ont participé en tant que </w:t>
            </w:r>
            <w:r>
              <w:rPr>
                <w:u w:val="none"/>
              </w:rPr>
              <w:lastRenderedPageBreak/>
              <w:t xml:space="preserve">mentors.  </w:t>
            </w:r>
            <w:r>
              <w:t>Une liste de volontaires a été établie au Mexique et en Ouganda.</w:t>
            </w:r>
          </w:p>
          <w:p w14:paraId="6C8D7232" w14:textId="77777777" w:rsidR="00D44887" w:rsidRPr="000A4281" w:rsidRDefault="00D44887" w:rsidP="002315D8"/>
          <w:p w14:paraId="0962CEBF" w14:textId="77777777" w:rsidR="00D44887" w:rsidRDefault="00D44887" w:rsidP="002315D8">
            <w:r>
              <w:t>Au Mexique, l’Institut mexicain de la propriété industrielle a indiqué avoir dressé une liste de mentors renseignée tous les six mois et qui a enregistré, de juillet à décembre 2021, une centaine de mentors.</w:t>
            </w:r>
          </w:p>
          <w:p w14:paraId="2EA21C20" w14:textId="77777777" w:rsidR="00D44887" w:rsidRDefault="00D44887" w:rsidP="002315D8">
            <w:r>
              <w:t>En Ouganda, le Bureau des services d’enregistrement de l’Ouganda a établi une liste de 24 mentors.</w:t>
            </w:r>
          </w:p>
          <w:p w14:paraId="1C1DCDF2" w14:textId="77777777" w:rsidR="00D44887" w:rsidRPr="000A4281" w:rsidRDefault="00D44887" w:rsidP="002315D8"/>
          <w:p w14:paraId="3E7279FB" w14:textId="77777777" w:rsidR="00D44887" w:rsidRPr="000A4281" w:rsidRDefault="00D44887" w:rsidP="002315D8">
            <w:r>
              <w:t xml:space="preserve">À ce stade, aucune donnée n’a été fournie de la part d’Oman et du Pakistan.  </w:t>
            </w:r>
          </w:p>
        </w:tc>
        <w:tc>
          <w:tcPr>
            <w:tcW w:w="1412" w:type="dxa"/>
            <w:vAlign w:val="center"/>
          </w:tcPr>
          <w:p w14:paraId="48BE6D72" w14:textId="77777777" w:rsidR="00D44887" w:rsidRPr="00E11B14" w:rsidRDefault="00D44887" w:rsidP="002315D8">
            <w:pPr>
              <w:pStyle w:val="Heading3"/>
              <w:rPr>
                <w:szCs w:val="22"/>
                <w:u w:val="none"/>
              </w:rPr>
            </w:pPr>
            <w:r>
              <w:rPr>
                <w:u w:val="none"/>
              </w:rPr>
              <w:lastRenderedPageBreak/>
              <w:t>***</w:t>
            </w:r>
          </w:p>
        </w:tc>
      </w:tr>
      <w:tr w:rsidR="00D44887" w:rsidRPr="000A4281" w14:paraId="235B09A4" w14:textId="77777777" w:rsidTr="002315D8">
        <w:trPr>
          <w:trHeight w:val="510"/>
        </w:trPr>
        <w:tc>
          <w:tcPr>
            <w:tcW w:w="2410" w:type="dxa"/>
            <w:tcBorders>
              <w:right w:val="single" w:sz="6" w:space="0" w:color="000000"/>
            </w:tcBorders>
          </w:tcPr>
          <w:p w14:paraId="6ECBA781" w14:textId="77777777" w:rsidR="00D44887" w:rsidRPr="000A4281" w:rsidRDefault="00D44887" w:rsidP="002315D8">
            <w:pPr>
              <w:spacing w:before="240"/>
              <w:rPr>
                <w:rStyle w:val="Heading3Char"/>
                <w:szCs w:val="22"/>
                <w:u w:val="none"/>
              </w:rPr>
            </w:pPr>
            <w:r>
              <w:rPr>
                <w:rStyle w:val="Heading3Char"/>
                <w:u w:val="none"/>
              </w:rPr>
              <w:t>7. Création d’un réseau de juristes de premier plan dans les pays sélectionnés, qui acceptent de fournir une assistance juridique gratuite.</w:t>
            </w:r>
          </w:p>
        </w:tc>
        <w:tc>
          <w:tcPr>
            <w:tcW w:w="2695" w:type="dxa"/>
            <w:tcBorders>
              <w:top w:val="single" w:sz="6" w:space="0" w:color="000000"/>
              <w:left w:val="single" w:sz="6" w:space="0" w:color="000000"/>
              <w:bottom w:val="single" w:sz="6" w:space="0" w:color="000000"/>
            </w:tcBorders>
          </w:tcPr>
          <w:p w14:paraId="15E5FB93" w14:textId="77777777" w:rsidR="00D44887" w:rsidRPr="000A4281" w:rsidRDefault="00D44887" w:rsidP="002315D8">
            <w:pPr>
              <w:spacing w:before="240"/>
              <w:rPr>
                <w:rStyle w:val="Heading3Char"/>
                <w:szCs w:val="22"/>
                <w:u w:val="none"/>
              </w:rPr>
            </w:pPr>
            <w:r>
              <w:rPr>
                <w:rStyle w:val="Heading3Char"/>
                <w:u w:val="none"/>
              </w:rPr>
              <w:t>Une liste de juristes acceptant de fournir une assistance juridique gratuite dans chacun des pays pilotes a été établie.</w:t>
            </w:r>
          </w:p>
        </w:tc>
        <w:tc>
          <w:tcPr>
            <w:tcW w:w="2865" w:type="dxa"/>
          </w:tcPr>
          <w:p w14:paraId="32F0E5AF" w14:textId="77777777" w:rsidR="00D44887" w:rsidRPr="000A4281" w:rsidRDefault="00D44887" w:rsidP="002315D8">
            <w:pPr>
              <w:pStyle w:val="Heading3"/>
              <w:rPr>
                <w:szCs w:val="22"/>
                <w:u w:val="none"/>
              </w:rPr>
            </w:pPr>
            <w:r>
              <w:rPr>
                <w:u w:val="none"/>
              </w:rPr>
              <w:t>En cours</w:t>
            </w:r>
          </w:p>
          <w:p w14:paraId="5EA835A7" w14:textId="77777777" w:rsidR="00D44887" w:rsidRPr="000A4281" w:rsidRDefault="00D44887" w:rsidP="002315D8">
            <w:r>
              <w:t>Une liste de spécialistes de la propriété intellectuelle a été établie au Mexique et en Ouganda.  Au Mexique, la liste de mentors comprend du mentorat et du conseil dans le domaine juridique.  À ce stade, aucune donnée n’a été fournie de la part d’Oman et du Pakistan.</w:t>
            </w:r>
          </w:p>
        </w:tc>
        <w:tc>
          <w:tcPr>
            <w:tcW w:w="1412" w:type="dxa"/>
            <w:vAlign w:val="center"/>
          </w:tcPr>
          <w:p w14:paraId="761F21A7" w14:textId="77777777" w:rsidR="00D44887" w:rsidRPr="00E11B14" w:rsidRDefault="00D44887" w:rsidP="002315D8">
            <w:pPr>
              <w:pStyle w:val="Heading3"/>
              <w:rPr>
                <w:szCs w:val="22"/>
                <w:u w:val="none"/>
              </w:rPr>
            </w:pPr>
            <w:r>
              <w:rPr>
                <w:u w:val="none"/>
              </w:rPr>
              <w:t>***</w:t>
            </w:r>
          </w:p>
        </w:tc>
      </w:tr>
      <w:tr w:rsidR="00D44887" w:rsidRPr="000A4281" w14:paraId="53574208" w14:textId="77777777" w:rsidTr="002315D8">
        <w:trPr>
          <w:trHeight w:val="1294"/>
        </w:trPr>
        <w:tc>
          <w:tcPr>
            <w:tcW w:w="2410" w:type="dxa"/>
            <w:tcBorders>
              <w:right w:val="single" w:sz="6" w:space="0" w:color="000000"/>
            </w:tcBorders>
          </w:tcPr>
          <w:p w14:paraId="768DA9B9" w14:textId="77777777" w:rsidR="00D44887" w:rsidRPr="000A4281" w:rsidRDefault="00D44887" w:rsidP="002315D8">
            <w:pPr>
              <w:spacing w:before="240"/>
              <w:rPr>
                <w:rStyle w:val="Heading3Char"/>
                <w:szCs w:val="22"/>
                <w:u w:val="none"/>
              </w:rPr>
            </w:pPr>
            <w:r>
              <w:rPr>
                <w:rStyle w:val="Heading3Char"/>
                <w:u w:val="none"/>
              </w:rPr>
              <w:t>8. Création d’un recueil à utiliser pour mener des projets similaires dans d’autres pays.</w:t>
            </w:r>
          </w:p>
        </w:tc>
        <w:tc>
          <w:tcPr>
            <w:tcW w:w="2695" w:type="dxa"/>
            <w:tcBorders>
              <w:top w:val="single" w:sz="6" w:space="0" w:color="000000"/>
              <w:left w:val="single" w:sz="6" w:space="0" w:color="000000"/>
              <w:bottom w:val="single" w:sz="6" w:space="0" w:color="000000"/>
            </w:tcBorders>
          </w:tcPr>
          <w:p w14:paraId="33B5138C" w14:textId="77777777" w:rsidR="00D44887" w:rsidRPr="000A4281" w:rsidRDefault="00D44887" w:rsidP="002315D8">
            <w:pPr>
              <w:spacing w:before="240"/>
              <w:rPr>
                <w:rStyle w:val="Heading3Char"/>
                <w:szCs w:val="22"/>
                <w:u w:val="none"/>
              </w:rPr>
            </w:pPr>
            <w:r>
              <w:rPr>
                <w:rStyle w:val="Heading3Char"/>
                <w:u w:val="none"/>
              </w:rPr>
              <w:t>Publication d’un recueil présentant la méthode suivie pour la mise en œuvre du projet, les enseignements tirés et le matériel créé dans le cadre du projet.</w:t>
            </w:r>
          </w:p>
        </w:tc>
        <w:tc>
          <w:tcPr>
            <w:tcW w:w="2865" w:type="dxa"/>
          </w:tcPr>
          <w:p w14:paraId="44BBA6B8" w14:textId="77777777" w:rsidR="00D44887" w:rsidRPr="000A4281" w:rsidRDefault="00D44887" w:rsidP="002315D8">
            <w:pPr>
              <w:pStyle w:val="Heading3"/>
              <w:rPr>
                <w:szCs w:val="22"/>
                <w:u w:val="none"/>
              </w:rPr>
            </w:pPr>
            <w:r>
              <w:rPr>
                <w:u w:val="none"/>
              </w:rPr>
              <w:t>En cours</w:t>
            </w:r>
          </w:p>
        </w:tc>
        <w:tc>
          <w:tcPr>
            <w:tcW w:w="1412" w:type="dxa"/>
            <w:vAlign w:val="center"/>
          </w:tcPr>
          <w:p w14:paraId="6DF7B7E8" w14:textId="77777777" w:rsidR="00D44887" w:rsidRPr="00E11B14" w:rsidRDefault="00D44887" w:rsidP="002315D8">
            <w:pPr>
              <w:pStyle w:val="Heading3"/>
              <w:rPr>
                <w:szCs w:val="22"/>
                <w:u w:val="none"/>
              </w:rPr>
            </w:pPr>
            <w:r>
              <w:rPr>
                <w:u w:val="none"/>
              </w:rPr>
              <w:t>**</w:t>
            </w:r>
          </w:p>
        </w:tc>
      </w:tr>
    </w:tbl>
    <w:p w14:paraId="558D0565" w14:textId="77777777" w:rsidR="00D44887" w:rsidRPr="000A4281" w:rsidRDefault="00D44887" w:rsidP="00D44887">
      <w:pPr>
        <w:pStyle w:val="BodyText"/>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2829"/>
        <w:gridCol w:w="1423"/>
      </w:tblGrid>
      <w:tr w:rsidR="00D44887" w:rsidRPr="000A4281" w14:paraId="0142ED5A" w14:textId="77777777" w:rsidTr="002315D8">
        <w:trPr>
          <w:trHeight w:val="616"/>
        </w:trPr>
        <w:tc>
          <w:tcPr>
            <w:tcW w:w="2410" w:type="dxa"/>
            <w:shd w:val="clear" w:color="auto" w:fill="68E089"/>
            <w:vAlign w:val="center"/>
          </w:tcPr>
          <w:p w14:paraId="1E14E164" w14:textId="77777777" w:rsidR="00D44887" w:rsidRPr="000A4281" w:rsidRDefault="00D44887" w:rsidP="002315D8">
            <w:pPr>
              <w:keepNext/>
              <w:spacing w:before="240" w:after="60"/>
              <w:outlineLvl w:val="2"/>
              <w:rPr>
                <w:rFonts w:eastAsia="SimSun"/>
                <w:bCs/>
                <w:u w:val="single"/>
              </w:rPr>
            </w:pPr>
            <w:r>
              <w:rPr>
                <w:u w:val="single"/>
              </w:rPr>
              <w:lastRenderedPageBreak/>
              <w:t>Objectifs du projet</w:t>
            </w:r>
          </w:p>
        </w:tc>
        <w:tc>
          <w:tcPr>
            <w:tcW w:w="2694" w:type="dxa"/>
            <w:shd w:val="clear" w:color="auto" w:fill="68E089"/>
            <w:vAlign w:val="center"/>
          </w:tcPr>
          <w:p w14:paraId="221769CF" w14:textId="77777777" w:rsidR="00D44887" w:rsidRPr="000A4281" w:rsidRDefault="00D44887" w:rsidP="002315D8">
            <w:pPr>
              <w:adjustRightInd w:val="0"/>
              <w:rPr>
                <w:bCs/>
                <w:u w:val="single"/>
              </w:rPr>
            </w:pPr>
            <w:r>
              <w:rPr>
                <w:u w:val="single"/>
              </w:rPr>
              <w:t>Indicateur(s) de réussite dans la réalisation de l’objectif du projet</w:t>
            </w:r>
          </w:p>
          <w:p w14:paraId="7742F1AE" w14:textId="77777777" w:rsidR="00D44887" w:rsidRPr="000A4281" w:rsidRDefault="00D44887" w:rsidP="002315D8">
            <w:pPr>
              <w:adjustRightInd w:val="0"/>
              <w:rPr>
                <w:bCs/>
                <w:u w:val="single"/>
              </w:rPr>
            </w:pPr>
            <w:r>
              <w:rPr>
                <w:u w:val="single"/>
              </w:rPr>
              <w:t>(indicateurs de résultats)</w:t>
            </w:r>
          </w:p>
          <w:p w14:paraId="5E3E84FD" w14:textId="77777777" w:rsidR="00D44887" w:rsidRPr="000A4281" w:rsidRDefault="00D44887" w:rsidP="002315D8"/>
        </w:tc>
        <w:tc>
          <w:tcPr>
            <w:tcW w:w="2829" w:type="dxa"/>
            <w:shd w:val="clear" w:color="auto" w:fill="68E089"/>
            <w:vAlign w:val="center"/>
          </w:tcPr>
          <w:p w14:paraId="1F80C397" w14:textId="77777777" w:rsidR="00D44887" w:rsidRPr="000A4281" w:rsidRDefault="00D44887" w:rsidP="002315D8">
            <w:pPr>
              <w:keepNext/>
              <w:spacing w:before="240" w:after="60"/>
              <w:outlineLvl w:val="2"/>
              <w:rPr>
                <w:rFonts w:eastAsia="SimSun"/>
                <w:bCs/>
                <w:u w:val="single"/>
              </w:rPr>
            </w:pPr>
            <w:r>
              <w:rPr>
                <w:u w:val="single"/>
              </w:rPr>
              <w:t>Données relatives à l’exécution</w:t>
            </w:r>
          </w:p>
        </w:tc>
        <w:tc>
          <w:tcPr>
            <w:tcW w:w="1423" w:type="dxa"/>
            <w:shd w:val="clear" w:color="auto" w:fill="68E089"/>
            <w:vAlign w:val="center"/>
          </w:tcPr>
          <w:p w14:paraId="29DC3DFD" w14:textId="77777777" w:rsidR="00D44887" w:rsidRPr="000A4281" w:rsidRDefault="00D44887" w:rsidP="002315D8">
            <w:pPr>
              <w:keepNext/>
              <w:spacing w:before="240" w:after="60"/>
              <w:outlineLvl w:val="2"/>
              <w:rPr>
                <w:rFonts w:eastAsia="SimSun"/>
                <w:bCs/>
                <w:u w:val="single"/>
              </w:rPr>
            </w:pPr>
            <w:r>
              <w:rPr>
                <w:u w:val="single"/>
              </w:rPr>
              <w:t>Code d’évaluation</w:t>
            </w:r>
          </w:p>
        </w:tc>
      </w:tr>
      <w:tr w:rsidR="00D44887" w:rsidRPr="000A4281" w14:paraId="48FF795F" w14:textId="77777777" w:rsidTr="002315D8">
        <w:trPr>
          <w:trHeight w:val="4928"/>
        </w:trPr>
        <w:tc>
          <w:tcPr>
            <w:tcW w:w="2410" w:type="dxa"/>
            <w:vMerge w:val="restart"/>
            <w:shd w:val="clear" w:color="auto" w:fill="auto"/>
            <w:vAlign w:val="center"/>
          </w:tcPr>
          <w:p w14:paraId="7F985262" w14:textId="77777777" w:rsidR="00D44887" w:rsidRPr="000A4281" w:rsidRDefault="00D44887" w:rsidP="002315D8">
            <w:pPr>
              <w:keepNext/>
              <w:spacing w:before="240" w:after="60"/>
              <w:outlineLvl w:val="2"/>
              <w:rPr>
                <w:rFonts w:eastAsia="SimSun"/>
                <w:bCs/>
              </w:rPr>
            </w:pPr>
            <w:r>
              <w:t>Utilisation accrue du système de la propriété intellectuelle par les inventrices et les innovatrices.</w:t>
            </w:r>
          </w:p>
          <w:p w14:paraId="119D7EC1" w14:textId="77777777" w:rsidR="00D44887" w:rsidRPr="000A4281" w:rsidRDefault="00D44887" w:rsidP="002315D8">
            <w:pPr>
              <w:keepNext/>
              <w:spacing w:before="240" w:after="60"/>
              <w:outlineLvl w:val="2"/>
              <w:rPr>
                <w:rFonts w:eastAsia="SimSun"/>
                <w:bCs/>
              </w:rPr>
            </w:pPr>
          </w:p>
        </w:tc>
        <w:tc>
          <w:tcPr>
            <w:tcW w:w="2694" w:type="dxa"/>
            <w:shd w:val="clear" w:color="auto" w:fill="auto"/>
          </w:tcPr>
          <w:p w14:paraId="62146896" w14:textId="77777777" w:rsidR="00D44887" w:rsidRPr="000A4281" w:rsidRDefault="00D44887" w:rsidP="002315D8">
            <w:pPr>
              <w:keepNext/>
              <w:spacing w:before="240" w:after="60"/>
              <w:outlineLvl w:val="2"/>
              <w:rPr>
                <w:rFonts w:eastAsia="SimSun"/>
                <w:bCs/>
              </w:rPr>
            </w:pPr>
            <w:r>
              <w:t>I. 50% des femmes ayant suivi les programmes de formation ont indiqué qu’elles avaient pu approfondir leurs connaissances sur le système de la propriété intellectuelle.</w:t>
            </w:r>
          </w:p>
          <w:p w14:paraId="43FD1E5B" w14:textId="77777777" w:rsidR="00D44887" w:rsidRPr="000A4281" w:rsidRDefault="00D44887" w:rsidP="002315D8">
            <w:pPr>
              <w:keepNext/>
              <w:spacing w:before="240" w:after="60"/>
              <w:outlineLvl w:val="2"/>
              <w:rPr>
                <w:rFonts w:eastAsia="SimSun"/>
                <w:bCs/>
              </w:rPr>
            </w:pPr>
          </w:p>
        </w:tc>
        <w:tc>
          <w:tcPr>
            <w:tcW w:w="2829" w:type="dxa"/>
            <w:vMerge w:val="restart"/>
            <w:shd w:val="clear" w:color="auto" w:fill="auto"/>
            <w:vAlign w:val="center"/>
          </w:tcPr>
          <w:p w14:paraId="6082570F" w14:textId="77777777" w:rsidR="00D44887" w:rsidRPr="000A4281" w:rsidRDefault="00D44887" w:rsidP="002315D8">
            <w:pPr>
              <w:keepNext/>
              <w:spacing w:before="240" w:after="60"/>
              <w:outlineLvl w:val="2"/>
              <w:rPr>
                <w:rFonts w:eastAsia="SimSun"/>
              </w:rPr>
            </w:pPr>
            <w:r>
              <w:t>Plus de 95% des participantes ont indiqué que la formation avait permis de comprendre le système des brevets et de savoir comment en tirer parti.</w:t>
            </w:r>
          </w:p>
          <w:p w14:paraId="0352B7AA" w14:textId="77777777" w:rsidR="00D44887" w:rsidRDefault="00D44887" w:rsidP="002315D8">
            <w:pPr>
              <w:keepNext/>
              <w:spacing w:before="240" w:after="60"/>
              <w:outlineLvl w:val="2"/>
            </w:pPr>
            <w:r>
              <w:t xml:space="preserve">Au Mexique, l’Institut mexicain de la propriété industrielle a indiqué avoir organisé cinq sessions de conseils donnés par des spécialistes et dont 320 femmes ont pu bénéficier (de juillet à décembre 2021).  En outre, à travers le réseau </w:t>
            </w:r>
            <w:r>
              <w:lastRenderedPageBreak/>
              <w:t>d’innovatrices dans le domaine de la propriété industrielle, 212 cours de mentorat destinés aux femmes ont pu être organisés, notamment entre des membres d’établissements universitaires (mentors) et des étudiantes (bénéficiaires).</w:t>
            </w:r>
          </w:p>
          <w:p w14:paraId="175CA6BD" w14:textId="77777777" w:rsidR="00D44887" w:rsidRPr="000A4281" w:rsidRDefault="00D44887" w:rsidP="002315D8">
            <w:pPr>
              <w:keepNext/>
              <w:spacing w:before="240"/>
              <w:outlineLvl w:val="2"/>
              <w:rPr>
                <w:rFonts w:eastAsia="SimSun"/>
              </w:rPr>
            </w:pPr>
            <w:r>
              <w:t>En Ouganda, le Bureau des services d’enregistrement de l’Ouganda a indiqué avoir proposé des services de conseils à près de 50 inventrices.  Des actions de sensibilisation ont également été réalisées dans plusieurs universités, dont les suivantes :</w:t>
            </w:r>
          </w:p>
          <w:p w14:paraId="58755A0E" w14:textId="77777777" w:rsidR="00D44887" w:rsidRPr="000A4281" w:rsidRDefault="00D44887" w:rsidP="002315D8">
            <w:pPr>
              <w:pStyle w:val="ListParagraph"/>
              <w:keepNext/>
              <w:numPr>
                <w:ilvl w:val="0"/>
                <w:numId w:val="22"/>
              </w:numPr>
              <w:spacing w:before="240" w:after="60"/>
              <w:outlineLvl w:val="2"/>
              <w:rPr>
                <w:szCs w:val="22"/>
              </w:rPr>
            </w:pPr>
            <w:r>
              <w:t>l’Université islamique de l’Ouganda (janvier 2022)</w:t>
            </w:r>
          </w:p>
          <w:p w14:paraId="290CC12D" w14:textId="77777777" w:rsidR="00D44887" w:rsidRPr="0073318A" w:rsidRDefault="00D44887" w:rsidP="002315D8">
            <w:pPr>
              <w:pStyle w:val="ListParagraph"/>
              <w:keepNext/>
              <w:numPr>
                <w:ilvl w:val="0"/>
                <w:numId w:val="22"/>
              </w:numPr>
              <w:spacing w:before="240" w:after="60"/>
              <w:outlineLvl w:val="2"/>
              <w:rPr>
                <w:szCs w:val="22"/>
                <w:lang w:val="en-US"/>
              </w:rPr>
            </w:pPr>
            <w:r w:rsidRPr="0073318A">
              <w:rPr>
                <w:lang w:val="en-US"/>
              </w:rPr>
              <w:t>la Makerere University School of Public Health du Resilient Africa Network (RAN)</w:t>
            </w:r>
          </w:p>
          <w:p w14:paraId="695B9903" w14:textId="77777777" w:rsidR="00D44887" w:rsidRPr="000A4281" w:rsidRDefault="00D44887" w:rsidP="002315D8">
            <w:pPr>
              <w:pStyle w:val="ListParagraph"/>
              <w:keepNext/>
              <w:numPr>
                <w:ilvl w:val="0"/>
                <w:numId w:val="22"/>
              </w:numPr>
              <w:spacing w:before="240" w:after="60"/>
              <w:outlineLvl w:val="2"/>
              <w:rPr>
                <w:szCs w:val="22"/>
              </w:rPr>
            </w:pPr>
            <w:r>
              <w:t>l’Université des sciences et de la technologie de Mbarara</w:t>
            </w:r>
          </w:p>
          <w:p w14:paraId="7A09F4BC" w14:textId="77777777" w:rsidR="00D44887" w:rsidRPr="000A4281" w:rsidRDefault="00D44887" w:rsidP="002315D8">
            <w:pPr>
              <w:keepNext/>
              <w:spacing w:before="240" w:after="60"/>
              <w:outlineLvl w:val="2"/>
              <w:rPr>
                <w:rFonts w:eastAsia="SimSun"/>
              </w:rPr>
            </w:pPr>
            <w:r>
              <w:t>À ce stade, aucune donnée n’a été fournie de la part d’Oman et du Pakistan.</w:t>
            </w:r>
          </w:p>
        </w:tc>
        <w:tc>
          <w:tcPr>
            <w:tcW w:w="1423" w:type="dxa"/>
            <w:vMerge w:val="restart"/>
            <w:shd w:val="clear" w:color="auto" w:fill="auto"/>
            <w:vAlign w:val="center"/>
          </w:tcPr>
          <w:p w14:paraId="6AFEB8AB" w14:textId="77777777" w:rsidR="00D44887" w:rsidRPr="000A4281" w:rsidRDefault="00D44887" w:rsidP="002315D8">
            <w:pPr>
              <w:keepNext/>
              <w:spacing w:before="240" w:after="60"/>
              <w:outlineLvl w:val="2"/>
              <w:rPr>
                <w:rFonts w:eastAsia="SimSun"/>
              </w:rPr>
            </w:pPr>
            <w:r>
              <w:lastRenderedPageBreak/>
              <w:t>***</w:t>
            </w:r>
          </w:p>
        </w:tc>
      </w:tr>
      <w:tr w:rsidR="00D44887" w:rsidRPr="000A4281" w14:paraId="0930FD6C" w14:textId="77777777" w:rsidTr="002315D8">
        <w:trPr>
          <w:trHeight w:val="4927"/>
        </w:trPr>
        <w:tc>
          <w:tcPr>
            <w:tcW w:w="2410" w:type="dxa"/>
            <w:vMerge/>
            <w:shd w:val="clear" w:color="auto" w:fill="auto"/>
            <w:vAlign w:val="center"/>
          </w:tcPr>
          <w:p w14:paraId="0BE01818" w14:textId="77777777" w:rsidR="00D44887" w:rsidRPr="000A4281" w:rsidRDefault="00D44887" w:rsidP="002315D8">
            <w:pPr>
              <w:keepNext/>
              <w:spacing w:before="240" w:after="60"/>
              <w:outlineLvl w:val="2"/>
              <w:rPr>
                <w:rFonts w:eastAsia="SimSun"/>
                <w:bCs/>
              </w:rPr>
            </w:pPr>
          </w:p>
        </w:tc>
        <w:tc>
          <w:tcPr>
            <w:tcW w:w="2694" w:type="dxa"/>
            <w:shd w:val="clear" w:color="auto" w:fill="auto"/>
          </w:tcPr>
          <w:p w14:paraId="2F08F762" w14:textId="77777777" w:rsidR="00D44887" w:rsidRPr="000A4281" w:rsidRDefault="00D44887" w:rsidP="002315D8">
            <w:pPr>
              <w:keepNext/>
              <w:spacing w:before="240" w:after="60"/>
              <w:outlineLvl w:val="2"/>
              <w:rPr>
                <w:rFonts w:eastAsia="SimSun"/>
                <w:bCs/>
              </w:rPr>
            </w:pPr>
            <w:r>
              <w:t>II. Les centres de ressources pour les innovatrices créés dans chacun des pays participants ont fourni des services en matière de propriété intellectuelle à au moins 10 inventrices ou innovatrices, organisé des actions de sensibilisation dans trois (3) universités ou écoles ou offert trois (3) possibilités de mentorat.</w:t>
            </w:r>
          </w:p>
          <w:p w14:paraId="060739F4" w14:textId="77777777" w:rsidR="00D44887" w:rsidRPr="000A4281" w:rsidRDefault="00D44887" w:rsidP="002315D8">
            <w:pPr>
              <w:keepNext/>
              <w:spacing w:before="240" w:after="60"/>
              <w:outlineLvl w:val="2"/>
              <w:rPr>
                <w:rFonts w:eastAsia="SimSun"/>
                <w:bCs/>
              </w:rPr>
            </w:pPr>
          </w:p>
        </w:tc>
        <w:tc>
          <w:tcPr>
            <w:tcW w:w="2829" w:type="dxa"/>
            <w:vMerge/>
            <w:shd w:val="clear" w:color="auto" w:fill="auto"/>
            <w:vAlign w:val="center"/>
          </w:tcPr>
          <w:p w14:paraId="5E4706D4" w14:textId="77777777" w:rsidR="00D44887" w:rsidRPr="000A4281" w:rsidRDefault="00D44887" w:rsidP="002315D8">
            <w:pPr>
              <w:keepNext/>
              <w:spacing w:before="240" w:after="60"/>
              <w:outlineLvl w:val="2"/>
              <w:rPr>
                <w:rFonts w:eastAsia="SimSun"/>
              </w:rPr>
            </w:pPr>
          </w:p>
        </w:tc>
        <w:tc>
          <w:tcPr>
            <w:tcW w:w="1423" w:type="dxa"/>
            <w:vMerge/>
            <w:shd w:val="clear" w:color="auto" w:fill="auto"/>
            <w:vAlign w:val="center"/>
          </w:tcPr>
          <w:p w14:paraId="65DDCDE7" w14:textId="77777777" w:rsidR="00D44887" w:rsidRPr="000A4281" w:rsidRDefault="00D44887" w:rsidP="002315D8">
            <w:pPr>
              <w:keepNext/>
              <w:spacing w:before="240" w:after="60"/>
              <w:outlineLvl w:val="2"/>
              <w:rPr>
                <w:rFonts w:eastAsia="SimSun"/>
              </w:rPr>
            </w:pPr>
          </w:p>
        </w:tc>
      </w:tr>
    </w:tbl>
    <w:p w14:paraId="3776DE4B" w14:textId="77777777" w:rsidR="00D44887" w:rsidRPr="006E16C1" w:rsidRDefault="00D44887" w:rsidP="00D44887">
      <w:pPr>
        <w:pStyle w:val="Endofdocument-Annex"/>
        <w:spacing w:before="720"/>
        <w:rPr>
          <w:szCs w:val="22"/>
        </w:rPr>
        <w:sectPr w:rsidR="00D44887" w:rsidRPr="006E16C1" w:rsidSect="00D317EA">
          <w:headerReference w:type="default" r:id="rId54"/>
          <w:headerReference w:type="first" r:id="rId55"/>
          <w:pgSz w:w="11907" w:h="16840" w:code="9"/>
          <w:pgMar w:top="1418" w:right="1418" w:bottom="1418" w:left="1418" w:header="709" w:footer="709" w:gutter="0"/>
          <w:pgNumType w:start="1"/>
          <w:cols w:space="720"/>
          <w:titlePg/>
          <w:docGrid w:linePitch="299"/>
        </w:sectPr>
      </w:pPr>
      <w:r>
        <w:t>[L’annexe IV suit]</w:t>
      </w:r>
    </w:p>
    <w:p w14:paraId="663AB6B7" w14:textId="77777777" w:rsidR="00D44887" w:rsidRPr="000A4281" w:rsidRDefault="00D44887" w:rsidP="00D44887">
      <w:pPr>
        <w:rPr>
          <w:b/>
          <w:sz w:val="2"/>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D44887" w:rsidRPr="006C7D9E" w14:paraId="5B951871" w14:textId="77777777" w:rsidTr="002315D8">
        <w:trPr>
          <w:trHeight w:val="431"/>
        </w:trPr>
        <w:tc>
          <w:tcPr>
            <w:tcW w:w="9290" w:type="dxa"/>
            <w:gridSpan w:val="2"/>
          </w:tcPr>
          <w:p w14:paraId="758071A7" w14:textId="77777777" w:rsidR="00D44887" w:rsidRPr="006C7D9E" w:rsidRDefault="00D44887" w:rsidP="002315D8">
            <w:pPr>
              <w:pStyle w:val="TableParagraph"/>
              <w:spacing w:before="88"/>
              <w:ind w:left="110"/>
            </w:pPr>
            <w:r>
              <w:t>RÉSUMÉ DU PROJET</w:t>
            </w:r>
          </w:p>
        </w:tc>
      </w:tr>
      <w:tr w:rsidR="00D44887" w:rsidRPr="006C7D9E" w14:paraId="3598F354" w14:textId="77777777" w:rsidTr="002315D8">
        <w:trPr>
          <w:trHeight w:val="324"/>
        </w:trPr>
        <w:tc>
          <w:tcPr>
            <w:tcW w:w="2377" w:type="dxa"/>
            <w:shd w:val="clear" w:color="auto" w:fill="68E089"/>
          </w:tcPr>
          <w:p w14:paraId="01D77BCC" w14:textId="77777777" w:rsidR="00D44887" w:rsidRPr="006C7D9E" w:rsidRDefault="00D44887" w:rsidP="002315D8">
            <w:pPr>
              <w:pStyle w:val="TableParagraph"/>
              <w:ind w:left="110"/>
            </w:pPr>
            <w:r>
              <w:rPr>
                <w:u w:val="single"/>
              </w:rPr>
              <w:t>Code du projet</w:t>
            </w:r>
          </w:p>
        </w:tc>
        <w:tc>
          <w:tcPr>
            <w:tcW w:w="6913" w:type="dxa"/>
          </w:tcPr>
          <w:p w14:paraId="42B5054B" w14:textId="77777777" w:rsidR="00D44887" w:rsidRPr="006C7D9E" w:rsidRDefault="00D44887" w:rsidP="002315D8">
            <w:pPr>
              <w:pStyle w:val="TableParagraph"/>
              <w:ind w:left="109" w:right="84"/>
            </w:pPr>
            <w:r>
              <w:rPr>
                <w:i/>
              </w:rPr>
              <w:t>DA_1_10_12_01</w:t>
            </w:r>
          </w:p>
        </w:tc>
      </w:tr>
      <w:tr w:rsidR="00D44887" w:rsidRPr="006C7D9E" w14:paraId="5C0D0242" w14:textId="77777777" w:rsidTr="002315D8">
        <w:trPr>
          <w:trHeight w:val="342"/>
        </w:trPr>
        <w:tc>
          <w:tcPr>
            <w:tcW w:w="2377" w:type="dxa"/>
            <w:shd w:val="clear" w:color="auto" w:fill="68E089"/>
          </w:tcPr>
          <w:p w14:paraId="47BBA945" w14:textId="77777777" w:rsidR="00D44887" w:rsidRPr="006C7D9E" w:rsidRDefault="00D44887" w:rsidP="002315D8">
            <w:pPr>
              <w:pStyle w:val="TableParagraph"/>
              <w:spacing w:before="1"/>
              <w:ind w:left="110"/>
            </w:pPr>
            <w:r>
              <w:rPr>
                <w:u w:val="single"/>
              </w:rPr>
              <w:t>Intitulé</w:t>
            </w:r>
          </w:p>
        </w:tc>
        <w:tc>
          <w:tcPr>
            <w:tcW w:w="6913" w:type="dxa"/>
          </w:tcPr>
          <w:p w14:paraId="0559880C" w14:textId="1B661CDA" w:rsidR="00D44887" w:rsidRPr="006C7D9E" w:rsidRDefault="00111FE8" w:rsidP="002315D8">
            <w:pPr>
              <w:pStyle w:val="TableParagraph"/>
              <w:spacing w:before="1"/>
              <w:ind w:left="109"/>
            </w:pPr>
            <w:hyperlink r:id="rId56" w:history="1">
              <w:hyperlink r:id="rId57" w:history="1">
                <w:r w:rsidR="00D44887">
                  <w:rPr>
                    <w:rStyle w:val="Hyperlink"/>
                  </w:rPr>
                  <w:t>Propriété intellectuelle et tourisme gastronomique au Pérou et dans d’autres pays en développement : promouvoir le développement du tourisme gastronomique au moyen de la propriété intellectuelle</w:t>
                </w:r>
              </w:hyperlink>
            </w:hyperlink>
          </w:p>
          <w:p w14:paraId="56C4EEE1" w14:textId="77777777" w:rsidR="00D44887" w:rsidRPr="006C7D9E" w:rsidRDefault="00D44887" w:rsidP="002315D8">
            <w:pPr>
              <w:pStyle w:val="TableParagraph"/>
              <w:spacing w:before="1"/>
              <w:ind w:left="109"/>
            </w:pPr>
          </w:p>
        </w:tc>
      </w:tr>
      <w:tr w:rsidR="00D44887" w:rsidRPr="006C7D9E" w14:paraId="4AEE0F11" w14:textId="77777777" w:rsidTr="002315D8">
        <w:trPr>
          <w:trHeight w:val="531"/>
        </w:trPr>
        <w:tc>
          <w:tcPr>
            <w:tcW w:w="2377" w:type="dxa"/>
            <w:shd w:val="clear" w:color="auto" w:fill="68E089"/>
          </w:tcPr>
          <w:p w14:paraId="7A1C739E" w14:textId="376D9251" w:rsidR="00D44887" w:rsidRPr="006C7D9E" w:rsidRDefault="00111FE8" w:rsidP="002315D8">
            <w:pPr>
              <w:pStyle w:val="TableParagraph"/>
              <w:ind w:left="110" w:right="121"/>
            </w:pPr>
            <w:hyperlink r:id="rId58" w:history="1">
              <w:r w:rsidR="00D44887">
                <w:rPr>
                  <w:rStyle w:val="Hyperlink"/>
                </w:rPr>
                <w:t>Recommandation du plan d’action pour le développement</w:t>
              </w:r>
            </w:hyperlink>
          </w:p>
        </w:tc>
        <w:tc>
          <w:tcPr>
            <w:tcW w:w="6913" w:type="dxa"/>
          </w:tcPr>
          <w:p w14:paraId="308C65D7" w14:textId="77777777" w:rsidR="00D44887" w:rsidRDefault="00D44887" w:rsidP="002315D8">
            <w:pPr>
              <w:pStyle w:val="TableParagraph"/>
              <w:ind w:left="109" w:right="84"/>
            </w:pPr>
            <w:r>
              <w:t>Recommandations n</w:t>
            </w:r>
            <w:r>
              <w:rPr>
                <w:vertAlign w:val="superscript"/>
              </w:rPr>
              <w:t>os</w:t>
            </w:r>
            <w:r>
              <w:t> 1, 10 et 12</w:t>
            </w:r>
          </w:p>
          <w:p w14:paraId="152BC33F" w14:textId="77777777" w:rsidR="00D44887" w:rsidRPr="006C7D9E" w:rsidRDefault="00D44887" w:rsidP="002315D8">
            <w:pPr>
              <w:pStyle w:val="TableParagraph"/>
              <w:ind w:left="109" w:right="84"/>
              <w:rPr>
                <w:iCs/>
              </w:rPr>
            </w:pPr>
          </w:p>
        </w:tc>
      </w:tr>
      <w:tr w:rsidR="00D44887" w:rsidRPr="006C7D9E" w14:paraId="264131BF" w14:textId="77777777" w:rsidTr="002315D8">
        <w:trPr>
          <w:trHeight w:val="621"/>
        </w:trPr>
        <w:tc>
          <w:tcPr>
            <w:tcW w:w="2377" w:type="dxa"/>
            <w:shd w:val="clear" w:color="auto" w:fill="68E089"/>
          </w:tcPr>
          <w:p w14:paraId="29C4EE72" w14:textId="77777777" w:rsidR="00D44887" w:rsidRPr="006C7D9E" w:rsidRDefault="00D44887" w:rsidP="002315D8">
            <w:pPr>
              <w:pStyle w:val="TableParagraph"/>
              <w:ind w:left="110"/>
            </w:pPr>
            <w:r>
              <w:rPr>
                <w:u w:val="single"/>
              </w:rPr>
              <w:t>Budget du projet</w:t>
            </w:r>
          </w:p>
        </w:tc>
        <w:tc>
          <w:tcPr>
            <w:tcW w:w="6913" w:type="dxa"/>
          </w:tcPr>
          <w:p w14:paraId="02FC5B24" w14:textId="77777777" w:rsidR="00D44887" w:rsidRPr="006C7D9E" w:rsidRDefault="00D44887" w:rsidP="002315D8">
            <w:pPr>
              <w:pStyle w:val="TableParagraph"/>
              <w:ind w:left="109" w:right="84"/>
              <w:rPr>
                <w:iCs/>
              </w:rPr>
            </w:pPr>
            <w:r>
              <w:t xml:space="preserve">Budget total du projet : 540 500 francs suisses, dont 353 000 francs suisses alloués pour les dépenses autres que les ressources en personnel et 187 500 francs suisses pour les dépenses de personnel. </w:t>
            </w:r>
          </w:p>
        </w:tc>
      </w:tr>
      <w:tr w:rsidR="00D44887" w:rsidRPr="006C7D9E" w14:paraId="02610540" w14:textId="77777777" w:rsidTr="002315D8">
        <w:trPr>
          <w:trHeight w:val="531"/>
        </w:trPr>
        <w:tc>
          <w:tcPr>
            <w:tcW w:w="2377" w:type="dxa"/>
            <w:shd w:val="clear" w:color="auto" w:fill="68E089"/>
          </w:tcPr>
          <w:p w14:paraId="2E1E32AC" w14:textId="77777777" w:rsidR="00D44887" w:rsidRPr="006C7D9E" w:rsidRDefault="00D44887" w:rsidP="002315D8">
            <w:pPr>
              <w:pStyle w:val="TableParagraph"/>
              <w:spacing w:before="1"/>
              <w:ind w:left="110"/>
            </w:pPr>
            <w:r>
              <w:rPr>
                <w:u w:val="single"/>
              </w:rPr>
              <w:t>Date de début du projet</w:t>
            </w:r>
          </w:p>
        </w:tc>
        <w:tc>
          <w:tcPr>
            <w:tcW w:w="6913" w:type="dxa"/>
          </w:tcPr>
          <w:p w14:paraId="578AC980" w14:textId="77777777" w:rsidR="00D44887" w:rsidRPr="006C7D9E" w:rsidRDefault="00D44887" w:rsidP="002315D8">
            <w:pPr>
              <w:pStyle w:val="TableParagraph"/>
              <w:ind w:left="109" w:right="84"/>
              <w:rPr>
                <w:iCs/>
              </w:rPr>
            </w:pPr>
            <w:r>
              <w:t>Mai 2019</w:t>
            </w:r>
          </w:p>
        </w:tc>
      </w:tr>
      <w:tr w:rsidR="00D44887" w:rsidRPr="006C7D9E" w14:paraId="6301B767" w14:textId="77777777" w:rsidTr="002315D8">
        <w:trPr>
          <w:trHeight w:val="531"/>
        </w:trPr>
        <w:tc>
          <w:tcPr>
            <w:tcW w:w="2377" w:type="dxa"/>
            <w:shd w:val="clear" w:color="auto" w:fill="68E089"/>
          </w:tcPr>
          <w:p w14:paraId="5F13223E" w14:textId="77777777" w:rsidR="00D44887" w:rsidRPr="006C7D9E" w:rsidRDefault="00D44887" w:rsidP="002315D8">
            <w:pPr>
              <w:pStyle w:val="TableParagraph"/>
              <w:ind w:left="110"/>
            </w:pPr>
            <w:r>
              <w:rPr>
                <w:u w:val="single"/>
              </w:rPr>
              <w:t>Durée du projet</w:t>
            </w:r>
          </w:p>
        </w:tc>
        <w:tc>
          <w:tcPr>
            <w:tcW w:w="6913" w:type="dxa"/>
          </w:tcPr>
          <w:p w14:paraId="7C1594FD" w14:textId="77777777" w:rsidR="00D44887" w:rsidRPr="006C7D9E" w:rsidRDefault="00D44887" w:rsidP="002315D8">
            <w:pPr>
              <w:pStyle w:val="TableParagraph"/>
              <w:ind w:left="109" w:right="84"/>
              <w:rPr>
                <w:iCs/>
              </w:rPr>
            </w:pPr>
            <w:r>
              <w:t>36 mois</w:t>
            </w:r>
          </w:p>
        </w:tc>
      </w:tr>
      <w:tr w:rsidR="00D44887" w:rsidRPr="006C7D9E" w14:paraId="0EA6B1A0" w14:textId="77777777" w:rsidTr="002315D8">
        <w:trPr>
          <w:trHeight w:val="801"/>
        </w:trPr>
        <w:tc>
          <w:tcPr>
            <w:tcW w:w="2377" w:type="dxa"/>
            <w:shd w:val="clear" w:color="auto" w:fill="68E089"/>
          </w:tcPr>
          <w:p w14:paraId="3272D4F5" w14:textId="6F65985C" w:rsidR="00D44887" w:rsidRPr="006C7D9E" w:rsidRDefault="00D44887" w:rsidP="00DF7600">
            <w:pPr>
              <w:pStyle w:val="TableParagraph"/>
              <w:ind w:left="110"/>
              <w:rPr>
                <w:u w:val="single"/>
              </w:rPr>
            </w:pPr>
            <w:r>
              <w:rPr>
                <w:u w:val="single"/>
              </w:rPr>
              <w:t>Principaux</w:t>
            </w:r>
            <w:r w:rsidR="00DF7600">
              <w:rPr>
                <w:u w:val="single"/>
              </w:rPr>
              <w:t xml:space="preserve"> </w:t>
            </w:r>
            <w:r>
              <w:rPr>
                <w:u w:val="single"/>
              </w:rPr>
              <w:t>secteurs/</w:t>
            </w:r>
            <w:r w:rsidR="00DF7600">
              <w:rPr>
                <w:u w:val="single"/>
              </w:rPr>
              <w:t xml:space="preserve"> </w:t>
            </w:r>
            <w:r>
              <w:rPr>
                <w:u w:val="single"/>
              </w:rPr>
              <w:t>domaines de l’OMPI concernés</w:t>
            </w:r>
          </w:p>
        </w:tc>
        <w:tc>
          <w:tcPr>
            <w:tcW w:w="6913" w:type="dxa"/>
          </w:tcPr>
          <w:p w14:paraId="7A608D32" w14:textId="77777777" w:rsidR="00D44887" w:rsidRDefault="00D44887" w:rsidP="002315D8">
            <w:pPr>
              <w:pStyle w:val="TableParagraph"/>
              <w:ind w:left="109" w:right="84"/>
            </w:pPr>
            <w:r>
              <w:t>Secteur de mise en œuvre : marques et dessins et modèles</w:t>
            </w:r>
          </w:p>
          <w:p w14:paraId="6515C154" w14:textId="77777777" w:rsidR="00D44887" w:rsidRPr="006C7D9E" w:rsidRDefault="00D44887" w:rsidP="002315D8">
            <w:pPr>
              <w:pStyle w:val="TableParagraph"/>
              <w:ind w:left="109" w:right="84"/>
              <w:rPr>
                <w:iCs/>
              </w:rPr>
            </w:pPr>
            <w:r>
              <w:t xml:space="preserve">Autre secteur concerné : mise en œuvre aux niveaux régional et national </w:t>
            </w:r>
          </w:p>
        </w:tc>
      </w:tr>
      <w:tr w:rsidR="00D44887" w:rsidRPr="006C7D9E" w14:paraId="1D87F4A5" w14:textId="77777777" w:rsidTr="002315D8">
        <w:trPr>
          <w:trHeight w:val="621"/>
        </w:trPr>
        <w:tc>
          <w:tcPr>
            <w:tcW w:w="2377" w:type="dxa"/>
            <w:shd w:val="clear" w:color="auto" w:fill="68E089"/>
          </w:tcPr>
          <w:p w14:paraId="2BF8EF23" w14:textId="77777777" w:rsidR="00D44887" w:rsidRPr="006C7D9E" w:rsidRDefault="00D44887" w:rsidP="002315D8">
            <w:pPr>
              <w:pStyle w:val="TableParagraph"/>
              <w:ind w:left="110" w:right="394"/>
            </w:pPr>
            <w:r>
              <w:rPr>
                <w:u w:val="single"/>
              </w:rPr>
              <w:t>Brève description du projet</w:t>
            </w:r>
          </w:p>
        </w:tc>
        <w:tc>
          <w:tcPr>
            <w:tcW w:w="6913" w:type="dxa"/>
          </w:tcPr>
          <w:p w14:paraId="07FAEB68" w14:textId="77777777" w:rsidR="00D44887" w:rsidRDefault="00D44887" w:rsidP="002315D8">
            <w:pPr>
              <w:pStyle w:val="TableParagraph"/>
              <w:ind w:left="109" w:right="84"/>
              <w:rPr>
                <w:iCs/>
              </w:rPr>
            </w:pPr>
            <w:r>
              <w:t>Ce projet vise à promouvoir la propriété intellectuelle liée aux traditions culinaires (nourriture et boissons) pour permettre leur exploitation dans le secteur du tourisme au Pérou et dans trois autres pays en développement sélectionnés, à savoir le Cameroun, la Malaisie et le Maroc.  Plus précisément, le projet vise à :</w:t>
            </w:r>
          </w:p>
          <w:p w14:paraId="4025B884" w14:textId="77777777" w:rsidR="00D44887" w:rsidRPr="006C7D9E" w:rsidRDefault="00D44887" w:rsidP="002315D8">
            <w:pPr>
              <w:pStyle w:val="TableParagraph"/>
              <w:ind w:left="109" w:right="84"/>
              <w:rPr>
                <w:iCs/>
              </w:rPr>
            </w:pPr>
          </w:p>
          <w:p w14:paraId="02248197" w14:textId="77777777" w:rsidR="00D44887" w:rsidRPr="006C7D9E" w:rsidRDefault="00D44887" w:rsidP="002315D8">
            <w:pPr>
              <w:pStyle w:val="TableParagraph"/>
              <w:numPr>
                <w:ilvl w:val="0"/>
                <w:numId w:val="56"/>
              </w:numPr>
              <w:ind w:right="84"/>
              <w:rPr>
                <w:iCs/>
              </w:rPr>
            </w:pPr>
            <w:r>
              <w:t>permettre le recensement, le développement et l’exploitation durable des traditions culinaires des quatre pays sélectionnés;</w:t>
            </w:r>
          </w:p>
          <w:p w14:paraId="4D8C24F8" w14:textId="77777777" w:rsidR="00D44887" w:rsidRPr="006C7D9E" w:rsidRDefault="00D44887" w:rsidP="002315D8">
            <w:pPr>
              <w:pStyle w:val="TableParagraph"/>
              <w:numPr>
                <w:ilvl w:val="0"/>
                <w:numId w:val="56"/>
              </w:numPr>
              <w:ind w:right="84"/>
              <w:rPr>
                <w:iCs/>
              </w:rPr>
            </w:pPr>
            <w:r>
              <w:t>renforcer la capacité des acteurs économiques en lien avec le secteur du tourisme gastronomique et des autorités nationales, notamment les offices de propriété intellectuelle, d’exploiter les outils et stratégies en matière de propriété intellectuelle et d’en tirer profit, et</w:t>
            </w:r>
          </w:p>
          <w:p w14:paraId="147310E5" w14:textId="77777777" w:rsidR="00D44887" w:rsidRDefault="00D44887" w:rsidP="002315D8">
            <w:pPr>
              <w:pStyle w:val="TableParagraph"/>
              <w:numPr>
                <w:ilvl w:val="0"/>
                <w:numId w:val="56"/>
              </w:numPr>
              <w:ind w:right="84"/>
              <w:rPr>
                <w:iCs/>
              </w:rPr>
            </w:pPr>
            <w:r>
              <w:t>mieux faire connaître les avantages qui découlent de l’utilisation de la propriété intellectuelle pour les activités de tourisme gastronomique.</w:t>
            </w:r>
          </w:p>
          <w:p w14:paraId="1D5BE0A8" w14:textId="77777777" w:rsidR="00D44887" w:rsidRPr="006C7D9E" w:rsidRDefault="00D44887" w:rsidP="002315D8">
            <w:pPr>
              <w:pStyle w:val="TableParagraph"/>
              <w:ind w:left="720" w:right="84"/>
              <w:rPr>
                <w:iCs/>
              </w:rPr>
            </w:pPr>
          </w:p>
          <w:p w14:paraId="68C66119" w14:textId="77777777" w:rsidR="00D44887" w:rsidRPr="006C7D9E" w:rsidRDefault="00D44887" w:rsidP="002315D8">
            <w:pPr>
              <w:pStyle w:val="TableParagraph"/>
              <w:ind w:left="109" w:right="84"/>
              <w:rPr>
                <w:iCs/>
              </w:rPr>
            </w:pPr>
            <w:r>
              <w:t>À cet effet, des stratégies et actions seront mises en œuvres en impliquant les principales parties prenantes des secteurs public et privé dans les secteurs du tourisme, de la gastronomie et de la propriété intellectuelle, qui travailleront ensemble pour définir les outils potentiels de propriété intellectuelle et recommander leur utilisation.  Des manifestations seront notamment organisées afin de mieux faire connaître les avantages qui découlent de l’utilisation de la propriété intellectuelle dans le contexte du tourisme gastronomique.</w:t>
            </w:r>
          </w:p>
        </w:tc>
      </w:tr>
      <w:tr w:rsidR="00D44887" w:rsidRPr="006C7D9E" w14:paraId="5464D5A8" w14:textId="77777777" w:rsidTr="002315D8">
        <w:trPr>
          <w:trHeight w:val="432"/>
        </w:trPr>
        <w:tc>
          <w:tcPr>
            <w:tcW w:w="2377" w:type="dxa"/>
            <w:shd w:val="clear" w:color="auto" w:fill="68E089"/>
          </w:tcPr>
          <w:p w14:paraId="03C11B63" w14:textId="77777777" w:rsidR="00D44887" w:rsidRPr="006C7D9E" w:rsidRDefault="00D44887" w:rsidP="002315D8">
            <w:pPr>
              <w:pStyle w:val="TableParagraph"/>
              <w:spacing w:before="1"/>
              <w:ind w:left="110"/>
            </w:pPr>
            <w:r>
              <w:rPr>
                <w:u w:val="single"/>
              </w:rPr>
              <w:t>Responsable du projet</w:t>
            </w:r>
          </w:p>
        </w:tc>
        <w:tc>
          <w:tcPr>
            <w:tcW w:w="6913" w:type="dxa"/>
          </w:tcPr>
          <w:p w14:paraId="22445658" w14:textId="77777777" w:rsidR="00D44887" w:rsidRPr="006C7D9E" w:rsidRDefault="00D44887" w:rsidP="002315D8">
            <w:pPr>
              <w:pStyle w:val="TableParagraph"/>
              <w:ind w:left="109" w:right="84"/>
              <w:rPr>
                <w:bCs/>
                <w:iCs/>
              </w:rPr>
            </w:pPr>
            <w:r>
              <w:t>Mme Marie Paule Rizo, responsable de la section des politiques et des services consultatifs en matière de législation, Département des marques, des dessins et modèles industriels et des indications géographiques</w:t>
            </w:r>
          </w:p>
          <w:p w14:paraId="32B13C58" w14:textId="77777777" w:rsidR="00D44887" w:rsidRPr="006C7D9E" w:rsidRDefault="00D44887" w:rsidP="002315D8">
            <w:pPr>
              <w:pStyle w:val="TableParagraph"/>
              <w:ind w:left="109" w:right="84"/>
              <w:rPr>
                <w:iCs/>
              </w:rPr>
            </w:pPr>
          </w:p>
        </w:tc>
      </w:tr>
      <w:tr w:rsidR="00D44887" w:rsidRPr="006C7D9E" w14:paraId="4B191803" w14:textId="77777777" w:rsidTr="002315D8">
        <w:trPr>
          <w:trHeight w:val="891"/>
        </w:trPr>
        <w:tc>
          <w:tcPr>
            <w:tcW w:w="2377" w:type="dxa"/>
            <w:shd w:val="clear" w:color="auto" w:fill="68E089"/>
          </w:tcPr>
          <w:p w14:paraId="3B657821" w14:textId="0192ECF8" w:rsidR="00D44887" w:rsidRPr="006C7D9E" w:rsidRDefault="00D44887" w:rsidP="002315D8">
            <w:pPr>
              <w:pStyle w:val="TableParagraph"/>
              <w:spacing w:before="1"/>
              <w:ind w:left="110" w:right="221"/>
            </w:pPr>
            <w:r>
              <w:rPr>
                <w:u w:val="single"/>
              </w:rPr>
              <w:lastRenderedPageBreak/>
              <w:t>Liens avec les résultats escomptés dans le</w:t>
            </w:r>
            <w:r w:rsidRPr="00BA6262">
              <w:rPr>
                <w:u w:val="single"/>
              </w:rPr>
              <w:t xml:space="preserve"> </w:t>
            </w:r>
            <w:hyperlink r:id="rId59" w:history="1">
              <w:r>
                <w:rPr>
                  <w:rStyle w:val="Hyperlink"/>
                </w:rPr>
                <w:t>programme de travail et budget pour 2022-2023</w:t>
              </w:r>
            </w:hyperlink>
          </w:p>
        </w:tc>
        <w:tc>
          <w:tcPr>
            <w:tcW w:w="6913" w:type="dxa"/>
          </w:tcPr>
          <w:p w14:paraId="3EBE6B9F" w14:textId="77777777" w:rsidR="00D44887" w:rsidRPr="00BB5C7A" w:rsidRDefault="00D44887" w:rsidP="002315D8">
            <w:pPr>
              <w:pStyle w:val="TableParagraph"/>
              <w:ind w:left="109" w:right="84"/>
              <w:rPr>
                <w:iCs/>
              </w:rPr>
            </w:pPr>
            <w:r>
              <w:t>4.1 Utilisation plus efficace de la propriété intellectuelle au service de la croissance et du développement de l’ensemble des États membres et de leurs régions et sous-régions respectives, notamment grâce à l’intégration des recommandations du Plan d’action pour le développement.</w:t>
            </w:r>
          </w:p>
          <w:p w14:paraId="2A33803D" w14:textId="77777777" w:rsidR="00D44887" w:rsidRPr="00BB5C7A" w:rsidRDefault="00D44887" w:rsidP="002315D8">
            <w:pPr>
              <w:pStyle w:val="TableParagraph"/>
              <w:ind w:right="84"/>
              <w:rPr>
                <w:iCs/>
              </w:rPr>
            </w:pPr>
          </w:p>
          <w:p w14:paraId="14CB76F5" w14:textId="77777777" w:rsidR="00D44887" w:rsidRPr="00BB5C7A" w:rsidRDefault="00D44887" w:rsidP="002315D8">
            <w:pPr>
              <w:pStyle w:val="TableParagraph"/>
              <w:ind w:left="109" w:right="84"/>
              <w:rPr>
                <w:iCs/>
              </w:rPr>
            </w:pPr>
            <w:r>
              <w:t>4.3 Mise en valeur des connaissances et des compétences en matière de propriété intellectuelle dans tous les États membres.</w:t>
            </w:r>
          </w:p>
          <w:p w14:paraId="5C9F63D4" w14:textId="77777777" w:rsidR="00D44887" w:rsidRPr="00BB5C7A" w:rsidRDefault="00D44887" w:rsidP="002315D8">
            <w:pPr>
              <w:pStyle w:val="TableParagraph"/>
              <w:ind w:right="84"/>
              <w:rPr>
                <w:iCs/>
              </w:rPr>
            </w:pPr>
          </w:p>
          <w:p w14:paraId="69C59926" w14:textId="77777777" w:rsidR="00D44887" w:rsidRPr="00BB5C7A" w:rsidRDefault="00D44887" w:rsidP="002315D8">
            <w:pPr>
              <w:pStyle w:val="TableParagraph"/>
              <w:ind w:left="109" w:right="84"/>
              <w:rPr>
                <w:iCs/>
              </w:rPr>
            </w:pPr>
            <w:r>
              <w:t>4.4 Davantage d’innovateurs, de créateurs, de PME, d’universités, d’instituts de recherche et de communautés tirent profit de la propriété intellectuelle.</w:t>
            </w:r>
          </w:p>
          <w:p w14:paraId="5C913E8A" w14:textId="77777777" w:rsidR="00D44887" w:rsidRPr="006C7D9E" w:rsidRDefault="00D44887" w:rsidP="002315D8">
            <w:pPr>
              <w:pStyle w:val="TableParagraph"/>
              <w:ind w:right="84"/>
              <w:rPr>
                <w:iCs/>
              </w:rPr>
            </w:pPr>
          </w:p>
        </w:tc>
      </w:tr>
      <w:tr w:rsidR="00D44887" w:rsidRPr="006C7D9E" w14:paraId="66511A9F" w14:textId="77777777" w:rsidTr="002315D8">
        <w:trPr>
          <w:trHeight w:val="1071"/>
        </w:trPr>
        <w:tc>
          <w:tcPr>
            <w:tcW w:w="2377" w:type="dxa"/>
            <w:shd w:val="clear" w:color="auto" w:fill="68E089"/>
          </w:tcPr>
          <w:p w14:paraId="1CBB09CD" w14:textId="77777777" w:rsidR="00D44887" w:rsidRPr="006C7D9E" w:rsidRDefault="00D44887" w:rsidP="002315D8">
            <w:pPr>
              <w:pStyle w:val="TableParagraph"/>
              <w:ind w:left="110" w:right="378"/>
            </w:pPr>
            <w:r>
              <w:rPr>
                <w:u w:val="single"/>
              </w:rPr>
              <w:t>État d’avancement du projet</w:t>
            </w:r>
          </w:p>
        </w:tc>
        <w:tc>
          <w:tcPr>
            <w:tcW w:w="6913" w:type="dxa"/>
          </w:tcPr>
          <w:p w14:paraId="4E73C7BA" w14:textId="77777777" w:rsidR="00D44887" w:rsidRPr="006C7D9E" w:rsidRDefault="00D44887" w:rsidP="002315D8">
            <w:pPr>
              <w:pStyle w:val="TableParagraph"/>
              <w:ind w:left="109" w:right="84"/>
              <w:rPr>
                <w:iCs/>
              </w:rPr>
            </w:pPr>
            <w:r>
              <w:t>Depuis le dernier rapport d’avancement de décembre 2020, la mise en œuvre du projet a progressé dans les quatre pays participants, avec les résultats suivants :</w:t>
            </w:r>
          </w:p>
          <w:p w14:paraId="4AC204A2" w14:textId="77777777" w:rsidR="00D44887" w:rsidRPr="006C7D9E" w:rsidRDefault="00D44887" w:rsidP="002315D8">
            <w:pPr>
              <w:pStyle w:val="TableParagraph"/>
              <w:ind w:left="109" w:right="84"/>
              <w:rPr>
                <w:iCs/>
              </w:rPr>
            </w:pPr>
          </w:p>
          <w:p w14:paraId="1038A16E" w14:textId="77777777" w:rsidR="00D44887" w:rsidRPr="00BB5C7A" w:rsidRDefault="00D44887" w:rsidP="002315D8">
            <w:pPr>
              <w:pStyle w:val="TableParagraph"/>
              <w:ind w:left="109" w:right="84"/>
              <w:rPr>
                <w:bCs/>
                <w:iCs/>
                <w:u w:val="single"/>
              </w:rPr>
            </w:pPr>
            <w:r>
              <w:rPr>
                <w:u w:val="single"/>
              </w:rPr>
              <w:t>Cameroun</w:t>
            </w:r>
          </w:p>
          <w:p w14:paraId="6795C5FC" w14:textId="77777777" w:rsidR="00D44887" w:rsidRPr="006C7D9E" w:rsidRDefault="00D44887" w:rsidP="002315D8">
            <w:pPr>
              <w:pStyle w:val="TableParagraph"/>
              <w:ind w:left="109" w:right="84"/>
              <w:rPr>
                <w:b/>
                <w:iCs/>
              </w:rPr>
            </w:pPr>
          </w:p>
          <w:p w14:paraId="77D94A42" w14:textId="77777777" w:rsidR="00D44887" w:rsidRDefault="00D44887" w:rsidP="002315D8">
            <w:pPr>
              <w:pStyle w:val="TableParagraph"/>
              <w:numPr>
                <w:ilvl w:val="0"/>
                <w:numId w:val="57"/>
              </w:numPr>
              <w:ind w:right="84"/>
            </w:pPr>
            <w:r>
              <w:t>Étude exploratoire : le consultant a établi le projet d’étude exploratoire en juillet 2021 et élaboré une seconde version du projet en octobre 2021.  En décembre 2021, le consultant a établi une version définitive de l’étude exploratoire, qui intégrait les observations formulées au cours de la table ronde (voir ci-après).  L’étude exploratoire s’est concentrée sur 20 plats typiques.</w:t>
            </w:r>
          </w:p>
          <w:p w14:paraId="6602AD87" w14:textId="77777777" w:rsidR="00D44887" w:rsidRPr="006C7D9E" w:rsidRDefault="00D44887" w:rsidP="002315D8">
            <w:pPr>
              <w:pStyle w:val="TableParagraph"/>
              <w:numPr>
                <w:ilvl w:val="0"/>
                <w:numId w:val="57"/>
              </w:numPr>
              <w:ind w:right="84"/>
              <w:rPr>
                <w:iCs/>
              </w:rPr>
            </w:pPr>
            <w:r>
              <w:t>Table ronde : une table ronde avec les parties prenantes a été organisée par l’OMPI en coopération avec le Ministère du tourisme et des loisirs du Cameroun (MINTOUL) le 7 décembre 2021.  Elle a réuni une centaine de participants.  Dix spécialités ont été retenues pour l’analyse de la propriété intellectuelle et quatre spécialités ont été inscrites en réserve.</w:t>
            </w:r>
          </w:p>
          <w:p w14:paraId="0FC7EF16" w14:textId="77777777" w:rsidR="00D44887" w:rsidRPr="006C7D9E" w:rsidRDefault="00D44887" w:rsidP="002315D8">
            <w:pPr>
              <w:pStyle w:val="TableParagraph"/>
              <w:numPr>
                <w:ilvl w:val="0"/>
                <w:numId w:val="57"/>
              </w:numPr>
              <w:ind w:right="84"/>
              <w:rPr>
                <w:iCs/>
              </w:rPr>
            </w:pPr>
            <w:r>
              <w:t>Analyse de la propriété intellectuelle : le projet d’analyse de la propriété intellectuelle a été établi par le consultant en mai 2022 et la version finale a été réalisée en juin 2022.</w:t>
            </w:r>
          </w:p>
          <w:p w14:paraId="042BC6B5" w14:textId="77777777" w:rsidR="00D44887" w:rsidRPr="006C7D9E" w:rsidRDefault="00D44887" w:rsidP="002315D8">
            <w:pPr>
              <w:pStyle w:val="TableParagraph"/>
              <w:numPr>
                <w:ilvl w:val="0"/>
                <w:numId w:val="57"/>
              </w:numPr>
              <w:ind w:right="84"/>
              <w:rPr>
                <w:iCs/>
              </w:rPr>
            </w:pPr>
            <w:r>
              <w:t>Séminaire national : un séminaire national (de 150 participants) a été organisé par l’OMPI en coopération avec le MINTOUL le 24 juin 2022.</w:t>
            </w:r>
          </w:p>
          <w:p w14:paraId="1E72CB92" w14:textId="77777777" w:rsidR="00D44887" w:rsidRPr="006C7D9E" w:rsidRDefault="00D44887" w:rsidP="002315D8">
            <w:pPr>
              <w:pStyle w:val="TableParagraph"/>
              <w:ind w:left="109" w:right="84"/>
              <w:rPr>
                <w:iCs/>
              </w:rPr>
            </w:pPr>
          </w:p>
          <w:p w14:paraId="34F87442" w14:textId="77777777" w:rsidR="00D44887" w:rsidRPr="00BB5C7A" w:rsidRDefault="00D44887" w:rsidP="002315D8">
            <w:pPr>
              <w:pStyle w:val="TableParagraph"/>
              <w:ind w:left="109" w:right="84"/>
              <w:rPr>
                <w:bCs/>
                <w:iCs/>
                <w:u w:val="single"/>
              </w:rPr>
            </w:pPr>
            <w:r>
              <w:rPr>
                <w:u w:val="single"/>
              </w:rPr>
              <w:t>Malaisie</w:t>
            </w:r>
          </w:p>
          <w:p w14:paraId="3A90E81C" w14:textId="77777777" w:rsidR="00D44887" w:rsidRDefault="00D44887" w:rsidP="002315D8">
            <w:pPr>
              <w:pStyle w:val="TableParagraph"/>
              <w:ind w:right="84"/>
              <w:rPr>
                <w:iCs/>
              </w:rPr>
            </w:pPr>
          </w:p>
          <w:p w14:paraId="642555BB" w14:textId="77777777" w:rsidR="00D44887" w:rsidRPr="006C7D9E" w:rsidRDefault="00D44887" w:rsidP="002315D8">
            <w:pPr>
              <w:pStyle w:val="TableParagraph"/>
              <w:numPr>
                <w:ilvl w:val="0"/>
                <w:numId w:val="58"/>
              </w:numPr>
              <w:ind w:right="84"/>
              <w:rPr>
                <w:iCs/>
              </w:rPr>
            </w:pPr>
            <w:r>
              <w:t>Étude exploratoire : le consultant a établi le projet d’étude exploratoire en janvier 2021 et la version finale a été réalisée en novembre 2021.  L’étude exploratoire s’est concentrée sur 15 plats et recettes typiques.</w:t>
            </w:r>
          </w:p>
          <w:p w14:paraId="0756E5CA" w14:textId="77777777" w:rsidR="00D44887" w:rsidRPr="006C7D9E" w:rsidRDefault="00D44887" w:rsidP="002315D8">
            <w:pPr>
              <w:pStyle w:val="TableParagraph"/>
              <w:numPr>
                <w:ilvl w:val="0"/>
                <w:numId w:val="58"/>
              </w:numPr>
              <w:ind w:right="84"/>
              <w:rPr>
                <w:iCs/>
              </w:rPr>
            </w:pPr>
            <w:r>
              <w:t>Une table ronde avec les parties prenantes a été organisée par l’Office de la propriété intellectuelle de la Malaisie (MyIPO) en décembre 2021 pour examiner les résultats de l’étude exploratoire.  Sept spécialités ont été retenues pour l’analyse de la propriété intellectuelle.</w:t>
            </w:r>
          </w:p>
          <w:p w14:paraId="2BBA3DB7" w14:textId="77777777" w:rsidR="00D44887" w:rsidRPr="006C7D9E" w:rsidRDefault="00D44887" w:rsidP="002315D8">
            <w:pPr>
              <w:pStyle w:val="TableParagraph"/>
              <w:numPr>
                <w:ilvl w:val="0"/>
                <w:numId w:val="58"/>
              </w:numPr>
              <w:ind w:right="84"/>
              <w:rPr>
                <w:iCs/>
              </w:rPr>
            </w:pPr>
            <w:r>
              <w:t>Analyse de la propriété intellectuelle : un projet d’analyse de la propriété intellectuelle a été établi par le consultant en avril 2022 et la version finale a été réalisée en juin 2022.</w:t>
            </w:r>
          </w:p>
          <w:p w14:paraId="22DE6C53" w14:textId="77777777" w:rsidR="00D44887" w:rsidRDefault="00D44887" w:rsidP="002315D8">
            <w:pPr>
              <w:pStyle w:val="TableParagraph"/>
              <w:numPr>
                <w:ilvl w:val="0"/>
                <w:numId w:val="58"/>
              </w:numPr>
              <w:ind w:right="84"/>
            </w:pPr>
            <w:r>
              <w:lastRenderedPageBreak/>
              <w:t>Séminaire national : un séminaire national a été organisé par l’OMPI en coopération avec MyIPO en juin 2022.  Plus de 30 parties prenantes y ont participé.</w:t>
            </w:r>
          </w:p>
          <w:p w14:paraId="49EE73A2" w14:textId="77777777" w:rsidR="00D44887" w:rsidRPr="006C7D9E" w:rsidRDefault="00D44887" w:rsidP="002315D8">
            <w:pPr>
              <w:pStyle w:val="TableParagraph"/>
              <w:ind w:left="109" w:right="84"/>
              <w:rPr>
                <w:iCs/>
              </w:rPr>
            </w:pPr>
          </w:p>
          <w:p w14:paraId="5BD6F2A1" w14:textId="77777777" w:rsidR="00D44887" w:rsidRPr="00BB5C7A" w:rsidRDefault="00D44887" w:rsidP="002315D8">
            <w:pPr>
              <w:pStyle w:val="TableParagraph"/>
              <w:ind w:left="109" w:right="84"/>
              <w:rPr>
                <w:bCs/>
                <w:iCs/>
                <w:u w:val="single"/>
              </w:rPr>
            </w:pPr>
            <w:r>
              <w:rPr>
                <w:u w:val="single"/>
              </w:rPr>
              <w:t>Maroc</w:t>
            </w:r>
          </w:p>
          <w:p w14:paraId="6026F017" w14:textId="77777777" w:rsidR="00D44887" w:rsidRDefault="00D44887" w:rsidP="002315D8">
            <w:pPr>
              <w:pStyle w:val="TableParagraph"/>
              <w:ind w:right="84"/>
              <w:rPr>
                <w:iCs/>
              </w:rPr>
            </w:pPr>
          </w:p>
          <w:p w14:paraId="50D587E2" w14:textId="77777777" w:rsidR="00D44887" w:rsidRPr="006C7D9E" w:rsidRDefault="00D44887" w:rsidP="002315D8">
            <w:pPr>
              <w:pStyle w:val="TableParagraph"/>
              <w:numPr>
                <w:ilvl w:val="0"/>
                <w:numId w:val="59"/>
              </w:numPr>
              <w:ind w:right="84"/>
              <w:rPr>
                <w:iCs/>
              </w:rPr>
            </w:pPr>
            <w:r>
              <w:t>Étude exploratoire : le consultant désigné pour l’élaboration de l’étude exploratoire a établi le projet d’étude exploratoire en mars 2021 et la version finale de l’étude a été réalisée en novembre 2021.  L’étude exploratoire s’est concentrée sur 13 spécialités culinaires.</w:t>
            </w:r>
          </w:p>
          <w:p w14:paraId="2ACAC7AA" w14:textId="77777777" w:rsidR="00D44887" w:rsidRPr="006C7D9E" w:rsidRDefault="00D44887" w:rsidP="002315D8">
            <w:pPr>
              <w:pStyle w:val="TableParagraph"/>
              <w:numPr>
                <w:ilvl w:val="0"/>
                <w:numId w:val="59"/>
              </w:numPr>
              <w:ind w:right="84"/>
              <w:rPr>
                <w:iCs/>
              </w:rPr>
            </w:pPr>
            <w:r>
              <w:t>Une table ronde avec les parties prenantes a été organisée par l’Office marocain de la propriété industrielle et commerciale (OMPIC) pour examiner les résultats de l’étude exploratoire.  Six spécialités ont été retenues pour l’analyse de la propriété intellectuelle.</w:t>
            </w:r>
          </w:p>
          <w:p w14:paraId="405A8113" w14:textId="77777777" w:rsidR="00D44887" w:rsidRPr="006C7D9E" w:rsidRDefault="00D44887" w:rsidP="002315D8">
            <w:pPr>
              <w:pStyle w:val="TableParagraph"/>
              <w:numPr>
                <w:ilvl w:val="0"/>
                <w:numId w:val="59"/>
              </w:numPr>
              <w:ind w:right="84"/>
              <w:rPr>
                <w:iCs/>
              </w:rPr>
            </w:pPr>
            <w:r>
              <w:t>Analyse de la propriété intellectuelle : un projet d’analyse de la propriété intellectuelle a été établi par le consultant en avril 2022 et la version finale a été réalisée en juin 2022.</w:t>
            </w:r>
          </w:p>
          <w:p w14:paraId="6B169835" w14:textId="77777777" w:rsidR="00D44887" w:rsidRDefault="00D44887" w:rsidP="002315D8">
            <w:pPr>
              <w:pStyle w:val="TableParagraph"/>
              <w:numPr>
                <w:ilvl w:val="0"/>
                <w:numId w:val="59"/>
              </w:numPr>
              <w:ind w:right="84"/>
              <w:rPr>
                <w:iCs/>
              </w:rPr>
            </w:pPr>
            <w:r>
              <w:t>Un séminaire national est prévu à Casablanca en septembre 2022.</w:t>
            </w:r>
          </w:p>
          <w:p w14:paraId="5CDA0F14" w14:textId="77777777" w:rsidR="00D44887" w:rsidRPr="00BB5C7A" w:rsidRDefault="00D44887" w:rsidP="002315D8">
            <w:pPr>
              <w:pStyle w:val="TableParagraph"/>
              <w:ind w:left="109" w:right="84"/>
              <w:rPr>
                <w:bCs/>
                <w:iCs/>
                <w:u w:val="single"/>
              </w:rPr>
            </w:pPr>
            <w:r>
              <w:rPr>
                <w:u w:val="single"/>
              </w:rPr>
              <w:t>Pérou</w:t>
            </w:r>
          </w:p>
          <w:p w14:paraId="34816CC6" w14:textId="77777777" w:rsidR="00D44887" w:rsidRDefault="00D44887" w:rsidP="002315D8">
            <w:pPr>
              <w:pStyle w:val="TableParagraph"/>
              <w:ind w:right="84"/>
              <w:rPr>
                <w:iCs/>
              </w:rPr>
            </w:pPr>
          </w:p>
          <w:p w14:paraId="6436C118" w14:textId="77777777" w:rsidR="00D44887" w:rsidRDefault="00D44887" w:rsidP="002315D8">
            <w:pPr>
              <w:pStyle w:val="TableParagraph"/>
              <w:numPr>
                <w:ilvl w:val="0"/>
                <w:numId w:val="60"/>
              </w:numPr>
              <w:ind w:right="84"/>
            </w:pPr>
            <w:r>
              <w:t>Analyse de la propriété intellectuelle : l’analyse de la propriété intellectuelle a pris fin en mars 2022.</w:t>
            </w:r>
          </w:p>
          <w:p w14:paraId="239A9567" w14:textId="77777777" w:rsidR="00D44887" w:rsidRPr="006C7D9E" w:rsidRDefault="00D44887" w:rsidP="002315D8">
            <w:pPr>
              <w:pStyle w:val="TableParagraph"/>
              <w:numPr>
                <w:ilvl w:val="0"/>
                <w:numId w:val="60"/>
              </w:numPr>
              <w:ind w:right="84"/>
              <w:rPr>
                <w:iCs/>
              </w:rPr>
            </w:pPr>
            <w:r>
              <w:t>Séminaire national : un séminaire national organisé par l’OMPI et l’Institut national pour la défense de la concurrence et la protection de la propriété intellectuelle du Pérou (INDECOPI) s’est déroulé en juin 2022.  Le séminaire a réuni 70 participants sur place et 171 participants à distance.</w:t>
            </w:r>
          </w:p>
          <w:p w14:paraId="7C626888" w14:textId="77777777" w:rsidR="00D44887" w:rsidRPr="006C7D9E" w:rsidRDefault="00D44887" w:rsidP="002315D8">
            <w:pPr>
              <w:pStyle w:val="TableParagraph"/>
              <w:ind w:left="109" w:right="84"/>
              <w:rPr>
                <w:iCs/>
              </w:rPr>
            </w:pPr>
          </w:p>
        </w:tc>
      </w:tr>
      <w:tr w:rsidR="00D44887" w:rsidRPr="006C7D9E" w14:paraId="5FE9B4E4" w14:textId="77777777" w:rsidTr="002315D8">
        <w:trPr>
          <w:trHeight w:val="801"/>
        </w:trPr>
        <w:tc>
          <w:tcPr>
            <w:tcW w:w="2377" w:type="dxa"/>
            <w:shd w:val="clear" w:color="auto" w:fill="68E089"/>
          </w:tcPr>
          <w:p w14:paraId="50773148" w14:textId="77777777" w:rsidR="00D44887" w:rsidRPr="006C7D9E" w:rsidRDefault="00D44887" w:rsidP="002315D8">
            <w:pPr>
              <w:pStyle w:val="TableParagraph"/>
              <w:spacing w:line="242" w:lineRule="auto"/>
              <w:ind w:left="110" w:right="708"/>
            </w:pPr>
            <w:r>
              <w:rPr>
                <w:u w:val="single"/>
              </w:rPr>
              <w:lastRenderedPageBreak/>
              <w:t>Premiers résultats observés</w:t>
            </w:r>
          </w:p>
        </w:tc>
        <w:tc>
          <w:tcPr>
            <w:tcW w:w="6913" w:type="dxa"/>
          </w:tcPr>
          <w:p w14:paraId="07AA8A1A" w14:textId="77777777" w:rsidR="00D44887" w:rsidRPr="00BB5C7A" w:rsidRDefault="00D44887" w:rsidP="002315D8">
            <w:pPr>
              <w:pStyle w:val="TableParagraph"/>
              <w:ind w:left="109" w:right="84"/>
              <w:rPr>
                <w:bCs/>
                <w:iCs/>
              </w:rPr>
            </w:pPr>
            <w:r>
              <w:t>Exemples de premiers résultats observés :</w:t>
            </w:r>
          </w:p>
          <w:p w14:paraId="3480ACFC" w14:textId="77777777" w:rsidR="00D44887" w:rsidRPr="00BB5C7A" w:rsidRDefault="00D44887" w:rsidP="002315D8">
            <w:pPr>
              <w:pStyle w:val="TableParagraph"/>
              <w:ind w:left="109" w:right="84"/>
              <w:rPr>
                <w:iCs/>
              </w:rPr>
            </w:pPr>
          </w:p>
          <w:p w14:paraId="47791976" w14:textId="77777777" w:rsidR="00D44887" w:rsidRPr="00BB5C7A" w:rsidRDefault="00D44887" w:rsidP="002315D8">
            <w:pPr>
              <w:pStyle w:val="TableParagraph"/>
              <w:numPr>
                <w:ilvl w:val="0"/>
                <w:numId w:val="61"/>
              </w:numPr>
              <w:ind w:right="84"/>
              <w:rPr>
                <w:iCs/>
              </w:rPr>
            </w:pPr>
            <w:r>
              <w:t>Processus uniforme pour la réalisation de l’analyse de la propriété intellectuelle au Cameroun, en Malaisie et au Maroc grâce à une communication et à une collaboration accrues entre les équipes de gestion du projet de l’OMPI, les coordonnateurs locaux du projet et les consultants désignés.</w:t>
            </w:r>
          </w:p>
          <w:p w14:paraId="0BD29C83" w14:textId="77777777" w:rsidR="00D44887" w:rsidRDefault="00D44887" w:rsidP="002315D8">
            <w:pPr>
              <w:pStyle w:val="TableParagraph"/>
              <w:numPr>
                <w:ilvl w:val="0"/>
                <w:numId w:val="61"/>
              </w:numPr>
              <w:ind w:right="84"/>
            </w:pPr>
            <w:r>
              <w:t>Organisation rodée des tables rondes et des séminaires nationaux (forme hybride).</w:t>
            </w:r>
          </w:p>
          <w:p w14:paraId="29CAFC7F" w14:textId="77777777" w:rsidR="00D44887" w:rsidRPr="00BB5C7A" w:rsidRDefault="00D44887" w:rsidP="002315D8">
            <w:pPr>
              <w:pStyle w:val="TableParagraph"/>
              <w:numPr>
                <w:ilvl w:val="0"/>
                <w:numId w:val="61"/>
              </w:numPr>
              <w:ind w:right="84"/>
              <w:rPr>
                <w:iCs/>
              </w:rPr>
            </w:pPr>
            <w:r>
              <w:t>Les séminaires qui se sont déroulés au cours de la période considérée (à l’exception du séminaire national du Maroc, prévu pour septembre 2022) ont tous été un succès et ont eu un impact positif en termes de compréhension et de perception du projet, d’après les observations communiquées par les participants.</w:t>
            </w:r>
          </w:p>
          <w:p w14:paraId="6B4562BC" w14:textId="77777777" w:rsidR="00D44887" w:rsidRPr="006C7D9E" w:rsidRDefault="00D44887" w:rsidP="002315D8">
            <w:pPr>
              <w:pStyle w:val="TableParagraph"/>
              <w:ind w:left="109" w:right="84"/>
              <w:rPr>
                <w:iCs/>
              </w:rPr>
            </w:pPr>
          </w:p>
        </w:tc>
      </w:tr>
      <w:tr w:rsidR="00D44887" w:rsidRPr="006C7D9E" w14:paraId="130C1254" w14:textId="77777777" w:rsidTr="002315D8">
        <w:trPr>
          <w:trHeight w:val="703"/>
        </w:trPr>
        <w:tc>
          <w:tcPr>
            <w:tcW w:w="2377" w:type="dxa"/>
            <w:shd w:val="clear" w:color="auto" w:fill="68E089"/>
          </w:tcPr>
          <w:p w14:paraId="23CD6C91" w14:textId="77777777" w:rsidR="00D44887" w:rsidRPr="006C7D9E" w:rsidRDefault="00D44887" w:rsidP="002315D8">
            <w:pPr>
              <w:pStyle w:val="TableParagraph"/>
              <w:spacing w:before="1"/>
              <w:ind w:left="110" w:right="279"/>
            </w:pPr>
            <w:r>
              <w:rPr>
                <w:u w:val="single"/>
              </w:rPr>
              <w:t>Expérience acquise et enseignements tirés</w:t>
            </w:r>
          </w:p>
        </w:tc>
        <w:tc>
          <w:tcPr>
            <w:tcW w:w="6913" w:type="dxa"/>
          </w:tcPr>
          <w:p w14:paraId="1ACAB312" w14:textId="77777777" w:rsidR="00D44887" w:rsidRDefault="00D44887" w:rsidP="002315D8">
            <w:pPr>
              <w:pStyle w:val="TableParagraph"/>
              <w:ind w:left="109" w:right="84"/>
            </w:pPr>
            <w:r>
              <w:t>Voici quelques-uns des principaux enseignements tirés jusqu’alors :</w:t>
            </w:r>
          </w:p>
          <w:p w14:paraId="6D447C73" w14:textId="77777777" w:rsidR="00D44887" w:rsidRPr="00BB5C7A" w:rsidRDefault="00D44887" w:rsidP="002315D8">
            <w:pPr>
              <w:pStyle w:val="TableParagraph"/>
              <w:ind w:left="109" w:right="84"/>
              <w:rPr>
                <w:iCs/>
              </w:rPr>
            </w:pPr>
          </w:p>
          <w:p w14:paraId="7767297B" w14:textId="77777777" w:rsidR="00D44887" w:rsidRPr="00BB5C7A" w:rsidRDefault="00D44887" w:rsidP="002315D8">
            <w:pPr>
              <w:pStyle w:val="TableParagraph"/>
              <w:numPr>
                <w:ilvl w:val="0"/>
                <w:numId w:val="62"/>
              </w:numPr>
              <w:ind w:right="84"/>
              <w:rPr>
                <w:iCs/>
              </w:rPr>
            </w:pPr>
            <w:r>
              <w:t xml:space="preserve">Le choix des consultants est une condition essentielle au succès de la réalisation des résultats visés.  Il s’agit de consacrer suffisamment de temps à l’examen des différents profils et de communiquer avec les coordonnateurs locaux </w:t>
            </w:r>
            <w:r>
              <w:lastRenderedPageBreak/>
              <w:t>du projet, qui doivent prendre une part active au processus de sélection.</w:t>
            </w:r>
          </w:p>
          <w:p w14:paraId="4BAF4E7E" w14:textId="77777777" w:rsidR="00D44887" w:rsidRPr="00BB5C7A" w:rsidRDefault="00D44887" w:rsidP="002315D8">
            <w:pPr>
              <w:pStyle w:val="TableParagraph"/>
              <w:ind w:left="109" w:right="84"/>
              <w:rPr>
                <w:iCs/>
              </w:rPr>
            </w:pPr>
          </w:p>
          <w:p w14:paraId="1F630686" w14:textId="77777777" w:rsidR="00D44887" w:rsidRDefault="00D44887" w:rsidP="002315D8">
            <w:pPr>
              <w:pStyle w:val="TableParagraph"/>
              <w:numPr>
                <w:ilvl w:val="0"/>
                <w:numId w:val="62"/>
              </w:numPr>
              <w:ind w:right="84"/>
            </w:pPr>
            <w:r>
              <w:t>Les personnes ayant participé à la table ronde et au séminaire national ont exprimé un grand intérêt pour les questions de propriété intellectuelle ainsi que l’envie d’en apprendre davantage sur ce thème lorsqu’elles ont examiné des exemples concrets d’utilisation de la propriété intellectuelle dans les stratégies commerciales présentées par des entrepreneurs prospères de leur région.  L’examen des enquêtes a démontré que la présentation d’exemples concrets du fonctionnement de la propriété intellectuelle augmentait le niveau d’attention et d’interaction des participants.</w:t>
            </w:r>
          </w:p>
          <w:p w14:paraId="34FE18D9" w14:textId="77777777" w:rsidR="00D44887" w:rsidRPr="006C7D9E" w:rsidRDefault="00D44887" w:rsidP="002315D8">
            <w:pPr>
              <w:pStyle w:val="TableParagraph"/>
              <w:ind w:right="84"/>
              <w:rPr>
                <w:iCs/>
              </w:rPr>
            </w:pPr>
          </w:p>
        </w:tc>
      </w:tr>
      <w:tr w:rsidR="00D44887" w:rsidRPr="006C7D9E" w14:paraId="50CEB232" w14:textId="77777777" w:rsidTr="002315D8">
        <w:trPr>
          <w:trHeight w:val="1423"/>
        </w:trPr>
        <w:tc>
          <w:tcPr>
            <w:tcW w:w="2377" w:type="dxa"/>
            <w:shd w:val="clear" w:color="auto" w:fill="68E089"/>
          </w:tcPr>
          <w:p w14:paraId="5127DDA8" w14:textId="77777777" w:rsidR="00D44887" w:rsidRPr="006C7D9E" w:rsidRDefault="00D44887" w:rsidP="002315D8">
            <w:pPr>
              <w:pStyle w:val="TableParagraph"/>
              <w:ind w:left="110"/>
            </w:pPr>
            <w:r>
              <w:rPr>
                <w:u w:val="single"/>
              </w:rPr>
              <w:lastRenderedPageBreak/>
              <w:t>Risques et mesures d’atténuation</w:t>
            </w:r>
          </w:p>
        </w:tc>
        <w:tc>
          <w:tcPr>
            <w:tcW w:w="6913" w:type="dxa"/>
          </w:tcPr>
          <w:p w14:paraId="016F5844" w14:textId="77777777" w:rsidR="00D44887" w:rsidRDefault="00D44887" w:rsidP="002315D8">
            <w:pPr>
              <w:pStyle w:val="TableParagraph"/>
              <w:ind w:left="109" w:right="84"/>
              <w:rPr>
                <w:iCs/>
              </w:rPr>
            </w:pPr>
            <w:r>
              <w:rPr>
                <w:u w:val="single"/>
              </w:rPr>
              <w:t>Risque :</w:t>
            </w:r>
            <w:r>
              <w:t xml:space="preserve"> les restrictions liées à la pandémie de COVID-19 peuvent encore se répercuter sur l’organisation de deux activités à venir, à savoir le séminaire national du Maroc et l’atelier international de Genève.</w:t>
            </w:r>
          </w:p>
          <w:p w14:paraId="2799E133" w14:textId="77777777" w:rsidR="00D44887" w:rsidRPr="00BB5C7A" w:rsidRDefault="00D44887" w:rsidP="002315D8">
            <w:pPr>
              <w:pStyle w:val="TableParagraph"/>
              <w:ind w:left="109" w:right="84"/>
              <w:rPr>
                <w:iCs/>
              </w:rPr>
            </w:pPr>
          </w:p>
          <w:p w14:paraId="556139B8" w14:textId="77777777" w:rsidR="00D44887" w:rsidRPr="00BB5C7A" w:rsidRDefault="00D44887" w:rsidP="002315D8">
            <w:pPr>
              <w:pStyle w:val="TableParagraph"/>
              <w:ind w:left="109" w:right="84"/>
              <w:rPr>
                <w:iCs/>
              </w:rPr>
            </w:pPr>
            <w:r>
              <w:rPr>
                <w:u w:val="single"/>
              </w:rPr>
              <w:t>Stratégies d’atténuation :</w:t>
            </w:r>
            <w:r>
              <w:t xml:space="preserve"> organisation des activités sous une forme hybride, si nécessaire.</w:t>
            </w:r>
          </w:p>
          <w:p w14:paraId="0DF0252C" w14:textId="77777777" w:rsidR="00D44887" w:rsidRPr="00BB5C7A" w:rsidRDefault="00D44887" w:rsidP="002315D8">
            <w:pPr>
              <w:tabs>
                <w:tab w:val="left" w:pos="2325"/>
              </w:tabs>
            </w:pPr>
          </w:p>
        </w:tc>
      </w:tr>
      <w:tr w:rsidR="00D44887" w:rsidRPr="006C7D9E" w14:paraId="149C637C" w14:textId="77777777" w:rsidTr="002315D8">
        <w:trPr>
          <w:trHeight w:val="1017"/>
        </w:trPr>
        <w:tc>
          <w:tcPr>
            <w:tcW w:w="2377" w:type="dxa"/>
            <w:shd w:val="clear" w:color="auto" w:fill="68E089"/>
          </w:tcPr>
          <w:p w14:paraId="2496FE42" w14:textId="77777777" w:rsidR="00D44887" w:rsidRPr="006C7D9E" w:rsidRDefault="00D44887" w:rsidP="002315D8">
            <w:pPr>
              <w:pStyle w:val="TableParagraph"/>
              <w:ind w:left="110" w:right="536"/>
            </w:pPr>
            <w:r>
              <w:rPr>
                <w:u w:val="single"/>
              </w:rPr>
              <w:t>Questions nécessitant un soutien ou une attention immédiate</w:t>
            </w:r>
          </w:p>
        </w:tc>
        <w:tc>
          <w:tcPr>
            <w:tcW w:w="6913" w:type="dxa"/>
          </w:tcPr>
          <w:p w14:paraId="4FA4F880" w14:textId="77777777" w:rsidR="00D44887" w:rsidRPr="00BB5C7A" w:rsidRDefault="00D44887" w:rsidP="002315D8">
            <w:pPr>
              <w:pStyle w:val="TableParagraph"/>
              <w:ind w:left="109" w:right="84"/>
              <w:rPr>
                <w:iCs/>
              </w:rPr>
            </w:pPr>
            <w:r>
              <w:t>Le projet est en cours de mise en œuvre selon le calendrier révisé et approuvé par le CDIP à sa vingt-sixième session.  Aucune question ne nécessite un soutien ou une attention immédiate.</w:t>
            </w:r>
          </w:p>
          <w:p w14:paraId="06DE2E21" w14:textId="77777777" w:rsidR="00D44887" w:rsidRPr="006C7D9E" w:rsidRDefault="00D44887" w:rsidP="002315D8">
            <w:pPr>
              <w:pStyle w:val="TableParagraph"/>
              <w:ind w:left="109" w:right="84"/>
              <w:rPr>
                <w:iCs/>
              </w:rPr>
            </w:pPr>
          </w:p>
        </w:tc>
      </w:tr>
      <w:tr w:rsidR="00D44887" w:rsidRPr="006C7D9E" w14:paraId="03E7F779" w14:textId="77777777" w:rsidTr="002315D8">
        <w:trPr>
          <w:trHeight w:val="469"/>
        </w:trPr>
        <w:tc>
          <w:tcPr>
            <w:tcW w:w="2377" w:type="dxa"/>
            <w:shd w:val="clear" w:color="auto" w:fill="68E089"/>
          </w:tcPr>
          <w:p w14:paraId="4EA14810" w14:textId="77777777" w:rsidR="00D44887" w:rsidRPr="006C7D9E" w:rsidRDefault="00D44887" w:rsidP="002315D8">
            <w:pPr>
              <w:pStyle w:val="TableParagraph"/>
              <w:ind w:left="110"/>
            </w:pPr>
            <w:r>
              <w:rPr>
                <w:u w:val="single"/>
              </w:rPr>
              <w:t>Voie à suivre</w:t>
            </w:r>
          </w:p>
        </w:tc>
        <w:tc>
          <w:tcPr>
            <w:tcW w:w="6913" w:type="dxa"/>
          </w:tcPr>
          <w:p w14:paraId="1C567A9C" w14:textId="77777777" w:rsidR="00D44887" w:rsidRDefault="00D44887" w:rsidP="002315D8">
            <w:pPr>
              <w:pStyle w:val="TableParagraph"/>
              <w:ind w:left="109" w:right="84"/>
              <w:rPr>
                <w:iCs/>
              </w:rPr>
            </w:pPr>
            <w:r>
              <w:t>Deux activités sont prévues au quatrième trimestre 2022, à savoir le séminaire national du Maroc (reporté au mois de septembre) et l’atelier international, qui se tiendra à Genève le 18 octobre 2022.</w:t>
            </w:r>
          </w:p>
          <w:p w14:paraId="3CAA829F" w14:textId="77777777" w:rsidR="00D44887" w:rsidRPr="00BB5C7A" w:rsidRDefault="00D44887" w:rsidP="002315D8">
            <w:pPr>
              <w:pStyle w:val="TableParagraph"/>
              <w:ind w:left="109" w:right="84"/>
              <w:rPr>
                <w:iCs/>
              </w:rPr>
            </w:pPr>
          </w:p>
          <w:p w14:paraId="7461E054" w14:textId="77777777" w:rsidR="00D44887" w:rsidRPr="00BB5C7A" w:rsidRDefault="00D44887" w:rsidP="002315D8">
            <w:pPr>
              <w:pStyle w:val="TableParagraph"/>
              <w:ind w:left="109" w:right="84"/>
              <w:rPr>
                <w:iCs/>
              </w:rPr>
            </w:pPr>
            <w:r>
              <w:t>Un événement organisé en marge de la session du CDIP se tiendra le 19 octobre 2022 pour présenter les résultats du projet dans les quatre pays.</w:t>
            </w:r>
          </w:p>
          <w:p w14:paraId="69E7FD29" w14:textId="77777777" w:rsidR="00D44887" w:rsidRPr="006C7D9E" w:rsidRDefault="00D44887" w:rsidP="002315D8">
            <w:pPr>
              <w:pStyle w:val="TableParagraph"/>
              <w:ind w:left="109" w:right="458"/>
            </w:pPr>
          </w:p>
        </w:tc>
      </w:tr>
      <w:tr w:rsidR="00D44887" w:rsidRPr="006C7D9E" w14:paraId="1B4D6CEE" w14:textId="77777777" w:rsidTr="002315D8">
        <w:trPr>
          <w:trHeight w:val="631"/>
        </w:trPr>
        <w:tc>
          <w:tcPr>
            <w:tcW w:w="2377" w:type="dxa"/>
            <w:shd w:val="clear" w:color="auto" w:fill="68E089"/>
          </w:tcPr>
          <w:p w14:paraId="750D8DCF" w14:textId="77777777" w:rsidR="00D44887" w:rsidRPr="006C7D9E" w:rsidRDefault="00D44887" w:rsidP="002315D8">
            <w:pPr>
              <w:pStyle w:val="TableParagraph"/>
              <w:spacing w:before="1"/>
              <w:ind w:left="110" w:right="732"/>
            </w:pPr>
            <w:r>
              <w:rPr>
                <w:u w:val="single"/>
              </w:rPr>
              <w:t>Calendrier de mise en œuvre</w:t>
            </w:r>
          </w:p>
        </w:tc>
        <w:tc>
          <w:tcPr>
            <w:tcW w:w="6913" w:type="dxa"/>
          </w:tcPr>
          <w:p w14:paraId="24062886" w14:textId="77777777" w:rsidR="00D44887" w:rsidRPr="006C7D9E" w:rsidRDefault="00D44887" w:rsidP="002315D8">
            <w:pPr>
              <w:pStyle w:val="TableParagraph"/>
              <w:spacing w:before="1"/>
              <w:ind w:left="109"/>
            </w:pPr>
            <w:r>
              <w:t xml:space="preserve">Le projet est en cours de mise en œuvre selon le calendrier présenté au CDIP, et approuvé par le comité, à sa vingt-sixième session.  </w:t>
            </w:r>
          </w:p>
        </w:tc>
      </w:tr>
      <w:tr w:rsidR="00D44887" w:rsidRPr="006C7D9E" w14:paraId="4FF5E50C" w14:textId="77777777" w:rsidTr="002315D8">
        <w:trPr>
          <w:trHeight w:val="613"/>
        </w:trPr>
        <w:tc>
          <w:tcPr>
            <w:tcW w:w="2377" w:type="dxa"/>
            <w:shd w:val="clear" w:color="auto" w:fill="68E089"/>
          </w:tcPr>
          <w:p w14:paraId="0458AE8C" w14:textId="77777777" w:rsidR="00D44887" w:rsidRPr="006C7D9E" w:rsidRDefault="00D44887" w:rsidP="002315D8">
            <w:pPr>
              <w:pStyle w:val="TableParagraph"/>
              <w:ind w:left="110" w:right="220"/>
            </w:pPr>
            <w:r>
              <w:rPr>
                <w:u w:val="single"/>
              </w:rPr>
              <w:t>Taux de réalisation du projet</w:t>
            </w:r>
          </w:p>
        </w:tc>
        <w:tc>
          <w:tcPr>
            <w:tcW w:w="6913" w:type="dxa"/>
          </w:tcPr>
          <w:p w14:paraId="592CDA4B" w14:textId="77777777" w:rsidR="00D44887" w:rsidRPr="00BB5C7A" w:rsidRDefault="00D44887" w:rsidP="002315D8">
            <w:pPr>
              <w:pStyle w:val="TableParagraph"/>
              <w:ind w:left="109" w:right="84"/>
            </w:pPr>
            <w:r>
              <w:t>Le taux d’exécution du budget à la fin juillet 2022, proportionnel au budget total alloué pour le projet, a été de 20%.</w:t>
            </w:r>
          </w:p>
          <w:p w14:paraId="28BF5A3F" w14:textId="77777777" w:rsidR="00D44887" w:rsidRPr="006C7D9E" w:rsidRDefault="00D44887" w:rsidP="002315D8">
            <w:pPr>
              <w:pStyle w:val="TableParagraph"/>
              <w:ind w:left="109" w:right="84"/>
            </w:pPr>
          </w:p>
        </w:tc>
      </w:tr>
      <w:tr w:rsidR="00D44887" w:rsidRPr="006C7D9E" w14:paraId="06877B2A" w14:textId="77777777" w:rsidTr="002315D8">
        <w:trPr>
          <w:trHeight w:val="703"/>
        </w:trPr>
        <w:tc>
          <w:tcPr>
            <w:tcW w:w="2377" w:type="dxa"/>
            <w:shd w:val="clear" w:color="auto" w:fill="68E089"/>
          </w:tcPr>
          <w:p w14:paraId="2760E61C" w14:textId="77777777" w:rsidR="00D44887" w:rsidRPr="006C7D9E" w:rsidRDefault="00D44887" w:rsidP="002315D8">
            <w:pPr>
              <w:pStyle w:val="TableParagraph"/>
              <w:ind w:left="110"/>
            </w:pPr>
            <w:r>
              <w:rPr>
                <w:u w:val="single"/>
              </w:rPr>
              <w:t>Rapports précédents</w:t>
            </w:r>
          </w:p>
        </w:tc>
        <w:tc>
          <w:tcPr>
            <w:tcW w:w="6913" w:type="dxa"/>
          </w:tcPr>
          <w:p w14:paraId="4B689777" w14:textId="77777777" w:rsidR="00D44887" w:rsidRPr="006C7D9E" w:rsidRDefault="00D44887" w:rsidP="002315D8">
            <w:pPr>
              <w:pStyle w:val="TableParagraph"/>
              <w:ind w:left="109" w:right="892"/>
            </w:pPr>
            <w:r>
              <w:t>Il s’agit du troisième rapport présenté au CDIP.  Le premier rapport d’avancement figure dans l’annexe IV du document CDIP/24/2 et le deuxième rapport d’avancement figure dans l’annexe V du document CDIP/26/2.</w:t>
            </w:r>
          </w:p>
        </w:tc>
      </w:tr>
    </w:tbl>
    <w:p w14:paraId="168C9FF3" w14:textId="77777777" w:rsidR="00D44887" w:rsidRDefault="00D44887" w:rsidP="00D44887">
      <w:pPr>
        <w:ind w:left="130"/>
        <w:rPr>
          <w:highlight w:val="yellow"/>
        </w:rPr>
      </w:pPr>
    </w:p>
    <w:p w14:paraId="6F34A599" w14:textId="77777777" w:rsidR="00D44887" w:rsidRPr="00C6096E" w:rsidRDefault="00D44887" w:rsidP="00660A1D">
      <w:pPr>
        <w:pStyle w:val="BodyText"/>
        <w:keepNext/>
        <w:ind w:left="130"/>
      </w:pPr>
      <w:r>
        <w:lastRenderedPageBreak/>
        <w:t>AUTO-ÉVALUATION DU PROJET</w:t>
      </w:r>
    </w:p>
    <w:p w14:paraId="51C1DAF6" w14:textId="77777777" w:rsidR="00D44887" w:rsidRPr="00C6096E" w:rsidRDefault="00D44887" w:rsidP="00660A1D">
      <w:pPr>
        <w:pStyle w:val="BodyText"/>
        <w:keepNext/>
        <w:ind w:left="136"/>
      </w:pPr>
      <w:r>
        <w:t>Code d’évaluation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1"/>
        <w:gridCol w:w="1843"/>
        <w:gridCol w:w="1842"/>
        <w:gridCol w:w="1843"/>
        <w:gridCol w:w="1981"/>
      </w:tblGrid>
      <w:tr w:rsidR="00D44887" w:rsidRPr="00C6096E" w14:paraId="120FD200" w14:textId="77777777" w:rsidTr="002315D8">
        <w:trPr>
          <w:trHeight w:val="470"/>
        </w:trPr>
        <w:tc>
          <w:tcPr>
            <w:tcW w:w="1841" w:type="dxa"/>
            <w:shd w:val="clear" w:color="auto" w:fill="7BBEDA"/>
          </w:tcPr>
          <w:p w14:paraId="14F9FD4A" w14:textId="77777777" w:rsidR="00D44887" w:rsidRPr="00C6096E" w:rsidRDefault="00D44887" w:rsidP="00660A1D">
            <w:pPr>
              <w:pStyle w:val="TableParagraph"/>
              <w:keepNext/>
              <w:spacing w:before="106"/>
              <w:ind w:left="110"/>
            </w:pPr>
            <w:r>
              <w:t>****</w:t>
            </w:r>
          </w:p>
        </w:tc>
        <w:tc>
          <w:tcPr>
            <w:tcW w:w="1843" w:type="dxa"/>
            <w:shd w:val="clear" w:color="auto" w:fill="7BBEDA"/>
          </w:tcPr>
          <w:p w14:paraId="5576C544" w14:textId="77777777" w:rsidR="00D44887" w:rsidRPr="00C6096E" w:rsidRDefault="00D44887" w:rsidP="00660A1D">
            <w:pPr>
              <w:pStyle w:val="TableParagraph"/>
              <w:keepNext/>
              <w:spacing w:before="106"/>
              <w:ind w:left="110"/>
            </w:pPr>
            <w:r>
              <w:t>***</w:t>
            </w:r>
          </w:p>
        </w:tc>
        <w:tc>
          <w:tcPr>
            <w:tcW w:w="1842" w:type="dxa"/>
            <w:shd w:val="clear" w:color="auto" w:fill="7BBEDA"/>
          </w:tcPr>
          <w:p w14:paraId="487AA32F" w14:textId="77777777" w:rsidR="00D44887" w:rsidRPr="00C6096E" w:rsidRDefault="00D44887" w:rsidP="00660A1D">
            <w:pPr>
              <w:pStyle w:val="TableParagraph"/>
              <w:keepNext/>
              <w:spacing w:before="106"/>
              <w:ind w:left="108"/>
            </w:pPr>
            <w:r>
              <w:t>**</w:t>
            </w:r>
          </w:p>
        </w:tc>
        <w:tc>
          <w:tcPr>
            <w:tcW w:w="1843" w:type="dxa"/>
            <w:shd w:val="clear" w:color="auto" w:fill="7BBEDA"/>
          </w:tcPr>
          <w:p w14:paraId="23D327FB" w14:textId="77777777" w:rsidR="00D44887" w:rsidRPr="00C6096E" w:rsidRDefault="00D44887" w:rsidP="00660A1D">
            <w:pPr>
              <w:pStyle w:val="TableParagraph"/>
              <w:keepNext/>
              <w:spacing w:before="106"/>
              <w:ind w:left="108"/>
            </w:pPr>
            <w:r>
              <w:t>AP</w:t>
            </w:r>
          </w:p>
        </w:tc>
        <w:tc>
          <w:tcPr>
            <w:tcW w:w="1981" w:type="dxa"/>
            <w:shd w:val="clear" w:color="auto" w:fill="7BBEDA"/>
          </w:tcPr>
          <w:p w14:paraId="76B17CDB" w14:textId="77777777" w:rsidR="00D44887" w:rsidRPr="00C6096E" w:rsidRDefault="00D44887" w:rsidP="00660A1D">
            <w:pPr>
              <w:pStyle w:val="TableParagraph"/>
              <w:keepNext/>
              <w:spacing w:before="106"/>
              <w:ind w:left="110"/>
            </w:pPr>
            <w:r>
              <w:t>NA</w:t>
            </w:r>
          </w:p>
        </w:tc>
      </w:tr>
      <w:tr w:rsidR="00D44887" w:rsidRPr="00C6096E" w14:paraId="02EFCDDB" w14:textId="77777777" w:rsidTr="002315D8">
        <w:trPr>
          <w:trHeight w:val="506"/>
        </w:trPr>
        <w:tc>
          <w:tcPr>
            <w:tcW w:w="1841" w:type="dxa"/>
            <w:shd w:val="clear" w:color="auto" w:fill="7BBEDA"/>
          </w:tcPr>
          <w:p w14:paraId="03F807F8" w14:textId="204CB68A" w:rsidR="00D44887" w:rsidRPr="00C6096E" w:rsidRDefault="00D640A7" w:rsidP="002315D8">
            <w:pPr>
              <w:pStyle w:val="TableParagraph"/>
              <w:spacing w:line="252" w:lineRule="exact"/>
              <w:ind w:left="110" w:right="408"/>
            </w:pPr>
            <w:r>
              <w:t xml:space="preserve">Objectifs pleinement </w:t>
            </w:r>
            <w:r w:rsidR="00D44887">
              <w:t>atteint</w:t>
            </w:r>
            <w:r>
              <w:t>s</w:t>
            </w:r>
          </w:p>
        </w:tc>
        <w:tc>
          <w:tcPr>
            <w:tcW w:w="1843" w:type="dxa"/>
            <w:shd w:val="clear" w:color="auto" w:fill="7BBEDA"/>
          </w:tcPr>
          <w:p w14:paraId="5D5670E3" w14:textId="77777777" w:rsidR="00D44887" w:rsidRPr="00C6096E" w:rsidRDefault="00D44887" w:rsidP="002315D8">
            <w:pPr>
              <w:pStyle w:val="TableParagraph"/>
              <w:spacing w:line="252" w:lineRule="exact"/>
              <w:ind w:left="110" w:right="687"/>
            </w:pPr>
            <w:r>
              <w:t>De grands progrès</w:t>
            </w:r>
          </w:p>
        </w:tc>
        <w:tc>
          <w:tcPr>
            <w:tcW w:w="1842" w:type="dxa"/>
            <w:shd w:val="clear" w:color="auto" w:fill="7BBEDA"/>
          </w:tcPr>
          <w:p w14:paraId="58358C5B" w14:textId="77777777" w:rsidR="00D44887" w:rsidRPr="00C6096E" w:rsidRDefault="00D44887" w:rsidP="002315D8">
            <w:pPr>
              <w:pStyle w:val="TableParagraph"/>
              <w:spacing w:line="251" w:lineRule="exact"/>
              <w:ind w:left="108"/>
            </w:pPr>
            <w:r>
              <w:t>Quelques progrès</w:t>
            </w:r>
          </w:p>
        </w:tc>
        <w:tc>
          <w:tcPr>
            <w:tcW w:w="1843" w:type="dxa"/>
            <w:shd w:val="clear" w:color="auto" w:fill="7BBEDA"/>
          </w:tcPr>
          <w:p w14:paraId="19565B5F" w14:textId="77777777" w:rsidR="00D44887" w:rsidRPr="00C6096E" w:rsidRDefault="00D44887" w:rsidP="002315D8">
            <w:pPr>
              <w:pStyle w:val="TableParagraph"/>
              <w:spacing w:line="251" w:lineRule="exact"/>
              <w:ind w:left="108"/>
            </w:pPr>
            <w:r>
              <w:t>Aucun progrès</w:t>
            </w:r>
          </w:p>
        </w:tc>
        <w:tc>
          <w:tcPr>
            <w:tcW w:w="1981" w:type="dxa"/>
            <w:shd w:val="clear" w:color="auto" w:fill="7BBEDA"/>
          </w:tcPr>
          <w:p w14:paraId="20FC1CF6" w14:textId="77777777" w:rsidR="00D44887" w:rsidRPr="00C6096E" w:rsidRDefault="00D44887" w:rsidP="002315D8">
            <w:pPr>
              <w:pStyle w:val="TableParagraph"/>
              <w:spacing w:line="252" w:lineRule="exact"/>
              <w:ind w:left="110" w:right="203"/>
            </w:pPr>
            <w:r>
              <w:t>Non évalué/ abandonné</w:t>
            </w:r>
          </w:p>
        </w:tc>
      </w:tr>
    </w:tbl>
    <w:p w14:paraId="44B8FEC9" w14:textId="77777777" w:rsidR="00D44887" w:rsidRPr="00C6096E" w:rsidRDefault="00D44887" w:rsidP="00D448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2865"/>
        <w:gridCol w:w="1412"/>
      </w:tblGrid>
      <w:tr w:rsidR="00D44887" w:rsidRPr="00C6096E" w14:paraId="29671586" w14:textId="77777777" w:rsidTr="002315D8">
        <w:trPr>
          <w:trHeight w:val="1264"/>
        </w:trPr>
        <w:tc>
          <w:tcPr>
            <w:tcW w:w="2410" w:type="dxa"/>
            <w:shd w:val="clear" w:color="auto" w:fill="68E089"/>
          </w:tcPr>
          <w:p w14:paraId="08132FA7" w14:textId="77777777" w:rsidR="00D44887" w:rsidRPr="00C6096E" w:rsidRDefault="00D44887" w:rsidP="002315D8">
            <w:pPr>
              <w:pStyle w:val="TableParagraph"/>
              <w:spacing w:before="10"/>
            </w:pPr>
          </w:p>
          <w:p w14:paraId="6317E0D9" w14:textId="77777777" w:rsidR="00D44887" w:rsidRPr="00C6096E" w:rsidRDefault="00D44887" w:rsidP="002315D8">
            <w:pPr>
              <w:pStyle w:val="TableParagraph"/>
              <w:ind w:left="110" w:right="624"/>
            </w:pPr>
            <w:r>
              <w:rPr>
                <w:u w:val="single"/>
              </w:rPr>
              <w:t>Résultats du projet</w:t>
            </w:r>
            <w:r>
              <w:rPr>
                <w:u w:val="single"/>
                <w:vertAlign w:val="superscript"/>
              </w:rPr>
              <w:t>3</w:t>
            </w:r>
            <w:r>
              <w:t xml:space="preserve"> (Résultat escompté)</w:t>
            </w:r>
          </w:p>
        </w:tc>
        <w:tc>
          <w:tcPr>
            <w:tcW w:w="2695" w:type="dxa"/>
            <w:shd w:val="clear" w:color="auto" w:fill="68E089"/>
          </w:tcPr>
          <w:p w14:paraId="2619D41A" w14:textId="77777777" w:rsidR="00D44887" w:rsidRPr="00C6096E" w:rsidRDefault="00D44887" w:rsidP="002315D8">
            <w:pPr>
              <w:pStyle w:val="TableParagraph"/>
              <w:spacing w:before="10"/>
            </w:pPr>
          </w:p>
          <w:p w14:paraId="47EAB92B" w14:textId="77777777" w:rsidR="00D44887" w:rsidRPr="00C6096E" w:rsidRDefault="00D44887" w:rsidP="002315D8">
            <w:pPr>
              <w:pStyle w:val="TableParagraph"/>
              <w:ind w:left="110" w:right="236"/>
            </w:pPr>
            <w:r>
              <w:rPr>
                <w:u w:val="single"/>
              </w:rPr>
              <w:t>Indicateurs d’achèvement réussi</w:t>
            </w:r>
          </w:p>
          <w:p w14:paraId="12CE8AA7" w14:textId="77777777" w:rsidR="00D44887" w:rsidRPr="00C6096E" w:rsidRDefault="00D44887" w:rsidP="002315D8">
            <w:pPr>
              <w:pStyle w:val="TableParagraph"/>
              <w:spacing w:before="1"/>
              <w:ind w:left="110"/>
            </w:pPr>
            <w:r>
              <w:t>(indicateurs de résultats)</w:t>
            </w:r>
          </w:p>
        </w:tc>
        <w:tc>
          <w:tcPr>
            <w:tcW w:w="2865" w:type="dxa"/>
            <w:shd w:val="clear" w:color="auto" w:fill="68E089"/>
          </w:tcPr>
          <w:p w14:paraId="18A9EEF4" w14:textId="77777777" w:rsidR="00D44887" w:rsidRPr="00C6096E" w:rsidRDefault="00D44887" w:rsidP="002315D8">
            <w:pPr>
              <w:pStyle w:val="TableParagraph"/>
              <w:spacing w:before="10"/>
            </w:pPr>
          </w:p>
          <w:p w14:paraId="4A40C8A7" w14:textId="77777777" w:rsidR="00D44887" w:rsidRPr="00C6096E" w:rsidRDefault="00D44887" w:rsidP="002315D8">
            <w:pPr>
              <w:pStyle w:val="TableParagraph"/>
              <w:ind w:left="108"/>
            </w:pPr>
            <w:r>
              <w:rPr>
                <w:u w:val="single"/>
              </w:rPr>
              <w:t>Données relatives à l’exécution</w:t>
            </w:r>
          </w:p>
        </w:tc>
        <w:tc>
          <w:tcPr>
            <w:tcW w:w="1412" w:type="dxa"/>
            <w:shd w:val="clear" w:color="auto" w:fill="68E089"/>
          </w:tcPr>
          <w:p w14:paraId="325E897B" w14:textId="77777777" w:rsidR="00D44887" w:rsidRPr="00C6096E" w:rsidRDefault="00D44887" w:rsidP="002315D8">
            <w:pPr>
              <w:pStyle w:val="TableParagraph"/>
              <w:spacing w:before="10"/>
            </w:pPr>
          </w:p>
          <w:p w14:paraId="6FCD1337" w14:textId="77777777" w:rsidR="00D44887" w:rsidRPr="00C6096E" w:rsidRDefault="00D44887" w:rsidP="002315D8">
            <w:pPr>
              <w:pStyle w:val="TableParagraph"/>
              <w:ind w:left="111"/>
            </w:pPr>
            <w:r>
              <w:rPr>
                <w:u w:val="single"/>
              </w:rPr>
              <w:t>Code d’évaluation</w:t>
            </w:r>
          </w:p>
        </w:tc>
      </w:tr>
      <w:tr w:rsidR="00D44887" w:rsidRPr="00C6096E" w14:paraId="65FB1FC5" w14:textId="77777777" w:rsidTr="002315D8">
        <w:trPr>
          <w:trHeight w:val="508"/>
        </w:trPr>
        <w:tc>
          <w:tcPr>
            <w:tcW w:w="2410" w:type="dxa"/>
            <w:vMerge w:val="restart"/>
            <w:tcBorders>
              <w:right w:val="single" w:sz="6" w:space="0" w:color="000000"/>
            </w:tcBorders>
          </w:tcPr>
          <w:p w14:paraId="72B188EC" w14:textId="77777777" w:rsidR="00D44887" w:rsidRPr="005E6044" w:rsidRDefault="00D44887" w:rsidP="002315D8">
            <w:pPr>
              <w:rPr>
                <w:rFonts w:eastAsia="SimSun"/>
                <w:szCs w:val="22"/>
              </w:rPr>
            </w:pPr>
            <w:r>
              <w:t>Sélection de trois pays pilotes (outre le Pérou).</w:t>
            </w:r>
          </w:p>
          <w:p w14:paraId="1FDEBE5F" w14:textId="77777777" w:rsidR="00D44887" w:rsidRPr="0073318A" w:rsidRDefault="00D44887" w:rsidP="002315D8">
            <w:pPr>
              <w:pStyle w:val="TableParagraph"/>
            </w:pPr>
          </w:p>
        </w:tc>
        <w:tc>
          <w:tcPr>
            <w:tcW w:w="2695" w:type="dxa"/>
            <w:tcBorders>
              <w:left w:val="single" w:sz="6" w:space="0" w:color="000000"/>
              <w:bottom w:val="single" w:sz="6" w:space="0" w:color="000000"/>
            </w:tcBorders>
          </w:tcPr>
          <w:p w14:paraId="3F3A0712" w14:textId="77777777" w:rsidR="00D44887" w:rsidRPr="00C6096E" w:rsidRDefault="00D44887" w:rsidP="002315D8">
            <w:pPr>
              <w:pStyle w:val="TableParagraph"/>
            </w:pPr>
            <w:r>
              <w:t>Trois pays sélectionnés (sur la base des critères de sélection approuvés).</w:t>
            </w:r>
          </w:p>
        </w:tc>
        <w:tc>
          <w:tcPr>
            <w:tcW w:w="2865" w:type="dxa"/>
          </w:tcPr>
          <w:p w14:paraId="302E1F19" w14:textId="77777777" w:rsidR="00D44887" w:rsidRPr="00C6096E" w:rsidRDefault="00D44887" w:rsidP="002315D8">
            <w:pPr>
              <w:pStyle w:val="TableParagraph"/>
            </w:pPr>
            <w:r>
              <w:t>Le Cameroun, la Malaisie et le Maroc ont été sélectionnés en juillet 2019.</w:t>
            </w:r>
          </w:p>
        </w:tc>
        <w:tc>
          <w:tcPr>
            <w:tcW w:w="1412" w:type="dxa"/>
          </w:tcPr>
          <w:p w14:paraId="746BC896" w14:textId="77777777" w:rsidR="00D44887" w:rsidRPr="00C6096E" w:rsidRDefault="00D44887" w:rsidP="002315D8">
            <w:pPr>
              <w:pStyle w:val="TableParagraph"/>
            </w:pPr>
            <w:r>
              <w:t>****</w:t>
            </w:r>
          </w:p>
        </w:tc>
      </w:tr>
      <w:tr w:rsidR="00D44887" w:rsidRPr="00C6096E" w14:paraId="504A6E5F" w14:textId="77777777" w:rsidTr="002315D8">
        <w:trPr>
          <w:trHeight w:val="510"/>
        </w:trPr>
        <w:tc>
          <w:tcPr>
            <w:tcW w:w="2410" w:type="dxa"/>
            <w:vMerge/>
            <w:tcBorders>
              <w:right w:val="single" w:sz="6" w:space="0" w:color="000000"/>
            </w:tcBorders>
          </w:tcPr>
          <w:p w14:paraId="6DFEBD61" w14:textId="77777777" w:rsidR="00D44887" w:rsidRPr="00C6096E" w:rsidRDefault="00D44887" w:rsidP="002315D8">
            <w:pPr>
              <w:pStyle w:val="TableParagraph"/>
            </w:pPr>
          </w:p>
        </w:tc>
        <w:tc>
          <w:tcPr>
            <w:tcW w:w="2695" w:type="dxa"/>
            <w:tcBorders>
              <w:top w:val="single" w:sz="6" w:space="0" w:color="000000"/>
              <w:left w:val="single" w:sz="6" w:space="0" w:color="000000"/>
              <w:bottom w:val="single" w:sz="6" w:space="0" w:color="000000"/>
            </w:tcBorders>
          </w:tcPr>
          <w:p w14:paraId="60B412E5" w14:textId="77777777" w:rsidR="00D44887" w:rsidRPr="00C6096E" w:rsidRDefault="00D44887" w:rsidP="002315D8">
            <w:pPr>
              <w:pStyle w:val="TableParagraph"/>
            </w:pPr>
            <w:r>
              <w:t>Des coordonnateurs chargés de la mise en œuvre du projet dans les différents pays ont été désignés.</w:t>
            </w:r>
          </w:p>
        </w:tc>
        <w:tc>
          <w:tcPr>
            <w:tcW w:w="2865" w:type="dxa"/>
          </w:tcPr>
          <w:p w14:paraId="7745C151" w14:textId="77777777" w:rsidR="00D44887" w:rsidRPr="00C6096E" w:rsidRDefault="00D44887" w:rsidP="002315D8">
            <w:pPr>
              <w:pStyle w:val="TableParagraph"/>
            </w:pPr>
            <w:r>
              <w:t xml:space="preserve">Des coordonnateurs locaux ont été désignés au Cameroun, en Malaisie, au Maroc et au Pérou.  </w:t>
            </w:r>
          </w:p>
        </w:tc>
        <w:tc>
          <w:tcPr>
            <w:tcW w:w="1412" w:type="dxa"/>
          </w:tcPr>
          <w:p w14:paraId="4A16305E" w14:textId="77777777" w:rsidR="00D44887" w:rsidRPr="00C6096E" w:rsidRDefault="00D44887" w:rsidP="002315D8">
            <w:pPr>
              <w:pStyle w:val="TableParagraph"/>
            </w:pPr>
            <w:r>
              <w:t>****</w:t>
            </w:r>
          </w:p>
        </w:tc>
      </w:tr>
      <w:tr w:rsidR="00D44887" w:rsidRPr="00C6096E" w14:paraId="185CCC57" w14:textId="77777777" w:rsidTr="002315D8">
        <w:trPr>
          <w:trHeight w:val="510"/>
        </w:trPr>
        <w:tc>
          <w:tcPr>
            <w:tcW w:w="2410" w:type="dxa"/>
            <w:tcBorders>
              <w:right w:val="single" w:sz="6" w:space="0" w:color="000000"/>
            </w:tcBorders>
          </w:tcPr>
          <w:p w14:paraId="527925C0" w14:textId="77777777" w:rsidR="00D44887" w:rsidRPr="00C6096E" w:rsidRDefault="00D44887" w:rsidP="002315D8">
            <w:pPr>
              <w:pStyle w:val="TableParagraph"/>
            </w:pPr>
            <w:r>
              <w:t>Approbation des plans de mise en œuvre des projets par pays.</w:t>
            </w:r>
          </w:p>
        </w:tc>
        <w:tc>
          <w:tcPr>
            <w:tcW w:w="2695" w:type="dxa"/>
            <w:tcBorders>
              <w:top w:val="single" w:sz="6" w:space="0" w:color="000000"/>
              <w:left w:val="single" w:sz="6" w:space="0" w:color="000000"/>
              <w:bottom w:val="single" w:sz="6" w:space="0" w:color="000000"/>
            </w:tcBorders>
          </w:tcPr>
          <w:p w14:paraId="0CAA1E87" w14:textId="77777777" w:rsidR="00D44887" w:rsidRPr="005E6044" w:rsidRDefault="00D44887" w:rsidP="002315D8">
            <w:pPr>
              <w:pStyle w:val="TableParagraph"/>
              <w:rPr>
                <w:rFonts w:eastAsia="SimSun"/>
              </w:rPr>
            </w:pPr>
            <w:r>
              <w:t>Quatre plans de mise en œuvre de projet à l’échelle nationale rédigés et approuvés (un par pays).</w:t>
            </w:r>
          </w:p>
        </w:tc>
        <w:tc>
          <w:tcPr>
            <w:tcW w:w="2865" w:type="dxa"/>
          </w:tcPr>
          <w:p w14:paraId="7561EA78" w14:textId="77777777" w:rsidR="00D44887" w:rsidRDefault="00D44887" w:rsidP="002315D8">
            <w:pPr>
              <w:pStyle w:val="TableParagraph"/>
            </w:pPr>
            <w:r>
              <w:t>Les plans de mise en œuvre des projets à l’échelle nationale ont été approuvés au Cameroun, en Malaisie, au Maroc et au Pérou.</w:t>
            </w:r>
          </w:p>
        </w:tc>
        <w:tc>
          <w:tcPr>
            <w:tcW w:w="1412" w:type="dxa"/>
          </w:tcPr>
          <w:p w14:paraId="486CFE18" w14:textId="77777777" w:rsidR="00D44887" w:rsidRDefault="00D44887" w:rsidP="002315D8">
            <w:pPr>
              <w:pStyle w:val="TableParagraph"/>
            </w:pPr>
            <w:r>
              <w:t>****</w:t>
            </w:r>
          </w:p>
        </w:tc>
      </w:tr>
      <w:tr w:rsidR="00D44887" w:rsidRPr="00C6096E" w14:paraId="7E8D68C5" w14:textId="77777777" w:rsidTr="002315D8">
        <w:trPr>
          <w:trHeight w:val="510"/>
        </w:trPr>
        <w:tc>
          <w:tcPr>
            <w:tcW w:w="2410" w:type="dxa"/>
            <w:tcBorders>
              <w:right w:val="single" w:sz="6" w:space="0" w:color="000000"/>
            </w:tcBorders>
          </w:tcPr>
          <w:p w14:paraId="3B17F57B" w14:textId="4DAD0845" w:rsidR="00D44887" w:rsidRPr="00C6096E" w:rsidRDefault="00D44887" w:rsidP="002315D8">
            <w:pPr>
              <w:pStyle w:val="TableParagraph"/>
              <w:tabs>
                <w:tab w:val="left" w:pos="1710"/>
              </w:tabs>
            </w:pPr>
            <w:r>
              <w:t>Quatre études exploratoires sur le secteur du tourisme gastronomique (un par pays pilote).</w:t>
            </w:r>
          </w:p>
        </w:tc>
        <w:tc>
          <w:tcPr>
            <w:tcW w:w="2695" w:type="dxa"/>
            <w:tcBorders>
              <w:top w:val="single" w:sz="6" w:space="0" w:color="000000"/>
              <w:left w:val="single" w:sz="6" w:space="0" w:color="000000"/>
              <w:bottom w:val="single" w:sz="6" w:space="0" w:color="000000"/>
            </w:tcBorders>
          </w:tcPr>
          <w:p w14:paraId="21313B4A" w14:textId="77777777" w:rsidR="00D44887" w:rsidRPr="005E6044" w:rsidRDefault="00D44887" w:rsidP="002315D8">
            <w:pPr>
              <w:pStyle w:val="TableParagraph"/>
              <w:rPr>
                <w:rFonts w:eastAsia="SimSun"/>
              </w:rPr>
            </w:pPr>
            <w:r>
              <w:t>Recensement exhaustif des traditions culinaires dans chaque pays pilote.</w:t>
            </w:r>
          </w:p>
        </w:tc>
        <w:tc>
          <w:tcPr>
            <w:tcW w:w="2865" w:type="dxa"/>
          </w:tcPr>
          <w:p w14:paraId="78BC43EC" w14:textId="77777777" w:rsidR="00D44887" w:rsidRDefault="00D44887" w:rsidP="002315D8">
            <w:pPr>
              <w:pStyle w:val="TableParagraph"/>
            </w:pPr>
            <w:r>
              <w:t>L’étude exploratoire a pris fin au Pérou en mars 2020.  Un recensement de 14 traditions culinaires a été réalisé, en tenant également compte des contributions des parties prenantes et des bénéficiaires formulées au cours de la table ronde.  Deux traditions culinaires ont été intégrées au cours de la table ronde.</w:t>
            </w:r>
          </w:p>
          <w:p w14:paraId="69869DDB" w14:textId="77777777" w:rsidR="00D44887" w:rsidRPr="007068BD" w:rsidRDefault="00D44887" w:rsidP="002315D8">
            <w:pPr>
              <w:pStyle w:val="TableParagraph"/>
            </w:pPr>
          </w:p>
          <w:p w14:paraId="6C62D4C4" w14:textId="77777777" w:rsidR="00D44887" w:rsidRDefault="00D44887" w:rsidP="002315D8">
            <w:pPr>
              <w:pStyle w:val="TableParagraph"/>
            </w:pPr>
            <w:r>
              <w:t>L’étude exploratoire au Cameroun a pris fin en décembre 2021.  Un recensement de 20 traditions culinaires a été réalisé, en tenant également compte des contributions des parties prenantes et des bénéficiaires formulées au cours de la table ronde.</w:t>
            </w:r>
          </w:p>
          <w:p w14:paraId="268946DC" w14:textId="77777777" w:rsidR="00D44887" w:rsidRPr="007068BD" w:rsidRDefault="00D44887" w:rsidP="002315D8">
            <w:pPr>
              <w:pStyle w:val="TableParagraph"/>
            </w:pPr>
          </w:p>
          <w:p w14:paraId="7B702FDF" w14:textId="77777777" w:rsidR="00D44887" w:rsidRDefault="00D44887" w:rsidP="002315D8">
            <w:pPr>
              <w:pStyle w:val="TableParagraph"/>
            </w:pPr>
            <w:r>
              <w:t xml:space="preserve">L’étude exploratoire en </w:t>
            </w:r>
            <w:r>
              <w:lastRenderedPageBreak/>
              <w:t>Malaisie a pris fin en novembre 2021.  Elle a analysé 15 plats et recettes typiques.  Au cours de la table ronde, le nom d’une spécialité a été modifié en vue d’être au plus proche des traditions.</w:t>
            </w:r>
          </w:p>
          <w:p w14:paraId="19E988EE" w14:textId="77777777" w:rsidR="00D44887" w:rsidRDefault="00D44887" w:rsidP="002315D8">
            <w:pPr>
              <w:pStyle w:val="TableParagraph"/>
            </w:pPr>
          </w:p>
          <w:p w14:paraId="2F36E34F" w14:textId="77777777" w:rsidR="00D44887" w:rsidRDefault="00D44887" w:rsidP="002315D8">
            <w:pPr>
              <w:pStyle w:val="TableParagraph"/>
            </w:pPr>
            <w:r>
              <w:t>Au Maroc, l’étude exploratoire a pris fin en novembre 2021.  Elle s’est concentrée sur 13 spécialités culinaires.  Deux traditions culinaires et une variante ont été intégrées au cours de la table ronde.</w:t>
            </w:r>
          </w:p>
        </w:tc>
        <w:tc>
          <w:tcPr>
            <w:tcW w:w="1412" w:type="dxa"/>
          </w:tcPr>
          <w:p w14:paraId="67BB2729" w14:textId="77777777" w:rsidR="00D44887" w:rsidRPr="007068BD" w:rsidRDefault="00D44887" w:rsidP="002315D8">
            <w:pPr>
              <w:pStyle w:val="TableParagraph"/>
            </w:pPr>
            <w:r>
              <w:lastRenderedPageBreak/>
              <w:t>****</w:t>
            </w:r>
          </w:p>
          <w:p w14:paraId="11DA4B74" w14:textId="77777777" w:rsidR="00D44887" w:rsidRDefault="00D44887" w:rsidP="002315D8">
            <w:pPr>
              <w:pStyle w:val="TableParagraph"/>
            </w:pPr>
          </w:p>
        </w:tc>
      </w:tr>
      <w:tr w:rsidR="00D44887" w:rsidRPr="00C6096E" w14:paraId="087BF151" w14:textId="77777777" w:rsidTr="002315D8">
        <w:trPr>
          <w:trHeight w:val="510"/>
        </w:trPr>
        <w:tc>
          <w:tcPr>
            <w:tcW w:w="2410" w:type="dxa"/>
            <w:tcBorders>
              <w:right w:val="single" w:sz="6" w:space="0" w:color="000000"/>
            </w:tcBorders>
          </w:tcPr>
          <w:p w14:paraId="11F94049" w14:textId="77777777" w:rsidR="00D44887" w:rsidRPr="00C6096E" w:rsidRDefault="00D44887" w:rsidP="002315D8">
            <w:pPr>
              <w:pStyle w:val="TableParagraph"/>
            </w:pPr>
            <w:r>
              <w:t>Recensement des organismes publics et des parties prenantes des secteurs de la gastronomie, du tourisme et de la propriété intellectuelle.</w:t>
            </w:r>
          </w:p>
        </w:tc>
        <w:tc>
          <w:tcPr>
            <w:tcW w:w="2695" w:type="dxa"/>
            <w:tcBorders>
              <w:top w:val="single" w:sz="6" w:space="0" w:color="000000"/>
              <w:left w:val="single" w:sz="6" w:space="0" w:color="000000"/>
              <w:bottom w:val="single" w:sz="6" w:space="0" w:color="000000"/>
            </w:tcBorders>
          </w:tcPr>
          <w:p w14:paraId="2223E798" w14:textId="77777777" w:rsidR="00D44887" w:rsidRPr="005E6044" w:rsidRDefault="00D44887" w:rsidP="002315D8">
            <w:pPr>
              <w:pStyle w:val="TableParagraph"/>
              <w:rPr>
                <w:rFonts w:eastAsia="SimSun"/>
              </w:rPr>
            </w:pPr>
            <w:r>
              <w:t>Recensement des parties prenantes concernées dans chaque pays pilote.</w:t>
            </w:r>
          </w:p>
        </w:tc>
        <w:tc>
          <w:tcPr>
            <w:tcW w:w="2865" w:type="dxa"/>
          </w:tcPr>
          <w:p w14:paraId="5678791A" w14:textId="77777777" w:rsidR="00D44887" w:rsidRDefault="00D44887" w:rsidP="002315D8">
            <w:pPr>
              <w:pStyle w:val="TableParagraph"/>
            </w:pPr>
            <w:r>
              <w:t>Les parties prenantes ont toutes été recensées dans l’ensemble des pays pilotes.</w:t>
            </w:r>
          </w:p>
        </w:tc>
        <w:tc>
          <w:tcPr>
            <w:tcW w:w="1412" w:type="dxa"/>
          </w:tcPr>
          <w:p w14:paraId="66CAADD7" w14:textId="77777777" w:rsidR="00D44887" w:rsidRDefault="00D44887" w:rsidP="002315D8">
            <w:pPr>
              <w:pStyle w:val="TableParagraph"/>
            </w:pPr>
            <w:r>
              <w:t>****</w:t>
            </w:r>
          </w:p>
        </w:tc>
      </w:tr>
      <w:tr w:rsidR="00D44887" w:rsidRPr="00C6096E" w14:paraId="22E663A3" w14:textId="77777777" w:rsidTr="002315D8">
        <w:trPr>
          <w:trHeight w:val="510"/>
        </w:trPr>
        <w:tc>
          <w:tcPr>
            <w:tcW w:w="2410" w:type="dxa"/>
            <w:tcBorders>
              <w:right w:val="single" w:sz="6" w:space="0" w:color="000000"/>
            </w:tcBorders>
          </w:tcPr>
          <w:p w14:paraId="15E56C99" w14:textId="77777777" w:rsidR="00D44887" w:rsidRPr="00C6096E" w:rsidRDefault="00D44887" w:rsidP="002315D8">
            <w:pPr>
              <w:pStyle w:val="TableParagraph"/>
            </w:pPr>
            <w:r>
              <w:t>Organisation dans chaque pays pilote d’une table ronde avec les parties prenantes concernées des secteurs du tourisme gastronomique et de la propriété intellectuelle.</w:t>
            </w:r>
          </w:p>
        </w:tc>
        <w:tc>
          <w:tcPr>
            <w:tcW w:w="2695" w:type="dxa"/>
            <w:tcBorders>
              <w:top w:val="single" w:sz="6" w:space="0" w:color="000000"/>
              <w:left w:val="single" w:sz="6" w:space="0" w:color="000000"/>
              <w:bottom w:val="single" w:sz="6" w:space="0" w:color="000000"/>
            </w:tcBorders>
          </w:tcPr>
          <w:p w14:paraId="1D83D797" w14:textId="77777777" w:rsidR="00D44887" w:rsidRPr="005E6044" w:rsidRDefault="00D44887" w:rsidP="002315D8">
            <w:pPr>
              <w:pStyle w:val="TableParagraph"/>
              <w:rPr>
                <w:rFonts w:eastAsia="SimSun"/>
              </w:rPr>
            </w:pPr>
            <w:r>
              <w:t>Un pourcentage important des personnes ayant participé aux tables rondes ont indiqué que cela leur avait permis de mieux faire face aux difficultés rencontrées dans les secteurs de la propriété intellectuelle et du tourisme gastronomique.</w:t>
            </w:r>
          </w:p>
        </w:tc>
        <w:tc>
          <w:tcPr>
            <w:tcW w:w="2865" w:type="dxa"/>
          </w:tcPr>
          <w:p w14:paraId="65F2838F" w14:textId="77777777" w:rsidR="00D44887" w:rsidRDefault="00D44887" w:rsidP="002315D8">
            <w:pPr>
              <w:spacing w:before="240" w:after="60"/>
            </w:pPr>
            <w:r>
              <w:t xml:space="preserve">Une table ronde s’est déroulée au </w:t>
            </w:r>
            <w:r>
              <w:rPr>
                <w:b/>
                <w:bCs/>
              </w:rPr>
              <w:t>Pérou</w:t>
            </w:r>
            <w:r>
              <w:t xml:space="preserve"> en mars 2020.  Statistiques :</w:t>
            </w:r>
          </w:p>
          <w:p w14:paraId="23ADFEA3" w14:textId="77777777" w:rsidR="00D44887" w:rsidRDefault="00D44887" w:rsidP="002315D8">
            <w:pPr>
              <w:numPr>
                <w:ilvl w:val="0"/>
                <w:numId w:val="63"/>
              </w:numPr>
              <w:spacing w:before="240" w:after="60"/>
              <w:ind w:left="420"/>
            </w:pPr>
            <w:r>
              <w:t>17 participants,</w:t>
            </w:r>
          </w:p>
          <w:p w14:paraId="650E6617" w14:textId="77777777" w:rsidR="00D44887" w:rsidRDefault="00D44887" w:rsidP="002315D8">
            <w:pPr>
              <w:numPr>
                <w:ilvl w:val="0"/>
                <w:numId w:val="63"/>
              </w:numPr>
              <w:spacing w:before="240" w:after="60"/>
              <w:ind w:left="420"/>
            </w:pPr>
            <w:r>
              <w:t>15 participants ont répondu à l’enquête,</w:t>
            </w:r>
          </w:p>
          <w:p w14:paraId="746F6701" w14:textId="77777777" w:rsidR="00D44887" w:rsidRDefault="00D44887" w:rsidP="002315D8">
            <w:pPr>
              <w:numPr>
                <w:ilvl w:val="0"/>
                <w:numId w:val="63"/>
              </w:numPr>
              <w:spacing w:before="240" w:after="60"/>
              <w:ind w:left="420"/>
            </w:pPr>
            <w:r>
              <w:t>87% des participants qui ont répondu ont considéré que la table ronde avait été utile/très utile,</w:t>
            </w:r>
          </w:p>
          <w:p w14:paraId="70CF8BB8" w14:textId="77777777" w:rsidR="00D44887" w:rsidRDefault="00D44887" w:rsidP="002315D8">
            <w:pPr>
              <w:numPr>
                <w:ilvl w:val="0"/>
                <w:numId w:val="63"/>
              </w:numPr>
              <w:spacing w:before="240" w:after="60"/>
              <w:ind w:left="420"/>
            </w:pPr>
            <w:r>
              <w:t>87% des participants qui ont répondu ont déclaré posséder une meilleure connaissance de la propriété intellectuelle à l’issue de la table ronde,</w:t>
            </w:r>
          </w:p>
          <w:p w14:paraId="65300382" w14:textId="77777777" w:rsidR="00D44887" w:rsidRDefault="00D44887" w:rsidP="002315D8">
            <w:pPr>
              <w:numPr>
                <w:ilvl w:val="0"/>
                <w:numId w:val="63"/>
              </w:numPr>
              <w:spacing w:before="240" w:after="60"/>
              <w:ind w:left="420"/>
            </w:pPr>
            <w:r>
              <w:t xml:space="preserve">100% des participants qui ont répondu considèrent que les traditions culinaires sélectionnées bénéficieront de l’utilisation des </w:t>
            </w:r>
            <w:r>
              <w:lastRenderedPageBreak/>
              <w:t>instruments de propriété intellectuelle.</w:t>
            </w:r>
          </w:p>
          <w:p w14:paraId="7E038131" w14:textId="77777777" w:rsidR="00D44887" w:rsidRDefault="00D44887" w:rsidP="002315D8">
            <w:pPr>
              <w:spacing w:before="240" w:after="60"/>
              <w:ind w:left="60"/>
            </w:pPr>
            <w:r>
              <w:t xml:space="preserve">Une table ronde s’est déroulée en </w:t>
            </w:r>
            <w:r>
              <w:rPr>
                <w:b/>
              </w:rPr>
              <w:t>Malaisie</w:t>
            </w:r>
            <w:r>
              <w:t xml:space="preserve"> en décembre 2021.  Statistiques :</w:t>
            </w:r>
          </w:p>
          <w:p w14:paraId="67803560" w14:textId="77777777" w:rsidR="00D44887" w:rsidRDefault="00D44887" w:rsidP="002315D8">
            <w:pPr>
              <w:numPr>
                <w:ilvl w:val="0"/>
                <w:numId w:val="63"/>
              </w:numPr>
              <w:spacing w:before="240" w:after="60"/>
              <w:ind w:left="420"/>
            </w:pPr>
            <w:r>
              <w:t>21 participants,</w:t>
            </w:r>
          </w:p>
          <w:p w14:paraId="3C8C9864" w14:textId="77777777" w:rsidR="00D44887" w:rsidRDefault="00D44887" w:rsidP="002315D8">
            <w:pPr>
              <w:numPr>
                <w:ilvl w:val="0"/>
                <w:numId w:val="63"/>
              </w:numPr>
              <w:spacing w:before="240" w:after="60"/>
              <w:ind w:left="420"/>
            </w:pPr>
            <w:r>
              <w:t>un participant a répondu à l’enquête en ligne,</w:t>
            </w:r>
          </w:p>
          <w:p w14:paraId="78BEF91C" w14:textId="77777777" w:rsidR="00D44887" w:rsidRDefault="00D44887" w:rsidP="002315D8">
            <w:pPr>
              <w:numPr>
                <w:ilvl w:val="0"/>
                <w:numId w:val="63"/>
              </w:numPr>
              <w:spacing w:before="240" w:after="60"/>
              <w:ind w:left="420"/>
            </w:pPr>
            <w:r>
              <w:t>selon un rapport établi par MyIPO, les participants ont soutenu le projet et certains d’entre eux ont exprimé leur intérêt à s’engager dans la phase suivante du projet, y compris dans le cadre du séminaire national.</w:t>
            </w:r>
          </w:p>
          <w:p w14:paraId="51679DA2" w14:textId="77777777" w:rsidR="00D44887" w:rsidRDefault="00D44887" w:rsidP="002315D8">
            <w:pPr>
              <w:spacing w:before="240" w:after="60"/>
              <w:ind w:left="60"/>
            </w:pPr>
            <w:r>
              <w:t xml:space="preserve">Une table ronde s’est déroulée au </w:t>
            </w:r>
            <w:r>
              <w:rPr>
                <w:b/>
              </w:rPr>
              <w:t>Cameroun</w:t>
            </w:r>
            <w:r>
              <w:t xml:space="preserve"> en décembre 2021.  Statistiques :</w:t>
            </w:r>
          </w:p>
          <w:p w14:paraId="0F173070" w14:textId="77777777" w:rsidR="00D44887" w:rsidRDefault="00D44887" w:rsidP="002315D8">
            <w:pPr>
              <w:spacing w:before="240" w:after="60"/>
              <w:ind w:left="60"/>
            </w:pPr>
            <w:r>
              <w:t>–</w:t>
            </w:r>
            <w:r>
              <w:tab/>
              <w:t>100 participants,</w:t>
            </w:r>
          </w:p>
          <w:p w14:paraId="07A9F156" w14:textId="77777777" w:rsidR="00D44887" w:rsidRDefault="00D44887" w:rsidP="002315D8">
            <w:pPr>
              <w:spacing w:before="240" w:after="60"/>
              <w:ind w:left="60"/>
            </w:pPr>
            <w:r>
              <w:t>–</w:t>
            </w:r>
            <w:r>
              <w:tab/>
              <w:t>40 participants ont répondu à l’enquête,</w:t>
            </w:r>
          </w:p>
          <w:p w14:paraId="1D9C3002" w14:textId="77777777" w:rsidR="00D44887" w:rsidRDefault="00D44887" w:rsidP="002315D8">
            <w:pPr>
              <w:spacing w:before="240" w:after="60"/>
              <w:ind w:left="60"/>
            </w:pPr>
            <w:r>
              <w:t>–</w:t>
            </w:r>
            <w:r>
              <w:tab/>
              <w:t>80% des participants qui ont répondu ont considéré que les débats au cours de la table ronde avaient été utiles/très utiles pour l’avancée du projet,</w:t>
            </w:r>
          </w:p>
          <w:p w14:paraId="0BEA864F" w14:textId="77777777" w:rsidR="00D44887" w:rsidRDefault="00D44887" w:rsidP="002315D8">
            <w:pPr>
              <w:spacing w:before="240" w:after="60"/>
              <w:ind w:left="60"/>
            </w:pPr>
            <w:r>
              <w:t>–</w:t>
            </w:r>
            <w:r>
              <w:tab/>
              <w:t>90% des participants qui ont répondu ont déclaré posséder une meilleure connaissance de la propriété intellectuelle à l’issue de la table ronde,</w:t>
            </w:r>
          </w:p>
          <w:p w14:paraId="3F2F4669" w14:textId="77777777" w:rsidR="00D44887" w:rsidRDefault="00D44887" w:rsidP="002315D8">
            <w:pPr>
              <w:spacing w:before="240" w:after="60"/>
              <w:ind w:left="60"/>
            </w:pPr>
            <w:r>
              <w:t>–</w:t>
            </w:r>
            <w:r>
              <w:tab/>
              <w:t xml:space="preserve">100% des participants qui ont répondu considèrent que les traditions culinaires sélectionnées bénéficieront de l’utilisation des </w:t>
            </w:r>
            <w:r>
              <w:lastRenderedPageBreak/>
              <w:t>instruments de propriété intellectuelle.</w:t>
            </w:r>
          </w:p>
          <w:p w14:paraId="13AD0F73" w14:textId="77777777" w:rsidR="00D44887" w:rsidRDefault="00D44887" w:rsidP="002315D8">
            <w:pPr>
              <w:spacing w:before="240" w:after="60"/>
              <w:ind w:left="60"/>
            </w:pPr>
            <w:r>
              <w:t xml:space="preserve">Une table ronde s’est déroulée au </w:t>
            </w:r>
            <w:r>
              <w:rPr>
                <w:b/>
              </w:rPr>
              <w:t>Maroc</w:t>
            </w:r>
            <w:r>
              <w:t xml:space="preserve"> en décembre 2021.  Statistiques :</w:t>
            </w:r>
          </w:p>
          <w:p w14:paraId="7136786E" w14:textId="77777777" w:rsidR="00D44887" w:rsidRDefault="00D44887" w:rsidP="002315D8">
            <w:pPr>
              <w:spacing w:before="240" w:after="60"/>
              <w:ind w:left="60"/>
            </w:pPr>
            <w:r>
              <w:t>–</w:t>
            </w:r>
            <w:r>
              <w:tab/>
              <w:t>14 participants,</w:t>
            </w:r>
          </w:p>
          <w:p w14:paraId="51B70301" w14:textId="77777777" w:rsidR="00D44887" w:rsidRDefault="00D44887" w:rsidP="002315D8">
            <w:pPr>
              <w:spacing w:before="240" w:after="60"/>
              <w:ind w:left="60"/>
            </w:pPr>
            <w:r>
              <w:t>–</w:t>
            </w:r>
            <w:r>
              <w:tab/>
              <w:t>une personne ayant répondu à l’enquête a indiqué avoir acquis une meilleure connaissance de la propriété intellectuelle, a estimé que les débats au cours de la table ronde avaient été très utiles et considère que les traditions culinaires sélectionnées bénéficieront de l’utilisation des instruments de propriété intellectuelle.</w:t>
            </w:r>
          </w:p>
          <w:p w14:paraId="74FB1EB1" w14:textId="77777777" w:rsidR="00D44887" w:rsidRDefault="00D44887" w:rsidP="002315D8">
            <w:pPr>
              <w:pStyle w:val="TableParagraph"/>
            </w:pPr>
          </w:p>
        </w:tc>
        <w:tc>
          <w:tcPr>
            <w:tcW w:w="1412" w:type="dxa"/>
          </w:tcPr>
          <w:p w14:paraId="60D56AA1" w14:textId="77777777" w:rsidR="00D44887" w:rsidRDefault="00D44887" w:rsidP="002315D8">
            <w:pPr>
              <w:pStyle w:val="TableParagraph"/>
            </w:pPr>
          </w:p>
          <w:p w14:paraId="766885EA" w14:textId="77777777" w:rsidR="00D44887" w:rsidRDefault="00D44887" w:rsidP="002315D8">
            <w:pPr>
              <w:pStyle w:val="TableParagraph"/>
            </w:pPr>
            <w:r>
              <w:t>****</w:t>
            </w:r>
          </w:p>
        </w:tc>
      </w:tr>
      <w:tr w:rsidR="00D44887" w:rsidRPr="00C6096E" w14:paraId="0D1162E7" w14:textId="77777777" w:rsidTr="002315D8">
        <w:trPr>
          <w:trHeight w:val="510"/>
        </w:trPr>
        <w:tc>
          <w:tcPr>
            <w:tcW w:w="2410" w:type="dxa"/>
            <w:tcBorders>
              <w:right w:val="single" w:sz="6" w:space="0" w:color="000000"/>
            </w:tcBorders>
          </w:tcPr>
          <w:p w14:paraId="7B8920FA" w14:textId="77777777" w:rsidR="00D44887" w:rsidRPr="00C6096E" w:rsidRDefault="00D44887" w:rsidP="002315D8">
            <w:pPr>
              <w:pStyle w:val="TableParagraph"/>
            </w:pPr>
            <w:r>
              <w:lastRenderedPageBreak/>
              <w:t>Établissement d’une analyse des segments de la chaîne de valeur d’une tradition culinaire donnée qui ont un lien avec la propriété intellectuelle dans chaque pays pilote répertoriant les instruments de propriété intellectuelle qui pourraient être utilisés pour promouvoir cette tradition culinaire tout au long de la chaîne de valeur.</w:t>
            </w:r>
          </w:p>
        </w:tc>
        <w:tc>
          <w:tcPr>
            <w:tcW w:w="2695" w:type="dxa"/>
            <w:tcBorders>
              <w:top w:val="single" w:sz="6" w:space="0" w:color="000000"/>
              <w:left w:val="single" w:sz="6" w:space="0" w:color="000000"/>
              <w:bottom w:val="single" w:sz="6" w:space="0" w:color="000000"/>
            </w:tcBorders>
          </w:tcPr>
          <w:p w14:paraId="56C322EF" w14:textId="77777777" w:rsidR="00D44887" w:rsidRPr="005E6044" w:rsidRDefault="00D44887" w:rsidP="002315D8">
            <w:pPr>
              <w:pStyle w:val="TableParagraph"/>
              <w:rPr>
                <w:rFonts w:eastAsia="SimSun"/>
              </w:rPr>
            </w:pPr>
            <w:r>
              <w:t>Recensement des instruments de propriété intellectuelle qui pourraient être utilisés pour promouvoir les traditions culinaires sélectionnées tout au long de la chaîne de valeur.</w:t>
            </w:r>
          </w:p>
        </w:tc>
        <w:tc>
          <w:tcPr>
            <w:tcW w:w="2865" w:type="dxa"/>
          </w:tcPr>
          <w:p w14:paraId="17201E71" w14:textId="77777777" w:rsidR="00D44887" w:rsidRDefault="00D44887" w:rsidP="002315D8">
            <w:pPr>
              <w:pStyle w:val="TableParagraph"/>
            </w:pPr>
            <w:r>
              <w:t xml:space="preserve">L’analyse de la propriété intellectuelle a pris fin au </w:t>
            </w:r>
            <w:r>
              <w:rPr>
                <w:b/>
              </w:rPr>
              <w:t>Pérou</w:t>
            </w:r>
            <w:r>
              <w:t xml:space="preserve"> en mars 2022.  Entre quatre et cinq instruments de propriété intellectuelle ont été proposés pour chaque tradition culinaire.  Les instruments de propriété intellectuelle sont examinés au regard des législations nationales et régionales applicables.</w:t>
            </w:r>
          </w:p>
          <w:p w14:paraId="463C92F1" w14:textId="77777777" w:rsidR="00D44887" w:rsidRPr="007068BD" w:rsidRDefault="00D44887" w:rsidP="002315D8">
            <w:pPr>
              <w:pStyle w:val="TableParagraph"/>
            </w:pPr>
          </w:p>
          <w:p w14:paraId="1CDE02BE" w14:textId="77777777" w:rsidR="00D44887" w:rsidRDefault="00D44887" w:rsidP="002315D8">
            <w:pPr>
              <w:pStyle w:val="TableParagraph"/>
            </w:pPr>
            <w:r>
              <w:t xml:space="preserve">L’analyse de la propriété intellectuelle au </w:t>
            </w:r>
            <w:r>
              <w:rPr>
                <w:b/>
              </w:rPr>
              <w:t>Cameroun</w:t>
            </w:r>
            <w:r>
              <w:t xml:space="preserve"> a pris fin en juin 2022.  Entre trois et cinq instruments de propriété intellectuelle ont été proposés pour chaque tradition culinaire.  Les instruments de propriété intellectuelle sont examinés au regard des législations nationales et régionales applicables.</w:t>
            </w:r>
          </w:p>
          <w:p w14:paraId="0C1BE8AD" w14:textId="77777777" w:rsidR="00D44887" w:rsidRPr="007068BD" w:rsidRDefault="00D44887" w:rsidP="002315D8">
            <w:pPr>
              <w:pStyle w:val="TableParagraph"/>
            </w:pPr>
          </w:p>
          <w:p w14:paraId="25B9EA6C" w14:textId="77777777" w:rsidR="00D44887" w:rsidRDefault="00D44887" w:rsidP="002315D8">
            <w:pPr>
              <w:pStyle w:val="TableParagraph"/>
            </w:pPr>
            <w:r>
              <w:t xml:space="preserve">L’analyse de la propriété intellectuelle en </w:t>
            </w:r>
            <w:r>
              <w:rPr>
                <w:b/>
              </w:rPr>
              <w:t>Malaisie</w:t>
            </w:r>
            <w:r>
              <w:t xml:space="preserve"> a pris fin en juin 2022.  Entre quatre et six instruments de </w:t>
            </w:r>
            <w:r>
              <w:lastRenderedPageBreak/>
              <w:t>propriété intellectuelle ont été proposés pour chaque tradition culinaire.  Les instruments de propriété intellectuelle sont examinés au regard des législations nationales et régionales applicables.</w:t>
            </w:r>
          </w:p>
          <w:p w14:paraId="68630633" w14:textId="77777777" w:rsidR="00D44887" w:rsidRDefault="00D44887" w:rsidP="002315D8">
            <w:pPr>
              <w:pStyle w:val="TableParagraph"/>
            </w:pPr>
            <w:r>
              <w:t xml:space="preserve">L’analyse de la propriété intellectuelle au </w:t>
            </w:r>
            <w:r>
              <w:rPr>
                <w:b/>
              </w:rPr>
              <w:t>Maroc</w:t>
            </w:r>
            <w:r>
              <w:t xml:space="preserve"> a pris fin en juin 2022.  Entre trois et sept instruments de propriété intellectuelle ont été proposés pour chaque tradition culinaire.  Les instruments de propriété intellectuelle sont examinés au regard de la législation nationale applicable.</w:t>
            </w:r>
          </w:p>
        </w:tc>
        <w:tc>
          <w:tcPr>
            <w:tcW w:w="1412" w:type="dxa"/>
          </w:tcPr>
          <w:p w14:paraId="39F1D1FB" w14:textId="77777777" w:rsidR="00D44887" w:rsidRDefault="00D44887" w:rsidP="002315D8">
            <w:pPr>
              <w:pStyle w:val="TableParagraph"/>
            </w:pPr>
            <w:r>
              <w:lastRenderedPageBreak/>
              <w:t>****</w:t>
            </w:r>
          </w:p>
        </w:tc>
      </w:tr>
      <w:tr w:rsidR="00D44887" w:rsidRPr="00C6096E" w14:paraId="27163536" w14:textId="77777777" w:rsidTr="002315D8">
        <w:trPr>
          <w:trHeight w:val="510"/>
        </w:trPr>
        <w:tc>
          <w:tcPr>
            <w:tcW w:w="2410" w:type="dxa"/>
            <w:tcBorders>
              <w:right w:val="single" w:sz="6" w:space="0" w:color="000000"/>
            </w:tcBorders>
          </w:tcPr>
          <w:p w14:paraId="6F0BEDCA" w14:textId="77777777" w:rsidR="00D44887" w:rsidRPr="00C6096E" w:rsidRDefault="00D44887" w:rsidP="002315D8">
            <w:pPr>
              <w:pStyle w:val="TableParagraph"/>
            </w:pPr>
            <w:r>
              <w:t>Organisation de quatre séminaires (un dans chaque pays pilote) au cours desquels l’analyse des segments de la chaîne de valeur d’une tradition culinaire donnée qui ont un lien avec la propriété intellectuelle sera présentée.</w:t>
            </w:r>
          </w:p>
        </w:tc>
        <w:tc>
          <w:tcPr>
            <w:tcW w:w="2695" w:type="dxa"/>
            <w:tcBorders>
              <w:top w:val="single" w:sz="6" w:space="0" w:color="000000"/>
              <w:left w:val="single" w:sz="6" w:space="0" w:color="000000"/>
              <w:bottom w:val="single" w:sz="6" w:space="0" w:color="000000"/>
            </w:tcBorders>
          </w:tcPr>
          <w:p w14:paraId="37AE4F3A" w14:textId="77777777" w:rsidR="00D44887" w:rsidRPr="005E6044" w:rsidRDefault="00D44887" w:rsidP="002315D8">
            <w:pPr>
              <w:pStyle w:val="TableParagraph"/>
              <w:rPr>
                <w:rFonts w:eastAsia="SimSun"/>
              </w:rPr>
            </w:pPr>
            <w:r>
              <w:t>Un pourcentage important des personnes ayant participé au séminaire ont fait état d’une meilleure connaissance des instruments de propriété intellectuelle qui pourraient être utilisés pour promouvoir la tradition culinaire sélectionnée tout au long de la chaîne de valeur.</w:t>
            </w:r>
          </w:p>
        </w:tc>
        <w:tc>
          <w:tcPr>
            <w:tcW w:w="2865" w:type="dxa"/>
          </w:tcPr>
          <w:p w14:paraId="35222CD4" w14:textId="77777777" w:rsidR="00D44887" w:rsidRDefault="00D44887" w:rsidP="002315D8">
            <w:pPr>
              <w:pStyle w:val="TableParagraph"/>
            </w:pPr>
            <w:r>
              <w:t>Les séminaires nationaux ont eu lieu en juin 2022 au Pérou, en Malaisie et au Cameroun.</w:t>
            </w:r>
          </w:p>
          <w:p w14:paraId="7B1E82CD" w14:textId="77777777" w:rsidR="00D44887" w:rsidRPr="00CD2D47" w:rsidRDefault="00D44887" w:rsidP="002315D8">
            <w:pPr>
              <w:pStyle w:val="TableParagraph"/>
            </w:pPr>
          </w:p>
          <w:p w14:paraId="5C8CDEBE" w14:textId="77777777" w:rsidR="00D44887" w:rsidRPr="00CD2D47" w:rsidRDefault="00D44887" w:rsidP="002315D8">
            <w:pPr>
              <w:pStyle w:val="TableParagraph"/>
            </w:pPr>
            <w:r>
              <w:t xml:space="preserve">Au </w:t>
            </w:r>
            <w:r>
              <w:rPr>
                <w:b/>
                <w:bCs/>
              </w:rPr>
              <w:t>Pérou</w:t>
            </w:r>
            <w:r>
              <w:t> :</w:t>
            </w:r>
          </w:p>
          <w:p w14:paraId="234A0AFF" w14:textId="77777777" w:rsidR="00D44887" w:rsidRPr="00CD2D47" w:rsidRDefault="00D44887" w:rsidP="002315D8">
            <w:pPr>
              <w:pStyle w:val="TableParagraph"/>
              <w:numPr>
                <w:ilvl w:val="0"/>
                <w:numId w:val="64"/>
              </w:numPr>
            </w:pPr>
            <w:r>
              <w:t>70 personnes ont participé au séminaire (+ 171 à distance),</w:t>
            </w:r>
          </w:p>
          <w:p w14:paraId="6A94A8A8" w14:textId="77777777" w:rsidR="00D44887" w:rsidRPr="00CD2D47" w:rsidRDefault="00D44887" w:rsidP="002315D8">
            <w:pPr>
              <w:pStyle w:val="TableParagraph"/>
              <w:numPr>
                <w:ilvl w:val="0"/>
                <w:numId w:val="64"/>
              </w:numPr>
            </w:pPr>
            <w:r>
              <w:t>6 participants ont répondu à l’enquête,</w:t>
            </w:r>
          </w:p>
          <w:p w14:paraId="641734EF" w14:textId="77777777" w:rsidR="00D44887" w:rsidRDefault="00D44887" w:rsidP="002315D8">
            <w:pPr>
              <w:pStyle w:val="TableParagraph"/>
              <w:numPr>
                <w:ilvl w:val="0"/>
                <w:numId w:val="64"/>
              </w:numPr>
            </w:pPr>
            <w:r>
              <w:t>100% des participants ayant répondu à l’enquête ont fait état d’une meilleure compréhension du potentiel des instruments de propriété intellectuelle qui pourraient être utilisés pour promouvoir les traditions culinaires sélectionnées et 67% ont estimé que les débats au cours du séminaire étaient utiles.</w:t>
            </w:r>
          </w:p>
          <w:p w14:paraId="695690FC" w14:textId="77777777" w:rsidR="00D44887" w:rsidRDefault="00D44887" w:rsidP="002315D8">
            <w:pPr>
              <w:pStyle w:val="TableParagraph"/>
              <w:ind w:left="720"/>
            </w:pPr>
          </w:p>
          <w:p w14:paraId="3904FD6C" w14:textId="77777777" w:rsidR="00D44887" w:rsidRPr="00CD2D47" w:rsidRDefault="00D44887" w:rsidP="002315D8">
            <w:pPr>
              <w:pStyle w:val="TableParagraph"/>
              <w:ind w:left="720"/>
            </w:pPr>
          </w:p>
          <w:p w14:paraId="0F7AE4F7" w14:textId="77777777" w:rsidR="00D44887" w:rsidRPr="00CD2D47" w:rsidRDefault="00D44887" w:rsidP="002315D8">
            <w:pPr>
              <w:pStyle w:val="TableParagraph"/>
              <w:keepNext/>
            </w:pPr>
            <w:r>
              <w:lastRenderedPageBreak/>
              <w:t xml:space="preserve">En </w:t>
            </w:r>
            <w:r>
              <w:rPr>
                <w:b/>
                <w:bCs/>
              </w:rPr>
              <w:t>Malaisie</w:t>
            </w:r>
            <w:r>
              <w:t> :</w:t>
            </w:r>
          </w:p>
          <w:p w14:paraId="78AE8B34" w14:textId="77777777" w:rsidR="00D44887" w:rsidRPr="00CD2D47" w:rsidRDefault="00D44887" w:rsidP="002315D8">
            <w:pPr>
              <w:pStyle w:val="TableParagraph"/>
              <w:numPr>
                <w:ilvl w:val="0"/>
                <w:numId w:val="64"/>
              </w:numPr>
            </w:pPr>
            <w:r>
              <w:t>Une trentaine de parties prenantes ont participé au séminaire,</w:t>
            </w:r>
          </w:p>
          <w:p w14:paraId="5B1F41ED" w14:textId="77777777" w:rsidR="00D44887" w:rsidRPr="00CD2D47" w:rsidRDefault="00D44887" w:rsidP="002315D8">
            <w:pPr>
              <w:pStyle w:val="TableParagraph"/>
              <w:numPr>
                <w:ilvl w:val="0"/>
                <w:numId w:val="64"/>
              </w:numPr>
            </w:pPr>
            <w:r>
              <w:t>11 participants ont répondu à l’enquête,</w:t>
            </w:r>
          </w:p>
          <w:p w14:paraId="5930FAA3" w14:textId="77777777" w:rsidR="00D44887" w:rsidRPr="00CD2D47" w:rsidRDefault="00D44887" w:rsidP="002315D8">
            <w:pPr>
              <w:pStyle w:val="TableParagraph"/>
              <w:numPr>
                <w:ilvl w:val="0"/>
                <w:numId w:val="64"/>
              </w:numPr>
            </w:pPr>
            <w:r>
              <w:t>91% des réponses ont fait état d’un meilleur niveau de connaissances et de compréhension des objectifs du projet,</w:t>
            </w:r>
          </w:p>
          <w:p w14:paraId="470C1B60" w14:textId="77777777" w:rsidR="00D44887" w:rsidRPr="00CD2D47" w:rsidRDefault="00D44887" w:rsidP="002315D8">
            <w:pPr>
              <w:pStyle w:val="TableParagraph"/>
              <w:numPr>
                <w:ilvl w:val="0"/>
                <w:numId w:val="64"/>
              </w:numPr>
            </w:pPr>
            <w:r>
              <w:t>100% des personnes qui ont répondu ont indiqué vouloir envisager d’utiliser les instruments de propriété intellectuelle dans le cadre de leurs activités à l’avenir,</w:t>
            </w:r>
          </w:p>
          <w:p w14:paraId="36831BC0" w14:textId="77777777" w:rsidR="00D44887" w:rsidRDefault="00D44887" w:rsidP="002315D8">
            <w:pPr>
              <w:pStyle w:val="TableParagraph"/>
              <w:numPr>
                <w:ilvl w:val="0"/>
                <w:numId w:val="64"/>
              </w:numPr>
            </w:pPr>
            <w:r>
              <w:t>77% des participants qui ont répondu ont considéré que les débats au cours du séminaire national avaient été utiles/très utiles.</w:t>
            </w:r>
          </w:p>
          <w:p w14:paraId="5ECC617A" w14:textId="77777777" w:rsidR="00D44887" w:rsidRPr="00CD2D47" w:rsidRDefault="00D44887" w:rsidP="002315D8">
            <w:pPr>
              <w:pStyle w:val="TableParagraph"/>
              <w:ind w:left="720"/>
            </w:pPr>
          </w:p>
          <w:p w14:paraId="61C45F28" w14:textId="77777777" w:rsidR="00D44887" w:rsidRPr="00CD2D47" w:rsidRDefault="00D44887" w:rsidP="002315D8">
            <w:pPr>
              <w:pStyle w:val="TableParagraph"/>
            </w:pPr>
            <w:r>
              <w:t xml:space="preserve">Au </w:t>
            </w:r>
            <w:r>
              <w:rPr>
                <w:b/>
                <w:bCs/>
              </w:rPr>
              <w:t>Cameroun</w:t>
            </w:r>
            <w:r>
              <w:t> :</w:t>
            </w:r>
          </w:p>
          <w:p w14:paraId="45837991" w14:textId="77777777" w:rsidR="00D44887" w:rsidRPr="00CD2D47" w:rsidRDefault="00D44887" w:rsidP="002315D8">
            <w:pPr>
              <w:pStyle w:val="TableParagraph"/>
              <w:numPr>
                <w:ilvl w:val="0"/>
                <w:numId w:val="64"/>
              </w:numPr>
            </w:pPr>
            <w:r>
              <w:t>150 participants,</w:t>
            </w:r>
          </w:p>
          <w:p w14:paraId="5FDB8910" w14:textId="77777777" w:rsidR="00D44887" w:rsidRPr="00CD2D47" w:rsidRDefault="00D44887" w:rsidP="002315D8">
            <w:pPr>
              <w:pStyle w:val="TableParagraph"/>
              <w:numPr>
                <w:ilvl w:val="0"/>
                <w:numId w:val="64"/>
              </w:numPr>
            </w:pPr>
            <w:r>
              <w:t>77 participants ont répondu à l’enquête de satisfaction,</w:t>
            </w:r>
          </w:p>
          <w:p w14:paraId="04261F68" w14:textId="77777777" w:rsidR="00D44887" w:rsidRPr="00CD2D47" w:rsidRDefault="00D44887" w:rsidP="002315D8">
            <w:pPr>
              <w:pStyle w:val="TableParagraph"/>
              <w:numPr>
                <w:ilvl w:val="0"/>
                <w:numId w:val="64"/>
              </w:numPr>
            </w:pPr>
            <w:r>
              <w:t>66% des personnes qui ont répondu ont indiqué que le séminaire national les avait encouragés à faire usage des instruments de propriété intellectuelle dans le cadre de leurs activités,</w:t>
            </w:r>
          </w:p>
          <w:p w14:paraId="458F7E2C" w14:textId="77777777" w:rsidR="00D44887" w:rsidRDefault="00D44887" w:rsidP="002315D8">
            <w:pPr>
              <w:pStyle w:val="TableParagraph"/>
              <w:numPr>
                <w:ilvl w:val="0"/>
                <w:numId w:val="64"/>
              </w:numPr>
            </w:pPr>
            <w:r>
              <w:t>76% des participants qui ont répondu ont estimé que les débats au cours du séminaire national avaient été utiles/très utiles.</w:t>
            </w:r>
          </w:p>
          <w:p w14:paraId="2CE829F7" w14:textId="77777777" w:rsidR="00D44887" w:rsidRPr="00CD2D47" w:rsidRDefault="00D44887" w:rsidP="002315D8">
            <w:pPr>
              <w:pStyle w:val="TableParagraph"/>
              <w:ind w:left="720"/>
            </w:pPr>
          </w:p>
          <w:p w14:paraId="619EA33F" w14:textId="77777777" w:rsidR="00D44887" w:rsidRDefault="00D44887" w:rsidP="002315D8">
            <w:pPr>
              <w:pStyle w:val="TableParagraph"/>
            </w:pPr>
            <w:r>
              <w:t xml:space="preserve">Le séminaire national du </w:t>
            </w:r>
            <w:r>
              <w:rPr>
                <w:b/>
                <w:bCs/>
              </w:rPr>
              <w:t>Maroc</w:t>
            </w:r>
            <w:r>
              <w:t xml:space="preserve"> est prévu pour septembre 2022.</w:t>
            </w:r>
          </w:p>
        </w:tc>
        <w:tc>
          <w:tcPr>
            <w:tcW w:w="1412" w:type="dxa"/>
          </w:tcPr>
          <w:p w14:paraId="1DE9A2C6" w14:textId="77777777" w:rsidR="00D44887" w:rsidRDefault="00D44887" w:rsidP="002315D8">
            <w:pPr>
              <w:pStyle w:val="TableParagraph"/>
            </w:pPr>
            <w:r>
              <w:lastRenderedPageBreak/>
              <w:t>***</w:t>
            </w:r>
          </w:p>
        </w:tc>
      </w:tr>
      <w:tr w:rsidR="00D44887" w:rsidRPr="00C6096E" w14:paraId="7568D799" w14:textId="77777777" w:rsidTr="002315D8">
        <w:trPr>
          <w:trHeight w:val="510"/>
        </w:trPr>
        <w:tc>
          <w:tcPr>
            <w:tcW w:w="2410" w:type="dxa"/>
            <w:tcBorders>
              <w:right w:val="single" w:sz="6" w:space="0" w:color="000000"/>
            </w:tcBorders>
          </w:tcPr>
          <w:p w14:paraId="1A0423B3" w14:textId="77777777" w:rsidR="00D44887" w:rsidRPr="00C6096E" w:rsidRDefault="00D44887" w:rsidP="002315D8">
            <w:pPr>
              <w:pStyle w:val="TableParagraph"/>
            </w:pPr>
            <w:r>
              <w:lastRenderedPageBreak/>
              <w:t>Organisation d’un séminaire international au cours duquel des données d’expérience et les conclusions du projet dans chaque pays pilote seront présentées.</w:t>
            </w:r>
          </w:p>
        </w:tc>
        <w:tc>
          <w:tcPr>
            <w:tcW w:w="2695" w:type="dxa"/>
            <w:tcBorders>
              <w:top w:val="single" w:sz="6" w:space="0" w:color="000000"/>
              <w:left w:val="single" w:sz="6" w:space="0" w:color="000000"/>
              <w:bottom w:val="single" w:sz="6" w:space="0" w:color="000000"/>
            </w:tcBorders>
          </w:tcPr>
          <w:p w14:paraId="2BDA3DA8" w14:textId="77777777" w:rsidR="00D44887" w:rsidRPr="005E6044" w:rsidRDefault="00D44887" w:rsidP="002315D8">
            <w:pPr>
              <w:pStyle w:val="TableParagraph"/>
              <w:rPr>
                <w:rFonts w:eastAsia="SimSun"/>
              </w:rPr>
            </w:pPr>
            <w:r>
              <w:t>Présence des parties prenantes concernées des secteurs de la propriété intellectuelle et du tourisme gastronomique de différents pays.</w:t>
            </w:r>
          </w:p>
        </w:tc>
        <w:tc>
          <w:tcPr>
            <w:tcW w:w="2865" w:type="dxa"/>
          </w:tcPr>
          <w:p w14:paraId="6E7C0F46" w14:textId="77777777" w:rsidR="00D44887" w:rsidRDefault="00D44887" w:rsidP="002315D8">
            <w:pPr>
              <w:pStyle w:val="TableParagraph"/>
            </w:pPr>
            <w:r>
              <w:t>Le séminaire international devrait avoir lieu durant le quatrième trimestre 2022, conformément au calendrier de mise en œuvre révisé.</w:t>
            </w:r>
          </w:p>
        </w:tc>
        <w:tc>
          <w:tcPr>
            <w:tcW w:w="1412" w:type="dxa"/>
          </w:tcPr>
          <w:p w14:paraId="2862E7F1" w14:textId="77777777" w:rsidR="00D44887" w:rsidRDefault="00D44887" w:rsidP="002315D8">
            <w:pPr>
              <w:pStyle w:val="TableParagraph"/>
            </w:pPr>
            <w:r>
              <w:t>NA</w:t>
            </w:r>
          </w:p>
        </w:tc>
      </w:tr>
    </w:tbl>
    <w:p w14:paraId="5223FA9F" w14:textId="77777777" w:rsidR="00D44887" w:rsidRDefault="00D44887" w:rsidP="00D44887">
      <w:pPr>
        <w:rPr>
          <w:highlight w:val="yellow"/>
        </w:rPr>
      </w:pPr>
    </w:p>
    <w:p w14:paraId="49529149" w14:textId="77777777" w:rsidR="00D44887" w:rsidRDefault="00D44887" w:rsidP="00D44887">
      <w:pPr>
        <w:rPr>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2829"/>
        <w:gridCol w:w="1423"/>
      </w:tblGrid>
      <w:tr w:rsidR="00D44887" w:rsidRPr="00944ED0" w14:paraId="032C4C22" w14:textId="77777777" w:rsidTr="002315D8">
        <w:trPr>
          <w:trHeight w:val="616"/>
        </w:trPr>
        <w:tc>
          <w:tcPr>
            <w:tcW w:w="2410" w:type="dxa"/>
            <w:shd w:val="clear" w:color="auto" w:fill="68E089"/>
          </w:tcPr>
          <w:p w14:paraId="7F9C6A18" w14:textId="77777777" w:rsidR="00D44887" w:rsidRPr="00944ED0" w:rsidRDefault="00D44887" w:rsidP="002315D8">
            <w:pPr>
              <w:pStyle w:val="Heading3"/>
            </w:pPr>
            <w:r>
              <w:t>Objectifs du projet</w:t>
            </w:r>
          </w:p>
        </w:tc>
        <w:tc>
          <w:tcPr>
            <w:tcW w:w="2694" w:type="dxa"/>
            <w:shd w:val="clear" w:color="auto" w:fill="68E089"/>
          </w:tcPr>
          <w:p w14:paraId="2E9F0CFC" w14:textId="77777777" w:rsidR="00D44887" w:rsidRPr="00F80FF6" w:rsidRDefault="00D44887" w:rsidP="002315D8">
            <w:pPr>
              <w:autoSpaceDE w:val="0"/>
              <w:autoSpaceDN w:val="0"/>
              <w:adjustRightInd w:val="0"/>
              <w:rPr>
                <w:bCs/>
                <w:szCs w:val="22"/>
                <w:u w:val="single"/>
              </w:rPr>
            </w:pPr>
            <w:r>
              <w:rPr>
                <w:u w:val="single"/>
              </w:rPr>
              <w:t>Indicateur(s) de réussite dans la réalisation de l’objectif du projet</w:t>
            </w:r>
          </w:p>
          <w:p w14:paraId="26C1F98A" w14:textId="77777777" w:rsidR="00D44887" w:rsidRPr="00F80FF6" w:rsidRDefault="00D44887" w:rsidP="002315D8">
            <w:pPr>
              <w:autoSpaceDE w:val="0"/>
              <w:autoSpaceDN w:val="0"/>
              <w:adjustRightInd w:val="0"/>
              <w:rPr>
                <w:bCs/>
                <w:szCs w:val="22"/>
                <w:u w:val="single"/>
              </w:rPr>
            </w:pPr>
            <w:r>
              <w:rPr>
                <w:u w:val="single"/>
              </w:rPr>
              <w:t>(indicateurs de résultats)</w:t>
            </w:r>
          </w:p>
          <w:p w14:paraId="7A8EDC60" w14:textId="77777777" w:rsidR="00D44887" w:rsidRPr="00944ED0" w:rsidRDefault="00D44887" w:rsidP="002315D8"/>
        </w:tc>
        <w:tc>
          <w:tcPr>
            <w:tcW w:w="2829" w:type="dxa"/>
            <w:shd w:val="clear" w:color="auto" w:fill="68E089"/>
          </w:tcPr>
          <w:p w14:paraId="55A94662" w14:textId="77777777" w:rsidR="00D44887" w:rsidRPr="00944ED0" w:rsidRDefault="00D44887" w:rsidP="002315D8">
            <w:pPr>
              <w:pStyle w:val="Heading3"/>
            </w:pPr>
            <w:r>
              <w:t>Données relatives à l’exécution</w:t>
            </w:r>
          </w:p>
        </w:tc>
        <w:tc>
          <w:tcPr>
            <w:tcW w:w="1423" w:type="dxa"/>
            <w:shd w:val="clear" w:color="auto" w:fill="68E089"/>
          </w:tcPr>
          <w:p w14:paraId="59FE1303" w14:textId="77777777" w:rsidR="00D44887" w:rsidRPr="00944ED0" w:rsidRDefault="00D44887" w:rsidP="002315D8">
            <w:pPr>
              <w:pStyle w:val="Heading3"/>
            </w:pPr>
            <w:r>
              <w:t>Code d’évaluation</w:t>
            </w:r>
          </w:p>
        </w:tc>
      </w:tr>
      <w:tr w:rsidR="00D44887" w:rsidRPr="00944ED0" w14:paraId="243AEE69" w14:textId="77777777" w:rsidTr="002315D8">
        <w:trPr>
          <w:trHeight w:val="509"/>
        </w:trPr>
        <w:tc>
          <w:tcPr>
            <w:tcW w:w="2410" w:type="dxa"/>
            <w:shd w:val="clear" w:color="auto" w:fill="auto"/>
          </w:tcPr>
          <w:p w14:paraId="5571795C" w14:textId="77777777" w:rsidR="00D44887" w:rsidRPr="00284E81" w:rsidRDefault="00D44887" w:rsidP="002315D8">
            <w:pPr>
              <w:pStyle w:val="TableParagraph"/>
            </w:pPr>
            <w:r>
              <w:t>Renforcer les capacités des acteurs du secteur du tourisme gastronomique et des autorités nationales, y compris des offices de propriété intellectuelle, afin qu’ils puissent exploiter les outils et stratégies de propriété intellectuelle pour valoriser leurs produits et leurs services et pour diversifier leurs activités économiques tout en respectant les traditions et les cultures locales.</w:t>
            </w:r>
          </w:p>
        </w:tc>
        <w:tc>
          <w:tcPr>
            <w:tcW w:w="2694" w:type="dxa"/>
            <w:shd w:val="clear" w:color="auto" w:fill="auto"/>
          </w:tcPr>
          <w:p w14:paraId="7D49A36D" w14:textId="77777777" w:rsidR="00D44887" w:rsidRDefault="00D44887" w:rsidP="002315D8">
            <w:pPr>
              <w:pStyle w:val="TableParagraph"/>
            </w:pPr>
            <w:r>
              <w:t>Nombre d’acteurs du secteur du tourisme gastronomique qui, à l’issue du projet, ont commencé à exploiter des instruments de propriété intellectuelle pour valoriser leur produit ou service.</w:t>
            </w:r>
          </w:p>
          <w:p w14:paraId="0D0F77C0" w14:textId="77777777" w:rsidR="00D44887" w:rsidRPr="003117E8" w:rsidRDefault="00D44887" w:rsidP="002315D8">
            <w:pPr>
              <w:spacing w:before="240" w:after="60"/>
            </w:pPr>
            <w:r>
              <w:t>Nombre et pertinence des mesures de renforcement des capacités mises en œuvre par les autorités nationales, y compris les offices de propriété intellectuelle, pour fournir des services consultatifs sur l’utilisation des instruments de propriété intellectuelle dans le secteur du tourisme gastronomique.</w:t>
            </w:r>
          </w:p>
        </w:tc>
        <w:tc>
          <w:tcPr>
            <w:tcW w:w="2829" w:type="dxa"/>
            <w:shd w:val="clear" w:color="auto" w:fill="auto"/>
          </w:tcPr>
          <w:p w14:paraId="2571AAA3" w14:textId="77777777" w:rsidR="00D44887" w:rsidRPr="00944ED0" w:rsidRDefault="00D44887" w:rsidP="002315D8">
            <w:pPr>
              <w:pStyle w:val="TableParagraph"/>
            </w:pPr>
            <w:r>
              <w:t>À déterminer en fonction des plans de travail nationaux (à établir).</w:t>
            </w:r>
          </w:p>
        </w:tc>
        <w:tc>
          <w:tcPr>
            <w:tcW w:w="1423" w:type="dxa"/>
            <w:shd w:val="clear" w:color="auto" w:fill="auto"/>
          </w:tcPr>
          <w:p w14:paraId="14ABF74D" w14:textId="77777777" w:rsidR="00D44887" w:rsidRPr="00944ED0" w:rsidRDefault="00D44887" w:rsidP="002315D8">
            <w:pPr>
              <w:pStyle w:val="TableParagraph"/>
            </w:pPr>
            <w:r>
              <w:t>NA</w:t>
            </w:r>
          </w:p>
        </w:tc>
      </w:tr>
      <w:tr w:rsidR="00D44887" w:rsidRPr="00944ED0" w14:paraId="313C433E" w14:textId="77777777" w:rsidTr="002315D8">
        <w:trPr>
          <w:trHeight w:val="3094"/>
        </w:trPr>
        <w:tc>
          <w:tcPr>
            <w:tcW w:w="2410" w:type="dxa"/>
            <w:vMerge w:val="restart"/>
            <w:shd w:val="clear" w:color="auto" w:fill="auto"/>
            <w:vAlign w:val="center"/>
          </w:tcPr>
          <w:p w14:paraId="03D8F6C8" w14:textId="77777777" w:rsidR="00D44887" w:rsidRPr="00F80FF6" w:rsidRDefault="00D44887" w:rsidP="002315D8">
            <w:pPr>
              <w:pStyle w:val="TableParagraph"/>
              <w:rPr>
                <w:bCs/>
              </w:rPr>
            </w:pPr>
            <w:r>
              <w:lastRenderedPageBreak/>
              <w:t>Mieux faire connaître les retombées que l’utilisation de la propriété intellectuelle peut avoir sur les activités dans le secteur du tourisme gastronomique.</w:t>
            </w:r>
          </w:p>
        </w:tc>
        <w:tc>
          <w:tcPr>
            <w:tcW w:w="2694" w:type="dxa"/>
            <w:shd w:val="clear" w:color="auto" w:fill="auto"/>
          </w:tcPr>
          <w:p w14:paraId="358018D2" w14:textId="77777777" w:rsidR="00D44887" w:rsidRDefault="00D44887" w:rsidP="002315D8">
            <w:pPr>
              <w:pStyle w:val="TableParagraph"/>
              <w:rPr>
                <w:rFonts w:eastAsia="SimSun"/>
              </w:rPr>
            </w:pPr>
            <w:r>
              <w:t>Pourcentage de participants aux tables rondes et séminaires qui ont fait état d’une meilleure connaissance des retombées que la propriété intellectuelle peut avoir sur le secteur du tourisme gastronomique.</w:t>
            </w:r>
          </w:p>
          <w:p w14:paraId="0E44F2AE" w14:textId="77777777" w:rsidR="00D44887" w:rsidRDefault="00D44887" w:rsidP="002315D8">
            <w:pPr>
              <w:spacing w:before="240" w:after="60"/>
              <w:rPr>
                <w:rFonts w:eastAsia="SimSun"/>
                <w:lang w:eastAsia="zh-CN"/>
              </w:rPr>
            </w:pPr>
          </w:p>
          <w:p w14:paraId="061EAE25" w14:textId="77777777" w:rsidR="00D44887" w:rsidRDefault="00D44887" w:rsidP="002315D8">
            <w:pPr>
              <w:spacing w:before="240" w:after="60"/>
              <w:rPr>
                <w:rFonts w:eastAsia="SimSun"/>
                <w:lang w:eastAsia="zh-CN"/>
              </w:rPr>
            </w:pPr>
          </w:p>
          <w:p w14:paraId="620B6601" w14:textId="77777777" w:rsidR="00D44887" w:rsidRDefault="00D44887" w:rsidP="002315D8">
            <w:pPr>
              <w:spacing w:before="240" w:after="60"/>
              <w:rPr>
                <w:rFonts w:eastAsia="SimSun"/>
                <w:lang w:eastAsia="zh-CN"/>
              </w:rPr>
            </w:pPr>
          </w:p>
          <w:p w14:paraId="6A5526C7" w14:textId="77777777" w:rsidR="00D44887" w:rsidRDefault="00D44887" w:rsidP="002315D8">
            <w:pPr>
              <w:spacing w:before="240" w:after="60"/>
              <w:rPr>
                <w:rFonts w:eastAsia="SimSun"/>
                <w:lang w:eastAsia="zh-CN"/>
              </w:rPr>
            </w:pPr>
          </w:p>
          <w:p w14:paraId="5FBD8824" w14:textId="77777777" w:rsidR="00D44887" w:rsidRDefault="00D44887" w:rsidP="002315D8">
            <w:pPr>
              <w:spacing w:before="240" w:after="60"/>
              <w:rPr>
                <w:rFonts w:eastAsia="SimSun"/>
                <w:lang w:eastAsia="zh-CN"/>
              </w:rPr>
            </w:pPr>
          </w:p>
          <w:p w14:paraId="051CC3D8" w14:textId="77777777" w:rsidR="00D44887" w:rsidRDefault="00D44887" w:rsidP="002315D8">
            <w:pPr>
              <w:spacing w:before="240" w:after="60"/>
              <w:rPr>
                <w:rFonts w:eastAsia="SimSun"/>
                <w:lang w:eastAsia="zh-CN"/>
              </w:rPr>
            </w:pPr>
          </w:p>
          <w:p w14:paraId="3B91E520" w14:textId="77777777" w:rsidR="00D44887" w:rsidRDefault="00D44887" w:rsidP="002315D8">
            <w:pPr>
              <w:spacing w:before="240" w:after="60"/>
              <w:rPr>
                <w:rFonts w:eastAsia="SimSun"/>
                <w:lang w:eastAsia="zh-CN"/>
              </w:rPr>
            </w:pPr>
          </w:p>
          <w:p w14:paraId="670FC42E" w14:textId="77777777" w:rsidR="00D44887" w:rsidRDefault="00D44887" w:rsidP="002315D8">
            <w:pPr>
              <w:spacing w:before="240" w:after="60"/>
              <w:rPr>
                <w:rFonts w:eastAsia="SimSun"/>
                <w:lang w:eastAsia="zh-CN"/>
              </w:rPr>
            </w:pPr>
          </w:p>
          <w:p w14:paraId="62E60475" w14:textId="77777777" w:rsidR="00D44887" w:rsidRDefault="00D44887" w:rsidP="002315D8">
            <w:pPr>
              <w:spacing w:before="240" w:after="60"/>
              <w:rPr>
                <w:rFonts w:eastAsia="SimSun"/>
                <w:lang w:eastAsia="zh-CN"/>
              </w:rPr>
            </w:pPr>
          </w:p>
          <w:p w14:paraId="2D45DDFD" w14:textId="77777777" w:rsidR="00D44887" w:rsidRDefault="00D44887" w:rsidP="002315D8">
            <w:pPr>
              <w:spacing w:before="240" w:after="60"/>
              <w:rPr>
                <w:rFonts w:eastAsia="SimSun"/>
                <w:lang w:eastAsia="zh-CN"/>
              </w:rPr>
            </w:pPr>
          </w:p>
          <w:p w14:paraId="6C61F272" w14:textId="77777777" w:rsidR="00D44887" w:rsidRDefault="00D44887" w:rsidP="002315D8">
            <w:pPr>
              <w:spacing w:before="240" w:after="60"/>
              <w:rPr>
                <w:rFonts w:eastAsia="SimSun"/>
                <w:lang w:eastAsia="zh-CN"/>
              </w:rPr>
            </w:pPr>
          </w:p>
          <w:p w14:paraId="049F00D2" w14:textId="77777777" w:rsidR="00D44887" w:rsidRDefault="00D44887" w:rsidP="002315D8">
            <w:pPr>
              <w:spacing w:before="240" w:after="60"/>
              <w:rPr>
                <w:rFonts w:eastAsia="SimSun"/>
                <w:lang w:eastAsia="zh-CN"/>
              </w:rPr>
            </w:pPr>
          </w:p>
          <w:p w14:paraId="62EF2013" w14:textId="77777777" w:rsidR="00D44887" w:rsidRDefault="00D44887" w:rsidP="002315D8">
            <w:pPr>
              <w:spacing w:before="240" w:after="60"/>
              <w:rPr>
                <w:rFonts w:eastAsia="SimSun"/>
                <w:lang w:eastAsia="zh-CN"/>
              </w:rPr>
            </w:pPr>
          </w:p>
          <w:p w14:paraId="0AAE640E" w14:textId="77777777" w:rsidR="00D44887" w:rsidRDefault="00D44887" w:rsidP="002315D8">
            <w:pPr>
              <w:spacing w:before="240" w:after="60"/>
              <w:rPr>
                <w:rFonts w:eastAsia="SimSun"/>
                <w:lang w:eastAsia="zh-CN"/>
              </w:rPr>
            </w:pPr>
          </w:p>
          <w:p w14:paraId="5F4116D2" w14:textId="77777777" w:rsidR="00D44887" w:rsidRDefault="00D44887" w:rsidP="002315D8">
            <w:pPr>
              <w:spacing w:before="240" w:after="60"/>
              <w:rPr>
                <w:rFonts w:eastAsia="SimSun"/>
                <w:lang w:eastAsia="zh-CN"/>
              </w:rPr>
            </w:pPr>
          </w:p>
          <w:p w14:paraId="5F1556CC" w14:textId="77777777" w:rsidR="00D44887" w:rsidRDefault="00D44887" w:rsidP="002315D8">
            <w:pPr>
              <w:spacing w:before="240" w:after="60"/>
              <w:rPr>
                <w:rFonts w:eastAsia="SimSun"/>
                <w:lang w:eastAsia="zh-CN"/>
              </w:rPr>
            </w:pPr>
          </w:p>
          <w:p w14:paraId="50AFA826" w14:textId="77777777" w:rsidR="00D44887" w:rsidRDefault="00D44887" w:rsidP="002315D8">
            <w:pPr>
              <w:spacing w:before="240" w:after="60"/>
              <w:rPr>
                <w:rFonts w:eastAsia="SimSun"/>
                <w:lang w:eastAsia="zh-CN"/>
              </w:rPr>
            </w:pPr>
          </w:p>
          <w:p w14:paraId="7DD2A40D" w14:textId="77777777" w:rsidR="00D44887" w:rsidRDefault="00D44887" w:rsidP="002315D8">
            <w:pPr>
              <w:spacing w:before="240" w:after="60"/>
              <w:rPr>
                <w:rFonts w:eastAsia="SimSun"/>
                <w:lang w:eastAsia="zh-CN"/>
              </w:rPr>
            </w:pPr>
          </w:p>
          <w:p w14:paraId="14EC764B" w14:textId="77777777" w:rsidR="00D44887" w:rsidRPr="003117E8" w:rsidRDefault="00D44887" w:rsidP="002315D8">
            <w:pPr>
              <w:spacing w:before="240" w:after="60"/>
            </w:pPr>
          </w:p>
        </w:tc>
        <w:tc>
          <w:tcPr>
            <w:tcW w:w="2829" w:type="dxa"/>
            <w:shd w:val="clear" w:color="auto" w:fill="auto"/>
          </w:tcPr>
          <w:p w14:paraId="4E82E08E" w14:textId="77777777" w:rsidR="00D44887" w:rsidRDefault="00D44887" w:rsidP="002315D8">
            <w:pPr>
              <w:numPr>
                <w:ilvl w:val="0"/>
                <w:numId w:val="63"/>
              </w:numPr>
              <w:ind w:left="420"/>
            </w:pPr>
            <w:r>
              <w:t>Au Pérou, 87% des participants ayant répondu à l’enquête ont déclaré posséder une meilleure connaissance de la propriété intellectuelle à l’issue de la table ronde.  100% des participants au séminaire national ont fait état d’une meilleure connaissance des instruments de propriété intellectuelle qui pourraient être utilisés pour promouvoir les traditions culinaires sélectionnées.</w:t>
            </w:r>
          </w:p>
          <w:p w14:paraId="0DED821A" w14:textId="77777777" w:rsidR="00D44887" w:rsidRPr="00B17387" w:rsidRDefault="00D44887" w:rsidP="002315D8">
            <w:pPr>
              <w:ind w:left="420"/>
            </w:pPr>
          </w:p>
          <w:p w14:paraId="6BA4E31A" w14:textId="77777777" w:rsidR="00D44887" w:rsidRDefault="00D44887" w:rsidP="002315D8">
            <w:pPr>
              <w:numPr>
                <w:ilvl w:val="0"/>
                <w:numId w:val="63"/>
              </w:numPr>
              <w:ind w:left="420"/>
            </w:pPr>
            <w:r>
              <w:t>En Malaisie, les participants ont soutenu le projet et certains d’entre eux ont exprimé leur intérêt à s’engager dans la phase suivante du projet.  À l’issue du séminaire national, 91% des réponses au questionnaire de satisfaction ont fait état d’un meilleur niveau de connaissances et de compréhension des objectifs du projet.</w:t>
            </w:r>
          </w:p>
          <w:p w14:paraId="2FA95D79" w14:textId="77777777" w:rsidR="00D44887" w:rsidRPr="00B17387" w:rsidRDefault="00D44887" w:rsidP="002315D8">
            <w:pPr>
              <w:ind w:left="420"/>
            </w:pPr>
          </w:p>
          <w:p w14:paraId="0F73BCB5" w14:textId="77777777" w:rsidR="00D44887" w:rsidRDefault="00D44887" w:rsidP="002315D8">
            <w:pPr>
              <w:numPr>
                <w:ilvl w:val="0"/>
                <w:numId w:val="64"/>
              </w:numPr>
              <w:tabs>
                <w:tab w:val="left" w:pos="370"/>
              </w:tabs>
              <w:ind w:left="317" w:hanging="255"/>
            </w:pPr>
            <w:r>
              <w:t xml:space="preserve">Au Cameroun, 90% des participants ayant répondu à l’enquête de satisfaction ont déclaré posséder une meilleure connaissance de la propriété intellectuelle à l’issue de la table ronde.  À l’issue du séminaire national, 66% des personnes ayant répondu au questionnaire ont </w:t>
            </w:r>
            <w:r>
              <w:lastRenderedPageBreak/>
              <w:t>indiqué que le séminaire national les avait encouragés à faire usage des instruments de propriété intellectuelle dans le cadre de leurs activités.</w:t>
            </w:r>
          </w:p>
          <w:p w14:paraId="661B25BF" w14:textId="77777777" w:rsidR="00D44887" w:rsidRPr="00B17387" w:rsidRDefault="00D44887" w:rsidP="002315D8">
            <w:pPr>
              <w:tabs>
                <w:tab w:val="left" w:pos="370"/>
              </w:tabs>
              <w:ind w:left="317"/>
            </w:pPr>
          </w:p>
          <w:p w14:paraId="3A8400DB" w14:textId="77777777" w:rsidR="00D44887" w:rsidRPr="00944ED0" w:rsidRDefault="00D44887" w:rsidP="002315D8">
            <w:pPr>
              <w:numPr>
                <w:ilvl w:val="0"/>
                <w:numId w:val="63"/>
              </w:numPr>
              <w:ind w:left="420"/>
            </w:pPr>
            <w:r>
              <w:t>Au Maroc, les réponses au questionnaire de satisfaction ont fait état d’une meilleure compréhension de la propriété intellectuelle à l’issue de la table ronde.</w:t>
            </w:r>
          </w:p>
        </w:tc>
        <w:tc>
          <w:tcPr>
            <w:tcW w:w="1423" w:type="dxa"/>
            <w:shd w:val="clear" w:color="auto" w:fill="auto"/>
          </w:tcPr>
          <w:p w14:paraId="75219DAF" w14:textId="77777777" w:rsidR="00D44887" w:rsidRPr="00284E81" w:rsidRDefault="00D44887" w:rsidP="002315D8">
            <w:pPr>
              <w:pStyle w:val="TableParagraph"/>
              <w:rPr>
                <w:rFonts w:eastAsia="SimSun"/>
              </w:rPr>
            </w:pPr>
            <w:r>
              <w:lastRenderedPageBreak/>
              <w:t>****</w:t>
            </w:r>
          </w:p>
          <w:p w14:paraId="25AB3165" w14:textId="77777777" w:rsidR="00D44887" w:rsidRPr="00284E81" w:rsidRDefault="00D44887" w:rsidP="002315D8">
            <w:pPr>
              <w:pStyle w:val="TableParagraph"/>
              <w:rPr>
                <w:rFonts w:eastAsia="SimSun"/>
                <w:lang w:eastAsia="zh-CN"/>
              </w:rPr>
            </w:pPr>
          </w:p>
          <w:p w14:paraId="3392BC0B" w14:textId="77777777" w:rsidR="00D44887" w:rsidRPr="00284E81" w:rsidRDefault="00D44887" w:rsidP="002315D8">
            <w:pPr>
              <w:pStyle w:val="TableParagraph"/>
              <w:rPr>
                <w:rFonts w:eastAsia="SimSun"/>
                <w:lang w:eastAsia="zh-CN"/>
              </w:rPr>
            </w:pPr>
          </w:p>
          <w:p w14:paraId="1F44CF5C" w14:textId="77777777" w:rsidR="00D44887" w:rsidRPr="00284E81" w:rsidRDefault="00D44887" w:rsidP="002315D8">
            <w:pPr>
              <w:pStyle w:val="TableParagraph"/>
              <w:rPr>
                <w:rFonts w:eastAsia="SimSun"/>
                <w:lang w:eastAsia="zh-CN"/>
              </w:rPr>
            </w:pPr>
          </w:p>
          <w:p w14:paraId="2DD3BC56" w14:textId="77777777" w:rsidR="00D44887" w:rsidRPr="00284E81" w:rsidRDefault="00D44887" w:rsidP="002315D8">
            <w:pPr>
              <w:pStyle w:val="TableParagraph"/>
              <w:rPr>
                <w:rFonts w:eastAsia="SimSun"/>
                <w:lang w:eastAsia="zh-CN"/>
              </w:rPr>
            </w:pPr>
          </w:p>
          <w:p w14:paraId="2EED06C3" w14:textId="77777777" w:rsidR="00D44887" w:rsidRPr="00284E81" w:rsidRDefault="00D44887" w:rsidP="002315D8">
            <w:pPr>
              <w:pStyle w:val="TableParagraph"/>
              <w:rPr>
                <w:rFonts w:eastAsia="SimSun"/>
                <w:lang w:eastAsia="zh-CN"/>
              </w:rPr>
            </w:pPr>
          </w:p>
          <w:p w14:paraId="5629204F" w14:textId="77777777" w:rsidR="00D44887" w:rsidRPr="00284E81" w:rsidRDefault="00D44887" w:rsidP="002315D8">
            <w:pPr>
              <w:pStyle w:val="TableParagraph"/>
              <w:rPr>
                <w:rFonts w:eastAsia="SimSun"/>
                <w:lang w:eastAsia="zh-CN"/>
              </w:rPr>
            </w:pPr>
          </w:p>
          <w:p w14:paraId="02C95CC1" w14:textId="77777777" w:rsidR="00D44887" w:rsidRPr="00284E81" w:rsidRDefault="00D44887" w:rsidP="002315D8">
            <w:pPr>
              <w:pStyle w:val="TableParagraph"/>
              <w:rPr>
                <w:rFonts w:eastAsia="SimSun"/>
                <w:lang w:eastAsia="zh-CN"/>
              </w:rPr>
            </w:pPr>
          </w:p>
          <w:p w14:paraId="01F81ABB" w14:textId="77777777" w:rsidR="00D44887" w:rsidRPr="00284E81" w:rsidRDefault="00D44887" w:rsidP="002315D8">
            <w:pPr>
              <w:pStyle w:val="TableParagraph"/>
              <w:rPr>
                <w:rFonts w:eastAsia="SimSun"/>
                <w:lang w:eastAsia="zh-CN"/>
              </w:rPr>
            </w:pPr>
          </w:p>
          <w:p w14:paraId="26261768" w14:textId="77777777" w:rsidR="00D44887" w:rsidRPr="00284E81" w:rsidRDefault="00D44887" w:rsidP="002315D8">
            <w:pPr>
              <w:pStyle w:val="TableParagraph"/>
              <w:rPr>
                <w:rFonts w:eastAsia="SimSun"/>
                <w:lang w:eastAsia="zh-CN"/>
              </w:rPr>
            </w:pPr>
          </w:p>
          <w:p w14:paraId="1E5CC659" w14:textId="77777777" w:rsidR="00D44887" w:rsidRPr="00284E81" w:rsidRDefault="00D44887" w:rsidP="002315D8">
            <w:pPr>
              <w:pStyle w:val="TableParagraph"/>
              <w:rPr>
                <w:rFonts w:eastAsia="SimSun"/>
                <w:lang w:eastAsia="zh-CN"/>
              </w:rPr>
            </w:pPr>
          </w:p>
          <w:p w14:paraId="683200CC" w14:textId="77777777" w:rsidR="00D44887" w:rsidRPr="00284E81" w:rsidRDefault="00D44887" w:rsidP="002315D8">
            <w:pPr>
              <w:pStyle w:val="TableParagraph"/>
              <w:rPr>
                <w:rFonts w:eastAsia="SimSun"/>
                <w:lang w:eastAsia="zh-CN"/>
              </w:rPr>
            </w:pPr>
          </w:p>
          <w:p w14:paraId="6155825A" w14:textId="77777777" w:rsidR="00D44887" w:rsidRPr="00284E81" w:rsidRDefault="00D44887" w:rsidP="002315D8">
            <w:pPr>
              <w:pStyle w:val="TableParagraph"/>
              <w:rPr>
                <w:rFonts w:eastAsia="SimSun"/>
                <w:lang w:eastAsia="zh-CN"/>
              </w:rPr>
            </w:pPr>
          </w:p>
          <w:p w14:paraId="28769448" w14:textId="77777777" w:rsidR="00D44887" w:rsidRPr="00284E81" w:rsidRDefault="00D44887" w:rsidP="002315D8">
            <w:pPr>
              <w:pStyle w:val="TableParagraph"/>
              <w:rPr>
                <w:rFonts w:eastAsia="SimSun"/>
                <w:lang w:eastAsia="zh-CN"/>
              </w:rPr>
            </w:pPr>
          </w:p>
          <w:p w14:paraId="682362F9" w14:textId="77777777" w:rsidR="00D44887" w:rsidRPr="00284E81" w:rsidRDefault="00D44887" w:rsidP="002315D8">
            <w:pPr>
              <w:pStyle w:val="TableParagraph"/>
              <w:rPr>
                <w:rFonts w:eastAsia="SimSun"/>
                <w:lang w:eastAsia="zh-CN"/>
              </w:rPr>
            </w:pPr>
          </w:p>
          <w:p w14:paraId="3098DBFA" w14:textId="77777777" w:rsidR="00D44887" w:rsidRPr="00284E81" w:rsidRDefault="00D44887" w:rsidP="002315D8">
            <w:pPr>
              <w:pStyle w:val="TableParagraph"/>
              <w:rPr>
                <w:rFonts w:eastAsia="SimSun"/>
                <w:lang w:eastAsia="zh-CN"/>
              </w:rPr>
            </w:pPr>
          </w:p>
          <w:p w14:paraId="733BC069" w14:textId="77777777" w:rsidR="00D44887" w:rsidRPr="00284E81" w:rsidRDefault="00D44887" w:rsidP="002315D8">
            <w:pPr>
              <w:pStyle w:val="TableParagraph"/>
              <w:rPr>
                <w:rFonts w:eastAsia="SimSun"/>
                <w:lang w:eastAsia="zh-CN"/>
              </w:rPr>
            </w:pPr>
          </w:p>
          <w:p w14:paraId="56517DFF" w14:textId="77777777" w:rsidR="00D44887" w:rsidRPr="00284E81" w:rsidRDefault="00D44887" w:rsidP="002315D8">
            <w:pPr>
              <w:pStyle w:val="TableParagraph"/>
              <w:rPr>
                <w:rFonts w:eastAsia="SimSun"/>
                <w:lang w:eastAsia="zh-CN"/>
              </w:rPr>
            </w:pPr>
          </w:p>
          <w:p w14:paraId="0F5B713D" w14:textId="77777777" w:rsidR="00D44887" w:rsidRPr="00284E81" w:rsidRDefault="00D44887" w:rsidP="002315D8">
            <w:pPr>
              <w:pStyle w:val="TableParagraph"/>
              <w:rPr>
                <w:rFonts w:eastAsia="SimSun"/>
                <w:lang w:eastAsia="zh-CN"/>
              </w:rPr>
            </w:pPr>
          </w:p>
          <w:p w14:paraId="4213DD38" w14:textId="77777777" w:rsidR="00D44887" w:rsidRPr="00284E81" w:rsidRDefault="00D44887" w:rsidP="002315D8">
            <w:pPr>
              <w:pStyle w:val="TableParagraph"/>
              <w:rPr>
                <w:rFonts w:eastAsia="SimSun"/>
                <w:lang w:eastAsia="zh-CN"/>
              </w:rPr>
            </w:pPr>
          </w:p>
          <w:p w14:paraId="0F1A7FB1" w14:textId="77777777" w:rsidR="00D44887" w:rsidRPr="00284E81" w:rsidRDefault="00D44887" w:rsidP="002315D8">
            <w:pPr>
              <w:pStyle w:val="TableParagraph"/>
              <w:rPr>
                <w:rFonts w:eastAsia="SimSun"/>
                <w:lang w:eastAsia="zh-CN"/>
              </w:rPr>
            </w:pPr>
          </w:p>
          <w:p w14:paraId="06A174AF" w14:textId="77777777" w:rsidR="00D44887" w:rsidRPr="00284E81" w:rsidRDefault="00D44887" w:rsidP="002315D8">
            <w:pPr>
              <w:pStyle w:val="TableParagraph"/>
              <w:rPr>
                <w:rFonts w:eastAsia="SimSun"/>
                <w:lang w:eastAsia="zh-CN"/>
              </w:rPr>
            </w:pPr>
          </w:p>
          <w:p w14:paraId="7B0606B5" w14:textId="77777777" w:rsidR="00D44887" w:rsidRPr="00284E81" w:rsidRDefault="00D44887" w:rsidP="002315D8">
            <w:pPr>
              <w:pStyle w:val="TableParagraph"/>
              <w:rPr>
                <w:rFonts w:eastAsia="SimSun"/>
                <w:lang w:eastAsia="zh-CN"/>
              </w:rPr>
            </w:pPr>
          </w:p>
        </w:tc>
      </w:tr>
      <w:tr w:rsidR="00D44887" w:rsidRPr="00944ED0" w14:paraId="586380FB" w14:textId="77777777" w:rsidTr="002315D8">
        <w:trPr>
          <w:trHeight w:val="2087"/>
        </w:trPr>
        <w:tc>
          <w:tcPr>
            <w:tcW w:w="2410" w:type="dxa"/>
            <w:vMerge/>
            <w:shd w:val="clear" w:color="auto" w:fill="auto"/>
          </w:tcPr>
          <w:p w14:paraId="6FEC742B" w14:textId="77777777" w:rsidR="00D44887" w:rsidRPr="00A122BA" w:rsidRDefault="00D44887" w:rsidP="002315D8">
            <w:pPr>
              <w:spacing w:before="240" w:after="60"/>
              <w:rPr>
                <w:rFonts w:eastAsia="SimSun"/>
                <w:lang w:eastAsia="zh-CN"/>
              </w:rPr>
            </w:pPr>
          </w:p>
        </w:tc>
        <w:tc>
          <w:tcPr>
            <w:tcW w:w="2694" w:type="dxa"/>
            <w:shd w:val="clear" w:color="auto" w:fill="auto"/>
          </w:tcPr>
          <w:p w14:paraId="5D317CDF" w14:textId="77777777" w:rsidR="00D44887" w:rsidRPr="00B17387" w:rsidRDefault="00D44887" w:rsidP="002315D8">
            <w:pPr>
              <w:pStyle w:val="TableParagraph"/>
              <w:rPr>
                <w:rFonts w:eastAsia="SimSun"/>
              </w:rPr>
            </w:pPr>
            <w:r>
              <w:t>Nombre de personnes ou entités ayant consulté et utilisé le recueil des principaux résultats et des principales conclusions des projets par d’autres États membres et parties prenantes intéressés.</w:t>
            </w:r>
          </w:p>
        </w:tc>
        <w:tc>
          <w:tcPr>
            <w:tcW w:w="2829" w:type="dxa"/>
            <w:shd w:val="clear" w:color="auto" w:fill="auto"/>
          </w:tcPr>
          <w:p w14:paraId="4E905C8A" w14:textId="77777777" w:rsidR="00D44887" w:rsidRPr="00B17387" w:rsidRDefault="00D44887" w:rsidP="002315D8"/>
        </w:tc>
        <w:tc>
          <w:tcPr>
            <w:tcW w:w="1423" w:type="dxa"/>
            <w:shd w:val="clear" w:color="auto" w:fill="auto"/>
          </w:tcPr>
          <w:p w14:paraId="133AF8B2" w14:textId="77777777" w:rsidR="00D44887" w:rsidRDefault="00D44887" w:rsidP="002315D8">
            <w:pPr>
              <w:pStyle w:val="TableParagraph"/>
            </w:pPr>
            <w:r>
              <w:t>NA</w:t>
            </w:r>
          </w:p>
        </w:tc>
      </w:tr>
    </w:tbl>
    <w:p w14:paraId="56F1443D" w14:textId="77777777" w:rsidR="00D44887" w:rsidRPr="006E16C1" w:rsidRDefault="00D44887" w:rsidP="00D44887">
      <w:pPr>
        <w:pStyle w:val="Endofdocument-Annex"/>
        <w:spacing w:before="720"/>
        <w:rPr>
          <w:szCs w:val="22"/>
        </w:rPr>
      </w:pPr>
      <w:r>
        <w:t>[L’annexe V suit]</w:t>
      </w:r>
    </w:p>
    <w:p w14:paraId="4EDC8960" w14:textId="74D29ED3" w:rsidR="00D44887" w:rsidRPr="000A4281" w:rsidRDefault="00D44887" w:rsidP="00D44887">
      <w:pPr>
        <w:tabs>
          <w:tab w:val="left" w:pos="7635"/>
        </w:tabs>
        <w:rPr>
          <w:rFonts w:eastAsia="SimSun"/>
        </w:rPr>
        <w:sectPr w:rsidR="00D44887" w:rsidRPr="000A4281" w:rsidSect="00D317EA">
          <w:headerReference w:type="default" r:id="rId60"/>
          <w:headerReference w:type="first" r:id="rId61"/>
          <w:pgSz w:w="11907" w:h="16840" w:code="9"/>
          <w:pgMar w:top="1418" w:right="1418" w:bottom="1418" w:left="1418" w:header="709" w:footer="709" w:gutter="0"/>
          <w:pgNumType w:start="1"/>
          <w:cols w:space="720"/>
          <w:titlePg/>
          <w:docGrid w:linePitch="299"/>
        </w:sectPr>
      </w:pPr>
    </w:p>
    <w:tbl>
      <w:tblPr>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D44887" w:rsidRPr="00E11B14" w14:paraId="704AA8C9" w14:textId="77777777" w:rsidTr="002315D8">
        <w:trPr>
          <w:trHeight w:val="431"/>
        </w:trPr>
        <w:tc>
          <w:tcPr>
            <w:tcW w:w="9441" w:type="dxa"/>
            <w:gridSpan w:val="2"/>
          </w:tcPr>
          <w:p w14:paraId="7D8EF49A" w14:textId="77777777" w:rsidR="00D44887" w:rsidRPr="00E11B14" w:rsidRDefault="00D44887" w:rsidP="002315D8">
            <w:r>
              <w:lastRenderedPageBreak/>
              <w:t>Résumé du projet</w:t>
            </w:r>
          </w:p>
        </w:tc>
      </w:tr>
      <w:tr w:rsidR="00D44887" w:rsidRPr="00E11B14" w14:paraId="2F45FE81" w14:textId="77777777" w:rsidTr="002315D8">
        <w:trPr>
          <w:trHeight w:val="324"/>
        </w:trPr>
        <w:tc>
          <w:tcPr>
            <w:tcW w:w="2268" w:type="dxa"/>
            <w:shd w:val="clear" w:color="auto" w:fill="68E089"/>
            <w:vAlign w:val="center"/>
          </w:tcPr>
          <w:p w14:paraId="7B3A1623" w14:textId="77777777" w:rsidR="00D44887" w:rsidRPr="00E11B14" w:rsidRDefault="00D44887" w:rsidP="002315D8">
            <w:r>
              <w:rPr>
                <w:u w:val="single"/>
              </w:rPr>
              <w:t>Code du projet</w:t>
            </w:r>
          </w:p>
        </w:tc>
        <w:tc>
          <w:tcPr>
            <w:tcW w:w="7173" w:type="dxa"/>
            <w:vAlign w:val="center"/>
          </w:tcPr>
          <w:p w14:paraId="7E7024F0" w14:textId="77777777" w:rsidR="00D44887" w:rsidRPr="00E11B14" w:rsidRDefault="00D44887" w:rsidP="002315D8">
            <w:pPr>
              <w:pStyle w:val="TableParagraph"/>
              <w:ind w:left="109" w:right="84"/>
            </w:pPr>
            <w:r>
              <w:t>DA_16_20_04</w:t>
            </w:r>
          </w:p>
        </w:tc>
      </w:tr>
      <w:tr w:rsidR="00D44887" w:rsidRPr="00E11B14" w14:paraId="45DE1B91" w14:textId="77777777" w:rsidTr="002315D8">
        <w:trPr>
          <w:trHeight w:val="342"/>
        </w:trPr>
        <w:tc>
          <w:tcPr>
            <w:tcW w:w="2268" w:type="dxa"/>
            <w:shd w:val="clear" w:color="auto" w:fill="68E089"/>
            <w:vAlign w:val="center"/>
          </w:tcPr>
          <w:p w14:paraId="2B416352" w14:textId="77777777" w:rsidR="00D44887" w:rsidRPr="00E11B14" w:rsidRDefault="00D44887" w:rsidP="002315D8">
            <w:r>
              <w:rPr>
                <w:u w:val="single"/>
              </w:rPr>
              <w:t>Intitulé</w:t>
            </w:r>
          </w:p>
        </w:tc>
        <w:tc>
          <w:tcPr>
            <w:tcW w:w="7173" w:type="dxa"/>
            <w:vAlign w:val="center"/>
          </w:tcPr>
          <w:p w14:paraId="068C0D12" w14:textId="7C999AC4" w:rsidR="00D44887" w:rsidRPr="00E11B14" w:rsidRDefault="00D44887" w:rsidP="002315D8">
            <w:r>
              <w:t xml:space="preserve"> </w:t>
            </w:r>
            <w:hyperlink r:id="rId62" w:history="1">
              <w:r>
                <w:rPr>
                  <w:rStyle w:val="Hyperlink"/>
                </w:rPr>
                <w:t>Recensement et utilisation des inventions du domaine public</w:t>
              </w:r>
            </w:hyperlink>
          </w:p>
        </w:tc>
      </w:tr>
      <w:tr w:rsidR="00D44887" w:rsidRPr="00E11B14" w14:paraId="1AC269DD" w14:textId="77777777" w:rsidTr="002315D8">
        <w:trPr>
          <w:trHeight w:val="531"/>
        </w:trPr>
        <w:tc>
          <w:tcPr>
            <w:tcW w:w="2268" w:type="dxa"/>
            <w:shd w:val="clear" w:color="auto" w:fill="68E089"/>
            <w:vAlign w:val="center"/>
          </w:tcPr>
          <w:p w14:paraId="74D47412" w14:textId="2BD345A5" w:rsidR="00D44887" w:rsidRPr="00E11B14" w:rsidRDefault="00111FE8" w:rsidP="002315D8">
            <w:hyperlink r:id="rId63" w:history="1">
              <w:r w:rsidR="00D44887">
                <w:rPr>
                  <w:rStyle w:val="Hyperlink"/>
                </w:rPr>
                <w:t>Recommandations du Plan d’action pour le développement</w:t>
              </w:r>
            </w:hyperlink>
          </w:p>
        </w:tc>
        <w:tc>
          <w:tcPr>
            <w:tcW w:w="7173" w:type="dxa"/>
            <w:vAlign w:val="center"/>
          </w:tcPr>
          <w:p w14:paraId="1575D40C" w14:textId="77777777" w:rsidR="00D44887" w:rsidRDefault="00D44887" w:rsidP="002315D8">
            <w:pPr>
              <w:pStyle w:val="TableParagraph"/>
              <w:ind w:left="109" w:right="84"/>
            </w:pPr>
            <w:r>
              <w:t>Recommandations n</w:t>
            </w:r>
            <w:r>
              <w:rPr>
                <w:vertAlign w:val="superscript"/>
              </w:rPr>
              <w:t>os</w:t>
            </w:r>
            <w:r>
              <w:t> 16 et 20.</w:t>
            </w:r>
          </w:p>
          <w:p w14:paraId="64548D6D" w14:textId="77777777" w:rsidR="00D44887" w:rsidRPr="00E11B14" w:rsidRDefault="00D44887" w:rsidP="002315D8">
            <w:pPr>
              <w:pStyle w:val="TableParagraph"/>
              <w:ind w:left="109" w:right="84"/>
            </w:pPr>
          </w:p>
        </w:tc>
      </w:tr>
      <w:tr w:rsidR="00D44887" w:rsidRPr="008E11F6" w14:paraId="508AB9A4" w14:textId="77777777" w:rsidTr="002315D8">
        <w:trPr>
          <w:trHeight w:val="508"/>
        </w:trPr>
        <w:tc>
          <w:tcPr>
            <w:tcW w:w="2268" w:type="dxa"/>
            <w:shd w:val="clear" w:color="auto" w:fill="68E089"/>
            <w:vAlign w:val="center"/>
          </w:tcPr>
          <w:p w14:paraId="2F63FFE7" w14:textId="77777777" w:rsidR="00D44887" w:rsidRPr="00E11B14" w:rsidRDefault="00D44887" w:rsidP="002315D8">
            <w:r>
              <w:rPr>
                <w:u w:val="single"/>
              </w:rPr>
              <w:t>Budget du projet</w:t>
            </w:r>
          </w:p>
        </w:tc>
        <w:tc>
          <w:tcPr>
            <w:tcW w:w="7173" w:type="dxa"/>
            <w:vAlign w:val="center"/>
          </w:tcPr>
          <w:p w14:paraId="2A5D18BC" w14:textId="77777777" w:rsidR="00D44887" w:rsidRPr="00043C6D" w:rsidRDefault="00D44887" w:rsidP="002315D8">
            <w:pPr>
              <w:pStyle w:val="TableParagraph"/>
              <w:ind w:left="109" w:right="84"/>
            </w:pPr>
            <w:r>
              <w:t xml:space="preserve">Budget total : 80 000 francs suisses pour les dépenses autres que les dépenses de personnel.  </w:t>
            </w:r>
          </w:p>
        </w:tc>
      </w:tr>
      <w:tr w:rsidR="00D44887" w:rsidRPr="00E11B14" w14:paraId="62647E31" w14:textId="77777777" w:rsidTr="002315D8">
        <w:trPr>
          <w:trHeight w:val="436"/>
        </w:trPr>
        <w:tc>
          <w:tcPr>
            <w:tcW w:w="2268" w:type="dxa"/>
            <w:shd w:val="clear" w:color="auto" w:fill="68E089"/>
            <w:vAlign w:val="center"/>
          </w:tcPr>
          <w:p w14:paraId="75009E25" w14:textId="77777777" w:rsidR="00D44887" w:rsidRPr="00E11B14" w:rsidRDefault="00D44887" w:rsidP="002315D8">
            <w:r>
              <w:rPr>
                <w:u w:val="single"/>
              </w:rPr>
              <w:t>Date de début du projet</w:t>
            </w:r>
          </w:p>
        </w:tc>
        <w:tc>
          <w:tcPr>
            <w:tcW w:w="7173" w:type="dxa"/>
            <w:vAlign w:val="center"/>
          </w:tcPr>
          <w:p w14:paraId="33BFDBEA" w14:textId="77777777" w:rsidR="00D44887" w:rsidRPr="00E11B14" w:rsidRDefault="00D44887" w:rsidP="002315D8">
            <w:pPr>
              <w:pStyle w:val="TableParagraph"/>
              <w:ind w:left="109" w:right="84"/>
            </w:pPr>
            <w:r>
              <w:t>Janvier 2022</w:t>
            </w:r>
          </w:p>
        </w:tc>
      </w:tr>
      <w:tr w:rsidR="00D44887" w:rsidRPr="00E11B14" w14:paraId="1A7A509A" w14:textId="77777777" w:rsidTr="002315D8">
        <w:trPr>
          <w:trHeight w:val="436"/>
        </w:trPr>
        <w:tc>
          <w:tcPr>
            <w:tcW w:w="2268" w:type="dxa"/>
            <w:shd w:val="clear" w:color="auto" w:fill="68E089"/>
            <w:vAlign w:val="center"/>
          </w:tcPr>
          <w:p w14:paraId="444A0401" w14:textId="77777777" w:rsidR="00D44887" w:rsidRPr="00E11B14" w:rsidRDefault="00D44887" w:rsidP="002315D8">
            <w:r>
              <w:rPr>
                <w:u w:val="single"/>
              </w:rPr>
              <w:t>Durée du projet</w:t>
            </w:r>
          </w:p>
        </w:tc>
        <w:tc>
          <w:tcPr>
            <w:tcW w:w="7173" w:type="dxa"/>
            <w:vAlign w:val="center"/>
          </w:tcPr>
          <w:p w14:paraId="66886AE9" w14:textId="77777777" w:rsidR="00D44887" w:rsidRPr="00E11B14" w:rsidRDefault="00D44887" w:rsidP="002315D8">
            <w:pPr>
              <w:pStyle w:val="TableParagraph"/>
              <w:ind w:left="109" w:right="84"/>
            </w:pPr>
            <w:r>
              <w:t>24 mois</w:t>
            </w:r>
          </w:p>
        </w:tc>
      </w:tr>
      <w:tr w:rsidR="00D44887" w:rsidRPr="00E11B14" w14:paraId="7165FF34" w14:textId="77777777" w:rsidTr="002315D8">
        <w:trPr>
          <w:trHeight w:val="801"/>
        </w:trPr>
        <w:tc>
          <w:tcPr>
            <w:tcW w:w="2268" w:type="dxa"/>
            <w:shd w:val="clear" w:color="auto" w:fill="68E089"/>
            <w:vAlign w:val="center"/>
          </w:tcPr>
          <w:p w14:paraId="0F85477A" w14:textId="312821BA" w:rsidR="00D44887" w:rsidRPr="00E11B14" w:rsidRDefault="00D44887" w:rsidP="00660A1D">
            <w:pPr>
              <w:rPr>
                <w:u w:val="single"/>
              </w:rPr>
            </w:pPr>
            <w:r>
              <w:rPr>
                <w:u w:val="single"/>
              </w:rPr>
              <w:t>Principaux secteurs</w:t>
            </w:r>
            <w:r w:rsidR="00D640A7">
              <w:rPr>
                <w:u w:val="single"/>
              </w:rPr>
              <w:t>/domaines</w:t>
            </w:r>
            <w:r w:rsidR="00660A1D">
              <w:rPr>
                <w:u w:val="single"/>
              </w:rPr>
              <w:t xml:space="preserve"> </w:t>
            </w:r>
            <w:r>
              <w:rPr>
                <w:u w:val="single"/>
              </w:rPr>
              <w:t>de l’OMPI concernés</w:t>
            </w:r>
          </w:p>
        </w:tc>
        <w:tc>
          <w:tcPr>
            <w:tcW w:w="7173" w:type="dxa"/>
            <w:vAlign w:val="center"/>
          </w:tcPr>
          <w:p w14:paraId="0713C766" w14:textId="77777777" w:rsidR="00D44887" w:rsidRDefault="00D44887" w:rsidP="002315D8">
            <w:pPr>
              <w:pStyle w:val="TableParagraph"/>
              <w:ind w:left="109" w:right="84"/>
            </w:pPr>
            <w:r>
              <w:t>Secteur dont relève la mise en œuvre du projet : Secteur des écosystèmes de propriété intellectuelle et d’innovation</w:t>
            </w:r>
          </w:p>
          <w:p w14:paraId="1CD550C0" w14:textId="77777777" w:rsidR="00D44887" w:rsidRPr="008E11F6" w:rsidRDefault="00D44887" w:rsidP="002315D8">
            <w:pPr>
              <w:pStyle w:val="TableParagraph"/>
              <w:ind w:left="109" w:right="84"/>
            </w:pPr>
          </w:p>
          <w:p w14:paraId="3E878E2C" w14:textId="77777777" w:rsidR="00D44887" w:rsidRPr="00E11B14" w:rsidRDefault="00D44887" w:rsidP="002315D8">
            <w:pPr>
              <w:pStyle w:val="TableParagraph"/>
              <w:ind w:left="109" w:right="84"/>
            </w:pPr>
            <w:r>
              <w:t>Liens avec d’autres secteurs : Secteurs des brevets et de la technologie, du développement régional et national et de l’infrastructure et des plateformes</w:t>
            </w:r>
          </w:p>
        </w:tc>
      </w:tr>
      <w:tr w:rsidR="00D44887" w:rsidRPr="00E11B14" w14:paraId="6F355AD5" w14:textId="77777777" w:rsidTr="002315D8">
        <w:trPr>
          <w:trHeight w:val="621"/>
        </w:trPr>
        <w:tc>
          <w:tcPr>
            <w:tcW w:w="2268" w:type="dxa"/>
            <w:shd w:val="clear" w:color="auto" w:fill="68E089"/>
            <w:vAlign w:val="center"/>
          </w:tcPr>
          <w:p w14:paraId="70FC6A32" w14:textId="77777777" w:rsidR="00D44887" w:rsidRPr="00E11B14" w:rsidRDefault="00D44887" w:rsidP="002315D8">
            <w:r>
              <w:rPr>
                <w:u w:val="single"/>
              </w:rPr>
              <w:t>Brève description du projet</w:t>
            </w:r>
          </w:p>
        </w:tc>
        <w:tc>
          <w:tcPr>
            <w:tcW w:w="7173" w:type="dxa"/>
            <w:vAlign w:val="center"/>
          </w:tcPr>
          <w:p w14:paraId="1E82E731" w14:textId="6323944B" w:rsidR="00D44887" w:rsidRPr="00E11B14" w:rsidRDefault="00D44887" w:rsidP="002315D8">
            <w:pPr>
              <w:pStyle w:val="TableParagraph"/>
              <w:ind w:left="109" w:right="84"/>
            </w:pPr>
            <w:r>
              <w:t xml:space="preserve">Le projet proposé s’appuie sur les résultats du projet du Plan d’action pour le développement relatif à </w:t>
            </w:r>
            <w:hyperlink r:id="rId64" w:history="1">
              <w:r>
                <w:t>l’utilisation de l’information figurant dans le domaine public aux fins du développement économique</w:t>
              </w:r>
            </w:hyperlink>
            <w:r>
              <w:t xml:space="preserve"> et les activités de programme en cours visant à créer et renforcer des centres d’appui à la technologie et à l’innovation (CATI).</w:t>
            </w:r>
          </w:p>
          <w:p w14:paraId="1EEC135A" w14:textId="77777777" w:rsidR="00D44887" w:rsidRPr="00E11B14" w:rsidRDefault="00D44887" w:rsidP="002315D8">
            <w:pPr>
              <w:pStyle w:val="TableParagraph"/>
              <w:ind w:left="109" w:right="84"/>
            </w:pPr>
          </w:p>
          <w:p w14:paraId="61AF2149" w14:textId="77777777" w:rsidR="00D44887" w:rsidRPr="00E11B14" w:rsidRDefault="00D44887" w:rsidP="002315D8">
            <w:pPr>
              <w:pStyle w:val="TableParagraph"/>
              <w:ind w:left="109" w:right="84"/>
            </w:pPr>
            <w:r>
              <w:t>Le projet vise à renforcer les capacités des CATI en ce qui concerne la fourniture de services relatifs au recensement et à l’utilisation des inventions du domaine public.  L’objectif est de donner au personnel des CATI, aux chercheurs et aux entrepreneurs des moyens supplémentaires et de les aider à acquérir les compétences nécessaires pour qu’ils puissent recenser et utiliser les inventions du domaine public, compte tenu des besoins et de la situation dans les pays en développement.</w:t>
            </w:r>
          </w:p>
          <w:p w14:paraId="169CD333" w14:textId="77777777" w:rsidR="00D44887" w:rsidRPr="00E11B14" w:rsidRDefault="00D44887" w:rsidP="002315D8">
            <w:pPr>
              <w:pStyle w:val="TableParagraph"/>
              <w:ind w:left="109" w:right="84"/>
            </w:pPr>
          </w:p>
          <w:p w14:paraId="195F11AA" w14:textId="77777777" w:rsidR="00D44887" w:rsidRPr="00E11B14" w:rsidRDefault="00D44887" w:rsidP="002315D8">
            <w:pPr>
              <w:pStyle w:val="TableParagraph"/>
              <w:ind w:left="109" w:right="84"/>
            </w:pPr>
            <w:r>
              <w:t>Le projet comprend l’élaboration d’un manuel contenant des outils concrets en rapport avec les principes et procédures décrits dans les deux guides intitulés “Recensement des inventions dans le domaine public – Guide à l’intention des inventeurs et des entrepreneurs” et “Utilisation des inventions relevant du domaine public – Guide à l’intention des inventeurs et des entrepreneurs”.  Ce manuel comprendra entre autres choses un instrument qui servira à déterminer s’il convient de mener plus avant le développement d’un nouveau produit en se fondant sur l’évaluation de la liberté d’exploitation.  Le projet consistera également à concevoir de nouveaux supports de formation sur l’utilisation effective du manuel et à réaliser des séminaires pilotes pour affiner le manuel et les supports didactiques.</w:t>
            </w:r>
          </w:p>
        </w:tc>
      </w:tr>
      <w:tr w:rsidR="00D44887" w:rsidRPr="00E11B14" w14:paraId="7A932035" w14:textId="77777777" w:rsidTr="002315D8">
        <w:trPr>
          <w:trHeight w:val="432"/>
        </w:trPr>
        <w:tc>
          <w:tcPr>
            <w:tcW w:w="2268" w:type="dxa"/>
            <w:shd w:val="clear" w:color="auto" w:fill="68E089"/>
            <w:vAlign w:val="center"/>
          </w:tcPr>
          <w:p w14:paraId="6CEA806F" w14:textId="77777777" w:rsidR="00D44887" w:rsidRPr="00E11B14" w:rsidRDefault="00D44887" w:rsidP="002315D8">
            <w:r>
              <w:rPr>
                <w:u w:val="single"/>
              </w:rPr>
              <w:t>Chefs de projet</w:t>
            </w:r>
          </w:p>
        </w:tc>
        <w:tc>
          <w:tcPr>
            <w:tcW w:w="7173" w:type="dxa"/>
            <w:vAlign w:val="center"/>
          </w:tcPr>
          <w:p w14:paraId="7B4E0141" w14:textId="77777777" w:rsidR="00D44887" w:rsidRPr="00E11B14" w:rsidRDefault="00D44887" w:rsidP="002315D8">
            <w:pPr>
              <w:pStyle w:val="TableParagraph"/>
              <w:ind w:left="109" w:right="84"/>
            </w:pPr>
            <w:r>
              <w:t>M. Andrew Czajkowski, directeur, Division de l’appui à la technologie et à l’innovation</w:t>
            </w:r>
          </w:p>
        </w:tc>
      </w:tr>
      <w:tr w:rsidR="00D44887" w:rsidRPr="00E11B14" w14:paraId="7F41A737" w14:textId="77777777" w:rsidTr="002315D8">
        <w:trPr>
          <w:trHeight w:val="440"/>
        </w:trPr>
        <w:tc>
          <w:tcPr>
            <w:tcW w:w="2268" w:type="dxa"/>
            <w:shd w:val="clear" w:color="auto" w:fill="68E089"/>
            <w:vAlign w:val="center"/>
          </w:tcPr>
          <w:p w14:paraId="79478C5C" w14:textId="66FCFAC7" w:rsidR="00D44887" w:rsidRPr="00E11B14" w:rsidRDefault="00D44887" w:rsidP="002315D8">
            <w:r>
              <w:rPr>
                <w:u w:val="single"/>
              </w:rPr>
              <w:t xml:space="preserve">Liens avec les résultats escomptés dans le </w:t>
            </w:r>
            <w:hyperlink r:id="rId65" w:history="1">
              <w:r>
                <w:rPr>
                  <w:rStyle w:val="Hyperlink"/>
                </w:rPr>
                <w:t xml:space="preserve">programme de travail et budget pour </w:t>
              </w:r>
              <w:r>
                <w:rPr>
                  <w:rStyle w:val="Hyperlink"/>
                </w:rPr>
                <w:lastRenderedPageBreak/>
                <w:t>l’exercice biennal 2022-2023</w:t>
              </w:r>
            </w:hyperlink>
          </w:p>
        </w:tc>
        <w:tc>
          <w:tcPr>
            <w:tcW w:w="7173" w:type="dxa"/>
            <w:vAlign w:val="center"/>
          </w:tcPr>
          <w:p w14:paraId="48E0900B" w14:textId="77777777" w:rsidR="00D44887" w:rsidRDefault="00D44887" w:rsidP="002315D8">
            <w:pPr>
              <w:pStyle w:val="TableParagraph"/>
              <w:ind w:left="109" w:right="84"/>
              <w:rPr>
                <w:iCs/>
              </w:rPr>
            </w:pPr>
            <w:r>
              <w:lastRenderedPageBreak/>
              <w:t>3.3 : Les plateformes et outils de propriété intellectuelle de l’OMPI facilitent le transfert de savoir et l’adaptation des technologies pour relever les défis mondiaux.</w:t>
            </w:r>
          </w:p>
          <w:p w14:paraId="6A02E21E" w14:textId="77777777" w:rsidR="00D44887" w:rsidRPr="00E11B14" w:rsidRDefault="00D44887" w:rsidP="002315D8">
            <w:pPr>
              <w:rPr>
                <w:iCs/>
              </w:rPr>
            </w:pPr>
          </w:p>
          <w:p w14:paraId="0BA976DD" w14:textId="77777777" w:rsidR="00D44887" w:rsidRPr="00E11B14" w:rsidRDefault="00D44887" w:rsidP="002315D8">
            <w:pPr>
              <w:pStyle w:val="TableParagraph"/>
              <w:ind w:left="109" w:right="84"/>
            </w:pPr>
            <w:r>
              <w:t xml:space="preserve">4.4 : Davantage d’innovateurs, de créateurs, de PME, d’universités, </w:t>
            </w:r>
            <w:r>
              <w:lastRenderedPageBreak/>
              <w:t>d’instituts de recherche et de communautés tirent profit de la propriété intellectuelle.</w:t>
            </w:r>
          </w:p>
        </w:tc>
      </w:tr>
      <w:tr w:rsidR="00D44887" w:rsidRPr="00E11B14" w14:paraId="1915139A" w14:textId="77777777" w:rsidTr="002315D8">
        <w:trPr>
          <w:trHeight w:val="1071"/>
        </w:trPr>
        <w:tc>
          <w:tcPr>
            <w:tcW w:w="2268" w:type="dxa"/>
            <w:shd w:val="clear" w:color="auto" w:fill="68E089"/>
            <w:vAlign w:val="center"/>
          </w:tcPr>
          <w:p w14:paraId="14B8EC42" w14:textId="77777777" w:rsidR="00D44887" w:rsidRPr="00E11B14" w:rsidRDefault="00D44887" w:rsidP="002315D8">
            <w:pPr>
              <w:rPr>
                <w:u w:val="single"/>
              </w:rPr>
            </w:pPr>
            <w:r>
              <w:rPr>
                <w:u w:val="single"/>
              </w:rPr>
              <w:lastRenderedPageBreak/>
              <w:t>État d’avancement du projet</w:t>
            </w:r>
          </w:p>
          <w:p w14:paraId="154C5C72" w14:textId="77777777" w:rsidR="00D44887" w:rsidRPr="00E11B14" w:rsidRDefault="00D44887" w:rsidP="002315D8"/>
        </w:tc>
        <w:tc>
          <w:tcPr>
            <w:tcW w:w="7173" w:type="dxa"/>
            <w:vAlign w:val="center"/>
          </w:tcPr>
          <w:p w14:paraId="2D834B4B" w14:textId="77777777" w:rsidR="00D44887" w:rsidRPr="008E11F6" w:rsidRDefault="00D44887" w:rsidP="002315D8">
            <w:pPr>
              <w:pStyle w:val="TableParagraph"/>
              <w:ind w:left="109" w:right="84"/>
            </w:pPr>
            <w:r>
              <w:rPr>
                <w:u w:val="single"/>
              </w:rPr>
              <w:t>Élaboration d’un manuel portant sur les quatre phases de mise au point de nouveaux produits ou services et résolution de la question de savoir si une invention est dans le domaine public</w:t>
            </w:r>
            <w:r>
              <w:t> :</w:t>
            </w:r>
          </w:p>
          <w:p w14:paraId="20EC59D5" w14:textId="77777777" w:rsidR="00D44887" w:rsidRPr="008E11F6" w:rsidRDefault="00D44887" w:rsidP="002315D8">
            <w:pPr>
              <w:rPr>
                <w:rFonts w:eastAsia="Arial"/>
                <w:szCs w:val="22"/>
              </w:rPr>
            </w:pPr>
          </w:p>
          <w:p w14:paraId="263F1533" w14:textId="77777777" w:rsidR="00D44887" w:rsidRDefault="00D44887" w:rsidP="002315D8">
            <w:pPr>
              <w:pStyle w:val="TableParagraph"/>
              <w:ind w:left="109" w:right="84"/>
            </w:pPr>
            <w:r>
              <w:t>Comme indiqué dans la description ci-dessus, ce projet s’appuie sur les résultats du projet du Plan d’action pour le développement relatif à l’utilisation de l’information figurant dans le domaine public aux fins du développement économique, et notamment la publication des deux études suivantes :</w:t>
            </w:r>
          </w:p>
          <w:p w14:paraId="5D1D10AE" w14:textId="77777777" w:rsidR="00D44887" w:rsidRPr="008E11F6" w:rsidRDefault="00D44887" w:rsidP="002315D8">
            <w:pPr>
              <w:pStyle w:val="TableParagraph"/>
              <w:ind w:left="109" w:right="84"/>
            </w:pPr>
          </w:p>
          <w:p w14:paraId="3F15C42B" w14:textId="79DEC6E5" w:rsidR="00D44887" w:rsidRDefault="00111FE8" w:rsidP="002315D8">
            <w:pPr>
              <w:pStyle w:val="ListParagraph"/>
              <w:numPr>
                <w:ilvl w:val="0"/>
                <w:numId w:val="63"/>
              </w:numPr>
            </w:pPr>
            <w:hyperlink r:id="rId66" w:history="1">
              <w:r w:rsidR="00D44887">
                <w:t>OMPI (2020), Recensement des inventions dans le domaine public</w:t>
              </w:r>
            </w:hyperlink>
            <w:r w:rsidR="00D44887">
              <w:t> :</w:t>
            </w:r>
            <w:hyperlink r:id="rId67" w:history="1">
              <w:r w:rsidR="00D44887">
                <w:t xml:space="preserve"> Guide à l’intention des inventeurs et des entrepreneurs</w:t>
              </w:r>
            </w:hyperlink>
            <w:r w:rsidR="00D44887">
              <w:t>;  et</w:t>
            </w:r>
          </w:p>
          <w:p w14:paraId="4113811C" w14:textId="626CE2D1" w:rsidR="00D44887" w:rsidRDefault="00111FE8" w:rsidP="002315D8">
            <w:pPr>
              <w:pStyle w:val="ListParagraph"/>
              <w:numPr>
                <w:ilvl w:val="0"/>
                <w:numId w:val="63"/>
              </w:numPr>
            </w:pPr>
            <w:hyperlink r:id="rId68" w:history="1">
              <w:r w:rsidR="00D44887">
                <w:t>OMPI (2020), Utilisation des inventions relevant du domaine public</w:t>
              </w:r>
            </w:hyperlink>
            <w:r w:rsidR="00D44887">
              <w:t> :</w:t>
            </w:r>
            <w:hyperlink r:id="rId69" w:history="1">
              <w:r w:rsidR="00D44887">
                <w:t xml:space="preserve"> guide à l’intention des inventeurs et des entrepreneurs</w:t>
              </w:r>
            </w:hyperlink>
            <w:r w:rsidR="00D44887">
              <w:t>.</w:t>
            </w:r>
          </w:p>
          <w:p w14:paraId="244CE0B2" w14:textId="77777777" w:rsidR="00D44887" w:rsidRPr="008E11F6" w:rsidRDefault="00D44887" w:rsidP="002315D8">
            <w:pPr>
              <w:rPr>
                <w:rFonts w:eastAsia="Arial"/>
                <w:szCs w:val="22"/>
              </w:rPr>
            </w:pPr>
          </w:p>
          <w:p w14:paraId="3454D81E" w14:textId="77777777" w:rsidR="00D44887" w:rsidRPr="00E11B14" w:rsidRDefault="00D44887" w:rsidP="002315D8">
            <w:pPr>
              <w:pStyle w:val="TableParagraph"/>
              <w:ind w:left="109" w:right="84"/>
            </w:pPr>
            <w:r>
              <w:t>Pour étayer les principes et procédures décrites dans les deux guides, un des principaux résultats du projet sera l’élaboration d’une série d’outils pratiques et de descriptions présentant la manière dont chaque outil facilite la collecte de données, les analyses et la prise de décisions durant la mise au point d’un nouveau produit, ainsi que des orientations pour pouvoir utiliser efficacement chaque outil, à savoir le “manuel”.</w:t>
            </w:r>
          </w:p>
          <w:p w14:paraId="35F3CD5E" w14:textId="77777777" w:rsidR="00D44887" w:rsidRPr="008E11F6" w:rsidRDefault="00D44887" w:rsidP="002315D8">
            <w:pPr>
              <w:rPr>
                <w:rFonts w:eastAsia="Arial"/>
                <w:szCs w:val="22"/>
              </w:rPr>
            </w:pPr>
          </w:p>
          <w:p w14:paraId="651A5A26" w14:textId="77777777" w:rsidR="00D44887" w:rsidRDefault="00D44887" w:rsidP="002315D8">
            <w:pPr>
              <w:pStyle w:val="TableParagraph"/>
              <w:ind w:left="109" w:right="84"/>
            </w:pPr>
            <w:r>
              <w:t>Ce manuel visera en particulier à faciliter l’évaluation systématique des initiatives relatives à la mise au point d’un nouveau produit fondé sur un objet qui est tombé dans le domaine public, et comprendra entre autres des instruments permettant de déterminer s’il convient de mener plus avant le développement d’un nouveau produit en se fondant sur l’évaluation de la liberté d’exploitation.</w:t>
            </w:r>
          </w:p>
          <w:p w14:paraId="3F015D30" w14:textId="77777777" w:rsidR="00D44887" w:rsidRPr="008E11F6" w:rsidRDefault="00D44887" w:rsidP="002315D8">
            <w:pPr>
              <w:rPr>
                <w:rFonts w:eastAsia="Arial"/>
                <w:szCs w:val="22"/>
              </w:rPr>
            </w:pPr>
          </w:p>
          <w:p w14:paraId="3260DE2B" w14:textId="77777777" w:rsidR="00D44887" w:rsidRPr="008E11F6" w:rsidRDefault="00D44887" w:rsidP="002315D8">
            <w:pPr>
              <w:pStyle w:val="TableParagraph"/>
              <w:ind w:left="109" w:right="84"/>
            </w:pPr>
            <w:r>
              <w:t>Pour élaborer le matériel destiné au manuel, un prestataire a été engagé, possédant les compétences nécessaires dans le domaine de la mise au point de produits et du transfert de technologie et ayant déjà dispensé des formations sur ces thèmes à un large public, y compris dans des pays en développement.  Le prestataire retenu connaît aussi parfaitement le contenu des guides de l’OMPI, car il a contribué au processus d’évaluation collégial dans le cadre du projet sur l’utilisation de l’information figurant dans le domaine public aux fins du développement économique, sur lequel repose le présent projet.</w:t>
            </w:r>
          </w:p>
          <w:p w14:paraId="4937E865" w14:textId="77777777" w:rsidR="00D44887" w:rsidRPr="008E11F6" w:rsidRDefault="00D44887" w:rsidP="002315D8">
            <w:pPr>
              <w:rPr>
                <w:rFonts w:eastAsia="Arial"/>
                <w:szCs w:val="22"/>
              </w:rPr>
            </w:pPr>
          </w:p>
          <w:p w14:paraId="00DB3D31" w14:textId="77777777" w:rsidR="00D44887" w:rsidRDefault="00D44887" w:rsidP="002315D8">
            <w:pPr>
              <w:pStyle w:val="TableParagraph"/>
              <w:ind w:left="109" w:right="84"/>
            </w:pPr>
            <w:r>
              <w:rPr>
                <w:u w:val="single"/>
              </w:rPr>
              <w:t>Élaboration du matériel de formation à l’intention des CATI</w:t>
            </w:r>
          </w:p>
          <w:p w14:paraId="75C733C0" w14:textId="77777777" w:rsidR="00D44887" w:rsidRPr="008E11F6" w:rsidRDefault="00D44887" w:rsidP="002315D8">
            <w:pPr>
              <w:pStyle w:val="TableParagraph"/>
              <w:ind w:left="109" w:right="84"/>
            </w:pPr>
          </w:p>
          <w:p w14:paraId="76193A5E" w14:textId="77777777" w:rsidR="00D44887" w:rsidRDefault="00D44887" w:rsidP="002315D8">
            <w:pPr>
              <w:pStyle w:val="TableParagraph"/>
              <w:ind w:left="109" w:right="84"/>
            </w:pPr>
            <w:r>
              <w:t>Parallèlement à l’élaboration du manuel, le matériel de formation correspondant, qui fournira les bases d’une approche d’apprentissage virtuel mixte modulaire sur le manuel, a également commencé à être préparé.  Le kit de formation comprendra un guide de l’apprenant et du matériel pédagogique modulaire (vidéos explicatives pour présenter les concepts clés et compléter les descriptions des outils, et des ressources/ensembles de données pour les exercices de simulation dans le cadre de séminaires en présentiel ou en ligne assurés par un instructeur) pour soutenir la formation pratique sur le manuel.</w:t>
            </w:r>
          </w:p>
          <w:p w14:paraId="40E12A00" w14:textId="77777777" w:rsidR="00D44887" w:rsidRPr="008E11F6" w:rsidRDefault="00D44887" w:rsidP="002315D8">
            <w:pPr>
              <w:rPr>
                <w:rFonts w:eastAsia="Arial"/>
                <w:szCs w:val="22"/>
              </w:rPr>
            </w:pPr>
            <w:r>
              <w:lastRenderedPageBreak/>
              <w:t>À cet égard, le travail a commencé et les experts en apprentissage ont commencé à élaborer du matériel de formation adapté aux capacités des CATI sur la base de l’évaluation qui a été réalisée avant le début du projet, comme indiqué dans la stratégie de mise en œuvre du projet.</w:t>
            </w:r>
          </w:p>
        </w:tc>
      </w:tr>
      <w:tr w:rsidR="00D44887" w:rsidRPr="00E11B14" w14:paraId="6CC1487E" w14:textId="77777777" w:rsidTr="002315D8">
        <w:trPr>
          <w:trHeight w:val="643"/>
        </w:trPr>
        <w:tc>
          <w:tcPr>
            <w:tcW w:w="2268" w:type="dxa"/>
            <w:shd w:val="clear" w:color="auto" w:fill="68E089"/>
            <w:vAlign w:val="center"/>
          </w:tcPr>
          <w:p w14:paraId="589DA701" w14:textId="77777777" w:rsidR="00D44887" w:rsidRPr="00E11B14" w:rsidRDefault="00D44887" w:rsidP="002315D8">
            <w:r>
              <w:rPr>
                <w:u w:val="single"/>
              </w:rPr>
              <w:lastRenderedPageBreak/>
              <w:t>Premiers résultats observés</w:t>
            </w:r>
          </w:p>
        </w:tc>
        <w:tc>
          <w:tcPr>
            <w:tcW w:w="7173" w:type="dxa"/>
            <w:vAlign w:val="center"/>
          </w:tcPr>
          <w:p w14:paraId="331CA3B6" w14:textId="77777777" w:rsidR="00D44887" w:rsidRPr="00E11B14" w:rsidRDefault="00D44887" w:rsidP="002315D8">
            <w:pPr>
              <w:pStyle w:val="TableParagraph"/>
              <w:ind w:left="109" w:right="84"/>
            </w:pPr>
            <w:r>
              <w:t>Il est trop tôt dans la mise en œuvre du projet pour observer ou identifier tout changement positif ou négatif.</w:t>
            </w:r>
          </w:p>
        </w:tc>
      </w:tr>
      <w:tr w:rsidR="00D44887" w:rsidRPr="00E11B14" w14:paraId="45EF4115" w14:textId="77777777" w:rsidTr="002315D8">
        <w:trPr>
          <w:trHeight w:val="703"/>
        </w:trPr>
        <w:tc>
          <w:tcPr>
            <w:tcW w:w="2268" w:type="dxa"/>
            <w:shd w:val="clear" w:color="auto" w:fill="68E089"/>
            <w:vAlign w:val="center"/>
          </w:tcPr>
          <w:p w14:paraId="4E06FFA3" w14:textId="77777777" w:rsidR="00D44887" w:rsidRPr="00E11B14" w:rsidRDefault="00D44887" w:rsidP="002315D8">
            <w:pPr>
              <w:rPr>
                <w:u w:val="single"/>
              </w:rPr>
            </w:pPr>
            <w:r>
              <w:rPr>
                <w:u w:val="single"/>
              </w:rPr>
              <w:t>Expérience acquise et enseignements tirés</w:t>
            </w:r>
          </w:p>
          <w:p w14:paraId="7D89DF69" w14:textId="77777777" w:rsidR="00D44887" w:rsidRPr="00E11B14" w:rsidRDefault="00D44887" w:rsidP="002315D8"/>
        </w:tc>
        <w:tc>
          <w:tcPr>
            <w:tcW w:w="7173" w:type="dxa"/>
            <w:vAlign w:val="center"/>
          </w:tcPr>
          <w:p w14:paraId="2D4CBF20" w14:textId="77777777" w:rsidR="00D44887" w:rsidRPr="00E11B14" w:rsidRDefault="00D44887" w:rsidP="002315D8">
            <w:pPr>
              <w:pStyle w:val="TableParagraph"/>
              <w:ind w:left="109" w:right="84"/>
            </w:pPr>
            <w:r>
              <w:t>La sélection d’experts ayant à la fois une excellente connaissance du sujet et une expérience pratique de la formation sur le sujet, y compris pour des publics de pays en développement, s’est révélée efficace pour l’élaboration du contenu du manuel et du matériel de formation correspondant.  De même, l’approche consistant à assurer une bonne communication entre les experts prenant part au projet et à organiser des réunions virtuelles régulières avec l’équipe de projet afin de veiller à ce que tout problème soit clarifié et traité à un stade précoce s’est également révélée efficace.</w:t>
            </w:r>
          </w:p>
          <w:p w14:paraId="744CEB64" w14:textId="77777777" w:rsidR="00D44887" w:rsidRPr="00E11B14" w:rsidRDefault="00D44887" w:rsidP="002315D8">
            <w:pPr>
              <w:pStyle w:val="TableParagraph"/>
              <w:ind w:left="109" w:right="84"/>
            </w:pPr>
          </w:p>
        </w:tc>
      </w:tr>
      <w:tr w:rsidR="00D44887" w:rsidRPr="00E11B14" w14:paraId="22B32737" w14:textId="77777777" w:rsidTr="002315D8">
        <w:trPr>
          <w:trHeight w:val="985"/>
        </w:trPr>
        <w:tc>
          <w:tcPr>
            <w:tcW w:w="2268" w:type="dxa"/>
            <w:shd w:val="clear" w:color="auto" w:fill="68E089"/>
            <w:vAlign w:val="center"/>
          </w:tcPr>
          <w:p w14:paraId="06A08FE2" w14:textId="77777777" w:rsidR="00D44887" w:rsidRPr="00E11B14" w:rsidRDefault="00D44887" w:rsidP="002315D8">
            <w:pPr>
              <w:rPr>
                <w:u w:val="single"/>
              </w:rPr>
            </w:pPr>
            <w:r>
              <w:rPr>
                <w:u w:val="single"/>
              </w:rPr>
              <w:t>Risques et mesures d’atténuation</w:t>
            </w:r>
          </w:p>
          <w:p w14:paraId="58BC8EFE" w14:textId="77777777" w:rsidR="00D44887" w:rsidRPr="00E11B14" w:rsidRDefault="00D44887" w:rsidP="002315D8"/>
        </w:tc>
        <w:tc>
          <w:tcPr>
            <w:tcW w:w="7173" w:type="dxa"/>
            <w:vAlign w:val="center"/>
          </w:tcPr>
          <w:p w14:paraId="54C68176" w14:textId="77777777" w:rsidR="00D44887" w:rsidRPr="00E11B14" w:rsidRDefault="00D44887" w:rsidP="002315D8">
            <w:pPr>
              <w:pStyle w:val="TableParagraph"/>
              <w:ind w:left="109" w:right="84"/>
            </w:pPr>
            <w:r>
              <w:rPr>
                <w:u w:val="single"/>
              </w:rPr>
              <w:t>Risque 1</w:t>
            </w:r>
            <w:r>
              <w:t> : capacité insuffisante du personnel des CATI de comprendre et d’utiliser efficacement les informations contenues dans les manuels.</w:t>
            </w:r>
          </w:p>
          <w:p w14:paraId="5E6167E1" w14:textId="77777777" w:rsidR="00D44887" w:rsidRDefault="00D44887" w:rsidP="002315D8">
            <w:pPr>
              <w:pStyle w:val="TableParagraph"/>
              <w:ind w:left="109" w:right="84"/>
            </w:pPr>
          </w:p>
          <w:p w14:paraId="59DAFEAD" w14:textId="77777777" w:rsidR="00D44887" w:rsidRPr="00E11B14" w:rsidRDefault="00D44887" w:rsidP="002315D8">
            <w:pPr>
              <w:pStyle w:val="TableParagraph"/>
              <w:ind w:left="109" w:right="84"/>
            </w:pPr>
            <w:r>
              <w:rPr>
                <w:u w:val="single"/>
              </w:rPr>
              <w:t>Stratégie d’atténuation</w:t>
            </w:r>
            <w:r w:rsidRPr="00BB169C">
              <w:rPr>
                <w:u w:val="single"/>
              </w:rPr>
              <w:t> 1</w:t>
            </w:r>
            <w:r>
              <w:t> : les manuels seront adaptés aux capacités du personnel des CATI telles qu’elles auront été évaluées.</w:t>
            </w:r>
          </w:p>
          <w:p w14:paraId="416907D1" w14:textId="77777777" w:rsidR="00D44887" w:rsidRPr="00E11B14" w:rsidRDefault="00D44887" w:rsidP="002315D8">
            <w:pPr>
              <w:pStyle w:val="TableParagraph"/>
              <w:ind w:left="109" w:right="84"/>
            </w:pPr>
          </w:p>
          <w:p w14:paraId="755DB603" w14:textId="77777777" w:rsidR="00D44887" w:rsidRDefault="00D44887" w:rsidP="002315D8">
            <w:pPr>
              <w:pStyle w:val="TableParagraph"/>
              <w:ind w:left="109" w:right="84"/>
            </w:pPr>
            <w:r>
              <w:rPr>
                <w:u w:val="single"/>
              </w:rPr>
              <w:t>Risque 2</w:t>
            </w:r>
            <w:r>
              <w:t> : niveau de maturité insuffisant des CATI pour développer et offrir des services relatifs à l’utilisation des inventions du domaine public.</w:t>
            </w:r>
          </w:p>
          <w:p w14:paraId="271C902C" w14:textId="77777777" w:rsidR="00D44887" w:rsidRPr="00E11B14" w:rsidRDefault="00D44887" w:rsidP="002315D8">
            <w:pPr>
              <w:pStyle w:val="TableParagraph"/>
              <w:ind w:left="109" w:right="84"/>
            </w:pPr>
          </w:p>
          <w:p w14:paraId="0DD39DDC" w14:textId="77777777" w:rsidR="00D44887" w:rsidRPr="00E11B14" w:rsidRDefault="00D44887" w:rsidP="002315D8">
            <w:pPr>
              <w:pStyle w:val="TableParagraph"/>
              <w:ind w:left="109" w:right="84"/>
            </w:pPr>
            <w:r>
              <w:rPr>
                <w:u w:val="single"/>
              </w:rPr>
              <w:t>Stratégie d’atténuation</w:t>
            </w:r>
            <w:r w:rsidRPr="00BB169C">
              <w:rPr>
                <w:u w:val="single"/>
              </w:rPr>
              <w:t> 2</w:t>
            </w:r>
            <w:r>
              <w:t> : les CATI ayant un niveau de maturité suffisant seront retenus pour participer à ce projet.</w:t>
            </w:r>
          </w:p>
          <w:p w14:paraId="0A5BCB67" w14:textId="77777777" w:rsidR="00D44887" w:rsidRPr="00E11B14" w:rsidRDefault="00D44887" w:rsidP="002315D8">
            <w:pPr>
              <w:pStyle w:val="TableParagraph"/>
              <w:ind w:left="109" w:right="84"/>
            </w:pPr>
          </w:p>
          <w:p w14:paraId="7E96F705" w14:textId="77777777" w:rsidR="00D44887" w:rsidRDefault="00D44887" w:rsidP="002315D8">
            <w:pPr>
              <w:pStyle w:val="TableParagraph"/>
              <w:ind w:left="109" w:right="84"/>
            </w:pPr>
            <w:r>
              <w:rPr>
                <w:u w:val="single"/>
              </w:rPr>
              <w:t>Risque 3</w:t>
            </w:r>
            <w:r>
              <w:t> : impossibilité de conduire les séminaires en présentiel en raison de nouvelles restrictions liées à la pandémie de COVID-19.</w:t>
            </w:r>
          </w:p>
          <w:p w14:paraId="008F7B66" w14:textId="77777777" w:rsidR="00D44887" w:rsidRPr="00E11B14" w:rsidRDefault="00D44887" w:rsidP="002315D8">
            <w:pPr>
              <w:pStyle w:val="TableParagraph"/>
              <w:ind w:left="109" w:right="84"/>
            </w:pPr>
          </w:p>
          <w:p w14:paraId="1B7D9FD8" w14:textId="77777777" w:rsidR="00D44887" w:rsidRPr="00E11B14" w:rsidRDefault="00D44887" w:rsidP="002315D8">
            <w:pPr>
              <w:pStyle w:val="TableParagraph"/>
              <w:ind w:left="109" w:right="84"/>
            </w:pPr>
            <w:r>
              <w:rPr>
                <w:u w:val="single"/>
              </w:rPr>
              <w:t>Stratégie d’atténuation</w:t>
            </w:r>
            <w:r w:rsidRPr="00BB169C">
              <w:rPr>
                <w:u w:val="single"/>
              </w:rPr>
              <w:t> 3</w:t>
            </w:r>
            <w:r>
              <w:t> : les séminaires seront organisés sous forme virtuelle.  Les dépenses prévues pour le déplacement de fonctionnaires et de tiers (personnes ne faisant pas partie du personnel) seront réaffectées en conséquence, de façon que d’autres séminaires puissent être organisés.</w:t>
            </w:r>
          </w:p>
          <w:p w14:paraId="3D69E641" w14:textId="77777777" w:rsidR="00D44887" w:rsidRPr="00E11B14" w:rsidRDefault="00D44887" w:rsidP="002315D8">
            <w:pPr>
              <w:pStyle w:val="TableParagraph"/>
              <w:ind w:left="109" w:right="84"/>
            </w:pPr>
          </w:p>
        </w:tc>
      </w:tr>
      <w:tr w:rsidR="00D44887" w:rsidRPr="00E11B14" w14:paraId="2E917BAD" w14:textId="77777777" w:rsidTr="002315D8">
        <w:trPr>
          <w:trHeight w:val="1891"/>
        </w:trPr>
        <w:tc>
          <w:tcPr>
            <w:tcW w:w="2268" w:type="dxa"/>
            <w:shd w:val="clear" w:color="auto" w:fill="68E089"/>
            <w:vAlign w:val="center"/>
          </w:tcPr>
          <w:p w14:paraId="4DF431CF" w14:textId="77777777" w:rsidR="00D44887" w:rsidRPr="00E11B14" w:rsidRDefault="00D44887" w:rsidP="002315D8">
            <w:pPr>
              <w:rPr>
                <w:u w:val="single"/>
              </w:rPr>
            </w:pPr>
            <w:r>
              <w:rPr>
                <w:u w:val="single"/>
              </w:rPr>
              <w:t>Questions nécessitant un soutien immédiat ou une attention immédiate</w:t>
            </w:r>
          </w:p>
          <w:p w14:paraId="2C27C152" w14:textId="77777777" w:rsidR="00D44887" w:rsidRPr="00E11B14" w:rsidRDefault="00D44887" w:rsidP="002315D8"/>
        </w:tc>
        <w:tc>
          <w:tcPr>
            <w:tcW w:w="7173" w:type="dxa"/>
            <w:vAlign w:val="center"/>
          </w:tcPr>
          <w:p w14:paraId="0C302894" w14:textId="77777777" w:rsidR="00D44887" w:rsidRPr="00E11B14" w:rsidRDefault="00D44887" w:rsidP="002315D8">
            <w:pPr>
              <w:pStyle w:val="TableParagraph"/>
              <w:ind w:left="109" w:right="84"/>
            </w:pPr>
            <w:r>
              <w:t>Si l’on tient compte du coût de la réalisation de vidéos sur la base de l’expérience récente du Secrétariat dans ce domaine, les ressources allouées à l’élaboration du matériel de formation (qui comprendra des didacticiels vidéo ainsi que des documents d’orientation et des ensembles de données pour les exercices pratiques et de simulation) devront être ajustées pour garantir la qualité des résultats.  Il est suggéré à cet égard, afin de ne pas affecter le budget global alloué à ce projet, de redistribuer une partie des fonds alloués à l’organisation des séminaires de formation en 2023 en organisant ces formations sous forme virtuelle plutôt que sur place et d’utiliser les fonds restants pour l’élaboration du matériel de formation.</w:t>
            </w:r>
          </w:p>
        </w:tc>
      </w:tr>
      <w:tr w:rsidR="00D44887" w:rsidRPr="00E11B14" w14:paraId="775EC56B" w14:textId="77777777" w:rsidTr="002315D8">
        <w:trPr>
          <w:trHeight w:val="469"/>
        </w:trPr>
        <w:tc>
          <w:tcPr>
            <w:tcW w:w="2268" w:type="dxa"/>
            <w:shd w:val="clear" w:color="auto" w:fill="68E089"/>
            <w:vAlign w:val="center"/>
          </w:tcPr>
          <w:p w14:paraId="1E426162" w14:textId="77777777" w:rsidR="00D44887" w:rsidRPr="00E11B14" w:rsidRDefault="00D44887" w:rsidP="002315D8">
            <w:pPr>
              <w:rPr>
                <w:u w:val="single"/>
              </w:rPr>
            </w:pPr>
            <w:r>
              <w:rPr>
                <w:u w:val="single"/>
              </w:rPr>
              <w:t>Voie à suivre</w:t>
            </w:r>
          </w:p>
          <w:p w14:paraId="739EB5A7" w14:textId="77777777" w:rsidR="00D44887" w:rsidRPr="00E11B14" w:rsidRDefault="00D44887" w:rsidP="002315D8"/>
        </w:tc>
        <w:tc>
          <w:tcPr>
            <w:tcW w:w="7173" w:type="dxa"/>
            <w:vAlign w:val="center"/>
          </w:tcPr>
          <w:p w14:paraId="2AABCBB1" w14:textId="77777777" w:rsidR="00D44887" w:rsidRPr="00E11B14" w:rsidRDefault="00D44887" w:rsidP="002315D8">
            <w:pPr>
              <w:pStyle w:val="TableParagraph"/>
              <w:ind w:left="109" w:right="84"/>
            </w:pPr>
            <w:r>
              <w:t>Compte tenu des progrès réalisés à ce jour, le manuel devrait être achevé comme prévu d’ici la fin de l’année 2022 (en attendant une correction et une mise en page professionnelles en vue de sa publication).</w:t>
            </w:r>
          </w:p>
          <w:p w14:paraId="1BB2213E" w14:textId="77777777" w:rsidR="00D44887" w:rsidRDefault="00D44887" w:rsidP="002315D8">
            <w:pPr>
              <w:pStyle w:val="TableParagraph"/>
              <w:ind w:left="109" w:right="84"/>
            </w:pPr>
          </w:p>
          <w:p w14:paraId="1BB1F622" w14:textId="77777777" w:rsidR="00D44887" w:rsidRDefault="00D44887" w:rsidP="002315D8">
            <w:pPr>
              <w:pStyle w:val="TableParagraph"/>
              <w:ind w:left="109" w:right="84"/>
            </w:pPr>
            <w:r>
              <w:t>Le kit de formation comprendra un guide de l’apprenant et du matériel pédagogique modulaire (vidéos explicatives pour présenter les concepts clés et compléter les descriptions des outils, et des ressources/ensembles de données pour les exercices de simulation dans le cadre de séminaires en présentiel ou en ligne assurés par un instructeur) pour soutenir la formation pratique sur le manuel.  En particulier, des travaux seront entrepris en coopération avec une société de production vidéo sélectionnée et avec l’appui et les conseils de la Division de l’information et des médias et de la Division de l’information et de la communication numérique de l’OMPI pour élaborer les vidéos explicatives de tous les outils du manuel.</w:t>
            </w:r>
          </w:p>
          <w:p w14:paraId="153C2915" w14:textId="77777777" w:rsidR="00D44887" w:rsidRPr="00E11B14" w:rsidRDefault="00D44887" w:rsidP="002315D8">
            <w:pPr>
              <w:pStyle w:val="TableParagraph"/>
              <w:ind w:left="109" w:right="84"/>
            </w:pPr>
          </w:p>
          <w:p w14:paraId="4000BCFB" w14:textId="77777777" w:rsidR="00D44887" w:rsidRPr="008E11F6" w:rsidRDefault="00D44887" w:rsidP="002315D8">
            <w:pPr>
              <w:pStyle w:val="TableParagraph"/>
              <w:ind w:left="109" w:right="84"/>
            </w:pPr>
            <w:r>
              <w:t xml:space="preserve">Une fois le manuel et le matériel de formation correspondant terminés, deux séminaires de formation seront organisés pour les CATI en 2023, conformément à la stratégie de mise en œuvre du projet.  </w:t>
            </w:r>
          </w:p>
        </w:tc>
      </w:tr>
      <w:tr w:rsidR="00D44887" w:rsidRPr="00E11B14" w14:paraId="5990B056" w14:textId="77777777" w:rsidTr="002315D8">
        <w:trPr>
          <w:trHeight w:val="631"/>
        </w:trPr>
        <w:tc>
          <w:tcPr>
            <w:tcW w:w="2268" w:type="dxa"/>
            <w:shd w:val="clear" w:color="auto" w:fill="68E089"/>
            <w:vAlign w:val="center"/>
          </w:tcPr>
          <w:p w14:paraId="09C88AB7" w14:textId="77777777" w:rsidR="00D44887" w:rsidRPr="00E11B14" w:rsidRDefault="00D44887" w:rsidP="002315D8">
            <w:pPr>
              <w:rPr>
                <w:u w:val="single"/>
              </w:rPr>
            </w:pPr>
            <w:r>
              <w:rPr>
                <w:u w:val="single"/>
              </w:rPr>
              <w:lastRenderedPageBreak/>
              <w:t>Calendrier de mise en œuvre</w:t>
            </w:r>
          </w:p>
          <w:p w14:paraId="6D7E573C" w14:textId="77777777" w:rsidR="00D44887" w:rsidRPr="00E11B14" w:rsidRDefault="00D44887" w:rsidP="002315D8"/>
        </w:tc>
        <w:tc>
          <w:tcPr>
            <w:tcW w:w="7173" w:type="dxa"/>
            <w:vAlign w:val="center"/>
          </w:tcPr>
          <w:p w14:paraId="22E580F3" w14:textId="77777777" w:rsidR="00D44887" w:rsidRPr="00E11B14" w:rsidRDefault="00D44887" w:rsidP="002315D8">
            <w:pPr>
              <w:pStyle w:val="TableParagraph"/>
              <w:ind w:left="109" w:right="84"/>
            </w:pPr>
            <w:r>
              <w:t xml:space="preserve">Le projet est en bonne voie et aucun changement ou retard n’est prévu pour l’heure.  </w:t>
            </w:r>
          </w:p>
        </w:tc>
      </w:tr>
      <w:tr w:rsidR="00D44887" w:rsidRPr="00E11B14" w14:paraId="59568D7A" w14:textId="77777777" w:rsidTr="002315D8">
        <w:trPr>
          <w:trHeight w:val="613"/>
        </w:trPr>
        <w:tc>
          <w:tcPr>
            <w:tcW w:w="2268" w:type="dxa"/>
            <w:shd w:val="clear" w:color="auto" w:fill="68E089"/>
            <w:vAlign w:val="center"/>
          </w:tcPr>
          <w:p w14:paraId="1EC9A6B7" w14:textId="77777777" w:rsidR="00D44887" w:rsidRPr="00E11B14" w:rsidRDefault="00D44887" w:rsidP="002315D8">
            <w:pPr>
              <w:rPr>
                <w:u w:val="single"/>
              </w:rPr>
            </w:pPr>
            <w:r>
              <w:rPr>
                <w:u w:val="single"/>
              </w:rPr>
              <w:t>Taux d’exécution du projet</w:t>
            </w:r>
          </w:p>
          <w:p w14:paraId="390D7B4B" w14:textId="77777777" w:rsidR="00D44887" w:rsidRPr="00E11B14" w:rsidRDefault="00D44887" w:rsidP="002315D8"/>
        </w:tc>
        <w:tc>
          <w:tcPr>
            <w:tcW w:w="7173" w:type="dxa"/>
            <w:vAlign w:val="center"/>
          </w:tcPr>
          <w:p w14:paraId="553FCAA8" w14:textId="77777777" w:rsidR="00D44887" w:rsidRDefault="00D44887" w:rsidP="002315D8">
            <w:pPr>
              <w:pStyle w:val="TableParagraph"/>
              <w:ind w:left="109" w:right="84"/>
            </w:pPr>
            <w:r>
              <w:t>Taux d’utilisation du budget à la fin de juillet 2022, proportionnellement au budget total alloué au projet : 5%</w:t>
            </w:r>
          </w:p>
          <w:p w14:paraId="0B4E63C7" w14:textId="77777777" w:rsidR="00D44887" w:rsidRPr="00E11B14" w:rsidRDefault="00D44887" w:rsidP="002315D8">
            <w:pPr>
              <w:pStyle w:val="TableParagraph"/>
              <w:ind w:left="109" w:right="84"/>
            </w:pPr>
          </w:p>
        </w:tc>
      </w:tr>
      <w:tr w:rsidR="00D44887" w:rsidRPr="00E11B14" w14:paraId="183070AB" w14:textId="77777777" w:rsidTr="002315D8">
        <w:trPr>
          <w:trHeight w:val="517"/>
        </w:trPr>
        <w:tc>
          <w:tcPr>
            <w:tcW w:w="2268" w:type="dxa"/>
            <w:shd w:val="clear" w:color="auto" w:fill="68E089"/>
            <w:vAlign w:val="center"/>
          </w:tcPr>
          <w:p w14:paraId="687E6665" w14:textId="77777777" w:rsidR="00D44887" w:rsidRPr="00E11B14" w:rsidRDefault="00D44887" w:rsidP="002315D8">
            <w:r>
              <w:rPr>
                <w:u w:val="single"/>
              </w:rPr>
              <w:t>Rapports précédents</w:t>
            </w:r>
          </w:p>
        </w:tc>
        <w:tc>
          <w:tcPr>
            <w:tcW w:w="7173" w:type="dxa"/>
            <w:vAlign w:val="center"/>
          </w:tcPr>
          <w:p w14:paraId="542B322B" w14:textId="77777777" w:rsidR="00D44887" w:rsidRPr="00E11B14" w:rsidRDefault="00D44887" w:rsidP="002315D8">
            <w:pPr>
              <w:pStyle w:val="TableParagraph"/>
              <w:ind w:left="109" w:right="84"/>
            </w:pPr>
            <w:r>
              <w:t>Ceci est le premier rapport sur l’état d’avancement présenté au CDIP.</w:t>
            </w:r>
          </w:p>
        </w:tc>
      </w:tr>
    </w:tbl>
    <w:p w14:paraId="155F09D2" w14:textId="77777777" w:rsidR="00D44887" w:rsidRPr="000A4281" w:rsidRDefault="00D44887" w:rsidP="00D44887"/>
    <w:p w14:paraId="7A086B84" w14:textId="77777777" w:rsidR="00D44887" w:rsidRDefault="00D44887" w:rsidP="00D44887"/>
    <w:p w14:paraId="3011A9EE" w14:textId="77777777" w:rsidR="00D44887" w:rsidRPr="000A4281" w:rsidRDefault="00D44887" w:rsidP="00D44887">
      <w:r>
        <w:t>Auto-évaluation du projet</w:t>
      </w:r>
    </w:p>
    <w:tbl>
      <w:tblPr>
        <w:tblW w:w="0" w:type="auto"/>
        <w:tblInd w:w="-110" w:type="dxa"/>
        <w:tblLook w:val="01E0" w:firstRow="1" w:lastRow="1" w:firstColumn="1" w:lastColumn="1" w:noHBand="0" w:noVBand="0"/>
      </w:tblPr>
      <w:tblGrid>
        <w:gridCol w:w="9181"/>
      </w:tblGrid>
      <w:tr w:rsidR="00D44887" w:rsidRPr="000A4281" w14:paraId="311C56E3" w14:textId="77777777" w:rsidTr="002315D8">
        <w:trPr>
          <w:trHeight w:val="494"/>
        </w:trPr>
        <w:tc>
          <w:tcPr>
            <w:tcW w:w="9181" w:type="dxa"/>
            <w:vAlign w:val="center"/>
          </w:tcPr>
          <w:p w14:paraId="30B0D66B" w14:textId="77777777" w:rsidR="00D44887" w:rsidRPr="000A4281" w:rsidRDefault="00D44887" w:rsidP="002315D8">
            <w:r>
              <w:br w:type="page"/>
            </w:r>
          </w:p>
          <w:p w14:paraId="0B1EA13D" w14:textId="6E52D7B9" w:rsidR="00D44887" w:rsidRPr="000A4281" w:rsidRDefault="00660A1D" w:rsidP="002315D8">
            <w:r>
              <w:t>Code d’évaluation</w:t>
            </w:r>
          </w:p>
        </w:tc>
      </w:tr>
    </w:tbl>
    <w:p w14:paraId="273DFF02" w14:textId="77777777" w:rsidR="00D44887" w:rsidRPr="000A4281" w:rsidRDefault="00D44887" w:rsidP="00D44887"/>
    <w:tbl>
      <w:tblPr>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01"/>
        <w:gridCol w:w="2268"/>
        <w:gridCol w:w="1560"/>
        <w:gridCol w:w="1984"/>
        <w:gridCol w:w="1981"/>
      </w:tblGrid>
      <w:tr w:rsidR="00D44887" w:rsidRPr="00E11B14" w14:paraId="57B7AF78" w14:textId="77777777" w:rsidTr="002315D8">
        <w:trPr>
          <w:trHeight w:val="470"/>
        </w:trPr>
        <w:tc>
          <w:tcPr>
            <w:tcW w:w="1701" w:type="dxa"/>
            <w:shd w:val="clear" w:color="auto" w:fill="7BBEDA"/>
            <w:vAlign w:val="center"/>
          </w:tcPr>
          <w:p w14:paraId="106CC094" w14:textId="77777777" w:rsidR="00D44887" w:rsidRPr="00E11B14" w:rsidRDefault="00D44887" w:rsidP="002315D8">
            <w:pPr>
              <w:widowControl w:val="0"/>
              <w:autoSpaceDE w:val="0"/>
              <w:autoSpaceDN w:val="0"/>
              <w:spacing w:before="106"/>
              <w:ind w:left="110"/>
              <w:rPr>
                <w:rFonts w:eastAsia="Arial"/>
                <w:szCs w:val="22"/>
              </w:rPr>
            </w:pPr>
            <w:r>
              <w:t>****</w:t>
            </w:r>
          </w:p>
        </w:tc>
        <w:tc>
          <w:tcPr>
            <w:tcW w:w="2268" w:type="dxa"/>
            <w:shd w:val="clear" w:color="auto" w:fill="7BBEDA"/>
            <w:vAlign w:val="center"/>
          </w:tcPr>
          <w:p w14:paraId="3724A0DE" w14:textId="77777777" w:rsidR="00D44887" w:rsidRPr="00E11B14" w:rsidRDefault="00D44887" w:rsidP="002315D8">
            <w:pPr>
              <w:widowControl w:val="0"/>
              <w:autoSpaceDE w:val="0"/>
              <w:autoSpaceDN w:val="0"/>
              <w:spacing w:before="106"/>
              <w:ind w:left="110"/>
              <w:rPr>
                <w:rFonts w:eastAsia="Arial"/>
                <w:szCs w:val="22"/>
              </w:rPr>
            </w:pPr>
            <w:r>
              <w:t>***</w:t>
            </w:r>
          </w:p>
        </w:tc>
        <w:tc>
          <w:tcPr>
            <w:tcW w:w="1560" w:type="dxa"/>
            <w:shd w:val="clear" w:color="auto" w:fill="7BBEDA"/>
            <w:vAlign w:val="center"/>
          </w:tcPr>
          <w:p w14:paraId="133C39D8" w14:textId="77777777" w:rsidR="00D44887" w:rsidRPr="00E11B14" w:rsidRDefault="00D44887" w:rsidP="002315D8">
            <w:pPr>
              <w:widowControl w:val="0"/>
              <w:autoSpaceDE w:val="0"/>
              <w:autoSpaceDN w:val="0"/>
              <w:spacing w:before="106"/>
              <w:ind w:left="108"/>
              <w:rPr>
                <w:rFonts w:eastAsia="Arial"/>
                <w:szCs w:val="22"/>
              </w:rPr>
            </w:pPr>
            <w:r>
              <w:t>**</w:t>
            </w:r>
          </w:p>
        </w:tc>
        <w:tc>
          <w:tcPr>
            <w:tcW w:w="1984" w:type="dxa"/>
            <w:shd w:val="clear" w:color="auto" w:fill="7BBEDA"/>
            <w:vAlign w:val="center"/>
          </w:tcPr>
          <w:p w14:paraId="0883DB1B" w14:textId="77777777" w:rsidR="00D44887" w:rsidRPr="00E11B14" w:rsidRDefault="00D44887" w:rsidP="002315D8">
            <w:pPr>
              <w:widowControl w:val="0"/>
              <w:autoSpaceDE w:val="0"/>
              <w:autoSpaceDN w:val="0"/>
              <w:spacing w:before="106"/>
              <w:ind w:left="108"/>
              <w:rPr>
                <w:rFonts w:eastAsia="Arial"/>
                <w:szCs w:val="22"/>
              </w:rPr>
            </w:pPr>
            <w:r>
              <w:t>AP</w:t>
            </w:r>
          </w:p>
        </w:tc>
        <w:tc>
          <w:tcPr>
            <w:tcW w:w="1981" w:type="dxa"/>
            <w:shd w:val="clear" w:color="auto" w:fill="7BBEDA"/>
            <w:vAlign w:val="center"/>
          </w:tcPr>
          <w:p w14:paraId="457940CC" w14:textId="77777777" w:rsidR="00D44887" w:rsidRPr="00E11B14" w:rsidRDefault="00D44887" w:rsidP="002315D8">
            <w:pPr>
              <w:widowControl w:val="0"/>
              <w:autoSpaceDE w:val="0"/>
              <w:autoSpaceDN w:val="0"/>
              <w:spacing w:before="106"/>
              <w:ind w:left="110"/>
              <w:rPr>
                <w:rFonts w:eastAsia="Arial"/>
                <w:szCs w:val="22"/>
              </w:rPr>
            </w:pPr>
            <w:r>
              <w:t>s.o.</w:t>
            </w:r>
          </w:p>
        </w:tc>
      </w:tr>
      <w:tr w:rsidR="00D44887" w:rsidRPr="00E11B14" w14:paraId="0A868A3D" w14:textId="77777777" w:rsidTr="002315D8">
        <w:trPr>
          <w:trHeight w:val="506"/>
        </w:trPr>
        <w:tc>
          <w:tcPr>
            <w:tcW w:w="1701" w:type="dxa"/>
            <w:shd w:val="clear" w:color="auto" w:fill="7BBEDA"/>
            <w:vAlign w:val="center"/>
          </w:tcPr>
          <w:p w14:paraId="3CD374DF" w14:textId="77777777" w:rsidR="00D44887" w:rsidRPr="00E11B14" w:rsidRDefault="00D44887" w:rsidP="002315D8">
            <w:pPr>
              <w:widowControl w:val="0"/>
              <w:autoSpaceDE w:val="0"/>
              <w:autoSpaceDN w:val="0"/>
              <w:spacing w:line="252" w:lineRule="exact"/>
              <w:ind w:left="110" w:right="408"/>
              <w:rPr>
                <w:rFonts w:eastAsia="Arial"/>
                <w:szCs w:val="22"/>
              </w:rPr>
            </w:pPr>
            <w:r>
              <w:t>Objectifs pleinement atteints</w:t>
            </w:r>
          </w:p>
        </w:tc>
        <w:tc>
          <w:tcPr>
            <w:tcW w:w="2268" w:type="dxa"/>
            <w:shd w:val="clear" w:color="auto" w:fill="7BBEDA"/>
            <w:vAlign w:val="center"/>
          </w:tcPr>
          <w:p w14:paraId="17376688" w14:textId="2DB37B1D" w:rsidR="00D44887" w:rsidRPr="00E11B14" w:rsidRDefault="00451D3D" w:rsidP="002315D8">
            <w:pPr>
              <w:widowControl w:val="0"/>
              <w:autoSpaceDE w:val="0"/>
              <w:autoSpaceDN w:val="0"/>
              <w:spacing w:line="252" w:lineRule="exact"/>
              <w:ind w:left="110" w:right="687"/>
              <w:rPr>
                <w:rFonts w:eastAsia="Arial"/>
                <w:szCs w:val="22"/>
              </w:rPr>
            </w:pPr>
            <w:r>
              <w:t>De grands progrès</w:t>
            </w:r>
          </w:p>
        </w:tc>
        <w:tc>
          <w:tcPr>
            <w:tcW w:w="1560" w:type="dxa"/>
            <w:shd w:val="clear" w:color="auto" w:fill="7BBEDA"/>
            <w:vAlign w:val="center"/>
          </w:tcPr>
          <w:p w14:paraId="436528E0" w14:textId="77777777" w:rsidR="00D44887" w:rsidRPr="00E11B14" w:rsidRDefault="00D44887" w:rsidP="002315D8">
            <w:pPr>
              <w:widowControl w:val="0"/>
              <w:autoSpaceDE w:val="0"/>
              <w:autoSpaceDN w:val="0"/>
              <w:spacing w:line="251" w:lineRule="exact"/>
              <w:ind w:left="108"/>
              <w:rPr>
                <w:rFonts w:eastAsia="Arial"/>
                <w:szCs w:val="22"/>
              </w:rPr>
            </w:pPr>
            <w:r>
              <w:t>Quelques progrès</w:t>
            </w:r>
          </w:p>
        </w:tc>
        <w:tc>
          <w:tcPr>
            <w:tcW w:w="1984" w:type="dxa"/>
            <w:shd w:val="clear" w:color="auto" w:fill="7BBEDA"/>
            <w:vAlign w:val="center"/>
          </w:tcPr>
          <w:p w14:paraId="1ADDFF6E" w14:textId="77777777" w:rsidR="00D44887" w:rsidRPr="00E11B14" w:rsidRDefault="00D44887" w:rsidP="002315D8">
            <w:pPr>
              <w:widowControl w:val="0"/>
              <w:autoSpaceDE w:val="0"/>
              <w:autoSpaceDN w:val="0"/>
              <w:spacing w:line="251" w:lineRule="exact"/>
              <w:ind w:left="108"/>
              <w:rPr>
                <w:rFonts w:eastAsia="Arial"/>
                <w:szCs w:val="22"/>
              </w:rPr>
            </w:pPr>
            <w:r>
              <w:t>Aucun progrès</w:t>
            </w:r>
          </w:p>
        </w:tc>
        <w:tc>
          <w:tcPr>
            <w:tcW w:w="1981" w:type="dxa"/>
            <w:shd w:val="clear" w:color="auto" w:fill="7BBEDA"/>
            <w:vAlign w:val="center"/>
          </w:tcPr>
          <w:p w14:paraId="519CE192" w14:textId="77777777" w:rsidR="00D44887" w:rsidRPr="00E11B14" w:rsidRDefault="00D44887" w:rsidP="002315D8">
            <w:pPr>
              <w:widowControl w:val="0"/>
              <w:autoSpaceDE w:val="0"/>
              <w:autoSpaceDN w:val="0"/>
              <w:spacing w:line="252" w:lineRule="exact"/>
              <w:ind w:left="110" w:right="203"/>
              <w:rPr>
                <w:rFonts w:eastAsia="Arial"/>
                <w:szCs w:val="22"/>
              </w:rPr>
            </w:pPr>
            <w:r>
              <w:t>Non évalué/ abandonné</w:t>
            </w:r>
          </w:p>
        </w:tc>
      </w:tr>
    </w:tbl>
    <w:p w14:paraId="667204B9" w14:textId="77777777" w:rsidR="00D44887" w:rsidRPr="000A4281" w:rsidRDefault="00D44887" w:rsidP="00D44887"/>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007"/>
        <w:gridCol w:w="1270"/>
      </w:tblGrid>
      <w:tr w:rsidR="00D44887" w:rsidRPr="00E11B14" w14:paraId="78CFDC99" w14:textId="77777777" w:rsidTr="00660A1D">
        <w:trPr>
          <w:trHeight w:val="1264"/>
        </w:trPr>
        <w:tc>
          <w:tcPr>
            <w:tcW w:w="2520" w:type="dxa"/>
            <w:shd w:val="clear" w:color="auto" w:fill="68E089"/>
            <w:vAlign w:val="center"/>
          </w:tcPr>
          <w:p w14:paraId="3F2C20BF" w14:textId="77777777" w:rsidR="00D44887" w:rsidRPr="00E11B14" w:rsidRDefault="00D44887" w:rsidP="002315D8"/>
          <w:p w14:paraId="1AF11CAD" w14:textId="77777777" w:rsidR="00D44887" w:rsidRPr="00E11B14" w:rsidRDefault="00D44887" w:rsidP="002315D8">
            <w:r>
              <w:rPr>
                <w:u w:val="single"/>
              </w:rPr>
              <w:t>Résultats du projet</w:t>
            </w:r>
            <w:r>
              <w:rPr>
                <w:vertAlign w:val="superscript"/>
              </w:rPr>
              <w:t>3</w:t>
            </w:r>
            <w:r>
              <w:t xml:space="preserve"> (résultat escompté)</w:t>
            </w:r>
          </w:p>
        </w:tc>
        <w:tc>
          <w:tcPr>
            <w:tcW w:w="2695" w:type="dxa"/>
            <w:shd w:val="clear" w:color="auto" w:fill="68E089"/>
            <w:vAlign w:val="center"/>
          </w:tcPr>
          <w:p w14:paraId="2EE5D1CB" w14:textId="77777777" w:rsidR="00D44887" w:rsidRPr="00E11B14" w:rsidRDefault="00D44887" w:rsidP="002315D8"/>
          <w:p w14:paraId="41AE3462" w14:textId="77777777" w:rsidR="00D44887" w:rsidRPr="00E75513" w:rsidRDefault="00D44887" w:rsidP="002315D8">
            <w:pPr>
              <w:rPr>
                <w:u w:val="single"/>
              </w:rPr>
            </w:pPr>
            <w:r w:rsidRPr="00E75513">
              <w:rPr>
                <w:u w:val="single"/>
              </w:rPr>
              <w:t>Indicateurs d’exécution</w:t>
            </w:r>
          </w:p>
          <w:p w14:paraId="531C730F" w14:textId="77777777" w:rsidR="00D44887" w:rsidRPr="00E11B14" w:rsidRDefault="00D44887" w:rsidP="002315D8">
            <w:r>
              <w:t>(indicateurs de résultats)</w:t>
            </w:r>
          </w:p>
        </w:tc>
        <w:tc>
          <w:tcPr>
            <w:tcW w:w="3007" w:type="dxa"/>
            <w:shd w:val="clear" w:color="auto" w:fill="68E089"/>
            <w:vAlign w:val="center"/>
          </w:tcPr>
          <w:p w14:paraId="0576F007" w14:textId="77777777" w:rsidR="00D44887" w:rsidRPr="00E11B14" w:rsidRDefault="00D44887" w:rsidP="002315D8"/>
          <w:p w14:paraId="3EE2ED66" w14:textId="77777777" w:rsidR="00D44887" w:rsidRPr="00E11B14" w:rsidRDefault="00D44887" w:rsidP="002315D8">
            <w:r>
              <w:rPr>
                <w:u w:val="single"/>
              </w:rPr>
              <w:t>Données relatives à l’exécution</w:t>
            </w:r>
          </w:p>
        </w:tc>
        <w:tc>
          <w:tcPr>
            <w:tcW w:w="1270" w:type="dxa"/>
            <w:shd w:val="clear" w:color="auto" w:fill="68E089"/>
            <w:vAlign w:val="center"/>
          </w:tcPr>
          <w:p w14:paraId="22BA2604" w14:textId="77777777" w:rsidR="00D44887" w:rsidRPr="00E11B14" w:rsidRDefault="00D44887" w:rsidP="002315D8"/>
          <w:p w14:paraId="5A5137A0" w14:textId="77777777" w:rsidR="00D44887" w:rsidRPr="00E11B14" w:rsidRDefault="00D44887" w:rsidP="002315D8">
            <w:r>
              <w:rPr>
                <w:u w:val="single"/>
              </w:rPr>
              <w:t>Code d’évaluation</w:t>
            </w:r>
          </w:p>
        </w:tc>
      </w:tr>
      <w:tr w:rsidR="00D44887" w:rsidRPr="00E11B14" w14:paraId="2D5184A5" w14:textId="77777777" w:rsidTr="00660A1D">
        <w:trPr>
          <w:trHeight w:val="508"/>
        </w:trPr>
        <w:tc>
          <w:tcPr>
            <w:tcW w:w="2520" w:type="dxa"/>
            <w:tcBorders>
              <w:right w:val="single" w:sz="6" w:space="0" w:color="000000"/>
            </w:tcBorders>
            <w:vAlign w:val="center"/>
          </w:tcPr>
          <w:p w14:paraId="594ED3DD" w14:textId="77777777" w:rsidR="00D44887" w:rsidRPr="00E11B14" w:rsidRDefault="00D44887" w:rsidP="002315D8">
            <w:r>
              <w:t>Manuel portant sur les quatre phases de mise au point de nouveaux produits ou services et résolution de la question de savoir si l’invention est dans le domaine public</w:t>
            </w:r>
          </w:p>
        </w:tc>
        <w:tc>
          <w:tcPr>
            <w:tcW w:w="2695" w:type="dxa"/>
            <w:tcBorders>
              <w:left w:val="single" w:sz="6" w:space="0" w:color="000000"/>
              <w:bottom w:val="single" w:sz="6" w:space="0" w:color="000000"/>
            </w:tcBorders>
            <w:vAlign w:val="center"/>
          </w:tcPr>
          <w:p w14:paraId="4022AFE9" w14:textId="77777777" w:rsidR="00D44887" w:rsidRPr="00E11B14" w:rsidRDefault="00D44887" w:rsidP="002315D8">
            <w:r>
              <w:t>Manuel élaboré et publié</w:t>
            </w:r>
          </w:p>
        </w:tc>
        <w:tc>
          <w:tcPr>
            <w:tcW w:w="3007" w:type="dxa"/>
            <w:vAlign w:val="center"/>
          </w:tcPr>
          <w:p w14:paraId="0DC34355" w14:textId="77777777" w:rsidR="00D44887" w:rsidRPr="00E11B14" w:rsidRDefault="00D44887" w:rsidP="002315D8">
            <w:r>
              <w:t xml:space="preserve"> Contenu du manuel en cours d’élaboration</w:t>
            </w:r>
          </w:p>
        </w:tc>
        <w:tc>
          <w:tcPr>
            <w:tcW w:w="1270" w:type="dxa"/>
            <w:vAlign w:val="center"/>
          </w:tcPr>
          <w:p w14:paraId="16FAC483" w14:textId="77777777" w:rsidR="00D44887" w:rsidRPr="00E11B14" w:rsidRDefault="00D44887" w:rsidP="002315D8">
            <w:r>
              <w:t xml:space="preserve"> ***</w:t>
            </w:r>
          </w:p>
        </w:tc>
      </w:tr>
      <w:tr w:rsidR="00D44887" w:rsidRPr="00E11B14" w14:paraId="7D7CEA42" w14:textId="77777777" w:rsidTr="00660A1D">
        <w:trPr>
          <w:trHeight w:val="510"/>
        </w:trPr>
        <w:tc>
          <w:tcPr>
            <w:tcW w:w="2520" w:type="dxa"/>
            <w:tcBorders>
              <w:right w:val="single" w:sz="6" w:space="0" w:color="000000"/>
            </w:tcBorders>
            <w:vAlign w:val="center"/>
          </w:tcPr>
          <w:p w14:paraId="2B5A8A7B" w14:textId="77777777" w:rsidR="00D44887" w:rsidRPr="00E11B14" w:rsidRDefault="00D44887" w:rsidP="002315D8">
            <w:r>
              <w:t>Matériel de formation à l’intention des CATI</w:t>
            </w:r>
          </w:p>
        </w:tc>
        <w:tc>
          <w:tcPr>
            <w:tcW w:w="2695" w:type="dxa"/>
            <w:tcBorders>
              <w:top w:val="single" w:sz="6" w:space="0" w:color="000000"/>
              <w:left w:val="single" w:sz="6" w:space="0" w:color="000000"/>
              <w:bottom w:val="single" w:sz="6" w:space="0" w:color="000000"/>
            </w:tcBorders>
            <w:vAlign w:val="center"/>
          </w:tcPr>
          <w:p w14:paraId="4B7F50AC" w14:textId="77777777" w:rsidR="00D44887" w:rsidRPr="00E11B14" w:rsidRDefault="00D44887" w:rsidP="002315D8">
            <w:r>
              <w:t>Matériel de formation à l’intention des CATI élaboré.</w:t>
            </w:r>
          </w:p>
        </w:tc>
        <w:tc>
          <w:tcPr>
            <w:tcW w:w="3007" w:type="dxa"/>
            <w:vAlign w:val="center"/>
          </w:tcPr>
          <w:p w14:paraId="6E46B4F7" w14:textId="77777777" w:rsidR="00D44887" w:rsidRPr="00E11B14" w:rsidRDefault="00D44887" w:rsidP="002315D8">
            <w:r>
              <w:t xml:space="preserve"> Matériel de formation à l’intention des CATI en cours d’élaboration </w:t>
            </w:r>
          </w:p>
        </w:tc>
        <w:tc>
          <w:tcPr>
            <w:tcW w:w="1270" w:type="dxa"/>
            <w:vAlign w:val="center"/>
          </w:tcPr>
          <w:p w14:paraId="299969CF" w14:textId="77777777" w:rsidR="00D44887" w:rsidRPr="00E11B14" w:rsidRDefault="00D44887" w:rsidP="002315D8">
            <w:r>
              <w:t xml:space="preserve"> **</w:t>
            </w:r>
          </w:p>
        </w:tc>
      </w:tr>
      <w:tr w:rsidR="00D44887" w:rsidRPr="00E11B14" w14:paraId="0C2CC07F" w14:textId="77777777" w:rsidTr="00660A1D">
        <w:trPr>
          <w:trHeight w:val="510"/>
        </w:trPr>
        <w:tc>
          <w:tcPr>
            <w:tcW w:w="2520" w:type="dxa"/>
            <w:tcBorders>
              <w:right w:val="single" w:sz="6" w:space="0" w:color="000000"/>
            </w:tcBorders>
            <w:vAlign w:val="center"/>
          </w:tcPr>
          <w:p w14:paraId="3C33F1CB" w14:textId="77777777" w:rsidR="00D44887" w:rsidRPr="00E11B14" w:rsidRDefault="00D44887" w:rsidP="002315D8">
            <w:r>
              <w:t xml:space="preserve">Séminaires de formation s’appuyant sur le </w:t>
            </w:r>
            <w:r>
              <w:lastRenderedPageBreak/>
              <w:t>nouveau matériel de formation</w:t>
            </w:r>
          </w:p>
        </w:tc>
        <w:tc>
          <w:tcPr>
            <w:tcW w:w="2695" w:type="dxa"/>
            <w:tcBorders>
              <w:top w:val="single" w:sz="6" w:space="0" w:color="000000"/>
              <w:left w:val="single" w:sz="6" w:space="0" w:color="000000"/>
              <w:bottom w:val="single" w:sz="6" w:space="0" w:color="000000"/>
            </w:tcBorders>
            <w:vAlign w:val="center"/>
          </w:tcPr>
          <w:p w14:paraId="2FCFD07D" w14:textId="77777777" w:rsidR="00D44887" w:rsidRDefault="00D44887" w:rsidP="002315D8">
            <w:r>
              <w:lastRenderedPageBreak/>
              <w:t>2 séminaires réalisés</w:t>
            </w:r>
          </w:p>
          <w:p w14:paraId="527E19C9" w14:textId="77777777" w:rsidR="00D44887" w:rsidRPr="00E11B14" w:rsidRDefault="00D44887" w:rsidP="002315D8"/>
          <w:p w14:paraId="4AB00DB5" w14:textId="77777777" w:rsidR="00D44887" w:rsidRPr="00E11B14" w:rsidRDefault="00D44887" w:rsidP="002315D8">
            <w:r>
              <w:lastRenderedPageBreak/>
              <w:t>Pourcentage de participants indiquant que la formation a amélioré leurs connaissances et leurs compétences en ce qui concerne l’utilisation des inventions du domaine public (objectif : 70%).</w:t>
            </w:r>
          </w:p>
        </w:tc>
        <w:tc>
          <w:tcPr>
            <w:tcW w:w="3007" w:type="dxa"/>
            <w:vAlign w:val="center"/>
          </w:tcPr>
          <w:p w14:paraId="5F0AC2DA" w14:textId="77777777" w:rsidR="00D44887" w:rsidRPr="00E11B14" w:rsidRDefault="00D44887" w:rsidP="002315D8">
            <w:r>
              <w:lastRenderedPageBreak/>
              <w:t xml:space="preserve"> s.o.</w:t>
            </w:r>
          </w:p>
        </w:tc>
        <w:tc>
          <w:tcPr>
            <w:tcW w:w="1270" w:type="dxa"/>
            <w:vAlign w:val="center"/>
          </w:tcPr>
          <w:p w14:paraId="3AE206D4" w14:textId="77777777" w:rsidR="00D44887" w:rsidRPr="00E11B14" w:rsidRDefault="00D44887" w:rsidP="002315D8">
            <w:r>
              <w:t xml:space="preserve"> s.o.</w:t>
            </w:r>
          </w:p>
        </w:tc>
      </w:tr>
    </w:tbl>
    <w:p w14:paraId="2BE17492" w14:textId="77777777" w:rsidR="00D44887" w:rsidRPr="006E16C1" w:rsidRDefault="00D44887" w:rsidP="00D44887">
      <w:pPr>
        <w:pStyle w:val="Endofdocument-Annex"/>
        <w:spacing w:before="720"/>
        <w:rPr>
          <w:szCs w:val="22"/>
        </w:rPr>
        <w:sectPr w:rsidR="00D44887" w:rsidRPr="006E16C1" w:rsidSect="00D317EA">
          <w:headerReference w:type="default" r:id="rId70"/>
          <w:headerReference w:type="first" r:id="rId71"/>
          <w:pgSz w:w="11907" w:h="16840" w:code="9"/>
          <w:pgMar w:top="1418" w:right="1418" w:bottom="1418" w:left="1418" w:header="709" w:footer="709" w:gutter="0"/>
          <w:pgNumType w:start="1"/>
          <w:cols w:space="720"/>
          <w:titlePg/>
          <w:docGrid w:linePitch="299"/>
        </w:sectPr>
      </w:pPr>
      <w:r>
        <w:t>[L’annexe VI suit]</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D44887" w:rsidRPr="00957BD5" w14:paraId="0F69A26D" w14:textId="77777777" w:rsidTr="002315D8">
        <w:trPr>
          <w:trHeight w:val="431"/>
        </w:trPr>
        <w:tc>
          <w:tcPr>
            <w:tcW w:w="9290" w:type="dxa"/>
            <w:gridSpan w:val="2"/>
          </w:tcPr>
          <w:p w14:paraId="0341D3DE" w14:textId="77777777" w:rsidR="00D44887" w:rsidRPr="00B336BF" w:rsidRDefault="00D44887" w:rsidP="002315D8">
            <w:pPr>
              <w:pStyle w:val="TableParagraph"/>
              <w:spacing w:before="88"/>
              <w:ind w:left="110"/>
            </w:pPr>
            <w:r>
              <w:lastRenderedPageBreak/>
              <w:t>RÉSUMÉ DU PROJET</w:t>
            </w:r>
          </w:p>
        </w:tc>
      </w:tr>
      <w:tr w:rsidR="00D44887" w:rsidRPr="00957BD5" w14:paraId="637E9871" w14:textId="77777777" w:rsidTr="002315D8">
        <w:trPr>
          <w:trHeight w:val="324"/>
        </w:trPr>
        <w:tc>
          <w:tcPr>
            <w:tcW w:w="2377" w:type="dxa"/>
            <w:shd w:val="clear" w:color="auto" w:fill="68E089"/>
            <w:vAlign w:val="center"/>
          </w:tcPr>
          <w:p w14:paraId="6288DA9B" w14:textId="77777777" w:rsidR="00D44887" w:rsidRPr="00B336BF" w:rsidRDefault="00D44887" w:rsidP="002315D8">
            <w:pPr>
              <w:pStyle w:val="TableParagraph"/>
              <w:ind w:left="110"/>
            </w:pPr>
            <w:r>
              <w:rPr>
                <w:u w:val="single"/>
              </w:rPr>
              <w:t>Cote du projet</w:t>
            </w:r>
          </w:p>
        </w:tc>
        <w:tc>
          <w:tcPr>
            <w:tcW w:w="6913" w:type="dxa"/>
            <w:vAlign w:val="center"/>
          </w:tcPr>
          <w:p w14:paraId="37376731" w14:textId="77777777" w:rsidR="00D44887" w:rsidRPr="00B336BF" w:rsidRDefault="00D44887" w:rsidP="002315D8">
            <w:pPr>
              <w:pStyle w:val="TableParagraph"/>
              <w:ind w:left="109"/>
            </w:pPr>
            <w:r>
              <w:rPr>
                <w:i/>
              </w:rPr>
              <w:t>DA_1_4_10_11_23_01</w:t>
            </w:r>
          </w:p>
        </w:tc>
      </w:tr>
      <w:tr w:rsidR="00D44887" w:rsidRPr="00957BD5" w14:paraId="4480DF73" w14:textId="77777777" w:rsidTr="002315D8">
        <w:trPr>
          <w:trHeight w:val="342"/>
        </w:trPr>
        <w:tc>
          <w:tcPr>
            <w:tcW w:w="2377" w:type="dxa"/>
            <w:shd w:val="clear" w:color="auto" w:fill="68E089"/>
            <w:vAlign w:val="center"/>
          </w:tcPr>
          <w:p w14:paraId="0AAB187F" w14:textId="77777777" w:rsidR="00D44887" w:rsidRPr="00B336BF" w:rsidRDefault="00D44887" w:rsidP="002315D8">
            <w:pPr>
              <w:pStyle w:val="TableParagraph"/>
              <w:spacing w:before="1"/>
              <w:ind w:left="110"/>
            </w:pPr>
            <w:r>
              <w:rPr>
                <w:u w:val="single"/>
              </w:rPr>
              <w:t>Titre</w:t>
            </w:r>
          </w:p>
        </w:tc>
        <w:tc>
          <w:tcPr>
            <w:tcW w:w="6913" w:type="dxa"/>
            <w:vAlign w:val="center"/>
          </w:tcPr>
          <w:p w14:paraId="60D773C3" w14:textId="06465DBF" w:rsidR="00D44887" w:rsidRPr="00B336BF" w:rsidRDefault="00111FE8" w:rsidP="002315D8">
            <w:pPr>
              <w:pStyle w:val="TableParagraph"/>
              <w:spacing w:before="1"/>
              <w:ind w:left="109"/>
            </w:pPr>
            <w:hyperlink r:id="rId72" w:history="1">
              <w:r w:rsidR="00D44887">
                <w:rPr>
                  <w:rStyle w:val="Hyperlink"/>
                </w:rPr>
                <w:t>Développement de la filière musicale et des nouveaux modèles économiques de la musique au Burkina Faso et dans certains pays de la zone de l’Union économique et monétaire ouest africaine (UEMOA)</w:t>
              </w:r>
            </w:hyperlink>
          </w:p>
        </w:tc>
      </w:tr>
      <w:tr w:rsidR="00D44887" w:rsidRPr="00957BD5" w14:paraId="403BCF2A" w14:textId="77777777" w:rsidTr="002315D8">
        <w:trPr>
          <w:trHeight w:val="531"/>
        </w:trPr>
        <w:tc>
          <w:tcPr>
            <w:tcW w:w="2377" w:type="dxa"/>
            <w:shd w:val="clear" w:color="auto" w:fill="68E089"/>
            <w:vAlign w:val="center"/>
          </w:tcPr>
          <w:p w14:paraId="1F090FED" w14:textId="5487187D" w:rsidR="00D44887" w:rsidRPr="00B336BF" w:rsidRDefault="00111FE8" w:rsidP="002315D8">
            <w:pPr>
              <w:pStyle w:val="TableParagraph"/>
              <w:ind w:left="110" w:right="121"/>
            </w:pPr>
            <w:hyperlink r:id="rId73" w:history="1">
              <w:r w:rsidR="00D44887">
                <w:rPr>
                  <w:rStyle w:val="Hyperlink"/>
                </w:rPr>
                <w:t>Recommandation du Plan d’action pour le développement</w:t>
              </w:r>
            </w:hyperlink>
          </w:p>
        </w:tc>
        <w:tc>
          <w:tcPr>
            <w:tcW w:w="6913" w:type="dxa"/>
            <w:vAlign w:val="center"/>
          </w:tcPr>
          <w:p w14:paraId="39B4C613" w14:textId="77777777" w:rsidR="00D44887" w:rsidRDefault="00D44887" w:rsidP="002315D8">
            <w:pPr>
              <w:pStyle w:val="TableParagraph"/>
              <w:ind w:left="109" w:right="880"/>
            </w:pPr>
            <w:r>
              <w:t>Recommandations n</w:t>
            </w:r>
            <w:r>
              <w:rPr>
                <w:vertAlign w:val="superscript"/>
              </w:rPr>
              <w:t>os</w:t>
            </w:r>
            <w:r>
              <w:t> 1;  4;  10;  11;  et 23.</w:t>
            </w:r>
          </w:p>
          <w:p w14:paraId="671F8B9C" w14:textId="77777777" w:rsidR="00D44887" w:rsidRPr="00B336BF" w:rsidRDefault="00D44887" w:rsidP="002315D8">
            <w:pPr>
              <w:pStyle w:val="TableParagraph"/>
              <w:ind w:left="109" w:right="880"/>
            </w:pPr>
          </w:p>
        </w:tc>
      </w:tr>
      <w:tr w:rsidR="00D44887" w:rsidRPr="00957BD5" w14:paraId="0465BDC3" w14:textId="77777777" w:rsidTr="002315D8">
        <w:trPr>
          <w:trHeight w:val="621"/>
        </w:trPr>
        <w:tc>
          <w:tcPr>
            <w:tcW w:w="2377" w:type="dxa"/>
            <w:shd w:val="clear" w:color="auto" w:fill="68E089"/>
            <w:vAlign w:val="center"/>
          </w:tcPr>
          <w:p w14:paraId="518762E3" w14:textId="77777777" w:rsidR="00D44887" w:rsidRPr="00B336BF" w:rsidRDefault="00D44887" w:rsidP="002315D8">
            <w:pPr>
              <w:pStyle w:val="TableParagraph"/>
              <w:ind w:left="110"/>
            </w:pPr>
            <w:r>
              <w:rPr>
                <w:u w:val="single"/>
              </w:rPr>
              <w:t>Budget du projet</w:t>
            </w:r>
          </w:p>
        </w:tc>
        <w:tc>
          <w:tcPr>
            <w:tcW w:w="6913" w:type="dxa"/>
            <w:vAlign w:val="center"/>
          </w:tcPr>
          <w:p w14:paraId="51E97621" w14:textId="77777777" w:rsidR="00D44887" w:rsidRPr="00B336BF" w:rsidRDefault="00D44887" w:rsidP="002315D8">
            <w:pPr>
              <w:pStyle w:val="TableParagraph"/>
              <w:ind w:left="109" w:right="720"/>
            </w:pPr>
            <w:r>
              <w:t xml:space="preserve">Budget total : 568 200 francs suisses, dont 114 200 francs suisses pour les dépenses de personnel et 454 000 francs suisses pour les dépenses autres que les dépenses de personnel.  </w:t>
            </w:r>
          </w:p>
        </w:tc>
      </w:tr>
      <w:tr w:rsidR="00D44887" w:rsidRPr="00957BD5" w14:paraId="2FDE82AE" w14:textId="77777777" w:rsidTr="002315D8">
        <w:trPr>
          <w:trHeight w:val="531"/>
        </w:trPr>
        <w:tc>
          <w:tcPr>
            <w:tcW w:w="2377" w:type="dxa"/>
            <w:shd w:val="clear" w:color="auto" w:fill="68E089"/>
            <w:vAlign w:val="center"/>
          </w:tcPr>
          <w:p w14:paraId="4E2D9949" w14:textId="77777777" w:rsidR="00D44887" w:rsidRPr="00B336BF" w:rsidRDefault="00D44887" w:rsidP="002315D8">
            <w:pPr>
              <w:pStyle w:val="TableParagraph"/>
              <w:spacing w:before="1"/>
              <w:ind w:left="110"/>
            </w:pPr>
            <w:r>
              <w:rPr>
                <w:u w:val="single"/>
              </w:rPr>
              <w:t>Date de début du projet</w:t>
            </w:r>
          </w:p>
        </w:tc>
        <w:tc>
          <w:tcPr>
            <w:tcW w:w="6913" w:type="dxa"/>
            <w:vAlign w:val="center"/>
          </w:tcPr>
          <w:p w14:paraId="465E6F3E" w14:textId="77777777" w:rsidR="00D44887" w:rsidRPr="00B336BF" w:rsidRDefault="00D44887" w:rsidP="002315D8">
            <w:pPr>
              <w:pStyle w:val="TableParagraph"/>
              <w:spacing w:before="1"/>
              <w:ind w:left="109"/>
            </w:pPr>
            <w:r>
              <w:t>Janvier 2022</w:t>
            </w:r>
          </w:p>
        </w:tc>
      </w:tr>
      <w:tr w:rsidR="00D44887" w:rsidRPr="00957BD5" w14:paraId="42708709" w14:textId="77777777" w:rsidTr="002315D8">
        <w:trPr>
          <w:trHeight w:val="531"/>
        </w:trPr>
        <w:tc>
          <w:tcPr>
            <w:tcW w:w="2377" w:type="dxa"/>
            <w:shd w:val="clear" w:color="auto" w:fill="68E089"/>
            <w:vAlign w:val="center"/>
          </w:tcPr>
          <w:p w14:paraId="064808EF" w14:textId="77777777" w:rsidR="00D44887" w:rsidRPr="00B336BF" w:rsidRDefault="00D44887" w:rsidP="002315D8">
            <w:pPr>
              <w:pStyle w:val="TableParagraph"/>
              <w:ind w:left="110"/>
            </w:pPr>
            <w:r>
              <w:rPr>
                <w:u w:val="single"/>
              </w:rPr>
              <w:t>Durée du projet</w:t>
            </w:r>
          </w:p>
        </w:tc>
        <w:tc>
          <w:tcPr>
            <w:tcW w:w="6913" w:type="dxa"/>
            <w:vAlign w:val="center"/>
          </w:tcPr>
          <w:p w14:paraId="148B6363" w14:textId="77777777" w:rsidR="00D44887" w:rsidRPr="00B336BF" w:rsidRDefault="00D44887" w:rsidP="002315D8">
            <w:pPr>
              <w:pStyle w:val="TableParagraph"/>
              <w:ind w:left="109"/>
            </w:pPr>
            <w:r>
              <w:t xml:space="preserve">30 mois </w:t>
            </w:r>
          </w:p>
        </w:tc>
      </w:tr>
      <w:tr w:rsidR="00D44887" w:rsidRPr="00957BD5" w14:paraId="4D114EBD" w14:textId="77777777" w:rsidTr="002315D8">
        <w:trPr>
          <w:trHeight w:val="801"/>
        </w:trPr>
        <w:tc>
          <w:tcPr>
            <w:tcW w:w="2377" w:type="dxa"/>
            <w:shd w:val="clear" w:color="auto" w:fill="68E089"/>
            <w:vAlign w:val="center"/>
          </w:tcPr>
          <w:p w14:paraId="008038FB" w14:textId="13814492" w:rsidR="00D44887" w:rsidRPr="00B336BF" w:rsidRDefault="00D44887" w:rsidP="00150BA0">
            <w:pPr>
              <w:pStyle w:val="TableParagraph"/>
              <w:ind w:left="110"/>
              <w:rPr>
                <w:u w:val="single"/>
              </w:rPr>
            </w:pPr>
            <w:r>
              <w:rPr>
                <w:u w:val="single"/>
              </w:rPr>
              <w:t>Principaux secteurs</w:t>
            </w:r>
            <w:r w:rsidR="00BB1653">
              <w:rPr>
                <w:u w:val="single"/>
              </w:rPr>
              <w:t>/domaines</w:t>
            </w:r>
            <w:r w:rsidR="00150BA0">
              <w:rPr>
                <w:u w:val="single"/>
              </w:rPr>
              <w:t xml:space="preserve"> </w:t>
            </w:r>
            <w:r>
              <w:rPr>
                <w:u w:val="single"/>
              </w:rPr>
              <w:t>de l’OMPI concernés</w:t>
            </w:r>
          </w:p>
        </w:tc>
        <w:tc>
          <w:tcPr>
            <w:tcW w:w="6913" w:type="dxa"/>
            <w:vAlign w:val="center"/>
          </w:tcPr>
          <w:p w14:paraId="521697BA" w14:textId="77777777" w:rsidR="00D44887" w:rsidRPr="00B336BF" w:rsidRDefault="00D44887" w:rsidP="002315D8">
            <w:pPr>
              <w:pStyle w:val="TableParagraph"/>
              <w:ind w:left="109" w:right="531"/>
            </w:pPr>
            <w:r>
              <w:t>Secteur dont relève la mise en œuvre du projet : Secteur du droit d’auteur et des industries de la création</w:t>
            </w:r>
          </w:p>
          <w:p w14:paraId="47C78A4C" w14:textId="77777777" w:rsidR="00D44887" w:rsidRPr="00B336BF" w:rsidRDefault="00D44887" w:rsidP="002315D8">
            <w:pPr>
              <w:pStyle w:val="TableParagraph"/>
              <w:ind w:left="109" w:right="531"/>
            </w:pPr>
          </w:p>
        </w:tc>
      </w:tr>
      <w:tr w:rsidR="00D44887" w:rsidRPr="00957BD5" w14:paraId="1902A04E" w14:textId="77777777" w:rsidTr="002315D8">
        <w:trPr>
          <w:trHeight w:val="621"/>
        </w:trPr>
        <w:tc>
          <w:tcPr>
            <w:tcW w:w="2377" w:type="dxa"/>
            <w:shd w:val="clear" w:color="auto" w:fill="68E089"/>
            <w:vAlign w:val="center"/>
          </w:tcPr>
          <w:p w14:paraId="2C068D4A" w14:textId="77777777" w:rsidR="00D44887" w:rsidRPr="00B336BF" w:rsidRDefault="00D44887" w:rsidP="002315D8">
            <w:pPr>
              <w:pStyle w:val="TableParagraph"/>
              <w:ind w:left="110" w:right="394"/>
            </w:pPr>
            <w:r>
              <w:rPr>
                <w:u w:val="single"/>
              </w:rPr>
              <w:t>Brève description du projet</w:t>
            </w:r>
          </w:p>
        </w:tc>
        <w:tc>
          <w:tcPr>
            <w:tcW w:w="6913" w:type="dxa"/>
            <w:vAlign w:val="center"/>
          </w:tcPr>
          <w:p w14:paraId="1267278D" w14:textId="77777777" w:rsidR="00D44887" w:rsidRDefault="00D44887" w:rsidP="002315D8">
            <w:pPr>
              <w:pStyle w:val="TableParagraph"/>
              <w:ind w:left="109"/>
            </w:pPr>
            <w:r>
              <w:t>La musique est l’un des secteurs économiques les plus prometteurs en Afrique.  Elle bénéficie d’un fort taux de croissance, d’un grand potentiel en termes d’emplois et contribue au rayonnement culturel des pays.  Sur le continent, la consommation de musique en ligne a explosé mais le secteur n’a pas encore pleinement tiré parti des opportunités de l’environnement numérique et des nouveaux modèles économiques de la musique.</w:t>
            </w:r>
          </w:p>
          <w:p w14:paraId="1A6513A2" w14:textId="77777777" w:rsidR="00D44887" w:rsidRDefault="00D44887" w:rsidP="002315D8">
            <w:pPr>
              <w:pStyle w:val="TableParagraph"/>
              <w:ind w:left="109"/>
            </w:pPr>
          </w:p>
          <w:p w14:paraId="32AEE54D" w14:textId="77777777" w:rsidR="00D44887" w:rsidRDefault="00D44887" w:rsidP="002315D8">
            <w:pPr>
              <w:pStyle w:val="TableParagraph"/>
              <w:ind w:left="109"/>
            </w:pPr>
            <w:r>
              <w:t>Les plateformes de partage et les services d’abonnement sont en pleine expansion.  De nouveaux modèles économiques et de nouveaux comportements de consommation se développent à très grande vitesse.  De nouveaux acteurs sont également arrivés, tels les opérateurs de téléphonie qui s’intéressent de plus en plus aux contenus, audiovisuels et musicaux.</w:t>
            </w:r>
          </w:p>
          <w:p w14:paraId="7A9F7E54" w14:textId="77777777" w:rsidR="00D44887" w:rsidRPr="00B336BF" w:rsidRDefault="00D44887" w:rsidP="002315D8">
            <w:pPr>
              <w:pStyle w:val="TableParagraph"/>
              <w:ind w:left="109"/>
            </w:pPr>
          </w:p>
          <w:p w14:paraId="53BE6808" w14:textId="77777777" w:rsidR="00D44887" w:rsidRDefault="00D44887" w:rsidP="002315D8">
            <w:pPr>
              <w:pStyle w:val="TableParagraph"/>
              <w:ind w:left="109"/>
            </w:pPr>
            <w:r>
              <w:t>Toutefois, la plupart de ces nouveaux modèles économiques ne génèrent que peu de revenus pour les titulaires de droits d’auteur et droits connexes, c’est-à-dire ceux qui créent et investissent dans les contenus et services.  Cette situation est en partie due à la faible structuration de la chaîne de valeur, tributaire d’un écosystème culturel fragile et fragmenté.</w:t>
            </w:r>
          </w:p>
          <w:p w14:paraId="4AA9DD23" w14:textId="77777777" w:rsidR="00D44887" w:rsidRDefault="00D44887" w:rsidP="002315D8">
            <w:pPr>
              <w:pStyle w:val="TableParagraph"/>
              <w:ind w:left="109"/>
            </w:pPr>
          </w:p>
          <w:p w14:paraId="71956692" w14:textId="77777777" w:rsidR="00D44887" w:rsidRPr="00B336BF" w:rsidRDefault="00D44887" w:rsidP="002315D8">
            <w:pPr>
              <w:pStyle w:val="TableParagraph"/>
              <w:ind w:left="109"/>
            </w:pPr>
            <w:r>
              <w:t>Cet état de fait conduit souvent à une faible rémunération des ayants droit et à une augmentation des exploitations non autorisées.  D’après le rapport de la CISAC relatif à l’année 2019, les collectes de musique par les sociétés membres de la CISAC ont atteint près de 9 milliards d’euros, mais la part du continent africain considéré dans son ensemble a représenté moins de 1%, les revenus du numérique restant à des niveaux très bas.</w:t>
            </w:r>
          </w:p>
          <w:p w14:paraId="0B8CED99" w14:textId="77777777" w:rsidR="00D44887" w:rsidRPr="00B336BF" w:rsidRDefault="00D44887" w:rsidP="002315D8">
            <w:pPr>
              <w:pStyle w:val="TableParagraph"/>
              <w:ind w:left="109"/>
            </w:pPr>
          </w:p>
          <w:p w14:paraId="3883B21E" w14:textId="77777777" w:rsidR="00D44887" w:rsidRPr="00B336BF" w:rsidRDefault="00D44887" w:rsidP="002315D8">
            <w:pPr>
              <w:pStyle w:val="TableParagraph"/>
              <w:ind w:left="109"/>
            </w:pPr>
            <w:r>
              <w:t xml:space="preserve">Au vu de ces éléments, le projet prévoit une série d’activités étroitement liées, comme la préparation d’études, des formations </w:t>
            </w:r>
            <w:r>
              <w:lastRenderedPageBreak/>
              <w:t>pratiques et l’incitation à un dialogue intersectoriel facilité entre les principaux acteurs de l’écosystème musical, autour des objectifs suivants :</w:t>
            </w:r>
          </w:p>
          <w:p w14:paraId="2F54F0D5" w14:textId="77777777" w:rsidR="00D44887" w:rsidRDefault="00D44887" w:rsidP="002315D8">
            <w:pPr>
              <w:pStyle w:val="TableParagraph"/>
              <w:ind w:left="109"/>
            </w:pPr>
          </w:p>
          <w:p w14:paraId="68A7DD3D" w14:textId="77777777" w:rsidR="00D44887" w:rsidRPr="00B336BF" w:rsidRDefault="00D44887" w:rsidP="002315D8">
            <w:pPr>
              <w:pStyle w:val="TableParagraph"/>
              <w:ind w:left="109"/>
            </w:pPr>
            <w:r>
              <w:t>I.</w:t>
            </w:r>
            <w:r>
              <w:tab/>
              <w:t>Promouvoir une meilleure compréhension et utilisation des cadres juridiques et réglementaires du droit d’auteur et des droits connexes auprès des États membres bénéficiaires du projet et des professionnels dans le cadre des nouveaux usages et des utilisations de la musique en ligne.</w:t>
            </w:r>
          </w:p>
          <w:p w14:paraId="0ADF6067" w14:textId="77777777" w:rsidR="00D44887" w:rsidRPr="00B336BF" w:rsidRDefault="00D44887" w:rsidP="002315D8">
            <w:pPr>
              <w:pStyle w:val="TableParagraph"/>
              <w:ind w:left="109"/>
            </w:pPr>
          </w:p>
          <w:p w14:paraId="368210D5" w14:textId="77777777" w:rsidR="00D44887" w:rsidRPr="00B336BF" w:rsidRDefault="00D44887" w:rsidP="002315D8">
            <w:pPr>
              <w:pStyle w:val="TableParagraph"/>
              <w:ind w:left="109"/>
            </w:pPr>
            <w:r>
              <w:t>II.</w:t>
            </w:r>
            <w:r>
              <w:tab/>
              <w:t>Promouvoir auprès des professionnels de la musique et des utilisateurs la connaissance des mécanismes de gestion collective et de négociation contractuelle relatifs à la gestion des droits numériques.</w:t>
            </w:r>
          </w:p>
          <w:p w14:paraId="36CC84CF" w14:textId="77777777" w:rsidR="00D44887" w:rsidRPr="00B336BF" w:rsidRDefault="00D44887" w:rsidP="002315D8">
            <w:pPr>
              <w:pStyle w:val="TableParagraph"/>
              <w:ind w:left="109"/>
            </w:pPr>
          </w:p>
          <w:p w14:paraId="5F0FD356" w14:textId="77777777" w:rsidR="00D44887" w:rsidRPr="00B336BF" w:rsidRDefault="00D44887" w:rsidP="002315D8">
            <w:pPr>
              <w:pStyle w:val="TableParagraph"/>
              <w:ind w:left="109"/>
            </w:pPr>
            <w:r>
              <w:t>III.</w:t>
            </w:r>
            <w:r>
              <w:tab/>
              <w:t>Faciliter et développer les pratiques de gestion et de concession de licences relatives aux utilisations en ligne permettant l’exploitation légale des contenus sur les plateformes de streaming et autres types de plateformes en ligne, la génération de revenus pour les titulaires de droits et la lutte contre le piratage.</w:t>
            </w:r>
          </w:p>
          <w:p w14:paraId="7D2B77C9" w14:textId="77777777" w:rsidR="00D44887" w:rsidRPr="00B336BF" w:rsidRDefault="00D44887" w:rsidP="002315D8">
            <w:pPr>
              <w:pStyle w:val="TableParagraph"/>
              <w:ind w:left="109"/>
            </w:pPr>
          </w:p>
          <w:p w14:paraId="079F494B" w14:textId="77777777" w:rsidR="00D44887" w:rsidRPr="00B336BF" w:rsidRDefault="00D44887" w:rsidP="002315D8">
            <w:pPr>
              <w:pStyle w:val="TableParagraph"/>
              <w:ind w:left="109"/>
            </w:pPr>
            <w:r>
              <w:t>IV.</w:t>
            </w:r>
            <w:r>
              <w:tab/>
              <w:t>Permettre aux régulateurs du secteur de la communication de moderniser leurs cahiers des charges pour mieux tenir compte des aspects liés au droit d’auteur.</w:t>
            </w:r>
          </w:p>
          <w:p w14:paraId="04CB6BAF" w14:textId="77777777" w:rsidR="00D44887" w:rsidRPr="00B336BF" w:rsidRDefault="00D44887" w:rsidP="002315D8">
            <w:pPr>
              <w:pStyle w:val="TableParagraph"/>
              <w:ind w:left="109"/>
            </w:pPr>
          </w:p>
          <w:p w14:paraId="0AEEDD36" w14:textId="77777777" w:rsidR="00D44887" w:rsidRPr="00B336BF" w:rsidRDefault="00D44887" w:rsidP="002315D8">
            <w:pPr>
              <w:pStyle w:val="TableParagraph"/>
              <w:ind w:left="109"/>
            </w:pPr>
            <w:r>
              <w:t>V.</w:t>
            </w:r>
            <w:r>
              <w:tab/>
              <w:t>Analyser les conditions de mise en place d’une stratégie régionale de valorisation du marché numérique de la musique dans les pays bénéficiaires, en vue de faire du secteur un levier de croissance durable.</w:t>
            </w:r>
          </w:p>
          <w:p w14:paraId="08A922C8" w14:textId="77777777" w:rsidR="00D44887" w:rsidRPr="00B336BF" w:rsidRDefault="00D44887" w:rsidP="002315D8">
            <w:pPr>
              <w:pStyle w:val="TableParagraph"/>
              <w:ind w:left="109"/>
            </w:pPr>
          </w:p>
          <w:p w14:paraId="5BA8150B" w14:textId="77777777" w:rsidR="00D44887" w:rsidRPr="00B336BF" w:rsidRDefault="00D44887" w:rsidP="002315D8">
            <w:pPr>
              <w:pStyle w:val="TableParagraph"/>
              <w:ind w:left="109"/>
            </w:pPr>
            <w:r>
              <w:t>VI.</w:t>
            </w:r>
            <w:r>
              <w:tab/>
              <w:t>Promouvoir l’amélioration des conditions sociales des créateurs pour favoriser l’élaboration, le développement et la structuration d’une chaîne de métiers novatrice et cohérente dans la filière musicale.</w:t>
            </w:r>
          </w:p>
          <w:p w14:paraId="5A3C1E49" w14:textId="77777777" w:rsidR="00D44887" w:rsidRPr="00B336BF" w:rsidRDefault="00D44887" w:rsidP="002315D8">
            <w:pPr>
              <w:pStyle w:val="TableParagraph"/>
              <w:ind w:left="109"/>
            </w:pPr>
          </w:p>
          <w:p w14:paraId="4F62C7CF" w14:textId="77777777" w:rsidR="00D44887" w:rsidRPr="00B336BF" w:rsidRDefault="00D44887" w:rsidP="002315D8">
            <w:pPr>
              <w:pStyle w:val="TableParagraph"/>
              <w:ind w:left="109"/>
            </w:pPr>
            <w:r>
              <w:t>VII.</w:t>
            </w:r>
            <w:r>
              <w:tab/>
              <w:t>Développer des outils de référence afin de permettre aux auxiliaires de justice de traiter les contentieux liés à la musique dans l’environnement numérique.</w:t>
            </w:r>
          </w:p>
          <w:p w14:paraId="1B98429E" w14:textId="77777777" w:rsidR="00D44887" w:rsidRPr="00B336BF" w:rsidRDefault="00D44887" w:rsidP="002315D8">
            <w:pPr>
              <w:pStyle w:val="TableParagraph"/>
              <w:ind w:left="109"/>
            </w:pPr>
          </w:p>
          <w:p w14:paraId="3B4068E3" w14:textId="77777777" w:rsidR="00D44887" w:rsidRPr="00B336BF" w:rsidRDefault="00D44887" w:rsidP="002315D8">
            <w:pPr>
              <w:pStyle w:val="TableParagraph"/>
              <w:ind w:left="109"/>
            </w:pPr>
            <w:r>
              <w:t>VIII.</w:t>
            </w:r>
            <w:r>
              <w:tab/>
              <w:t>Soutenir l’élaboration d’une stratégie régionale d’encouragement au développement d’outils adaptés.</w:t>
            </w:r>
          </w:p>
          <w:p w14:paraId="31049CDD" w14:textId="77777777" w:rsidR="00D44887" w:rsidRPr="00B336BF" w:rsidRDefault="00D44887" w:rsidP="002315D8">
            <w:pPr>
              <w:pStyle w:val="TableParagraph"/>
              <w:ind w:left="109"/>
            </w:pPr>
          </w:p>
        </w:tc>
      </w:tr>
      <w:tr w:rsidR="00D44887" w:rsidRPr="00957BD5" w14:paraId="019F75E3" w14:textId="77777777" w:rsidTr="002315D8">
        <w:trPr>
          <w:trHeight w:val="432"/>
        </w:trPr>
        <w:tc>
          <w:tcPr>
            <w:tcW w:w="2377" w:type="dxa"/>
            <w:shd w:val="clear" w:color="auto" w:fill="68E089"/>
            <w:vAlign w:val="center"/>
          </w:tcPr>
          <w:p w14:paraId="14CC97E5" w14:textId="77777777" w:rsidR="00D44887" w:rsidRPr="00B336BF" w:rsidRDefault="00D44887" w:rsidP="002315D8">
            <w:pPr>
              <w:pStyle w:val="TableParagraph"/>
              <w:spacing w:before="1"/>
              <w:ind w:left="110"/>
            </w:pPr>
            <w:r>
              <w:rPr>
                <w:u w:val="single"/>
              </w:rPr>
              <w:lastRenderedPageBreak/>
              <w:t>Chef de projet</w:t>
            </w:r>
          </w:p>
        </w:tc>
        <w:tc>
          <w:tcPr>
            <w:tcW w:w="6913" w:type="dxa"/>
            <w:vAlign w:val="center"/>
          </w:tcPr>
          <w:p w14:paraId="07EBF194" w14:textId="77777777" w:rsidR="00D44887" w:rsidRPr="00B336BF" w:rsidRDefault="00D44887" w:rsidP="002315D8">
            <w:pPr>
              <w:pStyle w:val="TableParagraph"/>
              <w:spacing w:before="1"/>
              <w:ind w:left="109"/>
            </w:pPr>
            <w:r>
              <w:t>M. Paolo Lanteri, juriste, Division du droit d’auteur</w:t>
            </w:r>
          </w:p>
        </w:tc>
      </w:tr>
      <w:tr w:rsidR="00D44887" w:rsidRPr="00957BD5" w14:paraId="29147753" w14:textId="77777777" w:rsidTr="002315D8">
        <w:trPr>
          <w:trHeight w:val="684"/>
        </w:trPr>
        <w:tc>
          <w:tcPr>
            <w:tcW w:w="2377" w:type="dxa"/>
            <w:shd w:val="clear" w:color="auto" w:fill="68E089"/>
            <w:vAlign w:val="center"/>
          </w:tcPr>
          <w:p w14:paraId="5D7A4501" w14:textId="5DC364C6" w:rsidR="00D44887" w:rsidRPr="00B336BF" w:rsidRDefault="00D44887" w:rsidP="002315D8">
            <w:pPr>
              <w:pStyle w:val="TableParagraph"/>
              <w:spacing w:before="1"/>
              <w:ind w:left="110" w:right="221"/>
            </w:pPr>
            <w:r>
              <w:rPr>
                <w:u w:val="single"/>
              </w:rPr>
              <w:t xml:space="preserve">Liens avec les résultats escomptés dans le </w:t>
            </w:r>
            <w:hyperlink r:id="rId74" w:history="1">
              <w:r>
                <w:rPr>
                  <w:rStyle w:val="Hyperlink"/>
                </w:rPr>
                <w:t>programme de travail et budget pour l’exercice biennal 2022-2023</w:t>
              </w:r>
            </w:hyperlink>
          </w:p>
        </w:tc>
        <w:tc>
          <w:tcPr>
            <w:tcW w:w="6913" w:type="dxa"/>
            <w:vAlign w:val="center"/>
          </w:tcPr>
          <w:p w14:paraId="36B61267" w14:textId="77777777" w:rsidR="00D44887" w:rsidRPr="00B336BF" w:rsidRDefault="00D44887" w:rsidP="002315D8">
            <w:pPr>
              <w:pStyle w:val="TableParagraph"/>
              <w:spacing w:before="1"/>
              <w:ind w:left="109" w:right="109"/>
            </w:pPr>
            <w:r>
              <w:t>2.1 Élaboration de cadres normatifs internationaux équilibrés et efficaces pour la propriété intellectuelle.</w:t>
            </w:r>
          </w:p>
          <w:p w14:paraId="01ECD2F6" w14:textId="77777777" w:rsidR="00D44887" w:rsidRPr="00B336BF" w:rsidRDefault="00D44887" w:rsidP="002315D8">
            <w:pPr>
              <w:pStyle w:val="TableParagraph"/>
              <w:spacing w:before="1"/>
              <w:ind w:left="109" w:right="109"/>
            </w:pPr>
          </w:p>
          <w:p w14:paraId="7565DD2A" w14:textId="77777777" w:rsidR="00D44887" w:rsidRPr="00B336BF" w:rsidRDefault="00D44887" w:rsidP="002315D8">
            <w:pPr>
              <w:pStyle w:val="TableParagraph"/>
              <w:spacing w:before="1"/>
              <w:ind w:left="109" w:right="109"/>
            </w:pPr>
            <w:r>
              <w:t>4.1 Utilisation plus efficace de la propriété intellectuelle au service de la croissance et du développement de l’ensemble des États membres et de leurs régions et sous-régions respectives, notamment grâce à l’intégration des recommandations du Plan d’action pour le développement.</w:t>
            </w:r>
          </w:p>
          <w:p w14:paraId="5FE27E22" w14:textId="77777777" w:rsidR="00D44887" w:rsidRPr="00B336BF" w:rsidRDefault="00D44887" w:rsidP="002315D8">
            <w:pPr>
              <w:pStyle w:val="TableParagraph"/>
              <w:spacing w:before="1"/>
              <w:ind w:left="109" w:right="109"/>
            </w:pPr>
          </w:p>
          <w:p w14:paraId="0F0DC216" w14:textId="77777777" w:rsidR="00D44887" w:rsidRPr="00B336BF" w:rsidRDefault="00D44887" w:rsidP="002315D8">
            <w:pPr>
              <w:pStyle w:val="TableParagraph"/>
              <w:spacing w:before="1"/>
              <w:ind w:left="109" w:right="109"/>
            </w:pPr>
            <w:r>
              <w:t xml:space="preserve">4.2 Mise en place d’écosystèmes équilibrés et efficaces en matière </w:t>
            </w:r>
            <w:r>
              <w:lastRenderedPageBreak/>
              <w:t>de propriété intellectuelle, d’innovation et de création dans les États membres.</w:t>
            </w:r>
          </w:p>
          <w:p w14:paraId="1DDB7067" w14:textId="77777777" w:rsidR="00D44887" w:rsidRDefault="00D44887" w:rsidP="002315D8">
            <w:pPr>
              <w:pStyle w:val="TableParagraph"/>
              <w:spacing w:before="1"/>
              <w:ind w:left="109" w:right="109"/>
              <w:rPr>
                <w:i/>
              </w:rPr>
            </w:pPr>
          </w:p>
          <w:p w14:paraId="0673F1EB" w14:textId="77777777" w:rsidR="00D44887" w:rsidRPr="00B336BF" w:rsidRDefault="00D44887" w:rsidP="002315D8">
            <w:pPr>
              <w:pStyle w:val="TableParagraph"/>
              <w:spacing w:before="1"/>
              <w:ind w:left="109" w:right="109"/>
            </w:pPr>
            <w:r>
              <w:t>4.3 Mise en valeur des connaissances et des compétences en matière de propriété intellectuelle dans tous les États membres.</w:t>
            </w:r>
          </w:p>
        </w:tc>
      </w:tr>
      <w:tr w:rsidR="00D44887" w:rsidRPr="00957BD5" w14:paraId="55BD3041" w14:textId="77777777" w:rsidTr="002315D8">
        <w:trPr>
          <w:trHeight w:val="1071"/>
        </w:trPr>
        <w:tc>
          <w:tcPr>
            <w:tcW w:w="2377" w:type="dxa"/>
            <w:shd w:val="clear" w:color="auto" w:fill="68E089"/>
            <w:vAlign w:val="center"/>
          </w:tcPr>
          <w:p w14:paraId="1132726A" w14:textId="77777777" w:rsidR="00D44887" w:rsidRPr="00B336BF" w:rsidRDefault="00D44887" w:rsidP="002315D8">
            <w:pPr>
              <w:pStyle w:val="TableParagraph"/>
              <w:ind w:left="110" w:right="378"/>
            </w:pPr>
            <w:r>
              <w:rPr>
                <w:u w:val="single"/>
              </w:rPr>
              <w:lastRenderedPageBreak/>
              <w:t>État d’avancement du projet</w:t>
            </w:r>
          </w:p>
        </w:tc>
        <w:tc>
          <w:tcPr>
            <w:tcW w:w="6913" w:type="dxa"/>
            <w:vAlign w:val="center"/>
          </w:tcPr>
          <w:p w14:paraId="575BF604" w14:textId="77777777" w:rsidR="00D44887" w:rsidRPr="00B336BF" w:rsidRDefault="00D44887" w:rsidP="002315D8">
            <w:pPr>
              <w:pStyle w:val="TableParagraph"/>
              <w:spacing w:before="1"/>
              <w:ind w:left="109" w:right="109"/>
              <w:rPr>
                <w:iCs/>
              </w:rPr>
            </w:pPr>
            <w:r>
              <w:t>Un certain nombre d’activités ont démarré conformément à la stratégie de mise en œuvre et au calendrier modifié indiqués dans les précédents rapports sur l’état d’avancement de la mise en œuvre des projets en cours du Plan d’action pour le développement (CDIP/26/2, annexe VII).</w:t>
            </w:r>
          </w:p>
          <w:p w14:paraId="7DF9E96A" w14:textId="77777777" w:rsidR="00D44887" w:rsidRPr="00B336BF" w:rsidRDefault="00D44887" w:rsidP="002315D8">
            <w:pPr>
              <w:pStyle w:val="TableParagraph"/>
              <w:spacing w:before="1"/>
              <w:ind w:left="109" w:right="109"/>
              <w:rPr>
                <w:iCs/>
              </w:rPr>
            </w:pPr>
          </w:p>
          <w:p w14:paraId="777C9246" w14:textId="77777777" w:rsidR="00D44887" w:rsidRPr="00B336BF" w:rsidRDefault="00D44887" w:rsidP="002315D8">
            <w:pPr>
              <w:pStyle w:val="TableParagraph"/>
              <w:spacing w:before="1"/>
              <w:ind w:left="109" w:right="109"/>
              <w:rPr>
                <w:iCs/>
              </w:rPr>
            </w:pPr>
            <w:r>
              <w:rPr>
                <w:u w:val="single"/>
              </w:rPr>
              <w:t>Élargissement de la portée géographique</w:t>
            </w:r>
            <w:r>
              <w:t> :</w:t>
            </w:r>
          </w:p>
          <w:p w14:paraId="0104708F" w14:textId="77777777" w:rsidR="00D44887" w:rsidRPr="00B336BF" w:rsidRDefault="00D44887" w:rsidP="002315D8">
            <w:pPr>
              <w:pStyle w:val="TableParagraph"/>
              <w:spacing w:before="1"/>
              <w:ind w:left="109" w:right="109"/>
              <w:rPr>
                <w:iCs/>
              </w:rPr>
            </w:pPr>
          </w:p>
          <w:p w14:paraId="225ECB6F" w14:textId="77777777" w:rsidR="00D44887" w:rsidRDefault="00D44887" w:rsidP="002315D8">
            <w:pPr>
              <w:pStyle w:val="TableParagraph"/>
              <w:spacing w:before="1"/>
              <w:ind w:left="109" w:right="109"/>
            </w:pPr>
            <w:r>
              <w:t>Le projet a été conçu pour le Burkina Faso plus trois ou quatre États membres à sélectionner parmi les membres de l’UEMOA.  Compte tenu d’un certain nombre de considérations politiques et de gestion des ressources, il a été décidé d’élargir la portée géographique et d’offrir la possibilité de participer à l’ensemble des membres de l’UEMOA, sans que cela ait un impact sur le budget global alloué.</w:t>
            </w:r>
          </w:p>
          <w:p w14:paraId="29AF1E9E" w14:textId="77777777" w:rsidR="00D44887" w:rsidRPr="00B336BF" w:rsidRDefault="00D44887" w:rsidP="002315D8">
            <w:pPr>
              <w:pStyle w:val="TableParagraph"/>
              <w:spacing w:before="1"/>
              <w:ind w:left="109" w:right="109"/>
              <w:rPr>
                <w:iCs/>
              </w:rPr>
            </w:pPr>
          </w:p>
          <w:p w14:paraId="3E3668B4" w14:textId="77777777" w:rsidR="00D44887" w:rsidRDefault="00D44887" w:rsidP="002315D8">
            <w:pPr>
              <w:pStyle w:val="TableParagraph"/>
              <w:spacing w:before="1"/>
              <w:ind w:left="109" w:right="109"/>
            </w:pPr>
            <w:r>
              <w:t>Le Secrétariat de l’UEMOA a également convenu de participer à la mise en œuvre du projet.  En outre, un certain nombre d’autres institutions publiques et d’organisations représentant les parties prenantes concernées ont exprimé leur intérêt à soutenir diverses activités incluses dans la stratégie de mise en œuvre.</w:t>
            </w:r>
          </w:p>
          <w:p w14:paraId="485BA6A8" w14:textId="77777777" w:rsidR="00D44887" w:rsidRPr="00B336BF" w:rsidRDefault="00D44887" w:rsidP="002315D8">
            <w:pPr>
              <w:pStyle w:val="TableParagraph"/>
              <w:spacing w:before="1"/>
              <w:ind w:left="109" w:right="109"/>
              <w:rPr>
                <w:iCs/>
              </w:rPr>
            </w:pPr>
          </w:p>
          <w:p w14:paraId="7F155458" w14:textId="77777777" w:rsidR="00D44887" w:rsidRDefault="00D44887" w:rsidP="002315D8">
            <w:pPr>
              <w:pStyle w:val="TableParagraph"/>
              <w:spacing w:before="1"/>
              <w:ind w:left="109" w:right="109"/>
            </w:pPr>
            <w:r>
              <w:rPr>
                <w:u w:val="single"/>
              </w:rPr>
              <w:t>Désignation des coordonnateurs</w:t>
            </w:r>
            <w:r>
              <w:t> :</w:t>
            </w:r>
          </w:p>
          <w:p w14:paraId="7051A196" w14:textId="77777777" w:rsidR="00D44887" w:rsidRPr="00B336BF" w:rsidRDefault="00D44887" w:rsidP="002315D8">
            <w:pPr>
              <w:pStyle w:val="TableParagraph"/>
              <w:spacing w:before="1"/>
              <w:ind w:left="109" w:right="109"/>
              <w:rPr>
                <w:iCs/>
              </w:rPr>
            </w:pPr>
          </w:p>
          <w:p w14:paraId="06B0EDCF" w14:textId="77777777" w:rsidR="00D44887" w:rsidRDefault="00D44887" w:rsidP="002315D8">
            <w:pPr>
              <w:pStyle w:val="TableParagraph"/>
              <w:spacing w:before="1"/>
              <w:ind w:left="109" w:right="109"/>
            </w:pPr>
            <w:r>
              <w:t>Le Secrétariat a envoyé des lettres officielles aux ministères de la culture de tous les pays de l’UEMOA les invitant à nommer des coordonnateurs nationaux en décembre 2021.  Le processus de nomination a été achevé en mai 2022.</w:t>
            </w:r>
          </w:p>
          <w:p w14:paraId="4C9FCA7B" w14:textId="77777777" w:rsidR="00D44887" w:rsidRPr="00B336BF" w:rsidRDefault="00D44887" w:rsidP="002315D8">
            <w:pPr>
              <w:pStyle w:val="TableParagraph"/>
              <w:spacing w:before="1"/>
              <w:ind w:left="109" w:right="109"/>
              <w:rPr>
                <w:iCs/>
              </w:rPr>
            </w:pPr>
          </w:p>
          <w:p w14:paraId="2927B7F0" w14:textId="77777777" w:rsidR="00D44887" w:rsidRPr="00B336BF" w:rsidRDefault="00D44887" w:rsidP="002315D8">
            <w:pPr>
              <w:pStyle w:val="TableParagraph"/>
              <w:spacing w:before="1"/>
              <w:ind w:left="109" w:right="109"/>
              <w:rPr>
                <w:iCs/>
              </w:rPr>
            </w:pPr>
            <w:r>
              <w:rPr>
                <w:u w:val="single"/>
              </w:rPr>
              <w:t>Étude exploratoire</w:t>
            </w:r>
            <w:r>
              <w:t> :</w:t>
            </w:r>
          </w:p>
          <w:p w14:paraId="73C83133" w14:textId="77777777" w:rsidR="00D44887" w:rsidRPr="00B336BF" w:rsidRDefault="00D44887" w:rsidP="002315D8">
            <w:pPr>
              <w:pStyle w:val="TableParagraph"/>
              <w:spacing w:before="1"/>
              <w:ind w:left="109" w:right="109"/>
              <w:rPr>
                <w:iCs/>
              </w:rPr>
            </w:pPr>
          </w:p>
          <w:p w14:paraId="62146883" w14:textId="77777777" w:rsidR="00D44887" w:rsidRDefault="00D44887" w:rsidP="002315D8">
            <w:pPr>
              <w:pStyle w:val="TableParagraph"/>
              <w:spacing w:before="1"/>
              <w:ind w:left="109" w:right="109"/>
            </w:pPr>
            <w:r>
              <w:t>L’étude exploratoire sur le développement de la filière musicale et des nouveaux modèles économiques dans les pays de l’UEMOA avait pour but de clarifier les besoins des pays bénéficiaires et comportait une analyse des éléments suivants, en particulier :</w:t>
            </w:r>
          </w:p>
          <w:p w14:paraId="43FA5483" w14:textId="77777777" w:rsidR="00D44887" w:rsidRPr="00B336BF" w:rsidRDefault="00D44887" w:rsidP="002315D8">
            <w:pPr>
              <w:pStyle w:val="TableParagraph"/>
              <w:spacing w:before="1"/>
              <w:ind w:left="109" w:right="109"/>
              <w:rPr>
                <w:iCs/>
              </w:rPr>
            </w:pPr>
          </w:p>
          <w:p w14:paraId="75890725" w14:textId="77777777" w:rsidR="00D44887" w:rsidRDefault="00D44887" w:rsidP="002315D8">
            <w:pPr>
              <w:pStyle w:val="TableParagraph"/>
              <w:numPr>
                <w:ilvl w:val="0"/>
                <w:numId w:val="30"/>
              </w:numPr>
              <w:spacing w:before="1"/>
              <w:ind w:left="109" w:right="109"/>
            </w:pPr>
            <w:r>
              <w:t>Première partie.  Analyse du cadre juridique applicable au marché de la musique en ligne.</w:t>
            </w:r>
          </w:p>
          <w:p w14:paraId="24E40350" w14:textId="77777777" w:rsidR="00D44887" w:rsidRPr="00B336BF" w:rsidRDefault="00D44887" w:rsidP="002315D8">
            <w:pPr>
              <w:pStyle w:val="TableParagraph"/>
              <w:numPr>
                <w:ilvl w:val="0"/>
                <w:numId w:val="30"/>
              </w:numPr>
              <w:spacing w:before="1"/>
              <w:ind w:left="109" w:right="109"/>
              <w:rPr>
                <w:iCs/>
              </w:rPr>
            </w:pPr>
          </w:p>
          <w:p w14:paraId="5A5FEB0E" w14:textId="77777777" w:rsidR="00D44887" w:rsidRPr="00B336BF" w:rsidRDefault="00D44887" w:rsidP="002315D8">
            <w:pPr>
              <w:pStyle w:val="TableParagraph"/>
              <w:numPr>
                <w:ilvl w:val="0"/>
                <w:numId w:val="30"/>
              </w:numPr>
              <w:spacing w:before="1"/>
              <w:ind w:left="109" w:right="109"/>
              <w:rPr>
                <w:iCs/>
              </w:rPr>
            </w:pPr>
            <w:r>
              <w:t>Deuxième partie.  Description du marché de la musique en ligne et identification des principaux acteurs du marché numérique.</w:t>
            </w:r>
          </w:p>
          <w:p w14:paraId="2CC94D81" w14:textId="77777777" w:rsidR="00D44887" w:rsidRPr="00B336BF" w:rsidRDefault="00D44887" w:rsidP="002315D8">
            <w:pPr>
              <w:pStyle w:val="TableParagraph"/>
              <w:numPr>
                <w:ilvl w:val="0"/>
                <w:numId w:val="30"/>
              </w:numPr>
              <w:spacing w:before="1"/>
              <w:ind w:left="109" w:right="109"/>
              <w:rPr>
                <w:iCs/>
              </w:rPr>
            </w:pPr>
          </w:p>
          <w:p w14:paraId="41AF2A66" w14:textId="77777777" w:rsidR="00D44887" w:rsidRDefault="00D44887" w:rsidP="002315D8">
            <w:pPr>
              <w:pStyle w:val="TableParagraph"/>
              <w:spacing w:before="1"/>
              <w:ind w:left="109" w:right="109"/>
            </w:pPr>
            <w:r>
              <w:t>Le premier projet a été établi par deux experts internationaux sur la base des informations publiquement disponibles et des précieuses contributions des coordonnateurs qui ont répondu aux questionnaires sur les sujets.</w:t>
            </w:r>
          </w:p>
          <w:p w14:paraId="77FA7167" w14:textId="77777777" w:rsidR="00D44887" w:rsidRPr="00B336BF" w:rsidRDefault="00D44887" w:rsidP="002315D8">
            <w:pPr>
              <w:pStyle w:val="TableParagraph"/>
              <w:spacing w:before="1"/>
              <w:ind w:left="109" w:right="109"/>
              <w:rPr>
                <w:iCs/>
              </w:rPr>
            </w:pPr>
          </w:p>
          <w:p w14:paraId="5DDD8144" w14:textId="77777777" w:rsidR="00D44887" w:rsidRDefault="00D44887" w:rsidP="002315D8">
            <w:pPr>
              <w:pStyle w:val="TableParagraph"/>
              <w:spacing w:before="1"/>
              <w:ind w:left="109" w:right="109"/>
            </w:pPr>
            <w:r>
              <w:t xml:space="preserve">Le premier projet a été transmis aux coordonnateurs en août pour qu’ils l’examinent et formulent des observations dont il sera tenu </w:t>
            </w:r>
            <w:r>
              <w:lastRenderedPageBreak/>
              <w:t>compte dans la version finale.</w:t>
            </w:r>
          </w:p>
          <w:p w14:paraId="15B4E97E" w14:textId="77777777" w:rsidR="00D44887" w:rsidRPr="00B336BF" w:rsidRDefault="00D44887" w:rsidP="002315D8">
            <w:pPr>
              <w:pStyle w:val="TableParagraph"/>
              <w:spacing w:before="1"/>
              <w:ind w:left="109" w:right="109"/>
              <w:rPr>
                <w:iCs/>
              </w:rPr>
            </w:pPr>
          </w:p>
          <w:p w14:paraId="586E4DCE" w14:textId="77777777" w:rsidR="00D44887" w:rsidRPr="00B336BF" w:rsidRDefault="00D44887" w:rsidP="002315D8">
            <w:pPr>
              <w:pStyle w:val="TableParagraph"/>
              <w:spacing w:before="1"/>
              <w:ind w:left="109" w:right="109"/>
              <w:rPr>
                <w:iCs/>
              </w:rPr>
            </w:pPr>
            <w:r>
              <w:t>Communications avec les coordonnateurs :</w:t>
            </w:r>
          </w:p>
          <w:p w14:paraId="1AABB92C" w14:textId="77777777" w:rsidR="00D44887" w:rsidRPr="00B336BF" w:rsidRDefault="00D44887" w:rsidP="002315D8">
            <w:pPr>
              <w:pStyle w:val="TableParagraph"/>
              <w:spacing w:before="1"/>
              <w:ind w:left="109" w:right="109"/>
              <w:rPr>
                <w:iCs/>
              </w:rPr>
            </w:pPr>
          </w:p>
          <w:p w14:paraId="48EB7E96" w14:textId="77777777" w:rsidR="00D44887" w:rsidRDefault="00D44887" w:rsidP="002315D8">
            <w:pPr>
              <w:pStyle w:val="TableParagraph"/>
              <w:spacing w:before="1"/>
              <w:ind w:left="109" w:right="109"/>
            </w:pPr>
            <w:r>
              <w:t>Un certain nombre d’appels et de réunions en ligne ont été organisés pour faciliter la communication avec les coordonnateurs, entre eux et avec les experts.</w:t>
            </w:r>
          </w:p>
          <w:p w14:paraId="0D6423C7" w14:textId="77777777" w:rsidR="00D44887" w:rsidRPr="00B336BF" w:rsidRDefault="00D44887" w:rsidP="002315D8">
            <w:pPr>
              <w:pStyle w:val="TableParagraph"/>
              <w:spacing w:before="1"/>
              <w:ind w:left="109" w:right="109"/>
              <w:rPr>
                <w:i/>
              </w:rPr>
            </w:pPr>
          </w:p>
        </w:tc>
      </w:tr>
      <w:tr w:rsidR="00D44887" w:rsidRPr="00957BD5" w14:paraId="05F00197" w14:textId="77777777" w:rsidTr="002315D8">
        <w:trPr>
          <w:trHeight w:val="801"/>
        </w:trPr>
        <w:tc>
          <w:tcPr>
            <w:tcW w:w="2377" w:type="dxa"/>
            <w:shd w:val="clear" w:color="auto" w:fill="68E089"/>
            <w:vAlign w:val="center"/>
          </w:tcPr>
          <w:p w14:paraId="55F118D6" w14:textId="77777777" w:rsidR="00D44887" w:rsidRPr="00B336BF" w:rsidRDefault="00D44887" w:rsidP="002315D8">
            <w:pPr>
              <w:pStyle w:val="TableParagraph"/>
              <w:spacing w:line="242" w:lineRule="auto"/>
              <w:ind w:left="110" w:right="708"/>
            </w:pPr>
            <w:r>
              <w:rPr>
                <w:u w:val="single"/>
              </w:rPr>
              <w:lastRenderedPageBreak/>
              <w:t>Premiers résultats observés</w:t>
            </w:r>
          </w:p>
        </w:tc>
        <w:tc>
          <w:tcPr>
            <w:tcW w:w="6913" w:type="dxa"/>
            <w:vAlign w:val="center"/>
          </w:tcPr>
          <w:p w14:paraId="1D52A0D0" w14:textId="77777777" w:rsidR="00D44887" w:rsidRPr="00B336BF" w:rsidRDefault="00D44887" w:rsidP="002315D8">
            <w:pPr>
              <w:pStyle w:val="TableParagraph"/>
              <w:ind w:left="109" w:right="84"/>
            </w:pPr>
            <w:r>
              <w:t xml:space="preserve">Le premier projet de l’étude exploratoire a été livré avec un certain retard, notamment en raison de la complexité du processus de désignation des coordonnateurs et du manque de disponibilité de données et d’informations fiables concernant le marché local de la musique numérique.  </w:t>
            </w:r>
          </w:p>
        </w:tc>
      </w:tr>
      <w:tr w:rsidR="00D44887" w:rsidRPr="00957BD5" w14:paraId="107DADB1" w14:textId="77777777" w:rsidTr="002315D8">
        <w:trPr>
          <w:trHeight w:val="703"/>
        </w:trPr>
        <w:tc>
          <w:tcPr>
            <w:tcW w:w="2377" w:type="dxa"/>
            <w:shd w:val="clear" w:color="auto" w:fill="68E089"/>
            <w:vAlign w:val="center"/>
          </w:tcPr>
          <w:p w14:paraId="6379AFE8" w14:textId="77777777" w:rsidR="00D44887" w:rsidRPr="00B336BF" w:rsidRDefault="00D44887" w:rsidP="002315D8">
            <w:pPr>
              <w:pStyle w:val="TableParagraph"/>
              <w:spacing w:before="1"/>
              <w:ind w:left="110" w:right="279"/>
            </w:pPr>
            <w:r>
              <w:rPr>
                <w:u w:val="single"/>
              </w:rPr>
              <w:t>Expérience acquise et enseignements tirés</w:t>
            </w:r>
          </w:p>
        </w:tc>
        <w:tc>
          <w:tcPr>
            <w:tcW w:w="6913" w:type="dxa"/>
            <w:vAlign w:val="center"/>
          </w:tcPr>
          <w:p w14:paraId="4E5E3E02" w14:textId="77777777" w:rsidR="00D44887" w:rsidRPr="00B336BF" w:rsidRDefault="00D44887" w:rsidP="002315D8">
            <w:pPr>
              <w:pStyle w:val="TableParagraph"/>
              <w:ind w:left="109" w:right="84"/>
            </w:pPr>
            <w:r>
              <w:t xml:space="preserve">La participation active des coordonnateurs est absolument essentielle au bon déroulement du projet.  Des efforts supplémentaires sont nécessaires pour établir des canaux de communication continus en plus des réunions en présentiel.  </w:t>
            </w:r>
          </w:p>
        </w:tc>
      </w:tr>
      <w:tr w:rsidR="00D44887" w:rsidRPr="00957BD5" w14:paraId="4DDAF4CC" w14:textId="77777777" w:rsidTr="002315D8">
        <w:trPr>
          <w:trHeight w:val="386"/>
        </w:trPr>
        <w:tc>
          <w:tcPr>
            <w:tcW w:w="2377" w:type="dxa"/>
            <w:shd w:val="clear" w:color="auto" w:fill="68E089"/>
          </w:tcPr>
          <w:p w14:paraId="407D2668" w14:textId="77777777" w:rsidR="00D44887" w:rsidRDefault="00D44887" w:rsidP="002315D8">
            <w:pPr>
              <w:pStyle w:val="TableParagraph"/>
              <w:ind w:left="110"/>
              <w:rPr>
                <w:u w:val="single"/>
              </w:rPr>
            </w:pPr>
          </w:p>
          <w:p w14:paraId="1C374C15" w14:textId="77777777" w:rsidR="00D44887" w:rsidRPr="00B336BF" w:rsidRDefault="00D44887" w:rsidP="002315D8">
            <w:pPr>
              <w:pStyle w:val="TableParagraph"/>
              <w:ind w:left="110"/>
            </w:pPr>
            <w:r>
              <w:rPr>
                <w:u w:val="single"/>
              </w:rPr>
              <w:t>Risques et mesures d’atténuation</w:t>
            </w:r>
          </w:p>
        </w:tc>
        <w:tc>
          <w:tcPr>
            <w:tcW w:w="6913" w:type="dxa"/>
            <w:vAlign w:val="center"/>
          </w:tcPr>
          <w:p w14:paraId="106E957A" w14:textId="77777777" w:rsidR="00D44887" w:rsidRDefault="00D44887" w:rsidP="002315D8">
            <w:pPr>
              <w:pStyle w:val="TableParagraph"/>
              <w:spacing w:line="252" w:lineRule="exact"/>
              <w:ind w:left="109" w:right="721"/>
              <w:rPr>
                <w:u w:val="single"/>
              </w:rPr>
            </w:pPr>
            <w:r>
              <w:rPr>
                <w:u w:val="single"/>
              </w:rPr>
              <w:t xml:space="preserve">Risque : </w:t>
            </w:r>
            <w:r>
              <w:t>lenteur des communications avec les coordonnateurs;  manque de disponibilité de données concrètes sur le marché local de la musique numérique.</w:t>
            </w:r>
          </w:p>
          <w:p w14:paraId="7D69269C" w14:textId="77777777" w:rsidR="00D44887" w:rsidRPr="00B336BF" w:rsidRDefault="00D44887" w:rsidP="002315D8">
            <w:pPr>
              <w:pStyle w:val="TableParagraph"/>
              <w:spacing w:line="252" w:lineRule="exact"/>
              <w:ind w:right="721"/>
            </w:pPr>
          </w:p>
          <w:p w14:paraId="45FB1ED7" w14:textId="77777777" w:rsidR="00D44887" w:rsidRPr="00B336BF" w:rsidRDefault="00D44887" w:rsidP="002315D8">
            <w:pPr>
              <w:pStyle w:val="TableParagraph"/>
              <w:spacing w:line="252" w:lineRule="exact"/>
              <w:ind w:left="109" w:right="721"/>
            </w:pPr>
            <w:r>
              <w:rPr>
                <w:u w:val="single"/>
              </w:rPr>
              <w:t>Mesures d’atténuation :</w:t>
            </w:r>
            <w:r w:rsidRPr="0070762C">
              <w:t xml:space="preserve"> </w:t>
            </w:r>
            <w:r>
              <w:t>Création de canaux de communication supplémentaires;  organisation des premières réunions en présentiel qui seront accueillies par les États membres participants;  et participation de partenaires stratégiques représentant les parties prenantes concernées.</w:t>
            </w:r>
          </w:p>
        </w:tc>
      </w:tr>
      <w:tr w:rsidR="00D44887" w:rsidRPr="00957BD5" w14:paraId="5AB7C3C5" w14:textId="77777777" w:rsidTr="002315D8">
        <w:trPr>
          <w:trHeight w:val="938"/>
        </w:trPr>
        <w:tc>
          <w:tcPr>
            <w:tcW w:w="2377" w:type="dxa"/>
            <w:shd w:val="clear" w:color="auto" w:fill="68E089"/>
          </w:tcPr>
          <w:p w14:paraId="63EE1604" w14:textId="77777777" w:rsidR="00D44887" w:rsidRPr="00B336BF" w:rsidRDefault="00D44887" w:rsidP="002315D8">
            <w:pPr>
              <w:pStyle w:val="TableParagraph"/>
              <w:ind w:left="110" w:right="536"/>
            </w:pPr>
            <w:r>
              <w:rPr>
                <w:u w:val="single"/>
              </w:rPr>
              <w:t>Questions appelant des mesures ou une attention immédiates</w:t>
            </w:r>
          </w:p>
        </w:tc>
        <w:tc>
          <w:tcPr>
            <w:tcW w:w="6913" w:type="dxa"/>
          </w:tcPr>
          <w:p w14:paraId="3FCF8479" w14:textId="77777777" w:rsidR="00D44887" w:rsidRDefault="00D44887" w:rsidP="002315D8">
            <w:pPr>
              <w:pStyle w:val="TableParagraph"/>
              <w:spacing w:line="244" w:lineRule="auto"/>
              <w:ind w:left="109" w:right="109"/>
              <w:rPr>
                <w:bCs/>
                <w:iCs/>
              </w:rPr>
            </w:pPr>
          </w:p>
          <w:p w14:paraId="1719FAD0" w14:textId="77777777" w:rsidR="00D44887" w:rsidRPr="00B336BF" w:rsidRDefault="00D44887" w:rsidP="002315D8">
            <w:pPr>
              <w:pStyle w:val="TableParagraph"/>
              <w:spacing w:line="244" w:lineRule="auto"/>
              <w:ind w:left="109" w:right="109"/>
            </w:pPr>
            <w:r>
              <w:t xml:space="preserve">Aucune question ne nécessite une attention immédiate en ce moment.  </w:t>
            </w:r>
          </w:p>
        </w:tc>
      </w:tr>
      <w:tr w:rsidR="00D44887" w:rsidRPr="00957BD5" w14:paraId="66F2A800" w14:textId="77777777" w:rsidTr="002315D8">
        <w:trPr>
          <w:trHeight w:val="469"/>
        </w:trPr>
        <w:tc>
          <w:tcPr>
            <w:tcW w:w="2377" w:type="dxa"/>
            <w:shd w:val="clear" w:color="auto" w:fill="68E089"/>
            <w:vAlign w:val="center"/>
          </w:tcPr>
          <w:p w14:paraId="56DE3DF9" w14:textId="77777777" w:rsidR="00D44887" w:rsidRPr="00B336BF" w:rsidRDefault="00D44887" w:rsidP="002315D8">
            <w:pPr>
              <w:pStyle w:val="TableParagraph"/>
              <w:ind w:left="110"/>
            </w:pPr>
            <w:r>
              <w:rPr>
                <w:u w:val="single"/>
              </w:rPr>
              <w:t>Voie à suivre</w:t>
            </w:r>
          </w:p>
        </w:tc>
        <w:tc>
          <w:tcPr>
            <w:tcW w:w="6913" w:type="dxa"/>
            <w:vAlign w:val="center"/>
          </w:tcPr>
          <w:p w14:paraId="26FC5865" w14:textId="77777777" w:rsidR="00D44887" w:rsidRPr="00B336BF" w:rsidRDefault="00D44887" w:rsidP="002315D8">
            <w:pPr>
              <w:pStyle w:val="TableParagraph"/>
              <w:ind w:left="109" w:right="458"/>
            </w:pPr>
            <w:r>
              <w:t>Après réception des observations des coordonnateurs, la version finale de l’étude exploratoire sera validée et publiée.</w:t>
            </w:r>
          </w:p>
          <w:p w14:paraId="39D7D37D" w14:textId="77777777" w:rsidR="00D44887" w:rsidRPr="00B336BF" w:rsidRDefault="00D44887" w:rsidP="002315D8">
            <w:pPr>
              <w:pStyle w:val="TableParagraph"/>
              <w:ind w:left="109" w:right="458"/>
            </w:pPr>
          </w:p>
          <w:p w14:paraId="27D9301D" w14:textId="77777777" w:rsidR="00D44887" w:rsidRDefault="00D44887" w:rsidP="002315D8">
            <w:pPr>
              <w:pStyle w:val="TableParagraph"/>
              <w:ind w:left="109" w:right="458"/>
            </w:pPr>
            <w:r>
              <w:t>La première réunion de coordination annuelle réunissant tous les coordonnateurs sera organisée dans l’un des États membres bénéficiaires avant la fin de 2022.</w:t>
            </w:r>
          </w:p>
          <w:p w14:paraId="521789DF" w14:textId="77777777" w:rsidR="00D44887" w:rsidRPr="00B336BF" w:rsidRDefault="00D44887" w:rsidP="002315D8">
            <w:pPr>
              <w:pStyle w:val="TableParagraph"/>
            </w:pPr>
          </w:p>
          <w:p w14:paraId="6C1118D6" w14:textId="77777777" w:rsidR="00D44887" w:rsidRPr="00B336BF" w:rsidRDefault="00D44887" w:rsidP="002315D8">
            <w:pPr>
              <w:pStyle w:val="TableParagraph"/>
              <w:ind w:left="109" w:right="458"/>
            </w:pPr>
            <w:r>
              <w:t>Un atelier sur la concession de licences sera également organisé à la fin de 2022 ou au début de 2023.</w:t>
            </w:r>
          </w:p>
        </w:tc>
      </w:tr>
      <w:tr w:rsidR="00D44887" w:rsidRPr="00957BD5" w14:paraId="57A92541" w14:textId="77777777" w:rsidTr="002315D8">
        <w:trPr>
          <w:trHeight w:val="631"/>
        </w:trPr>
        <w:tc>
          <w:tcPr>
            <w:tcW w:w="2377" w:type="dxa"/>
            <w:shd w:val="clear" w:color="auto" w:fill="68E089"/>
            <w:vAlign w:val="center"/>
          </w:tcPr>
          <w:p w14:paraId="0623F553" w14:textId="77777777" w:rsidR="00D44887" w:rsidRPr="00B336BF" w:rsidRDefault="00D44887" w:rsidP="002315D8">
            <w:pPr>
              <w:pStyle w:val="TableParagraph"/>
              <w:spacing w:before="1"/>
              <w:ind w:left="110" w:right="732"/>
            </w:pPr>
            <w:r>
              <w:rPr>
                <w:u w:val="single"/>
              </w:rPr>
              <w:t>Calendrier de mise en œuvre</w:t>
            </w:r>
          </w:p>
        </w:tc>
        <w:tc>
          <w:tcPr>
            <w:tcW w:w="6913" w:type="dxa"/>
            <w:vAlign w:val="center"/>
          </w:tcPr>
          <w:p w14:paraId="2C872527" w14:textId="77777777" w:rsidR="00D44887" w:rsidRPr="00B336BF" w:rsidRDefault="00D44887" w:rsidP="002315D8">
            <w:pPr>
              <w:pStyle w:val="TableParagraph"/>
              <w:spacing w:before="1"/>
              <w:ind w:left="109"/>
            </w:pPr>
            <w:r>
              <w:t xml:space="preserve">L’étude exploratoire devait être achevée en mars 2022.  Le retard pris dans sa finalisation pourrait avoir un impact sur le calendrier global prévu.  Selon que de besoin, un calendrier révisé sera présenté au CDIP lors d’une prochaine session.  </w:t>
            </w:r>
          </w:p>
        </w:tc>
      </w:tr>
      <w:tr w:rsidR="00D44887" w:rsidRPr="00957BD5" w14:paraId="056BE0BA" w14:textId="77777777" w:rsidTr="002315D8">
        <w:trPr>
          <w:trHeight w:val="613"/>
        </w:trPr>
        <w:tc>
          <w:tcPr>
            <w:tcW w:w="2377" w:type="dxa"/>
            <w:shd w:val="clear" w:color="auto" w:fill="68E089"/>
            <w:vAlign w:val="center"/>
          </w:tcPr>
          <w:p w14:paraId="0F071186" w14:textId="77777777" w:rsidR="00D44887" w:rsidRPr="00B336BF" w:rsidRDefault="00D44887" w:rsidP="002315D8">
            <w:pPr>
              <w:pStyle w:val="TableParagraph"/>
              <w:ind w:left="110" w:right="220"/>
            </w:pPr>
            <w:r>
              <w:rPr>
                <w:u w:val="single"/>
              </w:rPr>
              <w:t>Taux d’exécution du projet</w:t>
            </w:r>
          </w:p>
        </w:tc>
        <w:tc>
          <w:tcPr>
            <w:tcW w:w="6913" w:type="dxa"/>
            <w:vAlign w:val="center"/>
          </w:tcPr>
          <w:p w14:paraId="1D37EC2B" w14:textId="77777777" w:rsidR="00D44887" w:rsidRPr="00B336BF" w:rsidRDefault="00D44887" w:rsidP="002315D8">
            <w:pPr>
              <w:pStyle w:val="TableParagraph"/>
              <w:ind w:left="109" w:right="84"/>
            </w:pPr>
            <w:r>
              <w:t>Taux d’utilisation du budget à la fin de juillet 2022, proportionnellement au budget total alloué au projet : 3%</w:t>
            </w:r>
          </w:p>
        </w:tc>
      </w:tr>
      <w:tr w:rsidR="00D44887" w:rsidRPr="00957BD5" w14:paraId="5C419813" w14:textId="77777777" w:rsidTr="002315D8">
        <w:trPr>
          <w:trHeight w:val="703"/>
        </w:trPr>
        <w:tc>
          <w:tcPr>
            <w:tcW w:w="2377" w:type="dxa"/>
            <w:shd w:val="clear" w:color="auto" w:fill="68E089"/>
            <w:vAlign w:val="center"/>
          </w:tcPr>
          <w:p w14:paraId="1698EE67" w14:textId="77777777" w:rsidR="00D44887" w:rsidRPr="00B336BF" w:rsidRDefault="00D44887" w:rsidP="002315D8">
            <w:pPr>
              <w:pStyle w:val="TableParagraph"/>
              <w:ind w:left="110"/>
            </w:pPr>
            <w:r>
              <w:rPr>
                <w:u w:val="single"/>
              </w:rPr>
              <w:t>Rapports précédents</w:t>
            </w:r>
          </w:p>
        </w:tc>
        <w:tc>
          <w:tcPr>
            <w:tcW w:w="6913" w:type="dxa"/>
            <w:vAlign w:val="center"/>
          </w:tcPr>
          <w:p w14:paraId="03FEAD0E" w14:textId="77777777" w:rsidR="00D44887" w:rsidRPr="00B336BF" w:rsidRDefault="00D44887" w:rsidP="002315D8">
            <w:pPr>
              <w:pStyle w:val="TableParagraph"/>
              <w:ind w:left="109" w:right="892"/>
            </w:pPr>
            <w:r>
              <w:t>Ce rapport est le deuxième rapport sur l’état d’avancement des projets, remis au CDIP.  Le premier rapport figure dans le document CDIP/26/2, annexe VII.</w:t>
            </w:r>
          </w:p>
        </w:tc>
      </w:tr>
    </w:tbl>
    <w:p w14:paraId="5B73EE43" w14:textId="77777777" w:rsidR="00D44887" w:rsidRDefault="00D44887" w:rsidP="00D44887"/>
    <w:p w14:paraId="0988669F" w14:textId="77777777" w:rsidR="00D44887" w:rsidRDefault="00D44887" w:rsidP="00D44887">
      <w:pPr>
        <w:pStyle w:val="BodyText"/>
        <w:spacing w:after="0"/>
        <w:ind w:left="130"/>
      </w:pPr>
    </w:p>
    <w:p w14:paraId="50D592EA" w14:textId="77777777" w:rsidR="00D44887" w:rsidRPr="00C6096E" w:rsidRDefault="00D44887" w:rsidP="00D44887">
      <w:pPr>
        <w:pStyle w:val="BodyText"/>
        <w:keepNext/>
        <w:spacing w:before="94"/>
        <w:ind w:left="136"/>
      </w:pPr>
      <w:r>
        <w:lastRenderedPageBreak/>
        <w:t>Auto-évaluation du projet</w:t>
      </w:r>
    </w:p>
    <w:p w14:paraId="2C71FAD8" w14:textId="77777777" w:rsidR="00D44887" w:rsidRPr="00C6096E" w:rsidRDefault="00D44887" w:rsidP="00D44887">
      <w:pPr>
        <w:pStyle w:val="BodyText"/>
        <w:spacing w:after="0"/>
        <w:ind w:left="130"/>
      </w:pPr>
      <w:r>
        <w:t>Code d’évaluation</w:t>
      </w:r>
    </w:p>
    <w:p w14:paraId="2BB0F029" w14:textId="77777777" w:rsidR="00D44887" w:rsidRPr="00C6096E" w:rsidRDefault="00D44887" w:rsidP="00D44887">
      <w:pPr>
        <w:pStyle w:val="BodyText"/>
        <w:spacing w:before="2" w:after="1"/>
      </w:pP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1"/>
        <w:gridCol w:w="2268"/>
        <w:gridCol w:w="1559"/>
        <w:gridCol w:w="1701"/>
        <w:gridCol w:w="1981"/>
      </w:tblGrid>
      <w:tr w:rsidR="00D44887" w:rsidRPr="00C6096E" w14:paraId="4C3E440E" w14:textId="77777777" w:rsidTr="002315D8">
        <w:trPr>
          <w:trHeight w:val="470"/>
        </w:trPr>
        <w:tc>
          <w:tcPr>
            <w:tcW w:w="1841" w:type="dxa"/>
            <w:shd w:val="clear" w:color="auto" w:fill="7BBEDA"/>
            <w:vAlign w:val="center"/>
          </w:tcPr>
          <w:p w14:paraId="3DFA1782" w14:textId="77777777" w:rsidR="00D44887" w:rsidRPr="00C6096E" w:rsidRDefault="00D44887" w:rsidP="002315D8">
            <w:pPr>
              <w:pStyle w:val="TableParagraph"/>
              <w:spacing w:before="106"/>
              <w:ind w:left="110"/>
            </w:pPr>
            <w:r>
              <w:t>****</w:t>
            </w:r>
          </w:p>
        </w:tc>
        <w:tc>
          <w:tcPr>
            <w:tcW w:w="2268" w:type="dxa"/>
            <w:shd w:val="clear" w:color="auto" w:fill="7BBEDA"/>
            <w:vAlign w:val="center"/>
          </w:tcPr>
          <w:p w14:paraId="3E649C0F" w14:textId="77777777" w:rsidR="00D44887" w:rsidRPr="00C6096E" w:rsidRDefault="00D44887" w:rsidP="002315D8">
            <w:pPr>
              <w:pStyle w:val="TableParagraph"/>
              <w:spacing w:before="106"/>
              <w:ind w:left="110"/>
            </w:pPr>
            <w:r>
              <w:t>***</w:t>
            </w:r>
          </w:p>
        </w:tc>
        <w:tc>
          <w:tcPr>
            <w:tcW w:w="1559" w:type="dxa"/>
            <w:shd w:val="clear" w:color="auto" w:fill="7BBEDA"/>
            <w:vAlign w:val="center"/>
          </w:tcPr>
          <w:p w14:paraId="34C3D061" w14:textId="77777777" w:rsidR="00D44887" w:rsidRPr="00C6096E" w:rsidRDefault="00D44887" w:rsidP="002315D8">
            <w:pPr>
              <w:pStyle w:val="TableParagraph"/>
              <w:spacing w:before="106"/>
              <w:ind w:left="108"/>
            </w:pPr>
            <w:r>
              <w:t>**</w:t>
            </w:r>
          </w:p>
        </w:tc>
        <w:tc>
          <w:tcPr>
            <w:tcW w:w="1701" w:type="dxa"/>
            <w:shd w:val="clear" w:color="auto" w:fill="7BBEDA"/>
            <w:vAlign w:val="center"/>
          </w:tcPr>
          <w:p w14:paraId="571DE66A" w14:textId="77777777" w:rsidR="00D44887" w:rsidRPr="00C6096E" w:rsidRDefault="00D44887" w:rsidP="002315D8">
            <w:pPr>
              <w:pStyle w:val="TableParagraph"/>
              <w:spacing w:before="106"/>
              <w:ind w:left="108"/>
            </w:pPr>
            <w:r>
              <w:t>AP</w:t>
            </w:r>
          </w:p>
        </w:tc>
        <w:tc>
          <w:tcPr>
            <w:tcW w:w="1981" w:type="dxa"/>
            <w:shd w:val="clear" w:color="auto" w:fill="7BBEDA"/>
            <w:vAlign w:val="center"/>
          </w:tcPr>
          <w:p w14:paraId="311D4DCB" w14:textId="77777777" w:rsidR="00D44887" w:rsidRPr="00C6096E" w:rsidRDefault="00D44887" w:rsidP="002315D8">
            <w:pPr>
              <w:pStyle w:val="TableParagraph"/>
              <w:spacing w:before="106"/>
              <w:ind w:left="110"/>
            </w:pPr>
            <w:r>
              <w:t>s.o.</w:t>
            </w:r>
          </w:p>
        </w:tc>
      </w:tr>
      <w:tr w:rsidR="00D44887" w:rsidRPr="00C6096E" w14:paraId="5599E72C" w14:textId="77777777" w:rsidTr="002315D8">
        <w:trPr>
          <w:trHeight w:val="506"/>
        </w:trPr>
        <w:tc>
          <w:tcPr>
            <w:tcW w:w="1841" w:type="dxa"/>
            <w:shd w:val="clear" w:color="auto" w:fill="7BBEDA"/>
            <w:vAlign w:val="center"/>
          </w:tcPr>
          <w:p w14:paraId="0BC5A8BA" w14:textId="77777777" w:rsidR="00D44887" w:rsidRPr="00C6096E" w:rsidRDefault="00D44887" w:rsidP="002315D8">
            <w:pPr>
              <w:pStyle w:val="TableParagraph"/>
              <w:spacing w:line="252" w:lineRule="exact"/>
              <w:ind w:left="110" w:right="408"/>
            </w:pPr>
            <w:r>
              <w:t>Objectifs pleinement atteints</w:t>
            </w:r>
          </w:p>
        </w:tc>
        <w:tc>
          <w:tcPr>
            <w:tcW w:w="2268" w:type="dxa"/>
            <w:shd w:val="clear" w:color="auto" w:fill="7BBEDA"/>
            <w:vAlign w:val="center"/>
          </w:tcPr>
          <w:p w14:paraId="38E6A0AB" w14:textId="60D41EA3" w:rsidR="00D44887" w:rsidRPr="00C6096E" w:rsidRDefault="00BB1653" w:rsidP="002315D8">
            <w:pPr>
              <w:pStyle w:val="TableParagraph"/>
              <w:spacing w:line="252" w:lineRule="exact"/>
              <w:ind w:left="110" w:right="687"/>
            </w:pPr>
            <w:r>
              <w:t>De grands progrès</w:t>
            </w:r>
          </w:p>
        </w:tc>
        <w:tc>
          <w:tcPr>
            <w:tcW w:w="1559" w:type="dxa"/>
            <w:shd w:val="clear" w:color="auto" w:fill="7BBEDA"/>
            <w:vAlign w:val="center"/>
          </w:tcPr>
          <w:p w14:paraId="02AE8356" w14:textId="77777777" w:rsidR="00D44887" w:rsidRPr="00C6096E" w:rsidRDefault="00D44887" w:rsidP="002315D8">
            <w:pPr>
              <w:pStyle w:val="TableParagraph"/>
              <w:spacing w:line="251" w:lineRule="exact"/>
              <w:ind w:left="108"/>
            </w:pPr>
            <w:r>
              <w:t>Quelques progrès</w:t>
            </w:r>
          </w:p>
        </w:tc>
        <w:tc>
          <w:tcPr>
            <w:tcW w:w="1701" w:type="dxa"/>
            <w:shd w:val="clear" w:color="auto" w:fill="7BBEDA"/>
            <w:vAlign w:val="center"/>
          </w:tcPr>
          <w:p w14:paraId="7BF12B18" w14:textId="77777777" w:rsidR="00D44887" w:rsidRPr="00C6096E" w:rsidRDefault="00D44887" w:rsidP="002315D8">
            <w:pPr>
              <w:pStyle w:val="TableParagraph"/>
              <w:spacing w:line="251" w:lineRule="exact"/>
              <w:ind w:left="108"/>
            </w:pPr>
            <w:r>
              <w:t>Aucun progrès</w:t>
            </w:r>
          </w:p>
        </w:tc>
        <w:tc>
          <w:tcPr>
            <w:tcW w:w="1981" w:type="dxa"/>
            <w:shd w:val="clear" w:color="auto" w:fill="7BBEDA"/>
            <w:vAlign w:val="center"/>
          </w:tcPr>
          <w:p w14:paraId="6E0F220B" w14:textId="77777777" w:rsidR="00D44887" w:rsidRPr="00C6096E" w:rsidRDefault="00D44887" w:rsidP="002315D8">
            <w:pPr>
              <w:pStyle w:val="TableParagraph"/>
              <w:spacing w:line="252" w:lineRule="exact"/>
              <w:ind w:left="110" w:right="203"/>
            </w:pPr>
            <w:r>
              <w:t>Non évalué/ abandonné</w:t>
            </w:r>
          </w:p>
        </w:tc>
      </w:tr>
    </w:tbl>
    <w:p w14:paraId="0C466179" w14:textId="77777777" w:rsidR="00D44887" w:rsidRPr="00C6096E" w:rsidRDefault="00D44887" w:rsidP="00D448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2865"/>
        <w:gridCol w:w="1412"/>
      </w:tblGrid>
      <w:tr w:rsidR="00D44887" w:rsidRPr="00C6096E" w14:paraId="2C6002B9" w14:textId="77777777" w:rsidTr="002315D8">
        <w:trPr>
          <w:trHeight w:val="1264"/>
        </w:trPr>
        <w:tc>
          <w:tcPr>
            <w:tcW w:w="2410" w:type="dxa"/>
            <w:shd w:val="clear" w:color="auto" w:fill="68E089"/>
            <w:vAlign w:val="center"/>
          </w:tcPr>
          <w:p w14:paraId="0316144F" w14:textId="77777777" w:rsidR="00D44887" w:rsidRPr="00C6096E" w:rsidRDefault="00D44887" w:rsidP="002315D8">
            <w:pPr>
              <w:pStyle w:val="TableParagraph"/>
              <w:spacing w:before="10"/>
            </w:pPr>
          </w:p>
          <w:p w14:paraId="0115DAC4" w14:textId="77777777" w:rsidR="00D44887" w:rsidRPr="00C6096E" w:rsidRDefault="00D44887" w:rsidP="002315D8">
            <w:pPr>
              <w:pStyle w:val="TableParagraph"/>
              <w:ind w:left="110" w:right="624"/>
            </w:pPr>
            <w:r>
              <w:rPr>
                <w:u w:val="single"/>
              </w:rPr>
              <w:t>Résultats du projet</w:t>
            </w:r>
            <w:r>
              <w:rPr>
                <w:vertAlign w:val="superscript"/>
              </w:rPr>
              <w:t>3</w:t>
            </w:r>
            <w:r>
              <w:t xml:space="preserve"> (résultat escompté)</w:t>
            </w:r>
          </w:p>
        </w:tc>
        <w:tc>
          <w:tcPr>
            <w:tcW w:w="2695" w:type="dxa"/>
            <w:shd w:val="clear" w:color="auto" w:fill="68E089"/>
            <w:vAlign w:val="center"/>
          </w:tcPr>
          <w:p w14:paraId="3E76504C" w14:textId="77777777" w:rsidR="00D44887" w:rsidRPr="00C6096E" w:rsidRDefault="00D44887" w:rsidP="002315D8">
            <w:pPr>
              <w:pStyle w:val="TableParagraph"/>
              <w:spacing w:before="10"/>
            </w:pPr>
          </w:p>
          <w:p w14:paraId="5BF33BD5" w14:textId="77777777" w:rsidR="00D44887" w:rsidRPr="00E75513" w:rsidRDefault="00D44887" w:rsidP="002315D8">
            <w:pPr>
              <w:pStyle w:val="TableParagraph"/>
              <w:ind w:left="110" w:right="236"/>
              <w:rPr>
                <w:u w:val="single"/>
              </w:rPr>
            </w:pPr>
            <w:r w:rsidRPr="00E75513">
              <w:rPr>
                <w:u w:val="single"/>
              </w:rPr>
              <w:t>Indicateurs d’exécution</w:t>
            </w:r>
          </w:p>
          <w:p w14:paraId="1D4B4B60" w14:textId="77777777" w:rsidR="00D44887" w:rsidRPr="00C6096E" w:rsidRDefault="00D44887" w:rsidP="002315D8">
            <w:pPr>
              <w:pStyle w:val="TableParagraph"/>
              <w:spacing w:before="1"/>
              <w:ind w:left="110"/>
            </w:pPr>
            <w:r>
              <w:t>(indicateurs de résultats)</w:t>
            </w:r>
          </w:p>
        </w:tc>
        <w:tc>
          <w:tcPr>
            <w:tcW w:w="2865" w:type="dxa"/>
            <w:shd w:val="clear" w:color="auto" w:fill="68E089"/>
            <w:vAlign w:val="center"/>
          </w:tcPr>
          <w:p w14:paraId="6C97520D" w14:textId="77777777" w:rsidR="00D44887" w:rsidRPr="00C6096E" w:rsidRDefault="00D44887" w:rsidP="002315D8">
            <w:pPr>
              <w:pStyle w:val="TableParagraph"/>
              <w:spacing w:before="10"/>
            </w:pPr>
          </w:p>
          <w:p w14:paraId="0433B510" w14:textId="77777777" w:rsidR="00D44887" w:rsidRPr="00C6096E" w:rsidRDefault="00D44887" w:rsidP="002315D8">
            <w:pPr>
              <w:pStyle w:val="TableParagraph"/>
              <w:ind w:left="108"/>
            </w:pPr>
            <w:r>
              <w:rPr>
                <w:u w:val="single"/>
              </w:rPr>
              <w:t>Données de performance</w:t>
            </w:r>
          </w:p>
        </w:tc>
        <w:tc>
          <w:tcPr>
            <w:tcW w:w="1412" w:type="dxa"/>
            <w:shd w:val="clear" w:color="auto" w:fill="68E089"/>
            <w:vAlign w:val="center"/>
          </w:tcPr>
          <w:p w14:paraId="4EB5CF7F" w14:textId="77777777" w:rsidR="00D44887" w:rsidRPr="00C6096E" w:rsidRDefault="00D44887" w:rsidP="002315D8">
            <w:pPr>
              <w:pStyle w:val="TableParagraph"/>
              <w:spacing w:before="10"/>
            </w:pPr>
          </w:p>
          <w:p w14:paraId="2FE62D2E" w14:textId="77777777" w:rsidR="00D44887" w:rsidRPr="00C6096E" w:rsidRDefault="00D44887" w:rsidP="002315D8">
            <w:pPr>
              <w:pStyle w:val="TableParagraph"/>
              <w:ind w:left="111"/>
            </w:pPr>
            <w:r>
              <w:rPr>
                <w:u w:val="single"/>
              </w:rPr>
              <w:t>Code d’évaluation</w:t>
            </w:r>
          </w:p>
        </w:tc>
      </w:tr>
      <w:tr w:rsidR="00D44887" w:rsidRPr="00C6096E" w14:paraId="01D93CCA" w14:textId="77777777" w:rsidTr="002315D8">
        <w:trPr>
          <w:trHeight w:val="1193"/>
        </w:trPr>
        <w:tc>
          <w:tcPr>
            <w:tcW w:w="2410" w:type="dxa"/>
            <w:vMerge w:val="restart"/>
            <w:tcBorders>
              <w:right w:val="single" w:sz="6" w:space="0" w:color="000000"/>
            </w:tcBorders>
          </w:tcPr>
          <w:p w14:paraId="7A5531D8" w14:textId="77777777" w:rsidR="00D44887" w:rsidRDefault="00D44887" w:rsidP="002315D8">
            <w:pPr>
              <w:widowControl w:val="0"/>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Désignation des coordonnateurs</w:t>
            </w:r>
          </w:p>
          <w:p w14:paraId="316625FA" w14:textId="77777777" w:rsidR="00D44887" w:rsidRPr="00CE43C7" w:rsidRDefault="00D44887" w:rsidP="002315D8">
            <w:pPr>
              <w:widowControl w:val="0"/>
              <w:rPr>
                <w:szCs w:val="22"/>
              </w:rPr>
            </w:pPr>
          </w:p>
          <w:p w14:paraId="36CBC110" w14:textId="77777777" w:rsidR="00D44887" w:rsidRPr="00CE43C7" w:rsidRDefault="00D44887" w:rsidP="002315D8">
            <w:pPr>
              <w:widowControl w:val="0"/>
              <w:rPr>
                <w:szCs w:val="22"/>
              </w:rPr>
            </w:pPr>
          </w:p>
          <w:p w14:paraId="41BA431A" w14:textId="77777777" w:rsidR="00D44887" w:rsidRPr="00CE43C7" w:rsidRDefault="00D44887" w:rsidP="002315D8">
            <w:pPr>
              <w:widowControl w:val="0"/>
              <w:rPr>
                <w:szCs w:val="22"/>
              </w:rPr>
            </w:pPr>
          </w:p>
          <w:p w14:paraId="21AD1071" w14:textId="77777777" w:rsidR="00D44887" w:rsidRPr="00CE43C7" w:rsidRDefault="00D44887" w:rsidP="002315D8">
            <w:pPr>
              <w:widowControl w:val="0"/>
              <w:rPr>
                <w:szCs w:val="22"/>
              </w:rPr>
            </w:pPr>
          </w:p>
          <w:p w14:paraId="075C8A48" w14:textId="77777777" w:rsidR="00D44887" w:rsidRPr="00C6096E" w:rsidRDefault="00D44887" w:rsidP="002315D8">
            <w:pPr>
              <w:pStyle w:val="TableParagraph"/>
            </w:pPr>
            <w:r>
              <w:rPr>
                <w:color w:val="000000"/>
                <w:u w:color="000000"/>
                <w14:textOutline w14:w="0" w14:cap="flat" w14:cmpd="sng" w14:algn="ctr">
                  <w14:noFill/>
                  <w14:prstDash w14:val="solid"/>
                  <w14:bevel/>
                </w14:textOutline>
              </w:rPr>
              <w:t>Réunions de coordination annuelles</w:t>
            </w:r>
          </w:p>
        </w:tc>
        <w:tc>
          <w:tcPr>
            <w:tcW w:w="2695" w:type="dxa"/>
            <w:tcBorders>
              <w:left w:val="single" w:sz="6" w:space="0" w:color="000000"/>
              <w:bottom w:val="single" w:sz="6" w:space="0" w:color="000000"/>
            </w:tcBorders>
          </w:tcPr>
          <w:p w14:paraId="0431ADB9" w14:textId="77777777" w:rsidR="00D44887" w:rsidRPr="00C6096E" w:rsidRDefault="00D44887" w:rsidP="002315D8">
            <w:pPr>
              <w:pStyle w:val="Corps"/>
              <w:widowControl/>
              <w:spacing w:before="240" w:after="120"/>
            </w:pPr>
            <w:r>
              <w:rPr>
                <w:rStyle w:val="Aucun"/>
              </w:rPr>
              <w:t>1.</w:t>
            </w:r>
            <w:r>
              <w:rPr>
                <w:rStyle w:val="Aucun"/>
              </w:rPr>
              <w:tab/>
              <w:t>Les coordonnateurs sont désignés selon le calendrier de mise en œuvre</w:t>
            </w:r>
          </w:p>
        </w:tc>
        <w:tc>
          <w:tcPr>
            <w:tcW w:w="2865" w:type="dxa"/>
          </w:tcPr>
          <w:p w14:paraId="00E24337"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Objectif pleinement atteint.  Des coordonnateurs locaux ont été désignés dans tous les pays bénéficiaires.</w:t>
            </w:r>
          </w:p>
          <w:p w14:paraId="03394085" w14:textId="77777777" w:rsidR="00D44887" w:rsidRPr="00CE43C7" w:rsidRDefault="00D44887" w:rsidP="002315D8">
            <w:pPr>
              <w:widowControl w:val="0"/>
              <w:rPr>
                <w:szCs w:val="22"/>
              </w:rPr>
            </w:pPr>
          </w:p>
          <w:p w14:paraId="466CCFE3" w14:textId="77777777" w:rsidR="00D44887" w:rsidRPr="00CE43C7" w:rsidRDefault="00D44887" w:rsidP="002315D8">
            <w:pPr>
              <w:widowControl w:val="0"/>
              <w:rPr>
                <w:szCs w:val="22"/>
              </w:rPr>
            </w:pPr>
          </w:p>
          <w:p w14:paraId="577004D3" w14:textId="77777777" w:rsidR="00D44887" w:rsidRPr="00CE43C7" w:rsidRDefault="00D44887" w:rsidP="002315D8">
            <w:pPr>
              <w:widowControl w:val="0"/>
              <w:rPr>
                <w:szCs w:val="22"/>
              </w:rPr>
            </w:pPr>
          </w:p>
          <w:p w14:paraId="7F75FD92" w14:textId="77777777" w:rsidR="00D44887" w:rsidRPr="00C6096E" w:rsidRDefault="00D44887" w:rsidP="002315D8">
            <w:pPr>
              <w:pStyle w:val="TableParagraph"/>
            </w:pPr>
          </w:p>
        </w:tc>
        <w:tc>
          <w:tcPr>
            <w:tcW w:w="1412" w:type="dxa"/>
            <w:vMerge w:val="restart"/>
          </w:tcPr>
          <w:p w14:paraId="6C8DD1F5"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w:t>
            </w:r>
          </w:p>
          <w:p w14:paraId="17BC9107" w14:textId="77777777" w:rsidR="00D44887" w:rsidRPr="00CE43C7" w:rsidRDefault="00D44887" w:rsidP="002315D8">
            <w:pPr>
              <w:widowControl w:val="0"/>
              <w:rPr>
                <w:szCs w:val="22"/>
              </w:rPr>
            </w:pPr>
          </w:p>
          <w:p w14:paraId="3814781C" w14:textId="77777777" w:rsidR="00D44887" w:rsidRPr="00CE43C7" w:rsidRDefault="00D44887" w:rsidP="002315D8">
            <w:pPr>
              <w:widowControl w:val="0"/>
              <w:rPr>
                <w:szCs w:val="22"/>
              </w:rPr>
            </w:pPr>
          </w:p>
          <w:p w14:paraId="0450975A" w14:textId="77777777" w:rsidR="00D44887" w:rsidRPr="00CE43C7" w:rsidRDefault="00D44887" w:rsidP="002315D8">
            <w:pPr>
              <w:widowControl w:val="0"/>
              <w:rPr>
                <w:szCs w:val="22"/>
              </w:rPr>
            </w:pPr>
          </w:p>
          <w:p w14:paraId="22CB0E9F" w14:textId="77777777" w:rsidR="00D44887" w:rsidRPr="00CE43C7" w:rsidRDefault="00D44887" w:rsidP="002315D8">
            <w:pPr>
              <w:widowControl w:val="0"/>
              <w:rPr>
                <w:szCs w:val="22"/>
              </w:rPr>
            </w:pPr>
          </w:p>
          <w:p w14:paraId="62FCA2B5" w14:textId="77777777" w:rsidR="00D44887" w:rsidRPr="00CE43C7" w:rsidRDefault="00D44887" w:rsidP="002315D8">
            <w:pPr>
              <w:widowControl w:val="0"/>
              <w:rPr>
                <w:szCs w:val="22"/>
              </w:rPr>
            </w:pPr>
          </w:p>
          <w:p w14:paraId="10FAD565" w14:textId="77777777" w:rsidR="00D44887" w:rsidRPr="00C6096E" w:rsidRDefault="00D44887" w:rsidP="002315D8">
            <w:pPr>
              <w:pStyle w:val="TableParagraph"/>
            </w:pPr>
            <w:r>
              <w:rPr>
                <w:color w:val="000000"/>
                <w:u w:color="000000"/>
                <w14:textOutline w14:w="0" w14:cap="flat" w14:cmpd="sng" w14:algn="ctr">
                  <w14:noFill/>
                  <w14:prstDash w14:val="solid"/>
                  <w14:bevel/>
                </w14:textOutline>
              </w:rPr>
              <w:t>**</w:t>
            </w:r>
          </w:p>
        </w:tc>
      </w:tr>
      <w:tr w:rsidR="00D44887" w:rsidRPr="00C6096E" w14:paraId="68D410C8" w14:textId="77777777" w:rsidTr="002315D8">
        <w:trPr>
          <w:trHeight w:val="1192"/>
        </w:trPr>
        <w:tc>
          <w:tcPr>
            <w:tcW w:w="2410" w:type="dxa"/>
            <w:vMerge/>
            <w:tcBorders>
              <w:right w:val="single" w:sz="6" w:space="0" w:color="000000"/>
            </w:tcBorders>
          </w:tcPr>
          <w:p w14:paraId="05FDD499" w14:textId="77777777" w:rsidR="00D44887" w:rsidRPr="00CE43C7" w:rsidRDefault="00D44887" w:rsidP="002315D8">
            <w:pPr>
              <w:widowControl w:val="0"/>
              <w:rPr>
                <w:color w:val="000000"/>
                <w:szCs w:val="22"/>
                <w:u w:color="000000"/>
                <w14:textOutline w14:w="0" w14:cap="flat" w14:cmpd="sng" w14:algn="ctr">
                  <w14:noFill/>
                  <w14:prstDash w14:val="solid"/>
                  <w14:bevel/>
                </w14:textOutline>
              </w:rPr>
            </w:pPr>
          </w:p>
        </w:tc>
        <w:tc>
          <w:tcPr>
            <w:tcW w:w="2695" w:type="dxa"/>
            <w:tcBorders>
              <w:left w:val="single" w:sz="6" w:space="0" w:color="000000"/>
              <w:bottom w:val="single" w:sz="6" w:space="0" w:color="000000"/>
            </w:tcBorders>
          </w:tcPr>
          <w:p w14:paraId="75D1A26F" w14:textId="77777777" w:rsidR="00D44887" w:rsidRPr="00CE43C7" w:rsidRDefault="00D44887" w:rsidP="002315D8">
            <w:pPr>
              <w:pStyle w:val="Corps"/>
              <w:widowControl/>
              <w:spacing w:before="240" w:after="120"/>
              <w:rPr>
                <w:rStyle w:val="Aucun"/>
                <w:rFonts w:cs="Arial"/>
              </w:rPr>
            </w:pPr>
            <w:r>
              <w:rPr>
                <w:rStyle w:val="Aucun"/>
              </w:rPr>
              <w:t>2.</w:t>
            </w:r>
            <w:r>
              <w:rPr>
                <w:rStyle w:val="Aucun"/>
              </w:rPr>
              <w:tab/>
              <w:t>Les réunions sont conduites régulièrement avec l’adoption d’un suivi sur la mise en œuvre</w:t>
            </w:r>
          </w:p>
        </w:tc>
        <w:tc>
          <w:tcPr>
            <w:tcW w:w="2865" w:type="dxa"/>
          </w:tcPr>
          <w:p w14:paraId="06517DA5" w14:textId="77777777" w:rsidR="00D44887" w:rsidRDefault="00D44887" w:rsidP="002315D8">
            <w:pPr>
              <w:widowControl w:val="0"/>
              <w:rPr>
                <w:color w:val="000000"/>
                <w:szCs w:val="22"/>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Commencé</w:t>
            </w:r>
          </w:p>
        </w:tc>
        <w:tc>
          <w:tcPr>
            <w:tcW w:w="1412" w:type="dxa"/>
            <w:vMerge/>
          </w:tcPr>
          <w:p w14:paraId="7F4DDAE9" w14:textId="77777777" w:rsidR="00D44887" w:rsidRPr="00CE43C7" w:rsidRDefault="00D44887" w:rsidP="002315D8">
            <w:pPr>
              <w:widowControl w:val="0"/>
              <w:rPr>
                <w:color w:val="000000"/>
                <w:szCs w:val="22"/>
                <w:u w:color="000000"/>
                <w14:textOutline w14:w="0" w14:cap="flat" w14:cmpd="sng" w14:algn="ctr">
                  <w14:noFill/>
                  <w14:prstDash w14:val="solid"/>
                  <w14:bevel/>
                </w14:textOutline>
              </w:rPr>
            </w:pPr>
          </w:p>
        </w:tc>
      </w:tr>
      <w:tr w:rsidR="00D44887" w:rsidRPr="00C6096E" w14:paraId="65EBD54A" w14:textId="77777777" w:rsidTr="002315D8">
        <w:trPr>
          <w:trHeight w:val="1065"/>
        </w:trPr>
        <w:tc>
          <w:tcPr>
            <w:tcW w:w="2410" w:type="dxa"/>
            <w:vMerge w:val="restart"/>
            <w:tcBorders>
              <w:right w:val="single" w:sz="6" w:space="0" w:color="000000"/>
            </w:tcBorders>
          </w:tcPr>
          <w:p w14:paraId="2A94B77A" w14:textId="77777777" w:rsidR="00D44887" w:rsidRPr="00C6096E" w:rsidRDefault="00D44887" w:rsidP="002315D8">
            <w:pPr>
              <w:pStyle w:val="TableParagraph"/>
            </w:pPr>
            <w:r>
              <w:rPr>
                <w:color w:val="000000"/>
                <w:u w:color="000000"/>
                <w14:textOutline w14:w="0" w14:cap="flat" w14:cmpd="sng" w14:algn="ctr">
                  <w14:noFill/>
                  <w14:prstDash w14:val="solid"/>
                  <w14:bevel/>
                </w14:textOutline>
              </w:rPr>
              <w:t>Étude exploratoire</w:t>
            </w:r>
          </w:p>
        </w:tc>
        <w:tc>
          <w:tcPr>
            <w:tcW w:w="2695" w:type="dxa"/>
            <w:tcBorders>
              <w:top w:val="single" w:sz="6" w:space="0" w:color="000000"/>
              <w:left w:val="single" w:sz="6" w:space="0" w:color="000000"/>
              <w:bottom w:val="single" w:sz="6" w:space="0" w:color="000000"/>
            </w:tcBorders>
          </w:tcPr>
          <w:p w14:paraId="264F8F99" w14:textId="77777777" w:rsidR="00D44887" w:rsidRPr="00C6096E" w:rsidRDefault="00D44887" w:rsidP="002315D8">
            <w:pPr>
              <w:pStyle w:val="Corps"/>
              <w:widowControl/>
              <w:spacing w:before="240" w:after="120"/>
            </w:pPr>
            <w:r>
              <w:rPr>
                <w:rStyle w:val="Aucun"/>
              </w:rPr>
              <w:t>1.</w:t>
            </w:r>
            <w:r>
              <w:rPr>
                <w:rStyle w:val="Aucun"/>
              </w:rPr>
              <w:tab/>
              <w:t>Les besoins des pays bénéficiaires sont clarifiés par l’étude exploratoire</w:t>
            </w:r>
          </w:p>
        </w:tc>
        <w:tc>
          <w:tcPr>
            <w:tcW w:w="2865" w:type="dxa"/>
          </w:tcPr>
          <w:p w14:paraId="5544B6F9"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Progrès considérables.  La première version a été livrée par les experts et partagée avec les coordonnateurs pour approbation et observations.</w:t>
            </w:r>
          </w:p>
          <w:p w14:paraId="482C58DB" w14:textId="77777777" w:rsidR="00D44887" w:rsidRPr="00CE43C7" w:rsidRDefault="00D44887" w:rsidP="002315D8">
            <w:pPr>
              <w:widowControl w:val="0"/>
              <w:rPr>
                <w:szCs w:val="22"/>
              </w:rPr>
            </w:pPr>
          </w:p>
          <w:p w14:paraId="6859A0B3" w14:textId="77777777" w:rsidR="00D44887" w:rsidRPr="00CE43C7" w:rsidRDefault="00D44887" w:rsidP="002315D8">
            <w:pPr>
              <w:widowControl w:val="0"/>
              <w:rPr>
                <w:szCs w:val="22"/>
              </w:rPr>
            </w:pPr>
          </w:p>
          <w:p w14:paraId="5176D662" w14:textId="77777777" w:rsidR="00D44887" w:rsidRPr="00C6096E" w:rsidRDefault="00D44887" w:rsidP="002315D8">
            <w:pPr>
              <w:pStyle w:val="TableParagraph"/>
            </w:pPr>
          </w:p>
        </w:tc>
        <w:tc>
          <w:tcPr>
            <w:tcW w:w="1412" w:type="dxa"/>
          </w:tcPr>
          <w:p w14:paraId="570B41E5" w14:textId="77777777" w:rsidR="00D44887" w:rsidRPr="00C6096E" w:rsidRDefault="00D44887" w:rsidP="002315D8">
            <w:pPr>
              <w:pStyle w:val="TableParagraph"/>
            </w:pPr>
            <w:r>
              <w:rPr>
                <w:color w:val="000000"/>
                <w:u w:color="000000"/>
                <w14:textOutline w14:w="0" w14:cap="flat" w14:cmpd="sng" w14:algn="ctr">
                  <w14:noFill/>
                  <w14:prstDash w14:val="solid"/>
                  <w14:bevel/>
                </w14:textOutline>
              </w:rPr>
              <w:t>***</w:t>
            </w:r>
          </w:p>
        </w:tc>
      </w:tr>
      <w:tr w:rsidR="00D44887" w:rsidRPr="00C6096E" w14:paraId="6BAE46D9" w14:textId="77777777" w:rsidTr="002315D8">
        <w:trPr>
          <w:trHeight w:val="1065"/>
        </w:trPr>
        <w:tc>
          <w:tcPr>
            <w:tcW w:w="2410" w:type="dxa"/>
            <w:vMerge/>
            <w:tcBorders>
              <w:right w:val="single" w:sz="6" w:space="0" w:color="000000"/>
            </w:tcBorders>
          </w:tcPr>
          <w:p w14:paraId="236275B1"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349B9CE" w14:textId="77777777" w:rsidR="00D44887" w:rsidRPr="00CE43C7" w:rsidRDefault="00D44887" w:rsidP="002315D8">
            <w:pPr>
              <w:pStyle w:val="Corps"/>
              <w:widowControl/>
              <w:spacing w:before="240" w:after="120"/>
              <w:rPr>
                <w:rStyle w:val="Aucun"/>
                <w:rFonts w:cs="Arial"/>
              </w:rPr>
            </w:pPr>
            <w:r>
              <w:rPr>
                <w:rStyle w:val="Aucun"/>
              </w:rPr>
              <w:t>2.</w:t>
            </w:r>
            <w:r>
              <w:rPr>
                <w:rStyle w:val="Aucun"/>
              </w:rPr>
              <w:tab/>
              <w:t>L’étude est approuvée par les pays bénéficiaires</w:t>
            </w:r>
          </w:p>
        </w:tc>
        <w:tc>
          <w:tcPr>
            <w:tcW w:w="2865" w:type="dxa"/>
          </w:tcPr>
          <w:p w14:paraId="0E69D7A6" w14:textId="77777777" w:rsidR="00D44887" w:rsidRDefault="00D44887" w:rsidP="002315D8">
            <w:pPr>
              <w:widowControl w:val="0"/>
              <w:rPr>
                <w:color w:val="000000"/>
                <w:szCs w:val="22"/>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En cours</w:t>
            </w:r>
          </w:p>
        </w:tc>
        <w:tc>
          <w:tcPr>
            <w:tcW w:w="1412" w:type="dxa"/>
          </w:tcPr>
          <w:p w14:paraId="0D82BD8B"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w:t>
            </w:r>
          </w:p>
        </w:tc>
      </w:tr>
      <w:tr w:rsidR="00D44887" w:rsidRPr="00C6096E" w14:paraId="7C84CC30" w14:textId="77777777" w:rsidTr="002315D8">
        <w:trPr>
          <w:trHeight w:val="930"/>
        </w:trPr>
        <w:tc>
          <w:tcPr>
            <w:tcW w:w="2410" w:type="dxa"/>
            <w:vMerge w:val="restart"/>
            <w:tcBorders>
              <w:right w:val="single" w:sz="6" w:space="0" w:color="000000"/>
            </w:tcBorders>
          </w:tcPr>
          <w:p w14:paraId="17E0EC5E"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Quatre ateliers sous-régionaux</w:t>
            </w:r>
          </w:p>
        </w:tc>
        <w:tc>
          <w:tcPr>
            <w:tcW w:w="2695" w:type="dxa"/>
            <w:tcBorders>
              <w:top w:val="single" w:sz="6" w:space="0" w:color="000000"/>
              <w:left w:val="single" w:sz="6" w:space="0" w:color="000000"/>
              <w:bottom w:val="single" w:sz="6" w:space="0" w:color="000000"/>
            </w:tcBorders>
          </w:tcPr>
          <w:p w14:paraId="2AD89D9A" w14:textId="77777777" w:rsidR="00D44887" w:rsidRPr="00CE43C7" w:rsidRDefault="00D44887" w:rsidP="002315D8">
            <w:pPr>
              <w:pStyle w:val="Corps"/>
              <w:widowControl/>
              <w:spacing w:before="240" w:after="120"/>
              <w:rPr>
                <w:rStyle w:val="Aucun"/>
                <w:rFonts w:cs="Arial"/>
              </w:rPr>
            </w:pPr>
            <w:r>
              <w:rPr>
                <w:rStyle w:val="Aucun"/>
              </w:rPr>
              <w:t>1.</w:t>
            </w:r>
            <w:r>
              <w:rPr>
                <w:rStyle w:val="Aucun"/>
              </w:rPr>
              <w:tab/>
              <w:t>Présentation d’un “benchmark” des pratiques recommandées</w:t>
            </w:r>
          </w:p>
        </w:tc>
        <w:tc>
          <w:tcPr>
            <w:tcW w:w="2865" w:type="dxa"/>
            <w:vMerge w:val="restart"/>
            <w:vAlign w:val="center"/>
          </w:tcPr>
          <w:p w14:paraId="5322F369" w14:textId="77777777" w:rsidR="00D44887" w:rsidRDefault="00D44887" w:rsidP="002315D8">
            <w:pPr>
              <w:widowControl w:val="0"/>
              <w:rPr>
                <w:color w:val="000000"/>
                <w:szCs w:val="22"/>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Pas encore commencé</w:t>
            </w:r>
          </w:p>
        </w:tc>
        <w:tc>
          <w:tcPr>
            <w:tcW w:w="1412" w:type="dxa"/>
            <w:vMerge w:val="restart"/>
          </w:tcPr>
          <w:p w14:paraId="7EE0F482" w14:textId="77777777" w:rsidR="00D44887" w:rsidRDefault="00D44887" w:rsidP="002315D8">
            <w:pPr>
              <w:pStyle w:val="TableParagraph"/>
              <w:rPr>
                <w:color w:val="000000"/>
                <w:u w:color="000000"/>
                <w14:textOutline w14:w="0" w14:cap="flat" w14:cmpd="sng" w14:algn="ctr">
                  <w14:noFill/>
                  <w14:prstDash w14:val="solid"/>
                  <w14:bevel/>
                </w14:textOutline>
              </w:rPr>
            </w:pPr>
          </w:p>
          <w:p w14:paraId="1711189D" w14:textId="77777777" w:rsidR="00D44887" w:rsidRDefault="00D44887" w:rsidP="002315D8">
            <w:pPr>
              <w:pStyle w:val="TableParagraph"/>
              <w:rPr>
                <w:color w:val="000000"/>
                <w:u w:color="000000"/>
                <w14:textOutline w14:w="0" w14:cap="flat" w14:cmpd="sng" w14:algn="ctr">
                  <w14:noFill/>
                  <w14:prstDash w14:val="solid"/>
                  <w14:bevel/>
                </w14:textOutline>
              </w:rPr>
            </w:pPr>
          </w:p>
          <w:p w14:paraId="05E9FC68"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AP</w:t>
            </w:r>
          </w:p>
        </w:tc>
      </w:tr>
      <w:tr w:rsidR="00D44887" w:rsidRPr="00C6096E" w14:paraId="30C48BA2" w14:textId="77777777" w:rsidTr="002315D8">
        <w:trPr>
          <w:trHeight w:val="930"/>
        </w:trPr>
        <w:tc>
          <w:tcPr>
            <w:tcW w:w="2410" w:type="dxa"/>
            <w:vMerge/>
            <w:tcBorders>
              <w:right w:val="single" w:sz="6" w:space="0" w:color="000000"/>
            </w:tcBorders>
          </w:tcPr>
          <w:p w14:paraId="0D9A464D"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287AAFF" w14:textId="77777777" w:rsidR="00D44887" w:rsidRPr="00CE43C7" w:rsidRDefault="00D44887" w:rsidP="002315D8">
            <w:pPr>
              <w:pStyle w:val="Corps"/>
              <w:widowControl/>
              <w:spacing w:before="240" w:after="120"/>
              <w:rPr>
                <w:rStyle w:val="Aucun"/>
                <w:rFonts w:cs="Arial"/>
              </w:rPr>
            </w:pPr>
            <w:r>
              <w:rPr>
                <w:rStyle w:val="Aucun"/>
              </w:rPr>
              <w:t>2.</w:t>
            </w:r>
            <w:r>
              <w:rPr>
                <w:rStyle w:val="Aucun"/>
              </w:rPr>
              <w:tab/>
              <w:t>Élaboration de dispositions contractuelles types</w:t>
            </w:r>
          </w:p>
        </w:tc>
        <w:tc>
          <w:tcPr>
            <w:tcW w:w="2865" w:type="dxa"/>
            <w:vMerge/>
          </w:tcPr>
          <w:p w14:paraId="59B7ED39" w14:textId="77777777" w:rsidR="00D44887" w:rsidRPr="00CE43C7" w:rsidRDefault="00D44887" w:rsidP="002315D8">
            <w:pPr>
              <w:widowControl w:val="0"/>
              <w:rPr>
                <w:color w:val="000000"/>
                <w:szCs w:val="22"/>
                <w:u w:color="000000"/>
                <w14:textOutline w14:w="0" w14:cap="flat" w14:cmpd="sng" w14:algn="ctr">
                  <w14:noFill/>
                  <w14:prstDash w14:val="solid"/>
                  <w14:bevel/>
                </w14:textOutline>
              </w:rPr>
            </w:pPr>
          </w:p>
        </w:tc>
        <w:tc>
          <w:tcPr>
            <w:tcW w:w="1412" w:type="dxa"/>
            <w:vMerge/>
          </w:tcPr>
          <w:p w14:paraId="001495D4"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r w:rsidR="00D44887" w:rsidRPr="00C6096E" w14:paraId="139AADF9" w14:textId="77777777" w:rsidTr="002315D8">
        <w:trPr>
          <w:trHeight w:val="1125"/>
        </w:trPr>
        <w:tc>
          <w:tcPr>
            <w:tcW w:w="2410" w:type="dxa"/>
            <w:vMerge w:val="restart"/>
            <w:tcBorders>
              <w:right w:val="single" w:sz="6" w:space="0" w:color="000000"/>
            </w:tcBorders>
          </w:tcPr>
          <w:p w14:paraId="7F2D805E"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lastRenderedPageBreak/>
              <w:t xml:space="preserve">Dialogue intersectoriel de la filière musicale – appui à la mise en œuvre des textes législatifs </w:t>
            </w:r>
          </w:p>
        </w:tc>
        <w:tc>
          <w:tcPr>
            <w:tcW w:w="2695" w:type="dxa"/>
            <w:tcBorders>
              <w:top w:val="single" w:sz="6" w:space="0" w:color="000000"/>
              <w:left w:val="single" w:sz="6" w:space="0" w:color="000000"/>
              <w:bottom w:val="single" w:sz="6" w:space="0" w:color="000000"/>
            </w:tcBorders>
          </w:tcPr>
          <w:p w14:paraId="0FA29EAC" w14:textId="77777777" w:rsidR="00D44887" w:rsidRPr="00CE43C7" w:rsidRDefault="00D44887" w:rsidP="002315D8">
            <w:pPr>
              <w:pStyle w:val="Corps"/>
              <w:widowControl/>
              <w:spacing w:before="240" w:after="120"/>
              <w:rPr>
                <w:rStyle w:val="Aucun"/>
                <w:rFonts w:cs="Arial"/>
              </w:rPr>
            </w:pPr>
            <w:r>
              <w:rPr>
                <w:rStyle w:val="Aucun"/>
              </w:rPr>
              <w:t>1.</w:t>
            </w:r>
            <w:r>
              <w:rPr>
                <w:rStyle w:val="Aucun"/>
              </w:rPr>
              <w:tab/>
              <w:t>Les parties prenantes sont recensées et participent aux réunions</w:t>
            </w:r>
          </w:p>
        </w:tc>
        <w:tc>
          <w:tcPr>
            <w:tcW w:w="2865" w:type="dxa"/>
            <w:vMerge w:val="restart"/>
            <w:vAlign w:val="center"/>
          </w:tcPr>
          <w:p w14:paraId="6CADDE29" w14:textId="77777777" w:rsidR="00D44887" w:rsidRPr="00CE43C7" w:rsidRDefault="00D44887" w:rsidP="002315D8">
            <w:pPr>
              <w:widowControl w:val="0"/>
              <w:rPr>
                <w:szCs w:val="22"/>
              </w:rPr>
            </w:pPr>
          </w:p>
          <w:p w14:paraId="6530B524" w14:textId="77777777" w:rsidR="00D44887" w:rsidRPr="00CE43C7" w:rsidRDefault="00D44887" w:rsidP="002315D8">
            <w:pPr>
              <w:widowControl w:val="0"/>
              <w:rPr>
                <w:szCs w:val="22"/>
              </w:rPr>
            </w:pPr>
          </w:p>
          <w:p w14:paraId="18A215CD" w14:textId="77777777" w:rsidR="00D44887" w:rsidRPr="00CE43C7" w:rsidRDefault="00D44887" w:rsidP="002315D8">
            <w:pPr>
              <w:widowControl w:val="0"/>
              <w:rPr>
                <w:szCs w:val="22"/>
              </w:rPr>
            </w:pPr>
          </w:p>
          <w:p w14:paraId="1D2B0648" w14:textId="77777777" w:rsidR="00D44887" w:rsidRPr="00CE43C7" w:rsidRDefault="00D44887" w:rsidP="002315D8">
            <w:pPr>
              <w:widowControl w:val="0"/>
              <w:rPr>
                <w:szCs w:val="22"/>
              </w:rPr>
            </w:pPr>
          </w:p>
          <w:p w14:paraId="169CC376"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Pas encore commencé</w:t>
            </w:r>
          </w:p>
          <w:p w14:paraId="17034E67" w14:textId="77777777" w:rsidR="00D44887" w:rsidRPr="00CE43C7" w:rsidRDefault="00D44887" w:rsidP="002315D8">
            <w:pPr>
              <w:widowControl w:val="0"/>
              <w:rPr>
                <w:szCs w:val="22"/>
              </w:rPr>
            </w:pPr>
          </w:p>
          <w:p w14:paraId="74E3724C" w14:textId="77777777" w:rsidR="00D44887" w:rsidRPr="00CE43C7" w:rsidRDefault="00D44887" w:rsidP="002315D8">
            <w:pPr>
              <w:widowControl w:val="0"/>
              <w:rPr>
                <w:szCs w:val="22"/>
              </w:rPr>
            </w:pPr>
          </w:p>
          <w:p w14:paraId="54A4C63E" w14:textId="77777777" w:rsidR="00D44887" w:rsidRDefault="00D44887" w:rsidP="002315D8">
            <w:pPr>
              <w:widowControl w:val="0"/>
              <w:rPr>
                <w:color w:val="000000"/>
                <w:szCs w:val="22"/>
                <w:u w:color="000000"/>
                <w14:textOutline w14:w="0" w14:cap="flat" w14:cmpd="sng" w14:algn="ctr">
                  <w14:noFill/>
                  <w14:prstDash w14:val="solid"/>
                  <w14:bevel/>
                </w14:textOutline>
              </w:rPr>
            </w:pPr>
          </w:p>
        </w:tc>
        <w:tc>
          <w:tcPr>
            <w:tcW w:w="1412" w:type="dxa"/>
            <w:vMerge w:val="restart"/>
            <w:vAlign w:val="center"/>
          </w:tcPr>
          <w:p w14:paraId="50562372"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AP</w:t>
            </w:r>
          </w:p>
        </w:tc>
      </w:tr>
      <w:tr w:rsidR="00D44887" w:rsidRPr="00C6096E" w14:paraId="37F286B2" w14:textId="77777777" w:rsidTr="002315D8">
        <w:trPr>
          <w:trHeight w:val="1125"/>
        </w:trPr>
        <w:tc>
          <w:tcPr>
            <w:tcW w:w="2410" w:type="dxa"/>
            <w:vMerge/>
            <w:tcBorders>
              <w:right w:val="single" w:sz="6" w:space="0" w:color="000000"/>
            </w:tcBorders>
          </w:tcPr>
          <w:p w14:paraId="3010EFF7"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4D2ADA6" w14:textId="77777777" w:rsidR="00D44887" w:rsidRPr="00CE43C7" w:rsidRDefault="00D44887" w:rsidP="002315D8">
            <w:pPr>
              <w:pStyle w:val="Corps"/>
              <w:widowControl/>
              <w:spacing w:before="240" w:after="120"/>
              <w:rPr>
                <w:rStyle w:val="Aucun"/>
                <w:rFonts w:cs="Arial"/>
              </w:rPr>
            </w:pPr>
            <w:r>
              <w:rPr>
                <w:rStyle w:val="Aucun"/>
              </w:rPr>
              <w:t>2.</w:t>
            </w:r>
            <w:r>
              <w:rPr>
                <w:rStyle w:val="Aucun"/>
              </w:rPr>
              <w:tab/>
              <w:t>Les textes sont mis en vigueur dans au moins trois pays</w:t>
            </w:r>
          </w:p>
        </w:tc>
        <w:tc>
          <w:tcPr>
            <w:tcW w:w="2865" w:type="dxa"/>
            <w:vMerge/>
          </w:tcPr>
          <w:p w14:paraId="715C87C0" w14:textId="77777777" w:rsidR="00D44887" w:rsidRPr="00CE43C7" w:rsidRDefault="00D44887" w:rsidP="002315D8">
            <w:pPr>
              <w:widowControl w:val="0"/>
              <w:rPr>
                <w:szCs w:val="22"/>
              </w:rPr>
            </w:pPr>
          </w:p>
        </w:tc>
        <w:tc>
          <w:tcPr>
            <w:tcW w:w="1412" w:type="dxa"/>
            <w:vMerge/>
          </w:tcPr>
          <w:p w14:paraId="05D0D7C6"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r w:rsidR="00D44887" w:rsidRPr="00C6096E" w14:paraId="2534EDD6" w14:textId="77777777" w:rsidTr="002315D8">
        <w:trPr>
          <w:trHeight w:val="1125"/>
        </w:trPr>
        <w:tc>
          <w:tcPr>
            <w:tcW w:w="2410" w:type="dxa"/>
            <w:vMerge/>
            <w:tcBorders>
              <w:right w:val="single" w:sz="6" w:space="0" w:color="000000"/>
            </w:tcBorders>
          </w:tcPr>
          <w:p w14:paraId="6E26243E"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8494699" w14:textId="77777777" w:rsidR="00D44887" w:rsidRPr="00CE43C7" w:rsidRDefault="00D44887" w:rsidP="002315D8">
            <w:pPr>
              <w:pStyle w:val="Corps"/>
              <w:widowControl/>
              <w:spacing w:before="240" w:after="120"/>
              <w:rPr>
                <w:rStyle w:val="Aucun"/>
                <w:rFonts w:cs="Arial"/>
              </w:rPr>
            </w:pPr>
            <w:r>
              <w:rPr>
                <w:rStyle w:val="Aucun"/>
              </w:rPr>
              <w:t>3.</w:t>
            </w:r>
            <w:r>
              <w:rPr>
                <w:rStyle w:val="Aucun"/>
              </w:rPr>
              <w:tab/>
              <w:t>Les conditions de mise en place d’une stratégie pour la coopération sous-régionale sont identifiées</w:t>
            </w:r>
          </w:p>
        </w:tc>
        <w:tc>
          <w:tcPr>
            <w:tcW w:w="2865" w:type="dxa"/>
            <w:vMerge/>
          </w:tcPr>
          <w:p w14:paraId="3E2640F6" w14:textId="77777777" w:rsidR="00D44887" w:rsidRPr="00CE43C7" w:rsidRDefault="00D44887" w:rsidP="002315D8">
            <w:pPr>
              <w:widowControl w:val="0"/>
              <w:rPr>
                <w:szCs w:val="22"/>
              </w:rPr>
            </w:pPr>
          </w:p>
        </w:tc>
        <w:tc>
          <w:tcPr>
            <w:tcW w:w="1412" w:type="dxa"/>
            <w:vMerge/>
          </w:tcPr>
          <w:p w14:paraId="5C96EDFD"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r w:rsidR="00D44887" w:rsidRPr="00C6096E" w14:paraId="49909D57" w14:textId="77777777" w:rsidTr="002315D8">
        <w:trPr>
          <w:trHeight w:val="1518"/>
        </w:trPr>
        <w:tc>
          <w:tcPr>
            <w:tcW w:w="2410" w:type="dxa"/>
            <w:vMerge w:val="restart"/>
            <w:tcBorders>
              <w:right w:val="single" w:sz="6" w:space="0" w:color="000000"/>
            </w:tcBorders>
          </w:tcPr>
          <w:p w14:paraId="7A94E5EF"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 xml:space="preserve">Formation sur la gestion des droits dans chaque pays, copie privée y comprise </w:t>
            </w:r>
          </w:p>
        </w:tc>
        <w:tc>
          <w:tcPr>
            <w:tcW w:w="2695" w:type="dxa"/>
            <w:tcBorders>
              <w:top w:val="single" w:sz="6" w:space="0" w:color="000000"/>
              <w:left w:val="single" w:sz="6" w:space="0" w:color="000000"/>
              <w:bottom w:val="single" w:sz="6" w:space="0" w:color="000000"/>
            </w:tcBorders>
          </w:tcPr>
          <w:p w14:paraId="3D45EEB2" w14:textId="77777777" w:rsidR="00D44887" w:rsidRPr="00CE43C7" w:rsidRDefault="00D44887" w:rsidP="002315D8">
            <w:pPr>
              <w:pStyle w:val="Corps"/>
              <w:widowControl/>
              <w:spacing w:before="240" w:after="120"/>
              <w:rPr>
                <w:rStyle w:val="Aucun"/>
                <w:rFonts w:cs="Arial"/>
              </w:rPr>
            </w:pPr>
            <w:r>
              <w:rPr>
                <w:rStyle w:val="Aucun"/>
              </w:rPr>
              <w:t>1.</w:t>
            </w:r>
            <w:r>
              <w:rPr>
                <w:rStyle w:val="Aucun"/>
              </w:rPr>
              <w:tab/>
              <w:t>Pourcentage de bénéficiaires (groupes d’utilisateurs par pays) ayant évalué de manière positive le contenu</w:t>
            </w:r>
          </w:p>
        </w:tc>
        <w:tc>
          <w:tcPr>
            <w:tcW w:w="2865" w:type="dxa"/>
            <w:vMerge w:val="restart"/>
          </w:tcPr>
          <w:p w14:paraId="3EE2F9A8" w14:textId="77777777" w:rsidR="00D44887" w:rsidRPr="00CE43C7" w:rsidRDefault="00D44887" w:rsidP="002315D8">
            <w:pPr>
              <w:widowControl w:val="0"/>
              <w:rPr>
                <w:szCs w:val="22"/>
              </w:rPr>
            </w:pPr>
          </w:p>
          <w:p w14:paraId="24907774" w14:textId="77777777" w:rsidR="00D44887" w:rsidRPr="00CE43C7" w:rsidRDefault="00D44887" w:rsidP="002315D8">
            <w:pPr>
              <w:widowControl w:val="0"/>
              <w:rPr>
                <w:szCs w:val="22"/>
              </w:rPr>
            </w:pPr>
          </w:p>
          <w:p w14:paraId="55435350" w14:textId="77777777" w:rsidR="00D44887" w:rsidRPr="00CE43C7" w:rsidRDefault="00D44887" w:rsidP="002315D8">
            <w:pPr>
              <w:widowControl w:val="0"/>
              <w:rPr>
                <w:szCs w:val="22"/>
              </w:rPr>
            </w:pPr>
          </w:p>
          <w:p w14:paraId="12E00A6B" w14:textId="77777777" w:rsidR="00D44887" w:rsidRPr="00CE43C7" w:rsidRDefault="00D44887" w:rsidP="002315D8">
            <w:pPr>
              <w:widowControl w:val="0"/>
              <w:rPr>
                <w:szCs w:val="22"/>
              </w:rPr>
            </w:pPr>
          </w:p>
          <w:p w14:paraId="37FC62FE" w14:textId="77777777" w:rsidR="00D44887" w:rsidRPr="00CE43C7" w:rsidRDefault="00D44887" w:rsidP="002315D8">
            <w:pPr>
              <w:widowControl w:val="0"/>
              <w:rPr>
                <w:szCs w:val="22"/>
              </w:rPr>
            </w:pPr>
          </w:p>
          <w:p w14:paraId="686E85FC" w14:textId="77777777" w:rsidR="00D44887" w:rsidRPr="00CE43C7" w:rsidRDefault="00D44887" w:rsidP="002315D8">
            <w:pPr>
              <w:widowControl w:val="0"/>
              <w:rPr>
                <w:szCs w:val="22"/>
              </w:rPr>
            </w:pPr>
          </w:p>
          <w:p w14:paraId="7316FAF9" w14:textId="77777777" w:rsidR="00D44887" w:rsidRPr="00CE43C7" w:rsidRDefault="00D44887" w:rsidP="002315D8">
            <w:pPr>
              <w:widowControl w:val="0"/>
              <w:rPr>
                <w:szCs w:val="22"/>
              </w:rPr>
            </w:pPr>
          </w:p>
          <w:p w14:paraId="53A707E9"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Pas encore commencé</w:t>
            </w:r>
          </w:p>
        </w:tc>
        <w:tc>
          <w:tcPr>
            <w:tcW w:w="1412" w:type="dxa"/>
            <w:vMerge w:val="restart"/>
            <w:vAlign w:val="center"/>
          </w:tcPr>
          <w:p w14:paraId="49E74D63"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AP</w:t>
            </w:r>
          </w:p>
        </w:tc>
      </w:tr>
      <w:tr w:rsidR="00D44887" w:rsidRPr="00C6096E" w14:paraId="792866E6" w14:textId="77777777" w:rsidTr="002315D8">
        <w:trPr>
          <w:trHeight w:val="1210"/>
        </w:trPr>
        <w:tc>
          <w:tcPr>
            <w:tcW w:w="2410" w:type="dxa"/>
            <w:vMerge/>
            <w:tcBorders>
              <w:right w:val="single" w:sz="6" w:space="0" w:color="000000"/>
            </w:tcBorders>
          </w:tcPr>
          <w:p w14:paraId="4BF0EC4B"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4A5E357" w14:textId="77777777" w:rsidR="00D44887" w:rsidRPr="00CE43C7" w:rsidRDefault="00D44887" w:rsidP="002315D8">
            <w:pPr>
              <w:pStyle w:val="Corps"/>
              <w:widowControl/>
              <w:spacing w:before="240" w:after="120"/>
              <w:rPr>
                <w:rStyle w:val="Aucun"/>
                <w:rFonts w:cs="Arial"/>
              </w:rPr>
            </w:pPr>
            <w:r>
              <w:rPr>
                <w:rStyle w:val="Aucun"/>
              </w:rPr>
              <w:t>2.</w:t>
            </w:r>
            <w:r>
              <w:rPr>
                <w:rStyle w:val="Aucun"/>
              </w:rPr>
              <w:tab/>
              <w:t>Les outils et formations sont mis en pratique par les bénéficiaires</w:t>
            </w:r>
          </w:p>
        </w:tc>
        <w:tc>
          <w:tcPr>
            <w:tcW w:w="2865" w:type="dxa"/>
            <w:vMerge/>
          </w:tcPr>
          <w:p w14:paraId="1B0F889A" w14:textId="77777777" w:rsidR="00D44887" w:rsidRPr="00CE43C7" w:rsidRDefault="00D44887" w:rsidP="002315D8">
            <w:pPr>
              <w:widowControl w:val="0"/>
              <w:rPr>
                <w:szCs w:val="22"/>
              </w:rPr>
            </w:pPr>
          </w:p>
        </w:tc>
        <w:tc>
          <w:tcPr>
            <w:tcW w:w="1412" w:type="dxa"/>
            <w:vMerge/>
          </w:tcPr>
          <w:p w14:paraId="3DF8497F"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r w:rsidR="00D44887" w:rsidRPr="00C6096E" w14:paraId="6634EFBF" w14:textId="77777777" w:rsidTr="002315D8">
        <w:trPr>
          <w:trHeight w:val="1210"/>
        </w:trPr>
        <w:tc>
          <w:tcPr>
            <w:tcW w:w="2410" w:type="dxa"/>
            <w:vMerge/>
            <w:tcBorders>
              <w:right w:val="single" w:sz="6" w:space="0" w:color="000000"/>
            </w:tcBorders>
          </w:tcPr>
          <w:p w14:paraId="1E0076A0"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2D38F5A" w14:textId="77777777" w:rsidR="00D44887" w:rsidRPr="00CE43C7" w:rsidRDefault="00D44887" w:rsidP="002315D8">
            <w:pPr>
              <w:pStyle w:val="Corps"/>
              <w:widowControl/>
              <w:spacing w:before="240" w:after="120"/>
              <w:rPr>
                <w:rStyle w:val="Aucun"/>
                <w:rFonts w:cs="Arial"/>
              </w:rPr>
            </w:pPr>
            <w:r>
              <w:rPr>
                <w:rStyle w:val="Aucun"/>
              </w:rPr>
              <w:t>3.</w:t>
            </w:r>
            <w:r>
              <w:rPr>
                <w:rStyle w:val="Aucun"/>
              </w:rPr>
              <w:tab/>
              <w:t>Une coopération plus étroite entre bureaux est instituée sur la base d’accords</w:t>
            </w:r>
          </w:p>
        </w:tc>
        <w:tc>
          <w:tcPr>
            <w:tcW w:w="2865" w:type="dxa"/>
            <w:vMerge/>
          </w:tcPr>
          <w:p w14:paraId="592F1E26" w14:textId="77777777" w:rsidR="00D44887" w:rsidRPr="00CE43C7" w:rsidRDefault="00D44887" w:rsidP="002315D8">
            <w:pPr>
              <w:widowControl w:val="0"/>
              <w:rPr>
                <w:szCs w:val="22"/>
              </w:rPr>
            </w:pPr>
          </w:p>
        </w:tc>
        <w:tc>
          <w:tcPr>
            <w:tcW w:w="1412" w:type="dxa"/>
            <w:vMerge/>
          </w:tcPr>
          <w:p w14:paraId="7FA48951"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r w:rsidR="00D44887" w:rsidRPr="00C6096E" w14:paraId="0E6BF4C7" w14:textId="77777777" w:rsidTr="002315D8">
        <w:trPr>
          <w:trHeight w:val="1125"/>
        </w:trPr>
        <w:tc>
          <w:tcPr>
            <w:tcW w:w="2410" w:type="dxa"/>
            <w:vMerge w:val="restart"/>
            <w:tcBorders>
              <w:right w:val="single" w:sz="6" w:space="0" w:color="000000"/>
            </w:tcBorders>
          </w:tcPr>
          <w:p w14:paraId="17DE4E07"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Élaboration du guide de la jurisprudence pertinente</w:t>
            </w:r>
          </w:p>
        </w:tc>
        <w:tc>
          <w:tcPr>
            <w:tcW w:w="2695" w:type="dxa"/>
            <w:tcBorders>
              <w:top w:val="single" w:sz="6" w:space="0" w:color="000000"/>
              <w:left w:val="single" w:sz="6" w:space="0" w:color="000000"/>
              <w:bottom w:val="single" w:sz="6" w:space="0" w:color="000000"/>
            </w:tcBorders>
          </w:tcPr>
          <w:p w14:paraId="46641BA3" w14:textId="77777777" w:rsidR="00D44887" w:rsidRPr="00CE43C7" w:rsidRDefault="00D44887" w:rsidP="002315D8">
            <w:pPr>
              <w:pStyle w:val="Corps"/>
              <w:widowControl/>
              <w:spacing w:before="240" w:after="120"/>
              <w:rPr>
                <w:rStyle w:val="Aucun"/>
                <w:rFonts w:cs="Arial"/>
              </w:rPr>
            </w:pPr>
            <w:r>
              <w:rPr>
                <w:rStyle w:val="Aucun"/>
              </w:rPr>
              <w:t>1.</w:t>
            </w:r>
            <w:r>
              <w:rPr>
                <w:rStyle w:val="Aucun"/>
              </w:rPr>
              <w:tab/>
              <w:t>Constitution du groupe de travail de deux experts et réunion du groupe</w:t>
            </w:r>
          </w:p>
        </w:tc>
        <w:tc>
          <w:tcPr>
            <w:tcW w:w="2865" w:type="dxa"/>
            <w:vMerge w:val="restart"/>
          </w:tcPr>
          <w:p w14:paraId="098525CB" w14:textId="77777777" w:rsidR="00D44887" w:rsidRPr="00CE43C7" w:rsidRDefault="00D44887" w:rsidP="002315D8">
            <w:pPr>
              <w:widowControl w:val="0"/>
              <w:rPr>
                <w:szCs w:val="22"/>
              </w:rPr>
            </w:pPr>
          </w:p>
          <w:p w14:paraId="54078D99" w14:textId="77777777" w:rsidR="00D44887" w:rsidRPr="00CE43C7" w:rsidRDefault="00D44887" w:rsidP="002315D8">
            <w:pPr>
              <w:widowControl w:val="0"/>
              <w:rPr>
                <w:szCs w:val="22"/>
              </w:rPr>
            </w:pPr>
          </w:p>
          <w:p w14:paraId="40D010E8" w14:textId="77777777" w:rsidR="00D44887" w:rsidRPr="00CE43C7" w:rsidRDefault="00D44887" w:rsidP="002315D8">
            <w:pPr>
              <w:widowControl w:val="0"/>
              <w:rPr>
                <w:szCs w:val="22"/>
              </w:rPr>
            </w:pPr>
          </w:p>
          <w:p w14:paraId="09256475" w14:textId="77777777" w:rsidR="00D44887" w:rsidRPr="00CE43C7" w:rsidRDefault="00D44887" w:rsidP="002315D8">
            <w:pPr>
              <w:widowControl w:val="0"/>
              <w:rPr>
                <w:szCs w:val="22"/>
              </w:rPr>
            </w:pPr>
          </w:p>
          <w:p w14:paraId="7A8B9D9D" w14:textId="77777777" w:rsidR="00D44887" w:rsidRPr="00CE43C7" w:rsidRDefault="00D44887" w:rsidP="002315D8">
            <w:pPr>
              <w:widowControl w:val="0"/>
              <w:rPr>
                <w:szCs w:val="22"/>
              </w:rPr>
            </w:pPr>
          </w:p>
          <w:p w14:paraId="592A8A51" w14:textId="77777777" w:rsidR="00D44887" w:rsidRPr="00CE43C7" w:rsidRDefault="00D44887" w:rsidP="002315D8">
            <w:pPr>
              <w:widowControl w:val="0"/>
              <w:rPr>
                <w:szCs w:val="22"/>
              </w:rPr>
            </w:pPr>
          </w:p>
          <w:p w14:paraId="5009300C"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Pas encore commencé</w:t>
            </w:r>
          </w:p>
        </w:tc>
        <w:tc>
          <w:tcPr>
            <w:tcW w:w="1412" w:type="dxa"/>
            <w:vMerge w:val="restart"/>
            <w:vAlign w:val="center"/>
          </w:tcPr>
          <w:p w14:paraId="0B852869"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AP</w:t>
            </w:r>
          </w:p>
        </w:tc>
      </w:tr>
      <w:tr w:rsidR="00D44887" w:rsidRPr="00C6096E" w14:paraId="6F0D08C2" w14:textId="77777777" w:rsidTr="002315D8">
        <w:trPr>
          <w:trHeight w:val="1125"/>
        </w:trPr>
        <w:tc>
          <w:tcPr>
            <w:tcW w:w="2410" w:type="dxa"/>
            <w:vMerge/>
            <w:tcBorders>
              <w:right w:val="single" w:sz="6" w:space="0" w:color="000000"/>
            </w:tcBorders>
          </w:tcPr>
          <w:p w14:paraId="5E9A2559"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5A97A3DE" w14:textId="77777777" w:rsidR="00D44887" w:rsidRPr="00CE43C7" w:rsidRDefault="00D44887" w:rsidP="002315D8">
            <w:pPr>
              <w:pStyle w:val="Corps"/>
              <w:widowControl/>
              <w:spacing w:before="240" w:after="120"/>
              <w:rPr>
                <w:rStyle w:val="Aucun"/>
                <w:rFonts w:cs="Arial"/>
              </w:rPr>
            </w:pPr>
            <w:r>
              <w:rPr>
                <w:rStyle w:val="Aucun"/>
              </w:rPr>
              <w:t>2.</w:t>
            </w:r>
            <w:r>
              <w:rPr>
                <w:rStyle w:val="Aucun"/>
              </w:rPr>
              <w:tab/>
              <w:t>Numérisation des décisions et mise en ligne à partir de liens hypertextes</w:t>
            </w:r>
          </w:p>
        </w:tc>
        <w:tc>
          <w:tcPr>
            <w:tcW w:w="2865" w:type="dxa"/>
            <w:vMerge/>
          </w:tcPr>
          <w:p w14:paraId="06766201" w14:textId="77777777" w:rsidR="00D44887" w:rsidRPr="00CE43C7" w:rsidRDefault="00D44887" w:rsidP="002315D8">
            <w:pPr>
              <w:widowControl w:val="0"/>
              <w:rPr>
                <w:szCs w:val="22"/>
              </w:rPr>
            </w:pPr>
          </w:p>
        </w:tc>
        <w:tc>
          <w:tcPr>
            <w:tcW w:w="1412" w:type="dxa"/>
            <w:vMerge/>
          </w:tcPr>
          <w:p w14:paraId="069A787D"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r w:rsidR="00D44887" w:rsidRPr="00C6096E" w14:paraId="2412A1C4" w14:textId="77777777" w:rsidTr="002315D8">
        <w:trPr>
          <w:trHeight w:val="929"/>
        </w:trPr>
        <w:tc>
          <w:tcPr>
            <w:tcW w:w="2410" w:type="dxa"/>
            <w:vMerge/>
            <w:tcBorders>
              <w:right w:val="single" w:sz="6" w:space="0" w:color="000000"/>
            </w:tcBorders>
          </w:tcPr>
          <w:p w14:paraId="6215E0E7"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C61E371" w14:textId="77777777" w:rsidR="00D44887" w:rsidRPr="00CE43C7" w:rsidRDefault="00D44887" w:rsidP="002315D8">
            <w:pPr>
              <w:pStyle w:val="Corps"/>
              <w:widowControl/>
              <w:spacing w:before="240" w:after="120"/>
              <w:rPr>
                <w:rStyle w:val="Aucun"/>
                <w:rFonts w:cs="Arial"/>
              </w:rPr>
            </w:pPr>
            <w:r>
              <w:rPr>
                <w:rStyle w:val="Aucun"/>
              </w:rPr>
              <w:t>3.</w:t>
            </w:r>
            <w:r>
              <w:rPr>
                <w:rStyle w:val="Aucun"/>
              </w:rPr>
              <w:tab/>
              <w:t>Les outils développés sont acceptés et mis en pratique</w:t>
            </w:r>
          </w:p>
        </w:tc>
        <w:tc>
          <w:tcPr>
            <w:tcW w:w="2865" w:type="dxa"/>
            <w:vMerge/>
          </w:tcPr>
          <w:p w14:paraId="525F6AF9" w14:textId="77777777" w:rsidR="00D44887" w:rsidRPr="00CE43C7" w:rsidRDefault="00D44887" w:rsidP="002315D8">
            <w:pPr>
              <w:widowControl w:val="0"/>
              <w:rPr>
                <w:szCs w:val="22"/>
              </w:rPr>
            </w:pPr>
          </w:p>
        </w:tc>
        <w:tc>
          <w:tcPr>
            <w:tcW w:w="1412" w:type="dxa"/>
            <w:vMerge/>
          </w:tcPr>
          <w:p w14:paraId="3197B54A"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r w:rsidR="00D44887" w:rsidRPr="00C6096E" w14:paraId="0E50A347" w14:textId="77777777" w:rsidTr="002315D8">
        <w:trPr>
          <w:trHeight w:val="1313"/>
        </w:trPr>
        <w:tc>
          <w:tcPr>
            <w:tcW w:w="2410" w:type="dxa"/>
            <w:vMerge w:val="restart"/>
            <w:tcBorders>
              <w:right w:val="single" w:sz="6" w:space="0" w:color="000000"/>
            </w:tcBorders>
          </w:tcPr>
          <w:p w14:paraId="79D4936C"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 xml:space="preserve">Atelier sous régional sur les contrats à l’intention des auxiliaires de justice </w:t>
            </w:r>
          </w:p>
        </w:tc>
        <w:tc>
          <w:tcPr>
            <w:tcW w:w="2695" w:type="dxa"/>
            <w:tcBorders>
              <w:top w:val="single" w:sz="6" w:space="0" w:color="000000"/>
              <w:left w:val="single" w:sz="6" w:space="0" w:color="000000"/>
              <w:bottom w:val="single" w:sz="6" w:space="0" w:color="000000"/>
            </w:tcBorders>
          </w:tcPr>
          <w:p w14:paraId="6B28916A" w14:textId="77777777" w:rsidR="00D44887" w:rsidRPr="00CE43C7" w:rsidRDefault="00D44887" w:rsidP="002315D8">
            <w:pPr>
              <w:pStyle w:val="Corps"/>
              <w:widowControl/>
              <w:spacing w:before="240" w:after="120"/>
              <w:rPr>
                <w:rStyle w:val="Aucun"/>
                <w:rFonts w:cs="Arial"/>
              </w:rPr>
            </w:pPr>
            <w:r>
              <w:rPr>
                <w:rStyle w:val="Aucun"/>
              </w:rPr>
              <w:t>1.</w:t>
            </w:r>
            <w:r>
              <w:rPr>
                <w:rStyle w:val="Aucun"/>
              </w:rPr>
              <w:tab/>
              <w:t xml:space="preserve">Les outils développés sur la jurisprudence sont acceptés et mis en </w:t>
            </w:r>
            <w:r>
              <w:rPr>
                <w:rStyle w:val="Aucun"/>
              </w:rPr>
              <w:lastRenderedPageBreak/>
              <w:t>pratique par les bénéficiaires</w:t>
            </w:r>
          </w:p>
        </w:tc>
        <w:tc>
          <w:tcPr>
            <w:tcW w:w="2865" w:type="dxa"/>
            <w:vMerge w:val="restart"/>
          </w:tcPr>
          <w:p w14:paraId="0E5F8107" w14:textId="77777777" w:rsidR="00D44887" w:rsidRPr="00CE43C7" w:rsidRDefault="00D44887" w:rsidP="002315D8">
            <w:pPr>
              <w:widowControl w:val="0"/>
              <w:rPr>
                <w:szCs w:val="22"/>
              </w:rPr>
            </w:pPr>
          </w:p>
          <w:p w14:paraId="00E5A437" w14:textId="77777777" w:rsidR="00D44887" w:rsidRPr="00CE43C7" w:rsidRDefault="00D44887" w:rsidP="002315D8">
            <w:pPr>
              <w:widowControl w:val="0"/>
              <w:rPr>
                <w:szCs w:val="22"/>
              </w:rPr>
            </w:pPr>
          </w:p>
          <w:p w14:paraId="04D98E14" w14:textId="77777777" w:rsidR="00D44887" w:rsidRPr="00CE43C7" w:rsidRDefault="00D44887" w:rsidP="002315D8">
            <w:pPr>
              <w:widowControl w:val="0"/>
              <w:rPr>
                <w:szCs w:val="22"/>
              </w:rPr>
            </w:pPr>
          </w:p>
          <w:p w14:paraId="292C3C4E" w14:textId="77777777" w:rsidR="00D44887" w:rsidRPr="00CE43C7" w:rsidRDefault="00D44887" w:rsidP="002315D8">
            <w:pPr>
              <w:widowControl w:val="0"/>
              <w:rPr>
                <w:szCs w:val="22"/>
              </w:rPr>
            </w:pPr>
          </w:p>
          <w:p w14:paraId="211253AA"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Pas encore commencé</w:t>
            </w:r>
          </w:p>
        </w:tc>
        <w:tc>
          <w:tcPr>
            <w:tcW w:w="1412" w:type="dxa"/>
            <w:vMerge w:val="restart"/>
            <w:vAlign w:val="center"/>
          </w:tcPr>
          <w:p w14:paraId="57205458"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AP</w:t>
            </w:r>
          </w:p>
        </w:tc>
      </w:tr>
      <w:tr w:rsidR="00D44887" w:rsidRPr="00C6096E" w14:paraId="3AE6B6A7" w14:textId="77777777" w:rsidTr="002315D8">
        <w:trPr>
          <w:trHeight w:val="1312"/>
        </w:trPr>
        <w:tc>
          <w:tcPr>
            <w:tcW w:w="2410" w:type="dxa"/>
            <w:vMerge/>
            <w:tcBorders>
              <w:right w:val="single" w:sz="6" w:space="0" w:color="000000"/>
            </w:tcBorders>
          </w:tcPr>
          <w:p w14:paraId="46949AC8"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E02C924" w14:textId="77777777" w:rsidR="00D44887" w:rsidRPr="00CE43C7" w:rsidRDefault="00D44887" w:rsidP="002315D8">
            <w:pPr>
              <w:pStyle w:val="Corps"/>
              <w:widowControl/>
              <w:spacing w:before="240" w:after="120"/>
              <w:rPr>
                <w:rStyle w:val="Aucun"/>
                <w:rFonts w:cs="Arial"/>
              </w:rPr>
            </w:pPr>
            <w:r>
              <w:rPr>
                <w:rStyle w:val="Aucun"/>
              </w:rPr>
              <w:t>2.</w:t>
            </w:r>
            <w:r>
              <w:rPr>
                <w:rStyle w:val="Aucun"/>
              </w:rPr>
              <w:tab/>
              <w:t>Pourcentage de bénéficiaires (groupes d’utilisateurs par pays) ayant évalué de manière positive le contenu</w:t>
            </w:r>
          </w:p>
        </w:tc>
        <w:tc>
          <w:tcPr>
            <w:tcW w:w="2865" w:type="dxa"/>
            <w:vMerge/>
          </w:tcPr>
          <w:p w14:paraId="5BEB45CA" w14:textId="77777777" w:rsidR="00D44887" w:rsidRPr="00CE43C7" w:rsidRDefault="00D44887" w:rsidP="002315D8">
            <w:pPr>
              <w:widowControl w:val="0"/>
              <w:rPr>
                <w:szCs w:val="22"/>
              </w:rPr>
            </w:pPr>
          </w:p>
        </w:tc>
        <w:tc>
          <w:tcPr>
            <w:tcW w:w="1412" w:type="dxa"/>
            <w:vMerge/>
            <w:vAlign w:val="center"/>
          </w:tcPr>
          <w:p w14:paraId="6BE13CCF"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r w:rsidR="00D44887" w:rsidRPr="00C6096E" w14:paraId="302A03BD" w14:textId="77777777" w:rsidTr="002315D8">
        <w:trPr>
          <w:trHeight w:val="510"/>
        </w:trPr>
        <w:tc>
          <w:tcPr>
            <w:tcW w:w="2410" w:type="dxa"/>
            <w:tcBorders>
              <w:right w:val="single" w:sz="6" w:space="0" w:color="000000"/>
            </w:tcBorders>
          </w:tcPr>
          <w:p w14:paraId="3FF9FC69"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Module de DL sur la musique dans l’audiovisuel</w:t>
            </w:r>
          </w:p>
        </w:tc>
        <w:tc>
          <w:tcPr>
            <w:tcW w:w="2695" w:type="dxa"/>
            <w:tcBorders>
              <w:top w:val="single" w:sz="6" w:space="0" w:color="000000"/>
              <w:left w:val="single" w:sz="6" w:space="0" w:color="000000"/>
              <w:bottom w:val="single" w:sz="6" w:space="0" w:color="000000"/>
            </w:tcBorders>
          </w:tcPr>
          <w:p w14:paraId="74551684" w14:textId="77777777" w:rsidR="00D44887" w:rsidRPr="00CE43C7" w:rsidRDefault="00D44887" w:rsidP="002315D8">
            <w:pPr>
              <w:pStyle w:val="Salutation"/>
              <w:spacing w:before="240" w:after="120"/>
            </w:pPr>
            <w:r>
              <w:rPr>
                <w:rStyle w:val="Aucun"/>
              </w:rPr>
              <w:t>Le module de formation à distance est mis en œuvre et utilisé par les bénéficiaires</w:t>
            </w:r>
          </w:p>
        </w:tc>
        <w:tc>
          <w:tcPr>
            <w:tcW w:w="2865" w:type="dxa"/>
          </w:tcPr>
          <w:p w14:paraId="7F4DC601" w14:textId="77777777" w:rsidR="00D44887" w:rsidRPr="00CE43C7" w:rsidRDefault="00D44887" w:rsidP="002315D8">
            <w:pPr>
              <w:widowControl w:val="0"/>
              <w:rPr>
                <w:szCs w:val="22"/>
              </w:rPr>
            </w:pPr>
          </w:p>
          <w:p w14:paraId="65B1FE89"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Pas encore commencé</w:t>
            </w:r>
          </w:p>
        </w:tc>
        <w:tc>
          <w:tcPr>
            <w:tcW w:w="1412" w:type="dxa"/>
            <w:vAlign w:val="center"/>
          </w:tcPr>
          <w:p w14:paraId="787EB671"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AP</w:t>
            </w:r>
          </w:p>
        </w:tc>
      </w:tr>
      <w:tr w:rsidR="00D44887" w:rsidRPr="00C6096E" w14:paraId="06783BBE" w14:textId="77777777" w:rsidTr="002315D8">
        <w:trPr>
          <w:trHeight w:val="1185"/>
        </w:trPr>
        <w:tc>
          <w:tcPr>
            <w:tcW w:w="2410" w:type="dxa"/>
            <w:vMerge w:val="restart"/>
            <w:tcBorders>
              <w:right w:val="single" w:sz="6" w:space="0" w:color="000000"/>
            </w:tcBorders>
          </w:tcPr>
          <w:p w14:paraId="56DE38B5"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Dialogue/formations régulateurs</w:t>
            </w:r>
          </w:p>
        </w:tc>
        <w:tc>
          <w:tcPr>
            <w:tcW w:w="2695" w:type="dxa"/>
            <w:tcBorders>
              <w:top w:val="single" w:sz="6" w:space="0" w:color="000000"/>
              <w:left w:val="single" w:sz="6" w:space="0" w:color="000000"/>
              <w:bottom w:val="single" w:sz="6" w:space="0" w:color="000000"/>
            </w:tcBorders>
          </w:tcPr>
          <w:p w14:paraId="263269CC" w14:textId="77777777" w:rsidR="00D44887" w:rsidRPr="00E078FB" w:rsidRDefault="00D44887" w:rsidP="002315D8">
            <w:pPr>
              <w:pStyle w:val="Corps"/>
              <w:widowControl/>
              <w:spacing w:before="240" w:after="120"/>
              <w:rPr>
                <w:rStyle w:val="Aucun"/>
                <w:rFonts w:cs="Arial"/>
              </w:rPr>
            </w:pPr>
            <w:r>
              <w:rPr>
                <w:rStyle w:val="Aucun"/>
              </w:rPr>
              <w:t>1.</w:t>
            </w:r>
            <w:r>
              <w:rPr>
                <w:rStyle w:val="Aucun"/>
              </w:rPr>
              <w:tab/>
              <w:t>Au moins deux réunions multipays organisées avec les régulateurs</w:t>
            </w:r>
          </w:p>
        </w:tc>
        <w:tc>
          <w:tcPr>
            <w:tcW w:w="2865" w:type="dxa"/>
            <w:vMerge w:val="restart"/>
          </w:tcPr>
          <w:p w14:paraId="77117C1E" w14:textId="77777777" w:rsidR="00D44887" w:rsidRPr="00CE43C7" w:rsidRDefault="00D44887" w:rsidP="002315D8">
            <w:pPr>
              <w:widowControl w:val="0"/>
              <w:rPr>
                <w:szCs w:val="22"/>
              </w:rPr>
            </w:pPr>
          </w:p>
          <w:p w14:paraId="74D36FE6" w14:textId="77777777" w:rsidR="00D44887" w:rsidRPr="00CE43C7" w:rsidRDefault="00D44887" w:rsidP="002315D8">
            <w:pPr>
              <w:widowControl w:val="0"/>
              <w:rPr>
                <w:szCs w:val="22"/>
              </w:rPr>
            </w:pPr>
          </w:p>
          <w:p w14:paraId="6E78C50F" w14:textId="77777777" w:rsidR="00D44887" w:rsidRPr="00CE43C7" w:rsidRDefault="00D44887" w:rsidP="002315D8">
            <w:pPr>
              <w:widowControl w:val="0"/>
              <w:rPr>
                <w:szCs w:val="22"/>
              </w:rPr>
            </w:pPr>
          </w:p>
          <w:p w14:paraId="2A2CD00E" w14:textId="77777777" w:rsidR="00D44887" w:rsidRPr="00CE43C7" w:rsidRDefault="00D44887" w:rsidP="002315D8">
            <w:pPr>
              <w:widowControl w:val="0"/>
              <w:rPr>
                <w:szCs w:val="22"/>
              </w:rPr>
            </w:pPr>
            <w:r>
              <w:rPr>
                <w:color w:val="000000"/>
                <w:u w:color="000000"/>
                <w14:textOutline w14:w="0" w14:cap="flat" w14:cmpd="sng" w14:algn="ctr">
                  <w14:noFill/>
                  <w14:prstDash w14:val="solid"/>
                  <w14:bevel/>
                </w14:textOutline>
              </w:rPr>
              <w:t>Pas encore commencé</w:t>
            </w:r>
          </w:p>
        </w:tc>
        <w:tc>
          <w:tcPr>
            <w:tcW w:w="1412" w:type="dxa"/>
            <w:vMerge w:val="restart"/>
            <w:vAlign w:val="center"/>
          </w:tcPr>
          <w:p w14:paraId="14366974"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AP</w:t>
            </w:r>
          </w:p>
        </w:tc>
      </w:tr>
      <w:tr w:rsidR="00D44887" w:rsidRPr="00C6096E" w14:paraId="591B0CBF" w14:textId="77777777" w:rsidTr="002315D8">
        <w:trPr>
          <w:trHeight w:val="1185"/>
        </w:trPr>
        <w:tc>
          <w:tcPr>
            <w:tcW w:w="2410" w:type="dxa"/>
            <w:vMerge/>
            <w:tcBorders>
              <w:right w:val="single" w:sz="6" w:space="0" w:color="000000"/>
            </w:tcBorders>
          </w:tcPr>
          <w:p w14:paraId="4D98AF21"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5836D49" w14:textId="77777777" w:rsidR="00D44887" w:rsidRPr="00CE43C7" w:rsidRDefault="00D44887" w:rsidP="002315D8">
            <w:pPr>
              <w:pStyle w:val="Corps"/>
              <w:widowControl/>
              <w:spacing w:before="240" w:after="120"/>
              <w:rPr>
                <w:rStyle w:val="Aucun"/>
                <w:rFonts w:cs="Arial"/>
              </w:rPr>
            </w:pPr>
            <w:r>
              <w:rPr>
                <w:rStyle w:val="Aucun"/>
              </w:rPr>
              <w:t>2.</w:t>
            </w:r>
            <w:r>
              <w:rPr>
                <w:rStyle w:val="Aucun"/>
              </w:rPr>
              <w:tab/>
              <w:t>Au moins deux pays modifient leur cahier des charges/législation sur la régulation</w:t>
            </w:r>
          </w:p>
        </w:tc>
        <w:tc>
          <w:tcPr>
            <w:tcW w:w="2865" w:type="dxa"/>
            <w:vMerge/>
          </w:tcPr>
          <w:p w14:paraId="4E0483BA" w14:textId="77777777" w:rsidR="00D44887" w:rsidRPr="00CE43C7" w:rsidRDefault="00D44887" w:rsidP="002315D8">
            <w:pPr>
              <w:widowControl w:val="0"/>
              <w:rPr>
                <w:szCs w:val="22"/>
              </w:rPr>
            </w:pPr>
          </w:p>
        </w:tc>
        <w:tc>
          <w:tcPr>
            <w:tcW w:w="1412" w:type="dxa"/>
            <w:vMerge/>
          </w:tcPr>
          <w:p w14:paraId="1E3E5A4D" w14:textId="77777777" w:rsidR="00D44887" w:rsidRPr="00CE43C7" w:rsidRDefault="00D44887" w:rsidP="002315D8">
            <w:pPr>
              <w:pStyle w:val="TableParagraph"/>
              <w:rPr>
                <w:color w:val="000000"/>
                <w:u w:color="000000"/>
                <w14:textOutline w14:w="0" w14:cap="flat" w14:cmpd="sng" w14:algn="ctr">
                  <w14:noFill/>
                  <w14:prstDash w14:val="solid"/>
                  <w14:bevel/>
                </w14:textOutline>
              </w:rPr>
            </w:pPr>
          </w:p>
        </w:tc>
      </w:tr>
    </w:tbl>
    <w:p w14:paraId="681D4020" w14:textId="72388254" w:rsidR="00D44887" w:rsidRDefault="00D44887" w:rsidP="00D44887">
      <w:pPr>
        <w:pStyle w:val="Endofdocument-Annex"/>
        <w:spacing w:before="720"/>
      </w:pPr>
      <w:r>
        <w:t>[L’annexe VII suit]</w:t>
      </w:r>
    </w:p>
    <w:p w14:paraId="38459619" w14:textId="608C1AC8" w:rsidR="00D44887" w:rsidRDefault="00D44887" w:rsidP="00D44887">
      <w:pPr>
        <w:sectPr w:rsidR="00D44887" w:rsidSect="00CF07C0">
          <w:headerReference w:type="even" r:id="rId75"/>
          <w:headerReference w:type="default" r:id="rId76"/>
          <w:footerReference w:type="even" r:id="rId77"/>
          <w:footerReference w:type="default" r:id="rId78"/>
          <w:headerReference w:type="first" r:id="rId79"/>
          <w:footerReference w:type="first" r:id="rId80"/>
          <w:pgSz w:w="11907" w:h="16840" w:code="9"/>
          <w:pgMar w:top="1418" w:right="1418" w:bottom="1418" w:left="1418"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D44887" w:rsidRPr="00957BD5" w14:paraId="5E61D654" w14:textId="77777777" w:rsidTr="002315D8">
        <w:trPr>
          <w:trHeight w:val="431"/>
        </w:trPr>
        <w:tc>
          <w:tcPr>
            <w:tcW w:w="9290" w:type="dxa"/>
            <w:gridSpan w:val="2"/>
            <w:vAlign w:val="center"/>
          </w:tcPr>
          <w:p w14:paraId="609C11C0" w14:textId="77777777" w:rsidR="00D44887" w:rsidRPr="003C4EAA" w:rsidRDefault="00D44887" w:rsidP="002315D8">
            <w:pPr>
              <w:pStyle w:val="TableParagraph"/>
              <w:spacing w:before="88"/>
              <w:ind w:left="110"/>
            </w:pPr>
            <w:r>
              <w:lastRenderedPageBreak/>
              <w:t>RÉSUMÉ DU PROJET</w:t>
            </w:r>
          </w:p>
        </w:tc>
      </w:tr>
      <w:tr w:rsidR="00D44887" w:rsidRPr="00957BD5" w14:paraId="39B53AB6" w14:textId="77777777" w:rsidTr="002315D8">
        <w:trPr>
          <w:trHeight w:val="324"/>
        </w:trPr>
        <w:tc>
          <w:tcPr>
            <w:tcW w:w="2377" w:type="dxa"/>
            <w:shd w:val="clear" w:color="auto" w:fill="68E089"/>
            <w:vAlign w:val="center"/>
          </w:tcPr>
          <w:p w14:paraId="6A683DB6" w14:textId="77777777" w:rsidR="00D44887" w:rsidRPr="003C4EAA" w:rsidRDefault="00D44887" w:rsidP="002315D8">
            <w:pPr>
              <w:pStyle w:val="TableParagraph"/>
              <w:ind w:left="110"/>
            </w:pPr>
            <w:r>
              <w:rPr>
                <w:u w:val="single"/>
              </w:rPr>
              <w:t>Code du projet</w:t>
            </w:r>
          </w:p>
        </w:tc>
        <w:tc>
          <w:tcPr>
            <w:tcW w:w="6913" w:type="dxa"/>
            <w:vAlign w:val="center"/>
          </w:tcPr>
          <w:p w14:paraId="3C147038" w14:textId="77777777" w:rsidR="00D44887" w:rsidRPr="003C4EAA" w:rsidRDefault="00D44887" w:rsidP="002315D8">
            <w:pPr>
              <w:pStyle w:val="TableParagraph"/>
              <w:ind w:left="109"/>
            </w:pPr>
          </w:p>
          <w:p w14:paraId="7721ECE8" w14:textId="77777777" w:rsidR="00D44887" w:rsidRDefault="00D44887" w:rsidP="002315D8">
            <w:pPr>
              <w:pStyle w:val="TableParagraph"/>
              <w:ind w:left="109"/>
            </w:pPr>
            <w:r>
              <w:t>DA_1_4_10_12_19_24_27_01</w:t>
            </w:r>
          </w:p>
          <w:p w14:paraId="6B8A74F1" w14:textId="77777777" w:rsidR="00D44887" w:rsidRPr="003C4EAA" w:rsidRDefault="00D44887" w:rsidP="002315D8">
            <w:pPr>
              <w:pStyle w:val="TableParagraph"/>
              <w:ind w:left="109"/>
            </w:pPr>
          </w:p>
        </w:tc>
      </w:tr>
      <w:tr w:rsidR="00D44887" w:rsidRPr="00957BD5" w14:paraId="086A4334" w14:textId="77777777" w:rsidTr="002315D8">
        <w:trPr>
          <w:trHeight w:val="342"/>
        </w:trPr>
        <w:tc>
          <w:tcPr>
            <w:tcW w:w="2377" w:type="dxa"/>
            <w:shd w:val="clear" w:color="auto" w:fill="68E089"/>
            <w:vAlign w:val="center"/>
          </w:tcPr>
          <w:p w14:paraId="789A2703" w14:textId="77777777" w:rsidR="00D44887" w:rsidRPr="003C4EAA" w:rsidRDefault="00D44887" w:rsidP="002315D8">
            <w:pPr>
              <w:pStyle w:val="TableParagraph"/>
              <w:spacing w:before="1"/>
              <w:ind w:left="110"/>
            </w:pPr>
            <w:r>
              <w:rPr>
                <w:u w:val="single"/>
              </w:rPr>
              <w:t>Intitulé</w:t>
            </w:r>
          </w:p>
        </w:tc>
        <w:tc>
          <w:tcPr>
            <w:tcW w:w="6913" w:type="dxa"/>
            <w:vAlign w:val="center"/>
          </w:tcPr>
          <w:p w14:paraId="4CD7A88F" w14:textId="76B21D84" w:rsidR="00D44887" w:rsidRPr="003C4EAA" w:rsidRDefault="00111FE8" w:rsidP="002315D8">
            <w:pPr>
              <w:pStyle w:val="TableParagraph"/>
              <w:spacing w:before="1"/>
              <w:ind w:left="109"/>
            </w:pPr>
            <w:hyperlink r:id="rId81" w:history="1">
              <w:r w:rsidR="00D44887">
                <w:rPr>
                  <w:rStyle w:val="Hyperlink"/>
                </w:rPr>
                <w:t>Promotion de l’utilisation de la propriété intellectuelle dans les industries de la création des pays en développement à l’ère du numérique</w:t>
              </w:r>
            </w:hyperlink>
          </w:p>
        </w:tc>
      </w:tr>
      <w:tr w:rsidR="00D44887" w:rsidRPr="00957BD5" w14:paraId="39EF427E" w14:textId="77777777" w:rsidTr="002315D8">
        <w:trPr>
          <w:trHeight w:val="531"/>
        </w:trPr>
        <w:tc>
          <w:tcPr>
            <w:tcW w:w="2377" w:type="dxa"/>
            <w:shd w:val="clear" w:color="auto" w:fill="68E089"/>
            <w:vAlign w:val="center"/>
          </w:tcPr>
          <w:p w14:paraId="6FA0DFC7" w14:textId="2A2349D0" w:rsidR="00D44887" w:rsidRPr="003C4EAA" w:rsidRDefault="00111FE8" w:rsidP="002315D8">
            <w:pPr>
              <w:pStyle w:val="TableParagraph"/>
              <w:ind w:left="110" w:right="121"/>
            </w:pPr>
            <w:hyperlink r:id="rId82" w:history="1">
              <w:r w:rsidR="00D44887">
                <w:rPr>
                  <w:rStyle w:val="Hyperlink"/>
                </w:rPr>
                <w:t>Recommandation(s) du Plan d’action pour le développement</w:t>
              </w:r>
            </w:hyperlink>
          </w:p>
        </w:tc>
        <w:tc>
          <w:tcPr>
            <w:tcW w:w="6913" w:type="dxa"/>
            <w:vAlign w:val="center"/>
          </w:tcPr>
          <w:p w14:paraId="09B5D6D9" w14:textId="77777777" w:rsidR="00D44887" w:rsidRDefault="00D44887" w:rsidP="002315D8">
            <w:pPr>
              <w:pStyle w:val="TableParagraph"/>
              <w:ind w:left="109" w:right="880"/>
            </w:pPr>
            <w:r>
              <w:t>Recommandations n</w:t>
            </w:r>
            <w:r>
              <w:rPr>
                <w:vertAlign w:val="superscript"/>
              </w:rPr>
              <w:t>os</w:t>
            </w:r>
            <w:r>
              <w:t> 1, 4, 10, 12, 19, 24 et 27.</w:t>
            </w:r>
          </w:p>
          <w:p w14:paraId="1FFFF88F" w14:textId="77777777" w:rsidR="00D44887" w:rsidRPr="003C4EAA" w:rsidRDefault="00D44887" w:rsidP="002315D8">
            <w:pPr>
              <w:pStyle w:val="TableParagraph"/>
              <w:ind w:left="109" w:right="880"/>
            </w:pPr>
          </w:p>
        </w:tc>
      </w:tr>
      <w:tr w:rsidR="00D44887" w:rsidRPr="00957BD5" w14:paraId="5C9F6B43" w14:textId="77777777" w:rsidTr="002315D8">
        <w:trPr>
          <w:trHeight w:val="621"/>
        </w:trPr>
        <w:tc>
          <w:tcPr>
            <w:tcW w:w="2377" w:type="dxa"/>
            <w:shd w:val="clear" w:color="auto" w:fill="68E089"/>
            <w:vAlign w:val="center"/>
          </w:tcPr>
          <w:p w14:paraId="2AD6AC9F" w14:textId="77777777" w:rsidR="00D44887" w:rsidRPr="003C4EAA" w:rsidRDefault="00D44887" w:rsidP="002315D8">
            <w:pPr>
              <w:pStyle w:val="TableParagraph"/>
              <w:ind w:left="110"/>
            </w:pPr>
            <w:r>
              <w:rPr>
                <w:u w:val="single"/>
              </w:rPr>
              <w:t>Budget du projet</w:t>
            </w:r>
          </w:p>
        </w:tc>
        <w:tc>
          <w:tcPr>
            <w:tcW w:w="6913" w:type="dxa"/>
            <w:vAlign w:val="center"/>
          </w:tcPr>
          <w:p w14:paraId="08A9293B" w14:textId="77777777" w:rsidR="00D44887" w:rsidRPr="003C4EAA" w:rsidRDefault="00D44887" w:rsidP="002315D8">
            <w:pPr>
              <w:pStyle w:val="TableParagraph"/>
              <w:ind w:left="109" w:right="720"/>
            </w:pPr>
            <w:r>
              <w:t>Le budget total alloué aux dépenses autres que les dépenses de personnel s’élève à 795 000 francs suisses.</w:t>
            </w:r>
          </w:p>
        </w:tc>
      </w:tr>
      <w:tr w:rsidR="00D44887" w:rsidRPr="00957BD5" w14:paraId="114806A8" w14:textId="77777777" w:rsidTr="002315D8">
        <w:trPr>
          <w:trHeight w:val="531"/>
        </w:trPr>
        <w:tc>
          <w:tcPr>
            <w:tcW w:w="2377" w:type="dxa"/>
            <w:shd w:val="clear" w:color="auto" w:fill="68E089"/>
            <w:vAlign w:val="center"/>
          </w:tcPr>
          <w:p w14:paraId="6AE2D755" w14:textId="77777777" w:rsidR="00D44887" w:rsidRPr="003C4EAA" w:rsidRDefault="00D44887" w:rsidP="002315D8">
            <w:pPr>
              <w:pStyle w:val="TableParagraph"/>
              <w:spacing w:before="1"/>
              <w:ind w:left="110"/>
            </w:pPr>
            <w:r>
              <w:rPr>
                <w:u w:val="single"/>
              </w:rPr>
              <w:t>Date de début du projet</w:t>
            </w:r>
          </w:p>
        </w:tc>
        <w:tc>
          <w:tcPr>
            <w:tcW w:w="6913" w:type="dxa"/>
            <w:vAlign w:val="center"/>
          </w:tcPr>
          <w:p w14:paraId="1B6BCA99" w14:textId="77777777" w:rsidR="00D44887" w:rsidRPr="003C4EAA" w:rsidRDefault="00D44887" w:rsidP="002315D8">
            <w:pPr>
              <w:pStyle w:val="TableParagraph"/>
              <w:spacing w:before="1"/>
              <w:ind w:left="109"/>
            </w:pPr>
            <w:r>
              <w:t>La phase zéro (préparation) du projet a débuté en janvier.  La mise en œuvre effective du projet a commencé en avril 2022.</w:t>
            </w:r>
          </w:p>
        </w:tc>
      </w:tr>
      <w:tr w:rsidR="00D44887" w:rsidRPr="00957BD5" w14:paraId="46A50CA0" w14:textId="77777777" w:rsidTr="002315D8">
        <w:trPr>
          <w:trHeight w:val="531"/>
        </w:trPr>
        <w:tc>
          <w:tcPr>
            <w:tcW w:w="2377" w:type="dxa"/>
            <w:shd w:val="clear" w:color="auto" w:fill="68E089"/>
            <w:vAlign w:val="center"/>
          </w:tcPr>
          <w:p w14:paraId="133421EB" w14:textId="77777777" w:rsidR="00D44887" w:rsidRPr="003C4EAA" w:rsidRDefault="00D44887" w:rsidP="002315D8">
            <w:pPr>
              <w:pStyle w:val="TableParagraph"/>
              <w:ind w:left="110"/>
            </w:pPr>
            <w:r>
              <w:rPr>
                <w:u w:val="single"/>
              </w:rPr>
              <w:t>Durée du projet</w:t>
            </w:r>
          </w:p>
        </w:tc>
        <w:tc>
          <w:tcPr>
            <w:tcW w:w="6913" w:type="dxa"/>
            <w:vAlign w:val="center"/>
          </w:tcPr>
          <w:p w14:paraId="5205E167" w14:textId="77777777" w:rsidR="00D44887" w:rsidRPr="003C4EAA" w:rsidRDefault="00D44887" w:rsidP="002315D8">
            <w:pPr>
              <w:pStyle w:val="TableParagraph"/>
              <w:ind w:left="109"/>
            </w:pPr>
            <w:r>
              <w:t>36 mois</w:t>
            </w:r>
          </w:p>
        </w:tc>
      </w:tr>
      <w:tr w:rsidR="00D44887" w:rsidRPr="00957BD5" w14:paraId="7F3A7AF1" w14:textId="77777777" w:rsidTr="002315D8">
        <w:trPr>
          <w:trHeight w:val="801"/>
        </w:trPr>
        <w:tc>
          <w:tcPr>
            <w:tcW w:w="2377" w:type="dxa"/>
            <w:shd w:val="clear" w:color="auto" w:fill="68E089"/>
            <w:vAlign w:val="center"/>
          </w:tcPr>
          <w:p w14:paraId="35A45967" w14:textId="3D44D308" w:rsidR="00D44887" w:rsidRPr="003C4EAA" w:rsidRDefault="00D44887" w:rsidP="00A67641">
            <w:pPr>
              <w:pStyle w:val="TableParagraph"/>
              <w:ind w:left="110"/>
              <w:rPr>
                <w:u w:val="single"/>
              </w:rPr>
            </w:pPr>
            <w:r>
              <w:rPr>
                <w:u w:val="single"/>
              </w:rPr>
              <w:t>Principaux secteurs/domaines</w:t>
            </w:r>
            <w:r w:rsidR="00A67641">
              <w:rPr>
                <w:u w:val="single"/>
              </w:rPr>
              <w:t xml:space="preserve"> </w:t>
            </w:r>
            <w:r>
              <w:rPr>
                <w:u w:val="single"/>
              </w:rPr>
              <w:t>de l’OMPI concernés</w:t>
            </w:r>
          </w:p>
        </w:tc>
        <w:tc>
          <w:tcPr>
            <w:tcW w:w="6913" w:type="dxa"/>
            <w:vAlign w:val="center"/>
          </w:tcPr>
          <w:p w14:paraId="7D068C1F" w14:textId="77777777" w:rsidR="00D44887" w:rsidRPr="003C4EAA" w:rsidRDefault="00D44887" w:rsidP="002315D8">
            <w:pPr>
              <w:pStyle w:val="TableParagraph"/>
              <w:ind w:left="109" w:right="531"/>
            </w:pPr>
            <w:r>
              <w:t xml:space="preserve">Secteur du droit d’auteur et des industries de la création, Division de l’information et de la communication numérique et Secteur du développement régional et national </w:t>
            </w:r>
          </w:p>
        </w:tc>
      </w:tr>
      <w:tr w:rsidR="00D44887" w:rsidRPr="00957BD5" w14:paraId="53363012" w14:textId="77777777" w:rsidTr="002315D8">
        <w:trPr>
          <w:trHeight w:val="621"/>
        </w:trPr>
        <w:tc>
          <w:tcPr>
            <w:tcW w:w="2377" w:type="dxa"/>
            <w:shd w:val="clear" w:color="auto" w:fill="68E089"/>
            <w:vAlign w:val="center"/>
          </w:tcPr>
          <w:p w14:paraId="018B6F28" w14:textId="77777777" w:rsidR="00D44887" w:rsidRPr="003C4EAA" w:rsidRDefault="00D44887" w:rsidP="002315D8">
            <w:pPr>
              <w:pStyle w:val="TableParagraph"/>
              <w:ind w:left="110" w:right="394"/>
            </w:pPr>
            <w:r>
              <w:rPr>
                <w:u w:val="single"/>
              </w:rPr>
              <w:t>Brève description du projet</w:t>
            </w:r>
          </w:p>
        </w:tc>
        <w:tc>
          <w:tcPr>
            <w:tcW w:w="6913" w:type="dxa"/>
            <w:vAlign w:val="center"/>
          </w:tcPr>
          <w:p w14:paraId="5D3411E5" w14:textId="77777777" w:rsidR="00D44887" w:rsidRDefault="00D44887" w:rsidP="002315D8">
            <w:pPr>
              <w:pStyle w:val="TableParagraph"/>
              <w:ind w:left="109"/>
            </w:pPr>
            <w:r>
              <w:t>Le projet proposé vise à renforcer les industries de la création grâce à la promotion de l’utilisation du système de propriété intellectuelle par les entreprises locales, ainsi qu’à développer les capacités des administrations des pays participants chargées de la propriété intellectuelle compte tenu des changements associés à l’ère du numérique.</w:t>
            </w:r>
          </w:p>
          <w:p w14:paraId="319F5928" w14:textId="77777777" w:rsidR="00D44887" w:rsidRPr="003C4EAA" w:rsidRDefault="00D44887" w:rsidP="002315D8">
            <w:pPr>
              <w:pStyle w:val="TableParagraph"/>
              <w:ind w:left="109"/>
            </w:pPr>
          </w:p>
          <w:p w14:paraId="492C261A" w14:textId="77777777" w:rsidR="00D44887" w:rsidRDefault="00D44887" w:rsidP="002315D8">
            <w:pPr>
              <w:pStyle w:val="TableParagraph"/>
              <w:ind w:left="109"/>
            </w:pPr>
            <w:r>
              <w:t>Le projet vise en particulier : 1) à donner aux parties prenantes des industries de la création les moyens nécessaires pour protéger, gérer, exploiter et faire respecter les droits de propriété intellectuelle afin de favoriser la commercialisation de produits et de services culturels et créatifs;  et 2) à créer des réseaux regroupant les acteurs des industries de la création locales afin de favoriser le transfert d’information et la coopération et d’améliorer la performance du marché.</w:t>
            </w:r>
          </w:p>
          <w:p w14:paraId="3DBE93BB" w14:textId="77777777" w:rsidR="00D44887" w:rsidRPr="003C4EAA" w:rsidRDefault="00D44887" w:rsidP="002315D8">
            <w:pPr>
              <w:pStyle w:val="TableParagraph"/>
              <w:ind w:left="109"/>
            </w:pPr>
          </w:p>
        </w:tc>
      </w:tr>
      <w:tr w:rsidR="00D44887" w:rsidRPr="00957BD5" w14:paraId="597ED78A" w14:textId="77777777" w:rsidTr="002315D8">
        <w:trPr>
          <w:trHeight w:val="432"/>
        </w:trPr>
        <w:tc>
          <w:tcPr>
            <w:tcW w:w="2377" w:type="dxa"/>
            <w:shd w:val="clear" w:color="auto" w:fill="68E089"/>
            <w:vAlign w:val="center"/>
          </w:tcPr>
          <w:p w14:paraId="60DEF2C9" w14:textId="77777777" w:rsidR="00D44887" w:rsidRPr="003C4EAA" w:rsidRDefault="00D44887" w:rsidP="002315D8">
            <w:pPr>
              <w:pStyle w:val="TableParagraph"/>
              <w:spacing w:before="1"/>
              <w:ind w:left="110"/>
            </w:pPr>
            <w:r>
              <w:rPr>
                <w:u w:val="single"/>
              </w:rPr>
              <w:t>Chef de projet</w:t>
            </w:r>
          </w:p>
        </w:tc>
        <w:tc>
          <w:tcPr>
            <w:tcW w:w="6913" w:type="dxa"/>
            <w:vAlign w:val="center"/>
          </w:tcPr>
          <w:p w14:paraId="6414F776" w14:textId="77777777" w:rsidR="00D44887" w:rsidRPr="003C4EAA" w:rsidRDefault="00D44887" w:rsidP="002315D8">
            <w:pPr>
              <w:pStyle w:val="TableParagraph"/>
              <w:ind w:left="109"/>
            </w:pPr>
            <w:r>
              <w:t>M. Dimiter Gantchev, directeur adjoint et responsable principal, Division de l’information et de la communication numérique, Secteur du droit d’auteur et des industries de la création</w:t>
            </w:r>
          </w:p>
          <w:p w14:paraId="13666008" w14:textId="77777777" w:rsidR="00D44887" w:rsidRPr="003C4EAA" w:rsidRDefault="00D44887" w:rsidP="002315D8">
            <w:pPr>
              <w:pStyle w:val="TableParagraph"/>
              <w:ind w:left="109"/>
            </w:pPr>
          </w:p>
        </w:tc>
      </w:tr>
      <w:tr w:rsidR="00D44887" w:rsidRPr="00957BD5" w14:paraId="672FA748" w14:textId="77777777" w:rsidTr="002315D8">
        <w:trPr>
          <w:trHeight w:val="891"/>
        </w:trPr>
        <w:tc>
          <w:tcPr>
            <w:tcW w:w="2377" w:type="dxa"/>
            <w:shd w:val="clear" w:color="auto" w:fill="68E089"/>
            <w:vAlign w:val="center"/>
          </w:tcPr>
          <w:p w14:paraId="721FB1A8" w14:textId="26D389F4" w:rsidR="00D44887" w:rsidRPr="003C4EAA" w:rsidRDefault="00D44887" w:rsidP="002315D8">
            <w:pPr>
              <w:pStyle w:val="TableParagraph"/>
              <w:spacing w:before="1"/>
              <w:ind w:left="110" w:right="221"/>
            </w:pPr>
            <w:r>
              <w:rPr>
                <w:u w:val="single"/>
              </w:rPr>
              <w:t>Liens avec les résultats escomptés dans le</w:t>
            </w:r>
            <w:r>
              <w:t xml:space="preserve"> </w:t>
            </w:r>
            <w:hyperlink r:id="rId83" w:history="1">
              <w:r>
                <w:rPr>
                  <w:rStyle w:val="Hyperlink"/>
                </w:rPr>
                <w:t>programme de travail et le budget pour 2022-2023</w:t>
              </w:r>
            </w:hyperlink>
          </w:p>
        </w:tc>
        <w:tc>
          <w:tcPr>
            <w:tcW w:w="6913" w:type="dxa"/>
            <w:vAlign w:val="center"/>
          </w:tcPr>
          <w:p w14:paraId="44EF62C8" w14:textId="77777777" w:rsidR="00D44887" w:rsidRPr="003C4EAA" w:rsidRDefault="00D44887" w:rsidP="002315D8">
            <w:pPr>
              <w:pStyle w:val="TableParagraph"/>
              <w:ind w:left="109"/>
            </w:pPr>
            <w:r>
              <w:t>4.1 Utilisation plus efficace de la propriété intellectuelle au service de la croissance et du développement de l’ensemble des États membres et de leurs régions et sous-régions respectives, notamment grâce à l’intégration des recommandations du Plan d’action pour le développement.</w:t>
            </w:r>
          </w:p>
          <w:p w14:paraId="2EAD6A19" w14:textId="77777777" w:rsidR="00D44887" w:rsidRPr="003C4EAA" w:rsidRDefault="00D44887" w:rsidP="002315D8">
            <w:pPr>
              <w:pStyle w:val="TableParagraph"/>
              <w:ind w:left="109"/>
            </w:pPr>
          </w:p>
          <w:p w14:paraId="4DCC19F2" w14:textId="77777777" w:rsidR="00D44887" w:rsidRPr="003C4EAA" w:rsidRDefault="00D44887" w:rsidP="002315D8">
            <w:pPr>
              <w:pStyle w:val="TableParagraph"/>
              <w:ind w:left="109"/>
            </w:pPr>
            <w:r>
              <w:t>4.2 Mise en place d’écosystèmes équilibrés et efficaces en matière de propriété intellectuelle, d’innovation et de création dans les États membres.</w:t>
            </w:r>
          </w:p>
          <w:p w14:paraId="2A0C4317" w14:textId="77777777" w:rsidR="00D44887" w:rsidRPr="003C4EAA" w:rsidRDefault="00D44887" w:rsidP="002315D8">
            <w:pPr>
              <w:pStyle w:val="TableParagraph"/>
              <w:ind w:left="109"/>
            </w:pPr>
          </w:p>
          <w:p w14:paraId="33768B98" w14:textId="77777777" w:rsidR="00D44887" w:rsidRDefault="00D44887" w:rsidP="002315D8">
            <w:pPr>
              <w:pStyle w:val="TableParagraph"/>
              <w:ind w:left="109"/>
            </w:pPr>
            <w:r>
              <w:t>4.3 Mise en valeur des connaissances et des compétences en matière de propriété intellectuelle dans tous les États membres.</w:t>
            </w:r>
          </w:p>
          <w:p w14:paraId="65D60F92" w14:textId="77777777" w:rsidR="00D44887" w:rsidRPr="003C4EAA" w:rsidRDefault="00D44887" w:rsidP="002315D8">
            <w:pPr>
              <w:pStyle w:val="TableParagraph"/>
              <w:ind w:left="109"/>
            </w:pPr>
          </w:p>
          <w:p w14:paraId="60204D92" w14:textId="77777777" w:rsidR="00D44887" w:rsidRDefault="00D44887" w:rsidP="002315D8">
            <w:pPr>
              <w:pStyle w:val="TableParagraph"/>
              <w:ind w:left="109"/>
            </w:pPr>
            <w:r>
              <w:lastRenderedPageBreak/>
              <w:t>4.4 Davantage d’innovateurs, de créateurs, de PME, d’universités, d’instituts de recherche et de communautés tirent profit de la propriété intellectuelle.</w:t>
            </w:r>
          </w:p>
          <w:p w14:paraId="524CCBB4" w14:textId="77777777" w:rsidR="00D44887" w:rsidRPr="003C4EAA" w:rsidRDefault="00D44887" w:rsidP="002315D8">
            <w:pPr>
              <w:pStyle w:val="TableParagraph"/>
              <w:ind w:left="109"/>
            </w:pPr>
          </w:p>
        </w:tc>
      </w:tr>
      <w:tr w:rsidR="00D44887" w:rsidRPr="00957BD5" w14:paraId="17581F9A" w14:textId="77777777" w:rsidTr="002315D8">
        <w:trPr>
          <w:trHeight w:val="1071"/>
        </w:trPr>
        <w:tc>
          <w:tcPr>
            <w:tcW w:w="2377" w:type="dxa"/>
            <w:shd w:val="clear" w:color="auto" w:fill="68E089"/>
            <w:vAlign w:val="center"/>
          </w:tcPr>
          <w:p w14:paraId="2A316EC4" w14:textId="77777777" w:rsidR="00D44887" w:rsidRPr="003C4EAA" w:rsidRDefault="00D44887" w:rsidP="002315D8">
            <w:pPr>
              <w:pStyle w:val="TableParagraph"/>
              <w:ind w:left="110" w:right="378"/>
            </w:pPr>
            <w:r>
              <w:rPr>
                <w:u w:val="single"/>
              </w:rPr>
              <w:lastRenderedPageBreak/>
              <w:t>Progrès dans la mise en œuvre du projet</w:t>
            </w:r>
          </w:p>
        </w:tc>
        <w:tc>
          <w:tcPr>
            <w:tcW w:w="6913" w:type="dxa"/>
            <w:vAlign w:val="center"/>
          </w:tcPr>
          <w:p w14:paraId="45732779" w14:textId="77777777" w:rsidR="00D44887" w:rsidRDefault="00D44887" w:rsidP="002315D8">
            <w:pPr>
              <w:pStyle w:val="TableParagraph"/>
              <w:spacing w:before="1"/>
              <w:ind w:left="109" w:right="805"/>
            </w:pPr>
            <w:r>
              <w:t>La mise en œuvre du projet a commencé par la sélection des quatre pays bénéficiaires, sur la base des critères de sélection indiqués dans le descriptif du projet (document CDIP/26/5).  Les bénéficiaires sélectionnés sont les pays suivants : Chili, Émirats arabes unis, Indonésie et Uruguay.</w:t>
            </w:r>
          </w:p>
          <w:p w14:paraId="6DBE37BA" w14:textId="77777777" w:rsidR="00D44887" w:rsidRPr="003C4EAA" w:rsidRDefault="00D44887" w:rsidP="002315D8">
            <w:pPr>
              <w:pStyle w:val="TableParagraph"/>
              <w:spacing w:before="1"/>
              <w:ind w:left="109" w:right="805"/>
            </w:pPr>
          </w:p>
          <w:p w14:paraId="356CD48E" w14:textId="77777777" w:rsidR="00D44887" w:rsidRDefault="00D44887" w:rsidP="002315D8">
            <w:pPr>
              <w:pStyle w:val="TableParagraph"/>
              <w:spacing w:before="1"/>
              <w:ind w:left="109" w:right="805"/>
            </w:pPr>
            <w:r>
              <w:t>Chaque pays bénéficiaire a désigné un coordonnateur national qui travaillera en étroite collaboration avec le chef de projet pendant toute la phase de mise en œuvre du projet.  Depuis, des réunions de coordination mensuelles ont été régulièrement organisées entre le coordonnateur national et l’équipe chargée du projet.  Dans chaque pays bénéficiaire, des secteurs spécifiques de l’industrie de la création ont été sélectionnés ou sont en passe de l’être, dans le but de poursuivre la mise en œuvre de ce projet.</w:t>
            </w:r>
          </w:p>
          <w:p w14:paraId="2B231A56" w14:textId="77777777" w:rsidR="00D44887" w:rsidRPr="003C4EAA" w:rsidRDefault="00D44887" w:rsidP="002315D8">
            <w:pPr>
              <w:pStyle w:val="TableParagraph"/>
              <w:spacing w:before="1"/>
              <w:ind w:left="109" w:right="805"/>
            </w:pPr>
          </w:p>
          <w:p w14:paraId="7CB62B68" w14:textId="77777777" w:rsidR="00D44887" w:rsidRPr="003C4EAA" w:rsidRDefault="00D44887" w:rsidP="002315D8">
            <w:pPr>
              <w:pStyle w:val="TableParagraph"/>
              <w:spacing w:before="1"/>
              <w:ind w:left="109" w:right="805"/>
            </w:pPr>
            <w:r>
              <w:t>En outre, durant la phase zéro, l’équipe chargée du projet a sélectionné, grâce à un concours, un boursier qui fournira une assistance et un appui pour la mise en œuvre du projet.</w:t>
            </w:r>
          </w:p>
          <w:p w14:paraId="73AC30A3" w14:textId="77777777" w:rsidR="00D44887" w:rsidRPr="003C4EAA" w:rsidRDefault="00D44887" w:rsidP="002315D8">
            <w:pPr>
              <w:pStyle w:val="TableParagraph"/>
              <w:spacing w:before="1"/>
              <w:ind w:left="109" w:right="805"/>
            </w:pPr>
          </w:p>
          <w:p w14:paraId="2FD2C0CC" w14:textId="77777777" w:rsidR="00D44887" w:rsidRDefault="00D44887" w:rsidP="002315D8">
            <w:pPr>
              <w:pStyle w:val="TableParagraph"/>
              <w:spacing w:before="1"/>
              <w:ind w:left="109" w:right="805"/>
            </w:pPr>
            <w:r>
              <w:t>En vue d’établir une approche stratégique dans la mise en œuvre du projet, les travaux liés à l’élaboration d’une étude exploratoire dans les industries de la création sélectionnées dans les pays bénéficiaires ont été lancés en juin 2022.  Un consultant a été sélectionné pour effectuer l’analyse et des questionnaires ont été envoyés au coordonnateur national.  L’étude exploratoire devrait être achevée au troisième trimestre de 2022.</w:t>
            </w:r>
          </w:p>
          <w:p w14:paraId="433B1505" w14:textId="77777777" w:rsidR="00D44887" w:rsidRPr="003C4EAA" w:rsidRDefault="00D44887" w:rsidP="002315D8">
            <w:pPr>
              <w:pStyle w:val="TableParagraph"/>
              <w:spacing w:before="1"/>
              <w:ind w:left="109" w:right="805"/>
            </w:pPr>
          </w:p>
          <w:p w14:paraId="4CA24286" w14:textId="77777777" w:rsidR="00D44887" w:rsidRPr="003C4EAA" w:rsidRDefault="00D44887" w:rsidP="002315D8">
            <w:pPr>
              <w:pStyle w:val="TableParagraph"/>
              <w:spacing w:before="1"/>
              <w:ind w:left="109" w:right="805"/>
            </w:pPr>
            <w:r>
              <w:t>Des échanges préalables ont eu lieu sur les priorités des bénéficiaires en matière de perfectionnement des compétences pour la première année du projet, en vue d’établir les priorités nationales.  Une étude a été réalisée sur le contenu disponible à l’OMPI, qui peut être utilisé pour les activités de perfectionnement des compétences.  Des efforts ont été déployés pour assurer la disponibilité du contenu dans les langues officielles des Nations Unies qui sont utiles aux pays bénéficiaires.</w:t>
            </w:r>
          </w:p>
          <w:p w14:paraId="07DEE321" w14:textId="77777777" w:rsidR="00D44887" w:rsidRPr="003C4EAA" w:rsidRDefault="00D44887" w:rsidP="002315D8">
            <w:pPr>
              <w:pStyle w:val="TableParagraph"/>
              <w:spacing w:before="1"/>
              <w:ind w:left="109" w:right="805"/>
            </w:pPr>
          </w:p>
          <w:p w14:paraId="0CBC114E" w14:textId="77777777" w:rsidR="00D44887" w:rsidRPr="003C4EAA" w:rsidRDefault="00D44887" w:rsidP="002315D8">
            <w:pPr>
              <w:pStyle w:val="TableParagraph"/>
              <w:spacing w:before="1"/>
              <w:ind w:left="109" w:right="805"/>
            </w:pPr>
            <w:r>
              <w:t>La rédaction d’un guide sur l’organisation des activités de sensibilisation a été achevée et sera prête au troisième trimestre de l’année.  Il a été décidé de l’établir plus tôt que ce qui était initialement prévu, afin de garantir son application tout au long du cycle de mise en œuvre du projet.</w:t>
            </w:r>
          </w:p>
          <w:p w14:paraId="25F0862C" w14:textId="77777777" w:rsidR="00D44887" w:rsidRPr="003C4EAA" w:rsidRDefault="00D44887" w:rsidP="002315D8">
            <w:pPr>
              <w:pStyle w:val="TableParagraph"/>
              <w:spacing w:before="1"/>
              <w:ind w:left="109" w:right="805"/>
            </w:pPr>
          </w:p>
        </w:tc>
      </w:tr>
      <w:tr w:rsidR="00D44887" w:rsidRPr="00957BD5" w14:paraId="38C6C21D" w14:textId="77777777" w:rsidTr="002315D8">
        <w:trPr>
          <w:trHeight w:val="801"/>
        </w:trPr>
        <w:tc>
          <w:tcPr>
            <w:tcW w:w="2377" w:type="dxa"/>
            <w:shd w:val="clear" w:color="auto" w:fill="68E089"/>
            <w:vAlign w:val="center"/>
          </w:tcPr>
          <w:p w14:paraId="2AC113B7" w14:textId="77777777" w:rsidR="00D44887" w:rsidRPr="003C4EAA" w:rsidRDefault="00D44887" w:rsidP="002315D8">
            <w:pPr>
              <w:pStyle w:val="TableParagraph"/>
              <w:spacing w:line="242" w:lineRule="auto"/>
              <w:ind w:left="110" w:right="708"/>
            </w:pPr>
            <w:r>
              <w:rPr>
                <w:u w:val="single"/>
              </w:rPr>
              <w:t>Premiers résultats observés</w:t>
            </w:r>
          </w:p>
        </w:tc>
        <w:tc>
          <w:tcPr>
            <w:tcW w:w="6913" w:type="dxa"/>
            <w:vAlign w:val="center"/>
          </w:tcPr>
          <w:p w14:paraId="4C1E12DF" w14:textId="77777777" w:rsidR="00D44887" w:rsidRPr="003C4EAA" w:rsidRDefault="00D44887" w:rsidP="002315D8">
            <w:pPr>
              <w:pStyle w:val="TableParagraph"/>
              <w:ind w:left="109" w:right="84"/>
            </w:pPr>
            <w:r>
              <w:t>L’équipe chargée du projet a été constituée et le mode de communication et les modalités d’interaction avec le coordonnateur national ont été définis.</w:t>
            </w:r>
          </w:p>
        </w:tc>
      </w:tr>
      <w:tr w:rsidR="00D44887" w:rsidRPr="00957BD5" w14:paraId="03B431E6" w14:textId="77777777" w:rsidTr="002315D8">
        <w:trPr>
          <w:trHeight w:val="386"/>
        </w:trPr>
        <w:tc>
          <w:tcPr>
            <w:tcW w:w="2377" w:type="dxa"/>
            <w:shd w:val="clear" w:color="auto" w:fill="68E089"/>
            <w:vAlign w:val="center"/>
          </w:tcPr>
          <w:p w14:paraId="3C11A8DA" w14:textId="77777777" w:rsidR="00D44887" w:rsidRPr="003C4EAA" w:rsidRDefault="00D44887" w:rsidP="002315D8">
            <w:pPr>
              <w:pStyle w:val="TableParagraph"/>
              <w:spacing w:before="1"/>
              <w:ind w:left="110" w:right="279"/>
            </w:pPr>
            <w:r>
              <w:rPr>
                <w:u w:val="single"/>
              </w:rPr>
              <w:t xml:space="preserve">Expérience acquise </w:t>
            </w:r>
            <w:r>
              <w:rPr>
                <w:u w:val="single"/>
              </w:rPr>
              <w:lastRenderedPageBreak/>
              <w:t>et enseignements tirés</w:t>
            </w:r>
          </w:p>
        </w:tc>
        <w:tc>
          <w:tcPr>
            <w:tcW w:w="6913" w:type="dxa"/>
            <w:vAlign w:val="center"/>
          </w:tcPr>
          <w:p w14:paraId="0C8796A1" w14:textId="77777777" w:rsidR="00D44887" w:rsidRPr="003C4EAA" w:rsidRDefault="00D44887" w:rsidP="002315D8">
            <w:pPr>
              <w:pStyle w:val="TableParagraph"/>
              <w:ind w:left="109"/>
            </w:pPr>
            <w:r>
              <w:lastRenderedPageBreak/>
              <w:t xml:space="preserve">La coordination avec tous les bénéficiaires ne peut pas être assurée </w:t>
            </w:r>
            <w:r>
              <w:lastRenderedPageBreak/>
              <w:t>simultanément car les fuseaux horaires sont différents.  Par conséquent, les réunions se tiendront individuellement avec chacun des pays bénéficiaires et, dans la mesure du possible, en combinant des bénéficiaires géographiquement proches.</w:t>
            </w:r>
          </w:p>
          <w:p w14:paraId="48AA5363" w14:textId="77777777" w:rsidR="00D44887" w:rsidRPr="003C4EAA" w:rsidRDefault="00D44887" w:rsidP="002315D8">
            <w:pPr>
              <w:pStyle w:val="TableParagraph"/>
              <w:ind w:left="109"/>
            </w:pPr>
          </w:p>
          <w:p w14:paraId="494DDFF2" w14:textId="77777777" w:rsidR="00D44887" w:rsidRPr="003C4EAA" w:rsidRDefault="00D44887" w:rsidP="002315D8">
            <w:pPr>
              <w:pStyle w:val="TableParagraph"/>
              <w:ind w:left="109"/>
            </w:pPr>
            <w:r>
              <w:t>Les pays bénéficiaires ont des secteurs prioritaires différents;  les activités seront donc planifiées en conséquence.  Cela permettra de tester le matériel et les modalités de formation dans les domaines sélectionnés, et l’échelonnement des activités dans les différents secteurs de la création peut constituer une expérience précieuse pour les autres bénéficiaires.</w:t>
            </w:r>
          </w:p>
          <w:p w14:paraId="4B951EBB" w14:textId="77777777" w:rsidR="00D44887" w:rsidRPr="003C4EAA" w:rsidRDefault="00D44887" w:rsidP="002315D8">
            <w:pPr>
              <w:pStyle w:val="TableParagraph"/>
              <w:ind w:left="109"/>
            </w:pPr>
          </w:p>
          <w:p w14:paraId="32C8C147" w14:textId="77777777" w:rsidR="00D44887" w:rsidRDefault="00D44887" w:rsidP="002315D8">
            <w:pPr>
              <w:pStyle w:val="TableParagraph"/>
              <w:ind w:left="109"/>
            </w:pPr>
            <w:r>
              <w:t>La mise en œuvre des activités inclura des réunions en ligne et en présentiel, ce qui permettra de prendre en considération les priorités des pays dans l’organisation des événements en présentiel.</w:t>
            </w:r>
          </w:p>
          <w:p w14:paraId="5AAB965C" w14:textId="77777777" w:rsidR="00D44887" w:rsidRPr="003C4EAA" w:rsidRDefault="00D44887" w:rsidP="002315D8">
            <w:pPr>
              <w:pStyle w:val="TableParagraph"/>
              <w:ind w:left="109" w:right="84"/>
            </w:pPr>
          </w:p>
        </w:tc>
      </w:tr>
      <w:tr w:rsidR="00D44887" w:rsidRPr="00957BD5" w14:paraId="63A971D3" w14:textId="77777777" w:rsidTr="002315D8">
        <w:trPr>
          <w:trHeight w:val="259"/>
        </w:trPr>
        <w:tc>
          <w:tcPr>
            <w:tcW w:w="2377" w:type="dxa"/>
            <w:shd w:val="clear" w:color="auto" w:fill="68E089"/>
            <w:vAlign w:val="center"/>
          </w:tcPr>
          <w:p w14:paraId="32EAFC4D" w14:textId="77777777" w:rsidR="00D44887" w:rsidRPr="003C4EAA" w:rsidRDefault="00D44887" w:rsidP="002315D8">
            <w:pPr>
              <w:pStyle w:val="TableParagraph"/>
              <w:ind w:left="110"/>
            </w:pPr>
            <w:r>
              <w:rPr>
                <w:u w:val="single"/>
              </w:rPr>
              <w:lastRenderedPageBreak/>
              <w:t>Risques et mesures d’atténuation</w:t>
            </w:r>
          </w:p>
        </w:tc>
        <w:tc>
          <w:tcPr>
            <w:tcW w:w="6913" w:type="dxa"/>
            <w:vAlign w:val="center"/>
          </w:tcPr>
          <w:p w14:paraId="7BDDF534" w14:textId="77777777" w:rsidR="00D44887" w:rsidRDefault="00D44887" w:rsidP="002315D8">
            <w:pPr>
              <w:pStyle w:val="TableParagraph"/>
              <w:spacing w:line="252" w:lineRule="exact"/>
              <w:ind w:left="109" w:right="721"/>
            </w:pPr>
            <w:r>
              <w:rPr>
                <w:u w:val="single"/>
              </w:rPr>
              <w:t>Risque n° 1 :</w:t>
            </w:r>
            <w:r>
              <w:t xml:space="preserve"> il est possible qu’aucun réseau national d’entreprises du secteur de la création lié au système de la propriété intellectuelle n’ait été mis en place.</w:t>
            </w:r>
          </w:p>
          <w:p w14:paraId="0D14C6ED" w14:textId="77777777" w:rsidR="00D44887" w:rsidRPr="003C4EAA" w:rsidRDefault="00D44887" w:rsidP="002315D8">
            <w:pPr>
              <w:pStyle w:val="TableParagraph"/>
              <w:spacing w:line="252" w:lineRule="exact"/>
              <w:ind w:left="109" w:right="721"/>
              <w:rPr>
                <w:u w:val="single"/>
              </w:rPr>
            </w:pPr>
          </w:p>
          <w:p w14:paraId="71202F76" w14:textId="77777777" w:rsidR="00D44887" w:rsidRDefault="00D44887" w:rsidP="002315D8">
            <w:pPr>
              <w:pStyle w:val="TableParagraph"/>
              <w:spacing w:line="252" w:lineRule="exact"/>
              <w:ind w:left="109" w:right="721"/>
            </w:pPr>
            <w:r>
              <w:rPr>
                <w:u w:val="single"/>
              </w:rPr>
              <w:t>Mesure d’atténuation n° 1 :</w:t>
            </w:r>
            <w:r>
              <w:t xml:space="preserve"> le responsable de projet se mettra en rapport avec le coordonnateur national et intégrera la mise en œuvre du projet, ainsi que les priorités actuelles du gouvernement, dans le développement des industries de la création.  Ensemble, ils décideront de la manière d’aborder les réseaux nationaux pour les industries de la création ou de soutenir leur établissement, le cas échéant.</w:t>
            </w:r>
          </w:p>
          <w:p w14:paraId="7AC9B900" w14:textId="77777777" w:rsidR="00D44887" w:rsidRPr="003C4EAA" w:rsidRDefault="00D44887" w:rsidP="002315D8">
            <w:pPr>
              <w:pStyle w:val="TableParagraph"/>
              <w:spacing w:line="252" w:lineRule="exact"/>
              <w:ind w:left="109" w:right="721"/>
            </w:pPr>
          </w:p>
          <w:p w14:paraId="27CB2E03" w14:textId="77777777" w:rsidR="00D44887" w:rsidRDefault="00D44887" w:rsidP="002315D8">
            <w:pPr>
              <w:pStyle w:val="TableParagraph"/>
              <w:spacing w:line="252" w:lineRule="exact"/>
              <w:ind w:left="109" w:right="721"/>
            </w:pPr>
            <w:r>
              <w:rPr>
                <w:u w:val="single"/>
              </w:rPr>
              <w:t>Risque n° 2 :</w:t>
            </w:r>
            <w:r>
              <w:t xml:space="preserve"> il est possible que les entreprises ne voient aucun avantage véritable à utiliser le système de propriété intellectuelle.</w:t>
            </w:r>
          </w:p>
          <w:p w14:paraId="38B0EA0E" w14:textId="77777777" w:rsidR="00D44887" w:rsidRPr="003C4EAA" w:rsidRDefault="00D44887" w:rsidP="002315D8">
            <w:pPr>
              <w:pStyle w:val="TableParagraph"/>
              <w:spacing w:line="252" w:lineRule="exact"/>
              <w:ind w:left="109" w:right="721"/>
            </w:pPr>
          </w:p>
          <w:p w14:paraId="760FE111" w14:textId="77777777" w:rsidR="00D44887" w:rsidRDefault="00D44887" w:rsidP="002315D8">
            <w:pPr>
              <w:pStyle w:val="TableParagraph"/>
              <w:spacing w:line="252" w:lineRule="exact"/>
              <w:ind w:left="109" w:right="721"/>
            </w:pPr>
            <w:r>
              <w:rPr>
                <w:u w:val="single"/>
              </w:rPr>
              <w:t>Mesure d’atténuation n° 2 :</w:t>
            </w:r>
            <w:r>
              <w:t xml:space="preserve"> il conviendra d’examiner de manière approfondie le type d’activités réalisées par les acteurs locaux ainsi que la situation sur le marché avant de choisir les pays.</w:t>
            </w:r>
          </w:p>
          <w:p w14:paraId="5A3A3C0A" w14:textId="77777777" w:rsidR="00D44887" w:rsidRPr="003C4EAA" w:rsidRDefault="00D44887" w:rsidP="002315D8">
            <w:pPr>
              <w:pStyle w:val="TableParagraph"/>
              <w:spacing w:line="252" w:lineRule="exact"/>
              <w:ind w:left="109" w:right="721"/>
            </w:pPr>
          </w:p>
          <w:p w14:paraId="071E3702" w14:textId="77777777" w:rsidR="00D44887" w:rsidRDefault="00D44887" w:rsidP="002315D8">
            <w:pPr>
              <w:pStyle w:val="TableParagraph"/>
              <w:spacing w:line="252" w:lineRule="exact"/>
              <w:ind w:left="109" w:right="721"/>
            </w:pPr>
            <w:r>
              <w:rPr>
                <w:u w:val="single"/>
              </w:rPr>
              <w:t>Risque n° 3 :</w:t>
            </w:r>
            <w:r>
              <w:t xml:space="preserve"> la situation sanitaire mondiale liée à la pandémie de COVID-19 pourrait avoir des répercussions sur la collaboration avec les parties prenantes des industries de la création.</w:t>
            </w:r>
          </w:p>
          <w:p w14:paraId="2D31065E" w14:textId="77777777" w:rsidR="00D44887" w:rsidRPr="003C4EAA" w:rsidRDefault="00D44887" w:rsidP="002315D8">
            <w:pPr>
              <w:pStyle w:val="TableParagraph"/>
              <w:spacing w:line="252" w:lineRule="exact"/>
              <w:ind w:left="109" w:right="721"/>
            </w:pPr>
          </w:p>
          <w:p w14:paraId="4CCE184B" w14:textId="77777777" w:rsidR="00D44887" w:rsidRPr="003C4EAA" w:rsidRDefault="00D44887" w:rsidP="002315D8">
            <w:pPr>
              <w:pStyle w:val="TableParagraph"/>
              <w:spacing w:line="252" w:lineRule="exact"/>
              <w:ind w:left="109" w:right="721"/>
            </w:pPr>
            <w:r>
              <w:rPr>
                <w:u w:val="single"/>
              </w:rPr>
              <w:t>Mesure d’atténuation n° 3 :</w:t>
            </w:r>
            <w:r>
              <w:t xml:space="preserve"> La situation fait l’objet d’un suivi continu.  Si nécessaire, le projet fera l’objet d’une promotion active grâce aux canaux numériques et différentes formules seront envisagées pour assurer la réalisation des activités principalement sous forme virtuelle.</w:t>
            </w:r>
          </w:p>
          <w:p w14:paraId="1986CE6A" w14:textId="77777777" w:rsidR="00D44887" w:rsidRPr="003C4EAA" w:rsidRDefault="00D44887" w:rsidP="002315D8">
            <w:pPr>
              <w:pStyle w:val="TableParagraph"/>
              <w:spacing w:line="252" w:lineRule="exact"/>
              <w:ind w:right="721"/>
            </w:pPr>
          </w:p>
        </w:tc>
      </w:tr>
      <w:tr w:rsidR="00D44887" w:rsidRPr="00957BD5" w14:paraId="76CDA769" w14:textId="77777777" w:rsidTr="002315D8">
        <w:trPr>
          <w:trHeight w:val="733"/>
        </w:trPr>
        <w:tc>
          <w:tcPr>
            <w:tcW w:w="2377" w:type="dxa"/>
            <w:shd w:val="clear" w:color="auto" w:fill="68E089"/>
            <w:vAlign w:val="center"/>
          </w:tcPr>
          <w:p w14:paraId="7680AA21" w14:textId="77777777" w:rsidR="00D44887" w:rsidRPr="003C4EAA" w:rsidRDefault="00D44887" w:rsidP="002315D8">
            <w:pPr>
              <w:pStyle w:val="TableParagraph"/>
              <w:ind w:left="110" w:right="536"/>
            </w:pPr>
            <w:r>
              <w:rPr>
                <w:u w:val="single"/>
              </w:rPr>
              <w:t>Questions nécessitant un appui ou une attention immédiats</w:t>
            </w:r>
          </w:p>
        </w:tc>
        <w:tc>
          <w:tcPr>
            <w:tcW w:w="6913" w:type="dxa"/>
            <w:vAlign w:val="center"/>
          </w:tcPr>
          <w:p w14:paraId="410BA535" w14:textId="77777777" w:rsidR="00D44887" w:rsidRPr="003C4EAA" w:rsidRDefault="00D44887" w:rsidP="002315D8">
            <w:pPr>
              <w:pStyle w:val="TableParagraph"/>
              <w:spacing w:line="244" w:lineRule="auto"/>
              <w:ind w:left="109" w:right="109"/>
            </w:pPr>
            <w:r>
              <w:t xml:space="preserve">Il n’y a pas de questions qui nécessitent une attention ou un appui immédiats.  </w:t>
            </w:r>
          </w:p>
        </w:tc>
      </w:tr>
      <w:tr w:rsidR="00D44887" w:rsidRPr="00957BD5" w14:paraId="76253584" w14:textId="77777777" w:rsidTr="002315D8">
        <w:trPr>
          <w:trHeight w:val="469"/>
        </w:trPr>
        <w:tc>
          <w:tcPr>
            <w:tcW w:w="2377" w:type="dxa"/>
            <w:shd w:val="clear" w:color="auto" w:fill="68E089"/>
            <w:vAlign w:val="center"/>
          </w:tcPr>
          <w:p w14:paraId="4A9C5A16" w14:textId="77777777" w:rsidR="00D44887" w:rsidRPr="003C4EAA" w:rsidRDefault="00D44887" w:rsidP="002315D8">
            <w:pPr>
              <w:pStyle w:val="TableParagraph"/>
              <w:ind w:left="110"/>
            </w:pPr>
            <w:r>
              <w:rPr>
                <w:u w:val="single"/>
              </w:rPr>
              <w:lastRenderedPageBreak/>
              <w:t>Voie à suivre</w:t>
            </w:r>
          </w:p>
        </w:tc>
        <w:tc>
          <w:tcPr>
            <w:tcW w:w="6913" w:type="dxa"/>
            <w:vAlign w:val="center"/>
          </w:tcPr>
          <w:p w14:paraId="6B38CA0B" w14:textId="77777777" w:rsidR="00D44887" w:rsidRPr="003C4EAA" w:rsidRDefault="00D44887" w:rsidP="002315D8">
            <w:pPr>
              <w:pStyle w:val="TableParagraph"/>
              <w:ind w:left="109"/>
            </w:pPr>
            <w:r>
              <w:t>L’étude exploratoire sera finalisée et constituera une référence stratégique importante pour la mise en œuvre au niveau national.  Une discussion sera organisée sur ses premières conclusions afin de garantir l’adhésion à ses recommandations.</w:t>
            </w:r>
          </w:p>
          <w:p w14:paraId="7CABEFD8" w14:textId="77777777" w:rsidR="00D44887" w:rsidRPr="003C4EAA" w:rsidRDefault="00D44887" w:rsidP="002315D8">
            <w:pPr>
              <w:pStyle w:val="TableParagraph"/>
              <w:ind w:left="109"/>
            </w:pPr>
          </w:p>
          <w:p w14:paraId="6B1D2861" w14:textId="77777777" w:rsidR="00D44887" w:rsidRDefault="00D44887" w:rsidP="002315D8">
            <w:pPr>
              <w:pStyle w:val="TableParagraph"/>
              <w:ind w:left="109"/>
            </w:pPr>
            <w:r>
              <w:t>Un plan sera établi sur la base des activités de perfectionnement des compétences pour la première année du projet.  Il combinera des activités en ligne et en présentiel.</w:t>
            </w:r>
          </w:p>
          <w:p w14:paraId="58A2F544" w14:textId="77777777" w:rsidR="00D44887" w:rsidRPr="003C4EAA" w:rsidRDefault="00D44887" w:rsidP="002315D8">
            <w:pPr>
              <w:pStyle w:val="TableParagraph"/>
              <w:ind w:left="109"/>
            </w:pPr>
          </w:p>
          <w:p w14:paraId="7EA81E6C" w14:textId="77777777" w:rsidR="00D44887" w:rsidRPr="003C4EAA" w:rsidRDefault="00D44887" w:rsidP="002315D8">
            <w:pPr>
              <w:pStyle w:val="TableParagraph"/>
              <w:ind w:left="109"/>
            </w:pPr>
            <w:r>
              <w:t>Une discussion aura lieu avec les coordonnateurs sur l’orientation et le format préférés du matériel de formation générique à mettre au point.  Ensuite, la préparation du matériel sera lancée.  D’autres questions de fond qui nécessiteront une attention particulière et une compréhension commune sont l’établissement de réseaux nationaux ou régionaux et l’organisation de programmes de mentorat.</w:t>
            </w:r>
          </w:p>
          <w:p w14:paraId="12A40495" w14:textId="77777777" w:rsidR="00D44887" w:rsidRPr="003C4EAA" w:rsidRDefault="00D44887" w:rsidP="002315D8">
            <w:pPr>
              <w:pStyle w:val="TableParagraph"/>
              <w:ind w:left="109"/>
            </w:pPr>
          </w:p>
          <w:p w14:paraId="3950789C" w14:textId="77777777" w:rsidR="00D44887" w:rsidRPr="003C4EAA" w:rsidRDefault="00D44887" w:rsidP="002315D8">
            <w:pPr>
              <w:pStyle w:val="TableParagraph"/>
              <w:ind w:left="109"/>
            </w:pPr>
            <w:r>
              <w:t>Sur la base des directives en matière de sensibilisation (qui seront finalisées au cours du troisième trimestre), il sera possible de commencer à planifier des activités dans ce domaine.</w:t>
            </w:r>
          </w:p>
          <w:p w14:paraId="5F2FC027" w14:textId="77777777" w:rsidR="00D44887" w:rsidRPr="003C4EAA" w:rsidRDefault="00D44887" w:rsidP="002315D8">
            <w:pPr>
              <w:pStyle w:val="TableParagraph"/>
              <w:ind w:left="109"/>
            </w:pPr>
          </w:p>
          <w:p w14:paraId="45EB7CF2" w14:textId="77777777" w:rsidR="00D44887" w:rsidRPr="003C4EAA" w:rsidRDefault="00D44887" w:rsidP="002315D8">
            <w:pPr>
              <w:pStyle w:val="TableParagraph"/>
              <w:ind w:left="109" w:right="458"/>
            </w:pPr>
            <w:r>
              <w:t>La coordination étroite avec des réunions mensuelles avec les coordonnateurs se poursuivra.</w:t>
            </w:r>
          </w:p>
        </w:tc>
      </w:tr>
      <w:tr w:rsidR="00D44887" w:rsidRPr="00957BD5" w14:paraId="2968E414" w14:textId="77777777" w:rsidTr="002315D8">
        <w:trPr>
          <w:trHeight w:val="631"/>
        </w:trPr>
        <w:tc>
          <w:tcPr>
            <w:tcW w:w="2377" w:type="dxa"/>
            <w:shd w:val="clear" w:color="auto" w:fill="68E089"/>
            <w:vAlign w:val="center"/>
          </w:tcPr>
          <w:p w14:paraId="0C82EE7C" w14:textId="77777777" w:rsidR="00D44887" w:rsidRPr="003C4EAA" w:rsidRDefault="00D44887" w:rsidP="002315D8">
            <w:pPr>
              <w:pStyle w:val="TableParagraph"/>
              <w:spacing w:before="1"/>
              <w:ind w:left="110" w:right="732"/>
            </w:pPr>
            <w:r>
              <w:rPr>
                <w:u w:val="single"/>
              </w:rPr>
              <w:t>Calendrier de mise en œuvre</w:t>
            </w:r>
          </w:p>
        </w:tc>
        <w:tc>
          <w:tcPr>
            <w:tcW w:w="6913" w:type="dxa"/>
            <w:vAlign w:val="center"/>
          </w:tcPr>
          <w:p w14:paraId="1603C352" w14:textId="77777777" w:rsidR="00D44887" w:rsidRPr="003C4EAA" w:rsidRDefault="00D44887" w:rsidP="002315D8">
            <w:pPr>
              <w:pStyle w:val="TableParagraph"/>
              <w:spacing w:before="1"/>
              <w:ind w:left="109"/>
            </w:pPr>
            <w:r>
              <w:t>La mise en œuvre du projet se fait conformément au calendrier.</w:t>
            </w:r>
          </w:p>
        </w:tc>
      </w:tr>
      <w:tr w:rsidR="00D44887" w:rsidRPr="00957BD5" w14:paraId="67009BB6" w14:textId="77777777" w:rsidTr="002315D8">
        <w:trPr>
          <w:trHeight w:val="613"/>
        </w:trPr>
        <w:tc>
          <w:tcPr>
            <w:tcW w:w="2377" w:type="dxa"/>
            <w:shd w:val="clear" w:color="auto" w:fill="68E089"/>
            <w:vAlign w:val="center"/>
          </w:tcPr>
          <w:p w14:paraId="38028B17" w14:textId="77777777" w:rsidR="00D44887" w:rsidRPr="003C4EAA" w:rsidRDefault="00D44887" w:rsidP="002315D8">
            <w:pPr>
              <w:pStyle w:val="TableParagraph"/>
              <w:ind w:left="110" w:right="220"/>
            </w:pPr>
            <w:r>
              <w:rPr>
                <w:u w:val="single"/>
              </w:rPr>
              <w:t>Taux d’exécution du projet</w:t>
            </w:r>
          </w:p>
        </w:tc>
        <w:tc>
          <w:tcPr>
            <w:tcW w:w="6913" w:type="dxa"/>
            <w:vAlign w:val="center"/>
          </w:tcPr>
          <w:p w14:paraId="549EB132" w14:textId="77777777" w:rsidR="00D44887" w:rsidRPr="003C4EAA" w:rsidRDefault="00D44887" w:rsidP="002315D8">
            <w:pPr>
              <w:pStyle w:val="TableParagraph"/>
              <w:ind w:left="109" w:right="84"/>
            </w:pPr>
            <w:r>
              <w:t xml:space="preserve">Le taux d’utilisation du budget à la fin du mois de juillet 2022, proportionnellement au budget total alloué au projet, était le suivant : 6%.  </w:t>
            </w:r>
          </w:p>
        </w:tc>
      </w:tr>
      <w:tr w:rsidR="00D44887" w:rsidRPr="00957BD5" w14:paraId="4CF5637A" w14:textId="77777777" w:rsidTr="002315D8">
        <w:trPr>
          <w:trHeight w:val="703"/>
        </w:trPr>
        <w:tc>
          <w:tcPr>
            <w:tcW w:w="2377" w:type="dxa"/>
            <w:shd w:val="clear" w:color="auto" w:fill="68E089"/>
            <w:vAlign w:val="center"/>
          </w:tcPr>
          <w:p w14:paraId="1D627913" w14:textId="77777777" w:rsidR="00D44887" w:rsidRPr="003C4EAA" w:rsidRDefault="00D44887" w:rsidP="002315D8">
            <w:pPr>
              <w:pStyle w:val="TableParagraph"/>
              <w:ind w:left="110"/>
            </w:pPr>
            <w:r>
              <w:rPr>
                <w:u w:val="single"/>
              </w:rPr>
              <w:t>Rapports précédents</w:t>
            </w:r>
          </w:p>
        </w:tc>
        <w:tc>
          <w:tcPr>
            <w:tcW w:w="6913" w:type="dxa"/>
            <w:vAlign w:val="center"/>
          </w:tcPr>
          <w:p w14:paraId="65CB8D37" w14:textId="77777777" w:rsidR="00D44887" w:rsidRPr="003C4EAA" w:rsidRDefault="00D44887" w:rsidP="002315D8">
            <w:pPr>
              <w:pStyle w:val="TableParagraph"/>
              <w:ind w:left="109" w:right="892"/>
            </w:pPr>
            <w:r>
              <w:t xml:space="preserve">Ceci est le premier rapport présenté au CDIP.  </w:t>
            </w:r>
          </w:p>
        </w:tc>
      </w:tr>
    </w:tbl>
    <w:p w14:paraId="7CF619C1" w14:textId="77777777" w:rsidR="00D44887" w:rsidRDefault="00D44887" w:rsidP="00D44887"/>
    <w:p w14:paraId="08470A89" w14:textId="77777777" w:rsidR="00D44887" w:rsidRDefault="00D44887" w:rsidP="00D44887">
      <w:pPr>
        <w:pStyle w:val="BodyText"/>
        <w:spacing w:after="0"/>
        <w:ind w:left="130"/>
      </w:pPr>
    </w:p>
    <w:p w14:paraId="286BE258" w14:textId="77777777" w:rsidR="00D44887" w:rsidRPr="00C6096E" w:rsidRDefault="00D44887" w:rsidP="00D44887">
      <w:pPr>
        <w:pStyle w:val="BodyText"/>
        <w:spacing w:before="94"/>
        <w:ind w:left="136"/>
      </w:pPr>
      <w:r>
        <w:t>AUTO-ÉVALUATION DU PROJET</w:t>
      </w:r>
    </w:p>
    <w:p w14:paraId="4DD702C4" w14:textId="77777777" w:rsidR="00D44887" w:rsidRPr="00C6096E" w:rsidRDefault="00D44887" w:rsidP="00D44887">
      <w:pPr>
        <w:pStyle w:val="BodyText"/>
        <w:ind w:left="136"/>
      </w:pPr>
      <w:r>
        <w:t>Code d’évaluation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1"/>
        <w:gridCol w:w="2268"/>
        <w:gridCol w:w="1559"/>
        <w:gridCol w:w="1843"/>
        <w:gridCol w:w="1839"/>
      </w:tblGrid>
      <w:tr w:rsidR="00D44887" w:rsidRPr="00C6096E" w14:paraId="1ABF7317" w14:textId="77777777" w:rsidTr="002315D8">
        <w:trPr>
          <w:trHeight w:val="470"/>
        </w:trPr>
        <w:tc>
          <w:tcPr>
            <w:tcW w:w="1841" w:type="dxa"/>
            <w:shd w:val="clear" w:color="auto" w:fill="7BBEDA"/>
            <w:vAlign w:val="center"/>
          </w:tcPr>
          <w:p w14:paraId="4C91E6E7" w14:textId="77777777" w:rsidR="00D44887" w:rsidRPr="00C6096E" w:rsidRDefault="00D44887" w:rsidP="002315D8">
            <w:pPr>
              <w:pStyle w:val="TableParagraph"/>
              <w:spacing w:before="106"/>
              <w:ind w:left="110"/>
            </w:pPr>
            <w:r>
              <w:t>****</w:t>
            </w:r>
          </w:p>
        </w:tc>
        <w:tc>
          <w:tcPr>
            <w:tcW w:w="2268" w:type="dxa"/>
            <w:shd w:val="clear" w:color="auto" w:fill="7BBEDA"/>
            <w:vAlign w:val="center"/>
          </w:tcPr>
          <w:p w14:paraId="1454139F" w14:textId="77777777" w:rsidR="00D44887" w:rsidRPr="00C6096E" w:rsidRDefault="00D44887" w:rsidP="002315D8">
            <w:pPr>
              <w:pStyle w:val="TableParagraph"/>
              <w:spacing w:before="106"/>
              <w:ind w:left="110"/>
            </w:pPr>
            <w:r>
              <w:t>***</w:t>
            </w:r>
          </w:p>
        </w:tc>
        <w:tc>
          <w:tcPr>
            <w:tcW w:w="1559" w:type="dxa"/>
            <w:shd w:val="clear" w:color="auto" w:fill="7BBEDA"/>
            <w:vAlign w:val="center"/>
          </w:tcPr>
          <w:p w14:paraId="78817D38" w14:textId="77777777" w:rsidR="00D44887" w:rsidRPr="00C6096E" w:rsidRDefault="00D44887" w:rsidP="002315D8">
            <w:pPr>
              <w:pStyle w:val="TableParagraph"/>
              <w:spacing w:before="106"/>
              <w:ind w:left="108"/>
            </w:pPr>
            <w:r>
              <w:t>**</w:t>
            </w:r>
          </w:p>
        </w:tc>
        <w:tc>
          <w:tcPr>
            <w:tcW w:w="1843" w:type="dxa"/>
            <w:shd w:val="clear" w:color="auto" w:fill="7BBEDA"/>
            <w:vAlign w:val="center"/>
          </w:tcPr>
          <w:p w14:paraId="1AADD1F8" w14:textId="77777777" w:rsidR="00D44887" w:rsidRPr="00C6096E" w:rsidRDefault="00D44887" w:rsidP="002315D8">
            <w:pPr>
              <w:pStyle w:val="TableParagraph"/>
              <w:spacing w:before="106"/>
              <w:ind w:left="108"/>
            </w:pPr>
            <w:r>
              <w:t>AP</w:t>
            </w:r>
          </w:p>
        </w:tc>
        <w:tc>
          <w:tcPr>
            <w:tcW w:w="1839" w:type="dxa"/>
            <w:shd w:val="clear" w:color="auto" w:fill="7BBEDA"/>
            <w:vAlign w:val="center"/>
          </w:tcPr>
          <w:p w14:paraId="195CDE0E" w14:textId="77777777" w:rsidR="00D44887" w:rsidRPr="00C6096E" w:rsidRDefault="00D44887" w:rsidP="002315D8">
            <w:pPr>
              <w:pStyle w:val="TableParagraph"/>
              <w:spacing w:before="106"/>
              <w:ind w:left="110"/>
            </w:pPr>
            <w:r>
              <w:t>s.o.</w:t>
            </w:r>
          </w:p>
        </w:tc>
      </w:tr>
      <w:tr w:rsidR="00D44887" w:rsidRPr="00C6096E" w14:paraId="6641E347" w14:textId="77777777" w:rsidTr="002315D8">
        <w:trPr>
          <w:trHeight w:val="506"/>
        </w:trPr>
        <w:tc>
          <w:tcPr>
            <w:tcW w:w="1841" w:type="dxa"/>
            <w:shd w:val="clear" w:color="auto" w:fill="7BBEDA"/>
            <w:vAlign w:val="center"/>
          </w:tcPr>
          <w:p w14:paraId="3DAEEF14" w14:textId="77777777" w:rsidR="00D44887" w:rsidRPr="00C6096E" w:rsidRDefault="00D44887" w:rsidP="002315D8">
            <w:pPr>
              <w:pStyle w:val="TableParagraph"/>
              <w:spacing w:line="252" w:lineRule="exact"/>
              <w:ind w:left="110" w:right="408"/>
            </w:pPr>
            <w:r>
              <w:t>Objectifs pleinement atteints</w:t>
            </w:r>
          </w:p>
        </w:tc>
        <w:tc>
          <w:tcPr>
            <w:tcW w:w="2268" w:type="dxa"/>
            <w:shd w:val="clear" w:color="auto" w:fill="7BBEDA"/>
            <w:vAlign w:val="center"/>
          </w:tcPr>
          <w:p w14:paraId="7B16B52B" w14:textId="0FEFA731" w:rsidR="00D44887" w:rsidRPr="00C6096E" w:rsidRDefault="00BB1653" w:rsidP="002315D8">
            <w:pPr>
              <w:pStyle w:val="TableParagraph"/>
              <w:spacing w:line="252" w:lineRule="exact"/>
              <w:ind w:left="110" w:right="687"/>
            </w:pPr>
            <w:r>
              <w:t>De grands progrès</w:t>
            </w:r>
          </w:p>
        </w:tc>
        <w:tc>
          <w:tcPr>
            <w:tcW w:w="1559" w:type="dxa"/>
            <w:shd w:val="clear" w:color="auto" w:fill="7BBEDA"/>
            <w:vAlign w:val="center"/>
          </w:tcPr>
          <w:p w14:paraId="313129D5" w14:textId="77777777" w:rsidR="00D44887" w:rsidRPr="00C6096E" w:rsidRDefault="00D44887" w:rsidP="002315D8">
            <w:pPr>
              <w:pStyle w:val="TableParagraph"/>
              <w:spacing w:line="251" w:lineRule="exact"/>
              <w:ind w:left="108"/>
            </w:pPr>
            <w:r>
              <w:t>Quelques progrès</w:t>
            </w:r>
          </w:p>
        </w:tc>
        <w:tc>
          <w:tcPr>
            <w:tcW w:w="1843" w:type="dxa"/>
            <w:shd w:val="clear" w:color="auto" w:fill="7BBEDA"/>
            <w:vAlign w:val="center"/>
          </w:tcPr>
          <w:p w14:paraId="461EA9EB" w14:textId="77777777" w:rsidR="00D44887" w:rsidRPr="00C6096E" w:rsidRDefault="00D44887" w:rsidP="002315D8">
            <w:pPr>
              <w:pStyle w:val="TableParagraph"/>
              <w:spacing w:line="251" w:lineRule="exact"/>
              <w:ind w:left="108"/>
            </w:pPr>
            <w:r>
              <w:t>Aucun progrès</w:t>
            </w:r>
          </w:p>
        </w:tc>
        <w:tc>
          <w:tcPr>
            <w:tcW w:w="1839" w:type="dxa"/>
            <w:shd w:val="clear" w:color="auto" w:fill="7BBEDA"/>
            <w:vAlign w:val="center"/>
          </w:tcPr>
          <w:p w14:paraId="21697889" w14:textId="77777777" w:rsidR="00D44887" w:rsidRPr="00C6096E" w:rsidRDefault="00D44887" w:rsidP="002315D8">
            <w:pPr>
              <w:pStyle w:val="TableParagraph"/>
              <w:spacing w:line="252" w:lineRule="exact"/>
              <w:ind w:left="110" w:right="203"/>
            </w:pPr>
            <w:r>
              <w:t>Non évalué/ abandonné</w:t>
            </w:r>
          </w:p>
        </w:tc>
      </w:tr>
    </w:tbl>
    <w:p w14:paraId="08B90DE3" w14:textId="77777777" w:rsidR="00D44887" w:rsidRDefault="00D44887" w:rsidP="00D44887">
      <w:pPr>
        <w:pStyle w:val="BodyText"/>
        <w:spacing w:before="11"/>
      </w:pPr>
    </w:p>
    <w:p w14:paraId="3E5670F1" w14:textId="77777777" w:rsidR="00D44887" w:rsidRPr="00C6096E" w:rsidRDefault="00D44887" w:rsidP="00D448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2865"/>
        <w:gridCol w:w="1412"/>
      </w:tblGrid>
      <w:tr w:rsidR="00D44887" w:rsidRPr="00C6096E" w14:paraId="373FBFBA" w14:textId="77777777" w:rsidTr="002315D8">
        <w:trPr>
          <w:trHeight w:val="1264"/>
        </w:trPr>
        <w:tc>
          <w:tcPr>
            <w:tcW w:w="2410" w:type="dxa"/>
            <w:shd w:val="clear" w:color="auto" w:fill="68E089"/>
            <w:vAlign w:val="center"/>
          </w:tcPr>
          <w:p w14:paraId="15379F3A" w14:textId="77777777" w:rsidR="00D44887" w:rsidRPr="00C6096E" w:rsidRDefault="00D44887" w:rsidP="002315D8">
            <w:pPr>
              <w:pStyle w:val="TableParagraph"/>
              <w:keepNext/>
              <w:keepLines/>
              <w:ind w:left="110" w:right="624"/>
            </w:pPr>
            <w:r>
              <w:rPr>
                <w:u w:val="single"/>
              </w:rPr>
              <w:lastRenderedPageBreak/>
              <w:t>Résultats du projet</w:t>
            </w:r>
            <w:r>
              <w:rPr>
                <w:vertAlign w:val="superscript"/>
              </w:rPr>
              <w:t>3</w:t>
            </w:r>
            <w:r>
              <w:t xml:space="preserve"> (résultat escompté)</w:t>
            </w:r>
          </w:p>
        </w:tc>
        <w:tc>
          <w:tcPr>
            <w:tcW w:w="2695" w:type="dxa"/>
            <w:shd w:val="clear" w:color="auto" w:fill="68E089"/>
            <w:vAlign w:val="center"/>
          </w:tcPr>
          <w:p w14:paraId="11E4271A" w14:textId="77777777" w:rsidR="00D44887" w:rsidRPr="00C6096E" w:rsidRDefault="00D44887" w:rsidP="002315D8">
            <w:pPr>
              <w:pStyle w:val="TableParagraph"/>
              <w:keepNext/>
              <w:keepLines/>
              <w:ind w:left="110" w:right="236"/>
            </w:pPr>
            <w:r>
              <w:rPr>
                <w:u w:val="single"/>
              </w:rPr>
              <w:t>Indicateurs d’exécution</w:t>
            </w:r>
          </w:p>
          <w:p w14:paraId="78BCB84E" w14:textId="77777777" w:rsidR="00D44887" w:rsidRPr="00C6096E" w:rsidRDefault="00D44887" w:rsidP="002315D8">
            <w:pPr>
              <w:pStyle w:val="TableParagraph"/>
              <w:keepNext/>
              <w:keepLines/>
              <w:spacing w:before="1"/>
              <w:ind w:left="110"/>
            </w:pPr>
            <w:r>
              <w:t>(indicateurs de résultats)</w:t>
            </w:r>
          </w:p>
        </w:tc>
        <w:tc>
          <w:tcPr>
            <w:tcW w:w="2865" w:type="dxa"/>
            <w:shd w:val="clear" w:color="auto" w:fill="68E089"/>
            <w:vAlign w:val="center"/>
          </w:tcPr>
          <w:p w14:paraId="7AF77A73" w14:textId="77777777" w:rsidR="00D44887" w:rsidRPr="00C6096E" w:rsidRDefault="00D44887" w:rsidP="002315D8">
            <w:pPr>
              <w:pStyle w:val="TableParagraph"/>
              <w:keepNext/>
              <w:ind w:left="108"/>
            </w:pPr>
            <w:r>
              <w:rPr>
                <w:u w:val="single"/>
              </w:rPr>
              <w:t>Données relatives à l’exécution</w:t>
            </w:r>
          </w:p>
        </w:tc>
        <w:tc>
          <w:tcPr>
            <w:tcW w:w="1412" w:type="dxa"/>
            <w:shd w:val="clear" w:color="auto" w:fill="68E089"/>
            <w:vAlign w:val="center"/>
          </w:tcPr>
          <w:p w14:paraId="03218032" w14:textId="77777777" w:rsidR="00D44887" w:rsidRPr="00C6096E" w:rsidRDefault="00D44887" w:rsidP="002315D8">
            <w:pPr>
              <w:pStyle w:val="TableParagraph"/>
              <w:keepNext/>
              <w:ind w:left="111"/>
            </w:pPr>
            <w:r>
              <w:rPr>
                <w:u w:val="single"/>
              </w:rPr>
              <w:t>Code d’évaluation</w:t>
            </w:r>
          </w:p>
        </w:tc>
      </w:tr>
      <w:tr w:rsidR="00D44887" w:rsidRPr="00C6096E" w14:paraId="4AE00A5D" w14:textId="77777777" w:rsidTr="002315D8">
        <w:trPr>
          <w:trHeight w:val="2382"/>
        </w:trPr>
        <w:tc>
          <w:tcPr>
            <w:tcW w:w="2410" w:type="dxa"/>
            <w:vMerge w:val="restart"/>
            <w:tcBorders>
              <w:right w:val="single" w:sz="6" w:space="0" w:color="000000"/>
            </w:tcBorders>
            <w:vAlign w:val="center"/>
          </w:tcPr>
          <w:p w14:paraId="23AB19F1" w14:textId="77777777" w:rsidR="00D44887" w:rsidRPr="00C6096E" w:rsidRDefault="00D44887" w:rsidP="002315D8">
            <w:pPr>
              <w:pStyle w:val="TableParagraph"/>
              <w:keepLines/>
            </w:pPr>
            <w:r>
              <w:t>Adoption d’une approche stratégique réaliste pour parvenir à des améliorations dans les secteurs visés des pays bénéficiaires.</w:t>
            </w:r>
          </w:p>
        </w:tc>
        <w:tc>
          <w:tcPr>
            <w:tcW w:w="2695" w:type="dxa"/>
            <w:tcBorders>
              <w:left w:val="single" w:sz="6" w:space="0" w:color="000000"/>
              <w:bottom w:val="single" w:sz="6" w:space="0" w:color="000000"/>
            </w:tcBorders>
          </w:tcPr>
          <w:p w14:paraId="760EF516" w14:textId="77777777" w:rsidR="00D44887" w:rsidRPr="00C6096E" w:rsidRDefault="00D44887" w:rsidP="002315D8">
            <w:pPr>
              <w:pStyle w:val="TableParagraph"/>
              <w:keepLines/>
            </w:pPr>
            <w:r>
              <w:t>Élaboration d’une étude exploratoire menée dans les secteurs de la création visés des pays participants sur l’utilisation que les entreprises du secteur de la création font du système de propriété intellectuelle, les priorités stratégiques de chaque pays, ainsi que les raisons et l’ampleur de sa sous-utilisation, en vue de définir une approche réaliste pour atteindre les objectifs stratégiques du projet.</w:t>
            </w:r>
          </w:p>
        </w:tc>
        <w:tc>
          <w:tcPr>
            <w:tcW w:w="2865" w:type="dxa"/>
          </w:tcPr>
          <w:p w14:paraId="36DD3239" w14:textId="77777777" w:rsidR="00D44887" w:rsidRPr="00C6096E" w:rsidRDefault="00D44887" w:rsidP="002315D8">
            <w:pPr>
              <w:pStyle w:val="TableParagraph"/>
            </w:pPr>
            <w:r>
              <w:t xml:space="preserve">Les activités liées à l’élaboration de l’étude exploratoire ont commencé.  </w:t>
            </w:r>
          </w:p>
        </w:tc>
        <w:tc>
          <w:tcPr>
            <w:tcW w:w="1412" w:type="dxa"/>
          </w:tcPr>
          <w:p w14:paraId="5EDC7777" w14:textId="77777777" w:rsidR="00D44887" w:rsidRPr="00C6096E" w:rsidRDefault="00D44887" w:rsidP="002315D8">
            <w:pPr>
              <w:pStyle w:val="TableParagraph"/>
            </w:pPr>
            <w:r>
              <w:t>**</w:t>
            </w:r>
          </w:p>
        </w:tc>
      </w:tr>
      <w:tr w:rsidR="00D44887" w:rsidRPr="00C6096E" w14:paraId="2CF38459" w14:textId="77777777" w:rsidTr="002315D8">
        <w:trPr>
          <w:trHeight w:val="962"/>
        </w:trPr>
        <w:tc>
          <w:tcPr>
            <w:tcW w:w="2410" w:type="dxa"/>
            <w:vMerge/>
            <w:tcBorders>
              <w:right w:val="single" w:sz="6" w:space="0" w:color="000000"/>
            </w:tcBorders>
            <w:vAlign w:val="center"/>
          </w:tcPr>
          <w:p w14:paraId="0FFA6E7A" w14:textId="77777777" w:rsidR="00D44887" w:rsidRDefault="00D44887" w:rsidP="002315D8">
            <w:pPr>
              <w:pStyle w:val="TableParagraph"/>
            </w:pPr>
          </w:p>
        </w:tc>
        <w:tc>
          <w:tcPr>
            <w:tcW w:w="2695" w:type="dxa"/>
            <w:tcBorders>
              <w:left w:val="single" w:sz="6" w:space="0" w:color="000000"/>
              <w:bottom w:val="single" w:sz="6" w:space="0" w:color="000000"/>
            </w:tcBorders>
          </w:tcPr>
          <w:p w14:paraId="156CE5E3" w14:textId="77777777" w:rsidR="00D44887" w:rsidRDefault="00D44887" w:rsidP="002315D8">
            <w:pPr>
              <w:pStyle w:val="TableParagraph"/>
            </w:pPr>
            <w:r>
              <w:t>Étude exploratoire validée par les bénéficiaires et le Secrétariat de l’OMPI.</w:t>
            </w:r>
          </w:p>
        </w:tc>
        <w:tc>
          <w:tcPr>
            <w:tcW w:w="2865" w:type="dxa"/>
            <w:vAlign w:val="center"/>
          </w:tcPr>
          <w:p w14:paraId="0DBBE559" w14:textId="77777777" w:rsidR="00D44887" w:rsidRPr="00C6096E" w:rsidRDefault="00D44887" w:rsidP="002315D8">
            <w:pPr>
              <w:pStyle w:val="TableParagraph"/>
            </w:pPr>
            <w:r>
              <w:t>s.o.</w:t>
            </w:r>
          </w:p>
        </w:tc>
        <w:tc>
          <w:tcPr>
            <w:tcW w:w="1412" w:type="dxa"/>
            <w:vAlign w:val="center"/>
          </w:tcPr>
          <w:p w14:paraId="7C5A3D6D" w14:textId="77777777" w:rsidR="00D44887" w:rsidRDefault="00D44887" w:rsidP="002315D8">
            <w:pPr>
              <w:pStyle w:val="TableParagraph"/>
            </w:pPr>
            <w:r>
              <w:t>AP</w:t>
            </w:r>
          </w:p>
        </w:tc>
      </w:tr>
      <w:tr w:rsidR="00D44887" w:rsidRPr="00C6096E" w14:paraId="7F8D8857" w14:textId="77777777" w:rsidTr="002315D8">
        <w:trPr>
          <w:trHeight w:val="1472"/>
        </w:trPr>
        <w:tc>
          <w:tcPr>
            <w:tcW w:w="2410" w:type="dxa"/>
            <w:vMerge w:val="restart"/>
            <w:tcBorders>
              <w:right w:val="single" w:sz="6" w:space="0" w:color="000000"/>
            </w:tcBorders>
            <w:vAlign w:val="center"/>
          </w:tcPr>
          <w:p w14:paraId="152906A7" w14:textId="77777777" w:rsidR="00D44887" w:rsidRPr="00C6096E" w:rsidRDefault="00D44887" w:rsidP="002315D8">
            <w:pPr>
              <w:pStyle w:val="TableParagraph"/>
            </w:pPr>
            <w:r>
              <w:t>Renforcement des compétences des parties prenantes du secteur de la création sur les questions qui ont trait à la protection, la gestion, l’exploitation de la propriété intellectuelle et au respect des droits de propriété intellectuelle, ainsi que sur le marketing numérique, compte tenu des besoins des industries de la création visées.</w:t>
            </w:r>
          </w:p>
        </w:tc>
        <w:tc>
          <w:tcPr>
            <w:tcW w:w="2695" w:type="dxa"/>
            <w:tcBorders>
              <w:top w:val="single" w:sz="6" w:space="0" w:color="000000"/>
              <w:left w:val="single" w:sz="6" w:space="0" w:color="000000"/>
              <w:bottom w:val="single" w:sz="6" w:space="0" w:color="000000"/>
            </w:tcBorders>
          </w:tcPr>
          <w:p w14:paraId="61F0F09C" w14:textId="77777777" w:rsidR="00D44887" w:rsidRPr="00C6096E" w:rsidRDefault="00D44887" w:rsidP="002315D8">
            <w:pPr>
              <w:pStyle w:val="TableParagraph"/>
            </w:pPr>
            <w:r>
              <w:t xml:space="preserve">Des supports généraux concernant la gestion et la commercialisation des actifs de propriété intellectuelle dans l’univers numérique ont été mis au point à l’intention des institutions des pouvoirs publics.  </w:t>
            </w:r>
          </w:p>
        </w:tc>
        <w:tc>
          <w:tcPr>
            <w:tcW w:w="2865" w:type="dxa"/>
            <w:vAlign w:val="center"/>
          </w:tcPr>
          <w:p w14:paraId="734B767F" w14:textId="77777777" w:rsidR="00D44887" w:rsidRPr="00C6096E" w:rsidRDefault="00D44887" w:rsidP="002315D8">
            <w:pPr>
              <w:pStyle w:val="TableParagraph"/>
            </w:pPr>
            <w:r>
              <w:t>s.o.</w:t>
            </w:r>
          </w:p>
        </w:tc>
        <w:tc>
          <w:tcPr>
            <w:tcW w:w="1412" w:type="dxa"/>
            <w:vMerge w:val="restart"/>
            <w:vAlign w:val="center"/>
          </w:tcPr>
          <w:p w14:paraId="310DE092" w14:textId="77777777" w:rsidR="00D44887" w:rsidRPr="00C6096E" w:rsidRDefault="00D44887" w:rsidP="002315D8">
            <w:pPr>
              <w:pStyle w:val="TableParagraph"/>
            </w:pPr>
            <w:r>
              <w:t>AP</w:t>
            </w:r>
          </w:p>
          <w:p w14:paraId="7C6D1362" w14:textId="77777777" w:rsidR="00D44887" w:rsidRPr="00C6096E" w:rsidRDefault="00D44887" w:rsidP="002315D8">
            <w:pPr>
              <w:pStyle w:val="TableParagraph"/>
            </w:pPr>
          </w:p>
        </w:tc>
      </w:tr>
      <w:tr w:rsidR="00D44887" w:rsidRPr="00C6096E" w14:paraId="25F2B17A" w14:textId="77777777" w:rsidTr="002315D8">
        <w:trPr>
          <w:trHeight w:val="1470"/>
        </w:trPr>
        <w:tc>
          <w:tcPr>
            <w:tcW w:w="2410" w:type="dxa"/>
            <w:vMerge/>
            <w:tcBorders>
              <w:right w:val="single" w:sz="6" w:space="0" w:color="000000"/>
            </w:tcBorders>
            <w:vAlign w:val="center"/>
          </w:tcPr>
          <w:p w14:paraId="73B4679D" w14:textId="77777777" w:rsidR="00D44887" w:rsidRDefault="00D44887" w:rsidP="002315D8">
            <w:pPr>
              <w:pStyle w:val="TableParagraph"/>
            </w:pPr>
          </w:p>
        </w:tc>
        <w:tc>
          <w:tcPr>
            <w:tcW w:w="2695" w:type="dxa"/>
            <w:tcBorders>
              <w:top w:val="single" w:sz="6" w:space="0" w:color="000000"/>
              <w:left w:val="single" w:sz="6" w:space="0" w:color="000000"/>
              <w:bottom w:val="single" w:sz="6" w:space="0" w:color="000000"/>
            </w:tcBorders>
          </w:tcPr>
          <w:p w14:paraId="6AF7F588" w14:textId="77777777" w:rsidR="00D44887" w:rsidRDefault="00D44887" w:rsidP="002315D8">
            <w:pPr>
              <w:pStyle w:val="TableParagraph"/>
            </w:pPr>
            <w:r>
              <w:t xml:space="preserve">Six outils concernant la protection, la gestion et la commercialisation des actifs de propriété intellectuelle ont été mis au point pour les secteurs de la création visés.  </w:t>
            </w:r>
          </w:p>
        </w:tc>
        <w:tc>
          <w:tcPr>
            <w:tcW w:w="2865" w:type="dxa"/>
            <w:vAlign w:val="center"/>
          </w:tcPr>
          <w:p w14:paraId="45935A37" w14:textId="77777777" w:rsidR="00D44887" w:rsidRPr="00C6096E" w:rsidRDefault="00D44887" w:rsidP="002315D8">
            <w:pPr>
              <w:pStyle w:val="TableParagraph"/>
            </w:pPr>
            <w:r>
              <w:t>s.o.</w:t>
            </w:r>
          </w:p>
        </w:tc>
        <w:tc>
          <w:tcPr>
            <w:tcW w:w="1412" w:type="dxa"/>
            <w:vMerge/>
            <w:vAlign w:val="center"/>
          </w:tcPr>
          <w:p w14:paraId="40F8DAE7" w14:textId="77777777" w:rsidR="00D44887" w:rsidRPr="00C6096E" w:rsidRDefault="00D44887" w:rsidP="002315D8">
            <w:pPr>
              <w:pStyle w:val="TableParagraph"/>
            </w:pPr>
          </w:p>
        </w:tc>
      </w:tr>
      <w:tr w:rsidR="00D44887" w:rsidRPr="00C6096E" w14:paraId="78AE811E" w14:textId="77777777" w:rsidTr="002315D8">
        <w:trPr>
          <w:trHeight w:val="1318"/>
        </w:trPr>
        <w:tc>
          <w:tcPr>
            <w:tcW w:w="2410" w:type="dxa"/>
            <w:vMerge/>
            <w:tcBorders>
              <w:right w:val="single" w:sz="6" w:space="0" w:color="000000"/>
            </w:tcBorders>
            <w:vAlign w:val="center"/>
          </w:tcPr>
          <w:p w14:paraId="6A8F5BD3" w14:textId="77777777" w:rsidR="00D44887" w:rsidRDefault="00D44887" w:rsidP="002315D8">
            <w:pPr>
              <w:pStyle w:val="TableParagraph"/>
            </w:pPr>
          </w:p>
        </w:tc>
        <w:tc>
          <w:tcPr>
            <w:tcW w:w="2695" w:type="dxa"/>
            <w:tcBorders>
              <w:top w:val="single" w:sz="6" w:space="0" w:color="000000"/>
              <w:left w:val="single" w:sz="6" w:space="0" w:color="000000"/>
              <w:bottom w:val="single" w:sz="6" w:space="0" w:color="000000"/>
            </w:tcBorders>
          </w:tcPr>
          <w:p w14:paraId="18C2AAEF" w14:textId="77777777" w:rsidR="00D44887" w:rsidRDefault="00D44887" w:rsidP="002315D8">
            <w:pPr>
              <w:pStyle w:val="TableParagraph"/>
            </w:pPr>
            <w:r>
              <w:t xml:space="preserve">Des manifestations de renforcement des capacités des acteurs des secteurs de la création visés ont été menées à bien dans chacun des pays bénéficiaires.  </w:t>
            </w:r>
          </w:p>
        </w:tc>
        <w:tc>
          <w:tcPr>
            <w:tcW w:w="2865" w:type="dxa"/>
            <w:vAlign w:val="center"/>
          </w:tcPr>
          <w:p w14:paraId="7F246145" w14:textId="77777777" w:rsidR="00D44887" w:rsidRPr="00C6096E" w:rsidRDefault="00D44887" w:rsidP="002315D8">
            <w:pPr>
              <w:pStyle w:val="TableParagraph"/>
            </w:pPr>
            <w:r>
              <w:t>s.o.</w:t>
            </w:r>
          </w:p>
        </w:tc>
        <w:tc>
          <w:tcPr>
            <w:tcW w:w="1412" w:type="dxa"/>
            <w:vMerge/>
            <w:vAlign w:val="center"/>
          </w:tcPr>
          <w:p w14:paraId="31B49B17" w14:textId="77777777" w:rsidR="00D44887" w:rsidRPr="00C6096E" w:rsidRDefault="00D44887" w:rsidP="002315D8">
            <w:pPr>
              <w:pStyle w:val="TableParagraph"/>
            </w:pPr>
          </w:p>
        </w:tc>
      </w:tr>
      <w:tr w:rsidR="00D44887" w:rsidRPr="00C6096E" w14:paraId="1A8C0743" w14:textId="77777777" w:rsidTr="002315D8">
        <w:trPr>
          <w:trHeight w:val="929"/>
        </w:trPr>
        <w:tc>
          <w:tcPr>
            <w:tcW w:w="2410" w:type="dxa"/>
            <w:vMerge/>
            <w:tcBorders>
              <w:right w:val="single" w:sz="6" w:space="0" w:color="000000"/>
            </w:tcBorders>
            <w:vAlign w:val="center"/>
          </w:tcPr>
          <w:p w14:paraId="599C4BD7" w14:textId="77777777" w:rsidR="00D44887" w:rsidRDefault="00D44887" w:rsidP="002315D8">
            <w:pPr>
              <w:pStyle w:val="TableParagraph"/>
            </w:pPr>
          </w:p>
        </w:tc>
        <w:tc>
          <w:tcPr>
            <w:tcW w:w="2695" w:type="dxa"/>
            <w:tcBorders>
              <w:top w:val="single" w:sz="6" w:space="0" w:color="000000"/>
              <w:left w:val="single" w:sz="6" w:space="0" w:color="000000"/>
              <w:bottom w:val="single" w:sz="6" w:space="0" w:color="000000"/>
            </w:tcBorders>
          </w:tcPr>
          <w:p w14:paraId="5C165F54" w14:textId="77777777" w:rsidR="00D44887" w:rsidRDefault="00D44887" w:rsidP="002315D8">
            <w:pPr>
              <w:pStyle w:val="TableParagraph"/>
            </w:pPr>
            <w:r>
              <w:t>Quatre programmes de mentorat (un par pays) ont été lancés avec succès.</w:t>
            </w:r>
          </w:p>
        </w:tc>
        <w:tc>
          <w:tcPr>
            <w:tcW w:w="2865" w:type="dxa"/>
            <w:vAlign w:val="center"/>
          </w:tcPr>
          <w:p w14:paraId="61540CC1" w14:textId="77777777" w:rsidR="00D44887" w:rsidRPr="00C6096E" w:rsidRDefault="00D44887" w:rsidP="002315D8">
            <w:pPr>
              <w:pStyle w:val="TableParagraph"/>
            </w:pPr>
            <w:r>
              <w:t>s.o.</w:t>
            </w:r>
          </w:p>
        </w:tc>
        <w:tc>
          <w:tcPr>
            <w:tcW w:w="1412" w:type="dxa"/>
            <w:vMerge/>
            <w:vAlign w:val="center"/>
          </w:tcPr>
          <w:p w14:paraId="707A2FE3" w14:textId="77777777" w:rsidR="00D44887" w:rsidRPr="00C6096E" w:rsidRDefault="00D44887" w:rsidP="002315D8">
            <w:pPr>
              <w:pStyle w:val="TableParagraph"/>
            </w:pPr>
          </w:p>
        </w:tc>
      </w:tr>
      <w:tr w:rsidR="00D44887" w:rsidRPr="00C6096E" w14:paraId="642E35CD" w14:textId="77777777" w:rsidTr="002315D8">
        <w:trPr>
          <w:trHeight w:val="2268"/>
        </w:trPr>
        <w:tc>
          <w:tcPr>
            <w:tcW w:w="2410" w:type="dxa"/>
            <w:vMerge w:val="restart"/>
            <w:tcBorders>
              <w:right w:val="single" w:sz="6" w:space="0" w:color="000000"/>
            </w:tcBorders>
            <w:vAlign w:val="center"/>
          </w:tcPr>
          <w:p w14:paraId="08FF491E" w14:textId="77777777" w:rsidR="00D44887" w:rsidRPr="00C6096E" w:rsidRDefault="00D44887" w:rsidP="002315D8">
            <w:pPr>
              <w:pStyle w:val="TableParagraph"/>
            </w:pPr>
            <w:r>
              <w:lastRenderedPageBreak/>
              <w:t>Meilleure connaissance par les pouvoirs publics et les entreprises du secteur de la création de l’importance de l’utilisation du système de propriété intellectuelle pour prendre des décisions stratégiques en connaissance de cause à cet égard.</w:t>
            </w:r>
          </w:p>
        </w:tc>
        <w:tc>
          <w:tcPr>
            <w:tcW w:w="2695" w:type="dxa"/>
            <w:tcBorders>
              <w:top w:val="single" w:sz="6" w:space="0" w:color="000000"/>
              <w:left w:val="single" w:sz="6" w:space="0" w:color="000000"/>
              <w:bottom w:val="single" w:sz="6" w:space="0" w:color="000000"/>
            </w:tcBorders>
            <w:vAlign w:val="center"/>
          </w:tcPr>
          <w:p w14:paraId="44A4CB15" w14:textId="77777777" w:rsidR="00D44887" w:rsidRPr="00C6096E" w:rsidRDefault="00D44887" w:rsidP="002315D8">
            <w:pPr>
              <w:pStyle w:val="TableParagraph"/>
            </w:pPr>
            <w:r>
              <w:t xml:space="preserve">Un canal de diffusion d’informations sur les possibilités de collaboration, ainsi que sur la protection et la gestion des droits de propriété intellectuelle et les stratégies de propriété intellectuelle pour les entreprises a été créé dans chaque pays participant.  </w:t>
            </w:r>
          </w:p>
        </w:tc>
        <w:tc>
          <w:tcPr>
            <w:tcW w:w="2865" w:type="dxa"/>
            <w:vAlign w:val="center"/>
          </w:tcPr>
          <w:p w14:paraId="010FAD8A" w14:textId="77777777" w:rsidR="00D44887" w:rsidRPr="003D6851" w:rsidRDefault="00D44887" w:rsidP="002315D8">
            <w:pPr>
              <w:pStyle w:val="TableParagraph"/>
              <w:rPr>
                <w:b/>
              </w:rPr>
            </w:pPr>
            <w:r>
              <w:t>s.o.</w:t>
            </w:r>
          </w:p>
        </w:tc>
        <w:tc>
          <w:tcPr>
            <w:tcW w:w="1412" w:type="dxa"/>
            <w:vAlign w:val="center"/>
          </w:tcPr>
          <w:p w14:paraId="5181307E" w14:textId="77777777" w:rsidR="00D44887" w:rsidRPr="00C6096E" w:rsidRDefault="00D44887" w:rsidP="002315D8">
            <w:pPr>
              <w:pStyle w:val="TableParagraph"/>
            </w:pPr>
            <w:r>
              <w:t>AP</w:t>
            </w:r>
          </w:p>
        </w:tc>
      </w:tr>
      <w:tr w:rsidR="00D44887" w:rsidRPr="00C6096E" w14:paraId="724BE415" w14:textId="77777777" w:rsidTr="002315D8">
        <w:trPr>
          <w:trHeight w:val="3548"/>
        </w:trPr>
        <w:tc>
          <w:tcPr>
            <w:tcW w:w="2410" w:type="dxa"/>
            <w:vMerge/>
            <w:tcBorders>
              <w:right w:val="single" w:sz="6" w:space="0" w:color="000000"/>
            </w:tcBorders>
            <w:vAlign w:val="center"/>
          </w:tcPr>
          <w:p w14:paraId="5BD2F195" w14:textId="77777777" w:rsidR="00D44887" w:rsidRDefault="00D44887" w:rsidP="002315D8">
            <w:pPr>
              <w:pStyle w:val="TableParagraph"/>
            </w:pPr>
          </w:p>
        </w:tc>
        <w:tc>
          <w:tcPr>
            <w:tcW w:w="2695" w:type="dxa"/>
            <w:tcBorders>
              <w:top w:val="single" w:sz="6" w:space="0" w:color="000000"/>
              <w:left w:val="single" w:sz="6" w:space="0" w:color="000000"/>
              <w:bottom w:val="single" w:sz="6" w:space="0" w:color="000000"/>
            </w:tcBorders>
          </w:tcPr>
          <w:p w14:paraId="468AC17D" w14:textId="77777777" w:rsidR="00D44887" w:rsidRDefault="00D44887" w:rsidP="002315D8">
            <w:pPr>
              <w:pStyle w:val="TableParagraph"/>
            </w:pPr>
            <w:r>
              <w:t xml:space="preserve">Quatre manifestations (une par pays participant) destinées à sensibiliser les entreprises du secteur de la création à l’importance de la protection et de la gestion de la propriété intellectuelle et des stratégies des entreprises en la matière ont été réalisées avec succès.  </w:t>
            </w:r>
          </w:p>
        </w:tc>
        <w:tc>
          <w:tcPr>
            <w:tcW w:w="2865" w:type="dxa"/>
            <w:vAlign w:val="center"/>
          </w:tcPr>
          <w:p w14:paraId="542DA283" w14:textId="77777777" w:rsidR="00D44887" w:rsidRDefault="00D44887" w:rsidP="002315D8">
            <w:pPr>
              <w:pStyle w:val="TableParagraph"/>
            </w:pPr>
            <w:r>
              <w:t>s.o.</w:t>
            </w:r>
          </w:p>
        </w:tc>
        <w:tc>
          <w:tcPr>
            <w:tcW w:w="1412" w:type="dxa"/>
            <w:vAlign w:val="center"/>
          </w:tcPr>
          <w:p w14:paraId="75C06E14" w14:textId="77777777" w:rsidR="00D44887" w:rsidRPr="00C6096E" w:rsidRDefault="00D44887" w:rsidP="002315D8">
            <w:pPr>
              <w:pStyle w:val="TableParagraph"/>
            </w:pPr>
            <w:r>
              <w:t>AP</w:t>
            </w:r>
          </w:p>
        </w:tc>
      </w:tr>
      <w:tr w:rsidR="00D44887" w:rsidRPr="00C6096E" w14:paraId="78407767" w14:textId="77777777" w:rsidTr="002315D8">
        <w:trPr>
          <w:trHeight w:val="3548"/>
        </w:trPr>
        <w:tc>
          <w:tcPr>
            <w:tcW w:w="2410" w:type="dxa"/>
            <w:vMerge/>
            <w:tcBorders>
              <w:right w:val="single" w:sz="6" w:space="0" w:color="000000"/>
            </w:tcBorders>
            <w:vAlign w:val="center"/>
          </w:tcPr>
          <w:p w14:paraId="6479EC58" w14:textId="77777777" w:rsidR="00D44887" w:rsidRDefault="00D44887" w:rsidP="002315D8">
            <w:pPr>
              <w:pStyle w:val="TableParagraph"/>
            </w:pPr>
          </w:p>
        </w:tc>
        <w:tc>
          <w:tcPr>
            <w:tcW w:w="2695" w:type="dxa"/>
            <w:tcBorders>
              <w:top w:val="single" w:sz="6" w:space="0" w:color="000000"/>
              <w:left w:val="single" w:sz="6" w:space="0" w:color="000000"/>
              <w:bottom w:val="single" w:sz="6" w:space="0" w:color="000000"/>
            </w:tcBorders>
            <w:vAlign w:val="center"/>
          </w:tcPr>
          <w:p w14:paraId="346CC968" w14:textId="77777777" w:rsidR="00D44887" w:rsidRDefault="00D44887" w:rsidP="002315D8">
            <w:pPr>
              <w:pStyle w:val="TableParagraph"/>
            </w:pPr>
            <w:r>
              <w:t>Un ensemble de lignes directrices sur la sensibilisation dans les secteurs visés, qui répond aux besoins des autorités nationales, notamment des offices de propriété intellectuelle, a été mis au point et diffusé pour expliquer comment utiliser la gestion et l’application des droits de propriété intellectuelle pour renforcer les industries de la création, comment favoriser l’accessibilité et l’utilisation du système de propriété intellectuelle et comment améliorer la gestion des systèmes de propriété intellectuelle.</w:t>
            </w:r>
          </w:p>
          <w:p w14:paraId="4C7761AA" w14:textId="77777777" w:rsidR="00D44887" w:rsidRDefault="00D44887" w:rsidP="002315D8">
            <w:pPr>
              <w:pStyle w:val="TableParagraph"/>
            </w:pPr>
          </w:p>
        </w:tc>
        <w:tc>
          <w:tcPr>
            <w:tcW w:w="2865" w:type="dxa"/>
          </w:tcPr>
          <w:p w14:paraId="1AEA8A28" w14:textId="77777777" w:rsidR="00D44887" w:rsidRDefault="00D44887" w:rsidP="002315D8">
            <w:pPr>
              <w:pStyle w:val="TableParagraph"/>
            </w:pPr>
            <w:r>
              <w:t xml:space="preserve">L’élaboration du guide sur la sensibilisation a commencé.  </w:t>
            </w:r>
          </w:p>
        </w:tc>
        <w:tc>
          <w:tcPr>
            <w:tcW w:w="1412" w:type="dxa"/>
          </w:tcPr>
          <w:p w14:paraId="32C2DA61" w14:textId="77777777" w:rsidR="00D44887" w:rsidRPr="00C6096E" w:rsidRDefault="00D44887" w:rsidP="002315D8">
            <w:pPr>
              <w:pStyle w:val="TableParagraph"/>
            </w:pPr>
            <w:r>
              <w:t>**</w:t>
            </w:r>
          </w:p>
        </w:tc>
      </w:tr>
      <w:tr w:rsidR="00D44887" w:rsidRPr="00C6096E" w14:paraId="4C5B1CB4" w14:textId="77777777" w:rsidTr="002315D8">
        <w:trPr>
          <w:trHeight w:val="1582"/>
        </w:trPr>
        <w:tc>
          <w:tcPr>
            <w:tcW w:w="2410" w:type="dxa"/>
            <w:vMerge w:val="restart"/>
            <w:tcBorders>
              <w:right w:val="single" w:sz="6" w:space="0" w:color="000000"/>
            </w:tcBorders>
            <w:vAlign w:val="center"/>
          </w:tcPr>
          <w:p w14:paraId="5C31A526" w14:textId="77777777" w:rsidR="00D44887" w:rsidRDefault="00D44887" w:rsidP="002315D8">
            <w:pPr>
              <w:pStyle w:val="TableParagraph"/>
            </w:pPr>
            <w:r>
              <w:t>Constitution de réseaux nationaux et régionaux regroupant les parties prenantes du secteur de la création.</w:t>
            </w:r>
          </w:p>
        </w:tc>
        <w:tc>
          <w:tcPr>
            <w:tcW w:w="2695" w:type="dxa"/>
            <w:tcBorders>
              <w:top w:val="single" w:sz="6" w:space="0" w:color="000000"/>
              <w:left w:val="single" w:sz="6" w:space="0" w:color="000000"/>
              <w:bottom w:val="single" w:sz="6" w:space="0" w:color="000000"/>
            </w:tcBorders>
            <w:vAlign w:val="center"/>
          </w:tcPr>
          <w:p w14:paraId="77999105" w14:textId="77777777" w:rsidR="00D44887" w:rsidRDefault="00D44887" w:rsidP="002315D8">
            <w:pPr>
              <w:pStyle w:val="TableParagraph"/>
            </w:pPr>
            <w:r>
              <w:t xml:space="preserve">Un système destiné à fournir des informations utiles et à jour sur les industries de la création visées a été établi et est utilisé par les parties </w:t>
            </w:r>
            <w:r>
              <w:lastRenderedPageBreak/>
              <w:t>prenantes.</w:t>
            </w:r>
          </w:p>
          <w:p w14:paraId="595D746F" w14:textId="77777777" w:rsidR="00D44887" w:rsidRPr="00C6096E" w:rsidRDefault="00D44887" w:rsidP="002315D8">
            <w:pPr>
              <w:pStyle w:val="TableParagraph"/>
            </w:pPr>
          </w:p>
        </w:tc>
        <w:tc>
          <w:tcPr>
            <w:tcW w:w="2865" w:type="dxa"/>
            <w:vAlign w:val="center"/>
          </w:tcPr>
          <w:p w14:paraId="7148BDD5" w14:textId="77777777" w:rsidR="00D44887" w:rsidRPr="00C6096E" w:rsidRDefault="00D44887" w:rsidP="002315D8">
            <w:pPr>
              <w:pStyle w:val="TableParagraph"/>
            </w:pPr>
            <w:r>
              <w:lastRenderedPageBreak/>
              <w:t>s.o.</w:t>
            </w:r>
          </w:p>
        </w:tc>
        <w:tc>
          <w:tcPr>
            <w:tcW w:w="1412" w:type="dxa"/>
            <w:vMerge w:val="restart"/>
            <w:vAlign w:val="center"/>
          </w:tcPr>
          <w:p w14:paraId="0EA789B8" w14:textId="77777777" w:rsidR="00D44887" w:rsidRPr="00C6096E" w:rsidRDefault="00D44887" w:rsidP="002315D8">
            <w:pPr>
              <w:pStyle w:val="TableParagraph"/>
            </w:pPr>
            <w:r>
              <w:t>AP</w:t>
            </w:r>
          </w:p>
        </w:tc>
      </w:tr>
      <w:tr w:rsidR="00D44887" w:rsidRPr="00C6096E" w14:paraId="0A5E4A37" w14:textId="77777777" w:rsidTr="002315D8">
        <w:trPr>
          <w:trHeight w:val="1582"/>
        </w:trPr>
        <w:tc>
          <w:tcPr>
            <w:tcW w:w="2410" w:type="dxa"/>
            <w:vMerge/>
            <w:tcBorders>
              <w:right w:val="single" w:sz="6" w:space="0" w:color="000000"/>
            </w:tcBorders>
            <w:vAlign w:val="center"/>
          </w:tcPr>
          <w:p w14:paraId="5E68FC75" w14:textId="77777777" w:rsidR="00D44887" w:rsidRPr="00092F29" w:rsidRDefault="00D44887" w:rsidP="002315D8">
            <w:pPr>
              <w:pStyle w:val="TableParagraph"/>
            </w:pPr>
          </w:p>
        </w:tc>
        <w:tc>
          <w:tcPr>
            <w:tcW w:w="2695" w:type="dxa"/>
            <w:tcBorders>
              <w:top w:val="single" w:sz="6" w:space="0" w:color="000000"/>
              <w:left w:val="single" w:sz="6" w:space="0" w:color="000000"/>
              <w:bottom w:val="single" w:sz="6" w:space="0" w:color="000000"/>
            </w:tcBorders>
            <w:vAlign w:val="center"/>
          </w:tcPr>
          <w:p w14:paraId="7CA9F0E3" w14:textId="77777777" w:rsidR="00D44887" w:rsidRDefault="00D44887" w:rsidP="002315D8">
            <w:pPr>
              <w:pStyle w:val="TableParagraph"/>
            </w:pPr>
            <w:r>
              <w:t xml:space="preserve">Deux événements de constitution de réseaux visant à mettre en relation les membres de ces réseaux ont été organisés avec succès dans chaque pays participant.  </w:t>
            </w:r>
          </w:p>
        </w:tc>
        <w:tc>
          <w:tcPr>
            <w:tcW w:w="2865" w:type="dxa"/>
            <w:vAlign w:val="center"/>
          </w:tcPr>
          <w:p w14:paraId="1E8B333F" w14:textId="77777777" w:rsidR="00D44887" w:rsidRPr="00C6096E" w:rsidRDefault="00D44887" w:rsidP="002315D8">
            <w:pPr>
              <w:pStyle w:val="TableParagraph"/>
            </w:pPr>
            <w:r>
              <w:t>s.o.</w:t>
            </w:r>
          </w:p>
        </w:tc>
        <w:tc>
          <w:tcPr>
            <w:tcW w:w="1412" w:type="dxa"/>
            <w:vMerge/>
            <w:vAlign w:val="center"/>
          </w:tcPr>
          <w:p w14:paraId="5D39B840" w14:textId="77777777" w:rsidR="00D44887" w:rsidRPr="00C6096E" w:rsidRDefault="00D44887" w:rsidP="002315D8">
            <w:pPr>
              <w:pStyle w:val="TableParagraph"/>
            </w:pPr>
          </w:p>
        </w:tc>
      </w:tr>
      <w:tr w:rsidR="00D44887" w:rsidRPr="00C6096E" w14:paraId="76F26EE4" w14:textId="77777777" w:rsidTr="002315D8">
        <w:trPr>
          <w:trHeight w:val="1122"/>
        </w:trPr>
        <w:tc>
          <w:tcPr>
            <w:tcW w:w="2410" w:type="dxa"/>
            <w:vMerge/>
            <w:tcBorders>
              <w:right w:val="single" w:sz="6" w:space="0" w:color="000000"/>
            </w:tcBorders>
            <w:vAlign w:val="center"/>
          </w:tcPr>
          <w:p w14:paraId="5E51E716" w14:textId="77777777" w:rsidR="00D44887" w:rsidRPr="00092F29" w:rsidRDefault="00D44887" w:rsidP="002315D8">
            <w:pPr>
              <w:pStyle w:val="TableParagraph"/>
            </w:pPr>
          </w:p>
        </w:tc>
        <w:tc>
          <w:tcPr>
            <w:tcW w:w="2695" w:type="dxa"/>
            <w:tcBorders>
              <w:top w:val="single" w:sz="6" w:space="0" w:color="000000"/>
              <w:left w:val="single" w:sz="6" w:space="0" w:color="000000"/>
              <w:bottom w:val="single" w:sz="6" w:space="0" w:color="000000"/>
            </w:tcBorders>
            <w:vAlign w:val="center"/>
          </w:tcPr>
          <w:p w14:paraId="071B1F4C" w14:textId="77777777" w:rsidR="00D44887" w:rsidRDefault="00D44887" w:rsidP="002315D8">
            <w:pPr>
              <w:pStyle w:val="TableParagraph"/>
            </w:pPr>
            <w:r>
              <w:t>Des pôles nationaux et régionaux, selon le cas, ont été mis en place pour les entreprises du secteur de la création.</w:t>
            </w:r>
          </w:p>
        </w:tc>
        <w:tc>
          <w:tcPr>
            <w:tcW w:w="2865" w:type="dxa"/>
            <w:vAlign w:val="center"/>
          </w:tcPr>
          <w:p w14:paraId="368C5417" w14:textId="77777777" w:rsidR="00D44887" w:rsidRPr="00C6096E" w:rsidRDefault="00D44887" w:rsidP="002315D8">
            <w:pPr>
              <w:pStyle w:val="TableParagraph"/>
            </w:pPr>
            <w:r>
              <w:t>s.o.</w:t>
            </w:r>
          </w:p>
        </w:tc>
        <w:tc>
          <w:tcPr>
            <w:tcW w:w="1412" w:type="dxa"/>
            <w:vMerge/>
            <w:vAlign w:val="center"/>
          </w:tcPr>
          <w:p w14:paraId="4082DA03" w14:textId="77777777" w:rsidR="00D44887" w:rsidRPr="00C6096E" w:rsidRDefault="00D44887" w:rsidP="002315D8">
            <w:pPr>
              <w:pStyle w:val="TableParagraph"/>
            </w:pPr>
          </w:p>
        </w:tc>
      </w:tr>
    </w:tbl>
    <w:p w14:paraId="4D951DCF" w14:textId="77777777" w:rsidR="00D44887" w:rsidRDefault="00D44887" w:rsidP="00D44887">
      <w:pPr>
        <w:pStyle w:val="BodyText"/>
        <w:jc w:val="right"/>
      </w:pPr>
    </w:p>
    <w:p w14:paraId="6CA56723" w14:textId="77777777" w:rsidR="00D44887" w:rsidRPr="00C6096E" w:rsidRDefault="00D44887" w:rsidP="00D44887">
      <w:pPr>
        <w:pStyle w:val="Endofdocument-Annex"/>
        <w:spacing w:before="720"/>
      </w:pPr>
      <w:r>
        <w:t>[L’annexe VIII suit]</w:t>
      </w:r>
    </w:p>
    <w:p w14:paraId="20729ADC" w14:textId="77777777" w:rsidR="00D44887" w:rsidRDefault="00D44887" w:rsidP="00D44887"/>
    <w:p w14:paraId="67ABA82F" w14:textId="77777777" w:rsidR="00D44887" w:rsidRDefault="00D44887" w:rsidP="00D44887">
      <w:pPr>
        <w:sectPr w:rsidR="00D44887" w:rsidSect="00CF07C0">
          <w:headerReference w:type="default" r:id="rId84"/>
          <w:headerReference w:type="first" r:id="rId85"/>
          <w:pgSz w:w="11907" w:h="16840" w:code="9"/>
          <w:pgMar w:top="1418" w:right="1418" w:bottom="1418" w:left="1418"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D44887" w:rsidRPr="00F778DD" w14:paraId="637D0037" w14:textId="77777777" w:rsidTr="002315D8">
        <w:trPr>
          <w:trHeight w:val="431"/>
        </w:trPr>
        <w:tc>
          <w:tcPr>
            <w:tcW w:w="9290" w:type="dxa"/>
            <w:gridSpan w:val="2"/>
          </w:tcPr>
          <w:p w14:paraId="3F60111B" w14:textId="77777777" w:rsidR="00D44887" w:rsidRPr="00F778DD" w:rsidRDefault="00D44887" w:rsidP="002315D8">
            <w:r>
              <w:lastRenderedPageBreak/>
              <w:t>RÉSUMÉ DU PROJET</w:t>
            </w:r>
          </w:p>
        </w:tc>
      </w:tr>
      <w:tr w:rsidR="00D44887" w:rsidRPr="00F778DD" w14:paraId="79AD36F5" w14:textId="77777777" w:rsidTr="002315D8">
        <w:trPr>
          <w:trHeight w:val="324"/>
        </w:trPr>
        <w:tc>
          <w:tcPr>
            <w:tcW w:w="2377" w:type="dxa"/>
            <w:shd w:val="clear" w:color="auto" w:fill="68E089"/>
            <w:vAlign w:val="center"/>
          </w:tcPr>
          <w:p w14:paraId="4D7E1BCA" w14:textId="77777777" w:rsidR="00D44887" w:rsidRPr="00F778DD" w:rsidRDefault="00D44887" w:rsidP="002315D8">
            <w:r>
              <w:rPr>
                <w:u w:val="single"/>
              </w:rPr>
              <w:t>Code du projet</w:t>
            </w:r>
          </w:p>
        </w:tc>
        <w:tc>
          <w:tcPr>
            <w:tcW w:w="6913" w:type="dxa"/>
            <w:vAlign w:val="center"/>
          </w:tcPr>
          <w:p w14:paraId="79FCFE1A" w14:textId="77777777" w:rsidR="00D44887" w:rsidRPr="00F778DD" w:rsidRDefault="00D44887" w:rsidP="002315D8">
            <w:pPr>
              <w:pStyle w:val="TableParagraph"/>
              <w:spacing w:before="1"/>
              <w:ind w:left="109"/>
            </w:pPr>
            <w:r>
              <w:t>DA_1_4_10_35_37_01</w:t>
            </w:r>
          </w:p>
        </w:tc>
      </w:tr>
      <w:tr w:rsidR="00D44887" w:rsidRPr="00F778DD" w14:paraId="110DC81E" w14:textId="77777777" w:rsidTr="002315D8">
        <w:trPr>
          <w:trHeight w:val="342"/>
        </w:trPr>
        <w:tc>
          <w:tcPr>
            <w:tcW w:w="2377" w:type="dxa"/>
            <w:shd w:val="clear" w:color="auto" w:fill="68E089"/>
            <w:vAlign w:val="center"/>
          </w:tcPr>
          <w:p w14:paraId="05225D9A" w14:textId="77777777" w:rsidR="00D44887" w:rsidRPr="00F778DD" w:rsidRDefault="00D44887" w:rsidP="002315D8">
            <w:r>
              <w:rPr>
                <w:u w:val="single"/>
              </w:rPr>
              <w:t>Intitulé</w:t>
            </w:r>
          </w:p>
        </w:tc>
        <w:tc>
          <w:tcPr>
            <w:tcW w:w="6913" w:type="dxa"/>
            <w:vAlign w:val="center"/>
          </w:tcPr>
          <w:p w14:paraId="126D9585" w14:textId="2F8A8666" w:rsidR="00D44887" w:rsidRPr="00F778DD" w:rsidRDefault="00111FE8" w:rsidP="002315D8">
            <w:pPr>
              <w:pStyle w:val="TableParagraph"/>
              <w:spacing w:before="1"/>
              <w:ind w:left="109"/>
            </w:pPr>
            <w:hyperlink r:id="rId86" w:history="1">
              <w:r w:rsidR="00D44887">
                <w:rPr>
                  <w:rStyle w:val="Hyperlink"/>
                </w:rPr>
                <w:t>Systématisation des données statistiques et conception et mise en œuvre d’une méthode pour l’élaboration d’évaluations d’incidence sur l’utilisation du système de la propriété intellectuelle</w:t>
              </w:r>
            </w:hyperlink>
          </w:p>
        </w:tc>
      </w:tr>
      <w:tr w:rsidR="00D44887" w:rsidRPr="00F778DD" w14:paraId="671BDFF6" w14:textId="77777777" w:rsidTr="002315D8">
        <w:trPr>
          <w:trHeight w:val="531"/>
        </w:trPr>
        <w:tc>
          <w:tcPr>
            <w:tcW w:w="2377" w:type="dxa"/>
            <w:shd w:val="clear" w:color="auto" w:fill="68E089"/>
            <w:vAlign w:val="center"/>
          </w:tcPr>
          <w:p w14:paraId="58C2CE3C" w14:textId="7052B192" w:rsidR="00D44887" w:rsidRPr="00F778DD" w:rsidRDefault="00111FE8" w:rsidP="002315D8">
            <w:hyperlink r:id="rId87" w:history="1">
              <w:r w:rsidR="00D44887">
                <w:rPr>
                  <w:rStyle w:val="Hyperlink"/>
                </w:rPr>
                <w:t>Recommandation du Plan d’action pour le développement</w:t>
              </w:r>
            </w:hyperlink>
          </w:p>
        </w:tc>
        <w:tc>
          <w:tcPr>
            <w:tcW w:w="6913" w:type="dxa"/>
            <w:vAlign w:val="center"/>
          </w:tcPr>
          <w:p w14:paraId="446EBB7F" w14:textId="77777777" w:rsidR="00D44887" w:rsidRPr="005454E4" w:rsidRDefault="00D44887" w:rsidP="002315D8">
            <w:pPr>
              <w:pStyle w:val="TableParagraph"/>
              <w:spacing w:before="1"/>
              <w:ind w:left="109"/>
              <w:rPr>
                <w:iCs/>
              </w:rPr>
            </w:pPr>
            <w:r>
              <w:t>Recommandations n</w:t>
            </w:r>
            <w:r>
              <w:rPr>
                <w:vertAlign w:val="superscript"/>
              </w:rPr>
              <w:t>os</w:t>
            </w:r>
            <w:r>
              <w:t xml:space="preserve"> 1, 4, 10, 35 et 37.  </w:t>
            </w:r>
          </w:p>
        </w:tc>
      </w:tr>
      <w:tr w:rsidR="00D44887" w:rsidRPr="00F778DD" w14:paraId="1EA8490A" w14:textId="77777777" w:rsidTr="002315D8">
        <w:trPr>
          <w:trHeight w:val="621"/>
        </w:trPr>
        <w:tc>
          <w:tcPr>
            <w:tcW w:w="2377" w:type="dxa"/>
            <w:shd w:val="clear" w:color="auto" w:fill="68E089"/>
            <w:vAlign w:val="center"/>
          </w:tcPr>
          <w:p w14:paraId="336BBEA1" w14:textId="77777777" w:rsidR="00D44887" w:rsidRPr="00F778DD" w:rsidRDefault="00D44887" w:rsidP="002315D8">
            <w:r>
              <w:rPr>
                <w:u w:val="single"/>
              </w:rPr>
              <w:t>Budget du projet</w:t>
            </w:r>
          </w:p>
        </w:tc>
        <w:tc>
          <w:tcPr>
            <w:tcW w:w="6913" w:type="dxa"/>
            <w:vAlign w:val="center"/>
          </w:tcPr>
          <w:p w14:paraId="477CED4C" w14:textId="77777777" w:rsidR="00D44887" w:rsidRPr="00F778DD" w:rsidRDefault="00D44887" w:rsidP="002315D8">
            <w:pPr>
              <w:pStyle w:val="TableParagraph"/>
              <w:spacing w:before="1"/>
              <w:ind w:left="109"/>
            </w:pPr>
            <w:r>
              <w:t xml:space="preserve">Le budget total alloué aux dépenses autres que les dépenses de personnel s’élève à : 499 300 francs suisses, dont 234 300 francs suisses pour les dépenses autres que les dépenses de personnel pour l’embauche d’un boursier.  </w:t>
            </w:r>
          </w:p>
        </w:tc>
      </w:tr>
      <w:tr w:rsidR="00D44887" w:rsidRPr="00F778DD" w14:paraId="496DAF8D" w14:textId="77777777" w:rsidTr="002315D8">
        <w:trPr>
          <w:trHeight w:val="531"/>
        </w:trPr>
        <w:tc>
          <w:tcPr>
            <w:tcW w:w="2377" w:type="dxa"/>
            <w:shd w:val="clear" w:color="auto" w:fill="68E089"/>
            <w:vAlign w:val="center"/>
          </w:tcPr>
          <w:p w14:paraId="3906C299" w14:textId="77777777" w:rsidR="00D44887" w:rsidRPr="00F778DD" w:rsidRDefault="00D44887" w:rsidP="002315D8">
            <w:r>
              <w:rPr>
                <w:u w:val="single"/>
              </w:rPr>
              <w:t>Date de début du projet</w:t>
            </w:r>
          </w:p>
        </w:tc>
        <w:tc>
          <w:tcPr>
            <w:tcW w:w="6913" w:type="dxa"/>
            <w:vAlign w:val="center"/>
          </w:tcPr>
          <w:p w14:paraId="536449BD" w14:textId="77777777" w:rsidR="00D44887" w:rsidRPr="00F778DD" w:rsidRDefault="00D44887" w:rsidP="002315D8">
            <w:pPr>
              <w:pStyle w:val="TableParagraph"/>
              <w:spacing w:before="1"/>
              <w:ind w:left="109"/>
            </w:pPr>
            <w:r>
              <w:t xml:space="preserve">La phase zéro (préparation) du projet a débuté en janvier.  La mise en œuvre effective du projet a commencé en juin 2022.  </w:t>
            </w:r>
          </w:p>
        </w:tc>
      </w:tr>
      <w:tr w:rsidR="00D44887" w:rsidRPr="00F778DD" w14:paraId="6EBD8DD3" w14:textId="77777777" w:rsidTr="002315D8">
        <w:trPr>
          <w:trHeight w:val="531"/>
        </w:trPr>
        <w:tc>
          <w:tcPr>
            <w:tcW w:w="2377" w:type="dxa"/>
            <w:shd w:val="clear" w:color="auto" w:fill="68E089"/>
            <w:vAlign w:val="center"/>
          </w:tcPr>
          <w:p w14:paraId="0FF4908A" w14:textId="77777777" w:rsidR="00D44887" w:rsidRPr="00F778DD" w:rsidRDefault="00D44887" w:rsidP="002315D8">
            <w:r>
              <w:rPr>
                <w:u w:val="single"/>
              </w:rPr>
              <w:t>Durée du projet</w:t>
            </w:r>
          </w:p>
        </w:tc>
        <w:tc>
          <w:tcPr>
            <w:tcW w:w="6913" w:type="dxa"/>
            <w:vAlign w:val="center"/>
          </w:tcPr>
          <w:p w14:paraId="3459A938" w14:textId="77777777" w:rsidR="00D44887" w:rsidRPr="00F778DD" w:rsidRDefault="00D44887" w:rsidP="002315D8">
            <w:pPr>
              <w:pStyle w:val="TableParagraph"/>
              <w:spacing w:before="1"/>
              <w:ind w:left="109"/>
            </w:pPr>
            <w:r>
              <w:t>36 mois</w:t>
            </w:r>
          </w:p>
        </w:tc>
      </w:tr>
      <w:tr w:rsidR="00D44887" w:rsidRPr="00F778DD" w14:paraId="502C6363" w14:textId="77777777" w:rsidTr="002315D8">
        <w:trPr>
          <w:trHeight w:val="801"/>
        </w:trPr>
        <w:tc>
          <w:tcPr>
            <w:tcW w:w="2377" w:type="dxa"/>
            <w:shd w:val="clear" w:color="auto" w:fill="68E089"/>
            <w:vAlign w:val="center"/>
          </w:tcPr>
          <w:p w14:paraId="30E07D03" w14:textId="01E5C78D" w:rsidR="00D44887" w:rsidRPr="00F778DD" w:rsidRDefault="00D44887" w:rsidP="00A67641">
            <w:pPr>
              <w:rPr>
                <w:u w:val="single"/>
              </w:rPr>
            </w:pPr>
            <w:r>
              <w:rPr>
                <w:u w:val="single"/>
              </w:rPr>
              <w:t>Principaux secteurs/domaines</w:t>
            </w:r>
            <w:r w:rsidR="00A67641">
              <w:rPr>
                <w:u w:val="single"/>
              </w:rPr>
              <w:t xml:space="preserve"> </w:t>
            </w:r>
            <w:r>
              <w:rPr>
                <w:u w:val="single"/>
              </w:rPr>
              <w:t>de l’OMPI concernés</w:t>
            </w:r>
          </w:p>
        </w:tc>
        <w:tc>
          <w:tcPr>
            <w:tcW w:w="6913" w:type="dxa"/>
            <w:vAlign w:val="center"/>
          </w:tcPr>
          <w:p w14:paraId="2F28B9AD" w14:textId="77777777" w:rsidR="00D44887" w:rsidRDefault="00D44887" w:rsidP="002315D8">
            <w:pPr>
              <w:pStyle w:val="TableParagraph"/>
              <w:spacing w:before="1"/>
              <w:ind w:left="109"/>
            </w:pPr>
            <w:r>
              <w:t>Secteur de mise en œuvre : Secteur des écosystèmes de propriété intellectuelle et d’innovation</w:t>
            </w:r>
          </w:p>
          <w:p w14:paraId="4867F6AB" w14:textId="77777777" w:rsidR="00D44887" w:rsidRDefault="00D44887" w:rsidP="002315D8">
            <w:pPr>
              <w:pStyle w:val="TableParagraph"/>
              <w:spacing w:before="1"/>
              <w:ind w:left="109"/>
            </w:pPr>
          </w:p>
          <w:p w14:paraId="576EC946" w14:textId="77777777" w:rsidR="00D44887" w:rsidRPr="00F778DD" w:rsidRDefault="00D44887" w:rsidP="002315D8">
            <w:pPr>
              <w:pStyle w:val="TableParagraph"/>
              <w:spacing w:before="1"/>
              <w:ind w:left="109"/>
            </w:pPr>
            <w:r>
              <w:t xml:space="preserve">Autres secteurs concernés : développement régional et national </w:t>
            </w:r>
          </w:p>
        </w:tc>
      </w:tr>
      <w:tr w:rsidR="00D44887" w:rsidRPr="00F778DD" w14:paraId="067B5217" w14:textId="77777777" w:rsidTr="002315D8">
        <w:trPr>
          <w:trHeight w:val="621"/>
        </w:trPr>
        <w:tc>
          <w:tcPr>
            <w:tcW w:w="2377" w:type="dxa"/>
            <w:shd w:val="clear" w:color="auto" w:fill="68E089"/>
            <w:vAlign w:val="center"/>
          </w:tcPr>
          <w:p w14:paraId="51EDA874" w14:textId="77777777" w:rsidR="00D44887" w:rsidRPr="00F778DD" w:rsidRDefault="00D44887" w:rsidP="002315D8">
            <w:r>
              <w:rPr>
                <w:u w:val="single"/>
              </w:rPr>
              <w:t>Brève description du projet</w:t>
            </w:r>
          </w:p>
        </w:tc>
        <w:tc>
          <w:tcPr>
            <w:tcW w:w="6913" w:type="dxa"/>
            <w:vAlign w:val="center"/>
          </w:tcPr>
          <w:p w14:paraId="25643BAA" w14:textId="77777777" w:rsidR="00D44887" w:rsidRDefault="00D44887" w:rsidP="002315D8">
            <w:pPr>
              <w:pStyle w:val="TableParagraph"/>
              <w:spacing w:before="1"/>
              <w:ind w:left="109"/>
            </w:pPr>
            <w:r>
              <w:t>Ce projet vise à conférer aux responsables de la gestion des bases de données relatives à la propriété intellectuelle les capacités de traduire les données qui y sont contenues en informations aussi fiables que possible afin d’étayer les études empiriques en rapport avec la propriété intellectuelle.  À cette fin, le projet cherche également à créer des synergies entre les données figurant dans les bases de données sur la propriété intellectuelle et d’autres données statistiques en la matière, et des données existantes, qui peuvent ensuite être traduites en données empiriques lorsqu’il y a lieu, pour contribuer à la surveillance de l’utilisation de la propriété intellectuelle au niveau national.</w:t>
            </w:r>
          </w:p>
          <w:p w14:paraId="1151B437" w14:textId="77777777" w:rsidR="00D44887" w:rsidRPr="00F778DD" w:rsidRDefault="00D44887" w:rsidP="002315D8">
            <w:pPr>
              <w:pStyle w:val="TableParagraph"/>
              <w:spacing w:before="1"/>
              <w:ind w:left="109"/>
            </w:pPr>
          </w:p>
        </w:tc>
      </w:tr>
      <w:tr w:rsidR="00D44887" w:rsidRPr="00F778DD" w14:paraId="285E35C3" w14:textId="77777777" w:rsidTr="002315D8">
        <w:trPr>
          <w:trHeight w:val="432"/>
        </w:trPr>
        <w:tc>
          <w:tcPr>
            <w:tcW w:w="2377" w:type="dxa"/>
            <w:shd w:val="clear" w:color="auto" w:fill="68E089"/>
            <w:vAlign w:val="center"/>
          </w:tcPr>
          <w:p w14:paraId="4408E0FF" w14:textId="77777777" w:rsidR="00D44887" w:rsidRPr="00F778DD" w:rsidRDefault="00D44887" w:rsidP="002315D8">
            <w:r>
              <w:rPr>
                <w:u w:val="single"/>
              </w:rPr>
              <w:t>Chef de projet</w:t>
            </w:r>
          </w:p>
        </w:tc>
        <w:tc>
          <w:tcPr>
            <w:tcW w:w="6913" w:type="dxa"/>
            <w:vAlign w:val="center"/>
          </w:tcPr>
          <w:p w14:paraId="23AC69A9" w14:textId="77777777" w:rsidR="00D44887" w:rsidRPr="00F778DD" w:rsidRDefault="00D44887" w:rsidP="002315D8">
            <w:pPr>
              <w:pStyle w:val="TableParagraph"/>
              <w:spacing w:before="1"/>
              <w:ind w:left="109"/>
            </w:pPr>
            <w:r>
              <w:t>M. Julio Raffo, chef de la Section de l’économie de l’innovation, Département de l’économie et de l’analyse de données</w:t>
            </w:r>
          </w:p>
        </w:tc>
      </w:tr>
      <w:tr w:rsidR="00D44887" w:rsidRPr="00F778DD" w14:paraId="2F903768" w14:textId="77777777" w:rsidTr="002315D8">
        <w:trPr>
          <w:trHeight w:val="891"/>
        </w:trPr>
        <w:tc>
          <w:tcPr>
            <w:tcW w:w="2377" w:type="dxa"/>
            <w:shd w:val="clear" w:color="auto" w:fill="68E089"/>
            <w:vAlign w:val="center"/>
          </w:tcPr>
          <w:p w14:paraId="41414A9D" w14:textId="2F7328EC" w:rsidR="00D44887" w:rsidRPr="00F778DD" w:rsidRDefault="00D44887" w:rsidP="002315D8">
            <w:r>
              <w:rPr>
                <w:u w:val="single"/>
              </w:rPr>
              <w:t>Liens avec les résultats escomptés dans le</w:t>
            </w:r>
            <w:r>
              <w:t xml:space="preserve"> </w:t>
            </w:r>
            <w:hyperlink r:id="rId88" w:history="1">
              <w:r>
                <w:rPr>
                  <w:rStyle w:val="Hyperlink"/>
                </w:rPr>
                <w:t>programme de travail et le budget pour 2022-2023</w:t>
              </w:r>
            </w:hyperlink>
          </w:p>
        </w:tc>
        <w:tc>
          <w:tcPr>
            <w:tcW w:w="6913" w:type="dxa"/>
            <w:vAlign w:val="center"/>
          </w:tcPr>
          <w:p w14:paraId="00D83B89" w14:textId="77777777" w:rsidR="00D44887" w:rsidRDefault="00D44887" w:rsidP="002315D8">
            <w:pPr>
              <w:pStyle w:val="TableParagraph"/>
              <w:spacing w:before="1"/>
              <w:ind w:left="109"/>
            </w:pPr>
            <w:r>
              <w:t>3.1 Utilisation plus large et plus efficace des systèmes, services, savoirs et données de l’OMPI en matière de propriété intellectuelle au niveau mondial.</w:t>
            </w:r>
          </w:p>
          <w:p w14:paraId="0270A9BA" w14:textId="77777777" w:rsidR="00D44887" w:rsidRDefault="00D44887" w:rsidP="002315D8">
            <w:pPr>
              <w:pStyle w:val="TableParagraph"/>
              <w:spacing w:before="1"/>
              <w:ind w:left="109"/>
            </w:pPr>
          </w:p>
          <w:p w14:paraId="372BE577" w14:textId="77777777" w:rsidR="00D44887" w:rsidRDefault="00D44887" w:rsidP="002315D8">
            <w:pPr>
              <w:pStyle w:val="TableParagraph"/>
              <w:spacing w:before="1"/>
              <w:ind w:left="109"/>
            </w:pPr>
            <w:r>
              <w:t>4.1 Utilisation plus efficace de la propriété intellectuelle au service de la croissance et du développement de l’ensemble des États membres et de leurs régions et sous-régions respectives, notamment grâce à l’intégration des recommandations du Plan d’action pour le développement.</w:t>
            </w:r>
          </w:p>
          <w:p w14:paraId="2A0EE19B" w14:textId="77777777" w:rsidR="00D44887" w:rsidRDefault="00D44887" w:rsidP="002315D8">
            <w:pPr>
              <w:pStyle w:val="TableParagraph"/>
              <w:spacing w:before="1"/>
              <w:ind w:left="109"/>
            </w:pPr>
          </w:p>
          <w:p w14:paraId="17F1BA99" w14:textId="77777777" w:rsidR="00D44887" w:rsidRPr="00F778DD" w:rsidRDefault="00D44887" w:rsidP="002315D8">
            <w:pPr>
              <w:pStyle w:val="TableParagraph"/>
              <w:spacing w:before="1"/>
              <w:ind w:left="109"/>
            </w:pPr>
            <w:r>
              <w:t xml:space="preserve">4.5 Amélioration de l’infrastructure en matière de propriété intellectuelle pour les offices de propriété intellectuelle.  </w:t>
            </w:r>
          </w:p>
        </w:tc>
      </w:tr>
      <w:tr w:rsidR="00D44887" w:rsidRPr="00F778DD" w14:paraId="2E6EBD7D" w14:textId="77777777" w:rsidTr="002315D8">
        <w:trPr>
          <w:trHeight w:val="528"/>
        </w:trPr>
        <w:tc>
          <w:tcPr>
            <w:tcW w:w="2377" w:type="dxa"/>
            <w:shd w:val="clear" w:color="auto" w:fill="68E089"/>
          </w:tcPr>
          <w:p w14:paraId="4AAA509F" w14:textId="77777777" w:rsidR="00D44887" w:rsidRDefault="00D44887" w:rsidP="002315D8">
            <w:pPr>
              <w:rPr>
                <w:u w:val="single"/>
              </w:rPr>
            </w:pPr>
          </w:p>
          <w:p w14:paraId="02E3B450" w14:textId="77777777" w:rsidR="00D44887" w:rsidRPr="00F778DD" w:rsidRDefault="00D44887" w:rsidP="002315D8">
            <w:r>
              <w:rPr>
                <w:u w:val="single"/>
              </w:rPr>
              <w:t>Progrès dans la mise en œuvre du projet</w:t>
            </w:r>
          </w:p>
        </w:tc>
        <w:tc>
          <w:tcPr>
            <w:tcW w:w="6913" w:type="dxa"/>
            <w:vAlign w:val="center"/>
          </w:tcPr>
          <w:p w14:paraId="74891EA7" w14:textId="77777777" w:rsidR="00D44887" w:rsidRPr="007412B2" w:rsidRDefault="00D44887" w:rsidP="002315D8">
            <w:pPr>
              <w:pStyle w:val="TableParagraph"/>
              <w:spacing w:before="1"/>
              <w:ind w:left="109"/>
            </w:pPr>
            <w:r>
              <w:t>Depuis le début, l’équipe chargée du projet a mené les activités ci-après.</w:t>
            </w:r>
          </w:p>
          <w:p w14:paraId="4B69D259" w14:textId="77777777" w:rsidR="00D44887" w:rsidRPr="007412B2" w:rsidRDefault="00D44887" w:rsidP="002315D8">
            <w:pPr>
              <w:pStyle w:val="TableParagraph"/>
              <w:spacing w:before="1"/>
              <w:ind w:left="109"/>
            </w:pPr>
          </w:p>
          <w:p w14:paraId="35B77D78" w14:textId="77777777" w:rsidR="00D44887" w:rsidRDefault="00D44887" w:rsidP="002315D8">
            <w:pPr>
              <w:pStyle w:val="TableParagraph"/>
              <w:numPr>
                <w:ilvl w:val="0"/>
                <w:numId w:val="65"/>
              </w:numPr>
              <w:spacing w:before="1"/>
            </w:pPr>
            <w:r>
              <w:t>Tenir une séance d’information sur l’objectif et la stratégie de mise en œuvre du projet, lors de la vingt-septième session du CDIP en novembre 2021 :</w:t>
            </w:r>
          </w:p>
          <w:p w14:paraId="5B5535F7" w14:textId="77777777" w:rsidR="00D44887" w:rsidRPr="003A7A3F" w:rsidRDefault="00D44887" w:rsidP="002315D8">
            <w:pPr>
              <w:pStyle w:val="TableParagraph"/>
              <w:numPr>
                <w:ilvl w:val="0"/>
                <w:numId w:val="65"/>
              </w:numPr>
              <w:spacing w:before="1"/>
            </w:pPr>
            <w:r>
              <w:lastRenderedPageBreak/>
              <w:t>étudié et défini l’approche méthodologique à adopter pour le premier pays pilote;</w:t>
            </w:r>
          </w:p>
          <w:p w14:paraId="6F04289B" w14:textId="77777777" w:rsidR="00D44887" w:rsidRDefault="00D44887" w:rsidP="002315D8">
            <w:pPr>
              <w:pStyle w:val="TableParagraph"/>
              <w:numPr>
                <w:ilvl w:val="0"/>
                <w:numId w:val="65"/>
              </w:numPr>
              <w:spacing w:before="1"/>
            </w:pPr>
            <w:r>
              <w:t>sélectionné deux pays bénéficiaires, selon les critères de sélection décrits dans le descriptif du projet (document CDIP/26/4).  Il s’agit d’El Salvador (pays 1) et du Bhoutan (pays 2).  Deux autres pays bénéficiaires doivent encore être sélectionnés;</w:t>
            </w:r>
          </w:p>
          <w:p w14:paraId="0D96C762" w14:textId="77777777" w:rsidR="00D44887" w:rsidRDefault="00D44887" w:rsidP="002315D8">
            <w:pPr>
              <w:pStyle w:val="TableParagraph"/>
              <w:numPr>
                <w:ilvl w:val="0"/>
                <w:numId w:val="65"/>
              </w:numPr>
              <w:spacing w:before="1"/>
            </w:pPr>
            <w:r>
              <w:t>l’équipe chargée du projet a assuré la liaison avec les deux pays bénéficiaires afin de lancer la mise en œuvre du projet selon le calendrier prévu;</w:t>
            </w:r>
          </w:p>
          <w:p w14:paraId="6C6BC4DA" w14:textId="77777777" w:rsidR="00D44887" w:rsidRDefault="00D44887" w:rsidP="002315D8">
            <w:pPr>
              <w:pStyle w:val="TableParagraph"/>
              <w:numPr>
                <w:ilvl w:val="0"/>
                <w:numId w:val="65"/>
              </w:numPr>
              <w:spacing w:before="1"/>
            </w:pPr>
            <w:r>
              <w:t>l’équipe chargée du projet a reçu et examiné les échantillons de données des deux pays bénéficiaires, et a fait part de ses commentaires</w:t>
            </w:r>
          </w:p>
          <w:p w14:paraId="7D6BDF9E" w14:textId="77777777" w:rsidR="00D44887" w:rsidRPr="00F778DD" w:rsidRDefault="00D44887" w:rsidP="002315D8">
            <w:pPr>
              <w:pStyle w:val="TableParagraph"/>
              <w:numPr>
                <w:ilvl w:val="0"/>
                <w:numId w:val="65"/>
              </w:numPr>
              <w:spacing w:before="1"/>
            </w:pPr>
            <w:r>
              <w:t>identifié le profil du boursier et lancer le processus de recrutement.</w:t>
            </w:r>
          </w:p>
        </w:tc>
      </w:tr>
      <w:tr w:rsidR="00D44887" w:rsidRPr="00F778DD" w14:paraId="24C94B60" w14:textId="77777777" w:rsidTr="002315D8">
        <w:trPr>
          <w:trHeight w:val="801"/>
        </w:trPr>
        <w:tc>
          <w:tcPr>
            <w:tcW w:w="2377" w:type="dxa"/>
            <w:shd w:val="clear" w:color="auto" w:fill="68E089"/>
            <w:vAlign w:val="center"/>
          </w:tcPr>
          <w:p w14:paraId="69683F72" w14:textId="77777777" w:rsidR="00D44887" w:rsidRPr="00F778DD" w:rsidRDefault="00D44887" w:rsidP="002315D8">
            <w:r>
              <w:rPr>
                <w:u w:val="single"/>
              </w:rPr>
              <w:lastRenderedPageBreak/>
              <w:t>Premiers résultats observés</w:t>
            </w:r>
          </w:p>
        </w:tc>
        <w:tc>
          <w:tcPr>
            <w:tcW w:w="6913" w:type="dxa"/>
            <w:vAlign w:val="center"/>
          </w:tcPr>
          <w:p w14:paraId="5F56ECDA" w14:textId="77777777" w:rsidR="00D44887" w:rsidRPr="00F778DD" w:rsidRDefault="00D44887" w:rsidP="002315D8">
            <w:r>
              <w:t xml:space="preserve"> Prématuré à ce stade </w:t>
            </w:r>
          </w:p>
        </w:tc>
      </w:tr>
      <w:tr w:rsidR="00D44887" w:rsidRPr="00F778DD" w14:paraId="1678C4C3" w14:textId="77777777" w:rsidTr="002315D8">
        <w:trPr>
          <w:trHeight w:val="703"/>
        </w:trPr>
        <w:tc>
          <w:tcPr>
            <w:tcW w:w="2377" w:type="dxa"/>
            <w:shd w:val="clear" w:color="auto" w:fill="68E089"/>
            <w:vAlign w:val="center"/>
          </w:tcPr>
          <w:p w14:paraId="595D7618" w14:textId="77777777" w:rsidR="00D44887" w:rsidRPr="00F778DD" w:rsidRDefault="00D44887" w:rsidP="002315D8">
            <w:r>
              <w:rPr>
                <w:u w:val="single"/>
              </w:rPr>
              <w:t>Expérience acquise et enseignements tirés</w:t>
            </w:r>
          </w:p>
        </w:tc>
        <w:tc>
          <w:tcPr>
            <w:tcW w:w="6913" w:type="dxa"/>
            <w:vAlign w:val="center"/>
          </w:tcPr>
          <w:p w14:paraId="718856D9" w14:textId="77777777" w:rsidR="00D44887" w:rsidRPr="00F778DD" w:rsidRDefault="00D44887" w:rsidP="002315D8">
            <w:r>
              <w:t xml:space="preserve"> Prématuré à ce stade</w:t>
            </w:r>
          </w:p>
        </w:tc>
      </w:tr>
      <w:tr w:rsidR="00D44887" w:rsidRPr="00F778DD" w14:paraId="70CB62CD" w14:textId="77777777" w:rsidTr="002315D8">
        <w:trPr>
          <w:trHeight w:val="967"/>
        </w:trPr>
        <w:tc>
          <w:tcPr>
            <w:tcW w:w="2377" w:type="dxa"/>
            <w:shd w:val="clear" w:color="auto" w:fill="68E089"/>
            <w:vAlign w:val="center"/>
          </w:tcPr>
          <w:p w14:paraId="32211F1E" w14:textId="77777777" w:rsidR="00D44887" w:rsidRPr="00F778DD" w:rsidRDefault="00D44887" w:rsidP="002315D8">
            <w:r>
              <w:rPr>
                <w:u w:val="single"/>
              </w:rPr>
              <w:t>Risques et mesures d’atténuation</w:t>
            </w:r>
          </w:p>
        </w:tc>
        <w:tc>
          <w:tcPr>
            <w:tcW w:w="6913" w:type="dxa"/>
            <w:vAlign w:val="center"/>
          </w:tcPr>
          <w:p w14:paraId="3BB3972B" w14:textId="77777777" w:rsidR="00D44887" w:rsidRDefault="00D44887" w:rsidP="002315D8">
            <w:pPr>
              <w:pStyle w:val="TableParagraph"/>
              <w:spacing w:before="1"/>
              <w:ind w:left="109"/>
            </w:pPr>
            <w:r>
              <w:t>Risque n° 1 : Les restrictions potentielles et les nouvelles vagues de la pandémie de COVID-19 peuvent poser un défi concret pour la mise en œuvre du projet.  Il est difficile d’indiquer quel serait le lieu le plus adapté pour les formations, les missions d’enquête et les activités de sensibilisation.</w:t>
            </w:r>
          </w:p>
          <w:p w14:paraId="73BB1B38" w14:textId="77777777" w:rsidR="00D44887" w:rsidRPr="003A7A3F" w:rsidRDefault="00D44887" w:rsidP="002315D8">
            <w:pPr>
              <w:rPr>
                <w:rFonts w:eastAsia="Arial"/>
                <w:szCs w:val="22"/>
              </w:rPr>
            </w:pPr>
          </w:p>
          <w:p w14:paraId="6C1021EF" w14:textId="77777777" w:rsidR="00D44887" w:rsidRDefault="00D44887" w:rsidP="002315D8">
            <w:pPr>
              <w:pStyle w:val="TableParagraph"/>
              <w:spacing w:before="1"/>
              <w:ind w:left="109"/>
            </w:pPr>
            <w:r>
              <w:t>Mesure d’atténuation n° 1 : Des alternatives en présentiel et en ligne seront envisagées.</w:t>
            </w:r>
          </w:p>
          <w:p w14:paraId="41F2D1EC" w14:textId="77777777" w:rsidR="00D44887" w:rsidRDefault="00D44887" w:rsidP="002315D8">
            <w:pPr>
              <w:pStyle w:val="TableParagraph"/>
              <w:spacing w:before="1"/>
              <w:ind w:left="109"/>
            </w:pPr>
          </w:p>
          <w:p w14:paraId="1B6C2D91" w14:textId="77777777" w:rsidR="00D44887" w:rsidRDefault="00D44887" w:rsidP="002315D8">
            <w:pPr>
              <w:pStyle w:val="TableParagraph"/>
              <w:spacing w:before="1"/>
              <w:ind w:left="109"/>
            </w:pPr>
            <w:r>
              <w:t>Risque n° 2 : L’incertitude concernant la qualité des données avant le démarrage de chaque projet national.</w:t>
            </w:r>
          </w:p>
          <w:p w14:paraId="201CDD8F" w14:textId="77777777" w:rsidR="00D44887" w:rsidRPr="003A7A3F" w:rsidRDefault="00D44887" w:rsidP="002315D8">
            <w:pPr>
              <w:rPr>
                <w:rFonts w:eastAsia="Arial"/>
                <w:szCs w:val="22"/>
              </w:rPr>
            </w:pPr>
          </w:p>
          <w:p w14:paraId="0E6C6E2D" w14:textId="77777777" w:rsidR="00D44887" w:rsidRPr="003A7A3F" w:rsidRDefault="00D44887" w:rsidP="002315D8">
            <w:pPr>
              <w:pStyle w:val="TableParagraph"/>
              <w:spacing w:before="1"/>
              <w:ind w:left="109"/>
            </w:pPr>
            <w:r>
              <w:t xml:space="preserve">Mesure d’atténuation n° 2 : Des évaluations préalables approfondies lors du processus de sélection des pays et des commentaires détaillés de l’équipe chargée de la mise en œuvre du projet.  </w:t>
            </w:r>
          </w:p>
        </w:tc>
      </w:tr>
      <w:tr w:rsidR="00D44887" w:rsidRPr="00F778DD" w14:paraId="0D35FD03" w14:textId="77777777" w:rsidTr="002315D8">
        <w:trPr>
          <w:trHeight w:val="1891"/>
        </w:trPr>
        <w:tc>
          <w:tcPr>
            <w:tcW w:w="2377" w:type="dxa"/>
            <w:shd w:val="clear" w:color="auto" w:fill="68E089"/>
            <w:vAlign w:val="center"/>
          </w:tcPr>
          <w:p w14:paraId="459A43FD" w14:textId="77777777" w:rsidR="00D44887" w:rsidRPr="00F778DD" w:rsidRDefault="00D44887" w:rsidP="002315D8">
            <w:r>
              <w:rPr>
                <w:u w:val="single"/>
              </w:rPr>
              <w:t>Questions nécessitant un appui ou une attention immédiats</w:t>
            </w:r>
          </w:p>
        </w:tc>
        <w:tc>
          <w:tcPr>
            <w:tcW w:w="6913" w:type="dxa"/>
          </w:tcPr>
          <w:p w14:paraId="4A2F21F1" w14:textId="77777777" w:rsidR="00D44887" w:rsidRPr="00F778DD" w:rsidRDefault="00D44887" w:rsidP="002315D8">
            <w:pPr>
              <w:pStyle w:val="TableParagraph"/>
              <w:spacing w:before="1"/>
              <w:ind w:left="109"/>
            </w:pPr>
            <w:r>
              <w:t xml:space="preserve">Selon le descriptif du projet, celui-ci doit être mis en œuvre dans quatre pays bénéficiaires.  Les pays souhaitant participer au projet doivent adresser leur demande au Secrétariat et joindre les informations requises à l’annexe II du document CDIP/26/4.  La mise en œuvre dans les pays 3 et 4 commencera conformément au calendrier approuvé du projet.  </w:t>
            </w:r>
          </w:p>
        </w:tc>
      </w:tr>
      <w:tr w:rsidR="00D44887" w:rsidRPr="00F778DD" w14:paraId="559AE42D" w14:textId="77777777" w:rsidTr="002315D8">
        <w:trPr>
          <w:trHeight w:val="469"/>
        </w:trPr>
        <w:tc>
          <w:tcPr>
            <w:tcW w:w="2377" w:type="dxa"/>
            <w:shd w:val="clear" w:color="auto" w:fill="68E089"/>
            <w:vAlign w:val="center"/>
          </w:tcPr>
          <w:p w14:paraId="6B380320" w14:textId="77777777" w:rsidR="00D44887" w:rsidRPr="00F778DD" w:rsidRDefault="00D44887" w:rsidP="002315D8">
            <w:r>
              <w:rPr>
                <w:u w:val="single"/>
              </w:rPr>
              <w:t>Voie à suivre</w:t>
            </w:r>
          </w:p>
        </w:tc>
        <w:tc>
          <w:tcPr>
            <w:tcW w:w="6913" w:type="dxa"/>
            <w:vAlign w:val="center"/>
          </w:tcPr>
          <w:p w14:paraId="5EDCD4D0" w14:textId="77777777" w:rsidR="00D44887" w:rsidRPr="007412B2" w:rsidRDefault="00D44887" w:rsidP="002315D8">
            <w:pPr>
              <w:pStyle w:val="TableParagraph"/>
              <w:spacing w:before="1"/>
              <w:ind w:left="109"/>
            </w:pPr>
            <w:r>
              <w:t>Le boursier nouvellement recruté (sélectionné durant le mois de juillet 2022 et devant rejoindre l’équipe en septembre 2022) complétera la constitution de l’équipe chargée du projet.</w:t>
            </w:r>
          </w:p>
          <w:p w14:paraId="58DD28DF" w14:textId="77777777" w:rsidR="00D44887" w:rsidRPr="007412B2" w:rsidRDefault="00D44887" w:rsidP="002315D8">
            <w:pPr>
              <w:pStyle w:val="TableParagraph"/>
              <w:spacing w:before="1"/>
              <w:ind w:left="109"/>
            </w:pPr>
          </w:p>
          <w:p w14:paraId="3775CFC6" w14:textId="77777777" w:rsidR="00D44887" w:rsidRDefault="00D44887" w:rsidP="002315D8">
            <w:pPr>
              <w:pStyle w:val="TableParagraph"/>
              <w:numPr>
                <w:ilvl w:val="0"/>
                <w:numId w:val="66"/>
              </w:numPr>
              <w:spacing w:before="1"/>
              <w:ind w:left="469"/>
            </w:pPr>
            <w:r>
              <w:t>Selon le calendrier de mise en œuvre du projet, les principales activités à couvrir au cours des troisième et quatrième trimestres de l’année sont les suivantes :</w:t>
            </w:r>
          </w:p>
          <w:p w14:paraId="3DB0B3D3" w14:textId="77777777" w:rsidR="00D44887" w:rsidRPr="007412B2" w:rsidRDefault="00D44887" w:rsidP="002315D8">
            <w:pPr>
              <w:pStyle w:val="TableParagraph"/>
              <w:numPr>
                <w:ilvl w:val="0"/>
                <w:numId w:val="66"/>
              </w:numPr>
              <w:spacing w:before="1"/>
              <w:ind w:left="469"/>
            </w:pPr>
            <w:r>
              <w:t>finaliser l’évaluation des échantillons de données reçus pour les pays pilotes 1 et 2, et formuler des commentaires;</w:t>
            </w:r>
          </w:p>
          <w:p w14:paraId="3EEF77C6" w14:textId="77777777" w:rsidR="00D44887" w:rsidRDefault="00D44887" w:rsidP="002315D8">
            <w:pPr>
              <w:pStyle w:val="TableParagraph"/>
              <w:numPr>
                <w:ilvl w:val="0"/>
                <w:numId w:val="66"/>
              </w:numPr>
              <w:spacing w:before="1"/>
              <w:ind w:left="469"/>
            </w:pPr>
            <w:r>
              <w:t xml:space="preserve">consolider les bases de données pour le pays 1 et commencer </w:t>
            </w:r>
            <w:r>
              <w:lastRenderedPageBreak/>
              <w:t>pour le pays 2;</w:t>
            </w:r>
          </w:p>
          <w:p w14:paraId="03D2C3C5" w14:textId="77777777" w:rsidR="00D44887" w:rsidRPr="007412B2" w:rsidRDefault="00D44887" w:rsidP="002315D8">
            <w:pPr>
              <w:pStyle w:val="TableParagraph"/>
              <w:numPr>
                <w:ilvl w:val="0"/>
                <w:numId w:val="66"/>
              </w:numPr>
              <w:spacing w:before="1"/>
              <w:ind w:left="469"/>
            </w:pPr>
            <w:r>
              <w:t>désigner les pays pilotes 3 et 4;</w:t>
            </w:r>
          </w:p>
          <w:p w14:paraId="47AD1211" w14:textId="77777777" w:rsidR="00D44887" w:rsidRPr="00F778DD" w:rsidRDefault="00D44887" w:rsidP="002315D8">
            <w:pPr>
              <w:pStyle w:val="TableParagraph"/>
              <w:numPr>
                <w:ilvl w:val="0"/>
                <w:numId w:val="66"/>
              </w:numPr>
              <w:spacing w:before="1"/>
              <w:ind w:left="469"/>
            </w:pPr>
            <w:r>
              <w:t>produire une première analyse économique pour la base de données du pays 1 et former les parties prenantes locales.</w:t>
            </w:r>
          </w:p>
        </w:tc>
      </w:tr>
      <w:tr w:rsidR="00D44887" w:rsidRPr="00F778DD" w14:paraId="07E98BA5" w14:textId="77777777" w:rsidTr="002315D8">
        <w:trPr>
          <w:trHeight w:val="631"/>
        </w:trPr>
        <w:tc>
          <w:tcPr>
            <w:tcW w:w="2377" w:type="dxa"/>
            <w:shd w:val="clear" w:color="auto" w:fill="68E089"/>
            <w:vAlign w:val="center"/>
          </w:tcPr>
          <w:p w14:paraId="32306F8F" w14:textId="77777777" w:rsidR="00D44887" w:rsidRPr="00F778DD" w:rsidRDefault="00D44887" w:rsidP="002315D8">
            <w:r>
              <w:rPr>
                <w:u w:val="single"/>
              </w:rPr>
              <w:lastRenderedPageBreak/>
              <w:t>Calendrier de mise en œuvre</w:t>
            </w:r>
          </w:p>
        </w:tc>
        <w:tc>
          <w:tcPr>
            <w:tcW w:w="6913" w:type="dxa"/>
            <w:vAlign w:val="center"/>
          </w:tcPr>
          <w:p w14:paraId="0734994B" w14:textId="77777777" w:rsidR="00D44887" w:rsidRPr="00F778DD" w:rsidRDefault="00D44887" w:rsidP="002315D8">
            <w:pPr>
              <w:pStyle w:val="TableParagraph"/>
              <w:spacing w:before="1"/>
              <w:ind w:left="109"/>
            </w:pPr>
            <w:r>
              <w:t>La mise en œuvre du projet est actuellement en cours.</w:t>
            </w:r>
          </w:p>
        </w:tc>
      </w:tr>
      <w:tr w:rsidR="00D44887" w:rsidRPr="00F778DD" w14:paraId="563D203B" w14:textId="77777777" w:rsidTr="002315D8">
        <w:trPr>
          <w:trHeight w:val="613"/>
        </w:trPr>
        <w:tc>
          <w:tcPr>
            <w:tcW w:w="2377" w:type="dxa"/>
            <w:shd w:val="clear" w:color="auto" w:fill="68E089"/>
            <w:vAlign w:val="center"/>
          </w:tcPr>
          <w:p w14:paraId="259EF1AA" w14:textId="77777777" w:rsidR="00D44887" w:rsidRPr="00F778DD" w:rsidRDefault="00D44887" w:rsidP="002315D8">
            <w:r>
              <w:rPr>
                <w:u w:val="single"/>
              </w:rPr>
              <w:t>Taux d’exécution du projet</w:t>
            </w:r>
          </w:p>
        </w:tc>
        <w:tc>
          <w:tcPr>
            <w:tcW w:w="6913" w:type="dxa"/>
            <w:vAlign w:val="center"/>
          </w:tcPr>
          <w:p w14:paraId="5DA9CD7D" w14:textId="77777777" w:rsidR="00D44887" w:rsidRPr="00F778DD" w:rsidRDefault="00D44887" w:rsidP="002315D8">
            <w:pPr>
              <w:pStyle w:val="TableParagraph"/>
              <w:spacing w:before="1"/>
              <w:ind w:left="109"/>
            </w:pPr>
            <w:r>
              <w:t>Le taux d’utilisation du budget à la fin du mois de juillet 2022, proportionnellement au budget total alloué au projet, était le suivant : 0%.</w:t>
            </w:r>
          </w:p>
        </w:tc>
      </w:tr>
      <w:tr w:rsidR="00D44887" w:rsidRPr="00F778DD" w14:paraId="0ECBB385" w14:textId="77777777" w:rsidTr="002315D8">
        <w:trPr>
          <w:trHeight w:val="703"/>
        </w:trPr>
        <w:tc>
          <w:tcPr>
            <w:tcW w:w="2377" w:type="dxa"/>
            <w:shd w:val="clear" w:color="auto" w:fill="68E089"/>
            <w:vAlign w:val="center"/>
          </w:tcPr>
          <w:p w14:paraId="020A5FE3" w14:textId="77777777" w:rsidR="00D44887" w:rsidRPr="00F778DD" w:rsidRDefault="00D44887" w:rsidP="002315D8">
            <w:r>
              <w:rPr>
                <w:u w:val="single"/>
              </w:rPr>
              <w:t>Rapports précédents</w:t>
            </w:r>
          </w:p>
        </w:tc>
        <w:tc>
          <w:tcPr>
            <w:tcW w:w="6913" w:type="dxa"/>
            <w:vAlign w:val="center"/>
          </w:tcPr>
          <w:p w14:paraId="630D42E2" w14:textId="77777777" w:rsidR="00D44887" w:rsidRPr="00F778DD" w:rsidRDefault="00D44887" w:rsidP="002315D8">
            <w:pPr>
              <w:pStyle w:val="TableParagraph"/>
              <w:spacing w:before="1"/>
              <w:ind w:left="109"/>
            </w:pPr>
            <w:r>
              <w:t xml:space="preserve">Ceci est le premier rapport sur l’état d’avancement présenté au CDIP.  </w:t>
            </w:r>
          </w:p>
        </w:tc>
      </w:tr>
    </w:tbl>
    <w:p w14:paraId="37B2B083" w14:textId="77777777" w:rsidR="00D44887" w:rsidRDefault="00D44887" w:rsidP="00D44887"/>
    <w:p w14:paraId="5D2A5819" w14:textId="77777777" w:rsidR="00D44887" w:rsidRDefault="00D44887" w:rsidP="00D44887"/>
    <w:p w14:paraId="3C828E00" w14:textId="77777777" w:rsidR="00D44887" w:rsidRPr="00C6096E" w:rsidRDefault="00D44887" w:rsidP="00D44887">
      <w:pPr>
        <w:pStyle w:val="BodyText"/>
        <w:spacing w:before="94"/>
        <w:ind w:left="136"/>
      </w:pPr>
      <w:r>
        <w:t>AUTO-ÉVALUATION DU PROJET</w:t>
      </w:r>
    </w:p>
    <w:p w14:paraId="778E6472" w14:textId="77777777" w:rsidR="00D44887" w:rsidRPr="00C6096E" w:rsidRDefault="00D44887" w:rsidP="00D44887">
      <w:pPr>
        <w:pStyle w:val="BodyText"/>
        <w:ind w:left="136"/>
      </w:pPr>
      <w:r>
        <w:t>Code d’évaluation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99"/>
        <w:gridCol w:w="2268"/>
        <w:gridCol w:w="1701"/>
        <w:gridCol w:w="1985"/>
        <w:gridCol w:w="1697"/>
      </w:tblGrid>
      <w:tr w:rsidR="00D44887" w:rsidRPr="00C6096E" w14:paraId="7B3D3B80" w14:textId="77777777" w:rsidTr="002315D8">
        <w:trPr>
          <w:trHeight w:val="470"/>
        </w:trPr>
        <w:tc>
          <w:tcPr>
            <w:tcW w:w="1699" w:type="dxa"/>
            <w:shd w:val="clear" w:color="auto" w:fill="7BBEDA"/>
            <w:vAlign w:val="center"/>
          </w:tcPr>
          <w:p w14:paraId="2CB07070" w14:textId="77777777" w:rsidR="00D44887" w:rsidRPr="00C6096E" w:rsidRDefault="00D44887" w:rsidP="002315D8">
            <w:pPr>
              <w:pStyle w:val="TableParagraph"/>
              <w:spacing w:before="106"/>
              <w:ind w:left="110"/>
            </w:pPr>
            <w:r>
              <w:t>****</w:t>
            </w:r>
          </w:p>
        </w:tc>
        <w:tc>
          <w:tcPr>
            <w:tcW w:w="2268" w:type="dxa"/>
            <w:shd w:val="clear" w:color="auto" w:fill="7BBEDA"/>
            <w:vAlign w:val="center"/>
          </w:tcPr>
          <w:p w14:paraId="07D63875" w14:textId="77777777" w:rsidR="00D44887" w:rsidRPr="00C6096E" w:rsidRDefault="00D44887" w:rsidP="002315D8">
            <w:pPr>
              <w:pStyle w:val="TableParagraph"/>
              <w:spacing w:before="106"/>
              <w:ind w:left="110"/>
            </w:pPr>
            <w:r>
              <w:t>***</w:t>
            </w:r>
          </w:p>
        </w:tc>
        <w:tc>
          <w:tcPr>
            <w:tcW w:w="1701" w:type="dxa"/>
            <w:shd w:val="clear" w:color="auto" w:fill="7BBEDA"/>
            <w:vAlign w:val="center"/>
          </w:tcPr>
          <w:p w14:paraId="404083B8" w14:textId="77777777" w:rsidR="00D44887" w:rsidRPr="00C6096E" w:rsidRDefault="00D44887" w:rsidP="002315D8">
            <w:pPr>
              <w:pStyle w:val="TableParagraph"/>
              <w:spacing w:before="106"/>
              <w:ind w:left="108"/>
            </w:pPr>
            <w:r>
              <w:t>**</w:t>
            </w:r>
          </w:p>
        </w:tc>
        <w:tc>
          <w:tcPr>
            <w:tcW w:w="1985" w:type="dxa"/>
            <w:shd w:val="clear" w:color="auto" w:fill="7BBEDA"/>
            <w:vAlign w:val="center"/>
          </w:tcPr>
          <w:p w14:paraId="060A11EC" w14:textId="77777777" w:rsidR="00D44887" w:rsidRPr="00C6096E" w:rsidRDefault="00D44887" w:rsidP="002315D8">
            <w:pPr>
              <w:pStyle w:val="TableParagraph"/>
              <w:spacing w:before="106"/>
              <w:ind w:left="108"/>
            </w:pPr>
            <w:r>
              <w:t>AP</w:t>
            </w:r>
          </w:p>
        </w:tc>
        <w:tc>
          <w:tcPr>
            <w:tcW w:w="1697" w:type="dxa"/>
            <w:shd w:val="clear" w:color="auto" w:fill="7BBEDA"/>
            <w:vAlign w:val="center"/>
          </w:tcPr>
          <w:p w14:paraId="4B5E49AC" w14:textId="77777777" w:rsidR="00D44887" w:rsidRPr="00C6096E" w:rsidRDefault="00D44887" w:rsidP="002315D8">
            <w:pPr>
              <w:pStyle w:val="TableParagraph"/>
              <w:spacing w:before="106"/>
              <w:ind w:left="110"/>
            </w:pPr>
            <w:r>
              <w:t>s.o.</w:t>
            </w:r>
          </w:p>
        </w:tc>
      </w:tr>
      <w:tr w:rsidR="00D44887" w:rsidRPr="00C6096E" w14:paraId="4BD009D4" w14:textId="77777777" w:rsidTr="002315D8">
        <w:trPr>
          <w:trHeight w:val="506"/>
        </w:trPr>
        <w:tc>
          <w:tcPr>
            <w:tcW w:w="1699" w:type="dxa"/>
            <w:shd w:val="clear" w:color="auto" w:fill="7BBEDA"/>
            <w:vAlign w:val="center"/>
          </w:tcPr>
          <w:p w14:paraId="77208C8A" w14:textId="77777777" w:rsidR="00D44887" w:rsidRPr="00C6096E" w:rsidRDefault="00D44887" w:rsidP="002315D8">
            <w:pPr>
              <w:pStyle w:val="TableParagraph"/>
              <w:spacing w:line="252" w:lineRule="exact"/>
              <w:ind w:left="110" w:right="408"/>
            </w:pPr>
            <w:r>
              <w:t>Objectifs pleinement atteints</w:t>
            </w:r>
          </w:p>
        </w:tc>
        <w:tc>
          <w:tcPr>
            <w:tcW w:w="2268" w:type="dxa"/>
            <w:shd w:val="clear" w:color="auto" w:fill="7BBEDA"/>
            <w:vAlign w:val="center"/>
          </w:tcPr>
          <w:p w14:paraId="36BC91D4" w14:textId="1B5B276A" w:rsidR="00D44887" w:rsidRPr="00C6096E" w:rsidRDefault="000637DE" w:rsidP="002315D8">
            <w:pPr>
              <w:pStyle w:val="TableParagraph"/>
              <w:spacing w:line="252" w:lineRule="exact"/>
              <w:ind w:left="110" w:right="687"/>
            </w:pPr>
            <w:r>
              <w:t>De grands progrès</w:t>
            </w:r>
          </w:p>
        </w:tc>
        <w:tc>
          <w:tcPr>
            <w:tcW w:w="1701" w:type="dxa"/>
            <w:shd w:val="clear" w:color="auto" w:fill="7BBEDA"/>
            <w:vAlign w:val="center"/>
          </w:tcPr>
          <w:p w14:paraId="7B334A0E" w14:textId="77777777" w:rsidR="00D44887" w:rsidRPr="00C6096E" w:rsidRDefault="00D44887" w:rsidP="002315D8">
            <w:pPr>
              <w:pStyle w:val="TableParagraph"/>
              <w:spacing w:line="251" w:lineRule="exact"/>
              <w:ind w:left="108"/>
            </w:pPr>
            <w:r>
              <w:t>Quelques progrès</w:t>
            </w:r>
          </w:p>
        </w:tc>
        <w:tc>
          <w:tcPr>
            <w:tcW w:w="1985" w:type="dxa"/>
            <w:shd w:val="clear" w:color="auto" w:fill="7BBEDA"/>
            <w:vAlign w:val="center"/>
          </w:tcPr>
          <w:p w14:paraId="79ACE555" w14:textId="77777777" w:rsidR="00D44887" w:rsidRPr="00C6096E" w:rsidRDefault="00D44887" w:rsidP="002315D8">
            <w:pPr>
              <w:pStyle w:val="TableParagraph"/>
              <w:spacing w:line="251" w:lineRule="exact"/>
              <w:ind w:left="108"/>
            </w:pPr>
            <w:r>
              <w:t>Aucun progrès</w:t>
            </w:r>
          </w:p>
        </w:tc>
        <w:tc>
          <w:tcPr>
            <w:tcW w:w="1697" w:type="dxa"/>
            <w:shd w:val="clear" w:color="auto" w:fill="7BBEDA"/>
            <w:vAlign w:val="center"/>
          </w:tcPr>
          <w:p w14:paraId="78E6DD98" w14:textId="77777777" w:rsidR="00D44887" w:rsidRPr="00C6096E" w:rsidRDefault="00D44887" w:rsidP="002315D8">
            <w:pPr>
              <w:pStyle w:val="TableParagraph"/>
              <w:spacing w:line="252" w:lineRule="exact"/>
              <w:ind w:left="110" w:right="203"/>
            </w:pPr>
            <w:r>
              <w:t>Non évalué/ abandonné</w:t>
            </w:r>
          </w:p>
        </w:tc>
      </w:tr>
    </w:tbl>
    <w:p w14:paraId="0715DC5E" w14:textId="77777777" w:rsidR="00D44887" w:rsidRPr="00C6096E" w:rsidRDefault="00D44887" w:rsidP="00D448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2723"/>
        <w:gridCol w:w="1554"/>
      </w:tblGrid>
      <w:tr w:rsidR="00D44887" w:rsidRPr="00C6096E" w14:paraId="4C35F2DC" w14:textId="77777777" w:rsidTr="002315D8">
        <w:trPr>
          <w:trHeight w:val="1264"/>
        </w:trPr>
        <w:tc>
          <w:tcPr>
            <w:tcW w:w="2410" w:type="dxa"/>
            <w:shd w:val="clear" w:color="auto" w:fill="68E089"/>
            <w:vAlign w:val="center"/>
          </w:tcPr>
          <w:p w14:paraId="6CB3A729" w14:textId="77777777" w:rsidR="00D44887" w:rsidRPr="00C6096E" w:rsidRDefault="00D44887" w:rsidP="002315D8">
            <w:pPr>
              <w:pStyle w:val="TableParagraph"/>
              <w:spacing w:before="10"/>
            </w:pPr>
          </w:p>
          <w:p w14:paraId="4320C5C2" w14:textId="77777777" w:rsidR="00D44887" w:rsidRPr="00C6096E" w:rsidRDefault="00D44887" w:rsidP="002315D8">
            <w:pPr>
              <w:pStyle w:val="TableParagraph"/>
              <w:ind w:left="110" w:right="624"/>
            </w:pPr>
            <w:r>
              <w:rPr>
                <w:u w:val="single"/>
              </w:rPr>
              <w:t>Résultats du projet</w:t>
            </w:r>
            <w:r>
              <w:rPr>
                <w:vertAlign w:val="superscript"/>
              </w:rPr>
              <w:t>3</w:t>
            </w:r>
            <w:r>
              <w:t xml:space="preserve"> (résultat escompté)</w:t>
            </w:r>
          </w:p>
        </w:tc>
        <w:tc>
          <w:tcPr>
            <w:tcW w:w="2695" w:type="dxa"/>
            <w:shd w:val="clear" w:color="auto" w:fill="68E089"/>
            <w:vAlign w:val="center"/>
          </w:tcPr>
          <w:p w14:paraId="5B4F72AD" w14:textId="77777777" w:rsidR="00D44887" w:rsidRPr="00C6096E" w:rsidRDefault="00D44887" w:rsidP="002315D8">
            <w:pPr>
              <w:pStyle w:val="TableParagraph"/>
              <w:spacing w:before="10"/>
            </w:pPr>
          </w:p>
          <w:p w14:paraId="11EF3077" w14:textId="77777777" w:rsidR="00D44887" w:rsidRPr="00C6096E" w:rsidRDefault="00D44887" w:rsidP="002315D8">
            <w:pPr>
              <w:pStyle w:val="TableParagraph"/>
              <w:ind w:left="110" w:right="236"/>
            </w:pPr>
            <w:r>
              <w:rPr>
                <w:u w:val="single"/>
              </w:rPr>
              <w:t>Indicateurs d’exécution</w:t>
            </w:r>
          </w:p>
          <w:p w14:paraId="20230200" w14:textId="77777777" w:rsidR="00D44887" w:rsidRPr="00C6096E" w:rsidRDefault="00D44887" w:rsidP="002315D8">
            <w:pPr>
              <w:pStyle w:val="TableParagraph"/>
              <w:spacing w:before="1"/>
              <w:ind w:left="110"/>
            </w:pPr>
            <w:r>
              <w:t>(indicateurs de sortie)</w:t>
            </w:r>
          </w:p>
        </w:tc>
        <w:tc>
          <w:tcPr>
            <w:tcW w:w="2723" w:type="dxa"/>
            <w:shd w:val="clear" w:color="auto" w:fill="68E089"/>
            <w:vAlign w:val="center"/>
          </w:tcPr>
          <w:p w14:paraId="7A107963" w14:textId="77777777" w:rsidR="00D44887" w:rsidRPr="00C6096E" w:rsidRDefault="00D44887" w:rsidP="002315D8">
            <w:pPr>
              <w:pStyle w:val="TableParagraph"/>
              <w:spacing w:before="10"/>
            </w:pPr>
          </w:p>
          <w:p w14:paraId="650DBE6D" w14:textId="77777777" w:rsidR="00D44887" w:rsidRPr="00C6096E" w:rsidRDefault="00D44887" w:rsidP="002315D8">
            <w:pPr>
              <w:pStyle w:val="TableParagraph"/>
              <w:ind w:left="108"/>
            </w:pPr>
            <w:r>
              <w:rPr>
                <w:u w:val="single"/>
              </w:rPr>
              <w:t>Données de performance</w:t>
            </w:r>
          </w:p>
        </w:tc>
        <w:tc>
          <w:tcPr>
            <w:tcW w:w="1554" w:type="dxa"/>
            <w:shd w:val="clear" w:color="auto" w:fill="68E089"/>
            <w:vAlign w:val="center"/>
          </w:tcPr>
          <w:p w14:paraId="5B4F585A" w14:textId="77777777" w:rsidR="00D44887" w:rsidRPr="00C6096E" w:rsidRDefault="00D44887" w:rsidP="002315D8">
            <w:pPr>
              <w:pStyle w:val="TableParagraph"/>
              <w:spacing w:before="10"/>
            </w:pPr>
          </w:p>
          <w:p w14:paraId="0DFD5F19" w14:textId="77777777" w:rsidR="00D44887" w:rsidRPr="00C6096E" w:rsidRDefault="00D44887" w:rsidP="002315D8">
            <w:pPr>
              <w:pStyle w:val="TableParagraph"/>
              <w:ind w:left="111"/>
            </w:pPr>
            <w:r>
              <w:rPr>
                <w:u w:val="single"/>
              </w:rPr>
              <w:t>Code d’évaluation</w:t>
            </w:r>
          </w:p>
        </w:tc>
      </w:tr>
      <w:tr w:rsidR="00D44887" w:rsidRPr="00C6096E" w14:paraId="1375F144" w14:textId="77777777" w:rsidTr="002315D8">
        <w:trPr>
          <w:trHeight w:val="1051"/>
        </w:trPr>
        <w:tc>
          <w:tcPr>
            <w:tcW w:w="2410" w:type="dxa"/>
            <w:vMerge w:val="restart"/>
            <w:tcBorders>
              <w:right w:val="single" w:sz="6" w:space="0" w:color="000000"/>
            </w:tcBorders>
            <w:vAlign w:val="center"/>
          </w:tcPr>
          <w:p w14:paraId="4CB2C547" w14:textId="77777777" w:rsidR="00D44887" w:rsidRPr="00C6096E" w:rsidRDefault="00D44887" w:rsidP="002315D8">
            <w:pPr>
              <w:pStyle w:val="TableParagraph"/>
            </w:pPr>
            <w:r>
              <w:t>Toutes les étapes du projet menées à bien</w:t>
            </w:r>
          </w:p>
        </w:tc>
        <w:tc>
          <w:tcPr>
            <w:tcW w:w="2695" w:type="dxa"/>
            <w:tcBorders>
              <w:left w:val="single" w:sz="6" w:space="0" w:color="000000"/>
              <w:bottom w:val="single" w:sz="6" w:space="0" w:color="000000"/>
            </w:tcBorders>
          </w:tcPr>
          <w:p w14:paraId="01470917" w14:textId="77777777" w:rsidR="00D44887" w:rsidRPr="003A7A3F" w:rsidRDefault="00D44887" w:rsidP="002315D8">
            <w:pPr>
              <w:pStyle w:val="TableParagraph"/>
            </w:pPr>
            <w:r>
              <w:t>Pays bénéficiaires sélectionnés et coordonnateurs locaux désignés dans les délais.</w:t>
            </w:r>
          </w:p>
        </w:tc>
        <w:tc>
          <w:tcPr>
            <w:tcW w:w="2723" w:type="dxa"/>
          </w:tcPr>
          <w:p w14:paraId="1D347819" w14:textId="77777777" w:rsidR="00D44887" w:rsidRPr="003A7A3F" w:rsidRDefault="00D44887" w:rsidP="002315D8">
            <w:pPr>
              <w:pStyle w:val="TableParagraph"/>
            </w:pPr>
            <w:r>
              <w:t>Deux pays bénéficiaires ont été sélectionnés (El Salvador et le Bhoutan).</w:t>
            </w:r>
          </w:p>
        </w:tc>
        <w:tc>
          <w:tcPr>
            <w:tcW w:w="1554" w:type="dxa"/>
          </w:tcPr>
          <w:p w14:paraId="00F0082A" w14:textId="77777777" w:rsidR="00D44887" w:rsidRPr="00C6096E" w:rsidRDefault="00D44887" w:rsidP="002315D8">
            <w:pPr>
              <w:pStyle w:val="TableParagraph"/>
            </w:pPr>
            <w:r>
              <w:t>**</w:t>
            </w:r>
          </w:p>
        </w:tc>
      </w:tr>
      <w:tr w:rsidR="00D44887" w:rsidRPr="00C6096E" w14:paraId="7D1E7BFE" w14:textId="77777777" w:rsidTr="002315D8">
        <w:trPr>
          <w:trHeight w:val="821"/>
        </w:trPr>
        <w:tc>
          <w:tcPr>
            <w:tcW w:w="2410" w:type="dxa"/>
            <w:vMerge/>
            <w:tcBorders>
              <w:right w:val="single" w:sz="6" w:space="0" w:color="000000"/>
            </w:tcBorders>
            <w:vAlign w:val="center"/>
          </w:tcPr>
          <w:p w14:paraId="2EB569CD" w14:textId="77777777" w:rsidR="00D44887" w:rsidRPr="002B2A14" w:rsidRDefault="00D44887" w:rsidP="002315D8">
            <w:pPr>
              <w:pStyle w:val="TableParagraph"/>
              <w:rPr>
                <w:lang w:val="en-GB"/>
              </w:rPr>
            </w:pPr>
          </w:p>
        </w:tc>
        <w:tc>
          <w:tcPr>
            <w:tcW w:w="2695" w:type="dxa"/>
            <w:tcBorders>
              <w:left w:val="single" w:sz="6" w:space="0" w:color="000000"/>
              <w:bottom w:val="single" w:sz="6" w:space="0" w:color="000000"/>
            </w:tcBorders>
          </w:tcPr>
          <w:p w14:paraId="00A8ABA1" w14:textId="77777777" w:rsidR="00D44887" w:rsidRPr="007412B2" w:rsidRDefault="00D44887" w:rsidP="002315D8">
            <w:pPr>
              <w:pStyle w:val="TableParagraph"/>
            </w:pPr>
            <w:r>
              <w:t>Experts sélectionnés et engagés dans les délais.</w:t>
            </w:r>
          </w:p>
        </w:tc>
        <w:tc>
          <w:tcPr>
            <w:tcW w:w="2723" w:type="dxa"/>
            <w:vMerge w:val="restart"/>
            <w:vAlign w:val="center"/>
          </w:tcPr>
          <w:p w14:paraId="61CCDDE8" w14:textId="77777777" w:rsidR="00D44887" w:rsidRDefault="00D44887" w:rsidP="002315D8">
            <w:pPr>
              <w:pStyle w:val="TableParagraph"/>
            </w:pPr>
            <w:r>
              <w:t>s.o.</w:t>
            </w:r>
          </w:p>
        </w:tc>
        <w:tc>
          <w:tcPr>
            <w:tcW w:w="1554" w:type="dxa"/>
            <w:vMerge w:val="restart"/>
            <w:vAlign w:val="center"/>
          </w:tcPr>
          <w:p w14:paraId="0B6A03BF" w14:textId="77777777" w:rsidR="00D44887" w:rsidRDefault="00D44887" w:rsidP="002315D8">
            <w:pPr>
              <w:pStyle w:val="TableParagraph"/>
            </w:pPr>
            <w:r>
              <w:t>AP</w:t>
            </w:r>
          </w:p>
        </w:tc>
      </w:tr>
      <w:tr w:rsidR="00D44887" w:rsidRPr="00C6096E" w14:paraId="0A2381F7" w14:textId="77777777" w:rsidTr="002315D8">
        <w:trPr>
          <w:trHeight w:val="1048"/>
        </w:trPr>
        <w:tc>
          <w:tcPr>
            <w:tcW w:w="2410" w:type="dxa"/>
            <w:vMerge/>
            <w:tcBorders>
              <w:right w:val="single" w:sz="6" w:space="0" w:color="000000"/>
            </w:tcBorders>
            <w:vAlign w:val="center"/>
          </w:tcPr>
          <w:p w14:paraId="1587B5AA" w14:textId="77777777" w:rsidR="00D44887" w:rsidRPr="002B2A14" w:rsidRDefault="00D44887" w:rsidP="002315D8">
            <w:pPr>
              <w:pStyle w:val="TableParagraph"/>
              <w:rPr>
                <w:lang w:val="en-GB"/>
              </w:rPr>
            </w:pPr>
          </w:p>
        </w:tc>
        <w:tc>
          <w:tcPr>
            <w:tcW w:w="2695" w:type="dxa"/>
            <w:tcBorders>
              <w:left w:val="single" w:sz="6" w:space="0" w:color="000000"/>
              <w:bottom w:val="single" w:sz="6" w:space="0" w:color="000000"/>
            </w:tcBorders>
          </w:tcPr>
          <w:p w14:paraId="1250EDF0" w14:textId="77777777" w:rsidR="00D44887" w:rsidRPr="005A515D" w:rsidRDefault="00D44887" w:rsidP="002315D8">
            <w:pPr>
              <w:pStyle w:val="TableParagraph"/>
              <w:rPr>
                <w:i/>
              </w:rPr>
            </w:pPr>
            <w:r>
              <w:t>Dans chaque pays bénéficiaire, évaluation des données relatives à la propriété intellectuelle et des données économiques.</w:t>
            </w:r>
          </w:p>
        </w:tc>
        <w:tc>
          <w:tcPr>
            <w:tcW w:w="2723" w:type="dxa"/>
            <w:vMerge/>
          </w:tcPr>
          <w:p w14:paraId="45C4C5FC" w14:textId="77777777" w:rsidR="00D44887" w:rsidRDefault="00D44887" w:rsidP="002315D8">
            <w:pPr>
              <w:pStyle w:val="TableParagraph"/>
            </w:pPr>
          </w:p>
        </w:tc>
        <w:tc>
          <w:tcPr>
            <w:tcW w:w="1554" w:type="dxa"/>
            <w:vMerge/>
          </w:tcPr>
          <w:p w14:paraId="28EC3E6C" w14:textId="77777777" w:rsidR="00D44887" w:rsidRDefault="00D44887" w:rsidP="002315D8">
            <w:pPr>
              <w:pStyle w:val="TableParagraph"/>
            </w:pPr>
          </w:p>
        </w:tc>
      </w:tr>
      <w:tr w:rsidR="00D44887" w:rsidRPr="00C6096E" w14:paraId="715BA0F7" w14:textId="77777777" w:rsidTr="002315D8">
        <w:trPr>
          <w:trHeight w:val="1048"/>
        </w:trPr>
        <w:tc>
          <w:tcPr>
            <w:tcW w:w="2410" w:type="dxa"/>
            <w:vMerge/>
            <w:tcBorders>
              <w:right w:val="single" w:sz="6" w:space="0" w:color="000000"/>
            </w:tcBorders>
            <w:vAlign w:val="center"/>
          </w:tcPr>
          <w:p w14:paraId="0F3D9436" w14:textId="77777777" w:rsidR="00D44887" w:rsidRPr="000313D1" w:rsidRDefault="00D44887" w:rsidP="002315D8">
            <w:pPr>
              <w:pStyle w:val="TableParagraph"/>
            </w:pPr>
          </w:p>
        </w:tc>
        <w:tc>
          <w:tcPr>
            <w:tcW w:w="2695" w:type="dxa"/>
            <w:tcBorders>
              <w:left w:val="single" w:sz="6" w:space="0" w:color="000000"/>
              <w:bottom w:val="single" w:sz="6" w:space="0" w:color="000000"/>
            </w:tcBorders>
          </w:tcPr>
          <w:p w14:paraId="486B86ED" w14:textId="77777777" w:rsidR="00D44887" w:rsidRPr="007412B2" w:rsidRDefault="00D44887" w:rsidP="002315D8">
            <w:pPr>
              <w:pStyle w:val="TableParagraph"/>
            </w:pPr>
            <w:r>
              <w:t>Mise en œuvre du projet présentée et examinée au sein du CDIP.</w:t>
            </w:r>
          </w:p>
        </w:tc>
        <w:tc>
          <w:tcPr>
            <w:tcW w:w="2723" w:type="dxa"/>
            <w:vMerge/>
          </w:tcPr>
          <w:p w14:paraId="60240B7C" w14:textId="77777777" w:rsidR="00D44887" w:rsidRDefault="00D44887" w:rsidP="002315D8">
            <w:pPr>
              <w:pStyle w:val="TableParagraph"/>
            </w:pPr>
          </w:p>
        </w:tc>
        <w:tc>
          <w:tcPr>
            <w:tcW w:w="1554" w:type="dxa"/>
            <w:vMerge/>
          </w:tcPr>
          <w:p w14:paraId="61D988A2" w14:textId="77777777" w:rsidR="00D44887" w:rsidRDefault="00D44887" w:rsidP="002315D8">
            <w:pPr>
              <w:pStyle w:val="TableParagraph"/>
            </w:pPr>
          </w:p>
        </w:tc>
      </w:tr>
      <w:tr w:rsidR="00D44887" w:rsidRPr="00C6096E" w14:paraId="5CD9E618" w14:textId="77777777" w:rsidTr="002315D8">
        <w:trPr>
          <w:trHeight w:val="623"/>
        </w:trPr>
        <w:tc>
          <w:tcPr>
            <w:tcW w:w="2410" w:type="dxa"/>
            <w:vMerge w:val="restart"/>
            <w:tcBorders>
              <w:right w:val="single" w:sz="6" w:space="0" w:color="000000"/>
            </w:tcBorders>
            <w:vAlign w:val="center"/>
          </w:tcPr>
          <w:p w14:paraId="633B1612" w14:textId="77777777" w:rsidR="00D44887" w:rsidRDefault="00D44887" w:rsidP="002315D8">
            <w:pPr>
              <w:spacing w:before="240" w:after="120"/>
            </w:pPr>
            <w:r>
              <w:t>Tous les résultats escomptés réalisés</w:t>
            </w:r>
          </w:p>
          <w:p w14:paraId="6CCA9192" w14:textId="77777777" w:rsidR="00D44887" w:rsidRPr="00C6096E" w:rsidRDefault="00D44887" w:rsidP="002315D8">
            <w:pPr>
              <w:pStyle w:val="TableParagraph"/>
            </w:pPr>
          </w:p>
        </w:tc>
        <w:tc>
          <w:tcPr>
            <w:tcW w:w="2695" w:type="dxa"/>
            <w:tcBorders>
              <w:top w:val="single" w:sz="6" w:space="0" w:color="000000"/>
              <w:left w:val="single" w:sz="6" w:space="0" w:color="000000"/>
              <w:bottom w:val="single" w:sz="6" w:space="0" w:color="000000"/>
            </w:tcBorders>
          </w:tcPr>
          <w:p w14:paraId="323F707F" w14:textId="77777777" w:rsidR="00D44887" w:rsidRPr="005A515D" w:rsidRDefault="00D44887" w:rsidP="002315D8">
            <w:pPr>
              <w:pStyle w:val="TableParagraph"/>
              <w:rPr>
                <w:i/>
              </w:rPr>
            </w:pPr>
            <w:r>
              <w:t>Méthodologies en place, testées et validées.</w:t>
            </w:r>
          </w:p>
        </w:tc>
        <w:tc>
          <w:tcPr>
            <w:tcW w:w="2723" w:type="dxa"/>
            <w:vMerge w:val="restart"/>
            <w:vAlign w:val="center"/>
          </w:tcPr>
          <w:p w14:paraId="46CB85B0" w14:textId="77777777" w:rsidR="00D44887" w:rsidRPr="00C6096E" w:rsidRDefault="00D44887" w:rsidP="002315D8">
            <w:pPr>
              <w:pStyle w:val="TableParagraph"/>
            </w:pPr>
            <w:r>
              <w:t>s.o.</w:t>
            </w:r>
          </w:p>
        </w:tc>
        <w:tc>
          <w:tcPr>
            <w:tcW w:w="1554" w:type="dxa"/>
            <w:vMerge w:val="restart"/>
            <w:vAlign w:val="center"/>
          </w:tcPr>
          <w:p w14:paraId="08D48AB5" w14:textId="77777777" w:rsidR="00D44887" w:rsidRPr="00C6096E" w:rsidRDefault="00D44887" w:rsidP="002315D8">
            <w:pPr>
              <w:pStyle w:val="TableParagraph"/>
            </w:pPr>
            <w:r>
              <w:t>AP</w:t>
            </w:r>
          </w:p>
        </w:tc>
      </w:tr>
      <w:tr w:rsidR="00D44887" w:rsidRPr="00C6096E" w14:paraId="6BA48586" w14:textId="77777777" w:rsidTr="002315D8">
        <w:trPr>
          <w:trHeight w:val="831"/>
        </w:trPr>
        <w:tc>
          <w:tcPr>
            <w:tcW w:w="2410" w:type="dxa"/>
            <w:vMerge/>
            <w:tcBorders>
              <w:right w:val="single" w:sz="6" w:space="0" w:color="000000"/>
            </w:tcBorders>
            <w:vAlign w:val="center"/>
          </w:tcPr>
          <w:p w14:paraId="2E5D043B" w14:textId="77777777" w:rsidR="00D44887" w:rsidRPr="002B2A14" w:rsidRDefault="00D44887" w:rsidP="002315D8">
            <w:pPr>
              <w:spacing w:before="240" w:after="120"/>
              <w:rPr>
                <w:lang w:val="en-GB"/>
              </w:rPr>
            </w:pPr>
          </w:p>
        </w:tc>
        <w:tc>
          <w:tcPr>
            <w:tcW w:w="2695" w:type="dxa"/>
            <w:tcBorders>
              <w:top w:val="single" w:sz="6" w:space="0" w:color="000000"/>
              <w:left w:val="single" w:sz="6" w:space="0" w:color="000000"/>
              <w:bottom w:val="single" w:sz="6" w:space="0" w:color="000000"/>
            </w:tcBorders>
          </w:tcPr>
          <w:p w14:paraId="41781949" w14:textId="77777777" w:rsidR="00D44887" w:rsidRPr="005A515D" w:rsidRDefault="00D44887" w:rsidP="002315D8">
            <w:pPr>
              <w:pStyle w:val="TableParagraph"/>
            </w:pPr>
            <w:r>
              <w:t>Base de données mise au point et disponible dans chaque pays bénéficiaire.</w:t>
            </w:r>
          </w:p>
        </w:tc>
        <w:tc>
          <w:tcPr>
            <w:tcW w:w="2723" w:type="dxa"/>
            <w:vMerge/>
            <w:vAlign w:val="center"/>
          </w:tcPr>
          <w:p w14:paraId="376ED4CB" w14:textId="77777777" w:rsidR="00D44887" w:rsidRDefault="00D44887" w:rsidP="002315D8">
            <w:pPr>
              <w:pStyle w:val="TableParagraph"/>
            </w:pPr>
          </w:p>
        </w:tc>
        <w:tc>
          <w:tcPr>
            <w:tcW w:w="1554" w:type="dxa"/>
            <w:vMerge/>
            <w:vAlign w:val="center"/>
          </w:tcPr>
          <w:p w14:paraId="31E65054" w14:textId="77777777" w:rsidR="00D44887" w:rsidRDefault="00D44887" w:rsidP="002315D8">
            <w:pPr>
              <w:pStyle w:val="TableParagraph"/>
            </w:pPr>
          </w:p>
        </w:tc>
      </w:tr>
      <w:tr w:rsidR="00D44887" w:rsidRPr="00C6096E" w14:paraId="329FF600" w14:textId="77777777" w:rsidTr="002315D8">
        <w:trPr>
          <w:trHeight w:val="843"/>
        </w:trPr>
        <w:tc>
          <w:tcPr>
            <w:tcW w:w="2410" w:type="dxa"/>
            <w:vMerge/>
            <w:tcBorders>
              <w:right w:val="single" w:sz="6" w:space="0" w:color="000000"/>
            </w:tcBorders>
            <w:vAlign w:val="center"/>
          </w:tcPr>
          <w:p w14:paraId="21A34BCF" w14:textId="77777777" w:rsidR="00D44887" w:rsidRPr="000313D1" w:rsidRDefault="00D44887" w:rsidP="002315D8">
            <w:pPr>
              <w:spacing w:before="240" w:after="120"/>
            </w:pPr>
          </w:p>
        </w:tc>
        <w:tc>
          <w:tcPr>
            <w:tcW w:w="2695" w:type="dxa"/>
            <w:tcBorders>
              <w:top w:val="single" w:sz="6" w:space="0" w:color="000000"/>
              <w:left w:val="single" w:sz="6" w:space="0" w:color="000000"/>
              <w:bottom w:val="single" w:sz="6" w:space="0" w:color="000000"/>
            </w:tcBorders>
          </w:tcPr>
          <w:p w14:paraId="10A00DDB" w14:textId="77777777" w:rsidR="00D44887" w:rsidRPr="005A515D" w:rsidRDefault="00D44887" w:rsidP="002315D8">
            <w:pPr>
              <w:pStyle w:val="TableParagraph"/>
            </w:pPr>
            <w:r>
              <w:t>Études réalisées, y compris un examen externe par les pairs, dans chaque pays bénéficiaire.</w:t>
            </w:r>
          </w:p>
        </w:tc>
        <w:tc>
          <w:tcPr>
            <w:tcW w:w="2723" w:type="dxa"/>
            <w:vMerge/>
            <w:vAlign w:val="center"/>
          </w:tcPr>
          <w:p w14:paraId="6740533D" w14:textId="77777777" w:rsidR="00D44887" w:rsidRDefault="00D44887" w:rsidP="002315D8">
            <w:pPr>
              <w:pStyle w:val="TableParagraph"/>
            </w:pPr>
          </w:p>
        </w:tc>
        <w:tc>
          <w:tcPr>
            <w:tcW w:w="1554" w:type="dxa"/>
            <w:vMerge/>
            <w:vAlign w:val="center"/>
          </w:tcPr>
          <w:p w14:paraId="29C62C58" w14:textId="77777777" w:rsidR="00D44887" w:rsidRDefault="00D44887" w:rsidP="002315D8">
            <w:pPr>
              <w:pStyle w:val="TableParagraph"/>
            </w:pPr>
          </w:p>
        </w:tc>
      </w:tr>
      <w:tr w:rsidR="00D44887" w:rsidRPr="00C6096E" w14:paraId="152E3463" w14:textId="77777777" w:rsidTr="002315D8">
        <w:trPr>
          <w:trHeight w:val="1284"/>
        </w:trPr>
        <w:tc>
          <w:tcPr>
            <w:tcW w:w="2410" w:type="dxa"/>
            <w:vMerge/>
            <w:tcBorders>
              <w:right w:val="single" w:sz="6" w:space="0" w:color="000000"/>
            </w:tcBorders>
            <w:vAlign w:val="center"/>
          </w:tcPr>
          <w:p w14:paraId="3DAD2329" w14:textId="77777777" w:rsidR="00D44887" w:rsidRPr="000313D1" w:rsidRDefault="00D44887" w:rsidP="002315D8">
            <w:pPr>
              <w:spacing w:before="240" w:after="120"/>
            </w:pPr>
          </w:p>
        </w:tc>
        <w:tc>
          <w:tcPr>
            <w:tcW w:w="2695" w:type="dxa"/>
            <w:tcBorders>
              <w:top w:val="single" w:sz="6" w:space="0" w:color="000000"/>
              <w:left w:val="single" w:sz="6" w:space="0" w:color="000000"/>
              <w:bottom w:val="single" w:sz="6" w:space="0" w:color="000000"/>
            </w:tcBorders>
          </w:tcPr>
          <w:p w14:paraId="362AA879" w14:textId="77777777" w:rsidR="00D44887" w:rsidRPr="007412B2" w:rsidRDefault="00D44887" w:rsidP="002315D8">
            <w:pPr>
              <w:pStyle w:val="TableParagraph"/>
            </w:pPr>
            <w:r>
              <w:t>Analyse économique finale publiée pour chaque pays bénéficiaire sur le site Web de l’OMPI et examinée au sein du CDIP.</w:t>
            </w:r>
          </w:p>
        </w:tc>
        <w:tc>
          <w:tcPr>
            <w:tcW w:w="2723" w:type="dxa"/>
            <w:vMerge/>
            <w:vAlign w:val="center"/>
          </w:tcPr>
          <w:p w14:paraId="1D8DF5DD" w14:textId="77777777" w:rsidR="00D44887" w:rsidRDefault="00D44887" w:rsidP="002315D8">
            <w:pPr>
              <w:pStyle w:val="TableParagraph"/>
            </w:pPr>
          </w:p>
        </w:tc>
        <w:tc>
          <w:tcPr>
            <w:tcW w:w="1554" w:type="dxa"/>
            <w:vMerge/>
            <w:vAlign w:val="center"/>
          </w:tcPr>
          <w:p w14:paraId="6A1DD2D5" w14:textId="77777777" w:rsidR="00D44887" w:rsidRDefault="00D44887" w:rsidP="002315D8">
            <w:pPr>
              <w:pStyle w:val="TableParagraph"/>
            </w:pPr>
          </w:p>
        </w:tc>
      </w:tr>
      <w:tr w:rsidR="00D44887" w:rsidRPr="00C6096E" w14:paraId="225ECD72" w14:textId="77777777" w:rsidTr="002315D8">
        <w:trPr>
          <w:trHeight w:val="469"/>
        </w:trPr>
        <w:tc>
          <w:tcPr>
            <w:tcW w:w="2410" w:type="dxa"/>
            <w:vMerge/>
            <w:tcBorders>
              <w:right w:val="single" w:sz="6" w:space="0" w:color="000000"/>
            </w:tcBorders>
            <w:vAlign w:val="center"/>
          </w:tcPr>
          <w:p w14:paraId="289C68DF" w14:textId="77777777" w:rsidR="00D44887" w:rsidRPr="000313D1" w:rsidRDefault="00D44887" w:rsidP="002315D8">
            <w:pPr>
              <w:spacing w:before="240" w:after="120"/>
            </w:pPr>
          </w:p>
        </w:tc>
        <w:tc>
          <w:tcPr>
            <w:tcW w:w="2695" w:type="dxa"/>
            <w:tcBorders>
              <w:top w:val="single" w:sz="6" w:space="0" w:color="000000"/>
              <w:left w:val="single" w:sz="6" w:space="0" w:color="000000"/>
              <w:bottom w:val="single" w:sz="6" w:space="0" w:color="000000"/>
            </w:tcBorders>
          </w:tcPr>
          <w:p w14:paraId="1370019D" w14:textId="77777777" w:rsidR="00D44887" w:rsidRPr="007412B2" w:rsidRDefault="00D44887" w:rsidP="002315D8">
            <w:pPr>
              <w:pStyle w:val="TableParagraph"/>
            </w:pPr>
            <w:r>
              <w:t>Formations dispensées.</w:t>
            </w:r>
          </w:p>
        </w:tc>
        <w:tc>
          <w:tcPr>
            <w:tcW w:w="2723" w:type="dxa"/>
            <w:vMerge/>
            <w:vAlign w:val="center"/>
          </w:tcPr>
          <w:p w14:paraId="4AFAAC44" w14:textId="77777777" w:rsidR="00D44887" w:rsidRDefault="00D44887" w:rsidP="002315D8">
            <w:pPr>
              <w:pStyle w:val="TableParagraph"/>
            </w:pPr>
          </w:p>
        </w:tc>
        <w:tc>
          <w:tcPr>
            <w:tcW w:w="1554" w:type="dxa"/>
            <w:vMerge/>
            <w:vAlign w:val="center"/>
          </w:tcPr>
          <w:p w14:paraId="0DAF8A71" w14:textId="77777777" w:rsidR="00D44887" w:rsidRDefault="00D44887" w:rsidP="002315D8">
            <w:pPr>
              <w:pStyle w:val="TableParagraph"/>
            </w:pPr>
          </w:p>
        </w:tc>
      </w:tr>
    </w:tbl>
    <w:p w14:paraId="29FC5154" w14:textId="77777777" w:rsidR="00D44887" w:rsidRDefault="00D44887" w:rsidP="00D44887">
      <w:pPr>
        <w:pStyle w:val="Endofdocument-Annex"/>
        <w:spacing w:before="720"/>
      </w:pPr>
      <w:r>
        <w:t>[L’annexe IX suit]</w:t>
      </w:r>
    </w:p>
    <w:p w14:paraId="4FC8BEDC" w14:textId="77777777" w:rsidR="00D44887" w:rsidRDefault="00D44887" w:rsidP="00D44887">
      <w:pPr>
        <w:sectPr w:rsidR="00D44887" w:rsidSect="00CF07C0">
          <w:headerReference w:type="default" r:id="rId89"/>
          <w:headerReference w:type="first" r:id="rId90"/>
          <w:pgSz w:w="11907" w:h="16840" w:code="9"/>
          <w:pgMar w:top="1418" w:right="1418" w:bottom="1418" w:left="1418" w:header="709" w:footer="709" w:gutter="0"/>
          <w:pgNumType w:start="1"/>
          <w:cols w:space="720"/>
          <w:titlePg/>
          <w:docGrid w:linePitch="299"/>
        </w:sectPr>
      </w:pPr>
      <w:r>
        <w:br w:type="page"/>
      </w:r>
    </w:p>
    <w:p w14:paraId="634ED25D" w14:textId="77777777" w:rsidR="00D44887" w:rsidRDefault="00D44887" w:rsidP="00D44887"/>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D44887" w:rsidRPr="00797B5D" w14:paraId="49B623DA" w14:textId="77777777" w:rsidTr="002315D8">
        <w:trPr>
          <w:trHeight w:val="431"/>
        </w:trPr>
        <w:tc>
          <w:tcPr>
            <w:tcW w:w="9290" w:type="dxa"/>
            <w:gridSpan w:val="2"/>
          </w:tcPr>
          <w:p w14:paraId="61E92ED2" w14:textId="77777777" w:rsidR="00D44887" w:rsidRPr="003A7A3F" w:rsidRDefault="00D44887" w:rsidP="002315D8">
            <w:pPr>
              <w:widowControl w:val="0"/>
              <w:autoSpaceDE w:val="0"/>
              <w:autoSpaceDN w:val="0"/>
              <w:spacing w:before="88"/>
              <w:ind w:left="110"/>
              <w:rPr>
                <w:rFonts w:eastAsia="Arial"/>
                <w:szCs w:val="22"/>
              </w:rPr>
            </w:pPr>
            <w:r>
              <w:t>RÉSUMÉ DU PROJET</w:t>
            </w:r>
          </w:p>
        </w:tc>
      </w:tr>
      <w:tr w:rsidR="00D44887" w:rsidRPr="00797B5D" w14:paraId="00941759" w14:textId="77777777" w:rsidTr="002315D8">
        <w:trPr>
          <w:trHeight w:val="324"/>
        </w:trPr>
        <w:tc>
          <w:tcPr>
            <w:tcW w:w="2377" w:type="dxa"/>
            <w:shd w:val="clear" w:color="auto" w:fill="68E089"/>
          </w:tcPr>
          <w:p w14:paraId="6B8A3BCF" w14:textId="77777777" w:rsidR="00D44887" w:rsidRPr="003A7A3F" w:rsidRDefault="00D44887" w:rsidP="002315D8">
            <w:pPr>
              <w:widowControl w:val="0"/>
              <w:autoSpaceDE w:val="0"/>
              <w:autoSpaceDN w:val="0"/>
              <w:ind w:left="110"/>
              <w:rPr>
                <w:rFonts w:eastAsia="Arial"/>
                <w:szCs w:val="22"/>
              </w:rPr>
            </w:pPr>
            <w:r>
              <w:rPr>
                <w:u w:val="single"/>
              </w:rPr>
              <w:t>Code du projet</w:t>
            </w:r>
          </w:p>
        </w:tc>
        <w:tc>
          <w:tcPr>
            <w:tcW w:w="6913" w:type="dxa"/>
          </w:tcPr>
          <w:p w14:paraId="31255755" w14:textId="77777777" w:rsidR="00D44887" w:rsidRPr="003A7A3F" w:rsidRDefault="00D44887" w:rsidP="002315D8">
            <w:pPr>
              <w:widowControl w:val="0"/>
              <w:autoSpaceDE w:val="0"/>
              <w:autoSpaceDN w:val="0"/>
              <w:ind w:left="109"/>
              <w:rPr>
                <w:rFonts w:eastAsia="Arial"/>
                <w:szCs w:val="22"/>
              </w:rPr>
            </w:pPr>
            <w:r>
              <w:t>DA_1_4_10_11_01</w:t>
            </w:r>
          </w:p>
        </w:tc>
      </w:tr>
      <w:tr w:rsidR="00D44887" w:rsidRPr="00797B5D" w14:paraId="31A3B849" w14:textId="77777777" w:rsidTr="002315D8">
        <w:trPr>
          <w:trHeight w:val="342"/>
        </w:trPr>
        <w:tc>
          <w:tcPr>
            <w:tcW w:w="2377" w:type="dxa"/>
            <w:shd w:val="clear" w:color="auto" w:fill="68E089"/>
          </w:tcPr>
          <w:p w14:paraId="4C505F0A" w14:textId="77777777" w:rsidR="00D44887" w:rsidRPr="003A7A3F" w:rsidRDefault="00D44887" w:rsidP="002315D8">
            <w:pPr>
              <w:widowControl w:val="0"/>
              <w:autoSpaceDE w:val="0"/>
              <w:autoSpaceDN w:val="0"/>
              <w:spacing w:before="1"/>
              <w:ind w:left="110"/>
              <w:rPr>
                <w:rFonts w:eastAsia="Arial"/>
                <w:szCs w:val="22"/>
              </w:rPr>
            </w:pPr>
            <w:r>
              <w:rPr>
                <w:u w:val="single"/>
              </w:rPr>
              <w:t>Intitulé</w:t>
            </w:r>
          </w:p>
        </w:tc>
        <w:tc>
          <w:tcPr>
            <w:tcW w:w="6913" w:type="dxa"/>
          </w:tcPr>
          <w:p w14:paraId="425AD4D5" w14:textId="152205DC" w:rsidR="00D44887" w:rsidRPr="003A7A3F" w:rsidRDefault="00111FE8" w:rsidP="002315D8">
            <w:pPr>
              <w:widowControl w:val="0"/>
              <w:autoSpaceDE w:val="0"/>
              <w:autoSpaceDN w:val="0"/>
              <w:spacing w:before="1"/>
              <w:ind w:left="109"/>
              <w:rPr>
                <w:rFonts w:eastAsia="Arial"/>
                <w:szCs w:val="22"/>
              </w:rPr>
            </w:pPr>
            <w:hyperlink r:id="rId91" w:history="1">
              <w:r w:rsidR="00D44887">
                <w:rPr>
                  <w:rStyle w:val="Hyperlink"/>
                </w:rPr>
                <w:t>Donner les moyens aux petites entreprises de se développer grâce à la propriété intellectuelle :</w:t>
              </w:r>
            </w:hyperlink>
            <w:hyperlink r:id="rId92" w:history="1">
              <w:r w:rsidR="00D44887">
                <w:rPr>
                  <w:rStyle w:val="Hyperlink"/>
                </w:rPr>
                <w:t xml:space="preserve"> élaborer des stratégies en faveur des indications géographiques ou des marques collectives après l’enregistrement</w:t>
              </w:r>
            </w:hyperlink>
          </w:p>
        </w:tc>
      </w:tr>
      <w:tr w:rsidR="00D44887" w:rsidRPr="00797B5D" w14:paraId="535D1BF1" w14:textId="77777777" w:rsidTr="002315D8">
        <w:trPr>
          <w:trHeight w:val="531"/>
        </w:trPr>
        <w:tc>
          <w:tcPr>
            <w:tcW w:w="2377" w:type="dxa"/>
            <w:shd w:val="clear" w:color="auto" w:fill="68E089"/>
          </w:tcPr>
          <w:p w14:paraId="70E1983E" w14:textId="554791D3" w:rsidR="00D44887" w:rsidRPr="003A7A3F" w:rsidRDefault="00111FE8" w:rsidP="002315D8">
            <w:pPr>
              <w:widowControl w:val="0"/>
              <w:autoSpaceDE w:val="0"/>
              <w:autoSpaceDN w:val="0"/>
              <w:ind w:left="110" w:right="121"/>
              <w:rPr>
                <w:rFonts w:eastAsia="Arial"/>
                <w:szCs w:val="22"/>
              </w:rPr>
            </w:pPr>
            <w:hyperlink r:id="rId93" w:history="1">
              <w:r w:rsidR="00D44887">
                <w:rPr>
                  <w:color w:val="0000FF"/>
                  <w:u w:val="single"/>
                </w:rPr>
                <w:t>Recommandation(s) du Plan d’action pour le développement</w:t>
              </w:r>
            </w:hyperlink>
          </w:p>
        </w:tc>
        <w:tc>
          <w:tcPr>
            <w:tcW w:w="6913" w:type="dxa"/>
          </w:tcPr>
          <w:p w14:paraId="199A668E" w14:textId="77777777" w:rsidR="00D44887" w:rsidRPr="003A7A3F" w:rsidRDefault="00D44887" w:rsidP="002315D8">
            <w:pPr>
              <w:widowControl w:val="0"/>
              <w:autoSpaceDE w:val="0"/>
              <w:autoSpaceDN w:val="0"/>
              <w:ind w:left="109" w:right="880"/>
              <w:rPr>
                <w:rFonts w:eastAsia="Arial"/>
                <w:szCs w:val="22"/>
              </w:rPr>
            </w:pPr>
            <w:r>
              <w:t>Recommandations n</w:t>
            </w:r>
            <w:r>
              <w:rPr>
                <w:vertAlign w:val="superscript"/>
              </w:rPr>
              <w:t>os</w:t>
            </w:r>
            <w:r>
              <w:t> </w:t>
            </w:r>
            <w:r w:rsidRPr="002E5A73">
              <w:t>1</w:t>
            </w:r>
            <w:r>
              <w:t xml:space="preserve">, 4, 10 et 11.  </w:t>
            </w:r>
          </w:p>
        </w:tc>
      </w:tr>
      <w:tr w:rsidR="00D44887" w:rsidRPr="004C7669" w14:paraId="1D61DC03" w14:textId="77777777" w:rsidTr="002315D8">
        <w:trPr>
          <w:trHeight w:val="621"/>
        </w:trPr>
        <w:tc>
          <w:tcPr>
            <w:tcW w:w="2377" w:type="dxa"/>
            <w:shd w:val="clear" w:color="auto" w:fill="68E089"/>
          </w:tcPr>
          <w:p w14:paraId="3605DBE5" w14:textId="77777777" w:rsidR="00D44887" w:rsidRPr="003A7A3F" w:rsidRDefault="00D44887" w:rsidP="002315D8">
            <w:pPr>
              <w:widowControl w:val="0"/>
              <w:autoSpaceDE w:val="0"/>
              <w:autoSpaceDN w:val="0"/>
              <w:ind w:left="110"/>
              <w:rPr>
                <w:rFonts w:eastAsia="Arial"/>
                <w:szCs w:val="22"/>
              </w:rPr>
            </w:pPr>
            <w:r>
              <w:rPr>
                <w:u w:val="single"/>
              </w:rPr>
              <w:t>Budget du projet</w:t>
            </w:r>
          </w:p>
        </w:tc>
        <w:tc>
          <w:tcPr>
            <w:tcW w:w="6913" w:type="dxa"/>
          </w:tcPr>
          <w:p w14:paraId="19D1B6E3" w14:textId="77777777" w:rsidR="00D44887" w:rsidRPr="004C7669" w:rsidRDefault="00D44887" w:rsidP="002315D8">
            <w:pPr>
              <w:widowControl w:val="0"/>
              <w:autoSpaceDE w:val="0"/>
              <w:autoSpaceDN w:val="0"/>
              <w:ind w:left="109" w:right="720"/>
              <w:rPr>
                <w:rFonts w:eastAsia="Arial"/>
                <w:szCs w:val="22"/>
              </w:rPr>
            </w:pPr>
            <w:r>
              <w:t xml:space="preserve">Budget total du projet : 592 300 francs suisses au titre des dépenses autres que les dépenses de personnel.  </w:t>
            </w:r>
          </w:p>
        </w:tc>
      </w:tr>
      <w:tr w:rsidR="00D44887" w:rsidRPr="00797B5D" w14:paraId="61CC1457" w14:textId="77777777" w:rsidTr="002315D8">
        <w:trPr>
          <w:trHeight w:val="531"/>
        </w:trPr>
        <w:tc>
          <w:tcPr>
            <w:tcW w:w="2377" w:type="dxa"/>
            <w:shd w:val="clear" w:color="auto" w:fill="68E089"/>
          </w:tcPr>
          <w:p w14:paraId="4E4225BF" w14:textId="77777777" w:rsidR="00D44887" w:rsidRPr="003A7A3F" w:rsidRDefault="00D44887" w:rsidP="002315D8">
            <w:pPr>
              <w:widowControl w:val="0"/>
              <w:autoSpaceDE w:val="0"/>
              <w:autoSpaceDN w:val="0"/>
              <w:spacing w:before="1"/>
              <w:ind w:left="110"/>
              <w:rPr>
                <w:rFonts w:eastAsia="Arial"/>
                <w:szCs w:val="22"/>
              </w:rPr>
            </w:pPr>
            <w:r>
              <w:rPr>
                <w:u w:val="single"/>
              </w:rPr>
              <w:t>Date de début du projet</w:t>
            </w:r>
          </w:p>
        </w:tc>
        <w:tc>
          <w:tcPr>
            <w:tcW w:w="6913" w:type="dxa"/>
          </w:tcPr>
          <w:p w14:paraId="5AAEF53D" w14:textId="5EF6891E" w:rsidR="00D44887" w:rsidRPr="004C7669" w:rsidRDefault="00D44887" w:rsidP="002315D8">
            <w:pPr>
              <w:widowControl w:val="0"/>
              <w:autoSpaceDE w:val="0"/>
              <w:autoSpaceDN w:val="0"/>
              <w:spacing w:before="1"/>
              <w:ind w:left="109"/>
              <w:rPr>
                <w:szCs w:val="22"/>
              </w:rPr>
            </w:pPr>
            <w:r>
              <w:t>La phase zéro (préparation) du projet a débuté en janvier.  La mise en œuvre effective du projet a commencé en</w:t>
            </w:r>
            <w:r w:rsidR="00521394">
              <w:t xml:space="preserve"> </w:t>
            </w:r>
            <w:r w:rsidR="00521394" w:rsidRPr="00521394">
              <w:t>novembre </w:t>
            </w:r>
            <w:r w:rsidR="00521394">
              <w:t>2022.</w:t>
            </w:r>
          </w:p>
          <w:p w14:paraId="050311BC" w14:textId="77777777" w:rsidR="00D44887" w:rsidRPr="003A7A3F" w:rsidRDefault="00D44887" w:rsidP="002315D8">
            <w:pPr>
              <w:widowControl w:val="0"/>
              <w:autoSpaceDE w:val="0"/>
              <w:autoSpaceDN w:val="0"/>
              <w:spacing w:before="1"/>
              <w:ind w:left="109"/>
              <w:rPr>
                <w:rFonts w:eastAsia="Arial"/>
                <w:szCs w:val="22"/>
              </w:rPr>
            </w:pPr>
          </w:p>
        </w:tc>
      </w:tr>
      <w:tr w:rsidR="00D44887" w:rsidRPr="00797B5D" w14:paraId="4571D019" w14:textId="77777777" w:rsidTr="002315D8">
        <w:trPr>
          <w:trHeight w:val="531"/>
        </w:trPr>
        <w:tc>
          <w:tcPr>
            <w:tcW w:w="2377" w:type="dxa"/>
            <w:shd w:val="clear" w:color="auto" w:fill="68E089"/>
          </w:tcPr>
          <w:p w14:paraId="6D352C8A" w14:textId="77777777" w:rsidR="00D44887" w:rsidRPr="003A7A3F" w:rsidRDefault="00D44887" w:rsidP="002315D8">
            <w:pPr>
              <w:widowControl w:val="0"/>
              <w:autoSpaceDE w:val="0"/>
              <w:autoSpaceDN w:val="0"/>
              <w:ind w:left="110"/>
              <w:rPr>
                <w:rFonts w:eastAsia="Arial"/>
                <w:szCs w:val="22"/>
              </w:rPr>
            </w:pPr>
            <w:r>
              <w:rPr>
                <w:u w:val="single"/>
              </w:rPr>
              <w:t>Durée du projet</w:t>
            </w:r>
          </w:p>
        </w:tc>
        <w:tc>
          <w:tcPr>
            <w:tcW w:w="6913" w:type="dxa"/>
          </w:tcPr>
          <w:p w14:paraId="2BFA894B" w14:textId="77777777" w:rsidR="00D44887" w:rsidRPr="003A7A3F" w:rsidRDefault="00D44887" w:rsidP="002315D8">
            <w:pPr>
              <w:widowControl w:val="0"/>
              <w:autoSpaceDE w:val="0"/>
              <w:autoSpaceDN w:val="0"/>
              <w:ind w:left="109"/>
              <w:rPr>
                <w:rFonts w:eastAsia="Arial"/>
                <w:szCs w:val="22"/>
              </w:rPr>
            </w:pPr>
            <w:r>
              <w:t xml:space="preserve">36 mois </w:t>
            </w:r>
          </w:p>
        </w:tc>
      </w:tr>
      <w:tr w:rsidR="00D44887" w:rsidRPr="00797B5D" w14:paraId="69394DAE" w14:textId="77777777" w:rsidTr="002315D8">
        <w:trPr>
          <w:trHeight w:val="801"/>
        </w:trPr>
        <w:tc>
          <w:tcPr>
            <w:tcW w:w="2377" w:type="dxa"/>
            <w:shd w:val="clear" w:color="auto" w:fill="68E089"/>
          </w:tcPr>
          <w:p w14:paraId="221E69A5" w14:textId="389DBB57" w:rsidR="00D44887" w:rsidRPr="003A7A3F" w:rsidRDefault="00D44887" w:rsidP="00A67641">
            <w:pPr>
              <w:widowControl w:val="0"/>
              <w:autoSpaceDE w:val="0"/>
              <w:autoSpaceDN w:val="0"/>
              <w:ind w:left="110"/>
              <w:rPr>
                <w:rFonts w:eastAsia="Arial"/>
                <w:szCs w:val="22"/>
                <w:u w:val="single"/>
              </w:rPr>
            </w:pPr>
            <w:r>
              <w:rPr>
                <w:u w:val="single"/>
              </w:rPr>
              <w:t>Principaux secteurs/domaines</w:t>
            </w:r>
            <w:r w:rsidR="00A67641">
              <w:rPr>
                <w:u w:val="single"/>
              </w:rPr>
              <w:t xml:space="preserve"> </w:t>
            </w:r>
            <w:r>
              <w:rPr>
                <w:u w:val="single"/>
              </w:rPr>
              <w:t>de l’OMPI concernés</w:t>
            </w:r>
          </w:p>
        </w:tc>
        <w:tc>
          <w:tcPr>
            <w:tcW w:w="6913" w:type="dxa"/>
          </w:tcPr>
          <w:p w14:paraId="03C79797" w14:textId="77777777" w:rsidR="00D44887" w:rsidRPr="003A7A3F" w:rsidRDefault="00D44887" w:rsidP="002315D8">
            <w:pPr>
              <w:widowControl w:val="0"/>
              <w:autoSpaceDE w:val="0"/>
              <w:autoSpaceDN w:val="0"/>
              <w:ind w:left="109" w:right="531"/>
              <w:rPr>
                <w:rFonts w:eastAsia="Arial"/>
                <w:szCs w:val="22"/>
              </w:rPr>
            </w:pPr>
            <w:r>
              <w:t>Secteur de mise en œuvre : Secteur des marques et des dessins et modèles</w:t>
            </w:r>
          </w:p>
          <w:p w14:paraId="1B0F3B9F" w14:textId="77777777" w:rsidR="00D44887" w:rsidRPr="003A7A3F" w:rsidRDefault="00D44887" w:rsidP="002315D8">
            <w:pPr>
              <w:widowControl w:val="0"/>
              <w:autoSpaceDE w:val="0"/>
              <w:autoSpaceDN w:val="0"/>
              <w:ind w:left="109" w:right="531"/>
              <w:rPr>
                <w:rFonts w:eastAsia="Arial"/>
                <w:szCs w:val="22"/>
              </w:rPr>
            </w:pPr>
          </w:p>
          <w:p w14:paraId="326F0C58" w14:textId="77777777" w:rsidR="00D44887" w:rsidRPr="003A7A3F" w:rsidRDefault="00D44887" w:rsidP="002315D8">
            <w:pPr>
              <w:widowControl w:val="0"/>
              <w:autoSpaceDE w:val="0"/>
              <w:autoSpaceDN w:val="0"/>
              <w:ind w:left="109" w:right="531"/>
              <w:rPr>
                <w:rFonts w:eastAsia="Arial"/>
                <w:szCs w:val="22"/>
              </w:rPr>
            </w:pPr>
            <w:r>
              <w:t xml:space="preserve">Autres secteurs concernés : Secteur du développement régional et national </w:t>
            </w:r>
          </w:p>
        </w:tc>
      </w:tr>
      <w:tr w:rsidR="00D44887" w:rsidRPr="00797B5D" w14:paraId="1D9777BA" w14:textId="77777777" w:rsidTr="002315D8">
        <w:trPr>
          <w:trHeight w:val="621"/>
        </w:trPr>
        <w:tc>
          <w:tcPr>
            <w:tcW w:w="2377" w:type="dxa"/>
            <w:shd w:val="clear" w:color="auto" w:fill="68E089"/>
          </w:tcPr>
          <w:p w14:paraId="5665F183" w14:textId="77777777" w:rsidR="00D44887" w:rsidRPr="003A7A3F" w:rsidRDefault="00D44887" w:rsidP="002315D8">
            <w:pPr>
              <w:widowControl w:val="0"/>
              <w:autoSpaceDE w:val="0"/>
              <w:autoSpaceDN w:val="0"/>
              <w:ind w:left="110" w:right="394"/>
              <w:rPr>
                <w:rFonts w:eastAsia="Arial"/>
                <w:szCs w:val="22"/>
              </w:rPr>
            </w:pPr>
            <w:r>
              <w:rPr>
                <w:u w:val="single"/>
              </w:rPr>
              <w:t>Brève description du projet</w:t>
            </w:r>
          </w:p>
        </w:tc>
        <w:tc>
          <w:tcPr>
            <w:tcW w:w="6913" w:type="dxa"/>
          </w:tcPr>
          <w:p w14:paraId="1FEF1E9C" w14:textId="77777777" w:rsidR="00D44887" w:rsidRPr="003A7A3F" w:rsidRDefault="00D44887" w:rsidP="002315D8">
            <w:pPr>
              <w:widowControl w:val="0"/>
              <w:autoSpaceDE w:val="0"/>
              <w:autoSpaceDN w:val="0"/>
              <w:ind w:left="109"/>
              <w:rPr>
                <w:rFonts w:eastAsia="Arial"/>
                <w:szCs w:val="22"/>
              </w:rPr>
            </w:pPr>
            <w:r>
              <w:t>L’objectif du présent projet est d’élaborer des outils et initiatives de renforcement des capacités afin de donner les moyens aux utilisateurs ou détenteurs d’indications géographiques ou de marques collectives ou de certification des pays en développement d’utiliser efficacement leur droit de propriété intellectuelle après l’enregistrement.</w:t>
            </w:r>
          </w:p>
          <w:p w14:paraId="33760F5A" w14:textId="77777777" w:rsidR="00D44887" w:rsidRPr="003A7A3F" w:rsidRDefault="00D44887" w:rsidP="002315D8">
            <w:pPr>
              <w:widowControl w:val="0"/>
              <w:autoSpaceDE w:val="0"/>
              <w:autoSpaceDN w:val="0"/>
              <w:ind w:left="109"/>
              <w:rPr>
                <w:rFonts w:eastAsia="Arial"/>
                <w:szCs w:val="22"/>
              </w:rPr>
            </w:pPr>
          </w:p>
          <w:p w14:paraId="5337D0E0" w14:textId="77777777" w:rsidR="00D44887" w:rsidRPr="003A7A3F" w:rsidRDefault="00D44887" w:rsidP="002315D8">
            <w:pPr>
              <w:widowControl w:val="0"/>
              <w:autoSpaceDE w:val="0"/>
              <w:autoSpaceDN w:val="0"/>
              <w:ind w:left="109"/>
              <w:rPr>
                <w:rFonts w:eastAsia="Arial"/>
                <w:szCs w:val="22"/>
              </w:rPr>
            </w:pPr>
            <w:r>
              <w:t>Tout en se concentrant sur des indications géographiques ou des marques collectives ou de certification spécifiques dans les pays en développement participants, le projet établira des stratégies, des plans et des outils qui pourraient être reproduits par d’autres utilisateurs ou détenteurs d’indications géographiques ou de marques collectives ou de certification et intégrés par les autorités et parties prenantes concernées dans un cadre national ou régional.</w:t>
            </w:r>
          </w:p>
          <w:p w14:paraId="1F5511C5" w14:textId="77777777" w:rsidR="00D44887" w:rsidRPr="003A7A3F" w:rsidRDefault="00D44887" w:rsidP="002315D8">
            <w:pPr>
              <w:widowControl w:val="0"/>
              <w:autoSpaceDE w:val="0"/>
              <w:autoSpaceDN w:val="0"/>
              <w:ind w:left="109"/>
              <w:rPr>
                <w:rFonts w:eastAsia="Arial"/>
                <w:szCs w:val="22"/>
              </w:rPr>
            </w:pPr>
          </w:p>
        </w:tc>
      </w:tr>
      <w:tr w:rsidR="00D44887" w:rsidRPr="00CE52AB" w14:paraId="5B45C1AB" w14:textId="77777777" w:rsidTr="002315D8">
        <w:trPr>
          <w:trHeight w:val="432"/>
        </w:trPr>
        <w:tc>
          <w:tcPr>
            <w:tcW w:w="2377" w:type="dxa"/>
            <w:shd w:val="clear" w:color="auto" w:fill="68E089"/>
          </w:tcPr>
          <w:p w14:paraId="56D8E725" w14:textId="77777777" w:rsidR="00D44887" w:rsidRPr="003A7A3F" w:rsidRDefault="00D44887" w:rsidP="002315D8">
            <w:pPr>
              <w:widowControl w:val="0"/>
              <w:autoSpaceDE w:val="0"/>
              <w:autoSpaceDN w:val="0"/>
              <w:spacing w:before="1"/>
              <w:ind w:left="110"/>
              <w:rPr>
                <w:rFonts w:eastAsia="Arial"/>
                <w:szCs w:val="22"/>
              </w:rPr>
            </w:pPr>
            <w:r>
              <w:rPr>
                <w:u w:val="single"/>
              </w:rPr>
              <w:t>Chef de projet</w:t>
            </w:r>
          </w:p>
        </w:tc>
        <w:tc>
          <w:tcPr>
            <w:tcW w:w="6913" w:type="dxa"/>
          </w:tcPr>
          <w:p w14:paraId="5A2868B5" w14:textId="77777777" w:rsidR="00D44887" w:rsidRPr="009E170B" w:rsidRDefault="00D44887" w:rsidP="002315D8">
            <w:pPr>
              <w:widowControl w:val="0"/>
              <w:autoSpaceDE w:val="0"/>
              <w:autoSpaceDN w:val="0"/>
              <w:spacing w:before="1"/>
              <w:ind w:left="109"/>
              <w:rPr>
                <w:rFonts w:eastAsia="Arial"/>
                <w:szCs w:val="22"/>
              </w:rPr>
            </w:pPr>
            <w:r>
              <w:t>Mme Alexandra Grazioli, directrice, Service d’enregistrement de Lisbonne</w:t>
            </w:r>
          </w:p>
        </w:tc>
      </w:tr>
      <w:tr w:rsidR="00D44887" w:rsidRPr="00797B5D" w14:paraId="6CBD14DB" w14:textId="77777777" w:rsidTr="002315D8">
        <w:trPr>
          <w:trHeight w:val="891"/>
        </w:trPr>
        <w:tc>
          <w:tcPr>
            <w:tcW w:w="2377" w:type="dxa"/>
            <w:shd w:val="clear" w:color="auto" w:fill="68E089"/>
          </w:tcPr>
          <w:p w14:paraId="1E2395C3" w14:textId="35B241BE" w:rsidR="00D44887" w:rsidRPr="003A7A3F" w:rsidRDefault="00D44887" w:rsidP="002315D8">
            <w:pPr>
              <w:widowControl w:val="0"/>
              <w:autoSpaceDE w:val="0"/>
              <w:autoSpaceDN w:val="0"/>
              <w:spacing w:before="1"/>
              <w:ind w:left="110" w:right="221"/>
              <w:rPr>
                <w:rFonts w:eastAsia="Arial"/>
                <w:szCs w:val="22"/>
              </w:rPr>
            </w:pPr>
            <w:r>
              <w:rPr>
                <w:u w:val="single"/>
              </w:rPr>
              <w:t>Liens avec les résultats escomptés dans le</w:t>
            </w:r>
            <w:r>
              <w:t xml:space="preserve"> </w:t>
            </w:r>
            <w:hyperlink r:id="rId94" w:history="1">
              <w:r>
                <w:rPr>
                  <w:rStyle w:val="Hyperlink"/>
                </w:rPr>
                <w:t>programme de travail et le budget pour 2022-2023</w:t>
              </w:r>
            </w:hyperlink>
          </w:p>
        </w:tc>
        <w:tc>
          <w:tcPr>
            <w:tcW w:w="6913" w:type="dxa"/>
          </w:tcPr>
          <w:p w14:paraId="56352F1B" w14:textId="77777777" w:rsidR="00D44887" w:rsidRDefault="00D44887" w:rsidP="002315D8">
            <w:pPr>
              <w:widowControl w:val="0"/>
              <w:autoSpaceDE w:val="0"/>
              <w:autoSpaceDN w:val="0"/>
              <w:spacing w:before="1"/>
              <w:ind w:left="109" w:right="109"/>
            </w:pPr>
            <w:r>
              <w:t>4.1 : Utilisation plus efficace de la propriété intellectuelle au service de la croissance et du développement de l’ensemble des États membres et de leurs régions et sous-régions respectives, notamment grâce à l’intégration des recommandations du Plan d’action pour le développement.</w:t>
            </w:r>
          </w:p>
          <w:p w14:paraId="515D13C5" w14:textId="77777777" w:rsidR="00D44887" w:rsidRPr="003A7A3F" w:rsidRDefault="00D44887" w:rsidP="002315D8">
            <w:pPr>
              <w:widowControl w:val="0"/>
              <w:autoSpaceDE w:val="0"/>
              <w:autoSpaceDN w:val="0"/>
              <w:spacing w:before="1"/>
              <w:ind w:left="109" w:right="109"/>
              <w:rPr>
                <w:rFonts w:eastAsia="Arial"/>
                <w:szCs w:val="22"/>
              </w:rPr>
            </w:pPr>
          </w:p>
          <w:p w14:paraId="7ACC5B28" w14:textId="77777777" w:rsidR="00D44887" w:rsidRPr="003A7A3F" w:rsidRDefault="00D44887" w:rsidP="002315D8">
            <w:pPr>
              <w:widowControl w:val="0"/>
              <w:autoSpaceDE w:val="0"/>
              <w:autoSpaceDN w:val="0"/>
              <w:spacing w:before="1"/>
              <w:ind w:left="109" w:right="109"/>
              <w:rPr>
                <w:rFonts w:eastAsia="Arial"/>
                <w:szCs w:val="22"/>
              </w:rPr>
            </w:pPr>
            <w:r>
              <w:t>4.3 Mise en valeur des connaissances et des compétences en matière de propriété intellectuelle dans tous les États membres.</w:t>
            </w:r>
          </w:p>
          <w:p w14:paraId="0CD211A2" w14:textId="77777777" w:rsidR="00D44887" w:rsidRPr="003A7A3F" w:rsidRDefault="00D44887" w:rsidP="002315D8">
            <w:pPr>
              <w:widowControl w:val="0"/>
              <w:autoSpaceDE w:val="0"/>
              <w:autoSpaceDN w:val="0"/>
              <w:spacing w:before="1"/>
              <w:ind w:left="109" w:right="109"/>
              <w:rPr>
                <w:rFonts w:eastAsia="Arial"/>
                <w:szCs w:val="22"/>
              </w:rPr>
            </w:pPr>
          </w:p>
          <w:p w14:paraId="71FB3051" w14:textId="77777777" w:rsidR="00D44887" w:rsidRPr="003A7A3F" w:rsidRDefault="00D44887" w:rsidP="002315D8">
            <w:pPr>
              <w:widowControl w:val="0"/>
              <w:autoSpaceDE w:val="0"/>
              <w:autoSpaceDN w:val="0"/>
              <w:spacing w:before="1"/>
              <w:ind w:left="109" w:right="109"/>
              <w:rPr>
                <w:rFonts w:eastAsia="Arial"/>
                <w:szCs w:val="22"/>
              </w:rPr>
            </w:pPr>
            <w:r>
              <w:t>4.4 Davantage d’innovateurs, de créateurs, de PME, d’universités, d’instituts de recherche et de communautés tirent profit de la propriété intellectuelle</w:t>
            </w:r>
          </w:p>
          <w:p w14:paraId="4C7983AB" w14:textId="77777777" w:rsidR="00D44887" w:rsidRPr="003A7A3F" w:rsidRDefault="00D44887" w:rsidP="002315D8">
            <w:pPr>
              <w:widowControl w:val="0"/>
              <w:autoSpaceDE w:val="0"/>
              <w:autoSpaceDN w:val="0"/>
              <w:spacing w:before="1"/>
              <w:ind w:left="109" w:right="109"/>
              <w:rPr>
                <w:rFonts w:eastAsia="Arial"/>
                <w:szCs w:val="22"/>
              </w:rPr>
            </w:pPr>
          </w:p>
        </w:tc>
      </w:tr>
      <w:tr w:rsidR="00D44887" w:rsidRPr="00797B5D" w14:paraId="6FD02CEE" w14:textId="77777777" w:rsidTr="002315D8">
        <w:trPr>
          <w:trHeight w:val="1071"/>
        </w:trPr>
        <w:tc>
          <w:tcPr>
            <w:tcW w:w="2377" w:type="dxa"/>
            <w:shd w:val="clear" w:color="auto" w:fill="68E089"/>
          </w:tcPr>
          <w:p w14:paraId="2CD5F851" w14:textId="77777777" w:rsidR="00D44887" w:rsidRPr="003A7A3F" w:rsidRDefault="00D44887" w:rsidP="002315D8">
            <w:pPr>
              <w:widowControl w:val="0"/>
              <w:autoSpaceDE w:val="0"/>
              <w:autoSpaceDN w:val="0"/>
              <w:ind w:left="110" w:right="378"/>
              <w:rPr>
                <w:rFonts w:eastAsia="Arial"/>
                <w:szCs w:val="22"/>
              </w:rPr>
            </w:pPr>
            <w:r>
              <w:rPr>
                <w:u w:val="single"/>
              </w:rPr>
              <w:lastRenderedPageBreak/>
              <w:t>Progrès dans la mise en œuvre du projet</w:t>
            </w:r>
          </w:p>
        </w:tc>
        <w:tc>
          <w:tcPr>
            <w:tcW w:w="6913" w:type="dxa"/>
          </w:tcPr>
          <w:p w14:paraId="27A3FE7D" w14:textId="77777777" w:rsidR="00D44887" w:rsidRPr="003A7A3F" w:rsidRDefault="00D44887" w:rsidP="002315D8">
            <w:pPr>
              <w:widowControl w:val="0"/>
              <w:autoSpaceDE w:val="0"/>
              <w:autoSpaceDN w:val="0"/>
              <w:spacing w:before="1"/>
              <w:ind w:left="109" w:right="805"/>
              <w:rPr>
                <w:rFonts w:eastAsia="Arial"/>
                <w:szCs w:val="22"/>
              </w:rPr>
            </w:pPr>
            <w:r>
              <w:t>Le projet a été approuvé lors de la vingt-septième session du CDIP tenue en novembre 2021.</w:t>
            </w:r>
          </w:p>
          <w:p w14:paraId="5966CAB0" w14:textId="77777777" w:rsidR="00D44887" w:rsidRPr="003A7A3F" w:rsidRDefault="00D44887" w:rsidP="002315D8">
            <w:pPr>
              <w:widowControl w:val="0"/>
              <w:autoSpaceDE w:val="0"/>
              <w:autoSpaceDN w:val="0"/>
              <w:spacing w:before="1"/>
              <w:ind w:left="109" w:right="805"/>
              <w:rPr>
                <w:rFonts w:eastAsia="Arial"/>
                <w:szCs w:val="22"/>
              </w:rPr>
            </w:pPr>
          </w:p>
          <w:p w14:paraId="577AB480" w14:textId="77777777" w:rsidR="00D44887" w:rsidRDefault="00D44887" w:rsidP="002315D8">
            <w:pPr>
              <w:widowControl w:val="0"/>
              <w:autoSpaceDE w:val="0"/>
              <w:autoSpaceDN w:val="0"/>
              <w:spacing w:before="1"/>
              <w:ind w:left="109" w:right="805"/>
            </w:pPr>
            <w:r>
              <w:t>En 2022, conformément à la stratégie d’exécution décrite dans le descriptif du projet, les activités préparatoires et préalables à la mise en œuvre ci-après ont été menées à bien : i) la sélection des pays bénéficiaires (Algérie, Brésil, Ouganda et Pakistan);  ii) la sélection d’un coordonnateur national dans les pays bénéficiaires;  et iii) le recrutement d’un boursier qui fournira un appui pour la mise en œuvre du projet.  Le boursier reprendra ses fonctions en octobre 2022.</w:t>
            </w:r>
          </w:p>
          <w:p w14:paraId="196B884A" w14:textId="77777777" w:rsidR="00D44887" w:rsidRPr="003A7A3F" w:rsidRDefault="00D44887" w:rsidP="002315D8">
            <w:pPr>
              <w:widowControl w:val="0"/>
              <w:autoSpaceDE w:val="0"/>
              <w:autoSpaceDN w:val="0"/>
              <w:spacing w:before="1"/>
              <w:ind w:left="109" w:right="805"/>
              <w:rPr>
                <w:rFonts w:eastAsia="Arial"/>
                <w:szCs w:val="22"/>
              </w:rPr>
            </w:pPr>
          </w:p>
          <w:p w14:paraId="4D58470A" w14:textId="77777777" w:rsidR="00D44887" w:rsidRPr="003A7A3F" w:rsidRDefault="00D44887" w:rsidP="002315D8">
            <w:pPr>
              <w:widowControl w:val="0"/>
              <w:autoSpaceDE w:val="0"/>
              <w:autoSpaceDN w:val="0"/>
              <w:spacing w:before="1"/>
              <w:ind w:left="109" w:right="805"/>
              <w:rPr>
                <w:rFonts w:eastAsia="Arial"/>
                <w:szCs w:val="22"/>
              </w:rPr>
            </w:pPr>
            <w:r>
              <w:t>Après la sélection des pays bénéficiaires en avril 2022, l’équipe chargée du projet a collaboré avec ces pays pour sélectionner les coordinateurs nationaux et a lancé les débats pour la sélection de l’indication géographique ou de la marque collective ou de certification qui bénéficiera du projet.</w:t>
            </w:r>
          </w:p>
          <w:p w14:paraId="4EAA2166" w14:textId="77777777" w:rsidR="00D44887" w:rsidRPr="003A7A3F" w:rsidRDefault="00D44887" w:rsidP="002315D8">
            <w:pPr>
              <w:widowControl w:val="0"/>
              <w:autoSpaceDE w:val="0"/>
              <w:autoSpaceDN w:val="0"/>
              <w:spacing w:before="1"/>
              <w:ind w:right="805"/>
              <w:rPr>
                <w:rFonts w:eastAsia="Arial"/>
                <w:szCs w:val="22"/>
              </w:rPr>
            </w:pPr>
          </w:p>
        </w:tc>
      </w:tr>
      <w:tr w:rsidR="00D44887" w:rsidRPr="00797B5D" w14:paraId="61C6465A" w14:textId="77777777" w:rsidTr="002315D8">
        <w:trPr>
          <w:trHeight w:val="645"/>
        </w:trPr>
        <w:tc>
          <w:tcPr>
            <w:tcW w:w="2377" w:type="dxa"/>
            <w:shd w:val="clear" w:color="auto" w:fill="68E089"/>
          </w:tcPr>
          <w:p w14:paraId="20588F5D" w14:textId="77777777" w:rsidR="00D44887" w:rsidRPr="003A7A3F" w:rsidRDefault="00D44887" w:rsidP="002315D8">
            <w:pPr>
              <w:widowControl w:val="0"/>
              <w:autoSpaceDE w:val="0"/>
              <w:autoSpaceDN w:val="0"/>
              <w:spacing w:line="242" w:lineRule="auto"/>
              <w:ind w:left="110" w:right="708"/>
              <w:rPr>
                <w:rFonts w:eastAsia="Arial"/>
                <w:szCs w:val="22"/>
              </w:rPr>
            </w:pPr>
            <w:r>
              <w:rPr>
                <w:u w:val="single"/>
              </w:rPr>
              <w:t>Premiers résultats observés</w:t>
            </w:r>
          </w:p>
        </w:tc>
        <w:tc>
          <w:tcPr>
            <w:tcW w:w="6913" w:type="dxa"/>
          </w:tcPr>
          <w:p w14:paraId="0080A1A7" w14:textId="77777777" w:rsidR="00D44887" w:rsidRPr="003A7A3F" w:rsidRDefault="00D44887" w:rsidP="002315D8">
            <w:pPr>
              <w:widowControl w:val="0"/>
              <w:autoSpaceDE w:val="0"/>
              <w:autoSpaceDN w:val="0"/>
              <w:ind w:left="109" w:right="84"/>
              <w:rPr>
                <w:rFonts w:eastAsia="Arial"/>
                <w:szCs w:val="22"/>
              </w:rPr>
            </w:pPr>
            <w:r>
              <w:t>Ce rapport couvre la phase préalable à la mise en œuvre du projet, il est donc prématuré de décrire des premiers résultats.</w:t>
            </w:r>
          </w:p>
        </w:tc>
      </w:tr>
      <w:tr w:rsidR="00D44887" w:rsidRPr="00797B5D" w14:paraId="68DB9CB2" w14:textId="77777777" w:rsidTr="002315D8">
        <w:trPr>
          <w:trHeight w:val="703"/>
        </w:trPr>
        <w:tc>
          <w:tcPr>
            <w:tcW w:w="2377" w:type="dxa"/>
            <w:shd w:val="clear" w:color="auto" w:fill="68E089"/>
          </w:tcPr>
          <w:p w14:paraId="0E85DDDD" w14:textId="77777777" w:rsidR="00D44887" w:rsidRPr="003A7A3F" w:rsidRDefault="00D44887" w:rsidP="002315D8">
            <w:pPr>
              <w:widowControl w:val="0"/>
              <w:autoSpaceDE w:val="0"/>
              <w:autoSpaceDN w:val="0"/>
              <w:spacing w:before="1"/>
              <w:ind w:left="110" w:right="279"/>
              <w:rPr>
                <w:rFonts w:eastAsia="Arial"/>
                <w:szCs w:val="22"/>
              </w:rPr>
            </w:pPr>
            <w:r>
              <w:rPr>
                <w:u w:val="single"/>
              </w:rPr>
              <w:t>Expérience acquise et enseignements tirés</w:t>
            </w:r>
          </w:p>
        </w:tc>
        <w:tc>
          <w:tcPr>
            <w:tcW w:w="6913" w:type="dxa"/>
          </w:tcPr>
          <w:p w14:paraId="409D2D32" w14:textId="77777777" w:rsidR="00D44887" w:rsidRPr="003A7A3F" w:rsidRDefault="00D44887" w:rsidP="002315D8">
            <w:pPr>
              <w:widowControl w:val="0"/>
              <w:autoSpaceDE w:val="0"/>
              <w:autoSpaceDN w:val="0"/>
              <w:ind w:left="109" w:right="84"/>
              <w:rPr>
                <w:rFonts w:eastAsia="Arial"/>
                <w:szCs w:val="22"/>
              </w:rPr>
            </w:pPr>
            <w:r>
              <w:t>Ce rapport couvre la phase préalable à la mise en œuvre du projet, il est donc prématuré de recenser les données d’expérience ou les enseignements tirés.</w:t>
            </w:r>
          </w:p>
        </w:tc>
      </w:tr>
      <w:tr w:rsidR="00D44887" w:rsidRPr="00797B5D" w14:paraId="6F4437FA" w14:textId="77777777" w:rsidTr="002315D8">
        <w:trPr>
          <w:trHeight w:val="1095"/>
        </w:trPr>
        <w:tc>
          <w:tcPr>
            <w:tcW w:w="2377" w:type="dxa"/>
            <w:shd w:val="clear" w:color="auto" w:fill="68E089"/>
          </w:tcPr>
          <w:p w14:paraId="4C174815" w14:textId="77777777" w:rsidR="00D44887" w:rsidRPr="003A7A3F" w:rsidRDefault="00D44887" w:rsidP="002315D8">
            <w:pPr>
              <w:widowControl w:val="0"/>
              <w:autoSpaceDE w:val="0"/>
              <w:autoSpaceDN w:val="0"/>
              <w:ind w:left="110"/>
              <w:rPr>
                <w:rFonts w:eastAsia="Arial"/>
                <w:szCs w:val="22"/>
              </w:rPr>
            </w:pPr>
            <w:r>
              <w:rPr>
                <w:u w:val="single"/>
              </w:rPr>
              <w:t>Risques et mesures d’atténuation</w:t>
            </w:r>
          </w:p>
        </w:tc>
        <w:tc>
          <w:tcPr>
            <w:tcW w:w="6913" w:type="dxa"/>
          </w:tcPr>
          <w:p w14:paraId="34352B4A"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Risque n° 1 :</w:t>
            </w:r>
            <w:r>
              <w:t xml:space="preserve"> Résistance au changement de la part de certains producteurs et groupements de producteurs locaux en ce qui concerne leurs pratiques de production et de commercialisation et la mise en œuvre du système collectif de gestion de la qualité pour les produits d’origine.</w:t>
            </w:r>
          </w:p>
          <w:p w14:paraId="76CA91AB" w14:textId="77777777" w:rsidR="00D44887" w:rsidRPr="003A7A3F" w:rsidRDefault="00D44887" w:rsidP="002315D8">
            <w:pPr>
              <w:widowControl w:val="0"/>
              <w:autoSpaceDE w:val="0"/>
              <w:autoSpaceDN w:val="0"/>
              <w:spacing w:line="252" w:lineRule="exact"/>
              <w:ind w:left="109" w:right="721"/>
              <w:rPr>
                <w:rFonts w:eastAsia="Arial"/>
                <w:szCs w:val="22"/>
              </w:rPr>
            </w:pPr>
          </w:p>
          <w:p w14:paraId="54433A84"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Mesure d’atténuation n° 1 :</w:t>
            </w:r>
            <w:r>
              <w:t xml:space="preserve"> Mener des campagnes d’information et de sensibilisation à fort impact sur les avantages comparatifs de l’utilisation des indications géographiques et des marques collectives ou de certification et du système collectif de gestion de la qualité connexe.</w:t>
            </w:r>
          </w:p>
          <w:p w14:paraId="3228BB49" w14:textId="77777777" w:rsidR="00D44887" w:rsidRPr="003A7A3F" w:rsidRDefault="00D44887" w:rsidP="002315D8">
            <w:pPr>
              <w:widowControl w:val="0"/>
              <w:autoSpaceDE w:val="0"/>
              <w:autoSpaceDN w:val="0"/>
              <w:spacing w:line="252" w:lineRule="exact"/>
              <w:ind w:left="109" w:right="721"/>
              <w:rPr>
                <w:rFonts w:eastAsia="Arial"/>
                <w:szCs w:val="22"/>
              </w:rPr>
            </w:pPr>
          </w:p>
          <w:p w14:paraId="5FA5B77C"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Risque n° 2 :</w:t>
            </w:r>
            <w:r>
              <w:t xml:space="preserve"> Conflits possibles au sein du groupement de producteurs, qui pourraient retarder la bonne mise en œuvre de la gestion collective de l’indication géographique ou de la marque collective ou de certification et du système de qualité qui y est associé.</w:t>
            </w:r>
          </w:p>
          <w:p w14:paraId="737CF353" w14:textId="77777777" w:rsidR="00D44887" w:rsidRPr="003A7A3F" w:rsidRDefault="00D44887" w:rsidP="002315D8">
            <w:pPr>
              <w:widowControl w:val="0"/>
              <w:autoSpaceDE w:val="0"/>
              <w:autoSpaceDN w:val="0"/>
              <w:spacing w:line="252" w:lineRule="exact"/>
              <w:ind w:right="721"/>
              <w:rPr>
                <w:rFonts w:eastAsia="Arial"/>
                <w:szCs w:val="22"/>
              </w:rPr>
            </w:pPr>
          </w:p>
          <w:p w14:paraId="1B8FAAD8"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Mesure d’atténuation n° 2 :</w:t>
            </w:r>
            <w:r>
              <w:t xml:space="preserve"> Lancer un processus de sensibilisation auprès des autorités locales et des producteurs locaux, en soulignant les conséquences du manque d’organisation sur la réalisation des initiatives collectives.</w:t>
            </w:r>
          </w:p>
          <w:p w14:paraId="7199E553" w14:textId="77777777" w:rsidR="00D44887" w:rsidRPr="003A7A3F" w:rsidRDefault="00D44887" w:rsidP="002315D8">
            <w:pPr>
              <w:widowControl w:val="0"/>
              <w:autoSpaceDE w:val="0"/>
              <w:autoSpaceDN w:val="0"/>
              <w:spacing w:line="252" w:lineRule="exact"/>
              <w:ind w:left="109" w:right="721"/>
              <w:rPr>
                <w:rFonts w:eastAsia="Arial"/>
                <w:szCs w:val="22"/>
              </w:rPr>
            </w:pPr>
          </w:p>
          <w:p w14:paraId="37FF9E95"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Risque n° 3 :</w:t>
            </w:r>
            <w:r>
              <w:t xml:space="preserve"> Capacité institutionnelle limitée des groupements de producteurs pour établir et mettre en œuvre le système collectif de gestion de l’indication géographique ou de la marque collective ou de certification.</w:t>
            </w:r>
          </w:p>
          <w:p w14:paraId="647396AA" w14:textId="77777777" w:rsidR="00D44887" w:rsidRPr="003A7A3F" w:rsidRDefault="00D44887" w:rsidP="002315D8">
            <w:pPr>
              <w:widowControl w:val="0"/>
              <w:autoSpaceDE w:val="0"/>
              <w:autoSpaceDN w:val="0"/>
              <w:spacing w:line="252" w:lineRule="exact"/>
              <w:ind w:left="109" w:right="721"/>
              <w:rPr>
                <w:rFonts w:eastAsia="Arial"/>
                <w:szCs w:val="22"/>
              </w:rPr>
            </w:pPr>
          </w:p>
          <w:p w14:paraId="4167DE1C"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Mesure d’atténuation n° 3 :</w:t>
            </w:r>
            <w:r>
              <w:t xml:space="preserve"> Procéder à une évaluation institutionnelle des groupes bénéficiaires potentiels avant la </w:t>
            </w:r>
            <w:r>
              <w:lastRenderedPageBreak/>
              <w:t>sélection.</w:t>
            </w:r>
          </w:p>
          <w:p w14:paraId="48C0B6A8" w14:textId="77777777" w:rsidR="00D44887" w:rsidRPr="003A7A3F" w:rsidRDefault="00D44887" w:rsidP="002315D8">
            <w:pPr>
              <w:widowControl w:val="0"/>
              <w:autoSpaceDE w:val="0"/>
              <w:autoSpaceDN w:val="0"/>
              <w:spacing w:line="252" w:lineRule="exact"/>
              <w:ind w:left="109" w:right="721"/>
              <w:rPr>
                <w:rFonts w:eastAsia="Arial"/>
                <w:szCs w:val="22"/>
              </w:rPr>
            </w:pPr>
          </w:p>
          <w:p w14:paraId="242C26BF"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Risque n° 4 :</w:t>
            </w:r>
            <w:r>
              <w:t xml:space="preserve"> Cadre institutionnel et juridique et investissements limités par les autorités nationales.</w:t>
            </w:r>
          </w:p>
          <w:p w14:paraId="4CD72D73" w14:textId="77777777" w:rsidR="00D44887" w:rsidRPr="003A7A3F" w:rsidRDefault="00D44887" w:rsidP="002315D8">
            <w:pPr>
              <w:widowControl w:val="0"/>
              <w:autoSpaceDE w:val="0"/>
              <w:autoSpaceDN w:val="0"/>
              <w:spacing w:line="252" w:lineRule="exact"/>
              <w:ind w:left="109" w:right="721"/>
              <w:rPr>
                <w:rFonts w:eastAsia="Arial"/>
                <w:szCs w:val="22"/>
              </w:rPr>
            </w:pPr>
          </w:p>
          <w:p w14:paraId="75F77A3A"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Mesure d’atténuation n° 4 :</w:t>
            </w:r>
            <w:r>
              <w:t xml:space="preserve"> Réalisation d’un examen approfondi avant la sélection des pays bénéficiaires.</w:t>
            </w:r>
          </w:p>
          <w:p w14:paraId="32190107" w14:textId="77777777" w:rsidR="00D44887" w:rsidRPr="003A7A3F" w:rsidRDefault="00D44887" w:rsidP="002315D8">
            <w:pPr>
              <w:widowControl w:val="0"/>
              <w:autoSpaceDE w:val="0"/>
              <w:autoSpaceDN w:val="0"/>
              <w:spacing w:line="252" w:lineRule="exact"/>
              <w:ind w:left="109" w:right="721"/>
              <w:rPr>
                <w:rFonts w:eastAsia="Arial"/>
                <w:szCs w:val="22"/>
              </w:rPr>
            </w:pPr>
          </w:p>
          <w:p w14:paraId="04492A0F"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Risque n° 5 :</w:t>
            </w:r>
            <w:r>
              <w:t xml:space="preserve"> Possible récurrence de la Covid-19 et donc de confinements et d’autres mesures restrictives empêchant la mise en œuvre du projet.</w:t>
            </w:r>
          </w:p>
          <w:p w14:paraId="05DF43FD" w14:textId="77777777" w:rsidR="00D44887" w:rsidRPr="003A7A3F" w:rsidRDefault="00D44887" w:rsidP="002315D8">
            <w:pPr>
              <w:widowControl w:val="0"/>
              <w:autoSpaceDE w:val="0"/>
              <w:autoSpaceDN w:val="0"/>
              <w:spacing w:line="252" w:lineRule="exact"/>
              <w:ind w:left="109" w:right="721"/>
              <w:rPr>
                <w:rFonts w:eastAsia="Arial"/>
                <w:szCs w:val="22"/>
              </w:rPr>
            </w:pPr>
          </w:p>
          <w:p w14:paraId="613FFFC6" w14:textId="77777777" w:rsidR="00D44887" w:rsidRPr="003A7A3F" w:rsidRDefault="00D44887" w:rsidP="002315D8">
            <w:pPr>
              <w:widowControl w:val="0"/>
              <w:autoSpaceDE w:val="0"/>
              <w:autoSpaceDN w:val="0"/>
              <w:spacing w:line="252" w:lineRule="exact"/>
              <w:ind w:left="109" w:right="721"/>
              <w:rPr>
                <w:rFonts w:eastAsia="Arial"/>
                <w:szCs w:val="22"/>
              </w:rPr>
            </w:pPr>
            <w:r>
              <w:rPr>
                <w:u w:val="single"/>
              </w:rPr>
              <w:t>Mesure d’atténuation n° 5 :</w:t>
            </w:r>
            <w:r>
              <w:t xml:space="preserve"> Suivi attentif de la situation sanitaire dans chaque pays bénéficiaire en coordination avec les coordonnateurs nationaux;  adaptation des modalités de mise en œuvre des activités (réunions virtuelles en priorité, minimum de déplacements), dans la mesure du possible.</w:t>
            </w:r>
          </w:p>
        </w:tc>
      </w:tr>
      <w:tr w:rsidR="00D44887" w:rsidRPr="00797B5D" w14:paraId="06520C55" w14:textId="77777777" w:rsidTr="002315D8">
        <w:trPr>
          <w:trHeight w:val="868"/>
        </w:trPr>
        <w:tc>
          <w:tcPr>
            <w:tcW w:w="2377" w:type="dxa"/>
            <w:shd w:val="clear" w:color="auto" w:fill="68E089"/>
          </w:tcPr>
          <w:p w14:paraId="272464FD" w14:textId="77777777" w:rsidR="00D44887" w:rsidRPr="003A7A3F" w:rsidRDefault="00D44887" w:rsidP="002315D8">
            <w:pPr>
              <w:widowControl w:val="0"/>
              <w:autoSpaceDE w:val="0"/>
              <w:autoSpaceDN w:val="0"/>
              <w:ind w:left="110" w:right="536"/>
              <w:rPr>
                <w:rFonts w:eastAsia="Arial"/>
                <w:szCs w:val="22"/>
              </w:rPr>
            </w:pPr>
            <w:r>
              <w:rPr>
                <w:u w:val="single"/>
              </w:rPr>
              <w:lastRenderedPageBreak/>
              <w:t>Questions nécessitant un appui ou une attention immédiats</w:t>
            </w:r>
          </w:p>
        </w:tc>
        <w:tc>
          <w:tcPr>
            <w:tcW w:w="6913" w:type="dxa"/>
          </w:tcPr>
          <w:p w14:paraId="3A42F86E" w14:textId="77777777" w:rsidR="00D44887" w:rsidRDefault="00D44887" w:rsidP="002315D8">
            <w:pPr>
              <w:widowControl w:val="0"/>
              <w:autoSpaceDE w:val="0"/>
              <w:autoSpaceDN w:val="0"/>
              <w:spacing w:line="244" w:lineRule="auto"/>
              <w:ind w:left="109" w:right="109"/>
            </w:pPr>
            <w:r>
              <w:t>Il n’y a pas de questions nécessitant une attention immédiate.</w:t>
            </w:r>
          </w:p>
          <w:p w14:paraId="3641687B" w14:textId="77777777" w:rsidR="00D44887" w:rsidRPr="003A7A3F" w:rsidRDefault="00D44887" w:rsidP="002315D8">
            <w:pPr>
              <w:widowControl w:val="0"/>
              <w:autoSpaceDE w:val="0"/>
              <w:autoSpaceDN w:val="0"/>
              <w:spacing w:line="244" w:lineRule="auto"/>
              <w:ind w:left="109" w:right="109"/>
              <w:rPr>
                <w:rFonts w:eastAsia="Arial"/>
                <w:szCs w:val="22"/>
              </w:rPr>
            </w:pPr>
            <w:r>
              <w:t xml:space="preserve">Des mises à jour mineures du calendrier de mise en œuvre ont été proposées au comité.  Ces mises à jour n’ont aucune incidence financière et ne nécessitent pas de prolongation du projet.  </w:t>
            </w:r>
          </w:p>
        </w:tc>
      </w:tr>
      <w:tr w:rsidR="00D44887" w:rsidRPr="00797B5D" w14:paraId="7F570EB3" w14:textId="77777777" w:rsidTr="002315D8">
        <w:trPr>
          <w:trHeight w:val="469"/>
        </w:trPr>
        <w:tc>
          <w:tcPr>
            <w:tcW w:w="2377" w:type="dxa"/>
            <w:shd w:val="clear" w:color="auto" w:fill="68E089"/>
          </w:tcPr>
          <w:p w14:paraId="14AFBD99" w14:textId="77777777" w:rsidR="00D44887" w:rsidRPr="003A7A3F" w:rsidRDefault="00D44887" w:rsidP="002315D8">
            <w:pPr>
              <w:widowControl w:val="0"/>
              <w:autoSpaceDE w:val="0"/>
              <w:autoSpaceDN w:val="0"/>
              <w:ind w:left="110"/>
              <w:rPr>
                <w:rFonts w:eastAsia="Arial"/>
                <w:szCs w:val="22"/>
              </w:rPr>
            </w:pPr>
            <w:r>
              <w:rPr>
                <w:u w:val="single"/>
              </w:rPr>
              <w:t>Voie à suivre</w:t>
            </w:r>
          </w:p>
        </w:tc>
        <w:tc>
          <w:tcPr>
            <w:tcW w:w="6913" w:type="dxa"/>
          </w:tcPr>
          <w:p w14:paraId="35094A35" w14:textId="77777777" w:rsidR="00D44887" w:rsidRDefault="00D44887" w:rsidP="002315D8">
            <w:pPr>
              <w:widowControl w:val="0"/>
              <w:autoSpaceDE w:val="0"/>
              <w:autoSpaceDN w:val="0"/>
              <w:ind w:left="109" w:right="458"/>
            </w:pPr>
            <w:r>
              <w:t>La nomination des coordonnateurs nationaux sera finalisée d’ici à la fin du mois de septembre.</w:t>
            </w:r>
          </w:p>
          <w:p w14:paraId="4070B2DD" w14:textId="77777777" w:rsidR="00D44887" w:rsidRPr="004C7669" w:rsidRDefault="00D44887" w:rsidP="002315D8">
            <w:pPr>
              <w:widowControl w:val="0"/>
              <w:autoSpaceDE w:val="0"/>
              <w:autoSpaceDN w:val="0"/>
              <w:ind w:left="109" w:right="458"/>
              <w:rPr>
                <w:rFonts w:eastAsia="Arial"/>
                <w:szCs w:val="22"/>
              </w:rPr>
            </w:pPr>
          </w:p>
          <w:p w14:paraId="3E8A996F" w14:textId="77777777" w:rsidR="00D44887" w:rsidRDefault="00D44887" w:rsidP="002315D8">
            <w:pPr>
              <w:widowControl w:val="0"/>
              <w:autoSpaceDE w:val="0"/>
              <w:autoSpaceDN w:val="0"/>
              <w:ind w:left="109" w:right="458"/>
            </w:pPr>
            <w:r>
              <w:t>Juste après le début officiel de la mise en œuvre du projet, la sélection des indications géographiques ou des marques collectives ou de certification sera achevée, en même temps que l’élaboration et l’approbation des plans de projet par pays par l’équipe chargée du projet à l’OMPI et le coordonnateur national dans chaque pays bénéficiaire.</w:t>
            </w:r>
          </w:p>
          <w:p w14:paraId="662D064C" w14:textId="77777777" w:rsidR="00D44887" w:rsidRPr="004C7669" w:rsidRDefault="00D44887" w:rsidP="002315D8">
            <w:pPr>
              <w:widowControl w:val="0"/>
              <w:autoSpaceDE w:val="0"/>
              <w:autoSpaceDN w:val="0"/>
              <w:ind w:left="109" w:right="458"/>
              <w:rPr>
                <w:rFonts w:eastAsia="Arial"/>
                <w:bCs/>
                <w:szCs w:val="22"/>
              </w:rPr>
            </w:pPr>
          </w:p>
          <w:p w14:paraId="68577CAE" w14:textId="77777777" w:rsidR="00D44887" w:rsidRPr="004C7669" w:rsidRDefault="00D44887" w:rsidP="002315D8">
            <w:pPr>
              <w:widowControl w:val="0"/>
              <w:autoSpaceDE w:val="0"/>
              <w:autoSpaceDN w:val="0"/>
              <w:ind w:left="109" w:right="458"/>
              <w:rPr>
                <w:rFonts w:eastAsia="Arial"/>
                <w:szCs w:val="22"/>
              </w:rPr>
            </w:pPr>
            <w:r>
              <w:t>Les études sur les contestations de la phase après l’enregistrement seront ensuite lancées dans chacun des pays bénéficiaires.</w:t>
            </w:r>
          </w:p>
        </w:tc>
      </w:tr>
      <w:tr w:rsidR="00D44887" w:rsidRPr="00797B5D" w14:paraId="6052AB53" w14:textId="77777777" w:rsidTr="002315D8">
        <w:trPr>
          <w:trHeight w:val="631"/>
        </w:trPr>
        <w:tc>
          <w:tcPr>
            <w:tcW w:w="2377" w:type="dxa"/>
            <w:shd w:val="clear" w:color="auto" w:fill="68E089"/>
          </w:tcPr>
          <w:p w14:paraId="49DBF405" w14:textId="77777777" w:rsidR="00D44887" w:rsidRPr="003A7A3F" w:rsidRDefault="00D44887" w:rsidP="002315D8">
            <w:pPr>
              <w:widowControl w:val="0"/>
              <w:autoSpaceDE w:val="0"/>
              <w:autoSpaceDN w:val="0"/>
              <w:spacing w:before="1"/>
              <w:ind w:left="110" w:right="732"/>
              <w:rPr>
                <w:rFonts w:eastAsia="Arial"/>
                <w:szCs w:val="22"/>
              </w:rPr>
            </w:pPr>
            <w:r>
              <w:rPr>
                <w:u w:val="single"/>
              </w:rPr>
              <w:t>Calendrier de mise en œuvre</w:t>
            </w:r>
          </w:p>
        </w:tc>
        <w:tc>
          <w:tcPr>
            <w:tcW w:w="6913" w:type="dxa"/>
          </w:tcPr>
          <w:p w14:paraId="162D3B8F" w14:textId="77777777" w:rsidR="00D44887" w:rsidRPr="003A7A3F" w:rsidRDefault="00D44887" w:rsidP="002315D8">
            <w:pPr>
              <w:widowControl w:val="0"/>
              <w:autoSpaceDE w:val="0"/>
              <w:autoSpaceDN w:val="0"/>
              <w:spacing w:before="1"/>
              <w:ind w:left="109"/>
              <w:rPr>
                <w:rFonts w:eastAsia="Arial"/>
                <w:szCs w:val="22"/>
              </w:rPr>
            </w:pPr>
            <w:r>
              <w:t>Le projet (phase préalable à la mise en œuvre) se déroule comme prévu dans les pays bénéficiaires.</w:t>
            </w:r>
          </w:p>
        </w:tc>
      </w:tr>
      <w:tr w:rsidR="00D44887" w:rsidRPr="00797B5D" w14:paraId="7E7AAE85" w14:textId="77777777" w:rsidTr="002315D8">
        <w:trPr>
          <w:trHeight w:val="613"/>
        </w:trPr>
        <w:tc>
          <w:tcPr>
            <w:tcW w:w="2377" w:type="dxa"/>
            <w:shd w:val="clear" w:color="auto" w:fill="68E089"/>
          </w:tcPr>
          <w:p w14:paraId="5E8368D7" w14:textId="77777777" w:rsidR="00D44887" w:rsidRPr="003A7A3F" w:rsidRDefault="00D44887" w:rsidP="002315D8">
            <w:pPr>
              <w:widowControl w:val="0"/>
              <w:autoSpaceDE w:val="0"/>
              <w:autoSpaceDN w:val="0"/>
              <w:ind w:left="110" w:right="220"/>
              <w:rPr>
                <w:rFonts w:eastAsia="Arial"/>
                <w:szCs w:val="22"/>
              </w:rPr>
            </w:pPr>
            <w:r>
              <w:rPr>
                <w:u w:val="single"/>
              </w:rPr>
              <w:t>Taux d’exécution du projet</w:t>
            </w:r>
          </w:p>
        </w:tc>
        <w:tc>
          <w:tcPr>
            <w:tcW w:w="6913" w:type="dxa"/>
          </w:tcPr>
          <w:p w14:paraId="7259EA34" w14:textId="77777777" w:rsidR="00D44887" w:rsidRPr="003A7A3F" w:rsidRDefault="00D44887" w:rsidP="002315D8">
            <w:pPr>
              <w:widowControl w:val="0"/>
              <w:autoSpaceDE w:val="0"/>
              <w:autoSpaceDN w:val="0"/>
              <w:ind w:left="109" w:right="84"/>
              <w:rPr>
                <w:rFonts w:eastAsia="Arial"/>
                <w:szCs w:val="22"/>
              </w:rPr>
            </w:pPr>
            <w:r>
              <w:t>Le taux d’utilisation du budget à la fin du mois de juillet 2022, proportionnellement au budget total alloué au projet, était le suivant : 0%.</w:t>
            </w:r>
          </w:p>
        </w:tc>
      </w:tr>
      <w:tr w:rsidR="00D44887" w:rsidRPr="00797B5D" w14:paraId="163F741B" w14:textId="77777777" w:rsidTr="002315D8">
        <w:trPr>
          <w:trHeight w:val="393"/>
        </w:trPr>
        <w:tc>
          <w:tcPr>
            <w:tcW w:w="2377" w:type="dxa"/>
            <w:shd w:val="clear" w:color="auto" w:fill="68E089"/>
          </w:tcPr>
          <w:p w14:paraId="4386183B" w14:textId="77777777" w:rsidR="00D44887" w:rsidRPr="003A7A3F" w:rsidRDefault="00D44887" w:rsidP="002315D8">
            <w:pPr>
              <w:widowControl w:val="0"/>
              <w:autoSpaceDE w:val="0"/>
              <w:autoSpaceDN w:val="0"/>
              <w:ind w:left="110"/>
              <w:rPr>
                <w:rFonts w:eastAsia="Arial"/>
                <w:szCs w:val="22"/>
              </w:rPr>
            </w:pPr>
            <w:r>
              <w:rPr>
                <w:u w:val="single"/>
              </w:rPr>
              <w:t>Rapports précédents</w:t>
            </w:r>
          </w:p>
        </w:tc>
        <w:tc>
          <w:tcPr>
            <w:tcW w:w="6913" w:type="dxa"/>
          </w:tcPr>
          <w:p w14:paraId="0A5C6947" w14:textId="77777777" w:rsidR="00D44887" w:rsidRPr="003A7A3F" w:rsidRDefault="00D44887" w:rsidP="002315D8">
            <w:pPr>
              <w:widowControl w:val="0"/>
              <w:autoSpaceDE w:val="0"/>
              <w:autoSpaceDN w:val="0"/>
              <w:ind w:left="109" w:right="892"/>
              <w:rPr>
                <w:rFonts w:eastAsia="Arial"/>
                <w:szCs w:val="22"/>
              </w:rPr>
            </w:pPr>
            <w:r>
              <w:t>Ceci est le premier rapport présenté au CDIP.</w:t>
            </w:r>
          </w:p>
        </w:tc>
      </w:tr>
    </w:tbl>
    <w:p w14:paraId="1B55E2D6" w14:textId="77777777" w:rsidR="00D44887" w:rsidRDefault="00D44887" w:rsidP="00D44887"/>
    <w:p w14:paraId="48EBF9F8" w14:textId="77777777" w:rsidR="00D44887" w:rsidRDefault="00D44887" w:rsidP="00D44887"/>
    <w:p w14:paraId="1FE16AD9" w14:textId="77777777" w:rsidR="00D44887" w:rsidRPr="00C6096E" w:rsidRDefault="00D44887" w:rsidP="00D44887">
      <w:pPr>
        <w:pStyle w:val="BodyText"/>
        <w:spacing w:before="94"/>
        <w:ind w:left="136"/>
      </w:pPr>
      <w:r>
        <w:t>AUTO-ÉVALUATION DU PROJET</w:t>
      </w:r>
    </w:p>
    <w:p w14:paraId="25CCD2D0" w14:textId="77777777" w:rsidR="00D44887" w:rsidRPr="00C6096E" w:rsidRDefault="00D44887" w:rsidP="00D44887">
      <w:pPr>
        <w:pStyle w:val="BodyText"/>
        <w:spacing w:after="0"/>
        <w:ind w:left="130"/>
      </w:pPr>
      <w:r>
        <w:t>Code d’évaluation</w:t>
      </w:r>
    </w:p>
    <w:p w14:paraId="3DC03015" w14:textId="77777777" w:rsidR="00D44887" w:rsidRPr="00C6096E" w:rsidRDefault="00D44887" w:rsidP="00D44887">
      <w:pPr>
        <w:pStyle w:val="BodyText"/>
        <w:spacing w:before="2" w:after="1"/>
      </w:pP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1"/>
        <w:gridCol w:w="1843"/>
        <w:gridCol w:w="1984"/>
        <w:gridCol w:w="1843"/>
        <w:gridCol w:w="1839"/>
      </w:tblGrid>
      <w:tr w:rsidR="00D44887" w:rsidRPr="00C6096E" w14:paraId="2D4C8C86" w14:textId="77777777" w:rsidTr="002315D8">
        <w:trPr>
          <w:trHeight w:val="470"/>
        </w:trPr>
        <w:tc>
          <w:tcPr>
            <w:tcW w:w="1841" w:type="dxa"/>
            <w:shd w:val="clear" w:color="auto" w:fill="7BBEDA"/>
            <w:vAlign w:val="center"/>
          </w:tcPr>
          <w:p w14:paraId="11016A27" w14:textId="77777777" w:rsidR="00D44887" w:rsidRPr="00C6096E" w:rsidRDefault="00D44887" w:rsidP="002315D8">
            <w:pPr>
              <w:pStyle w:val="TableParagraph"/>
              <w:spacing w:before="106"/>
              <w:ind w:left="110"/>
            </w:pPr>
            <w:r>
              <w:t>****</w:t>
            </w:r>
          </w:p>
        </w:tc>
        <w:tc>
          <w:tcPr>
            <w:tcW w:w="1843" w:type="dxa"/>
            <w:shd w:val="clear" w:color="auto" w:fill="7BBEDA"/>
            <w:vAlign w:val="center"/>
          </w:tcPr>
          <w:p w14:paraId="7E520972" w14:textId="77777777" w:rsidR="00D44887" w:rsidRPr="00C6096E" w:rsidRDefault="00D44887" w:rsidP="002315D8">
            <w:pPr>
              <w:pStyle w:val="TableParagraph"/>
              <w:spacing w:before="106"/>
              <w:ind w:left="110"/>
            </w:pPr>
            <w:r>
              <w:t>***</w:t>
            </w:r>
          </w:p>
        </w:tc>
        <w:tc>
          <w:tcPr>
            <w:tcW w:w="1984" w:type="dxa"/>
            <w:shd w:val="clear" w:color="auto" w:fill="7BBEDA"/>
            <w:vAlign w:val="center"/>
          </w:tcPr>
          <w:p w14:paraId="2C414BDB" w14:textId="77777777" w:rsidR="00D44887" w:rsidRPr="00C6096E" w:rsidRDefault="00D44887" w:rsidP="002315D8">
            <w:pPr>
              <w:pStyle w:val="TableParagraph"/>
              <w:spacing w:before="106"/>
              <w:ind w:left="108"/>
            </w:pPr>
            <w:r>
              <w:t>**</w:t>
            </w:r>
          </w:p>
        </w:tc>
        <w:tc>
          <w:tcPr>
            <w:tcW w:w="1843" w:type="dxa"/>
            <w:shd w:val="clear" w:color="auto" w:fill="7BBEDA"/>
            <w:vAlign w:val="center"/>
          </w:tcPr>
          <w:p w14:paraId="6007EAB2" w14:textId="77777777" w:rsidR="00D44887" w:rsidRPr="00C6096E" w:rsidRDefault="00D44887" w:rsidP="002315D8">
            <w:pPr>
              <w:pStyle w:val="TableParagraph"/>
              <w:spacing w:before="106"/>
              <w:ind w:left="108"/>
            </w:pPr>
            <w:r>
              <w:t>AP</w:t>
            </w:r>
          </w:p>
        </w:tc>
        <w:tc>
          <w:tcPr>
            <w:tcW w:w="1839" w:type="dxa"/>
            <w:shd w:val="clear" w:color="auto" w:fill="7BBEDA"/>
            <w:vAlign w:val="center"/>
          </w:tcPr>
          <w:p w14:paraId="2AC39C36" w14:textId="77777777" w:rsidR="00D44887" w:rsidRPr="00C6096E" w:rsidRDefault="00D44887" w:rsidP="002315D8">
            <w:pPr>
              <w:pStyle w:val="TableParagraph"/>
              <w:spacing w:before="106"/>
              <w:ind w:left="110"/>
            </w:pPr>
            <w:r>
              <w:t>s.o.</w:t>
            </w:r>
          </w:p>
        </w:tc>
      </w:tr>
      <w:tr w:rsidR="00D44887" w:rsidRPr="00C6096E" w14:paraId="3D06E5C9" w14:textId="77777777" w:rsidTr="002315D8">
        <w:trPr>
          <w:trHeight w:val="506"/>
        </w:trPr>
        <w:tc>
          <w:tcPr>
            <w:tcW w:w="1841" w:type="dxa"/>
            <w:shd w:val="clear" w:color="auto" w:fill="7BBEDA"/>
            <w:vAlign w:val="center"/>
          </w:tcPr>
          <w:p w14:paraId="6CB7C067" w14:textId="77777777" w:rsidR="00D44887" w:rsidRPr="00C6096E" w:rsidRDefault="00D44887" w:rsidP="002315D8">
            <w:pPr>
              <w:pStyle w:val="TableParagraph"/>
              <w:spacing w:line="252" w:lineRule="exact"/>
              <w:ind w:left="110" w:right="408"/>
            </w:pPr>
            <w:r>
              <w:t>Objectifs pleinement atteints</w:t>
            </w:r>
          </w:p>
        </w:tc>
        <w:tc>
          <w:tcPr>
            <w:tcW w:w="1843" w:type="dxa"/>
            <w:shd w:val="clear" w:color="auto" w:fill="7BBEDA"/>
            <w:vAlign w:val="center"/>
          </w:tcPr>
          <w:p w14:paraId="605D1372" w14:textId="77777777" w:rsidR="00D44887" w:rsidRPr="00C6096E" w:rsidRDefault="00D44887" w:rsidP="002315D8">
            <w:pPr>
              <w:pStyle w:val="TableParagraph"/>
              <w:spacing w:line="252" w:lineRule="exact"/>
              <w:ind w:left="110" w:right="687"/>
            </w:pPr>
            <w:r>
              <w:t>De grands progrès</w:t>
            </w:r>
          </w:p>
        </w:tc>
        <w:tc>
          <w:tcPr>
            <w:tcW w:w="1984" w:type="dxa"/>
            <w:shd w:val="clear" w:color="auto" w:fill="7BBEDA"/>
            <w:vAlign w:val="center"/>
          </w:tcPr>
          <w:p w14:paraId="6DBFE922" w14:textId="674E91CC" w:rsidR="00D44887" w:rsidRPr="00C6096E" w:rsidRDefault="00A67641" w:rsidP="002315D8">
            <w:pPr>
              <w:pStyle w:val="TableParagraph"/>
              <w:spacing w:line="251" w:lineRule="exact"/>
              <w:ind w:left="108"/>
            </w:pPr>
            <w:r>
              <w:t>Quelques progrès</w:t>
            </w:r>
          </w:p>
        </w:tc>
        <w:tc>
          <w:tcPr>
            <w:tcW w:w="1843" w:type="dxa"/>
            <w:shd w:val="clear" w:color="auto" w:fill="7BBEDA"/>
            <w:vAlign w:val="center"/>
          </w:tcPr>
          <w:p w14:paraId="765FACB1" w14:textId="77777777" w:rsidR="00D44887" w:rsidRPr="00C6096E" w:rsidRDefault="00D44887" w:rsidP="002315D8">
            <w:pPr>
              <w:pStyle w:val="TableParagraph"/>
              <w:spacing w:line="251" w:lineRule="exact"/>
              <w:ind w:left="108"/>
            </w:pPr>
            <w:r>
              <w:t>Aucun progrès</w:t>
            </w:r>
          </w:p>
        </w:tc>
        <w:tc>
          <w:tcPr>
            <w:tcW w:w="1839" w:type="dxa"/>
            <w:shd w:val="clear" w:color="auto" w:fill="7BBEDA"/>
            <w:vAlign w:val="center"/>
          </w:tcPr>
          <w:p w14:paraId="4F70FF81" w14:textId="77777777" w:rsidR="00D44887" w:rsidRPr="00C6096E" w:rsidRDefault="00D44887" w:rsidP="002315D8">
            <w:pPr>
              <w:pStyle w:val="TableParagraph"/>
              <w:spacing w:line="252" w:lineRule="exact"/>
              <w:ind w:left="110" w:right="203"/>
            </w:pPr>
            <w:r>
              <w:t>Non évalué/ abandonné</w:t>
            </w:r>
          </w:p>
        </w:tc>
      </w:tr>
    </w:tbl>
    <w:p w14:paraId="4CAA1567" w14:textId="77777777" w:rsidR="00D44887" w:rsidRPr="00C6096E" w:rsidRDefault="00D44887" w:rsidP="00D448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2865"/>
        <w:gridCol w:w="1412"/>
      </w:tblGrid>
      <w:tr w:rsidR="00D44887" w:rsidRPr="00C6096E" w14:paraId="25085F79" w14:textId="77777777" w:rsidTr="002315D8">
        <w:trPr>
          <w:trHeight w:val="1264"/>
        </w:trPr>
        <w:tc>
          <w:tcPr>
            <w:tcW w:w="2410" w:type="dxa"/>
            <w:shd w:val="clear" w:color="auto" w:fill="68E089"/>
            <w:vAlign w:val="center"/>
          </w:tcPr>
          <w:p w14:paraId="3403F1E7" w14:textId="77777777" w:rsidR="00D44887" w:rsidRPr="00C6096E" w:rsidRDefault="00D44887" w:rsidP="002315D8">
            <w:pPr>
              <w:pStyle w:val="TableParagraph"/>
              <w:spacing w:before="10"/>
            </w:pPr>
          </w:p>
          <w:p w14:paraId="1663EA76" w14:textId="77777777" w:rsidR="00D44887" w:rsidRPr="00C6096E" w:rsidRDefault="00D44887" w:rsidP="002315D8">
            <w:pPr>
              <w:pStyle w:val="TableParagraph"/>
              <w:ind w:left="110" w:right="624"/>
            </w:pPr>
            <w:r>
              <w:rPr>
                <w:u w:val="single"/>
              </w:rPr>
              <w:t>Résultats du projet</w:t>
            </w:r>
            <w:r>
              <w:rPr>
                <w:vertAlign w:val="superscript"/>
              </w:rPr>
              <w:t>3</w:t>
            </w:r>
            <w:r>
              <w:t xml:space="preserve"> (résultat escompté)</w:t>
            </w:r>
          </w:p>
        </w:tc>
        <w:tc>
          <w:tcPr>
            <w:tcW w:w="2695" w:type="dxa"/>
            <w:shd w:val="clear" w:color="auto" w:fill="68E089"/>
            <w:vAlign w:val="center"/>
          </w:tcPr>
          <w:p w14:paraId="1226658B" w14:textId="77777777" w:rsidR="00D44887" w:rsidRPr="00C6096E" w:rsidRDefault="00D44887" w:rsidP="002315D8">
            <w:pPr>
              <w:pStyle w:val="TableParagraph"/>
              <w:spacing w:before="10"/>
            </w:pPr>
          </w:p>
          <w:p w14:paraId="66125392" w14:textId="77777777" w:rsidR="00D44887" w:rsidRPr="00C6096E" w:rsidRDefault="00D44887" w:rsidP="002315D8">
            <w:pPr>
              <w:pStyle w:val="TableParagraph"/>
              <w:ind w:left="110" w:right="236"/>
            </w:pPr>
            <w:r>
              <w:rPr>
                <w:u w:val="single"/>
              </w:rPr>
              <w:t>Indicateurs d’exécution</w:t>
            </w:r>
          </w:p>
          <w:p w14:paraId="681CEC37" w14:textId="77777777" w:rsidR="00D44887" w:rsidRPr="00C6096E" w:rsidRDefault="00D44887" w:rsidP="002315D8">
            <w:pPr>
              <w:pStyle w:val="TableParagraph"/>
              <w:spacing w:before="1"/>
              <w:ind w:left="110"/>
            </w:pPr>
            <w:r>
              <w:t>(indicateurs de résultats)</w:t>
            </w:r>
          </w:p>
        </w:tc>
        <w:tc>
          <w:tcPr>
            <w:tcW w:w="2865" w:type="dxa"/>
            <w:shd w:val="clear" w:color="auto" w:fill="68E089"/>
            <w:vAlign w:val="center"/>
          </w:tcPr>
          <w:p w14:paraId="389EF490" w14:textId="77777777" w:rsidR="00D44887" w:rsidRPr="00C6096E" w:rsidRDefault="00D44887" w:rsidP="002315D8">
            <w:pPr>
              <w:pStyle w:val="TableParagraph"/>
              <w:spacing w:before="10"/>
            </w:pPr>
          </w:p>
          <w:p w14:paraId="45191872" w14:textId="77777777" w:rsidR="00D44887" w:rsidRPr="00C6096E" w:rsidRDefault="00D44887" w:rsidP="002315D8">
            <w:pPr>
              <w:pStyle w:val="TableParagraph"/>
              <w:ind w:left="108"/>
            </w:pPr>
            <w:r>
              <w:rPr>
                <w:u w:val="single"/>
              </w:rPr>
              <w:t>Données relatives à l’exécution</w:t>
            </w:r>
          </w:p>
        </w:tc>
        <w:tc>
          <w:tcPr>
            <w:tcW w:w="1412" w:type="dxa"/>
            <w:shd w:val="clear" w:color="auto" w:fill="68E089"/>
            <w:vAlign w:val="center"/>
          </w:tcPr>
          <w:p w14:paraId="6ECBA8F9" w14:textId="77777777" w:rsidR="00D44887" w:rsidRPr="00C6096E" w:rsidRDefault="00D44887" w:rsidP="002315D8">
            <w:pPr>
              <w:pStyle w:val="TableParagraph"/>
              <w:spacing w:before="10"/>
            </w:pPr>
          </w:p>
          <w:p w14:paraId="161E5750" w14:textId="77777777" w:rsidR="00D44887" w:rsidRPr="00C6096E" w:rsidRDefault="00D44887" w:rsidP="002315D8">
            <w:pPr>
              <w:pStyle w:val="TableParagraph"/>
              <w:ind w:left="111"/>
            </w:pPr>
            <w:r>
              <w:rPr>
                <w:u w:val="single"/>
              </w:rPr>
              <w:t>Code d’évaluation</w:t>
            </w:r>
          </w:p>
        </w:tc>
      </w:tr>
      <w:tr w:rsidR="00D44887" w:rsidRPr="00C6096E" w14:paraId="5037A345" w14:textId="77777777" w:rsidTr="002315D8">
        <w:trPr>
          <w:trHeight w:val="508"/>
        </w:trPr>
        <w:tc>
          <w:tcPr>
            <w:tcW w:w="2410" w:type="dxa"/>
            <w:tcBorders>
              <w:right w:val="single" w:sz="6" w:space="0" w:color="000000"/>
            </w:tcBorders>
            <w:vAlign w:val="center"/>
          </w:tcPr>
          <w:p w14:paraId="4D435C67" w14:textId="77777777" w:rsidR="00D44887" w:rsidRDefault="00D44887" w:rsidP="002315D8">
            <w:pPr>
              <w:pStyle w:val="TableParagraph"/>
            </w:pPr>
            <w:r>
              <w:t>Sélection de trois pays bénéficiaires en plus du Brésil</w:t>
            </w:r>
          </w:p>
          <w:p w14:paraId="2C3CC525" w14:textId="77777777" w:rsidR="00D44887" w:rsidRPr="00C6096E" w:rsidRDefault="00D44887" w:rsidP="002315D8">
            <w:pPr>
              <w:pStyle w:val="TableParagraph"/>
            </w:pPr>
          </w:p>
        </w:tc>
        <w:tc>
          <w:tcPr>
            <w:tcW w:w="2695" w:type="dxa"/>
            <w:tcBorders>
              <w:left w:val="single" w:sz="6" w:space="0" w:color="000000"/>
              <w:bottom w:val="single" w:sz="6" w:space="0" w:color="000000"/>
            </w:tcBorders>
            <w:vAlign w:val="center"/>
          </w:tcPr>
          <w:p w14:paraId="3263DB3C" w14:textId="77777777" w:rsidR="00D44887" w:rsidRPr="00C6096E" w:rsidRDefault="00D44887" w:rsidP="002315D8">
            <w:pPr>
              <w:pStyle w:val="TableParagraph"/>
            </w:pPr>
            <w:r>
              <w:t>Trois pays bénéficiaires (décision fondée sur les critères de sélection énoncés dans le descriptif de projet)</w:t>
            </w:r>
          </w:p>
        </w:tc>
        <w:tc>
          <w:tcPr>
            <w:tcW w:w="2865" w:type="dxa"/>
            <w:vAlign w:val="center"/>
          </w:tcPr>
          <w:p w14:paraId="3BDE4884" w14:textId="77777777" w:rsidR="00D44887" w:rsidRDefault="00D44887" w:rsidP="002315D8">
            <w:pPr>
              <w:pStyle w:val="TableParagraph"/>
            </w:pPr>
            <w:r>
              <w:t>En plus du Brésil, trois autres pays bénéficiaires ont été sélectionnés, à savoir : Algérie, Ouganda et Pakistan.</w:t>
            </w:r>
          </w:p>
          <w:p w14:paraId="5990C0E0" w14:textId="77777777" w:rsidR="00D44887" w:rsidRPr="00C6096E" w:rsidRDefault="00D44887" w:rsidP="002315D8">
            <w:pPr>
              <w:pStyle w:val="TableParagraph"/>
            </w:pPr>
          </w:p>
        </w:tc>
        <w:tc>
          <w:tcPr>
            <w:tcW w:w="1412" w:type="dxa"/>
            <w:vAlign w:val="center"/>
          </w:tcPr>
          <w:p w14:paraId="214431CF" w14:textId="77777777" w:rsidR="00D44887" w:rsidRPr="00C6096E" w:rsidRDefault="00D44887" w:rsidP="002315D8">
            <w:pPr>
              <w:pStyle w:val="TableParagraph"/>
            </w:pPr>
            <w:r>
              <w:t>****</w:t>
            </w:r>
          </w:p>
        </w:tc>
      </w:tr>
      <w:tr w:rsidR="00D44887" w:rsidRPr="00C6096E" w14:paraId="74F9A17A" w14:textId="77777777" w:rsidTr="002315D8">
        <w:trPr>
          <w:trHeight w:val="510"/>
        </w:trPr>
        <w:tc>
          <w:tcPr>
            <w:tcW w:w="2410" w:type="dxa"/>
            <w:tcBorders>
              <w:right w:val="single" w:sz="6" w:space="0" w:color="000000"/>
            </w:tcBorders>
            <w:vAlign w:val="center"/>
          </w:tcPr>
          <w:p w14:paraId="017F7C71" w14:textId="77777777" w:rsidR="00D44887" w:rsidRPr="00C6096E" w:rsidRDefault="00D44887" w:rsidP="002315D8">
            <w:pPr>
              <w:pStyle w:val="TableParagraph"/>
            </w:pPr>
            <w:r>
              <w:t>Désignation des coordonnateurs nationaux</w:t>
            </w:r>
          </w:p>
        </w:tc>
        <w:tc>
          <w:tcPr>
            <w:tcW w:w="2695" w:type="dxa"/>
            <w:tcBorders>
              <w:top w:val="single" w:sz="6" w:space="0" w:color="000000"/>
              <w:left w:val="single" w:sz="6" w:space="0" w:color="000000"/>
              <w:bottom w:val="single" w:sz="6" w:space="0" w:color="000000"/>
            </w:tcBorders>
            <w:vAlign w:val="center"/>
          </w:tcPr>
          <w:p w14:paraId="12D59D85" w14:textId="77777777" w:rsidR="00D44887" w:rsidRPr="00C6096E" w:rsidRDefault="00D44887" w:rsidP="002315D8">
            <w:pPr>
              <w:pStyle w:val="TableParagraph"/>
            </w:pPr>
            <w:r>
              <w:t>Nomination d’un coordonnateur national (un par pays bénéficiaire)</w:t>
            </w:r>
          </w:p>
        </w:tc>
        <w:tc>
          <w:tcPr>
            <w:tcW w:w="2865" w:type="dxa"/>
            <w:vAlign w:val="center"/>
          </w:tcPr>
          <w:p w14:paraId="2808C013" w14:textId="77777777" w:rsidR="00D44887" w:rsidRDefault="00D44887" w:rsidP="002315D8">
            <w:pPr>
              <w:pStyle w:val="TableParagraph"/>
            </w:pPr>
            <w:r>
              <w:t>Dans la plupart des pays bénéficiaires, un coordonnateur national a été nommé.</w:t>
            </w:r>
          </w:p>
          <w:p w14:paraId="72BD6630" w14:textId="77777777" w:rsidR="00D44887" w:rsidRPr="00C6096E" w:rsidRDefault="00D44887" w:rsidP="002315D8">
            <w:pPr>
              <w:pStyle w:val="TableParagraph"/>
            </w:pPr>
          </w:p>
        </w:tc>
        <w:tc>
          <w:tcPr>
            <w:tcW w:w="1412" w:type="dxa"/>
            <w:vAlign w:val="center"/>
          </w:tcPr>
          <w:p w14:paraId="67063A5B" w14:textId="77777777" w:rsidR="00D44887" w:rsidRPr="00C6096E" w:rsidRDefault="00D44887" w:rsidP="002315D8">
            <w:pPr>
              <w:pStyle w:val="TableParagraph"/>
            </w:pPr>
            <w:r>
              <w:t>***</w:t>
            </w:r>
          </w:p>
        </w:tc>
      </w:tr>
      <w:tr w:rsidR="00D44887" w:rsidRPr="00C6096E" w14:paraId="2B26B1C0" w14:textId="77777777" w:rsidTr="002315D8">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7B4BF28" w14:textId="77777777" w:rsidR="00D44887" w:rsidRDefault="00D44887" w:rsidP="002315D8">
            <w:pPr>
              <w:pStyle w:val="TableParagraph"/>
            </w:pPr>
            <w:r>
              <w:t>Plans de mise en œuvre des projets par pays</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5C16227E" w14:textId="77777777" w:rsidR="00D44887" w:rsidRDefault="00D44887" w:rsidP="002315D8">
            <w:pPr>
              <w:pStyle w:val="TableParagraph"/>
              <w:rPr>
                <w:bCs/>
              </w:rPr>
            </w:pPr>
            <w:r>
              <w:t>Plans de mise en œuvre des projets approuvés (un par pays bénéficiaire)</w:t>
            </w:r>
          </w:p>
          <w:p w14:paraId="5836281E" w14:textId="77777777" w:rsidR="00D44887" w:rsidRPr="00C6096E" w:rsidRDefault="00D44887" w:rsidP="002315D8">
            <w:pPr>
              <w:pStyle w:val="TableParagraph"/>
            </w:pP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30ADF9C4" w14:textId="77777777" w:rsidR="00D44887" w:rsidRPr="00C6096E" w:rsidRDefault="00D44887" w:rsidP="002315D8">
            <w:pPr>
              <w:pStyle w:val="TableParagraph"/>
            </w:pPr>
            <w:r>
              <w:t>Aucun progrès</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1D539924" w14:textId="77777777" w:rsidR="00D44887" w:rsidRPr="00C6096E" w:rsidRDefault="00D44887" w:rsidP="002315D8">
            <w:pPr>
              <w:pStyle w:val="TableParagraph"/>
            </w:pPr>
            <w:r>
              <w:t>AP</w:t>
            </w:r>
          </w:p>
        </w:tc>
      </w:tr>
      <w:tr w:rsidR="00D44887" w:rsidRPr="00C6096E" w14:paraId="12818C3B" w14:textId="77777777" w:rsidTr="002315D8">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067DEB05" w14:textId="77777777" w:rsidR="00D44887" w:rsidRDefault="00D44887" w:rsidP="002315D8">
            <w:pPr>
              <w:pStyle w:val="TableParagraph"/>
            </w:pPr>
            <w:r>
              <w:t>Événements d’information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27ADD13F" w14:textId="77777777" w:rsidR="00D44887" w:rsidRPr="00C6096E" w:rsidRDefault="00D44887" w:rsidP="002315D8">
            <w:pPr>
              <w:pStyle w:val="TableParagraph"/>
            </w:pPr>
            <w:r>
              <w:t>Organisation d’événements d’information</w:t>
            </w: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52411ABA" w14:textId="77777777" w:rsidR="00D44887" w:rsidRPr="00C6096E" w:rsidRDefault="00D44887" w:rsidP="002315D8">
            <w:pPr>
              <w:pStyle w:val="TableParagraph"/>
            </w:pPr>
            <w:r>
              <w:t>Aucun progrès</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6AB3E4B" w14:textId="77777777" w:rsidR="00D44887" w:rsidRPr="00C6096E" w:rsidRDefault="00D44887" w:rsidP="002315D8">
            <w:pPr>
              <w:pStyle w:val="TableParagraph"/>
            </w:pPr>
            <w:r>
              <w:t>AP</w:t>
            </w:r>
          </w:p>
        </w:tc>
      </w:tr>
      <w:tr w:rsidR="00D44887" w:rsidRPr="00C6096E" w14:paraId="4B1926C0" w14:textId="77777777" w:rsidTr="002315D8">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0EED63C4" w14:textId="77777777" w:rsidR="00D44887" w:rsidRDefault="00D44887" w:rsidP="002315D8">
            <w:pPr>
              <w:pStyle w:val="TableParagraph"/>
            </w:pPr>
            <w:r>
              <w:t>Études sur les contestations après l’enregistrement</w:t>
            </w:r>
          </w:p>
        </w:tc>
        <w:tc>
          <w:tcPr>
            <w:tcW w:w="2695" w:type="dxa"/>
            <w:tcBorders>
              <w:top w:val="single" w:sz="4" w:space="0" w:color="auto"/>
              <w:left w:val="single" w:sz="4" w:space="0" w:color="auto"/>
              <w:right w:val="single" w:sz="4" w:space="0" w:color="auto"/>
            </w:tcBorders>
            <w:shd w:val="clear" w:color="auto" w:fill="auto"/>
          </w:tcPr>
          <w:p w14:paraId="44190FC0" w14:textId="77777777" w:rsidR="00D44887" w:rsidRDefault="00D44887" w:rsidP="002315D8">
            <w:pPr>
              <w:pStyle w:val="TableParagraph"/>
              <w:rPr>
                <w:bCs/>
              </w:rPr>
            </w:pPr>
            <w:r>
              <w:t>Études sur les contestations après l’enregistrement réalisées dans chaque pays bénéficiaire</w:t>
            </w:r>
          </w:p>
          <w:p w14:paraId="107DFF69" w14:textId="77777777" w:rsidR="00D44887" w:rsidRPr="00C6096E" w:rsidRDefault="00D44887" w:rsidP="002315D8">
            <w:pPr>
              <w:pStyle w:val="TableParagraph"/>
            </w:pPr>
          </w:p>
        </w:tc>
        <w:tc>
          <w:tcPr>
            <w:tcW w:w="2865" w:type="dxa"/>
            <w:vMerge w:val="restart"/>
            <w:tcBorders>
              <w:top w:val="single" w:sz="4" w:space="0" w:color="auto"/>
              <w:left w:val="single" w:sz="4" w:space="0" w:color="auto"/>
              <w:right w:val="single" w:sz="4" w:space="0" w:color="auto"/>
            </w:tcBorders>
            <w:shd w:val="clear" w:color="auto" w:fill="auto"/>
            <w:vAlign w:val="center"/>
          </w:tcPr>
          <w:p w14:paraId="4CBC1DA2" w14:textId="77777777" w:rsidR="00D44887" w:rsidRPr="00C6096E" w:rsidRDefault="00D44887" w:rsidP="002315D8">
            <w:pPr>
              <w:pStyle w:val="TableParagraph"/>
            </w:pPr>
            <w:r>
              <w:t>Aucun progrès</w:t>
            </w:r>
          </w:p>
          <w:p w14:paraId="67C9BC6C" w14:textId="77777777" w:rsidR="00D44887" w:rsidRPr="00C6096E" w:rsidRDefault="00D44887" w:rsidP="002315D8">
            <w:pPr>
              <w:pStyle w:val="TableParagraph"/>
            </w:pPr>
          </w:p>
        </w:tc>
        <w:tc>
          <w:tcPr>
            <w:tcW w:w="1412" w:type="dxa"/>
            <w:vMerge w:val="restart"/>
            <w:tcBorders>
              <w:top w:val="single" w:sz="4" w:space="0" w:color="auto"/>
              <w:left w:val="single" w:sz="4" w:space="0" w:color="auto"/>
              <w:right w:val="single" w:sz="4" w:space="0" w:color="auto"/>
            </w:tcBorders>
            <w:shd w:val="clear" w:color="auto" w:fill="auto"/>
            <w:vAlign w:val="center"/>
          </w:tcPr>
          <w:p w14:paraId="414E5CA4" w14:textId="77777777" w:rsidR="00D44887" w:rsidRPr="00C6096E" w:rsidRDefault="00D44887" w:rsidP="002315D8">
            <w:pPr>
              <w:pStyle w:val="TableParagraph"/>
            </w:pPr>
            <w:r>
              <w:t>AP</w:t>
            </w:r>
          </w:p>
          <w:p w14:paraId="7644DE82" w14:textId="77777777" w:rsidR="00D44887" w:rsidRPr="00C6096E" w:rsidRDefault="00D44887" w:rsidP="002315D8">
            <w:pPr>
              <w:pStyle w:val="TableParagraph"/>
            </w:pPr>
          </w:p>
        </w:tc>
      </w:tr>
      <w:tr w:rsidR="00D44887" w:rsidRPr="00C6096E" w14:paraId="26247CC5" w14:textId="77777777" w:rsidTr="002315D8">
        <w:trPr>
          <w:trHeight w:val="510"/>
        </w:trPr>
        <w:tc>
          <w:tcPr>
            <w:tcW w:w="2410" w:type="dxa"/>
            <w:vMerge/>
            <w:tcBorders>
              <w:left w:val="single" w:sz="4" w:space="0" w:color="auto"/>
              <w:bottom w:val="single" w:sz="4" w:space="0" w:color="auto"/>
              <w:right w:val="single" w:sz="4" w:space="0" w:color="auto"/>
            </w:tcBorders>
            <w:shd w:val="clear" w:color="auto" w:fill="auto"/>
          </w:tcPr>
          <w:p w14:paraId="1EF0619A" w14:textId="77777777" w:rsidR="00D44887" w:rsidRDefault="00D44887" w:rsidP="002315D8">
            <w:pPr>
              <w:pStyle w:val="TableParagraph"/>
            </w:pPr>
          </w:p>
        </w:tc>
        <w:tc>
          <w:tcPr>
            <w:tcW w:w="2695" w:type="dxa"/>
            <w:tcBorders>
              <w:left w:val="single" w:sz="4" w:space="0" w:color="auto"/>
              <w:bottom w:val="single" w:sz="4" w:space="0" w:color="auto"/>
              <w:right w:val="single" w:sz="4" w:space="0" w:color="auto"/>
            </w:tcBorders>
            <w:shd w:val="clear" w:color="auto" w:fill="auto"/>
          </w:tcPr>
          <w:p w14:paraId="06DD2039" w14:textId="77777777" w:rsidR="00D44887" w:rsidRDefault="00D44887" w:rsidP="002315D8">
            <w:pPr>
              <w:pStyle w:val="TableParagraph"/>
              <w:rPr>
                <w:bCs/>
              </w:rPr>
            </w:pPr>
            <w:r>
              <w:t>Études sur les contestations après l’enregistrement validées par l’équipe chargée de la gestion du projet à l’OMPI et le coordonnateur national dans chaque pays bénéficiaire</w:t>
            </w:r>
          </w:p>
          <w:p w14:paraId="6C29E4ED" w14:textId="77777777" w:rsidR="00D44887" w:rsidRPr="00C6096E" w:rsidRDefault="00D44887" w:rsidP="002315D8">
            <w:pPr>
              <w:pStyle w:val="TableParagraph"/>
            </w:pPr>
          </w:p>
        </w:tc>
        <w:tc>
          <w:tcPr>
            <w:tcW w:w="2865" w:type="dxa"/>
            <w:vMerge/>
            <w:tcBorders>
              <w:left w:val="single" w:sz="4" w:space="0" w:color="auto"/>
              <w:bottom w:val="single" w:sz="4" w:space="0" w:color="auto"/>
              <w:right w:val="single" w:sz="4" w:space="0" w:color="auto"/>
            </w:tcBorders>
            <w:shd w:val="clear" w:color="auto" w:fill="auto"/>
          </w:tcPr>
          <w:p w14:paraId="1E40371C" w14:textId="77777777" w:rsidR="00D44887" w:rsidRPr="00C6096E" w:rsidRDefault="00D44887" w:rsidP="002315D8">
            <w:pPr>
              <w:pStyle w:val="TableParagraph"/>
            </w:pPr>
          </w:p>
        </w:tc>
        <w:tc>
          <w:tcPr>
            <w:tcW w:w="1412" w:type="dxa"/>
            <w:vMerge/>
            <w:tcBorders>
              <w:left w:val="single" w:sz="4" w:space="0" w:color="auto"/>
              <w:bottom w:val="single" w:sz="4" w:space="0" w:color="auto"/>
              <w:right w:val="single" w:sz="4" w:space="0" w:color="auto"/>
            </w:tcBorders>
            <w:shd w:val="clear" w:color="auto" w:fill="auto"/>
          </w:tcPr>
          <w:p w14:paraId="208EECF0" w14:textId="77777777" w:rsidR="00D44887" w:rsidRPr="00C6096E" w:rsidRDefault="00D44887" w:rsidP="002315D8">
            <w:pPr>
              <w:pStyle w:val="TableParagraph"/>
            </w:pPr>
          </w:p>
        </w:tc>
      </w:tr>
      <w:tr w:rsidR="00D44887" w:rsidRPr="00C6096E" w14:paraId="1C069C6A" w14:textId="77777777" w:rsidTr="002315D8">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0D35347" w14:textId="77777777" w:rsidR="00D44887" w:rsidRDefault="00D44887" w:rsidP="002315D8">
            <w:pPr>
              <w:pStyle w:val="TableParagraph"/>
            </w:pPr>
            <w:r>
              <w:t>Sélection des indications géographiques ou des marques collectives ou de certification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262EB019" w14:textId="77777777" w:rsidR="00D44887" w:rsidRDefault="00D44887" w:rsidP="002315D8">
            <w:pPr>
              <w:pStyle w:val="TableParagraph"/>
              <w:rPr>
                <w:bCs/>
              </w:rPr>
            </w:pPr>
            <w:r>
              <w:t>Indications géographiques ou marques collectives ou de certification sélectionnées (une par pays bénéficiaire)</w:t>
            </w:r>
          </w:p>
          <w:p w14:paraId="682678BC" w14:textId="77777777" w:rsidR="00D44887" w:rsidRPr="00C6096E" w:rsidRDefault="00D44887" w:rsidP="002315D8">
            <w:pPr>
              <w:pStyle w:val="TableParagraph"/>
            </w:pP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26F2B358" w14:textId="77777777" w:rsidR="00D44887" w:rsidRPr="00C6096E" w:rsidRDefault="00D44887" w:rsidP="002315D8">
            <w:pPr>
              <w:pStyle w:val="TableParagraph"/>
            </w:pPr>
            <w:r>
              <w:t>Quelques progrès</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47D6F1CA" w14:textId="77777777" w:rsidR="00D44887" w:rsidRPr="00C6096E" w:rsidRDefault="00D44887" w:rsidP="002315D8">
            <w:pPr>
              <w:pStyle w:val="TableParagraph"/>
            </w:pPr>
            <w:r>
              <w:t>**</w:t>
            </w:r>
          </w:p>
        </w:tc>
      </w:tr>
      <w:tr w:rsidR="00D44887" w:rsidRPr="00C6096E" w14:paraId="363412FC" w14:textId="77777777" w:rsidTr="002315D8">
        <w:trPr>
          <w:trHeight w:val="510"/>
        </w:trPr>
        <w:tc>
          <w:tcPr>
            <w:tcW w:w="2410" w:type="dxa"/>
            <w:tcBorders>
              <w:right w:val="single" w:sz="6" w:space="0" w:color="000000"/>
            </w:tcBorders>
          </w:tcPr>
          <w:p w14:paraId="44AB53AB" w14:textId="77777777" w:rsidR="00D44887" w:rsidRDefault="00D44887" w:rsidP="002315D8">
            <w:pPr>
              <w:pStyle w:val="TableParagraph"/>
            </w:pPr>
            <w:r>
              <w:t>Stratégies, guides ou supports de formation</w:t>
            </w:r>
          </w:p>
        </w:tc>
        <w:tc>
          <w:tcPr>
            <w:tcW w:w="2695" w:type="dxa"/>
            <w:tcBorders>
              <w:top w:val="single" w:sz="6" w:space="0" w:color="000000"/>
              <w:left w:val="single" w:sz="6" w:space="0" w:color="000000"/>
              <w:bottom w:val="single" w:sz="6" w:space="0" w:color="000000"/>
            </w:tcBorders>
          </w:tcPr>
          <w:p w14:paraId="7BB593B2" w14:textId="77777777" w:rsidR="00D44887" w:rsidRDefault="00D44887" w:rsidP="002315D8">
            <w:pPr>
              <w:pStyle w:val="TableParagraph"/>
              <w:rPr>
                <w:bCs/>
              </w:rPr>
            </w:pPr>
            <w:r>
              <w:t>Élaboration de stratégies, guides ou supports de formation pour renforcer la gestion collective des indications géographiques ou marques collectives ou de certification</w:t>
            </w:r>
          </w:p>
          <w:p w14:paraId="7FF005ED" w14:textId="77777777" w:rsidR="00D44887" w:rsidRPr="00C6096E" w:rsidRDefault="00D44887" w:rsidP="002315D8">
            <w:pPr>
              <w:pStyle w:val="TableParagraph"/>
            </w:pPr>
          </w:p>
        </w:tc>
        <w:tc>
          <w:tcPr>
            <w:tcW w:w="2865" w:type="dxa"/>
          </w:tcPr>
          <w:p w14:paraId="36205573" w14:textId="77777777" w:rsidR="00D44887" w:rsidRPr="00C6096E" w:rsidRDefault="00D44887" w:rsidP="002315D8">
            <w:pPr>
              <w:pStyle w:val="TableParagraph"/>
            </w:pPr>
            <w:r>
              <w:lastRenderedPageBreak/>
              <w:t>Aucun progrès</w:t>
            </w:r>
          </w:p>
        </w:tc>
        <w:tc>
          <w:tcPr>
            <w:tcW w:w="1412" w:type="dxa"/>
          </w:tcPr>
          <w:p w14:paraId="117AFC77" w14:textId="77777777" w:rsidR="00D44887" w:rsidRPr="00C6096E" w:rsidRDefault="00D44887" w:rsidP="002315D8">
            <w:pPr>
              <w:pStyle w:val="TableParagraph"/>
            </w:pPr>
            <w:r>
              <w:t>AP</w:t>
            </w:r>
          </w:p>
        </w:tc>
      </w:tr>
      <w:tr w:rsidR="00D44887" w:rsidRPr="00C6096E" w14:paraId="252E4443" w14:textId="77777777" w:rsidTr="002315D8">
        <w:trPr>
          <w:trHeight w:val="510"/>
        </w:trPr>
        <w:tc>
          <w:tcPr>
            <w:tcW w:w="2410" w:type="dxa"/>
            <w:tcBorders>
              <w:right w:val="single" w:sz="6" w:space="0" w:color="000000"/>
            </w:tcBorders>
          </w:tcPr>
          <w:p w14:paraId="06C91867" w14:textId="77777777" w:rsidR="00D44887" w:rsidRDefault="00D44887" w:rsidP="002315D8">
            <w:pPr>
              <w:pStyle w:val="TableParagraph"/>
            </w:pPr>
            <w:r>
              <w:t>Ateliers et activités de formation sur le développement rural et local</w:t>
            </w:r>
          </w:p>
        </w:tc>
        <w:tc>
          <w:tcPr>
            <w:tcW w:w="2695" w:type="dxa"/>
            <w:tcBorders>
              <w:top w:val="single" w:sz="6" w:space="0" w:color="000000"/>
              <w:left w:val="single" w:sz="6" w:space="0" w:color="000000"/>
              <w:bottom w:val="single" w:sz="6" w:space="0" w:color="000000"/>
            </w:tcBorders>
          </w:tcPr>
          <w:p w14:paraId="6BB9EC80" w14:textId="77777777" w:rsidR="00D44887" w:rsidRDefault="00D44887" w:rsidP="002315D8">
            <w:pPr>
              <w:pStyle w:val="TableParagraph"/>
              <w:rPr>
                <w:bCs/>
              </w:rPr>
            </w:pPr>
            <w:r>
              <w:t>Organisation d’ateliers et d’activités de formation avec les parties prenantes concernées et les acteurs locaux contribuant aux initiatives de développement rural et local</w:t>
            </w:r>
          </w:p>
          <w:p w14:paraId="56B2D678" w14:textId="77777777" w:rsidR="00D44887" w:rsidRPr="00C6096E" w:rsidRDefault="00D44887" w:rsidP="002315D8">
            <w:pPr>
              <w:pStyle w:val="TableParagraph"/>
            </w:pPr>
          </w:p>
        </w:tc>
        <w:tc>
          <w:tcPr>
            <w:tcW w:w="2865" w:type="dxa"/>
          </w:tcPr>
          <w:p w14:paraId="25DAB00F" w14:textId="77777777" w:rsidR="00D44887" w:rsidRPr="00C6096E" w:rsidRDefault="00D44887" w:rsidP="002315D8">
            <w:pPr>
              <w:pStyle w:val="TableParagraph"/>
            </w:pPr>
            <w:r>
              <w:t>Aucun progrès</w:t>
            </w:r>
          </w:p>
        </w:tc>
        <w:tc>
          <w:tcPr>
            <w:tcW w:w="1412" w:type="dxa"/>
          </w:tcPr>
          <w:p w14:paraId="51A0E998" w14:textId="77777777" w:rsidR="00D44887" w:rsidRPr="00C6096E" w:rsidRDefault="00D44887" w:rsidP="002315D8">
            <w:pPr>
              <w:pStyle w:val="TableParagraph"/>
            </w:pPr>
            <w:r>
              <w:t>AP</w:t>
            </w:r>
          </w:p>
        </w:tc>
      </w:tr>
      <w:tr w:rsidR="00D44887" w:rsidRPr="00C6096E" w14:paraId="39695C35" w14:textId="77777777" w:rsidTr="002315D8">
        <w:trPr>
          <w:trHeight w:val="510"/>
        </w:trPr>
        <w:tc>
          <w:tcPr>
            <w:tcW w:w="2410" w:type="dxa"/>
            <w:tcBorders>
              <w:right w:val="single" w:sz="6" w:space="0" w:color="000000"/>
            </w:tcBorders>
          </w:tcPr>
          <w:p w14:paraId="7AFD8239" w14:textId="77777777" w:rsidR="00D44887" w:rsidRDefault="00D44887" w:rsidP="002315D8">
            <w:pPr>
              <w:pStyle w:val="TableParagraph"/>
            </w:pPr>
            <w:r>
              <w:t>Ateliers et activités de formation sur la gestion collective</w:t>
            </w:r>
          </w:p>
        </w:tc>
        <w:tc>
          <w:tcPr>
            <w:tcW w:w="2695" w:type="dxa"/>
            <w:tcBorders>
              <w:top w:val="single" w:sz="6" w:space="0" w:color="000000"/>
              <w:left w:val="single" w:sz="6" w:space="0" w:color="000000"/>
              <w:bottom w:val="single" w:sz="6" w:space="0" w:color="000000"/>
            </w:tcBorders>
          </w:tcPr>
          <w:p w14:paraId="6A79B446" w14:textId="77777777" w:rsidR="00D44887" w:rsidRDefault="00D44887" w:rsidP="002315D8">
            <w:pPr>
              <w:pStyle w:val="TableParagraph"/>
              <w:rPr>
                <w:bCs/>
              </w:rPr>
            </w:pPr>
            <w:r>
              <w:t>Organisation d’ateliers et d’activités de formation avec un groupement de producteurs sélectionné sur la gestion collective du système de qualité des produits d’origine et le renforcement de la gouvernance interne</w:t>
            </w:r>
          </w:p>
          <w:p w14:paraId="5A05CD1A" w14:textId="77777777" w:rsidR="00D44887" w:rsidRPr="00C6096E" w:rsidRDefault="00D44887" w:rsidP="002315D8">
            <w:pPr>
              <w:pStyle w:val="TableParagraph"/>
            </w:pPr>
          </w:p>
        </w:tc>
        <w:tc>
          <w:tcPr>
            <w:tcW w:w="2865" w:type="dxa"/>
          </w:tcPr>
          <w:p w14:paraId="2B9A38F6" w14:textId="77777777" w:rsidR="00D44887" w:rsidRPr="00C6096E" w:rsidRDefault="00D44887" w:rsidP="002315D8">
            <w:pPr>
              <w:pStyle w:val="TableParagraph"/>
            </w:pPr>
            <w:r>
              <w:t>Aucun progrès</w:t>
            </w:r>
          </w:p>
        </w:tc>
        <w:tc>
          <w:tcPr>
            <w:tcW w:w="1412" w:type="dxa"/>
          </w:tcPr>
          <w:p w14:paraId="5687F907" w14:textId="77777777" w:rsidR="00D44887" w:rsidRPr="00C6096E" w:rsidRDefault="00D44887" w:rsidP="002315D8">
            <w:pPr>
              <w:pStyle w:val="TableParagraph"/>
            </w:pPr>
            <w:r>
              <w:t>AP</w:t>
            </w:r>
          </w:p>
        </w:tc>
      </w:tr>
      <w:tr w:rsidR="00D44887" w:rsidRPr="00C6096E" w14:paraId="2F77388C" w14:textId="77777777" w:rsidTr="002315D8">
        <w:trPr>
          <w:trHeight w:val="510"/>
        </w:trPr>
        <w:tc>
          <w:tcPr>
            <w:tcW w:w="2410" w:type="dxa"/>
            <w:vMerge w:val="restart"/>
            <w:tcBorders>
              <w:right w:val="single" w:sz="6" w:space="0" w:color="000000"/>
            </w:tcBorders>
          </w:tcPr>
          <w:p w14:paraId="1A032EDA" w14:textId="77777777" w:rsidR="00D44887" w:rsidRDefault="00D44887" w:rsidP="002315D8">
            <w:pPr>
              <w:pStyle w:val="TableParagraph"/>
            </w:pPr>
            <w:r>
              <w:t>Systèmes de contrôle et de certification</w:t>
            </w:r>
          </w:p>
        </w:tc>
        <w:tc>
          <w:tcPr>
            <w:tcW w:w="2695" w:type="dxa"/>
            <w:tcBorders>
              <w:top w:val="single" w:sz="6" w:space="0" w:color="000000"/>
              <w:left w:val="single" w:sz="6" w:space="0" w:color="000000"/>
              <w:bottom w:val="single" w:sz="6" w:space="0" w:color="000000"/>
            </w:tcBorders>
          </w:tcPr>
          <w:p w14:paraId="0729339F" w14:textId="77777777" w:rsidR="00D44887" w:rsidRDefault="00D44887" w:rsidP="002315D8">
            <w:pPr>
              <w:pStyle w:val="TableParagraph"/>
              <w:rPr>
                <w:bCs/>
              </w:rPr>
            </w:pPr>
            <w:r>
              <w:t>Élaboration de systèmes de contrôle et de certification</w:t>
            </w:r>
          </w:p>
          <w:p w14:paraId="52AE06BE" w14:textId="77777777" w:rsidR="00D44887" w:rsidRPr="00C6096E" w:rsidRDefault="00D44887" w:rsidP="002315D8">
            <w:pPr>
              <w:pStyle w:val="TableParagraph"/>
            </w:pPr>
          </w:p>
        </w:tc>
        <w:tc>
          <w:tcPr>
            <w:tcW w:w="2865" w:type="dxa"/>
            <w:vMerge w:val="restart"/>
            <w:vAlign w:val="center"/>
          </w:tcPr>
          <w:p w14:paraId="794598C3" w14:textId="77777777" w:rsidR="00D44887" w:rsidRPr="00C6096E" w:rsidRDefault="00D44887" w:rsidP="002315D8">
            <w:pPr>
              <w:pStyle w:val="TableParagraph"/>
            </w:pPr>
            <w:r>
              <w:t>Aucun progrès</w:t>
            </w:r>
          </w:p>
          <w:p w14:paraId="7E0266B3" w14:textId="77777777" w:rsidR="00D44887" w:rsidRPr="00C6096E" w:rsidRDefault="00D44887" w:rsidP="002315D8">
            <w:pPr>
              <w:pStyle w:val="TableParagraph"/>
            </w:pPr>
          </w:p>
        </w:tc>
        <w:tc>
          <w:tcPr>
            <w:tcW w:w="1412" w:type="dxa"/>
            <w:vMerge w:val="restart"/>
            <w:vAlign w:val="center"/>
          </w:tcPr>
          <w:p w14:paraId="3D2AD697" w14:textId="77777777" w:rsidR="00D44887" w:rsidRPr="00C6096E" w:rsidRDefault="00D44887" w:rsidP="002315D8">
            <w:pPr>
              <w:pStyle w:val="TableParagraph"/>
            </w:pPr>
            <w:r>
              <w:t>AP</w:t>
            </w:r>
          </w:p>
        </w:tc>
      </w:tr>
      <w:tr w:rsidR="00D44887" w:rsidRPr="00C6096E" w14:paraId="02DB9132" w14:textId="77777777" w:rsidTr="002315D8">
        <w:trPr>
          <w:trHeight w:val="510"/>
        </w:trPr>
        <w:tc>
          <w:tcPr>
            <w:tcW w:w="2410" w:type="dxa"/>
            <w:vMerge/>
            <w:tcBorders>
              <w:right w:val="single" w:sz="6" w:space="0" w:color="000000"/>
            </w:tcBorders>
          </w:tcPr>
          <w:p w14:paraId="0BC11699" w14:textId="77777777" w:rsidR="00D44887" w:rsidRDefault="00D44887" w:rsidP="002315D8">
            <w:pPr>
              <w:pStyle w:val="TableParagraph"/>
            </w:pPr>
          </w:p>
        </w:tc>
        <w:tc>
          <w:tcPr>
            <w:tcW w:w="2695" w:type="dxa"/>
            <w:tcBorders>
              <w:top w:val="single" w:sz="6" w:space="0" w:color="000000"/>
              <w:left w:val="single" w:sz="6" w:space="0" w:color="000000"/>
              <w:bottom w:val="single" w:sz="6" w:space="0" w:color="000000"/>
            </w:tcBorders>
          </w:tcPr>
          <w:p w14:paraId="098CA6DB" w14:textId="77777777" w:rsidR="00D44887" w:rsidRDefault="00D44887" w:rsidP="002315D8">
            <w:pPr>
              <w:pStyle w:val="TableParagraph"/>
              <w:rPr>
                <w:bCs/>
              </w:rPr>
            </w:pPr>
            <w:r>
              <w:t>Mise en œuvre des systèmes de contrôle et de certification</w:t>
            </w:r>
          </w:p>
          <w:p w14:paraId="73E9C6AB" w14:textId="77777777" w:rsidR="00D44887" w:rsidRPr="00C6096E" w:rsidRDefault="00D44887" w:rsidP="002315D8">
            <w:pPr>
              <w:pStyle w:val="TableParagraph"/>
            </w:pPr>
          </w:p>
        </w:tc>
        <w:tc>
          <w:tcPr>
            <w:tcW w:w="2865" w:type="dxa"/>
            <w:vMerge/>
            <w:vAlign w:val="center"/>
          </w:tcPr>
          <w:p w14:paraId="6A778747" w14:textId="77777777" w:rsidR="00D44887" w:rsidRPr="00C6096E" w:rsidRDefault="00D44887" w:rsidP="002315D8">
            <w:pPr>
              <w:pStyle w:val="TableParagraph"/>
            </w:pPr>
          </w:p>
        </w:tc>
        <w:tc>
          <w:tcPr>
            <w:tcW w:w="1412" w:type="dxa"/>
            <w:vMerge/>
            <w:vAlign w:val="center"/>
          </w:tcPr>
          <w:p w14:paraId="068DA40F" w14:textId="77777777" w:rsidR="00D44887" w:rsidRPr="00C6096E" w:rsidRDefault="00D44887" w:rsidP="002315D8">
            <w:pPr>
              <w:pStyle w:val="TableParagraph"/>
            </w:pPr>
          </w:p>
        </w:tc>
      </w:tr>
      <w:tr w:rsidR="00D44887" w:rsidRPr="00C6096E" w14:paraId="18A6A8AC" w14:textId="77777777" w:rsidTr="002315D8">
        <w:trPr>
          <w:trHeight w:val="510"/>
        </w:trPr>
        <w:tc>
          <w:tcPr>
            <w:tcW w:w="2410" w:type="dxa"/>
            <w:vMerge w:val="restart"/>
            <w:tcBorders>
              <w:right w:val="single" w:sz="6" w:space="0" w:color="000000"/>
            </w:tcBorders>
          </w:tcPr>
          <w:p w14:paraId="3C5DD20D" w14:textId="77777777" w:rsidR="00D44887" w:rsidRDefault="00D44887" w:rsidP="002315D8">
            <w:pPr>
              <w:pStyle w:val="TableParagraph"/>
            </w:pPr>
            <w:r>
              <w:t>Stratégie de marque et de commercialisation</w:t>
            </w:r>
          </w:p>
        </w:tc>
        <w:tc>
          <w:tcPr>
            <w:tcW w:w="2695" w:type="dxa"/>
            <w:tcBorders>
              <w:top w:val="single" w:sz="6" w:space="0" w:color="000000"/>
              <w:left w:val="single" w:sz="6" w:space="0" w:color="000000"/>
              <w:bottom w:val="single" w:sz="6" w:space="0" w:color="000000"/>
            </w:tcBorders>
          </w:tcPr>
          <w:p w14:paraId="765020FA" w14:textId="77777777" w:rsidR="00D44887" w:rsidRPr="00C6096E" w:rsidRDefault="00D44887" w:rsidP="002315D8">
            <w:pPr>
              <w:pStyle w:val="TableParagraph"/>
            </w:pPr>
            <w:r>
              <w:t>Élaboration et mise en œuvre d’une stratégie de marque et de commercialisation</w:t>
            </w:r>
          </w:p>
        </w:tc>
        <w:tc>
          <w:tcPr>
            <w:tcW w:w="2865" w:type="dxa"/>
            <w:vMerge w:val="restart"/>
            <w:vAlign w:val="center"/>
          </w:tcPr>
          <w:p w14:paraId="7B0E0902" w14:textId="77777777" w:rsidR="00D44887" w:rsidRPr="00C6096E" w:rsidRDefault="00D44887" w:rsidP="002315D8">
            <w:pPr>
              <w:pStyle w:val="TableParagraph"/>
            </w:pPr>
            <w:r>
              <w:t>Aucun progrès</w:t>
            </w:r>
          </w:p>
          <w:p w14:paraId="647C8B09" w14:textId="77777777" w:rsidR="00D44887" w:rsidRPr="00C6096E" w:rsidRDefault="00D44887" w:rsidP="002315D8">
            <w:pPr>
              <w:pStyle w:val="TableParagraph"/>
            </w:pPr>
          </w:p>
        </w:tc>
        <w:tc>
          <w:tcPr>
            <w:tcW w:w="1412" w:type="dxa"/>
            <w:vMerge w:val="restart"/>
            <w:vAlign w:val="center"/>
          </w:tcPr>
          <w:p w14:paraId="18EEB51C" w14:textId="77777777" w:rsidR="00D44887" w:rsidRPr="00C6096E" w:rsidRDefault="00D44887" w:rsidP="002315D8">
            <w:pPr>
              <w:pStyle w:val="TableParagraph"/>
            </w:pPr>
            <w:r>
              <w:t>AP</w:t>
            </w:r>
          </w:p>
        </w:tc>
      </w:tr>
      <w:tr w:rsidR="00D44887" w:rsidRPr="00C6096E" w14:paraId="1FA6131B" w14:textId="77777777" w:rsidTr="002315D8">
        <w:trPr>
          <w:trHeight w:val="510"/>
        </w:trPr>
        <w:tc>
          <w:tcPr>
            <w:tcW w:w="2410" w:type="dxa"/>
            <w:vMerge/>
            <w:tcBorders>
              <w:right w:val="single" w:sz="6" w:space="0" w:color="000000"/>
            </w:tcBorders>
          </w:tcPr>
          <w:p w14:paraId="4CA19C7C" w14:textId="77777777" w:rsidR="00D44887" w:rsidRDefault="00D44887" w:rsidP="002315D8">
            <w:pPr>
              <w:pStyle w:val="TableParagraph"/>
            </w:pPr>
          </w:p>
        </w:tc>
        <w:tc>
          <w:tcPr>
            <w:tcW w:w="2695" w:type="dxa"/>
            <w:tcBorders>
              <w:top w:val="single" w:sz="6" w:space="0" w:color="000000"/>
              <w:left w:val="single" w:sz="6" w:space="0" w:color="000000"/>
              <w:bottom w:val="single" w:sz="6" w:space="0" w:color="000000"/>
            </w:tcBorders>
          </w:tcPr>
          <w:p w14:paraId="6EFD1E41" w14:textId="77777777" w:rsidR="00D44887" w:rsidRPr="00C6096E" w:rsidRDefault="00D44887" w:rsidP="002315D8">
            <w:pPr>
              <w:pStyle w:val="TableParagraph"/>
            </w:pPr>
            <w:r>
              <w:t>Mise en œuvre d’une stratégie de marque et de commercialisation</w:t>
            </w:r>
          </w:p>
        </w:tc>
        <w:tc>
          <w:tcPr>
            <w:tcW w:w="2865" w:type="dxa"/>
            <w:vMerge/>
            <w:vAlign w:val="center"/>
          </w:tcPr>
          <w:p w14:paraId="7F7EA250" w14:textId="77777777" w:rsidR="00D44887" w:rsidRPr="00C6096E" w:rsidRDefault="00D44887" w:rsidP="002315D8">
            <w:pPr>
              <w:pStyle w:val="TableParagraph"/>
            </w:pPr>
          </w:p>
        </w:tc>
        <w:tc>
          <w:tcPr>
            <w:tcW w:w="1412" w:type="dxa"/>
            <w:vMerge/>
            <w:vAlign w:val="center"/>
          </w:tcPr>
          <w:p w14:paraId="3825DD43" w14:textId="77777777" w:rsidR="00D44887" w:rsidRPr="00C6096E" w:rsidRDefault="00D44887" w:rsidP="002315D8">
            <w:pPr>
              <w:pStyle w:val="TableParagraph"/>
            </w:pPr>
          </w:p>
        </w:tc>
      </w:tr>
      <w:tr w:rsidR="00D44887" w:rsidRPr="00C6096E" w14:paraId="263402F1" w14:textId="77777777" w:rsidTr="002315D8">
        <w:trPr>
          <w:trHeight w:val="510"/>
        </w:trPr>
        <w:tc>
          <w:tcPr>
            <w:tcW w:w="2410" w:type="dxa"/>
            <w:vMerge w:val="restart"/>
            <w:tcBorders>
              <w:right w:val="single" w:sz="6" w:space="0" w:color="000000"/>
            </w:tcBorders>
          </w:tcPr>
          <w:p w14:paraId="4137BC63" w14:textId="77777777" w:rsidR="00D44887" w:rsidRDefault="00D44887" w:rsidP="002315D8">
            <w:pPr>
              <w:pStyle w:val="TableParagraph"/>
            </w:pPr>
            <w:r>
              <w:t>Sensibilisation</w:t>
            </w:r>
          </w:p>
        </w:tc>
        <w:tc>
          <w:tcPr>
            <w:tcW w:w="2695" w:type="dxa"/>
            <w:tcBorders>
              <w:top w:val="single" w:sz="6" w:space="0" w:color="000000"/>
              <w:left w:val="single" w:sz="6" w:space="0" w:color="000000"/>
              <w:bottom w:val="single" w:sz="6" w:space="0" w:color="000000"/>
            </w:tcBorders>
          </w:tcPr>
          <w:p w14:paraId="12430A0B" w14:textId="77777777" w:rsidR="00D44887" w:rsidRPr="00C6096E" w:rsidRDefault="00D44887" w:rsidP="002315D8">
            <w:pPr>
              <w:pStyle w:val="TableParagraph"/>
            </w:pPr>
            <w:r>
              <w:t>Organisation d’activités de sensibilisation</w:t>
            </w:r>
          </w:p>
        </w:tc>
        <w:tc>
          <w:tcPr>
            <w:tcW w:w="2865" w:type="dxa"/>
            <w:vMerge w:val="restart"/>
            <w:vAlign w:val="center"/>
          </w:tcPr>
          <w:p w14:paraId="30E506F0" w14:textId="77777777" w:rsidR="00D44887" w:rsidRPr="00C6096E" w:rsidRDefault="00D44887" w:rsidP="002315D8">
            <w:pPr>
              <w:pStyle w:val="TableParagraph"/>
            </w:pPr>
            <w:r>
              <w:t>Aucun progrès</w:t>
            </w:r>
          </w:p>
          <w:p w14:paraId="5D47EED7" w14:textId="77777777" w:rsidR="00D44887" w:rsidRPr="00C6096E" w:rsidRDefault="00D44887" w:rsidP="002315D8">
            <w:pPr>
              <w:pStyle w:val="TableParagraph"/>
            </w:pPr>
          </w:p>
        </w:tc>
        <w:tc>
          <w:tcPr>
            <w:tcW w:w="1412" w:type="dxa"/>
            <w:vMerge w:val="restart"/>
            <w:vAlign w:val="center"/>
          </w:tcPr>
          <w:p w14:paraId="2BA29D27" w14:textId="77777777" w:rsidR="00D44887" w:rsidRPr="00C6096E" w:rsidRDefault="00D44887" w:rsidP="002315D8">
            <w:pPr>
              <w:pStyle w:val="TableParagraph"/>
            </w:pPr>
          </w:p>
          <w:p w14:paraId="18739BFD" w14:textId="77777777" w:rsidR="00D44887" w:rsidRPr="00C6096E" w:rsidRDefault="00D44887" w:rsidP="002315D8">
            <w:pPr>
              <w:pStyle w:val="TableParagraph"/>
            </w:pPr>
            <w:r>
              <w:t>AP</w:t>
            </w:r>
          </w:p>
        </w:tc>
      </w:tr>
      <w:tr w:rsidR="00D44887" w:rsidRPr="00C6096E" w14:paraId="4B8D2B7F" w14:textId="77777777" w:rsidTr="002315D8">
        <w:trPr>
          <w:trHeight w:val="510"/>
        </w:trPr>
        <w:tc>
          <w:tcPr>
            <w:tcW w:w="2410" w:type="dxa"/>
            <w:vMerge/>
            <w:tcBorders>
              <w:right w:val="single" w:sz="6" w:space="0" w:color="000000"/>
            </w:tcBorders>
          </w:tcPr>
          <w:p w14:paraId="34619CB6" w14:textId="77777777" w:rsidR="00D44887" w:rsidRDefault="00D44887" w:rsidP="002315D8">
            <w:pPr>
              <w:pStyle w:val="TableParagraph"/>
              <w:rPr>
                <w:bCs/>
              </w:rPr>
            </w:pPr>
          </w:p>
        </w:tc>
        <w:tc>
          <w:tcPr>
            <w:tcW w:w="2695" w:type="dxa"/>
            <w:tcBorders>
              <w:top w:val="single" w:sz="6" w:space="0" w:color="000000"/>
              <w:left w:val="single" w:sz="6" w:space="0" w:color="000000"/>
              <w:bottom w:val="single" w:sz="6" w:space="0" w:color="000000"/>
            </w:tcBorders>
          </w:tcPr>
          <w:p w14:paraId="1FC5BEB2" w14:textId="77777777" w:rsidR="00D44887" w:rsidRDefault="00D44887" w:rsidP="002315D8">
            <w:pPr>
              <w:pStyle w:val="TableParagraph"/>
              <w:rPr>
                <w:bCs/>
              </w:rPr>
            </w:pPr>
            <w:r>
              <w:t>Production de matériel de sensibilisation</w:t>
            </w:r>
          </w:p>
        </w:tc>
        <w:tc>
          <w:tcPr>
            <w:tcW w:w="2865" w:type="dxa"/>
            <w:vMerge/>
          </w:tcPr>
          <w:p w14:paraId="00317E92" w14:textId="77777777" w:rsidR="00D44887" w:rsidRPr="00CC22BA" w:rsidRDefault="00D44887" w:rsidP="002315D8">
            <w:pPr>
              <w:pStyle w:val="TableParagraph"/>
              <w:rPr>
                <w:bCs/>
              </w:rPr>
            </w:pPr>
          </w:p>
        </w:tc>
        <w:tc>
          <w:tcPr>
            <w:tcW w:w="1412" w:type="dxa"/>
            <w:vMerge/>
          </w:tcPr>
          <w:p w14:paraId="05D15A98" w14:textId="77777777" w:rsidR="00D44887" w:rsidRDefault="00D44887" w:rsidP="002315D8">
            <w:pPr>
              <w:pStyle w:val="TableParagraph"/>
            </w:pPr>
          </w:p>
        </w:tc>
      </w:tr>
    </w:tbl>
    <w:p w14:paraId="01CA8AC8" w14:textId="77777777" w:rsidR="00D44887" w:rsidRDefault="00D44887" w:rsidP="00D44887">
      <w:pPr>
        <w:pStyle w:val="BodyText"/>
        <w:sectPr w:rsidR="00D44887" w:rsidSect="00CF07C0">
          <w:headerReference w:type="default" r:id="rId95"/>
          <w:headerReference w:type="first" r:id="rId96"/>
          <w:pgSz w:w="11907" w:h="16840" w:code="9"/>
          <w:pgMar w:top="1418" w:right="1418" w:bottom="1418" w:left="1418" w:header="709" w:footer="709" w:gutter="0"/>
          <w:pgNumType w:start="1"/>
          <w:cols w:space="720"/>
          <w:titlePg/>
          <w:docGrid w:linePitch="299"/>
        </w:sectPr>
      </w:pPr>
    </w:p>
    <w:p w14:paraId="523ACD9B" w14:textId="77777777" w:rsidR="00D44887" w:rsidRDefault="00D44887" w:rsidP="00D44887">
      <w:pPr>
        <w:pStyle w:val="BodyText"/>
      </w:pPr>
      <w:r>
        <w:lastRenderedPageBreak/>
        <w:t>CALENDRIER DE MISE EN ŒUVRE ACTUALISÉ</w:t>
      </w:r>
    </w:p>
    <w:tbl>
      <w:tblPr>
        <w:tblpPr w:leftFromText="180" w:rightFromText="180" w:vertAnchor="text" w:tblpY="1"/>
        <w:tblOverlap w:val="never"/>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15"/>
        <w:gridCol w:w="633"/>
        <w:gridCol w:w="567"/>
        <w:gridCol w:w="708"/>
        <w:gridCol w:w="612"/>
        <w:gridCol w:w="664"/>
        <w:gridCol w:w="567"/>
        <w:gridCol w:w="709"/>
        <w:gridCol w:w="567"/>
        <w:gridCol w:w="567"/>
        <w:gridCol w:w="709"/>
        <w:gridCol w:w="708"/>
        <w:gridCol w:w="709"/>
      </w:tblGrid>
      <w:tr w:rsidR="00D44887" w:rsidRPr="00AA75DF" w14:paraId="4CC01924" w14:textId="77777777" w:rsidTr="002315D8">
        <w:trPr>
          <w:trHeight w:val="277"/>
          <w:tblHeader/>
        </w:trPr>
        <w:tc>
          <w:tcPr>
            <w:tcW w:w="6015" w:type="dxa"/>
            <w:tcBorders>
              <w:bottom w:val="single" w:sz="12" w:space="0" w:color="auto"/>
              <w:right w:val="single" w:sz="12" w:space="0" w:color="auto"/>
            </w:tcBorders>
            <w:shd w:val="clear" w:color="auto" w:fill="auto"/>
          </w:tcPr>
          <w:p w14:paraId="34EEA0EF" w14:textId="77777777" w:rsidR="00D44887" w:rsidRPr="00AA75DF" w:rsidRDefault="00D44887" w:rsidP="002315D8">
            <w:pPr>
              <w:pStyle w:val="BodyText"/>
            </w:pPr>
            <w:r>
              <w:t xml:space="preserve">Résultats attendus </w:t>
            </w:r>
          </w:p>
        </w:tc>
        <w:tc>
          <w:tcPr>
            <w:tcW w:w="7720" w:type="dxa"/>
            <w:gridSpan w:val="12"/>
            <w:tcBorders>
              <w:left w:val="single" w:sz="12" w:space="0" w:color="auto"/>
              <w:bottom w:val="single" w:sz="12" w:space="0" w:color="auto"/>
            </w:tcBorders>
          </w:tcPr>
          <w:p w14:paraId="41A0B156" w14:textId="77777777" w:rsidR="00D44887" w:rsidRPr="00AA75DF" w:rsidRDefault="00D44887" w:rsidP="002315D8">
            <w:pPr>
              <w:pStyle w:val="BodyText"/>
            </w:pPr>
            <w:r>
              <w:t>Trimestres</w:t>
            </w:r>
          </w:p>
        </w:tc>
      </w:tr>
      <w:tr w:rsidR="00D44887" w:rsidRPr="00AA75DF" w14:paraId="370E3C9D" w14:textId="77777777" w:rsidTr="002315D8">
        <w:trPr>
          <w:trHeight w:val="283"/>
          <w:tblHeader/>
        </w:trPr>
        <w:tc>
          <w:tcPr>
            <w:tcW w:w="6015" w:type="dxa"/>
            <w:tcBorders>
              <w:top w:val="single" w:sz="12" w:space="0" w:color="auto"/>
              <w:bottom w:val="single" w:sz="12" w:space="0" w:color="auto"/>
              <w:right w:val="single" w:sz="12" w:space="0" w:color="auto"/>
            </w:tcBorders>
            <w:shd w:val="clear" w:color="auto" w:fill="auto"/>
          </w:tcPr>
          <w:p w14:paraId="00915F4F" w14:textId="77777777" w:rsidR="00D44887" w:rsidRPr="00AA75DF" w:rsidRDefault="00D44887" w:rsidP="002315D8">
            <w:pPr>
              <w:pStyle w:val="BodyText"/>
              <w:rPr>
                <w:lang w:val="en-GB"/>
              </w:rPr>
            </w:pPr>
          </w:p>
        </w:tc>
        <w:tc>
          <w:tcPr>
            <w:tcW w:w="633" w:type="dxa"/>
            <w:tcBorders>
              <w:top w:val="single" w:sz="12" w:space="0" w:color="auto"/>
              <w:left w:val="single" w:sz="12" w:space="0" w:color="auto"/>
              <w:bottom w:val="single" w:sz="12" w:space="0" w:color="auto"/>
              <w:right w:val="single" w:sz="12" w:space="0" w:color="auto"/>
            </w:tcBorders>
            <w:shd w:val="clear" w:color="auto" w:fill="68E089"/>
          </w:tcPr>
          <w:p w14:paraId="64021C62" w14:textId="77777777" w:rsidR="00D44887" w:rsidRPr="00AA75DF" w:rsidRDefault="00D44887" w:rsidP="002315D8">
            <w:pPr>
              <w:pStyle w:val="BodyText"/>
            </w:pPr>
            <w:r>
              <w:t>2022</w:t>
            </w:r>
          </w:p>
        </w:tc>
        <w:tc>
          <w:tcPr>
            <w:tcW w:w="2551"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007CEC5" w14:textId="77777777" w:rsidR="00D44887" w:rsidRPr="00AA75DF" w:rsidRDefault="00D44887" w:rsidP="002315D8">
            <w:pPr>
              <w:pStyle w:val="BodyText"/>
            </w:pPr>
            <w:r>
              <w:t>2023</w:t>
            </w:r>
          </w:p>
        </w:tc>
        <w:tc>
          <w:tcPr>
            <w:tcW w:w="2410" w:type="dxa"/>
            <w:gridSpan w:val="4"/>
            <w:tcBorders>
              <w:left w:val="single" w:sz="12" w:space="0" w:color="auto"/>
              <w:bottom w:val="single" w:sz="12" w:space="0" w:color="auto"/>
              <w:right w:val="single" w:sz="12" w:space="0" w:color="auto"/>
            </w:tcBorders>
            <w:shd w:val="clear" w:color="auto" w:fill="68E089"/>
          </w:tcPr>
          <w:p w14:paraId="0694217A" w14:textId="77777777" w:rsidR="00D44887" w:rsidRPr="00AA75DF" w:rsidRDefault="00D44887" w:rsidP="002315D8">
            <w:pPr>
              <w:pStyle w:val="BodyText"/>
            </w:pPr>
            <w:r>
              <w:t>2024</w:t>
            </w:r>
          </w:p>
        </w:tc>
        <w:tc>
          <w:tcPr>
            <w:tcW w:w="2126" w:type="dxa"/>
            <w:gridSpan w:val="3"/>
            <w:tcBorders>
              <w:left w:val="single" w:sz="12" w:space="0" w:color="auto"/>
              <w:bottom w:val="single" w:sz="12" w:space="0" w:color="auto"/>
            </w:tcBorders>
            <w:shd w:val="clear" w:color="auto" w:fill="FFFFFF" w:themeFill="background1"/>
          </w:tcPr>
          <w:p w14:paraId="7BD50ADA" w14:textId="77777777" w:rsidR="00D44887" w:rsidRPr="00AA75DF" w:rsidRDefault="00D44887" w:rsidP="002315D8">
            <w:pPr>
              <w:pStyle w:val="BodyText"/>
            </w:pPr>
            <w:r>
              <w:t>2025</w:t>
            </w:r>
          </w:p>
        </w:tc>
      </w:tr>
      <w:tr w:rsidR="00D44887" w:rsidRPr="00AA75DF" w14:paraId="403409C7" w14:textId="77777777" w:rsidTr="002315D8">
        <w:trPr>
          <w:trHeight w:val="283"/>
          <w:tblHeader/>
        </w:trPr>
        <w:tc>
          <w:tcPr>
            <w:tcW w:w="6015" w:type="dxa"/>
            <w:tcBorders>
              <w:top w:val="single" w:sz="12" w:space="0" w:color="auto"/>
              <w:bottom w:val="single" w:sz="12" w:space="0" w:color="auto"/>
              <w:right w:val="single" w:sz="12" w:space="0" w:color="auto"/>
            </w:tcBorders>
            <w:shd w:val="clear" w:color="auto" w:fill="auto"/>
          </w:tcPr>
          <w:p w14:paraId="383830C5" w14:textId="77777777" w:rsidR="00D44887" w:rsidRPr="00AA75DF" w:rsidRDefault="00D44887" w:rsidP="002315D8">
            <w:pPr>
              <w:pStyle w:val="BodyText"/>
              <w:rPr>
                <w:lang w:val="en-GB"/>
              </w:rPr>
            </w:pPr>
          </w:p>
        </w:tc>
        <w:tc>
          <w:tcPr>
            <w:tcW w:w="633" w:type="dxa"/>
            <w:tcBorders>
              <w:top w:val="single" w:sz="12" w:space="0" w:color="auto"/>
              <w:left w:val="single" w:sz="12" w:space="0" w:color="auto"/>
              <w:bottom w:val="single" w:sz="12" w:space="0" w:color="auto"/>
              <w:right w:val="single" w:sz="12" w:space="0" w:color="auto"/>
            </w:tcBorders>
            <w:shd w:val="clear" w:color="auto" w:fill="68E089"/>
          </w:tcPr>
          <w:p w14:paraId="5EB3D852" w14:textId="77777777" w:rsidR="00D44887" w:rsidRPr="00AA75DF" w:rsidRDefault="00D44887" w:rsidP="002315D8">
            <w:pPr>
              <w:pStyle w:val="BodyText"/>
            </w:pPr>
            <w:r>
              <w:t>4</w:t>
            </w:r>
            <w:r>
              <w:rPr>
                <w:vertAlign w:val="superscript"/>
              </w:rPr>
              <w:t>e</w:t>
            </w:r>
          </w:p>
        </w:tc>
        <w:tc>
          <w:tcPr>
            <w:tcW w:w="567" w:type="dxa"/>
            <w:tcBorders>
              <w:top w:val="single" w:sz="12" w:space="0" w:color="auto"/>
              <w:left w:val="single" w:sz="12" w:space="0" w:color="auto"/>
              <w:bottom w:val="single" w:sz="12" w:space="0" w:color="auto"/>
            </w:tcBorders>
            <w:shd w:val="clear" w:color="auto" w:fill="FFFFFF" w:themeFill="background1"/>
          </w:tcPr>
          <w:p w14:paraId="347EAB10" w14:textId="77777777" w:rsidR="00D44887" w:rsidRPr="00AA75DF" w:rsidRDefault="00D44887" w:rsidP="002315D8">
            <w:pPr>
              <w:pStyle w:val="BodyText"/>
            </w:pPr>
            <w:r>
              <w:t>1</w:t>
            </w:r>
            <w:r>
              <w:rPr>
                <w:vertAlign w:val="superscript"/>
              </w:rPr>
              <w:t>er</w:t>
            </w:r>
          </w:p>
        </w:tc>
        <w:tc>
          <w:tcPr>
            <w:tcW w:w="708" w:type="dxa"/>
            <w:tcBorders>
              <w:top w:val="single" w:sz="12" w:space="0" w:color="auto"/>
              <w:bottom w:val="single" w:sz="12" w:space="0" w:color="auto"/>
            </w:tcBorders>
            <w:shd w:val="clear" w:color="auto" w:fill="FFFFFF" w:themeFill="background1"/>
          </w:tcPr>
          <w:p w14:paraId="7A756684" w14:textId="77777777" w:rsidR="00D44887" w:rsidRPr="00AA75DF" w:rsidRDefault="00D44887" w:rsidP="002315D8">
            <w:pPr>
              <w:pStyle w:val="BodyText"/>
            </w:pPr>
            <w:r>
              <w:t>2</w:t>
            </w:r>
            <w:r>
              <w:rPr>
                <w:vertAlign w:val="superscript"/>
              </w:rPr>
              <w:t>e</w:t>
            </w:r>
          </w:p>
        </w:tc>
        <w:tc>
          <w:tcPr>
            <w:tcW w:w="612" w:type="dxa"/>
            <w:tcBorders>
              <w:top w:val="single" w:sz="6" w:space="0" w:color="auto"/>
              <w:bottom w:val="single" w:sz="12" w:space="0" w:color="auto"/>
            </w:tcBorders>
            <w:shd w:val="clear" w:color="auto" w:fill="FFFFFF" w:themeFill="background1"/>
          </w:tcPr>
          <w:p w14:paraId="04EAD0C4" w14:textId="77777777" w:rsidR="00D44887" w:rsidRPr="00AA75DF" w:rsidRDefault="00D44887" w:rsidP="002315D8">
            <w:pPr>
              <w:pStyle w:val="BodyText"/>
            </w:pPr>
            <w:r>
              <w:t>3</w:t>
            </w:r>
            <w:r>
              <w:rPr>
                <w:vertAlign w:val="superscript"/>
              </w:rPr>
              <w:t>e</w:t>
            </w:r>
          </w:p>
        </w:tc>
        <w:tc>
          <w:tcPr>
            <w:tcW w:w="664" w:type="dxa"/>
            <w:tcBorders>
              <w:bottom w:val="single" w:sz="12" w:space="0" w:color="auto"/>
              <w:right w:val="single" w:sz="12" w:space="0" w:color="auto"/>
            </w:tcBorders>
            <w:shd w:val="clear" w:color="auto" w:fill="auto"/>
          </w:tcPr>
          <w:p w14:paraId="3F579797" w14:textId="77777777" w:rsidR="00D44887" w:rsidRPr="00AA75DF" w:rsidRDefault="00D44887" w:rsidP="002315D8">
            <w:pPr>
              <w:pStyle w:val="BodyText"/>
            </w:pPr>
            <w:r>
              <w:t>4</w:t>
            </w:r>
            <w:r>
              <w:rPr>
                <w:vertAlign w:val="superscript"/>
              </w:rPr>
              <w:t>e</w:t>
            </w:r>
          </w:p>
        </w:tc>
        <w:tc>
          <w:tcPr>
            <w:tcW w:w="567" w:type="dxa"/>
            <w:tcBorders>
              <w:left w:val="single" w:sz="12" w:space="0" w:color="auto"/>
              <w:bottom w:val="single" w:sz="12" w:space="0" w:color="auto"/>
            </w:tcBorders>
            <w:shd w:val="clear" w:color="auto" w:fill="68E089"/>
          </w:tcPr>
          <w:p w14:paraId="1E5F5206" w14:textId="77777777" w:rsidR="00D44887" w:rsidRPr="00AA75DF" w:rsidRDefault="00D44887" w:rsidP="002315D8">
            <w:pPr>
              <w:pStyle w:val="BodyText"/>
            </w:pPr>
            <w:r>
              <w:t>1</w:t>
            </w:r>
            <w:r>
              <w:rPr>
                <w:vertAlign w:val="superscript"/>
              </w:rPr>
              <w:t>er</w:t>
            </w:r>
          </w:p>
        </w:tc>
        <w:tc>
          <w:tcPr>
            <w:tcW w:w="709" w:type="dxa"/>
            <w:tcBorders>
              <w:bottom w:val="single" w:sz="12" w:space="0" w:color="auto"/>
            </w:tcBorders>
            <w:shd w:val="clear" w:color="auto" w:fill="68E089"/>
          </w:tcPr>
          <w:p w14:paraId="49DA85AC" w14:textId="77777777" w:rsidR="00D44887" w:rsidRPr="00AA75DF" w:rsidRDefault="00D44887" w:rsidP="002315D8">
            <w:pPr>
              <w:pStyle w:val="BodyText"/>
            </w:pPr>
            <w:r>
              <w:t>2</w:t>
            </w:r>
            <w:r>
              <w:rPr>
                <w:vertAlign w:val="superscript"/>
              </w:rPr>
              <w:t>e</w:t>
            </w:r>
          </w:p>
        </w:tc>
        <w:tc>
          <w:tcPr>
            <w:tcW w:w="567" w:type="dxa"/>
            <w:tcBorders>
              <w:bottom w:val="single" w:sz="12" w:space="0" w:color="auto"/>
            </w:tcBorders>
            <w:shd w:val="clear" w:color="auto" w:fill="68E089"/>
          </w:tcPr>
          <w:p w14:paraId="5F46FAFD" w14:textId="77777777" w:rsidR="00D44887" w:rsidRPr="00AA75DF" w:rsidRDefault="00D44887" w:rsidP="002315D8">
            <w:pPr>
              <w:pStyle w:val="BodyText"/>
            </w:pPr>
            <w:r>
              <w:t>3</w:t>
            </w:r>
            <w:r>
              <w:rPr>
                <w:vertAlign w:val="superscript"/>
              </w:rPr>
              <w:t>e</w:t>
            </w:r>
          </w:p>
        </w:tc>
        <w:tc>
          <w:tcPr>
            <w:tcW w:w="567" w:type="dxa"/>
            <w:tcBorders>
              <w:bottom w:val="single" w:sz="12" w:space="0" w:color="auto"/>
              <w:right w:val="single" w:sz="12" w:space="0" w:color="auto"/>
            </w:tcBorders>
            <w:shd w:val="clear" w:color="auto" w:fill="68E089"/>
          </w:tcPr>
          <w:p w14:paraId="41179E24" w14:textId="77777777" w:rsidR="00D44887" w:rsidRPr="00AA75DF" w:rsidRDefault="00D44887" w:rsidP="002315D8">
            <w:pPr>
              <w:pStyle w:val="BodyText"/>
            </w:pPr>
            <w:r>
              <w:t>4</w:t>
            </w:r>
            <w:r>
              <w:rPr>
                <w:vertAlign w:val="superscript"/>
              </w:rPr>
              <w:t>e</w:t>
            </w:r>
          </w:p>
        </w:tc>
        <w:tc>
          <w:tcPr>
            <w:tcW w:w="709" w:type="dxa"/>
            <w:tcBorders>
              <w:left w:val="single" w:sz="12" w:space="0" w:color="auto"/>
              <w:bottom w:val="single" w:sz="12" w:space="0" w:color="auto"/>
            </w:tcBorders>
            <w:shd w:val="clear" w:color="auto" w:fill="FFFFFF" w:themeFill="background1"/>
          </w:tcPr>
          <w:p w14:paraId="421AA9F0" w14:textId="77777777" w:rsidR="00D44887" w:rsidRPr="00AA75DF" w:rsidRDefault="00D44887" w:rsidP="002315D8">
            <w:pPr>
              <w:pStyle w:val="BodyText"/>
            </w:pPr>
            <w:r>
              <w:t>1</w:t>
            </w:r>
            <w:r>
              <w:rPr>
                <w:vertAlign w:val="superscript"/>
              </w:rPr>
              <w:t>er</w:t>
            </w:r>
          </w:p>
        </w:tc>
        <w:tc>
          <w:tcPr>
            <w:tcW w:w="708" w:type="dxa"/>
            <w:tcBorders>
              <w:bottom w:val="single" w:sz="12" w:space="0" w:color="auto"/>
            </w:tcBorders>
            <w:shd w:val="clear" w:color="auto" w:fill="FFFFFF" w:themeFill="background1"/>
          </w:tcPr>
          <w:p w14:paraId="13F63462" w14:textId="77777777" w:rsidR="00D44887" w:rsidRPr="00AA75DF" w:rsidRDefault="00D44887" w:rsidP="002315D8">
            <w:pPr>
              <w:pStyle w:val="BodyText"/>
            </w:pPr>
            <w:r>
              <w:t>2</w:t>
            </w:r>
            <w:r>
              <w:rPr>
                <w:vertAlign w:val="superscript"/>
              </w:rPr>
              <w:t>e</w:t>
            </w:r>
          </w:p>
        </w:tc>
        <w:tc>
          <w:tcPr>
            <w:tcW w:w="709" w:type="dxa"/>
            <w:tcBorders>
              <w:bottom w:val="single" w:sz="12" w:space="0" w:color="auto"/>
            </w:tcBorders>
            <w:shd w:val="clear" w:color="auto" w:fill="FFFFFF" w:themeFill="background1"/>
          </w:tcPr>
          <w:p w14:paraId="67443F0F" w14:textId="77777777" w:rsidR="00D44887" w:rsidRPr="00AA75DF" w:rsidRDefault="00D44887" w:rsidP="002315D8">
            <w:pPr>
              <w:pStyle w:val="BodyText"/>
            </w:pPr>
            <w:r>
              <w:t>3</w:t>
            </w:r>
            <w:r>
              <w:rPr>
                <w:vertAlign w:val="superscript"/>
              </w:rPr>
              <w:t>e</w:t>
            </w:r>
          </w:p>
        </w:tc>
      </w:tr>
      <w:tr w:rsidR="00D44887" w:rsidRPr="00AA75DF" w14:paraId="3657D144" w14:textId="77777777" w:rsidTr="002315D8">
        <w:trPr>
          <w:trHeight w:val="283"/>
        </w:trPr>
        <w:tc>
          <w:tcPr>
            <w:tcW w:w="6015" w:type="dxa"/>
            <w:tcBorders>
              <w:top w:val="single" w:sz="12" w:space="0" w:color="auto"/>
              <w:right w:val="single" w:sz="12" w:space="0" w:color="auto"/>
            </w:tcBorders>
            <w:shd w:val="clear" w:color="auto" w:fill="auto"/>
          </w:tcPr>
          <w:p w14:paraId="2767DD47" w14:textId="77777777" w:rsidR="00D44887" w:rsidRPr="00AA75DF" w:rsidRDefault="00D44887" w:rsidP="002315D8">
            <w:pPr>
              <w:pStyle w:val="BodyText"/>
            </w:pPr>
            <w:r>
              <w:t>Activités préalables à la mise en œuvre du projet :</w:t>
            </w:r>
          </w:p>
          <w:p w14:paraId="56A0B94B" w14:textId="77777777" w:rsidR="00D44887" w:rsidRPr="00AA75DF" w:rsidRDefault="00D44887" w:rsidP="002315D8">
            <w:pPr>
              <w:pStyle w:val="BodyText"/>
            </w:pPr>
            <w:r>
              <w:t>– Sélection des pays bénéficiaires</w:t>
            </w:r>
          </w:p>
          <w:p w14:paraId="6EF15D8A" w14:textId="77777777" w:rsidR="00D44887" w:rsidRPr="00AA75DF" w:rsidRDefault="00D44887" w:rsidP="002315D8">
            <w:pPr>
              <w:pStyle w:val="BodyText"/>
            </w:pPr>
            <w:r>
              <w:t>– Désignation des coordonnateurs nationaux</w:t>
            </w:r>
          </w:p>
        </w:tc>
        <w:tc>
          <w:tcPr>
            <w:tcW w:w="633" w:type="dxa"/>
            <w:tcBorders>
              <w:top w:val="single" w:sz="12" w:space="0" w:color="auto"/>
              <w:left w:val="single" w:sz="12" w:space="0" w:color="auto"/>
              <w:bottom w:val="single" w:sz="6" w:space="0" w:color="auto"/>
              <w:right w:val="single" w:sz="12" w:space="0" w:color="auto"/>
            </w:tcBorders>
            <w:shd w:val="clear" w:color="auto" w:fill="68E089"/>
          </w:tcPr>
          <w:p w14:paraId="3C9E7B88" w14:textId="77777777" w:rsidR="00D44887" w:rsidRPr="000313D1" w:rsidRDefault="00D44887" w:rsidP="002315D8">
            <w:pPr>
              <w:pStyle w:val="BodyText"/>
            </w:pPr>
          </w:p>
        </w:tc>
        <w:tc>
          <w:tcPr>
            <w:tcW w:w="567" w:type="dxa"/>
            <w:tcBorders>
              <w:top w:val="single" w:sz="12" w:space="0" w:color="auto"/>
              <w:left w:val="single" w:sz="12" w:space="0" w:color="auto"/>
              <w:bottom w:val="single" w:sz="6" w:space="0" w:color="auto"/>
            </w:tcBorders>
            <w:shd w:val="clear" w:color="auto" w:fill="FFFFFF" w:themeFill="background1"/>
          </w:tcPr>
          <w:p w14:paraId="26F5E8C0" w14:textId="77777777" w:rsidR="00D44887" w:rsidRPr="000313D1" w:rsidRDefault="00D44887" w:rsidP="002315D8">
            <w:pPr>
              <w:pStyle w:val="BodyText"/>
            </w:pPr>
          </w:p>
        </w:tc>
        <w:tc>
          <w:tcPr>
            <w:tcW w:w="708" w:type="dxa"/>
            <w:tcBorders>
              <w:top w:val="single" w:sz="12" w:space="0" w:color="auto"/>
              <w:bottom w:val="single" w:sz="6" w:space="0" w:color="auto"/>
            </w:tcBorders>
            <w:shd w:val="clear" w:color="auto" w:fill="FFFFFF" w:themeFill="background1"/>
          </w:tcPr>
          <w:p w14:paraId="42EEC725" w14:textId="77777777" w:rsidR="00D44887" w:rsidRPr="000313D1" w:rsidRDefault="00D44887" w:rsidP="002315D8">
            <w:pPr>
              <w:pStyle w:val="BodyText"/>
            </w:pPr>
          </w:p>
        </w:tc>
        <w:tc>
          <w:tcPr>
            <w:tcW w:w="612" w:type="dxa"/>
            <w:tcBorders>
              <w:top w:val="single" w:sz="12" w:space="0" w:color="auto"/>
              <w:bottom w:val="single" w:sz="6" w:space="0" w:color="auto"/>
            </w:tcBorders>
            <w:shd w:val="clear" w:color="auto" w:fill="FFFFFF" w:themeFill="background1"/>
          </w:tcPr>
          <w:p w14:paraId="5D5AB586" w14:textId="77777777" w:rsidR="00D44887" w:rsidRPr="000313D1" w:rsidRDefault="00D44887" w:rsidP="002315D8">
            <w:pPr>
              <w:pStyle w:val="BodyText"/>
            </w:pPr>
          </w:p>
        </w:tc>
        <w:tc>
          <w:tcPr>
            <w:tcW w:w="664" w:type="dxa"/>
            <w:tcBorders>
              <w:top w:val="single" w:sz="12" w:space="0" w:color="auto"/>
              <w:right w:val="single" w:sz="12" w:space="0" w:color="auto"/>
            </w:tcBorders>
            <w:shd w:val="clear" w:color="auto" w:fill="auto"/>
          </w:tcPr>
          <w:p w14:paraId="7BF2C2C6" w14:textId="77777777" w:rsidR="00D44887" w:rsidRPr="000313D1" w:rsidRDefault="00D44887" w:rsidP="002315D8">
            <w:pPr>
              <w:pStyle w:val="BodyText"/>
            </w:pPr>
          </w:p>
        </w:tc>
        <w:tc>
          <w:tcPr>
            <w:tcW w:w="567" w:type="dxa"/>
            <w:tcBorders>
              <w:top w:val="single" w:sz="12" w:space="0" w:color="auto"/>
              <w:left w:val="single" w:sz="12" w:space="0" w:color="auto"/>
            </w:tcBorders>
            <w:shd w:val="clear" w:color="auto" w:fill="68E089"/>
          </w:tcPr>
          <w:p w14:paraId="2B2711C1" w14:textId="77777777" w:rsidR="00D44887" w:rsidRPr="000313D1" w:rsidRDefault="00D44887" w:rsidP="002315D8">
            <w:pPr>
              <w:pStyle w:val="BodyText"/>
            </w:pPr>
          </w:p>
        </w:tc>
        <w:tc>
          <w:tcPr>
            <w:tcW w:w="709" w:type="dxa"/>
            <w:tcBorders>
              <w:top w:val="single" w:sz="12" w:space="0" w:color="auto"/>
            </w:tcBorders>
            <w:shd w:val="clear" w:color="auto" w:fill="68E089"/>
          </w:tcPr>
          <w:p w14:paraId="14E0DB47" w14:textId="77777777" w:rsidR="00D44887" w:rsidRPr="000313D1" w:rsidRDefault="00D44887" w:rsidP="002315D8">
            <w:pPr>
              <w:pStyle w:val="BodyText"/>
            </w:pPr>
          </w:p>
        </w:tc>
        <w:tc>
          <w:tcPr>
            <w:tcW w:w="567" w:type="dxa"/>
            <w:tcBorders>
              <w:top w:val="single" w:sz="12" w:space="0" w:color="auto"/>
            </w:tcBorders>
            <w:shd w:val="clear" w:color="auto" w:fill="68E089"/>
          </w:tcPr>
          <w:p w14:paraId="1148F52F" w14:textId="77777777" w:rsidR="00D44887" w:rsidRPr="000313D1" w:rsidRDefault="00D44887" w:rsidP="002315D8">
            <w:pPr>
              <w:pStyle w:val="BodyText"/>
            </w:pPr>
          </w:p>
        </w:tc>
        <w:tc>
          <w:tcPr>
            <w:tcW w:w="567" w:type="dxa"/>
            <w:tcBorders>
              <w:top w:val="single" w:sz="12" w:space="0" w:color="auto"/>
              <w:right w:val="single" w:sz="12" w:space="0" w:color="auto"/>
            </w:tcBorders>
            <w:shd w:val="clear" w:color="auto" w:fill="68E089"/>
          </w:tcPr>
          <w:p w14:paraId="36F2BD01" w14:textId="77777777" w:rsidR="00D44887" w:rsidRPr="000313D1" w:rsidRDefault="00D44887" w:rsidP="002315D8">
            <w:pPr>
              <w:pStyle w:val="BodyText"/>
            </w:pPr>
          </w:p>
        </w:tc>
        <w:tc>
          <w:tcPr>
            <w:tcW w:w="709" w:type="dxa"/>
            <w:tcBorders>
              <w:top w:val="single" w:sz="12" w:space="0" w:color="auto"/>
              <w:left w:val="single" w:sz="12" w:space="0" w:color="auto"/>
            </w:tcBorders>
            <w:shd w:val="clear" w:color="auto" w:fill="FFFFFF" w:themeFill="background1"/>
          </w:tcPr>
          <w:p w14:paraId="19499A4B" w14:textId="77777777" w:rsidR="00D44887" w:rsidRPr="000313D1" w:rsidRDefault="00D44887" w:rsidP="002315D8">
            <w:pPr>
              <w:pStyle w:val="BodyText"/>
            </w:pPr>
          </w:p>
        </w:tc>
        <w:tc>
          <w:tcPr>
            <w:tcW w:w="708" w:type="dxa"/>
            <w:tcBorders>
              <w:top w:val="single" w:sz="12" w:space="0" w:color="auto"/>
            </w:tcBorders>
            <w:shd w:val="clear" w:color="auto" w:fill="FFFFFF" w:themeFill="background1"/>
          </w:tcPr>
          <w:p w14:paraId="37B0FB4D" w14:textId="77777777" w:rsidR="00D44887" w:rsidRPr="000313D1" w:rsidRDefault="00D44887" w:rsidP="002315D8">
            <w:pPr>
              <w:pStyle w:val="BodyText"/>
            </w:pPr>
          </w:p>
        </w:tc>
        <w:tc>
          <w:tcPr>
            <w:tcW w:w="709" w:type="dxa"/>
            <w:tcBorders>
              <w:top w:val="single" w:sz="12" w:space="0" w:color="auto"/>
            </w:tcBorders>
            <w:shd w:val="clear" w:color="auto" w:fill="FFFFFF" w:themeFill="background1"/>
          </w:tcPr>
          <w:p w14:paraId="1BA57A76" w14:textId="77777777" w:rsidR="00D44887" w:rsidRPr="000313D1" w:rsidRDefault="00D44887" w:rsidP="002315D8">
            <w:pPr>
              <w:pStyle w:val="BodyText"/>
            </w:pPr>
          </w:p>
        </w:tc>
      </w:tr>
      <w:tr w:rsidR="00D44887" w:rsidRPr="00AA75DF" w14:paraId="150FCC6C" w14:textId="77777777" w:rsidTr="002315D8">
        <w:trPr>
          <w:trHeight w:val="283"/>
        </w:trPr>
        <w:tc>
          <w:tcPr>
            <w:tcW w:w="6015" w:type="dxa"/>
            <w:tcBorders>
              <w:right w:val="single" w:sz="12" w:space="0" w:color="auto"/>
            </w:tcBorders>
            <w:shd w:val="clear" w:color="auto" w:fill="auto"/>
          </w:tcPr>
          <w:p w14:paraId="6203F3B8" w14:textId="77777777" w:rsidR="00D44887" w:rsidRPr="00AA75DF" w:rsidRDefault="00D44887" w:rsidP="002315D8">
            <w:pPr>
              <w:pStyle w:val="BodyText"/>
            </w:pPr>
            <w:r>
              <w:t>Approbation des plans de projet par pays</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4CA9C7C3" w14:textId="77777777" w:rsidR="00D44887" w:rsidRPr="00AA75DF" w:rsidRDefault="00D44887" w:rsidP="002315D8">
            <w:pPr>
              <w:pStyle w:val="BodyText"/>
            </w:pPr>
            <w:r>
              <w:t>X</w:t>
            </w:r>
          </w:p>
        </w:tc>
        <w:tc>
          <w:tcPr>
            <w:tcW w:w="567" w:type="dxa"/>
            <w:tcBorders>
              <w:top w:val="single" w:sz="6" w:space="0" w:color="auto"/>
              <w:left w:val="single" w:sz="12" w:space="0" w:color="auto"/>
              <w:bottom w:val="single" w:sz="6" w:space="0" w:color="auto"/>
            </w:tcBorders>
            <w:shd w:val="clear" w:color="auto" w:fill="FFFFFF" w:themeFill="background1"/>
          </w:tcPr>
          <w:p w14:paraId="28616F97" w14:textId="77777777" w:rsidR="00D44887" w:rsidRPr="00AA75DF" w:rsidRDefault="00D44887" w:rsidP="002315D8">
            <w:pPr>
              <w:pStyle w:val="BodyText"/>
              <w:rPr>
                <w:lang w:val="en-GB"/>
              </w:rPr>
            </w:pPr>
          </w:p>
        </w:tc>
        <w:tc>
          <w:tcPr>
            <w:tcW w:w="708" w:type="dxa"/>
            <w:tcBorders>
              <w:top w:val="single" w:sz="6" w:space="0" w:color="auto"/>
              <w:bottom w:val="single" w:sz="6" w:space="0" w:color="auto"/>
            </w:tcBorders>
            <w:shd w:val="clear" w:color="auto" w:fill="FFFFFF" w:themeFill="background1"/>
          </w:tcPr>
          <w:p w14:paraId="3D02AEF9" w14:textId="77777777" w:rsidR="00D44887" w:rsidRPr="00AA75DF" w:rsidRDefault="00D44887" w:rsidP="002315D8">
            <w:pPr>
              <w:pStyle w:val="BodyText"/>
              <w:rPr>
                <w:lang w:val="en-GB"/>
              </w:rPr>
            </w:pPr>
          </w:p>
        </w:tc>
        <w:tc>
          <w:tcPr>
            <w:tcW w:w="612" w:type="dxa"/>
            <w:tcBorders>
              <w:top w:val="single" w:sz="6" w:space="0" w:color="auto"/>
              <w:bottom w:val="single" w:sz="6" w:space="0" w:color="auto"/>
            </w:tcBorders>
            <w:shd w:val="clear" w:color="auto" w:fill="FFFFFF" w:themeFill="background1"/>
          </w:tcPr>
          <w:p w14:paraId="2AFF6C5C" w14:textId="77777777" w:rsidR="00D44887" w:rsidRPr="00AA75DF" w:rsidRDefault="00D44887" w:rsidP="002315D8">
            <w:pPr>
              <w:pStyle w:val="BodyText"/>
              <w:rPr>
                <w:lang w:val="en-GB"/>
              </w:rPr>
            </w:pPr>
          </w:p>
        </w:tc>
        <w:tc>
          <w:tcPr>
            <w:tcW w:w="664" w:type="dxa"/>
            <w:tcBorders>
              <w:right w:val="single" w:sz="12" w:space="0" w:color="auto"/>
            </w:tcBorders>
            <w:shd w:val="clear" w:color="auto" w:fill="auto"/>
          </w:tcPr>
          <w:p w14:paraId="23ECE076" w14:textId="77777777" w:rsidR="00D44887" w:rsidRPr="00AA75DF" w:rsidRDefault="00D44887" w:rsidP="002315D8">
            <w:pPr>
              <w:pStyle w:val="BodyText"/>
              <w:rPr>
                <w:lang w:val="en-GB"/>
              </w:rPr>
            </w:pPr>
          </w:p>
        </w:tc>
        <w:tc>
          <w:tcPr>
            <w:tcW w:w="567" w:type="dxa"/>
            <w:tcBorders>
              <w:left w:val="single" w:sz="12" w:space="0" w:color="auto"/>
            </w:tcBorders>
            <w:shd w:val="clear" w:color="auto" w:fill="68E089"/>
          </w:tcPr>
          <w:p w14:paraId="516BDCF1" w14:textId="77777777" w:rsidR="00D44887" w:rsidRPr="00AA75DF" w:rsidRDefault="00D44887" w:rsidP="002315D8">
            <w:pPr>
              <w:pStyle w:val="BodyText"/>
              <w:rPr>
                <w:lang w:val="en-GB"/>
              </w:rPr>
            </w:pPr>
          </w:p>
        </w:tc>
        <w:tc>
          <w:tcPr>
            <w:tcW w:w="709" w:type="dxa"/>
            <w:shd w:val="clear" w:color="auto" w:fill="68E089"/>
          </w:tcPr>
          <w:p w14:paraId="3207EDBB" w14:textId="77777777" w:rsidR="00D44887" w:rsidRPr="00AA75DF" w:rsidRDefault="00D44887" w:rsidP="002315D8">
            <w:pPr>
              <w:pStyle w:val="BodyText"/>
              <w:rPr>
                <w:lang w:val="en-GB"/>
              </w:rPr>
            </w:pPr>
          </w:p>
        </w:tc>
        <w:tc>
          <w:tcPr>
            <w:tcW w:w="567" w:type="dxa"/>
            <w:shd w:val="clear" w:color="auto" w:fill="68E089"/>
          </w:tcPr>
          <w:p w14:paraId="7537F326" w14:textId="77777777" w:rsidR="00D44887" w:rsidRPr="00AA75DF" w:rsidRDefault="00D44887" w:rsidP="002315D8">
            <w:pPr>
              <w:pStyle w:val="BodyText"/>
              <w:rPr>
                <w:lang w:val="en-GB"/>
              </w:rPr>
            </w:pPr>
          </w:p>
        </w:tc>
        <w:tc>
          <w:tcPr>
            <w:tcW w:w="567" w:type="dxa"/>
            <w:tcBorders>
              <w:right w:val="single" w:sz="12" w:space="0" w:color="auto"/>
            </w:tcBorders>
            <w:shd w:val="clear" w:color="auto" w:fill="68E089"/>
          </w:tcPr>
          <w:p w14:paraId="7E77FF4C" w14:textId="77777777" w:rsidR="00D44887" w:rsidRPr="00AA75DF" w:rsidRDefault="00D44887" w:rsidP="002315D8">
            <w:pPr>
              <w:pStyle w:val="BodyText"/>
              <w:rPr>
                <w:lang w:val="en-GB"/>
              </w:rPr>
            </w:pPr>
          </w:p>
        </w:tc>
        <w:tc>
          <w:tcPr>
            <w:tcW w:w="709" w:type="dxa"/>
            <w:tcBorders>
              <w:left w:val="single" w:sz="12" w:space="0" w:color="auto"/>
            </w:tcBorders>
            <w:shd w:val="clear" w:color="auto" w:fill="FFFFFF" w:themeFill="background1"/>
          </w:tcPr>
          <w:p w14:paraId="5C8A089C" w14:textId="77777777" w:rsidR="00D44887" w:rsidRPr="00AA75DF" w:rsidRDefault="00D44887" w:rsidP="002315D8">
            <w:pPr>
              <w:pStyle w:val="BodyText"/>
              <w:rPr>
                <w:lang w:val="en-GB"/>
              </w:rPr>
            </w:pPr>
          </w:p>
        </w:tc>
        <w:tc>
          <w:tcPr>
            <w:tcW w:w="708" w:type="dxa"/>
            <w:shd w:val="clear" w:color="auto" w:fill="FFFFFF" w:themeFill="background1"/>
          </w:tcPr>
          <w:p w14:paraId="36792835" w14:textId="77777777" w:rsidR="00D44887" w:rsidRPr="00AA75DF" w:rsidRDefault="00D44887" w:rsidP="002315D8">
            <w:pPr>
              <w:pStyle w:val="BodyText"/>
              <w:rPr>
                <w:lang w:val="en-GB"/>
              </w:rPr>
            </w:pPr>
          </w:p>
        </w:tc>
        <w:tc>
          <w:tcPr>
            <w:tcW w:w="709" w:type="dxa"/>
            <w:shd w:val="clear" w:color="auto" w:fill="FFFFFF" w:themeFill="background1"/>
          </w:tcPr>
          <w:p w14:paraId="6108436E" w14:textId="77777777" w:rsidR="00D44887" w:rsidRPr="00AA75DF" w:rsidRDefault="00D44887" w:rsidP="002315D8">
            <w:pPr>
              <w:pStyle w:val="BodyText"/>
              <w:rPr>
                <w:lang w:val="en-GB"/>
              </w:rPr>
            </w:pPr>
          </w:p>
        </w:tc>
      </w:tr>
      <w:tr w:rsidR="00D44887" w:rsidRPr="00AA75DF" w14:paraId="5952B56A" w14:textId="77777777" w:rsidTr="002315D8">
        <w:trPr>
          <w:trHeight w:val="259"/>
        </w:trPr>
        <w:tc>
          <w:tcPr>
            <w:tcW w:w="6015" w:type="dxa"/>
            <w:tcBorders>
              <w:right w:val="single" w:sz="12" w:space="0" w:color="auto"/>
            </w:tcBorders>
            <w:shd w:val="clear" w:color="auto" w:fill="auto"/>
          </w:tcPr>
          <w:p w14:paraId="1A220F92" w14:textId="77777777" w:rsidR="00D44887" w:rsidRPr="00AA75DF" w:rsidRDefault="00D44887" w:rsidP="002315D8">
            <w:pPr>
              <w:pStyle w:val="BodyText"/>
            </w:pPr>
            <w:r>
              <w:t>Élaboration des études sur les contestations après l’enregistrement</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27BC20B1" w14:textId="77777777" w:rsidR="00D44887" w:rsidRPr="00AA75DF" w:rsidRDefault="00D44887" w:rsidP="002315D8">
            <w:pPr>
              <w:pStyle w:val="BodyText"/>
            </w:pPr>
            <w:r>
              <w:t>X</w:t>
            </w:r>
          </w:p>
        </w:tc>
        <w:tc>
          <w:tcPr>
            <w:tcW w:w="567" w:type="dxa"/>
            <w:tcBorders>
              <w:top w:val="single" w:sz="6" w:space="0" w:color="auto"/>
              <w:left w:val="single" w:sz="12" w:space="0" w:color="auto"/>
              <w:bottom w:val="single" w:sz="6" w:space="0" w:color="auto"/>
            </w:tcBorders>
            <w:shd w:val="clear" w:color="auto" w:fill="FFFFFF" w:themeFill="background1"/>
          </w:tcPr>
          <w:p w14:paraId="773EF92B" w14:textId="77777777" w:rsidR="00D44887" w:rsidRPr="00AA75DF" w:rsidRDefault="00D44887" w:rsidP="002315D8">
            <w:pPr>
              <w:pStyle w:val="BodyText"/>
            </w:pPr>
            <w:r>
              <w:t>X</w:t>
            </w:r>
          </w:p>
        </w:tc>
        <w:tc>
          <w:tcPr>
            <w:tcW w:w="708" w:type="dxa"/>
            <w:tcBorders>
              <w:top w:val="single" w:sz="6" w:space="0" w:color="auto"/>
              <w:bottom w:val="single" w:sz="6" w:space="0" w:color="auto"/>
            </w:tcBorders>
            <w:shd w:val="clear" w:color="auto" w:fill="FFFFFF" w:themeFill="background1"/>
          </w:tcPr>
          <w:p w14:paraId="45E9E2C7" w14:textId="77777777" w:rsidR="00D44887" w:rsidRPr="00AA75DF" w:rsidRDefault="00D44887" w:rsidP="002315D8">
            <w:pPr>
              <w:pStyle w:val="BodyText"/>
            </w:pPr>
            <w:r>
              <w:t>X</w:t>
            </w:r>
          </w:p>
        </w:tc>
        <w:tc>
          <w:tcPr>
            <w:tcW w:w="612" w:type="dxa"/>
            <w:tcBorders>
              <w:top w:val="single" w:sz="6" w:space="0" w:color="auto"/>
              <w:bottom w:val="single" w:sz="6" w:space="0" w:color="auto"/>
            </w:tcBorders>
            <w:shd w:val="clear" w:color="auto" w:fill="FFFFFF" w:themeFill="background1"/>
          </w:tcPr>
          <w:p w14:paraId="38ADC562" w14:textId="77777777" w:rsidR="00D44887" w:rsidRPr="00AA75DF" w:rsidRDefault="00D44887" w:rsidP="002315D8">
            <w:pPr>
              <w:pStyle w:val="BodyText"/>
            </w:pPr>
            <w:r>
              <w:t>X</w:t>
            </w:r>
          </w:p>
        </w:tc>
        <w:tc>
          <w:tcPr>
            <w:tcW w:w="664" w:type="dxa"/>
            <w:tcBorders>
              <w:right w:val="single" w:sz="12" w:space="0" w:color="auto"/>
            </w:tcBorders>
            <w:shd w:val="clear" w:color="auto" w:fill="auto"/>
          </w:tcPr>
          <w:p w14:paraId="7D7A1950" w14:textId="77777777" w:rsidR="00D44887" w:rsidRPr="00AA75DF" w:rsidRDefault="00D44887" w:rsidP="002315D8">
            <w:pPr>
              <w:pStyle w:val="BodyText"/>
              <w:rPr>
                <w:lang w:val="en-GB"/>
              </w:rPr>
            </w:pPr>
          </w:p>
        </w:tc>
        <w:tc>
          <w:tcPr>
            <w:tcW w:w="567" w:type="dxa"/>
            <w:tcBorders>
              <w:left w:val="single" w:sz="12" w:space="0" w:color="auto"/>
            </w:tcBorders>
            <w:shd w:val="clear" w:color="auto" w:fill="68E089"/>
          </w:tcPr>
          <w:p w14:paraId="502A14A9" w14:textId="77777777" w:rsidR="00D44887" w:rsidRPr="00AA75DF" w:rsidRDefault="00D44887" w:rsidP="002315D8">
            <w:pPr>
              <w:pStyle w:val="BodyText"/>
              <w:rPr>
                <w:lang w:val="en-GB"/>
              </w:rPr>
            </w:pPr>
          </w:p>
        </w:tc>
        <w:tc>
          <w:tcPr>
            <w:tcW w:w="709" w:type="dxa"/>
            <w:shd w:val="clear" w:color="auto" w:fill="68E089"/>
          </w:tcPr>
          <w:p w14:paraId="7967884F" w14:textId="77777777" w:rsidR="00D44887" w:rsidRPr="00AA75DF" w:rsidRDefault="00D44887" w:rsidP="002315D8">
            <w:pPr>
              <w:pStyle w:val="BodyText"/>
              <w:rPr>
                <w:lang w:val="en-GB"/>
              </w:rPr>
            </w:pPr>
          </w:p>
        </w:tc>
        <w:tc>
          <w:tcPr>
            <w:tcW w:w="567" w:type="dxa"/>
            <w:shd w:val="clear" w:color="auto" w:fill="68E089"/>
          </w:tcPr>
          <w:p w14:paraId="13E534A4" w14:textId="77777777" w:rsidR="00D44887" w:rsidRPr="00AA75DF" w:rsidRDefault="00D44887" w:rsidP="002315D8">
            <w:pPr>
              <w:pStyle w:val="BodyText"/>
              <w:rPr>
                <w:lang w:val="en-GB"/>
              </w:rPr>
            </w:pPr>
          </w:p>
        </w:tc>
        <w:tc>
          <w:tcPr>
            <w:tcW w:w="567" w:type="dxa"/>
            <w:tcBorders>
              <w:right w:val="single" w:sz="12" w:space="0" w:color="auto"/>
            </w:tcBorders>
            <w:shd w:val="clear" w:color="auto" w:fill="68E089"/>
          </w:tcPr>
          <w:p w14:paraId="5B212775" w14:textId="77777777" w:rsidR="00D44887" w:rsidRPr="00AA75DF" w:rsidRDefault="00D44887" w:rsidP="002315D8">
            <w:pPr>
              <w:pStyle w:val="BodyText"/>
              <w:rPr>
                <w:lang w:val="en-GB"/>
              </w:rPr>
            </w:pPr>
          </w:p>
        </w:tc>
        <w:tc>
          <w:tcPr>
            <w:tcW w:w="709" w:type="dxa"/>
            <w:tcBorders>
              <w:left w:val="single" w:sz="12" w:space="0" w:color="auto"/>
            </w:tcBorders>
            <w:shd w:val="clear" w:color="auto" w:fill="FFFFFF" w:themeFill="background1"/>
          </w:tcPr>
          <w:p w14:paraId="21F38FF8" w14:textId="77777777" w:rsidR="00D44887" w:rsidRPr="00AA75DF" w:rsidRDefault="00D44887" w:rsidP="002315D8">
            <w:pPr>
              <w:pStyle w:val="BodyText"/>
              <w:rPr>
                <w:lang w:val="en-GB"/>
              </w:rPr>
            </w:pPr>
          </w:p>
        </w:tc>
        <w:tc>
          <w:tcPr>
            <w:tcW w:w="708" w:type="dxa"/>
            <w:shd w:val="clear" w:color="auto" w:fill="FFFFFF" w:themeFill="background1"/>
          </w:tcPr>
          <w:p w14:paraId="17E6D61E" w14:textId="77777777" w:rsidR="00D44887" w:rsidRPr="00AA75DF" w:rsidRDefault="00D44887" w:rsidP="002315D8">
            <w:pPr>
              <w:pStyle w:val="BodyText"/>
              <w:rPr>
                <w:lang w:val="en-GB"/>
              </w:rPr>
            </w:pPr>
          </w:p>
        </w:tc>
        <w:tc>
          <w:tcPr>
            <w:tcW w:w="709" w:type="dxa"/>
            <w:shd w:val="clear" w:color="auto" w:fill="FFFFFF" w:themeFill="background1"/>
          </w:tcPr>
          <w:p w14:paraId="0DB0F925" w14:textId="77777777" w:rsidR="00D44887" w:rsidRPr="00AA75DF" w:rsidRDefault="00D44887" w:rsidP="002315D8">
            <w:pPr>
              <w:pStyle w:val="BodyText"/>
              <w:rPr>
                <w:lang w:val="en-GB"/>
              </w:rPr>
            </w:pPr>
          </w:p>
        </w:tc>
      </w:tr>
      <w:tr w:rsidR="00D44887" w:rsidRPr="00AA75DF" w14:paraId="5E56BDA3" w14:textId="77777777" w:rsidTr="002315D8">
        <w:trPr>
          <w:trHeight w:val="259"/>
        </w:trPr>
        <w:tc>
          <w:tcPr>
            <w:tcW w:w="6015" w:type="dxa"/>
            <w:tcBorders>
              <w:right w:val="single" w:sz="12" w:space="0" w:color="auto"/>
            </w:tcBorders>
            <w:shd w:val="clear" w:color="auto" w:fill="auto"/>
          </w:tcPr>
          <w:p w14:paraId="55068D75" w14:textId="77777777" w:rsidR="00D44887" w:rsidRPr="00AA75DF" w:rsidRDefault="00D44887" w:rsidP="002315D8">
            <w:pPr>
              <w:pStyle w:val="BodyText"/>
            </w:pPr>
            <w:r>
              <w:t>Événements d’information sur les avantages potentiels de la gestion collective des systèmes de qualité applicables aux produits d’origine relatifs à des indications géographiques ou marques collectives ou de certification protégées, dans chaque pays bénéficiaire</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776D9532" w14:textId="77777777" w:rsidR="00D44887" w:rsidRPr="000313D1" w:rsidRDefault="00D44887" w:rsidP="002315D8">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42019B3F" w14:textId="77777777" w:rsidR="00D44887" w:rsidRPr="00AA75DF" w:rsidRDefault="00D44887" w:rsidP="002315D8">
            <w:pPr>
              <w:pStyle w:val="BodyText"/>
            </w:pPr>
            <w:r>
              <w:t>X</w:t>
            </w:r>
          </w:p>
        </w:tc>
        <w:tc>
          <w:tcPr>
            <w:tcW w:w="708" w:type="dxa"/>
            <w:tcBorders>
              <w:top w:val="single" w:sz="6" w:space="0" w:color="auto"/>
              <w:bottom w:val="single" w:sz="6" w:space="0" w:color="auto"/>
            </w:tcBorders>
            <w:shd w:val="clear" w:color="auto" w:fill="FFFFFF" w:themeFill="background1"/>
          </w:tcPr>
          <w:p w14:paraId="52AD91EF" w14:textId="77777777" w:rsidR="00D44887" w:rsidRPr="00AA75DF" w:rsidRDefault="00D44887" w:rsidP="002315D8">
            <w:pPr>
              <w:pStyle w:val="BodyText"/>
            </w:pPr>
            <w:r>
              <w:t>X</w:t>
            </w:r>
          </w:p>
        </w:tc>
        <w:tc>
          <w:tcPr>
            <w:tcW w:w="612" w:type="dxa"/>
            <w:tcBorders>
              <w:top w:val="single" w:sz="6" w:space="0" w:color="auto"/>
              <w:bottom w:val="single" w:sz="6" w:space="0" w:color="auto"/>
            </w:tcBorders>
            <w:shd w:val="clear" w:color="auto" w:fill="FFFFFF" w:themeFill="background1"/>
          </w:tcPr>
          <w:p w14:paraId="67C453B1" w14:textId="77777777" w:rsidR="00D44887" w:rsidRPr="00AA75DF" w:rsidRDefault="00D44887" w:rsidP="002315D8">
            <w:pPr>
              <w:pStyle w:val="BodyText"/>
            </w:pPr>
            <w:r>
              <w:t>X</w:t>
            </w:r>
          </w:p>
        </w:tc>
        <w:tc>
          <w:tcPr>
            <w:tcW w:w="664" w:type="dxa"/>
            <w:tcBorders>
              <w:right w:val="single" w:sz="12" w:space="0" w:color="auto"/>
            </w:tcBorders>
            <w:shd w:val="clear" w:color="auto" w:fill="auto"/>
          </w:tcPr>
          <w:p w14:paraId="71CB8D48" w14:textId="77777777" w:rsidR="00D44887" w:rsidRPr="00AA75DF" w:rsidRDefault="00D44887" w:rsidP="002315D8">
            <w:pPr>
              <w:pStyle w:val="BodyText"/>
              <w:rPr>
                <w:lang w:val="en-GB"/>
              </w:rPr>
            </w:pPr>
          </w:p>
        </w:tc>
        <w:tc>
          <w:tcPr>
            <w:tcW w:w="567" w:type="dxa"/>
            <w:tcBorders>
              <w:left w:val="single" w:sz="12" w:space="0" w:color="auto"/>
            </w:tcBorders>
            <w:shd w:val="clear" w:color="auto" w:fill="68E089"/>
          </w:tcPr>
          <w:p w14:paraId="28F7F726" w14:textId="77777777" w:rsidR="00D44887" w:rsidRPr="00AA75DF" w:rsidRDefault="00D44887" w:rsidP="002315D8">
            <w:pPr>
              <w:pStyle w:val="BodyText"/>
              <w:rPr>
                <w:lang w:val="en-GB"/>
              </w:rPr>
            </w:pPr>
          </w:p>
        </w:tc>
        <w:tc>
          <w:tcPr>
            <w:tcW w:w="709" w:type="dxa"/>
            <w:shd w:val="clear" w:color="auto" w:fill="68E089"/>
          </w:tcPr>
          <w:p w14:paraId="4BD1272C" w14:textId="77777777" w:rsidR="00D44887" w:rsidRPr="00AA75DF" w:rsidRDefault="00D44887" w:rsidP="002315D8">
            <w:pPr>
              <w:pStyle w:val="BodyText"/>
              <w:rPr>
                <w:lang w:val="en-GB"/>
              </w:rPr>
            </w:pPr>
          </w:p>
        </w:tc>
        <w:tc>
          <w:tcPr>
            <w:tcW w:w="567" w:type="dxa"/>
            <w:shd w:val="clear" w:color="auto" w:fill="68E089"/>
          </w:tcPr>
          <w:p w14:paraId="31D8AFEE" w14:textId="77777777" w:rsidR="00D44887" w:rsidRPr="00AA75DF" w:rsidRDefault="00D44887" w:rsidP="002315D8">
            <w:pPr>
              <w:pStyle w:val="BodyText"/>
              <w:rPr>
                <w:lang w:val="en-GB"/>
              </w:rPr>
            </w:pPr>
          </w:p>
        </w:tc>
        <w:tc>
          <w:tcPr>
            <w:tcW w:w="567" w:type="dxa"/>
            <w:tcBorders>
              <w:right w:val="single" w:sz="12" w:space="0" w:color="auto"/>
            </w:tcBorders>
            <w:shd w:val="clear" w:color="auto" w:fill="68E089"/>
          </w:tcPr>
          <w:p w14:paraId="60E21B58" w14:textId="77777777" w:rsidR="00D44887" w:rsidRPr="00AA75DF" w:rsidRDefault="00D44887" w:rsidP="002315D8">
            <w:pPr>
              <w:pStyle w:val="BodyText"/>
              <w:rPr>
                <w:lang w:val="en-GB"/>
              </w:rPr>
            </w:pPr>
          </w:p>
        </w:tc>
        <w:tc>
          <w:tcPr>
            <w:tcW w:w="709" w:type="dxa"/>
            <w:tcBorders>
              <w:left w:val="single" w:sz="12" w:space="0" w:color="auto"/>
            </w:tcBorders>
            <w:shd w:val="clear" w:color="auto" w:fill="FFFFFF" w:themeFill="background1"/>
          </w:tcPr>
          <w:p w14:paraId="5D3FEFA9" w14:textId="77777777" w:rsidR="00D44887" w:rsidRPr="00AA75DF" w:rsidRDefault="00D44887" w:rsidP="002315D8">
            <w:pPr>
              <w:pStyle w:val="BodyText"/>
              <w:rPr>
                <w:lang w:val="en-GB"/>
              </w:rPr>
            </w:pPr>
          </w:p>
        </w:tc>
        <w:tc>
          <w:tcPr>
            <w:tcW w:w="708" w:type="dxa"/>
            <w:shd w:val="clear" w:color="auto" w:fill="FFFFFF" w:themeFill="background1"/>
          </w:tcPr>
          <w:p w14:paraId="78DA076C" w14:textId="77777777" w:rsidR="00D44887" w:rsidRPr="00AA75DF" w:rsidRDefault="00D44887" w:rsidP="002315D8">
            <w:pPr>
              <w:pStyle w:val="BodyText"/>
              <w:rPr>
                <w:lang w:val="en-GB"/>
              </w:rPr>
            </w:pPr>
          </w:p>
        </w:tc>
        <w:tc>
          <w:tcPr>
            <w:tcW w:w="709" w:type="dxa"/>
            <w:shd w:val="clear" w:color="auto" w:fill="FFFFFF" w:themeFill="background1"/>
          </w:tcPr>
          <w:p w14:paraId="5F5BC30D" w14:textId="77777777" w:rsidR="00D44887" w:rsidRPr="00AA75DF" w:rsidRDefault="00D44887" w:rsidP="002315D8">
            <w:pPr>
              <w:pStyle w:val="BodyText"/>
              <w:rPr>
                <w:lang w:val="en-GB"/>
              </w:rPr>
            </w:pPr>
          </w:p>
        </w:tc>
      </w:tr>
      <w:tr w:rsidR="00D44887" w:rsidRPr="00AA75DF" w14:paraId="26E1F618" w14:textId="77777777" w:rsidTr="002315D8">
        <w:trPr>
          <w:trHeight w:val="283"/>
        </w:trPr>
        <w:tc>
          <w:tcPr>
            <w:tcW w:w="6015" w:type="dxa"/>
            <w:tcBorders>
              <w:right w:val="single" w:sz="12" w:space="0" w:color="auto"/>
            </w:tcBorders>
            <w:shd w:val="clear" w:color="auto" w:fill="auto"/>
          </w:tcPr>
          <w:p w14:paraId="40B5EFFB" w14:textId="77777777" w:rsidR="00D44887" w:rsidRPr="00AA75DF" w:rsidRDefault="00D44887" w:rsidP="002315D8">
            <w:pPr>
              <w:pStyle w:val="BodyText"/>
            </w:pPr>
            <w:r>
              <w:t>Sélection d’une indication géographique ou d’une marque collective ou de certification, pour laquelle le groupement de producteurs, le système de contrôle de la qualité et la stratégie de commercialisation seront renforcés, dans chaque pays bénéficiaire</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1EC43AE4" w14:textId="77777777" w:rsidR="00D44887" w:rsidRPr="000313D1" w:rsidRDefault="00D44887" w:rsidP="002315D8">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6913F3F9" w14:textId="77777777" w:rsidR="00D44887" w:rsidRPr="00AA75DF" w:rsidRDefault="00D44887" w:rsidP="002315D8">
            <w:pPr>
              <w:pStyle w:val="BodyText"/>
            </w:pPr>
            <w:r>
              <w:t>X</w:t>
            </w:r>
          </w:p>
        </w:tc>
        <w:tc>
          <w:tcPr>
            <w:tcW w:w="708" w:type="dxa"/>
            <w:tcBorders>
              <w:top w:val="single" w:sz="6" w:space="0" w:color="auto"/>
              <w:bottom w:val="single" w:sz="6" w:space="0" w:color="auto"/>
            </w:tcBorders>
            <w:shd w:val="clear" w:color="auto" w:fill="FFFFFF" w:themeFill="background1"/>
          </w:tcPr>
          <w:p w14:paraId="3D838BAC" w14:textId="77777777" w:rsidR="00D44887" w:rsidRPr="00AA75DF" w:rsidRDefault="00D44887" w:rsidP="002315D8">
            <w:pPr>
              <w:pStyle w:val="BodyText"/>
            </w:pPr>
            <w:r>
              <w:t>X</w:t>
            </w:r>
          </w:p>
        </w:tc>
        <w:tc>
          <w:tcPr>
            <w:tcW w:w="612" w:type="dxa"/>
            <w:tcBorders>
              <w:top w:val="single" w:sz="6" w:space="0" w:color="auto"/>
              <w:bottom w:val="single" w:sz="6" w:space="0" w:color="auto"/>
            </w:tcBorders>
            <w:shd w:val="clear" w:color="auto" w:fill="FFFFFF" w:themeFill="background1"/>
          </w:tcPr>
          <w:p w14:paraId="7A9214C1" w14:textId="77777777" w:rsidR="00D44887" w:rsidRPr="00AA75DF" w:rsidRDefault="00D44887" w:rsidP="002315D8">
            <w:pPr>
              <w:pStyle w:val="BodyText"/>
              <w:rPr>
                <w:lang w:val="en-GB"/>
              </w:rPr>
            </w:pPr>
          </w:p>
        </w:tc>
        <w:tc>
          <w:tcPr>
            <w:tcW w:w="664" w:type="dxa"/>
            <w:tcBorders>
              <w:right w:val="single" w:sz="12" w:space="0" w:color="auto"/>
            </w:tcBorders>
            <w:shd w:val="clear" w:color="auto" w:fill="auto"/>
          </w:tcPr>
          <w:p w14:paraId="5133370F" w14:textId="77777777" w:rsidR="00D44887" w:rsidRPr="00AA75DF" w:rsidRDefault="00D44887" w:rsidP="002315D8">
            <w:pPr>
              <w:pStyle w:val="BodyText"/>
              <w:rPr>
                <w:lang w:val="en-GB"/>
              </w:rPr>
            </w:pPr>
          </w:p>
        </w:tc>
        <w:tc>
          <w:tcPr>
            <w:tcW w:w="567" w:type="dxa"/>
            <w:tcBorders>
              <w:left w:val="single" w:sz="12" w:space="0" w:color="auto"/>
            </w:tcBorders>
            <w:shd w:val="clear" w:color="auto" w:fill="68E089"/>
          </w:tcPr>
          <w:p w14:paraId="34D41989" w14:textId="77777777" w:rsidR="00D44887" w:rsidRPr="00AA75DF" w:rsidRDefault="00D44887" w:rsidP="002315D8">
            <w:pPr>
              <w:pStyle w:val="BodyText"/>
              <w:rPr>
                <w:lang w:val="en-GB"/>
              </w:rPr>
            </w:pPr>
          </w:p>
        </w:tc>
        <w:tc>
          <w:tcPr>
            <w:tcW w:w="709" w:type="dxa"/>
            <w:shd w:val="clear" w:color="auto" w:fill="68E089"/>
          </w:tcPr>
          <w:p w14:paraId="47E46380" w14:textId="77777777" w:rsidR="00D44887" w:rsidRPr="00AA75DF" w:rsidRDefault="00D44887" w:rsidP="002315D8">
            <w:pPr>
              <w:pStyle w:val="BodyText"/>
              <w:rPr>
                <w:lang w:val="en-GB"/>
              </w:rPr>
            </w:pPr>
          </w:p>
        </w:tc>
        <w:tc>
          <w:tcPr>
            <w:tcW w:w="567" w:type="dxa"/>
            <w:shd w:val="clear" w:color="auto" w:fill="68E089"/>
          </w:tcPr>
          <w:p w14:paraId="1FCA1153" w14:textId="77777777" w:rsidR="00D44887" w:rsidRPr="00AA75DF" w:rsidRDefault="00D44887" w:rsidP="002315D8">
            <w:pPr>
              <w:pStyle w:val="BodyText"/>
              <w:rPr>
                <w:lang w:val="en-GB"/>
              </w:rPr>
            </w:pPr>
          </w:p>
        </w:tc>
        <w:tc>
          <w:tcPr>
            <w:tcW w:w="567" w:type="dxa"/>
            <w:tcBorders>
              <w:right w:val="single" w:sz="12" w:space="0" w:color="auto"/>
            </w:tcBorders>
            <w:shd w:val="clear" w:color="auto" w:fill="68E089"/>
          </w:tcPr>
          <w:p w14:paraId="26075F3E" w14:textId="77777777" w:rsidR="00D44887" w:rsidRPr="00AA75DF" w:rsidRDefault="00D44887" w:rsidP="002315D8">
            <w:pPr>
              <w:pStyle w:val="BodyText"/>
              <w:rPr>
                <w:lang w:val="en-GB"/>
              </w:rPr>
            </w:pPr>
          </w:p>
        </w:tc>
        <w:tc>
          <w:tcPr>
            <w:tcW w:w="709" w:type="dxa"/>
            <w:tcBorders>
              <w:left w:val="single" w:sz="12" w:space="0" w:color="auto"/>
            </w:tcBorders>
            <w:shd w:val="clear" w:color="auto" w:fill="FFFFFF" w:themeFill="background1"/>
          </w:tcPr>
          <w:p w14:paraId="03DD88F2" w14:textId="77777777" w:rsidR="00D44887" w:rsidRPr="00AA75DF" w:rsidRDefault="00D44887" w:rsidP="002315D8">
            <w:pPr>
              <w:pStyle w:val="BodyText"/>
              <w:rPr>
                <w:lang w:val="en-GB"/>
              </w:rPr>
            </w:pPr>
          </w:p>
        </w:tc>
        <w:tc>
          <w:tcPr>
            <w:tcW w:w="708" w:type="dxa"/>
            <w:shd w:val="clear" w:color="auto" w:fill="FFFFFF" w:themeFill="background1"/>
          </w:tcPr>
          <w:p w14:paraId="64DB60F6" w14:textId="77777777" w:rsidR="00D44887" w:rsidRPr="00AA75DF" w:rsidRDefault="00D44887" w:rsidP="002315D8">
            <w:pPr>
              <w:pStyle w:val="BodyText"/>
              <w:rPr>
                <w:lang w:val="en-GB"/>
              </w:rPr>
            </w:pPr>
          </w:p>
        </w:tc>
        <w:tc>
          <w:tcPr>
            <w:tcW w:w="709" w:type="dxa"/>
            <w:shd w:val="clear" w:color="auto" w:fill="FFFFFF" w:themeFill="background1"/>
          </w:tcPr>
          <w:p w14:paraId="4F23AE49" w14:textId="77777777" w:rsidR="00D44887" w:rsidRPr="00AA75DF" w:rsidRDefault="00D44887" w:rsidP="002315D8">
            <w:pPr>
              <w:pStyle w:val="BodyText"/>
              <w:rPr>
                <w:lang w:val="en-GB"/>
              </w:rPr>
            </w:pPr>
          </w:p>
        </w:tc>
      </w:tr>
      <w:tr w:rsidR="00D44887" w:rsidRPr="00AA75DF" w14:paraId="1AF0F3EE" w14:textId="77777777" w:rsidTr="002315D8">
        <w:trPr>
          <w:trHeight w:val="283"/>
        </w:trPr>
        <w:tc>
          <w:tcPr>
            <w:tcW w:w="6015" w:type="dxa"/>
            <w:tcBorders>
              <w:right w:val="single" w:sz="12" w:space="0" w:color="auto"/>
            </w:tcBorders>
            <w:shd w:val="clear" w:color="auto" w:fill="auto"/>
          </w:tcPr>
          <w:p w14:paraId="45AACCD0" w14:textId="77777777" w:rsidR="00D44887" w:rsidRPr="00AA75DF" w:rsidRDefault="00D44887" w:rsidP="002315D8">
            <w:pPr>
              <w:pStyle w:val="BodyText"/>
            </w:pPr>
            <w:r>
              <w:t xml:space="preserve">Élaboration de stratégies, de guides ou de supports de formation concernant la gestion collective des indications </w:t>
            </w:r>
            <w:r>
              <w:lastRenderedPageBreak/>
              <w:t>géographiques ou des marques collectives ou de certification et des systèmes de qualité qui s’y rattachent</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44801616" w14:textId="77777777" w:rsidR="00D44887" w:rsidRPr="000313D1" w:rsidRDefault="00D44887" w:rsidP="002315D8">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00DC319F" w14:textId="77777777" w:rsidR="00D44887" w:rsidRPr="000313D1" w:rsidRDefault="00D44887" w:rsidP="002315D8">
            <w:pPr>
              <w:pStyle w:val="BodyText"/>
            </w:pPr>
          </w:p>
        </w:tc>
        <w:tc>
          <w:tcPr>
            <w:tcW w:w="708" w:type="dxa"/>
            <w:tcBorders>
              <w:top w:val="single" w:sz="6" w:space="0" w:color="auto"/>
              <w:bottom w:val="single" w:sz="6" w:space="0" w:color="auto"/>
            </w:tcBorders>
            <w:shd w:val="clear" w:color="auto" w:fill="FFFFFF" w:themeFill="background1"/>
          </w:tcPr>
          <w:p w14:paraId="1A685C42" w14:textId="77777777" w:rsidR="00D44887" w:rsidRPr="00AA75DF" w:rsidRDefault="00D44887" w:rsidP="002315D8">
            <w:pPr>
              <w:pStyle w:val="BodyText"/>
            </w:pPr>
            <w:r>
              <w:t>X</w:t>
            </w:r>
          </w:p>
        </w:tc>
        <w:tc>
          <w:tcPr>
            <w:tcW w:w="612" w:type="dxa"/>
            <w:tcBorders>
              <w:top w:val="single" w:sz="6" w:space="0" w:color="auto"/>
              <w:bottom w:val="single" w:sz="6" w:space="0" w:color="auto"/>
            </w:tcBorders>
            <w:shd w:val="clear" w:color="auto" w:fill="FFFFFF" w:themeFill="background1"/>
          </w:tcPr>
          <w:p w14:paraId="30A80BFF" w14:textId="77777777" w:rsidR="00D44887" w:rsidRPr="00AA75DF" w:rsidRDefault="00D44887" w:rsidP="002315D8">
            <w:pPr>
              <w:pStyle w:val="BodyText"/>
            </w:pPr>
            <w:r>
              <w:t>X</w:t>
            </w:r>
          </w:p>
        </w:tc>
        <w:tc>
          <w:tcPr>
            <w:tcW w:w="664" w:type="dxa"/>
            <w:tcBorders>
              <w:right w:val="single" w:sz="12" w:space="0" w:color="auto"/>
            </w:tcBorders>
            <w:shd w:val="clear" w:color="auto" w:fill="auto"/>
          </w:tcPr>
          <w:p w14:paraId="39E10792" w14:textId="77777777" w:rsidR="00D44887" w:rsidRPr="00AA75DF" w:rsidRDefault="00D44887" w:rsidP="002315D8">
            <w:pPr>
              <w:pStyle w:val="BodyText"/>
            </w:pPr>
            <w:r>
              <w:t>X</w:t>
            </w:r>
          </w:p>
        </w:tc>
        <w:tc>
          <w:tcPr>
            <w:tcW w:w="567" w:type="dxa"/>
            <w:tcBorders>
              <w:left w:val="single" w:sz="12" w:space="0" w:color="auto"/>
            </w:tcBorders>
            <w:shd w:val="clear" w:color="auto" w:fill="68E089"/>
          </w:tcPr>
          <w:p w14:paraId="08EC4AA4" w14:textId="77777777" w:rsidR="00D44887" w:rsidRPr="00AA75DF" w:rsidRDefault="00D44887" w:rsidP="002315D8">
            <w:pPr>
              <w:pStyle w:val="BodyText"/>
            </w:pPr>
            <w:r>
              <w:t>X</w:t>
            </w:r>
          </w:p>
        </w:tc>
        <w:tc>
          <w:tcPr>
            <w:tcW w:w="709" w:type="dxa"/>
            <w:shd w:val="clear" w:color="auto" w:fill="68E089"/>
          </w:tcPr>
          <w:p w14:paraId="6BF8223C" w14:textId="77777777" w:rsidR="00D44887" w:rsidRPr="00AA75DF" w:rsidRDefault="00D44887" w:rsidP="002315D8">
            <w:pPr>
              <w:pStyle w:val="BodyText"/>
            </w:pPr>
            <w:r>
              <w:t>X</w:t>
            </w:r>
          </w:p>
        </w:tc>
        <w:tc>
          <w:tcPr>
            <w:tcW w:w="567" w:type="dxa"/>
            <w:shd w:val="clear" w:color="auto" w:fill="68E089"/>
          </w:tcPr>
          <w:p w14:paraId="29463B87" w14:textId="77777777" w:rsidR="00D44887" w:rsidRPr="00AA75DF" w:rsidRDefault="00D44887" w:rsidP="002315D8">
            <w:pPr>
              <w:pStyle w:val="BodyText"/>
            </w:pPr>
            <w:r>
              <w:t>X</w:t>
            </w:r>
          </w:p>
        </w:tc>
        <w:tc>
          <w:tcPr>
            <w:tcW w:w="567" w:type="dxa"/>
            <w:tcBorders>
              <w:right w:val="single" w:sz="12" w:space="0" w:color="auto"/>
            </w:tcBorders>
            <w:shd w:val="clear" w:color="auto" w:fill="68E089"/>
          </w:tcPr>
          <w:p w14:paraId="06667AE5" w14:textId="77777777" w:rsidR="00D44887" w:rsidRPr="00AA75DF" w:rsidRDefault="00D44887" w:rsidP="002315D8">
            <w:pPr>
              <w:pStyle w:val="BodyText"/>
              <w:rPr>
                <w:lang w:val="en-GB"/>
              </w:rPr>
            </w:pPr>
          </w:p>
        </w:tc>
        <w:tc>
          <w:tcPr>
            <w:tcW w:w="709" w:type="dxa"/>
            <w:tcBorders>
              <w:left w:val="single" w:sz="12" w:space="0" w:color="auto"/>
            </w:tcBorders>
            <w:shd w:val="clear" w:color="auto" w:fill="FFFFFF" w:themeFill="background1"/>
          </w:tcPr>
          <w:p w14:paraId="2485564B" w14:textId="77777777" w:rsidR="00D44887" w:rsidRPr="00AA75DF" w:rsidRDefault="00D44887" w:rsidP="002315D8">
            <w:pPr>
              <w:pStyle w:val="BodyText"/>
              <w:rPr>
                <w:lang w:val="en-GB"/>
              </w:rPr>
            </w:pPr>
          </w:p>
        </w:tc>
        <w:tc>
          <w:tcPr>
            <w:tcW w:w="708" w:type="dxa"/>
            <w:shd w:val="clear" w:color="auto" w:fill="FFFFFF" w:themeFill="background1"/>
          </w:tcPr>
          <w:p w14:paraId="2A4C5071" w14:textId="77777777" w:rsidR="00D44887" w:rsidRPr="00AA75DF" w:rsidRDefault="00D44887" w:rsidP="002315D8">
            <w:pPr>
              <w:pStyle w:val="BodyText"/>
              <w:rPr>
                <w:lang w:val="en-GB"/>
              </w:rPr>
            </w:pPr>
          </w:p>
        </w:tc>
        <w:tc>
          <w:tcPr>
            <w:tcW w:w="709" w:type="dxa"/>
            <w:shd w:val="clear" w:color="auto" w:fill="FFFFFF" w:themeFill="background1"/>
          </w:tcPr>
          <w:p w14:paraId="4CB6C6AF" w14:textId="77777777" w:rsidR="00D44887" w:rsidRPr="00AA75DF" w:rsidRDefault="00D44887" w:rsidP="002315D8">
            <w:pPr>
              <w:pStyle w:val="BodyText"/>
              <w:rPr>
                <w:lang w:val="en-GB"/>
              </w:rPr>
            </w:pPr>
          </w:p>
        </w:tc>
      </w:tr>
      <w:tr w:rsidR="00D44887" w:rsidRPr="00AA75DF" w14:paraId="536F6FD2" w14:textId="77777777" w:rsidTr="002315D8">
        <w:trPr>
          <w:trHeight w:val="283"/>
        </w:trPr>
        <w:tc>
          <w:tcPr>
            <w:tcW w:w="6015" w:type="dxa"/>
            <w:tcBorders>
              <w:right w:val="single" w:sz="12" w:space="0" w:color="auto"/>
            </w:tcBorders>
            <w:shd w:val="clear" w:color="auto" w:fill="auto"/>
          </w:tcPr>
          <w:p w14:paraId="28CAA876" w14:textId="77777777" w:rsidR="00D44887" w:rsidRPr="00AA75DF" w:rsidRDefault="00D44887" w:rsidP="002315D8">
            <w:pPr>
              <w:pStyle w:val="BodyText"/>
            </w:pPr>
            <w:r>
              <w:t>Organisation d’ateliers et d’activités de formation à l’intention des autorités compétentes et des acteurs locaux contribuant aux initiatives de développement rural et local sur la gestion collective des systèmes de qualité pour les produits d’origine protégés par une indication géographique ou une marque collective ou de certification, dans chaque pays bénéficiaire</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1AD76C9" w14:textId="77777777" w:rsidR="00D44887" w:rsidRPr="000313D1" w:rsidRDefault="00D44887" w:rsidP="002315D8">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76B2AE2B" w14:textId="77777777" w:rsidR="00D44887" w:rsidRPr="000313D1" w:rsidRDefault="00D44887" w:rsidP="002315D8">
            <w:pPr>
              <w:pStyle w:val="BodyText"/>
            </w:pPr>
          </w:p>
        </w:tc>
        <w:tc>
          <w:tcPr>
            <w:tcW w:w="708" w:type="dxa"/>
            <w:tcBorders>
              <w:top w:val="single" w:sz="6" w:space="0" w:color="auto"/>
              <w:bottom w:val="single" w:sz="6" w:space="0" w:color="auto"/>
            </w:tcBorders>
            <w:shd w:val="clear" w:color="auto" w:fill="FFFFFF" w:themeFill="background1"/>
          </w:tcPr>
          <w:p w14:paraId="3FD0ADD2" w14:textId="77777777" w:rsidR="00D44887" w:rsidRPr="000313D1" w:rsidRDefault="00D44887" w:rsidP="002315D8">
            <w:pPr>
              <w:pStyle w:val="BodyText"/>
            </w:pPr>
          </w:p>
        </w:tc>
        <w:tc>
          <w:tcPr>
            <w:tcW w:w="612" w:type="dxa"/>
            <w:tcBorders>
              <w:top w:val="single" w:sz="6" w:space="0" w:color="auto"/>
              <w:bottom w:val="single" w:sz="6" w:space="0" w:color="auto"/>
            </w:tcBorders>
            <w:shd w:val="clear" w:color="auto" w:fill="FFFFFF" w:themeFill="background1"/>
          </w:tcPr>
          <w:p w14:paraId="43A927FB" w14:textId="77777777" w:rsidR="00D44887" w:rsidRPr="000313D1" w:rsidRDefault="00D44887" w:rsidP="002315D8">
            <w:pPr>
              <w:pStyle w:val="BodyText"/>
            </w:pPr>
          </w:p>
        </w:tc>
        <w:tc>
          <w:tcPr>
            <w:tcW w:w="664" w:type="dxa"/>
            <w:tcBorders>
              <w:right w:val="single" w:sz="12" w:space="0" w:color="auto"/>
            </w:tcBorders>
            <w:shd w:val="clear" w:color="auto" w:fill="auto"/>
          </w:tcPr>
          <w:p w14:paraId="4B6FA817" w14:textId="77777777" w:rsidR="00D44887" w:rsidRPr="000313D1" w:rsidRDefault="00D44887" w:rsidP="002315D8">
            <w:pPr>
              <w:pStyle w:val="BodyText"/>
            </w:pPr>
          </w:p>
        </w:tc>
        <w:tc>
          <w:tcPr>
            <w:tcW w:w="567" w:type="dxa"/>
            <w:tcBorders>
              <w:left w:val="single" w:sz="12" w:space="0" w:color="auto"/>
            </w:tcBorders>
            <w:shd w:val="clear" w:color="auto" w:fill="68E089"/>
          </w:tcPr>
          <w:p w14:paraId="15906761" w14:textId="77777777" w:rsidR="00D44887" w:rsidRPr="000313D1" w:rsidRDefault="00D44887" w:rsidP="002315D8">
            <w:pPr>
              <w:pStyle w:val="BodyText"/>
            </w:pPr>
          </w:p>
        </w:tc>
        <w:tc>
          <w:tcPr>
            <w:tcW w:w="709" w:type="dxa"/>
            <w:shd w:val="clear" w:color="auto" w:fill="68E089"/>
          </w:tcPr>
          <w:p w14:paraId="5FDAB2BA" w14:textId="77777777" w:rsidR="00D44887" w:rsidRPr="00AA75DF" w:rsidRDefault="00D44887" w:rsidP="002315D8">
            <w:pPr>
              <w:pStyle w:val="BodyText"/>
            </w:pPr>
            <w:r>
              <w:t>X</w:t>
            </w:r>
          </w:p>
        </w:tc>
        <w:tc>
          <w:tcPr>
            <w:tcW w:w="567" w:type="dxa"/>
            <w:shd w:val="clear" w:color="auto" w:fill="68E089"/>
          </w:tcPr>
          <w:p w14:paraId="64077624" w14:textId="77777777" w:rsidR="00D44887" w:rsidRPr="00AA75DF" w:rsidRDefault="00D44887" w:rsidP="002315D8">
            <w:pPr>
              <w:pStyle w:val="BodyText"/>
            </w:pPr>
            <w:r>
              <w:t>X</w:t>
            </w:r>
          </w:p>
        </w:tc>
        <w:tc>
          <w:tcPr>
            <w:tcW w:w="567" w:type="dxa"/>
            <w:tcBorders>
              <w:right w:val="single" w:sz="12" w:space="0" w:color="auto"/>
            </w:tcBorders>
            <w:shd w:val="clear" w:color="auto" w:fill="68E089"/>
          </w:tcPr>
          <w:p w14:paraId="0D4C247D" w14:textId="77777777" w:rsidR="00D44887" w:rsidRPr="00AA75DF" w:rsidRDefault="00D44887" w:rsidP="002315D8">
            <w:pPr>
              <w:pStyle w:val="BodyText"/>
              <w:rPr>
                <w:lang w:val="en-GB"/>
              </w:rPr>
            </w:pPr>
          </w:p>
        </w:tc>
        <w:tc>
          <w:tcPr>
            <w:tcW w:w="709" w:type="dxa"/>
            <w:tcBorders>
              <w:left w:val="single" w:sz="12" w:space="0" w:color="auto"/>
            </w:tcBorders>
            <w:shd w:val="clear" w:color="auto" w:fill="FFFFFF" w:themeFill="background1"/>
          </w:tcPr>
          <w:p w14:paraId="3D2087FB" w14:textId="77777777" w:rsidR="00D44887" w:rsidRPr="00AA75DF" w:rsidRDefault="00D44887" w:rsidP="002315D8">
            <w:pPr>
              <w:pStyle w:val="BodyText"/>
              <w:rPr>
                <w:lang w:val="en-GB"/>
              </w:rPr>
            </w:pPr>
          </w:p>
        </w:tc>
        <w:tc>
          <w:tcPr>
            <w:tcW w:w="708" w:type="dxa"/>
            <w:shd w:val="clear" w:color="auto" w:fill="FFFFFF" w:themeFill="background1"/>
          </w:tcPr>
          <w:p w14:paraId="240D8758" w14:textId="77777777" w:rsidR="00D44887" w:rsidRPr="00AA75DF" w:rsidRDefault="00D44887" w:rsidP="002315D8">
            <w:pPr>
              <w:pStyle w:val="BodyText"/>
              <w:rPr>
                <w:lang w:val="en-GB"/>
              </w:rPr>
            </w:pPr>
          </w:p>
        </w:tc>
        <w:tc>
          <w:tcPr>
            <w:tcW w:w="709" w:type="dxa"/>
            <w:shd w:val="clear" w:color="auto" w:fill="FFFFFF" w:themeFill="background1"/>
          </w:tcPr>
          <w:p w14:paraId="360E08AC" w14:textId="77777777" w:rsidR="00D44887" w:rsidRPr="00AA75DF" w:rsidRDefault="00D44887" w:rsidP="002315D8">
            <w:pPr>
              <w:pStyle w:val="BodyText"/>
              <w:rPr>
                <w:lang w:val="en-GB"/>
              </w:rPr>
            </w:pPr>
          </w:p>
        </w:tc>
      </w:tr>
      <w:tr w:rsidR="00D44887" w:rsidRPr="00AA75DF" w14:paraId="45AF3485" w14:textId="77777777" w:rsidTr="002315D8">
        <w:trPr>
          <w:trHeight w:val="259"/>
        </w:trPr>
        <w:tc>
          <w:tcPr>
            <w:tcW w:w="6015" w:type="dxa"/>
            <w:tcBorders>
              <w:right w:val="single" w:sz="12" w:space="0" w:color="auto"/>
            </w:tcBorders>
            <w:shd w:val="clear" w:color="auto" w:fill="auto"/>
          </w:tcPr>
          <w:p w14:paraId="7521B41C" w14:textId="77777777" w:rsidR="00D44887" w:rsidRPr="00AA75DF" w:rsidRDefault="00D44887" w:rsidP="002315D8">
            <w:pPr>
              <w:pStyle w:val="BodyText"/>
            </w:pPr>
            <w:r>
              <w:t>Organisation d’ateliers et d’activités de formation avec les groupements de producteurs sélectionnés sur la gestion collective du système de qualité pour les produits d’origine, dans chaque pays bénéficiaire</w:t>
            </w:r>
          </w:p>
        </w:tc>
        <w:tc>
          <w:tcPr>
            <w:tcW w:w="633" w:type="dxa"/>
            <w:tcBorders>
              <w:top w:val="single" w:sz="6" w:space="0" w:color="auto"/>
              <w:left w:val="single" w:sz="12" w:space="0" w:color="auto"/>
              <w:bottom w:val="single" w:sz="4" w:space="0" w:color="auto"/>
              <w:right w:val="single" w:sz="12" w:space="0" w:color="auto"/>
            </w:tcBorders>
            <w:shd w:val="clear" w:color="auto" w:fill="68E089"/>
          </w:tcPr>
          <w:p w14:paraId="29079ACC" w14:textId="77777777" w:rsidR="00D44887" w:rsidRPr="000313D1" w:rsidRDefault="00D44887" w:rsidP="002315D8">
            <w:pPr>
              <w:pStyle w:val="BodyText"/>
            </w:pPr>
          </w:p>
        </w:tc>
        <w:tc>
          <w:tcPr>
            <w:tcW w:w="567" w:type="dxa"/>
            <w:tcBorders>
              <w:top w:val="single" w:sz="6" w:space="0" w:color="auto"/>
              <w:left w:val="single" w:sz="12" w:space="0" w:color="auto"/>
              <w:bottom w:val="single" w:sz="4" w:space="0" w:color="auto"/>
            </w:tcBorders>
            <w:shd w:val="clear" w:color="auto" w:fill="FFFFFF" w:themeFill="background1"/>
          </w:tcPr>
          <w:p w14:paraId="23CA4B12" w14:textId="77777777" w:rsidR="00D44887" w:rsidRPr="000313D1" w:rsidRDefault="00D44887" w:rsidP="002315D8">
            <w:pPr>
              <w:pStyle w:val="BodyText"/>
            </w:pPr>
          </w:p>
        </w:tc>
        <w:tc>
          <w:tcPr>
            <w:tcW w:w="708" w:type="dxa"/>
            <w:tcBorders>
              <w:top w:val="single" w:sz="6" w:space="0" w:color="auto"/>
              <w:bottom w:val="single" w:sz="4" w:space="0" w:color="auto"/>
            </w:tcBorders>
            <w:shd w:val="clear" w:color="auto" w:fill="FFFFFF" w:themeFill="background1"/>
          </w:tcPr>
          <w:p w14:paraId="22AEA58B" w14:textId="77777777" w:rsidR="00D44887" w:rsidRPr="000313D1" w:rsidRDefault="00D44887" w:rsidP="002315D8">
            <w:pPr>
              <w:pStyle w:val="BodyText"/>
            </w:pPr>
          </w:p>
        </w:tc>
        <w:tc>
          <w:tcPr>
            <w:tcW w:w="612" w:type="dxa"/>
            <w:tcBorders>
              <w:top w:val="single" w:sz="6" w:space="0" w:color="auto"/>
              <w:bottom w:val="single" w:sz="4" w:space="0" w:color="auto"/>
            </w:tcBorders>
            <w:shd w:val="clear" w:color="auto" w:fill="FFFFFF" w:themeFill="background1"/>
          </w:tcPr>
          <w:p w14:paraId="21117B39" w14:textId="77777777" w:rsidR="00D44887" w:rsidRPr="000313D1" w:rsidRDefault="00D44887" w:rsidP="002315D8">
            <w:pPr>
              <w:pStyle w:val="BodyText"/>
            </w:pPr>
          </w:p>
        </w:tc>
        <w:tc>
          <w:tcPr>
            <w:tcW w:w="664" w:type="dxa"/>
            <w:tcBorders>
              <w:bottom w:val="single" w:sz="4" w:space="0" w:color="auto"/>
              <w:right w:val="single" w:sz="12" w:space="0" w:color="auto"/>
            </w:tcBorders>
            <w:shd w:val="clear" w:color="auto" w:fill="auto"/>
          </w:tcPr>
          <w:p w14:paraId="36B0F640" w14:textId="77777777" w:rsidR="00D44887" w:rsidRPr="000313D1" w:rsidRDefault="00D44887" w:rsidP="002315D8">
            <w:pPr>
              <w:pStyle w:val="BodyText"/>
            </w:pPr>
          </w:p>
        </w:tc>
        <w:tc>
          <w:tcPr>
            <w:tcW w:w="567" w:type="dxa"/>
            <w:tcBorders>
              <w:left w:val="single" w:sz="12" w:space="0" w:color="auto"/>
            </w:tcBorders>
            <w:shd w:val="clear" w:color="auto" w:fill="68E089"/>
          </w:tcPr>
          <w:p w14:paraId="3DE3C619" w14:textId="77777777" w:rsidR="00D44887" w:rsidRPr="000313D1" w:rsidRDefault="00D44887" w:rsidP="002315D8">
            <w:pPr>
              <w:pStyle w:val="BodyText"/>
            </w:pPr>
          </w:p>
        </w:tc>
        <w:tc>
          <w:tcPr>
            <w:tcW w:w="709" w:type="dxa"/>
            <w:shd w:val="clear" w:color="auto" w:fill="68E089"/>
          </w:tcPr>
          <w:p w14:paraId="6633868B" w14:textId="77777777" w:rsidR="00D44887" w:rsidRPr="00AA75DF" w:rsidRDefault="00D44887" w:rsidP="002315D8">
            <w:pPr>
              <w:pStyle w:val="BodyText"/>
            </w:pPr>
            <w:r>
              <w:t>X</w:t>
            </w:r>
          </w:p>
        </w:tc>
        <w:tc>
          <w:tcPr>
            <w:tcW w:w="567" w:type="dxa"/>
            <w:shd w:val="clear" w:color="auto" w:fill="68E089"/>
          </w:tcPr>
          <w:p w14:paraId="61BD7E0D" w14:textId="77777777" w:rsidR="00D44887" w:rsidRPr="00AA75DF" w:rsidRDefault="00D44887" w:rsidP="002315D8">
            <w:pPr>
              <w:pStyle w:val="BodyText"/>
            </w:pPr>
            <w:r>
              <w:t>X</w:t>
            </w:r>
          </w:p>
        </w:tc>
        <w:tc>
          <w:tcPr>
            <w:tcW w:w="567" w:type="dxa"/>
            <w:tcBorders>
              <w:right w:val="single" w:sz="12" w:space="0" w:color="auto"/>
            </w:tcBorders>
            <w:shd w:val="clear" w:color="auto" w:fill="68E089"/>
          </w:tcPr>
          <w:p w14:paraId="3D99A6B8" w14:textId="77777777" w:rsidR="00D44887" w:rsidRPr="00AA75DF" w:rsidRDefault="00D44887" w:rsidP="002315D8">
            <w:pPr>
              <w:pStyle w:val="BodyText"/>
              <w:rPr>
                <w:lang w:val="en-GB"/>
              </w:rPr>
            </w:pPr>
          </w:p>
        </w:tc>
        <w:tc>
          <w:tcPr>
            <w:tcW w:w="709" w:type="dxa"/>
            <w:tcBorders>
              <w:left w:val="single" w:sz="12" w:space="0" w:color="auto"/>
            </w:tcBorders>
            <w:shd w:val="clear" w:color="auto" w:fill="FFFFFF" w:themeFill="background1"/>
          </w:tcPr>
          <w:p w14:paraId="4A9DAD32" w14:textId="77777777" w:rsidR="00D44887" w:rsidRPr="00AA75DF" w:rsidRDefault="00D44887" w:rsidP="002315D8">
            <w:pPr>
              <w:pStyle w:val="BodyText"/>
              <w:rPr>
                <w:lang w:val="en-GB"/>
              </w:rPr>
            </w:pPr>
          </w:p>
        </w:tc>
        <w:tc>
          <w:tcPr>
            <w:tcW w:w="708" w:type="dxa"/>
            <w:shd w:val="clear" w:color="auto" w:fill="FFFFFF" w:themeFill="background1"/>
          </w:tcPr>
          <w:p w14:paraId="1E0A3487" w14:textId="77777777" w:rsidR="00D44887" w:rsidRPr="00AA75DF" w:rsidRDefault="00D44887" w:rsidP="002315D8">
            <w:pPr>
              <w:pStyle w:val="BodyText"/>
              <w:rPr>
                <w:lang w:val="en-GB"/>
              </w:rPr>
            </w:pPr>
          </w:p>
        </w:tc>
        <w:tc>
          <w:tcPr>
            <w:tcW w:w="709" w:type="dxa"/>
            <w:shd w:val="clear" w:color="auto" w:fill="FFFFFF" w:themeFill="background1"/>
          </w:tcPr>
          <w:p w14:paraId="088DDEF6" w14:textId="77777777" w:rsidR="00D44887" w:rsidRPr="00AA75DF" w:rsidRDefault="00D44887" w:rsidP="002315D8">
            <w:pPr>
              <w:pStyle w:val="BodyText"/>
              <w:rPr>
                <w:lang w:val="en-GB"/>
              </w:rPr>
            </w:pPr>
          </w:p>
        </w:tc>
      </w:tr>
      <w:tr w:rsidR="00D44887" w:rsidRPr="00AA75DF" w14:paraId="5EEDDCBF" w14:textId="77777777" w:rsidTr="002315D8">
        <w:trPr>
          <w:trHeight w:val="259"/>
        </w:trPr>
        <w:tc>
          <w:tcPr>
            <w:tcW w:w="6015" w:type="dxa"/>
            <w:tcBorders>
              <w:right w:val="single" w:sz="12" w:space="0" w:color="auto"/>
            </w:tcBorders>
            <w:shd w:val="clear" w:color="auto" w:fill="auto"/>
          </w:tcPr>
          <w:p w14:paraId="6D7EB226" w14:textId="77777777" w:rsidR="00D44887" w:rsidRPr="00AA75DF" w:rsidRDefault="00D44887" w:rsidP="002315D8">
            <w:pPr>
              <w:pStyle w:val="BodyText"/>
            </w:pPr>
            <w:r>
              <w:t>Organisation d’ateliers et d’activités de formation visant à renforcer la gouvernance interne des groupements de producteurs sélectionnés, dans chaque pays bénéficiaire</w:t>
            </w:r>
          </w:p>
        </w:tc>
        <w:tc>
          <w:tcPr>
            <w:tcW w:w="633" w:type="dxa"/>
            <w:tcBorders>
              <w:top w:val="single" w:sz="4" w:space="0" w:color="auto"/>
              <w:left w:val="single" w:sz="12" w:space="0" w:color="auto"/>
              <w:bottom w:val="single" w:sz="6" w:space="0" w:color="auto"/>
              <w:right w:val="single" w:sz="12" w:space="0" w:color="auto"/>
            </w:tcBorders>
            <w:shd w:val="clear" w:color="auto" w:fill="68E089"/>
          </w:tcPr>
          <w:p w14:paraId="308541DC" w14:textId="77777777" w:rsidR="00D44887" w:rsidRPr="000313D1" w:rsidRDefault="00D44887" w:rsidP="002315D8">
            <w:pPr>
              <w:pStyle w:val="BodyText"/>
            </w:pPr>
          </w:p>
        </w:tc>
        <w:tc>
          <w:tcPr>
            <w:tcW w:w="567" w:type="dxa"/>
            <w:tcBorders>
              <w:top w:val="single" w:sz="4" w:space="0" w:color="auto"/>
              <w:left w:val="single" w:sz="12" w:space="0" w:color="auto"/>
              <w:bottom w:val="single" w:sz="6" w:space="0" w:color="auto"/>
            </w:tcBorders>
            <w:shd w:val="clear" w:color="auto" w:fill="FFFFFF" w:themeFill="background1"/>
          </w:tcPr>
          <w:p w14:paraId="033C57B0" w14:textId="77777777" w:rsidR="00D44887" w:rsidRPr="000313D1" w:rsidRDefault="00D44887" w:rsidP="002315D8">
            <w:pPr>
              <w:pStyle w:val="BodyText"/>
            </w:pPr>
          </w:p>
        </w:tc>
        <w:tc>
          <w:tcPr>
            <w:tcW w:w="708" w:type="dxa"/>
            <w:tcBorders>
              <w:top w:val="single" w:sz="4" w:space="0" w:color="auto"/>
              <w:bottom w:val="single" w:sz="6" w:space="0" w:color="auto"/>
            </w:tcBorders>
            <w:shd w:val="clear" w:color="auto" w:fill="FFFFFF" w:themeFill="background1"/>
          </w:tcPr>
          <w:p w14:paraId="3CFCA858" w14:textId="77777777" w:rsidR="00D44887" w:rsidRPr="000313D1" w:rsidRDefault="00D44887" w:rsidP="002315D8">
            <w:pPr>
              <w:pStyle w:val="BodyText"/>
            </w:pPr>
          </w:p>
        </w:tc>
        <w:tc>
          <w:tcPr>
            <w:tcW w:w="612" w:type="dxa"/>
            <w:tcBorders>
              <w:top w:val="single" w:sz="4" w:space="0" w:color="auto"/>
              <w:bottom w:val="single" w:sz="6" w:space="0" w:color="auto"/>
            </w:tcBorders>
            <w:shd w:val="clear" w:color="auto" w:fill="FFFFFF" w:themeFill="background1"/>
          </w:tcPr>
          <w:p w14:paraId="43D314A8" w14:textId="77777777" w:rsidR="00D44887" w:rsidRPr="000313D1" w:rsidRDefault="00D44887" w:rsidP="002315D8">
            <w:pPr>
              <w:pStyle w:val="BodyText"/>
            </w:pPr>
          </w:p>
        </w:tc>
        <w:tc>
          <w:tcPr>
            <w:tcW w:w="664" w:type="dxa"/>
            <w:tcBorders>
              <w:top w:val="single" w:sz="4" w:space="0" w:color="auto"/>
              <w:right w:val="single" w:sz="12" w:space="0" w:color="auto"/>
            </w:tcBorders>
            <w:shd w:val="clear" w:color="auto" w:fill="auto"/>
          </w:tcPr>
          <w:p w14:paraId="13CC55F6" w14:textId="77777777" w:rsidR="00D44887" w:rsidRPr="000313D1" w:rsidRDefault="00D44887" w:rsidP="002315D8">
            <w:pPr>
              <w:pStyle w:val="BodyText"/>
            </w:pPr>
          </w:p>
        </w:tc>
        <w:tc>
          <w:tcPr>
            <w:tcW w:w="567" w:type="dxa"/>
            <w:tcBorders>
              <w:left w:val="single" w:sz="12" w:space="0" w:color="auto"/>
            </w:tcBorders>
            <w:shd w:val="clear" w:color="auto" w:fill="68E089"/>
          </w:tcPr>
          <w:p w14:paraId="210A8B8C" w14:textId="77777777" w:rsidR="00D44887" w:rsidRPr="000313D1" w:rsidRDefault="00D44887" w:rsidP="002315D8">
            <w:pPr>
              <w:pStyle w:val="BodyText"/>
            </w:pPr>
          </w:p>
        </w:tc>
        <w:tc>
          <w:tcPr>
            <w:tcW w:w="709" w:type="dxa"/>
            <w:shd w:val="clear" w:color="auto" w:fill="68E089"/>
          </w:tcPr>
          <w:p w14:paraId="2C9830C9" w14:textId="77777777" w:rsidR="00D44887" w:rsidRPr="000313D1" w:rsidRDefault="00D44887" w:rsidP="002315D8">
            <w:pPr>
              <w:pStyle w:val="BodyText"/>
            </w:pPr>
          </w:p>
        </w:tc>
        <w:tc>
          <w:tcPr>
            <w:tcW w:w="567" w:type="dxa"/>
            <w:shd w:val="clear" w:color="auto" w:fill="68E089"/>
          </w:tcPr>
          <w:p w14:paraId="659447F7" w14:textId="77777777" w:rsidR="00D44887" w:rsidRPr="000313D1" w:rsidRDefault="00D44887" w:rsidP="002315D8">
            <w:pPr>
              <w:pStyle w:val="BodyText"/>
            </w:pPr>
          </w:p>
        </w:tc>
        <w:tc>
          <w:tcPr>
            <w:tcW w:w="567" w:type="dxa"/>
            <w:tcBorders>
              <w:right w:val="single" w:sz="12" w:space="0" w:color="auto"/>
            </w:tcBorders>
            <w:shd w:val="clear" w:color="auto" w:fill="68E089"/>
          </w:tcPr>
          <w:p w14:paraId="0499AA5F" w14:textId="77777777" w:rsidR="00D44887" w:rsidRPr="00AA75DF" w:rsidRDefault="00D44887" w:rsidP="002315D8">
            <w:pPr>
              <w:pStyle w:val="BodyText"/>
            </w:pPr>
            <w:r>
              <w:t>X</w:t>
            </w:r>
          </w:p>
        </w:tc>
        <w:tc>
          <w:tcPr>
            <w:tcW w:w="709" w:type="dxa"/>
            <w:tcBorders>
              <w:left w:val="single" w:sz="12" w:space="0" w:color="auto"/>
            </w:tcBorders>
            <w:shd w:val="clear" w:color="auto" w:fill="FFFFFF" w:themeFill="background1"/>
          </w:tcPr>
          <w:p w14:paraId="1629B79C" w14:textId="77777777" w:rsidR="00D44887" w:rsidRPr="00AA75DF" w:rsidRDefault="00D44887" w:rsidP="002315D8">
            <w:pPr>
              <w:pStyle w:val="BodyText"/>
            </w:pPr>
            <w:r>
              <w:t>X</w:t>
            </w:r>
          </w:p>
        </w:tc>
        <w:tc>
          <w:tcPr>
            <w:tcW w:w="708" w:type="dxa"/>
            <w:shd w:val="clear" w:color="auto" w:fill="FFFFFF" w:themeFill="background1"/>
          </w:tcPr>
          <w:p w14:paraId="59759EE2" w14:textId="77777777" w:rsidR="00D44887" w:rsidRPr="00AA75DF" w:rsidRDefault="00D44887" w:rsidP="002315D8">
            <w:pPr>
              <w:pStyle w:val="BodyText"/>
            </w:pPr>
            <w:r>
              <w:t>X</w:t>
            </w:r>
          </w:p>
        </w:tc>
        <w:tc>
          <w:tcPr>
            <w:tcW w:w="709" w:type="dxa"/>
            <w:shd w:val="clear" w:color="auto" w:fill="FFFFFF" w:themeFill="background1"/>
          </w:tcPr>
          <w:p w14:paraId="105D1B52" w14:textId="77777777" w:rsidR="00D44887" w:rsidRPr="00AA75DF" w:rsidRDefault="00D44887" w:rsidP="002315D8">
            <w:pPr>
              <w:pStyle w:val="BodyText"/>
              <w:rPr>
                <w:lang w:val="en-GB"/>
              </w:rPr>
            </w:pPr>
          </w:p>
        </w:tc>
      </w:tr>
      <w:tr w:rsidR="00D44887" w:rsidRPr="00AA75DF" w14:paraId="15CED0CF" w14:textId="77777777" w:rsidTr="002315D8">
        <w:trPr>
          <w:trHeight w:val="259"/>
        </w:trPr>
        <w:tc>
          <w:tcPr>
            <w:tcW w:w="6015" w:type="dxa"/>
            <w:tcBorders>
              <w:right w:val="single" w:sz="12" w:space="0" w:color="auto"/>
            </w:tcBorders>
            <w:shd w:val="clear" w:color="auto" w:fill="auto"/>
          </w:tcPr>
          <w:p w14:paraId="663A81EC" w14:textId="77777777" w:rsidR="00D44887" w:rsidRPr="00AA75DF" w:rsidRDefault="00D44887" w:rsidP="002315D8">
            <w:pPr>
              <w:pStyle w:val="BodyText"/>
            </w:pPr>
            <w:r>
              <w:t>Organisation d’activités visant à appuyer l’élaboration et la mise en œuvre de systèmes de contrôle et de certification rentables, selon qu’il conviendra, avec les groupements de producteurs sélectionnés, dans chaque pays bénéficiaire</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6D972235" w14:textId="77777777" w:rsidR="00D44887" w:rsidRPr="000313D1" w:rsidRDefault="00D44887" w:rsidP="002315D8">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5A084589" w14:textId="77777777" w:rsidR="00D44887" w:rsidRPr="000313D1" w:rsidRDefault="00D44887" w:rsidP="002315D8">
            <w:pPr>
              <w:pStyle w:val="BodyText"/>
            </w:pPr>
          </w:p>
        </w:tc>
        <w:tc>
          <w:tcPr>
            <w:tcW w:w="708" w:type="dxa"/>
            <w:tcBorders>
              <w:top w:val="single" w:sz="6" w:space="0" w:color="auto"/>
              <w:bottom w:val="single" w:sz="6" w:space="0" w:color="auto"/>
            </w:tcBorders>
            <w:shd w:val="clear" w:color="auto" w:fill="FFFFFF" w:themeFill="background1"/>
          </w:tcPr>
          <w:p w14:paraId="0A608365" w14:textId="77777777" w:rsidR="00D44887" w:rsidRPr="000313D1" w:rsidRDefault="00D44887" w:rsidP="002315D8">
            <w:pPr>
              <w:pStyle w:val="BodyText"/>
            </w:pPr>
          </w:p>
        </w:tc>
        <w:tc>
          <w:tcPr>
            <w:tcW w:w="612" w:type="dxa"/>
            <w:tcBorders>
              <w:top w:val="single" w:sz="6" w:space="0" w:color="auto"/>
              <w:bottom w:val="single" w:sz="6" w:space="0" w:color="auto"/>
            </w:tcBorders>
            <w:shd w:val="clear" w:color="auto" w:fill="FFFFFF" w:themeFill="background1"/>
          </w:tcPr>
          <w:p w14:paraId="339D7F60" w14:textId="77777777" w:rsidR="00D44887" w:rsidRPr="000313D1" w:rsidRDefault="00D44887" w:rsidP="002315D8">
            <w:pPr>
              <w:pStyle w:val="BodyText"/>
            </w:pPr>
          </w:p>
        </w:tc>
        <w:tc>
          <w:tcPr>
            <w:tcW w:w="664" w:type="dxa"/>
            <w:tcBorders>
              <w:right w:val="single" w:sz="12" w:space="0" w:color="auto"/>
            </w:tcBorders>
            <w:shd w:val="clear" w:color="auto" w:fill="auto"/>
          </w:tcPr>
          <w:p w14:paraId="3C2C5CDE" w14:textId="77777777" w:rsidR="00D44887" w:rsidRPr="000313D1" w:rsidRDefault="00D44887" w:rsidP="002315D8">
            <w:pPr>
              <w:pStyle w:val="BodyText"/>
            </w:pPr>
          </w:p>
        </w:tc>
        <w:tc>
          <w:tcPr>
            <w:tcW w:w="567" w:type="dxa"/>
            <w:tcBorders>
              <w:left w:val="single" w:sz="12" w:space="0" w:color="auto"/>
            </w:tcBorders>
            <w:shd w:val="clear" w:color="auto" w:fill="68E089"/>
          </w:tcPr>
          <w:p w14:paraId="0CF38612" w14:textId="77777777" w:rsidR="00D44887" w:rsidRPr="000313D1" w:rsidRDefault="00D44887" w:rsidP="002315D8">
            <w:pPr>
              <w:pStyle w:val="BodyText"/>
            </w:pPr>
          </w:p>
        </w:tc>
        <w:tc>
          <w:tcPr>
            <w:tcW w:w="709" w:type="dxa"/>
            <w:shd w:val="clear" w:color="auto" w:fill="68E089"/>
          </w:tcPr>
          <w:p w14:paraId="756B16B6" w14:textId="77777777" w:rsidR="00D44887" w:rsidRPr="000313D1" w:rsidRDefault="00D44887" w:rsidP="002315D8">
            <w:pPr>
              <w:pStyle w:val="BodyText"/>
            </w:pPr>
          </w:p>
        </w:tc>
        <w:tc>
          <w:tcPr>
            <w:tcW w:w="567" w:type="dxa"/>
            <w:shd w:val="clear" w:color="auto" w:fill="68E089"/>
          </w:tcPr>
          <w:p w14:paraId="28532A79" w14:textId="77777777" w:rsidR="00D44887" w:rsidRPr="000313D1" w:rsidRDefault="00D44887" w:rsidP="002315D8">
            <w:pPr>
              <w:pStyle w:val="BodyText"/>
            </w:pPr>
          </w:p>
        </w:tc>
        <w:tc>
          <w:tcPr>
            <w:tcW w:w="567" w:type="dxa"/>
            <w:tcBorders>
              <w:right w:val="single" w:sz="12" w:space="0" w:color="auto"/>
            </w:tcBorders>
            <w:shd w:val="clear" w:color="auto" w:fill="68E089"/>
          </w:tcPr>
          <w:p w14:paraId="19911C3B" w14:textId="77777777" w:rsidR="00D44887" w:rsidRPr="00AA75DF" w:rsidRDefault="00D44887" w:rsidP="002315D8">
            <w:pPr>
              <w:pStyle w:val="BodyText"/>
            </w:pPr>
            <w:r>
              <w:t>X</w:t>
            </w:r>
          </w:p>
        </w:tc>
        <w:tc>
          <w:tcPr>
            <w:tcW w:w="709" w:type="dxa"/>
            <w:tcBorders>
              <w:left w:val="single" w:sz="12" w:space="0" w:color="auto"/>
            </w:tcBorders>
            <w:shd w:val="clear" w:color="auto" w:fill="FFFFFF" w:themeFill="background1"/>
          </w:tcPr>
          <w:p w14:paraId="6EF4C6B7" w14:textId="77777777" w:rsidR="00D44887" w:rsidRPr="00AA75DF" w:rsidRDefault="00D44887" w:rsidP="002315D8">
            <w:pPr>
              <w:pStyle w:val="BodyText"/>
            </w:pPr>
            <w:r>
              <w:t>X</w:t>
            </w:r>
          </w:p>
        </w:tc>
        <w:tc>
          <w:tcPr>
            <w:tcW w:w="708" w:type="dxa"/>
            <w:shd w:val="clear" w:color="auto" w:fill="FFFFFF" w:themeFill="background1"/>
          </w:tcPr>
          <w:p w14:paraId="3F785F07" w14:textId="77777777" w:rsidR="00D44887" w:rsidRPr="00AA75DF" w:rsidRDefault="00D44887" w:rsidP="002315D8">
            <w:pPr>
              <w:pStyle w:val="BodyText"/>
            </w:pPr>
            <w:r>
              <w:t>X</w:t>
            </w:r>
          </w:p>
        </w:tc>
        <w:tc>
          <w:tcPr>
            <w:tcW w:w="709" w:type="dxa"/>
            <w:shd w:val="clear" w:color="auto" w:fill="FFFFFF" w:themeFill="background1"/>
          </w:tcPr>
          <w:p w14:paraId="07E275D3" w14:textId="77777777" w:rsidR="00D44887" w:rsidRPr="00AA75DF" w:rsidRDefault="00D44887" w:rsidP="002315D8">
            <w:pPr>
              <w:pStyle w:val="BodyText"/>
              <w:rPr>
                <w:lang w:val="en-GB"/>
              </w:rPr>
            </w:pPr>
          </w:p>
        </w:tc>
      </w:tr>
      <w:tr w:rsidR="00D44887" w:rsidRPr="00AA75DF" w14:paraId="1D1D72E1" w14:textId="77777777" w:rsidTr="002315D8">
        <w:trPr>
          <w:trHeight w:val="259"/>
        </w:trPr>
        <w:tc>
          <w:tcPr>
            <w:tcW w:w="6015" w:type="dxa"/>
            <w:tcBorders>
              <w:right w:val="single" w:sz="12" w:space="0" w:color="auto"/>
            </w:tcBorders>
            <w:shd w:val="clear" w:color="auto" w:fill="auto"/>
          </w:tcPr>
          <w:p w14:paraId="3A2D4EAB" w14:textId="77777777" w:rsidR="00D44887" w:rsidRPr="00AA75DF" w:rsidRDefault="00D44887" w:rsidP="002315D8">
            <w:pPr>
              <w:pStyle w:val="BodyText"/>
            </w:pPr>
            <w:r>
              <w:t>Élaboration d’une stratégie de marque et de commercialisation pour les indications géographiques ou marques collectives ou de certification sélectionnées, dans chaque pays bénéficiaire, et organisation d’activités pour la mettre en œuvre</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772FDC2C" w14:textId="77777777" w:rsidR="00D44887" w:rsidRPr="000313D1" w:rsidRDefault="00D44887" w:rsidP="002315D8">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021E6CF7" w14:textId="77777777" w:rsidR="00D44887" w:rsidRPr="000313D1" w:rsidRDefault="00D44887" w:rsidP="002315D8">
            <w:pPr>
              <w:pStyle w:val="BodyText"/>
            </w:pPr>
          </w:p>
        </w:tc>
        <w:tc>
          <w:tcPr>
            <w:tcW w:w="708" w:type="dxa"/>
            <w:tcBorders>
              <w:top w:val="single" w:sz="6" w:space="0" w:color="auto"/>
              <w:bottom w:val="single" w:sz="6" w:space="0" w:color="auto"/>
            </w:tcBorders>
            <w:shd w:val="clear" w:color="auto" w:fill="FFFFFF" w:themeFill="background1"/>
          </w:tcPr>
          <w:p w14:paraId="6446DF46" w14:textId="77777777" w:rsidR="00D44887" w:rsidRPr="000313D1" w:rsidRDefault="00D44887" w:rsidP="002315D8">
            <w:pPr>
              <w:pStyle w:val="BodyText"/>
            </w:pPr>
          </w:p>
        </w:tc>
        <w:tc>
          <w:tcPr>
            <w:tcW w:w="612" w:type="dxa"/>
            <w:tcBorders>
              <w:top w:val="single" w:sz="6" w:space="0" w:color="auto"/>
              <w:bottom w:val="single" w:sz="6" w:space="0" w:color="auto"/>
            </w:tcBorders>
            <w:shd w:val="clear" w:color="auto" w:fill="FFFFFF" w:themeFill="background1"/>
          </w:tcPr>
          <w:p w14:paraId="0DF06C55" w14:textId="77777777" w:rsidR="00D44887" w:rsidRPr="000313D1" w:rsidRDefault="00D44887" w:rsidP="002315D8">
            <w:pPr>
              <w:pStyle w:val="BodyText"/>
            </w:pPr>
          </w:p>
        </w:tc>
        <w:tc>
          <w:tcPr>
            <w:tcW w:w="664" w:type="dxa"/>
            <w:tcBorders>
              <w:right w:val="single" w:sz="12" w:space="0" w:color="auto"/>
            </w:tcBorders>
            <w:shd w:val="clear" w:color="auto" w:fill="auto"/>
          </w:tcPr>
          <w:p w14:paraId="5B78B293" w14:textId="77777777" w:rsidR="00D44887" w:rsidRPr="000313D1" w:rsidRDefault="00D44887" w:rsidP="002315D8">
            <w:pPr>
              <w:pStyle w:val="BodyText"/>
            </w:pPr>
          </w:p>
        </w:tc>
        <w:tc>
          <w:tcPr>
            <w:tcW w:w="567" w:type="dxa"/>
            <w:tcBorders>
              <w:left w:val="single" w:sz="12" w:space="0" w:color="auto"/>
            </w:tcBorders>
            <w:shd w:val="clear" w:color="auto" w:fill="68E089"/>
          </w:tcPr>
          <w:p w14:paraId="406785FF" w14:textId="77777777" w:rsidR="00D44887" w:rsidRPr="000313D1" w:rsidRDefault="00D44887" w:rsidP="002315D8">
            <w:pPr>
              <w:pStyle w:val="BodyText"/>
            </w:pPr>
          </w:p>
        </w:tc>
        <w:tc>
          <w:tcPr>
            <w:tcW w:w="709" w:type="dxa"/>
            <w:shd w:val="clear" w:color="auto" w:fill="68E089"/>
          </w:tcPr>
          <w:p w14:paraId="5E8C643F" w14:textId="77777777" w:rsidR="00D44887" w:rsidRPr="000313D1" w:rsidRDefault="00D44887" w:rsidP="002315D8">
            <w:pPr>
              <w:pStyle w:val="BodyText"/>
            </w:pPr>
          </w:p>
        </w:tc>
        <w:tc>
          <w:tcPr>
            <w:tcW w:w="567" w:type="dxa"/>
            <w:shd w:val="clear" w:color="auto" w:fill="68E089"/>
          </w:tcPr>
          <w:p w14:paraId="4AEEB235" w14:textId="77777777" w:rsidR="00D44887" w:rsidRPr="000313D1" w:rsidRDefault="00D44887" w:rsidP="002315D8">
            <w:pPr>
              <w:pStyle w:val="BodyText"/>
            </w:pPr>
          </w:p>
        </w:tc>
        <w:tc>
          <w:tcPr>
            <w:tcW w:w="567" w:type="dxa"/>
            <w:tcBorders>
              <w:right w:val="single" w:sz="12" w:space="0" w:color="auto"/>
            </w:tcBorders>
            <w:shd w:val="clear" w:color="auto" w:fill="68E089"/>
          </w:tcPr>
          <w:p w14:paraId="4237759E" w14:textId="77777777" w:rsidR="00D44887" w:rsidRPr="00AA75DF" w:rsidRDefault="00D44887" w:rsidP="002315D8">
            <w:pPr>
              <w:pStyle w:val="BodyText"/>
            </w:pPr>
            <w:r>
              <w:t>X</w:t>
            </w:r>
          </w:p>
        </w:tc>
        <w:tc>
          <w:tcPr>
            <w:tcW w:w="709" w:type="dxa"/>
            <w:tcBorders>
              <w:left w:val="single" w:sz="12" w:space="0" w:color="auto"/>
            </w:tcBorders>
            <w:shd w:val="clear" w:color="auto" w:fill="FFFFFF" w:themeFill="background1"/>
          </w:tcPr>
          <w:p w14:paraId="64A80A7C" w14:textId="77777777" w:rsidR="00D44887" w:rsidRPr="00AA75DF" w:rsidRDefault="00D44887" w:rsidP="002315D8">
            <w:pPr>
              <w:pStyle w:val="BodyText"/>
            </w:pPr>
            <w:r>
              <w:t>X</w:t>
            </w:r>
          </w:p>
        </w:tc>
        <w:tc>
          <w:tcPr>
            <w:tcW w:w="708" w:type="dxa"/>
            <w:shd w:val="clear" w:color="auto" w:fill="FFFFFF" w:themeFill="background1"/>
          </w:tcPr>
          <w:p w14:paraId="1DA719F4" w14:textId="77777777" w:rsidR="00D44887" w:rsidRPr="00AA75DF" w:rsidRDefault="00D44887" w:rsidP="002315D8">
            <w:pPr>
              <w:pStyle w:val="BodyText"/>
            </w:pPr>
            <w:r>
              <w:t>X</w:t>
            </w:r>
          </w:p>
        </w:tc>
        <w:tc>
          <w:tcPr>
            <w:tcW w:w="709" w:type="dxa"/>
            <w:shd w:val="clear" w:color="auto" w:fill="FFFFFF" w:themeFill="background1"/>
          </w:tcPr>
          <w:p w14:paraId="2E9B767D" w14:textId="77777777" w:rsidR="00D44887" w:rsidRPr="00AA75DF" w:rsidRDefault="00D44887" w:rsidP="002315D8">
            <w:pPr>
              <w:pStyle w:val="BodyText"/>
              <w:rPr>
                <w:lang w:val="en-GB"/>
              </w:rPr>
            </w:pPr>
          </w:p>
        </w:tc>
      </w:tr>
      <w:tr w:rsidR="00D44887" w:rsidRPr="00AA75DF" w14:paraId="31D05AC2" w14:textId="77777777" w:rsidTr="002315D8">
        <w:trPr>
          <w:trHeight w:val="283"/>
        </w:trPr>
        <w:tc>
          <w:tcPr>
            <w:tcW w:w="6015" w:type="dxa"/>
            <w:tcBorders>
              <w:right w:val="single" w:sz="12" w:space="0" w:color="auto"/>
            </w:tcBorders>
            <w:shd w:val="clear" w:color="auto" w:fill="auto"/>
          </w:tcPr>
          <w:p w14:paraId="0DCCD092" w14:textId="77777777" w:rsidR="00D44887" w:rsidRPr="00AA75DF" w:rsidRDefault="00D44887" w:rsidP="002315D8">
            <w:pPr>
              <w:pStyle w:val="BodyText"/>
            </w:pPr>
            <w:r>
              <w:t xml:space="preserve">Organisation d’activités de sensibilisation sur les avantages potentiels de la gestion collective des indications géographiques ou marques collectives ou de certification </w:t>
            </w:r>
            <w:r>
              <w:lastRenderedPageBreak/>
              <w:t>pour le développement local et la préservation des traditions et de la culture, dans chaque pays bénéficiaire;  et production de matériel de sensibilisation</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56A38AD" w14:textId="77777777" w:rsidR="00D44887" w:rsidRPr="000313D1" w:rsidRDefault="00D44887" w:rsidP="002315D8">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570CEAD6" w14:textId="77777777" w:rsidR="00D44887" w:rsidRPr="000313D1" w:rsidRDefault="00D44887" w:rsidP="002315D8">
            <w:pPr>
              <w:pStyle w:val="BodyText"/>
            </w:pPr>
          </w:p>
        </w:tc>
        <w:tc>
          <w:tcPr>
            <w:tcW w:w="708" w:type="dxa"/>
            <w:tcBorders>
              <w:top w:val="single" w:sz="6" w:space="0" w:color="auto"/>
              <w:bottom w:val="single" w:sz="6" w:space="0" w:color="auto"/>
            </w:tcBorders>
            <w:shd w:val="clear" w:color="auto" w:fill="FFFFFF" w:themeFill="background1"/>
          </w:tcPr>
          <w:p w14:paraId="2599F11B" w14:textId="77777777" w:rsidR="00D44887" w:rsidRPr="000313D1" w:rsidRDefault="00D44887" w:rsidP="002315D8">
            <w:pPr>
              <w:pStyle w:val="BodyText"/>
            </w:pPr>
          </w:p>
        </w:tc>
        <w:tc>
          <w:tcPr>
            <w:tcW w:w="612" w:type="dxa"/>
            <w:tcBorders>
              <w:top w:val="single" w:sz="6" w:space="0" w:color="auto"/>
              <w:bottom w:val="single" w:sz="6" w:space="0" w:color="auto"/>
            </w:tcBorders>
            <w:shd w:val="clear" w:color="auto" w:fill="FFFFFF" w:themeFill="background1"/>
          </w:tcPr>
          <w:p w14:paraId="1DC358BA" w14:textId="77777777" w:rsidR="00D44887" w:rsidRPr="000313D1" w:rsidRDefault="00D44887" w:rsidP="002315D8">
            <w:pPr>
              <w:pStyle w:val="BodyText"/>
            </w:pPr>
          </w:p>
        </w:tc>
        <w:tc>
          <w:tcPr>
            <w:tcW w:w="664" w:type="dxa"/>
            <w:tcBorders>
              <w:right w:val="single" w:sz="12" w:space="0" w:color="auto"/>
            </w:tcBorders>
            <w:shd w:val="clear" w:color="auto" w:fill="auto"/>
          </w:tcPr>
          <w:p w14:paraId="6A2F88B9" w14:textId="77777777" w:rsidR="00D44887" w:rsidRPr="000313D1" w:rsidRDefault="00D44887" w:rsidP="002315D8">
            <w:pPr>
              <w:pStyle w:val="BodyText"/>
            </w:pPr>
          </w:p>
        </w:tc>
        <w:tc>
          <w:tcPr>
            <w:tcW w:w="567" w:type="dxa"/>
            <w:tcBorders>
              <w:left w:val="single" w:sz="12" w:space="0" w:color="auto"/>
            </w:tcBorders>
            <w:shd w:val="clear" w:color="auto" w:fill="68E089"/>
          </w:tcPr>
          <w:p w14:paraId="3C9D010A" w14:textId="77777777" w:rsidR="00D44887" w:rsidRPr="000313D1" w:rsidRDefault="00D44887" w:rsidP="002315D8">
            <w:pPr>
              <w:pStyle w:val="BodyText"/>
            </w:pPr>
          </w:p>
        </w:tc>
        <w:tc>
          <w:tcPr>
            <w:tcW w:w="709" w:type="dxa"/>
            <w:shd w:val="clear" w:color="auto" w:fill="68E089"/>
          </w:tcPr>
          <w:p w14:paraId="6E3DC2AF" w14:textId="77777777" w:rsidR="00D44887" w:rsidRPr="000313D1" w:rsidRDefault="00D44887" w:rsidP="002315D8">
            <w:pPr>
              <w:pStyle w:val="BodyText"/>
            </w:pPr>
          </w:p>
        </w:tc>
        <w:tc>
          <w:tcPr>
            <w:tcW w:w="567" w:type="dxa"/>
            <w:shd w:val="clear" w:color="auto" w:fill="68E089"/>
          </w:tcPr>
          <w:p w14:paraId="52629C8C" w14:textId="77777777" w:rsidR="00D44887" w:rsidRPr="000313D1" w:rsidRDefault="00D44887" w:rsidP="002315D8">
            <w:pPr>
              <w:pStyle w:val="BodyText"/>
            </w:pPr>
          </w:p>
        </w:tc>
        <w:tc>
          <w:tcPr>
            <w:tcW w:w="567" w:type="dxa"/>
            <w:tcBorders>
              <w:right w:val="single" w:sz="12" w:space="0" w:color="auto"/>
            </w:tcBorders>
            <w:shd w:val="clear" w:color="auto" w:fill="68E089"/>
          </w:tcPr>
          <w:p w14:paraId="2C1C9322" w14:textId="77777777" w:rsidR="00D44887" w:rsidRPr="00AA75DF" w:rsidRDefault="00D44887" w:rsidP="002315D8">
            <w:pPr>
              <w:pStyle w:val="BodyText"/>
            </w:pPr>
            <w:r>
              <w:t>X</w:t>
            </w:r>
          </w:p>
        </w:tc>
        <w:tc>
          <w:tcPr>
            <w:tcW w:w="709" w:type="dxa"/>
            <w:tcBorders>
              <w:left w:val="single" w:sz="12" w:space="0" w:color="auto"/>
            </w:tcBorders>
            <w:shd w:val="clear" w:color="auto" w:fill="FFFFFF" w:themeFill="background1"/>
          </w:tcPr>
          <w:p w14:paraId="5F4544E2" w14:textId="77777777" w:rsidR="00D44887" w:rsidRPr="00AA75DF" w:rsidRDefault="00D44887" w:rsidP="002315D8">
            <w:pPr>
              <w:pStyle w:val="BodyText"/>
            </w:pPr>
            <w:r>
              <w:t>X</w:t>
            </w:r>
          </w:p>
        </w:tc>
        <w:tc>
          <w:tcPr>
            <w:tcW w:w="708" w:type="dxa"/>
            <w:shd w:val="clear" w:color="auto" w:fill="FFFFFF" w:themeFill="background1"/>
          </w:tcPr>
          <w:p w14:paraId="7F708184" w14:textId="77777777" w:rsidR="00D44887" w:rsidRPr="00AA75DF" w:rsidRDefault="00D44887" w:rsidP="002315D8">
            <w:pPr>
              <w:pStyle w:val="BodyText"/>
            </w:pPr>
            <w:r>
              <w:t>X</w:t>
            </w:r>
          </w:p>
        </w:tc>
        <w:tc>
          <w:tcPr>
            <w:tcW w:w="709" w:type="dxa"/>
            <w:shd w:val="clear" w:color="auto" w:fill="FFFFFF" w:themeFill="background1"/>
          </w:tcPr>
          <w:p w14:paraId="1A25A8FB" w14:textId="77777777" w:rsidR="00D44887" w:rsidRPr="00AA75DF" w:rsidRDefault="00D44887" w:rsidP="002315D8">
            <w:pPr>
              <w:pStyle w:val="BodyText"/>
              <w:rPr>
                <w:lang w:val="en-GB"/>
              </w:rPr>
            </w:pPr>
          </w:p>
        </w:tc>
      </w:tr>
      <w:tr w:rsidR="00D44887" w:rsidRPr="00AA75DF" w14:paraId="5E1112E6" w14:textId="77777777" w:rsidTr="002315D8">
        <w:trPr>
          <w:trHeight w:val="283"/>
        </w:trPr>
        <w:tc>
          <w:tcPr>
            <w:tcW w:w="6015" w:type="dxa"/>
            <w:tcBorders>
              <w:right w:val="single" w:sz="12" w:space="0" w:color="auto"/>
            </w:tcBorders>
            <w:shd w:val="clear" w:color="auto" w:fill="auto"/>
          </w:tcPr>
          <w:p w14:paraId="21369973" w14:textId="77777777" w:rsidR="00D44887" w:rsidRPr="00AA75DF" w:rsidRDefault="00D44887" w:rsidP="002315D8">
            <w:pPr>
              <w:pStyle w:val="BodyText"/>
            </w:pPr>
            <w:r>
              <w:t>Réalisation de l’évaluation</w:t>
            </w:r>
          </w:p>
        </w:tc>
        <w:tc>
          <w:tcPr>
            <w:tcW w:w="633" w:type="dxa"/>
            <w:tcBorders>
              <w:top w:val="single" w:sz="6" w:space="0" w:color="auto"/>
              <w:left w:val="single" w:sz="12" w:space="0" w:color="auto"/>
              <w:bottom w:val="single" w:sz="12" w:space="0" w:color="auto"/>
              <w:right w:val="single" w:sz="12" w:space="0" w:color="auto"/>
            </w:tcBorders>
            <w:shd w:val="clear" w:color="auto" w:fill="68E089"/>
          </w:tcPr>
          <w:p w14:paraId="46A98381" w14:textId="77777777" w:rsidR="00D44887" w:rsidRPr="00AA75DF" w:rsidRDefault="00D44887" w:rsidP="002315D8">
            <w:pPr>
              <w:pStyle w:val="BodyText"/>
              <w:rPr>
                <w:lang w:val="en-GB"/>
              </w:rPr>
            </w:pPr>
          </w:p>
        </w:tc>
        <w:tc>
          <w:tcPr>
            <w:tcW w:w="567" w:type="dxa"/>
            <w:tcBorders>
              <w:top w:val="single" w:sz="6" w:space="0" w:color="auto"/>
              <w:left w:val="single" w:sz="12" w:space="0" w:color="auto"/>
              <w:bottom w:val="single" w:sz="12" w:space="0" w:color="auto"/>
            </w:tcBorders>
            <w:shd w:val="clear" w:color="auto" w:fill="FFFFFF" w:themeFill="background1"/>
          </w:tcPr>
          <w:p w14:paraId="7026C493" w14:textId="77777777" w:rsidR="00D44887" w:rsidRPr="00AA75DF" w:rsidRDefault="00D44887" w:rsidP="002315D8">
            <w:pPr>
              <w:pStyle w:val="BodyText"/>
              <w:rPr>
                <w:lang w:val="en-GB"/>
              </w:rPr>
            </w:pPr>
          </w:p>
        </w:tc>
        <w:tc>
          <w:tcPr>
            <w:tcW w:w="708" w:type="dxa"/>
            <w:tcBorders>
              <w:top w:val="single" w:sz="6" w:space="0" w:color="auto"/>
              <w:bottom w:val="single" w:sz="12" w:space="0" w:color="auto"/>
            </w:tcBorders>
            <w:shd w:val="clear" w:color="auto" w:fill="FFFFFF" w:themeFill="background1"/>
          </w:tcPr>
          <w:p w14:paraId="1A503E01" w14:textId="77777777" w:rsidR="00D44887" w:rsidRPr="00AA75DF" w:rsidRDefault="00D44887" w:rsidP="002315D8">
            <w:pPr>
              <w:pStyle w:val="BodyText"/>
              <w:rPr>
                <w:lang w:val="en-GB"/>
              </w:rPr>
            </w:pPr>
          </w:p>
        </w:tc>
        <w:tc>
          <w:tcPr>
            <w:tcW w:w="612" w:type="dxa"/>
            <w:tcBorders>
              <w:top w:val="single" w:sz="6" w:space="0" w:color="auto"/>
              <w:bottom w:val="single" w:sz="12" w:space="0" w:color="auto"/>
            </w:tcBorders>
            <w:shd w:val="clear" w:color="auto" w:fill="FFFFFF" w:themeFill="background1"/>
          </w:tcPr>
          <w:p w14:paraId="136776EC" w14:textId="77777777" w:rsidR="00D44887" w:rsidRPr="00AA75DF" w:rsidRDefault="00D44887" w:rsidP="002315D8">
            <w:pPr>
              <w:pStyle w:val="BodyText"/>
              <w:rPr>
                <w:lang w:val="en-GB"/>
              </w:rPr>
            </w:pPr>
          </w:p>
        </w:tc>
        <w:tc>
          <w:tcPr>
            <w:tcW w:w="664" w:type="dxa"/>
            <w:tcBorders>
              <w:right w:val="single" w:sz="12" w:space="0" w:color="auto"/>
            </w:tcBorders>
            <w:shd w:val="clear" w:color="auto" w:fill="auto"/>
          </w:tcPr>
          <w:p w14:paraId="0349E4F3" w14:textId="77777777" w:rsidR="00D44887" w:rsidRPr="00AA75DF" w:rsidRDefault="00D44887" w:rsidP="002315D8">
            <w:pPr>
              <w:pStyle w:val="BodyText"/>
              <w:rPr>
                <w:lang w:val="en-GB"/>
              </w:rPr>
            </w:pPr>
          </w:p>
        </w:tc>
        <w:tc>
          <w:tcPr>
            <w:tcW w:w="567" w:type="dxa"/>
            <w:tcBorders>
              <w:left w:val="single" w:sz="12" w:space="0" w:color="auto"/>
            </w:tcBorders>
            <w:shd w:val="clear" w:color="auto" w:fill="68E089"/>
          </w:tcPr>
          <w:p w14:paraId="44E0EE02" w14:textId="77777777" w:rsidR="00D44887" w:rsidRPr="00AA75DF" w:rsidRDefault="00D44887" w:rsidP="002315D8">
            <w:pPr>
              <w:pStyle w:val="BodyText"/>
              <w:rPr>
                <w:lang w:val="en-GB"/>
              </w:rPr>
            </w:pPr>
          </w:p>
        </w:tc>
        <w:tc>
          <w:tcPr>
            <w:tcW w:w="709" w:type="dxa"/>
            <w:shd w:val="clear" w:color="auto" w:fill="68E089"/>
          </w:tcPr>
          <w:p w14:paraId="04179142" w14:textId="77777777" w:rsidR="00D44887" w:rsidRPr="00AA75DF" w:rsidRDefault="00D44887" w:rsidP="002315D8">
            <w:pPr>
              <w:pStyle w:val="BodyText"/>
              <w:rPr>
                <w:lang w:val="en-GB"/>
              </w:rPr>
            </w:pPr>
          </w:p>
        </w:tc>
        <w:tc>
          <w:tcPr>
            <w:tcW w:w="567" w:type="dxa"/>
            <w:shd w:val="clear" w:color="auto" w:fill="68E089"/>
          </w:tcPr>
          <w:p w14:paraId="172C42E2" w14:textId="77777777" w:rsidR="00D44887" w:rsidRPr="00AA75DF" w:rsidRDefault="00D44887" w:rsidP="002315D8">
            <w:pPr>
              <w:pStyle w:val="BodyText"/>
              <w:rPr>
                <w:lang w:val="en-GB"/>
              </w:rPr>
            </w:pPr>
          </w:p>
        </w:tc>
        <w:tc>
          <w:tcPr>
            <w:tcW w:w="567" w:type="dxa"/>
            <w:tcBorders>
              <w:right w:val="single" w:sz="12" w:space="0" w:color="auto"/>
            </w:tcBorders>
            <w:shd w:val="clear" w:color="auto" w:fill="68E089"/>
          </w:tcPr>
          <w:p w14:paraId="180E8A88" w14:textId="77777777" w:rsidR="00D44887" w:rsidRPr="00AA75DF" w:rsidRDefault="00D44887" w:rsidP="002315D8">
            <w:pPr>
              <w:pStyle w:val="BodyText"/>
              <w:rPr>
                <w:lang w:val="en-GB"/>
              </w:rPr>
            </w:pPr>
          </w:p>
        </w:tc>
        <w:tc>
          <w:tcPr>
            <w:tcW w:w="709" w:type="dxa"/>
            <w:tcBorders>
              <w:left w:val="single" w:sz="12" w:space="0" w:color="auto"/>
            </w:tcBorders>
            <w:shd w:val="clear" w:color="auto" w:fill="FFFFFF" w:themeFill="background1"/>
          </w:tcPr>
          <w:p w14:paraId="00E54041" w14:textId="77777777" w:rsidR="00D44887" w:rsidRPr="00AA75DF" w:rsidRDefault="00D44887" w:rsidP="002315D8">
            <w:pPr>
              <w:pStyle w:val="BodyText"/>
              <w:rPr>
                <w:lang w:val="en-GB"/>
              </w:rPr>
            </w:pPr>
          </w:p>
        </w:tc>
        <w:tc>
          <w:tcPr>
            <w:tcW w:w="708" w:type="dxa"/>
            <w:shd w:val="clear" w:color="auto" w:fill="FFFFFF" w:themeFill="background1"/>
          </w:tcPr>
          <w:p w14:paraId="75DE9D9B" w14:textId="77777777" w:rsidR="00D44887" w:rsidRPr="00AA75DF" w:rsidRDefault="00D44887" w:rsidP="002315D8">
            <w:pPr>
              <w:pStyle w:val="BodyText"/>
              <w:rPr>
                <w:lang w:val="en-GB"/>
              </w:rPr>
            </w:pPr>
          </w:p>
        </w:tc>
        <w:tc>
          <w:tcPr>
            <w:tcW w:w="709" w:type="dxa"/>
            <w:shd w:val="clear" w:color="auto" w:fill="FFFFFF" w:themeFill="background1"/>
          </w:tcPr>
          <w:p w14:paraId="785132A6" w14:textId="77777777" w:rsidR="00D44887" w:rsidRPr="00AA75DF" w:rsidRDefault="00D44887" w:rsidP="002315D8">
            <w:pPr>
              <w:pStyle w:val="BodyText"/>
            </w:pPr>
            <w:r>
              <w:t>X</w:t>
            </w:r>
          </w:p>
        </w:tc>
      </w:tr>
    </w:tbl>
    <w:p w14:paraId="1D8780BE" w14:textId="77777777" w:rsidR="00D44887" w:rsidRPr="000A4281" w:rsidRDefault="00D44887" w:rsidP="00D44887">
      <w:pPr>
        <w:pStyle w:val="Endofdocument-Annex"/>
        <w:spacing w:before="720"/>
      </w:pPr>
      <w:r>
        <w:t>[Fin de l’annexe IX et du document]</w:t>
      </w:r>
    </w:p>
    <w:sectPr w:rsidR="00D44887" w:rsidRPr="000A4281" w:rsidSect="00072A57">
      <w:headerReference w:type="default" r:id="rId97"/>
      <w:headerReference w:type="first" r:id="rId98"/>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A0C15" w14:textId="77777777" w:rsidR="00D117A8" w:rsidRDefault="00D117A8" w:rsidP="00780CEE">
      <w:r>
        <w:separator/>
      </w:r>
    </w:p>
  </w:endnote>
  <w:endnote w:type="continuationSeparator" w:id="0">
    <w:p w14:paraId="16D195BF" w14:textId="77777777" w:rsidR="00D117A8" w:rsidRDefault="00D117A8" w:rsidP="00780CEE">
      <w:r>
        <w:continuationSeparator/>
      </w:r>
    </w:p>
  </w:endnote>
  <w:endnote w:type="continuationNotice" w:id="1">
    <w:p w14:paraId="747782CB" w14:textId="77777777" w:rsidR="00D117A8" w:rsidRDefault="00D11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6D17" w14:textId="77777777" w:rsidR="00521394" w:rsidRDefault="00521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BAC7" w14:textId="77777777" w:rsidR="00521394" w:rsidRDefault="00521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669D" w14:textId="77777777" w:rsidR="00521394" w:rsidRDefault="005213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617C4" w14:textId="77777777" w:rsidR="00D44887" w:rsidRDefault="00D448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AAAF" w14:textId="77777777" w:rsidR="00D44887" w:rsidRDefault="00D448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747B" w14:textId="77777777" w:rsidR="00D44887" w:rsidRDefault="00D448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4A324" w14:textId="77777777" w:rsidR="00D44887" w:rsidRDefault="00D4488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7FB2" w14:textId="77777777" w:rsidR="00D44887" w:rsidRDefault="00D448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E4EB" w14:textId="77777777" w:rsidR="00D44887" w:rsidRDefault="00D4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EFB26" w14:textId="77777777" w:rsidR="00D117A8" w:rsidRDefault="00D117A8" w:rsidP="00780CEE">
      <w:r>
        <w:separator/>
      </w:r>
    </w:p>
  </w:footnote>
  <w:footnote w:type="continuationSeparator" w:id="0">
    <w:p w14:paraId="76C6E4C8" w14:textId="77777777" w:rsidR="00D117A8" w:rsidRDefault="00D117A8" w:rsidP="00780CEE">
      <w:r>
        <w:continuationSeparator/>
      </w:r>
    </w:p>
  </w:footnote>
  <w:footnote w:type="continuationNotice" w:id="1">
    <w:p w14:paraId="48606DAF" w14:textId="77777777" w:rsidR="00D117A8" w:rsidRDefault="00D117A8"/>
  </w:footnote>
  <w:footnote w:id="2">
    <w:p w14:paraId="45178CDD" w14:textId="77DDEF13" w:rsidR="00D117A8" w:rsidRDefault="00D117A8" w:rsidP="0036290B">
      <w:pPr>
        <w:pStyle w:val="FootnoteText"/>
        <w:tabs>
          <w:tab w:val="left" w:pos="567"/>
        </w:tabs>
      </w:pPr>
      <w:r>
        <w:rPr>
          <w:rStyle w:val="FootnoteReference"/>
        </w:rPr>
        <w:footnoteRef/>
      </w:r>
      <w:r>
        <w:t xml:space="preserve"> </w:t>
      </w:r>
      <w:r>
        <w:tab/>
        <w:t>Il s’agit des résultats escomptés du Programme et budget actuel.  Les résultats escomptés contenus dans le document de projet CDIP/24/9 renvoyaient au Programme et budget précédent.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3216" w14:textId="77777777" w:rsidR="00D117A8" w:rsidRDefault="00D117A8" w:rsidP="00D317EA">
    <w:pPr>
      <w:pStyle w:val="Header"/>
      <w:jc w:val="right"/>
    </w:pPr>
    <w:r>
      <w:t xml:space="preserve">CDIP/24/2 </w:t>
    </w:r>
  </w:p>
  <w:p w14:paraId="500639F4" w14:textId="62110B32" w:rsidR="00D117A8" w:rsidRDefault="00D117A8" w:rsidP="00D317EA">
    <w:pPr>
      <w:pStyle w:val="Header"/>
      <w:jc w:val="right"/>
    </w:pPr>
    <w:r>
      <w:t xml:space="preserve">page </w:t>
    </w:r>
    <w:sdt>
      <w:sdtPr>
        <w:id w:val="19155879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fldChar w:fldCharType="end"/>
        </w:r>
      </w:sdtContent>
    </w:sdt>
  </w:p>
  <w:p w14:paraId="19EA15D1" w14:textId="77777777" w:rsidR="00D117A8" w:rsidRDefault="00D117A8" w:rsidP="00D317EA">
    <w:pPr>
      <w:pStyle w:val="Header"/>
      <w:jc w:val="right"/>
    </w:pPr>
  </w:p>
  <w:p w14:paraId="4453B40A" w14:textId="77777777" w:rsidR="00D117A8" w:rsidRPr="00EA1A2E" w:rsidRDefault="00D117A8" w:rsidP="00D317E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2670" w14:textId="77777777" w:rsidR="00D44887" w:rsidRDefault="00D44887" w:rsidP="00A84073">
    <w:pPr>
      <w:pStyle w:val="Header"/>
      <w:jc w:val="right"/>
      <w:rPr>
        <w:rStyle w:val="PageNumber"/>
      </w:rPr>
    </w:pPr>
    <w:r>
      <w:rPr>
        <w:rStyle w:val="PageNumber"/>
      </w:rPr>
      <w:t>CDIP/29/2</w:t>
    </w:r>
  </w:p>
  <w:p w14:paraId="0ED45B7A" w14:textId="77777777" w:rsidR="00D44887" w:rsidRDefault="00D44887" w:rsidP="00D44887">
    <w:pPr>
      <w:pStyle w:val="Header"/>
      <w:spacing w:after="480"/>
      <w:jc w:val="right"/>
      <w:rPr>
        <w:rStyle w:val="PageNumber"/>
      </w:rPr>
    </w:pPr>
    <w:r>
      <w:rPr>
        <w:rStyle w:val="PageNumber"/>
      </w:rPr>
      <w:t>ANNEXE III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201DD" w14:textId="77777777" w:rsidR="00D44887" w:rsidRPr="00475A21" w:rsidRDefault="00D44887" w:rsidP="00475A21">
    <w:pPr>
      <w:pStyle w:val="Header"/>
      <w:jc w:val="right"/>
    </w:pPr>
    <w:r>
      <w:t>CDIP/29/2</w:t>
    </w:r>
  </w:p>
  <w:p w14:paraId="00EC6836" w14:textId="0D447B7B" w:rsidR="00D44887" w:rsidRPr="00B568E3" w:rsidRDefault="00D44887" w:rsidP="00660A1D">
    <w:pPr>
      <w:pStyle w:val="Header"/>
      <w:spacing w:after="480"/>
      <w:jc w:val="right"/>
    </w:pPr>
    <w:r>
      <w:t xml:space="preserve">Annexe IV, </w:t>
    </w:r>
    <w:r>
      <w:rPr>
        <w:rStyle w:val="PageNumber"/>
      </w:rPr>
      <w:t>page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111FE8">
      <w:rPr>
        <w:rStyle w:val="PageNumber"/>
        <w:noProof/>
      </w:rPr>
      <w:t>13</w:t>
    </w:r>
    <w:r w:rsidRPr="00547939">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1BFF" w14:textId="77777777" w:rsidR="00D44887" w:rsidRDefault="00D44887" w:rsidP="00EA1A2E">
    <w:pPr>
      <w:pStyle w:val="Header"/>
      <w:jc w:val="right"/>
      <w:rPr>
        <w:rStyle w:val="PageNumber"/>
      </w:rPr>
    </w:pPr>
    <w:r>
      <w:rPr>
        <w:rStyle w:val="PageNumber"/>
      </w:rPr>
      <w:t>CDIP/29/2</w:t>
    </w:r>
  </w:p>
  <w:p w14:paraId="0D50E330" w14:textId="77777777" w:rsidR="00D44887" w:rsidRDefault="00D44887" w:rsidP="00DF7600">
    <w:pPr>
      <w:pStyle w:val="Header"/>
      <w:spacing w:after="480"/>
      <w:jc w:val="right"/>
      <w:rPr>
        <w:rStyle w:val="PageNumber"/>
      </w:rPr>
    </w:pPr>
    <w:r>
      <w:rPr>
        <w:rStyle w:val="PageNumber"/>
      </w:rPr>
      <w:t>ANNEXE IV</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841D" w14:textId="77777777" w:rsidR="00D44887" w:rsidRPr="00475A21" w:rsidRDefault="00D44887" w:rsidP="00475A21">
    <w:pPr>
      <w:pStyle w:val="Header"/>
      <w:jc w:val="right"/>
    </w:pPr>
    <w:r>
      <w:t>CDIP/29/2</w:t>
    </w:r>
  </w:p>
  <w:p w14:paraId="65A41643" w14:textId="5A629993" w:rsidR="00D44887" w:rsidRDefault="00D44887" w:rsidP="00E932CC">
    <w:pPr>
      <w:pStyle w:val="Header"/>
      <w:spacing w:after="480"/>
      <w:jc w:val="right"/>
      <w:rPr>
        <w:rStyle w:val="PageNumber"/>
      </w:rPr>
    </w:pPr>
    <w:r>
      <w:t xml:space="preserve">Annexe V, </w:t>
    </w:r>
    <w:r>
      <w:rPr>
        <w:rStyle w:val="PageNumber"/>
      </w:rPr>
      <w:t xml:space="preserve">page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111FE8">
      <w:rPr>
        <w:rStyle w:val="PageNumber"/>
        <w:noProof/>
      </w:rPr>
      <w:t>5</w:t>
    </w:r>
    <w:r w:rsidRPr="00547939">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9FC2" w14:textId="77777777" w:rsidR="00D44887" w:rsidRDefault="00D44887" w:rsidP="00EA1A2E">
    <w:pPr>
      <w:pStyle w:val="Header"/>
      <w:jc w:val="right"/>
      <w:rPr>
        <w:rStyle w:val="PageNumber"/>
      </w:rPr>
    </w:pPr>
    <w:r>
      <w:rPr>
        <w:rStyle w:val="PageNumber"/>
      </w:rPr>
      <w:t>CDIP/29/2</w:t>
    </w:r>
  </w:p>
  <w:p w14:paraId="6C659FE1" w14:textId="77777777" w:rsidR="00D44887" w:rsidRDefault="00D44887" w:rsidP="00D44887">
    <w:pPr>
      <w:pStyle w:val="Header"/>
      <w:spacing w:after="480"/>
      <w:jc w:val="right"/>
      <w:rPr>
        <w:rStyle w:val="PageNumber"/>
      </w:rPr>
    </w:pPr>
    <w:r>
      <w:rPr>
        <w:rStyle w:val="PageNumber"/>
      </w:rPr>
      <w:t>ANNEXE V</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0338" w14:textId="77777777" w:rsidR="00D44887" w:rsidRDefault="00D44887" w:rsidP="00D317EA">
    <w:pPr>
      <w:pStyle w:val="Header"/>
      <w:jc w:val="right"/>
    </w:pPr>
    <w:r>
      <w:t>CDIP/24/2</w:t>
    </w:r>
  </w:p>
  <w:p w14:paraId="38876F7C" w14:textId="77777777" w:rsidR="00D44887" w:rsidRPr="00EA1A2E" w:rsidRDefault="00D44887" w:rsidP="00D317EA">
    <w:pPr>
      <w:pStyle w:val="Header"/>
      <w:jc w:val="right"/>
    </w:pPr>
    <w:r>
      <w:t xml:space="preserve"> Annexe VI, page 97</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65166" w14:textId="77777777" w:rsidR="00D44887" w:rsidRDefault="00D44887" w:rsidP="00CF07C0">
    <w:pPr>
      <w:pStyle w:val="Header"/>
      <w:jc w:val="right"/>
      <w:rPr>
        <w:rStyle w:val="PageNumber"/>
      </w:rPr>
    </w:pPr>
    <w:r>
      <w:rPr>
        <w:rStyle w:val="PageNumber"/>
      </w:rPr>
      <w:t>CDIP/29/2</w:t>
    </w:r>
  </w:p>
  <w:p w14:paraId="1ABD94B1" w14:textId="012AC87F" w:rsidR="00D44887" w:rsidRDefault="00D44887" w:rsidP="001D53ED">
    <w:pPr>
      <w:pStyle w:val="Header"/>
      <w:spacing w:after="480"/>
      <w:jc w:val="right"/>
    </w:pPr>
    <w:r>
      <w:rPr>
        <w:rStyle w:val="PageNumber"/>
      </w:rPr>
      <w:t>Annexe VI, page</w:t>
    </w:r>
    <w:r>
      <w:t xml:space="preserve"> </w:t>
    </w:r>
    <w:sdt>
      <w:sdtPr>
        <w:id w:val="-4568757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1FE8">
          <w:rPr>
            <w:noProof/>
          </w:rPr>
          <w:t>7</w:t>
        </w:r>
        <w: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83169" w14:textId="77777777" w:rsidR="00D44887" w:rsidRDefault="00D44887" w:rsidP="006C0761">
    <w:pPr>
      <w:pStyle w:val="Header"/>
      <w:jc w:val="right"/>
      <w:rPr>
        <w:rStyle w:val="PageNumber"/>
      </w:rPr>
    </w:pPr>
    <w:r>
      <w:rPr>
        <w:rStyle w:val="PageNumber"/>
      </w:rPr>
      <w:t>CDIP/29/2</w:t>
    </w:r>
  </w:p>
  <w:p w14:paraId="53BC6E12" w14:textId="77777777" w:rsidR="00D44887" w:rsidRDefault="00D44887" w:rsidP="00660A1D">
    <w:pPr>
      <w:pStyle w:val="Header"/>
      <w:spacing w:after="480"/>
      <w:jc w:val="right"/>
      <w:rPr>
        <w:rStyle w:val="PageNumber"/>
      </w:rPr>
    </w:pPr>
    <w:r>
      <w:rPr>
        <w:rStyle w:val="PageNumber"/>
      </w:rPr>
      <w:t>ANNEXE VI</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D9EB" w14:textId="77777777" w:rsidR="00D44887" w:rsidRDefault="00D44887" w:rsidP="00CF07C0">
    <w:pPr>
      <w:pStyle w:val="Header"/>
      <w:jc w:val="right"/>
      <w:rPr>
        <w:rStyle w:val="PageNumber"/>
      </w:rPr>
    </w:pPr>
    <w:r>
      <w:rPr>
        <w:rStyle w:val="PageNumber"/>
      </w:rPr>
      <w:t>CDIP/29/2</w:t>
    </w:r>
  </w:p>
  <w:p w14:paraId="20A0E011" w14:textId="3B3D458C" w:rsidR="00D44887" w:rsidRDefault="00D44887" w:rsidP="00031716">
    <w:pPr>
      <w:pStyle w:val="Header"/>
      <w:spacing w:after="480"/>
      <w:jc w:val="right"/>
    </w:pPr>
    <w:r>
      <w:rPr>
        <w:rStyle w:val="PageNumber"/>
      </w:rPr>
      <w:t>Annexe VII, page</w:t>
    </w:r>
    <w:r>
      <w:t xml:space="preserve"> </w:t>
    </w:r>
    <w:sdt>
      <w:sdtPr>
        <w:id w:val="1747535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1FE8">
          <w:rPr>
            <w:noProof/>
          </w:rPr>
          <w:t>7</w:t>
        </w:r>
        <w: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403D" w14:textId="77777777" w:rsidR="00D44887" w:rsidRDefault="00D44887" w:rsidP="006C0761">
    <w:pPr>
      <w:pStyle w:val="Header"/>
      <w:jc w:val="right"/>
      <w:rPr>
        <w:rStyle w:val="PageNumber"/>
      </w:rPr>
    </w:pPr>
    <w:r>
      <w:rPr>
        <w:rStyle w:val="PageNumber"/>
      </w:rPr>
      <w:t>CDIP/29/2</w:t>
    </w:r>
  </w:p>
  <w:p w14:paraId="653C3A07" w14:textId="77777777" w:rsidR="00D44887" w:rsidRDefault="00D44887" w:rsidP="00031716">
    <w:pPr>
      <w:pStyle w:val="Header"/>
      <w:spacing w:after="480"/>
      <w:jc w:val="right"/>
      <w:rPr>
        <w:rStyle w:val="PageNumber"/>
      </w:rPr>
    </w:pPr>
    <w:r>
      <w:rPr>
        <w:rStyle w:val="PageNumber"/>
      </w:rPr>
      <w:t>ANNEXE VII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86D8" w14:textId="74FF18F2" w:rsidR="00D117A8" w:rsidRDefault="00D117A8" w:rsidP="00F77B7E">
    <w:pPr>
      <w:pStyle w:val="Header"/>
      <w:jc w:val="right"/>
      <w:rPr>
        <w:rStyle w:val="PageNumber"/>
      </w:rPr>
    </w:pPr>
    <w:r>
      <w:rPr>
        <w:rStyle w:val="PageNumber"/>
      </w:rPr>
      <w:t>CDIP/29/2</w:t>
    </w:r>
  </w:p>
  <w:p w14:paraId="58F5F884" w14:textId="0A175F9A" w:rsidR="00D117A8" w:rsidRDefault="00D117A8" w:rsidP="00601EE2">
    <w:pPr>
      <w:pStyle w:val="Header"/>
      <w:spacing w:after="480"/>
      <w:jc w:val="right"/>
      <w:rPr>
        <w:rStyle w:val="PageNumber"/>
      </w:rPr>
    </w:pPr>
    <w:r>
      <w:rPr>
        <w:rStyle w:val="PageNumber"/>
      </w:rPr>
      <w:t>page </w:t>
    </w:r>
    <w:r w:rsidR="00F70660" w:rsidRPr="00F70660">
      <w:rPr>
        <w:rStyle w:val="PageNumber"/>
      </w:rPr>
      <w:fldChar w:fldCharType="begin"/>
    </w:r>
    <w:r w:rsidR="00F70660" w:rsidRPr="00F70660">
      <w:rPr>
        <w:rStyle w:val="PageNumber"/>
      </w:rPr>
      <w:instrText xml:space="preserve"> PAGE   \* MERGEFORMAT </w:instrText>
    </w:r>
    <w:r w:rsidR="00F70660" w:rsidRPr="00F70660">
      <w:rPr>
        <w:rStyle w:val="PageNumber"/>
      </w:rPr>
      <w:fldChar w:fldCharType="separate"/>
    </w:r>
    <w:r w:rsidR="00111FE8">
      <w:rPr>
        <w:rStyle w:val="PageNumber"/>
        <w:noProof/>
      </w:rPr>
      <w:t>2</w:t>
    </w:r>
    <w:r w:rsidR="00F70660" w:rsidRPr="00F70660">
      <w:rPr>
        <w:rStyle w:val="PageNumber"/>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34EAB" w14:textId="77777777" w:rsidR="00D44887" w:rsidRDefault="00D44887" w:rsidP="00CF07C0">
    <w:pPr>
      <w:pStyle w:val="Header"/>
      <w:jc w:val="right"/>
      <w:rPr>
        <w:rStyle w:val="PageNumber"/>
      </w:rPr>
    </w:pPr>
    <w:r>
      <w:rPr>
        <w:rStyle w:val="PageNumber"/>
      </w:rPr>
      <w:t>CDIP/29/2</w:t>
    </w:r>
  </w:p>
  <w:p w14:paraId="4BFDD6DA" w14:textId="5D5BD34D" w:rsidR="00D44887" w:rsidRDefault="00D44887" w:rsidP="002057E0">
    <w:pPr>
      <w:pStyle w:val="Header"/>
      <w:spacing w:after="480"/>
      <w:jc w:val="right"/>
    </w:pPr>
    <w:r>
      <w:rPr>
        <w:rStyle w:val="PageNumber"/>
      </w:rPr>
      <w:t>Annexe VIII, page</w:t>
    </w:r>
    <w:r>
      <w:t xml:space="preserve"> </w:t>
    </w:r>
    <w:sdt>
      <w:sdtPr>
        <w:id w:val="-15364141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1FE8">
          <w:rPr>
            <w:noProof/>
          </w:rPr>
          <w:t>4</w:t>
        </w:r>
        <w: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80F6" w14:textId="77777777" w:rsidR="00D44887" w:rsidRDefault="00D44887" w:rsidP="006C0761">
    <w:pPr>
      <w:pStyle w:val="Header"/>
      <w:jc w:val="right"/>
      <w:rPr>
        <w:rStyle w:val="PageNumber"/>
      </w:rPr>
    </w:pPr>
    <w:r>
      <w:rPr>
        <w:rStyle w:val="PageNumber"/>
      </w:rPr>
      <w:t>CDIP/29/2</w:t>
    </w:r>
  </w:p>
  <w:p w14:paraId="3BC94E0F" w14:textId="77777777" w:rsidR="00D44887" w:rsidRDefault="00D44887" w:rsidP="00031716">
    <w:pPr>
      <w:pStyle w:val="Header"/>
      <w:spacing w:after="480"/>
      <w:jc w:val="right"/>
      <w:rPr>
        <w:rStyle w:val="PageNumber"/>
      </w:rPr>
    </w:pPr>
    <w:r>
      <w:rPr>
        <w:rStyle w:val="PageNumber"/>
      </w:rPr>
      <w:t>ANNEXE VIII</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22F23" w14:textId="77777777" w:rsidR="00D44887" w:rsidRDefault="00D44887" w:rsidP="00CF07C0">
    <w:pPr>
      <w:pStyle w:val="Header"/>
      <w:jc w:val="right"/>
      <w:rPr>
        <w:rStyle w:val="PageNumber"/>
      </w:rPr>
    </w:pPr>
    <w:r>
      <w:rPr>
        <w:rStyle w:val="PageNumber"/>
      </w:rPr>
      <w:t>CDIP/29/2</w:t>
    </w:r>
  </w:p>
  <w:p w14:paraId="1ED7457B" w14:textId="3576D474" w:rsidR="00D44887" w:rsidRDefault="00D44887" w:rsidP="005608F1">
    <w:pPr>
      <w:pStyle w:val="Header"/>
      <w:spacing w:after="480"/>
      <w:jc w:val="right"/>
    </w:pPr>
    <w:r>
      <w:rPr>
        <w:rStyle w:val="PageNumber"/>
      </w:rPr>
      <w:t>Annexe IX, page</w:t>
    </w:r>
    <w:r>
      <w:t xml:space="preserve"> </w:t>
    </w:r>
    <w:sdt>
      <w:sdtPr>
        <w:id w:val="1872569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1FE8">
          <w:rPr>
            <w:noProof/>
          </w:rPr>
          <w:t>5</w:t>
        </w:r>
        <w:r>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9368" w14:textId="77777777" w:rsidR="00D44887" w:rsidRDefault="00D44887" w:rsidP="006C0761">
    <w:pPr>
      <w:pStyle w:val="Header"/>
      <w:jc w:val="right"/>
      <w:rPr>
        <w:rStyle w:val="PageNumber"/>
      </w:rPr>
    </w:pPr>
    <w:r>
      <w:rPr>
        <w:rStyle w:val="PageNumber"/>
      </w:rPr>
      <w:t>CDIP/29/2</w:t>
    </w:r>
  </w:p>
  <w:p w14:paraId="7BDCD56B" w14:textId="77777777" w:rsidR="00D44887" w:rsidRDefault="00D44887" w:rsidP="00797B5D">
    <w:pPr>
      <w:pStyle w:val="Header"/>
      <w:jc w:val="right"/>
    </w:pPr>
    <w:r>
      <w:rPr>
        <w:rStyle w:val="PageNumber"/>
      </w:rPr>
      <w:t>ANNEXE IX</w:t>
    </w:r>
  </w:p>
  <w:p w14:paraId="61F46580" w14:textId="77777777" w:rsidR="00D44887" w:rsidRPr="00CF07C0" w:rsidRDefault="00D44887" w:rsidP="00CF07C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6CB2" w14:textId="77777777" w:rsidR="003F29F9" w:rsidRDefault="000637DE" w:rsidP="00CF07C0">
    <w:pPr>
      <w:pStyle w:val="Header"/>
      <w:jc w:val="right"/>
      <w:rPr>
        <w:rStyle w:val="PageNumber"/>
      </w:rPr>
    </w:pPr>
    <w:r>
      <w:rPr>
        <w:rStyle w:val="PageNumber"/>
      </w:rPr>
      <w:t>CDIP/29/2</w:t>
    </w:r>
  </w:p>
  <w:p w14:paraId="79A69B9D" w14:textId="77777777" w:rsidR="003F29F9" w:rsidRDefault="000637DE" w:rsidP="00D44887">
    <w:pPr>
      <w:pStyle w:val="Header"/>
      <w:spacing w:after="480"/>
      <w:jc w:val="right"/>
    </w:pPr>
    <w:r>
      <w:rPr>
        <w:rStyle w:val="PageNumber"/>
      </w:rPr>
      <w:t>Annexe IX, page 7</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75CF1" w14:textId="77777777" w:rsidR="003F29F9" w:rsidRDefault="000637DE" w:rsidP="006C0761">
    <w:pPr>
      <w:pStyle w:val="Header"/>
      <w:jc w:val="right"/>
      <w:rPr>
        <w:rStyle w:val="PageNumber"/>
      </w:rPr>
    </w:pPr>
    <w:r>
      <w:rPr>
        <w:rStyle w:val="PageNumber"/>
      </w:rPr>
      <w:t>CDIP/29/2</w:t>
    </w:r>
  </w:p>
  <w:p w14:paraId="15754C3D" w14:textId="77777777" w:rsidR="003F29F9" w:rsidRDefault="000637DE" w:rsidP="00EA343F">
    <w:pPr>
      <w:pStyle w:val="Header"/>
      <w:jc w:val="right"/>
      <w:rPr>
        <w:rStyle w:val="PageNumber"/>
      </w:rPr>
    </w:pPr>
    <w:r>
      <w:rPr>
        <w:rStyle w:val="PageNumber"/>
      </w:rPr>
      <w:t>ANNEXE IX, page 6</w:t>
    </w:r>
  </w:p>
  <w:p w14:paraId="4FFA8CF6" w14:textId="77777777" w:rsidR="003F29F9" w:rsidRDefault="00111FE8" w:rsidP="00797B5D">
    <w:pPr>
      <w:pStyle w:val="Header"/>
      <w:jc w:val="right"/>
    </w:pPr>
  </w:p>
  <w:p w14:paraId="59FEA5AD" w14:textId="77777777" w:rsidR="003F29F9" w:rsidRPr="00CF07C0" w:rsidRDefault="00111FE8" w:rsidP="00CF0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2A7A" w14:textId="77777777" w:rsidR="00521394" w:rsidRDefault="005213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8CDC" w14:textId="3174EBB8" w:rsidR="00D117A8" w:rsidRDefault="00D117A8" w:rsidP="00F45319">
    <w:pPr>
      <w:pStyle w:val="Header"/>
      <w:jc w:val="right"/>
      <w:rPr>
        <w:rStyle w:val="PageNumber"/>
      </w:rPr>
    </w:pPr>
    <w:r>
      <w:rPr>
        <w:rStyle w:val="PageNumber"/>
      </w:rPr>
      <w:t>CDIP/29/2</w:t>
    </w:r>
  </w:p>
  <w:p w14:paraId="1FE7B269" w14:textId="3F8C5E67" w:rsidR="00D117A8" w:rsidRDefault="00D117A8" w:rsidP="00601EE2">
    <w:pPr>
      <w:pStyle w:val="Header"/>
      <w:spacing w:after="480"/>
      <w:jc w:val="right"/>
    </w:pPr>
    <w:r>
      <w:rPr>
        <w:rStyle w:val="PageNumber"/>
      </w:rPr>
      <w:t>Annexe I, page</w:t>
    </w:r>
    <w:r>
      <w:t xml:space="preserve"> </w:t>
    </w:r>
    <w:sdt>
      <w:sdtPr>
        <w:id w:val="3740518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1FE8">
          <w:rPr>
            <w:noProof/>
          </w:rPr>
          <w:t>6</w:t>
        </w:r>
        <w: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C8C6" w14:textId="77777777" w:rsidR="00D117A8" w:rsidRDefault="00D117A8" w:rsidP="006A73A8">
    <w:pPr>
      <w:pStyle w:val="Header"/>
      <w:jc w:val="right"/>
      <w:rPr>
        <w:rStyle w:val="PageNumber"/>
      </w:rPr>
    </w:pPr>
    <w:r>
      <w:rPr>
        <w:rStyle w:val="PageNumber"/>
      </w:rPr>
      <w:t>CDIP/29/2</w:t>
    </w:r>
  </w:p>
  <w:p w14:paraId="30C13ABC" w14:textId="77777777" w:rsidR="00D117A8" w:rsidRDefault="00D117A8" w:rsidP="00F70660">
    <w:pPr>
      <w:pStyle w:val="Header"/>
      <w:spacing w:after="480"/>
      <w:jc w:val="right"/>
      <w:rPr>
        <w:rStyle w:val="PageNumber"/>
      </w:rPr>
    </w:pPr>
    <w:r>
      <w:rPr>
        <w:rStyle w:val="PageNumber"/>
      </w:rP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9871" w14:textId="7792FF28" w:rsidR="00D44887" w:rsidRDefault="00D448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DE75" w14:textId="77777777" w:rsidR="00D44887" w:rsidRPr="00475A21" w:rsidRDefault="00D44887" w:rsidP="00AC7D33">
    <w:pPr>
      <w:pStyle w:val="Header"/>
      <w:jc w:val="right"/>
    </w:pPr>
    <w:r>
      <w:t>CDIP/29/2</w:t>
    </w:r>
  </w:p>
  <w:p w14:paraId="35510DF7" w14:textId="693831FB" w:rsidR="00D44887" w:rsidRDefault="00D44887" w:rsidP="00601EE2">
    <w:pPr>
      <w:pStyle w:val="Header"/>
      <w:tabs>
        <w:tab w:val="clear" w:pos="4536"/>
        <w:tab w:val="clear" w:pos="9072"/>
      </w:tabs>
      <w:spacing w:after="480"/>
      <w:jc w:val="right"/>
    </w:pPr>
    <w:r>
      <w:t>Annexe II, page </w:t>
    </w:r>
    <w:sdt>
      <w:sdtPr>
        <w:id w:val="-13571232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1FE8">
          <w:rPr>
            <w:noProof/>
          </w:rPr>
          <w:t>9</w:t>
        </w:r>
        <w: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19FE" w14:textId="77777777" w:rsidR="00D44887" w:rsidRDefault="00D44887" w:rsidP="00A84073">
    <w:pPr>
      <w:pStyle w:val="Header"/>
      <w:jc w:val="right"/>
      <w:rPr>
        <w:rStyle w:val="PageNumber"/>
      </w:rPr>
    </w:pPr>
    <w:r>
      <w:rPr>
        <w:rStyle w:val="PageNumber"/>
      </w:rPr>
      <w:t>CDIP/29/2</w:t>
    </w:r>
  </w:p>
  <w:p w14:paraId="1545F154" w14:textId="77777777" w:rsidR="00D44887" w:rsidRDefault="00D44887" w:rsidP="00601EE2">
    <w:pPr>
      <w:pStyle w:val="Header"/>
      <w:spacing w:after="480"/>
      <w:jc w:val="right"/>
      <w:rPr>
        <w:rStyle w:val="PageNumber"/>
      </w:rPr>
    </w:pPr>
    <w:r>
      <w:rPr>
        <w:rStyle w:val="PageNumber"/>
      </w:rPr>
      <w:t>ANNEXE 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65A8" w14:textId="77777777" w:rsidR="00D44887" w:rsidRDefault="00D44887" w:rsidP="00E37F0B">
    <w:pPr>
      <w:pStyle w:val="Header"/>
      <w:jc w:val="right"/>
      <w:rPr>
        <w:rStyle w:val="PageNumber"/>
      </w:rPr>
    </w:pPr>
    <w:r>
      <w:rPr>
        <w:rStyle w:val="PageNumber"/>
      </w:rPr>
      <w:t>CDIP/29/2</w:t>
    </w:r>
  </w:p>
  <w:p w14:paraId="72A3C3EE" w14:textId="61A5B81D" w:rsidR="00D44887" w:rsidRDefault="00D44887" w:rsidP="004118EC">
    <w:pPr>
      <w:pStyle w:val="Header"/>
      <w:tabs>
        <w:tab w:val="clear" w:pos="4536"/>
        <w:tab w:val="clear" w:pos="9072"/>
      </w:tabs>
      <w:spacing w:after="480"/>
      <w:jc w:val="right"/>
    </w:pPr>
    <w:r>
      <w:t xml:space="preserve">Annexe III, page </w:t>
    </w:r>
    <w:sdt>
      <w:sdtPr>
        <w:id w:val="5804137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1FE8">
          <w:rPr>
            <w:noProof/>
          </w:rPr>
          <w:t>4</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4716D"/>
    <w:multiLevelType w:val="hybridMultilevel"/>
    <w:tmpl w:val="6466F69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04DC100E"/>
    <w:multiLevelType w:val="hybridMultilevel"/>
    <w:tmpl w:val="1CF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844055"/>
    <w:multiLevelType w:val="hybridMultilevel"/>
    <w:tmpl w:val="940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D5641"/>
    <w:multiLevelType w:val="hybridMultilevel"/>
    <w:tmpl w:val="6F6617F6"/>
    <w:lvl w:ilvl="0" w:tplc="728C08EE">
      <w:start w:val="1"/>
      <w:numFmt w:val="lowerRoman"/>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0C526447"/>
    <w:multiLevelType w:val="hybridMultilevel"/>
    <w:tmpl w:val="6D6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471C3F"/>
    <w:multiLevelType w:val="hybridMultilevel"/>
    <w:tmpl w:val="8FA095CA"/>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94C0D"/>
    <w:multiLevelType w:val="hybridMultilevel"/>
    <w:tmpl w:val="CB540FA0"/>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83482"/>
    <w:multiLevelType w:val="hybridMultilevel"/>
    <w:tmpl w:val="2A42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F31DE"/>
    <w:multiLevelType w:val="hybridMultilevel"/>
    <w:tmpl w:val="84BC9714"/>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20E064E3"/>
    <w:multiLevelType w:val="hybridMultilevel"/>
    <w:tmpl w:val="49DE22CA"/>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6"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C4042C"/>
    <w:multiLevelType w:val="hybridMultilevel"/>
    <w:tmpl w:val="5D24A1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BE36A2"/>
    <w:multiLevelType w:val="hybridMultilevel"/>
    <w:tmpl w:val="49860D26"/>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DB2E69"/>
    <w:multiLevelType w:val="hybridMultilevel"/>
    <w:tmpl w:val="6688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C64C62"/>
    <w:multiLevelType w:val="hybridMultilevel"/>
    <w:tmpl w:val="2F1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5EC0E8F"/>
    <w:multiLevelType w:val="hybridMultilevel"/>
    <w:tmpl w:val="DD4C4EDC"/>
    <w:lvl w:ilvl="0" w:tplc="BEF652E8">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E441DE4"/>
    <w:multiLevelType w:val="hybridMultilevel"/>
    <w:tmpl w:val="CDD044F8"/>
    <w:lvl w:ilvl="0" w:tplc="0409001B">
      <w:start w:val="1"/>
      <w:numFmt w:val="lowerRoman"/>
      <w:lvlText w:val="%1."/>
      <w:lvlJc w:val="righ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1"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2" w15:restartNumberingAfterBreak="0">
    <w:nsid w:val="6141349C"/>
    <w:multiLevelType w:val="hybridMultilevel"/>
    <w:tmpl w:val="0C64DEBE"/>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3"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67D46F6A"/>
    <w:multiLevelType w:val="hybridMultilevel"/>
    <w:tmpl w:val="03540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38645E"/>
    <w:multiLevelType w:val="multilevel"/>
    <w:tmpl w:val="BF362958"/>
    <w:lvl w:ilvl="0">
      <w:start w:val="3"/>
      <w:numFmt w:val="decimal"/>
      <w:lvlRestart w:val="0"/>
      <w:pStyle w:val="ONUMFS"/>
      <w:lvlText w:val="%1."/>
      <w:lvlJc w:val="left"/>
      <w:pPr>
        <w:tabs>
          <w:tab w:val="num" w:pos="567"/>
        </w:tabs>
        <w:ind w:left="0" w:firstLine="0"/>
      </w:pPr>
      <w:rPr>
        <w:rFonts w:hint="default"/>
        <w:i/>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1"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0"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83D156B"/>
    <w:multiLevelType w:val="hybridMultilevel"/>
    <w:tmpl w:val="D08E679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2" w15:restartNumberingAfterBreak="0">
    <w:nsid w:val="78A350CA"/>
    <w:multiLevelType w:val="hybridMultilevel"/>
    <w:tmpl w:val="4D2C1C7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3"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60"/>
  </w:num>
  <w:num w:numId="3">
    <w:abstractNumId w:val="49"/>
  </w:num>
  <w:num w:numId="4">
    <w:abstractNumId w:val="62"/>
  </w:num>
  <w:num w:numId="5">
    <w:abstractNumId w:val="39"/>
  </w:num>
  <w:num w:numId="6">
    <w:abstractNumId w:val="64"/>
  </w:num>
  <w:num w:numId="7">
    <w:abstractNumId w:val="34"/>
  </w:num>
  <w:num w:numId="8">
    <w:abstractNumId w:val="2"/>
  </w:num>
  <w:num w:numId="9">
    <w:abstractNumId w:val="23"/>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7"/>
  </w:num>
  <w:num w:numId="13">
    <w:abstractNumId w:val="21"/>
  </w:num>
  <w:num w:numId="14">
    <w:abstractNumId w:val="36"/>
  </w:num>
  <w:num w:numId="15">
    <w:abstractNumId w:val="53"/>
  </w:num>
  <w:num w:numId="16">
    <w:abstractNumId w:val="33"/>
  </w:num>
  <w:num w:numId="17">
    <w:abstractNumId w:val="15"/>
  </w:num>
  <w:num w:numId="18">
    <w:abstractNumId w:val="22"/>
  </w:num>
  <w:num w:numId="19">
    <w:abstractNumId w:val="63"/>
  </w:num>
  <w:num w:numId="20">
    <w:abstractNumId w:val="25"/>
  </w:num>
  <w:num w:numId="21">
    <w:abstractNumId w:val="50"/>
  </w:num>
  <w:num w:numId="22">
    <w:abstractNumId w:val="47"/>
  </w:num>
  <w:num w:numId="23">
    <w:abstractNumId w:val="40"/>
  </w:num>
  <w:num w:numId="24">
    <w:abstractNumId w:val="41"/>
  </w:num>
  <w:num w:numId="25">
    <w:abstractNumId w:val="73"/>
  </w:num>
  <w:num w:numId="26">
    <w:abstractNumId w:val="5"/>
  </w:num>
  <w:num w:numId="27">
    <w:abstractNumId w:val="29"/>
  </w:num>
  <w:num w:numId="28">
    <w:abstractNumId w:val="0"/>
  </w:num>
  <w:num w:numId="29">
    <w:abstractNumId w:val="43"/>
  </w:num>
  <w:num w:numId="30">
    <w:abstractNumId w:val="71"/>
  </w:num>
  <w:num w:numId="31">
    <w:abstractNumId w:val="45"/>
  </w:num>
  <w:num w:numId="32">
    <w:abstractNumId w:val="13"/>
  </w:num>
  <w:num w:numId="33">
    <w:abstractNumId w:val="12"/>
  </w:num>
  <w:num w:numId="34">
    <w:abstractNumId w:val="35"/>
  </w:num>
  <w:num w:numId="35">
    <w:abstractNumId w:val="31"/>
  </w:num>
  <w:num w:numId="36">
    <w:abstractNumId w:val="56"/>
  </w:num>
  <w:num w:numId="37">
    <w:abstractNumId w:val="48"/>
  </w:num>
  <w:num w:numId="38">
    <w:abstractNumId w:val="17"/>
  </w:num>
  <w:num w:numId="39">
    <w:abstractNumId w:val="26"/>
  </w:num>
  <w:num w:numId="40">
    <w:abstractNumId w:val="24"/>
  </w:num>
  <w:num w:numId="41">
    <w:abstractNumId w:val="9"/>
  </w:num>
  <w:num w:numId="42">
    <w:abstractNumId w:val="6"/>
  </w:num>
  <w:num w:numId="43">
    <w:abstractNumId w:val="68"/>
  </w:num>
  <w:num w:numId="44">
    <w:abstractNumId w:val="55"/>
  </w:num>
  <w:num w:numId="45">
    <w:abstractNumId w:val="11"/>
  </w:num>
  <w:num w:numId="46">
    <w:abstractNumId w:val="32"/>
  </w:num>
  <w:num w:numId="47">
    <w:abstractNumId w:val="46"/>
  </w:num>
  <w:num w:numId="48">
    <w:abstractNumId w:val="65"/>
  </w:num>
  <w:num w:numId="49">
    <w:abstractNumId w:val="66"/>
  </w:num>
  <w:num w:numId="50">
    <w:abstractNumId w:val="59"/>
  </w:num>
  <w:num w:numId="51">
    <w:abstractNumId w:val="67"/>
  </w:num>
  <w:num w:numId="52">
    <w:abstractNumId w:val="3"/>
  </w:num>
  <w:num w:numId="53">
    <w:abstractNumId w:val="27"/>
  </w:num>
  <w:num w:numId="54">
    <w:abstractNumId w:val="72"/>
  </w:num>
  <w:num w:numId="55">
    <w:abstractNumId w:val="10"/>
  </w:num>
  <w:num w:numId="56">
    <w:abstractNumId w:val="28"/>
  </w:num>
  <w:num w:numId="57">
    <w:abstractNumId w:val="8"/>
  </w:num>
  <w:num w:numId="58">
    <w:abstractNumId w:val="4"/>
  </w:num>
  <w:num w:numId="59">
    <w:abstractNumId w:val="18"/>
  </w:num>
  <w:num w:numId="60">
    <w:abstractNumId w:val="42"/>
  </w:num>
  <w:num w:numId="61">
    <w:abstractNumId w:val="20"/>
  </w:num>
  <w:num w:numId="62">
    <w:abstractNumId w:val="52"/>
  </w:num>
  <w:num w:numId="63">
    <w:abstractNumId w:val="16"/>
  </w:num>
  <w:num w:numId="64">
    <w:abstractNumId w:val="30"/>
  </w:num>
  <w:num w:numId="65">
    <w:abstractNumId w:val="14"/>
  </w:num>
  <w:num w:numId="66">
    <w:abstractNumId w:val="19"/>
  </w:num>
  <w:num w:numId="67">
    <w:abstractNumId w:val="38"/>
  </w:num>
  <w:num w:numId="68">
    <w:abstractNumId w:val="57"/>
  </w:num>
  <w:num w:numId="69">
    <w:abstractNumId w:val="37"/>
  </w:num>
  <w:num w:numId="70">
    <w:abstractNumId w:val="54"/>
  </w:num>
  <w:num w:numId="71">
    <w:abstractNumId w:val="44"/>
  </w:num>
  <w:num w:numId="72">
    <w:abstractNumId w:val="70"/>
  </w:num>
  <w:num w:numId="73">
    <w:abstractNumId w:val="61"/>
  </w:num>
  <w:num w:numId="74">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B"/>
    <w:rsid w:val="00000079"/>
    <w:rsid w:val="00001C40"/>
    <w:rsid w:val="0000321E"/>
    <w:rsid w:val="000034CA"/>
    <w:rsid w:val="00003735"/>
    <w:rsid w:val="00003C91"/>
    <w:rsid w:val="00004569"/>
    <w:rsid w:val="0000477A"/>
    <w:rsid w:val="00005C98"/>
    <w:rsid w:val="00006223"/>
    <w:rsid w:val="00006AAC"/>
    <w:rsid w:val="000076BF"/>
    <w:rsid w:val="000079C3"/>
    <w:rsid w:val="00007CBC"/>
    <w:rsid w:val="0001158A"/>
    <w:rsid w:val="000116BA"/>
    <w:rsid w:val="000123EE"/>
    <w:rsid w:val="00012DF6"/>
    <w:rsid w:val="00013ACF"/>
    <w:rsid w:val="00013F4C"/>
    <w:rsid w:val="00014222"/>
    <w:rsid w:val="00015764"/>
    <w:rsid w:val="00015A08"/>
    <w:rsid w:val="00017164"/>
    <w:rsid w:val="00017778"/>
    <w:rsid w:val="00017D25"/>
    <w:rsid w:val="00020127"/>
    <w:rsid w:val="00020932"/>
    <w:rsid w:val="00020F4F"/>
    <w:rsid w:val="00021FE5"/>
    <w:rsid w:val="000221E8"/>
    <w:rsid w:val="00023342"/>
    <w:rsid w:val="000237CF"/>
    <w:rsid w:val="00023A6F"/>
    <w:rsid w:val="00023B9C"/>
    <w:rsid w:val="00023CB3"/>
    <w:rsid w:val="000243D5"/>
    <w:rsid w:val="000245C1"/>
    <w:rsid w:val="0002522C"/>
    <w:rsid w:val="00025391"/>
    <w:rsid w:val="0002667E"/>
    <w:rsid w:val="00026B79"/>
    <w:rsid w:val="00026C5E"/>
    <w:rsid w:val="00026CBF"/>
    <w:rsid w:val="00030307"/>
    <w:rsid w:val="000311C0"/>
    <w:rsid w:val="0003223F"/>
    <w:rsid w:val="000324D7"/>
    <w:rsid w:val="00033033"/>
    <w:rsid w:val="00034187"/>
    <w:rsid w:val="000343E8"/>
    <w:rsid w:val="00034520"/>
    <w:rsid w:val="000349DA"/>
    <w:rsid w:val="00035B4C"/>
    <w:rsid w:val="00035BBF"/>
    <w:rsid w:val="0003616B"/>
    <w:rsid w:val="000375DC"/>
    <w:rsid w:val="00037A0A"/>
    <w:rsid w:val="00037DE7"/>
    <w:rsid w:val="00041F14"/>
    <w:rsid w:val="000430E4"/>
    <w:rsid w:val="00043103"/>
    <w:rsid w:val="00043680"/>
    <w:rsid w:val="00043B1A"/>
    <w:rsid w:val="00043C6D"/>
    <w:rsid w:val="000449C8"/>
    <w:rsid w:val="000476AF"/>
    <w:rsid w:val="00047E80"/>
    <w:rsid w:val="00050599"/>
    <w:rsid w:val="00051108"/>
    <w:rsid w:val="00051954"/>
    <w:rsid w:val="00052090"/>
    <w:rsid w:val="000521EF"/>
    <w:rsid w:val="0005244B"/>
    <w:rsid w:val="00052A62"/>
    <w:rsid w:val="00052DA9"/>
    <w:rsid w:val="00053A32"/>
    <w:rsid w:val="00053D01"/>
    <w:rsid w:val="00056177"/>
    <w:rsid w:val="000565DF"/>
    <w:rsid w:val="00056BA6"/>
    <w:rsid w:val="00056ED3"/>
    <w:rsid w:val="00057DD1"/>
    <w:rsid w:val="00060EF7"/>
    <w:rsid w:val="00061562"/>
    <w:rsid w:val="00062308"/>
    <w:rsid w:val="00062DE9"/>
    <w:rsid w:val="000637DE"/>
    <w:rsid w:val="0006527D"/>
    <w:rsid w:val="000657B7"/>
    <w:rsid w:val="00065E9C"/>
    <w:rsid w:val="0006628F"/>
    <w:rsid w:val="000668F7"/>
    <w:rsid w:val="00066CE4"/>
    <w:rsid w:val="000675F5"/>
    <w:rsid w:val="000719B5"/>
    <w:rsid w:val="00071F9D"/>
    <w:rsid w:val="000729FF"/>
    <w:rsid w:val="00072A57"/>
    <w:rsid w:val="00073A21"/>
    <w:rsid w:val="000742FA"/>
    <w:rsid w:val="0007570B"/>
    <w:rsid w:val="00075AE6"/>
    <w:rsid w:val="00075D90"/>
    <w:rsid w:val="000770F6"/>
    <w:rsid w:val="000773C5"/>
    <w:rsid w:val="00080058"/>
    <w:rsid w:val="00080093"/>
    <w:rsid w:val="000802C6"/>
    <w:rsid w:val="00080ABD"/>
    <w:rsid w:val="00081114"/>
    <w:rsid w:val="00081F27"/>
    <w:rsid w:val="000846B8"/>
    <w:rsid w:val="000855F9"/>
    <w:rsid w:val="00085C9D"/>
    <w:rsid w:val="00086091"/>
    <w:rsid w:val="000868EE"/>
    <w:rsid w:val="0008743F"/>
    <w:rsid w:val="000900F8"/>
    <w:rsid w:val="000909B2"/>
    <w:rsid w:val="00090E1A"/>
    <w:rsid w:val="00091DC4"/>
    <w:rsid w:val="00092F29"/>
    <w:rsid w:val="000946F7"/>
    <w:rsid w:val="00094B8E"/>
    <w:rsid w:val="0009539A"/>
    <w:rsid w:val="00095EEE"/>
    <w:rsid w:val="00096574"/>
    <w:rsid w:val="000970AC"/>
    <w:rsid w:val="0009784A"/>
    <w:rsid w:val="000A0217"/>
    <w:rsid w:val="000A0C86"/>
    <w:rsid w:val="000A0D18"/>
    <w:rsid w:val="000A1197"/>
    <w:rsid w:val="000A150B"/>
    <w:rsid w:val="000A1D68"/>
    <w:rsid w:val="000A208B"/>
    <w:rsid w:val="000A2874"/>
    <w:rsid w:val="000A2B2F"/>
    <w:rsid w:val="000A2FF3"/>
    <w:rsid w:val="000A3AFD"/>
    <w:rsid w:val="000A3D5E"/>
    <w:rsid w:val="000A4281"/>
    <w:rsid w:val="000A46AC"/>
    <w:rsid w:val="000A4E93"/>
    <w:rsid w:val="000A5DCC"/>
    <w:rsid w:val="000A7864"/>
    <w:rsid w:val="000A7EC7"/>
    <w:rsid w:val="000B0761"/>
    <w:rsid w:val="000B1C7A"/>
    <w:rsid w:val="000B1F8E"/>
    <w:rsid w:val="000B2111"/>
    <w:rsid w:val="000B2BDC"/>
    <w:rsid w:val="000B3749"/>
    <w:rsid w:val="000B41BD"/>
    <w:rsid w:val="000B5AB7"/>
    <w:rsid w:val="000B6752"/>
    <w:rsid w:val="000B6B2B"/>
    <w:rsid w:val="000B6EC7"/>
    <w:rsid w:val="000C02DE"/>
    <w:rsid w:val="000C0394"/>
    <w:rsid w:val="000C2038"/>
    <w:rsid w:val="000C21A4"/>
    <w:rsid w:val="000C2256"/>
    <w:rsid w:val="000C3C43"/>
    <w:rsid w:val="000C4708"/>
    <w:rsid w:val="000C65C2"/>
    <w:rsid w:val="000C6E40"/>
    <w:rsid w:val="000D091A"/>
    <w:rsid w:val="000D0B81"/>
    <w:rsid w:val="000D0BCC"/>
    <w:rsid w:val="000D1EAF"/>
    <w:rsid w:val="000D1EC6"/>
    <w:rsid w:val="000D2137"/>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C2"/>
    <w:rsid w:val="000D70F0"/>
    <w:rsid w:val="000D7282"/>
    <w:rsid w:val="000D7436"/>
    <w:rsid w:val="000D7D7A"/>
    <w:rsid w:val="000E0E0C"/>
    <w:rsid w:val="000E2849"/>
    <w:rsid w:val="000E2DFC"/>
    <w:rsid w:val="000E3509"/>
    <w:rsid w:val="000E3B7A"/>
    <w:rsid w:val="000E4203"/>
    <w:rsid w:val="000E45E8"/>
    <w:rsid w:val="000E46F5"/>
    <w:rsid w:val="000E61D0"/>
    <w:rsid w:val="000E64B1"/>
    <w:rsid w:val="000E74CB"/>
    <w:rsid w:val="000E7600"/>
    <w:rsid w:val="000F06CB"/>
    <w:rsid w:val="000F104F"/>
    <w:rsid w:val="000F1BE1"/>
    <w:rsid w:val="000F2A10"/>
    <w:rsid w:val="000F3267"/>
    <w:rsid w:val="000F373C"/>
    <w:rsid w:val="000F4C94"/>
    <w:rsid w:val="000F5932"/>
    <w:rsid w:val="000F5BDF"/>
    <w:rsid w:val="000F5C13"/>
    <w:rsid w:val="000F5E56"/>
    <w:rsid w:val="000F6633"/>
    <w:rsid w:val="000F68BF"/>
    <w:rsid w:val="000F7B06"/>
    <w:rsid w:val="000F7CCF"/>
    <w:rsid w:val="001000FB"/>
    <w:rsid w:val="00100AF4"/>
    <w:rsid w:val="00100D3E"/>
    <w:rsid w:val="00102035"/>
    <w:rsid w:val="00102428"/>
    <w:rsid w:val="00103406"/>
    <w:rsid w:val="00103FA1"/>
    <w:rsid w:val="00104101"/>
    <w:rsid w:val="0010428A"/>
    <w:rsid w:val="00104A15"/>
    <w:rsid w:val="00104C6C"/>
    <w:rsid w:val="0010533A"/>
    <w:rsid w:val="001057F5"/>
    <w:rsid w:val="00105C35"/>
    <w:rsid w:val="00105E79"/>
    <w:rsid w:val="00106656"/>
    <w:rsid w:val="0010667E"/>
    <w:rsid w:val="0010689B"/>
    <w:rsid w:val="0010728A"/>
    <w:rsid w:val="00107836"/>
    <w:rsid w:val="00107EF8"/>
    <w:rsid w:val="001102DD"/>
    <w:rsid w:val="00110501"/>
    <w:rsid w:val="00111715"/>
    <w:rsid w:val="00111E90"/>
    <w:rsid w:val="00111FE8"/>
    <w:rsid w:val="00112310"/>
    <w:rsid w:val="00113A51"/>
    <w:rsid w:val="00113E2C"/>
    <w:rsid w:val="00114121"/>
    <w:rsid w:val="001144D7"/>
    <w:rsid w:val="001147D6"/>
    <w:rsid w:val="00114BEB"/>
    <w:rsid w:val="00116D3C"/>
    <w:rsid w:val="00116DA4"/>
    <w:rsid w:val="00116E29"/>
    <w:rsid w:val="001171FD"/>
    <w:rsid w:val="00117F13"/>
    <w:rsid w:val="00120DF0"/>
    <w:rsid w:val="001212EF"/>
    <w:rsid w:val="00121A6D"/>
    <w:rsid w:val="00121FAE"/>
    <w:rsid w:val="00122835"/>
    <w:rsid w:val="001231A5"/>
    <w:rsid w:val="00123C77"/>
    <w:rsid w:val="00125E80"/>
    <w:rsid w:val="0012630F"/>
    <w:rsid w:val="00126BB1"/>
    <w:rsid w:val="00126F01"/>
    <w:rsid w:val="00127A91"/>
    <w:rsid w:val="001305F7"/>
    <w:rsid w:val="001320FC"/>
    <w:rsid w:val="0013293A"/>
    <w:rsid w:val="00132E1E"/>
    <w:rsid w:val="0013364F"/>
    <w:rsid w:val="00134FF8"/>
    <w:rsid w:val="0013567F"/>
    <w:rsid w:val="00136257"/>
    <w:rsid w:val="00137602"/>
    <w:rsid w:val="0013771A"/>
    <w:rsid w:val="00137770"/>
    <w:rsid w:val="00137FE0"/>
    <w:rsid w:val="00140166"/>
    <w:rsid w:val="001401C0"/>
    <w:rsid w:val="001405FA"/>
    <w:rsid w:val="00141969"/>
    <w:rsid w:val="001421A0"/>
    <w:rsid w:val="00142F55"/>
    <w:rsid w:val="00143108"/>
    <w:rsid w:val="0014310F"/>
    <w:rsid w:val="001436F3"/>
    <w:rsid w:val="00144494"/>
    <w:rsid w:val="00144D4B"/>
    <w:rsid w:val="00145C74"/>
    <w:rsid w:val="001462C6"/>
    <w:rsid w:val="001462EB"/>
    <w:rsid w:val="00146DC7"/>
    <w:rsid w:val="001477F3"/>
    <w:rsid w:val="001501DE"/>
    <w:rsid w:val="00150213"/>
    <w:rsid w:val="00150BA0"/>
    <w:rsid w:val="00151E0F"/>
    <w:rsid w:val="0015227A"/>
    <w:rsid w:val="00152A86"/>
    <w:rsid w:val="00152B1B"/>
    <w:rsid w:val="00152D3A"/>
    <w:rsid w:val="00152D82"/>
    <w:rsid w:val="00153976"/>
    <w:rsid w:val="00154D7B"/>
    <w:rsid w:val="00155012"/>
    <w:rsid w:val="0015502F"/>
    <w:rsid w:val="00156955"/>
    <w:rsid w:val="00156E32"/>
    <w:rsid w:val="0016012B"/>
    <w:rsid w:val="00160164"/>
    <w:rsid w:val="00160306"/>
    <w:rsid w:val="00160C2D"/>
    <w:rsid w:val="001615D8"/>
    <w:rsid w:val="00161ACB"/>
    <w:rsid w:val="001624BB"/>
    <w:rsid w:val="0016254B"/>
    <w:rsid w:val="001633E7"/>
    <w:rsid w:val="00163AA8"/>
    <w:rsid w:val="00163B39"/>
    <w:rsid w:val="00163F16"/>
    <w:rsid w:val="00164905"/>
    <w:rsid w:val="00164CBD"/>
    <w:rsid w:val="00164F46"/>
    <w:rsid w:val="001662B7"/>
    <w:rsid w:val="00166593"/>
    <w:rsid w:val="00166A40"/>
    <w:rsid w:val="00167FBC"/>
    <w:rsid w:val="001705F3"/>
    <w:rsid w:val="001708EC"/>
    <w:rsid w:val="00170E86"/>
    <w:rsid w:val="0017134A"/>
    <w:rsid w:val="00171543"/>
    <w:rsid w:val="00174B41"/>
    <w:rsid w:val="00176DC3"/>
    <w:rsid w:val="00177094"/>
    <w:rsid w:val="00177C88"/>
    <w:rsid w:val="00181AAB"/>
    <w:rsid w:val="00183F38"/>
    <w:rsid w:val="0018421D"/>
    <w:rsid w:val="00184401"/>
    <w:rsid w:val="00184A7B"/>
    <w:rsid w:val="0018570F"/>
    <w:rsid w:val="00185E42"/>
    <w:rsid w:val="001866C5"/>
    <w:rsid w:val="00186823"/>
    <w:rsid w:val="00186F65"/>
    <w:rsid w:val="001870D0"/>
    <w:rsid w:val="0018759D"/>
    <w:rsid w:val="001920B9"/>
    <w:rsid w:val="001923E7"/>
    <w:rsid w:val="00193415"/>
    <w:rsid w:val="00193B29"/>
    <w:rsid w:val="00194ABB"/>
    <w:rsid w:val="00194F63"/>
    <w:rsid w:val="00195D61"/>
    <w:rsid w:val="001965E9"/>
    <w:rsid w:val="0019668C"/>
    <w:rsid w:val="001A0931"/>
    <w:rsid w:val="001A2320"/>
    <w:rsid w:val="001A32E9"/>
    <w:rsid w:val="001A339F"/>
    <w:rsid w:val="001A42B0"/>
    <w:rsid w:val="001A474A"/>
    <w:rsid w:val="001A4D32"/>
    <w:rsid w:val="001A4E7C"/>
    <w:rsid w:val="001A5122"/>
    <w:rsid w:val="001A5142"/>
    <w:rsid w:val="001A5404"/>
    <w:rsid w:val="001A6881"/>
    <w:rsid w:val="001A6ACC"/>
    <w:rsid w:val="001A71DE"/>
    <w:rsid w:val="001A7513"/>
    <w:rsid w:val="001A7BFB"/>
    <w:rsid w:val="001B00D3"/>
    <w:rsid w:val="001B0EEB"/>
    <w:rsid w:val="001B1208"/>
    <w:rsid w:val="001B21A4"/>
    <w:rsid w:val="001B2385"/>
    <w:rsid w:val="001B257C"/>
    <w:rsid w:val="001B32FA"/>
    <w:rsid w:val="001B4B86"/>
    <w:rsid w:val="001B58F5"/>
    <w:rsid w:val="001B5917"/>
    <w:rsid w:val="001B5C70"/>
    <w:rsid w:val="001B6574"/>
    <w:rsid w:val="001B6577"/>
    <w:rsid w:val="001B7D1A"/>
    <w:rsid w:val="001B7D29"/>
    <w:rsid w:val="001C26D0"/>
    <w:rsid w:val="001C3FE1"/>
    <w:rsid w:val="001C4493"/>
    <w:rsid w:val="001C4517"/>
    <w:rsid w:val="001C4FA6"/>
    <w:rsid w:val="001C684C"/>
    <w:rsid w:val="001D0852"/>
    <w:rsid w:val="001D1140"/>
    <w:rsid w:val="001D1A90"/>
    <w:rsid w:val="001D271B"/>
    <w:rsid w:val="001D3292"/>
    <w:rsid w:val="001D398F"/>
    <w:rsid w:val="001D4360"/>
    <w:rsid w:val="001D4ED5"/>
    <w:rsid w:val="001D53ED"/>
    <w:rsid w:val="001D5C9B"/>
    <w:rsid w:val="001D60B1"/>
    <w:rsid w:val="001D6B00"/>
    <w:rsid w:val="001D6EAD"/>
    <w:rsid w:val="001E05A7"/>
    <w:rsid w:val="001E10DC"/>
    <w:rsid w:val="001E1127"/>
    <w:rsid w:val="001E1417"/>
    <w:rsid w:val="001E1972"/>
    <w:rsid w:val="001E1FBB"/>
    <w:rsid w:val="001E4052"/>
    <w:rsid w:val="001E437F"/>
    <w:rsid w:val="001E464F"/>
    <w:rsid w:val="001E469B"/>
    <w:rsid w:val="001E5739"/>
    <w:rsid w:val="001E5B8D"/>
    <w:rsid w:val="001E7670"/>
    <w:rsid w:val="001E7AFA"/>
    <w:rsid w:val="001E7C5B"/>
    <w:rsid w:val="001F0763"/>
    <w:rsid w:val="001F0B5F"/>
    <w:rsid w:val="001F2429"/>
    <w:rsid w:val="001F381B"/>
    <w:rsid w:val="001F42D4"/>
    <w:rsid w:val="001F4666"/>
    <w:rsid w:val="001F47EF"/>
    <w:rsid w:val="001F5324"/>
    <w:rsid w:val="001F541D"/>
    <w:rsid w:val="00200200"/>
    <w:rsid w:val="002014D9"/>
    <w:rsid w:val="002026E9"/>
    <w:rsid w:val="00202A13"/>
    <w:rsid w:val="002034B6"/>
    <w:rsid w:val="00203D8A"/>
    <w:rsid w:val="00204B95"/>
    <w:rsid w:val="00204EBB"/>
    <w:rsid w:val="002057C4"/>
    <w:rsid w:val="002058B9"/>
    <w:rsid w:val="00206018"/>
    <w:rsid w:val="0020704E"/>
    <w:rsid w:val="00207709"/>
    <w:rsid w:val="0020795C"/>
    <w:rsid w:val="00207B0F"/>
    <w:rsid w:val="002104CD"/>
    <w:rsid w:val="002106BE"/>
    <w:rsid w:val="00210CD1"/>
    <w:rsid w:val="002118AC"/>
    <w:rsid w:val="00212173"/>
    <w:rsid w:val="002129F8"/>
    <w:rsid w:val="00212DBB"/>
    <w:rsid w:val="002142C5"/>
    <w:rsid w:val="0021553E"/>
    <w:rsid w:val="00215577"/>
    <w:rsid w:val="00215DAD"/>
    <w:rsid w:val="00216527"/>
    <w:rsid w:val="00216E2E"/>
    <w:rsid w:val="002172E4"/>
    <w:rsid w:val="00217764"/>
    <w:rsid w:val="0021789D"/>
    <w:rsid w:val="00217CD8"/>
    <w:rsid w:val="00220B15"/>
    <w:rsid w:val="00223BC2"/>
    <w:rsid w:val="0022422C"/>
    <w:rsid w:val="00224899"/>
    <w:rsid w:val="0022498D"/>
    <w:rsid w:val="002249C8"/>
    <w:rsid w:val="00225D97"/>
    <w:rsid w:val="00226583"/>
    <w:rsid w:val="002269B3"/>
    <w:rsid w:val="002269C9"/>
    <w:rsid w:val="00226EC3"/>
    <w:rsid w:val="002301FF"/>
    <w:rsid w:val="002309AC"/>
    <w:rsid w:val="002309C8"/>
    <w:rsid w:val="00230C40"/>
    <w:rsid w:val="00230C7F"/>
    <w:rsid w:val="0023142F"/>
    <w:rsid w:val="002331D7"/>
    <w:rsid w:val="002332B9"/>
    <w:rsid w:val="00233598"/>
    <w:rsid w:val="00233756"/>
    <w:rsid w:val="00234CF7"/>
    <w:rsid w:val="00236209"/>
    <w:rsid w:val="00236589"/>
    <w:rsid w:val="002370D5"/>
    <w:rsid w:val="002371FF"/>
    <w:rsid w:val="00237993"/>
    <w:rsid w:val="00237DF6"/>
    <w:rsid w:val="002400AD"/>
    <w:rsid w:val="002407A3"/>
    <w:rsid w:val="00240EE7"/>
    <w:rsid w:val="002411E2"/>
    <w:rsid w:val="002420BD"/>
    <w:rsid w:val="00242F50"/>
    <w:rsid w:val="002430CD"/>
    <w:rsid w:val="0024382E"/>
    <w:rsid w:val="00244328"/>
    <w:rsid w:val="0024439A"/>
    <w:rsid w:val="00244EF8"/>
    <w:rsid w:val="00245588"/>
    <w:rsid w:val="00245C5A"/>
    <w:rsid w:val="00246270"/>
    <w:rsid w:val="002469D9"/>
    <w:rsid w:val="00246D00"/>
    <w:rsid w:val="00250075"/>
    <w:rsid w:val="002512C6"/>
    <w:rsid w:val="00251526"/>
    <w:rsid w:val="00251E57"/>
    <w:rsid w:val="002526BC"/>
    <w:rsid w:val="00252A43"/>
    <w:rsid w:val="00252B9F"/>
    <w:rsid w:val="00252C20"/>
    <w:rsid w:val="002538DC"/>
    <w:rsid w:val="00253B03"/>
    <w:rsid w:val="00253B1A"/>
    <w:rsid w:val="00253FA5"/>
    <w:rsid w:val="00254944"/>
    <w:rsid w:val="00254A04"/>
    <w:rsid w:val="002552A6"/>
    <w:rsid w:val="00255985"/>
    <w:rsid w:val="00256883"/>
    <w:rsid w:val="002568B5"/>
    <w:rsid w:val="00257A3D"/>
    <w:rsid w:val="0026000B"/>
    <w:rsid w:val="00260F76"/>
    <w:rsid w:val="0026140A"/>
    <w:rsid w:val="00262034"/>
    <w:rsid w:val="0026263F"/>
    <w:rsid w:val="002630C5"/>
    <w:rsid w:val="00263437"/>
    <w:rsid w:val="00264152"/>
    <w:rsid w:val="00264F1E"/>
    <w:rsid w:val="00265350"/>
    <w:rsid w:val="002656DA"/>
    <w:rsid w:val="00265E0D"/>
    <w:rsid w:val="00266C53"/>
    <w:rsid w:val="00266E29"/>
    <w:rsid w:val="002701C3"/>
    <w:rsid w:val="0027061B"/>
    <w:rsid w:val="00272401"/>
    <w:rsid w:val="00272998"/>
    <w:rsid w:val="00272EF4"/>
    <w:rsid w:val="002733DC"/>
    <w:rsid w:val="002734F4"/>
    <w:rsid w:val="002742CB"/>
    <w:rsid w:val="00274D8E"/>
    <w:rsid w:val="002757EE"/>
    <w:rsid w:val="00276039"/>
    <w:rsid w:val="00276800"/>
    <w:rsid w:val="00277AF8"/>
    <w:rsid w:val="00277BC7"/>
    <w:rsid w:val="002800CE"/>
    <w:rsid w:val="00282463"/>
    <w:rsid w:val="00283DA0"/>
    <w:rsid w:val="00284C38"/>
    <w:rsid w:val="00284E81"/>
    <w:rsid w:val="002867BF"/>
    <w:rsid w:val="00286A1E"/>
    <w:rsid w:val="002876A9"/>
    <w:rsid w:val="002923AB"/>
    <w:rsid w:val="002938FD"/>
    <w:rsid w:val="00294548"/>
    <w:rsid w:val="00294BE4"/>
    <w:rsid w:val="00294E65"/>
    <w:rsid w:val="0029558A"/>
    <w:rsid w:val="002958BB"/>
    <w:rsid w:val="00295D54"/>
    <w:rsid w:val="0029620D"/>
    <w:rsid w:val="00296D41"/>
    <w:rsid w:val="00297060"/>
    <w:rsid w:val="002A03FF"/>
    <w:rsid w:val="002A0754"/>
    <w:rsid w:val="002A12C6"/>
    <w:rsid w:val="002A540F"/>
    <w:rsid w:val="002A554E"/>
    <w:rsid w:val="002A571C"/>
    <w:rsid w:val="002A60AA"/>
    <w:rsid w:val="002A75B1"/>
    <w:rsid w:val="002B0E6A"/>
    <w:rsid w:val="002B1805"/>
    <w:rsid w:val="002B2E78"/>
    <w:rsid w:val="002B372E"/>
    <w:rsid w:val="002B4147"/>
    <w:rsid w:val="002B57B2"/>
    <w:rsid w:val="002B68AA"/>
    <w:rsid w:val="002B7B3E"/>
    <w:rsid w:val="002B7C89"/>
    <w:rsid w:val="002B7EBF"/>
    <w:rsid w:val="002C12AD"/>
    <w:rsid w:val="002C1AFD"/>
    <w:rsid w:val="002C1CB6"/>
    <w:rsid w:val="002C20A3"/>
    <w:rsid w:val="002C25B0"/>
    <w:rsid w:val="002C2C93"/>
    <w:rsid w:val="002C355C"/>
    <w:rsid w:val="002C3BE0"/>
    <w:rsid w:val="002C61F6"/>
    <w:rsid w:val="002D086D"/>
    <w:rsid w:val="002D1997"/>
    <w:rsid w:val="002D208C"/>
    <w:rsid w:val="002D2FD0"/>
    <w:rsid w:val="002D4565"/>
    <w:rsid w:val="002D4F83"/>
    <w:rsid w:val="002D6DB5"/>
    <w:rsid w:val="002D7865"/>
    <w:rsid w:val="002D7E4D"/>
    <w:rsid w:val="002D7FB3"/>
    <w:rsid w:val="002E0811"/>
    <w:rsid w:val="002E0F7D"/>
    <w:rsid w:val="002E23AA"/>
    <w:rsid w:val="002E2B12"/>
    <w:rsid w:val="002E3231"/>
    <w:rsid w:val="002E3444"/>
    <w:rsid w:val="002E35D9"/>
    <w:rsid w:val="002E3E52"/>
    <w:rsid w:val="002E4B68"/>
    <w:rsid w:val="002E4F33"/>
    <w:rsid w:val="002E5A18"/>
    <w:rsid w:val="002E5B9B"/>
    <w:rsid w:val="002E6654"/>
    <w:rsid w:val="002E75AC"/>
    <w:rsid w:val="002F02A1"/>
    <w:rsid w:val="002F0860"/>
    <w:rsid w:val="002F0D6D"/>
    <w:rsid w:val="002F1AA9"/>
    <w:rsid w:val="002F1DAB"/>
    <w:rsid w:val="002F29BA"/>
    <w:rsid w:val="002F2E42"/>
    <w:rsid w:val="002F4EFB"/>
    <w:rsid w:val="002F5385"/>
    <w:rsid w:val="002F562C"/>
    <w:rsid w:val="002F6597"/>
    <w:rsid w:val="002F6F54"/>
    <w:rsid w:val="002F6F5A"/>
    <w:rsid w:val="002F71C5"/>
    <w:rsid w:val="002F7D00"/>
    <w:rsid w:val="003001D3"/>
    <w:rsid w:val="00300361"/>
    <w:rsid w:val="0030101A"/>
    <w:rsid w:val="003018BA"/>
    <w:rsid w:val="00302049"/>
    <w:rsid w:val="003057BE"/>
    <w:rsid w:val="003075D5"/>
    <w:rsid w:val="003102CA"/>
    <w:rsid w:val="00311C10"/>
    <w:rsid w:val="00311D6C"/>
    <w:rsid w:val="00312128"/>
    <w:rsid w:val="0031212B"/>
    <w:rsid w:val="00313FE1"/>
    <w:rsid w:val="00315C4E"/>
    <w:rsid w:val="00316105"/>
    <w:rsid w:val="003162A9"/>
    <w:rsid w:val="00316547"/>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49FE"/>
    <w:rsid w:val="00325390"/>
    <w:rsid w:val="003259ED"/>
    <w:rsid w:val="00326110"/>
    <w:rsid w:val="00326324"/>
    <w:rsid w:val="003267BE"/>
    <w:rsid w:val="00326B73"/>
    <w:rsid w:val="00326C7A"/>
    <w:rsid w:val="003271D3"/>
    <w:rsid w:val="003301D4"/>
    <w:rsid w:val="0033086F"/>
    <w:rsid w:val="0033103D"/>
    <w:rsid w:val="00333E6B"/>
    <w:rsid w:val="003340EC"/>
    <w:rsid w:val="00334A55"/>
    <w:rsid w:val="00334A96"/>
    <w:rsid w:val="00335913"/>
    <w:rsid w:val="00336909"/>
    <w:rsid w:val="003374A4"/>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20FD"/>
    <w:rsid w:val="0035299E"/>
    <w:rsid w:val="0035347B"/>
    <w:rsid w:val="003540FF"/>
    <w:rsid w:val="003556F2"/>
    <w:rsid w:val="00355CE2"/>
    <w:rsid w:val="00356FD6"/>
    <w:rsid w:val="00357458"/>
    <w:rsid w:val="00360121"/>
    <w:rsid w:val="0036041F"/>
    <w:rsid w:val="003624CC"/>
    <w:rsid w:val="0036290B"/>
    <w:rsid w:val="00362C4B"/>
    <w:rsid w:val="003632BF"/>
    <w:rsid w:val="00363314"/>
    <w:rsid w:val="003639C6"/>
    <w:rsid w:val="00363E57"/>
    <w:rsid w:val="00363F64"/>
    <w:rsid w:val="003646C0"/>
    <w:rsid w:val="00365C74"/>
    <w:rsid w:val="00366C82"/>
    <w:rsid w:val="0037162C"/>
    <w:rsid w:val="00372C02"/>
    <w:rsid w:val="00373552"/>
    <w:rsid w:val="00374532"/>
    <w:rsid w:val="0037551D"/>
    <w:rsid w:val="00376B45"/>
    <w:rsid w:val="00376BA1"/>
    <w:rsid w:val="00377508"/>
    <w:rsid w:val="003776C8"/>
    <w:rsid w:val="00377B53"/>
    <w:rsid w:val="00377BCD"/>
    <w:rsid w:val="00381F79"/>
    <w:rsid w:val="00382AD0"/>
    <w:rsid w:val="00383000"/>
    <w:rsid w:val="003832A8"/>
    <w:rsid w:val="00383318"/>
    <w:rsid w:val="00384983"/>
    <w:rsid w:val="00384F36"/>
    <w:rsid w:val="00386439"/>
    <w:rsid w:val="00386688"/>
    <w:rsid w:val="00387B98"/>
    <w:rsid w:val="00387DD7"/>
    <w:rsid w:val="003915CA"/>
    <w:rsid w:val="0039193A"/>
    <w:rsid w:val="0039238F"/>
    <w:rsid w:val="00393C84"/>
    <w:rsid w:val="003945AA"/>
    <w:rsid w:val="00395E52"/>
    <w:rsid w:val="00396066"/>
    <w:rsid w:val="00397A65"/>
    <w:rsid w:val="003A06DB"/>
    <w:rsid w:val="003A1292"/>
    <w:rsid w:val="003A13D5"/>
    <w:rsid w:val="003A172F"/>
    <w:rsid w:val="003A1743"/>
    <w:rsid w:val="003A197D"/>
    <w:rsid w:val="003A1D9B"/>
    <w:rsid w:val="003A2B3E"/>
    <w:rsid w:val="003A4AA3"/>
    <w:rsid w:val="003A4ABB"/>
    <w:rsid w:val="003A621D"/>
    <w:rsid w:val="003A7004"/>
    <w:rsid w:val="003A72AA"/>
    <w:rsid w:val="003A7A3F"/>
    <w:rsid w:val="003B0065"/>
    <w:rsid w:val="003B01A1"/>
    <w:rsid w:val="003B0A7E"/>
    <w:rsid w:val="003B0DC1"/>
    <w:rsid w:val="003B0E26"/>
    <w:rsid w:val="003B0EC7"/>
    <w:rsid w:val="003B0F24"/>
    <w:rsid w:val="003B1F73"/>
    <w:rsid w:val="003B2652"/>
    <w:rsid w:val="003B2A89"/>
    <w:rsid w:val="003B2B93"/>
    <w:rsid w:val="003B2BE5"/>
    <w:rsid w:val="003B31F0"/>
    <w:rsid w:val="003B339F"/>
    <w:rsid w:val="003B3832"/>
    <w:rsid w:val="003B4D3D"/>
    <w:rsid w:val="003B4E28"/>
    <w:rsid w:val="003B569B"/>
    <w:rsid w:val="003B59F7"/>
    <w:rsid w:val="003B5A47"/>
    <w:rsid w:val="003B600C"/>
    <w:rsid w:val="003B7625"/>
    <w:rsid w:val="003B7CE7"/>
    <w:rsid w:val="003C0688"/>
    <w:rsid w:val="003C1416"/>
    <w:rsid w:val="003C240F"/>
    <w:rsid w:val="003C26C2"/>
    <w:rsid w:val="003C39E0"/>
    <w:rsid w:val="003C41FF"/>
    <w:rsid w:val="003C4D6B"/>
    <w:rsid w:val="003C4EAA"/>
    <w:rsid w:val="003C545B"/>
    <w:rsid w:val="003C567B"/>
    <w:rsid w:val="003C6002"/>
    <w:rsid w:val="003C6403"/>
    <w:rsid w:val="003C6E98"/>
    <w:rsid w:val="003C71E1"/>
    <w:rsid w:val="003C725C"/>
    <w:rsid w:val="003C7A56"/>
    <w:rsid w:val="003C7AE9"/>
    <w:rsid w:val="003C7E59"/>
    <w:rsid w:val="003D1024"/>
    <w:rsid w:val="003D182C"/>
    <w:rsid w:val="003D26AC"/>
    <w:rsid w:val="003D2D21"/>
    <w:rsid w:val="003D360E"/>
    <w:rsid w:val="003D396C"/>
    <w:rsid w:val="003D47D3"/>
    <w:rsid w:val="003D4A00"/>
    <w:rsid w:val="003D64D6"/>
    <w:rsid w:val="003D6851"/>
    <w:rsid w:val="003D6FEC"/>
    <w:rsid w:val="003D6FF0"/>
    <w:rsid w:val="003D73E1"/>
    <w:rsid w:val="003D75CC"/>
    <w:rsid w:val="003D7806"/>
    <w:rsid w:val="003E01F1"/>
    <w:rsid w:val="003E0B92"/>
    <w:rsid w:val="003E1536"/>
    <w:rsid w:val="003E2333"/>
    <w:rsid w:val="003E3118"/>
    <w:rsid w:val="003E55D0"/>
    <w:rsid w:val="003E5AE0"/>
    <w:rsid w:val="003E6370"/>
    <w:rsid w:val="003E6C07"/>
    <w:rsid w:val="003E72C2"/>
    <w:rsid w:val="003E7647"/>
    <w:rsid w:val="003F0D82"/>
    <w:rsid w:val="003F1058"/>
    <w:rsid w:val="003F2F26"/>
    <w:rsid w:val="003F36B1"/>
    <w:rsid w:val="003F3A1E"/>
    <w:rsid w:val="003F4080"/>
    <w:rsid w:val="003F5177"/>
    <w:rsid w:val="003F52CD"/>
    <w:rsid w:val="003F54E3"/>
    <w:rsid w:val="003F561D"/>
    <w:rsid w:val="003F56AC"/>
    <w:rsid w:val="003F5CBF"/>
    <w:rsid w:val="003F5CEE"/>
    <w:rsid w:val="003F6B09"/>
    <w:rsid w:val="003F7401"/>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87E"/>
    <w:rsid w:val="004059CD"/>
    <w:rsid w:val="00405A96"/>
    <w:rsid w:val="00405B32"/>
    <w:rsid w:val="00405E37"/>
    <w:rsid w:val="00405FEB"/>
    <w:rsid w:val="0040653B"/>
    <w:rsid w:val="0040736C"/>
    <w:rsid w:val="00410274"/>
    <w:rsid w:val="004107D1"/>
    <w:rsid w:val="00410FC6"/>
    <w:rsid w:val="00413940"/>
    <w:rsid w:val="00413B13"/>
    <w:rsid w:val="0041408C"/>
    <w:rsid w:val="00414833"/>
    <w:rsid w:val="00414CD0"/>
    <w:rsid w:val="00414D79"/>
    <w:rsid w:val="00414EB6"/>
    <w:rsid w:val="00415022"/>
    <w:rsid w:val="00415490"/>
    <w:rsid w:val="00422561"/>
    <w:rsid w:val="0042377C"/>
    <w:rsid w:val="0042499F"/>
    <w:rsid w:val="00425159"/>
    <w:rsid w:val="00425993"/>
    <w:rsid w:val="00426A20"/>
    <w:rsid w:val="00426DDF"/>
    <w:rsid w:val="0042701F"/>
    <w:rsid w:val="00427111"/>
    <w:rsid w:val="0042737F"/>
    <w:rsid w:val="004274F0"/>
    <w:rsid w:val="00427B74"/>
    <w:rsid w:val="004304B6"/>
    <w:rsid w:val="00430815"/>
    <w:rsid w:val="00431118"/>
    <w:rsid w:val="004317CD"/>
    <w:rsid w:val="0043183E"/>
    <w:rsid w:val="00431C6A"/>
    <w:rsid w:val="00432051"/>
    <w:rsid w:val="00432F4A"/>
    <w:rsid w:val="00434C2E"/>
    <w:rsid w:val="0043583A"/>
    <w:rsid w:val="00435CE4"/>
    <w:rsid w:val="004368C3"/>
    <w:rsid w:val="00436B36"/>
    <w:rsid w:val="0043730B"/>
    <w:rsid w:val="0044017F"/>
    <w:rsid w:val="004403BB"/>
    <w:rsid w:val="00440C1D"/>
    <w:rsid w:val="00441312"/>
    <w:rsid w:val="004415FB"/>
    <w:rsid w:val="00441A7B"/>
    <w:rsid w:val="0044267F"/>
    <w:rsid w:val="0044292D"/>
    <w:rsid w:val="00443301"/>
    <w:rsid w:val="00443898"/>
    <w:rsid w:val="004441E7"/>
    <w:rsid w:val="00444647"/>
    <w:rsid w:val="00445068"/>
    <w:rsid w:val="00445862"/>
    <w:rsid w:val="00445E4B"/>
    <w:rsid w:val="00447371"/>
    <w:rsid w:val="00450E13"/>
    <w:rsid w:val="00451D3D"/>
    <w:rsid w:val="00452240"/>
    <w:rsid w:val="00453695"/>
    <w:rsid w:val="004548C2"/>
    <w:rsid w:val="00455B77"/>
    <w:rsid w:val="00455C93"/>
    <w:rsid w:val="00456839"/>
    <w:rsid w:val="00456B78"/>
    <w:rsid w:val="00456D67"/>
    <w:rsid w:val="0046055C"/>
    <w:rsid w:val="00460B68"/>
    <w:rsid w:val="004610FD"/>
    <w:rsid w:val="004614B9"/>
    <w:rsid w:val="004617A0"/>
    <w:rsid w:val="00464EC8"/>
    <w:rsid w:val="0047001A"/>
    <w:rsid w:val="00471171"/>
    <w:rsid w:val="00472D67"/>
    <w:rsid w:val="004738AE"/>
    <w:rsid w:val="00474217"/>
    <w:rsid w:val="0047458E"/>
    <w:rsid w:val="00475098"/>
    <w:rsid w:val="00475251"/>
    <w:rsid w:val="00475A21"/>
    <w:rsid w:val="00476ACE"/>
    <w:rsid w:val="00476B29"/>
    <w:rsid w:val="00476D5B"/>
    <w:rsid w:val="00480C5B"/>
    <w:rsid w:val="004827BF"/>
    <w:rsid w:val="00482D7F"/>
    <w:rsid w:val="004833D1"/>
    <w:rsid w:val="0048588F"/>
    <w:rsid w:val="004858B6"/>
    <w:rsid w:val="00486C06"/>
    <w:rsid w:val="00486F67"/>
    <w:rsid w:val="00487F25"/>
    <w:rsid w:val="00492634"/>
    <w:rsid w:val="004926FF"/>
    <w:rsid w:val="004938DC"/>
    <w:rsid w:val="00493A51"/>
    <w:rsid w:val="00493A79"/>
    <w:rsid w:val="00494A24"/>
    <w:rsid w:val="00495413"/>
    <w:rsid w:val="00496160"/>
    <w:rsid w:val="00496365"/>
    <w:rsid w:val="00496E7E"/>
    <w:rsid w:val="00497E82"/>
    <w:rsid w:val="004A07BB"/>
    <w:rsid w:val="004A0F06"/>
    <w:rsid w:val="004A2131"/>
    <w:rsid w:val="004A2F48"/>
    <w:rsid w:val="004A30FA"/>
    <w:rsid w:val="004A36DA"/>
    <w:rsid w:val="004A5FE4"/>
    <w:rsid w:val="004A614D"/>
    <w:rsid w:val="004A63D1"/>
    <w:rsid w:val="004A65BA"/>
    <w:rsid w:val="004A73C3"/>
    <w:rsid w:val="004A741F"/>
    <w:rsid w:val="004A7B94"/>
    <w:rsid w:val="004B0761"/>
    <w:rsid w:val="004B0AD3"/>
    <w:rsid w:val="004B14A2"/>
    <w:rsid w:val="004B1B0E"/>
    <w:rsid w:val="004B1C6C"/>
    <w:rsid w:val="004B1E29"/>
    <w:rsid w:val="004B2A8A"/>
    <w:rsid w:val="004B2BB5"/>
    <w:rsid w:val="004B49F8"/>
    <w:rsid w:val="004B5771"/>
    <w:rsid w:val="004B59BE"/>
    <w:rsid w:val="004B5B4C"/>
    <w:rsid w:val="004B6596"/>
    <w:rsid w:val="004B73B5"/>
    <w:rsid w:val="004B79B0"/>
    <w:rsid w:val="004C06D5"/>
    <w:rsid w:val="004C0AD8"/>
    <w:rsid w:val="004C1ED2"/>
    <w:rsid w:val="004C2A41"/>
    <w:rsid w:val="004C2F5D"/>
    <w:rsid w:val="004C30E4"/>
    <w:rsid w:val="004C41C7"/>
    <w:rsid w:val="004C48C7"/>
    <w:rsid w:val="004C608B"/>
    <w:rsid w:val="004C6D29"/>
    <w:rsid w:val="004C7669"/>
    <w:rsid w:val="004C7D84"/>
    <w:rsid w:val="004D0618"/>
    <w:rsid w:val="004D074C"/>
    <w:rsid w:val="004D21C2"/>
    <w:rsid w:val="004D3295"/>
    <w:rsid w:val="004D3669"/>
    <w:rsid w:val="004D4E4C"/>
    <w:rsid w:val="004D5026"/>
    <w:rsid w:val="004D5418"/>
    <w:rsid w:val="004D6483"/>
    <w:rsid w:val="004D7ACC"/>
    <w:rsid w:val="004E190A"/>
    <w:rsid w:val="004E19FF"/>
    <w:rsid w:val="004E266A"/>
    <w:rsid w:val="004E2FBA"/>
    <w:rsid w:val="004E31D0"/>
    <w:rsid w:val="004E373C"/>
    <w:rsid w:val="004E3FC7"/>
    <w:rsid w:val="004E4AF0"/>
    <w:rsid w:val="004E4C4C"/>
    <w:rsid w:val="004E6D11"/>
    <w:rsid w:val="004E767C"/>
    <w:rsid w:val="004F0688"/>
    <w:rsid w:val="004F0852"/>
    <w:rsid w:val="004F0BE7"/>
    <w:rsid w:val="004F0E84"/>
    <w:rsid w:val="004F0F7B"/>
    <w:rsid w:val="004F18CE"/>
    <w:rsid w:val="004F26CF"/>
    <w:rsid w:val="004F36A5"/>
    <w:rsid w:val="004F50CD"/>
    <w:rsid w:val="004F5398"/>
    <w:rsid w:val="004F5C42"/>
    <w:rsid w:val="004F5E3A"/>
    <w:rsid w:val="004F6355"/>
    <w:rsid w:val="004F6FCF"/>
    <w:rsid w:val="0050034D"/>
    <w:rsid w:val="00500755"/>
    <w:rsid w:val="00500BD4"/>
    <w:rsid w:val="00501085"/>
    <w:rsid w:val="00501BD7"/>
    <w:rsid w:val="005020AE"/>
    <w:rsid w:val="0050241A"/>
    <w:rsid w:val="005024A0"/>
    <w:rsid w:val="0050279E"/>
    <w:rsid w:val="00502A4B"/>
    <w:rsid w:val="00504925"/>
    <w:rsid w:val="005056E7"/>
    <w:rsid w:val="00505724"/>
    <w:rsid w:val="0050622E"/>
    <w:rsid w:val="0050630A"/>
    <w:rsid w:val="005067C5"/>
    <w:rsid w:val="00506992"/>
    <w:rsid w:val="0050714B"/>
    <w:rsid w:val="00507162"/>
    <w:rsid w:val="00510673"/>
    <w:rsid w:val="00510DDA"/>
    <w:rsid w:val="00510E56"/>
    <w:rsid w:val="00511297"/>
    <w:rsid w:val="0051223F"/>
    <w:rsid w:val="005128BF"/>
    <w:rsid w:val="00512CC9"/>
    <w:rsid w:val="005131FF"/>
    <w:rsid w:val="00514055"/>
    <w:rsid w:val="005148DB"/>
    <w:rsid w:val="00514BF8"/>
    <w:rsid w:val="00515553"/>
    <w:rsid w:val="0051588A"/>
    <w:rsid w:val="00516260"/>
    <w:rsid w:val="00520B1F"/>
    <w:rsid w:val="00520C47"/>
    <w:rsid w:val="00520E28"/>
    <w:rsid w:val="00521394"/>
    <w:rsid w:val="005214A1"/>
    <w:rsid w:val="00521AB9"/>
    <w:rsid w:val="0052219E"/>
    <w:rsid w:val="0052233C"/>
    <w:rsid w:val="00524327"/>
    <w:rsid w:val="00526FCB"/>
    <w:rsid w:val="00527254"/>
    <w:rsid w:val="00527567"/>
    <w:rsid w:val="005278B7"/>
    <w:rsid w:val="00527DA8"/>
    <w:rsid w:val="00527DE2"/>
    <w:rsid w:val="00530B6E"/>
    <w:rsid w:val="00531010"/>
    <w:rsid w:val="005311B2"/>
    <w:rsid w:val="005312B3"/>
    <w:rsid w:val="00531316"/>
    <w:rsid w:val="0053163D"/>
    <w:rsid w:val="00532599"/>
    <w:rsid w:val="005327AF"/>
    <w:rsid w:val="00532AEA"/>
    <w:rsid w:val="00534E61"/>
    <w:rsid w:val="00536CDB"/>
    <w:rsid w:val="00537327"/>
    <w:rsid w:val="0053734C"/>
    <w:rsid w:val="005376E7"/>
    <w:rsid w:val="0054051F"/>
    <w:rsid w:val="00540B48"/>
    <w:rsid w:val="0054104C"/>
    <w:rsid w:val="005431FE"/>
    <w:rsid w:val="00543236"/>
    <w:rsid w:val="0054376A"/>
    <w:rsid w:val="00544EE3"/>
    <w:rsid w:val="0054549A"/>
    <w:rsid w:val="005454E4"/>
    <w:rsid w:val="00545819"/>
    <w:rsid w:val="00546491"/>
    <w:rsid w:val="00547939"/>
    <w:rsid w:val="00547B9B"/>
    <w:rsid w:val="00551E2A"/>
    <w:rsid w:val="00551F85"/>
    <w:rsid w:val="005521FC"/>
    <w:rsid w:val="00554007"/>
    <w:rsid w:val="00554329"/>
    <w:rsid w:val="005550FF"/>
    <w:rsid w:val="0055712D"/>
    <w:rsid w:val="005603F3"/>
    <w:rsid w:val="005609F0"/>
    <w:rsid w:val="00561A59"/>
    <w:rsid w:val="00561E6E"/>
    <w:rsid w:val="00562131"/>
    <w:rsid w:val="005635B5"/>
    <w:rsid w:val="00564BD9"/>
    <w:rsid w:val="00564D3F"/>
    <w:rsid w:val="00564E7D"/>
    <w:rsid w:val="00565374"/>
    <w:rsid w:val="00566E4B"/>
    <w:rsid w:val="00567AF3"/>
    <w:rsid w:val="00570D65"/>
    <w:rsid w:val="005711DB"/>
    <w:rsid w:val="0057122A"/>
    <w:rsid w:val="005720E6"/>
    <w:rsid w:val="00572CA1"/>
    <w:rsid w:val="00572D46"/>
    <w:rsid w:val="00573317"/>
    <w:rsid w:val="00573899"/>
    <w:rsid w:val="00574D22"/>
    <w:rsid w:val="00575B1A"/>
    <w:rsid w:val="005766A2"/>
    <w:rsid w:val="0057691D"/>
    <w:rsid w:val="005769B2"/>
    <w:rsid w:val="0057764F"/>
    <w:rsid w:val="00577ACB"/>
    <w:rsid w:val="00580DA1"/>
    <w:rsid w:val="00581240"/>
    <w:rsid w:val="005818A8"/>
    <w:rsid w:val="00582749"/>
    <w:rsid w:val="00583A94"/>
    <w:rsid w:val="00584EFF"/>
    <w:rsid w:val="00585E99"/>
    <w:rsid w:val="00587DDD"/>
    <w:rsid w:val="0059045C"/>
    <w:rsid w:val="00591D39"/>
    <w:rsid w:val="00591DC4"/>
    <w:rsid w:val="00591FFA"/>
    <w:rsid w:val="0059241C"/>
    <w:rsid w:val="00592898"/>
    <w:rsid w:val="0059289B"/>
    <w:rsid w:val="00592A56"/>
    <w:rsid w:val="00593B8F"/>
    <w:rsid w:val="0059592F"/>
    <w:rsid w:val="00595BE1"/>
    <w:rsid w:val="005966AF"/>
    <w:rsid w:val="00597CB2"/>
    <w:rsid w:val="005A011D"/>
    <w:rsid w:val="005A1F75"/>
    <w:rsid w:val="005A2EF7"/>
    <w:rsid w:val="005A31C2"/>
    <w:rsid w:val="005A3631"/>
    <w:rsid w:val="005A3838"/>
    <w:rsid w:val="005A4824"/>
    <w:rsid w:val="005A515D"/>
    <w:rsid w:val="005A5633"/>
    <w:rsid w:val="005A5EF8"/>
    <w:rsid w:val="005A655E"/>
    <w:rsid w:val="005A6F05"/>
    <w:rsid w:val="005B0721"/>
    <w:rsid w:val="005B124B"/>
    <w:rsid w:val="005B1EB7"/>
    <w:rsid w:val="005B2900"/>
    <w:rsid w:val="005B2ED2"/>
    <w:rsid w:val="005B3C9F"/>
    <w:rsid w:val="005B4636"/>
    <w:rsid w:val="005B49E4"/>
    <w:rsid w:val="005B5629"/>
    <w:rsid w:val="005B5B80"/>
    <w:rsid w:val="005B66C3"/>
    <w:rsid w:val="005B6734"/>
    <w:rsid w:val="005B6FB6"/>
    <w:rsid w:val="005B70D3"/>
    <w:rsid w:val="005C003D"/>
    <w:rsid w:val="005C0330"/>
    <w:rsid w:val="005C081A"/>
    <w:rsid w:val="005C2256"/>
    <w:rsid w:val="005C4142"/>
    <w:rsid w:val="005C5983"/>
    <w:rsid w:val="005C6006"/>
    <w:rsid w:val="005C6F30"/>
    <w:rsid w:val="005C707F"/>
    <w:rsid w:val="005C7806"/>
    <w:rsid w:val="005C7C53"/>
    <w:rsid w:val="005D02D6"/>
    <w:rsid w:val="005D19F4"/>
    <w:rsid w:val="005D4824"/>
    <w:rsid w:val="005D4FA6"/>
    <w:rsid w:val="005D5D58"/>
    <w:rsid w:val="005D608E"/>
    <w:rsid w:val="005D6817"/>
    <w:rsid w:val="005D73E4"/>
    <w:rsid w:val="005E0BC1"/>
    <w:rsid w:val="005E0DD3"/>
    <w:rsid w:val="005E0EAB"/>
    <w:rsid w:val="005E1467"/>
    <w:rsid w:val="005E14A8"/>
    <w:rsid w:val="005E256B"/>
    <w:rsid w:val="005E25D4"/>
    <w:rsid w:val="005E26A0"/>
    <w:rsid w:val="005E34AF"/>
    <w:rsid w:val="005E3A1A"/>
    <w:rsid w:val="005E40A3"/>
    <w:rsid w:val="005E54D0"/>
    <w:rsid w:val="005E58C9"/>
    <w:rsid w:val="005E6BA4"/>
    <w:rsid w:val="005E6F3B"/>
    <w:rsid w:val="005F1B78"/>
    <w:rsid w:val="005F1BEF"/>
    <w:rsid w:val="005F1D0C"/>
    <w:rsid w:val="005F2156"/>
    <w:rsid w:val="005F346D"/>
    <w:rsid w:val="005F3A35"/>
    <w:rsid w:val="005F5E79"/>
    <w:rsid w:val="005F6614"/>
    <w:rsid w:val="005F76A4"/>
    <w:rsid w:val="005F7AB1"/>
    <w:rsid w:val="00600CE1"/>
    <w:rsid w:val="006013CB"/>
    <w:rsid w:val="00601EE2"/>
    <w:rsid w:val="0060292A"/>
    <w:rsid w:val="00602EA9"/>
    <w:rsid w:val="00603131"/>
    <w:rsid w:val="006031CF"/>
    <w:rsid w:val="00604564"/>
    <w:rsid w:val="00604D00"/>
    <w:rsid w:val="00606706"/>
    <w:rsid w:val="006078FB"/>
    <w:rsid w:val="00607C57"/>
    <w:rsid w:val="00607CED"/>
    <w:rsid w:val="00610660"/>
    <w:rsid w:val="00610971"/>
    <w:rsid w:val="0061135C"/>
    <w:rsid w:val="00611376"/>
    <w:rsid w:val="00611EDD"/>
    <w:rsid w:val="00612DF3"/>
    <w:rsid w:val="006138D2"/>
    <w:rsid w:val="00614090"/>
    <w:rsid w:val="006141C2"/>
    <w:rsid w:val="00614498"/>
    <w:rsid w:val="00615382"/>
    <w:rsid w:val="00617F3F"/>
    <w:rsid w:val="00621295"/>
    <w:rsid w:val="00621EE0"/>
    <w:rsid w:val="00623074"/>
    <w:rsid w:val="00623E04"/>
    <w:rsid w:val="00624325"/>
    <w:rsid w:val="0062495E"/>
    <w:rsid w:val="00625287"/>
    <w:rsid w:val="00626866"/>
    <w:rsid w:val="006279E6"/>
    <w:rsid w:val="006305C8"/>
    <w:rsid w:val="00630690"/>
    <w:rsid w:val="00630D03"/>
    <w:rsid w:val="00630D23"/>
    <w:rsid w:val="00630E00"/>
    <w:rsid w:val="00631137"/>
    <w:rsid w:val="0063139D"/>
    <w:rsid w:val="0063175C"/>
    <w:rsid w:val="00632749"/>
    <w:rsid w:val="0063341D"/>
    <w:rsid w:val="00635520"/>
    <w:rsid w:val="00635B0C"/>
    <w:rsid w:val="00636EA3"/>
    <w:rsid w:val="00637719"/>
    <w:rsid w:val="0064192D"/>
    <w:rsid w:val="00641FED"/>
    <w:rsid w:val="00642C4E"/>
    <w:rsid w:val="00643641"/>
    <w:rsid w:val="006436F0"/>
    <w:rsid w:val="0064438D"/>
    <w:rsid w:val="00644C5A"/>
    <w:rsid w:val="006457E9"/>
    <w:rsid w:val="0064624D"/>
    <w:rsid w:val="006468A5"/>
    <w:rsid w:val="006468FA"/>
    <w:rsid w:val="006503DC"/>
    <w:rsid w:val="00650E6F"/>
    <w:rsid w:val="00651199"/>
    <w:rsid w:val="0065179E"/>
    <w:rsid w:val="006519C0"/>
    <w:rsid w:val="00651FDF"/>
    <w:rsid w:val="0065225A"/>
    <w:rsid w:val="00652A7D"/>
    <w:rsid w:val="00654C35"/>
    <w:rsid w:val="00654C95"/>
    <w:rsid w:val="00655011"/>
    <w:rsid w:val="00655968"/>
    <w:rsid w:val="0065656F"/>
    <w:rsid w:val="00656969"/>
    <w:rsid w:val="0065700A"/>
    <w:rsid w:val="00657BBD"/>
    <w:rsid w:val="00657D07"/>
    <w:rsid w:val="00660A1D"/>
    <w:rsid w:val="00661D92"/>
    <w:rsid w:val="00662D3E"/>
    <w:rsid w:val="00663492"/>
    <w:rsid w:val="0066399B"/>
    <w:rsid w:val="0066454B"/>
    <w:rsid w:val="00667522"/>
    <w:rsid w:val="00667F07"/>
    <w:rsid w:val="00674018"/>
    <w:rsid w:val="00674583"/>
    <w:rsid w:val="006746E2"/>
    <w:rsid w:val="0067705B"/>
    <w:rsid w:val="0068009B"/>
    <w:rsid w:val="006800BC"/>
    <w:rsid w:val="00680A38"/>
    <w:rsid w:val="00680F98"/>
    <w:rsid w:val="006812F1"/>
    <w:rsid w:val="00682507"/>
    <w:rsid w:val="00682784"/>
    <w:rsid w:val="00682852"/>
    <w:rsid w:val="00682DF2"/>
    <w:rsid w:val="0068362C"/>
    <w:rsid w:val="00684506"/>
    <w:rsid w:val="00684E61"/>
    <w:rsid w:val="00685B31"/>
    <w:rsid w:val="006861CE"/>
    <w:rsid w:val="00686998"/>
    <w:rsid w:val="00686C2F"/>
    <w:rsid w:val="00686D68"/>
    <w:rsid w:val="006900BE"/>
    <w:rsid w:val="00690783"/>
    <w:rsid w:val="00690DCB"/>
    <w:rsid w:val="00691421"/>
    <w:rsid w:val="00693EB4"/>
    <w:rsid w:val="006943A7"/>
    <w:rsid w:val="00694D43"/>
    <w:rsid w:val="00694E25"/>
    <w:rsid w:val="00695FEC"/>
    <w:rsid w:val="006966C4"/>
    <w:rsid w:val="00697FB9"/>
    <w:rsid w:val="006A030A"/>
    <w:rsid w:val="006A08E2"/>
    <w:rsid w:val="006A1014"/>
    <w:rsid w:val="006A200E"/>
    <w:rsid w:val="006A228D"/>
    <w:rsid w:val="006A229D"/>
    <w:rsid w:val="006A5157"/>
    <w:rsid w:val="006A5FB8"/>
    <w:rsid w:val="006A73A8"/>
    <w:rsid w:val="006B07C6"/>
    <w:rsid w:val="006B11F0"/>
    <w:rsid w:val="006B1B16"/>
    <w:rsid w:val="006B24E1"/>
    <w:rsid w:val="006B34F4"/>
    <w:rsid w:val="006B380B"/>
    <w:rsid w:val="006B3F9B"/>
    <w:rsid w:val="006B42AF"/>
    <w:rsid w:val="006B42FE"/>
    <w:rsid w:val="006B43FA"/>
    <w:rsid w:val="006B50CC"/>
    <w:rsid w:val="006B5521"/>
    <w:rsid w:val="006B5838"/>
    <w:rsid w:val="006B5AFD"/>
    <w:rsid w:val="006C00C6"/>
    <w:rsid w:val="006C0761"/>
    <w:rsid w:val="006C1C9E"/>
    <w:rsid w:val="006C289F"/>
    <w:rsid w:val="006C2DB1"/>
    <w:rsid w:val="006C413D"/>
    <w:rsid w:val="006C43E6"/>
    <w:rsid w:val="006C5368"/>
    <w:rsid w:val="006C6423"/>
    <w:rsid w:val="006C658F"/>
    <w:rsid w:val="006C6A8C"/>
    <w:rsid w:val="006C6B23"/>
    <w:rsid w:val="006C6D74"/>
    <w:rsid w:val="006C744E"/>
    <w:rsid w:val="006C7D9E"/>
    <w:rsid w:val="006D02C8"/>
    <w:rsid w:val="006D02FC"/>
    <w:rsid w:val="006D0ACF"/>
    <w:rsid w:val="006D1F51"/>
    <w:rsid w:val="006D48A9"/>
    <w:rsid w:val="006D4B68"/>
    <w:rsid w:val="006D5BD0"/>
    <w:rsid w:val="006D631B"/>
    <w:rsid w:val="006D686F"/>
    <w:rsid w:val="006D6F92"/>
    <w:rsid w:val="006E1070"/>
    <w:rsid w:val="006E16C1"/>
    <w:rsid w:val="006E465A"/>
    <w:rsid w:val="006E47F7"/>
    <w:rsid w:val="006E4F92"/>
    <w:rsid w:val="006E5237"/>
    <w:rsid w:val="006E604B"/>
    <w:rsid w:val="006F08C0"/>
    <w:rsid w:val="006F10A2"/>
    <w:rsid w:val="006F2F12"/>
    <w:rsid w:val="006F37FC"/>
    <w:rsid w:val="006F46AC"/>
    <w:rsid w:val="006F4C63"/>
    <w:rsid w:val="006F5873"/>
    <w:rsid w:val="006F6DCA"/>
    <w:rsid w:val="006F6E25"/>
    <w:rsid w:val="006F74BF"/>
    <w:rsid w:val="006F784E"/>
    <w:rsid w:val="006F7B49"/>
    <w:rsid w:val="00701808"/>
    <w:rsid w:val="007028AF"/>
    <w:rsid w:val="00702C3A"/>
    <w:rsid w:val="00702E2E"/>
    <w:rsid w:val="007032B2"/>
    <w:rsid w:val="007038C0"/>
    <w:rsid w:val="00704142"/>
    <w:rsid w:val="00704614"/>
    <w:rsid w:val="007068BD"/>
    <w:rsid w:val="00710DAF"/>
    <w:rsid w:val="00710DFE"/>
    <w:rsid w:val="00711489"/>
    <w:rsid w:val="00711CBA"/>
    <w:rsid w:val="00711F8F"/>
    <w:rsid w:val="0071243B"/>
    <w:rsid w:val="00715000"/>
    <w:rsid w:val="00716778"/>
    <w:rsid w:val="00716802"/>
    <w:rsid w:val="00716F43"/>
    <w:rsid w:val="007179E6"/>
    <w:rsid w:val="00717BCE"/>
    <w:rsid w:val="00717C93"/>
    <w:rsid w:val="00720EE2"/>
    <w:rsid w:val="007210F8"/>
    <w:rsid w:val="0072138E"/>
    <w:rsid w:val="007214C5"/>
    <w:rsid w:val="00723B99"/>
    <w:rsid w:val="00723D72"/>
    <w:rsid w:val="007248BC"/>
    <w:rsid w:val="00724C06"/>
    <w:rsid w:val="0072513F"/>
    <w:rsid w:val="0072661C"/>
    <w:rsid w:val="007267C3"/>
    <w:rsid w:val="00727522"/>
    <w:rsid w:val="00727E40"/>
    <w:rsid w:val="00727F17"/>
    <w:rsid w:val="00730281"/>
    <w:rsid w:val="0073078C"/>
    <w:rsid w:val="007315DB"/>
    <w:rsid w:val="00731F73"/>
    <w:rsid w:val="007323E1"/>
    <w:rsid w:val="0073274D"/>
    <w:rsid w:val="00734568"/>
    <w:rsid w:val="00734AF1"/>
    <w:rsid w:val="00734F59"/>
    <w:rsid w:val="007351D1"/>
    <w:rsid w:val="007356CC"/>
    <w:rsid w:val="007357DD"/>
    <w:rsid w:val="0073585B"/>
    <w:rsid w:val="007359F5"/>
    <w:rsid w:val="00736214"/>
    <w:rsid w:val="007373CA"/>
    <w:rsid w:val="0074032D"/>
    <w:rsid w:val="00741011"/>
    <w:rsid w:val="007412B2"/>
    <w:rsid w:val="00741917"/>
    <w:rsid w:val="00742C57"/>
    <w:rsid w:val="00742E51"/>
    <w:rsid w:val="007436B6"/>
    <w:rsid w:val="00744AB9"/>
    <w:rsid w:val="00744CBF"/>
    <w:rsid w:val="00744E37"/>
    <w:rsid w:val="0074524E"/>
    <w:rsid w:val="007461B1"/>
    <w:rsid w:val="007462E4"/>
    <w:rsid w:val="0074705D"/>
    <w:rsid w:val="00747E9A"/>
    <w:rsid w:val="00750292"/>
    <w:rsid w:val="007504DF"/>
    <w:rsid w:val="00750AB1"/>
    <w:rsid w:val="00750EB5"/>
    <w:rsid w:val="0075134B"/>
    <w:rsid w:val="00752800"/>
    <w:rsid w:val="00753637"/>
    <w:rsid w:val="007538C1"/>
    <w:rsid w:val="00753ACA"/>
    <w:rsid w:val="007543A6"/>
    <w:rsid w:val="00754D57"/>
    <w:rsid w:val="00755496"/>
    <w:rsid w:val="00755EAB"/>
    <w:rsid w:val="0075710D"/>
    <w:rsid w:val="00760349"/>
    <w:rsid w:val="00760B3A"/>
    <w:rsid w:val="0076148E"/>
    <w:rsid w:val="00763158"/>
    <w:rsid w:val="00765336"/>
    <w:rsid w:val="00765837"/>
    <w:rsid w:val="00766DF9"/>
    <w:rsid w:val="007672D8"/>
    <w:rsid w:val="00767CC2"/>
    <w:rsid w:val="007705BF"/>
    <w:rsid w:val="00770ED1"/>
    <w:rsid w:val="007716DF"/>
    <w:rsid w:val="007717F4"/>
    <w:rsid w:val="007721F0"/>
    <w:rsid w:val="007737CD"/>
    <w:rsid w:val="00773B97"/>
    <w:rsid w:val="00773EBC"/>
    <w:rsid w:val="0077423B"/>
    <w:rsid w:val="00774A74"/>
    <w:rsid w:val="00774BE7"/>
    <w:rsid w:val="007750B1"/>
    <w:rsid w:val="00775D5C"/>
    <w:rsid w:val="00775E71"/>
    <w:rsid w:val="00775FF2"/>
    <w:rsid w:val="007760FF"/>
    <w:rsid w:val="00776202"/>
    <w:rsid w:val="007765BF"/>
    <w:rsid w:val="00776840"/>
    <w:rsid w:val="0077730F"/>
    <w:rsid w:val="00777B1E"/>
    <w:rsid w:val="00777E99"/>
    <w:rsid w:val="007800E9"/>
    <w:rsid w:val="007807AD"/>
    <w:rsid w:val="00780AF0"/>
    <w:rsid w:val="00780CEE"/>
    <w:rsid w:val="00782048"/>
    <w:rsid w:val="0078236A"/>
    <w:rsid w:val="00782B91"/>
    <w:rsid w:val="00782DEB"/>
    <w:rsid w:val="007833F6"/>
    <w:rsid w:val="00783D33"/>
    <w:rsid w:val="0078413F"/>
    <w:rsid w:val="00784EF2"/>
    <w:rsid w:val="00786671"/>
    <w:rsid w:val="00786711"/>
    <w:rsid w:val="007869CF"/>
    <w:rsid w:val="00787FCA"/>
    <w:rsid w:val="007910FF"/>
    <w:rsid w:val="0079282D"/>
    <w:rsid w:val="00792AF6"/>
    <w:rsid w:val="00792BEA"/>
    <w:rsid w:val="00793FF3"/>
    <w:rsid w:val="0079453A"/>
    <w:rsid w:val="0079542E"/>
    <w:rsid w:val="007957F5"/>
    <w:rsid w:val="00797A10"/>
    <w:rsid w:val="00797B5D"/>
    <w:rsid w:val="007A0C7A"/>
    <w:rsid w:val="007A10A1"/>
    <w:rsid w:val="007A11D4"/>
    <w:rsid w:val="007A1650"/>
    <w:rsid w:val="007A16FD"/>
    <w:rsid w:val="007A1839"/>
    <w:rsid w:val="007A2097"/>
    <w:rsid w:val="007A218F"/>
    <w:rsid w:val="007A2626"/>
    <w:rsid w:val="007A276D"/>
    <w:rsid w:val="007A2782"/>
    <w:rsid w:val="007A2A00"/>
    <w:rsid w:val="007A2C62"/>
    <w:rsid w:val="007A3233"/>
    <w:rsid w:val="007A3E91"/>
    <w:rsid w:val="007A438E"/>
    <w:rsid w:val="007A4958"/>
    <w:rsid w:val="007A5108"/>
    <w:rsid w:val="007A599A"/>
    <w:rsid w:val="007B0153"/>
    <w:rsid w:val="007B0430"/>
    <w:rsid w:val="007B1734"/>
    <w:rsid w:val="007B1950"/>
    <w:rsid w:val="007B1D03"/>
    <w:rsid w:val="007B240C"/>
    <w:rsid w:val="007B3629"/>
    <w:rsid w:val="007B3658"/>
    <w:rsid w:val="007B368E"/>
    <w:rsid w:val="007B3692"/>
    <w:rsid w:val="007B5549"/>
    <w:rsid w:val="007B5E09"/>
    <w:rsid w:val="007B60A1"/>
    <w:rsid w:val="007B63E0"/>
    <w:rsid w:val="007B6A31"/>
    <w:rsid w:val="007B6F7E"/>
    <w:rsid w:val="007B7648"/>
    <w:rsid w:val="007B7800"/>
    <w:rsid w:val="007C0074"/>
    <w:rsid w:val="007C0A48"/>
    <w:rsid w:val="007C1086"/>
    <w:rsid w:val="007C1BA3"/>
    <w:rsid w:val="007C23B8"/>
    <w:rsid w:val="007C28B0"/>
    <w:rsid w:val="007C2DFE"/>
    <w:rsid w:val="007C32FB"/>
    <w:rsid w:val="007C45CA"/>
    <w:rsid w:val="007C47D5"/>
    <w:rsid w:val="007C4879"/>
    <w:rsid w:val="007C5171"/>
    <w:rsid w:val="007C51CD"/>
    <w:rsid w:val="007C522F"/>
    <w:rsid w:val="007C524D"/>
    <w:rsid w:val="007C594A"/>
    <w:rsid w:val="007C5BBA"/>
    <w:rsid w:val="007C6B9C"/>
    <w:rsid w:val="007C7652"/>
    <w:rsid w:val="007C7C77"/>
    <w:rsid w:val="007D0566"/>
    <w:rsid w:val="007D05D3"/>
    <w:rsid w:val="007D0C45"/>
    <w:rsid w:val="007D17FE"/>
    <w:rsid w:val="007D1CF2"/>
    <w:rsid w:val="007D3FAD"/>
    <w:rsid w:val="007D42E9"/>
    <w:rsid w:val="007D53C7"/>
    <w:rsid w:val="007D541E"/>
    <w:rsid w:val="007D6B95"/>
    <w:rsid w:val="007D79BD"/>
    <w:rsid w:val="007D7D08"/>
    <w:rsid w:val="007E119E"/>
    <w:rsid w:val="007E1677"/>
    <w:rsid w:val="007E1B5D"/>
    <w:rsid w:val="007E26C6"/>
    <w:rsid w:val="007E28F8"/>
    <w:rsid w:val="007E28FA"/>
    <w:rsid w:val="007E2DF3"/>
    <w:rsid w:val="007E34AE"/>
    <w:rsid w:val="007E442D"/>
    <w:rsid w:val="007E4593"/>
    <w:rsid w:val="007E4663"/>
    <w:rsid w:val="007E4691"/>
    <w:rsid w:val="007E4FFF"/>
    <w:rsid w:val="007E5216"/>
    <w:rsid w:val="007E74FE"/>
    <w:rsid w:val="007F1168"/>
    <w:rsid w:val="007F13A5"/>
    <w:rsid w:val="007F3242"/>
    <w:rsid w:val="007F3486"/>
    <w:rsid w:val="007F3CF1"/>
    <w:rsid w:val="007F416A"/>
    <w:rsid w:val="007F4A85"/>
    <w:rsid w:val="007F4E16"/>
    <w:rsid w:val="007F5CC1"/>
    <w:rsid w:val="007F65F0"/>
    <w:rsid w:val="007F6E1C"/>
    <w:rsid w:val="007F6F44"/>
    <w:rsid w:val="007F7498"/>
    <w:rsid w:val="007F7C70"/>
    <w:rsid w:val="0080001D"/>
    <w:rsid w:val="00800545"/>
    <w:rsid w:val="008024A7"/>
    <w:rsid w:val="00802709"/>
    <w:rsid w:val="00803A56"/>
    <w:rsid w:val="00803A86"/>
    <w:rsid w:val="008048E7"/>
    <w:rsid w:val="00804DB7"/>
    <w:rsid w:val="00805747"/>
    <w:rsid w:val="008066A2"/>
    <w:rsid w:val="0081018C"/>
    <w:rsid w:val="00810597"/>
    <w:rsid w:val="0081064B"/>
    <w:rsid w:val="00810D8C"/>
    <w:rsid w:val="0081167A"/>
    <w:rsid w:val="00812B38"/>
    <w:rsid w:val="0081313D"/>
    <w:rsid w:val="008132C7"/>
    <w:rsid w:val="00814432"/>
    <w:rsid w:val="00814A7D"/>
    <w:rsid w:val="00815D0F"/>
    <w:rsid w:val="008165BF"/>
    <w:rsid w:val="00816AC0"/>
    <w:rsid w:val="00817C1E"/>
    <w:rsid w:val="00817E72"/>
    <w:rsid w:val="008200B4"/>
    <w:rsid w:val="00820B6D"/>
    <w:rsid w:val="00820D36"/>
    <w:rsid w:val="00822082"/>
    <w:rsid w:val="0082354E"/>
    <w:rsid w:val="008239B8"/>
    <w:rsid w:val="0082439C"/>
    <w:rsid w:val="0082448F"/>
    <w:rsid w:val="00824B60"/>
    <w:rsid w:val="0082577B"/>
    <w:rsid w:val="00825DD6"/>
    <w:rsid w:val="00825F11"/>
    <w:rsid w:val="00826BB8"/>
    <w:rsid w:val="00826CE5"/>
    <w:rsid w:val="00826F80"/>
    <w:rsid w:val="00827497"/>
    <w:rsid w:val="00827938"/>
    <w:rsid w:val="008304C2"/>
    <w:rsid w:val="00830EF5"/>
    <w:rsid w:val="00831C6F"/>
    <w:rsid w:val="00831FE4"/>
    <w:rsid w:val="00832353"/>
    <w:rsid w:val="00832450"/>
    <w:rsid w:val="008330B0"/>
    <w:rsid w:val="00833280"/>
    <w:rsid w:val="00833E40"/>
    <w:rsid w:val="00834603"/>
    <w:rsid w:val="00834DAF"/>
    <w:rsid w:val="00835B85"/>
    <w:rsid w:val="00836BB2"/>
    <w:rsid w:val="00837B4B"/>
    <w:rsid w:val="00837EC4"/>
    <w:rsid w:val="0084093E"/>
    <w:rsid w:val="00840BD5"/>
    <w:rsid w:val="00841956"/>
    <w:rsid w:val="00841D18"/>
    <w:rsid w:val="0084209E"/>
    <w:rsid w:val="00842787"/>
    <w:rsid w:val="00843040"/>
    <w:rsid w:val="00843A08"/>
    <w:rsid w:val="00843FE1"/>
    <w:rsid w:val="00844E5F"/>
    <w:rsid w:val="00845457"/>
    <w:rsid w:val="00845BED"/>
    <w:rsid w:val="00846243"/>
    <w:rsid w:val="00846ADF"/>
    <w:rsid w:val="00847CC2"/>
    <w:rsid w:val="00847DE4"/>
    <w:rsid w:val="00847EED"/>
    <w:rsid w:val="0085235B"/>
    <w:rsid w:val="008530E3"/>
    <w:rsid w:val="0085344C"/>
    <w:rsid w:val="008536AB"/>
    <w:rsid w:val="00853938"/>
    <w:rsid w:val="008540FB"/>
    <w:rsid w:val="0085444D"/>
    <w:rsid w:val="008548FF"/>
    <w:rsid w:val="00854B92"/>
    <w:rsid w:val="00854C65"/>
    <w:rsid w:val="00855FC8"/>
    <w:rsid w:val="00860697"/>
    <w:rsid w:val="00860FF3"/>
    <w:rsid w:val="00861A56"/>
    <w:rsid w:val="00861FB3"/>
    <w:rsid w:val="00862301"/>
    <w:rsid w:val="0086417E"/>
    <w:rsid w:val="008642CA"/>
    <w:rsid w:val="0086524A"/>
    <w:rsid w:val="00865482"/>
    <w:rsid w:val="00866103"/>
    <w:rsid w:val="00866C6F"/>
    <w:rsid w:val="00866DC9"/>
    <w:rsid w:val="00870514"/>
    <w:rsid w:val="008706EC"/>
    <w:rsid w:val="00872740"/>
    <w:rsid w:val="00872811"/>
    <w:rsid w:val="00873DAC"/>
    <w:rsid w:val="00873FA5"/>
    <w:rsid w:val="008740AB"/>
    <w:rsid w:val="00874494"/>
    <w:rsid w:val="00874753"/>
    <w:rsid w:val="00875163"/>
    <w:rsid w:val="00876B42"/>
    <w:rsid w:val="0087708E"/>
    <w:rsid w:val="0087711C"/>
    <w:rsid w:val="008802B3"/>
    <w:rsid w:val="00881927"/>
    <w:rsid w:val="0088268D"/>
    <w:rsid w:val="008826C7"/>
    <w:rsid w:val="0088347E"/>
    <w:rsid w:val="00884E48"/>
    <w:rsid w:val="00885804"/>
    <w:rsid w:val="00885988"/>
    <w:rsid w:val="0088640D"/>
    <w:rsid w:val="00887EBC"/>
    <w:rsid w:val="00887FC5"/>
    <w:rsid w:val="00890A89"/>
    <w:rsid w:val="00890C82"/>
    <w:rsid w:val="00890FEB"/>
    <w:rsid w:val="008917C2"/>
    <w:rsid w:val="00892BA8"/>
    <w:rsid w:val="00893377"/>
    <w:rsid w:val="00894276"/>
    <w:rsid w:val="008951BC"/>
    <w:rsid w:val="0089649C"/>
    <w:rsid w:val="00896CD0"/>
    <w:rsid w:val="008A001C"/>
    <w:rsid w:val="008A073B"/>
    <w:rsid w:val="008A3571"/>
    <w:rsid w:val="008A3A16"/>
    <w:rsid w:val="008A4053"/>
    <w:rsid w:val="008A4BF7"/>
    <w:rsid w:val="008A519B"/>
    <w:rsid w:val="008A55F1"/>
    <w:rsid w:val="008A719A"/>
    <w:rsid w:val="008A743C"/>
    <w:rsid w:val="008B1732"/>
    <w:rsid w:val="008B2345"/>
    <w:rsid w:val="008B2940"/>
    <w:rsid w:val="008B2A74"/>
    <w:rsid w:val="008B3635"/>
    <w:rsid w:val="008B44DB"/>
    <w:rsid w:val="008B4CD8"/>
    <w:rsid w:val="008B5895"/>
    <w:rsid w:val="008B62DD"/>
    <w:rsid w:val="008B65BE"/>
    <w:rsid w:val="008B6934"/>
    <w:rsid w:val="008B70F9"/>
    <w:rsid w:val="008B73DC"/>
    <w:rsid w:val="008B7545"/>
    <w:rsid w:val="008B7F76"/>
    <w:rsid w:val="008C062F"/>
    <w:rsid w:val="008C0794"/>
    <w:rsid w:val="008C2382"/>
    <w:rsid w:val="008C3291"/>
    <w:rsid w:val="008C33DB"/>
    <w:rsid w:val="008C37B7"/>
    <w:rsid w:val="008C5259"/>
    <w:rsid w:val="008C5972"/>
    <w:rsid w:val="008C5C46"/>
    <w:rsid w:val="008C6E7D"/>
    <w:rsid w:val="008D1303"/>
    <w:rsid w:val="008D2CBA"/>
    <w:rsid w:val="008D3C48"/>
    <w:rsid w:val="008D43B8"/>
    <w:rsid w:val="008D4A44"/>
    <w:rsid w:val="008D4D8C"/>
    <w:rsid w:val="008D5E5D"/>
    <w:rsid w:val="008D6337"/>
    <w:rsid w:val="008D679B"/>
    <w:rsid w:val="008D7A8E"/>
    <w:rsid w:val="008E0519"/>
    <w:rsid w:val="008E0A41"/>
    <w:rsid w:val="008E11F6"/>
    <w:rsid w:val="008E1E42"/>
    <w:rsid w:val="008E2659"/>
    <w:rsid w:val="008E2779"/>
    <w:rsid w:val="008E43AB"/>
    <w:rsid w:val="008E5F8C"/>
    <w:rsid w:val="008E60E9"/>
    <w:rsid w:val="008E6A3A"/>
    <w:rsid w:val="008E7DAA"/>
    <w:rsid w:val="008E7F66"/>
    <w:rsid w:val="008F0A4D"/>
    <w:rsid w:val="008F2AE4"/>
    <w:rsid w:val="008F2D5C"/>
    <w:rsid w:val="008F3EFB"/>
    <w:rsid w:val="008F6492"/>
    <w:rsid w:val="008F65D8"/>
    <w:rsid w:val="008F6739"/>
    <w:rsid w:val="008F6EEE"/>
    <w:rsid w:val="008F6F4E"/>
    <w:rsid w:val="008F7392"/>
    <w:rsid w:val="0090053F"/>
    <w:rsid w:val="00900FD9"/>
    <w:rsid w:val="00901DE3"/>
    <w:rsid w:val="009020B6"/>
    <w:rsid w:val="009023BE"/>
    <w:rsid w:val="00902C81"/>
    <w:rsid w:val="00902CCE"/>
    <w:rsid w:val="0090389A"/>
    <w:rsid w:val="00903E9F"/>
    <w:rsid w:val="00904389"/>
    <w:rsid w:val="009043AA"/>
    <w:rsid w:val="00905701"/>
    <w:rsid w:val="00905BB2"/>
    <w:rsid w:val="00906248"/>
    <w:rsid w:val="00906738"/>
    <w:rsid w:val="00906749"/>
    <w:rsid w:val="00906F28"/>
    <w:rsid w:val="00907949"/>
    <w:rsid w:val="00907B07"/>
    <w:rsid w:val="009106E3"/>
    <w:rsid w:val="00910D57"/>
    <w:rsid w:val="00910EE7"/>
    <w:rsid w:val="00911096"/>
    <w:rsid w:val="00912F00"/>
    <w:rsid w:val="00913517"/>
    <w:rsid w:val="00913D7E"/>
    <w:rsid w:val="00914101"/>
    <w:rsid w:val="00914B8B"/>
    <w:rsid w:val="00915686"/>
    <w:rsid w:val="00915AC5"/>
    <w:rsid w:val="00917C55"/>
    <w:rsid w:val="0092004A"/>
    <w:rsid w:val="009203E7"/>
    <w:rsid w:val="0092127B"/>
    <w:rsid w:val="009213EC"/>
    <w:rsid w:val="00921973"/>
    <w:rsid w:val="00922051"/>
    <w:rsid w:val="00922743"/>
    <w:rsid w:val="00922771"/>
    <w:rsid w:val="00922A6B"/>
    <w:rsid w:val="00922B33"/>
    <w:rsid w:val="00923D43"/>
    <w:rsid w:val="009251CD"/>
    <w:rsid w:val="009253E1"/>
    <w:rsid w:val="00925809"/>
    <w:rsid w:val="0092595F"/>
    <w:rsid w:val="0092676F"/>
    <w:rsid w:val="0092717B"/>
    <w:rsid w:val="009308E5"/>
    <w:rsid w:val="00931079"/>
    <w:rsid w:val="009312F0"/>
    <w:rsid w:val="009315BF"/>
    <w:rsid w:val="00931B31"/>
    <w:rsid w:val="009322F9"/>
    <w:rsid w:val="00932ACC"/>
    <w:rsid w:val="00932E29"/>
    <w:rsid w:val="00932EAE"/>
    <w:rsid w:val="00933D3F"/>
    <w:rsid w:val="00934114"/>
    <w:rsid w:val="009343AB"/>
    <w:rsid w:val="00934902"/>
    <w:rsid w:val="0093563D"/>
    <w:rsid w:val="009360FF"/>
    <w:rsid w:val="009373F6"/>
    <w:rsid w:val="00937B7E"/>
    <w:rsid w:val="00937F16"/>
    <w:rsid w:val="0094007D"/>
    <w:rsid w:val="00941359"/>
    <w:rsid w:val="00941B4F"/>
    <w:rsid w:val="00943923"/>
    <w:rsid w:val="0094780D"/>
    <w:rsid w:val="00947BF5"/>
    <w:rsid w:val="00950418"/>
    <w:rsid w:val="0095130F"/>
    <w:rsid w:val="009515C5"/>
    <w:rsid w:val="00952EDA"/>
    <w:rsid w:val="009534B2"/>
    <w:rsid w:val="009561CA"/>
    <w:rsid w:val="009568B9"/>
    <w:rsid w:val="00957038"/>
    <w:rsid w:val="009610A8"/>
    <w:rsid w:val="00961443"/>
    <w:rsid w:val="0096168C"/>
    <w:rsid w:val="0096170F"/>
    <w:rsid w:val="00961D10"/>
    <w:rsid w:val="009624DE"/>
    <w:rsid w:val="00963A48"/>
    <w:rsid w:val="00964002"/>
    <w:rsid w:val="00964A7C"/>
    <w:rsid w:val="0096545D"/>
    <w:rsid w:val="00966C07"/>
    <w:rsid w:val="00966CC9"/>
    <w:rsid w:val="0096746F"/>
    <w:rsid w:val="00967832"/>
    <w:rsid w:val="00967941"/>
    <w:rsid w:val="00967A18"/>
    <w:rsid w:val="00967D04"/>
    <w:rsid w:val="0097056F"/>
    <w:rsid w:val="0097062E"/>
    <w:rsid w:val="009717D8"/>
    <w:rsid w:val="00971F00"/>
    <w:rsid w:val="00972A10"/>
    <w:rsid w:val="00975298"/>
    <w:rsid w:val="009753C6"/>
    <w:rsid w:val="00975FEF"/>
    <w:rsid w:val="009766BB"/>
    <w:rsid w:val="00976F15"/>
    <w:rsid w:val="0097738D"/>
    <w:rsid w:val="00977434"/>
    <w:rsid w:val="009774A3"/>
    <w:rsid w:val="00980EF2"/>
    <w:rsid w:val="0098145E"/>
    <w:rsid w:val="00981705"/>
    <w:rsid w:val="009828BE"/>
    <w:rsid w:val="009831BD"/>
    <w:rsid w:val="009838EE"/>
    <w:rsid w:val="00984BAB"/>
    <w:rsid w:val="009851EF"/>
    <w:rsid w:val="00985945"/>
    <w:rsid w:val="00986629"/>
    <w:rsid w:val="0099006C"/>
    <w:rsid w:val="00990B69"/>
    <w:rsid w:val="00993195"/>
    <w:rsid w:val="00993580"/>
    <w:rsid w:val="009938DF"/>
    <w:rsid w:val="00994FB4"/>
    <w:rsid w:val="0099633C"/>
    <w:rsid w:val="00996AB6"/>
    <w:rsid w:val="009977D3"/>
    <w:rsid w:val="0099782E"/>
    <w:rsid w:val="00997AF8"/>
    <w:rsid w:val="009A0304"/>
    <w:rsid w:val="009A1CBF"/>
    <w:rsid w:val="009A436B"/>
    <w:rsid w:val="009A4E1C"/>
    <w:rsid w:val="009A5829"/>
    <w:rsid w:val="009A5D90"/>
    <w:rsid w:val="009A651D"/>
    <w:rsid w:val="009A6D8F"/>
    <w:rsid w:val="009A6FFB"/>
    <w:rsid w:val="009A7DBD"/>
    <w:rsid w:val="009A7F58"/>
    <w:rsid w:val="009B013F"/>
    <w:rsid w:val="009B083D"/>
    <w:rsid w:val="009B0D65"/>
    <w:rsid w:val="009B1048"/>
    <w:rsid w:val="009B1246"/>
    <w:rsid w:val="009B150A"/>
    <w:rsid w:val="009B35AE"/>
    <w:rsid w:val="009B3608"/>
    <w:rsid w:val="009B4307"/>
    <w:rsid w:val="009B48F9"/>
    <w:rsid w:val="009B67FD"/>
    <w:rsid w:val="009B6B69"/>
    <w:rsid w:val="009B6D77"/>
    <w:rsid w:val="009B6E2F"/>
    <w:rsid w:val="009B6F3E"/>
    <w:rsid w:val="009B7156"/>
    <w:rsid w:val="009B7673"/>
    <w:rsid w:val="009C031B"/>
    <w:rsid w:val="009C0DD7"/>
    <w:rsid w:val="009C228B"/>
    <w:rsid w:val="009C3E01"/>
    <w:rsid w:val="009C5C13"/>
    <w:rsid w:val="009C67B0"/>
    <w:rsid w:val="009C6D09"/>
    <w:rsid w:val="009C7281"/>
    <w:rsid w:val="009D076D"/>
    <w:rsid w:val="009D1548"/>
    <w:rsid w:val="009D16E7"/>
    <w:rsid w:val="009D1809"/>
    <w:rsid w:val="009D20D4"/>
    <w:rsid w:val="009D2107"/>
    <w:rsid w:val="009D22C1"/>
    <w:rsid w:val="009D40D5"/>
    <w:rsid w:val="009D5293"/>
    <w:rsid w:val="009D52BB"/>
    <w:rsid w:val="009D5E43"/>
    <w:rsid w:val="009D6A7C"/>
    <w:rsid w:val="009D738F"/>
    <w:rsid w:val="009D7413"/>
    <w:rsid w:val="009E12BC"/>
    <w:rsid w:val="009E170B"/>
    <w:rsid w:val="009E2AC3"/>
    <w:rsid w:val="009E2F22"/>
    <w:rsid w:val="009E43B6"/>
    <w:rsid w:val="009E4479"/>
    <w:rsid w:val="009E7390"/>
    <w:rsid w:val="009E7715"/>
    <w:rsid w:val="009F17E0"/>
    <w:rsid w:val="009F2266"/>
    <w:rsid w:val="009F2AD0"/>
    <w:rsid w:val="009F2C70"/>
    <w:rsid w:val="009F3AA4"/>
    <w:rsid w:val="009F3B22"/>
    <w:rsid w:val="009F43EF"/>
    <w:rsid w:val="009F4A54"/>
    <w:rsid w:val="009F4B61"/>
    <w:rsid w:val="009F5B43"/>
    <w:rsid w:val="009F67C4"/>
    <w:rsid w:val="009F7134"/>
    <w:rsid w:val="009F78B0"/>
    <w:rsid w:val="00A00F6D"/>
    <w:rsid w:val="00A02A26"/>
    <w:rsid w:val="00A02E60"/>
    <w:rsid w:val="00A031EC"/>
    <w:rsid w:val="00A03BEA"/>
    <w:rsid w:val="00A0453A"/>
    <w:rsid w:val="00A048E9"/>
    <w:rsid w:val="00A05272"/>
    <w:rsid w:val="00A05547"/>
    <w:rsid w:val="00A0674D"/>
    <w:rsid w:val="00A074D1"/>
    <w:rsid w:val="00A11B56"/>
    <w:rsid w:val="00A1272F"/>
    <w:rsid w:val="00A129DF"/>
    <w:rsid w:val="00A12CAA"/>
    <w:rsid w:val="00A13905"/>
    <w:rsid w:val="00A14991"/>
    <w:rsid w:val="00A14AC9"/>
    <w:rsid w:val="00A16482"/>
    <w:rsid w:val="00A16E0C"/>
    <w:rsid w:val="00A173BA"/>
    <w:rsid w:val="00A17789"/>
    <w:rsid w:val="00A17828"/>
    <w:rsid w:val="00A20EBA"/>
    <w:rsid w:val="00A217E8"/>
    <w:rsid w:val="00A21B45"/>
    <w:rsid w:val="00A21F5F"/>
    <w:rsid w:val="00A221B3"/>
    <w:rsid w:val="00A22348"/>
    <w:rsid w:val="00A224A9"/>
    <w:rsid w:val="00A2368B"/>
    <w:rsid w:val="00A252A7"/>
    <w:rsid w:val="00A25D8E"/>
    <w:rsid w:val="00A25E4D"/>
    <w:rsid w:val="00A26189"/>
    <w:rsid w:val="00A26893"/>
    <w:rsid w:val="00A27140"/>
    <w:rsid w:val="00A27265"/>
    <w:rsid w:val="00A277BB"/>
    <w:rsid w:val="00A308A9"/>
    <w:rsid w:val="00A346AC"/>
    <w:rsid w:val="00A34981"/>
    <w:rsid w:val="00A352B3"/>
    <w:rsid w:val="00A3561B"/>
    <w:rsid w:val="00A35FB2"/>
    <w:rsid w:val="00A36EFC"/>
    <w:rsid w:val="00A37789"/>
    <w:rsid w:val="00A37CE4"/>
    <w:rsid w:val="00A37CEA"/>
    <w:rsid w:val="00A401C2"/>
    <w:rsid w:val="00A40760"/>
    <w:rsid w:val="00A41738"/>
    <w:rsid w:val="00A42400"/>
    <w:rsid w:val="00A4251A"/>
    <w:rsid w:val="00A42625"/>
    <w:rsid w:val="00A43128"/>
    <w:rsid w:val="00A433EE"/>
    <w:rsid w:val="00A4352E"/>
    <w:rsid w:val="00A4416D"/>
    <w:rsid w:val="00A45774"/>
    <w:rsid w:val="00A45DA7"/>
    <w:rsid w:val="00A46586"/>
    <w:rsid w:val="00A46701"/>
    <w:rsid w:val="00A501BB"/>
    <w:rsid w:val="00A50DE5"/>
    <w:rsid w:val="00A512F5"/>
    <w:rsid w:val="00A5168D"/>
    <w:rsid w:val="00A539A0"/>
    <w:rsid w:val="00A54022"/>
    <w:rsid w:val="00A54097"/>
    <w:rsid w:val="00A540A2"/>
    <w:rsid w:val="00A540BB"/>
    <w:rsid w:val="00A5438F"/>
    <w:rsid w:val="00A55472"/>
    <w:rsid w:val="00A55699"/>
    <w:rsid w:val="00A5587A"/>
    <w:rsid w:val="00A56326"/>
    <w:rsid w:val="00A57CC7"/>
    <w:rsid w:val="00A601C0"/>
    <w:rsid w:val="00A61622"/>
    <w:rsid w:val="00A627C5"/>
    <w:rsid w:val="00A628CB"/>
    <w:rsid w:val="00A64079"/>
    <w:rsid w:val="00A64E23"/>
    <w:rsid w:val="00A656B4"/>
    <w:rsid w:val="00A65D61"/>
    <w:rsid w:val="00A65F61"/>
    <w:rsid w:val="00A67641"/>
    <w:rsid w:val="00A67AE6"/>
    <w:rsid w:val="00A67E00"/>
    <w:rsid w:val="00A67E8F"/>
    <w:rsid w:val="00A701B1"/>
    <w:rsid w:val="00A70A1B"/>
    <w:rsid w:val="00A70F47"/>
    <w:rsid w:val="00A71B8A"/>
    <w:rsid w:val="00A7401F"/>
    <w:rsid w:val="00A74832"/>
    <w:rsid w:val="00A74E67"/>
    <w:rsid w:val="00A74F40"/>
    <w:rsid w:val="00A75CD7"/>
    <w:rsid w:val="00A7646D"/>
    <w:rsid w:val="00A76974"/>
    <w:rsid w:val="00A769EC"/>
    <w:rsid w:val="00A76F31"/>
    <w:rsid w:val="00A800F7"/>
    <w:rsid w:val="00A8099C"/>
    <w:rsid w:val="00A81899"/>
    <w:rsid w:val="00A81942"/>
    <w:rsid w:val="00A81A0A"/>
    <w:rsid w:val="00A830A2"/>
    <w:rsid w:val="00A831DE"/>
    <w:rsid w:val="00A84073"/>
    <w:rsid w:val="00A840AC"/>
    <w:rsid w:val="00A84485"/>
    <w:rsid w:val="00A8560D"/>
    <w:rsid w:val="00A85748"/>
    <w:rsid w:val="00A85B9E"/>
    <w:rsid w:val="00A863CC"/>
    <w:rsid w:val="00A867A7"/>
    <w:rsid w:val="00A86B55"/>
    <w:rsid w:val="00A873B1"/>
    <w:rsid w:val="00A87D4C"/>
    <w:rsid w:val="00A90B00"/>
    <w:rsid w:val="00A91094"/>
    <w:rsid w:val="00A911AB"/>
    <w:rsid w:val="00A914CC"/>
    <w:rsid w:val="00A922BC"/>
    <w:rsid w:val="00A92F2A"/>
    <w:rsid w:val="00A938AB"/>
    <w:rsid w:val="00A943DE"/>
    <w:rsid w:val="00A94ADC"/>
    <w:rsid w:val="00A956CC"/>
    <w:rsid w:val="00A96124"/>
    <w:rsid w:val="00A96522"/>
    <w:rsid w:val="00A9662D"/>
    <w:rsid w:val="00A96B09"/>
    <w:rsid w:val="00A970D7"/>
    <w:rsid w:val="00A97C2B"/>
    <w:rsid w:val="00AA0054"/>
    <w:rsid w:val="00AA057A"/>
    <w:rsid w:val="00AA0D44"/>
    <w:rsid w:val="00AA1422"/>
    <w:rsid w:val="00AA1C69"/>
    <w:rsid w:val="00AA33C5"/>
    <w:rsid w:val="00AA3BDC"/>
    <w:rsid w:val="00AA3F01"/>
    <w:rsid w:val="00AA4471"/>
    <w:rsid w:val="00AA52AD"/>
    <w:rsid w:val="00AA5645"/>
    <w:rsid w:val="00AA648C"/>
    <w:rsid w:val="00AA6586"/>
    <w:rsid w:val="00AA6611"/>
    <w:rsid w:val="00AA662D"/>
    <w:rsid w:val="00AA75DF"/>
    <w:rsid w:val="00AB023D"/>
    <w:rsid w:val="00AB034E"/>
    <w:rsid w:val="00AB0A62"/>
    <w:rsid w:val="00AB193B"/>
    <w:rsid w:val="00AB20F2"/>
    <w:rsid w:val="00AB2E3B"/>
    <w:rsid w:val="00AB5765"/>
    <w:rsid w:val="00AB67E9"/>
    <w:rsid w:val="00AB6C7B"/>
    <w:rsid w:val="00AB770D"/>
    <w:rsid w:val="00AB7A8A"/>
    <w:rsid w:val="00AB7D54"/>
    <w:rsid w:val="00AB7EC2"/>
    <w:rsid w:val="00AC043E"/>
    <w:rsid w:val="00AC0A60"/>
    <w:rsid w:val="00AC15D4"/>
    <w:rsid w:val="00AC3304"/>
    <w:rsid w:val="00AC38AB"/>
    <w:rsid w:val="00AC7612"/>
    <w:rsid w:val="00AC7BC7"/>
    <w:rsid w:val="00AC7D33"/>
    <w:rsid w:val="00AD05AB"/>
    <w:rsid w:val="00AD0AB5"/>
    <w:rsid w:val="00AD1582"/>
    <w:rsid w:val="00AD174A"/>
    <w:rsid w:val="00AD3358"/>
    <w:rsid w:val="00AD3B8F"/>
    <w:rsid w:val="00AD3C64"/>
    <w:rsid w:val="00AD4697"/>
    <w:rsid w:val="00AD49C9"/>
    <w:rsid w:val="00AD4B88"/>
    <w:rsid w:val="00AD4C10"/>
    <w:rsid w:val="00AD53B8"/>
    <w:rsid w:val="00AD551E"/>
    <w:rsid w:val="00AD607A"/>
    <w:rsid w:val="00AD6AB4"/>
    <w:rsid w:val="00AD7954"/>
    <w:rsid w:val="00AD7BDE"/>
    <w:rsid w:val="00AE07CC"/>
    <w:rsid w:val="00AE0D64"/>
    <w:rsid w:val="00AE1009"/>
    <w:rsid w:val="00AE1705"/>
    <w:rsid w:val="00AE19A4"/>
    <w:rsid w:val="00AE1F0C"/>
    <w:rsid w:val="00AE2CE2"/>
    <w:rsid w:val="00AE2D9C"/>
    <w:rsid w:val="00AE326D"/>
    <w:rsid w:val="00AE341F"/>
    <w:rsid w:val="00AE3563"/>
    <w:rsid w:val="00AE36F7"/>
    <w:rsid w:val="00AE4525"/>
    <w:rsid w:val="00AE4EA5"/>
    <w:rsid w:val="00AE66CA"/>
    <w:rsid w:val="00AE780E"/>
    <w:rsid w:val="00AE7B71"/>
    <w:rsid w:val="00AF0189"/>
    <w:rsid w:val="00AF0793"/>
    <w:rsid w:val="00AF1302"/>
    <w:rsid w:val="00AF1743"/>
    <w:rsid w:val="00AF2FDF"/>
    <w:rsid w:val="00AF3F44"/>
    <w:rsid w:val="00AF4C8A"/>
    <w:rsid w:val="00AF4D5E"/>
    <w:rsid w:val="00AF5CF8"/>
    <w:rsid w:val="00AF5DE9"/>
    <w:rsid w:val="00AF7B0B"/>
    <w:rsid w:val="00AF7C0D"/>
    <w:rsid w:val="00B0010D"/>
    <w:rsid w:val="00B00719"/>
    <w:rsid w:val="00B00758"/>
    <w:rsid w:val="00B01224"/>
    <w:rsid w:val="00B020DE"/>
    <w:rsid w:val="00B022CE"/>
    <w:rsid w:val="00B036F9"/>
    <w:rsid w:val="00B04193"/>
    <w:rsid w:val="00B05CCF"/>
    <w:rsid w:val="00B05E59"/>
    <w:rsid w:val="00B068CB"/>
    <w:rsid w:val="00B06E04"/>
    <w:rsid w:val="00B07571"/>
    <w:rsid w:val="00B1067F"/>
    <w:rsid w:val="00B12123"/>
    <w:rsid w:val="00B121EF"/>
    <w:rsid w:val="00B12357"/>
    <w:rsid w:val="00B13498"/>
    <w:rsid w:val="00B13ED5"/>
    <w:rsid w:val="00B14931"/>
    <w:rsid w:val="00B14F93"/>
    <w:rsid w:val="00B15014"/>
    <w:rsid w:val="00B15155"/>
    <w:rsid w:val="00B15AB5"/>
    <w:rsid w:val="00B15D3B"/>
    <w:rsid w:val="00B167B3"/>
    <w:rsid w:val="00B16A44"/>
    <w:rsid w:val="00B17D31"/>
    <w:rsid w:val="00B20BD0"/>
    <w:rsid w:val="00B21796"/>
    <w:rsid w:val="00B22289"/>
    <w:rsid w:val="00B23157"/>
    <w:rsid w:val="00B231E5"/>
    <w:rsid w:val="00B2373A"/>
    <w:rsid w:val="00B23DBB"/>
    <w:rsid w:val="00B24EBA"/>
    <w:rsid w:val="00B2537B"/>
    <w:rsid w:val="00B255DA"/>
    <w:rsid w:val="00B2562B"/>
    <w:rsid w:val="00B25CC3"/>
    <w:rsid w:val="00B25DCA"/>
    <w:rsid w:val="00B266F5"/>
    <w:rsid w:val="00B2672D"/>
    <w:rsid w:val="00B27EA2"/>
    <w:rsid w:val="00B30867"/>
    <w:rsid w:val="00B30D63"/>
    <w:rsid w:val="00B326F1"/>
    <w:rsid w:val="00B32CF3"/>
    <w:rsid w:val="00B3307C"/>
    <w:rsid w:val="00B330A3"/>
    <w:rsid w:val="00B33140"/>
    <w:rsid w:val="00B332D3"/>
    <w:rsid w:val="00B335B3"/>
    <w:rsid w:val="00B336BA"/>
    <w:rsid w:val="00B336BF"/>
    <w:rsid w:val="00B34861"/>
    <w:rsid w:val="00B3585A"/>
    <w:rsid w:val="00B35D67"/>
    <w:rsid w:val="00B37669"/>
    <w:rsid w:val="00B3794E"/>
    <w:rsid w:val="00B4043C"/>
    <w:rsid w:val="00B40664"/>
    <w:rsid w:val="00B41217"/>
    <w:rsid w:val="00B4141D"/>
    <w:rsid w:val="00B423FF"/>
    <w:rsid w:val="00B42CF7"/>
    <w:rsid w:val="00B43104"/>
    <w:rsid w:val="00B434AC"/>
    <w:rsid w:val="00B46A7C"/>
    <w:rsid w:val="00B46D4E"/>
    <w:rsid w:val="00B50059"/>
    <w:rsid w:val="00B50247"/>
    <w:rsid w:val="00B515BF"/>
    <w:rsid w:val="00B51B78"/>
    <w:rsid w:val="00B53D1F"/>
    <w:rsid w:val="00B548F3"/>
    <w:rsid w:val="00B549BB"/>
    <w:rsid w:val="00B54CE7"/>
    <w:rsid w:val="00B55262"/>
    <w:rsid w:val="00B55616"/>
    <w:rsid w:val="00B55B14"/>
    <w:rsid w:val="00B55D23"/>
    <w:rsid w:val="00B563EA"/>
    <w:rsid w:val="00B568E3"/>
    <w:rsid w:val="00B57014"/>
    <w:rsid w:val="00B57DC6"/>
    <w:rsid w:val="00B60242"/>
    <w:rsid w:val="00B604C0"/>
    <w:rsid w:val="00B60DBA"/>
    <w:rsid w:val="00B61372"/>
    <w:rsid w:val="00B61637"/>
    <w:rsid w:val="00B61F7C"/>
    <w:rsid w:val="00B62039"/>
    <w:rsid w:val="00B62138"/>
    <w:rsid w:val="00B627BE"/>
    <w:rsid w:val="00B62D4E"/>
    <w:rsid w:val="00B632AB"/>
    <w:rsid w:val="00B63A64"/>
    <w:rsid w:val="00B63CC1"/>
    <w:rsid w:val="00B640F1"/>
    <w:rsid w:val="00B66080"/>
    <w:rsid w:val="00B705CF"/>
    <w:rsid w:val="00B70B62"/>
    <w:rsid w:val="00B70D33"/>
    <w:rsid w:val="00B71AF6"/>
    <w:rsid w:val="00B72770"/>
    <w:rsid w:val="00B73081"/>
    <w:rsid w:val="00B7468B"/>
    <w:rsid w:val="00B754B7"/>
    <w:rsid w:val="00B759DE"/>
    <w:rsid w:val="00B75E97"/>
    <w:rsid w:val="00B75F20"/>
    <w:rsid w:val="00B76952"/>
    <w:rsid w:val="00B76F3A"/>
    <w:rsid w:val="00B7759B"/>
    <w:rsid w:val="00B776F4"/>
    <w:rsid w:val="00B779E1"/>
    <w:rsid w:val="00B77AAE"/>
    <w:rsid w:val="00B801A5"/>
    <w:rsid w:val="00B80E66"/>
    <w:rsid w:val="00B8135D"/>
    <w:rsid w:val="00B81DDF"/>
    <w:rsid w:val="00B829E6"/>
    <w:rsid w:val="00B85223"/>
    <w:rsid w:val="00B8571C"/>
    <w:rsid w:val="00B85D9F"/>
    <w:rsid w:val="00B8633A"/>
    <w:rsid w:val="00B867B1"/>
    <w:rsid w:val="00B869D6"/>
    <w:rsid w:val="00B916B2"/>
    <w:rsid w:val="00B91CD3"/>
    <w:rsid w:val="00B9348E"/>
    <w:rsid w:val="00B9384C"/>
    <w:rsid w:val="00B94F49"/>
    <w:rsid w:val="00B95C47"/>
    <w:rsid w:val="00B96C1B"/>
    <w:rsid w:val="00BA05B1"/>
    <w:rsid w:val="00BA1E49"/>
    <w:rsid w:val="00BA363F"/>
    <w:rsid w:val="00BA3D6C"/>
    <w:rsid w:val="00BA4C26"/>
    <w:rsid w:val="00BA53FE"/>
    <w:rsid w:val="00BA5768"/>
    <w:rsid w:val="00BA653A"/>
    <w:rsid w:val="00BA6934"/>
    <w:rsid w:val="00BA6AA4"/>
    <w:rsid w:val="00BA6CD9"/>
    <w:rsid w:val="00BB0C6B"/>
    <w:rsid w:val="00BB12D2"/>
    <w:rsid w:val="00BB1653"/>
    <w:rsid w:val="00BB1FBE"/>
    <w:rsid w:val="00BB202F"/>
    <w:rsid w:val="00BB2851"/>
    <w:rsid w:val="00BB330D"/>
    <w:rsid w:val="00BB3D1D"/>
    <w:rsid w:val="00BB3DF6"/>
    <w:rsid w:val="00BB5C7A"/>
    <w:rsid w:val="00BB6BE3"/>
    <w:rsid w:val="00BB78F3"/>
    <w:rsid w:val="00BB7913"/>
    <w:rsid w:val="00BB7FA2"/>
    <w:rsid w:val="00BC1D8F"/>
    <w:rsid w:val="00BC1E50"/>
    <w:rsid w:val="00BC2A01"/>
    <w:rsid w:val="00BC3089"/>
    <w:rsid w:val="00BC37F0"/>
    <w:rsid w:val="00BC39CA"/>
    <w:rsid w:val="00BC3B2E"/>
    <w:rsid w:val="00BC53B8"/>
    <w:rsid w:val="00BC54A9"/>
    <w:rsid w:val="00BC56DE"/>
    <w:rsid w:val="00BC6BD2"/>
    <w:rsid w:val="00BC777F"/>
    <w:rsid w:val="00BC7DD4"/>
    <w:rsid w:val="00BD0306"/>
    <w:rsid w:val="00BD1ED9"/>
    <w:rsid w:val="00BD2B5F"/>
    <w:rsid w:val="00BD2D1B"/>
    <w:rsid w:val="00BD2F44"/>
    <w:rsid w:val="00BD4D0A"/>
    <w:rsid w:val="00BD5242"/>
    <w:rsid w:val="00BD565F"/>
    <w:rsid w:val="00BD7506"/>
    <w:rsid w:val="00BD767C"/>
    <w:rsid w:val="00BD7808"/>
    <w:rsid w:val="00BE047C"/>
    <w:rsid w:val="00BE07C7"/>
    <w:rsid w:val="00BE21AF"/>
    <w:rsid w:val="00BE25BC"/>
    <w:rsid w:val="00BE27C0"/>
    <w:rsid w:val="00BE27F1"/>
    <w:rsid w:val="00BE308A"/>
    <w:rsid w:val="00BE3353"/>
    <w:rsid w:val="00BE3A5C"/>
    <w:rsid w:val="00BE4582"/>
    <w:rsid w:val="00BE4AF4"/>
    <w:rsid w:val="00BE4B79"/>
    <w:rsid w:val="00BE4DAE"/>
    <w:rsid w:val="00BE5CCD"/>
    <w:rsid w:val="00BE6ED0"/>
    <w:rsid w:val="00BE7F59"/>
    <w:rsid w:val="00BF01D2"/>
    <w:rsid w:val="00BF0679"/>
    <w:rsid w:val="00BF12EA"/>
    <w:rsid w:val="00BF15CE"/>
    <w:rsid w:val="00BF1B95"/>
    <w:rsid w:val="00BF4318"/>
    <w:rsid w:val="00BF5A7E"/>
    <w:rsid w:val="00BF5B40"/>
    <w:rsid w:val="00BF5E48"/>
    <w:rsid w:val="00BF5FA1"/>
    <w:rsid w:val="00BF68BE"/>
    <w:rsid w:val="00BF6903"/>
    <w:rsid w:val="00C002AF"/>
    <w:rsid w:val="00C008B3"/>
    <w:rsid w:val="00C01091"/>
    <w:rsid w:val="00C01C53"/>
    <w:rsid w:val="00C02293"/>
    <w:rsid w:val="00C0286F"/>
    <w:rsid w:val="00C0392D"/>
    <w:rsid w:val="00C0484D"/>
    <w:rsid w:val="00C04DBE"/>
    <w:rsid w:val="00C1010D"/>
    <w:rsid w:val="00C10270"/>
    <w:rsid w:val="00C10EB0"/>
    <w:rsid w:val="00C117D8"/>
    <w:rsid w:val="00C11D3D"/>
    <w:rsid w:val="00C11F43"/>
    <w:rsid w:val="00C13752"/>
    <w:rsid w:val="00C13A5D"/>
    <w:rsid w:val="00C13CD7"/>
    <w:rsid w:val="00C13D0F"/>
    <w:rsid w:val="00C13F91"/>
    <w:rsid w:val="00C14C19"/>
    <w:rsid w:val="00C14D0E"/>
    <w:rsid w:val="00C151EF"/>
    <w:rsid w:val="00C16102"/>
    <w:rsid w:val="00C16608"/>
    <w:rsid w:val="00C1675B"/>
    <w:rsid w:val="00C1679D"/>
    <w:rsid w:val="00C17142"/>
    <w:rsid w:val="00C17980"/>
    <w:rsid w:val="00C21E79"/>
    <w:rsid w:val="00C2337A"/>
    <w:rsid w:val="00C25BFF"/>
    <w:rsid w:val="00C26ADD"/>
    <w:rsid w:val="00C307E1"/>
    <w:rsid w:val="00C31148"/>
    <w:rsid w:val="00C31865"/>
    <w:rsid w:val="00C31A37"/>
    <w:rsid w:val="00C32744"/>
    <w:rsid w:val="00C329C6"/>
    <w:rsid w:val="00C32FDB"/>
    <w:rsid w:val="00C33F7E"/>
    <w:rsid w:val="00C351D7"/>
    <w:rsid w:val="00C360E5"/>
    <w:rsid w:val="00C3651B"/>
    <w:rsid w:val="00C4055A"/>
    <w:rsid w:val="00C406A3"/>
    <w:rsid w:val="00C40934"/>
    <w:rsid w:val="00C40C83"/>
    <w:rsid w:val="00C412A8"/>
    <w:rsid w:val="00C41372"/>
    <w:rsid w:val="00C413B3"/>
    <w:rsid w:val="00C414C8"/>
    <w:rsid w:val="00C432A6"/>
    <w:rsid w:val="00C45E5B"/>
    <w:rsid w:val="00C474AE"/>
    <w:rsid w:val="00C47559"/>
    <w:rsid w:val="00C501D8"/>
    <w:rsid w:val="00C5048B"/>
    <w:rsid w:val="00C50F94"/>
    <w:rsid w:val="00C513CC"/>
    <w:rsid w:val="00C51769"/>
    <w:rsid w:val="00C52B76"/>
    <w:rsid w:val="00C53864"/>
    <w:rsid w:val="00C545C4"/>
    <w:rsid w:val="00C54820"/>
    <w:rsid w:val="00C54875"/>
    <w:rsid w:val="00C55065"/>
    <w:rsid w:val="00C550B5"/>
    <w:rsid w:val="00C554EC"/>
    <w:rsid w:val="00C564D6"/>
    <w:rsid w:val="00C56529"/>
    <w:rsid w:val="00C56A2F"/>
    <w:rsid w:val="00C57386"/>
    <w:rsid w:val="00C575EA"/>
    <w:rsid w:val="00C578BD"/>
    <w:rsid w:val="00C6149C"/>
    <w:rsid w:val="00C61A21"/>
    <w:rsid w:val="00C62020"/>
    <w:rsid w:val="00C62FD7"/>
    <w:rsid w:val="00C63CF3"/>
    <w:rsid w:val="00C6642E"/>
    <w:rsid w:val="00C66AB6"/>
    <w:rsid w:val="00C672C0"/>
    <w:rsid w:val="00C6773C"/>
    <w:rsid w:val="00C678BC"/>
    <w:rsid w:val="00C703A0"/>
    <w:rsid w:val="00C704D7"/>
    <w:rsid w:val="00C70C96"/>
    <w:rsid w:val="00C70D3D"/>
    <w:rsid w:val="00C7119F"/>
    <w:rsid w:val="00C71C65"/>
    <w:rsid w:val="00C72CFF"/>
    <w:rsid w:val="00C73CEB"/>
    <w:rsid w:val="00C742B1"/>
    <w:rsid w:val="00C743FE"/>
    <w:rsid w:val="00C74A87"/>
    <w:rsid w:val="00C752DF"/>
    <w:rsid w:val="00C7564E"/>
    <w:rsid w:val="00C757CF"/>
    <w:rsid w:val="00C7630A"/>
    <w:rsid w:val="00C77415"/>
    <w:rsid w:val="00C77C1F"/>
    <w:rsid w:val="00C801FB"/>
    <w:rsid w:val="00C816C9"/>
    <w:rsid w:val="00C82C66"/>
    <w:rsid w:val="00C833B7"/>
    <w:rsid w:val="00C84146"/>
    <w:rsid w:val="00C84F2B"/>
    <w:rsid w:val="00C859B3"/>
    <w:rsid w:val="00C86594"/>
    <w:rsid w:val="00C86C99"/>
    <w:rsid w:val="00C86EF5"/>
    <w:rsid w:val="00C90327"/>
    <w:rsid w:val="00C906BA"/>
    <w:rsid w:val="00C909AA"/>
    <w:rsid w:val="00C90D41"/>
    <w:rsid w:val="00C90E1F"/>
    <w:rsid w:val="00C913A8"/>
    <w:rsid w:val="00C91678"/>
    <w:rsid w:val="00C921DD"/>
    <w:rsid w:val="00C92F5C"/>
    <w:rsid w:val="00C9376D"/>
    <w:rsid w:val="00C93AFC"/>
    <w:rsid w:val="00C94BB8"/>
    <w:rsid w:val="00C94CAD"/>
    <w:rsid w:val="00C94FBF"/>
    <w:rsid w:val="00C95405"/>
    <w:rsid w:val="00C95CD9"/>
    <w:rsid w:val="00C964C2"/>
    <w:rsid w:val="00C965DA"/>
    <w:rsid w:val="00C96AD4"/>
    <w:rsid w:val="00C96B5C"/>
    <w:rsid w:val="00C972DC"/>
    <w:rsid w:val="00CA01AD"/>
    <w:rsid w:val="00CA03ED"/>
    <w:rsid w:val="00CA046A"/>
    <w:rsid w:val="00CA0AEB"/>
    <w:rsid w:val="00CA0E9B"/>
    <w:rsid w:val="00CA1B24"/>
    <w:rsid w:val="00CA2090"/>
    <w:rsid w:val="00CA270D"/>
    <w:rsid w:val="00CA2E28"/>
    <w:rsid w:val="00CA388D"/>
    <w:rsid w:val="00CA39B8"/>
    <w:rsid w:val="00CA3D72"/>
    <w:rsid w:val="00CA4ADC"/>
    <w:rsid w:val="00CA51BB"/>
    <w:rsid w:val="00CA57F7"/>
    <w:rsid w:val="00CA5A06"/>
    <w:rsid w:val="00CA6187"/>
    <w:rsid w:val="00CA6A6E"/>
    <w:rsid w:val="00CA750B"/>
    <w:rsid w:val="00CA75B5"/>
    <w:rsid w:val="00CB0B75"/>
    <w:rsid w:val="00CB2150"/>
    <w:rsid w:val="00CB2366"/>
    <w:rsid w:val="00CB27BC"/>
    <w:rsid w:val="00CB27C3"/>
    <w:rsid w:val="00CB2961"/>
    <w:rsid w:val="00CB383F"/>
    <w:rsid w:val="00CB3AEF"/>
    <w:rsid w:val="00CB3ED7"/>
    <w:rsid w:val="00CB40F0"/>
    <w:rsid w:val="00CB410A"/>
    <w:rsid w:val="00CB465A"/>
    <w:rsid w:val="00CB4EAE"/>
    <w:rsid w:val="00CB5D6C"/>
    <w:rsid w:val="00CB5E43"/>
    <w:rsid w:val="00CB72A5"/>
    <w:rsid w:val="00CB742B"/>
    <w:rsid w:val="00CB78C6"/>
    <w:rsid w:val="00CC081B"/>
    <w:rsid w:val="00CC14E4"/>
    <w:rsid w:val="00CC14E7"/>
    <w:rsid w:val="00CC15B4"/>
    <w:rsid w:val="00CC1C63"/>
    <w:rsid w:val="00CC3391"/>
    <w:rsid w:val="00CC3B15"/>
    <w:rsid w:val="00CC4197"/>
    <w:rsid w:val="00CC4EDE"/>
    <w:rsid w:val="00CC591D"/>
    <w:rsid w:val="00CC67AB"/>
    <w:rsid w:val="00CD01FC"/>
    <w:rsid w:val="00CD0986"/>
    <w:rsid w:val="00CD0D2B"/>
    <w:rsid w:val="00CD15BB"/>
    <w:rsid w:val="00CD1675"/>
    <w:rsid w:val="00CD16D4"/>
    <w:rsid w:val="00CD2092"/>
    <w:rsid w:val="00CD224A"/>
    <w:rsid w:val="00CD25C1"/>
    <w:rsid w:val="00CD2D47"/>
    <w:rsid w:val="00CD3445"/>
    <w:rsid w:val="00CD3759"/>
    <w:rsid w:val="00CD376D"/>
    <w:rsid w:val="00CD3B97"/>
    <w:rsid w:val="00CD3BC4"/>
    <w:rsid w:val="00CD50D5"/>
    <w:rsid w:val="00CD5514"/>
    <w:rsid w:val="00CD596D"/>
    <w:rsid w:val="00CD5AAE"/>
    <w:rsid w:val="00CD5B18"/>
    <w:rsid w:val="00CD5DE6"/>
    <w:rsid w:val="00CE0E8E"/>
    <w:rsid w:val="00CE13F3"/>
    <w:rsid w:val="00CE161B"/>
    <w:rsid w:val="00CE2342"/>
    <w:rsid w:val="00CE321E"/>
    <w:rsid w:val="00CE3D24"/>
    <w:rsid w:val="00CE3E78"/>
    <w:rsid w:val="00CE52AB"/>
    <w:rsid w:val="00CE5C66"/>
    <w:rsid w:val="00CE5D1C"/>
    <w:rsid w:val="00CF07C0"/>
    <w:rsid w:val="00CF0F03"/>
    <w:rsid w:val="00CF28A7"/>
    <w:rsid w:val="00CF3B92"/>
    <w:rsid w:val="00D02806"/>
    <w:rsid w:val="00D02B3D"/>
    <w:rsid w:val="00D02FDE"/>
    <w:rsid w:val="00D03BA7"/>
    <w:rsid w:val="00D03F50"/>
    <w:rsid w:val="00D04092"/>
    <w:rsid w:val="00D04A16"/>
    <w:rsid w:val="00D0695E"/>
    <w:rsid w:val="00D06EF3"/>
    <w:rsid w:val="00D10EE7"/>
    <w:rsid w:val="00D112F8"/>
    <w:rsid w:val="00D117A8"/>
    <w:rsid w:val="00D117DE"/>
    <w:rsid w:val="00D118E9"/>
    <w:rsid w:val="00D1190D"/>
    <w:rsid w:val="00D12FC0"/>
    <w:rsid w:val="00D13451"/>
    <w:rsid w:val="00D14774"/>
    <w:rsid w:val="00D15136"/>
    <w:rsid w:val="00D151BD"/>
    <w:rsid w:val="00D1576E"/>
    <w:rsid w:val="00D173D8"/>
    <w:rsid w:val="00D20261"/>
    <w:rsid w:val="00D20731"/>
    <w:rsid w:val="00D20AD1"/>
    <w:rsid w:val="00D224EF"/>
    <w:rsid w:val="00D2349D"/>
    <w:rsid w:val="00D23892"/>
    <w:rsid w:val="00D240AB"/>
    <w:rsid w:val="00D24224"/>
    <w:rsid w:val="00D24DD7"/>
    <w:rsid w:val="00D25465"/>
    <w:rsid w:val="00D26CDB"/>
    <w:rsid w:val="00D271FE"/>
    <w:rsid w:val="00D277AE"/>
    <w:rsid w:val="00D3041E"/>
    <w:rsid w:val="00D30E27"/>
    <w:rsid w:val="00D31043"/>
    <w:rsid w:val="00D310CD"/>
    <w:rsid w:val="00D317EA"/>
    <w:rsid w:val="00D31B1C"/>
    <w:rsid w:val="00D31C8C"/>
    <w:rsid w:val="00D32258"/>
    <w:rsid w:val="00D32832"/>
    <w:rsid w:val="00D331A2"/>
    <w:rsid w:val="00D331E6"/>
    <w:rsid w:val="00D33FAB"/>
    <w:rsid w:val="00D34613"/>
    <w:rsid w:val="00D351FE"/>
    <w:rsid w:val="00D35331"/>
    <w:rsid w:val="00D3631A"/>
    <w:rsid w:val="00D36423"/>
    <w:rsid w:val="00D36516"/>
    <w:rsid w:val="00D36563"/>
    <w:rsid w:val="00D372D5"/>
    <w:rsid w:val="00D4327F"/>
    <w:rsid w:val="00D4360F"/>
    <w:rsid w:val="00D4408B"/>
    <w:rsid w:val="00D442EA"/>
    <w:rsid w:val="00D44399"/>
    <w:rsid w:val="00D44887"/>
    <w:rsid w:val="00D44D3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D87"/>
    <w:rsid w:val="00D53DB5"/>
    <w:rsid w:val="00D5520B"/>
    <w:rsid w:val="00D559A9"/>
    <w:rsid w:val="00D56AEA"/>
    <w:rsid w:val="00D57236"/>
    <w:rsid w:val="00D575FA"/>
    <w:rsid w:val="00D57AAA"/>
    <w:rsid w:val="00D6007D"/>
    <w:rsid w:val="00D6195C"/>
    <w:rsid w:val="00D61CAF"/>
    <w:rsid w:val="00D62321"/>
    <w:rsid w:val="00D6366D"/>
    <w:rsid w:val="00D63E52"/>
    <w:rsid w:val="00D640A7"/>
    <w:rsid w:val="00D6435E"/>
    <w:rsid w:val="00D64520"/>
    <w:rsid w:val="00D64615"/>
    <w:rsid w:val="00D64EC3"/>
    <w:rsid w:val="00D64F3C"/>
    <w:rsid w:val="00D652A3"/>
    <w:rsid w:val="00D66843"/>
    <w:rsid w:val="00D66E46"/>
    <w:rsid w:val="00D67501"/>
    <w:rsid w:val="00D71132"/>
    <w:rsid w:val="00D719F0"/>
    <w:rsid w:val="00D72538"/>
    <w:rsid w:val="00D72CCF"/>
    <w:rsid w:val="00D73B77"/>
    <w:rsid w:val="00D73CA3"/>
    <w:rsid w:val="00D73DFE"/>
    <w:rsid w:val="00D753CD"/>
    <w:rsid w:val="00D757B3"/>
    <w:rsid w:val="00D76F54"/>
    <w:rsid w:val="00D776F4"/>
    <w:rsid w:val="00D8021F"/>
    <w:rsid w:val="00D80F74"/>
    <w:rsid w:val="00D833E8"/>
    <w:rsid w:val="00D834AE"/>
    <w:rsid w:val="00D844DC"/>
    <w:rsid w:val="00D845AE"/>
    <w:rsid w:val="00D848B3"/>
    <w:rsid w:val="00D84FB3"/>
    <w:rsid w:val="00D85B86"/>
    <w:rsid w:val="00D85E39"/>
    <w:rsid w:val="00D861C7"/>
    <w:rsid w:val="00D87D87"/>
    <w:rsid w:val="00D9129E"/>
    <w:rsid w:val="00D926A2"/>
    <w:rsid w:val="00D939F6"/>
    <w:rsid w:val="00D946B2"/>
    <w:rsid w:val="00D94C9A"/>
    <w:rsid w:val="00D94CB8"/>
    <w:rsid w:val="00D95450"/>
    <w:rsid w:val="00D954AB"/>
    <w:rsid w:val="00D95ADE"/>
    <w:rsid w:val="00D95E89"/>
    <w:rsid w:val="00D968D0"/>
    <w:rsid w:val="00D968D8"/>
    <w:rsid w:val="00D96AC0"/>
    <w:rsid w:val="00D9704A"/>
    <w:rsid w:val="00D979AB"/>
    <w:rsid w:val="00DA0E08"/>
    <w:rsid w:val="00DA287F"/>
    <w:rsid w:val="00DA44A0"/>
    <w:rsid w:val="00DA4741"/>
    <w:rsid w:val="00DA4A57"/>
    <w:rsid w:val="00DA57EC"/>
    <w:rsid w:val="00DA756E"/>
    <w:rsid w:val="00DA78ED"/>
    <w:rsid w:val="00DB052E"/>
    <w:rsid w:val="00DB1081"/>
    <w:rsid w:val="00DB1A83"/>
    <w:rsid w:val="00DB37E7"/>
    <w:rsid w:val="00DB4948"/>
    <w:rsid w:val="00DB4B43"/>
    <w:rsid w:val="00DB5F62"/>
    <w:rsid w:val="00DB6557"/>
    <w:rsid w:val="00DC07BA"/>
    <w:rsid w:val="00DC1AA7"/>
    <w:rsid w:val="00DC35CA"/>
    <w:rsid w:val="00DC4D13"/>
    <w:rsid w:val="00DC55C1"/>
    <w:rsid w:val="00DC5AAA"/>
    <w:rsid w:val="00DC7B68"/>
    <w:rsid w:val="00DD0064"/>
    <w:rsid w:val="00DD00B0"/>
    <w:rsid w:val="00DD04FF"/>
    <w:rsid w:val="00DD09C5"/>
    <w:rsid w:val="00DD153B"/>
    <w:rsid w:val="00DD1892"/>
    <w:rsid w:val="00DD193C"/>
    <w:rsid w:val="00DD35A5"/>
    <w:rsid w:val="00DD3DBC"/>
    <w:rsid w:val="00DD4403"/>
    <w:rsid w:val="00DD65C4"/>
    <w:rsid w:val="00DD671B"/>
    <w:rsid w:val="00DD71BD"/>
    <w:rsid w:val="00DD7283"/>
    <w:rsid w:val="00DE00E3"/>
    <w:rsid w:val="00DE12C0"/>
    <w:rsid w:val="00DE15B8"/>
    <w:rsid w:val="00DE18A0"/>
    <w:rsid w:val="00DE4379"/>
    <w:rsid w:val="00DE4786"/>
    <w:rsid w:val="00DE5715"/>
    <w:rsid w:val="00DE5B03"/>
    <w:rsid w:val="00DE7094"/>
    <w:rsid w:val="00DE7E4B"/>
    <w:rsid w:val="00DF00A2"/>
    <w:rsid w:val="00DF00F8"/>
    <w:rsid w:val="00DF1C6E"/>
    <w:rsid w:val="00DF268E"/>
    <w:rsid w:val="00DF33E0"/>
    <w:rsid w:val="00DF36A7"/>
    <w:rsid w:val="00DF3C47"/>
    <w:rsid w:val="00DF3FCB"/>
    <w:rsid w:val="00DF4754"/>
    <w:rsid w:val="00DF4C24"/>
    <w:rsid w:val="00DF526D"/>
    <w:rsid w:val="00DF55A4"/>
    <w:rsid w:val="00DF5DD6"/>
    <w:rsid w:val="00DF61B1"/>
    <w:rsid w:val="00DF7600"/>
    <w:rsid w:val="00DF7E90"/>
    <w:rsid w:val="00E0076A"/>
    <w:rsid w:val="00E00B1B"/>
    <w:rsid w:val="00E0125F"/>
    <w:rsid w:val="00E01F69"/>
    <w:rsid w:val="00E030B9"/>
    <w:rsid w:val="00E040AD"/>
    <w:rsid w:val="00E06856"/>
    <w:rsid w:val="00E078FB"/>
    <w:rsid w:val="00E1039D"/>
    <w:rsid w:val="00E111FC"/>
    <w:rsid w:val="00E11B14"/>
    <w:rsid w:val="00E12598"/>
    <w:rsid w:val="00E135F8"/>
    <w:rsid w:val="00E13C1D"/>
    <w:rsid w:val="00E146D1"/>
    <w:rsid w:val="00E14DCA"/>
    <w:rsid w:val="00E15340"/>
    <w:rsid w:val="00E1552D"/>
    <w:rsid w:val="00E159BD"/>
    <w:rsid w:val="00E15BC7"/>
    <w:rsid w:val="00E16099"/>
    <w:rsid w:val="00E1697C"/>
    <w:rsid w:val="00E16F91"/>
    <w:rsid w:val="00E17818"/>
    <w:rsid w:val="00E17DB0"/>
    <w:rsid w:val="00E2034A"/>
    <w:rsid w:val="00E20810"/>
    <w:rsid w:val="00E211F5"/>
    <w:rsid w:val="00E216DD"/>
    <w:rsid w:val="00E2170E"/>
    <w:rsid w:val="00E226E7"/>
    <w:rsid w:val="00E23192"/>
    <w:rsid w:val="00E244C0"/>
    <w:rsid w:val="00E249C8"/>
    <w:rsid w:val="00E24E2A"/>
    <w:rsid w:val="00E25559"/>
    <w:rsid w:val="00E25F0F"/>
    <w:rsid w:val="00E262DF"/>
    <w:rsid w:val="00E262FB"/>
    <w:rsid w:val="00E26E58"/>
    <w:rsid w:val="00E30736"/>
    <w:rsid w:val="00E30794"/>
    <w:rsid w:val="00E31348"/>
    <w:rsid w:val="00E31381"/>
    <w:rsid w:val="00E31AB7"/>
    <w:rsid w:val="00E32B2C"/>
    <w:rsid w:val="00E32B9F"/>
    <w:rsid w:val="00E337EC"/>
    <w:rsid w:val="00E33ECF"/>
    <w:rsid w:val="00E35136"/>
    <w:rsid w:val="00E35147"/>
    <w:rsid w:val="00E35ABA"/>
    <w:rsid w:val="00E3610E"/>
    <w:rsid w:val="00E362C9"/>
    <w:rsid w:val="00E36818"/>
    <w:rsid w:val="00E372F0"/>
    <w:rsid w:val="00E37913"/>
    <w:rsid w:val="00E37A76"/>
    <w:rsid w:val="00E37F0B"/>
    <w:rsid w:val="00E408DC"/>
    <w:rsid w:val="00E4185F"/>
    <w:rsid w:val="00E41EB5"/>
    <w:rsid w:val="00E42350"/>
    <w:rsid w:val="00E439F2"/>
    <w:rsid w:val="00E43ABF"/>
    <w:rsid w:val="00E43AEF"/>
    <w:rsid w:val="00E45F94"/>
    <w:rsid w:val="00E466B3"/>
    <w:rsid w:val="00E46912"/>
    <w:rsid w:val="00E47285"/>
    <w:rsid w:val="00E4770F"/>
    <w:rsid w:val="00E478B0"/>
    <w:rsid w:val="00E47FEE"/>
    <w:rsid w:val="00E50102"/>
    <w:rsid w:val="00E5131D"/>
    <w:rsid w:val="00E53D3D"/>
    <w:rsid w:val="00E550EB"/>
    <w:rsid w:val="00E55721"/>
    <w:rsid w:val="00E55E1D"/>
    <w:rsid w:val="00E5605B"/>
    <w:rsid w:val="00E57161"/>
    <w:rsid w:val="00E573F0"/>
    <w:rsid w:val="00E6018B"/>
    <w:rsid w:val="00E60190"/>
    <w:rsid w:val="00E6026E"/>
    <w:rsid w:val="00E6096D"/>
    <w:rsid w:val="00E61040"/>
    <w:rsid w:val="00E615E0"/>
    <w:rsid w:val="00E61A37"/>
    <w:rsid w:val="00E61AE8"/>
    <w:rsid w:val="00E61D73"/>
    <w:rsid w:val="00E62755"/>
    <w:rsid w:val="00E631D4"/>
    <w:rsid w:val="00E63FCC"/>
    <w:rsid w:val="00E64849"/>
    <w:rsid w:val="00E64CA0"/>
    <w:rsid w:val="00E659FB"/>
    <w:rsid w:val="00E65C64"/>
    <w:rsid w:val="00E65D4A"/>
    <w:rsid w:val="00E666A2"/>
    <w:rsid w:val="00E66967"/>
    <w:rsid w:val="00E66F90"/>
    <w:rsid w:val="00E670B0"/>
    <w:rsid w:val="00E7053D"/>
    <w:rsid w:val="00E70B81"/>
    <w:rsid w:val="00E7165E"/>
    <w:rsid w:val="00E71FB4"/>
    <w:rsid w:val="00E720DE"/>
    <w:rsid w:val="00E72B19"/>
    <w:rsid w:val="00E74BB9"/>
    <w:rsid w:val="00E7505D"/>
    <w:rsid w:val="00E75370"/>
    <w:rsid w:val="00E75716"/>
    <w:rsid w:val="00E75753"/>
    <w:rsid w:val="00E77297"/>
    <w:rsid w:val="00E7740D"/>
    <w:rsid w:val="00E82055"/>
    <w:rsid w:val="00E8310D"/>
    <w:rsid w:val="00E83300"/>
    <w:rsid w:val="00E8385A"/>
    <w:rsid w:val="00E83A4A"/>
    <w:rsid w:val="00E84B7B"/>
    <w:rsid w:val="00E8506A"/>
    <w:rsid w:val="00E85521"/>
    <w:rsid w:val="00E85AA4"/>
    <w:rsid w:val="00E865BD"/>
    <w:rsid w:val="00E868ED"/>
    <w:rsid w:val="00E870C9"/>
    <w:rsid w:val="00E872FF"/>
    <w:rsid w:val="00E87819"/>
    <w:rsid w:val="00E87CDE"/>
    <w:rsid w:val="00E87D0B"/>
    <w:rsid w:val="00E87D93"/>
    <w:rsid w:val="00E90916"/>
    <w:rsid w:val="00E90C89"/>
    <w:rsid w:val="00E914F0"/>
    <w:rsid w:val="00E91CE0"/>
    <w:rsid w:val="00E92511"/>
    <w:rsid w:val="00E934E1"/>
    <w:rsid w:val="00E9497F"/>
    <w:rsid w:val="00E94B81"/>
    <w:rsid w:val="00E94D3F"/>
    <w:rsid w:val="00E95053"/>
    <w:rsid w:val="00E954D5"/>
    <w:rsid w:val="00E965CB"/>
    <w:rsid w:val="00E9774E"/>
    <w:rsid w:val="00E979B7"/>
    <w:rsid w:val="00E97ACB"/>
    <w:rsid w:val="00EA1959"/>
    <w:rsid w:val="00EA1A2A"/>
    <w:rsid w:val="00EA1A2E"/>
    <w:rsid w:val="00EA1B9A"/>
    <w:rsid w:val="00EA339C"/>
    <w:rsid w:val="00EA343F"/>
    <w:rsid w:val="00EA4039"/>
    <w:rsid w:val="00EA4951"/>
    <w:rsid w:val="00EA4C25"/>
    <w:rsid w:val="00EA51E9"/>
    <w:rsid w:val="00EA5255"/>
    <w:rsid w:val="00EA62C7"/>
    <w:rsid w:val="00EA69C5"/>
    <w:rsid w:val="00EA6CE0"/>
    <w:rsid w:val="00EB1466"/>
    <w:rsid w:val="00EB15F2"/>
    <w:rsid w:val="00EB195F"/>
    <w:rsid w:val="00EB29CD"/>
    <w:rsid w:val="00EB2DC5"/>
    <w:rsid w:val="00EB2F58"/>
    <w:rsid w:val="00EB3440"/>
    <w:rsid w:val="00EB38E2"/>
    <w:rsid w:val="00EB4BE2"/>
    <w:rsid w:val="00EB552A"/>
    <w:rsid w:val="00EB5DDE"/>
    <w:rsid w:val="00EB61F0"/>
    <w:rsid w:val="00EB72FE"/>
    <w:rsid w:val="00EB76BD"/>
    <w:rsid w:val="00EC0087"/>
    <w:rsid w:val="00EC0269"/>
    <w:rsid w:val="00EC0465"/>
    <w:rsid w:val="00EC06FA"/>
    <w:rsid w:val="00EC0778"/>
    <w:rsid w:val="00EC081F"/>
    <w:rsid w:val="00EC0B0A"/>
    <w:rsid w:val="00EC0D9B"/>
    <w:rsid w:val="00EC146E"/>
    <w:rsid w:val="00EC2734"/>
    <w:rsid w:val="00EC2752"/>
    <w:rsid w:val="00EC412E"/>
    <w:rsid w:val="00EC455D"/>
    <w:rsid w:val="00EC4662"/>
    <w:rsid w:val="00EC52F6"/>
    <w:rsid w:val="00EC5F71"/>
    <w:rsid w:val="00EC67B6"/>
    <w:rsid w:val="00EC7BE4"/>
    <w:rsid w:val="00ED08D3"/>
    <w:rsid w:val="00ED0929"/>
    <w:rsid w:val="00ED0DDC"/>
    <w:rsid w:val="00ED10E5"/>
    <w:rsid w:val="00ED11EA"/>
    <w:rsid w:val="00ED2760"/>
    <w:rsid w:val="00ED2A12"/>
    <w:rsid w:val="00ED2F5B"/>
    <w:rsid w:val="00ED3305"/>
    <w:rsid w:val="00ED338B"/>
    <w:rsid w:val="00ED367E"/>
    <w:rsid w:val="00ED416F"/>
    <w:rsid w:val="00ED422F"/>
    <w:rsid w:val="00ED55EB"/>
    <w:rsid w:val="00ED57E5"/>
    <w:rsid w:val="00ED69F6"/>
    <w:rsid w:val="00ED7A6D"/>
    <w:rsid w:val="00ED7A93"/>
    <w:rsid w:val="00EE12F2"/>
    <w:rsid w:val="00EE17E0"/>
    <w:rsid w:val="00EE262C"/>
    <w:rsid w:val="00EE279F"/>
    <w:rsid w:val="00EE2F95"/>
    <w:rsid w:val="00EE410A"/>
    <w:rsid w:val="00EE4FE6"/>
    <w:rsid w:val="00EE4FF1"/>
    <w:rsid w:val="00EE5FCF"/>
    <w:rsid w:val="00EE6B6A"/>
    <w:rsid w:val="00EE6E1A"/>
    <w:rsid w:val="00EE6F20"/>
    <w:rsid w:val="00EE712C"/>
    <w:rsid w:val="00EE7AC4"/>
    <w:rsid w:val="00EF0549"/>
    <w:rsid w:val="00EF0ABC"/>
    <w:rsid w:val="00EF18B4"/>
    <w:rsid w:val="00EF1C71"/>
    <w:rsid w:val="00EF2104"/>
    <w:rsid w:val="00EF22A6"/>
    <w:rsid w:val="00EF2526"/>
    <w:rsid w:val="00EF258D"/>
    <w:rsid w:val="00EF2B54"/>
    <w:rsid w:val="00EF3C5A"/>
    <w:rsid w:val="00EF4022"/>
    <w:rsid w:val="00EF5392"/>
    <w:rsid w:val="00EF716C"/>
    <w:rsid w:val="00EF72C9"/>
    <w:rsid w:val="00EF7E18"/>
    <w:rsid w:val="00F00571"/>
    <w:rsid w:val="00F01388"/>
    <w:rsid w:val="00F0191F"/>
    <w:rsid w:val="00F01F2C"/>
    <w:rsid w:val="00F02457"/>
    <w:rsid w:val="00F02733"/>
    <w:rsid w:val="00F030BC"/>
    <w:rsid w:val="00F0329B"/>
    <w:rsid w:val="00F035A8"/>
    <w:rsid w:val="00F04E90"/>
    <w:rsid w:val="00F05663"/>
    <w:rsid w:val="00F0613B"/>
    <w:rsid w:val="00F06713"/>
    <w:rsid w:val="00F06943"/>
    <w:rsid w:val="00F0771C"/>
    <w:rsid w:val="00F1003D"/>
    <w:rsid w:val="00F101EB"/>
    <w:rsid w:val="00F1045E"/>
    <w:rsid w:val="00F105AC"/>
    <w:rsid w:val="00F106E0"/>
    <w:rsid w:val="00F12442"/>
    <w:rsid w:val="00F12D9D"/>
    <w:rsid w:val="00F1311F"/>
    <w:rsid w:val="00F13205"/>
    <w:rsid w:val="00F13BF8"/>
    <w:rsid w:val="00F1573A"/>
    <w:rsid w:val="00F15895"/>
    <w:rsid w:val="00F163C7"/>
    <w:rsid w:val="00F164F8"/>
    <w:rsid w:val="00F16F59"/>
    <w:rsid w:val="00F171C1"/>
    <w:rsid w:val="00F20EA9"/>
    <w:rsid w:val="00F2160D"/>
    <w:rsid w:val="00F22281"/>
    <w:rsid w:val="00F22BEA"/>
    <w:rsid w:val="00F23C49"/>
    <w:rsid w:val="00F23EFF"/>
    <w:rsid w:val="00F27E1B"/>
    <w:rsid w:val="00F303F8"/>
    <w:rsid w:val="00F30A95"/>
    <w:rsid w:val="00F30C51"/>
    <w:rsid w:val="00F31716"/>
    <w:rsid w:val="00F32105"/>
    <w:rsid w:val="00F32C81"/>
    <w:rsid w:val="00F34BF3"/>
    <w:rsid w:val="00F35331"/>
    <w:rsid w:val="00F364C4"/>
    <w:rsid w:val="00F3692A"/>
    <w:rsid w:val="00F36941"/>
    <w:rsid w:val="00F37A53"/>
    <w:rsid w:val="00F4187F"/>
    <w:rsid w:val="00F41D51"/>
    <w:rsid w:val="00F42C75"/>
    <w:rsid w:val="00F431D4"/>
    <w:rsid w:val="00F44D18"/>
    <w:rsid w:val="00F44D25"/>
    <w:rsid w:val="00F45319"/>
    <w:rsid w:val="00F45974"/>
    <w:rsid w:val="00F46DE6"/>
    <w:rsid w:val="00F46EFA"/>
    <w:rsid w:val="00F507CC"/>
    <w:rsid w:val="00F510D8"/>
    <w:rsid w:val="00F513F3"/>
    <w:rsid w:val="00F516C5"/>
    <w:rsid w:val="00F52AE8"/>
    <w:rsid w:val="00F52D09"/>
    <w:rsid w:val="00F52DC0"/>
    <w:rsid w:val="00F53862"/>
    <w:rsid w:val="00F542F2"/>
    <w:rsid w:val="00F55BAC"/>
    <w:rsid w:val="00F55C27"/>
    <w:rsid w:val="00F561EF"/>
    <w:rsid w:val="00F5725C"/>
    <w:rsid w:val="00F57ACA"/>
    <w:rsid w:val="00F60690"/>
    <w:rsid w:val="00F60848"/>
    <w:rsid w:val="00F60AA3"/>
    <w:rsid w:val="00F635AC"/>
    <w:rsid w:val="00F6530F"/>
    <w:rsid w:val="00F655BF"/>
    <w:rsid w:val="00F65CF8"/>
    <w:rsid w:val="00F666F2"/>
    <w:rsid w:val="00F6712D"/>
    <w:rsid w:val="00F673CA"/>
    <w:rsid w:val="00F677F6"/>
    <w:rsid w:val="00F70660"/>
    <w:rsid w:val="00F71B8A"/>
    <w:rsid w:val="00F72D77"/>
    <w:rsid w:val="00F73862"/>
    <w:rsid w:val="00F73EF1"/>
    <w:rsid w:val="00F74992"/>
    <w:rsid w:val="00F74D5D"/>
    <w:rsid w:val="00F74EED"/>
    <w:rsid w:val="00F75D50"/>
    <w:rsid w:val="00F7614C"/>
    <w:rsid w:val="00F762EA"/>
    <w:rsid w:val="00F77842"/>
    <w:rsid w:val="00F778DD"/>
    <w:rsid w:val="00F77A28"/>
    <w:rsid w:val="00F77B7E"/>
    <w:rsid w:val="00F80C50"/>
    <w:rsid w:val="00F8121E"/>
    <w:rsid w:val="00F81E79"/>
    <w:rsid w:val="00F81F22"/>
    <w:rsid w:val="00F82FF3"/>
    <w:rsid w:val="00F84CED"/>
    <w:rsid w:val="00F8584F"/>
    <w:rsid w:val="00F85AFC"/>
    <w:rsid w:val="00F85F0C"/>
    <w:rsid w:val="00F860C5"/>
    <w:rsid w:val="00F86FFB"/>
    <w:rsid w:val="00F872E7"/>
    <w:rsid w:val="00F87A43"/>
    <w:rsid w:val="00F87D40"/>
    <w:rsid w:val="00F908EB"/>
    <w:rsid w:val="00F90B70"/>
    <w:rsid w:val="00F91F66"/>
    <w:rsid w:val="00F92BF4"/>
    <w:rsid w:val="00F92F63"/>
    <w:rsid w:val="00F93B24"/>
    <w:rsid w:val="00F95A59"/>
    <w:rsid w:val="00F9612F"/>
    <w:rsid w:val="00F97C2C"/>
    <w:rsid w:val="00FA0438"/>
    <w:rsid w:val="00FA1528"/>
    <w:rsid w:val="00FA17D0"/>
    <w:rsid w:val="00FA1C4B"/>
    <w:rsid w:val="00FA228C"/>
    <w:rsid w:val="00FA2942"/>
    <w:rsid w:val="00FA2CCC"/>
    <w:rsid w:val="00FA51B5"/>
    <w:rsid w:val="00FA53C4"/>
    <w:rsid w:val="00FA56DE"/>
    <w:rsid w:val="00FA57B3"/>
    <w:rsid w:val="00FA5C4B"/>
    <w:rsid w:val="00FA6C3C"/>
    <w:rsid w:val="00FA6E7D"/>
    <w:rsid w:val="00FA6F01"/>
    <w:rsid w:val="00FA7095"/>
    <w:rsid w:val="00FB055C"/>
    <w:rsid w:val="00FB0682"/>
    <w:rsid w:val="00FB06CE"/>
    <w:rsid w:val="00FB089C"/>
    <w:rsid w:val="00FB0F17"/>
    <w:rsid w:val="00FB127A"/>
    <w:rsid w:val="00FB160A"/>
    <w:rsid w:val="00FB1A70"/>
    <w:rsid w:val="00FB1AA6"/>
    <w:rsid w:val="00FB2403"/>
    <w:rsid w:val="00FB26E4"/>
    <w:rsid w:val="00FB2B22"/>
    <w:rsid w:val="00FB4158"/>
    <w:rsid w:val="00FB4564"/>
    <w:rsid w:val="00FB4993"/>
    <w:rsid w:val="00FB5070"/>
    <w:rsid w:val="00FB53C4"/>
    <w:rsid w:val="00FB6063"/>
    <w:rsid w:val="00FB6096"/>
    <w:rsid w:val="00FB65E0"/>
    <w:rsid w:val="00FB6607"/>
    <w:rsid w:val="00FB6BEC"/>
    <w:rsid w:val="00FB6D39"/>
    <w:rsid w:val="00FB7C9B"/>
    <w:rsid w:val="00FC0424"/>
    <w:rsid w:val="00FC045E"/>
    <w:rsid w:val="00FC0EA2"/>
    <w:rsid w:val="00FC0F88"/>
    <w:rsid w:val="00FC2362"/>
    <w:rsid w:val="00FC2815"/>
    <w:rsid w:val="00FC4D43"/>
    <w:rsid w:val="00FC5B55"/>
    <w:rsid w:val="00FC6663"/>
    <w:rsid w:val="00FC6C8C"/>
    <w:rsid w:val="00FC7EEC"/>
    <w:rsid w:val="00FD0DED"/>
    <w:rsid w:val="00FD17F8"/>
    <w:rsid w:val="00FD1953"/>
    <w:rsid w:val="00FD1B22"/>
    <w:rsid w:val="00FD1C6B"/>
    <w:rsid w:val="00FD2288"/>
    <w:rsid w:val="00FD2E8D"/>
    <w:rsid w:val="00FD47CD"/>
    <w:rsid w:val="00FD48C6"/>
    <w:rsid w:val="00FD6317"/>
    <w:rsid w:val="00FD6453"/>
    <w:rsid w:val="00FD715B"/>
    <w:rsid w:val="00FD7994"/>
    <w:rsid w:val="00FD7B02"/>
    <w:rsid w:val="00FD7F47"/>
    <w:rsid w:val="00FE0B61"/>
    <w:rsid w:val="00FE0E2E"/>
    <w:rsid w:val="00FE0EE9"/>
    <w:rsid w:val="00FE24FA"/>
    <w:rsid w:val="00FE2B46"/>
    <w:rsid w:val="00FE2C0A"/>
    <w:rsid w:val="00FE2FCC"/>
    <w:rsid w:val="00FE3209"/>
    <w:rsid w:val="00FE3A1E"/>
    <w:rsid w:val="00FE3D6B"/>
    <w:rsid w:val="00FE4778"/>
    <w:rsid w:val="00FE4F16"/>
    <w:rsid w:val="00FE60EE"/>
    <w:rsid w:val="00FE615A"/>
    <w:rsid w:val="00FE61D3"/>
    <w:rsid w:val="00FE6B4D"/>
    <w:rsid w:val="00FE6BBD"/>
    <w:rsid w:val="00FE6D7D"/>
    <w:rsid w:val="00FE6E41"/>
    <w:rsid w:val="00FF0628"/>
    <w:rsid w:val="00FF2788"/>
    <w:rsid w:val="00FF4ED2"/>
    <w:rsid w:val="00FF5C56"/>
    <w:rsid w:val="00FF5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28"/>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wipo.int/meetings/fr/doc_details.jsp?doc_id=552483" TargetMode="External"/><Relationship Id="rId42" Type="http://schemas.openxmlformats.org/officeDocument/2006/relationships/footer" Target="footer5.xml"/><Relationship Id="rId47" Type="http://schemas.openxmlformats.org/officeDocument/2006/relationships/hyperlink" Target="https://www.wipo.int/export/sites/www/about-wipo/en/budget/pdf/strategy-house-w-sdgs-and-figures-pwb2022-23.pdf" TargetMode="External"/><Relationship Id="rId63" Type="http://schemas.openxmlformats.org/officeDocument/2006/relationships/hyperlink" Target="https://www.wipo.int/ip-development/fr/agenda/recommendations.html" TargetMode="External"/><Relationship Id="rId68" Type="http://schemas.openxmlformats.org/officeDocument/2006/relationships/hyperlink" Target="https://www.wipo.int/edocs/pubdocs/en/wipo_pub_1063.pdf" TargetMode="External"/><Relationship Id="rId84" Type="http://schemas.openxmlformats.org/officeDocument/2006/relationships/header" Target="header18.xml"/><Relationship Id="rId89" Type="http://schemas.openxmlformats.org/officeDocument/2006/relationships/header" Target="header20.xml"/><Relationship Id="rId16" Type="http://schemas.openxmlformats.org/officeDocument/2006/relationships/hyperlink" Target="https://www.wipo.int/meetings/fr/doc_details.jsp?doc_id=552082" TargetMode="External"/><Relationship Id="rId11" Type="http://schemas.openxmlformats.org/officeDocument/2006/relationships/hyperlink" Target="https://www.wipo.int/meetings/fr/doc_details.jsp?doc_id=406377" TargetMode="External"/><Relationship Id="rId32" Type="http://schemas.openxmlformats.org/officeDocument/2006/relationships/header" Target="header4.xml"/><Relationship Id="rId37" Type="http://schemas.openxmlformats.org/officeDocument/2006/relationships/hyperlink" Target="https://www.wipo.int/collective-marks/fr/index.html" TargetMode="External"/><Relationship Id="rId53" Type="http://schemas.openxmlformats.org/officeDocument/2006/relationships/hyperlink" Target="https://www.wipo.int/meetings/fr/doc_details.jsp?doc_id=538652" TargetMode="External"/><Relationship Id="rId58" Type="http://schemas.openxmlformats.org/officeDocument/2006/relationships/hyperlink" Target="https://www.wipo.int/ip-development/fr/agenda/recommendations.html" TargetMode="External"/><Relationship Id="rId74" Type="http://schemas.openxmlformats.org/officeDocument/2006/relationships/hyperlink" Target="https://www.wipo.int/export/sites/www/about-wipo/en/budget/pdf/strategy-house-w-sdgs-and-figures-pwb2022-23.pdf" TargetMode="External"/><Relationship Id="rId79" Type="http://schemas.openxmlformats.org/officeDocument/2006/relationships/header" Target="header17.xml"/><Relationship Id="rId5" Type="http://schemas.openxmlformats.org/officeDocument/2006/relationships/webSettings" Target="webSettings.xml"/><Relationship Id="rId90" Type="http://schemas.openxmlformats.org/officeDocument/2006/relationships/header" Target="header21.xml"/><Relationship Id="rId95" Type="http://schemas.openxmlformats.org/officeDocument/2006/relationships/header" Target="header22.xml"/><Relationship Id="rId22" Type="http://schemas.openxmlformats.org/officeDocument/2006/relationships/hyperlink" Target="https://dacatalogue.wipo.int/projects/DA_01_05_01" TargetMode="External"/><Relationship Id="rId27" Type="http://schemas.openxmlformats.org/officeDocument/2006/relationships/header" Target="header3.xml"/><Relationship Id="rId43" Type="http://schemas.openxmlformats.org/officeDocument/2006/relationships/header" Target="header8.xml"/><Relationship Id="rId48" Type="http://schemas.openxmlformats.org/officeDocument/2006/relationships/hyperlink" Target="https://www.wipo.int/publications/fr/details.jsp?id=4545" TargetMode="External"/><Relationship Id="rId64" Type="http://schemas.openxmlformats.org/officeDocument/2006/relationships/hyperlink" Target="https://www.wipo.int/meetings/en/doc_details.jsp?doc_id=329197" TargetMode="External"/><Relationship Id="rId69" Type="http://schemas.openxmlformats.org/officeDocument/2006/relationships/hyperlink" Target="https://www.wipo.int/edocs/pubdocs/en/wipo_pub_1063.pdf" TargetMode="External"/><Relationship Id="rId80" Type="http://schemas.openxmlformats.org/officeDocument/2006/relationships/footer" Target="footer9.xml"/><Relationship Id="rId85" Type="http://schemas.openxmlformats.org/officeDocument/2006/relationships/header" Target="header19.xml"/><Relationship Id="rId3" Type="http://schemas.openxmlformats.org/officeDocument/2006/relationships/styles" Target="styles.xml"/><Relationship Id="rId12" Type="http://schemas.openxmlformats.org/officeDocument/2006/relationships/hyperlink" Target="https://www.wipo.int/meetings/en/doc_details.jsp?doc_id=421771" TargetMode="External"/><Relationship Id="rId17" Type="http://schemas.openxmlformats.org/officeDocument/2006/relationships/hyperlink" Target="https://www.wipo.int/meetings/fr/doc_details.jsp?doc_id=432072" TargetMode="Externa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hyperlink" Target="https://www.wipo.int/meetings/fr/doc_details.jsp?doc_id=538652" TargetMode="External"/><Relationship Id="rId46" Type="http://schemas.openxmlformats.org/officeDocument/2006/relationships/hyperlink" Target="https://www.wipo.int/ip-development/fr/agenda/recommendations.html" TargetMode="External"/><Relationship Id="rId59" Type="http://schemas.openxmlformats.org/officeDocument/2006/relationships/hyperlink" Target="https://www.wipo.int/export/sites/www/about-wipo/en/budget/pdf/strategy-house-w-sdgs-and-figures-pwb2022-23.pdf" TargetMode="External"/><Relationship Id="rId67" Type="http://schemas.openxmlformats.org/officeDocument/2006/relationships/hyperlink" Target="https://www.wipo.int/edocs/pubdocs/en/wipo_pub_1062.pdf" TargetMode="External"/><Relationship Id="rId20" Type="http://schemas.openxmlformats.org/officeDocument/2006/relationships/hyperlink" Target="https://www.wipo.int/meetings/fr/doc_details.jsp?doc_id=552483" TargetMode="External"/><Relationship Id="rId41" Type="http://schemas.openxmlformats.org/officeDocument/2006/relationships/footer" Target="footer4.xml"/><Relationship Id="rId54" Type="http://schemas.openxmlformats.org/officeDocument/2006/relationships/header" Target="header9.xml"/><Relationship Id="rId62" Type="http://schemas.openxmlformats.org/officeDocument/2006/relationships/hyperlink" Target="https://www.wipo.int/meetings/en/doc_details.jsp?doc_id=552082" TargetMode="External"/><Relationship Id="rId70" Type="http://schemas.openxmlformats.org/officeDocument/2006/relationships/header" Target="header13.xml"/><Relationship Id="rId75" Type="http://schemas.openxmlformats.org/officeDocument/2006/relationships/header" Target="header15.xml"/><Relationship Id="rId83" Type="http://schemas.openxmlformats.org/officeDocument/2006/relationships/hyperlink" Target="https://www.wipo.int/export/sites/www/about-wipo/en/budget/pdf/strategy-house-w-sdgs-and-figures-pwb2022-23.pdf" TargetMode="External"/><Relationship Id="rId88" Type="http://schemas.openxmlformats.org/officeDocument/2006/relationships/hyperlink" Target="file:///\\wipogvafs01\MARKS\OrgDacd\Shared\CDIP%2520Meetings\CDIP_29th_Session_October%252017-21,%25202022\Documents\CDIP_29_2_Progress%2520Reports\CDIP_29_2_Progreshttps:\www.wipo.int\export\sites\www\about-wipo\en\budget\pdf\strategy-house-w-sdgs-and-figures-pwb2022-23.pdfs%2520Report_45Recs.docx" TargetMode="External"/><Relationship Id="rId91" Type="http://schemas.openxmlformats.org/officeDocument/2006/relationships/hyperlink" Target="https://www.wipo.int/meetings/fr/doc_details.jsp?doc_id=552483" TargetMode="External"/><Relationship Id="rId96"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fr/doc_details.jsp?doc_id=421371"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wipo.int/export/sites/www/about-wipo/fr/budget/pdf/strategy-house-w-sdgs-and-figures-pwb2022-23.pdf" TargetMode="External"/><Relationship Id="rId49" Type="http://schemas.openxmlformats.org/officeDocument/2006/relationships/hyperlink" Target="https://www.wipo.int/meetings/fr/doc_details.jsp?doc_id=571475" TargetMode="External"/><Relationship Id="rId57" Type="http://schemas.openxmlformats.org/officeDocument/2006/relationships/hyperlink" Target="https://www.wipo.int/meetings/fr/doc_details.jsp?doc_id=421371" TargetMode="External"/><Relationship Id="rId10" Type="http://schemas.openxmlformats.org/officeDocument/2006/relationships/hyperlink" Target="https://www.wipo.int/meetings/fr/doc_details.jsp?doc_id=456923" TargetMode="External"/><Relationship Id="rId31" Type="http://schemas.openxmlformats.org/officeDocument/2006/relationships/hyperlink" Target="https://www.wipo.int/export/sites/www/about-wipo/fr/budget/pdf/strategy-house-w-sdgs-and-figures-pwb2022-23.pdf" TargetMode="External"/><Relationship Id="rId44" Type="http://schemas.openxmlformats.org/officeDocument/2006/relationships/footer" Target="footer6.xml"/><Relationship Id="rId52" Type="http://schemas.openxmlformats.org/officeDocument/2006/relationships/hyperlink" Target="https://www.wipo.int/meetings/fr/doc_details.jsp?doc_id=453432" TargetMode="External"/><Relationship Id="rId60" Type="http://schemas.openxmlformats.org/officeDocument/2006/relationships/header" Target="header11.xml"/><Relationship Id="rId65" Type="http://schemas.openxmlformats.org/officeDocument/2006/relationships/hyperlink" Target="https://www.wipo.int/export/sites/www/about-wipo/en/budget/pdf/strategy-house-w-sdgs-and-figures-pwb2022-23.pdf" TargetMode="External"/><Relationship Id="rId73" Type="http://schemas.openxmlformats.org/officeDocument/2006/relationships/hyperlink" Target="https://www.wipo.int/ip-development/fr/agenda/recommendations.html" TargetMode="External"/><Relationship Id="rId78" Type="http://schemas.openxmlformats.org/officeDocument/2006/relationships/footer" Target="footer8.xml"/><Relationship Id="rId81" Type="http://schemas.openxmlformats.org/officeDocument/2006/relationships/hyperlink" Target="https://www.wipo.int/meetings/fr/doc_details.jsp?doc_id=537938" TargetMode="External"/><Relationship Id="rId86" Type="http://schemas.openxmlformats.org/officeDocument/2006/relationships/hyperlink" Target="https://www.wipo.int/meetings/fr/doc_details.jsp?doc_id=539054" TargetMode="External"/><Relationship Id="rId94" Type="http://schemas.openxmlformats.org/officeDocument/2006/relationships/hyperlink" Target="https://www.wipo.int/export/sites/www/about-wipo/en/budget/pdf/strategy-house-w-sdgs-and-figures-pwb2022-23.pdf"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fr/doc_details.jsp?doc_id=421771" TargetMode="External"/><Relationship Id="rId13" Type="http://schemas.openxmlformats.org/officeDocument/2006/relationships/hyperlink" Target="https://www.wipo.int/meetings/fr/doc_details.jsp?doc_id=421371" TargetMode="External"/><Relationship Id="rId18" Type="http://schemas.openxmlformats.org/officeDocument/2006/relationships/hyperlink" Target="https://www.wipo.int/meetings/fr/doc_details.jsp?doc_id=537938" TargetMode="External"/><Relationship Id="rId39" Type="http://schemas.openxmlformats.org/officeDocument/2006/relationships/header" Target="header6.xml"/><Relationship Id="rId34" Type="http://schemas.openxmlformats.org/officeDocument/2006/relationships/hyperlink" Target="https://www.wipo.int/meetings/fr/doc_details.jsp?doc_id=456923" TargetMode="External"/><Relationship Id="rId50" Type="http://schemas.openxmlformats.org/officeDocument/2006/relationships/hyperlink" Target="https://www.wipo.int/sme/en/enterprising-ideas/" TargetMode="External"/><Relationship Id="rId55" Type="http://schemas.openxmlformats.org/officeDocument/2006/relationships/header" Target="header10.xml"/><Relationship Id="rId76" Type="http://schemas.openxmlformats.org/officeDocument/2006/relationships/header" Target="header16.xml"/><Relationship Id="rId97" Type="http://schemas.openxmlformats.org/officeDocument/2006/relationships/header" Target="header24.xml"/><Relationship Id="rId7" Type="http://schemas.openxmlformats.org/officeDocument/2006/relationships/endnotes" Target="endnotes.xml"/><Relationship Id="rId71" Type="http://schemas.openxmlformats.org/officeDocument/2006/relationships/header" Target="header14.xml"/><Relationship Id="rId92" Type="http://schemas.openxmlformats.org/officeDocument/2006/relationships/hyperlink" Target="https://www.wipo.int/meetings/fr/doc_details.jsp?doc_id=552483" TargetMode="External"/><Relationship Id="rId2" Type="http://schemas.openxmlformats.org/officeDocument/2006/relationships/numbering" Target="numbering.xml"/><Relationship Id="rId29" Type="http://schemas.openxmlformats.org/officeDocument/2006/relationships/hyperlink" Target="https://www.wipo.int/meetings/fr/doc_details.jsp?doc_id=421771" TargetMode="External"/><Relationship Id="rId24" Type="http://schemas.openxmlformats.org/officeDocument/2006/relationships/header" Target="header2.xml"/><Relationship Id="rId40" Type="http://schemas.openxmlformats.org/officeDocument/2006/relationships/header" Target="header7.xml"/><Relationship Id="rId45" Type="http://schemas.openxmlformats.org/officeDocument/2006/relationships/hyperlink" Target="https://dacatalogue.wipo.int/projects/DA_1_10_12_23_25_31_40_01" TargetMode="External"/><Relationship Id="rId66" Type="http://schemas.openxmlformats.org/officeDocument/2006/relationships/hyperlink" Target="https://www.wipo.int/edocs/pubdocs/en/wipo_pub_1062.pdf" TargetMode="External"/><Relationship Id="rId87" Type="http://schemas.openxmlformats.org/officeDocument/2006/relationships/hyperlink" Target="https://www.wipo.int/ip-development/fr/agenda/recommendations.html" TargetMode="External"/><Relationship Id="rId61" Type="http://schemas.openxmlformats.org/officeDocument/2006/relationships/header" Target="header12.xml"/><Relationship Id="rId82" Type="http://schemas.openxmlformats.org/officeDocument/2006/relationships/hyperlink" Target="https://www.wipo.int/ip-development/fr/agenda/recommendations.html" TargetMode="External"/><Relationship Id="rId19" Type="http://schemas.openxmlformats.org/officeDocument/2006/relationships/hyperlink" Target="https://www.wipo.int/meetings/fr/doc_details.jsp?doc_id=539054" TargetMode="External"/><Relationship Id="rId14" Type="http://schemas.openxmlformats.org/officeDocument/2006/relationships/hyperlink" Target="https://www.wipo.int/meetings/en/doc_details.jsp?doc_id=421771" TargetMode="External"/><Relationship Id="rId30" Type="http://schemas.openxmlformats.org/officeDocument/2006/relationships/hyperlink" Target="https://www.wipo.int/ip-development/fr/agenda/recommendations.html" TargetMode="External"/><Relationship Id="rId35" Type="http://schemas.openxmlformats.org/officeDocument/2006/relationships/hyperlink" Target="https://www.wipo.int/ip-development/fr/agenda/recommendations.html" TargetMode="External"/><Relationship Id="rId56" Type="http://schemas.openxmlformats.org/officeDocument/2006/relationships/hyperlink" Target="https://www.wipo.int/meetings/en/doc_details.jsp?doc_id=421771" TargetMode="External"/><Relationship Id="rId77" Type="http://schemas.openxmlformats.org/officeDocument/2006/relationships/footer" Target="footer7.xm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wipo.int/meetings/fr/doc_details.jsp?doc_id=571474" TargetMode="External"/><Relationship Id="rId72" Type="http://schemas.openxmlformats.org/officeDocument/2006/relationships/hyperlink" Target="https://www.wipo.int/meetings/en/doc_details.jsp?doc_id=432072" TargetMode="External"/><Relationship Id="rId93" Type="http://schemas.openxmlformats.org/officeDocument/2006/relationships/hyperlink" Target="https://www.wipo.int/ip-development/fr/agenda/recommendations.html" TargetMode="External"/><Relationship Id="rId9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4381-0636-499A-A472-A07570B7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19389</Words>
  <Characters>108907</Characters>
  <Application>Microsoft Office Word</Application>
  <DocSecurity>0</DocSecurity>
  <Lines>4743</Lines>
  <Paragraphs>1288</Paragraphs>
  <ScaleCrop>false</ScaleCrop>
  <HeadingPairs>
    <vt:vector size="2" baseType="variant">
      <vt:variant>
        <vt:lpstr>Title</vt:lpstr>
      </vt:variant>
      <vt:variant>
        <vt:i4>1</vt:i4>
      </vt:variant>
    </vt:vector>
  </HeadingPairs>
  <TitlesOfParts>
    <vt:vector size="1" baseType="lpstr">
      <vt:lpstr>CDIP/24/2</vt:lpstr>
    </vt:vector>
  </TitlesOfParts>
  <Company>World Intellectual Property Organization</Company>
  <LinksUpToDate>false</LinksUpToDate>
  <CharactersWithSpaces>127384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subject>Wipo Templates</dc:subject>
  <dc:creator>CERBARI Mihaela</dc:creator>
  <cp:keywords>FOR OFFICIAL USE ONLY</cp:keywords>
  <cp:lastModifiedBy>CERBARI Mihaela</cp:lastModifiedBy>
  <cp:revision>4</cp:revision>
  <cp:lastPrinted>2022-10-07T08:12:00Z</cp:lastPrinted>
  <dcterms:created xsi:type="dcterms:W3CDTF">2022-10-07T08:12:00Z</dcterms:created>
  <dcterms:modified xsi:type="dcterms:W3CDTF">2022-10-07T08:13:00Z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126b70d3-664b-4528-a161-9aeeec63a14b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