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7C6F2C">
      <w:pPr>
        <w:pBdr>
          <w:bottom w:val="single" w:sz="4" w:space="11" w:color="auto"/>
        </w:pBdr>
        <w:spacing w:after="120"/>
        <w:jc w:val="right"/>
      </w:pPr>
      <w:r>
        <w:rPr>
          <w:noProof/>
          <w:lang w:eastAsia="fr-CH"/>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Default="00800ECC" w:rsidP="0040540C">
      <w:pPr>
        <w:jc w:val="right"/>
        <w:rPr>
          <w:rFonts w:ascii="Arial Black" w:hAnsi="Arial Black"/>
          <w:caps/>
          <w:sz w:val="15"/>
        </w:rPr>
      </w:pPr>
      <w:r w:rsidRPr="00B31DEE">
        <w:rPr>
          <w:rFonts w:ascii="Arial Black" w:hAnsi="Arial Black"/>
          <w:caps/>
          <w:sz w:val="15"/>
          <w:lang w:val="fr-FR"/>
        </w:rPr>
        <w:t>CDIP/</w:t>
      </w:r>
      <w:r w:rsidR="007C6F2C">
        <w:rPr>
          <w:rFonts w:ascii="Arial Black" w:hAnsi="Arial Black"/>
          <w:caps/>
          <w:sz w:val="15"/>
          <w:lang w:val="fr-FR"/>
        </w:rPr>
        <w:t>2</w:t>
      </w:r>
      <w:r w:rsidR="00274EE0">
        <w:rPr>
          <w:rFonts w:ascii="Arial Black" w:hAnsi="Arial Black"/>
          <w:caps/>
          <w:sz w:val="15"/>
          <w:lang w:val="fr-FR"/>
        </w:rPr>
        <w:t>8</w:t>
      </w:r>
      <w:r w:rsidRPr="00B31DEE">
        <w:rPr>
          <w:rFonts w:ascii="Arial Black" w:hAnsi="Arial Black"/>
          <w:caps/>
          <w:sz w:val="15"/>
          <w:lang w:val="fr-FR"/>
        </w:rPr>
        <w:t>/</w:t>
      </w:r>
      <w:bookmarkStart w:id="0" w:name="Code"/>
      <w:bookmarkEnd w:id="0"/>
      <w:r w:rsidR="00617960">
        <w:rPr>
          <w:rFonts w:ascii="Arial Black" w:hAnsi="Arial Black"/>
          <w:caps/>
          <w:sz w:val="15"/>
          <w:lang w:val="fr-FR"/>
        </w:rPr>
        <w:t>INF/5</w:t>
      </w:r>
    </w:p>
    <w:p w:rsidR="008B2CC1" w:rsidRPr="0040540C" w:rsidRDefault="00B1090C" w:rsidP="0040540C">
      <w:pPr>
        <w:jc w:val="right"/>
      </w:pPr>
      <w:r w:rsidRPr="0090731E">
        <w:rPr>
          <w:rFonts w:ascii="Arial Black" w:hAnsi="Arial Black"/>
          <w:caps/>
          <w:sz w:val="15"/>
        </w:rPr>
        <w:t>ORIGINAL</w:t>
      </w:r>
      <w:r w:rsidR="00526A3B">
        <w:rPr>
          <w:rFonts w:ascii="Arial Black" w:hAnsi="Arial Black"/>
          <w:caps/>
          <w:sz w:val="15"/>
        </w:rPr>
        <w:t> :</w:t>
      </w:r>
      <w:bookmarkStart w:id="1" w:name="Original"/>
      <w:r w:rsidR="00617960">
        <w:rPr>
          <w:rFonts w:ascii="Arial Black" w:hAnsi="Arial Black"/>
          <w:caps/>
          <w:sz w:val="15"/>
        </w:rPr>
        <w:t xml:space="preserve"> anglais</w:t>
      </w:r>
    </w:p>
    <w:bookmarkEnd w:id="1"/>
    <w:p w:rsidR="008B2CC1" w:rsidRPr="0040540C" w:rsidRDefault="00B1090C" w:rsidP="00B1090C">
      <w:pPr>
        <w:spacing w:after="1200"/>
        <w:jc w:val="right"/>
      </w:pPr>
      <w:r w:rsidRPr="0090731E">
        <w:rPr>
          <w:rFonts w:ascii="Arial Black" w:hAnsi="Arial Black"/>
          <w:caps/>
          <w:sz w:val="15"/>
        </w:rPr>
        <w:t>DATE</w:t>
      </w:r>
      <w:r w:rsidR="00526A3B">
        <w:rPr>
          <w:rFonts w:ascii="Arial Black" w:hAnsi="Arial Black"/>
          <w:caps/>
          <w:sz w:val="15"/>
        </w:rPr>
        <w:t> :</w:t>
      </w:r>
      <w:bookmarkStart w:id="2" w:name="Date"/>
      <w:r>
        <w:rPr>
          <w:rFonts w:ascii="Arial Black" w:hAnsi="Arial Black"/>
          <w:caps/>
          <w:sz w:val="15"/>
        </w:rPr>
        <w:t xml:space="preserve"> </w:t>
      </w:r>
      <w:r w:rsidR="00617960">
        <w:rPr>
          <w:rFonts w:ascii="Arial Black" w:hAnsi="Arial Black"/>
          <w:caps/>
          <w:sz w:val="15"/>
        </w:rPr>
        <w:t>19 avril 2022</w:t>
      </w:r>
    </w:p>
    <w:bookmarkEnd w:id="2"/>
    <w:p w:rsidR="003845C1" w:rsidRPr="00D70184" w:rsidRDefault="00800ECC" w:rsidP="00D70184">
      <w:pPr>
        <w:spacing w:after="600"/>
        <w:rPr>
          <w:b/>
          <w:sz w:val="28"/>
        </w:rPr>
      </w:pPr>
      <w:r w:rsidRPr="00D70184">
        <w:rPr>
          <w:b/>
          <w:sz w:val="28"/>
          <w:lang w:val="fr-FR"/>
        </w:rPr>
        <w:t>Comité du développement et de la propriété intellectuelle (CDIP)</w:t>
      </w:r>
    </w:p>
    <w:p w:rsidR="007C6F2C" w:rsidRDefault="00274EE0" w:rsidP="007C6F2C">
      <w:pPr>
        <w:spacing w:after="720"/>
        <w:outlineLvl w:val="1"/>
        <w:rPr>
          <w:b/>
          <w:sz w:val="24"/>
          <w:szCs w:val="24"/>
        </w:rPr>
      </w:pPr>
      <w:r>
        <w:rPr>
          <w:b/>
          <w:sz w:val="24"/>
          <w:szCs w:val="24"/>
          <w:lang w:val="fr-FR"/>
        </w:rPr>
        <w:t>V</w:t>
      </w:r>
      <w:r w:rsidRPr="003112C8">
        <w:rPr>
          <w:b/>
          <w:sz w:val="24"/>
          <w:szCs w:val="24"/>
          <w:lang w:val="fr-FR"/>
        </w:rPr>
        <w:t>ingt</w:t>
      </w:r>
      <w:r w:rsidR="00C87523">
        <w:rPr>
          <w:b/>
          <w:sz w:val="24"/>
          <w:szCs w:val="24"/>
          <w:lang w:val="fr-FR"/>
        </w:rPr>
        <w:noBreakHyphen/>
      </w:r>
      <w:r w:rsidRPr="003112C8">
        <w:rPr>
          <w:b/>
          <w:sz w:val="24"/>
          <w:szCs w:val="24"/>
          <w:lang w:val="fr-FR"/>
        </w:rPr>
        <w:t>huit</w:t>
      </w:r>
      <w:r w:rsidR="00526A3B">
        <w:rPr>
          <w:b/>
          <w:sz w:val="24"/>
          <w:szCs w:val="24"/>
          <w:lang w:val="fr-FR"/>
        </w:rPr>
        <w:t>ième session</w:t>
      </w:r>
      <w:r w:rsidR="007C6F2C">
        <w:rPr>
          <w:b/>
          <w:sz w:val="24"/>
          <w:szCs w:val="24"/>
        </w:rPr>
        <w:br/>
      </w:r>
      <w:r>
        <w:rPr>
          <w:b/>
          <w:sz w:val="24"/>
          <w:szCs w:val="24"/>
          <w:lang w:val="fr-FR"/>
        </w:rPr>
        <w:t xml:space="preserve">Genève, </w:t>
      </w:r>
      <w:r>
        <w:rPr>
          <w:b/>
          <w:bCs/>
          <w:sz w:val="24"/>
          <w:szCs w:val="24"/>
        </w:rPr>
        <w:t xml:space="preserve">16 </w:t>
      </w:r>
      <w:r w:rsidRPr="003112C8">
        <w:rPr>
          <w:b/>
          <w:sz w:val="24"/>
          <w:szCs w:val="24"/>
          <w:lang w:val="fr-FR"/>
        </w:rPr>
        <w:t>–</w:t>
      </w:r>
      <w:r>
        <w:rPr>
          <w:b/>
          <w:bCs/>
          <w:sz w:val="24"/>
          <w:szCs w:val="24"/>
        </w:rPr>
        <w:t xml:space="preserve"> 2</w:t>
      </w:r>
      <w:r w:rsidR="004C21E8">
        <w:rPr>
          <w:b/>
          <w:bCs/>
          <w:sz w:val="24"/>
          <w:szCs w:val="24"/>
        </w:rPr>
        <w:t>0 mai 20</w:t>
      </w:r>
      <w:r>
        <w:rPr>
          <w:b/>
          <w:bCs/>
          <w:sz w:val="24"/>
          <w:szCs w:val="24"/>
        </w:rPr>
        <w:t>22</w:t>
      </w:r>
    </w:p>
    <w:p w:rsidR="008B2CC1" w:rsidRPr="003845C1" w:rsidRDefault="00617960" w:rsidP="00104CEB">
      <w:pPr>
        <w:spacing w:after="360"/>
        <w:outlineLvl w:val="1"/>
        <w:rPr>
          <w:caps/>
          <w:sz w:val="24"/>
        </w:rPr>
      </w:pPr>
      <w:bookmarkStart w:id="3" w:name="TitleOfDoc"/>
      <w:bookmarkEnd w:id="3"/>
      <w:r>
        <w:rPr>
          <w:caps/>
          <w:sz w:val="24"/>
        </w:rPr>
        <w:t>Résumé de la boîte à outils de propriété intellectuelle pour les concepteurs d</w:t>
      </w:r>
      <w:r w:rsidR="00526A3B">
        <w:rPr>
          <w:caps/>
          <w:sz w:val="24"/>
        </w:rPr>
        <w:t>’</w:t>
      </w:r>
      <w:r>
        <w:rPr>
          <w:caps/>
          <w:sz w:val="24"/>
        </w:rPr>
        <w:t>applications mobiles</w:t>
      </w:r>
    </w:p>
    <w:p w:rsidR="008B2CC1" w:rsidRPr="00104CEB" w:rsidRDefault="00617960" w:rsidP="00104CEB">
      <w:pPr>
        <w:spacing w:after="960"/>
        <w:rPr>
          <w:i/>
        </w:rPr>
      </w:pPr>
      <w:bookmarkStart w:id="4" w:name="Prepared"/>
      <w:bookmarkEnd w:id="4"/>
      <w:proofErr w:type="gramStart"/>
      <w:r>
        <w:rPr>
          <w:i/>
        </w:rPr>
        <w:t>établi</w:t>
      </w:r>
      <w:proofErr w:type="gramEnd"/>
      <w:r>
        <w:rPr>
          <w:i/>
        </w:rPr>
        <w:t xml:space="preserve"> par le Secrétariat</w:t>
      </w:r>
    </w:p>
    <w:p w:rsidR="00617960" w:rsidRPr="00A970ED" w:rsidRDefault="00617960" w:rsidP="00693B47">
      <w:pPr>
        <w:pStyle w:val="ONUMFS"/>
      </w:pPr>
      <w:r w:rsidRPr="00A970ED">
        <w:t>L</w:t>
      </w:r>
      <w:r w:rsidR="00526A3B">
        <w:t>’</w:t>
      </w:r>
      <w:r w:rsidRPr="00A970ED">
        <w:t>annexe du présent document contient un résumé de la boîte à outils de propriété intellectuelle pour les concepteurs d</w:t>
      </w:r>
      <w:r w:rsidR="00526A3B">
        <w:t>’</w:t>
      </w:r>
      <w:r w:rsidRPr="00A970ED">
        <w:t xml:space="preserve">applications mobiles </w:t>
      </w:r>
      <w:r>
        <w:t>établie</w:t>
      </w:r>
      <w:r w:rsidRPr="00A970ED">
        <w:t xml:space="preserve"> dans le cadre du projet relatif au renforcement de l</w:t>
      </w:r>
      <w:r w:rsidR="00526A3B">
        <w:t>’</w:t>
      </w:r>
      <w:r w:rsidRPr="00A970ED">
        <w:t>utilisation de la propriété intellectuelle pour les applications mobiles dans le secteur des logiciels (document CDIP/22/8).</w:t>
      </w:r>
    </w:p>
    <w:p w:rsidR="00617960" w:rsidRDefault="00617960" w:rsidP="00693B47">
      <w:pPr>
        <w:pStyle w:val="ONUMFS"/>
      </w:pPr>
      <w:r w:rsidRPr="00A970ED">
        <w:t xml:space="preserve">La boîte à outils a été </w:t>
      </w:r>
      <w:r>
        <w:t>mise au point</w:t>
      </w:r>
      <w:r w:rsidRPr="00A970ED">
        <w:t xml:space="preserve"> par Mme</w:t>
      </w:r>
      <w:r>
        <w:t> </w:t>
      </w:r>
      <w:r w:rsidRPr="00A970ED">
        <w:t xml:space="preserve">Anke </w:t>
      </w:r>
      <w:proofErr w:type="spellStart"/>
      <w:r w:rsidRPr="00A970ED">
        <w:t>Moerland</w:t>
      </w:r>
      <w:proofErr w:type="spellEnd"/>
      <w:r w:rsidRPr="00A970ED">
        <w:t>, professeu</w:t>
      </w:r>
      <w:r>
        <w:t>re</w:t>
      </w:r>
      <w:r w:rsidRPr="00A970ED">
        <w:t xml:space="preserve"> adjoint</w:t>
      </w:r>
      <w:r>
        <w:t>e</w:t>
      </w:r>
      <w:r w:rsidRPr="00A970ED">
        <w:t xml:space="preserve"> de droit de la propriété intellectuelle à l</w:t>
      </w:r>
      <w:r w:rsidR="00526A3B">
        <w:t>’</w:t>
      </w:r>
      <w:r w:rsidRPr="00A970ED">
        <w:t>Université de Maastricht, et M.</w:t>
      </w:r>
      <w:r>
        <w:t> </w:t>
      </w:r>
      <w:proofErr w:type="spellStart"/>
      <w:r w:rsidRPr="00A970ED">
        <w:t>Noam</w:t>
      </w:r>
      <w:proofErr w:type="spellEnd"/>
      <w:r w:rsidR="00C87523">
        <w:t> </w:t>
      </w:r>
      <w:proofErr w:type="spellStart"/>
      <w:r w:rsidRPr="00A970ED">
        <w:t>Shemtov</w:t>
      </w:r>
      <w:proofErr w:type="spellEnd"/>
      <w:r w:rsidRPr="00A970ED">
        <w:t>, directeur adjoint du Centre d</w:t>
      </w:r>
      <w:r w:rsidR="00526A3B">
        <w:t>’</w:t>
      </w:r>
      <w:r w:rsidRPr="00A970ED">
        <w:t>études de droit commercial de l</w:t>
      </w:r>
      <w:r w:rsidR="00526A3B">
        <w:t>’</w:t>
      </w:r>
      <w:r w:rsidRPr="00A970ED">
        <w:t xml:space="preserve">Université </w:t>
      </w:r>
      <w:proofErr w:type="spellStart"/>
      <w:r w:rsidRPr="00A970ED">
        <w:t>Queen</w:t>
      </w:r>
      <w:proofErr w:type="spellEnd"/>
      <w:r w:rsidRPr="00A970ED">
        <w:t xml:space="preserve"> Mary de Londres.</w:t>
      </w:r>
    </w:p>
    <w:p w:rsidR="00617960" w:rsidRPr="00693B47" w:rsidRDefault="00617960" w:rsidP="00693B47">
      <w:pPr>
        <w:pStyle w:val="ONUMFS"/>
        <w:ind w:left="5533"/>
        <w:rPr>
          <w:i/>
        </w:rPr>
      </w:pPr>
      <w:r w:rsidRPr="00693B47">
        <w:rPr>
          <w:i/>
        </w:rPr>
        <w:t>Le CDIP est invité à prendre note des informations contenues dans l</w:t>
      </w:r>
      <w:r w:rsidR="00526A3B">
        <w:rPr>
          <w:i/>
        </w:rPr>
        <w:t>’</w:t>
      </w:r>
      <w:r w:rsidRPr="00693B47">
        <w:rPr>
          <w:i/>
        </w:rPr>
        <w:t>annexe du présent document.</w:t>
      </w:r>
    </w:p>
    <w:p w:rsidR="00617960" w:rsidRPr="00526A3B" w:rsidRDefault="00617960" w:rsidP="00693B47">
      <w:pPr>
        <w:pStyle w:val="Endofdocument-Annex"/>
        <w:spacing w:before="720"/>
        <w:rPr>
          <w:lang w:val="fr-FR"/>
        </w:rPr>
        <w:sectPr w:rsidR="00617960" w:rsidRPr="00526A3B" w:rsidSect="003C710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326"/>
        </w:sectPr>
      </w:pPr>
      <w:r w:rsidRPr="00526A3B">
        <w:rPr>
          <w:lang w:val="fr-FR"/>
        </w:rPr>
        <w:t>[L</w:t>
      </w:r>
      <w:r w:rsidR="00526A3B">
        <w:rPr>
          <w:lang w:val="fr-FR"/>
        </w:rPr>
        <w:t>’</w:t>
      </w:r>
      <w:r w:rsidRPr="00526A3B">
        <w:rPr>
          <w:lang w:val="fr-FR"/>
        </w:rPr>
        <w:t>annexe suit]</w:t>
      </w:r>
    </w:p>
    <w:p w:rsidR="00166802" w:rsidRDefault="00617960" w:rsidP="00166802">
      <w:pPr>
        <w:spacing w:after="220" w:line="360" w:lineRule="auto"/>
        <w:rPr>
          <w:b/>
          <w:szCs w:val="22"/>
          <w:u w:val="single"/>
        </w:rPr>
      </w:pPr>
      <w:r w:rsidRPr="003E7242">
        <w:rPr>
          <w:b/>
          <w:szCs w:val="22"/>
          <w:u w:val="single"/>
        </w:rPr>
        <w:lastRenderedPageBreak/>
        <w:t>Résumé de la boîte à outils de propriété intellectuelle pour les concepteurs d</w:t>
      </w:r>
      <w:r w:rsidR="00526A3B">
        <w:rPr>
          <w:b/>
          <w:szCs w:val="22"/>
          <w:u w:val="single"/>
        </w:rPr>
        <w:t>’</w:t>
      </w:r>
      <w:r w:rsidRPr="003E7242">
        <w:rPr>
          <w:b/>
          <w:szCs w:val="22"/>
          <w:u w:val="single"/>
        </w:rPr>
        <w:t>applications mobiles</w:t>
      </w:r>
      <w:r w:rsidRPr="003E7242">
        <w:rPr>
          <w:rStyle w:val="FootnoteReference"/>
          <w:b/>
          <w:szCs w:val="22"/>
          <w:u w:val="single"/>
        </w:rPr>
        <w:footnoteReference w:id="2"/>
      </w:r>
    </w:p>
    <w:p w:rsidR="00166802" w:rsidRDefault="00617960" w:rsidP="00166802">
      <w:pPr>
        <w:spacing w:after="220" w:line="276" w:lineRule="auto"/>
        <w:rPr>
          <w:szCs w:val="22"/>
        </w:rPr>
      </w:pPr>
      <w:r w:rsidRPr="00A970ED">
        <w:rPr>
          <w:szCs w:val="22"/>
        </w:rPr>
        <w:t>La boîte à outils de propriété intellectuelle pour les concepteurs d</w:t>
      </w:r>
      <w:r w:rsidR="00526A3B">
        <w:rPr>
          <w:szCs w:val="22"/>
        </w:rPr>
        <w:t>’</w:t>
      </w:r>
      <w:r w:rsidRPr="00A970ED">
        <w:rPr>
          <w:szCs w:val="22"/>
        </w:rPr>
        <w:t>applications mobile</w:t>
      </w:r>
      <w:r>
        <w:rPr>
          <w:szCs w:val="22"/>
        </w:rPr>
        <w:t>s</w:t>
      </w:r>
      <w:r w:rsidRPr="00A970ED">
        <w:rPr>
          <w:szCs w:val="22"/>
        </w:rPr>
        <w:t xml:space="preserve"> </w:t>
      </w:r>
      <w:r>
        <w:rPr>
          <w:szCs w:val="22"/>
        </w:rPr>
        <w:t>concerne</w:t>
      </w:r>
      <w:r w:rsidRPr="00A970ED">
        <w:rPr>
          <w:szCs w:val="22"/>
        </w:rPr>
        <w:t xml:space="preserve"> un secteur des industries de la création qui connaît une croissance exponentielle depuis une dizaine d</w:t>
      </w:r>
      <w:r w:rsidR="00526A3B">
        <w:rPr>
          <w:szCs w:val="22"/>
        </w:rPr>
        <w:t>’</w:t>
      </w:r>
      <w:r w:rsidRPr="00A970ED">
        <w:rPr>
          <w:szCs w:val="22"/>
        </w:rPr>
        <w:t>années</w:t>
      </w:r>
      <w:r w:rsidR="00526A3B">
        <w:rPr>
          <w:szCs w:val="22"/>
        </w:rPr>
        <w:t> :</w:t>
      </w:r>
      <w:r w:rsidRPr="00A970ED">
        <w:rPr>
          <w:szCs w:val="22"/>
        </w:rPr>
        <w:t xml:space="preserve"> </w:t>
      </w:r>
      <w:r>
        <w:rPr>
          <w:szCs w:val="22"/>
        </w:rPr>
        <w:t>celui</w:t>
      </w:r>
      <w:r w:rsidRPr="00A970ED">
        <w:rPr>
          <w:szCs w:val="22"/>
        </w:rPr>
        <w:t xml:space="preserve"> des applications mobil</w:t>
      </w:r>
      <w:r w:rsidR="00C87523" w:rsidRPr="00A970ED">
        <w:rPr>
          <w:szCs w:val="22"/>
        </w:rPr>
        <w:t>es</w:t>
      </w:r>
      <w:r w:rsidR="00C87523">
        <w:rPr>
          <w:szCs w:val="22"/>
        </w:rPr>
        <w:t xml:space="preserve">.  </w:t>
      </w:r>
      <w:r w:rsidR="00C87523" w:rsidRPr="00A970ED">
        <w:rPr>
          <w:szCs w:val="22"/>
        </w:rPr>
        <w:t>El</w:t>
      </w:r>
      <w:r w:rsidRPr="00A970ED">
        <w:rPr>
          <w:szCs w:val="22"/>
        </w:rPr>
        <w:t xml:space="preserve">le </w:t>
      </w:r>
      <w:r>
        <w:rPr>
          <w:szCs w:val="22"/>
        </w:rPr>
        <w:t>offre</w:t>
      </w:r>
      <w:r w:rsidRPr="00A970ED">
        <w:rPr>
          <w:szCs w:val="22"/>
        </w:rPr>
        <w:t xml:space="preserve"> des conseils pratiques aux concepteurs et associations de concepteurs d</w:t>
      </w:r>
      <w:r w:rsidR="00526A3B">
        <w:rPr>
          <w:szCs w:val="22"/>
        </w:rPr>
        <w:t>’</w:t>
      </w:r>
      <w:r w:rsidRPr="00A970ED">
        <w:rPr>
          <w:szCs w:val="22"/>
        </w:rPr>
        <w:t>applications, aux sociétés conceptrices d</w:t>
      </w:r>
      <w:r w:rsidR="00526A3B">
        <w:rPr>
          <w:szCs w:val="22"/>
        </w:rPr>
        <w:t>’</w:t>
      </w:r>
      <w:r w:rsidRPr="00A970ED">
        <w:rPr>
          <w:szCs w:val="22"/>
        </w:rPr>
        <w:t>applications mobiles et aux centres de recherche, entre autres.</w:t>
      </w:r>
    </w:p>
    <w:p w:rsidR="00166802" w:rsidRDefault="00617960" w:rsidP="00166802">
      <w:pPr>
        <w:spacing w:after="220" w:line="276" w:lineRule="auto"/>
        <w:rPr>
          <w:szCs w:val="22"/>
        </w:rPr>
      </w:pPr>
      <w:r>
        <w:rPr>
          <w:szCs w:val="22"/>
        </w:rPr>
        <w:t xml:space="preserve">Son </w:t>
      </w:r>
      <w:r w:rsidRPr="00A970ED">
        <w:rPr>
          <w:szCs w:val="22"/>
        </w:rPr>
        <w:t xml:space="preserve">objectif est de présenter différents outils permettant de protéger tout ou partie des droits de propriété intellectuelle attachés </w:t>
      </w:r>
      <w:r>
        <w:rPr>
          <w:szCs w:val="22"/>
        </w:rPr>
        <w:t>aux</w:t>
      </w:r>
      <w:r w:rsidRPr="00A970ED">
        <w:rPr>
          <w:szCs w:val="22"/>
        </w:rPr>
        <w:t xml:space="preserve"> application</w:t>
      </w:r>
      <w:r>
        <w:rPr>
          <w:szCs w:val="22"/>
        </w:rPr>
        <w:t>s</w:t>
      </w:r>
      <w:r w:rsidRPr="00A970ED">
        <w:rPr>
          <w:szCs w:val="22"/>
        </w:rPr>
        <w:t xml:space="preserve"> mobil</w:t>
      </w:r>
      <w:r w:rsidR="00C87523" w:rsidRPr="00A970ED">
        <w:rPr>
          <w:szCs w:val="22"/>
        </w:rPr>
        <w:t>e</w:t>
      </w:r>
      <w:r w:rsidR="00C87523">
        <w:rPr>
          <w:szCs w:val="22"/>
        </w:rPr>
        <w:t xml:space="preserve">s.  </w:t>
      </w:r>
      <w:r w:rsidR="00C87523" w:rsidRPr="00A970ED">
        <w:rPr>
          <w:szCs w:val="22"/>
        </w:rPr>
        <w:t>El</w:t>
      </w:r>
      <w:r w:rsidRPr="00A970ED">
        <w:rPr>
          <w:szCs w:val="22"/>
        </w:rPr>
        <w:t xml:space="preserve">le passe en revue les raisons pour lesquelles une protection peut être envisagée et les outils qui existent pour </w:t>
      </w:r>
      <w:r>
        <w:rPr>
          <w:szCs w:val="22"/>
        </w:rPr>
        <w:t>l</w:t>
      </w:r>
      <w:r w:rsidR="00526A3B">
        <w:rPr>
          <w:szCs w:val="22"/>
        </w:rPr>
        <w:t>’</w:t>
      </w:r>
      <w:r w:rsidRPr="00A970ED">
        <w:rPr>
          <w:szCs w:val="22"/>
        </w:rPr>
        <w:t>obten</w:t>
      </w:r>
      <w:r w:rsidR="00C87523" w:rsidRPr="00A970ED">
        <w:rPr>
          <w:szCs w:val="22"/>
        </w:rPr>
        <w:t>ir</w:t>
      </w:r>
      <w:r w:rsidR="00C87523">
        <w:rPr>
          <w:szCs w:val="22"/>
        </w:rPr>
        <w:t xml:space="preserve">.  </w:t>
      </w:r>
      <w:r w:rsidR="00C87523" w:rsidRPr="00A970ED">
        <w:rPr>
          <w:szCs w:val="22"/>
        </w:rPr>
        <w:t>El</w:t>
      </w:r>
      <w:r w:rsidRPr="00A970ED">
        <w:rPr>
          <w:szCs w:val="22"/>
        </w:rPr>
        <w:t xml:space="preserve">le présente le contexte général, donne des informations pratiques sur leur fonctionnalité et examine leurs avantages </w:t>
      </w:r>
      <w:r>
        <w:rPr>
          <w:szCs w:val="22"/>
        </w:rPr>
        <w:t>ainsi que les</w:t>
      </w:r>
      <w:r w:rsidRPr="00A970ED">
        <w:rPr>
          <w:szCs w:val="22"/>
        </w:rPr>
        <w:t xml:space="preserve"> risques</w:t>
      </w:r>
      <w:r>
        <w:rPr>
          <w:szCs w:val="22"/>
        </w:rPr>
        <w:t xml:space="preserve"> qui leur sont associ</w:t>
      </w:r>
      <w:r w:rsidR="00C87523">
        <w:rPr>
          <w:szCs w:val="22"/>
        </w:rPr>
        <w:t xml:space="preserve">és.  </w:t>
      </w:r>
      <w:r w:rsidR="00C87523" w:rsidRPr="00A970ED">
        <w:rPr>
          <w:szCs w:val="22"/>
        </w:rPr>
        <w:t>Su</w:t>
      </w:r>
      <w:r w:rsidRPr="00A970ED">
        <w:rPr>
          <w:szCs w:val="22"/>
        </w:rPr>
        <w:t>ivant une approche axée sur les utilisateurs, elle donne des exemples et des modèles d</w:t>
      </w:r>
      <w:r w:rsidR="00526A3B">
        <w:rPr>
          <w:szCs w:val="22"/>
        </w:rPr>
        <w:t>’</w:t>
      </w:r>
      <w:r w:rsidRPr="00A970ED">
        <w:rPr>
          <w:szCs w:val="22"/>
        </w:rPr>
        <w:t xml:space="preserve">outils </w:t>
      </w:r>
      <w:r>
        <w:rPr>
          <w:szCs w:val="22"/>
        </w:rPr>
        <w:t>disponibles sur</w:t>
      </w:r>
      <w:r w:rsidRPr="00A970ED">
        <w:rPr>
          <w:szCs w:val="22"/>
        </w:rPr>
        <w:t xml:space="preserve"> différents marchés et pouvant être utilisés par les concepteu</w:t>
      </w:r>
      <w:r w:rsidR="00C87523" w:rsidRPr="00A970ED">
        <w:rPr>
          <w:szCs w:val="22"/>
        </w:rPr>
        <w:t>rs</w:t>
      </w:r>
      <w:r w:rsidR="00C87523">
        <w:rPr>
          <w:szCs w:val="22"/>
        </w:rPr>
        <w:t xml:space="preserve">.  </w:t>
      </w:r>
      <w:r w:rsidR="00C87523" w:rsidRPr="00A970ED">
        <w:rPr>
          <w:szCs w:val="22"/>
        </w:rPr>
        <w:t>La</w:t>
      </w:r>
      <w:r w:rsidRPr="00A970ED">
        <w:rPr>
          <w:szCs w:val="22"/>
        </w:rPr>
        <w:t xml:space="preserve"> boîte à outils expose les avantages et inconvénients de chaque outil et résume les points clés en conclusion.</w:t>
      </w:r>
    </w:p>
    <w:p w:rsidR="00166802" w:rsidRDefault="00617960" w:rsidP="00166802">
      <w:pPr>
        <w:spacing w:after="220" w:line="276" w:lineRule="auto"/>
        <w:rPr>
          <w:szCs w:val="22"/>
        </w:rPr>
      </w:pPr>
      <w:r w:rsidRPr="00A970ED">
        <w:rPr>
          <w:szCs w:val="22"/>
        </w:rPr>
        <w:t>L</w:t>
      </w:r>
      <w:r w:rsidR="00526A3B">
        <w:rPr>
          <w:szCs w:val="22"/>
        </w:rPr>
        <w:t>’</w:t>
      </w:r>
      <w:r w:rsidRPr="00A970ED">
        <w:rPr>
          <w:szCs w:val="22"/>
        </w:rPr>
        <w:t xml:space="preserve">objet de la boîte à outils est de permettre aux concepteurs de bien connaître les </w:t>
      </w:r>
      <w:r>
        <w:rPr>
          <w:szCs w:val="22"/>
        </w:rPr>
        <w:t xml:space="preserve">principaux </w:t>
      </w:r>
      <w:r w:rsidRPr="00A970ED">
        <w:rPr>
          <w:szCs w:val="22"/>
        </w:rPr>
        <w:t>outils de propriété intellectuelle disponibles aux différentes étapes de la conc</w:t>
      </w:r>
      <w:r>
        <w:rPr>
          <w:szCs w:val="22"/>
        </w:rPr>
        <w:t>eption d</w:t>
      </w:r>
      <w:r w:rsidR="00526A3B">
        <w:rPr>
          <w:szCs w:val="22"/>
        </w:rPr>
        <w:t>’</w:t>
      </w:r>
      <w:r>
        <w:rPr>
          <w:szCs w:val="22"/>
        </w:rPr>
        <w:t>applications mobiles</w:t>
      </w:r>
      <w:r w:rsidRPr="00A970ED">
        <w:rPr>
          <w:szCs w:val="22"/>
        </w:rPr>
        <w:t xml:space="preserve"> avant </w:t>
      </w:r>
      <w:r>
        <w:rPr>
          <w:szCs w:val="22"/>
        </w:rPr>
        <w:t xml:space="preserve">de solliciter un avis juridique </w:t>
      </w:r>
      <w:r w:rsidRPr="00A970ED">
        <w:rPr>
          <w:szCs w:val="22"/>
        </w:rPr>
        <w:t>sur les caractéristiques de chaque outil sur les marchés concern</w:t>
      </w:r>
      <w:r w:rsidR="00C87523" w:rsidRPr="00A970ED">
        <w:rPr>
          <w:szCs w:val="22"/>
        </w:rPr>
        <w:t>és</w:t>
      </w:r>
      <w:r w:rsidR="00C87523">
        <w:rPr>
          <w:szCs w:val="22"/>
        </w:rPr>
        <w:t xml:space="preserve">.  </w:t>
      </w:r>
      <w:r w:rsidR="00C87523" w:rsidRPr="00A970ED">
        <w:rPr>
          <w:szCs w:val="22"/>
        </w:rPr>
        <w:t>Le</w:t>
      </w:r>
      <w:r w:rsidRPr="00A970ED">
        <w:rPr>
          <w:szCs w:val="22"/>
        </w:rPr>
        <w:t>s outils sont prés</w:t>
      </w:r>
      <w:r>
        <w:rPr>
          <w:szCs w:val="22"/>
        </w:rPr>
        <w:t xml:space="preserve">entés en fonction des étapes de la conception </w:t>
      </w:r>
      <w:r w:rsidRPr="00A970ED">
        <w:rPr>
          <w:szCs w:val="22"/>
        </w:rPr>
        <w:t xml:space="preserve">des applications mobiles, </w:t>
      </w:r>
      <w:r w:rsidR="00526A3B">
        <w:rPr>
          <w:szCs w:val="22"/>
        </w:rPr>
        <w:t>à savoir :</w:t>
      </w:r>
      <w:r w:rsidRPr="00A970ED">
        <w:rPr>
          <w:szCs w:val="22"/>
        </w:rPr>
        <w:t xml:space="preserve"> 1) la conception des applications</w:t>
      </w:r>
      <w:r>
        <w:rPr>
          <w:szCs w:val="22"/>
        </w:rPr>
        <w:t xml:space="preserve">; </w:t>
      </w:r>
      <w:r w:rsidRPr="00A970ED">
        <w:rPr>
          <w:szCs w:val="22"/>
        </w:rPr>
        <w:t xml:space="preserve"> 2) leur protection; </w:t>
      </w:r>
      <w:r>
        <w:rPr>
          <w:szCs w:val="22"/>
        </w:rPr>
        <w:t xml:space="preserve"> </w:t>
      </w:r>
      <w:r w:rsidRPr="00A970ED">
        <w:rPr>
          <w:szCs w:val="22"/>
        </w:rPr>
        <w:t>3) les outils de commerciali</w:t>
      </w:r>
      <w:bookmarkStart w:id="5" w:name="_GoBack"/>
      <w:bookmarkEnd w:id="5"/>
      <w:r w:rsidRPr="00A970ED">
        <w:rPr>
          <w:szCs w:val="22"/>
        </w:rPr>
        <w:t>sation</w:t>
      </w:r>
      <w:r>
        <w:rPr>
          <w:szCs w:val="22"/>
        </w:rPr>
        <w:t xml:space="preserve">; </w:t>
      </w:r>
      <w:r w:rsidRPr="00A970ED">
        <w:rPr>
          <w:szCs w:val="22"/>
        </w:rPr>
        <w:t xml:space="preserve"> et 4) les outils permettant de faire face aux atteintes aux droits.</w:t>
      </w:r>
    </w:p>
    <w:p w:rsidR="00166802" w:rsidRDefault="00617960" w:rsidP="00166802">
      <w:pPr>
        <w:spacing w:after="220" w:line="276" w:lineRule="auto"/>
        <w:rPr>
          <w:szCs w:val="22"/>
        </w:rPr>
      </w:pPr>
      <w:r w:rsidRPr="00A970ED">
        <w:rPr>
          <w:szCs w:val="22"/>
        </w:rPr>
        <w:t>La structure de la boîte à outils suit le cycle de vie des applications mobiles</w:t>
      </w:r>
      <w:r w:rsidR="00526A3B">
        <w:rPr>
          <w:szCs w:val="22"/>
        </w:rPr>
        <w:t> :</w:t>
      </w:r>
      <w:r w:rsidRPr="00A970ED">
        <w:rPr>
          <w:szCs w:val="22"/>
        </w:rPr>
        <w:t xml:space="preserve"> l</w:t>
      </w:r>
      <w:r w:rsidR="00526A3B">
        <w:rPr>
          <w:szCs w:val="22"/>
        </w:rPr>
        <w:t>’</w:t>
      </w:r>
      <w:r w:rsidRPr="00A970ED">
        <w:rPr>
          <w:szCs w:val="22"/>
        </w:rPr>
        <w:t xml:space="preserve">utilisation de contenu pour les applications, la conception des applications, leur diffusion et le respect des droits de propriété intellectuelle </w:t>
      </w:r>
      <w:r>
        <w:rPr>
          <w:szCs w:val="22"/>
        </w:rPr>
        <w:t xml:space="preserve">qui leur sont </w:t>
      </w:r>
      <w:r w:rsidRPr="00A970ED">
        <w:rPr>
          <w:szCs w:val="22"/>
        </w:rPr>
        <w:t>attach</w:t>
      </w:r>
      <w:r w:rsidR="00C87523" w:rsidRPr="00A970ED">
        <w:rPr>
          <w:szCs w:val="22"/>
        </w:rPr>
        <w:t>és</w:t>
      </w:r>
      <w:r w:rsidR="00C87523">
        <w:rPr>
          <w:szCs w:val="22"/>
        </w:rPr>
        <w:t xml:space="preserve">.  </w:t>
      </w:r>
      <w:r w:rsidR="00C87523" w:rsidRPr="00A970ED">
        <w:rPr>
          <w:szCs w:val="22"/>
        </w:rPr>
        <w:t>Le</w:t>
      </w:r>
      <w:r w:rsidRPr="00A970ED">
        <w:rPr>
          <w:szCs w:val="22"/>
        </w:rPr>
        <w:t>s concepteurs peuvent se reporter à l</w:t>
      </w:r>
      <w:r w:rsidR="00526A3B">
        <w:rPr>
          <w:szCs w:val="22"/>
        </w:rPr>
        <w:t>’</w:t>
      </w:r>
      <w:r w:rsidRPr="00A970ED">
        <w:rPr>
          <w:szCs w:val="22"/>
        </w:rPr>
        <w:t xml:space="preserve">étape qui les intéresse pour obtenir des informations sur les outils disponibles dans certains </w:t>
      </w:r>
      <w:r>
        <w:rPr>
          <w:szCs w:val="22"/>
        </w:rPr>
        <w:t>cas de figure</w:t>
      </w:r>
      <w:r w:rsidRPr="00A970ED">
        <w:rPr>
          <w:szCs w:val="22"/>
        </w:rPr>
        <w:t>.</w:t>
      </w:r>
    </w:p>
    <w:p w:rsidR="00166802" w:rsidRDefault="00617960" w:rsidP="00166802">
      <w:pPr>
        <w:spacing w:after="220" w:line="276" w:lineRule="auto"/>
        <w:rPr>
          <w:szCs w:val="22"/>
        </w:rPr>
      </w:pPr>
      <w:r w:rsidRPr="00A970ED">
        <w:rPr>
          <w:szCs w:val="22"/>
        </w:rPr>
        <w:t>La section</w:t>
      </w:r>
      <w:r>
        <w:rPr>
          <w:szCs w:val="22"/>
        </w:rPr>
        <w:t> </w:t>
      </w:r>
      <w:r w:rsidRPr="00A970ED">
        <w:rPr>
          <w:szCs w:val="22"/>
        </w:rPr>
        <w:t xml:space="preserve">2, intitulée </w:t>
      </w:r>
      <w:r>
        <w:rPr>
          <w:szCs w:val="22"/>
        </w:rPr>
        <w:t>“</w:t>
      </w:r>
      <w:r w:rsidRPr="00A970ED">
        <w:rPr>
          <w:szCs w:val="22"/>
        </w:rPr>
        <w:t>Les applications mobiles du point de vue de la propriété intellectuelle</w:t>
      </w:r>
      <w:r>
        <w:rPr>
          <w:szCs w:val="22"/>
        </w:rPr>
        <w:t>”</w:t>
      </w:r>
      <w:r w:rsidRPr="00A970ED">
        <w:rPr>
          <w:szCs w:val="22"/>
        </w:rPr>
        <w:t>, présente le contex</w:t>
      </w:r>
      <w:r w:rsidR="00C87523" w:rsidRPr="00A970ED">
        <w:rPr>
          <w:szCs w:val="22"/>
        </w:rPr>
        <w:t>te</w:t>
      </w:r>
      <w:r w:rsidR="00C87523">
        <w:rPr>
          <w:szCs w:val="22"/>
        </w:rPr>
        <w:t xml:space="preserve">.  </w:t>
      </w:r>
      <w:r w:rsidR="00C87523" w:rsidRPr="00A970ED">
        <w:rPr>
          <w:szCs w:val="22"/>
        </w:rPr>
        <w:t>Le</w:t>
      </w:r>
      <w:r w:rsidRPr="00A970ED">
        <w:rPr>
          <w:szCs w:val="22"/>
        </w:rPr>
        <w:t xml:space="preserve">s lecteurs qui ne possèdent pas de connaissances préalables </w:t>
      </w:r>
      <w:r>
        <w:rPr>
          <w:szCs w:val="22"/>
        </w:rPr>
        <w:t>dans le domaine de la</w:t>
      </w:r>
      <w:r w:rsidRPr="00A970ED">
        <w:rPr>
          <w:szCs w:val="22"/>
        </w:rPr>
        <w:t xml:space="preserve"> propriété intellectuelle trouveront dans cette section</w:t>
      </w:r>
      <w:r>
        <w:rPr>
          <w:szCs w:val="22"/>
        </w:rPr>
        <w:t xml:space="preserve"> une présentation des différent</w:t>
      </w:r>
      <w:r w:rsidRPr="00A970ED">
        <w:rPr>
          <w:szCs w:val="22"/>
        </w:rPr>
        <w:t xml:space="preserve">s </w:t>
      </w:r>
      <w:r>
        <w:rPr>
          <w:szCs w:val="22"/>
        </w:rPr>
        <w:t>éléments</w:t>
      </w:r>
      <w:r w:rsidRPr="00A970ED">
        <w:rPr>
          <w:szCs w:val="22"/>
        </w:rPr>
        <w:t xml:space="preserve"> des applications mobiles susceptibles d</w:t>
      </w:r>
      <w:r w:rsidR="00526A3B">
        <w:rPr>
          <w:szCs w:val="22"/>
        </w:rPr>
        <w:t>’</w:t>
      </w:r>
      <w:r w:rsidRPr="00A970ED">
        <w:rPr>
          <w:szCs w:val="22"/>
        </w:rPr>
        <w:t xml:space="preserve">être protégés par </w:t>
      </w:r>
      <w:r>
        <w:rPr>
          <w:szCs w:val="22"/>
        </w:rPr>
        <w:t>divers</w:t>
      </w:r>
      <w:r w:rsidRPr="00A970ED">
        <w:rPr>
          <w:szCs w:val="22"/>
        </w:rPr>
        <w:t xml:space="preserve"> outils de propriété intellectuelle.</w:t>
      </w:r>
    </w:p>
    <w:p w:rsidR="00166802" w:rsidRDefault="00617960" w:rsidP="00166802">
      <w:pPr>
        <w:spacing w:after="220" w:line="276" w:lineRule="auto"/>
        <w:rPr>
          <w:szCs w:val="22"/>
        </w:rPr>
      </w:pPr>
      <w:r w:rsidRPr="00A970ED">
        <w:rPr>
          <w:szCs w:val="22"/>
        </w:rPr>
        <w:t>La section</w:t>
      </w:r>
      <w:r>
        <w:rPr>
          <w:szCs w:val="22"/>
        </w:rPr>
        <w:t> </w:t>
      </w:r>
      <w:r w:rsidRPr="00A970ED">
        <w:rPr>
          <w:szCs w:val="22"/>
        </w:rPr>
        <w:t>3 fournit des informations exhaustives sur les outils qui peuvent être utiles lors de la création d</w:t>
      </w:r>
      <w:r w:rsidR="00526A3B">
        <w:rPr>
          <w:szCs w:val="22"/>
        </w:rPr>
        <w:t>’</w:t>
      </w:r>
      <w:r w:rsidRPr="00A970ED">
        <w:rPr>
          <w:szCs w:val="22"/>
        </w:rPr>
        <w:t>applications mobil</w:t>
      </w:r>
      <w:r w:rsidR="00C87523" w:rsidRPr="00A970ED">
        <w:rPr>
          <w:szCs w:val="22"/>
        </w:rPr>
        <w:t>es</w:t>
      </w:r>
      <w:r w:rsidR="00C87523">
        <w:rPr>
          <w:szCs w:val="22"/>
        </w:rPr>
        <w:t xml:space="preserve">.  </w:t>
      </w:r>
      <w:r w:rsidR="00C87523" w:rsidRPr="00A970ED">
        <w:rPr>
          <w:szCs w:val="22"/>
        </w:rPr>
        <w:t>Le</w:t>
      </w:r>
      <w:r w:rsidRPr="00A970ED">
        <w:rPr>
          <w:szCs w:val="22"/>
        </w:rPr>
        <w:t>s concepteurs souhaitent parfois utiliser des œuvres de création préexistantes qui peuvent être protégées par la propriété intellectuel</w:t>
      </w:r>
      <w:r w:rsidR="00C87523" w:rsidRPr="00A970ED">
        <w:rPr>
          <w:szCs w:val="22"/>
        </w:rPr>
        <w:t>le</w:t>
      </w:r>
      <w:r w:rsidR="00C87523">
        <w:rPr>
          <w:szCs w:val="22"/>
        </w:rPr>
        <w:t xml:space="preserve">.  </w:t>
      </w:r>
      <w:r w:rsidR="00C87523" w:rsidRPr="00A970ED">
        <w:rPr>
          <w:szCs w:val="22"/>
        </w:rPr>
        <w:t>Ce</w:t>
      </w:r>
      <w:r w:rsidRPr="00A970ED">
        <w:rPr>
          <w:szCs w:val="22"/>
        </w:rPr>
        <w:t>tte section présente les moyens les plus courants de déterminer si des œuvres préexistantes sont protégées par une forme de propriété intellectuelle ainsi que les utilisations que le concepteur entend faire qui nécessitent une autorisati</w:t>
      </w:r>
      <w:r w:rsidR="00C87523" w:rsidRPr="00A970ED">
        <w:rPr>
          <w:szCs w:val="22"/>
        </w:rPr>
        <w:t>on</w:t>
      </w:r>
      <w:r w:rsidR="00C87523">
        <w:rPr>
          <w:szCs w:val="22"/>
        </w:rPr>
        <w:t xml:space="preserve">.  </w:t>
      </w:r>
      <w:r w:rsidR="00C87523" w:rsidRPr="00A970ED">
        <w:rPr>
          <w:szCs w:val="22"/>
        </w:rPr>
        <w:t>Da</w:t>
      </w:r>
      <w:r w:rsidRPr="00A970ED">
        <w:rPr>
          <w:szCs w:val="22"/>
        </w:rPr>
        <w:t xml:space="preserve">ns les cas où une autorisation est requise, la boîte à outils fournit des explications, des exemples et des modèles relatifs à différents outils </w:t>
      </w:r>
      <w:r w:rsidRPr="00A970ED">
        <w:rPr>
          <w:szCs w:val="22"/>
        </w:rPr>
        <w:lastRenderedPageBreak/>
        <w:t>d</w:t>
      </w:r>
      <w:r w:rsidR="00526A3B">
        <w:rPr>
          <w:szCs w:val="22"/>
        </w:rPr>
        <w:t>’</w:t>
      </w:r>
      <w:r w:rsidRPr="00A970ED">
        <w:rPr>
          <w:szCs w:val="22"/>
        </w:rPr>
        <w:t>octroi de licences, tels que les logiciels libres, les licences commerciales de droit d</w:t>
      </w:r>
      <w:r w:rsidR="00526A3B">
        <w:rPr>
          <w:szCs w:val="22"/>
        </w:rPr>
        <w:t>’</w:t>
      </w:r>
      <w:r w:rsidRPr="00A970ED">
        <w:rPr>
          <w:szCs w:val="22"/>
        </w:rPr>
        <w:t xml:space="preserve">auteur, les licences Creative Commons, les licences de marques et des </w:t>
      </w:r>
      <w:r>
        <w:rPr>
          <w:szCs w:val="22"/>
        </w:rPr>
        <w:t>points</w:t>
      </w:r>
      <w:r w:rsidRPr="00A970ED">
        <w:rPr>
          <w:szCs w:val="22"/>
        </w:rPr>
        <w:t xml:space="preserve"> importants </w:t>
      </w:r>
      <w:r>
        <w:rPr>
          <w:szCs w:val="22"/>
        </w:rPr>
        <w:t>relatifs aux</w:t>
      </w:r>
      <w:r w:rsidRPr="00A970ED">
        <w:rPr>
          <w:szCs w:val="22"/>
        </w:rPr>
        <w:t xml:space="preserve"> conditions d</w:t>
      </w:r>
      <w:r w:rsidR="00526A3B">
        <w:rPr>
          <w:szCs w:val="22"/>
        </w:rPr>
        <w:t>’</w:t>
      </w:r>
      <w:r w:rsidRPr="00A970ED">
        <w:rPr>
          <w:szCs w:val="22"/>
        </w:rPr>
        <w:t>utilisation des interfaces de programmation d</w:t>
      </w:r>
      <w:r w:rsidR="00526A3B">
        <w:rPr>
          <w:szCs w:val="22"/>
        </w:rPr>
        <w:t>’</w:t>
      </w:r>
      <w:r w:rsidRPr="00A970ED">
        <w:rPr>
          <w:szCs w:val="22"/>
        </w:rPr>
        <w:t>applicatio</w:t>
      </w:r>
      <w:r w:rsidR="00C87523" w:rsidRPr="00A970ED">
        <w:rPr>
          <w:szCs w:val="22"/>
        </w:rPr>
        <w:t>ns</w:t>
      </w:r>
      <w:r w:rsidR="00C87523">
        <w:rPr>
          <w:szCs w:val="22"/>
        </w:rPr>
        <w:t xml:space="preserve">.  </w:t>
      </w:r>
      <w:r w:rsidR="00C87523" w:rsidRPr="00A970ED">
        <w:rPr>
          <w:szCs w:val="22"/>
        </w:rPr>
        <w:t>Bi</w:t>
      </w:r>
      <w:r w:rsidRPr="00A970ED">
        <w:rPr>
          <w:szCs w:val="22"/>
        </w:rPr>
        <w:t>en qu</w:t>
      </w:r>
      <w:r w:rsidR="00526A3B">
        <w:rPr>
          <w:szCs w:val="22"/>
        </w:rPr>
        <w:t>’</w:t>
      </w:r>
      <w:r w:rsidRPr="00A970ED">
        <w:rPr>
          <w:szCs w:val="22"/>
        </w:rPr>
        <w:t>il n</w:t>
      </w:r>
      <w:r w:rsidR="00526A3B">
        <w:rPr>
          <w:szCs w:val="22"/>
        </w:rPr>
        <w:t>’</w:t>
      </w:r>
      <w:r w:rsidRPr="00A970ED">
        <w:rPr>
          <w:szCs w:val="22"/>
        </w:rPr>
        <w:t>y ait pas beaucoup de marge de négociation pour certaines licences, il est conseillé aux concepteurs d</w:t>
      </w:r>
      <w:r w:rsidR="00526A3B">
        <w:rPr>
          <w:szCs w:val="22"/>
        </w:rPr>
        <w:t>’</w:t>
      </w:r>
      <w:r w:rsidRPr="00A970ED">
        <w:rPr>
          <w:szCs w:val="22"/>
        </w:rPr>
        <w:t>applications mobiles de définir, avec l</w:t>
      </w:r>
      <w:r w:rsidR="00526A3B">
        <w:rPr>
          <w:szCs w:val="22"/>
        </w:rPr>
        <w:t>’</w:t>
      </w:r>
      <w:r w:rsidRPr="00A970ED">
        <w:rPr>
          <w:szCs w:val="22"/>
        </w:rPr>
        <w:t>aide d</w:t>
      </w:r>
      <w:r w:rsidR="00526A3B">
        <w:rPr>
          <w:szCs w:val="22"/>
        </w:rPr>
        <w:t>’</w:t>
      </w:r>
      <w:r w:rsidRPr="00A970ED">
        <w:rPr>
          <w:szCs w:val="22"/>
        </w:rPr>
        <w:t>un spécialiste des licences, le territoire sur lequel la licence doit s</w:t>
      </w:r>
      <w:r w:rsidR="00526A3B">
        <w:rPr>
          <w:szCs w:val="22"/>
        </w:rPr>
        <w:t>’</w:t>
      </w:r>
      <w:r w:rsidRPr="00A970ED">
        <w:rPr>
          <w:szCs w:val="22"/>
        </w:rPr>
        <w:t>appliquer, si une licence exclusive ou non exclusive peut être obtenue, les coûts encourus, ainsi que les utilisations couvertes.</w:t>
      </w:r>
    </w:p>
    <w:p w:rsidR="00166802" w:rsidRDefault="00617960" w:rsidP="00166802">
      <w:pPr>
        <w:spacing w:after="220" w:line="276" w:lineRule="auto"/>
        <w:rPr>
          <w:szCs w:val="22"/>
        </w:rPr>
      </w:pPr>
      <w:r w:rsidRPr="00A970ED">
        <w:rPr>
          <w:szCs w:val="22"/>
        </w:rPr>
        <w:t>La section</w:t>
      </w:r>
      <w:r>
        <w:rPr>
          <w:szCs w:val="22"/>
        </w:rPr>
        <w:t> </w:t>
      </w:r>
      <w:r w:rsidRPr="00A970ED">
        <w:rPr>
          <w:szCs w:val="22"/>
        </w:rPr>
        <w:t xml:space="preserve">4 porte sur plusieurs outils de propriété intellectuelle susceptibles de protéger différents </w:t>
      </w:r>
      <w:r>
        <w:rPr>
          <w:szCs w:val="22"/>
        </w:rPr>
        <w:t>éléments</w:t>
      </w:r>
      <w:r w:rsidRPr="00A970ED">
        <w:rPr>
          <w:szCs w:val="22"/>
        </w:rPr>
        <w:t xml:space="preserve"> des applications mobil</w:t>
      </w:r>
      <w:r w:rsidR="00C87523" w:rsidRPr="00A970ED">
        <w:rPr>
          <w:szCs w:val="22"/>
        </w:rPr>
        <w:t>es</w:t>
      </w:r>
      <w:r w:rsidR="00C87523">
        <w:rPr>
          <w:szCs w:val="22"/>
        </w:rPr>
        <w:t>.  Il</w:t>
      </w:r>
      <w:r>
        <w:rPr>
          <w:szCs w:val="22"/>
        </w:rPr>
        <w:t xml:space="preserve"> s</w:t>
      </w:r>
      <w:r w:rsidR="00526A3B">
        <w:rPr>
          <w:szCs w:val="22"/>
        </w:rPr>
        <w:t>’</w:t>
      </w:r>
      <w:r>
        <w:rPr>
          <w:szCs w:val="22"/>
        </w:rPr>
        <w:t>agit notamment du</w:t>
      </w:r>
      <w:r w:rsidRPr="00A970ED">
        <w:rPr>
          <w:szCs w:val="22"/>
        </w:rPr>
        <w:t xml:space="preserve"> droit d</w:t>
      </w:r>
      <w:r w:rsidR="00526A3B">
        <w:rPr>
          <w:szCs w:val="22"/>
        </w:rPr>
        <w:t>’</w:t>
      </w:r>
      <w:r w:rsidRPr="00A970ED">
        <w:rPr>
          <w:szCs w:val="22"/>
        </w:rPr>
        <w:t xml:space="preserve">auteur, </w:t>
      </w:r>
      <w:r>
        <w:rPr>
          <w:szCs w:val="22"/>
        </w:rPr>
        <w:t>d</w:t>
      </w:r>
      <w:r w:rsidRPr="00A970ED">
        <w:rPr>
          <w:szCs w:val="22"/>
        </w:rPr>
        <w:t xml:space="preserve">es brevets, </w:t>
      </w:r>
      <w:r>
        <w:rPr>
          <w:szCs w:val="22"/>
        </w:rPr>
        <w:t>d</w:t>
      </w:r>
      <w:r w:rsidRPr="00A970ED">
        <w:rPr>
          <w:szCs w:val="22"/>
        </w:rPr>
        <w:t xml:space="preserve">es marques et </w:t>
      </w:r>
      <w:r>
        <w:rPr>
          <w:szCs w:val="22"/>
        </w:rPr>
        <w:t xml:space="preserve">de </w:t>
      </w:r>
      <w:r w:rsidRPr="00A970ED">
        <w:rPr>
          <w:szCs w:val="22"/>
        </w:rPr>
        <w:t xml:space="preserve">la concurrence déloyale, </w:t>
      </w:r>
      <w:r>
        <w:rPr>
          <w:szCs w:val="22"/>
        </w:rPr>
        <w:t>d</w:t>
      </w:r>
      <w:r w:rsidRPr="00A970ED">
        <w:rPr>
          <w:szCs w:val="22"/>
        </w:rPr>
        <w:t xml:space="preserve">es droits attachés au dessin ou modèle et </w:t>
      </w:r>
      <w:r>
        <w:rPr>
          <w:szCs w:val="22"/>
        </w:rPr>
        <w:t>d</w:t>
      </w:r>
      <w:r w:rsidRPr="00A970ED">
        <w:rPr>
          <w:szCs w:val="22"/>
        </w:rPr>
        <w:t>es secrets d</w:t>
      </w:r>
      <w:r w:rsidR="00526A3B">
        <w:rPr>
          <w:szCs w:val="22"/>
        </w:rPr>
        <w:t>’</w:t>
      </w:r>
      <w:r w:rsidRPr="00A970ED">
        <w:rPr>
          <w:szCs w:val="22"/>
        </w:rPr>
        <w:t>affair</w:t>
      </w:r>
      <w:r w:rsidR="00C87523" w:rsidRPr="00A970ED">
        <w:rPr>
          <w:szCs w:val="22"/>
        </w:rPr>
        <w:t>es</w:t>
      </w:r>
      <w:r w:rsidR="00C87523">
        <w:rPr>
          <w:szCs w:val="22"/>
        </w:rPr>
        <w:t xml:space="preserve">.  </w:t>
      </w:r>
      <w:r w:rsidR="00C87523" w:rsidRPr="00A970ED">
        <w:rPr>
          <w:szCs w:val="22"/>
        </w:rPr>
        <w:t>Po</w:t>
      </w:r>
      <w:r w:rsidRPr="00A970ED">
        <w:rPr>
          <w:szCs w:val="22"/>
        </w:rPr>
        <w:t>ur chaque domaine de la propriété intellectuelle, son objectif, les conditions d</w:t>
      </w:r>
      <w:r w:rsidR="00526A3B">
        <w:rPr>
          <w:szCs w:val="22"/>
        </w:rPr>
        <w:t>’</w:t>
      </w:r>
      <w:r w:rsidRPr="00A970ED">
        <w:rPr>
          <w:szCs w:val="22"/>
        </w:rPr>
        <w:t>octroi de la protection et l</w:t>
      </w:r>
      <w:r w:rsidR="00526A3B">
        <w:rPr>
          <w:szCs w:val="22"/>
        </w:rPr>
        <w:t>’</w:t>
      </w:r>
      <w:r w:rsidRPr="00A970ED">
        <w:rPr>
          <w:szCs w:val="22"/>
        </w:rPr>
        <w:t>étendue de la protection sont expliqu</w:t>
      </w:r>
      <w:r w:rsidR="00C87523" w:rsidRPr="00A970ED">
        <w:rPr>
          <w:szCs w:val="22"/>
        </w:rPr>
        <w:t>és</w:t>
      </w:r>
      <w:r w:rsidR="00C87523">
        <w:rPr>
          <w:szCs w:val="22"/>
        </w:rPr>
        <w:t xml:space="preserve">.  </w:t>
      </w:r>
      <w:r w:rsidR="00C87523" w:rsidRPr="00A970ED">
        <w:rPr>
          <w:szCs w:val="22"/>
        </w:rPr>
        <w:t>So</w:t>
      </w:r>
      <w:r w:rsidRPr="00A970ED">
        <w:rPr>
          <w:szCs w:val="22"/>
        </w:rPr>
        <w:t>nt ensuite abordés les outils qui peuvent être utilisés pour chaque domaine, tels que l</w:t>
      </w:r>
      <w:r w:rsidR="00526A3B">
        <w:rPr>
          <w:szCs w:val="22"/>
        </w:rPr>
        <w:t>’</w:t>
      </w:r>
      <w:r w:rsidRPr="00A970ED">
        <w:rPr>
          <w:szCs w:val="22"/>
        </w:rPr>
        <w:t>enregistrement, les recherches sur l</w:t>
      </w:r>
      <w:r w:rsidR="00526A3B">
        <w:rPr>
          <w:szCs w:val="22"/>
        </w:rPr>
        <w:t>’</w:t>
      </w:r>
      <w:r w:rsidRPr="00A970ED">
        <w:rPr>
          <w:szCs w:val="22"/>
        </w:rPr>
        <w:t>état de la technique et les droits antérieurs, les procédures de demande et les informations requises, les moyens d</w:t>
      </w:r>
      <w:r w:rsidR="00526A3B">
        <w:rPr>
          <w:szCs w:val="22"/>
        </w:rPr>
        <w:t>’</w:t>
      </w:r>
      <w:r w:rsidRPr="00A970ED">
        <w:rPr>
          <w:szCs w:val="22"/>
        </w:rPr>
        <w:t>éviter une non</w:t>
      </w:r>
      <w:r w:rsidR="00C87523">
        <w:rPr>
          <w:szCs w:val="22"/>
        </w:rPr>
        <w:noBreakHyphen/>
      </w:r>
      <w:r w:rsidRPr="00A970ED">
        <w:rPr>
          <w:szCs w:val="22"/>
        </w:rPr>
        <w:t>utilisation dans le cas des marques, les mentions de réserve du droit d</w:t>
      </w:r>
      <w:r w:rsidR="00526A3B">
        <w:rPr>
          <w:szCs w:val="22"/>
        </w:rPr>
        <w:t>’</w:t>
      </w:r>
      <w:r w:rsidRPr="00A970ED">
        <w:rPr>
          <w:szCs w:val="22"/>
        </w:rPr>
        <w:t>auteur, la tenue de registres dans le cadre de la conception d</w:t>
      </w:r>
      <w:r w:rsidR="00526A3B">
        <w:rPr>
          <w:szCs w:val="22"/>
        </w:rPr>
        <w:t>’</w:t>
      </w:r>
      <w:r w:rsidRPr="00A970ED">
        <w:rPr>
          <w:szCs w:val="22"/>
        </w:rPr>
        <w:t>interfaces utilisateur graphiques, les accords de non</w:t>
      </w:r>
      <w:r w:rsidR="00C87523">
        <w:rPr>
          <w:szCs w:val="22"/>
        </w:rPr>
        <w:noBreakHyphen/>
      </w:r>
      <w:r w:rsidRPr="00A970ED">
        <w:rPr>
          <w:szCs w:val="22"/>
        </w:rPr>
        <w:t>divulgation, e</w:t>
      </w:r>
      <w:r w:rsidR="00C87523" w:rsidRPr="00A970ED">
        <w:rPr>
          <w:szCs w:val="22"/>
        </w:rPr>
        <w:t>tc</w:t>
      </w:r>
      <w:r w:rsidR="00C87523">
        <w:rPr>
          <w:szCs w:val="22"/>
        </w:rPr>
        <w:t xml:space="preserve">.  </w:t>
      </w:r>
      <w:r w:rsidR="00C87523" w:rsidRPr="00A970ED">
        <w:rPr>
          <w:szCs w:val="22"/>
        </w:rPr>
        <w:t>Le</w:t>
      </w:r>
      <w:r w:rsidRPr="00A970ED">
        <w:rPr>
          <w:szCs w:val="22"/>
        </w:rPr>
        <w:t>s points principaux et les lignes directrices associés à chaque outil mettent en évidence leur applicabilité dans différents cas de figure et les principales considérations qui permettront d</w:t>
      </w:r>
      <w:r w:rsidR="00526A3B">
        <w:rPr>
          <w:szCs w:val="22"/>
        </w:rPr>
        <w:t>’</w:t>
      </w:r>
      <w:r w:rsidRPr="00A970ED">
        <w:rPr>
          <w:szCs w:val="22"/>
        </w:rPr>
        <w:t xml:space="preserve">orienter le processus de </w:t>
      </w:r>
      <w:r>
        <w:rPr>
          <w:szCs w:val="22"/>
        </w:rPr>
        <w:t xml:space="preserve">prise de </w:t>
      </w:r>
      <w:r w:rsidRPr="00A970ED">
        <w:rPr>
          <w:szCs w:val="22"/>
        </w:rPr>
        <w:t>décision lors de l</w:t>
      </w:r>
      <w:r w:rsidR="00526A3B">
        <w:rPr>
          <w:szCs w:val="22"/>
        </w:rPr>
        <w:t>’</w:t>
      </w:r>
      <w:r w:rsidRPr="00A970ED">
        <w:rPr>
          <w:szCs w:val="22"/>
        </w:rPr>
        <w:t>examen de ces outi</w:t>
      </w:r>
      <w:r w:rsidR="00C87523" w:rsidRPr="00A970ED">
        <w:rPr>
          <w:szCs w:val="22"/>
        </w:rPr>
        <w:t>ls</w:t>
      </w:r>
      <w:r w:rsidR="00C87523">
        <w:rPr>
          <w:szCs w:val="22"/>
        </w:rPr>
        <w:t xml:space="preserve">.  </w:t>
      </w:r>
      <w:r w:rsidR="00C87523" w:rsidRPr="00A970ED">
        <w:rPr>
          <w:szCs w:val="22"/>
        </w:rPr>
        <w:t>La</w:t>
      </w:r>
      <w:r w:rsidRPr="00A970ED">
        <w:rPr>
          <w:szCs w:val="22"/>
        </w:rPr>
        <w:t xml:space="preserve"> décision de demander une protection sur un marché et selon une procédure donnés dépend de l</w:t>
      </w:r>
      <w:r w:rsidR="00526A3B">
        <w:rPr>
          <w:szCs w:val="22"/>
        </w:rPr>
        <w:t>’</w:t>
      </w:r>
      <w:r w:rsidRPr="00A970ED">
        <w:rPr>
          <w:szCs w:val="22"/>
        </w:rPr>
        <w:t>évaluation des marchés clés ainsi que de la disponibilité de l</w:t>
      </w:r>
      <w:r w:rsidR="00526A3B">
        <w:rPr>
          <w:szCs w:val="22"/>
        </w:rPr>
        <w:t>’</w:t>
      </w:r>
      <w:r w:rsidRPr="00A970ED">
        <w:rPr>
          <w:szCs w:val="22"/>
        </w:rPr>
        <w:t xml:space="preserve">application mobile et des possibilités </w:t>
      </w:r>
      <w:r>
        <w:rPr>
          <w:szCs w:val="22"/>
        </w:rPr>
        <w:t xml:space="preserve">pour le titulaire </w:t>
      </w:r>
      <w:r w:rsidRPr="00A970ED">
        <w:rPr>
          <w:szCs w:val="22"/>
        </w:rPr>
        <w:t>d</w:t>
      </w:r>
      <w:r w:rsidR="00526A3B">
        <w:rPr>
          <w:szCs w:val="22"/>
        </w:rPr>
        <w:t>’</w:t>
      </w:r>
      <w:r w:rsidRPr="00A970ED">
        <w:rPr>
          <w:szCs w:val="22"/>
        </w:rPr>
        <w:t>exercer ses droits sur ces marchés.</w:t>
      </w:r>
    </w:p>
    <w:p w:rsidR="00166802" w:rsidRDefault="00617960" w:rsidP="00166802">
      <w:pPr>
        <w:spacing w:after="220" w:line="276" w:lineRule="auto"/>
        <w:rPr>
          <w:szCs w:val="22"/>
        </w:rPr>
      </w:pPr>
      <w:r w:rsidRPr="00A970ED">
        <w:rPr>
          <w:szCs w:val="22"/>
        </w:rPr>
        <w:t>La section</w:t>
      </w:r>
      <w:r>
        <w:rPr>
          <w:szCs w:val="22"/>
        </w:rPr>
        <w:t> </w:t>
      </w:r>
      <w:r w:rsidRPr="00A970ED">
        <w:rPr>
          <w:szCs w:val="22"/>
        </w:rPr>
        <w:t>5 donne des précisions sur l</w:t>
      </w:r>
      <w:r w:rsidR="00526A3B">
        <w:rPr>
          <w:szCs w:val="22"/>
        </w:rPr>
        <w:t>’</w:t>
      </w:r>
      <w:r w:rsidRPr="00A970ED">
        <w:rPr>
          <w:szCs w:val="22"/>
        </w:rPr>
        <w:t xml:space="preserve">étape de la </w:t>
      </w:r>
      <w:r>
        <w:rPr>
          <w:szCs w:val="22"/>
        </w:rPr>
        <w:t>distribution</w:t>
      </w:r>
      <w:r w:rsidRPr="00A970ED">
        <w:rPr>
          <w:szCs w:val="22"/>
        </w:rPr>
        <w:t xml:space="preserve"> </w:t>
      </w:r>
      <w:r>
        <w:rPr>
          <w:szCs w:val="22"/>
        </w:rPr>
        <w:t>d</w:t>
      </w:r>
      <w:r w:rsidRPr="00A970ED">
        <w:rPr>
          <w:szCs w:val="22"/>
        </w:rPr>
        <w:t xml:space="preserve">es applications mobiles et examine les outils qui peuvent être utilisés </w:t>
      </w:r>
      <w:r>
        <w:rPr>
          <w:szCs w:val="22"/>
        </w:rPr>
        <w:t>à cet éga</w:t>
      </w:r>
      <w:r w:rsidR="00C87523">
        <w:rPr>
          <w:szCs w:val="22"/>
        </w:rPr>
        <w:t xml:space="preserve">rd.  </w:t>
      </w:r>
      <w:r w:rsidR="00C87523" w:rsidRPr="00A970ED">
        <w:rPr>
          <w:szCs w:val="22"/>
        </w:rPr>
        <w:t>En</w:t>
      </w:r>
      <w:r w:rsidRPr="00A970ED">
        <w:rPr>
          <w:szCs w:val="22"/>
        </w:rPr>
        <w:t xml:space="preserve"> particulier, les concepteurs </w:t>
      </w:r>
      <w:r>
        <w:rPr>
          <w:szCs w:val="22"/>
        </w:rPr>
        <w:t xml:space="preserve">qui </w:t>
      </w:r>
      <w:r w:rsidRPr="00A970ED">
        <w:rPr>
          <w:szCs w:val="22"/>
        </w:rPr>
        <w:t xml:space="preserve">souhaitent mettre leurs applications à la disposition de plateformes ou des consommateurs peuvent </w:t>
      </w:r>
      <w:r>
        <w:rPr>
          <w:szCs w:val="22"/>
        </w:rPr>
        <w:t>se tourner notamment vers l</w:t>
      </w:r>
      <w:r w:rsidRPr="00A970ED">
        <w:rPr>
          <w:szCs w:val="22"/>
        </w:rPr>
        <w:t>es accords de distribution ou différents types de licenc</w:t>
      </w:r>
      <w:r w:rsidR="00C87523" w:rsidRPr="00A970ED">
        <w:rPr>
          <w:szCs w:val="22"/>
        </w:rPr>
        <w:t>es</w:t>
      </w:r>
      <w:r w:rsidR="00C87523">
        <w:rPr>
          <w:szCs w:val="22"/>
        </w:rPr>
        <w:t>.  Pa</w:t>
      </w:r>
      <w:r>
        <w:rPr>
          <w:szCs w:val="22"/>
        </w:rPr>
        <w:t>rmi les</w:t>
      </w:r>
      <w:r w:rsidRPr="00A970ED">
        <w:rPr>
          <w:szCs w:val="22"/>
        </w:rPr>
        <w:t xml:space="preserve"> outils d</w:t>
      </w:r>
      <w:r w:rsidR="00526A3B">
        <w:rPr>
          <w:szCs w:val="22"/>
        </w:rPr>
        <w:t>’</w:t>
      </w:r>
      <w:r w:rsidRPr="00A970ED">
        <w:rPr>
          <w:szCs w:val="22"/>
        </w:rPr>
        <w:t xml:space="preserve">octroi de licence examinés dans cette section </w:t>
      </w:r>
      <w:r>
        <w:rPr>
          <w:szCs w:val="22"/>
        </w:rPr>
        <w:t>figurent</w:t>
      </w:r>
      <w:r w:rsidRPr="00A970ED">
        <w:rPr>
          <w:szCs w:val="22"/>
        </w:rPr>
        <w:t xml:space="preserve"> </w:t>
      </w:r>
      <w:r>
        <w:rPr>
          <w:szCs w:val="22"/>
        </w:rPr>
        <w:t xml:space="preserve">notamment </w:t>
      </w:r>
      <w:r w:rsidRPr="00A970ED">
        <w:rPr>
          <w:szCs w:val="22"/>
        </w:rPr>
        <w:t xml:space="preserve">les licences de propriété intellectuelle, les contrats de licence utilisateur final, les </w:t>
      </w:r>
      <w:r w:rsidRPr="00A40835">
        <w:rPr>
          <w:szCs w:val="22"/>
        </w:rPr>
        <w:t>licences libres</w:t>
      </w:r>
      <w:r w:rsidRPr="00A970ED">
        <w:rPr>
          <w:szCs w:val="22"/>
        </w:rPr>
        <w:t xml:space="preserve"> et les licences Creative Commo</w:t>
      </w:r>
      <w:r w:rsidR="00C87523" w:rsidRPr="00A970ED">
        <w:rPr>
          <w:szCs w:val="22"/>
        </w:rPr>
        <w:t>ns</w:t>
      </w:r>
      <w:r w:rsidR="00C87523">
        <w:rPr>
          <w:szCs w:val="22"/>
        </w:rPr>
        <w:t>.  Si</w:t>
      </w:r>
      <w:r>
        <w:rPr>
          <w:szCs w:val="22"/>
        </w:rPr>
        <w:t xml:space="preserve">, grâce aux </w:t>
      </w:r>
      <w:r w:rsidRPr="00A970ED">
        <w:rPr>
          <w:szCs w:val="22"/>
        </w:rPr>
        <w:t xml:space="preserve">licences libres et </w:t>
      </w:r>
      <w:r>
        <w:rPr>
          <w:szCs w:val="22"/>
        </w:rPr>
        <w:t>aux</w:t>
      </w:r>
      <w:r w:rsidRPr="00A970ED">
        <w:rPr>
          <w:szCs w:val="22"/>
        </w:rPr>
        <w:t xml:space="preserve"> licences Creative Commons</w:t>
      </w:r>
      <w:r>
        <w:rPr>
          <w:szCs w:val="22"/>
        </w:rPr>
        <w:t xml:space="preserve">, </w:t>
      </w:r>
      <w:r w:rsidRPr="00A970ED">
        <w:rPr>
          <w:szCs w:val="22"/>
        </w:rPr>
        <w:t xml:space="preserve">des logiciels et des contenus créatifs </w:t>
      </w:r>
      <w:r>
        <w:rPr>
          <w:szCs w:val="22"/>
        </w:rPr>
        <w:t xml:space="preserve">peuvent être mis à disposition </w:t>
      </w:r>
      <w:r w:rsidRPr="00A970ED">
        <w:rPr>
          <w:szCs w:val="22"/>
        </w:rPr>
        <w:t>sans redevance, il est important de définir les conditions auxquelles l</w:t>
      </w:r>
      <w:r w:rsidR="00526A3B">
        <w:rPr>
          <w:szCs w:val="22"/>
        </w:rPr>
        <w:t>’</w:t>
      </w:r>
      <w:r w:rsidRPr="00A970ED">
        <w:rPr>
          <w:szCs w:val="22"/>
        </w:rPr>
        <w:t>utilisation par des tiers sera soumi</w:t>
      </w:r>
      <w:r w:rsidR="00C87523" w:rsidRPr="00A970ED">
        <w:rPr>
          <w:szCs w:val="22"/>
        </w:rPr>
        <w:t>se</w:t>
      </w:r>
      <w:r w:rsidR="00C87523">
        <w:rPr>
          <w:szCs w:val="22"/>
        </w:rPr>
        <w:t xml:space="preserve">.  </w:t>
      </w:r>
      <w:r w:rsidR="00C87523" w:rsidRPr="00A970ED">
        <w:rPr>
          <w:szCs w:val="22"/>
        </w:rPr>
        <w:t>Po</w:t>
      </w:r>
      <w:r w:rsidRPr="00A970ED">
        <w:rPr>
          <w:szCs w:val="22"/>
        </w:rPr>
        <w:t xml:space="preserve">ur chaque type de licence, il convient de prendre en considération les questions </w:t>
      </w:r>
      <w:r>
        <w:rPr>
          <w:szCs w:val="22"/>
        </w:rPr>
        <w:t>relatives</w:t>
      </w:r>
      <w:r w:rsidRPr="00A970ED">
        <w:rPr>
          <w:szCs w:val="22"/>
        </w:rPr>
        <w:t xml:space="preserve">, entre autres, </w:t>
      </w:r>
      <w:r>
        <w:rPr>
          <w:szCs w:val="22"/>
        </w:rPr>
        <w:t>au</w:t>
      </w:r>
      <w:r w:rsidRPr="00A970ED">
        <w:rPr>
          <w:szCs w:val="22"/>
        </w:rPr>
        <w:t xml:space="preserve"> champ d</w:t>
      </w:r>
      <w:r w:rsidR="00526A3B">
        <w:rPr>
          <w:szCs w:val="22"/>
        </w:rPr>
        <w:t>’</w:t>
      </w:r>
      <w:r w:rsidRPr="00A970ED">
        <w:rPr>
          <w:szCs w:val="22"/>
        </w:rPr>
        <w:t xml:space="preserve">application territorial et matériel, </w:t>
      </w:r>
      <w:r>
        <w:rPr>
          <w:szCs w:val="22"/>
        </w:rPr>
        <w:t>aux</w:t>
      </w:r>
      <w:r w:rsidRPr="00A970ED">
        <w:rPr>
          <w:szCs w:val="22"/>
        </w:rPr>
        <w:t xml:space="preserve"> coûts, </w:t>
      </w:r>
      <w:r>
        <w:rPr>
          <w:szCs w:val="22"/>
        </w:rPr>
        <w:t xml:space="preserve">à </w:t>
      </w:r>
      <w:r w:rsidRPr="00A970ED">
        <w:rPr>
          <w:szCs w:val="22"/>
        </w:rPr>
        <w:t>l</w:t>
      </w:r>
      <w:r w:rsidR="00526A3B">
        <w:rPr>
          <w:szCs w:val="22"/>
        </w:rPr>
        <w:t>’</w:t>
      </w:r>
      <w:r w:rsidRPr="00A970ED">
        <w:rPr>
          <w:szCs w:val="22"/>
        </w:rPr>
        <w:t xml:space="preserve">exclusivité et </w:t>
      </w:r>
      <w:r>
        <w:rPr>
          <w:szCs w:val="22"/>
        </w:rPr>
        <w:t xml:space="preserve">à </w:t>
      </w:r>
      <w:r w:rsidRPr="00A970ED">
        <w:rPr>
          <w:szCs w:val="22"/>
        </w:rPr>
        <w:t>la planification de la licen</w:t>
      </w:r>
      <w:r w:rsidR="00C87523" w:rsidRPr="00A970ED">
        <w:rPr>
          <w:szCs w:val="22"/>
        </w:rPr>
        <w:t>ce</w:t>
      </w:r>
      <w:r w:rsidR="00C87523">
        <w:rPr>
          <w:szCs w:val="22"/>
        </w:rPr>
        <w:t xml:space="preserve">.  </w:t>
      </w:r>
      <w:r w:rsidR="00C87523" w:rsidRPr="00A970ED">
        <w:rPr>
          <w:szCs w:val="22"/>
        </w:rPr>
        <w:t>Il</w:t>
      </w:r>
      <w:r w:rsidRPr="00A970ED">
        <w:rPr>
          <w:szCs w:val="22"/>
        </w:rPr>
        <w:t xml:space="preserve"> est recommandé de prendre conseil auprès d</w:t>
      </w:r>
      <w:r w:rsidR="00526A3B">
        <w:rPr>
          <w:szCs w:val="22"/>
        </w:rPr>
        <w:t>’</w:t>
      </w:r>
      <w:r w:rsidRPr="00A970ED">
        <w:rPr>
          <w:szCs w:val="22"/>
        </w:rPr>
        <w:t>un spécialiste des licences.</w:t>
      </w:r>
    </w:p>
    <w:p w:rsidR="00166802" w:rsidRDefault="00617960" w:rsidP="00166802">
      <w:pPr>
        <w:spacing w:after="220" w:line="276" w:lineRule="auto"/>
        <w:rPr>
          <w:szCs w:val="22"/>
        </w:rPr>
      </w:pPr>
      <w:r w:rsidRPr="00A970ED">
        <w:rPr>
          <w:szCs w:val="22"/>
        </w:rPr>
        <w:t>La section</w:t>
      </w:r>
      <w:r>
        <w:rPr>
          <w:szCs w:val="22"/>
        </w:rPr>
        <w:t> </w:t>
      </w:r>
      <w:r w:rsidRPr="00A970ED">
        <w:rPr>
          <w:szCs w:val="22"/>
        </w:rPr>
        <w:t xml:space="preserve">6 présente différents outils qui peuvent être utilisés pour </w:t>
      </w:r>
      <w:r>
        <w:rPr>
          <w:szCs w:val="22"/>
        </w:rPr>
        <w:t xml:space="preserve">faire respecter </w:t>
      </w:r>
      <w:r w:rsidRPr="00A970ED">
        <w:rPr>
          <w:szCs w:val="22"/>
        </w:rPr>
        <w:t xml:space="preserve">les droits de propriété intellectuelle attachés </w:t>
      </w:r>
      <w:r>
        <w:rPr>
          <w:szCs w:val="22"/>
        </w:rPr>
        <w:t>aux applications mobiles</w:t>
      </w:r>
      <w:r w:rsidRPr="00A970ED">
        <w:rPr>
          <w:szCs w:val="22"/>
        </w:rPr>
        <w:t xml:space="preserve">, ainsi que </w:t>
      </w:r>
      <w:r>
        <w:rPr>
          <w:szCs w:val="22"/>
        </w:rPr>
        <w:t>d</w:t>
      </w:r>
      <w:r w:rsidR="00526A3B">
        <w:rPr>
          <w:szCs w:val="22"/>
        </w:rPr>
        <w:t>’</w:t>
      </w:r>
      <w:r w:rsidRPr="00A970ED">
        <w:rPr>
          <w:szCs w:val="22"/>
        </w:rPr>
        <w:t>éventuelles violations des contrats de licen</w:t>
      </w:r>
      <w:r w:rsidR="00C87523" w:rsidRPr="00A970ED">
        <w:rPr>
          <w:szCs w:val="22"/>
        </w:rPr>
        <w:t>ce</w:t>
      </w:r>
      <w:r w:rsidR="00C87523">
        <w:rPr>
          <w:szCs w:val="22"/>
        </w:rPr>
        <w:t xml:space="preserve">.  </w:t>
      </w:r>
      <w:r w:rsidR="00C87523" w:rsidRPr="00A970ED">
        <w:rPr>
          <w:szCs w:val="22"/>
        </w:rPr>
        <w:t>Le</w:t>
      </w:r>
      <w:r w:rsidRPr="00A970ED">
        <w:rPr>
          <w:szCs w:val="22"/>
        </w:rPr>
        <w:t xml:space="preserve">s concepteurs peuvent utiliser plusieurs outils pour </w:t>
      </w:r>
      <w:r>
        <w:rPr>
          <w:szCs w:val="22"/>
        </w:rPr>
        <w:t>exercer</w:t>
      </w:r>
      <w:r w:rsidRPr="00A970ED">
        <w:rPr>
          <w:szCs w:val="22"/>
        </w:rPr>
        <w:t xml:space="preserve"> leurs droits lorsque des tiers copient des </w:t>
      </w:r>
      <w:r>
        <w:rPr>
          <w:szCs w:val="22"/>
        </w:rPr>
        <w:t>éléments</w:t>
      </w:r>
      <w:r w:rsidRPr="00A970ED">
        <w:rPr>
          <w:szCs w:val="22"/>
        </w:rPr>
        <w:t xml:space="preserve"> </w:t>
      </w:r>
      <w:r>
        <w:rPr>
          <w:szCs w:val="22"/>
        </w:rPr>
        <w:t>des applications</w:t>
      </w:r>
      <w:r w:rsidRPr="00A970ED">
        <w:rPr>
          <w:szCs w:val="22"/>
        </w:rPr>
        <w:t xml:space="preserve"> mobile</w:t>
      </w:r>
      <w:r>
        <w:rPr>
          <w:szCs w:val="22"/>
        </w:rPr>
        <w:t>s</w:t>
      </w:r>
      <w:r w:rsidRPr="00A970ED">
        <w:rPr>
          <w:szCs w:val="22"/>
        </w:rPr>
        <w:t xml:space="preserve"> sans le consentement du titulaire des droits ou lorsque les </w:t>
      </w:r>
      <w:r>
        <w:rPr>
          <w:szCs w:val="22"/>
        </w:rPr>
        <w:t>preneurs</w:t>
      </w:r>
      <w:r w:rsidRPr="00A970ED">
        <w:rPr>
          <w:szCs w:val="22"/>
        </w:rPr>
        <w:t xml:space="preserve"> de licences ne respectent pas les clauses contractuelles énoncées dans les licenc</w:t>
      </w:r>
      <w:r w:rsidR="00C87523" w:rsidRPr="00A970ED">
        <w:rPr>
          <w:szCs w:val="22"/>
        </w:rPr>
        <w:t>es</w:t>
      </w:r>
      <w:r w:rsidR="00C87523">
        <w:rPr>
          <w:szCs w:val="22"/>
        </w:rPr>
        <w:t xml:space="preserve">.  </w:t>
      </w:r>
      <w:r w:rsidR="00C87523" w:rsidRPr="00A970ED">
        <w:rPr>
          <w:szCs w:val="22"/>
        </w:rPr>
        <w:t>Il</w:t>
      </w:r>
      <w:r w:rsidRPr="00A970ED">
        <w:rPr>
          <w:szCs w:val="22"/>
        </w:rPr>
        <w:t xml:space="preserve"> est recommandé de demander un avis juridique en ce qui concerne l</w:t>
      </w:r>
      <w:r w:rsidRPr="004048B0">
        <w:rPr>
          <w:szCs w:val="22"/>
        </w:rPr>
        <w:t>a plupart des mesures d</w:t>
      </w:r>
      <w:r w:rsidR="00526A3B">
        <w:rPr>
          <w:szCs w:val="22"/>
        </w:rPr>
        <w:t>’</w:t>
      </w:r>
      <w:r w:rsidRPr="004048B0">
        <w:rPr>
          <w:szCs w:val="22"/>
        </w:rPr>
        <w:t>exécuti</w:t>
      </w:r>
      <w:r w:rsidR="00C87523" w:rsidRPr="004048B0">
        <w:rPr>
          <w:szCs w:val="22"/>
        </w:rPr>
        <w:t>on</w:t>
      </w:r>
      <w:r w:rsidR="00C87523">
        <w:rPr>
          <w:szCs w:val="22"/>
        </w:rPr>
        <w:t xml:space="preserve">.  </w:t>
      </w:r>
      <w:r w:rsidR="00C87523" w:rsidRPr="004048B0">
        <w:rPr>
          <w:szCs w:val="22"/>
        </w:rPr>
        <w:t>La</w:t>
      </w:r>
      <w:r w:rsidRPr="004048B0">
        <w:rPr>
          <w:szCs w:val="22"/>
        </w:rPr>
        <w:t xml:space="preserve"> boîte à outils </w:t>
      </w:r>
      <w:r>
        <w:rPr>
          <w:szCs w:val="22"/>
        </w:rPr>
        <w:t>examine</w:t>
      </w:r>
      <w:r w:rsidRPr="004048B0">
        <w:rPr>
          <w:szCs w:val="22"/>
        </w:rPr>
        <w:t xml:space="preserve"> dans le détail les procédures de notification et de retrait des principales plateformes d</w:t>
      </w:r>
      <w:r w:rsidR="00526A3B">
        <w:rPr>
          <w:szCs w:val="22"/>
        </w:rPr>
        <w:t>’</w:t>
      </w:r>
      <w:r w:rsidRPr="004048B0">
        <w:rPr>
          <w:szCs w:val="22"/>
        </w:rPr>
        <w:t>applications mobiles, les lettres de mise en demeure suivies de négociations, les procédures administratives et judiciaires, ainsi que les procédures et clauses de règlement des litig</w:t>
      </w:r>
      <w:r w:rsidR="00C87523" w:rsidRPr="004048B0">
        <w:rPr>
          <w:szCs w:val="22"/>
        </w:rPr>
        <w:t>es</w:t>
      </w:r>
      <w:r w:rsidR="00C87523">
        <w:rPr>
          <w:szCs w:val="22"/>
        </w:rPr>
        <w:t xml:space="preserve">.  </w:t>
      </w:r>
      <w:r w:rsidR="00C87523" w:rsidRPr="004048B0">
        <w:rPr>
          <w:szCs w:val="22"/>
        </w:rPr>
        <w:t>Af</w:t>
      </w:r>
      <w:r w:rsidRPr="004048B0">
        <w:rPr>
          <w:szCs w:val="22"/>
        </w:rPr>
        <w:t>in de choisir l</w:t>
      </w:r>
      <w:r w:rsidR="00526A3B">
        <w:rPr>
          <w:szCs w:val="22"/>
        </w:rPr>
        <w:t>’</w:t>
      </w:r>
      <w:r w:rsidRPr="004048B0">
        <w:rPr>
          <w:szCs w:val="22"/>
        </w:rPr>
        <w:t>outil approprié, il importe de recueillir des éléments de preuve et des informations sur l</w:t>
      </w:r>
      <w:r w:rsidR="00526A3B">
        <w:rPr>
          <w:szCs w:val="22"/>
        </w:rPr>
        <w:t>’</w:t>
      </w:r>
      <w:r w:rsidRPr="004048B0">
        <w:rPr>
          <w:szCs w:val="22"/>
        </w:rPr>
        <w:t>auteur de l</w:t>
      </w:r>
      <w:r w:rsidR="00526A3B">
        <w:rPr>
          <w:szCs w:val="22"/>
        </w:rPr>
        <w:t>’</w:t>
      </w:r>
      <w:r w:rsidRPr="004048B0">
        <w:rPr>
          <w:szCs w:val="22"/>
        </w:rPr>
        <w:t>atteinte présum</w:t>
      </w:r>
      <w:r w:rsidR="00C87523" w:rsidRPr="004048B0">
        <w:rPr>
          <w:szCs w:val="22"/>
        </w:rPr>
        <w:t>ée</w:t>
      </w:r>
      <w:r w:rsidR="00C87523">
        <w:rPr>
          <w:szCs w:val="22"/>
        </w:rPr>
        <w:t xml:space="preserve">.  </w:t>
      </w:r>
      <w:r w:rsidR="00C87523" w:rsidRPr="004048B0">
        <w:rPr>
          <w:szCs w:val="22"/>
        </w:rPr>
        <w:t>Po</w:t>
      </w:r>
      <w:r w:rsidRPr="004048B0">
        <w:rPr>
          <w:szCs w:val="22"/>
        </w:rPr>
        <w:t xml:space="preserve">ur </w:t>
      </w:r>
      <w:r>
        <w:rPr>
          <w:szCs w:val="22"/>
        </w:rPr>
        <w:t>définir</w:t>
      </w:r>
      <w:r w:rsidRPr="004048B0">
        <w:rPr>
          <w:szCs w:val="22"/>
        </w:rPr>
        <w:t xml:space="preserve"> le ressort juridique auprès duquel les litiges doivent être portés, il convient de tenir compte de la force exécutoire des jugements, en particulier dans le cas des litiges transfrontaliers.</w:t>
      </w:r>
    </w:p>
    <w:p w:rsidR="00617960" w:rsidRPr="004048B0" w:rsidRDefault="00617960" w:rsidP="00166802">
      <w:pPr>
        <w:spacing w:after="220" w:line="276" w:lineRule="auto"/>
        <w:rPr>
          <w:szCs w:val="22"/>
        </w:rPr>
      </w:pPr>
      <w:r w:rsidRPr="004048B0">
        <w:rPr>
          <w:szCs w:val="22"/>
        </w:rPr>
        <w:t xml:space="preserve">La </w:t>
      </w:r>
      <w:r>
        <w:rPr>
          <w:szCs w:val="22"/>
        </w:rPr>
        <w:t>s</w:t>
      </w:r>
      <w:r w:rsidRPr="004048B0">
        <w:rPr>
          <w:szCs w:val="22"/>
        </w:rPr>
        <w:t>ection</w:t>
      </w:r>
      <w:r>
        <w:rPr>
          <w:szCs w:val="22"/>
        </w:rPr>
        <w:t> </w:t>
      </w:r>
      <w:r w:rsidRPr="004048B0">
        <w:rPr>
          <w:szCs w:val="22"/>
        </w:rPr>
        <w:t xml:space="preserve">7 contient une liste de </w:t>
      </w:r>
      <w:r>
        <w:rPr>
          <w:szCs w:val="22"/>
        </w:rPr>
        <w:t>références</w:t>
      </w:r>
      <w:r w:rsidRPr="004048B0">
        <w:rPr>
          <w:szCs w:val="22"/>
        </w:rPr>
        <w:t xml:space="preserve"> et de liens hypertextes util</w:t>
      </w:r>
      <w:r w:rsidR="00C87523" w:rsidRPr="004048B0">
        <w:rPr>
          <w:szCs w:val="22"/>
        </w:rPr>
        <w:t>es</w:t>
      </w:r>
      <w:r w:rsidR="00C87523">
        <w:rPr>
          <w:szCs w:val="22"/>
        </w:rPr>
        <w:t xml:space="preserve">.  </w:t>
      </w:r>
      <w:r w:rsidR="00C87523" w:rsidRPr="004048B0">
        <w:rPr>
          <w:szCs w:val="22"/>
        </w:rPr>
        <w:t>Le</w:t>
      </w:r>
      <w:r w:rsidRPr="004048B0">
        <w:rPr>
          <w:szCs w:val="22"/>
        </w:rPr>
        <w:t>s concepteurs d</w:t>
      </w:r>
      <w:r w:rsidR="00526A3B">
        <w:rPr>
          <w:szCs w:val="22"/>
        </w:rPr>
        <w:t>’</w:t>
      </w:r>
      <w:r w:rsidRPr="004048B0">
        <w:rPr>
          <w:szCs w:val="22"/>
        </w:rPr>
        <w:t>applications mobiles pourront consulter ces références pour obtenir davantage d</w:t>
      </w:r>
      <w:r w:rsidR="00526A3B">
        <w:rPr>
          <w:szCs w:val="22"/>
        </w:rPr>
        <w:t>’</w:t>
      </w:r>
      <w:r w:rsidRPr="004048B0">
        <w:rPr>
          <w:szCs w:val="22"/>
        </w:rPr>
        <w:t xml:space="preserve">informations sur les outils </w:t>
      </w:r>
      <w:r>
        <w:rPr>
          <w:szCs w:val="22"/>
        </w:rPr>
        <w:t>dont il est question</w:t>
      </w:r>
      <w:r w:rsidRPr="004048B0">
        <w:rPr>
          <w:szCs w:val="22"/>
        </w:rPr>
        <w:t xml:space="preserve">, ainsi que sur les exemples et modèles </w:t>
      </w:r>
      <w:r>
        <w:rPr>
          <w:szCs w:val="22"/>
        </w:rPr>
        <w:t xml:space="preserve">que contient </w:t>
      </w:r>
      <w:r w:rsidRPr="004048B0">
        <w:rPr>
          <w:szCs w:val="22"/>
        </w:rPr>
        <w:t>la boîte à outils.</w:t>
      </w:r>
    </w:p>
    <w:p w:rsidR="00617960" w:rsidRPr="00166802" w:rsidRDefault="00617960" w:rsidP="00166802">
      <w:pPr>
        <w:pStyle w:val="Endofdocument-Annex"/>
        <w:spacing w:before="720"/>
        <w:rPr>
          <w:lang w:val="fr-FR"/>
        </w:rPr>
      </w:pPr>
      <w:r w:rsidRPr="00166802">
        <w:rPr>
          <w:lang w:val="fr-FR"/>
        </w:rPr>
        <w:t>[Fin de l</w:t>
      </w:r>
      <w:r w:rsidR="00526A3B">
        <w:rPr>
          <w:lang w:val="fr-FR"/>
        </w:rPr>
        <w:t>’</w:t>
      </w:r>
      <w:r w:rsidRPr="00166802">
        <w:rPr>
          <w:lang w:val="fr-FR"/>
        </w:rPr>
        <w:t>annexe et du document]</w:t>
      </w:r>
    </w:p>
    <w:sectPr w:rsidR="00617960" w:rsidRPr="00166802" w:rsidSect="00166802">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960" w:rsidRDefault="00617960">
      <w:r>
        <w:separator/>
      </w:r>
    </w:p>
  </w:endnote>
  <w:endnote w:type="continuationSeparator" w:id="0">
    <w:p w:rsidR="00617960" w:rsidRPr="009D30E6" w:rsidRDefault="00617960" w:rsidP="00D45252">
      <w:pPr>
        <w:rPr>
          <w:sz w:val="17"/>
          <w:szCs w:val="17"/>
        </w:rPr>
      </w:pPr>
      <w:r w:rsidRPr="009D30E6">
        <w:rPr>
          <w:sz w:val="17"/>
          <w:szCs w:val="17"/>
        </w:rPr>
        <w:separator/>
      </w:r>
    </w:p>
    <w:p w:rsidR="00617960" w:rsidRPr="009D30E6" w:rsidRDefault="00617960" w:rsidP="00D45252">
      <w:pPr>
        <w:spacing w:after="60"/>
        <w:rPr>
          <w:sz w:val="17"/>
          <w:szCs w:val="17"/>
        </w:rPr>
      </w:pPr>
      <w:r w:rsidRPr="009D30E6">
        <w:rPr>
          <w:sz w:val="17"/>
          <w:szCs w:val="17"/>
        </w:rPr>
        <w:t>[Suite de la note de la page précédente]</w:t>
      </w:r>
    </w:p>
  </w:endnote>
  <w:endnote w:type="continuationNotice" w:id="1">
    <w:p w:rsidR="00617960" w:rsidRPr="009D30E6" w:rsidRDefault="0061796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60" w:rsidRDefault="00617960" w:rsidP="003C710A">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60" w:rsidRDefault="00617960">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A3B" w:rsidRDefault="00526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960" w:rsidRDefault="00617960">
      <w:r>
        <w:separator/>
      </w:r>
    </w:p>
  </w:footnote>
  <w:footnote w:type="continuationSeparator" w:id="0">
    <w:p w:rsidR="00617960" w:rsidRDefault="00617960" w:rsidP="007461F1">
      <w:r>
        <w:separator/>
      </w:r>
    </w:p>
    <w:p w:rsidR="00617960" w:rsidRPr="009D30E6" w:rsidRDefault="00617960" w:rsidP="007461F1">
      <w:pPr>
        <w:spacing w:after="60"/>
        <w:rPr>
          <w:sz w:val="17"/>
          <w:szCs w:val="17"/>
        </w:rPr>
      </w:pPr>
      <w:r w:rsidRPr="009D30E6">
        <w:rPr>
          <w:sz w:val="17"/>
          <w:szCs w:val="17"/>
        </w:rPr>
        <w:t>[Suite de la note de la page précédente]</w:t>
      </w:r>
    </w:p>
  </w:footnote>
  <w:footnote w:type="continuationNotice" w:id="1">
    <w:p w:rsidR="00617960" w:rsidRPr="009D30E6" w:rsidRDefault="00617960" w:rsidP="007461F1">
      <w:pPr>
        <w:spacing w:before="60"/>
        <w:jc w:val="right"/>
        <w:rPr>
          <w:sz w:val="17"/>
          <w:szCs w:val="17"/>
        </w:rPr>
      </w:pPr>
      <w:r w:rsidRPr="009D30E6">
        <w:rPr>
          <w:sz w:val="17"/>
          <w:szCs w:val="17"/>
        </w:rPr>
        <w:t>[Suite de la note page suivante]</w:t>
      </w:r>
    </w:p>
  </w:footnote>
  <w:footnote w:id="2">
    <w:p w:rsidR="00617960" w:rsidRPr="008B3869" w:rsidRDefault="00617960" w:rsidP="00617960">
      <w:pPr>
        <w:pStyle w:val="FootnoteText"/>
      </w:pPr>
      <w:r w:rsidRPr="008B3869">
        <w:rPr>
          <w:rStyle w:val="FootnoteReference"/>
        </w:rPr>
        <w:footnoteRef/>
      </w:r>
      <w:r w:rsidRPr="008B3869">
        <w:t xml:space="preserve"> </w:t>
      </w:r>
      <w:r w:rsidR="00166802">
        <w:tab/>
      </w:r>
      <w:r w:rsidRPr="008B3869">
        <w:t xml:space="preserve">La boîte à outils </w:t>
      </w:r>
      <w:r>
        <w:t>de</w:t>
      </w:r>
      <w:r w:rsidRPr="008B3869">
        <w:t xml:space="preserve"> propriété intellectuelle pour les </w:t>
      </w:r>
      <w:r>
        <w:t>concepteurs</w:t>
      </w:r>
      <w:r w:rsidRPr="008B3869">
        <w:t xml:space="preserve"> d</w:t>
      </w:r>
      <w:r w:rsidR="00E72EB6">
        <w:t>’</w:t>
      </w:r>
      <w:r w:rsidRPr="008B3869">
        <w:t>applications mobiles est disponible en version intégrale à l</w:t>
      </w:r>
      <w:r w:rsidR="00E72EB6">
        <w:t>’</w:t>
      </w:r>
      <w:r w:rsidRPr="008B3869">
        <w:t>adresse suivante</w:t>
      </w:r>
      <w:r w:rsidR="00E72EB6">
        <w:t> :</w:t>
      </w:r>
      <w:r w:rsidRPr="008B3869">
        <w:t xml:space="preserve"> www.wipo.int/export/sites/www/ip</w:t>
      </w:r>
      <w:r w:rsidR="00C87523">
        <w:noBreakHyphen/>
      </w:r>
      <w:r w:rsidRPr="008B3869">
        <w:t>development/en/agenda/pdf/wipo_ip_toolbox_mobile_apps.pdf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60" w:rsidRPr="00262966" w:rsidRDefault="00617960" w:rsidP="003C710A">
    <w:pPr>
      <w:tabs>
        <w:tab w:val="center" w:pos="4536"/>
        <w:tab w:val="right" w:pos="9072"/>
      </w:tabs>
      <w:jc w:val="right"/>
    </w:pPr>
    <w:r w:rsidRPr="00262966">
      <w:t>CDIP/20/</w:t>
    </w:r>
    <w:r w:rsidRPr="00262966">
      <w:rPr>
        <w:highlight w:val="yellow"/>
      </w:rPr>
      <w:t>X</w:t>
    </w:r>
  </w:p>
  <w:p w:rsidR="00617960" w:rsidRDefault="00617960" w:rsidP="003C710A">
    <w:pPr>
      <w:tabs>
        <w:tab w:val="center" w:pos="4536"/>
        <w:tab w:val="right" w:pos="9072"/>
      </w:tabs>
      <w:jc w:val="right"/>
    </w:pPr>
    <w:proofErr w:type="spellStart"/>
    <w:r>
      <w:t>Annex</w:t>
    </w:r>
    <w:proofErr w:type="spellEnd"/>
    <w:r w:rsidRPr="00262966">
      <w:t xml:space="preserve">, page </w:t>
    </w:r>
    <w:r w:rsidRPr="00262966">
      <w:fldChar w:fldCharType="begin"/>
    </w:r>
    <w:r w:rsidRPr="00262966">
      <w:instrText xml:space="preserve"> PAGE   \* MERGEFORMAT </w:instrText>
    </w:r>
    <w:r w:rsidRPr="00262966">
      <w:fldChar w:fldCharType="separate"/>
    </w:r>
    <w:r>
      <w:rPr>
        <w:noProof/>
      </w:rPr>
      <w:t>4</w:t>
    </w:r>
    <w:r w:rsidRPr="0026296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60" w:rsidRPr="00262966" w:rsidRDefault="00617960" w:rsidP="00A970ED">
    <w:pPr>
      <w:tabs>
        <w:tab w:val="center" w:pos="4536"/>
        <w:tab w:val="right" w:pos="9072"/>
      </w:tabs>
      <w:jc w:val="right"/>
    </w:pPr>
    <w:r w:rsidRPr="00A970ED">
      <w:rPr>
        <w:color w:val="000000"/>
      </w:rPr>
      <w:t>CDIP/28/INF/5</w:t>
    </w:r>
  </w:p>
  <w:p w:rsidR="00617960" w:rsidRDefault="00617960" w:rsidP="00A970ED">
    <w:pPr>
      <w:tabs>
        <w:tab w:val="center" w:pos="4536"/>
        <w:tab w:val="right" w:pos="9072"/>
      </w:tabs>
      <w:jc w:val="right"/>
    </w:pPr>
    <w:r>
      <w:t>Annexe</w:t>
    </w:r>
    <w:r w:rsidRPr="00262966">
      <w:t xml:space="preserve">, page </w:t>
    </w:r>
    <w:r w:rsidRPr="00262966">
      <w:fldChar w:fldCharType="begin"/>
    </w:r>
    <w:r w:rsidRPr="00262966">
      <w:instrText xml:space="preserve"> page   \* mergeformat </w:instrText>
    </w:r>
    <w:r w:rsidRPr="00262966">
      <w:fldChar w:fldCharType="separate"/>
    </w:r>
    <w:r>
      <w:rPr>
        <w:noProof/>
      </w:rPr>
      <w:t>4</w:t>
    </w:r>
    <w:r w:rsidRPr="00262966">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02" w:rsidRPr="00C87523" w:rsidRDefault="00166802" w:rsidP="00C875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B45C15" w:rsidRDefault="00617960" w:rsidP="00477D6B">
    <w:pPr>
      <w:jc w:val="right"/>
      <w:rPr>
        <w:caps/>
      </w:rPr>
    </w:pPr>
    <w:bookmarkStart w:id="6" w:name="Code2"/>
    <w:bookmarkEnd w:id="6"/>
    <w:r>
      <w:rPr>
        <w:caps/>
      </w:rPr>
      <w:t>CDIP/28/INF/5</w:t>
    </w:r>
  </w:p>
  <w:p w:rsidR="00F16975" w:rsidRDefault="00166802" w:rsidP="00166802">
    <w:pPr>
      <w:spacing w:after="480"/>
      <w:jc w:val="right"/>
    </w:pPr>
    <w:r>
      <w:t xml:space="preserve">Annexe, </w:t>
    </w:r>
    <w:r w:rsidR="00F16975">
      <w:t xml:space="preserve">page </w:t>
    </w:r>
    <w:r w:rsidR="00F16975">
      <w:fldChar w:fldCharType="begin"/>
    </w:r>
    <w:r w:rsidR="00F16975">
      <w:instrText xml:space="preserve"> PAGE  \* MERGEFORMAT </w:instrText>
    </w:r>
    <w:r w:rsidR="00F16975">
      <w:fldChar w:fldCharType="separate"/>
    </w:r>
    <w:r w:rsidR="00BC54ED">
      <w:rPr>
        <w:noProof/>
      </w:rPr>
      <w:t>3</w:t>
    </w:r>
    <w:r w:rsidR="00F16975">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523" w:rsidRPr="00090EA9" w:rsidRDefault="00C87523" w:rsidP="00C87523">
    <w:pPr>
      <w:pStyle w:val="Header"/>
      <w:jc w:val="right"/>
      <w:rPr>
        <w:szCs w:val="22"/>
      </w:rPr>
    </w:pPr>
    <w:r w:rsidRPr="001531AC">
      <w:rPr>
        <w:szCs w:val="22"/>
      </w:rPr>
      <w:t>CDIP/28/INF/5</w:t>
    </w:r>
  </w:p>
  <w:p w:rsidR="00C87523" w:rsidRPr="00C87523" w:rsidRDefault="00C87523" w:rsidP="00C87523">
    <w:pPr>
      <w:pStyle w:val="Header"/>
      <w:spacing w:after="480"/>
      <w:jc w:val="right"/>
    </w:pPr>
    <w:r w:rsidRPr="00090EA9">
      <w:rPr>
        <w:szCs w:val="22"/>
      </w:rPr>
      <w:t>ANNEX</w:t>
    </w:r>
    <w:r>
      <w:rPr>
        <w:szCs w:val="22"/>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16E0E93"/>
    <w:multiLevelType w:val="hybridMultilevel"/>
    <w:tmpl w:val="9EBE5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60"/>
    <w:rsid w:val="00011B7D"/>
    <w:rsid w:val="00075432"/>
    <w:rsid w:val="0009458A"/>
    <w:rsid w:val="000F5E56"/>
    <w:rsid w:val="00104CEB"/>
    <w:rsid w:val="001362EE"/>
    <w:rsid w:val="00150368"/>
    <w:rsid w:val="00166802"/>
    <w:rsid w:val="001832A6"/>
    <w:rsid w:val="00195C6E"/>
    <w:rsid w:val="001B266A"/>
    <w:rsid w:val="001B488E"/>
    <w:rsid w:val="001C6508"/>
    <w:rsid w:val="001D3D56"/>
    <w:rsid w:val="001F3D60"/>
    <w:rsid w:val="00240654"/>
    <w:rsid w:val="0025540C"/>
    <w:rsid w:val="002634C4"/>
    <w:rsid w:val="00274EE0"/>
    <w:rsid w:val="002956DE"/>
    <w:rsid w:val="002E4D1A"/>
    <w:rsid w:val="002F16BC"/>
    <w:rsid w:val="002F4E68"/>
    <w:rsid w:val="00322C0B"/>
    <w:rsid w:val="00381798"/>
    <w:rsid w:val="003845C1"/>
    <w:rsid w:val="003A67A3"/>
    <w:rsid w:val="004008A2"/>
    <w:rsid w:val="004025DF"/>
    <w:rsid w:val="0040540C"/>
    <w:rsid w:val="00423E3E"/>
    <w:rsid w:val="00427AF4"/>
    <w:rsid w:val="004647DA"/>
    <w:rsid w:val="00477D6B"/>
    <w:rsid w:val="0049657E"/>
    <w:rsid w:val="004C21E8"/>
    <w:rsid w:val="004D6471"/>
    <w:rsid w:val="0051455D"/>
    <w:rsid w:val="00525B63"/>
    <w:rsid w:val="00525E59"/>
    <w:rsid w:val="00526A3B"/>
    <w:rsid w:val="00541348"/>
    <w:rsid w:val="005421DD"/>
    <w:rsid w:val="00554FA5"/>
    <w:rsid w:val="00561BF0"/>
    <w:rsid w:val="00567A4C"/>
    <w:rsid w:val="00574036"/>
    <w:rsid w:val="00595F07"/>
    <w:rsid w:val="005E6516"/>
    <w:rsid w:val="00605827"/>
    <w:rsid w:val="00616671"/>
    <w:rsid w:val="00617960"/>
    <w:rsid w:val="00693B47"/>
    <w:rsid w:val="006B0DB5"/>
    <w:rsid w:val="007461F1"/>
    <w:rsid w:val="007C6F2C"/>
    <w:rsid w:val="007D6961"/>
    <w:rsid w:val="007F07CB"/>
    <w:rsid w:val="00800ECC"/>
    <w:rsid w:val="00810CEF"/>
    <w:rsid w:val="0081208D"/>
    <w:rsid w:val="008B2CC1"/>
    <w:rsid w:val="008E7930"/>
    <w:rsid w:val="0090731E"/>
    <w:rsid w:val="00966A22"/>
    <w:rsid w:val="00974CD6"/>
    <w:rsid w:val="009D30E6"/>
    <w:rsid w:val="009E3F6F"/>
    <w:rsid w:val="009F499F"/>
    <w:rsid w:val="00A11D74"/>
    <w:rsid w:val="00A44B6B"/>
    <w:rsid w:val="00AC0AE4"/>
    <w:rsid w:val="00AC17E0"/>
    <w:rsid w:val="00AD61DB"/>
    <w:rsid w:val="00B1090C"/>
    <w:rsid w:val="00B10F4A"/>
    <w:rsid w:val="00B35AF5"/>
    <w:rsid w:val="00B45C15"/>
    <w:rsid w:val="00BC54ED"/>
    <w:rsid w:val="00BE0BE0"/>
    <w:rsid w:val="00C664C8"/>
    <w:rsid w:val="00C87523"/>
    <w:rsid w:val="00CA3CE2"/>
    <w:rsid w:val="00CF0460"/>
    <w:rsid w:val="00D43E0F"/>
    <w:rsid w:val="00D45252"/>
    <w:rsid w:val="00D70184"/>
    <w:rsid w:val="00D71B4D"/>
    <w:rsid w:val="00D75C1E"/>
    <w:rsid w:val="00D93D55"/>
    <w:rsid w:val="00DB1C48"/>
    <w:rsid w:val="00DD4917"/>
    <w:rsid w:val="00DD6A16"/>
    <w:rsid w:val="00E0091A"/>
    <w:rsid w:val="00E203AA"/>
    <w:rsid w:val="00E5217A"/>
    <w:rsid w:val="00E527A5"/>
    <w:rsid w:val="00E72EB6"/>
    <w:rsid w:val="00E76456"/>
    <w:rsid w:val="00EE249C"/>
    <w:rsid w:val="00EE71CB"/>
    <w:rsid w:val="00EF1627"/>
    <w:rsid w:val="00F16975"/>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077B7F0-CAAD-4F88-93B4-E4E16E61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erChar">
    <w:name w:val="Header Char"/>
    <w:basedOn w:val="DefaultParagraphFont"/>
    <w:link w:val="Header"/>
    <w:uiPriority w:val="99"/>
    <w:rsid w:val="00617960"/>
    <w:rPr>
      <w:rFonts w:ascii="Arial" w:eastAsia="SimSun" w:hAnsi="Arial" w:cs="Arial"/>
      <w:sz w:val="22"/>
      <w:lang w:eastAsia="zh-CN"/>
    </w:rPr>
  </w:style>
  <w:style w:type="character" w:customStyle="1" w:styleId="FooterChar">
    <w:name w:val="Footer Char"/>
    <w:basedOn w:val="DefaultParagraphFont"/>
    <w:link w:val="Footer"/>
    <w:uiPriority w:val="99"/>
    <w:rsid w:val="00617960"/>
    <w:rPr>
      <w:rFonts w:ascii="Arial" w:eastAsia="SimSun" w:hAnsi="Arial" w:cs="Arial"/>
      <w:sz w:val="22"/>
      <w:lang w:eastAsia="zh-CN"/>
    </w:rPr>
  </w:style>
  <w:style w:type="paragraph" w:styleId="ListParagraph">
    <w:name w:val="List Paragraph"/>
    <w:basedOn w:val="Normal"/>
    <w:uiPriority w:val="34"/>
    <w:qFormat/>
    <w:rsid w:val="00617960"/>
    <w:pPr>
      <w:ind w:left="720"/>
      <w:contextualSpacing/>
    </w:pPr>
    <w:rPr>
      <w:rFonts w:asciiTheme="minorHAnsi" w:eastAsiaTheme="minorHAnsi" w:hAnsiTheme="minorHAnsi" w:cstheme="minorBidi"/>
      <w:sz w:val="24"/>
      <w:szCs w:val="24"/>
      <w:lang w:val="en-US" w:eastAsia="en-US"/>
    </w:rPr>
  </w:style>
  <w:style w:type="character" w:styleId="FootnoteReference">
    <w:name w:val="footnote reference"/>
    <w:basedOn w:val="DefaultParagraphFont"/>
    <w:semiHidden/>
    <w:unhideWhenUsed/>
    <w:rsid w:val="00617960"/>
    <w:rPr>
      <w:vertAlign w:val="superscript"/>
    </w:rPr>
  </w:style>
  <w:style w:type="character" w:styleId="Hyperlink">
    <w:name w:val="Hyperlink"/>
    <w:basedOn w:val="DefaultParagraphFont"/>
    <w:semiHidden/>
    <w:unhideWhenUsed/>
    <w:rsid w:val="00C875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2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82AAC-46CF-4029-9214-90B85C77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CDIP_28 (F)</Template>
  <TotalTime>7</TotalTime>
  <Pages>4</Pages>
  <Words>1345</Words>
  <Characters>7779</Characters>
  <Application>Microsoft Office Word</Application>
  <DocSecurity>0</DocSecurity>
  <Lines>115</Lines>
  <Paragraphs>23</Paragraphs>
  <ScaleCrop>false</ScaleCrop>
  <HeadingPairs>
    <vt:vector size="2" baseType="variant">
      <vt:variant>
        <vt:lpstr>Title</vt:lpstr>
      </vt:variant>
      <vt:variant>
        <vt:i4>1</vt:i4>
      </vt:variant>
    </vt:vector>
  </HeadingPairs>
  <TitlesOfParts>
    <vt:vector size="1" baseType="lpstr">
      <vt:lpstr>CDIP/28/</vt:lpstr>
    </vt:vector>
  </TitlesOfParts>
  <Company>WIPO</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dc:title>
  <dc:creator>BERNARD Nadège</dc:creator>
  <cp:keywords>FOR OFFICIAL USE ONLY</cp:keywords>
  <cp:lastModifiedBy>ESTEVES DOS SANTOS Anabela</cp:lastModifiedBy>
  <cp:revision>10</cp:revision>
  <cp:lastPrinted>2011-05-19T12:37:00Z</cp:lastPrinted>
  <dcterms:created xsi:type="dcterms:W3CDTF">2022-05-02T07:20:00Z</dcterms:created>
  <dcterms:modified xsi:type="dcterms:W3CDTF">2022-05-02T15:45:00Z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7139dc7e-b8e5-4d95-94b7-53c07fbf7ad1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