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774" w:rsidRPr="00EB51C6" w:rsidRDefault="00A50774" w:rsidP="00A50774">
      <w:pPr>
        <w:pBdr>
          <w:bottom w:val="single" w:sz="4" w:space="11" w:color="auto"/>
        </w:pBdr>
        <w:spacing w:after="120"/>
        <w:jc w:val="right"/>
        <w:rPr>
          <w:lang w:val="fr-FR"/>
        </w:rPr>
      </w:pPr>
      <w:r w:rsidRPr="00EB51C6">
        <w:rPr>
          <w:noProof/>
        </w:rPr>
        <w:drawing>
          <wp:inline distT="0" distB="0" distL="0" distR="0" wp14:anchorId="4CB0F5CC" wp14:editId="3BD27E2F">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A50774" w:rsidRPr="00EB51C6" w:rsidRDefault="00A50774" w:rsidP="00A50774">
      <w:pPr>
        <w:jc w:val="right"/>
        <w:rPr>
          <w:rFonts w:ascii="Arial Black" w:hAnsi="Arial Black"/>
          <w:caps/>
          <w:sz w:val="15"/>
          <w:lang w:val="fr-FR"/>
        </w:rPr>
      </w:pPr>
      <w:r w:rsidRPr="00EB51C6">
        <w:rPr>
          <w:rFonts w:ascii="Arial Black" w:hAnsi="Arial Black"/>
          <w:caps/>
          <w:sz w:val="15"/>
          <w:lang w:val="fr-FR"/>
        </w:rPr>
        <w:t>CDIP/28/</w:t>
      </w:r>
      <w:bookmarkStart w:id="0" w:name="Code"/>
      <w:bookmarkEnd w:id="0"/>
      <w:r w:rsidRPr="00EB51C6">
        <w:rPr>
          <w:rFonts w:ascii="Arial Black" w:hAnsi="Arial Black"/>
          <w:caps/>
          <w:sz w:val="15"/>
          <w:lang w:val="fr-FR"/>
        </w:rPr>
        <w:t>INF/4</w:t>
      </w:r>
    </w:p>
    <w:p w:rsidR="00A50774" w:rsidRPr="00EB51C6" w:rsidRDefault="00A50774" w:rsidP="00A50774">
      <w:pPr>
        <w:jc w:val="right"/>
        <w:rPr>
          <w:lang w:val="fr-FR"/>
        </w:rPr>
      </w:pPr>
      <w:r w:rsidRPr="00EB51C6">
        <w:rPr>
          <w:rFonts w:ascii="Arial Black" w:hAnsi="Arial Black"/>
          <w:caps/>
          <w:sz w:val="15"/>
          <w:lang w:val="fr-FR"/>
        </w:rPr>
        <w:t>ORIGINAL</w:t>
      </w:r>
      <w:r w:rsidR="00013D86" w:rsidRPr="00EB51C6">
        <w:rPr>
          <w:rFonts w:ascii="Arial Black" w:hAnsi="Arial Black"/>
          <w:caps/>
          <w:sz w:val="15"/>
          <w:lang w:val="fr-FR"/>
        </w:rPr>
        <w:t> :</w:t>
      </w:r>
      <w:bookmarkStart w:id="1" w:name="Original"/>
      <w:r w:rsidRPr="00EB51C6">
        <w:rPr>
          <w:rFonts w:ascii="Arial Black" w:hAnsi="Arial Black"/>
          <w:caps/>
          <w:sz w:val="15"/>
          <w:lang w:val="fr-FR"/>
        </w:rPr>
        <w:t xml:space="preserve"> anglais</w:t>
      </w:r>
    </w:p>
    <w:bookmarkEnd w:id="1"/>
    <w:p w:rsidR="00A50774" w:rsidRPr="00EB51C6" w:rsidRDefault="00A50774" w:rsidP="00A50774">
      <w:pPr>
        <w:spacing w:after="1200"/>
        <w:jc w:val="right"/>
        <w:rPr>
          <w:lang w:val="fr-FR"/>
        </w:rPr>
      </w:pPr>
      <w:r w:rsidRPr="00EB51C6">
        <w:rPr>
          <w:rFonts w:ascii="Arial Black" w:hAnsi="Arial Black"/>
          <w:caps/>
          <w:sz w:val="15"/>
          <w:lang w:val="fr-FR"/>
        </w:rPr>
        <w:t>DATE</w:t>
      </w:r>
      <w:r w:rsidR="00013D86" w:rsidRPr="00EB51C6">
        <w:rPr>
          <w:rFonts w:ascii="Arial Black" w:hAnsi="Arial Black"/>
          <w:caps/>
          <w:sz w:val="15"/>
          <w:lang w:val="fr-FR"/>
        </w:rPr>
        <w:t> :</w:t>
      </w:r>
      <w:bookmarkStart w:id="2" w:name="Date"/>
      <w:r w:rsidRPr="00EB51C6">
        <w:rPr>
          <w:rFonts w:ascii="Arial Black" w:hAnsi="Arial Black"/>
          <w:caps/>
          <w:sz w:val="15"/>
          <w:lang w:val="fr-FR"/>
        </w:rPr>
        <w:t xml:space="preserve"> 19 avril 2022</w:t>
      </w:r>
    </w:p>
    <w:bookmarkEnd w:id="2"/>
    <w:p w:rsidR="00A50774" w:rsidRPr="00EB51C6" w:rsidRDefault="00A50774" w:rsidP="00A50774">
      <w:pPr>
        <w:spacing w:after="600"/>
        <w:rPr>
          <w:b/>
          <w:sz w:val="28"/>
          <w:lang w:val="fr-FR"/>
        </w:rPr>
      </w:pPr>
      <w:r w:rsidRPr="00EB51C6">
        <w:rPr>
          <w:b/>
          <w:sz w:val="28"/>
          <w:lang w:val="fr-FR"/>
        </w:rPr>
        <w:t>Comité du développement et de la propriété intellectuelle (CDIP)</w:t>
      </w:r>
    </w:p>
    <w:p w:rsidR="00A50774" w:rsidRPr="00EB51C6" w:rsidRDefault="00A50774" w:rsidP="00A50774">
      <w:pPr>
        <w:spacing w:after="720"/>
        <w:outlineLvl w:val="1"/>
        <w:rPr>
          <w:b/>
          <w:sz w:val="24"/>
          <w:szCs w:val="24"/>
          <w:lang w:val="fr-FR"/>
        </w:rPr>
      </w:pPr>
      <w:r w:rsidRPr="00EB51C6">
        <w:rPr>
          <w:b/>
          <w:sz w:val="24"/>
          <w:szCs w:val="24"/>
          <w:lang w:val="fr-FR"/>
        </w:rPr>
        <w:t>Vingt</w:t>
      </w:r>
      <w:r w:rsidR="00B004A8">
        <w:rPr>
          <w:b/>
          <w:sz w:val="24"/>
          <w:szCs w:val="24"/>
          <w:lang w:val="fr-FR"/>
        </w:rPr>
        <w:noBreakHyphen/>
      </w:r>
      <w:r w:rsidRPr="00EB51C6">
        <w:rPr>
          <w:b/>
          <w:sz w:val="24"/>
          <w:szCs w:val="24"/>
          <w:lang w:val="fr-FR"/>
        </w:rPr>
        <w:t>huit</w:t>
      </w:r>
      <w:r w:rsidR="00013D86" w:rsidRPr="00EB51C6">
        <w:rPr>
          <w:b/>
          <w:sz w:val="24"/>
          <w:szCs w:val="24"/>
          <w:lang w:val="fr-FR"/>
        </w:rPr>
        <w:t>ième session</w:t>
      </w:r>
      <w:r w:rsidRPr="00EB51C6">
        <w:rPr>
          <w:b/>
          <w:sz w:val="24"/>
          <w:szCs w:val="24"/>
          <w:lang w:val="fr-FR"/>
        </w:rPr>
        <w:br/>
        <w:t xml:space="preserve">Genève, </w:t>
      </w:r>
      <w:r w:rsidRPr="00EB51C6">
        <w:rPr>
          <w:b/>
          <w:bCs/>
          <w:sz w:val="24"/>
          <w:szCs w:val="24"/>
          <w:lang w:val="fr-FR"/>
        </w:rPr>
        <w:t xml:space="preserve">16 </w:t>
      </w:r>
      <w:r w:rsidRPr="00EB51C6">
        <w:rPr>
          <w:b/>
          <w:sz w:val="24"/>
          <w:szCs w:val="24"/>
          <w:lang w:val="fr-FR"/>
        </w:rPr>
        <w:t>–</w:t>
      </w:r>
      <w:r w:rsidRPr="00EB51C6">
        <w:rPr>
          <w:b/>
          <w:bCs/>
          <w:sz w:val="24"/>
          <w:szCs w:val="24"/>
          <w:lang w:val="fr-FR"/>
        </w:rPr>
        <w:t xml:space="preserve"> 20 mai 2022</w:t>
      </w:r>
    </w:p>
    <w:p w:rsidR="00F23A7C" w:rsidRPr="00EB51C6" w:rsidRDefault="00A50774" w:rsidP="00A50774">
      <w:pPr>
        <w:spacing w:after="360"/>
        <w:rPr>
          <w:caps/>
          <w:sz w:val="24"/>
          <w:lang w:val="fr-FR"/>
        </w:rPr>
      </w:pPr>
      <w:r w:rsidRPr="00EB51C6">
        <w:rPr>
          <w:caps/>
          <w:sz w:val="24"/>
          <w:lang w:val="fr-FR"/>
        </w:rPr>
        <w:t>De l</w:t>
      </w:r>
      <w:r w:rsidR="00013D86" w:rsidRPr="00EB51C6">
        <w:rPr>
          <w:caps/>
          <w:sz w:val="24"/>
          <w:lang w:val="fr-FR"/>
        </w:rPr>
        <w:t>’</w:t>
      </w:r>
      <w:r w:rsidRPr="00EB51C6">
        <w:rPr>
          <w:caps/>
          <w:sz w:val="24"/>
          <w:lang w:val="fr-FR"/>
        </w:rPr>
        <w:t>idée à l</w:t>
      </w:r>
      <w:r w:rsidR="00013D86" w:rsidRPr="00EB51C6">
        <w:rPr>
          <w:caps/>
          <w:sz w:val="24"/>
          <w:lang w:val="fr-FR"/>
        </w:rPr>
        <w:t>’</w:t>
      </w:r>
      <w:r w:rsidRPr="00EB51C6">
        <w:rPr>
          <w:caps/>
          <w:sz w:val="24"/>
          <w:lang w:val="fr-FR"/>
        </w:rPr>
        <w:t>entreprise – présentation du Guide de la propriété intellectuelle à l</w:t>
      </w:r>
      <w:r w:rsidR="00013D86" w:rsidRPr="00EB51C6">
        <w:rPr>
          <w:caps/>
          <w:sz w:val="24"/>
          <w:lang w:val="fr-FR"/>
        </w:rPr>
        <w:t>’</w:t>
      </w:r>
      <w:r w:rsidRPr="00EB51C6">
        <w:rPr>
          <w:caps/>
          <w:sz w:val="24"/>
          <w:lang w:val="fr-FR"/>
        </w:rPr>
        <w:t>intention des jeunes entreprises</w:t>
      </w:r>
    </w:p>
    <w:p w:rsidR="00013D86" w:rsidRPr="00EB51C6" w:rsidRDefault="00980DB1" w:rsidP="00F23A7C">
      <w:pPr>
        <w:spacing w:after="960"/>
        <w:rPr>
          <w:i/>
          <w:lang w:val="fr-FR"/>
        </w:rPr>
      </w:pPr>
      <w:proofErr w:type="gramStart"/>
      <w:r w:rsidRPr="00EB51C6">
        <w:rPr>
          <w:i/>
          <w:lang w:val="fr-FR"/>
        </w:rPr>
        <w:t>établi</w:t>
      </w:r>
      <w:proofErr w:type="gramEnd"/>
      <w:r w:rsidRPr="00EB51C6">
        <w:rPr>
          <w:i/>
          <w:lang w:val="fr-FR"/>
        </w:rPr>
        <w:t xml:space="preserve"> par le Secrétariat</w:t>
      </w:r>
    </w:p>
    <w:p w:rsidR="00F23A7C" w:rsidRPr="00EB51C6" w:rsidRDefault="00210F35" w:rsidP="00A50774">
      <w:pPr>
        <w:pStyle w:val="ONUMFS"/>
        <w:rPr>
          <w:lang w:val="fr-FR"/>
        </w:rPr>
      </w:pPr>
      <w:r w:rsidRPr="00EB51C6">
        <w:rPr>
          <w:lang w:val="fr-FR"/>
        </w:rPr>
        <w:t>L</w:t>
      </w:r>
      <w:r w:rsidR="00013D86" w:rsidRPr="00EB51C6">
        <w:rPr>
          <w:lang w:val="fr-FR"/>
        </w:rPr>
        <w:t>’</w:t>
      </w:r>
      <w:r w:rsidRPr="00EB51C6">
        <w:rPr>
          <w:lang w:val="fr-FR"/>
        </w:rPr>
        <w:t>annexe du présent document contient une présentation du</w:t>
      </w:r>
      <w:r w:rsidR="00BD1BB0" w:rsidRPr="00EB51C6">
        <w:rPr>
          <w:lang w:val="fr-FR"/>
        </w:rPr>
        <w:t xml:space="preserve"> Guide</w:t>
      </w:r>
      <w:r w:rsidRPr="00EB51C6">
        <w:rPr>
          <w:lang w:val="fr-FR"/>
        </w:rPr>
        <w:t xml:space="preserve"> de la propriété intellectuelle à l</w:t>
      </w:r>
      <w:r w:rsidR="00013D86" w:rsidRPr="00EB51C6">
        <w:rPr>
          <w:lang w:val="fr-FR"/>
        </w:rPr>
        <w:t>’</w:t>
      </w:r>
      <w:r w:rsidRPr="00EB51C6">
        <w:rPr>
          <w:lang w:val="fr-FR"/>
        </w:rPr>
        <w:t xml:space="preserve">intention des jeunes entreprises intitulé </w:t>
      </w:r>
      <w:r w:rsidR="00BD1BB0" w:rsidRPr="00EB51C6">
        <w:rPr>
          <w:lang w:val="fr-FR"/>
        </w:rPr>
        <w:t>“</w:t>
      </w:r>
      <w:r w:rsidRPr="00EB51C6">
        <w:rPr>
          <w:lang w:val="fr-FR"/>
        </w:rPr>
        <w:t>De l</w:t>
      </w:r>
      <w:r w:rsidR="00013D86" w:rsidRPr="00EB51C6">
        <w:rPr>
          <w:lang w:val="fr-FR"/>
        </w:rPr>
        <w:t>’</w:t>
      </w:r>
      <w:r w:rsidRPr="00EB51C6">
        <w:rPr>
          <w:lang w:val="fr-FR"/>
        </w:rPr>
        <w:t>idée à l</w:t>
      </w:r>
      <w:r w:rsidR="00013D86" w:rsidRPr="00EB51C6">
        <w:rPr>
          <w:lang w:val="fr-FR"/>
        </w:rPr>
        <w:t>’</w:t>
      </w:r>
      <w:r w:rsidRPr="00EB51C6">
        <w:rPr>
          <w:lang w:val="fr-FR"/>
        </w:rPr>
        <w:t>entreprise</w:t>
      </w:r>
      <w:r w:rsidR="00BD1BB0" w:rsidRPr="00EB51C6">
        <w:rPr>
          <w:lang w:val="fr-FR"/>
        </w:rPr>
        <w:t>”</w:t>
      </w:r>
      <w:r w:rsidRPr="00EB51C6">
        <w:rPr>
          <w:lang w:val="fr-FR"/>
        </w:rPr>
        <w:t xml:space="preserve"> et élaboré dans le cadre du projet du </w:t>
      </w:r>
      <w:r w:rsidR="007009C5" w:rsidRPr="00EB51C6">
        <w:rPr>
          <w:lang w:val="fr-FR"/>
        </w:rPr>
        <w:t>Plan d</w:t>
      </w:r>
      <w:r w:rsidR="00013D86" w:rsidRPr="00EB51C6">
        <w:rPr>
          <w:lang w:val="fr-FR"/>
        </w:rPr>
        <w:t>’</w:t>
      </w:r>
      <w:r w:rsidR="007009C5" w:rsidRPr="00EB51C6">
        <w:rPr>
          <w:lang w:val="fr-FR"/>
        </w:rPr>
        <w:t xml:space="preserve">action pour le développement </w:t>
      </w:r>
      <w:r w:rsidR="005E4E22" w:rsidRPr="00EB51C6">
        <w:rPr>
          <w:lang w:val="fr-FR"/>
        </w:rPr>
        <w:t>visant à r</w:t>
      </w:r>
      <w:r w:rsidR="007009C5" w:rsidRPr="00EB51C6">
        <w:rPr>
          <w:lang w:val="fr-FR"/>
        </w:rPr>
        <w:t>enforcer le rôle des femmes dans l</w:t>
      </w:r>
      <w:r w:rsidR="00013D86" w:rsidRPr="00EB51C6">
        <w:rPr>
          <w:lang w:val="fr-FR"/>
        </w:rPr>
        <w:t>’</w:t>
      </w:r>
      <w:r w:rsidR="007009C5" w:rsidRPr="00EB51C6">
        <w:rPr>
          <w:lang w:val="fr-FR"/>
        </w:rPr>
        <w:t>innovation et l</w:t>
      </w:r>
      <w:r w:rsidR="00013D86" w:rsidRPr="00EB51C6">
        <w:rPr>
          <w:lang w:val="fr-FR"/>
        </w:rPr>
        <w:t>’</w:t>
      </w:r>
      <w:r w:rsidRPr="00EB51C6">
        <w:rPr>
          <w:lang w:val="fr-FR"/>
        </w:rPr>
        <w:t>entrepre</w:t>
      </w:r>
      <w:r w:rsidR="007009C5" w:rsidRPr="00EB51C6">
        <w:rPr>
          <w:lang w:val="fr-FR"/>
        </w:rPr>
        <w:t>neuriat, en encourageant les femmes des pays en développement à utiliser le système de la propriété intellectuelle</w:t>
      </w:r>
      <w:r w:rsidR="00BD1BB0" w:rsidRPr="00EB51C6">
        <w:rPr>
          <w:lang w:val="fr-FR"/>
        </w:rPr>
        <w:t>.</w:t>
      </w:r>
    </w:p>
    <w:p w:rsidR="00F23A7C" w:rsidRPr="00EB51C6" w:rsidRDefault="00980DB1" w:rsidP="00A50774">
      <w:pPr>
        <w:pStyle w:val="ONUMFS"/>
        <w:ind w:left="5533"/>
        <w:rPr>
          <w:i/>
          <w:lang w:val="fr-FR"/>
        </w:rPr>
      </w:pPr>
      <w:r w:rsidRPr="00EB51C6">
        <w:rPr>
          <w:i/>
          <w:lang w:val="fr-FR"/>
        </w:rPr>
        <w:t>Le</w:t>
      </w:r>
      <w:r w:rsidR="00F23A7C" w:rsidRPr="00EB51C6">
        <w:rPr>
          <w:i/>
          <w:lang w:val="fr-FR"/>
        </w:rPr>
        <w:t xml:space="preserve"> CDIP </w:t>
      </w:r>
      <w:r w:rsidRPr="00EB51C6">
        <w:rPr>
          <w:i/>
          <w:lang w:val="fr-FR"/>
        </w:rPr>
        <w:t>est invité à prendre note des informations figurant dans l</w:t>
      </w:r>
      <w:r w:rsidR="00013D86" w:rsidRPr="00EB51C6">
        <w:rPr>
          <w:i/>
          <w:lang w:val="fr-FR"/>
        </w:rPr>
        <w:t>’</w:t>
      </w:r>
      <w:r w:rsidRPr="00EB51C6">
        <w:rPr>
          <w:i/>
          <w:lang w:val="fr-FR"/>
        </w:rPr>
        <w:t>annexe du présent document</w:t>
      </w:r>
      <w:r w:rsidR="00F23A7C" w:rsidRPr="00EB51C6">
        <w:rPr>
          <w:i/>
          <w:lang w:val="fr-FR"/>
        </w:rPr>
        <w:t>.</w:t>
      </w:r>
    </w:p>
    <w:p w:rsidR="0081533E" w:rsidRPr="00EB51C6" w:rsidRDefault="00F23A7C" w:rsidP="00A50774">
      <w:pPr>
        <w:pStyle w:val="Endofdocument-Annex"/>
        <w:sectPr w:rsidR="0081533E" w:rsidRPr="00EB51C6" w:rsidSect="00A50774">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0"/>
          <w:cols w:space="720"/>
          <w:titlePg/>
          <w:docGrid w:linePitch="299"/>
        </w:sectPr>
      </w:pPr>
      <w:r w:rsidRPr="00EB51C6">
        <w:t>[</w:t>
      </w:r>
      <w:r w:rsidR="00AD0988" w:rsidRPr="00EB51C6">
        <w:t>L</w:t>
      </w:r>
      <w:r w:rsidR="00013D86" w:rsidRPr="00EB51C6">
        <w:t>’</w:t>
      </w:r>
      <w:r w:rsidR="00AD0988" w:rsidRPr="00EB51C6">
        <w:t>annexe suit</w:t>
      </w:r>
      <w:r w:rsidRPr="00EB51C6">
        <w:t>]</w:t>
      </w:r>
    </w:p>
    <w:p w:rsidR="002D3827" w:rsidRPr="00EB51C6" w:rsidRDefault="00980DB1" w:rsidP="002D3827">
      <w:pPr>
        <w:jc w:val="center"/>
        <w:rPr>
          <w:b/>
          <w:lang w:val="fr-FR"/>
        </w:rPr>
      </w:pPr>
      <w:r w:rsidRPr="00EB51C6">
        <w:rPr>
          <w:b/>
          <w:lang w:val="fr-FR"/>
        </w:rPr>
        <w:lastRenderedPageBreak/>
        <w:t>DE L</w:t>
      </w:r>
      <w:r w:rsidR="00013D86" w:rsidRPr="00EB51C6">
        <w:rPr>
          <w:b/>
          <w:lang w:val="fr-FR"/>
        </w:rPr>
        <w:t>’</w:t>
      </w:r>
      <w:r w:rsidRPr="00EB51C6">
        <w:rPr>
          <w:b/>
          <w:lang w:val="fr-FR"/>
        </w:rPr>
        <w:t>IDÉE À L</w:t>
      </w:r>
      <w:r w:rsidR="00013D86" w:rsidRPr="00EB51C6">
        <w:rPr>
          <w:b/>
          <w:lang w:val="fr-FR"/>
        </w:rPr>
        <w:t>’</w:t>
      </w:r>
      <w:r w:rsidRPr="00EB51C6">
        <w:rPr>
          <w:b/>
          <w:lang w:val="fr-FR"/>
        </w:rPr>
        <w:t>ENTREPRISE</w:t>
      </w:r>
    </w:p>
    <w:p w:rsidR="00BD1BB0" w:rsidRPr="00EB51C6" w:rsidRDefault="00210F35" w:rsidP="00A50774">
      <w:pPr>
        <w:spacing w:after="220"/>
        <w:jc w:val="center"/>
        <w:rPr>
          <w:b/>
          <w:lang w:val="fr-FR"/>
        </w:rPr>
      </w:pPr>
      <w:r w:rsidRPr="00EB51C6">
        <w:rPr>
          <w:b/>
          <w:lang w:val="fr-FR"/>
        </w:rPr>
        <w:t xml:space="preserve">PRÉSENTATION DU </w:t>
      </w:r>
      <w:r w:rsidR="00980DB1" w:rsidRPr="00EB51C6">
        <w:rPr>
          <w:b/>
          <w:lang w:val="fr-FR"/>
        </w:rPr>
        <w:t>GUIDE DE LA PROPRIÉTÉ INTELLECTUELLE À L</w:t>
      </w:r>
      <w:r w:rsidR="00013D86" w:rsidRPr="00EB51C6">
        <w:rPr>
          <w:b/>
          <w:lang w:val="fr-FR"/>
        </w:rPr>
        <w:t>’</w:t>
      </w:r>
      <w:r w:rsidR="00980DB1" w:rsidRPr="00EB51C6">
        <w:rPr>
          <w:b/>
          <w:lang w:val="fr-FR"/>
        </w:rPr>
        <w:t>INTENTION DES JEUNES ENTREPRISES</w:t>
      </w:r>
      <w:r w:rsidR="000628DC" w:rsidRPr="00EB51C6">
        <w:rPr>
          <w:rStyle w:val="FootnoteReference"/>
          <w:b/>
          <w:lang w:val="fr-FR"/>
        </w:rPr>
        <w:footnoteReference w:id="2"/>
      </w:r>
    </w:p>
    <w:p w:rsidR="00BD1BB0" w:rsidRPr="00EB51C6" w:rsidRDefault="00980DB1" w:rsidP="00A50774">
      <w:pPr>
        <w:spacing w:after="220"/>
        <w:rPr>
          <w:lang w:val="fr-FR"/>
        </w:rPr>
      </w:pPr>
      <w:r w:rsidRPr="00EB51C6">
        <w:rPr>
          <w:lang w:val="fr-FR"/>
        </w:rPr>
        <w:t>La publication intitulée “</w:t>
      </w:r>
      <w:hyperlink r:id="rId15" w:history="1">
        <w:r w:rsidRPr="00EB51C6">
          <w:rPr>
            <w:rStyle w:val="Hyperlink"/>
            <w:lang w:val="fr-FR"/>
          </w:rPr>
          <w:t>De l</w:t>
        </w:r>
        <w:r w:rsidR="00013D86" w:rsidRPr="00EB51C6">
          <w:rPr>
            <w:rStyle w:val="Hyperlink"/>
            <w:lang w:val="fr-FR"/>
          </w:rPr>
          <w:t>’</w:t>
        </w:r>
        <w:r w:rsidRPr="00EB51C6">
          <w:rPr>
            <w:rStyle w:val="Hyperlink"/>
            <w:lang w:val="fr-FR"/>
          </w:rPr>
          <w:t>idée à l</w:t>
        </w:r>
        <w:r w:rsidR="00013D86" w:rsidRPr="00EB51C6">
          <w:rPr>
            <w:rStyle w:val="Hyperlink"/>
            <w:lang w:val="fr-FR"/>
          </w:rPr>
          <w:t>’</w:t>
        </w:r>
        <w:r w:rsidRPr="00EB51C6">
          <w:rPr>
            <w:rStyle w:val="Hyperlink"/>
            <w:lang w:val="fr-FR"/>
          </w:rPr>
          <w:t>entreprise, Guide de la propriété intellectuelle à l</w:t>
        </w:r>
        <w:r w:rsidR="00013D86" w:rsidRPr="00EB51C6">
          <w:rPr>
            <w:rStyle w:val="Hyperlink"/>
            <w:lang w:val="fr-FR"/>
          </w:rPr>
          <w:t>’</w:t>
        </w:r>
        <w:r w:rsidRPr="00EB51C6">
          <w:rPr>
            <w:rStyle w:val="Hyperlink"/>
            <w:lang w:val="fr-FR"/>
          </w:rPr>
          <w:t>intention des jeunes entreprises</w:t>
        </w:r>
      </w:hyperlink>
      <w:r w:rsidRPr="00EB51C6">
        <w:rPr>
          <w:lang w:val="fr-FR"/>
        </w:rPr>
        <w:t>”</w:t>
      </w:r>
      <w:r w:rsidR="007111C2" w:rsidRPr="00EB51C6">
        <w:rPr>
          <w:rStyle w:val="FootnoteReference"/>
          <w:lang w:val="fr-FR"/>
        </w:rPr>
        <w:footnoteReference w:id="3"/>
      </w:r>
      <w:r w:rsidR="008C5E82" w:rsidRPr="00EB51C6">
        <w:rPr>
          <w:lang w:val="fr-FR"/>
        </w:rPr>
        <w:t xml:space="preserve"> a été conçue comme un guide facile à utiliser pour permettre aux jeunes entrepreneurs de comprendre les </w:t>
      </w:r>
      <w:r w:rsidR="000D6DC0" w:rsidRPr="00EB51C6">
        <w:rPr>
          <w:lang w:val="fr-FR"/>
        </w:rPr>
        <w:t>tenants et les aboutissants</w:t>
      </w:r>
      <w:r w:rsidR="008C5E82" w:rsidRPr="00EB51C6">
        <w:rPr>
          <w:lang w:val="fr-FR"/>
        </w:rPr>
        <w:t xml:space="preserve"> du système de la propriété intellectuelle à différentes étapes du </w:t>
      </w:r>
      <w:r w:rsidR="00210F35" w:rsidRPr="00EB51C6">
        <w:rPr>
          <w:lang w:val="fr-FR"/>
        </w:rPr>
        <w:t>développement</w:t>
      </w:r>
      <w:r w:rsidR="008C5E82" w:rsidRPr="00EB51C6">
        <w:rPr>
          <w:lang w:val="fr-FR"/>
        </w:rPr>
        <w:t xml:space="preserve"> de leur start</w:t>
      </w:r>
      <w:r w:rsidR="00B004A8">
        <w:rPr>
          <w:lang w:val="fr-FR"/>
        </w:rPr>
        <w:noBreakHyphen/>
      </w:r>
      <w:r w:rsidR="00EB51C6" w:rsidRPr="00EB51C6">
        <w:rPr>
          <w:lang w:val="fr-FR"/>
        </w:rPr>
        <w:t>up.  Le</w:t>
      </w:r>
      <w:r w:rsidR="008C5E82" w:rsidRPr="00EB51C6">
        <w:rPr>
          <w:lang w:val="fr-FR"/>
        </w:rPr>
        <w:t xml:space="preserve"> système de la propriété intellectuelle joue un rôle important tout au long de ce parcours et doit être pleinement intégré à la stratégie commerciale de l</w:t>
      </w:r>
      <w:r w:rsidR="00013D86" w:rsidRPr="00EB51C6">
        <w:rPr>
          <w:lang w:val="fr-FR"/>
        </w:rPr>
        <w:t>’</w:t>
      </w:r>
      <w:r w:rsidR="008C5E82" w:rsidRPr="00EB51C6">
        <w:rPr>
          <w:lang w:val="fr-FR"/>
        </w:rPr>
        <w:t>entreprise et la souten</w:t>
      </w:r>
      <w:r w:rsidR="00EB51C6" w:rsidRPr="00EB51C6">
        <w:rPr>
          <w:lang w:val="fr-FR"/>
        </w:rPr>
        <w:t>ir.  Ce</w:t>
      </w:r>
      <w:r w:rsidR="007009C5" w:rsidRPr="00EB51C6">
        <w:rPr>
          <w:lang w:val="fr-FR"/>
        </w:rPr>
        <w:t>tte publication donne des conseils sur la manière dont les jeunes entreprises peuvent utiliser le système de la propriété intellectuelle pour rester compétitives et comprendre les risques qui peuvent survenir si elles l</w:t>
      </w:r>
      <w:r w:rsidR="00013D86" w:rsidRPr="00EB51C6">
        <w:rPr>
          <w:lang w:val="fr-FR"/>
        </w:rPr>
        <w:t>’</w:t>
      </w:r>
      <w:r w:rsidR="007009C5" w:rsidRPr="00EB51C6">
        <w:rPr>
          <w:lang w:val="fr-FR"/>
        </w:rPr>
        <w:t>ignore</w:t>
      </w:r>
      <w:r w:rsidR="00EB51C6" w:rsidRPr="00EB51C6">
        <w:rPr>
          <w:lang w:val="fr-FR"/>
        </w:rPr>
        <w:t>nt.  El</w:t>
      </w:r>
      <w:r w:rsidR="007009C5" w:rsidRPr="00EB51C6">
        <w:rPr>
          <w:lang w:val="fr-FR"/>
        </w:rPr>
        <w:t>le se concentre sur une start</w:t>
      </w:r>
      <w:r w:rsidR="00B004A8">
        <w:rPr>
          <w:lang w:val="fr-FR"/>
        </w:rPr>
        <w:noBreakHyphen/>
      </w:r>
      <w:r w:rsidR="007009C5" w:rsidRPr="00EB51C6">
        <w:rPr>
          <w:lang w:val="fr-FR"/>
        </w:rPr>
        <w:t>up qui tente de mettre sur le marché une solution technologique innovante, mais les principes devraient être tout aussi utiles aux start</w:t>
      </w:r>
      <w:r w:rsidR="00B004A8">
        <w:rPr>
          <w:lang w:val="fr-FR"/>
        </w:rPr>
        <w:noBreakHyphen/>
      </w:r>
      <w:r w:rsidR="007009C5" w:rsidRPr="00EB51C6">
        <w:rPr>
          <w:lang w:val="fr-FR"/>
        </w:rPr>
        <w:t>up qui ne sont pas basées sur la technologie mais qui ont une idée de marketing originale, qui s</w:t>
      </w:r>
      <w:r w:rsidR="00013D86" w:rsidRPr="00EB51C6">
        <w:rPr>
          <w:lang w:val="fr-FR"/>
        </w:rPr>
        <w:t>’</w:t>
      </w:r>
      <w:r w:rsidR="007009C5" w:rsidRPr="00EB51C6">
        <w:rPr>
          <w:lang w:val="fr-FR"/>
        </w:rPr>
        <w:t>adressent à un marché de niche ou qui fournissent un service innova</w:t>
      </w:r>
      <w:r w:rsidR="00EB51C6" w:rsidRPr="00EB51C6">
        <w:rPr>
          <w:lang w:val="fr-FR"/>
        </w:rPr>
        <w:t>nt.  Le</w:t>
      </w:r>
      <w:r w:rsidR="007009C5" w:rsidRPr="00EB51C6">
        <w:rPr>
          <w:lang w:val="fr-FR"/>
        </w:rPr>
        <w:t xml:space="preserve"> système de la propriété intellectuelle offre quelque chose à toutes les entreprises, mais à certaines plus qu</w:t>
      </w:r>
      <w:r w:rsidR="00013D86" w:rsidRPr="00EB51C6">
        <w:rPr>
          <w:lang w:val="fr-FR"/>
        </w:rPr>
        <w:t>’</w:t>
      </w:r>
      <w:r w:rsidR="007009C5" w:rsidRPr="00EB51C6">
        <w:rPr>
          <w:lang w:val="fr-FR"/>
        </w:rPr>
        <w:t>à d</w:t>
      </w:r>
      <w:r w:rsidR="00013D86" w:rsidRPr="00EB51C6">
        <w:rPr>
          <w:lang w:val="fr-FR"/>
        </w:rPr>
        <w:t>’</w:t>
      </w:r>
      <w:r w:rsidR="007009C5" w:rsidRPr="00EB51C6">
        <w:rPr>
          <w:lang w:val="fr-FR"/>
        </w:rPr>
        <w:t>autres.</w:t>
      </w:r>
    </w:p>
    <w:p w:rsidR="00BD1BB0" w:rsidRPr="00EB51C6" w:rsidRDefault="00E82B4E" w:rsidP="00A50774">
      <w:pPr>
        <w:spacing w:after="220"/>
        <w:rPr>
          <w:lang w:val="fr-FR"/>
        </w:rPr>
      </w:pPr>
      <w:r w:rsidRPr="00EB51C6">
        <w:rPr>
          <w:lang w:val="fr-FR"/>
        </w:rPr>
        <w:t>Les chapitres du guide suivent le parcours d</w:t>
      </w:r>
      <w:r w:rsidR="00013D86" w:rsidRPr="00EB51C6">
        <w:rPr>
          <w:lang w:val="fr-FR"/>
        </w:rPr>
        <w:t>’</w:t>
      </w:r>
      <w:r w:rsidRPr="00EB51C6">
        <w:rPr>
          <w:lang w:val="fr-FR"/>
        </w:rPr>
        <w:t>une start</w:t>
      </w:r>
      <w:r w:rsidR="00B004A8">
        <w:rPr>
          <w:lang w:val="fr-FR"/>
        </w:rPr>
        <w:noBreakHyphen/>
      </w:r>
      <w:r w:rsidRPr="00EB51C6">
        <w:rPr>
          <w:lang w:val="fr-FR"/>
        </w:rPr>
        <w:t>up, de l</w:t>
      </w:r>
      <w:r w:rsidR="00013D86" w:rsidRPr="00EB51C6">
        <w:rPr>
          <w:lang w:val="fr-FR"/>
        </w:rPr>
        <w:t>’</w:t>
      </w:r>
      <w:r w:rsidRPr="00EB51C6">
        <w:rPr>
          <w:lang w:val="fr-FR"/>
        </w:rPr>
        <w:t>idée au marc</w:t>
      </w:r>
      <w:r w:rsidR="00EB51C6" w:rsidRPr="00EB51C6">
        <w:rPr>
          <w:lang w:val="fr-FR"/>
        </w:rPr>
        <w:t>hé.  Le</w:t>
      </w:r>
      <w:r w:rsidRPr="00EB51C6">
        <w:rPr>
          <w:lang w:val="fr-FR"/>
        </w:rPr>
        <w:t xml:space="preserve"> premier chapitre</w:t>
      </w:r>
      <w:r w:rsidR="001367EC" w:rsidRPr="00EB51C6">
        <w:rPr>
          <w:lang w:val="fr-FR"/>
        </w:rPr>
        <w:t>,</w:t>
      </w:r>
      <w:r w:rsidRPr="00EB51C6">
        <w:rPr>
          <w:lang w:val="fr-FR"/>
        </w:rPr>
        <w:t xml:space="preserve"> intitulé </w:t>
      </w:r>
      <w:r w:rsidR="00BD1BB0" w:rsidRPr="00EB51C6">
        <w:rPr>
          <w:lang w:val="fr-FR"/>
        </w:rPr>
        <w:t>“</w:t>
      </w:r>
      <w:r w:rsidR="00980DB1" w:rsidRPr="00EB51C6">
        <w:rPr>
          <w:lang w:val="fr-FR"/>
        </w:rPr>
        <w:t>Protéger votre innovation</w:t>
      </w:r>
      <w:r w:rsidR="00BD1BB0" w:rsidRPr="00EB51C6">
        <w:rPr>
          <w:lang w:val="fr-FR"/>
        </w:rPr>
        <w:t>”</w:t>
      </w:r>
      <w:r w:rsidR="001367EC" w:rsidRPr="00EB51C6">
        <w:rPr>
          <w:lang w:val="fr-FR"/>
        </w:rPr>
        <w:t>,</w:t>
      </w:r>
      <w:r w:rsidR="00BD1BB0" w:rsidRPr="00EB51C6">
        <w:rPr>
          <w:lang w:val="fr-FR"/>
        </w:rPr>
        <w:t xml:space="preserve"> </w:t>
      </w:r>
      <w:r w:rsidRPr="00EB51C6">
        <w:rPr>
          <w:lang w:val="fr-FR"/>
        </w:rPr>
        <w:t>traite de l</w:t>
      </w:r>
      <w:r w:rsidR="00013D86" w:rsidRPr="00EB51C6">
        <w:rPr>
          <w:lang w:val="fr-FR"/>
        </w:rPr>
        <w:t>’</w:t>
      </w:r>
      <w:r w:rsidRPr="00EB51C6">
        <w:rPr>
          <w:lang w:val="fr-FR"/>
        </w:rPr>
        <w:t>importance des droits de propriété intellectuelle pour protéger les innovations et explique comment les brevets, les secrets d</w:t>
      </w:r>
      <w:r w:rsidR="00013D86" w:rsidRPr="00EB51C6">
        <w:rPr>
          <w:lang w:val="fr-FR"/>
        </w:rPr>
        <w:t>’</w:t>
      </w:r>
      <w:r w:rsidRPr="00EB51C6">
        <w:rPr>
          <w:lang w:val="fr-FR"/>
        </w:rPr>
        <w:t>affaires et le droit d</w:t>
      </w:r>
      <w:r w:rsidR="00013D86" w:rsidRPr="00EB51C6">
        <w:rPr>
          <w:lang w:val="fr-FR"/>
        </w:rPr>
        <w:t>’</w:t>
      </w:r>
      <w:r w:rsidRPr="00EB51C6">
        <w:rPr>
          <w:lang w:val="fr-FR"/>
        </w:rPr>
        <w:t xml:space="preserve">auteur </w:t>
      </w:r>
      <w:r w:rsidR="000D6DC0" w:rsidRPr="00EB51C6">
        <w:rPr>
          <w:lang w:val="fr-FR"/>
        </w:rPr>
        <w:t>peuvent</w:t>
      </w:r>
      <w:r w:rsidRPr="00EB51C6">
        <w:rPr>
          <w:lang w:val="fr-FR"/>
        </w:rPr>
        <w:t xml:space="preserve"> être utilisé</w:t>
      </w:r>
      <w:r w:rsidR="000D6DC0" w:rsidRPr="00EB51C6">
        <w:rPr>
          <w:lang w:val="fr-FR"/>
        </w:rPr>
        <w:t>s</w:t>
      </w:r>
      <w:r w:rsidRPr="00EB51C6">
        <w:rPr>
          <w:lang w:val="fr-FR"/>
        </w:rPr>
        <w:t xml:space="preserve"> pour </w:t>
      </w:r>
      <w:r w:rsidR="005E3A03" w:rsidRPr="00EB51C6">
        <w:rPr>
          <w:lang w:val="fr-FR"/>
        </w:rPr>
        <w:t>obtenir la propriété</w:t>
      </w:r>
      <w:r w:rsidR="00BD1BB0" w:rsidRPr="00EB51C6">
        <w:rPr>
          <w:lang w:val="fr-FR"/>
        </w:rPr>
        <w:t xml:space="preserve"> </w:t>
      </w:r>
      <w:r w:rsidR="00DC6EA1" w:rsidRPr="00EB51C6">
        <w:rPr>
          <w:lang w:val="fr-FR"/>
        </w:rPr>
        <w:t>de</w:t>
      </w:r>
      <w:r w:rsidRPr="00EB51C6">
        <w:rPr>
          <w:lang w:val="fr-FR"/>
        </w:rPr>
        <w:t xml:space="preserve"> solutions innovantes et créatives</w:t>
      </w:r>
      <w:r w:rsidR="00A50774" w:rsidRPr="00EB51C6">
        <w:rPr>
          <w:lang w:val="fr-FR"/>
        </w:rPr>
        <w:t>.</w:t>
      </w:r>
    </w:p>
    <w:p w:rsidR="00BD1BB0" w:rsidRPr="00EB51C6" w:rsidRDefault="00DA790F" w:rsidP="00A50774">
      <w:pPr>
        <w:spacing w:after="220"/>
        <w:rPr>
          <w:lang w:val="fr-FR"/>
        </w:rPr>
      </w:pPr>
      <w:r w:rsidRPr="00EB51C6">
        <w:rPr>
          <w:lang w:val="fr-FR"/>
        </w:rPr>
        <w:t>Toutefois, il ne suffit pas d</w:t>
      </w:r>
      <w:r w:rsidR="00013D86" w:rsidRPr="00EB51C6">
        <w:rPr>
          <w:lang w:val="fr-FR"/>
        </w:rPr>
        <w:t>’</w:t>
      </w:r>
      <w:r w:rsidRPr="00EB51C6">
        <w:rPr>
          <w:lang w:val="fr-FR"/>
        </w:rPr>
        <w:t>avoir un bon produ</w:t>
      </w:r>
      <w:r w:rsidR="00EB51C6" w:rsidRPr="00EB51C6">
        <w:rPr>
          <w:lang w:val="fr-FR"/>
        </w:rPr>
        <w:t>it.  Il</w:t>
      </w:r>
      <w:r w:rsidRPr="00EB51C6">
        <w:rPr>
          <w:lang w:val="fr-FR"/>
        </w:rPr>
        <w:t xml:space="preserve"> faut convaincre les clients de l</w:t>
      </w:r>
      <w:r w:rsidR="00013D86" w:rsidRPr="00EB51C6">
        <w:rPr>
          <w:lang w:val="fr-FR"/>
        </w:rPr>
        <w:t>’</w:t>
      </w:r>
      <w:r w:rsidRPr="00EB51C6">
        <w:rPr>
          <w:lang w:val="fr-FR"/>
        </w:rPr>
        <w:t>achet</w:t>
      </w:r>
      <w:r w:rsidR="00EB51C6" w:rsidRPr="00EB51C6">
        <w:rPr>
          <w:lang w:val="fr-FR"/>
        </w:rPr>
        <w:t>er.  Da</w:t>
      </w:r>
      <w:r w:rsidRPr="00EB51C6">
        <w:rPr>
          <w:lang w:val="fr-FR"/>
        </w:rPr>
        <w:t>ns un marché concurrentiel où de nombreux produits similaires</w:t>
      </w:r>
      <w:r w:rsidR="005E3A03" w:rsidRPr="00EB51C6">
        <w:rPr>
          <w:lang w:val="fr-FR"/>
        </w:rPr>
        <w:t xml:space="preserve"> se disputent les faveurs des clients</w:t>
      </w:r>
      <w:r w:rsidR="000628DC" w:rsidRPr="00EB51C6">
        <w:rPr>
          <w:lang w:val="fr-FR"/>
        </w:rPr>
        <w:t>,</w:t>
      </w:r>
      <w:r w:rsidR="00BD1BB0" w:rsidRPr="00EB51C6">
        <w:rPr>
          <w:lang w:val="fr-FR"/>
        </w:rPr>
        <w:t xml:space="preserve"> </w:t>
      </w:r>
      <w:r w:rsidRPr="00EB51C6">
        <w:rPr>
          <w:lang w:val="fr-FR"/>
        </w:rPr>
        <w:t>l</w:t>
      </w:r>
      <w:r w:rsidR="00013D86" w:rsidRPr="00EB51C6">
        <w:rPr>
          <w:lang w:val="fr-FR"/>
        </w:rPr>
        <w:t>’</w:t>
      </w:r>
      <w:r w:rsidRPr="00EB51C6">
        <w:rPr>
          <w:lang w:val="fr-FR"/>
        </w:rPr>
        <w:t>entreprise doit être créative pour attirer les consommateurs vers leur produit et les d</w:t>
      </w:r>
      <w:r w:rsidR="005E4E22" w:rsidRPr="00EB51C6">
        <w:rPr>
          <w:lang w:val="fr-FR"/>
        </w:rPr>
        <w:t xml:space="preserve">étourner de ceux </w:t>
      </w:r>
      <w:r w:rsidRPr="00EB51C6">
        <w:rPr>
          <w:lang w:val="fr-FR"/>
        </w:rPr>
        <w:t>de leurs concurren</w:t>
      </w:r>
      <w:r w:rsidR="00EB51C6" w:rsidRPr="00EB51C6">
        <w:rPr>
          <w:lang w:val="fr-FR"/>
        </w:rPr>
        <w:t xml:space="preserve">ts.  À </w:t>
      </w:r>
      <w:r w:rsidRPr="00EB51C6">
        <w:rPr>
          <w:lang w:val="fr-FR"/>
        </w:rPr>
        <w:t xml:space="preserve">cet égard, le chapitre intitulé </w:t>
      </w:r>
      <w:r w:rsidR="00BD1BB0" w:rsidRPr="00EB51C6">
        <w:rPr>
          <w:lang w:val="fr-FR"/>
        </w:rPr>
        <w:t>“</w:t>
      </w:r>
      <w:r w:rsidR="00980DB1" w:rsidRPr="00EB51C6">
        <w:rPr>
          <w:lang w:val="fr-FR"/>
        </w:rPr>
        <w:t>Distinguer votre produit sur le marché</w:t>
      </w:r>
      <w:r w:rsidR="00BD1BB0" w:rsidRPr="00EB51C6">
        <w:rPr>
          <w:lang w:val="fr-FR"/>
        </w:rPr>
        <w:t xml:space="preserve">” </w:t>
      </w:r>
      <w:r w:rsidRPr="00EB51C6">
        <w:rPr>
          <w:lang w:val="fr-FR"/>
        </w:rPr>
        <w:t>aborde la question des logos, des dessins et modèles et d</w:t>
      </w:r>
      <w:r w:rsidR="00013D86" w:rsidRPr="00EB51C6">
        <w:rPr>
          <w:lang w:val="fr-FR"/>
        </w:rPr>
        <w:t>’</w:t>
      </w:r>
      <w:r w:rsidRPr="00EB51C6">
        <w:rPr>
          <w:lang w:val="fr-FR"/>
        </w:rPr>
        <w:t>autres aspects créatifs utilisés pour créer un p</w:t>
      </w:r>
      <w:r w:rsidR="00762F0C" w:rsidRPr="00EB51C6">
        <w:rPr>
          <w:lang w:val="fr-FR"/>
        </w:rPr>
        <w:t>roduit</w:t>
      </w:r>
      <w:r w:rsidRPr="00EB51C6">
        <w:rPr>
          <w:lang w:val="fr-FR"/>
        </w:rPr>
        <w:t xml:space="preserve"> </w:t>
      </w:r>
      <w:r w:rsidR="00762F0C" w:rsidRPr="00EB51C6">
        <w:rPr>
          <w:lang w:val="fr-FR"/>
        </w:rPr>
        <w:t>original</w:t>
      </w:r>
      <w:r w:rsidRPr="00EB51C6">
        <w:rPr>
          <w:lang w:val="fr-FR"/>
        </w:rPr>
        <w:t xml:space="preserve"> et attrayant</w:t>
      </w:r>
      <w:r w:rsidR="00762F0C" w:rsidRPr="00EB51C6">
        <w:rPr>
          <w:lang w:val="fr-FR"/>
        </w:rPr>
        <w:t xml:space="preserve"> et la manière dont ils peuvent être protégés par des marques, des droits de dessin ou modèle ou par le droit d</w:t>
      </w:r>
      <w:r w:rsidR="00013D86" w:rsidRPr="00EB51C6">
        <w:rPr>
          <w:lang w:val="fr-FR"/>
        </w:rPr>
        <w:t>’</w:t>
      </w:r>
      <w:r w:rsidR="00762F0C" w:rsidRPr="00EB51C6">
        <w:rPr>
          <w:lang w:val="fr-FR"/>
        </w:rPr>
        <w:t>auteur.</w:t>
      </w:r>
    </w:p>
    <w:p w:rsidR="00013D86" w:rsidRPr="00EB51C6" w:rsidRDefault="00F052D4" w:rsidP="00A50774">
      <w:pPr>
        <w:spacing w:after="220"/>
        <w:rPr>
          <w:lang w:val="fr-FR"/>
        </w:rPr>
      </w:pPr>
      <w:r w:rsidRPr="00EB51C6">
        <w:rPr>
          <w:lang w:val="fr-FR"/>
        </w:rPr>
        <w:t>Le chapitre intitulé</w:t>
      </w:r>
      <w:r w:rsidR="00BD1BB0" w:rsidRPr="00EB51C6">
        <w:rPr>
          <w:lang w:val="fr-FR"/>
        </w:rPr>
        <w:t xml:space="preserve"> “</w:t>
      </w:r>
      <w:r w:rsidR="00980DB1" w:rsidRPr="00EB51C6">
        <w:rPr>
          <w:lang w:val="fr-FR"/>
        </w:rPr>
        <w:t>Se lancer à l</w:t>
      </w:r>
      <w:r w:rsidR="00013D86" w:rsidRPr="00EB51C6">
        <w:rPr>
          <w:lang w:val="fr-FR"/>
        </w:rPr>
        <w:t>’</w:t>
      </w:r>
      <w:r w:rsidR="00980DB1" w:rsidRPr="00EB51C6">
        <w:rPr>
          <w:lang w:val="fr-FR"/>
        </w:rPr>
        <w:t>international</w:t>
      </w:r>
      <w:r w:rsidR="00BD1BB0" w:rsidRPr="00EB51C6">
        <w:rPr>
          <w:lang w:val="fr-FR"/>
        </w:rPr>
        <w:t xml:space="preserve">” </w:t>
      </w:r>
      <w:r w:rsidR="00DA790F" w:rsidRPr="00EB51C6">
        <w:rPr>
          <w:lang w:val="fr-FR"/>
        </w:rPr>
        <w:t>prépare la start</w:t>
      </w:r>
      <w:r w:rsidR="00B004A8">
        <w:rPr>
          <w:lang w:val="fr-FR"/>
        </w:rPr>
        <w:noBreakHyphen/>
      </w:r>
      <w:r w:rsidR="00DA790F" w:rsidRPr="00EB51C6">
        <w:rPr>
          <w:lang w:val="fr-FR"/>
        </w:rPr>
        <w:t xml:space="preserve">up à </w:t>
      </w:r>
      <w:r w:rsidR="00210F35" w:rsidRPr="00EB51C6">
        <w:rPr>
          <w:lang w:val="fr-FR"/>
        </w:rPr>
        <w:t>développer ses activit</w:t>
      </w:r>
      <w:r w:rsidR="00EB51C6" w:rsidRPr="00EB51C6">
        <w:rPr>
          <w:lang w:val="fr-FR"/>
        </w:rPr>
        <w:t>és.  Re</w:t>
      </w:r>
      <w:r w:rsidR="00210F35" w:rsidRPr="00EB51C6">
        <w:rPr>
          <w:lang w:val="fr-FR"/>
        </w:rPr>
        <w:t>posant sur le</w:t>
      </w:r>
      <w:r w:rsidR="0009511B" w:rsidRPr="00EB51C6">
        <w:rPr>
          <w:lang w:val="fr-FR"/>
        </w:rPr>
        <w:t xml:space="preserve"> principe de territorialité, qui prévoit que les droits de propriété intellectuelle sont limités au territoire sur lequel il</w:t>
      </w:r>
      <w:r w:rsidR="00D4453A">
        <w:rPr>
          <w:lang w:val="fr-FR"/>
        </w:rPr>
        <w:t>s</w:t>
      </w:r>
      <w:r w:rsidR="0009511B" w:rsidRPr="00EB51C6">
        <w:rPr>
          <w:lang w:val="fr-FR"/>
        </w:rPr>
        <w:t xml:space="preserve"> ont été obtenus</w:t>
      </w:r>
      <w:r w:rsidR="00BD1BB0" w:rsidRPr="00EB51C6">
        <w:rPr>
          <w:lang w:val="fr-FR"/>
        </w:rPr>
        <w:t>,</w:t>
      </w:r>
      <w:r w:rsidR="00195D27" w:rsidRPr="00EB51C6">
        <w:rPr>
          <w:lang w:val="fr-FR"/>
        </w:rPr>
        <w:t xml:space="preserve"> les </w:t>
      </w:r>
      <w:r w:rsidR="00D07F6E" w:rsidRPr="00EB51C6">
        <w:rPr>
          <w:lang w:val="fr-FR"/>
        </w:rPr>
        <w:t>possibilités</w:t>
      </w:r>
      <w:r w:rsidR="00195D27" w:rsidRPr="00EB51C6">
        <w:rPr>
          <w:lang w:val="fr-FR"/>
        </w:rPr>
        <w:t xml:space="preserve"> qu</w:t>
      </w:r>
      <w:r w:rsidR="00013D86" w:rsidRPr="00EB51C6">
        <w:rPr>
          <w:lang w:val="fr-FR"/>
        </w:rPr>
        <w:t>’</w:t>
      </w:r>
      <w:r w:rsidR="00195D27" w:rsidRPr="00EB51C6">
        <w:rPr>
          <w:lang w:val="fr-FR"/>
        </w:rPr>
        <w:t>offrent</w:t>
      </w:r>
      <w:r w:rsidR="00BD1BB0" w:rsidRPr="00EB51C6">
        <w:rPr>
          <w:lang w:val="fr-FR"/>
        </w:rPr>
        <w:t xml:space="preserve"> </w:t>
      </w:r>
      <w:r w:rsidR="00195D27" w:rsidRPr="00EB51C6">
        <w:rPr>
          <w:lang w:val="fr-FR"/>
        </w:rPr>
        <w:t>les systèmes de dépôt de demandes internationales gérés par l</w:t>
      </w:r>
      <w:r w:rsidR="00013D86" w:rsidRPr="00EB51C6">
        <w:rPr>
          <w:lang w:val="fr-FR"/>
        </w:rPr>
        <w:t>’</w:t>
      </w:r>
      <w:r w:rsidR="00195D27" w:rsidRPr="00EB51C6">
        <w:rPr>
          <w:lang w:val="fr-FR"/>
        </w:rPr>
        <w:t>OMPI sont abordé</w:t>
      </w:r>
      <w:r w:rsidR="00FF1186" w:rsidRPr="00EB51C6">
        <w:rPr>
          <w:lang w:val="fr-FR"/>
        </w:rPr>
        <w:t>e</w:t>
      </w:r>
      <w:r w:rsidR="00195D27" w:rsidRPr="00EB51C6">
        <w:rPr>
          <w:lang w:val="fr-FR"/>
        </w:rPr>
        <w:t>s dans ce chapit</w:t>
      </w:r>
      <w:r w:rsidR="00EB51C6" w:rsidRPr="00EB51C6">
        <w:rPr>
          <w:lang w:val="fr-FR"/>
        </w:rPr>
        <w:t>re.  Le</w:t>
      </w:r>
      <w:r w:rsidR="00D07F6E" w:rsidRPr="00EB51C6">
        <w:rPr>
          <w:lang w:val="fr-FR"/>
        </w:rPr>
        <w:t>s procédures de dépôt d</w:t>
      </w:r>
      <w:r w:rsidR="00013D86" w:rsidRPr="00EB51C6">
        <w:rPr>
          <w:lang w:val="fr-FR"/>
        </w:rPr>
        <w:t>’</w:t>
      </w:r>
      <w:r w:rsidR="00195D27" w:rsidRPr="00EB51C6">
        <w:rPr>
          <w:lang w:val="fr-FR"/>
        </w:rPr>
        <w:t xml:space="preserve">une demande de protection dans de nombreux pays </w:t>
      </w:r>
      <w:r w:rsidR="00D07F6E" w:rsidRPr="00EB51C6">
        <w:rPr>
          <w:lang w:val="fr-FR"/>
        </w:rPr>
        <w:t>selon le</w:t>
      </w:r>
      <w:r w:rsidR="00195D27" w:rsidRPr="00EB51C6">
        <w:rPr>
          <w:lang w:val="fr-FR"/>
        </w:rPr>
        <w:t xml:space="preserve"> Traité de coopération en matière de brevets </w:t>
      </w:r>
      <w:r w:rsidR="00594470" w:rsidRPr="00EB51C6">
        <w:rPr>
          <w:lang w:val="fr-FR"/>
        </w:rPr>
        <w:t>(PCT)</w:t>
      </w:r>
      <w:r w:rsidR="00BD1BB0" w:rsidRPr="00EB51C6">
        <w:rPr>
          <w:lang w:val="fr-FR"/>
        </w:rPr>
        <w:t xml:space="preserve">, </w:t>
      </w:r>
      <w:r w:rsidR="00D07F6E" w:rsidRPr="00EB51C6">
        <w:rPr>
          <w:lang w:val="fr-FR"/>
        </w:rPr>
        <w:t>le</w:t>
      </w:r>
      <w:r w:rsidR="0009511B" w:rsidRPr="00EB51C6">
        <w:rPr>
          <w:lang w:val="fr-FR"/>
        </w:rPr>
        <w:t xml:space="preserve"> système de Madrid ou </w:t>
      </w:r>
      <w:r w:rsidR="00D07F6E" w:rsidRPr="00EB51C6">
        <w:rPr>
          <w:lang w:val="fr-FR"/>
        </w:rPr>
        <w:t>le</w:t>
      </w:r>
      <w:r w:rsidR="0009511B" w:rsidRPr="00EB51C6">
        <w:rPr>
          <w:lang w:val="fr-FR"/>
        </w:rPr>
        <w:t xml:space="preserve"> système de </w:t>
      </w:r>
      <w:r w:rsidR="00013D86" w:rsidRPr="00EB51C6">
        <w:rPr>
          <w:lang w:val="fr-FR"/>
        </w:rPr>
        <w:t>La Haye</w:t>
      </w:r>
      <w:r w:rsidR="0009511B" w:rsidRPr="00EB51C6">
        <w:rPr>
          <w:lang w:val="fr-FR"/>
        </w:rPr>
        <w:t xml:space="preserve"> </w:t>
      </w:r>
      <w:r w:rsidR="00D07F6E" w:rsidRPr="00EB51C6">
        <w:rPr>
          <w:lang w:val="fr-FR"/>
        </w:rPr>
        <w:t>sont détaillées</w:t>
      </w:r>
      <w:r w:rsidR="00BD1BB0" w:rsidRPr="00EB51C6">
        <w:rPr>
          <w:lang w:val="fr-FR"/>
        </w:rPr>
        <w:t>.</w:t>
      </w:r>
    </w:p>
    <w:p w:rsidR="00013D86" w:rsidRPr="00EB51C6" w:rsidRDefault="0009511B" w:rsidP="00A50774">
      <w:pPr>
        <w:spacing w:after="220"/>
        <w:rPr>
          <w:lang w:val="fr-FR"/>
        </w:rPr>
      </w:pPr>
      <w:r w:rsidRPr="00EB51C6">
        <w:rPr>
          <w:lang w:val="fr-FR"/>
        </w:rPr>
        <w:t>Le</w:t>
      </w:r>
      <w:r w:rsidR="00980DB1" w:rsidRPr="00EB51C6">
        <w:rPr>
          <w:lang w:val="fr-FR"/>
        </w:rPr>
        <w:t xml:space="preserve"> chapitre</w:t>
      </w:r>
      <w:r w:rsidR="00BD1BB0" w:rsidRPr="00EB51C6">
        <w:rPr>
          <w:lang w:val="fr-FR"/>
        </w:rPr>
        <w:t xml:space="preserve"> “</w:t>
      </w:r>
      <w:r w:rsidR="00980DB1" w:rsidRPr="00EB51C6">
        <w:rPr>
          <w:lang w:val="fr-FR"/>
        </w:rPr>
        <w:t xml:space="preserve">Autres </w:t>
      </w:r>
      <w:r w:rsidRPr="00EB51C6">
        <w:rPr>
          <w:lang w:val="fr-FR"/>
        </w:rPr>
        <w:t>straté</w:t>
      </w:r>
      <w:r w:rsidR="00980DB1" w:rsidRPr="00EB51C6">
        <w:rPr>
          <w:lang w:val="fr-FR"/>
        </w:rPr>
        <w:t>gies d</w:t>
      </w:r>
      <w:r w:rsidR="00013D86" w:rsidRPr="00EB51C6">
        <w:rPr>
          <w:lang w:val="fr-FR"/>
        </w:rPr>
        <w:t>’</w:t>
      </w:r>
      <w:r w:rsidR="00980DB1" w:rsidRPr="00EB51C6">
        <w:rPr>
          <w:lang w:val="fr-FR"/>
        </w:rPr>
        <w:t>exploitation de la propriété intellectuelle</w:t>
      </w:r>
      <w:r w:rsidRPr="00EB51C6">
        <w:rPr>
          <w:lang w:val="fr-FR"/>
        </w:rPr>
        <w:t>” présente</w:t>
      </w:r>
      <w:r w:rsidR="00E520F3" w:rsidRPr="00EB51C6">
        <w:rPr>
          <w:lang w:val="fr-FR"/>
        </w:rPr>
        <w:t xml:space="preserve"> en détail</w:t>
      </w:r>
      <w:r w:rsidRPr="00EB51C6">
        <w:rPr>
          <w:lang w:val="fr-FR"/>
        </w:rPr>
        <w:t xml:space="preserve"> les différentes possibilités d</w:t>
      </w:r>
      <w:r w:rsidR="00013D86" w:rsidRPr="00EB51C6">
        <w:rPr>
          <w:lang w:val="fr-FR"/>
        </w:rPr>
        <w:t>’</w:t>
      </w:r>
      <w:r w:rsidRPr="00EB51C6">
        <w:rPr>
          <w:lang w:val="fr-FR"/>
        </w:rPr>
        <w:t xml:space="preserve">utilisation des </w:t>
      </w:r>
      <w:r w:rsidR="00E520F3" w:rsidRPr="00EB51C6">
        <w:rPr>
          <w:lang w:val="fr-FR"/>
        </w:rPr>
        <w:t>droits</w:t>
      </w:r>
      <w:r w:rsidRPr="00EB51C6">
        <w:rPr>
          <w:lang w:val="fr-FR"/>
        </w:rPr>
        <w:t xml:space="preserve"> de propriété intellectuelle, qui sont des actifs commerciaux </w:t>
      </w:r>
      <w:r w:rsidR="00DA49BD" w:rsidRPr="00EB51C6">
        <w:rPr>
          <w:lang w:val="fr-FR"/>
        </w:rPr>
        <w:t>permettant</w:t>
      </w:r>
      <w:r w:rsidRPr="00EB51C6">
        <w:rPr>
          <w:lang w:val="fr-FR"/>
        </w:rPr>
        <w:t xml:space="preserve"> d</w:t>
      </w:r>
      <w:r w:rsidR="00013D86" w:rsidRPr="00EB51C6">
        <w:rPr>
          <w:lang w:val="fr-FR"/>
        </w:rPr>
        <w:t>’</w:t>
      </w:r>
      <w:r w:rsidRPr="00EB51C6">
        <w:rPr>
          <w:lang w:val="fr-FR"/>
        </w:rPr>
        <w:t>augmenter les revenus</w:t>
      </w:r>
      <w:r w:rsidR="00DC6EA1" w:rsidRPr="00EB51C6">
        <w:rPr>
          <w:lang w:val="fr-FR"/>
        </w:rPr>
        <w:t xml:space="preserve"> de l</w:t>
      </w:r>
      <w:r w:rsidR="00013D86" w:rsidRPr="00EB51C6">
        <w:rPr>
          <w:lang w:val="fr-FR"/>
        </w:rPr>
        <w:t>’</w:t>
      </w:r>
      <w:r w:rsidR="00DC6EA1" w:rsidRPr="00EB51C6">
        <w:rPr>
          <w:lang w:val="fr-FR"/>
        </w:rPr>
        <w:t>entreprise</w:t>
      </w:r>
      <w:r w:rsidRPr="00EB51C6">
        <w:rPr>
          <w:lang w:val="fr-FR"/>
        </w:rPr>
        <w:t xml:space="preserve"> par la concession de licence</w:t>
      </w:r>
      <w:r w:rsidR="00DA49BD" w:rsidRPr="00EB51C6">
        <w:rPr>
          <w:lang w:val="fr-FR"/>
        </w:rPr>
        <w:t>s ou la vente et d</w:t>
      </w:r>
      <w:r w:rsidR="00013D86" w:rsidRPr="00EB51C6">
        <w:rPr>
          <w:lang w:val="fr-FR"/>
        </w:rPr>
        <w:t>’</w:t>
      </w:r>
      <w:r w:rsidRPr="00EB51C6">
        <w:rPr>
          <w:lang w:val="fr-FR"/>
        </w:rPr>
        <w:t>obtenir des financements pour attirer des pa</w:t>
      </w:r>
      <w:r w:rsidR="00E520F3" w:rsidRPr="00EB51C6">
        <w:rPr>
          <w:lang w:val="fr-FR"/>
        </w:rPr>
        <w:t>rtenaires et des collaborateurs</w:t>
      </w:r>
      <w:r w:rsidR="00BD1BB0" w:rsidRPr="00EB51C6">
        <w:rPr>
          <w:lang w:val="fr-FR"/>
        </w:rPr>
        <w:t>.</w:t>
      </w:r>
    </w:p>
    <w:p w:rsidR="00BD1BB0" w:rsidRPr="00EB51C6" w:rsidRDefault="00E520F3" w:rsidP="00B004A8">
      <w:pPr>
        <w:keepLines/>
        <w:spacing w:after="220"/>
        <w:rPr>
          <w:lang w:val="fr-FR"/>
        </w:rPr>
      </w:pPr>
      <w:r w:rsidRPr="00EB51C6">
        <w:rPr>
          <w:lang w:val="fr-FR"/>
        </w:rPr>
        <w:lastRenderedPageBreak/>
        <w:t xml:space="preserve">La propriété intellectuelle est également importante </w:t>
      </w:r>
      <w:r w:rsidR="00DA49BD" w:rsidRPr="00EB51C6">
        <w:rPr>
          <w:lang w:val="fr-FR"/>
        </w:rPr>
        <w:t>en matière de</w:t>
      </w:r>
      <w:r w:rsidRPr="00EB51C6">
        <w:rPr>
          <w:lang w:val="fr-FR"/>
        </w:rPr>
        <w:t xml:space="preserve"> gestion des risqu</w:t>
      </w:r>
      <w:r w:rsidR="00EB51C6" w:rsidRPr="00EB51C6">
        <w:rPr>
          <w:lang w:val="fr-FR"/>
        </w:rPr>
        <w:t>es.  Mê</w:t>
      </w:r>
      <w:r w:rsidR="00790FC5" w:rsidRPr="00EB51C6">
        <w:rPr>
          <w:lang w:val="fr-FR"/>
        </w:rPr>
        <w:t>me si une start</w:t>
      </w:r>
      <w:r w:rsidR="00B004A8">
        <w:rPr>
          <w:lang w:val="fr-FR"/>
        </w:rPr>
        <w:noBreakHyphen/>
      </w:r>
      <w:r w:rsidR="00790FC5" w:rsidRPr="00EB51C6">
        <w:rPr>
          <w:lang w:val="fr-FR"/>
        </w:rPr>
        <w:t>up estime que le système de</w:t>
      </w:r>
      <w:r w:rsidR="001367EC" w:rsidRPr="00EB51C6">
        <w:rPr>
          <w:lang w:val="fr-FR"/>
        </w:rPr>
        <w:t xml:space="preserve"> la</w:t>
      </w:r>
      <w:r w:rsidR="00790FC5" w:rsidRPr="00EB51C6">
        <w:rPr>
          <w:lang w:val="fr-FR"/>
        </w:rPr>
        <w:t xml:space="preserve"> propriété intellectuelle ne présente aucun intérêt pour elle, il est important qu</w:t>
      </w:r>
      <w:r w:rsidR="00013D86" w:rsidRPr="00EB51C6">
        <w:rPr>
          <w:lang w:val="fr-FR"/>
        </w:rPr>
        <w:t>’</w:t>
      </w:r>
      <w:r w:rsidR="00790FC5" w:rsidRPr="00EB51C6">
        <w:rPr>
          <w:lang w:val="fr-FR"/>
        </w:rPr>
        <w:t xml:space="preserve">elle comprenne </w:t>
      </w:r>
      <w:r w:rsidR="001774A7" w:rsidRPr="00EB51C6">
        <w:rPr>
          <w:lang w:val="fr-FR"/>
        </w:rPr>
        <w:t>les effets</w:t>
      </w:r>
      <w:r w:rsidR="00790FC5" w:rsidRPr="00EB51C6">
        <w:rPr>
          <w:lang w:val="fr-FR"/>
        </w:rPr>
        <w:t xml:space="preserve"> du système de la propriété intellectuelle en matière de gestion des risqu</w:t>
      </w:r>
      <w:r w:rsidR="00EB51C6" w:rsidRPr="00EB51C6">
        <w:rPr>
          <w:lang w:val="fr-FR"/>
        </w:rPr>
        <w:t>es.  Le</w:t>
      </w:r>
      <w:r w:rsidR="008C5E82" w:rsidRPr="00EB51C6">
        <w:rPr>
          <w:lang w:val="fr-FR"/>
        </w:rPr>
        <w:t xml:space="preserve"> chapitre consacré à la</w:t>
      </w:r>
      <w:r w:rsidR="00BD1BB0" w:rsidRPr="00EB51C6">
        <w:rPr>
          <w:lang w:val="fr-FR"/>
        </w:rPr>
        <w:t xml:space="preserve"> “</w:t>
      </w:r>
      <w:r w:rsidR="008C5E82" w:rsidRPr="00EB51C6">
        <w:rPr>
          <w:lang w:val="fr-FR"/>
        </w:rPr>
        <w:t>Gestion des risques</w:t>
      </w:r>
      <w:r w:rsidR="00BD1BB0" w:rsidRPr="00EB51C6">
        <w:rPr>
          <w:lang w:val="fr-FR"/>
        </w:rPr>
        <w:t xml:space="preserve">” </w:t>
      </w:r>
      <w:r w:rsidR="00790FC5" w:rsidRPr="00EB51C6">
        <w:rPr>
          <w:lang w:val="fr-FR"/>
        </w:rPr>
        <w:t>étudie cette question de manière plus approfondie</w:t>
      </w:r>
      <w:r w:rsidR="00A50774" w:rsidRPr="00EB51C6">
        <w:rPr>
          <w:lang w:val="fr-FR"/>
        </w:rPr>
        <w:t>.</w:t>
      </w:r>
    </w:p>
    <w:p w:rsidR="00BD1BB0" w:rsidRPr="00EB51C6" w:rsidRDefault="001774A7" w:rsidP="00A50774">
      <w:pPr>
        <w:spacing w:after="220"/>
        <w:rPr>
          <w:lang w:val="fr-FR"/>
        </w:rPr>
      </w:pPr>
      <w:r w:rsidRPr="00EB51C6">
        <w:rPr>
          <w:lang w:val="fr-FR"/>
        </w:rPr>
        <w:t>Le</w:t>
      </w:r>
      <w:r w:rsidR="00921DF6" w:rsidRPr="00EB51C6">
        <w:rPr>
          <w:lang w:val="fr-FR"/>
        </w:rPr>
        <w:t xml:space="preserve"> guide examine </w:t>
      </w:r>
      <w:r w:rsidRPr="00EB51C6">
        <w:rPr>
          <w:lang w:val="fr-FR"/>
        </w:rPr>
        <w:t>aussi</w:t>
      </w:r>
      <w:r w:rsidR="00921DF6" w:rsidRPr="00EB51C6">
        <w:rPr>
          <w:lang w:val="fr-FR"/>
        </w:rPr>
        <w:t xml:space="preserve"> deux</w:t>
      </w:r>
      <w:r w:rsidR="005702A3" w:rsidRPr="00EB51C6">
        <w:rPr>
          <w:lang w:val="fr-FR"/>
        </w:rPr>
        <w:t> </w:t>
      </w:r>
      <w:r w:rsidR="00921DF6" w:rsidRPr="00EB51C6">
        <w:rPr>
          <w:lang w:val="fr-FR"/>
        </w:rPr>
        <w:t xml:space="preserve">vastes domaines transversaux, </w:t>
      </w:r>
      <w:r w:rsidR="00013D86" w:rsidRPr="00EB51C6">
        <w:rPr>
          <w:lang w:val="fr-FR"/>
        </w:rPr>
        <w:t>à savoir</w:t>
      </w:r>
      <w:r w:rsidR="00921DF6" w:rsidRPr="00EB51C6">
        <w:rPr>
          <w:lang w:val="fr-FR"/>
        </w:rPr>
        <w:t xml:space="preserve"> </w:t>
      </w:r>
      <w:r w:rsidRPr="00EB51C6">
        <w:rPr>
          <w:lang w:val="fr-FR"/>
        </w:rPr>
        <w:t>les</w:t>
      </w:r>
      <w:r w:rsidR="00921DF6" w:rsidRPr="00EB51C6">
        <w:rPr>
          <w:lang w:val="fr-FR"/>
        </w:rPr>
        <w:t xml:space="preserve"> audit</w:t>
      </w:r>
      <w:r w:rsidRPr="00EB51C6">
        <w:rPr>
          <w:lang w:val="fr-FR"/>
        </w:rPr>
        <w:t>s</w:t>
      </w:r>
      <w:r w:rsidR="00921DF6" w:rsidRPr="00EB51C6">
        <w:rPr>
          <w:lang w:val="fr-FR"/>
        </w:rPr>
        <w:t xml:space="preserve"> de propriété intellectuelle et les bases de données de propriété intellectuel</w:t>
      </w:r>
      <w:r w:rsidR="00EB51C6" w:rsidRPr="00EB51C6">
        <w:rPr>
          <w:lang w:val="fr-FR"/>
        </w:rPr>
        <w:t>le.  Le</w:t>
      </w:r>
      <w:r w:rsidR="00921DF6" w:rsidRPr="00EB51C6">
        <w:rPr>
          <w:lang w:val="fr-FR"/>
        </w:rPr>
        <w:t>s audit</w:t>
      </w:r>
      <w:r w:rsidR="00195D27" w:rsidRPr="00EB51C6">
        <w:rPr>
          <w:lang w:val="fr-FR"/>
        </w:rPr>
        <w:t>s</w:t>
      </w:r>
      <w:r w:rsidR="00921DF6" w:rsidRPr="00EB51C6">
        <w:rPr>
          <w:lang w:val="fr-FR"/>
        </w:rPr>
        <w:t xml:space="preserve"> de propriété intellectuelle peuvent être pertinents à diff</w:t>
      </w:r>
      <w:r w:rsidR="005773FC" w:rsidRPr="00EB51C6">
        <w:rPr>
          <w:lang w:val="fr-FR"/>
        </w:rPr>
        <w:t>érents stades de développement de</w:t>
      </w:r>
      <w:r w:rsidR="00921DF6" w:rsidRPr="00EB51C6">
        <w:rPr>
          <w:lang w:val="fr-FR"/>
        </w:rPr>
        <w:t xml:space="preserve"> l</w:t>
      </w:r>
      <w:r w:rsidR="00013D86" w:rsidRPr="00EB51C6">
        <w:rPr>
          <w:lang w:val="fr-FR"/>
        </w:rPr>
        <w:t>’</w:t>
      </w:r>
      <w:r w:rsidR="005773FC" w:rsidRPr="00EB51C6">
        <w:rPr>
          <w:lang w:val="fr-FR"/>
        </w:rPr>
        <w:t>entreprise</w:t>
      </w:r>
      <w:r w:rsidR="00921DF6" w:rsidRPr="00EB51C6">
        <w:rPr>
          <w:lang w:val="fr-FR"/>
        </w:rPr>
        <w:t xml:space="preserve"> ou ils peuvent être motivés par </w:t>
      </w:r>
      <w:r w:rsidR="00DC6EA1" w:rsidRPr="00EB51C6">
        <w:rPr>
          <w:lang w:val="fr-FR"/>
        </w:rPr>
        <w:t>divers</w:t>
      </w:r>
      <w:r w:rsidR="00921DF6" w:rsidRPr="00EB51C6">
        <w:rPr>
          <w:lang w:val="fr-FR"/>
        </w:rPr>
        <w:t xml:space="preserve"> événemen</w:t>
      </w:r>
      <w:r w:rsidR="00EB51C6" w:rsidRPr="00EB51C6">
        <w:rPr>
          <w:lang w:val="fr-FR"/>
        </w:rPr>
        <w:t>ts.  Le</w:t>
      </w:r>
      <w:r w:rsidR="00921DF6" w:rsidRPr="00EB51C6">
        <w:rPr>
          <w:lang w:val="fr-FR"/>
        </w:rPr>
        <w:t>s bases de données de propriété intellectuelle</w:t>
      </w:r>
      <w:r w:rsidR="00195D27" w:rsidRPr="00EB51C6">
        <w:rPr>
          <w:lang w:val="fr-FR"/>
        </w:rPr>
        <w:t xml:space="preserve"> sont</w:t>
      </w:r>
      <w:r w:rsidR="00DC6EA1" w:rsidRPr="00EB51C6">
        <w:rPr>
          <w:lang w:val="fr-FR"/>
        </w:rPr>
        <w:t xml:space="preserve"> quant à elles</w:t>
      </w:r>
      <w:r w:rsidR="00195D27" w:rsidRPr="00EB51C6">
        <w:rPr>
          <w:lang w:val="fr-FR"/>
        </w:rPr>
        <w:t xml:space="preserve"> de</w:t>
      </w:r>
      <w:r w:rsidR="005773FC" w:rsidRPr="00EB51C6">
        <w:rPr>
          <w:lang w:val="fr-FR"/>
        </w:rPr>
        <w:t>s ressources extraordinaires</w:t>
      </w:r>
      <w:r w:rsidR="00013D86" w:rsidRPr="00EB51C6">
        <w:rPr>
          <w:lang w:val="fr-FR"/>
        </w:rPr>
        <w:t> :</w:t>
      </w:r>
      <w:r w:rsidR="005773FC" w:rsidRPr="00EB51C6">
        <w:rPr>
          <w:lang w:val="fr-FR"/>
        </w:rPr>
        <w:t xml:space="preserve"> elles</w:t>
      </w:r>
      <w:r w:rsidR="00195D27" w:rsidRPr="00EB51C6">
        <w:rPr>
          <w:lang w:val="fr-FR"/>
        </w:rPr>
        <w:t xml:space="preserve"> fournissent aux jeunes entreprises des informations qui peuvent les inspirer, les aider à éviter de porter atteinte aux actifs de tiers, l</w:t>
      </w:r>
      <w:r w:rsidR="005773FC" w:rsidRPr="00EB51C6">
        <w:rPr>
          <w:lang w:val="fr-FR"/>
        </w:rPr>
        <w:t>eur</w:t>
      </w:r>
      <w:r w:rsidR="00195D27" w:rsidRPr="00EB51C6">
        <w:rPr>
          <w:lang w:val="fr-FR"/>
        </w:rPr>
        <w:t xml:space="preserve"> permettre de comprendre les tendances, </w:t>
      </w:r>
      <w:r w:rsidR="005773FC" w:rsidRPr="00EB51C6">
        <w:rPr>
          <w:lang w:val="fr-FR"/>
        </w:rPr>
        <w:t>de</w:t>
      </w:r>
      <w:r w:rsidR="00195D27" w:rsidRPr="00EB51C6">
        <w:rPr>
          <w:lang w:val="fr-FR"/>
        </w:rPr>
        <w:t xml:space="preserve"> trouver des partenaires, e</w:t>
      </w:r>
      <w:r w:rsidR="00EB51C6" w:rsidRPr="00EB51C6">
        <w:rPr>
          <w:lang w:val="fr-FR"/>
        </w:rPr>
        <w:t>tc.  Le</w:t>
      </w:r>
      <w:r w:rsidR="00195D27" w:rsidRPr="00EB51C6">
        <w:rPr>
          <w:lang w:val="fr-FR"/>
        </w:rPr>
        <w:t>s deux</w:t>
      </w:r>
      <w:r w:rsidR="005702A3" w:rsidRPr="00EB51C6">
        <w:rPr>
          <w:lang w:val="fr-FR"/>
        </w:rPr>
        <w:t> </w:t>
      </w:r>
      <w:r w:rsidR="00195D27" w:rsidRPr="00EB51C6">
        <w:rPr>
          <w:lang w:val="fr-FR"/>
        </w:rPr>
        <w:t>derniers chapitres portent sur ces domaines.</w:t>
      </w:r>
    </w:p>
    <w:p w:rsidR="00BD1BB0" w:rsidRPr="00EB51C6" w:rsidRDefault="00F052D4" w:rsidP="00A50774">
      <w:pPr>
        <w:spacing w:after="220"/>
        <w:rPr>
          <w:lang w:val="fr-FR"/>
        </w:rPr>
      </w:pPr>
      <w:r w:rsidRPr="00EB51C6">
        <w:rPr>
          <w:lang w:val="fr-FR"/>
        </w:rPr>
        <w:t>Finalement</w:t>
      </w:r>
      <w:r w:rsidR="005F7721" w:rsidRPr="00EB51C6">
        <w:rPr>
          <w:lang w:val="fr-FR"/>
        </w:rPr>
        <w:t xml:space="preserve">, </w:t>
      </w:r>
      <w:r w:rsidRPr="00EB51C6">
        <w:rPr>
          <w:lang w:val="fr-FR"/>
        </w:rPr>
        <w:t>le guide</w:t>
      </w:r>
      <w:r w:rsidR="00594470" w:rsidRPr="00EB51C6">
        <w:rPr>
          <w:lang w:val="fr-FR"/>
        </w:rPr>
        <w:t xml:space="preserve"> </w:t>
      </w:r>
      <w:r w:rsidRPr="00EB51C6">
        <w:rPr>
          <w:lang w:val="fr-FR"/>
        </w:rPr>
        <w:t>présente des études cas illustrant comment des femmes du monde entier ont utilisé le système de la propriété intellectuelle pour créer des entreprises prospères</w:t>
      </w:r>
      <w:r w:rsidR="00BD1BB0" w:rsidRPr="00EB51C6">
        <w:rPr>
          <w:lang w:val="fr-FR"/>
        </w:rPr>
        <w:t>.</w:t>
      </w:r>
    </w:p>
    <w:p w:rsidR="005F7721" w:rsidRPr="00EB51C6" w:rsidRDefault="00767927" w:rsidP="00A50774">
      <w:pPr>
        <w:spacing w:after="220"/>
        <w:rPr>
          <w:lang w:val="fr-FR"/>
        </w:rPr>
      </w:pPr>
      <w:r w:rsidRPr="00EB51C6">
        <w:rPr>
          <w:lang w:val="fr-FR"/>
        </w:rPr>
        <w:t>Le guide est disponible en anglais, arabe, chinois, espagnol, français, russe et japona</w:t>
      </w:r>
      <w:r w:rsidR="00EB51C6" w:rsidRPr="00EB51C6">
        <w:rPr>
          <w:lang w:val="fr-FR"/>
        </w:rPr>
        <w:t>is.  Il</w:t>
      </w:r>
      <w:r w:rsidRPr="00EB51C6">
        <w:rPr>
          <w:lang w:val="fr-FR"/>
        </w:rPr>
        <w:t xml:space="preserve"> peut être consulté à l</w:t>
      </w:r>
      <w:r w:rsidR="00013D86" w:rsidRPr="00EB51C6">
        <w:rPr>
          <w:lang w:val="fr-FR"/>
        </w:rPr>
        <w:t>’</w:t>
      </w:r>
      <w:r w:rsidRPr="00EB51C6">
        <w:rPr>
          <w:lang w:val="fr-FR"/>
        </w:rPr>
        <w:t>adresse suivante</w:t>
      </w:r>
      <w:r w:rsidR="00013D86" w:rsidRPr="00EB51C6">
        <w:rPr>
          <w:lang w:val="fr-FR"/>
        </w:rPr>
        <w:t> :</w:t>
      </w:r>
      <w:r w:rsidR="005F7721" w:rsidRPr="00EB51C6">
        <w:rPr>
          <w:lang w:val="fr-FR"/>
        </w:rPr>
        <w:t xml:space="preserve"> </w:t>
      </w:r>
      <w:hyperlink r:id="rId16" w:history="1">
        <w:r w:rsidR="00B004A8">
          <w:rPr>
            <w:rStyle w:val="Hyperlink"/>
            <w:lang w:val="fr-FR"/>
          </w:rPr>
          <w:t>https://www.wipo.int/publications/fr/details.jsp?id=4545</w:t>
        </w:r>
      </w:hyperlink>
      <w:r w:rsidR="00A86FB4" w:rsidRPr="00EB51C6">
        <w:rPr>
          <w:lang w:val="fr-FR"/>
        </w:rPr>
        <w:t>.</w:t>
      </w:r>
    </w:p>
    <w:p w:rsidR="0081533E" w:rsidRPr="00EB51C6" w:rsidRDefault="0081533E" w:rsidP="00A50774">
      <w:pPr>
        <w:pStyle w:val="Endofdocument-Annex"/>
      </w:pPr>
      <w:r w:rsidRPr="00EB51C6">
        <w:t>[</w:t>
      </w:r>
      <w:r w:rsidR="00AD0988" w:rsidRPr="00EB51C6">
        <w:t>Fin de l</w:t>
      </w:r>
      <w:r w:rsidR="00013D86" w:rsidRPr="00EB51C6">
        <w:t>’</w:t>
      </w:r>
      <w:r w:rsidR="00AD0988" w:rsidRPr="00EB51C6">
        <w:t>annexe et du document</w:t>
      </w:r>
      <w:r w:rsidRPr="00EB51C6">
        <w:t>]</w:t>
      </w:r>
    </w:p>
    <w:sectPr w:rsidR="0081533E" w:rsidRPr="00EB51C6" w:rsidSect="00A50774">
      <w:headerReference w:type="first" r:id="rId17"/>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814" w:rsidRDefault="008E4814" w:rsidP="008934BE">
      <w:r>
        <w:separator/>
      </w:r>
    </w:p>
  </w:endnote>
  <w:endnote w:type="continuationSeparator" w:id="0">
    <w:p w:rsidR="008E4814" w:rsidRDefault="008E4814" w:rsidP="008934BE">
      <w:r>
        <w:continuationSeparator/>
      </w:r>
    </w:p>
  </w:endnote>
  <w:endnote w:type="continuationNotice" w:id="1">
    <w:p w:rsidR="00EB51C6" w:rsidRDefault="00EB5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14" w:rsidRDefault="008E4814" w:rsidP="008934B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53A" w:rsidRDefault="00D44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53A" w:rsidRDefault="00D44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814" w:rsidRDefault="008E4814" w:rsidP="008934BE">
      <w:r>
        <w:separator/>
      </w:r>
    </w:p>
  </w:footnote>
  <w:footnote w:type="continuationSeparator" w:id="0">
    <w:p w:rsidR="008E4814" w:rsidRDefault="008E4814" w:rsidP="008934BE">
      <w:r>
        <w:continuationSeparator/>
      </w:r>
    </w:p>
  </w:footnote>
  <w:footnote w:type="continuationNotice" w:id="1">
    <w:p w:rsidR="00EB51C6" w:rsidRDefault="00EB51C6"/>
  </w:footnote>
  <w:footnote w:id="2">
    <w:p w:rsidR="000628DC" w:rsidRPr="00790FC5" w:rsidRDefault="000628DC" w:rsidP="002D3827">
      <w:pPr>
        <w:pStyle w:val="FootnoteText"/>
        <w:rPr>
          <w:lang w:val="fr-CH"/>
        </w:rPr>
      </w:pPr>
      <w:r>
        <w:rPr>
          <w:rStyle w:val="FootnoteReference"/>
        </w:rPr>
        <w:footnoteRef/>
      </w:r>
      <w:r w:rsidRPr="00790FC5">
        <w:rPr>
          <w:lang w:val="fr-CH"/>
        </w:rPr>
        <w:t xml:space="preserve"> </w:t>
      </w:r>
      <w:r w:rsidR="00A50774">
        <w:rPr>
          <w:lang w:val="fr-CH"/>
        </w:rPr>
        <w:tab/>
      </w:r>
      <w:r w:rsidR="00790FC5" w:rsidRPr="00790FC5">
        <w:rPr>
          <w:lang w:val="fr-CH"/>
        </w:rPr>
        <w:t>Ce guide a été élaboré dans le cadre du projet du Plan d</w:t>
      </w:r>
      <w:r w:rsidR="005964F3">
        <w:rPr>
          <w:lang w:val="fr-CH"/>
        </w:rPr>
        <w:t>’</w:t>
      </w:r>
      <w:r w:rsidR="00790FC5" w:rsidRPr="00790FC5">
        <w:rPr>
          <w:lang w:val="fr-CH"/>
        </w:rPr>
        <w:t xml:space="preserve">action pour le développement visant à </w:t>
      </w:r>
      <w:hyperlink r:id="rId1" w:history="1">
        <w:r w:rsidR="00790FC5" w:rsidRPr="00790FC5">
          <w:rPr>
            <w:rStyle w:val="Hyperlink"/>
            <w:bCs/>
            <w:lang w:val="fr-CH"/>
          </w:rPr>
          <w:t>renforcer le rôle des femmes dans l</w:t>
        </w:r>
        <w:r w:rsidR="005964F3">
          <w:rPr>
            <w:rStyle w:val="Hyperlink"/>
            <w:bCs/>
            <w:lang w:val="fr-CH"/>
          </w:rPr>
          <w:t>’</w:t>
        </w:r>
        <w:r w:rsidR="00790FC5" w:rsidRPr="00790FC5">
          <w:rPr>
            <w:rStyle w:val="Hyperlink"/>
            <w:bCs/>
            <w:lang w:val="fr-CH"/>
          </w:rPr>
          <w:t>innovation et l</w:t>
        </w:r>
        <w:r w:rsidR="005964F3">
          <w:rPr>
            <w:rStyle w:val="Hyperlink"/>
            <w:bCs/>
            <w:lang w:val="fr-CH"/>
          </w:rPr>
          <w:t>’</w:t>
        </w:r>
        <w:r w:rsidR="00790FC5" w:rsidRPr="00790FC5">
          <w:rPr>
            <w:rStyle w:val="Hyperlink"/>
            <w:bCs/>
            <w:lang w:val="fr-CH"/>
          </w:rPr>
          <w:t>entrepreneuriat, en encourageant les femmes des pays en développement à utiliser le système de la propriété i</w:t>
        </w:r>
        <w:bookmarkStart w:id="3" w:name="_GoBack"/>
        <w:bookmarkEnd w:id="3"/>
        <w:r w:rsidR="00790FC5" w:rsidRPr="00790FC5">
          <w:rPr>
            <w:rStyle w:val="Hyperlink"/>
            <w:bCs/>
            <w:lang w:val="fr-CH"/>
          </w:rPr>
          <w:t>ntellectuelle</w:t>
        </w:r>
      </w:hyperlink>
      <w:r w:rsidRPr="00790FC5">
        <w:rPr>
          <w:bCs/>
          <w:lang w:val="fr-CH"/>
        </w:rPr>
        <w:t>.</w:t>
      </w:r>
    </w:p>
  </w:footnote>
  <w:footnote w:id="3">
    <w:p w:rsidR="007111C2" w:rsidRPr="005E3A03" w:rsidRDefault="007111C2" w:rsidP="007111C2">
      <w:pPr>
        <w:pStyle w:val="FootnoteText"/>
        <w:rPr>
          <w:lang w:val="fr-CH"/>
        </w:rPr>
      </w:pPr>
      <w:r>
        <w:rPr>
          <w:rStyle w:val="FootnoteReference"/>
        </w:rPr>
        <w:footnoteRef/>
      </w:r>
      <w:r w:rsidRPr="00622AE3">
        <w:rPr>
          <w:lang w:val="fr-CH"/>
        </w:rPr>
        <w:t xml:space="preserve"> </w:t>
      </w:r>
      <w:r w:rsidR="00A50774">
        <w:rPr>
          <w:lang w:val="fr-CH"/>
        </w:rPr>
        <w:tab/>
      </w:r>
      <w:r w:rsidR="00622AE3" w:rsidRPr="00622AE3">
        <w:rPr>
          <w:lang w:val="fr-CH"/>
        </w:rPr>
        <w:t>La première mouture du guide</w:t>
      </w:r>
      <w:r w:rsidRPr="00622AE3">
        <w:rPr>
          <w:lang w:val="fr-CH"/>
        </w:rPr>
        <w:t xml:space="preserve"> </w:t>
      </w:r>
      <w:r w:rsidR="00622AE3" w:rsidRPr="00622AE3">
        <w:rPr>
          <w:lang w:val="fr-CH"/>
        </w:rPr>
        <w:t>a été établie par M</w:t>
      </w:r>
      <w:r w:rsidR="00A50774">
        <w:rPr>
          <w:lang w:val="fr-CH"/>
        </w:rPr>
        <w:t>. Omer </w:t>
      </w:r>
      <w:proofErr w:type="spellStart"/>
      <w:r w:rsidRPr="00622AE3">
        <w:rPr>
          <w:lang w:val="fr-CH"/>
        </w:rPr>
        <w:t>Hiziroglu</w:t>
      </w:r>
      <w:proofErr w:type="spellEnd"/>
      <w:r w:rsidRPr="00622AE3">
        <w:rPr>
          <w:lang w:val="fr-CH"/>
        </w:rPr>
        <w:t xml:space="preserve">, </w:t>
      </w:r>
      <w:r w:rsidR="00622AE3">
        <w:rPr>
          <w:lang w:val="fr-CH"/>
        </w:rPr>
        <w:t>directeur exécutif chez TLS.IP, Istanbul (Turquie)</w:t>
      </w:r>
      <w:r w:rsidRPr="00622AE3">
        <w:rPr>
          <w:lang w:val="fr-CH"/>
        </w:rPr>
        <w:t xml:space="preserve">.  </w:t>
      </w:r>
      <w:r w:rsidR="00790FC5" w:rsidRPr="005E3A03">
        <w:rPr>
          <w:lang w:val="fr-CH"/>
        </w:rPr>
        <w:t xml:space="preserve">Elle a été </w:t>
      </w:r>
      <w:r w:rsidR="001367EC">
        <w:rPr>
          <w:lang w:val="fr-CH"/>
        </w:rPr>
        <w:t>conçue et supervisée par la</w:t>
      </w:r>
      <w:r w:rsidR="005E3A03">
        <w:rPr>
          <w:lang w:val="fr-CH"/>
        </w:rPr>
        <w:t xml:space="preserve"> chef de projet, </w:t>
      </w:r>
      <w:r w:rsidR="00A50774">
        <w:rPr>
          <w:lang w:val="fr-CH"/>
        </w:rPr>
        <w:t>Mme Tamara </w:t>
      </w:r>
      <w:proofErr w:type="spellStart"/>
      <w:r w:rsidRPr="005E3A03">
        <w:rPr>
          <w:lang w:val="fr-CH"/>
        </w:rPr>
        <w:t>Nanayakkara</w:t>
      </w:r>
      <w:proofErr w:type="spellEnd"/>
      <w:r w:rsidRPr="005E3A03">
        <w:rPr>
          <w:lang w:val="fr-CH"/>
        </w:rPr>
        <w:t>,</w:t>
      </w:r>
      <w:r w:rsidR="002957B9">
        <w:rPr>
          <w:lang w:val="fr-CH"/>
        </w:rPr>
        <w:t xml:space="preserve"> conseillère à la </w:t>
      </w:r>
      <w:r w:rsidR="005E3A03" w:rsidRPr="005E3A03">
        <w:rPr>
          <w:lang w:val="fr-CH"/>
        </w:rPr>
        <w:t>Division de l</w:t>
      </w:r>
      <w:r w:rsidR="005964F3">
        <w:rPr>
          <w:lang w:val="fr-CH"/>
        </w:rPr>
        <w:t>’</w:t>
      </w:r>
      <w:r w:rsidR="005E3A03" w:rsidRPr="005E3A03">
        <w:rPr>
          <w:lang w:val="fr-CH"/>
        </w:rPr>
        <w:t>appui</w:t>
      </w:r>
      <w:r w:rsidR="005964F3" w:rsidRPr="005E3A03">
        <w:rPr>
          <w:lang w:val="fr-CH"/>
        </w:rPr>
        <w:t xml:space="preserve"> aux</w:t>
      </w:r>
      <w:r w:rsidR="005964F3">
        <w:rPr>
          <w:lang w:val="fr-CH"/>
        </w:rPr>
        <w:t> </w:t>
      </w:r>
      <w:r w:rsidR="005964F3" w:rsidRPr="005E3A03">
        <w:rPr>
          <w:lang w:val="fr-CH"/>
        </w:rPr>
        <w:t>PME</w:t>
      </w:r>
      <w:r w:rsidR="005E3A03" w:rsidRPr="005E3A03">
        <w:rPr>
          <w:lang w:val="fr-CH"/>
        </w:rPr>
        <w:t xml:space="preserve"> et à la création d</w:t>
      </w:r>
      <w:r w:rsidR="005964F3">
        <w:rPr>
          <w:lang w:val="fr-CH"/>
        </w:rPr>
        <w:t>’</w:t>
      </w:r>
      <w:r w:rsidR="005E3A03" w:rsidRPr="005E3A03">
        <w:rPr>
          <w:lang w:val="fr-CH"/>
        </w:rPr>
        <w:t>entreprises</w:t>
      </w:r>
      <w:r w:rsidRPr="005E3A03">
        <w:rPr>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14" w:rsidRDefault="008E4814" w:rsidP="00B53986">
    <w:pPr>
      <w:pStyle w:val="Header"/>
      <w:jc w:val="right"/>
    </w:pPr>
    <w:r>
      <w:t>CDIP/28/4</w:t>
    </w:r>
  </w:p>
  <w:p w:rsidR="008E4814" w:rsidRDefault="008E4814" w:rsidP="00B53986">
    <w:pPr>
      <w:pStyle w:val="Header"/>
      <w:jc w:val="right"/>
    </w:pPr>
    <w:r>
      <w:t xml:space="preserve">Annex, </w:t>
    </w:r>
    <w:r w:rsidRPr="00F6103C">
      <w:rPr>
        <w:lang w:val="en-GB"/>
      </w:rPr>
      <w:t>page</w:t>
    </w:r>
    <w:r>
      <w:t xml:space="preserve"> </w:t>
    </w:r>
    <w:sdt>
      <w:sdtPr>
        <w:id w:val="-6105142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10</w:t>
        </w:r>
        <w:r>
          <w:rPr>
            <w:noProof/>
          </w:rPr>
          <w:fldChar w:fldCharType="end"/>
        </w:r>
      </w:sdtContent>
    </w:sdt>
  </w:p>
  <w:p w:rsidR="008E4814" w:rsidRDefault="008E4814" w:rsidP="004432E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14" w:rsidRPr="00A50774" w:rsidRDefault="008E4814" w:rsidP="0081533E">
    <w:pPr>
      <w:pStyle w:val="Header"/>
      <w:jc w:val="right"/>
      <w:rPr>
        <w:lang w:val="fr-FR"/>
      </w:rPr>
    </w:pPr>
    <w:r w:rsidRPr="00A50774">
      <w:rPr>
        <w:lang w:val="fr-FR"/>
      </w:rPr>
      <w:t>C</w:t>
    </w:r>
    <w:r w:rsidR="00BD1BB0" w:rsidRPr="00A50774">
      <w:rPr>
        <w:lang w:val="fr-FR"/>
      </w:rPr>
      <w:t>DIP/28/INF/4</w:t>
    </w:r>
  </w:p>
  <w:p w:rsidR="008E4814" w:rsidRPr="00A50774" w:rsidRDefault="008E4814" w:rsidP="00A50774">
    <w:pPr>
      <w:pStyle w:val="Header"/>
      <w:spacing w:after="480"/>
      <w:jc w:val="right"/>
      <w:rPr>
        <w:lang w:val="fr-FR"/>
      </w:rPr>
    </w:pPr>
    <w:r w:rsidRPr="00A50774">
      <w:rPr>
        <w:lang w:val="fr-FR"/>
      </w:rPr>
      <w:t>Annex</w:t>
    </w:r>
    <w:r w:rsidR="00AD0988" w:rsidRPr="00A50774">
      <w:rPr>
        <w:lang w:val="fr-FR"/>
      </w:rPr>
      <w:t>e</w:t>
    </w:r>
    <w:r w:rsidRPr="00A50774">
      <w:rPr>
        <w:lang w:val="fr-FR"/>
      </w:rPr>
      <w:t>, page</w:t>
    </w:r>
    <w:r w:rsidR="00A50774" w:rsidRPr="00A50774">
      <w:rPr>
        <w:lang w:val="fr-FR"/>
      </w:rPr>
      <w:t> </w:t>
    </w:r>
    <w:sdt>
      <w:sdtPr>
        <w:rPr>
          <w:lang w:val="fr-FR"/>
        </w:rPr>
        <w:id w:val="245234009"/>
        <w:docPartObj>
          <w:docPartGallery w:val="Page Numbers (Top of Page)"/>
          <w:docPartUnique/>
        </w:docPartObj>
      </w:sdtPr>
      <w:sdtEndPr>
        <w:rPr>
          <w:noProof/>
        </w:rPr>
      </w:sdtEndPr>
      <w:sdtContent>
        <w:r w:rsidRPr="00A50774">
          <w:rPr>
            <w:lang w:val="fr-FR"/>
          </w:rPr>
          <w:fldChar w:fldCharType="begin"/>
        </w:r>
        <w:r w:rsidRPr="00A50774">
          <w:rPr>
            <w:lang w:val="fr-FR"/>
          </w:rPr>
          <w:instrText xml:space="preserve"> PAGE   \* MERGEFORMAT </w:instrText>
        </w:r>
        <w:r w:rsidRPr="00A50774">
          <w:rPr>
            <w:lang w:val="fr-FR"/>
          </w:rPr>
          <w:fldChar w:fldCharType="separate"/>
        </w:r>
        <w:r w:rsidR="00B004A8">
          <w:rPr>
            <w:noProof/>
            <w:lang w:val="fr-FR"/>
          </w:rPr>
          <w:t>2</w:t>
        </w:r>
        <w:r w:rsidRPr="00A50774">
          <w:rPr>
            <w:noProof/>
            <w:lang w:val="fr-FR"/>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53A" w:rsidRDefault="00D445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14" w:rsidRDefault="008E4814" w:rsidP="0081533E">
    <w:pPr>
      <w:pStyle w:val="Header"/>
      <w:jc w:val="right"/>
    </w:pPr>
    <w:r>
      <w:t>C</w:t>
    </w:r>
    <w:r w:rsidR="00BD1BB0">
      <w:t>DIP/28/INF/4</w:t>
    </w:r>
  </w:p>
  <w:p w:rsidR="008E4814" w:rsidRDefault="00A50774" w:rsidP="00A50774">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C096FA8"/>
    <w:multiLevelType w:val="hybridMultilevel"/>
    <w:tmpl w:val="F54C2A54"/>
    <w:lvl w:ilvl="0" w:tplc="4BB4BC82">
      <w:start w:val="1"/>
      <w:numFmt w:val="decimal"/>
      <w:lvlText w:val="%1."/>
      <w:lvlJc w:val="left"/>
      <w:pPr>
        <w:ind w:left="720" w:hanging="360"/>
      </w:pPr>
      <w:rPr>
        <w:rFonts w:hint="default"/>
        <w:b w:val="0"/>
        <w:strike w:val="0"/>
        <w:color w:val="000000" w:themeColor="text1"/>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4366166"/>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32A06006"/>
    <w:multiLevelType w:val="hybridMultilevel"/>
    <w:tmpl w:val="424A74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E19C2"/>
    <w:multiLevelType w:val="hybridMultilevel"/>
    <w:tmpl w:val="C94ABE8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7" w15:restartNumberingAfterBreak="0">
    <w:nsid w:val="40CE5BA1"/>
    <w:multiLevelType w:val="hybridMultilevel"/>
    <w:tmpl w:val="0CD6B8A6"/>
    <w:lvl w:ilvl="0" w:tplc="0409001B">
      <w:start w:val="1"/>
      <w:numFmt w:val="lowerRoman"/>
      <w:lvlText w:val="%1."/>
      <w:lvlJc w:val="righ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417273F5"/>
    <w:multiLevelType w:val="hybridMultilevel"/>
    <w:tmpl w:val="9134F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351DF5"/>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14" w15:restartNumberingAfterBreak="0">
    <w:nsid w:val="678A6DF5"/>
    <w:multiLevelType w:val="hybridMultilevel"/>
    <w:tmpl w:val="4F38B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17FD2"/>
    <w:multiLevelType w:val="hybridMultilevel"/>
    <w:tmpl w:val="C854F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E45D6"/>
    <w:multiLevelType w:val="hybridMultilevel"/>
    <w:tmpl w:val="9134F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0E6686"/>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9"/>
  </w:num>
  <w:num w:numId="3">
    <w:abstractNumId w:val="21"/>
  </w:num>
  <w:num w:numId="4">
    <w:abstractNumId w:val="17"/>
  </w:num>
  <w:num w:numId="5">
    <w:abstractNumId w:val="0"/>
  </w:num>
  <w:num w:numId="6">
    <w:abstractNumId w:val="11"/>
  </w:num>
  <w:num w:numId="7">
    <w:abstractNumId w:val="13"/>
  </w:num>
  <w:num w:numId="8">
    <w:abstractNumId w:val="16"/>
  </w:num>
  <w:num w:numId="9">
    <w:abstractNumId w:val="18"/>
  </w:num>
  <w:num w:numId="10">
    <w:abstractNumId w:val="12"/>
  </w:num>
  <w:num w:numId="11">
    <w:abstractNumId w:val="15"/>
  </w:num>
  <w:num w:numId="12">
    <w:abstractNumId w:val="4"/>
  </w:num>
  <w:num w:numId="13">
    <w:abstractNumId w:val="3"/>
  </w:num>
  <w:num w:numId="14">
    <w:abstractNumId w:val="1"/>
  </w:num>
  <w:num w:numId="15">
    <w:abstractNumId w:val="10"/>
  </w:num>
  <w:num w:numId="16">
    <w:abstractNumId w:val="20"/>
  </w:num>
  <w:num w:numId="17">
    <w:abstractNumId w:val="6"/>
  </w:num>
  <w:num w:numId="18">
    <w:abstractNumId w:val="7"/>
  </w:num>
  <w:num w:numId="19">
    <w:abstractNumId w:val="8"/>
  </w:num>
  <w:num w:numId="20">
    <w:abstractNumId w:val="5"/>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BE"/>
    <w:rsid w:val="00013D86"/>
    <w:rsid w:val="00036C52"/>
    <w:rsid w:val="000407C0"/>
    <w:rsid w:val="000628DC"/>
    <w:rsid w:val="00080932"/>
    <w:rsid w:val="00086DDE"/>
    <w:rsid w:val="0009511B"/>
    <w:rsid w:val="000A7DCD"/>
    <w:rsid w:val="000D6DC0"/>
    <w:rsid w:val="000F0C7F"/>
    <w:rsid w:val="000F5E56"/>
    <w:rsid w:val="00101266"/>
    <w:rsid w:val="001367EC"/>
    <w:rsid w:val="001679AA"/>
    <w:rsid w:val="001774A7"/>
    <w:rsid w:val="00181ACC"/>
    <w:rsid w:val="00195D27"/>
    <w:rsid w:val="001A6079"/>
    <w:rsid w:val="001C3A58"/>
    <w:rsid w:val="002045D3"/>
    <w:rsid w:val="00210F35"/>
    <w:rsid w:val="00247D7D"/>
    <w:rsid w:val="0025033B"/>
    <w:rsid w:val="002570D2"/>
    <w:rsid w:val="00264A99"/>
    <w:rsid w:val="00275E3B"/>
    <w:rsid w:val="002957B9"/>
    <w:rsid w:val="002A6F99"/>
    <w:rsid w:val="002D3827"/>
    <w:rsid w:val="002E5287"/>
    <w:rsid w:val="0030749A"/>
    <w:rsid w:val="00336A70"/>
    <w:rsid w:val="0034552F"/>
    <w:rsid w:val="0037304E"/>
    <w:rsid w:val="003B07D9"/>
    <w:rsid w:val="003D2287"/>
    <w:rsid w:val="003E6531"/>
    <w:rsid w:val="00431118"/>
    <w:rsid w:val="004425A5"/>
    <w:rsid w:val="004432ED"/>
    <w:rsid w:val="004520AE"/>
    <w:rsid w:val="00460367"/>
    <w:rsid w:val="00475BE8"/>
    <w:rsid w:val="00496723"/>
    <w:rsid w:val="004E5574"/>
    <w:rsid w:val="004E7263"/>
    <w:rsid w:val="004F2691"/>
    <w:rsid w:val="00526FC6"/>
    <w:rsid w:val="005307CF"/>
    <w:rsid w:val="00532316"/>
    <w:rsid w:val="005617C2"/>
    <w:rsid w:val="00563C97"/>
    <w:rsid w:val="00566193"/>
    <w:rsid w:val="005702A3"/>
    <w:rsid w:val="005739C1"/>
    <w:rsid w:val="005773FC"/>
    <w:rsid w:val="005849C5"/>
    <w:rsid w:val="005934CE"/>
    <w:rsid w:val="00594470"/>
    <w:rsid w:val="005964F3"/>
    <w:rsid w:val="005E3A03"/>
    <w:rsid w:val="005E4E22"/>
    <w:rsid w:val="005F7721"/>
    <w:rsid w:val="00622AE3"/>
    <w:rsid w:val="00627ECF"/>
    <w:rsid w:val="006751CE"/>
    <w:rsid w:val="006753A9"/>
    <w:rsid w:val="006820CB"/>
    <w:rsid w:val="006B7A50"/>
    <w:rsid w:val="006C059B"/>
    <w:rsid w:val="006E35D9"/>
    <w:rsid w:val="006F4F7F"/>
    <w:rsid w:val="007009C5"/>
    <w:rsid w:val="007111C2"/>
    <w:rsid w:val="007301C7"/>
    <w:rsid w:val="00736A3D"/>
    <w:rsid w:val="007574AC"/>
    <w:rsid w:val="00762F0C"/>
    <w:rsid w:val="0076514B"/>
    <w:rsid w:val="00767927"/>
    <w:rsid w:val="00790FC5"/>
    <w:rsid w:val="00791502"/>
    <w:rsid w:val="007B240C"/>
    <w:rsid w:val="007C6E1E"/>
    <w:rsid w:val="007D53C7"/>
    <w:rsid w:val="0080113C"/>
    <w:rsid w:val="00804DB7"/>
    <w:rsid w:val="0081533E"/>
    <w:rsid w:val="00850B55"/>
    <w:rsid w:val="00851ECD"/>
    <w:rsid w:val="00871462"/>
    <w:rsid w:val="00881BFF"/>
    <w:rsid w:val="008934BE"/>
    <w:rsid w:val="008B23A8"/>
    <w:rsid w:val="008C4467"/>
    <w:rsid w:val="008C5E82"/>
    <w:rsid w:val="008E4814"/>
    <w:rsid w:val="008F2462"/>
    <w:rsid w:val="008F4EB0"/>
    <w:rsid w:val="00905261"/>
    <w:rsid w:val="00921DF6"/>
    <w:rsid w:val="00942D51"/>
    <w:rsid w:val="00967997"/>
    <w:rsid w:val="009709C8"/>
    <w:rsid w:val="00980DB1"/>
    <w:rsid w:val="009C4D02"/>
    <w:rsid w:val="009C6C3D"/>
    <w:rsid w:val="009D1004"/>
    <w:rsid w:val="00A136A9"/>
    <w:rsid w:val="00A50774"/>
    <w:rsid w:val="00A50DA3"/>
    <w:rsid w:val="00A661F6"/>
    <w:rsid w:val="00A7391D"/>
    <w:rsid w:val="00A8320F"/>
    <w:rsid w:val="00A865FC"/>
    <w:rsid w:val="00A86FB4"/>
    <w:rsid w:val="00A92888"/>
    <w:rsid w:val="00AA59D2"/>
    <w:rsid w:val="00AD0988"/>
    <w:rsid w:val="00AF24AC"/>
    <w:rsid w:val="00B004A8"/>
    <w:rsid w:val="00B05386"/>
    <w:rsid w:val="00B05BB8"/>
    <w:rsid w:val="00B065A2"/>
    <w:rsid w:val="00B10784"/>
    <w:rsid w:val="00B30BCB"/>
    <w:rsid w:val="00B51DC8"/>
    <w:rsid w:val="00B53986"/>
    <w:rsid w:val="00B65760"/>
    <w:rsid w:val="00BD1BB0"/>
    <w:rsid w:val="00C03CF8"/>
    <w:rsid w:val="00C17BB1"/>
    <w:rsid w:val="00C46B47"/>
    <w:rsid w:val="00C554EC"/>
    <w:rsid w:val="00C66BE6"/>
    <w:rsid w:val="00C71BB9"/>
    <w:rsid w:val="00C75B9C"/>
    <w:rsid w:val="00CC3D5E"/>
    <w:rsid w:val="00CF2DA6"/>
    <w:rsid w:val="00D07F6E"/>
    <w:rsid w:val="00D10736"/>
    <w:rsid w:val="00D12D32"/>
    <w:rsid w:val="00D25381"/>
    <w:rsid w:val="00D30069"/>
    <w:rsid w:val="00D316C9"/>
    <w:rsid w:val="00D4453A"/>
    <w:rsid w:val="00D71538"/>
    <w:rsid w:val="00D94BA1"/>
    <w:rsid w:val="00DA4391"/>
    <w:rsid w:val="00DA49BD"/>
    <w:rsid w:val="00DA4ACD"/>
    <w:rsid w:val="00DA790F"/>
    <w:rsid w:val="00DC6EA1"/>
    <w:rsid w:val="00DF1561"/>
    <w:rsid w:val="00E05141"/>
    <w:rsid w:val="00E520F3"/>
    <w:rsid w:val="00E82B4E"/>
    <w:rsid w:val="00EB51C6"/>
    <w:rsid w:val="00EB54F5"/>
    <w:rsid w:val="00ED6D40"/>
    <w:rsid w:val="00EE05E4"/>
    <w:rsid w:val="00EE1CFD"/>
    <w:rsid w:val="00F052D4"/>
    <w:rsid w:val="00F21453"/>
    <w:rsid w:val="00F22A7E"/>
    <w:rsid w:val="00F23A7C"/>
    <w:rsid w:val="00F51294"/>
    <w:rsid w:val="00F9282A"/>
    <w:rsid w:val="00FF11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chartTrackingRefBased/>
  <w15:docId w15:val="{D6809519-2949-4B54-966B-23837A98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34BE"/>
    <w:pPr>
      <w:widowControl w:val="0"/>
      <w:autoSpaceDE w:val="0"/>
      <w:autoSpaceDN w:val="0"/>
    </w:pPr>
    <w:rPr>
      <w:rFonts w:ascii="Arial" w:eastAsia="Arial" w:hAnsi="Arial" w:cs="Arial"/>
      <w:sz w:val="22"/>
      <w:szCs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TableParagraph">
    <w:name w:val="Table Paragraph"/>
    <w:basedOn w:val="Normal"/>
    <w:uiPriority w:val="1"/>
    <w:qFormat/>
    <w:rsid w:val="008934BE"/>
  </w:style>
  <w:style w:type="character" w:styleId="Hyperlink">
    <w:name w:val="Hyperlink"/>
    <w:basedOn w:val="DefaultParagraphFont"/>
    <w:uiPriority w:val="99"/>
    <w:unhideWhenUsed/>
    <w:rsid w:val="008934BE"/>
    <w:rPr>
      <w:color w:val="0000FF" w:themeColor="hyperlink"/>
      <w:u w:val="single"/>
    </w:rPr>
  </w:style>
  <w:style w:type="character" w:customStyle="1" w:styleId="HeaderChar">
    <w:name w:val="Header Char"/>
    <w:basedOn w:val="DefaultParagraphFont"/>
    <w:link w:val="Header"/>
    <w:rsid w:val="008934BE"/>
    <w:rPr>
      <w:rFonts w:ascii="Arial" w:hAnsi="Arial" w:cs="Arial"/>
      <w:sz w:val="22"/>
    </w:rPr>
  </w:style>
  <w:style w:type="paragraph" w:customStyle="1" w:styleId="Endofdocument-Annex">
    <w:name w:val="[End of document - Annex]"/>
    <w:basedOn w:val="Normal"/>
    <w:link w:val="Endofdocument-AnnexChar"/>
    <w:rsid w:val="00A50774"/>
    <w:pPr>
      <w:widowControl/>
      <w:autoSpaceDE/>
      <w:autoSpaceDN/>
      <w:spacing w:before="720"/>
      <w:ind w:left="5534"/>
    </w:pPr>
    <w:rPr>
      <w:rFonts w:eastAsia="SimSun"/>
      <w:szCs w:val="20"/>
      <w:lang w:val="fr-FR" w:eastAsia="zh-CN"/>
    </w:rPr>
  </w:style>
  <w:style w:type="paragraph" w:customStyle="1" w:styleId="Endofdocument">
    <w:name w:val="End of document"/>
    <w:basedOn w:val="Normal"/>
    <w:rsid w:val="00F23A7C"/>
    <w:pPr>
      <w:widowControl/>
      <w:autoSpaceDE/>
      <w:autoSpaceDN/>
      <w:spacing w:line="260" w:lineRule="atLeast"/>
      <w:ind w:left="5534"/>
    </w:pPr>
    <w:rPr>
      <w:rFonts w:eastAsia="Times New Roman" w:cs="Times New Roman"/>
      <w:szCs w:val="20"/>
    </w:rPr>
  </w:style>
  <w:style w:type="paragraph" w:customStyle="1" w:styleId="Default">
    <w:name w:val="Default"/>
    <w:rsid w:val="00F23A7C"/>
    <w:pPr>
      <w:autoSpaceDE w:val="0"/>
      <w:autoSpaceDN w:val="0"/>
      <w:adjustRightInd w:val="0"/>
    </w:pPr>
    <w:rPr>
      <w:rFonts w:eastAsia="Batang"/>
      <w:color w:val="000000"/>
      <w:sz w:val="24"/>
      <w:szCs w:val="24"/>
      <w:lang w:eastAsia="ko-KR"/>
    </w:rPr>
  </w:style>
  <w:style w:type="character" w:customStyle="1" w:styleId="Endofdocument-AnnexChar">
    <w:name w:val="[End of document - Annex] Char"/>
    <w:link w:val="Endofdocument-Annex"/>
    <w:rsid w:val="00A50774"/>
    <w:rPr>
      <w:rFonts w:ascii="Arial" w:eastAsia="SimSun" w:hAnsi="Arial" w:cs="Arial"/>
      <w:sz w:val="22"/>
      <w:lang w:val="fr-FR" w:eastAsia="zh-CN"/>
    </w:rPr>
  </w:style>
  <w:style w:type="character" w:styleId="FootnoteReference">
    <w:name w:val="footnote reference"/>
    <w:rsid w:val="00D71538"/>
    <w:rPr>
      <w:rFonts w:cs="Times New Roman"/>
      <w:vertAlign w:val="superscript"/>
    </w:rPr>
  </w:style>
  <w:style w:type="character" w:styleId="FollowedHyperlink">
    <w:name w:val="FollowedHyperlink"/>
    <w:basedOn w:val="DefaultParagraphFont"/>
    <w:semiHidden/>
    <w:unhideWhenUsed/>
    <w:rsid w:val="005617C2"/>
    <w:rPr>
      <w:color w:val="800080" w:themeColor="followedHyperlink"/>
      <w:u w:val="single"/>
    </w:rPr>
  </w:style>
  <w:style w:type="paragraph" w:styleId="BalloonText">
    <w:name w:val="Balloon Text"/>
    <w:basedOn w:val="Normal"/>
    <w:link w:val="BalloonTextChar"/>
    <w:semiHidden/>
    <w:unhideWhenUsed/>
    <w:rsid w:val="00A661F6"/>
    <w:rPr>
      <w:rFonts w:ascii="Segoe UI" w:hAnsi="Segoe UI" w:cs="Segoe UI"/>
      <w:sz w:val="18"/>
      <w:szCs w:val="18"/>
    </w:rPr>
  </w:style>
  <w:style w:type="character" w:customStyle="1" w:styleId="BalloonTextChar">
    <w:name w:val="Balloon Text Char"/>
    <w:basedOn w:val="DefaultParagraphFont"/>
    <w:link w:val="BalloonText"/>
    <w:semiHidden/>
    <w:rsid w:val="00A661F6"/>
    <w:rPr>
      <w:rFonts w:ascii="Segoe UI" w:eastAsia="Arial" w:hAnsi="Segoe UI" w:cs="Segoe UI"/>
      <w:sz w:val="18"/>
      <w:szCs w:val="18"/>
    </w:rPr>
  </w:style>
  <w:style w:type="paragraph" w:styleId="ListParagraph">
    <w:name w:val="List Paragraph"/>
    <w:basedOn w:val="Normal"/>
    <w:uiPriority w:val="34"/>
    <w:qFormat/>
    <w:rsid w:val="00E05141"/>
    <w:pPr>
      <w:widowControl/>
      <w:autoSpaceDE/>
      <w:autoSpaceDN/>
      <w:spacing w:line="260" w:lineRule="atLeast"/>
      <w:ind w:left="720"/>
      <w:contextualSpacing/>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951685">
      <w:bodyDiv w:val="1"/>
      <w:marLeft w:val="0"/>
      <w:marRight w:val="0"/>
      <w:marTop w:val="0"/>
      <w:marBottom w:val="0"/>
      <w:divBdr>
        <w:top w:val="none" w:sz="0" w:space="0" w:color="auto"/>
        <w:left w:val="none" w:sz="0" w:space="0" w:color="auto"/>
        <w:bottom w:val="none" w:sz="0" w:space="0" w:color="auto"/>
        <w:right w:val="none" w:sz="0" w:space="0" w:color="auto"/>
      </w:divBdr>
    </w:div>
    <w:div w:id="15779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wipo.int/publications/fr/details.jsp?id=45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publications/fr/details.jsp?id=4545"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fr/doc_details.jsp?doc_id=406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3797C-2D3A-42E7-B66F-65BA0E6C4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Pages>
  <Words>856</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CERBARI Mihaela</dc:creator>
  <cp:keywords>FOR OFFICIAL USE ONLY</cp:keywords>
  <dc:description/>
  <cp:lastModifiedBy>Auteur</cp:lastModifiedBy>
  <cp:revision>22</cp:revision>
  <cp:lastPrinted>2021-12-14T22:07:00Z</cp:lastPrinted>
  <dcterms:created xsi:type="dcterms:W3CDTF">2022-04-25T11:34:00Z</dcterms:created>
  <dcterms:modified xsi:type="dcterms:W3CDTF">2022-04-27T09:59:00Z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810b1b4f-b740-4da2-8f11-bc2da9b6c6cd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