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40540C" w:rsidRDefault="0040540C" w:rsidP="007C6F2C">
      <w:pPr>
        <w:pBdr>
          <w:bottom w:val="single" w:sz="4" w:space="11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Default="00800ECC" w:rsidP="0040540C">
      <w:pPr>
        <w:jc w:val="right"/>
        <w:rPr>
          <w:rFonts w:ascii="Arial Black" w:hAnsi="Arial Black"/>
          <w:caps/>
          <w:sz w:val="15"/>
        </w:rPr>
      </w:pPr>
      <w:r w:rsidRPr="00B31DEE">
        <w:rPr>
          <w:rFonts w:ascii="Arial Black" w:hAnsi="Arial Black"/>
          <w:caps/>
          <w:sz w:val="15"/>
          <w:lang w:val="fr-FR"/>
        </w:rPr>
        <w:t>CDIP/</w:t>
      </w:r>
      <w:r w:rsidR="007C6F2C">
        <w:rPr>
          <w:rFonts w:ascii="Arial Black" w:hAnsi="Arial Black"/>
          <w:caps/>
          <w:sz w:val="15"/>
          <w:lang w:val="fr-FR"/>
        </w:rPr>
        <w:t>2</w:t>
      </w:r>
      <w:r w:rsidR="00274EE0">
        <w:rPr>
          <w:rFonts w:ascii="Arial Black" w:hAnsi="Arial Black"/>
          <w:caps/>
          <w:sz w:val="15"/>
          <w:lang w:val="fr-FR"/>
        </w:rPr>
        <w:t>8</w:t>
      </w:r>
      <w:r w:rsidRPr="00B31DEE">
        <w:rPr>
          <w:rFonts w:ascii="Arial Black" w:hAnsi="Arial Black"/>
          <w:caps/>
          <w:sz w:val="15"/>
          <w:lang w:val="fr-FR"/>
        </w:rPr>
        <w:t>/</w:t>
      </w:r>
      <w:bookmarkStart w:id="0" w:name="Code"/>
      <w:bookmarkEnd w:id="0"/>
      <w:r w:rsidR="00905D4B">
        <w:rPr>
          <w:rFonts w:ascii="Arial Black" w:hAnsi="Arial Black"/>
          <w:caps/>
          <w:sz w:val="15"/>
          <w:lang w:val="fr-FR"/>
        </w:rPr>
        <w:t>5</w:t>
      </w:r>
    </w:p>
    <w:p w:rsidR="008B2CC1" w:rsidRPr="0040540C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342BA2">
        <w:rPr>
          <w:rFonts w:ascii="Arial Black" w:hAnsi="Arial Black"/>
          <w:caps/>
          <w:sz w:val="15"/>
        </w:rPr>
        <w:t> :</w:t>
      </w:r>
      <w:bookmarkStart w:id="1" w:name="Original"/>
      <w:r w:rsidR="00905D4B">
        <w:rPr>
          <w:rFonts w:ascii="Arial Black" w:hAnsi="Arial Black"/>
          <w:caps/>
          <w:sz w:val="15"/>
        </w:rPr>
        <w:t xml:space="preserve"> anglais</w:t>
      </w:r>
    </w:p>
    <w:bookmarkEnd w:id="1"/>
    <w:p w:rsidR="008B2CC1" w:rsidRPr="0040540C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342BA2">
        <w:rPr>
          <w:rFonts w:ascii="Arial Black" w:hAnsi="Arial Black"/>
          <w:caps/>
          <w:sz w:val="15"/>
        </w:rPr>
        <w:t> :</w:t>
      </w:r>
      <w:bookmarkStart w:id="2" w:name="Date"/>
      <w:r w:rsidR="00540700">
        <w:rPr>
          <w:rFonts w:ascii="Arial Black" w:hAnsi="Arial Black"/>
          <w:caps/>
          <w:sz w:val="15"/>
        </w:rPr>
        <w:t xml:space="preserve"> </w:t>
      </w:r>
      <w:r w:rsidR="00342BA2">
        <w:rPr>
          <w:rFonts w:ascii="Arial Black" w:hAnsi="Arial Black"/>
          <w:caps/>
          <w:sz w:val="15"/>
        </w:rPr>
        <w:t>5 </w:t>
      </w:r>
      <w:r w:rsidR="00107C33">
        <w:rPr>
          <w:rFonts w:ascii="Arial Black" w:hAnsi="Arial Black"/>
          <w:caps/>
          <w:sz w:val="15"/>
        </w:rPr>
        <w:t>avril</w:t>
      </w:r>
      <w:r w:rsidR="00342BA2">
        <w:rPr>
          <w:rFonts w:ascii="Arial Black" w:hAnsi="Arial Black"/>
          <w:caps/>
          <w:sz w:val="15"/>
        </w:rPr>
        <w:t> 20</w:t>
      </w:r>
      <w:r w:rsidR="00905D4B">
        <w:rPr>
          <w:rFonts w:ascii="Arial Black" w:hAnsi="Arial Black"/>
          <w:caps/>
          <w:sz w:val="15"/>
        </w:rPr>
        <w:t>22</w:t>
      </w:r>
    </w:p>
    <w:bookmarkEnd w:id="2"/>
    <w:p w:rsidR="003845C1" w:rsidRPr="00D70184" w:rsidRDefault="00800ECC" w:rsidP="00D70184">
      <w:pPr>
        <w:spacing w:after="600"/>
        <w:rPr>
          <w:b/>
          <w:sz w:val="28"/>
        </w:rPr>
      </w:pPr>
      <w:r w:rsidRPr="00D70184">
        <w:rPr>
          <w:b/>
          <w:sz w:val="28"/>
          <w:lang w:val="fr-FR"/>
        </w:rPr>
        <w:t>Comité du développement et de la propriété intellectuelle (CDIP)</w:t>
      </w:r>
    </w:p>
    <w:p w:rsidR="007C6F2C" w:rsidRDefault="00274EE0" w:rsidP="007C6F2C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fr-FR"/>
        </w:rPr>
        <w:t>V</w:t>
      </w:r>
      <w:r w:rsidRPr="003112C8">
        <w:rPr>
          <w:b/>
          <w:sz w:val="24"/>
          <w:szCs w:val="24"/>
          <w:lang w:val="fr-FR"/>
        </w:rPr>
        <w:t>ingt</w:t>
      </w:r>
      <w:r w:rsidR="00142CBE">
        <w:rPr>
          <w:b/>
          <w:sz w:val="24"/>
          <w:szCs w:val="24"/>
          <w:lang w:val="fr-FR"/>
        </w:rPr>
        <w:noBreakHyphen/>
      </w:r>
      <w:r w:rsidRPr="003112C8">
        <w:rPr>
          <w:b/>
          <w:sz w:val="24"/>
          <w:szCs w:val="24"/>
          <w:lang w:val="fr-FR"/>
        </w:rPr>
        <w:t>huit</w:t>
      </w:r>
      <w:r w:rsidR="00342BA2">
        <w:rPr>
          <w:b/>
          <w:sz w:val="24"/>
          <w:szCs w:val="24"/>
          <w:lang w:val="fr-FR"/>
        </w:rPr>
        <w:t>ième session</w:t>
      </w:r>
      <w:r w:rsidR="007C6F2C">
        <w:rPr>
          <w:b/>
          <w:sz w:val="24"/>
          <w:szCs w:val="24"/>
        </w:rPr>
        <w:br/>
      </w:r>
      <w:r>
        <w:rPr>
          <w:b/>
          <w:sz w:val="24"/>
          <w:szCs w:val="24"/>
          <w:lang w:val="fr-FR"/>
        </w:rPr>
        <w:t xml:space="preserve">Genève, </w:t>
      </w:r>
      <w:r>
        <w:rPr>
          <w:b/>
          <w:bCs/>
          <w:sz w:val="24"/>
          <w:szCs w:val="24"/>
        </w:rPr>
        <w:t xml:space="preserve">16 </w:t>
      </w:r>
      <w:r w:rsidRPr="003112C8">
        <w:rPr>
          <w:b/>
          <w:sz w:val="24"/>
          <w:szCs w:val="24"/>
          <w:lang w:val="fr-FR"/>
        </w:rPr>
        <w:t>–</w:t>
      </w:r>
      <w:r>
        <w:rPr>
          <w:b/>
          <w:bCs/>
          <w:sz w:val="24"/>
          <w:szCs w:val="24"/>
        </w:rPr>
        <w:t xml:space="preserve"> 2</w:t>
      </w:r>
      <w:r w:rsidR="00342BA2">
        <w:rPr>
          <w:b/>
          <w:bCs/>
          <w:sz w:val="24"/>
          <w:szCs w:val="24"/>
        </w:rPr>
        <w:t>0 mai 20</w:t>
      </w:r>
      <w:r>
        <w:rPr>
          <w:b/>
          <w:bCs/>
          <w:sz w:val="24"/>
          <w:szCs w:val="24"/>
        </w:rPr>
        <w:t>22</w:t>
      </w:r>
    </w:p>
    <w:p w:rsidR="008B2CC1" w:rsidRPr="003845C1" w:rsidRDefault="00841F8A" w:rsidP="00104CEB">
      <w:pPr>
        <w:spacing w:after="360"/>
        <w:outlineLvl w:val="1"/>
        <w:rPr>
          <w:caps/>
          <w:sz w:val="24"/>
        </w:rPr>
      </w:pPr>
      <w:bookmarkStart w:id="3" w:name="TitleOfDoc"/>
      <w:bookmarkEnd w:id="3"/>
      <w:r>
        <w:rPr>
          <w:caps/>
        </w:rPr>
        <w:t>S</w:t>
      </w:r>
      <w:r w:rsidR="00905D4B">
        <w:rPr>
          <w:caps/>
        </w:rPr>
        <w:t>tratégie d</w:t>
      </w:r>
      <w:r w:rsidR="00342BA2">
        <w:rPr>
          <w:caps/>
        </w:rPr>
        <w:t>’</w:t>
      </w:r>
      <w:r w:rsidR="00905D4B">
        <w:rPr>
          <w:caps/>
        </w:rPr>
        <w:t xml:space="preserve">amélioration future de </w:t>
      </w:r>
      <w:r w:rsidR="00633A38">
        <w:rPr>
          <w:caps/>
        </w:rPr>
        <w:t>WIPO</w:t>
      </w:r>
      <w:r>
        <w:rPr>
          <w:caps/>
        </w:rPr>
        <w:t> </w:t>
      </w:r>
      <w:r w:rsidR="00633A38">
        <w:rPr>
          <w:caps/>
        </w:rPr>
        <w:t>M</w:t>
      </w:r>
      <w:r>
        <w:rPr>
          <w:caps/>
        </w:rPr>
        <w:t>atch</w:t>
      </w:r>
    </w:p>
    <w:p w:rsidR="008B2CC1" w:rsidRPr="00104CEB" w:rsidRDefault="00905D4B" w:rsidP="00104CEB">
      <w:pPr>
        <w:spacing w:after="960"/>
        <w:rPr>
          <w:i/>
        </w:rPr>
      </w:pPr>
      <w:bookmarkStart w:id="4" w:name="Prepared"/>
      <w:bookmarkEnd w:id="4"/>
      <w:r>
        <w:rPr>
          <w:i/>
        </w:rPr>
        <w:t>Document établi par le Secrétariat</w:t>
      </w:r>
    </w:p>
    <w:p w:rsidR="00D74416" w:rsidRDefault="00633A38" w:rsidP="00D74416">
      <w:pPr>
        <w:pStyle w:val="ONUMFS"/>
      </w:pPr>
      <w:r>
        <w:t>Lors de l</w:t>
      </w:r>
      <w:r w:rsidR="00342BA2">
        <w:t>’</w:t>
      </w:r>
      <w:r>
        <w:t xml:space="preserve">examen du </w:t>
      </w:r>
      <w:r w:rsidR="00905D4B">
        <w:t>point de l</w:t>
      </w:r>
      <w:r w:rsidR="00342BA2">
        <w:t>’</w:t>
      </w:r>
      <w:r w:rsidR="00905D4B">
        <w:t xml:space="preserve">ordre du jour </w:t>
      </w:r>
      <w:r w:rsidR="00540700">
        <w:t>“</w:t>
      </w:r>
      <w:r w:rsidR="00905D4B">
        <w:t>Travaux futurs</w:t>
      </w:r>
      <w:r w:rsidR="00540700">
        <w:t>”</w:t>
      </w:r>
      <w:r>
        <w:t xml:space="preserve"> à</w:t>
      </w:r>
      <w:r w:rsidR="00905D4B">
        <w:t xml:space="preserve"> </w:t>
      </w:r>
      <w:r>
        <w:t>s</w:t>
      </w:r>
      <w:r w:rsidR="00905D4B">
        <w:t>a vingt</w:t>
      </w:r>
      <w:r w:rsidR="00142CBE">
        <w:noBreakHyphen/>
      </w:r>
      <w:r w:rsidR="00905D4B">
        <w:t>sept</w:t>
      </w:r>
      <w:r w:rsidR="00342BA2">
        <w:t>ième session</w:t>
      </w:r>
      <w:r>
        <w:t>, le</w:t>
      </w:r>
      <w:r w:rsidR="00905D4B">
        <w:t xml:space="preserve"> Comité du</w:t>
      </w:r>
      <w:bookmarkStart w:id="5" w:name="_GoBack"/>
      <w:bookmarkEnd w:id="5"/>
      <w:r w:rsidR="00905D4B">
        <w:t xml:space="preserve"> développement et de la propriété intellectuelle (CDIP) a décidé que le Secrétariat présenterait un document sur la </w:t>
      </w:r>
      <w:r w:rsidR="00342BA2">
        <w:t>“S</w:t>
      </w:r>
      <w:r>
        <w:t>tratégie pour l</w:t>
      </w:r>
      <w:r w:rsidR="00342BA2">
        <w:t>’</w:t>
      </w:r>
      <w:r>
        <w:t>amélioration f</w:t>
      </w:r>
      <w:r w:rsidR="00905D4B">
        <w:t>uture de la plateforme WIPO</w:t>
      </w:r>
      <w:r w:rsidR="00540700">
        <w:t> </w:t>
      </w:r>
      <w:r w:rsidR="00905D4B">
        <w:t>Matc</w:t>
      </w:r>
      <w:r w:rsidR="00342BA2">
        <w:t>h”</w:t>
      </w:r>
      <w:r w:rsidR="00905D4B">
        <w:t>.</w:t>
      </w:r>
    </w:p>
    <w:p w:rsidR="00D74416" w:rsidRDefault="00905D4B" w:rsidP="00D74416">
      <w:pPr>
        <w:pStyle w:val="ONUMFS"/>
      </w:pPr>
      <w:r>
        <w:t>En conséquence, le présent document contient la stratégie proposée par le Secrétari</w:t>
      </w:r>
      <w:r w:rsidR="00540700">
        <w:t xml:space="preserve">at.  </w:t>
      </w:r>
      <w:r w:rsidR="008539BC">
        <w:t>L</w:t>
      </w:r>
      <w:r>
        <w:t xml:space="preserve">e document </w:t>
      </w:r>
      <w:r w:rsidR="00633A38">
        <w:t>précise</w:t>
      </w:r>
      <w:r>
        <w:t xml:space="preserve"> </w:t>
      </w:r>
      <w:r w:rsidR="008539BC">
        <w:t xml:space="preserve">donc </w:t>
      </w:r>
      <w:r>
        <w:t xml:space="preserve">les principes sur </w:t>
      </w:r>
      <w:r w:rsidR="00633A38">
        <w:t>la base d</w:t>
      </w:r>
      <w:r>
        <w:t xml:space="preserve">esquels il </w:t>
      </w:r>
      <w:r w:rsidR="00633A38">
        <w:t>est prévu d</w:t>
      </w:r>
      <w:r w:rsidR="00342BA2">
        <w:t>’</w:t>
      </w:r>
      <w:r w:rsidR="00633A38">
        <w:t>apporter des modifications concernant</w:t>
      </w:r>
      <w:r>
        <w:t xml:space="preserve"> </w:t>
      </w:r>
      <w:r w:rsidR="00633A38">
        <w:t>la finalité</w:t>
      </w:r>
      <w:r>
        <w:t xml:space="preserve">, </w:t>
      </w:r>
      <w:r w:rsidR="00633A38">
        <w:t xml:space="preserve">les </w:t>
      </w:r>
      <w:r>
        <w:t xml:space="preserve">objectifs et </w:t>
      </w:r>
      <w:r w:rsidR="00633A38">
        <w:t xml:space="preserve">les </w:t>
      </w:r>
      <w:r>
        <w:t>fonctions de la plateforme WIPO</w:t>
      </w:r>
      <w:r w:rsidR="00540700">
        <w:t> </w:t>
      </w:r>
      <w:r>
        <w:t>Match.</w:t>
      </w:r>
    </w:p>
    <w:p w:rsidR="00905D4B" w:rsidRPr="00686713" w:rsidRDefault="00905D4B" w:rsidP="00D74416">
      <w:pPr>
        <w:pStyle w:val="ONUMFS"/>
      </w:pPr>
      <w:r>
        <w:t>Les améliorations techniques apportées à la plateforme</w:t>
      </w:r>
      <w:r w:rsidR="00633A38">
        <w:t xml:space="preserve"> et</w:t>
      </w:r>
      <w:r>
        <w:t xml:space="preserve"> les modifications structurelles apportées à l</w:t>
      </w:r>
      <w:r w:rsidR="00342BA2">
        <w:t>’</w:t>
      </w:r>
      <w:r>
        <w:t xml:space="preserve">interface seront </w:t>
      </w:r>
      <w:r w:rsidR="00633A38">
        <w:t xml:space="preserve">effectuées </w:t>
      </w:r>
      <w:r>
        <w:t>sur la base d</w:t>
      </w:r>
      <w:r w:rsidR="00342BA2">
        <w:t>’</w:t>
      </w:r>
      <w:r>
        <w:t>un descriptif de projet détaillé qui sera élaboré en temps voulu.</w:t>
      </w:r>
    </w:p>
    <w:p w:rsidR="00905D4B" w:rsidRPr="00D74416" w:rsidRDefault="00D74416" w:rsidP="00D74416">
      <w:pPr>
        <w:pStyle w:val="Heading2"/>
      </w:pPr>
      <w:r>
        <w:t>Rappel</w:t>
      </w:r>
    </w:p>
    <w:p w:rsidR="00D74416" w:rsidRDefault="00633A38" w:rsidP="00D74416">
      <w:pPr>
        <w:pStyle w:val="ONUMFS"/>
      </w:pPr>
      <w:r>
        <w:t>La</w:t>
      </w:r>
      <w:r w:rsidR="00905D4B">
        <w:t xml:space="preserve"> </w:t>
      </w:r>
      <w:r>
        <w:t>recommandation n</w:t>
      </w:r>
      <w:r w:rsidR="00905D4B">
        <w:t>°</w:t>
      </w:r>
      <w:r w:rsidR="001C2483">
        <w:t> </w:t>
      </w:r>
      <w:r w:rsidR="00905D4B">
        <w:t xml:space="preserve">9 </w:t>
      </w:r>
      <w:r>
        <w:t>du Plan d</w:t>
      </w:r>
      <w:r w:rsidR="00342BA2">
        <w:t>’</w:t>
      </w:r>
      <w:r>
        <w:t xml:space="preserve">action pour le développement </w:t>
      </w:r>
      <w:r w:rsidR="00905D4B">
        <w:t>demandait à l</w:t>
      </w:r>
      <w:r w:rsidR="00342BA2">
        <w:t>’</w:t>
      </w:r>
      <w:r w:rsidR="00905D4B">
        <w:t xml:space="preserve">OMPI </w:t>
      </w:r>
      <w:r w:rsidR="00342BA2">
        <w:t>“d</w:t>
      </w:r>
      <w:r w:rsidRPr="00D74416">
        <w:t>e créer, en concertation avec les États membres, une base de données pour établir le parallèle entre les besoins spécifiques de développement liés à la propriété intellectuelle et les ressources disponibles, étendant ainsi la portée de ses programmes d</w:t>
      </w:r>
      <w:r w:rsidR="00342BA2" w:rsidRPr="00D74416">
        <w:t>’</w:t>
      </w:r>
      <w:r w:rsidRPr="00D74416">
        <w:t>assistance technique, afin de réduire la fracture numérique</w:t>
      </w:r>
      <w:r w:rsidR="00342BA2">
        <w:t>”</w:t>
      </w:r>
      <w:r w:rsidR="00D74416">
        <w:t>.</w:t>
      </w:r>
    </w:p>
    <w:p w:rsidR="00D74416" w:rsidRDefault="00905D4B" w:rsidP="00D74416">
      <w:pPr>
        <w:pStyle w:val="ONUMFS"/>
      </w:pPr>
      <w:r>
        <w:t xml:space="preserve">Pour </w:t>
      </w:r>
      <w:r w:rsidR="00671B31">
        <w:t>faire suite à</w:t>
      </w:r>
      <w:r w:rsidR="00633A38">
        <w:t xml:space="preserve"> </w:t>
      </w:r>
      <w:r>
        <w:t>cette recommandation, le Secrétariat a proposé un projet visant à élaborer une base de données de mise en parallèle des besoins de développement liés à la propriété intellectuelle, à la trois</w:t>
      </w:r>
      <w:r w:rsidR="00342BA2">
        <w:t>ième session</w:t>
      </w:r>
      <w:r>
        <w:t xml:space="preserve"> du comité (</w:t>
      </w:r>
      <w:r w:rsidR="00342BA2">
        <w:t>annexe I</w:t>
      </w:r>
      <w:r>
        <w:t>V</w:t>
      </w:r>
      <w:r w:rsidR="00633A38">
        <w:t xml:space="preserve"> du document</w:t>
      </w:r>
      <w:r w:rsidR="00540700">
        <w:t> </w:t>
      </w:r>
      <w:hyperlink r:id="rId9" w:history="1">
        <w:r w:rsidRPr="00633A38">
          <w:rPr>
            <w:rStyle w:val="Hyperlink"/>
          </w:rPr>
          <w:t>CDIP/3/INF/2</w:t>
        </w:r>
      </w:hyperlink>
      <w:r>
        <w:t>)</w:t>
      </w:r>
      <w:r w:rsidR="001C2483">
        <w:t>.</w:t>
      </w:r>
      <w:r>
        <w:t xml:space="preserve">  Suite à son approbation, le</w:t>
      </w:r>
      <w:r w:rsidR="008539BC">
        <w:t>s responsables du</w:t>
      </w:r>
      <w:r>
        <w:t xml:space="preserve"> projet </w:t>
      </w:r>
      <w:r w:rsidR="008539BC">
        <w:t xml:space="preserve">ont </w:t>
      </w:r>
      <w:r>
        <w:t>établi la base de données prévue, qui centralise les informations pour l</w:t>
      </w:r>
      <w:r w:rsidR="00342BA2">
        <w:t>’</w:t>
      </w:r>
      <w:r>
        <w:t>OMPI, les États membres et les donateurs potentie</w:t>
      </w:r>
      <w:r w:rsidR="00540700">
        <w:t xml:space="preserve">ls.  </w:t>
      </w:r>
      <w:r w:rsidR="008539BC">
        <w:t>Celle</w:t>
      </w:r>
      <w:r w:rsidR="00142CBE">
        <w:noBreakHyphen/>
      </w:r>
      <w:r w:rsidR="008539BC">
        <w:t>ci</w:t>
      </w:r>
      <w:r>
        <w:t xml:space="preserve"> visait également à </w:t>
      </w:r>
      <w:r w:rsidR="008539BC">
        <w:t>faciliter l’évaluation d</w:t>
      </w:r>
      <w:r>
        <w:t xml:space="preserve">es besoins des autres États membres (bénéficiaires) et </w:t>
      </w:r>
      <w:r w:rsidR="008539BC">
        <w:t>le recensement</w:t>
      </w:r>
      <w:r>
        <w:t xml:space="preserve"> </w:t>
      </w:r>
      <w:r w:rsidR="008539BC">
        <w:t>des ressources ou d</w:t>
      </w:r>
      <w:r>
        <w:t>es moyens de répondre à ces besoins.</w:t>
      </w:r>
    </w:p>
    <w:p w:rsidR="00D74416" w:rsidRDefault="00905D4B" w:rsidP="00D74416">
      <w:pPr>
        <w:pStyle w:val="ONUMFS"/>
      </w:pPr>
      <w:r>
        <w:t xml:space="preserve">En outre, dans le contexte de la mise en </w:t>
      </w:r>
      <w:r w:rsidR="00633A38">
        <w:t xml:space="preserve">œuvre </w:t>
      </w:r>
      <w:r>
        <w:t>et de l</w:t>
      </w:r>
      <w:r w:rsidR="00342BA2">
        <w:t>’</w:t>
      </w:r>
      <w:r>
        <w:t xml:space="preserve">intégration du projet </w:t>
      </w:r>
      <w:r w:rsidR="00671B31">
        <w:t>relatif au</w:t>
      </w:r>
      <w:r>
        <w:t xml:space="preserve"> Plan d</w:t>
      </w:r>
      <w:r w:rsidR="00342BA2">
        <w:t>’</w:t>
      </w:r>
      <w:r>
        <w:t xml:space="preserve">action pour le développement </w:t>
      </w:r>
      <w:r w:rsidR="00671B31">
        <w:t>sur le r</w:t>
      </w:r>
      <w:r w:rsidR="00671B31" w:rsidRPr="00671B31">
        <w:t>enforcement de la coopération Sud</w:t>
      </w:r>
      <w:r w:rsidR="00142CBE">
        <w:noBreakHyphen/>
      </w:r>
      <w:r w:rsidR="00671B31" w:rsidRPr="00671B31">
        <w:t>Sud dans le domaine de la propriété intellectuelle au service du développement parmi les pays en développement et les pays les moins avancés (PMA)</w:t>
      </w:r>
      <w:r w:rsidR="00671B31" w:rsidRPr="00D57747">
        <w:rPr>
          <w:rStyle w:val="FootnoteReference"/>
        </w:rPr>
        <w:footnoteReference w:id="2"/>
      </w:r>
      <w:r w:rsidR="00671B31">
        <w:t>,</w:t>
      </w:r>
      <w:r>
        <w:t xml:space="preserve"> le Secrétariat a introduit </w:t>
      </w:r>
      <w:r w:rsidR="008F3B35">
        <w:t xml:space="preserve">en 2014 </w:t>
      </w:r>
      <w:r>
        <w:t xml:space="preserve">de nouvelles fonctions dans la </w:t>
      </w:r>
      <w:r w:rsidR="00671B31" w:rsidRPr="00671B31">
        <w:t xml:space="preserve">base de données de mise en parallèle des besoins de développement liés à la propriété intellectuelle </w:t>
      </w:r>
      <w:r>
        <w:t xml:space="preserve">qui a permis </w:t>
      </w:r>
      <w:r w:rsidR="00671B31">
        <w:t>de faire correspondre</w:t>
      </w:r>
      <w:r>
        <w:t xml:space="preserve"> les besoins </w:t>
      </w:r>
      <w:r w:rsidR="00671B31">
        <w:t>et les</w:t>
      </w:r>
      <w:r>
        <w:t xml:space="preserve"> offres des pays en développement et</w:t>
      </w:r>
      <w:r w:rsidR="00342BA2">
        <w:t xml:space="preserve"> des PMA</w:t>
      </w:r>
      <w:r>
        <w:t>, afin d</w:t>
      </w:r>
      <w:r w:rsidR="008F3B35">
        <w:t>’</w:t>
      </w:r>
      <w:r w:rsidR="00671B31">
        <w:t xml:space="preserve">appuyer </w:t>
      </w:r>
      <w:r w:rsidR="008F3B35">
        <w:t xml:space="preserve">ces pays </w:t>
      </w:r>
      <w:r w:rsidR="00671B31">
        <w:t>et de les</w:t>
      </w:r>
      <w:r>
        <w:t xml:space="preserve"> aider dans les activités de formation et de renforcement des capacit</w:t>
      </w:r>
      <w:r w:rsidR="00540700">
        <w:t>és.  Pa</w:t>
      </w:r>
      <w:r>
        <w:t>r conséquent, WIPO</w:t>
      </w:r>
      <w:r w:rsidR="00540700">
        <w:t> </w:t>
      </w:r>
      <w:r>
        <w:t>Match a été adapté pour faciliter la coopération Sud</w:t>
      </w:r>
      <w:r w:rsidR="00142CBE">
        <w:noBreakHyphen/>
      </w:r>
      <w:r>
        <w:t>Sud.</w:t>
      </w:r>
    </w:p>
    <w:p w:rsidR="00905D4B" w:rsidRPr="00D57747" w:rsidRDefault="00905D4B" w:rsidP="00D74416">
      <w:pPr>
        <w:pStyle w:val="ONUMFS"/>
      </w:pPr>
      <w:r>
        <w:t xml:space="preserve">Afin de </w:t>
      </w:r>
      <w:r w:rsidR="00156683">
        <w:t>favoriser</w:t>
      </w:r>
      <w:r>
        <w:t xml:space="preserve"> une plus grande coopération entre donateurs et demandeurs d</w:t>
      </w:r>
      <w:r w:rsidR="00342BA2">
        <w:t>’</w:t>
      </w:r>
      <w:r>
        <w:t>assistance et d</w:t>
      </w:r>
      <w:r w:rsidR="00342BA2">
        <w:t>’</w:t>
      </w:r>
      <w:r>
        <w:t xml:space="preserve">offrir des fonctions techniques plus nombreuses et de meilleure qualité aux utilisateurs, la base de données de mise en parallèle des besoins de développement liés à la propriété intellectuelle a été réorganisée </w:t>
      </w:r>
      <w:r w:rsidR="008F3B35">
        <w:t xml:space="preserve">en 2016 </w:t>
      </w:r>
      <w:r>
        <w:t xml:space="preserve">et dénommée </w:t>
      </w:r>
      <w:r w:rsidR="00540700">
        <w:t>“</w:t>
      </w:r>
      <w:hyperlink r:id="rId10" w:history="1">
        <w:r w:rsidRPr="00156683">
          <w:rPr>
            <w:rStyle w:val="Hyperlink"/>
          </w:rPr>
          <w:t xml:space="preserve">WIPO </w:t>
        </w:r>
        <w:r w:rsidRPr="00156683">
          <w:rPr>
            <w:rStyle w:val="Hyperlink"/>
          </w:rPr>
          <w:t>M</w:t>
        </w:r>
        <w:r w:rsidRPr="00156683">
          <w:rPr>
            <w:rStyle w:val="Hyperlink"/>
          </w:rPr>
          <w:t>atch</w:t>
        </w:r>
      </w:hyperlink>
      <w:r w:rsidR="00540700">
        <w:t>”</w:t>
      </w:r>
      <w:r w:rsidR="001C2483">
        <w:t>.</w:t>
      </w:r>
      <w:r>
        <w:t xml:space="preserve">  Avec ce changement, la plateforme a encore renforcé sa fonction de mise en parallèle en réunissant les parties prenantes de la propriété intellectuelle, et en particulier </w:t>
      </w:r>
      <w:r w:rsidR="00156683">
        <w:t xml:space="preserve">les </w:t>
      </w:r>
      <w:r w:rsidR="00156683" w:rsidRPr="00156683">
        <w:t>prestataires d</w:t>
      </w:r>
      <w:r w:rsidR="00342BA2">
        <w:t>’</w:t>
      </w:r>
      <w:r w:rsidR="00156683" w:rsidRPr="00156683">
        <w:t>assistance t</w:t>
      </w:r>
      <w:r w:rsidR="00156683">
        <w:t>echnique et les bénéficiaires, pour</w:t>
      </w:r>
      <w:r w:rsidR="00156683" w:rsidRPr="00156683">
        <w:t xml:space="preserve"> mettre en parallèle les besoins particuliers et les ressources disponibl</w:t>
      </w:r>
      <w:r w:rsidR="00540700" w:rsidRPr="00156683">
        <w:t>es</w:t>
      </w:r>
      <w:r w:rsidR="00540700">
        <w:t>.  L’o</w:t>
      </w:r>
      <w:r>
        <w:t>bjectif de WIPO</w:t>
      </w:r>
      <w:r w:rsidR="00540700">
        <w:t> </w:t>
      </w:r>
      <w:r>
        <w:t xml:space="preserve">Match était également de stimuler le </w:t>
      </w:r>
      <w:r w:rsidR="00156683">
        <w:t>volume</w:t>
      </w:r>
      <w:r>
        <w:t xml:space="preserve"> et l</w:t>
      </w:r>
      <w:r w:rsidR="00342BA2">
        <w:t>’</w:t>
      </w:r>
      <w:r>
        <w:t>impact des activités d</w:t>
      </w:r>
      <w:r w:rsidR="00342BA2">
        <w:t>’</w:t>
      </w:r>
      <w:r>
        <w:t xml:space="preserve">assistance </w:t>
      </w:r>
      <w:r w:rsidR="00156683">
        <w:t xml:space="preserve">en matière de </w:t>
      </w:r>
      <w:r>
        <w:t>développement de l</w:t>
      </w:r>
      <w:r w:rsidR="00342BA2">
        <w:t>’</w:t>
      </w:r>
      <w:r>
        <w:t>Organisation.</w:t>
      </w:r>
    </w:p>
    <w:p w:rsidR="00905D4B" w:rsidRPr="00D74416" w:rsidRDefault="00905D4B" w:rsidP="00D74416">
      <w:pPr>
        <w:pStyle w:val="Heading2"/>
      </w:pPr>
      <w:r>
        <w:t>Contexte actuel</w:t>
      </w:r>
    </w:p>
    <w:p w:rsidR="00D74416" w:rsidRDefault="00905D4B" w:rsidP="00D74416">
      <w:pPr>
        <w:pStyle w:val="Heading3"/>
      </w:pPr>
      <w:r>
        <w:t>WIPO</w:t>
      </w:r>
      <w:r w:rsidR="00540700">
        <w:t> </w:t>
      </w:r>
      <w:r>
        <w:t>Match</w:t>
      </w:r>
    </w:p>
    <w:p w:rsidR="00D74416" w:rsidRDefault="00342BA2" w:rsidP="00D74416">
      <w:pPr>
        <w:pStyle w:val="ONUMFS"/>
      </w:pPr>
      <w:r>
        <w:t>En 2021</w:t>
      </w:r>
      <w:r w:rsidR="00905D4B">
        <w:t>, la Section de l</w:t>
      </w:r>
      <w:r>
        <w:t>’</w:t>
      </w:r>
      <w:r w:rsidR="00905D4B">
        <w:t>évaluation de la Division de la supervision interne de l</w:t>
      </w:r>
      <w:r>
        <w:t>’</w:t>
      </w:r>
      <w:r w:rsidR="00905D4B">
        <w:t>OMPI a procédé à une évaluation formative</w:t>
      </w:r>
      <w:r w:rsidR="002E303F" w:rsidRPr="00D57747">
        <w:rPr>
          <w:rStyle w:val="FootnoteReference"/>
        </w:rPr>
        <w:footnoteReference w:id="3"/>
      </w:r>
      <w:r w:rsidR="002E303F" w:rsidRPr="00D57747">
        <w:t xml:space="preserve"> </w:t>
      </w:r>
      <w:r w:rsidR="00905D4B">
        <w:t>de la plateforme WIPO</w:t>
      </w:r>
      <w:r w:rsidR="00540700">
        <w:t> </w:t>
      </w:r>
      <w:r w:rsidR="00905D4B">
        <w:t>Match (ci</w:t>
      </w:r>
      <w:r w:rsidR="00142CBE">
        <w:noBreakHyphen/>
      </w:r>
      <w:r w:rsidR="00905D4B">
        <w:t xml:space="preserve">après dénommée </w:t>
      </w:r>
      <w:r>
        <w:t>“é</w:t>
      </w:r>
      <w:r w:rsidR="00905D4B">
        <w:t>valuation de</w:t>
      </w:r>
      <w:r>
        <w:t xml:space="preserve"> la DSI”</w:t>
      </w:r>
      <w:r w:rsidR="00905D4B">
        <w:t>)</w:t>
      </w:r>
      <w:r w:rsidR="003B53C8">
        <w:t>,</w:t>
      </w:r>
      <w:r w:rsidR="002E303F">
        <w:t xml:space="preserve"> axée sur la </w:t>
      </w:r>
      <w:r w:rsidR="002E303F" w:rsidRPr="002E303F">
        <w:t>recherche de possibilités d</w:t>
      </w:r>
      <w:r>
        <w:t>’</w:t>
      </w:r>
      <w:r w:rsidR="002E303F" w:rsidRPr="002E303F">
        <w:t>apprentissage et d</w:t>
      </w:r>
      <w:r>
        <w:t>’</w:t>
      </w:r>
      <w:r w:rsidR="002E303F" w:rsidRPr="002E303F">
        <w:t>améliorations du programme</w:t>
      </w:r>
      <w:r w:rsidR="00905D4B">
        <w:t xml:space="preserve"> et </w:t>
      </w:r>
      <w:r w:rsidR="002E303F">
        <w:t>la formulation</w:t>
      </w:r>
      <w:r w:rsidR="00905D4B">
        <w:t xml:space="preserve"> de recommandations </w:t>
      </w:r>
      <w:r w:rsidR="002E303F">
        <w:t>pour</w:t>
      </w:r>
      <w:r w:rsidR="00905D4B">
        <w:t xml:space="preserve"> l</w:t>
      </w:r>
      <w:r>
        <w:t>’</w:t>
      </w:r>
      <w:r w:rsidR="00905D4B">
        <w:t xml:space="preserve">élaboration de services </w:t>
      </w:r>
      <w:r w:rsidR="003B53C8">
        <w:t xml:space="preserve">supplémentaires </w:t>
      </w:r>
      <w:r w:rsidR="00905D4B">
        <w:t xml:space="preserve">à valeur ajoutée </w:t>
      </w:r>
      <w:r w:rsidR="002E303F">
        <w:t>pouvant</w:t>
      </w:r>
      <w:r w:rsidR="00905D4B">
        <w:t xml:space="preserve"> compl</w:t>
      </w:r>
      <w:r w:rsidR="002E303F">
        <w:t xml:space="preserve">éter </w:t>
      </w:r>
      <w:r w:rsidR="00905D4B">
        <w:t>ceux déjà fournis par la platefor</w:t>
      </w:r>
      <w:r w:rsidR="00540700">
        <w:t>me.  L’é</w:t>
      </w:r>
      <w:r w:rsidR="00905D4B">
        <w:t>valuation de</w:t>
      </w:r>
      <w:r>
        <w:t xml:space="preserve"> la DSI</w:t>
      </w:r>
      <w:r w:rsidR="00905D4B">
        <w:t xml:space="preserve"> a porté sur la pério</w:t>
      </w:r>
      <w:r>
        <w:t>de 2016</w:t>
      </w:r>
      <w:r w:rsidR="00142CBE">
        <w:noBreakHyphen/>
      </w:r>
      <w:r w:rsidR="00905D4B">
        <w:t>2020.</w:t>
      </w:r>
    </w:p>
    <w:p w:rsidR="00D74416" w:rsidRDefault="00905D4B" w:rsidP="00D74416">
      <w:pPr>
        <w:pStyle w:val="ONUMFS"/>
      </w:pPr>
      <w:r>
        <w:t>Le rapport d</w:t>
      </w:r>
      <w:r w:rsidR="00342BA2">
        <w:t>’</w:t>
      </w:r>
      <w:r>
        <w:t>évaluation de</w:t>
      </w:r>
      <w:r w:rsidR="00342BA2">
        <w:t xml:space="preserve"> la DSI</w:t>
      </w:r>
      <w:r>
        <w:t xml:space="preserve"> </w:t>
      </w:r>
      <w:r w:rsidR="002E303F">
        <w:t>contenait</w:t>
      </w:r>
      <w:r>
        <w:t xml:space="preserve">, entre autres, les principales </w:t>
      </w:r>
      <w:r w:rsidR="002E303F">
        <w:t>conclusions</w:t>
      </w:r>
      <w:r>
        <w:t xml:space="preserve"> suivantes</w:t>
      </w:r>
      <w:r w:rsidR="00342BA2">
        <w:t> :</w:t>
      </w:r>
    </w:p>
    <w:p w:rsidR="00342BA2" w:rsidRDefault="00905D4B" w:rsidP="00D74416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spacing w:after="0"/>
        <w:ind w:left="1134" w:hanging="567"/>
      </w:pPr>
      <w:r>
        <w:t xml:space="preserve">Le descriptif de projet a utilisé une définition </w:t>
      </w:r>
      <w:r w:rsidR="00F63A13">
        <w:t>restrictive</w:t>
      </w:r>
      <w:r>
        <w:t xml:space="preserve"> des résultats axée exclusivement sur le nombre de </w:t>
      </w:r>
      <w:r w:rsidR="00F63A13">
        <w:t>correspondanc</w:t>
      </w:r>
      <w:r w:rsidR="00540700">
        <w:t xml:space="preserve">es.  </w:t>
      </w:r>
      <w:r w:rsidR="00540700" w:rsidRPr="00F63A13">
        <w:t>Pa</w:t>
      </w:r>
      <w:r w:rsidR="00F63A13" w:rsidRPr="00F63A13">
        <w:t>r conséquent, le projet sous</w:t>
      </w:r>
      <w:r w:rsidR="00142CBE">
        <w:noBreakHyphen/>
      </w:r>
      <w:r w:rsidR="00F63A13" w:rsidRPr="00F63A13">
        <w:t>estimait et laissait de côté la qualité des connexions réseau, la richesse du réseau et les contributions résultant de l</w:t>
      </w:r>
      <w:r w:rsidR="00342BA2">
        <w:t>’</w:t>
      </w:r>
      <w:r w:rsidR="00F63A13" w:rsidRPr="00F63A13">
        <w:t>engagement, de la diversité ou de la visibilité du réseau.</w:t>
      </w:r>
    </w:p>
    <w:p w:rsidR="00342BA2" w:rsidRDefault="00905D4B" w:rsidP="00D74416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spacing w:after="0"/>
        <w:ind w:left="1134" w:hanging="567"/>
      </w:pPr>
      <w:r>
        <w:t>L</w:t>
      </w:r>
      <w:r w:rsidR="006B178C">
        <w:t xml:space="preserve">es avantages </w:t>
      </w:r>
      <w:r>
        <w:t>de la plateforme WIPO</w:t>
      </w:r>
      <w:r w:rsidR="00540700">
        <w:t> </w:t>
      </w:r>
      <w:r>
        <w:t>Match avai</w:t>
      </w:r>
      <w:r w:rsidR="006B178C">
        <w:t>en</w:t>
      </w:r>
      <w:r>
        <w:t>t évolué au fil du tem</w:t>
      </w:r>
      <w:r w:rsidR="00540700">
        <w:t>ps.  Il</w:t>
      </w:r>
      <w:r w:rsidR="006B178C">
        <w:t xml:space="preserve"> s</w:t>
      </w:r>
      <w:r w:rsidR="00342BA2">
        <w:t>’</w:t>
      </w:r>
      <w:r w:rsidR="006B178C">
        <w:t>est avéré que la plate</w:t>
      </w:r>
      <w:r w:rsidR="006B178C" w:rsidRPr="006B178C">
        <w:t>forme comprenait un mélange de services et de propositions que le projet ne pouvait pas offrir de manière réaliste à tous les membres de la plateforme avec les capacités et l</w:t>
      </w:r>
      <w:r w:rsidR="006B178C">
        <w:t>es ressources dont il disposait</w:t>
      </w:r>
      <w:r>
        <w:t>.</w:t>
      </w:r>
    </w:p>
    <w:p w:rsidR="00342BA2" w:rsidRDefault="00905D4B" w:rsidP="00D74416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spacing w:after="0"/>
        <w:ind w:left="1134" w:hanging="567"/>
      </w:pPr>
      <w:r>
        <w:t>La plateforme WIPO</w:t>
      </w:r>
      <w:r w:rsidR="00540700">
        <w:t> </w:t>
      </w:r>
      <w:r>
        <w:t xml:space="preserve">Match </w:t>
      </w:r>
      <w:r w:rsidR="006B178C">
        <w:t>associait</w:t>
      </w:r>
      <w:r>
        <w:t xml:space="preserve"> le secteur des entreprises, les universités, les pôles d</w:t>
      </w:r>
      <w:r w:rsidR="00342BA2">
        <w:t>’</w:t>
      </w:r>
      <w:r>
        <w:t xml:space="preserve">innovation, les institutions gouvernementales et les organisations internationales multilatérales, </w:t>
      </w:r>
      <w:r w:rsidR="006B178C">
        <w:t xml:space="preserve">ainsi que </w:t>
      </w:r>
      <w:r>
        <w:t>les offices nationaux et régionaux de propriété intellectuel</w:t>
      </w:r>
      <w:r w:rsidR="00540700">
        <w:t>le.  To</w:t>
      </w:r>
      <w:r>
        <w:t>utefois, l</w:t>
      </w:r>
      <w:r w:rsidR="00342BA2">
        <w:t>’</w:t>
      </w:r>
      <w:r>
        <w:t>évaluation a également permis de constater que les critères d</w:t>
      </w:r>
      <w:r w:rsidR="00342BA2">
        <w:t>’</w:t>
      </w:r>
      <w:r>
        <w:t>adhésion n</w:t>
      </w:r>
      <w:r w:rsidR="00342BA2">
        <w:t>’</w:t>
      </w:r>
      <w:r>
        <w:t xml:space="preserve">étaient pas suffisamment clairs pour que le potentiel de la plateforme puisse être pleinement </w:t>
      </w:r>
      <w:r w:rsidR="003B53C8">
        <w:t>exploité</w:t>
      </w:r>
      <w:r>
        <w:t>.</w:t>
      </w:r>
    </w:p>
    <w:p w:rsidR="00D74416" w:rsidRDefault="00905D4B" w:rsidP="00D74416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ind w:left="1134" w:hanging="567"/>
      </w:pPr>
      <w:r>
        <w:t>La plateforme WIPO</w:t>
      </w:r>
      <w:r w:rsidR="00540700">
        <w:t> </w:t>
      </w:r>
      <w:r>
        <w:t xml:space="preserve">Match </w:t>
      </w:r>
      <w:r w:rsidR="006B178C">
        <w:t xml:space="preserve">sur le </w:t>
      </w:r>
      <w:r>
        <w:t>Web était obsolète et elle n</w:t>
      </w:r>
      <w:r w:rsidR="00342BA2">
        <w:t>’</w:t>
      </w:r>
      <w:r>
        <w:t>était pas conforme aux normes modern</w:t>
      </w:r>
      <w:r w:rsidR="00540700">
        <w:t>es.  La</w:t>
      </w:r>
      <w:r>
        <w:t xml:space="preserve"> plateforme </w:t>
      </w:r>
      <w:r w:rsidR="009E7475">
        <w:t xml:space="preserve">sur le </w:t>
      </w:r>
      <w:r>
        <w:t xml:space="preserve">Web </w:t>
      </w:r>
      <w:r w:rsidR="009E7475">
        <w:t xml:space="preserve">actuelle </w:t>
      </w:r>
      <w:r w:rsidR="006B178C">
        <w:t>limitait</w:t>
      </w:r>
      <w:r>
        <w:t xml:space="preserve"> l</w:t>
      </w:r>
      <w:r w:rsidR="00342BA2">
        <w:t>’</w:t>
      </w:r>
      <w:r>
        <w:t xml:space="preserve">efficacité </w:t>
      </w:r>
      <w:r w:rsidR="003B53C8">
        <w:t xml:space="preserve">des travaux </w:t>
      </w:r>
      <w:r>
        <w:t>de l</w:t>
      </w:r>
      <w:r w:rsidR="00342BA2">
        <w:t>’</w:t>
      </w:r>
      <w:r>
        <w:t xml:space="preserve">équipe </w:t>
      </w:r>
      <w:r w:rsidR="003B53C8">
        <w:t xml:space="preserve">chargée </w:t>
      </w:r>
      <w:r>
        <w:t>du projet, car plusieurs tâches devaient être effectuées manuellement.</w:t>
      </w:r>
    </w:p>
    <w:p w:rsidR="00D74416" w:rsidRDefault="00905D4B" w:rsidP="00D74416">
      <w:pPr>
        <w:pStyle w:val="ONUMFS"/>
      </w:pPr>
      <w:r>
        <w:t>S</w:t>
      </w:r>
      <w:r w:rsidR="00342BA2">
        <w:t>’</w:t>
      </w:r>
      <w:r>
        <w:t>agissant de ses fonctions et de son adéquation à l</w:t>
      </w:r>
      <w:r w:rsidR="00342BA2">
        <w:t>’</w:t>
      </w:r>
      <w:r>
        <w:t>objectif, sur la base des informations recueillies auprès des parties prenantes consultées au cours de l</w:t>
      </w:r>
      <w:r w:rsidR="00342BA2">
        <w:t>’</w:t>
      </w:r>
      <w:r>
        <w:t xml:space="preserve">évaluation </w:t>
      </w:r>
      <w:r w:rsidR="009E7475">
        <w:t xml:space="preserve">susmentionnée </w:t>
      </w:r>
      <w:r>
        <w:t>de</w:t>
      </w:r>
      <w:r w:rsidR="00342BA2">
        <w:t xml:space="preserve"> la DSI</w:t>
      </w:r>
      <w:r>
        <w:t xml:space="preserve">, </w:t>
      </w:r>
      <w:r w:rsidR="009E7475">
        <w:t>i</w:t>
      </w:r>
      <w:r>
        <w:t>l est entendu que</w:t>
      </w:r>
      <w:r w:rsidR="003B53C8">
        <w:t>,</w:t>
      </w:r>
      <w:r>
        <w:t xml:space="preserve"> pour répondre aux besoins des utilisateurs de la plateforme, WIPO Match a besoin d</w:t>
      </w:r>
      <w:r w:rsidR="00342BA2">
        <w:t>’</w:t>
      </w:r>
      <w:r>
        <w:t xml:space="preserve">une interface plus intuitive, hébergée </w:t>
      </w:r>
      <w:r w:rsidR="0063292A">
        <w:t>par</w:t>
      </w:r>
      <w:r>
        <w:t xml:space="preserve"> une plateforme moderne </w:t>
      </w:r>
      <w:r w:rsidR="009E7475">
        <w:t xml:space="preserve">et </w:t>
      </w:r>
      <w:r>
        <w:t xml:space="preserve">conviviale </w:t>
      </w:r>
      <w:r w:rsidR="009E7475">
        <w:t>fournissant</w:t>
      </w:r>
      <w:r>
        <w:t xml:space="preserve"> davantage de services et une meilleure répartition des responsabilités entre ses membr</w:t>
      </w:r>
      <w:r w:rsidR="00540700">
        <w:t>es.  Po</w:t>
      </w:r>
      <w:r>
        <w:t>ur obtenir de meilleurs résultats, il est nécessaire de disposer de ressources plus rationnelles consacrées à la modernisation technique de la plateforme, ainsi qu</w:t>
      </w:r>
      <w:r w:rsidR="00342BA2">
        <w:t>’</w:t>
      </w:r>
      <w:r>
        <w:t>à son administration quotidienne et à sa gestion globale.</w:t>
      </w:r>
    </w:p>
    <w:p w:rsidR="00D74416" w:rsidRDefault="00905D4B" w:rsidP="00D74416">
      <w:pPr>
        <w:pStyle w:val="ONUMFS"/>
      </w:pPr>
      <w:r>
        <w:t>En outre, le</w:t>
      </w:r>
      <w:r w:rsidR="0063292A">
        <w:t xml:space="preserve"> </w:t>
      </w:r>
      <w:r w:rsidR="0063292A" w:rsidRPr="0063292A">
        <w:t>Rapport sur la performance de l</w:t>
      </w:r>
      <w:r w:rsidR="00342BA2">
        <w:t>’</w:t>
      </w:r>
      <w:r w:rsidR="0063292A" w:rsidRPr="0063292A">
        <w:t>OMPI</w:t>
      </w:r>
      <w:r>
        <w:t xml:space="preserve"> </w:t>
      </w:r>
      <w:r w:rsidR="00342BA2">
        <w:t>en 2018</w:t>
      </w:r>
      <w:r w:rsidR="00142CBE">
        <w:noBreakHyphen/>
      </w:r>
      <w:r>
        <w:t>2019</w:t>
      </w:r>
      <w:r w:rsidR="0063292A" w:rsidRPr="00D57747">
        <w:rPr>
          <w:rStyle w:val="FootnoteReference"/>
        </w:rPr>
        <w:footnoteReference w:id="4"/>
      </w:r>
      <w:r w:rsidR="0063292A" w:rsidRPr="00D57747">
        <w:t xml:space="preserve"> </w:t>
      </w:r>
      <w:r>
        <w:t>indiquait que, comme WIPO</w:t>
      </w:r>
      <w:r w:rsidR="00540700">
        <w:t> </w:t>
      </w:r>
      <w:r>
        <w:t xml:space="preserve">Match </w:t>
      </w:r>
      <w:r w:rsidR="0063292A">
        <w:t xml:space="preserve">avait obtenu </w:t>
      </w:r>
      <w:r>
        <w:t>quatre</w:t>
      </w:r>
      <w:r w:rsidR="001C2483">
        <w:t> </w:t>
      </w:r>
      <w:r w:rsidR="0063292A">
        <w:t xml:space="preserve">correspondances </w:t>
      </w:r>
      <w:r>
        <w:t>au cours de l</w:t>
      </w:r>
      <w:r w:rsidR="00342BA2">
        <w:t>’</w:t>
      </w:r>
      <w:r>
        <w:t xml:space="preserve">exercice </w:t>
      </w:r>
      <w:r w:rsidR="00342BA2">
        <w:t>biennal 2018</w:t>
      </w:r>
      <w:r w:rsidR="00142CBE">
        <w:noBreakHyphen/>
      </w:r>
      <w:r>
        <w:t>2019, il n</w:t>
      </w:r>
      <w:r w:rsidR="00342BA2">
        <w:t>’</w:t>
      </w:r>
      <w:r>
        <w:t>avait pas atteint son objectif bienn</w:t>
      </w:r>
      <w:r w:rsidR="00540700">
        <w:t>al.  Un</w:t>
      </w:r>
      <w:r>
        <w:t xml:space="preserve"> dispositif de mise en parallèle supplémentaire a été </w:t>
      </w:r>
      <w:r w:rsidR="0063292A">
        <w:t>obtenu</w:t>
      </w:r>
      <w:r>
        <w:t xml:space="preserve"> à la fin </w:t>
      </w:r>
      <w:r w:rsidR="00342BA2">
        <w:t>de 2021</w:t>
      </w:r>
      <w:r>
        <w:t>, ce qui a donné lieu à un total cumulé de sept</w:t>
      </w:r>
      <w:r w:rsidR="001C2483">
        <w:t> </w:t>
      </w:r>
      <w:r>
        <w:t>correspondance</w:t>
      </w:r>
      <w:r w:rsidR="0063292A">
        <w:t>s</w:t>
      </w:r>
      <w:r>
        <w:t xml:space="preserve"> générées par la plateforme au cours des trois</w:t>
      </w:r>
      <w:r w:rsidR="001C2483">
        <w:t> </w:t>
      </w:r>
      <w:r>
        <w:t>derniers exercices biennaux (c</w:t>
      </w:r>
      <w:r w:rsidR="00342BA2">
        <w:t>’</w:t>
      </w:r>
      <w:r>
        <w:t>est</w:t>
      </w:r>
      <w:r w:rsidR="00142CBE">
        <w:noBreakHyphen/>
      </w:r>
      <w:r>
        <w:t>à</w:t>
      </w:r>
      <w:r w:rsidR="00142CBE">
        <w:noBreakHyphen/>
      </w:r>
      <w:r>
        <w:t xml:space="preserve">dire depuis </w:t>
      </w:r>
      <w:r w:rsidR="0063292A">
        <w:t>sa réorganisation</w:t>
      </w:r>
      <w:r>
        <w:t xml:space="preserve"> </w:t>
      </w:r>
      <w:r w:rsidR="00342BA2">
        <w:t>en 2016</w:t>
      </w:r>
      <w:r>
        <w:t>).  En termes de ressources, il a été estimé qu</w:t>
      </w:r>
      <w:r w:rsidR="0063292A">
        <w:t xml:space="preserve">e </w:t>
      </w:r>
      <w:r>
        <w:t>WIPO</w:t>
      </w:r>
      <w:r w:rsidR="00540700">
        <w:t> </w:t>
      </w:r>
      <w:r>
        <w:t xml:space="preserve">Match </w:t>
      </w:r>
      <w:r w:rsidR="0063292A">
        <w:t>a coûté</w:t>
      </w:r>
      <w:r>
        <w:t xml:space="preserve"> à l</w:t>
      </w:r>
      <w:r w:rsidR="00342BA2">
        <w:t>’</w:t>
      </w:r>
      <w:r>
        <w:t>Organisation 1,4</w:t>
      </w:r>
      <w:r w:rsidR="00342BA2">
        <w:t>1 million</w:t>
      </w:r>
      <w:r>
        <w:t xml:space="preserve"> de francs suisses</w:t>
      </w:r>
      <w:r w:rsidR="0063292A">
        <w:t xml:space="preserve"> entre 2016 et 2020</w:t>
      </w:r>
      <w:r w:rsidR="0049710B">
        <w:rPr>
          <w:rStyle w:val="FootnoteReference"/>
          <w:iCs/>
        </w:rPr>
        <w:footnoteReference w:id="5"/>
      </w:r>
      <w:r>
        <w:t>.</w:t>
      </w:r>
    </w:p>
    <w:p w:rsidR="00D74416" w:rsidRDefault="00905D4B" w:rsidP="00D74416">
      <w:pPr>
        <w:pStyle w:val="Heading3"/>
      </w:pPr>
      <w:r>
        <w:t>Coopération Sud</w:t>
      </w:r>
      <w:r w:rsidR="00142CBE">
        <w:noBreakHyphen/>
      </w:r>
      <w:r>
        <w:t>Sud, Nord</w:t>
      </w:r>
      <w:r w:rsidR="00142CBE">
        <w:noBreakHyphen/>
      </w:r>
      <w:r>
        <w:t>Sud et coopération triangulaire à l</w:t>
      </w:r>
      <w:r w:rsidR="00342BA2">
        <w:t>’</w:t>
      </w:r>
      <w:r>
        <w:t>OMPI</w:t>
      </w:r>
    </w:p>
    <w:p w:rsidR="00D74416" w:rsidRDefault="00905D4B" w:rsidP="00D74416">
      <w:pPr>
        <w:pStyle w:val="ONUMFS"/>
      </w:pPr>
      <w:r>
        <w:t>L</w:t>
      </w:r>
      <w:r w:rsidR="00564044">
        <w:t>es modes de</w:t>
      </w:r>
      <w:r>
        <w:t xml:space="preserve"> coopération Sud</w:t>
      </w:r>
      <w:r w:rsidR="00142CBE">
        <w:noBreakHyphen/>
      </w:r>
      <w:r>
        <w:t>Sud, Nord</w:t>
      </w:r>
      <w:r w:rsidR="00142CBE">
        <w:noBreakHyphen/>
      </w:r>
      <w:r>
        <w:t xml:space="preserve">Sud et triangulaire </w:t>
      </w:r>
      <w:r w:rsidR="00564044">
        <w:t>sont de plus en plus reconnus</w:t>
      </w:r>
      <w:r>
        <w:t xml:space="preserve"> comme des modalités importantes de la coopération internationale pour le développeme</w:t>
      </w:r>
      <w:r w:rsidR="00540700">
        <w:t>nt.  En</w:t>
      </w:r>
      <w:r>
        <w:t xml:space="preserve"> particulier, ces types de mécanismes et d</w:t>
      </w:r>
      <w:r w:rsidR="00342BA2">
        <w:t>’</w:t>
      </w:r>
      <w:r>
        <w:t>initiatives de coopération favorisent et renforcent l</w:t>
      </w:r>
      <w:r w:rsidR="00342BA2">
        <w:t>’</w:t>
      </w:r>
      <w:r>
        <w:t xml:space="preserve">autonomie des pays en développement en </w:t>
      </w:r>
      <w:r w:rsidR="003B53C8">
        <w:t>facilitant</w:t>
      </w:r>
      <w:r w:rsidR="00564044">
        <w:t xml:space="preserve"> le développement de</w:t>
      </w:r>
      <w:r>
        <w:t xml:space="preserve"> leurs capacités innovantes et créatives </w:t>
      </w:r>
      <w:r w:rsidR="00564044">
        <w:t>pour rechercher des</w:t>
      </w:r>
      <w:r>
        <w:t xml:space="preserve"> solutions, d</w:t>
      </w:r>
      <w:r w:rsidR="00564044">
        <w:t xml:space="preserve">es </w:t>
      </w:r>
      <w:r>
        <w:t>outils et de</w:t>
      </w:r>
      <w:r w:rsidR="00564044">
        <w:t>s</w:t>
      </w:r>
      <w:r>
        <w:t xml:space="preserve"> technologies appropriées </w:t>
      </w:r>
      <w:r w:rsidR="00564044">
        <w:t xml:space="preserve">afin de résoudre </w:t>
      </w:r>
      <w:r>
        <w:t>leurs problèmes de développement</w:t>
      </w:r>
      <w:r w:rsidR="00564044">
        <w:t>,</w:t>
      </w:r>
      <w:r>
        <w:t xml:space="preserve"> et </w:t>
      </w:r>
      <w:r w:rsidR="00564044">
        <w:t>pour formuler des</w:t>
      </w:r>
      <w:r>
        <w:t xml:space="preserve"> stratégies </w:t>
      </w:r>
      <w:r w:rsidR="00564044">
        <w:t>adaptées</w:t>
      </w:r>
      <w:r>
        <w:t xml:space="preserve"> pour y faire face.</w:t>
      </w:r>
    </w:p>
    <w:p w:rsidR="00D74416" w:rsidRDefault="00905D4B" w:rsidP="00D74416">
      <w:pPr>
        <w:pStyle w:val="ONUMFS"/>
      </w:pPr>
      <w:r>
        <w:t>La plateforme WIPO</w:t>
      </w:r>
      <w:r w:rsidR="00540700">
        <w:t> </w:t>
      </w:r>
      <w:r>
        <w:t xml:space="preserve">Match est fondée sur les principes de la création de partenariats entre donateurs et demandeurs et </w:t>
      </w:r>
      <w:r w:rsidR="0049710B">
        <w:t>de</w:t>
      </w:r>
      <w:r>
        <w:t xml:space="preserve"> la facilitation de l</w:t>
      </w:r>
      <w:r w:rsidR="00342BA2">
        <w:t>’</w:t>
      </w:r>
      <w:r>
        <w:t>assistance technique et du transfert de technolog</w:t>
      </w:r>
      <w:r w:rsidR="00540700">
        <w:t>ie.  Ce</w:t>
      </w:r>
      <w:r>
        <w:t xml:space="preserve">s </w:t>
      </w:r>
      <w:r w:rsidR="00564044">
        <w:t xml:space="preserve">principes sont en fait au cœur </w:t>
      </w:r>
      <w:r>
        <w:t>des initiatives de coopération Sud</w:t>
      </w:r>
      <w:r w:rsidR="00142CBE">
        <w:noBreakHyphen/>
      </w:r>
      <w:r>
        <w:t>Sud, Nord</w:t>
      </w:r>
      <w:r w:rsidR="00142CBE">
        <w:noBreakHyphen/>
      </w:r>
      <w:r>
        <w:t>Sud et triangulaire.</w:t>
      </w:r>
    </w:p>
    <w:p w:rsidR="00D74416" w:rsidRDefault="00905D4B" w:rsidP="00D74416">
      <w:pPr>
        <w:pStyle w:val="ONUMFS"/>
      </w:pPr>
      <w:r>
        <w:t>Outre la réponse à la recommandation n°</w:t>
      </w:r>
      <w:r w:rsidR="001C2483">
        <w:t> </w:t>
      </w:r>
      <w:r>
        <w:t>9 du Plan d</w:t>
      </w:r>
      <w:r w:rsidR="00342BA2">
        <w:t>’</w:t>
      </w:r>
      <w:r>
        <w:t xml:space="preserve">action pour le développement, les résultats obtenus par la plateforme contribuent à la réalisation des objectifs de développement durable </w:t>
      </w:r>
      <w:r w:rsidR="0049710B">
        <w:t>n</w:t>
      </w:r>
      <w:r w:rsidR="0049710B" w:rsidRPr="0049710B">
        <w:rPr>
          <w:vertAlign w:val="superscript"/>
        </w:rPr>
        <w:t>os</w:t>
      </w:r>
      <w:r w:rsidR="0049710B">
        <w:t> </w:t>
      </w:r>
      <w:r w:rsidR="00D74416">
        <w:t>9 et </w:t>
      </w:r>
      <w:r>
        <w:t>17.  Comme indiqué dans l</w:t>
      </w:r>
      <w:r w:rsidR="00342BA2">
        <w:t>’</w:t>
      </w:r>
      <w:r>
        <w:t>évaluation de</w:t>
      </w:r>
      <w:r w:rsidR="00342BA2">
        <w:t xml:space="preserve"> la DSI</w:t>
      </w:r>
      <w:r w:rsidR="003B53C8">
        <w:t>,</w:t>
      </w:r>
      <w:r>
        <w:t xml:space="preserve"> à la fin du mois de </w:t>
      </w:r>
      <w:r w:rsidR="00342BA2">
        <w:t>mars 20</w:t>
      </w:r>
      <w:r>
        <w:t>21 WIPO</w:t>
      </w:r>
      <w:r w:rsidR="00540700">
        <w:t> </w:t>
      </w:r>
      <w:r>
        <w:t xml:space="preserve">Match </w:t>
      </w:r>
      <w:r w:rsidR="003B53C8">
        <w:t>était</w:t>
      </w:r>
      <w:r>
        <w:t xml:space="preserve"> l</w:t>
      </w:r>
      <w:r w:rsidR="00342BA2">
        <w:t>’</w:t>
      </w:r>
      <w:r>
        <w:t>une des très rares unités administratives de l</w:t>
      </w:r>
      <w:r w:rsidR="00342BA2">
        <w:t>’</w:t>
      </w:r>
      <w:r>
        <w:t>OMPI qui établissent des rapports et collaborent avec l</w:t>
      </w:r>
      <w:r w:rsidR="00342BA2">
        <w:t>’</w:t>
      </w:r>
      <w:r>
        <w:t xml:space="preserve">Office des </w:t>
      </w:r>
      <w:r w:rsidR="00342BA2">
        <w:t>Nations Unies</w:t>
      </w:r>
      <w:r>
        <w:t xml:space="preserve"> pour la coopération Sud</w:t>
      </w:r>
      <w:r w:rsidR="00142CBE">
        <w:noBreakHyphen/>
      </w:r>
      <w:r w:rsidR="003B53C8">
        <w:t>Sud et</w:t>
      </w:r>
      <w:r>
        <w:t xml:space="preserve"> le Département des affaires économiques et sociales de l</w:t>
      </w:r>
      <w:r w:rsidR="00342BA2">
        <w:t>’</w:t>
      </w:r>
      <w:r>
        <w:t xml:space="preserve">Organisation des </w:t>
      </w:r>
      <w:r w:rsidR="00342BA2">
        <w:t>Nations Uni</w:t>
      </w:r>
      <w:r w:rsidR="00540700">
        <w:t>es.  Le</w:t>
      </w:r>
      <w:r>
        <w:t xml:space="preserve"> Bureau des </w:t>
      </w:r>
      <w:r w:rsidR="00342BA2">
        <w:t>Nations Unies</w:t>
      </w:r>
      <w:r>
        <w:t xml:space="preserve"> pour la coopération Sud</w:t>
      </w:r>
      <w:r w:rsidR="00142CBE">
        <w:noBreakHyphen/>
      </w:r>
      <w:r>
        <w:t xml:space="preserve">Sud a </w:t>
      </w:r>
      <w:r w:rsidR="0049710B">
        <w:t>estimé que</w:t>
      </w:r>
      <w:r>
        <w:t xml:space="preserve"> la plateforme WIPO</w:t>
      </w:r>
      <w:r w:rsidR="00540700">
        <w:t> </w:t>
      </w:r>
      <w:r>
        <w:t>Match présenta</w:t>
      </w:r>
      <w:r w:rsidR="0049710B">
        <w:t>i</w:t>
      </w:r>
      <w:r>
        <w:t xml:space="preserve">t un intérêt pour son travail et la plateforme du système </w:t>
      </w:r>
      <w:proofErr w:type="spellStart"/>
      <w:r>
        <w:t>Galaxy</w:t>
      </w:r>
      <w:proofErr w:type="spellEnd"/>
      <w:r w:rsidR="00540700">
        <w:t> </w:t>
      </w:r>
      <w:r>
        <w:t>Sud</w:t>
      </w:r>
      <w:r w:rsidR="00142CBE">
        <w:noBreakHyphen/>
      </w:r>
      <w:r>
        <w:t>Sud, tandis que le Département des affaires économiques et sociales a intégré WIPO</w:t>
      </w:r>
      <w:r w:rsidR="00540700">
        <w:t> </w:t>
      </w:r>
      <w:r>
        <w:t xml:space="preserve">Match dans sa </w:t>
      </w:r>
      <w:r w:rsidR="0049710B" w:rsidRPr="0049710B">
        <w:t xml:space="preserve">plateforme en ligne du Mécanisme de facilitation des technologies </w:t>
      </w:r>
      <w:r w:rsidR="0049710B">
        <w:t>pour appuyer le P</w:t>
      </w:r>
      <w:r>
        <w:t>rogramme de développement durable à l</w:t>
      </w:r>
      <w:r w:rsidR="00342BA2">
        <w:t>’</w:t>
      </w:r>
      <w:r>
        <w:t>horizon</w:t>
      </w:r>
      <w:r w:rsidR="00540700">
        <w:t> </w:t>
      </w:r>
      <w:r>
        <w:t>2030.</w:t>
      </w:r>
    </w:p>
    <w:p w:rsidR="00D74416" w:rsidRDefault="00905D4B" w:rsidP="00D74416">
      <w:pPr>
        <w:pStyle w:val="ONUMFS"/>
      </w:pPr>
      <w:r>
        <w:t>Au fil des ans, l</w:t>
      </w:r>
      <w:r w:rsidR="00342BA2">
        <w:t>’</w:t>
      </w:r>
      <w:r>
        <w:t>OMPI a poursuivi ses efforts pour encourager la coopération Sud</w:t>
      </w:r>
      <w:r w:rsidR="00142CBE">
        <w:noBreakHyphen/>
      </w:r>
      <w:r>
        <w:t>Sud et la coopération triangulaire entre ses États membres dans le cadre de différents projets et activit</w:t>
      </w:r>
      <w:r w:rsidR="00540700">
        <w:t>és.  En</w:t>
      </w:r>
      <w:r>
        <w:t>tre autres mécanismes d</w:t>
      </w:r>
      <w:r w:rsidR="00342BA2">
        <w:t>’</w:t>
      </w:r>
      <w:r>
        <w:t xml:space="preserve">établissement de rapports, il </w:t>
      </w:r>
      <w:r w:rsidR="0049710B">
        <w:t>réalise</w:t>
      </w:r>
      <w:r>
        <w:t xml:space="preserve"> un exercice de cartographie périodique qui recense et regroupe toutes les activités de coopération Sud</w:t>
      </w:r>
      <w:r w:rsidR="00142CBE">
        <w:noBreakHyphen/>
      </w:r>
      <w:r>
        <w:t>Sud en cours au sein de l</w:t>
      </w:r>
      <w:r w:rsidR="00342BA2">
        <w:t>’</w:t>
      </w:r>
      <w:r>
        <w:t>Organisation</w:t>
      </w:r>
      <w:r w:rsidR="0049710B" w:rsidRPr="00D57747">
        <w:rPr>
          <w:rStyle w:val="FootnoteReference"/>
        </w:rPr>
        <w:footnoteReference w:id="6"/>
      </w:r>
      <w:r>
        <w:t>.</w:t>
      </w:r>
      <w:r w:rsidR="001C2483">
        <w:t xml:space="preserve"> </w:t>
      </w:r>
      <w:r>
        <w:t xml:space="preserve"> Au cours de l</w:t>
      </w:r>
      <w:r w:rsidR="00342BA2">
        <w:t>’</w:t>
      </w:r>
      <w:r>
        <w:t xml:space="preserve">exercice </w:t>
      </w:r>
      <w:r w:rsidR="00342BA2">
        <w:t>biennal 2018</w:t>
      </w:r>
      <w:r w:rsidR="00142CBE">
        <w:noBreakHyphen/>
      </w:r>
      <w:r>
        <w:t>2019, quelque 20</w:t>
      </w:r>
      <w:r w:rsidR="00540700">
        <w:t> </w:t>
      </w:r>
      <w:r>
        <w:t xml:space="preserve">pays supplémentaires </w:t>
      </w:r>
      <w:r w:rsidR="007B5639">
        <w:t xml:space="preserve">se sont </w:t>
      </w:r>
      <w:r>
        <w:t>engagés dans la coopération Sud</w:t>
      </w:r>
      <w:r w:rsidR="00142CBE">
        <w:noBreakHyphen/>
      </w:r>
      <w:r>
        <w:t xml:space="preserve">Sud, </w:t>
      </w:r>
      <w:r w:rsidR="007B5639">
        <w:t xml:space="preserve">faisant apparaître </w:t>
      </w:r>
      <w:r>
        <w:t>une augmentation de 18% par rapport à 2017.</w:t>
      </w:r>
    </w:p>
    <w:p w:rsidR="00905D4B" w:rsidRDefault="00905D4B" w:rsidP="00D74416">
      <w:pPr>
        <w:pStyle w:val="ONUMFS"/>
      </w:pPr>
      <w:r>
        <w:t>La vision et la mission de l</w:t>
      </w:r>
      <w:r w:rsidR="00342BA2">
        <w:t>’</w:t>
      </w:r>
      <w:r>
        <w:t>OMPI consacrées dans le Plan stratégique à moyen terme</w:t>
      </w:r>
      <w:r w:rsidR="00540700">
        <w:t> </w:t>
      </w:r>
      <w:r>
        <w:t>2022</w:t>
      </w:r>
      <w:r w:rsidR="00142CBE">
        <w:noBreakHyphen/>
      </w:r>
      <w:r>
        <w:t>2026 de l</w:t>
      </w:r>
      <w:r w:rsidR="00342BA2">
        <w:t>’</w:t>
      </w:r>
      <w:r>
        <w:t>Organisation</w:t>
      </w:r>
      <w:r w:rsidR="007B5639" w:rsidRPr="00D57747">
        <w:rPr>
          <w:rStyle w:val="FootnoteReference"/>
        </w:rPr>
        <w:footnoteReference w:id="7"/>
      </w:r>
      <w:r w:rsidR="007B5639" w:rsidRPr="00D57747">
        <w:t xml:space="preserve"> </w:t>
      </w:r>
      <w:r>
        <w:t>accordent une attention particulière aux initiatives de coopération Sud</w:t>
      </w:r>
      <w:r w:rsidR="00142CBE">
        <w:noBreakHyphen/>
      </w:r>
      <w:r>
        <w:t xml:space="preserve">Sud et </w:t>
      </w:r>
      <w:r w:rsidR="007B5639">
        <w:t xml:space="preserve">de coopération </w:t>
      </w:r>
      <w:r>
        <w:t>triangulai</w:t>
      </w:r>
      <w:r w:rsidR="00540700">
        <w:t xml:space="preserve">re.  </w:t>
      </w:r>
      <w:r w:rsidR="00540700" w:rsidRPr="007B5639">
        <w:t>Pa</w:t>
      </w:r>
      <w:r w:rsidR="007B5639" w:rsidRPr="007B5639">
        <w:t>r conséquent, en redynamisant son approche et en élargissant son appui à ces initiatives dans le domaine de l</w:t>
      </w:r>
      <w:r w:rsidR="00342BA2">
        <w:t>’</w:t>
      </w:r>
      <w:r w:rsidR="007B5639" w:rsidRPr="007B5639">
        <w:t>innovation et de la propriété intellectuelle aux niveaux national, régional et mondial, l</w:t>
      </w:r>
      <w:r w:rsidR="00342BA2">
        <w:t>’</w:t>
      </w:r>
      <w:r w:rsidR="007B5639" w:rsidRPr="007B5639">
        <w:t>OMPI a l</w:t>
      </w:r>
      <w:r w:rsidR="00342BA2">
        <w:t>’</w:t>
      </w:r>
      <w:r w:rsidR="007B5639" w:rsidRPr="007B5639">
        <w:t>intention d</w:t>
      </w:r>
      <w:r w:rsidR="00342BA2">
        <w:t>’</w:t>
      </w:r>
      <w:r w:rsidR="007B5639" w:rsidRPr="007B5639">
        <w:t>utiliser la plateforme WIPO Match comme plateforme centrale pour accroître l</w:t>
      </w:r>
      <w:r w:rsidR="00342BA2">
        <w:t>’</w:t>
      </w:r>
      <w:r w:rsidR="007B5639" w:rsidRPr="007B5639">
        <w:t>échange transparent d</w:t>
      </w:r>
      <w:r w:rsidR="00342BA2">
        <w:t>’</w:t>
      </w:r>
      <w:r w:rsidR="007B5639" w:rsidRPr="007B5639">
        <w:t>informations entre les parties prenantes de l</w:t>
      </w:r>
      <w:r w:rsidR="00342BA2">
        <w:t>’</w:t>
      </w:r>
      <w:r w:rsidR="007B5639" w:rsidRPr="007B5639">
        <w:t>écosystème de la propriété intellectuelle, encourager la coopération entre elles et faciliter les initiatives</w:t>
      </w:r>
      <w:r>
        <w:t xml:space="preserve"> </w:t>
      </w:r>
      <w:r w:rsidR="007B5639">
        <w:t xml:space="preserve">de coopération </w:t>
      </w:r>
      <w:r>
        <w:t>Sud</w:t>
      </w:r>
      <w:r w:rsidR="00142CBE">
        <w:noBreakHyphen/>
      </w:r>
      <w:r>
        <w:t>Sud, Nord</w:t>
      </w:r>
      <w:r w:rsidR="00142CBE">
        <w:noBreakHyphen/>
      </w:r>
      <w:r>
        <w:t>Sud et triangulaire.</w:t>
      </w:r>
    </w:p>
    <w:p w:rsidR="00905D4B" w:rsidRPr="00D74416" w:rsidRDefault="00D74416" w:rsidP="00D74416">
      <w:pPr>
        <w:pStyle w:val="Heading2"/>
      </w:pPr>
      <w:r>
        <w:t>Travaux futurs</w:t>
      </w:r>
    </w:p>
    <w:p w:rsidR="00D74416" w:rsidRDefault="00B9269B" w:rsidP="00D74416">
      <w:pPr>
        <w:pStyle w:val="ONUMFS"/>
      </w:pPr>
      <w:r w:rsidRPr="00B9269B">
        <w:t>Afin de mieux utiliser la plateforme WIPO</w:t>
      </w:r>
      <w:r w:rsidR="00540700">
        <w:t> </w:t>
      </w:r>
      <w:r w:rsidRPr="00B9269B">
        <w:t>Match et de mettre l</w:t>
      </w:r>
      <w:r w:rsidR="00342BA2">
        <w:t>’</w:t>
      </w:r>
      <w:r w:rsidRPr="00B9269B">
        <w:t>accent sur les activités de coopération Sud</w:t>
      </w:r>
      <w:r w:rsidR="00142CBE">
        <w:noBreakHyphen/>
      </w:r>
      <w:r w:rsidRPr="00B9269B">
        <w:t>Sud, Nord</w:t>
      </w:r>
      <w:r w:rsidR="00142CBE">
        <w:noBreakHyphen/>
      </w:r>
      <w:r w:rsidRPr="00B9269B">
        <w:t>Sud et triangulaire</w:t>
      </w:r>
      <w:r w:rsidR="00905D4B">
        <w:t xml:space="preserve">, </w:t>
      </w:r>
      <w:r>
        <w:t>l</w:t>
      </w:r>
      <w:r w:rsidR="00905D4B">
        <w:t>a plateforme actuelle sera améliorée sur le plan technique, restructuré</w:t>
      </w:r>
      <w:r>
        <w:t>e</w:t>
      </w:r>
      <w:r w:rsidR="00905D4B">
        <w:t xml:space="preserve"> et élargie afin de fournir davantage d</w:t>
      </w:r>
      <w:r w:rsidR="00342BA2">
        <w:t>’</w:t>
      </w:r>
      <w:r w:rsidR="00905D4B">
        <w:t>outils, de services et de fonctionnalités qui permettront d</w:t>
      </w:r>
      <w:r w:rsidR="00342BA2">
        <w:t>’</w:t>
      </w:r>
      <w:r w:rsidR="00905D4B">
        <w:t>obtenir de meilleurs résulta</w:t>
      </w:r>
      <w:r w:rsidR="00540700">
        <w:t>ts.  Ou</w:t>
      </w:r>
      <w:r w:rsidR="00905D4B">
        <w:t xml:space="preserve">tre la collaboration </w:t>
      </w:r>
      <w:r>
        <w:t xml:space="preserve">entre </w:t>
      </w:r>
      <w:r w:rsidR="00905D4B">
        <w:t>demandeurs</w:t>
      </w:r>
      <w:r>
        <w:t xml:space="preserve"> et </w:t>
      </w:r>
      <w:r w:rsidR="00905D4B">
        <w:t>donateurs, la plateforme comprendra d</w:t>
      </w:r>
      <w:r w:rsidR="00342BA2">
        <w:t>’</w:t>
      </w:r>
      <w:r w:rsidR="00905D4B">
        <w:t>autres mécanismes de coopération, tels que la coopération Sud</w:t>
      </w:r>
      <w:r w:rsidR="00142CBE">
        <w:noBreakHyphen/>
      </w:r>
      <w:r w:rsidR="00905D4B">
        <w:t>Sud, la coopération Nord</w:t>
      </w:r>
      <w:r w:rsidR="00142CBE">
        <w:noBreakHyphen/>
      </w:r>
      <w:r w:rsidR="00905D4B">
        <w:t>Sud et la coopé</w:t>
      </w:r>
      <w:r>
        <w:t>ration triangulaire, ainsi que l</w:t>
      </w:r>
      <w:r w:rsidR="00905D4B">
        <w:t>es partenariats public</w:t>
      </w:r>
      <w:r w:rsidR="00142CBE">
        <w:noBreakHyphen/>
      </w:r>
      <w:r w:rsidR="00905D4B">
        <w:t>privé, où le rôle de l</w:t>
      </w:r>
      <w:r w:rsidR="00342BA2">
        <w:t>’</w:t>
      </w:r>
      <w:r w:rsidR="00905D4B">
        <w:t xml:space="preserve">OMPI en tant que facilitateur est plus </w:t>
      </w:r>
      <w:r>
        <w:t>marqué</w:t>
      </w:r>
      <w:r w:rsidR="00905D4B">
        <w:t xml:space="preserve"> et </w:t>
      </w:r>
      <w:r>
        <w:t xml:space="preserve">les </w:t>
      </w:r>
      <w:r w:rsidR="00905D4B">
        <w:t>résultats de cette coopération mieux intégrés</w:t>
      </w:r>
      <w:r>
        <w:t>.</w:t>
      </w:r>
    </w:p>
    <w:p w:rsidR="00D74416" w:rsidRDefault="00905D4B" w:rsidP="00D74416">
      <w:pPr>
        <w:pStyle w:val="ONUMFS"/>
      </w:pPr>
      <w:r>
        <w:t>Les principes directeurs de la plateforme améliorée seront les suivants</w:t>
      </w:r>
      <w:r w:rsidR="00342BA2">
        <w:t> :</w:t>
      </w:r>
      <w:r>
        <w:t xml:space="preserve"> i)</w:t>
      </w:r>
      <w:r w:rsidR="001C2483">
        <w:t> </w:t>
      </w:r>
      <w:r>
        <w:t xml:space="preserve">optimisation de sa </w:t>
      </w:r>
      <w:proofErr w:type="gramStart"/>
      <w:r>
        <w:t>portée</w:t>
      </w:r>
      <w:r w:rsidR="001C2483">
        <w:t xml:space="preserve">; </w:t>
      </w:r>
      <w:r>
        <w:t xml:space="preserve"> ii</w:t>
      </w:r>
      <w:proofErr w:type="gramEnd"/>
      <w:r>
        <w:t>)</w:t>
      </w:r>
      <w:r w:rsidR="001C2483">
        <w:t> </w:t>
      </w:r>
      <w:r>
        <w:t>administration efficace à faible coût</w:t>
      </w:r>
      <w:r w:rsidR="001C2483">
        <w:t xml:space="preserve">; </w:t>
      </w:r>
      <w:r>
        <w:t xml:space="preserve"> iii)</w:t>
      </w:r>
      <w:r w:rsidR="001C2483">
        <w:t> </w:t>
      </w:r>
      <w:r>
        <w:t>prévention de</w:t>
      </w:r>
      <w:r w:rsidR="00BB7B91">
        <w:t xml:space="preserve"> la répétition inutile des tâches </w:t>
      </w:r>
      <w:r>
        <w:t xml:space="preserve">et </w:t>
      </w:r>
      <w:r w:rsidR="00701625">
        <w:t xml:space="preserve">de la </w:t>
      </w:r>
      <w:r>
        <w:t>redondance des informations et des fonctions</w:t>
      </w:r>
      <w:r w:rsidR="001C2483">
        <w:t xml:space="preserve">; </w:t>
      </w:r>
      <w:r>
        <w:t xml:space="preserve"> et</w:t>
      </w:r>
      <w:r w:rsidR="00D74416">
        <w:t> </w:t>
      </w:r>
      <w:r>
        <w:t>iv)</w:t>
      </w:r>
      <w:r w:rsidR="001C2483">
        <w:t> </w:t>
      </w:r>
      <w:r>
        <w:t>utilisation des informations et bases de données internes existantes.</w:t>
      </w:r>
    </w:p>
    <w:p w:rsidR="00D74416" w:rsidRDefault="00905D4B" w:rsidP="00D74416">
      <w:pPr>
        <w:pStyle w:val="ONUMFS"/>
      </w:pPr>
      <w:r>
        <w:t>Les informations sur la plateforme seront structurées par groupes thématiques qui seront axés sur les domaines dans lesquels l</w:t>
      </w:r>
      <w:r w:rsidR="00342BA2">
        <w:t>’</w:t>
      </w:r>
      <w:r>
        <w:t>accent et les efforts de l</w:t>
      </w:r>
      <w:r w:rsidR="00342BA2">
        <w:t>’</w:t>
      </w:r>
      <w:r>
        <w:t xml:space="preserve">OMPI pourraient être amplifiés </w:t>
      </w:r>
      <w:r w:rsidR="00701625">
        <w:t>lors de la fourniture d</w:t>
      </w:r>
      <w:r w:rsidR="00342BA2">
        <w:t>’</w:t>
      </w:r>
      <w:r>
        <w:t>une assistance techniq</w:t>
      </w:r>
      <w:r w:rsidR="00540700">
        <w:t>ue.  Pa</w:t>
      </w:r>
      <w:r>
        <w:t>r exemple</w:t>
      </w:r>
      <w:r w:rsidR="00342BA2">
        <w:t> :</w:t>
      </w:r>
      <w:r>
        <w:t xml:space="preserve"> la sécurité alimentaire et </w:t>
      </w:r>
      <w:proofErr w:type="gramStart"/>
      <w:r>
        <w:t>l</w:t>
      </w:r>
      <w:r w:rsidR="00342BA2">
        <w:t>’</w:t>
      </w:r>
      <w:r>
        <w:t>agriculture</w:t>
      </w:r>
      <w:r w:rsidR="001C2483">
        <w:t xml:space="preserve">; </w:t>
      </w:r>
      <w:r>
        <w:t xml:space="preserve"> la</w:t>
      </w:r>
      <w:proofErr w:type="gramEnd"/>
      <w:r>
        <w:t xml:space="preserve"> propriété intellectuelle et la santé publique</w:t>
      </w:r>
      <w:r w:rsidR="001C2483">
        <w:t xml:space="preserve">; </w:t>
      </w:r>
      <w:r>
        <w:t xml:space="preserve"> l</w:t>
      </w:r>
      <w:r w:rsidR="00342BA2">
        <w:t>’</w:t>
      </w:r>
      <w:r>
        <w:t>innovation verte</w:t>
      </w:r>
      <w:r w:rsidR="001C2483">
        <w:t xml:space="preserve">; </w:t>
      </w:r>
      <w:r>
        <w:t xml:space="preserve"> l</w:t>
      </w:r>
      <w:r w:rsidR="00342BA2">
        <w:t>’</w:t>
      </w:r>
      <w:r>
        <w:t>amélioration de la gestion de la propriété intellectuelle</w:t>
      </w:r>
      <w:r w:rsidR="001C2483">
        <w:t xml:space="preserve">; </w:t>
      </w:r>
      <w:r>
        <w:t xml:space="preserve"> les industries de la création</w:t>
      </w:r>
      <w:r w:rsidR="001C2483">
        <w:t xml:space="preserve">; </w:t>
      </w:r>
      <w:r>
        <w:t xml:space="preserve"> </w:t>
      </w:r>
      <w:r w:rsidR="00701625">
        <w:t>e</w:t>
      </w:r>
      <w:r w:rsidR="00540700">
        <w:t>tc.  Le</w:t>
      </w:r>
      <w:r>
        <w:t>s pays seront invités à faire part de leur expérience et de leurs pratiques recommandées dans chacun de ces groupes, tandis que l</w:t>
      </w:r>
      <w:r w:rsidR="00342BA2">
        <w:t>’</w:t>
      </w:r>
      <w:r>
        <w:t xml:space="preserve">OMPI facilitera </w:t>
      </w:r>
      <w:r w:rsidR="00701625">
        <w:t xml:space="preserve">les </w:t>
      </w:r>
      <w:r>
        <w:t xml:space="preserve">initiatives </w:t>
      </w:r>
      <w:r w:rsidR="00701625">
        <w:t xml:space="preserve">en matière </w:t>
      </w:r>
      <w:r>
        <w:t>de coopération et la complémentarité avec la fourniture de ressources techniques, humaines et financières.</w:t>
      </w:r>
    </w:p>
    <w:p w:rsidR="00D74416" w:rsidRDefault="00905D4B" w:rsidP="00D74416">
      <w:pPr>
        <w:pStyle w:val="ONUMFS"/>
        <w:keepLines/>
      </w:pPr>
      <w:r>
        <w:t>En combinant ces deux</w:t>
      </w:r>
      <w:r w:rsidR="001C2483">
        <w:t> </w:t>
      </w:r>
      <w:r>
        <w:t>séries de travaux de coopération pour le développement de l</w:t>
      </w:r>
      <w:r w:rsidR="00342BA2">
        <w:t>’</w:t>
      </w:r>
      <w:r>
        <w:t>OMPI</w:t>
      </w:r>
      <w:r w:rsidR="00342BA2">
        <w:t xml:space="preserve"> – </w:t>
      </w:r>
      <w:r>
        <w:t>WIPO</w:t>
      </w:r>
      <w:r w:rsidR="00540700">
        <w:t> </w:t>
      </w:r>
      <w:r>
        <w:t>Match et la coopération Sud</w:t>
      </w:r>
      <w:r w:rsidR="00142CBE">
        <w:noBreakHyphen/>
      </w:r>
      <w:r>
        <w:t>Sud, Nord</w:t>
      </w:r>
      <w:r w:rsidR="00142CBE">
        <w:noBreakHyphen/>
      </w:r>
      <w:r>
        <w:t>Sud et triangulaire</w:t>
      </w:r>
      <w:r w:rsidR="00342BA2">
        <w:t xml:space="preserve"> – </w:t>
      </w:r>
      <w:r>
        <w:t>et en rationalisant les ressources, l</w:t>
      </w:r>
      <w:r w:rsidR="00342BA2">
        <w:t>’</w:t>
      </w:r>
      <w:r>
        <w:t>OMPI éviterait la répétition inutile des tâches et l</w:t>
      </w:r>
      <w:r w:rsidR="00342BA2">
        <w:t>’</w:t>
      </w:r>
      <w:r>
        <w:t>affectation de ressources à des actions débouchant sur des résultats similair</w:t>
      </w:r>
      <w:r w:rsidR="00540700">
        <w:t>es.  En</w:t>
      </w:r>
      <w:r>
        <w:t xml:space="preserve"> outre, une fois fusionnées et améliorées, la nouvelle plateforme offrira les éléments </w:t>
      </w:r>
      <w:r w:rsidR="00BB7B91">
        <w:t>ci</w:t>
      </w:r>
      <w:r w:rsidR="00142CBE">
        <w:noBreakHyphen/>
      </w:r>
      <w:r w:rsidR="00BB7B91">
        <w:t>après.</w:t>
      </w:r>
    </w:p>
    <w:p w:rsidR="00342BA2" w:rsidRDefault="00701625" w:rsidP="00D74416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</w:pPr>
      <w:r>
        <w:t>Une plate</w:t>
      </w:r>
      <w:r w:rsidR="00905D4B">
        <w:t>forme plus conviviale qui offrira la possibilité d</w:t>
      </w:r>
      <w:r w:rsidR="00342BA2">
        <w:t>’</w:t>
      </w:r>
      <w:r w:rsidR="00905D4B">
        <w:t>échanger des exemples de réussite et des données d</w:t>
      </w:r>
      <w:r w:rsidR="00342BA2">
        <w:t>’</w:t>
      </w:r>
      <w:r w:rsidR="00905D4B">
        <w:t>expérience dans différents domaines de la propriété intellectuelle et de dialoguer avec les pairs en vue de créer un éventuel engagement de coopération ou des partenariats.</w:t>
      </w:r>
    </w:p>
    <w:p w:rsidR="00905D4B" w:rsidRPr="00D57747" w:rsidRDefault="00905D4B" w:rsidP="00D74416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</w:pPr>
      <w:r>
        <w:t>Une plateforme fournissant des informations consolidées et coordonnées sur les activités de l</w:t>
      </w:r>
      <w:r w:rsidR="00342BA2">
        <w:t>’</w:t>
      </w:r>
      <w:r>
        <w:t>OMPI dans le domaine de la coopération Sud</w:t>
      </w:r>
      <w:r w:rsidR="00142CBE">
        <w:noBreakHyphen/>
      </w:r>
      <w:r>
        <w:t>Sud, Nord</w:t>
      </w:r>
      <w:r w:rsidR="00142CBE">
        <w:noBreakHyphen/>
      </w:r>
      <w:r>
        <w:t>Sud et triangulaire.</w:t>
      </w:r>
    </w:p>
    <w:p w:rsidR="00342BA2" w:rsidRDefault="00905D4B" w:rsidP="00D74416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</w:pPr>
      <w:r>
        <w:t>Un réseau d</w:t>
      </w:r>
      <w:r w:rsidR="00342BA2">
        <w:t>’</w:t>
      </w:r>
      <w:r>
        <w:t xml:space="preserve">appui établi pour les </w:t>
      </w:r>
      <w:r w:rsidR="00701625">
        <w:t>mises en relation</w:t>
      </w:r>
      <w:r>
        <w:t xml:space="preserve"> dans le domaine de l</w:t>
      </w:r>
      <w:r w:rsidR="00342BA2">
        <w:t>’</w:t>
      </w:r>
      <w:r>
        <w:t>innovation et de la propriété intellectuelle facilité par l</w:t>
      </w:r>
      <w:r w:rsidR="00342BA2">
        <w:t>’</w:t>
      </w:r>
      <w:r>
        <w:t>OMPI.</w:t>
      </w:r>
    </w:p>
    <w:p w:rsidR="00342BA2" w:rsidRDefault="00905D4B" w:rsidP="00D74416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</w:pPr>
      <w:r>
        <w:t xml:space="preserve">Un mécanisme </w:t>
      </w:r>
      <w:r w:rsidR="00701625">
        <w:t>défini</w:t>
      </w:r>
      <w:r>
        <w:t xml:space="preserve"> pour impliquer toutes les parties prenantes dans de nouvelles initiatives et partenariats.</w:t>
      </w:r>
    </w:p>
    <w:p w:rsidR="00342BA2" w:rsidRDefault="00905D4B" w:rsidP="00D74416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</w:pPr>
      <w:r>
        <w:t xml:space="preserve">Un rôle mieux défini et renforcé </w:t>
      </w:r>
      <w:r w:rsidR="00701625">
        <w:t>pour</w:t>
      </w:r>
      <w:r>
        <w:t xml:space="preserve"> l</w:t>
      </w:r>
      <w:r w:rsidR="00342BA2">
        <w:t>’</w:t>
      </w:r>
      <w:r>
        <w:t>OMPI en tant que facilitateur de la coopération Sud</w:t>
      </w:r>
      <w:r w:rsidR="00142CBE">
        <w:noBreakHyphen/>
      </w:r>
      <w:r>
        <w:t>Sud, Nord</w:t>
      </w:r>
      <w:r w:rsidR="00142CBE">
        <w:noBreakHyphen/>
      </w:r>
      <w:r>
        <w:t>Sud et triangulaire.</w:t>
      </w:r>
    </w:p>
    <w:p w:rsidR="00D74416" w:rsidRDefault="00905D4B" w:rsidP="00D74416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</w:pPr>
      <w:r>
        <w:t>Un mécanisme amélioré pour la mise à jour régulière, l</w:t>
      </w:r>
      <w:r w:rsidR="00342BA2">
        <w:t>’</w:t>
      </w:r>
      <w:r>
        <w:t>amélioration et l</w:t>
      </w:r>
      <w:r w:rsidR="00342BA2">
        <w:t>’</w:t>
      </w:r>
      <w:r>
        <w:t>établissement de rapports sur les initiatives de coopération Sud</w:t>
      </w:r>
      <w:r w:rsidR="00142CBE">
        <w:noBreakHyphen/>
      </w:r>
      <w:r>
        <w:t>Sud, Nord</w:t>
      </w:r>
      <w:r w:rsidR="00142CBE">
        <w:noBreakHyphen/>
      </w:r>
      <w:r>
        <w:t>Sud et triangulaire.</w:t>
      </w:r>
    </w:p>
    <w:p w:rsidR="00D74416" w:rsidRDefault="00905D4B" w:rsidP="00D74416">
      <w:pPr>
        <w:pStyle w:val="ONUMFS"/>
      </w:pPr>
      <w:r>
        <w:t>Lors de l</w:t>
      </w:r>
      <w:r w:rsidR="00342BA2">
        <w:t>’</w:t>
      </w:r>
      <w:r>
        <w:t>élaboration du document détaillant les améliorations techniques à apporter à la plateforme WIPO Match et aux améliorations</w:t>
      </w:r>
      <w:r w:rsidR="001B5F5E">
        <w:t xml:space="preserve"> structurelles de l</w:t>
      </w:r>
      <w:r w:rsidR="00342BA2">
        <w:t>’</w:t>
      </w:r>
      <w:r w:rsidR="001B5F5E">
        <w:t>interface, l</w:t>
      </w:r>
      <w:r w:rsidR="00342BA2">
        <w:t>’</w:t>
      </w:r>
      <w:r>
        <w:t>OMPI prendra en considération les principes décrits dans la présente stratégie, les principales conclusions de l</w:t>
      </w:r>
      <w:r w:rsidR="00342BA2">
        <w:t>’</w:t>
      </w:r>
      <w:r>
        <w:t xml:space="preserve">évaluation </w:t>
      </w:r>
      <w:r w:rsidR="001B5F5E">
        <w:t>de WIPO Match par</w:t>
      </w:r>
      <w:r w:rsidR="00342BA2">
        <w:t xml:space="preserve"> la DSI</w:t>
      </w:r>
      <w:r>
        <w:t xml:space="preserve"> décrite au </w:t>
      </w:r>
      <w:r w:rsidR="00342BA2">
        <w:t>paragraphe 9</w:t>
      </w:r>
      <w:r>
        <w:t xml:space="preserve"> et les observations formulées </w:t>
      </w:r>
      <w:proofErr w:type="gramStart"/>
      <w:r>
        <w:t>par</w:t>
      </w:r>
      <w:proofErr w:type="gramEnd"/>
      <w:r>
        <w:t xml:space="preserve"> les États membres.</w:t>
      </w:r>
    </w:p>
    <w:p w:rsidR="00905D4B" w:rsidRPr="00D74416" w:rsidRDefault="00905D4B" w:rsidP="00D74416">
      <w:pPr>
        <w:pStyle w:val="ONUMFS"/>
        <w:ind w:left="5533"/>
        <w:rPr>
          <w:i/>
        </w:rPr>
      </w:pPr>
      <w:r w:rsidRPr="00D74416">
        <w:rPr>
          <w:i/>
        </w:rPr>
        <w:t>Le CDIP est invité à examiner les informations contenues dans le présent document.</w:t>
      </w:r>
    </w:p>
    <w:p w:rsidR="00274EE0" w:rsidRPr="00D74416" w:rsidRDefault="00905D4B" w:rsidP="00D74416">
      <w:pPr>
        <w:pStyle w:val="Endofdocument-Annex"/>
      </w:pPr>
      <w:r w:rsidRPr="00D74416">
        <w:t>[Fin du document]</w:t>
      </w:r>
    </w:p>
    <w:sectPr w:rsidR="00274EE0" w:rsidRPr="00D74416" w:rsidSect="00905D4B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D4B" w:rsidRDefault="00905D4B">
      <w:r>
        <w:separator/>
      </w:r>
    </w:p>
  </w:endnote>
  <w:endnote w:type="continuationSeparator" w:id="0">
    <w:p w:rsidR="00905D4B" w:rsidRPr="009D30E6" w:rsidRDefault="00905D4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05D4B" w:rsidRPr="009D30E6" w:rsidRDefault="00905D4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905D4B" w:rsidRPr="009D30E6" w:rsidRDefault="00905D4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D4B" w:rsidRDefault="00905D4B">
      <w:r>
        <w:separator/>
      </w:r>
    </w:p>
  </w:footnote>
  <w:footnote w:type="continuationSeparator" w:id="0">
    <w:p w:rsidR="00905D4B" w:rsidRDefault="00905D4B" w:rsidP="007461F1">
      <w:r>
        <w:separator/>
      </w:r>
    </w:p>
    <w:p w:rsidR="00905D4B" w:rsidRPr="009D30E6" w:rsidRDefault="00905D4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905D4B" w:rsidRPr="009D30E6" w:rsidRDefault="00905D4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671B31" w:rsidRDefault="00671B31" w:rsidP="00671B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E303F">
        <w:tab/>
        <w:t xml:space="preserve">Vous trouverez de plus amples </w:t>
      </w:r>
      <w:r>
        <w:t>information</w:t>
      </w:r>
      <w:r w:rsidR="002E303F">
        <w:t>s sur le projet relatif au Plan d</w:t>
      </w:r>
      <w:r w:rsidR="00B95672">
        <w:t>’</w:t>
      </w:r>
      <w:r w:rsidR="002E303F">
        <w:t>action pour le développement sur le r</w:t>
      </w:r>
      <w:r w:rsidR="002E303F" w:rsidRPr="00671B31">
        <w:t>enforcement de la coopération Sud</w:t>
      </w:r>
      <w:r w:rsidR="00D74416">
        <w:noBreakHyphen/>
      </w:r>
      <w:r w:rsidR="002E303F" w:rsidRPr="00671B31">
        <w:t xml:space="preserve">Sud dans le domaine de la propriété intellectuelle au service du développement parmi les pays en développement et </w:t>
      </w:r>
      <w:r w:rsidR="003B53C8">
        <w:t xml:space="preserve">les </w:t>
      </w:r>
      <w:r w:rsidR="002E303F">
        <w:t>PMA à l</w:t>
      </w:r>
      <w:r w:rsidR="00B95672">
        <w:t>’</w:t>
      </w:r>
      <w:r w:rsidR="002E303F">
        <w:t xml:space="preserve">adresse </w:t>
      </w:r>
      <w:hyperlink r:id="rId1" w:history="1">
        <w:r w:rsidRPr="00164A28">
          <w:rPr>
            <w:rStyle w:val="Hyperlink"/>
          </w:rPr>
          <w:t>https://dacatalogue.wipo.int/projects/DA_1_10_11_13_19_25_32_01</w:t>
        </w:r>
      </w:hyperlink>
      <w:r w:rsidR="00D74416">
        <w:t>.</w:t>
      </w:r>
    </w:p>
  </w:footnote>
  <w:footnote w:id="3">
    <w:p w:rsidR="002E303F" w:rsidRDefault="002E303F" w:rsidP="002E30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Le rapport d</w:t>
      </w:r>
      <w:r w:rsidR="00B95672">
        <w:t>’</w:t>
      </w:r>
      <w:r>
        <w:t>évaluation de</w:t>
      </w:r>
      <w:r w:rsidR="00B95672">
        <w:t xml:space="preserve"> la DSI</w:t>
      </w:r>
      <w:r>
        <w:t xml:space="preserve"> est disponible à l</w:t>
      </w:r>
      <w:r w:rsidR="00B95672">
        <w:t>’</w:t>
      </w:r>
      <w:r>
        <w:t xml:space="preserve">adresse </w:t>
      </w:r>
      <w:hyperlink r:id="rId2" w:history="1">
        <w:r w:rsidRPr="00047FB6">
          <w:rPr>
            <w:rStyle w:val="Hyperlink"/>
          </w:rPr>
          <w:t>https://www.wipo.int/</w:t>
        </w:r>
        <w:r w:rsidRPr="00047FB6">
          <w:rPr>
            <w:rStyle w:val="Hyperlink"/>
          </w:rPr>
          <w:t>e</w:t>
        </w:r>
        <w:r w:rsidRPr="00047FB6">
          <w:rPr>
            <w:rStyle w:val="Hyperlink"/>
          </w:rPr>
          <w:t>xport/sites/www/about</w:t>
        </w:r>
        <w:r w:rsidR="00D74416">
          <w:rPr>
            <w:rStyle w:val="Hyperlink"/>
          </w:rPr>
          <w:noBreakHyphen/>
        </w:r>
        <w:r w:rsidRPr="00047FB6">
          <w:rPr>
            <w:rStyle w:val="Hyperlink"/>
          </w:rPr>
          <w:t>wipo/en/oversight/iaod/evaluation/pdf/210617_report_evaluation_of_wipo_match_for_publication.pdf</w:t>
        </w:r>
      </w:hyperlink>
      <w:r w:rsidR="00D74416">
        <w:t>.</w:t>
      </w:r>
    </w:p>
  </w:footnote>
  <w:footnote w:id="4">
    <w:p w:rsidR="0063292A" w:rsidRDefault="0063292A" w:rsidP="0063292A">
      <w:pPr>
        <w:pStyle w:val="FootnoteText"/>
      </w:pPr>
      <w:r>
        <w:rPr>
          <w:rStyle w:val="FootnoteReference"/>
        </w:rPr>
        <w:footnoteRef/>
      </w:r>
      <w:r w:rsidR="0049710B">
        <w:t xml:space="preserve"> </w:t>
      </w:r>
      <w:r w:rsidR="0049710B">
        <w:tab/>
        <w:t>L</w:t>
      </w:r>
      <w:r>
        <w:t xml:space="preserve">e </w:t>
      </w:r>
      <w:r w:rsidR="0049710B" w:rsidRPr="0063292A">
        <w:t>Rapport sur la performance de l</w:t>
      </w:r>
      <w:r w:rsidR="00B95672">
        <w:t>’</w:t>
      </w:r>
      <w:r w:rsidR="0049710B" w:rsidRPr="0063292A">
        <w:t>OMPI</w:t>
      </w:r>
      <w:r w:rsidR="0049710B">
        <w:t xml:space="preserve"> </w:t>
      </w:r>
      <w:r w:rsidR="00B95672">
        <w:t>en 2018</w:t>
      </w:r>
      <w:r w:rsidR="00D74416">
        <w:noBreakHyphen/>
      </w:r>
      <w:r w:rsidR="0049710B">
        <w:t>2019 est disponible à l</w:t>
      </w:r>
      <w:r w:rsidR="00B95672">
        <w:t>’</w:t>
      </w:r>
      <w:r w:rsidR="0049710B">
        <w:t xml:space="preserve">adresse </w:t>
      </w:r>
      <w:hyperlink r:id="rId3" w:history="1">
        <w:r>
          <w:rPr>
            <w:rStyle w:val="Hyperlink"/>
          </w:rPr>
          <w:t>https://www.wipo.int/meetings/fr/doc_details.jsp?doc_id=506751</w:t>
        </w:r>
      </w:hyperlink>
      <w:r w:rsidR="00D74416">
        <w:t>.</w:t>
      </w:r>
    </w:p>
  </w:footnote>
  <w:footnote w:id="5">
    <w:p w:rsidR="0049710B" w:rsidRDefault="0049710B" w:rsidP="004971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B95672">
        <w:t>Paragraphe 9</w:t>
      </w:r>
      <w:r>
        <w:t>1 de l</w:t>
      </w:r>
      <w:r w:rsidR="00B95672">
        <w:t>’</w:t>
      </w:r>
      <w:r w:rsidR="003B53C8">
        <w:t>é</w:t>
      </w:r>
      <w:r>
        <w:t>valuation de WIPO</w:t>
      </w:r>
      <w:r w:rsidR="00540700">
        <w:t> </w:t>
      </w:r>
      <w:r>
        <w:t>Match, disponible</w:t>
      </w:r>
      <w:r w:rsidR="003B53C8">
        <w:t xml:space="preserve"> (en anglais)</w:t>
      </w:r>
      <w:r>
        <w:t xml:space="preserve"> à l</w:t>
      </w:r>
      <w:r w:rsidR="00B95672">
        <w:t>’</w:t>
      </w:r>
      <w:r>
        <w:t xml:space="preserve">adresse </w:t>
      </w:r>
      <w:hyperlink r:id="rId4" w:history="1">
        <w:r w:rsidRPr="00587F53">
          <w:rPr>
            <w:rStyle w:val="Hyperlink"/>
          </w:rPr>
          <w:t>https://www.wipo.int/export/sites/www/about</w:t>
        </w:r>
        <w:r w:rsidR="00D74416">
          <w:rPr>
            <w:rStyle w:val="Hyperlink"/>
          </w:rPr>
          <w:noBreakHyphen/>
        </w:r>
        <w:r w:rsidRPr="00587F53">
          <w:rPr>
            <w:rStyle w:val="Hyperlink"/>
          </w:rPr>
          <w:t>wipo/en/oversight/iaod/evaluation/pdf/210617_report_evaluation_of_wipo_match_for_publication.pdf</w:t>
        </w:r>
      </w:hyperlink>
      <w:r w:rsidR="00D74416">
        <w:t>.</w:t>
      </w:r>
    </w:p>
  </w:footnote>
  <w:footnote w:id="6">
    <w:p w:rsidR="0049710B" w:rsidRDefault="0049710B" w:rsidP="004971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E6650">
        <w:tab/>
        <w:t>La cartographie des activités de coopération Sud</w:t>
      </w:r>
      <w:r w:rsidR="00D74416">
        <w:noBreakHyphen/>
      </w:r>
      <w:r w:rsidR="008E6650">
        <w:t>Sud fa</w:t>
      </w:r>
      <w:r w:rsidR="00BB7B91">
        <w:t xml:space="preserve">cilitées </w:t>
      </w:r>
      <w:r w:rsidR="008E6650">
        <w:t>par l</w:t>
      </w:r>
      <w:r w:rsidR="00B95672">
        <w:t>’</w:t>
      </w:r>
      <w:r w:rsidR="008E6650">
        <w:t xml:space="preserve">OMPI </w:t>
      </w:r>
      <w:r w:rsidR="00B95672">
        <w:t>en 2019</w:t>
      </w:r>
      <w:r>
        <w:t xml:space="preserve"> </w:t>
      </w:r>
      <w:r w:rsidR="008E6650">
        <w:t>est disponible à l</w:t>
      </w:r>
      <w:r w:rsidR="00B95672">
        <w:t>’</w:t>
      </w:r>
      <w:r w:rsidR="008E6650">
        <w:t xml:space="preserve">adresse </w:t>
      </w:r>
      <w:hyperlink r:id="rId5" w:history="1">
        <w:r w:rsidRPr="00164A28">
          <w:rPr>
            <w:rStyle w:val="Hyperlink"/>
          </w:rPr>
          <w:t>https://www.wipo.int/export/sites/www/cooperation/en/south_south/docs/mapping_activities_2019.pdf</w:t>
        </w:r>
      </w:hyperlink>
      <w:r>
        <w:t xml:space="preserve"> </w:t>
      </w:r>
    </w:p>
  </w:footnote>
  <w:footnote w:id="7">
    <w:p w:rsidR="007B5639" w:rsidRDefault="007B5639" w:rsidP="007B56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9269B">
        <w:tab/>
        <w:t>Le Plan stratégique à moyen terme de l</w:t>
      </w:r>
      <w:r w:rsidR="00B95672">
        <w:t>’</w:t>
      </w:r>
      <w:r w:rsidR="00B9269B">
        <w:t xml:space="preserve">OMPI </w:t>
      </w:r>
      <w:r w:rsidR="00B95672">
        <w:t>pour 2022</w:t>
      </w:r>
      <w:r w:rsidR="00D74416">
        <w:noBreakHyphen/>
      </w:r>
      <w:r w:rsidR="00B9269B">
        <w:t>2026 est disponible à l</w:t>
      </w:r>
      <w:r w:rsidR="00B95672">
        <w:t>’</w:t>
      </w:r>
      <w:r w:rsidR="00B9269B">
        <w:t xml:space="preserve">adresse </w:t>
      </w:r>
      <w:hyperlink r:id="rId6" w:history="1">
        <w:r w:rsidRPr="00164A28">
          <w:rPr>
            <w:rStyle w:val="Hyperlink"/>
          </w:rPr>
          <w:t>https://www.wipo.int/meetings/en/doc_details.jsp?doc_id=541373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905D4B" w:rsidP="00477D6B">
    <w:pPr>
      <w:jc w:val="right"/>
      <w:rPr>
        <w:caps/>
      </w:rPr>
    </w:pPr>
    <w:bookmarkStart w:id="6" w:name="Code2"/>
    <w:bookmarkEnd w:id="6"/>
    <w:r>
      <w:rPr>
        <w:caps/>
      </w:rPr>
      <w:t>CDIP/28/5</w:t>
    </w:r>
  </w:p>
  <w:p w:rsidR="00574036" w:rsidRDefault="00F16975" w:rsidP="00D74416">
    <w:pPr>
      <w:spacing w:after="480"/>
      <w:jc w:val="right"/>
    </w:pPr>
    <w:r>
      <w:t>page</w:t>
    </w:r>
    <w:r w:rsidR="0054070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142CB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0A382C"/>
    <w:multiLevelType w:val="hybridMultilevel"/>
    <w:tmpl w:val="0E10EC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53E95"/>
    <w:multiLevelType w:val="hybridMultilevel"/>
    <w:tmpl w:val="5C64C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926174"/>
    <w:multiLevelType w:val="multilevel"/>
    <w:tmpl w:val="EF8458D0"/>
    <w:lvl w:ilvl="0">
      <w:start w:val="1"/>
      <w:numFmt w:val="bullet"/>
      <w:lvlText w:val="•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3E5648A"/>
    <w:multiLevelType w:val="hybridMultilevel"/>
    <w:tmpl w:val="E0AA6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D2480D"/>
    <w:multiLevelType w:val="hybridMultilevel"/>
    <w:tmpl w:val="03CAB64E"/>
    <w:lvl w:ilvl="0" w:tplc="5018F976">
      <w:start w:val="1"/>
      <w:numFmt w:val="upperRoman"/>
      <w:pStyle w:val="Heading2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026870"/>
    <w:multiLevelType w:val="hybridMultilevel"/>
    <w:tmpl w:val="087AAFF8"/>
    <w:lvl w:ilvl="0" w:tplc="FE780BF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50E06"/>
    <w:multiLevelType w:val="multilevel"/>
    <w:tmpl w:val="6C4E7936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66E36381"/>
    <w:multiLevelType w:val="hybridMultilevel"/>
    <w:tmpl w:val="E9EC9F88"/>
    <w:lvl w:ilvl="0" w:tplc="CC62426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D14FB"/>
    <w:multiLevelType w:val="hybridMultilevel"/>
    <w:tmpl w:val="BA12E572"/>
    <w:lvl w:ilvl="0" w:tplc="DC82E00C">
      <w:start w:val="1"/>
      <w:numFmt w:val="upperRoman"/>
      <w:lvlText w:val="%1."/>
      <w:lvlJc w:val="left"/>
      <w:pPr>
        <w:ind w:left="872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2"/>
  </w:num>
  <w:num w:numId="8">
    <w:abstractNumId w:val="14"/>
  </w:num>
  <w:num w:numId="9">
    <w:abstractNumId w:val="3"/>
  </w:num>
  <w:num w:numId="10">
    <w:abstractNumId w:val="7"/>
  </w:num>
  <w:num w:numId="11">
    <w:abstractNumId w:val="11"/>
  </w:num>
  <w:num w:numId="12">
    <w:abstractNumId w:val="9"/>
  </w:num>
  <w:num w:numId="13">
    <w:abstractNumId w:val="13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4B"/>
    <w:rsid w:val="00011B7D"/>
    <w:rsid w:val="00075432"/>
    <w:rsid w:val="0009458A"/>
    <w:rsid w:val="000F5E56"/>
    <w:rsid w:val="00104CEB"/>
    <w:rsid w:val="00107C33"/>
    <w:rsid w:val="001362EE"/>
    <w:rsid w:val="00142CBE"/>
    <w:rsid w:val="00150368"/>
    <w:rsid w:val="00156683"/>
    <w:rsid w:val="001832A6"/>
    <w:rsid w:val="00195C6E"/>
    <w:rsid w:val="001B266A"/>
    <w:rsid w:val="001B488E"/>
    <w:rsid w:val="001B5F5E"/>
    <w:rsid w:val="001C2483"/>
    <w:rsid w:val="001C6508"/>
    <w:rsid w:val="001D3D56"/>
    <w:rsid w:val="001F3D60"/>
    <w:rsid w:val="00240654"/>
    <w:rsid w:val="0025540C"/>
    <w:rsid w:val="002634C4"/>
    <w:rsid w:val="00274EE0"/>
    <w:rsid w:val="002956DE"/>
    <w:rsid w:val="002E303F"/>
    <w:rsid w:val="002E4D1A"/>
    <w:rsid w:val="002F16BC"/>
    <w:rsid w:val="002F4E68"/>
    <w:rsid w:val="00322C0B"/>
    <w:rsid w:val="00342BA2"/>
    <w:rsid w:val="00381798"/>
    <w:rsid w:val="003845C1"/>
    <w:rsid w:val="003A67A3"/>
    <w:rsid w:val="003B53C8"/>
    <w:rsid w:val="004008A2"/>
    <w:rsid w:val="004025DF"/>
    <w:rsid w:val="0040540C"/>
    <w:rsid w:val="00423E3E"/>
    <w:rsid w:val="00427AF4"/>
    <w:rsid w:val="004647DA"/>
    <w:rsid w:val="00477D6B"/>
    <w:rsid w:val="0049657E"/>
    <w:rsid w:val="0049710B"/>
    <w:rsid w:val="004D48F2"/>
    <w:rsid w:val="004D6471"/>
    <w:rsid w:val="0051455D"/>
    <w:rsid w:val="00525B63"/>
    <w:rsid w:val="00525E59"/>
    <w:rsid w:val="00540700"/>
    <w:rsid w:val="00541348"/>
    <w:rsid w:val="005421DD"/>
    <w:rsid w:val="00554FA5"/>
    <w:rsid w:val="00564044"/>
    <w:rsid w:val="00567A4C"/>
    <w:rsid w:val="00574036"/>
    <w:rsid w:val="00595F07"/>
    <w:rsid w:val="005E6516"/>
    <w:rsid w:val="00605827"/>
    <w:rsid w:val="00616671"/>
    <w:rsid w:val="0063292A"/>
    <w:rsid w:val="00633A38"/>
    <w:rsid w:val="00671B31"/>
    <w:rsid w:val="006B0DB5"/>
    <w:rsid w:val="006B178C"/>
    <w:rsid w:val="00701625"/>
    <w:rsid w:val="007461F1"/>
    <w:rsid w:val="007B5639"/>
    <w:rsid w:val="007C6F2C"/>
    <w:rsid w:val="007D6961"/>
    <w:rsid w:val="007F07CB"/>
    <w:rsid w:val="00800ECC"/>
    <w:rsid w:val="00810CEF"/>
    <w:rsid w:val="0081208D"/>
    <w:rsid w:val="00841F8A"/>
    <w:rsid w:val="008539BC"/>
    <w:rsid w:val="008553FA"/>
    <w:rsid w:val="008B2CC1"/>
    <w:rsid w:val="008E6650"/>
    <w:rsid w:val="008E7930"/>
    <w:rsid w:val="008F3B35"/>
    <w:rsid w:val="00905D4B"/>
    <w:rsid w:val="0090731E"/>
    <w:rsid w:val="00966A22"/>
    <w:rsid w:val="00974CD6"/>
    <w:rsid w:val="009D30E6"/>
    <w:rsid w:val="009E3F6F"/>
    <w:rsid w:val="009E7475"/>
    <w:rsid w:val="009F499F"/>
    <w:rsid w:val="00A11D74"/>
    <w:rsid w:val="00AC0AE4"/>
    <w:rsid w:val="00AD61DB"/>
    <w:rsid w:val="00B1090C"/>
    <w:rsid w:val="00B35AF5"/>
    <w:rsid w:val="00B45C15"/>
    <w:rsid w:val="00B9269B"/>
    <w:rsid w:val="00B95672"/>
    <w:rsid w:val="00BB7B91"/>
    <w:rsid w:val="00BE0BE0"/>
    <w:rsid w:val="00C664C8"/>
    <w:rsid w:val="00CA3CE2"/>
    <w:rsid w:val="00CF0460"/>
    <w:rsid w:val="00D32145"/>
    <w:rsid w:val="00D43E0F"/>
    <w:rsid w:val="00D45252"/>
    <w:rsid w:val="00D70184"/>
    <w:rsid w:val="00D71B4D"/>
    <w:rsid w:val="00D74416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249C"/>
    <w:rsid w:val="00EE71CB"/>
    <w:rsid w:val="00EF1627"/>
    <w:rsid w:val="00F16975"/>
    <w:rsid w:val="00F63A13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66AF04"/>
  <w15:docId w15:val="{19B660F8-47AD-41F2-9E1B-D7FB3540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74416"/>
    <w:pPr>
      <w:keepNext/>
      <w:numPr>
        <w:numId w:val="12"/>
      </w:numPr>
      <w:spacing w:before="480" w:after="240"/>
      <w:ind w:left="567" w:hanging="567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74416"/>
    <w:pPr>
      <w:keepNext/>
      <w:numPr>
        <w:numId w:val="13"/>
      </w:numPr>
      <w:spacing w:before="240" w:after="240"/>
      <w:ind w:left="1134" w:hanging="567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74416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905D4B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unhideWhenUsed/>
    <w:rsid w:val="00633A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633A38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671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wipo-match/fr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fr/doc_details.jsp?doc_id=128801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meetings/fr/doc_details.jsp?doc_id=506751" TargetMode="External"/><Relationship Id="rId2" Type="http://schemas.openxmlformats.org/officeDocument/2006/relationships/hyperlink" Target="https://www.wipo.int/export/sites/www/about-wipo/en/oversight/iaod/evaluation/pdf/210617_report_evaluation_of_wipo_match_for_publication.pdf" TargetMode="External"/><Relationship Id="rId1" Type="http://schemas.openxmlformats.org/officeDocument/2006/relationships/hyperlink" Target="https://dacatalogue.wipo.int/projects/DA_1_10_11_13_19_25_32_01" TargetMode="External"/><Relationship Id="rId6" Type="http://schemas.openxmlformats.org/officeDocument/2006/relationships/hyperlink" Target="https://www.wipo.int/meetings/en/doc_details.jsp?doc_id=541373" TargetMode="External"/><Relationship Id="rId5" Type="http://schemas.openxmlformats.org/officeDocument/2006/relationships/hyperlink" Target="https://www.wipo.int/export/sites/www/cooperation/en/south_south/docs/mapping_activities_2019.pdf" TargetMode="External"/><Relationship Id="rId4" Type="http://schemas.openxmlformats.org/officeDocument/2006/relationships/hyperlink" Target="https://www.wipo.int/export/sites/www/about-wipo/en/oversight/iaod/evaluation/pdf/210617_report_evaluation_of_wipo_match_for_publicatio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_2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4CB59-205E-485E-92E1-D204D4C4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CDIP_28 (F).dotm</Template>
  <TotalTime>296</TotalTime>
  <Pages>5</Pages>
  <Words>2090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CDIP/28/</vt:lpstr>
    </vt:vector>
  </TitlesOfParts>
  <Company>WIPO</Company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CDIP/28/</dc:title>
  <dc:creator>BAILLY Delphine</dc:creator>
  <cp:keywords>FOR OFFICIAL USE ONLY</cp:keywords>
  <cp:lastModifiedBy>OLIVIÉ Karen</cp:lastModifiedBy>
  <cp:revision>24</cp:revision>
  <cp:lastPrinted>2011-05-19T12:37:00Z</cp:lastPrinted>
  <dcterms:created xsi:type="dcterms:W3CDTF">2022-04-05T09:35:00Z</dcterms:created>
  <dcterms:modified xsi:type="dcterms:W3CDTF">2022-04-06T07:26:00Z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7139dc7e-b8e5-4d95-94b7-53c07fbf7ad1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