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7C6F2C">
      <w:pPr>
        <w:pBdr>
          <w:bottom w:val="single" w:sz="4" w:space="11" w:color="auto"/>
        </w:pBdr>
        <w:spacing w:after="120"/>
        <w:jc w:val="right"/>
      </w:pPr>
      <w:bookmarkStart w:id="0" w:name="_GoBack"/>
      <w:bookmarkEnd w:id="0"/>
      <w:r>
        <w:rPr>
          <w:noProof/>
          <w:lang w:eastAsia="fr-CH"/>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800ECC" w:rsidP="0040540C">
      <w:pPr>
        <w:jc w:val="right"/>
        <w:rPr>
          <w:rFonts w:ascii="Arial Black" w:hAnsi="Arial Black"/>
          <w:caps/>
          <w:sz w:val="15"/>
        </w:rPr>
      </w:pPr>
      <w:r w:rsidRPr="00B31DEE">
        <w:rPr>
          <w:rFonts w:ascii="Arial Black" w:hAnsi="Arial Black"/>
          <w:caps/>
          <w:sz w:val="15"/>
          <w:lang w:val="fr-FR"/>
        </w:rPr>
        <w:t>CDIP/</w:t>
      </w:r>
      <w:r w:rsidR="007C6F2C">
        <w:rPr>
          <w:rFonts w:ascii="Arial Black" w:hAnsi="Arial Black"/>
          <w:caps/>
          <w:sz w:val="15"/>
          <w:lang w:val="fr-FR"/>
        </w:rPr>
        <w:t>26</w:t>
      </w:r>
      <w:r w:rsidRPr="00B31DEE">
        <w:rPr>
          <w:rFonts w:ascii="Arial Black" w:hAnsi="Arial Black"/>
          <w:caps/>
          <w:sz w:val="15"/>
          <w:lang w:val="fr-FR"/>
        </w:rPr>
        <w:t>/</w:t>
      </w:r>
      <w:bookmarkStart w:id="1" w:name="Code"/>
      <w:r w:rsidR="004B453B">
        <w:rPr>
          <w:rFonts w:ascii="Arial Black" w:hAnsi="Arial Black"/>
          <w:caps/>
          <w:sz w:val="15"/>
        </w:rPr>
        <w:t>7</w:t>
      </w:r>
    </w:p>
    <w:bookmarkEnd w:id="1"/>
    <w:p w:rsidR="008B2CC1" w:rsidRPr="0040540C" w:rsidRDefault="00B1090C" w:rsidP="0040540C">
      <w:pPr>
        <w:jc w:val="right"/>
      </w:pPr>
      <w:r w:rsidRPr="0090731E">
        <w:rPr>
          <w:rFonts w:ascii="Arial Black" w:hAnsi="Arial Black"/>
          <w:caps/>
          <w:sz w:val="15"/>
        </w:rPr>
        <w:t>ORIGINAL</w:t>
      </w:r>
      <w:r w:rsidR="00061FE0">
        <w:rPr>
          <w:rFonts w:ascii="Arial Black" w:hAnsi="Arial Black"/>
          <w:caps/>
          <w:sz w:val="15"/>
        </w:rPr>
        <w:t> :</w:t>
      </w:r>
      <w:r w:rsidR="002956DE">
        <w:rPr>
          <w:rFonts w:ascii="Arial Black" w:hAnsi="Arial Black"/>
          <w:caps/>
          <w:sz w:val="15"/>
        </w:rPr>
        <w:t xml:space="preserve"> </w:t>
      </w:r>
      <w:bookmarkStart w:id="2" w:name="Original"/>
      <w:r w:rsidR="004B453B">
        <w:rPr>
          <w:rFonts w:ascii="Arial Black" w:hAnsi="Arial Black"/>
          <w:caps/>
          <w:sz w:val="15"/>
        </w:rPr>
        <w:t>anglais</w:t>
      </w:r>
    </w:p>
    <w:bookmarkEnd w:id="2"/>
    <w:p w:rsidR="008B2CC1" w:rsidRPr="0040540C" w:rsidRDefault="00B1090C" w:rsidP="00B1090C">
      <w:pPr>
        <w:spacing w:after="1200"/>
        <w:jc w:val="right"/>
      </w:pPr>
      <w:r w:rsidRPr="0090731E">
        <w:rPr>
          <w:rFonts w:ascii="Arial Black" w:hAnsi="Arial Black"/>
          <w:caps/>
          <w:sz w:val="15"/>
        </w:rPr>
        <w:t>DATE</w:t>
      </w:r>
      <w:r w:rsidR="00061FE0">
        <w:rPr>
          <w:rFonts w:ascii="Arial Black" w:hAnsi="Arial Black"/>
          <w:caps/>
          <w:sz w:val="15"/>
        </w:rPr>
        <w:t> :</w:t>
      </w:r>
      <w:r w:rsidR="002956DE">
        <w:rPr>
          <w:rFonts w:ascii="Arial Black" w:hAnsi="Arial Black"/>
          <w:caps/>
          <w:sz w:val="15"/>
        </w:rPr>
        <w:t xml:space="preserve"> </w:t>
      </w:r>
      <w:bookmarkStart w:id="3" w:name="Date"/>
      <w:r w:rsidR="004B453B">
        <w:rPr>
          <w:rFonts w:ascii="Arial Black" w:hAnsi="Arial Black"/>
          <w:caps/>
          <w:sz w:val="15"/>
        </w:rPr>
        <w:t>2</w:t>
      </w:r>
      <w:r w:rsidR="00FC7ABF">
        <w:rPr>
          <w:rFonts w:ascii="Arial Black" w:hAnsi="Arial Black"/>
          <w:caps/>
          <w:sz w:val="15"/>
        </w:rPr>
        <w:t>5 mai 20</w:t>
      </w:r>
      <w:r w:rsidR="004B453B">
        <w:rPr>
          <w:rFonts w:ascii="Arial Black" w:hAnsi="Arial Black"/>
          <w:caps/>
          <w:sz w:val="15"/>
        </w:rPr>
        <w:t>21</w:t>
      </w:r>
    </w:p>
    <w:bookmarkEnd w:id="3"/>
    <w:p w:rsidR="003845C1" w:rsidRPr="008617FA" w:rsidRDefault="00800ECC" w:rsidP="008617FA">
      <w:pPr>
        <w:spacing w:after="480"/>
        <w:rPr>
          <w:b/>
          <w:sz w:val="28"/>
        </w:rPr>
      </w:pPr>
      <w:r w:rsidRPr="008617FA">
        <w:rPr>
          <w:b/>
          <w:sz w:val="28"/>
          <w:lang w:val="fr-FR"/>
        </w:rPr>
        <w:t>Comité du développement et de la propriété intellectuelle (CDIP)</w:t>
      </w:r>
    </w:p>
    <w:p w:rsidR="007C6F2C" w:rsidRDefault="007C6F2C" w:rsidP="007C6F2C">
      <w:pPr>
        <w:spacing w:after="720"/>
        <w:outlineLvl w:val="1"/>
        <w:rPr>
          <w:b/>
          <w:sz w:val="24"/>
          <w:szCs w:val="24"/>
        </w:rPr>
      </w:pPr>
      <w:r>
        <w:rPr>
          <w:b/>
          <w:sz w:val="24"/>
          <w:szCs w:val="24"/>
          <w:lang w:val="fr-FR"/>
        </w:rPr>
        <w:t>Vingt</w:t>
      </w:r>
      <w:r w:rsidR="000534CE">
        <w:rPr>
          <w:b/>
          <w:sz w:val="24"/>
          <w:szCs w:val="24"/>
          <w:lang w:val="fr-FR"/>
        </w:rPr>
        <w:noBreakHyphen/>
      </w:r>
      <w:r>
        <w:rPr>
          <w:b/>
          <w:sz w:val="24"/>
          <w:szCs w:val="24"/>
          <w:lang w:val="fr-FR"/>
        </w:rPr>
        <w:t>six</w:t>
      </w:r>
      <w:r w:rsidR="00061FE0">
        <w:rPr>
          <w:b/>
          <w:sz w:val="24"/>
          <w:szCs w:val="24"/>
          <w:lang w:val="fr-FR"/>
        </w:rPr>
        <w:t>ième session</w:t>
      </w:r>
      <w:r>
        <w:rPr>
          <w:b/>
          <w:sz w:val="24"/>
          <w:szCs w:val="24"/>
        </w:rPr>
        <w:br/>
      </w:r>
      <w:r>
        <w:rPr>
          <w:b/>
          <w:sz w:val="24"/>
          <w:szCs w:val="24"/>
          <w:lang w:val="fr-FR"/>
        </w:rPr>
        <w:t xml:space="preserve">Genève, </w:t>
      </w:r>
      <w:r>
        <w:rPr>
          <w:b/>
          <w:bCs/>
          <w:sz w:val="24"/>
          <w:szCs w:val="24"/>
        </w:rPr>
        <w:t>26 – 3</w:t>
      </w:r>
      <w:r w:rsidR="00FC7ABF">
        <w:rPr>
          <w:b/>
          <w:bCs/>
          <w:sz w:val="24"/>
          <w:szCs w:val="24"/>
        </w:rPr>
        <w:t>0 juillet 20</w:t>
      </w:r>
      <w:r>
        <w:rPr>
          <w:b/>
          <w:bCs/>
          <w:sz w:val="24"/>
          <w:szCs w:val="24"/>
        </w:rPr>
        <w:t>21</w:t>
      </w:r>
    </w:p>
    <w:p w:rsidR="008B2CC1" w:rsidRPr="009767B3" w:rsidRDefault="009767B3" w:rsidP="00150368">
      <w:pPr>
        <w:spacing w:after="360"/>
        <w:outlineLvl w:val="1"/>
        <w:rPr>
          <w:caps/>
          <w:sz w:val="24"/>
        </w:rPr>
      </w:pPr>
      <w:bookmarkStart w:id="4" w:name="TitleOfDoc"/>
      <w:bookmarkEnd w:id="4"/>
      <w:r w:rsidRPr="009767B3">
        <w:rPr>
          <w:caps/>
          <w:sz w:val="24"/>
        </w:rPr>
        <w:t>Rapport sur les femmes et la propriété intellectuelle</w:t>
      </w:r>
      <w:r w:rsidR="00061FE0">
        <w:rPr>
          <w:caps/>
          <w:sz w:val="24"/>
        </w:rPr>
        <w:t> :</w:t>
      </w:r>
      <w:r w:rsidRPr="009767B3">
        <w:rPr>
          <w:caps/>
          <w:sz w:val="24"/>
        </w:rPr>
        <w:t xml:space="preserve"> compilation et partage de données</w:t>
      </w:r>
    </w:p>
    <w:p w:rsidR="008B2CC1" w:rsidRDefault="004B453B" w:rsidP="00B1090C">
      <w:pPr>
        <w:spacing w:after="1040"/>
        <w:rPr>
          <w:i/>
        </w:rPr>
      </w:pPr>
      <w:bookmarkStart w:id="5" w:name="Prepared"/>
      <w:bookmarkEnd w:id="5"/>
      <w:r w:rsidRPr="004B453B">
        <w:rPr>
          <w:i/>
        </w:rPr>
        <w:t>Document établi par le Secrétariat</w:t>
      </w:r>
    </w:p>
    <w:p w:rsidR="00FC7ABF" w:rsidRDefault="004B453B" w:rsidP="0002634D">
      <w:pPr>
        <w:pStyle w:val="ONUMFS"/>
      </w:pPr>
      <w:r>
        <w:t>À sa vingt</w:t>
      </w:r>
      <w:r w:rsidR="000534CE">
        <w:noBreakHyphen/>
      </w:r>
      <w:r>
        <w:t>deux</w:t>
      </w:r>
      <w:r w:rsidR="00061FE0">
        <w:t>ième session</w:t>
      </w:r>
      <w:r>
        <w:t xml:space="preserve"> tenue du 19</w:t>
      </w:r>
      <w:r w:rsidR="008617FA">
        <w:t> </w:t>
      </w:r>
      <w:r>
        <w:t>au</w:t>
      </w:r>
      <w:r w:rsidR="008617FA">
        <w:t> </w:t>
      </w:r>
      <w:r>
        <w:t>2</w:t>
      </w:r>
      <w:r w:rsidR="00FC7ABF">
        <w:t>3 novembre 20</w:t>
      </w:r>
      <w:r>
        <w:t>18, lors de l</w:t>
      </w:r>
      <w:r w:rsidR="00061FE0">
        <w:t>’</w:t>
      </w:r>
      <w:r>
        <w:t xml:space="preserve">examen du thème </w:t>
      </w:r>
      <w:r w:rsidR="00FC7ABF">
        <w:t>“</w:t>
      </w:r>
      <w:r>
        <w:t>Femmes et propriété intellectuelle</w:t>
      </w:r>
      <w:r w:rsidR="00FC7ABF">
        <w:t>”</w:t>
      </w:r>
      <w:r>
        <w:t xml:space="preserve"> au titre du point de l</w:t>
      </w:r>
      <w:r w:rsidR="00061FE0">
        <w:t>’</w:t>
      </w:r>
      <w:r>
        <w:t xml:space="preserve">ordre du jour intitulé </w:t>
      </w:r>
      <w:r w:rsidR="00FC7ABF">
        <w:t>“</w:t>
      </w:r>
      <w:r>
        <w:t>Propriété intellectuelle et développement</w:t>
      </w:r>
      <w:r w:rsidR="00FC7ABF">
        <w:t>”</w:t>
      </w:r>
      <w:r>
        <w:t>, le Comité du développement et de la propriété intellectuelle (CDIP) a pris la décision suivante</w:t>
      </w:r>
      <w:r w:rsidR="00061FE0">
        <w:t> :</w:t>
      </w:r>
    </w:p>
    <w:p w:rsidR="004B453B" w:rsidRPr="00C152AF" w:rsidRDefault="004B453B" w:rsidP="00C152AF">
      <w:pPr>
        <w:pStyle w:val="ListParagraph"/>
        <w:spacing w:after="220"/>
        <w:ind w:left="567"/>
        <w:rPr>
          <w:i/>
          <w:iCs/>
        </w:rPr>
      </w:pPr>
      <w:r w:rsidRPr="00C152AF">
        <w:rPr>
          <w:i/>
          <w:iCs/>
        </w:rPr>
        <w:t>“Le comité a examiné le document CDIP/22/16</w:t>
      </w:r>
      <w:r w:rsidR="001F788B" w:rsidRPr="00C152AF">
        <w:rPr>
          <w:i/>
          <w:iCs/>
        </w:rPr>
        <w:t> </w:t>
      </w:r>
      <w:r w:rsidRPr="00C152AF">
        <w:rPr>
          <w:i/>
          <w:iCs/>
        </w:rPr>
        <w:t xml:space="preserve">Rev.2 et a adopté une proposition présentée par le Mexique sur </w:t>
      </w:r>
      <w:r w:rsidR="00FC7ABF" w:rsidRPr="00C152AF">
        <w:rPr>
          <w:i/>
          <w:iCs/>
        </w:rPr>
        <w:t>“</w:t>
      </w:r>
      <w:r w:rsidRPr="00C152AF">
        <w:rPr>
          <w:i/>
          <w:iCs/>
        </w:rPr>
        <w:t>Les femmes et la propriété intellectuelle</w:t>
      </w:r>
      <w:r w:rsidR="00FC7ABF" w:rsidRPr="00C152AF">
        <w:rPr>
          <w:i/>
          <w:iCs/>
        </w:rPr>
        <w:t>”</w:t>
      </w:r>
      <w:r w:rsidRPr="00C152AF">
        <w:rPr>
          <w:i/>
          <w:iCs/>
        </w:rPr>
        <w:t>, qui est reproduite dans l</w:t>
      </w:r>
      <w:r w:rsidR="00061FE0">
        <w:rPr>
          <w:i/>
          <w:iCs/>
        </w:rPr>
        <w:t>’</w:t>
      </w:r>
      <w:r w:rsidRPr="00C152AF">
        <w:rPr>
          <w:i/>
          <w:iCs/>
        </w:rPr>
        <w:t>annexe de ce docume</w:t>
      </w:r>
      <w:r w:rsidR="000534CE" w:rsidRPr="00C152AF">
        <w:rPr>
          <w:i/>
          <w:iCs/>
        </w:rPr>
        <w:t>nt</w:t>
      </w:r>
      <w:r w:rsidR="000534CE">
        <w:rPr>
          <w:i/>
          <w:iCs/>
        </w:rPr>
        <w:t xml:space="preserve">.  </w:t>
      </w:r>
      <w:r w:rsidR="000534CE" w:rsidRPr="00C152AF">
        <w:rPr>
          <w:i/>
          <w:iCs/>
        </w:rPr>
        <w:t>L</w:t>
      </w:r>
      <w:r w:rsidR="000534CE">
        <w:rPr>
          <w:i/>
          <w:iCs/>
        </w:rPr>
        <w:t>’</w:t>
      </w:r>
      <w:r w:rsidR="000534CE" w:rsidRPr="00C152AF">
        <w:rPr>
          <w:i/>
          <w:iCs/>
        </w:rPr>
        <w:t>a</w:t>
      </w:r>
      <w:r w:rsidRPr="00C152AF">
        <w:rPr>
          <w:i/>
          <w:iCs/>
        </w:rPr>
        <w:t>nnexe sera transmise à l</w:t>
      </w:r>
      <w:r w:rsidR="00061FE0">
        <w:rPr>
          <w:i/>
          <w:iCs/>
        </w:rPr>
        <w:t>’</w:t>
      </w:r>
      <w:r w:rsidRPr="00C152AF">
        <w:rPr>
          <w:i/>
          <w:iCs/>
        </w:rPr>
        <w:t>Assemblée générale de l</w:t>
      </w:r>
      <w:r w:rsidR="00061FE0">
        <w:rPr>
          <w:i/>
          <w:iCs/>
        </w:rPr>
        <w:t>’</w:t>
      </w:r>
      <w:r w:rsidRPr="00C152AF">
        <w:rPr>
          <w:i/>
          <w:iCs/>
        </w:rPr>
        <w:t xml:space="preserve">OMPI à sa session </w:t>
      </w:r>
      <w:r w:rsidR="00FC7ABF" w:rsidRPr="00C152AF">
        <w:rPr>
          <w:i/>
          <w:iCs/>
        </w:rPr>
        <w:t>de 2019</w:t>
      </w:r>
      <w:r w:rsidR="00AB6CA1" w:rsidRPr="00C152AF">
        <w:rPr>
          <w:i/>
          <w:iCs/>
        </w:rPr>
        <w:t>.</w:t>
      </w:r>
      <w:r w:rsidR="00FC7ABF" w:rsidRPr="00C152AF">
        <w:rPr>
          <w:i/>
          <w:iCs/>
        </w:rPr>
        <w:t>”</w:t>
      </w:r>
      <w:r w:rsidR="00C667CC" w:rsidRPr="00C152AF">
        <w:rPr>
          <w:iCs/>
        </w:rPr>
        <w:t xml:space="preserve"> </w:t>
      </w:r>
      <w:r w:rsidRPr="00C152AF">
        <w:rPr>
          <w:iCs/>
        </w:rPr>
        <w:t xml:space="preserve">(voir le </w:t>
      </w:r>
      <w:r w:rsidR="00FC7ABF" w:rsidRPr="00C152AF">
        <w:rPr>
          <w:iCs/>
        </w:rPr>
        <w:t>paragraphe 9</w:t>
      </w:r>
      <w:r w:rsidRPr="00C152AF">
        <w:rPr>
          <w:iCs/>
        </w:rPr>
        <w:t xml:space="preserve"> du </w:t>
      </w:r>
      <w:hyperlink r:id="rId9" w:history="1">
        <w:r w:rsidRPr="00C152AF">
          <w:rPr>
            <w:rStyle w:val="Hyperlink"/>
          </w:rPr>
          <w:t xml:space="preserve">Résumé présenté par le </w:t>
        </w:r>
        <w:r w:rsidR="0029133E">
          <w:rPr>
            <w:rStyle w:val="Hyperlink"/>
          </w:rPr>
          <w:t>P</w:t>
        </w:r>
        <w:r w:rsidRPr="00C152AF">
          <w:rPr>
            <w:rStyle w:val="Hyperlink"/>
          </w:rPr>
          <w:t>résident</w:t>
        </w:r>
      </w:hyperlink>
      <w:r w:rsidRPr="00C152AF">
        <w:rPr>
          <w:iCs/>
        </w:rPr>
        <w:t>)</w:t>
      </w:r>
    </w:p>
    <w:p w:rsidR="004B453B" w:rsidRPr="00777A0F" w:rsidRDefault="004B453B" w:rsidP="0002634D">
      <w:pPr>
        <w:pStyle w:val="ONUMFS"/>
      </w:pPr>
      <w:r>
        <w:t>La proposition présentée par le Mexique, précédemment mentionnée, a, entre autres, demandé au Secrétariat de mettre en œuvre une série d</w:t>
      </w:r>
      <w:r w:rsidR="00061FE0">
        <w:t>’</w:t>
      </w:r>
      <w:r>
        <w:t xml:space="preserve">actions et décidé </w:t>
      </w:r>
      <w:r w:rsidR="00FC7ABF">
        <w:rPr>
          <w:i/>
          <w:iCs/>
        </w:rPr>
        <w:t>“</w:t>
      </w:r>
      <w:r w:rsidRPr="00F75171">
        <w:rPr>
          <w:i/>
          <w:iCs/>
        </w:rPr>
        <w:t xml:space="preserve">de réexaminer la question </w:t>
      </w:r>
      <w:r w:rsidR="00061FE0">
        <w:rPr>
          <w:i/>
          <w:iCs/>
        </w:rPr>
        <w:t>‘</w:t>
      </w:r>
      <w:r w:rsidRPr="00F75171">
        <w:rPr>
          <w:i/>
          <w:iCs/>
        </w:rPr>
        <w:t>Femmes et propriété intellectuelle</w:t>
      </w:r>
      <w:r w:rsidR="00061FE0">
        <w:rPr>
          <w:i/>
          <w:iCs/>
        </w:rPr>
        <w:t>’</w:t>
      </w:r>
      <w:r w:rsidRPr="00F75171">
        <w:rPr>
          <w:i/>
          <w:iCs/>
        </w:rPr>
        <w:t xml:space="preserve"> à sa vingt</w:t>
      </w:r>
      <w:r w:rsidR="000534CE">
        <w:rPr>
          <w:i/>
          <w:iCs/>
        </w:rPr>
        <w:noBreakHyphen/>
      </w:r>
      <w:r w:rsidRPr="00F75171">
        <w:rPr>
          <w:i/>
          <w:iCs/>
        </w:rPr>
        <w:t>six</w:t>
      </w:r>
      <w:r w:rsidR="00061FE0">
        <w:rPr>
          <w:i/>
          <w:iCs/>
        </w:rPr>
        <w:t>ième session</w:t>
      </w:r>
      <w:r w:rsidRPr="00F75171">
        <w:rPr>
          <w:i/>
          <w:iCs/>
        </w:rPr>
        <w:t xml:space="preserve"> et d</w:t>
      </w:r>
      <w:r w:rsidR="00061FE0">
        <w:rPr>
          <w:i/>
          <w:iCs/>
        </w:rPr>
        <w:t>’</w:t>
      </w:r>
      <w:r w:rsidRPr="00F75171">
        <w:rPr>
          <w:i/>
          <w:iCs/>
        </w:rPr>
        <w:t>étudier les options futures pour l</w:t>
      </w:r>
      <w:r w:rsidR="00061FE0">
        <w:rPr>
          <w:i/>
          <w:iCs/>
        </w:rPr>
        <w:t>’</w:t>
      </w:r>
      <w:r w:rsidRPr="00F75171">
        <w:rPr>
          <w:i/>
          <w:iCs/>
        </w:rPr>
        <w:t>avenir</w:t>
      </w:r>
      <w:r w:rsidR="008617FA">
        <w:rPr>
          <w:i/>
          <w:iCs/>
        </w:rPr>
        <w:t>.</w:t>
      </w:r>
      <w:r w:rsidR="00FC7ABF">
        <w:rPr>
          <w:i/>
          <w:iCs/>
        </w:rPr>
        <w:t>”</w:t>
      </w:r>
    </w:p>
    <w:p w:rsidR="004B453B" w:rsidRPr="00777A0F" w:rsidRDefault="004B453B" w:rsidP="0002634D">
      <w:pPr>
        <w:pStyle w:val="ONUMFS"/>
      </w:pPr>
      <w:r>
        <w:t xml:space="preserve">Le présent document, ainsi que le </w:t>
      </w:r>
      <w:r w:rsidR="00061FE0">
        <w:t>document CD</w:t>
      </w:r>
      <w:r>
        <w:t xml:space="preserve">IP/26/8, cherche à faciliter le réexamen par le </w:t>
      </w:r>
      <w:r w:rsidR="001F788B">
        <w:t>comité</w:t>
      </w:r>
      <w:r>
        <w:t xml:space="preserve"> de la question </w:t>
      </w:r>
      <w:r w:rsidR="00FC7ABF">
        <w:t>“</w:t>
      </w:r>
      <w:r>
        <w:t>Femmes et propriété intellectuelle</w:t>
      </w:r>
      <w:r w:rsidR="00FC7ABF">
        <w:t>”</w:t>
      </w:r>
      <w:r>
        <w:t xml:space="preserve"> à la présente sessi</w:t>
      </w:r>
      <w:r w:rsidR="000534CE">
        <w:t>on.  Le</w:t>
      </w:r>
      <w:r>
        <w:t xml:space="preserve"> présent document répond aux demandes</w:t>
      </w:r>
      <w:r w:rsidR="00EA7925">
        <w:t> </w:t>
      </w:r>
      <w:r>
        <w:t>1 et</w:t>
      </w:r>
      <w:r w:rsidR="008617FA">
        <w:t> </w:t>
      </w:r>
      <w:r>
        <w:t xml:space="preserve">2 de la proposition présentée par le Mexique relative à la compilation et au partage de données ventilées par sexe dans le domaine de la propriété intellectuelle, tandis que le </w:t>
      </w:r>
      <w:r w:rsidR="00061FE0">
        <w:t>document CD</w:t>
      </w:r>
      <w:r>
        <w:t>IP/26/8 rend compte des mesures prises par le Secrétariat afin de mettre en œuvre les demandes</w:t>
      </w:r>
      <w:r w:rsidR="00EA7925">
        <w:t> </w:t>
      </w:r>
      <w:r>
        <w:t>3, 4</w:t>
      </w:r>
      <w:r w:rsidR="008617FA">
        <w:t> et </w:t>
      </w:r>
      <w:r>
        <w:t>5.  Le présent rapport couvre les années</w:t>
      </w:r>
      <w:r w:rsidR="00EA7925">
        <w:t> </w:t>
      </w:r>
      <w:r>
        <w:t>2019 et</w:t>
      </w:r>
      <w:r w:rsidR="008617FA">
        <w:t> </w:t>
      </w:r>
      <w:r>
        <w:t>2020.</w:t>
      </w:r>
    </w:p>
    <w:p w:rsidR="00FC7ABF" w:rsidRPr="00D2327D" w:rsidRDefault="008617FA" w:rsidP="00D2327D">
      <w:pPr>
        <w:pStyle w:val="Heading1"/>
      </w:pPr>
      <w:r w:rsidRPr="00D2327D">
        <w:lastRenderedPageBreak/>
        <w:t xml:space="preserve">Mise en œuvre par le secrétariat de la proposition présentée par le </w:t>
      </w:r>
      <w:r w:rsidR="005F48AD">
        <w:t>M</w:t>
      </w:r>
      <w:r w:rsidRPr="00D2327D">
        <w:t>exique</w:t>
      </w:r>
    </w:p>
    <w:p w:rsidR="004B453B" w:rsidRPr="00AA25DE" w:rsidRDefault="004B453B" w:rsidP="0002634D">
      <w:pPr>
        <w:pStyle w:val="ONUMFS"/>
      </w:pPr>
      <w:r>
        <w:t>Une description des mesures prises par le Secrétariat dans la mise en œuvre des demandes</w:t>
      </w:r>
      <w:r w:rsidR="00EA7925">
        <w:t> </w:t>
      </w:r>
      <w:r>
        <w:t>1 et</w:t>
      </w:r>
      <w:r w:rsidR="00D2327D">
        <w:t> </w:t>
      </w:r>
      <w:r>
        <w:t>2 de la proposition présentée par le Mexique est fournie ci</w:t>
      </w:r>
      <w:r w:rsidR="000534CE">
        <w:noBreakHyphen/>
      </w:r>
      <w:r>
        <w:t>après.</w:t>
      </w:r>
    </w:p>
    <w:p w:rsidR="004B453B" w:rsidRPr="00777A0F" w:rsidRDefault="004B453B" w:rsidP="00D2327D">
      <w:pPr>
        <w:pStyle w:val="ListParagraph"/>
        <w:numPr>
          <w:ilvl w:val="0"/>
          <w:numId w:val="10"/>
        </w:numPr>
        <w:spacing w:after="220"/>
        <w:ind w:left="567" w:hanging="567"/>
      </w:pPr>
      <w:r w:rsidRPr="00D2327D">
        <w:rPr>
          <w:b/>
        </w:rPr>
        <w:t>Demande</w:t>
      </w:r>
      <w:r w:rsidR="00EA7925" w:rsidRPr="00D2327D">
        <w:rPr>
          <w:b/>
        </w:rPr>
        <w:t> </w:t>
      </w:r>
      <w:r w:rsidRPr="00D2327D">
        <w:rPr>
          <w:b/>
        </w:rPr>
        <w:t>1</w:t>
      </w:r>
      <w:r w:rsidR="00061FE0">
        <w:t> :</w:t>
      </w:r>
      <w:r>
        <w:t xml:space="preserve"> </w:t>
      </w:r>
      <w:r w:rsidRPr="00D2327D">
        <w:rPr>
          <w:i/>
        </w:rPr>
        <w:t>Compiler des données internationales comparables et ventilées par sexe sur les titulaires et les créateurs de droits de propriété intellectuelle.</w:t>
      </w:r>
    </w:p>
    <w:p w:rsidR="00FC7ABF" w:rsidRDefault="004B453B" w:rsidP="0002634D">
      <w:pPr>
        <w:pStyle w:val="ONUMFS"/>
      </w:pPr>
      <w:r>
        <w:t>Les demandes internationales de brevet ne comprennent pas de renseignement sur le sexe du déposa</w:t>
      </w:r>
      <w:r w:rsidR="000534CE">
        <w:t>nt.  Ce</w:t>
      </w:r>
      <w:r>
        <w:t>pendant, cette information est utile pour la communauté de la propriété intellectuelle, par exemple pour détecter et comprendre les disparités potentielles dans le domaine de l</w:t>
      </w:r>
      <w:r w:rsidR="00061FE0">
        <w:t>’</w:t>
      </w:r>
      <w:r>
        <w:t>innovati</w:t>
      </w:r>
      <w:r w:rsidR="000534CE">
        <w:t>on.  Pa</w:t>
      </w:r>
      <w:r>
        <w:t>r conséquent, depuis la vingt</w:t>
      </w:r>
      <w:r w:rsidR="000534CE">
        <w:noBreakHyphen/>
      </w:r>
      <w:r>
        <w:t>deux</w:t>
      </w:r>
      <w:r w:rsidR="00061FE0">
        <w:t>ième session</w:t>
      </w:r>
      <w:r w:rsidR="00FC7ABF">
        <w:t xml:space="preserve"> du CDI</w:t>
      </w:r>
      <w:r>
        <w:t>P, le Secrétariat n</w:t>
      </w:r>
      <w:r w:rsidR="00061FE0">
        <w:t>’</w:t>
      </w:r>
      <w:r>
        <w:t>a cessé d</w:t>
      </w:r>
      <w:r w:rsidR="00061FE0">
        <w:t>’</w:t>
      </w:r>
      <w:r>
        <w:t>œuvrer à l</w:t>
      </w:r>
      <w:r w:rsidR="00061FE0">
        <w:t>’</w:t>
      </w:r>
      <w:r>
        <w:t>élaboration de méthodologies pour mieux comprendre le lien entre égalité des sexes et propriété intellectuelle et, sur cette base, de compiler les données internationales comparables et ventilées par se</w:t>
      </w:r>
      <w:r w:rsidR="000534CE">
        <w:t>xe.  Ce</w:t>
      </w:r>
      <w:r>
        <w:t>s travaux ont notamment été menés par le Département de l</w:t>
      </w:r>
      <w:r w:rsidR="00061FE0">
        <w:t>’</w:t>
      </w:r>
      <w:r>
        <w:t>économie et de l</w:t>
      </w:r>
      <w:r w:rsidR="00061FE0">
        <w:t>’</w:t>
      </w:r>
      <w:r>
        <w:t>analyse de données du Secteur des écosystèmes de propriété intellectuelle et d</w:t>
      </w:r>
      <w:r w:rsidR="00061FE0">
        <w:t>’</w:t>
      </w:r>
      <w:r>
        <w:t>innovati</w:t>
      </w:r>
      <w:r w:rsidR="000534CE">
        <w:t>on.  En</w:t>
      </w:r>
      <w:r>
        <w:t xml:space="preserve"> particulier</w:t>
      </w:r>
      <w:r w:rsidR="00061FE0">
        <w:t> :</w:t>
      </w:r>
    </w:p>
    <w:p w:rsidR="00FC7ABF" w:rsidRDefault="004B453B" w:rsidP="0002634D">
      <w:pPr>
        <w:pStyle w:val="ONUMFS"/>
      </w:pPr>
      <w:r>
        <w:t>La Division des statistiques et de l</w:t>
      </w:r>
      <w:r w:rsidR="00061FE0">
        <w:t>’</w:t>
      </w:r>
      <w:r>
        <w:t>analyse des données a publié les statistiques</w:t>
      </w:r>
      <w:r w:rsidR="00FC7ABF">
        <w:t xml:space="preserve"> du PCT</w:t>
      </w:r>
      <w:r>
        <w:t xml:space="preserve"> ventilées par sexe dans ses publications phares et son centre de données </w:t>
      </w:r>
      <w:r w:rsidR="001F788B">
        <w:t>Web</w:t>
      </w:r>
      <w:r>
        <w:t xml:space="preserve"> au cours de la même période.  </w:t>
      </w:r>
      <w:r w:rsidR="00061FE0">
        <w:t>À savoir :</w:t>
      </w:r>
    </w:p>
    <w:p w:rsidR="004B453B" w:rsidRPr="00777A0F" w:rsidRDefault="004B453B" w:rsidP="00B1326A">
      <w:pPr>
        <w:pStyle w:val="ONUMFS"/>
        <w:numPr>
          <w:ilvl w:val="1"/>
          <w:numId w:val="12"/>
        </w:numPr>
        <w:ind w:left="1134" w:hanging="567"/>
        <w:rPr>
          <w:rFonts w:eastAsia="Times New Roman"/>
        </w:rPr>
      </w:pPr>
      <w:r>
        <w:t>Revue annuelle</w:t>
      </w:r>
      <w:r w:rsidR="00FC7ABF">
        <w:t xml:space="preserve"> du PCT</w:t>
      </w:r>
      <w:r w:rsidR="00C91747">
        <w:t> </w:t>
      </w:r>
      <w:r>
        <w:t>(2019)</w:t>
      </w:r>
    </w:p>
    <w:p w:rsidR="004B453B" w:rsidRPr="00777A0F" w:rsidRDefault="004B453B" w:rsidP="00B1326A">
      <w:pPr>
        <w:pStyle w:val="ONUMFS"/>
        <w:numPr>
          <w:ilvl w:val="1"/>
          <w:numId w:val="12"/>
        </w:numPr>
        <w:ind w:left="1134" w:hanging="567"/>
      </w:pPr>
      <w:r>
        <w:t>Revue annuelle</w:t>
      </w:r>
      <w:r w:rsidR="00FC7ABF">
        <w:t xml:space="preserve"> du PCT</w:t>
      </w:r>
      <w:r w:rsidR="00C91747">
        <w:t> </w:t>
      </w:r>
      <w:r>
        <w:t>(2020)</w:t>
      </w:r>
    </w:p>
    <w:p w:rsidR="004B453B" w:rsidRPr="00777A0F" w:rsidRDefault="004B453B" w:rsidP="00B1326A">
      <w:pPr>
        <w:pStyle w:val="ONUMFS"/>
        <w:numPr>
          <w:ilvl w:val="1"/>
          <w:numId w:val="12"/>
        </w:numPr>
        <w:ind w:left="1134" w:hanging="567"/>
      </w:pPr>
      <w:r>
        <w:t>Indicateurs mondiaux relatif</w:t>
      </w:r>
      <w:r w:rsidR="00B1326A">
        <w:t>s à la propriété intellectuelle </w:t>
      </w:r>
      <w:r>
        <w:t>(2018)</w:t>
      </w:r>
    </w:p>
    <w:p w:rsidR="004B453B" w:rsidRPr="00777A0F" w:rsidRDefault="004B453B" w:rsidP="00B1326A">
      <w:pPr>
        <w:pStyle w:val="ONUMFS"/>
        <w:numPr>
          <w:ilvl w:val="1"/>
          <w:numId w:val="12"/>
        </w:numPr>
        <w:ind w:left="1134" w:hanging="567"/>
      </w:pPr>
      <w:r>
        <w:t>Indicateurs mondiaux relatif</w:t>
      </w:r>
      <w:r w:rsidR="00B1326A">
        <w:t>s à la propriété intellectuelle </w:t>
      </w:r>
      <w:r>
        <w:t>(2019)</w:t>
      </w:r>
    </w:p>
    <w:p w:rsidR="004B453B" w:rsidRPr="00777A0F" w:rsidRDefault="004B453B" w:rsidP="00B1326A">
      <w:pPr>
        <w:pStyle w:val="ONUMFS"/>
        <w:numPr>
          <w:ilvl w:val="1"/>
          <w:numId w:val="12"/>
        </w:numPr>
        <w:ind w:left="1134" w:hanging="567"/>
      </w:pPr>
      <w:r>
        <w:t>Indicateurs mondiaux relatif</w:t>
      </w:r>
      <w:r w:rsidR="00B1326A">
        <w:t>s à la propriété intellectuelle </w:t>
      </w:r>
      <w:r>
        <w:t>(2020)</w:t>
      </w:r>
    </w:p>
    <w:p w:rsidR="004B453B" w:rsidRPr="00777A0F" w:rsidRDefault="004B453B" w:rsidP="00B1326A">
      <w:pPr>
        <w:pStyle w:val="ONUMFS"/>
        <w:numPr>
          <w:ilvl w:val="1"/>
          <w:numId w:val="12"/>
        </w:numPr>
        <w:ind w:left="1134" w:hanging="567"/>
      </w:pPr>
      <w:r>
        <w:t>Centre de données statistiques de propriété intellectuelle (mises à jour régulières au cours de la période considérée)</w:t>
      </w:r>
    </w:p>
    <w:p w:rsidR="004B453B" w:rsidRPr="00777A0F" w:rsidRDefault="004B453B" w:rsidP="0002634D">
      <w:pPr>
        <w:pStyle w:val="ONUMFS"/>
        <w:rPr>
          <w:rFonts w:eastAsia="Times New Roman"/>
        </w:rPr>
      </w:pPr>
      <w:r>
        <w:t>La Section de l</w:t>
      </w:r>
      <w:r w:rsidR="00061FE0">
        <w:t>’</w:t>
      </w:r>
      <w:r>
        <w:t>économie de l</w:t>
      </w:r>
      <w:r w:rsidR="00061FE0">
        <w:t>’</w:t>
      </w:r>
      <w:r>
        <w:t>innovation a continué à mener des recherches économiques et méthodologiques sur l</w:t>
      </w:r>
      <w:r w:rsidR="00061FE0">
        <w:t>’</w:t>
      </w:r>
      <w:r>
        <w:t>égalité des genres et la propriété intellectuel</w:t>
      </w:r>
      <w:r w:rsidR="000534CE">
        <w:t>le.  Le</w:t>
      </w:r>
      <w:r>
        <w:t>s recherches menées durant la période considérée ont suivi deux</w:t>
      </w:r>
      <w:r w:rsidR="001F788B">
        <w:t> </w:t>
      </w:r>
      <w:r>
        <w:t>axes principaux</w:t>
      </w:r>
      <w:r w:rsidR="00061FE0">
        <w:t> :</w:t>
      </w:r>
      <w:r>
        <w:t xml:space="preserve"> i)</w:t>
      </w:r>
      <w:r w:rsidR="001F788B">
        <w:t> </w:t>
      </w:r>
      <w:r>
        <w:t xml:space="preserve">renforcer les méthodologies de désambiguïsation de sexe; </w:t>
      </w:r>
      <w:r w:rsidR="001F788B">
        <w:t xml:space="preserve"> </w:t>
      </w:r>
      <w:r>
        <w:t>et ii)</w:t>
      </w:r>
      <w:r w:rsidR="001F788B">
        <w:t> </w:t>
      </w:r>
      <w:r>
        <w:t>améliorer et élargir les collections et les données relatives à la propriété intellectuelle ventilées par sexe.</w:t>
      </w:r>
    </w:p>
    <w:p w:rsidR="004B453B" w:rsidRPr="00777A0F" w:rsidRDefault="004B453B" w:rsidP="0002634D">
      <w:pPr>
        <w:pStyle w:val="ONUMFS"/>
        <w:rPr>
          <w:rFonts w:eastAsia="Times New Roman"/>
        </w:rPr>
      </w:pPr>
      <w:r>
        <w:t>Durant la période considérée, la Section de l</w:t>
      </w:r>
      <w:r w:rsidR="00061FE0">
        <w:t>’</w:t>
      </w:r>
      <w:r>
        <w:t>économie de l</w:t>
      </w:r>
      <w:r w:rsidR="00061FE0">
        <w:t>’</w:t>
      </w:r>
      <w:r>
        <w:t>innovation a amélioré les méthodologies de désambiguïsation de sexe en prenant les mesures suivantes</w:t>
      </w:r>
      <w:r w:rsidR="00061FE0">
        <w:t> :</w:t>
      </w:r>
    </w:p>
    <w:p w:rsidR="004B453B" w:rsidRPr="005B436A" w:rsidRDefault="004B453B" w:rsidP="00A43BEA">
      <w:pPr>
        <w:pStyle w:val="ONUMFS"/>
        <w:numPr>
          <w:ilvl w:val="1"/>
          <w:numId w:val="14"/>
        </w:numPr>
        <w:ind w:left="1134" w:hanging="567"/>
        <w:rPr>
          <w:rFonts w:eastAsia="Times New Roman"/>
        </w:rPr>
      </w:pPr>
      <w:r>
        <w:t>Création de versions plus accessibles du dictionnaire mondial des prénoms classés par sexe</w:t>
      </w:r>
      <w:r w:rsidR="00A43BEA">
        <w:t> </w:t>
      </w:r>
      <w:r>
        <w:t>(WGND) en le publiant dans le répertoire</w:t>
      </w:r>
      <w:r w:rsidR="00A43BEA">
        <w:t> </w:t>
      </w:r>
      <w:hyperlink r:id="rId10" w:history="1">
        <w:r>
          <w:rPr>
            <w:rStyle w:val="Hyperlink"/>
          </w:rPr>
          <w:t>Harvard Dataverse</w:t>
        </w:r>
      </w:hyperlink>
      <w:r>
        <w:t xml:space="preserve"> (WGND</w:t>
      </w:r>
      <w:r w:rsidR="00EA7925">
        <w:t> </w:t>
      </w:r>
      <w:r>
        <w:t>1.0) et sur la plateforme</w:t>
      </w:r>
      <w:r w:rsidR="00A43BEA">
        <w:t> </w:t>
      </w:r>
      <w:hyperlink r:id="rId11" w:history="1">
        <w:r>
          <w:rPr>
            <w:rStyle w:val="Hyperlink"/>
          </w:rPr>
          <w:t>GitHub</w:t>
        </w:r>
      </w:hyperlink>
      <w:r>
        <w:t xml:space="preserve"> (WGND</w:t>
      </w:r>
      <w:r w:rsidR="00EA7925">
        <w:t> </w:t>
      </w:r>
      <w:r>
        <w:t>1.1)</w:t>
      </w:r>
      <w:r w:rsidR="00526D58">
        <w:t>.</w:t>
      </w:r>
      <w:r>
        <w:t xml:space="preserve">  On trouvera de plus amples informations au paragraphe</w:t>
      </w:r>
      <w:r w:rsidR="00EA7925">
        <w:t> </w:t>
      </w:r>
      <w:r w:rsidRPr="005B436A">
        <w:fldChar w:fldCharType="begin"/>
      </w:r>
      <w:r w:rsidRPr="005B436A">
        <w:instrText xml:space="preserve"> REF _Ref71563722 \r \h </w:instrText>
      </w:r>
      <w:r>
        <w:instrText xml:space="preserve"> \* MERGEFORMAT </w:instrText>
      </w:r>
      <w:r w:rsidRPr="005B436A">
        <w:fldChar w:fldCharType="separate"/>
      </w:r>
      <w:r w:rsidR="000534CE">
        <w:t>10</w:t>
      </w:r>
      <w:r w:rsidRPr="005B436A">
        <w:fldChar w:fldCharType="end"/>
      </w:r>
      <w:r>
        <w:t xml:space="preserve"> ci</w:t>
      </w:r>
      <w:r w:rsidR="000534CE">
        <w:noBreakHyphen/>
      </w:r>
      <w:r>
        <w:t>après.</w:t>
      </w:r>
    </w:p>
    <w:p w:rsidR="00FC7ABF" w:rsidRDefault="004B453B" w:rsidP="00A43BEA">
      <w:pPr>
        <w:pStyle w:val="ONUMFS"/>
        <w:numPr>
          <w:ilvl w:val="1"/>
          <w:numId w:val="14"/>
        </w:numPr>
        <w:ind w:left="1134" w:hanging="567"/>
      </w:pPr>
      <w:bookmarkStart w:id="6" w:name="_Ref71554050"/>
      <w:r>
        <w:t>Amélioration de la couverture internationale du dictionnaire mondial des prénoms classés par sexe en incluant davantage de sources de nouveaux pays (WGND</w:t>
      </w:r>
      <w:r w:rsidR="00EA7925">
        <w:t> </w:t>
      </w:r>
      <w:r>
        <w:t xml:space="preserve">2.0).  Cette nouvelle version est publiée sur </w:t>
      </w:r>
      <w:hyperlink r:id="rId12" w:history="1">
        <w:r>
          <w:rPr>
            <w:rStyle w:val="Hyperlink"/>
          </w:rPr>
          <w:t xml:space="preserve">le </w:t>
        </w:r>
        <w:r w:rsidR="00526D58">
          <w:rPr>
            <w:rStyle w:val="Hyperlink"/>
          </w:rPr>
          <w:t>site Web</w:t>
        </w:r>
        <w:r>
          <w:rPr>
            <w:rStyle w:val="Hyperlink"/>
          </w:rPr>
          <w:t xml:space="preserve"> de l</w:t>
        </w:r>
        <w:r w:rsidR="00061FE0">
          <w:rPr>
            <w:rStyle w:val="Hyperlink"/>
          </w:rPr>
          <w:t>’</w:t>
        </w:r>
        <w:r>
          <w:rPr>
            <w:rStyle w:val="Hyperlink"/>
          </w:rPr>
          <w:t>OMPI</w:t>
        </w:r>
      </w:hyperlink>
      <w:r>
        <w:t>, dans la base de données</w:t>
      </w:r>
      <w:r w:rsidR="003128BC">
        <w:t> </w:t>
      </w:r>
      <w:hyperlink r:id="rId13" w:history="1">
        <w:r>
          <w:rPr>
            <w:rStyle w:val="Hyperlink"/>
          </w:rPr>
          <w:t>Harvard Dataverse</w:t>
        </w:r>
      </w:hyperlink>
      <w:r>
        <w:t xml:space="preserve"> (WGND</w:t>
      </w:r>
      <w:r w:rsidR="00EA7925">
        <w:t> </w:t>
      </w:r>
      <w:r>
        <w:t>2.0) et sur la plateforme</w:t>
      </w:r>
      <w:r w:rsidR="003128BC">
        <w:t> </w:t>
      </w:r>
      <w:hyperlink r:id="rId14" w:history="1">
        <w:r>
          <w:rPr>
            <w:rStyle w:val="Hyperlink"/>
          </w:rPr>
          <w:t>GitHub</w:t>
        </w:r>
      </w:hyperlink>
      <w:r>
        <w:t xml:space="preserve"> (WGND</w:t>
      </w:r>
      <w:r w:rsidR="00EA7925">
        <w:t> </w:t>
      </w:r>
      <w:r>
        <w:t>2.1).</w:t>
      </w:r>
      <w:bookmarkEnd w:id="6"/>
    </w:p>
    <w:p w:rsidR="00FC7ABF" w:rsidRDefault="004B453B" w:rsidP="00A43BEA">
      <w:pPr>
        <w:pStyle w:val="ONUMFS"/>
        <w:numPr>
          <w:ilvl w:val="1"/>
          <w:numId w:val="14"/>
        </w:numPr>
        <w:ind w:left="1134" w:hanging="567"/>
      </w:pPr>
      <w:bookmarkStart w:id="7" w:name="_Ref71547896"/>
      <w:r>
        <w:lastRenderedPageBreak/>
        <w:t>Analyse de la fiabilité des dictionnaires de classement de prénoms par sexe pour certaines langues asiatiqu</w:t>
      </w:r>
      <w:r w:rsidR="000534CE">
        <w:t>es.  Ce</w:t>
      </w:r>
      <w:r>
        <w:t>tte analyse révèle les problèmes que représentent les prénoms donnés en chinois et en coréen latini</w:t>
      </w:r>
      <w:r w:rsidR="000534CE">
        <w:t>sé.  Le</w:t>
      </w:r>
      <w:r>
        <w:t>s principales implications de l</w:t>
      </w:r>
      <w:r w:rsidR="00061FE0">
        <w:t>’</w:t>
      </w:r>
      <w:r>
        <w:t>analyse concernent les futures études relatives au sexe qui bénéficieront</w:t>
      </w:r>
      <w:r w:rsidR="00061FE0">
        <w:t> :</w:t>
      </w:r>
      <w:r>
        <w:t xml:space="preserve"> i)</w:t>
      </w:r>
      <w:r w:rsidR="001F788B">
        <w:t> </w:t>
      </w:r>
      <w:r>
        <w:t>de l</w:t>
      </w:r>
      <w:r w:rsidR="00061FE0">
        <w:t>’</w:t>
      </w:r>
      <w:r>
        <w:t xml:space="preserve">augmentation de la couverture des données de propriété intellectuelle en caractères asiatiques originaux; </w:t>
      </w:r>
      <w:r w:rsidR="001F788B">
        <w:t xml:space="preserve"> </w:t>
      </w:r>
      <w:r>
        <w:t>et ii)</w:t>
      </w:r>
      <w:r w:rsidR="001F788B">
        <w:t> </w:t>
      </w:r>
      <w:r>
        <w:t>de l</w:t>
      </w:r>
      <w:r w:rsidR="00061FE0">
        <w:t>’</w:t>
      </w:r>
      <w:r>
        <w:t>extension de la couverture des noms asiatiques en caractères originaux dans les futures versions du dictionnaire mondial des prénoms classés par sexe.</w:t>
      </w:r>
      <w:bookmarkEnd w:id="7"/>
    </w:p>
    <w:p w:rsidR="004B453B" w:rsidRPr="00777A0F" w:rsidRDefault="004B453B" w:rsidP="00A43BEA">
      <w:pPr>
        <w:pStyle w:val="ONUMFS"/>
        <w:numPr>
          <w:ilvl w:val="1"/>
          <w:numId w:val="14"/>
        </w:numPr>
        <w:ind w:left="1134" w:hanging="567"/>
      </w:pPr>
      <w:r>
        <w:t>Analyse de méthodes alternatives pour la désambiguïsation de sexe, telles que l</w:t>
      </w:r>
      <w:r w:rsidR="00061FE0">
        <w:t>’</w:t>
      </w:r>
      <w:r>
        <w:t>utilisation de l</w:t>
      </w:r>
      <w:r w:rsidR="00061FE0">
        <w:t>’</w:t>
      </w:r>
      <w:r>
        <w:t>apprentissage automatiq</w:t>
      </w:r>
      <w:r w:rsidR="000534CE">
        <w:t>ue.  Un</w:t>
      </w:r>
      <w:r>
        <w:t>e étude préliminaire a été réalisée en collaboration avec le Centre d</w:t>
      </w:r>
      <w:r w:rsidR="00061FE0">
        <w:t>’</w:t>
      </w:r>
      <w:r>
        <w:t>application des technologies de pointe</w:t>
      </w:r>
      <w:r w:rsidR="003128BC">
        <w:t> </w:t>
      </w:r>
      <w:r>
        <w:t>(ATAC) du Secteur de l</w:t>
      </w:r>
      <w:r w:rsidR="00061FE0">
        <w:t>’</w:t>
      </w:r>
      <w:r>
        <w:t>infrastructure et des plateformes.</w:t>
      </w:r>
    </w:p>
    <w:p w:rsidR="00FC7ABF" w:rsidRDefault="004B453B" w:rsidP="00A43BEA">
      <w:pPr>
        <w:pStyle w:val="ONUMFS"/>
        <w:numPr>
          <w:ilvl w:val="1"/>
          <w:numId w:val="14"/>
        </w:numPr>
        <w:ind w:left="1134" w:hanging="567"/>
      </w:pPr>
      <w:r>
        <w:t>Conception d</w:t>
      </w:r>
      <w:r w:rsidR="00061FE0">
        <w:t>’</w:t>
      </w:r>
      <w:r>
        <w:t>une série de méthodes de prévision de parité entre les sex</w:t>
      </w:r>
      <w:r w:rsidR="000534CE">
        <w:t>es.  Ce</w:t>
      </w:r>
      <w:r>
        <w:t>s méthodes permettent d</w:t>
      </w:r>
      <w:r w:rsidR="00061FE0">
        <w:t>’</w:t>
      </w:r>
      <w:r>
        <w:t>évaluer différents scénarios déterminant à quel moment la parité entre les sexes sera attein</w:t>
      </w:r>
      <w:r w:rsidR="000534CE">
        <w:t>te.  Le</w:t>
      </w:r>
      <w:r>
        <w:t>s différents scénarios de prévision peuvent être appliqués à toute nouvelle donnée de désambiguïsation de se</w:t>
      </w:r>
      <w:r w:rsidR="000534CE">
        <w:t>xe.  Il</w:t>
      </w:r>
      <w:r>
        <w:t>s ont régulièrement été appliqués par le Département de l</w:t>
      </w:r>
      <w:r w:rsidR="00061FE0">
        <w:t>’</w:t>
      </w:r>
      <w:r>
        <w:t>économie et de l</w:t>
      </w:r>
      <w:r w:rsidR="00061FE0">
        <w:t>’</w:t>
      </w:r>
      <w:r>
        <w:t>analyse de données aux inventeurs</w:t>
      </w:r>
      <w:r w:rsidR="00FC7ABF">
        <w:t xml:space="preserve"> du PCT</w:t>
      </w:r>
      <w:r>
        <w:t xml:space="preserve"> et à la liste des délégués à l</w:t>
      </w:r>
      <w:r w:rsidR="00061FE0">
        <w:t>’</w:t>
      </w:r>
      <w:r>
        <w:t>Assemblée générale de l</w:t>
      </w:r>
      <w:r w:rsidR="00061FE0">
        <w:t>’</w:t>
      </w:r>
      <w:r>
        <w:t>OMPI à la demande de l</w:t>
      </w:r>
      <w:r w:rsidR="00061FE0">
        <w:t>’</w:t>
      </w:r>
      <w:r>
        <w:t>expert en matière de parité et de diversité.</w:t>
      </w:r>
    </w:p>
    <w:p w:rsidR="004B453B" w:rsidRPr="00777A0F" w:rsidRDefault="004B453B" w:rsidP="0002634D">
      <w:pPr>
        <w:pStyle w:val="ONUMFS"/>
        <w:rPr>
          <w:rFonts w:eastAsia="Times New Roman"/>
        </w:rPr>
      </w:pPr>
      <w:r>
        <w:t>Au cours de la même période, la Section de l</w:t>
      </w:r>
      <w:r w:rsidR="00061FE0">
        <w:t>’</w:t>
      </w:r>
      <w:r>
        <w:t>économie de l</w:t>
      </w:r>
      <w:r w:rsidR="00061FE0">
        <w:t>’</w:t>
      </w:r>
      <w:r>
        <w:t>innovation a mené des recherches portant sur l</w:t>
      </w:r>
      <w:r w:rsidR="00061FE0">
        <w:t>’</w:t>
      </w:r>
      <w:r>
        <w:t>amélioration, l</w:t>
      </w:r>
      <w:r w:rsidR="00061FE0">
        <w:t>’</w:t>
      </w:r>
      <w:r>
        <w:t>extension et l</w:t>
      </w:r>
      <w:r w:rsidR="00061FE0">
        <w:t>’</w:t>
      </w:r>
      <w:r>
        <w:t>analyse des données de propriété intellectuelle ventilées par sexe en prenant les mesures suivantes</w:t>
      </w:r>
      <w:r w:rsidR="00061FE0">
        <w:t> :</w:t>
      </w:r>
    </w:p>
    <w:p w:rsidR="00FC7ABF" w:rsidRDefault="004B453B" w:rsidP="003128BC">
      <w:pPr>
        <w:pStyle w:val="ONUMFS"/>
        <w:numPr>
          <w:ilvl w:val="1"/>
          <w:numId w:val="16"/>
        </w:numPr>
        <w:ind w:left="1134" w:hanging="567"/>
      </w:pPr>
      <w:r>
        <w:t>Automatisation de la désambiguïsation du sexe des inventeurs</w:t>
      </w:r>
      <w:r w:rsidR="00FC7ABF">
        <w:t xml:space="preserve"> du PCT</w:t>
      </w:r>
      <w:r>
        <w:t xml:space="preserve"> à l</w:t>
      </w:r>
      <w:r w:rsidR="00061FE0">
        <w:t>’</w:t>
      </w:r>
      <w:r>
        <w:t>aide du dictionnaire mondial des prénoms classés par se</w:t>
      </w:r>
      <w:r w:rsidR="000534CE">
        <w:t>xe.  Un</w:t>
      </w:r>
      <w:r>
        <w:t>e méthode a été conçue, élaborée et pleinement mise en œuvre pour être appliquée aux données récentes et rétrospectives concernant les unités statistiques PCT basées sur le dictionnaire mondial des prénoms classés par sexe</w:t>
      </w:r>
      <w:r w:rsidR="00EA7925">
        <w:t> </w:t>
      </w:r>
      <w:r>
        <w:t>1.0 (WGND</w:t>
      </w:r>
      <w:r w:rsidR="00EA7925">
        <w:t> </w:t>
      </w:r>
      <w:r>
        <w:t>1.0).</w:t>
      </w:r>
    </w:p>
    <w:p w:rsidR="00FC7ABF" w:rsidRDefault="004B453B" w:rsidP="003128BC">
      <w:pPr>
        <w:pStyle w:val="ONUMFS"/>
        <w:numPr>
          <w:ilvl w:val="1"/>
          <w:numId w:val="16"/>
        </w:numPr>
        <w:ind w:left="1134" w:hanging="567"/>
      </w:pPr>
      <w:r>
        <w:t>Automatisation de la désambiguïsation du sexe des inventeurs</w:t>
      </w:r>
      <w:r w:rsidR="00FC7ABF">
        <w:t xml:space="preserve"> du PCT</w:t>
      </w:r>
      <w:r>
        <w:t xml:space="preserve"> pour les noms d</w:t>
      </w:r>
      <w:r w:rsidR="00061FE0">
        <w:t>’</w:t>
      </w:r>
      <w:r>
        <w:t>inventeurs non latinisés, basé sur des données complémentaires relatives aux caractères asiatiques origina</w:t>
      </w:r>
      <w:r w:rsidR="000534CE">
        <w:t>ux.  Un</w:t>
      </w:r>
      <w:r>
        <w:t>e méthode a été conçue, élaborée et pleinement mise en œuvre pour utiliser le dictionnaire mondial des prénoms classés par sexe</w:t>
      </w:r>
      <w:r w:rsidR="00EA7925">
        <w:t> </w:t>
      </w:r>
      <w:r>
        <w:t>1.0 (WGND</w:t>
      </w:r>
      <w:r w:rsidR="00EA7925">
        <w:t> </w:t>
      </w:r>
      <w:r>
        <w:t>1.0).  La méthode requiert des données supplémentaires comprenant les noms des inventeurs en caractères asiatiques originaux, qui sont régulièrement fourni</w:t>
      </w:r>
      <w:r w:rsidR="00EA7925">
        <w:t>e</w:t>
      </w:r>
      <w:r>
        <w:t>s par la Section des opérations et de l</w:t>
      </w:r>
      <w:r w:rsidR="00061FE0">
        <w:t>’</w:t>
      </w:r>
      <w:r>
        <w:t>appui de la Division des systèmes informatiques</w:t>
      </w:r>
      <w:r w:rsidR="00FC7ABF">
        <w:t xml:space="preserve"> du PCT</w:t>
      </w:r>
      <w:r>
        <w:t xml:space="preserve"> du Secteur des brevets et de la technologie.</w:t>
      </w:r>
    </w:p>
    <w:p w:rsidR="00FC7ABF" w:rsidRDefault="004B453B" w:rsidP="003128BC">
      <w:pPr>
        <w:pStyle w:val="ONUMFS"/>
        <w:numPr>
          <w:ilvl w:val="1"/>
          <w:numId w:val="16"/>
        </w:numPr>
        <w:ind w:left="1134" w:hanging="567"/>
      </w:pPr>
      <w:r>
        <w:t>Extension de la désambiguïsation de sexe aux déposants individuels et aux représentants légaux dans la collection</w:t>
      </w:r>
      <w:r w:rsidR="00FC7ABF">
        <w:t xml:space="preserve"> du </w:t>
      </w:r>
      <w:r w:rsidR="000534CE">
        <w:t>PCT.  Un</w:t>
      </w:r>
      <w:r>
        <w:t>e méthode a été conçue, élaborée et pleinement mise en œuvre pour être appliquée aux données récentes et rétrospectives concernant des unités statistiques PCT basées sur le dictionnaire mondial des prénoms classés par sexe</w:t>
      </w:r>
      <w:r w:rsidR="00EA7925">
        <w:t> </w:t>
      </w:r>
      <w:r>
        <w:t>1.0 (WGND</w:t>
      </w:r>
      <w:r w:rsidR="00EA7925">
        <w:t> </w:t>
      </w:r>
      <w:r>
        <w:t>1.0).  Les résultats de cette méthode font l</w:t>
      </w:r>
      <w:r w:rsidR="00061FE0">
        <w:t>’</w:t>
      </w:r>
      <w:r>
        <w:t>objet d</w:t>
      </w:r>
      <w:r w:rsidR="00061FE0">
        <w:t>’</w:t>
      </w:r>
      <w:r>
        <w:t>une analyse approfondie.</w:t>
      </w:r>
    </w:p>
    <w:p w:rsidR="004B453B" w:rsidRPr="00777A0F" w:rsidRDefault="004B453B" w:rsidP="003128BC">
      <w:pPr>
        <w:pStyle w:val="ONUMFS"/>
        <w:numPr>
          <w:ilvl w:val="1"/>
          <w:numId w:val="16"/>
        </w:numPr>
        <w:ind w:left="1134" w:hanging="567"/>
        <w:rPr>
          <w:rFonts w:eastAsia="Times New Roman"/>
        </w:rPr>
      </w:pPr>
      <w:r>
        <w:t>Extension de la désambiguïsation de sexe aux inventeurs de brevets et de modèles d</w:t>
      </w:r>
      <w:r w:rsidR="00061FE0">
        <w:t>’</w:t>
      </w:r>
      <w:r>
        <w:t>utilité dans les collections nationales de propriété intellectuel</w:t>
      </w:r>
      <w:r w:rsidR="000534CE">
        <w:t>le.  Un</w:t>
      </w:r>
      <w:r>
        <w:t>e méthode a été conçue, élaborée et mise en œuvre à titre expérimental pour être appliquée aux données rétrospectives disponibles dans les unités statistiques des bases de données</w:t>
      </w:r>
      <w:r w:rsidR="00072050">
        <w:t> DOCDB et </w:t>
      </w:r>
      <w:r>
        <w:t>PATSTAT à l</w:t>
      </w:r>
      <w:r w:rsidR="00061FE0">
        <w:t>’</w:t>
      </w:r>
      <w:r>
        <w:t>aide du dictionnaire mondial des prénoms classés par sexe</w:t>
      </w:r>
      <w:r w:rsidR="00EA7925">
        <w:t> </w:t>
      </w:r>
      <w:r>
        <w:t>1.0 (WGND</w:t>
      </w:r>
      <w:r w:rsidR="00EA7925">
        <w:t> </w:t>
      </w:r>
      <w:r>
        <w:t>1.0).  Les résultats préliminaires de cette recherche ont été publiés dans la série des Indicateurs mondiaux relatifs à la propriété intellectuelle.</w:t>
      </w:r>
    </w:p>
    <w:p w:rsidR="004B453B" w:rsidRPr="00777A0F" w:rsidRDefault="004B453B" w:rsidP="003128BC">
      <w:pPr>
        <w:pStyle w:val="ONUMFS"/>
        <w:numPr>
          <w:ilvl w:val="1"/>
          <w:numId w:val="16"/>
        </w:numPr>
        <w:ind w:left="1134" w:hanging="567"/>
        <w:rPr>
          <w:rFonts w:eastAsia="Times New Roman"/>
        </w:rPr>
      </w:pPr>
      <w:r>
        <w:lastRenderedPageBreak/>
        <w:t xml:space="preserve">Analyse du potentiel de la désambiguïsation de sexe des unités statistiques des dessins et modèles industriels du système de </w:t>
      </w:r>
      <w:r w:rsidR="00061FE0">
        <w:t>La Ha</w:t>
      </w:r>
      <w:r w:rsidR="000534CE">
        <w:t>ye.  Le</w:t>
      </w:r>
      <w:r>
        <w:t xml:space="preserve">s données ont été récoltées et analysées pour le système de </w:t>
      </w:r>
      <w:r w:rsidR="00061FE0">
        <w:t>La Haye</w:t>
      </w:r>
      <w:r>
        <w:t xml:space="preserve"> au moyen du dictionnaire mondial des prénoms classés par sexe</w:t>
      </w:r>
      <w:r w:rsidR="00EA7925">
        <w:t> </w:t>
      </w:r>
      <w:r>
        <w:t>1.0 (WGND</w:t>
      </w:r>
      <w:r w:rsidR="00EA7925">
        <w:t> </w:t>
      </w:r>
      <w:r>
        <w:t xml:space="preserve">1.0). </w:t>
      </w:r>
      <w:r w:rsidR="001F788B">
        <w:t xml:space="preserve"> </w:t>
      </w:r>
      <w:r>
        <w:t>Comme résultat préliminaire de cette analyse et des analyses suivantes, il a été conclu d</w:t>
      </w:r>
      <w:r w:rsidR="00061FE0">
        <w:t>’</w:t>
      </w:r>
      <w:r>
        <w:t>élargir la couverture internationale des sources du dictionnaire mondial des prénoms classés par sexe</w:t>
      </w:r>
      <w:r w:rsidR="00EA7925">
        <w:t> </w:t>
      </w:r>
      <w:r>
        <w:t>2.0 (WGND</w:t>
      </w:r>
      <w:r w:rsidR="00EA7925">
        <w:t> </w:t>
      </w:r>
      <w:r>
        <w:t>2.0) (voir paragraphe</w:t>
      </w:r>
      <w:r w:rsidR="00EA7925">
        <w:t> </w:t>
      </w:r>
      <w:r w:rsidRPr="00777A0F">
        <w:fldChar w:fldCharType="begin"/>
      </w:r>
      <w:r w:rsidRPr="00777A0F">
        <w:instrText xml:space="preserve"> REF _Ref71554050 \r \h </w:instrText>
      </w:r>
      <w:r w:rsidR="0002634D">
        <w:instrText xml:space="preserve"> \* MERGEFORMAT </w:instrText>
      </w:r>
      <w:r w:rsidRPr="00777A0F">
        <w:fldChar w:fldCharType="separate"/>
      </w:r>
      <w:r w:rsidR="000534CE">
        <w:t>8.2</w:t>
      </w:r>
      <w:r w:rsidRPr="00777A0F">
        <w:fldChar w:fldCharType="end"/>
      </w:r>
      <w:r>
        <w:t>).  Les mêmes informations ont été réanalysées au moyen du dictionnaire mondial des prénoms classés par sexe</w:t>
      </w:r>
      <w:r w:rsidR="00EA7925">
        <w:t> </w:t>
      </w:r>
      <w:r>
        <w:t>2.0 (WGND</w:t>
      </w:r>
      <w:r w:rsidR="00EA7925">
        <w:t> </w:t>
      </w:r>
      <w:r>
        <w:t>2.0).  L</w:t>
      </w:r>
      <w:r w:rsidR="00061FE0">
        <w:t>’</w:t>
      </w:r>
      <w:r>
        <w:t xml:space="preserve">analyse approfondie des unités statistiques du système de </w:t>
      </w:r>
      <w:r w:rsidR="00061FE0">
        <w:t>La Haye</w:t>
      </w:r>
      <w:r>
        <w:t xml:space="preserve"> a révélé deux</w:t>
      </w:r>
      <w:r w:rsidR="001F788B">
        <w:t> </w:t>
      </w:r>
      <w:r>
        <w:t>difficultés principales</w:t>
      </w:r>
      <w:r w:rsidR="00061FE0">
        <w:t> :</w:t>
      </w:r>
      <w:r>
        <w:t xml:space="preserve"> i)</w:t>
      </w:r>
      <w:r w:rsidR="001F788B">
        <w:t> </w:t>
      </w:r>
      <w:r>
        <w:t>l</w:t>
      </w:r>
      <w:r w:rsidR="00061FE0">
        <w:t>’</w:t>
      </w:r>
      <w:r>
        <w:t xml:space="preserve">adhésion de nouveaux membres au système de </w:t>
      </w:r>
      <w:r w:rsidR="00061FE0">
        <w:t>La Haye</w:t>
      </w:r>
      <w:r>
        <w:t xml:space="preserve"> à différents moments génère d</w:t>
      </w:r>
      <w:r w:rsidR="00061FE0">
        <w:t>’</w:t>
      </w:r>
      <w:r>
        <w:t>importantes fluctuations dans l</w:t>
      </w:r>
      <w:r w:rsidR="00061FE0">
        <w:t>’</w:t>
      </w:r>
      <w:r>
        <w:t xml:space="preserve">échantillon; </w:t>
      </w:r>
      <w:r w:rsidR="001F788B">
        <w:t xml:space="preserve"> </w:t>
      </w:r>
      <w:r>
        <w:t>et</w:t>
      </w:r>
      <w:r w:rsidR="00586F34">
        <w:t> </w:t>
      </w:r>
      <w:r>
        <w:t>ii)</w:t>
      </w:r>
      <w:r w:rsidR="001F788B">
        <w:t> </w:t>
      </w:r>
      <w:r>
        <w:t xml:space="preserve">plusieurs États membres du système de </w:t>
      </w:r>
      <w:r w:rsidR="00061FE0">
        <w:t>La Haye</w:t>
      </w:r>
      <w:r>
        <w:t xml:space="preserve"> n</w:t>
      </w:r>
      <w:r w:rsidR="00061FE0">
        <w:t>’</w:t>
      </w:r>
      <w:r>
        <w:t>exigent pas de déclaration des créateurs dans leur loi sur les dessins et modèl</w:t>
      </w:r>
      <w:r w:rsidR="000534CE">
        <w:t>es.  Ce</w:t>
      </w:r>
      <w:r>
        <w:t>s deux</w:t>
      </w:r>
      <w:r w:rsidR="001F788B">
        <w:t> </w:t>
      </w:r>
      <w:r>
        <w:t>difficultés limitent l</w:t>
      </w:r>
      <w:r w:rsidR="00061FE0">
        <w:t>’</w:t>
      </w:r>
      <w:r>
        <w:t>interprétation des tendances mondiales relatives à l</w:t>
      </w:r>
      <w:r w:rsidR="00061FE0">
        <w:t>’</w:t>
      </w:r>
      <w:r>
        <w:t xml:space="preserve">égalité des sexes, </w:t>
      </w:r>
      <w:r w:rsidR="00061FE0">
        <w:t>y compris</w:t>
      </w:r>
      <w:r>
        <w:t xml:space="preserve"> certaines tendances national</w:t>
      </w:r>
      <w:r w:rsidR="000534CE">
        <w:t>es.  Du</w:t>
      </w:r>
      <w:r>
        <w:t>rant l</w:t>
      </w:r>
      <w:r w:rsidR="00061FE0">
        <w:t>’</w:t>
      </w:r>
      <w:r>
        <w:t>analyse, il a été convenu de la nécessité d</w:t>
      </w:r>
      <w:r w:rsidR="00061FE0">
        <w:t>’</w:t>
      </w:r>
      <w:r>
        <w:t>effectuer des travaux plus approfondis avant la publication des résultats.</w:t>
      </w:r>
    </w:p>
    <w:p w:rsidR="004B453B" w:rsidRPr="00777A0F" w:rsidRDefault="004B453B" w:rsidP="003128BC">
      <w:pPr>
        <w:pStyle w:val="ONUMFS"/>
        <w:numPr>
          <w:ilvl w:val="1"/>
          <w:numId w:val="16"/>
        </w:numPr>
        <w:ind w:left="1134" w:hanging="567"/>
      </w:pPr>
      <w:r>
        <w:t>Analyse du potentiel de la désambiguïsation de sexe des unités statistiques des marques du système de Madr</w:t>
      </w:r>
      <w:r w:rsidR="000534CE">
        <w:t>id.  Co</w:t>
      </w:r>
      <w:r>
        <w:t xml:space="preserve">mme pour le système de </w:t>
      </w:r>
      <w:r w:rsidR="00061FE0">
        <w:t>La Haye</w:t>
      </w:r>
      <w:r>
        <w:t>, les données ont été collectées et analysées pour le système de Madrid au moyen des dictionnaires mondiaux des prénoms classés par sexe</w:t>
      </w:r>
      <w:r w:rsidR="00EA7925">
        <w:t> </w:t>
      </w:r>
      <w:r>
        <w:t xml:space="preserve">1.0. </w:t>
      </w:r>
      <w:r w:rsidR="00526D58">
        <w:t xml:space="preserve"> </w:t>
      </w:r>
      <w:r>
        <w:t>et 2.0.  L</w:t>
      </w:r>
      <w:r w:rsidR="00061FE0">
        <w:t>’</w:t>
      </w:r>
      <w:r>
        <w:t>analyse des unités statistiques du système de Madrid a révélé une limitation principale</w:t>
      </w:r>
      <w:r w:rsidR="00061FE0">
        <w:t> :</w:t>
      </w:r>
      <w:r>
        <w:t xml:space="preserve"> les données relatives aux marques comprennent uniquement des renseignements relatifs aux déposants, qui peuvent être des personnes physiques ou moral</w:t>
      </w:r>
      <w:r w:rsidR="000534CE">
        <w:t>es.  Se</w:t>
      </w:r>
      <w:r>
        <w:t>ul le sexe des personnes physiques (c</w:t>
      </w:r>
      <w:r w:rsidR="00061FE0">
        <w:t>’</w:t>
      </w:r>
      <w:r>
        <w:t>est</w:t>
      </w:r>
      <w:r w:rsidR="000534CE">
        <w:noBreakHyphen/>
      </w:r>
      <w:r>
        <w:t>à</w:t>
      </w:r>
      <w:r w:rsidR="000534CE">
        <w:noBreakHyphen/>
      </w:r>
      <w:r>
        <w:t>dire des demandeurs de marques à titre individuel) peut faire l</w:t>
      </w:r>
      <w:r w:rsidR="00061FE0">
        <w:t>’</w:t>
      </w:r>
      <w:r>
        <w:t>objet d</w:t>
      </w:r>
      <w:r w:rsidR="00061FE0">
        <w:t>’</w:t>
      </w:r>
      <w:r>
        <w:t>une désambiguïsation au moyen de dictionnaires de prénoms classés par se</w:t>
      </w:r>
      <w:r w:rsidR="000534CE">
        <w:t>xe.  L’a</w:t>
      </w:r>
      <w:r>
        <w:t>nalyse du sexe des déposants individuels offre une caractérisation partielle de la parité des sexes dans le système de Madr</w:t>
      </w:r>
      <w:r w:rsidR="000534CE">
        <w:t>id.  To</w:t>
      </w:r>
      <w:r>
        <w:t>utefois, il est parfois possible de caractériser les entités les plus petites, telles que les entrepreneurs, les micro</w:t>
      </w:r>
      <w:r w:rsidR="00EA7925">
        <w:t>s</w:t>
      </w:r>
      <w:r>
        <w:t xml:space="preserve"> ou petites entreprises, grâce à ce systè</w:t>
      </w:r>
      <w:r w:rsidR="000534CE">
        <w:t>me.  Ce</w:t>
      </w:r>
      <w:r>
        <w:t>tte interprétation requiert une analyse approfondie avant la publication des résultats.</w:t>
      </w:r>
    </w:p>
    <w:p w:rsidR="004B453B" w:rsidRPr="00777A0F" w:rsidRDefault="004B453B" w:rsidP="00586F34">
      <w:pPr>
        <w:pStyle w:val="ListParagraph"/>
        <w:numPr>
          <w:ilvl w:val="0"/>
          <w:numId w:val="17"/>
        </w:numPr>
        <w:spacing w:after="220"/>
        <w:ind w:left="567" w:hanging="567"/>
      </w:pPr>
      <w:r w:rsidRPr="00586F34">
        <w:rPr>
          <w:b/>
        </w:rPr>
        <w:t>Demande</w:t>
      </w:r>
      <w:r w:rsidR="00EA7925" w:rsidRPr="00586F34">
        <w:rPr>
          <w:b/>
        </w:rPr>
        <w:t> </w:t>
      </w:r>
      <w:r w:rsidRPr="00586F34">
        <w:rPr>
          <w:b/>
        </w:rPr>
        <w:t>2</w:t>
      </w:r>
      <w:r w:rsidR="00061FE0">
        <w:rPr>
          <w:b/>
        </w:rPr>
        <w:t> :</w:t>
      </w:r>
      <w:r w:rsidRPr="00586F34">
        <w:rPr>
          <w:b/>
        </w:rPr>
        <w:t xml:space="preserve"> </w:t>
      </w:r>
      <w:r w:rsidRPr="00586F34">
        <w:rPr>
          <w:i/>
        </w:rPr>
        <w:t>Partager les méthodes et les procédures de collecte de données ventilées par sexe, les indicateurs utilisés, les méthodes de suivi et d</w:t>
      </w:r>
      <w:r w:rsidR="00061FE0">
        <w:rPr>
          <w:i/>
        </w:rPr>
        <w:t>’</w:t>
      </w:r>
      <w:r w:rsidRPr="00586F34">
        <w:rPr>
          <w:i/>
        </w:rPr>
        <w:t>évaluation, et l</w:t>
      </w:r>
      <w:r w:rsidR="00061FE0">
        <w:rPr>
          <w:i/>
        </w:rPr>
        <w:t>’</w:t>
      </w:r>
      <w:r w:rsidRPr="00586F34">
        <w:rPr>
          <w:i/>
        </w:rPr>
        <w:t>analyse économique des écarts entre les sexes en matière de propriété intellectuelle.</w:t>
      </w:r>
    </w:p>
    <w:p w:rsidR="004B453B" w:rsidRPr="00777A0F" w:rsidRDefault="004B453B" w:rsidP="0002634D">
      <w:pPr>
        <w:pStyle w:val="ONUMFS"/>
      </w:pPr>
      <w:bookmarkStart w:id="8" w:name="_Ref71563722"/>
      <w:r>
        <w:t xml:space="preserve">Au cours de la même période, le Secrétariat a mis en </w:t>
      </w:r>
      <w:r w:rsidR="00FC7ABF">
        <w:t>œuvre</w:t>
      </w:r>
      <w:r>
        <w:t xml:space="preserve"> plusieurs initiatives de partage des analyses et des méthodologies concernant les femmes et les thèmes liés à la propriété intellectuel</w:t>
      </w:r>
      <w:r w:rsidR="000534CE">
        <w:t>le.  Pa</w:t>
      </w:r>
      <w:r>
        <w:t>r exemple, la Section de l</w:t>
      </w:r>
      <w:r w:rsidR="00061FE0">
        <w:t>’</w:t>
      </w:r>
      <w:r>
        <w:t>économie de l</w:t>
      </w:r>
      <w:r w:rsidR="00061FE0">
        <w:t>’</w:t>
      </w:r>
      <w:r>
        <w:t>innovation a étudié plusieurs manières de communiquer publiquement la première version de la méthodologie de désambiguïsation de sexe (basée sur le dictionnaire mondial des prénoms classés par sexe</w:t>
      </w:r>
      <w:r w:rsidR="00EA7925">
        <w:t> </w:t>
      </w:r>
      <w:r>
        <w:t>1.0), notamment</w:t>
      </w:r>
      <w:r w:rsidR="00061FE0">
        <w:t> :</w:t>
      </w:r>
      <w:bookmarkEnd w:id="8"/>
    </w:p>
    <w:p w:rsidR="00FC7ABF" w:rsidRDefault="004B453B" w:rsidP="007C56CD">
      <w:pPr>
        <w:pStyle w:val="ONUMFS"/>
        <w:numPr>
          <w:ilvl w:val="1"/>
          <w:numId w:val="19"/>
        </w:numPr>
        <w:ind w:left="1134" w:hanging="567"/>
      </w:pPr>
      <w:r>
        <w:t xml:space="preserve">Établir un contact direct avec les réseaux académiques, les organismes des </w:t>
      </w:r>
      <w:r w:rsidR="00061FE0">
        <w:t>Nations Unies</w:t>
      </w:r>
      <w:r>
        <w:t xml:space="preserve"> (tels que ONU Femmes et l</w:t>
      </w:r>
      <w:r w:rsidR="00061FE0">
        <w:t>’</w:t>
      </w:r>
      <w:r>
        <w:t>UNESCO) et les personnes intéressées des sociétés privées</w:t>
      </w:r>
      <w:r w:rsidR="00CE1003">
        <w:t>.</w:t>
      </w:r>
    </w:p>
    <w:p w:rsidR="004B453B" w:rsidRPr="00777A0F" w:rsidRDefault="004B453B" w:rsidP="007C56CD">
      <w:pPr>
        <w:pStyle w:val="ONUMFS"/>
        <w:numPr>
          <w:ilvl w:val="1"/>
          <w:numId w:val="19"/>
        </w:numPr>
        <w:ind w:left="1134" w:hanging="567"/>
      </w:pPr>
      <w:r>
        <w:t>Utiliser la base de données Harvard Dataverse Repository, qui est un répertoire de données gratuit et ouvert à tous les chercheurs de toutes disciplines, aussi bien à l</w:t>
      </w:r>
      <w:r w:rsidR="00061FE0">
        <w:t>’</w:t>
      </w:r>
      <w:r>
        <w:t>intérieur qu</w:t>
      </w:r>
      <w:r w:rsidR="00061FE0">
        <w:t>’</w:t>
      </w:r>
      <w:r>
        <w:t>à l</w:t>
      </w:r>
      <w:r w:rsidR="00061FE0">
        <w:t>’</w:t>
      </w:r>
      <w:r>
        <w:t>extérieur de la communauté de Harvard</w:t>
      </w:r>
      <w:r w:rsidR="00CE1003">
        <w:t xml:space="preserve"> (</w:t>
      </w:r>
      <w:hyperlink r:id="rId15" w:history="1">
        <w:r w:rsidR="00CE1003">
          <w:rPr>
            <w:rStyle w:val="Hyperlink"/>
            <w:bCs/>
          </w:rPr>
          <w:t>Dataverse Repository</w:t>
        </w:r>
      </w:hyperlink>
      <w:r w:rsidR="00CE1003" w:rsidRPr="00CE1003">
        <w:rPr>
          <w:rStyle w:val="Hyperlink"/>
          <w:bCs/>
          <w:color w:val="auto"/>
          <w:u w:val="none"/>
        </w:rPr>
        <w:t>)</w:t>
      </w:r>
      <w:r w:rsidR="00CE1003">
        <w:t>.</w:t>
      </w:r>
    </w:p>
    <w:p w:rsidR="004B453B" w:rsidRPr="00777A0F" w:rsidRDefault="004B453B" w:rsidP="007C56CD">
      <w:pPr>
        <w:pStyle w:val="ONUMFS"/>
        <w:numPr>
          <w:ilvl w:val="1"/>
          <w:numId w:val="19"/>
        </w:numPr>
        <w:ind w:left="1134" w:hanging="567"/>
      </w:pPr>
      <w:r>
        <w:t>Utiliser la base de données GitHub Repository pour communiquer les données du dictionnaire mondial des prénoms classés par sexe à un plus large public et élaborer des outils sur cette base (</w:t>
      </w:r>
      <w:hyperlink r:id="rId16" w:history="1">
        <w:r>
          <w:rPr>
            <w:rStyle w:val="Hyperlink"/>
            <w:bCs/>
          </w:rPr>
          <w:t>GitHub Repository</w:t>
        </w:r>
      </w:hyperlink>
      <w:r>
        <w:t>).</w:t>
      </w:r>
    </w:p>
    <w:p w:rsidR="00FC7ABF" w:rsidRDefault="004B453B" w:rsidP="0002634D">
      <w:pPr>
        <w:pStyle w:val="ONUMFS"/>
      </w:pPr>
      <w:r>
        <w:lastRenderedPageBreak/>
        <w:t>À partir des expériences de partage mentionnées ci</w:t>
      </w:r>
      <w:r w:rsidR="000534CE">
        <w:noBreakHyphen/>
      </w:r>
      <w:r>
        <w:t>dessus, le Secrétariat constate que ces canaux fonctionnent plutôt bien pour un public spécialisé, mais qu</w:t>
      </w:r>
      <w:r w:rsidR="00061FE0">
        <w:t>’</w:t>
      </w:r>
      <w:r>
        <w:t>ils atteignent difficilement un public plus génér</w:t>
      </w:r>
      <w:r w:rsidR="000534CE">
        <w:t>al.  En</w:t>
      </w:r>
      <w:r>
        <w:t xml:space="preserve"> particulier, le canal de communication direct a eu un impact dans plusieurs offices de propriété intellectuelle (tels que l</w:t>
      </w:r>
      <w:r w:rsidR="00061FE0">
        <w:t>’</w:t>
      </w:r>
      <w:r>
        <w:t>Office des brevets et des marques des États</w:t>
      </w:r>
      <w:r w:rsidR="000534CE">
        <w:noBreakHyphen/>
      </w:r>
      <w:r>
        <w:t>Unis d</w:t>
      </w:r>
      <w:r w:rsidR="00061FE0">
        <w:t>’</w:t>
      </w:r>
      <w:r>
        <w:t>Amérique et l</w:t>
      </w:r>
      <w:r w:rsidR="00061FE0">
        <w:t>’</w:t>
      </w:r>
      <w:r>
        <w:t>Office de la propriété intellectuelle du Canada, entre autres) et chez les chercheurs, mais la plupart d</w:t>
      </w:r>
      <w:r w:rsidR="00061FE0">
        <w:t>’</w:t>
      </w:r>
      <w:r>
        <w:t>entre eux étaient établis dans des pays développ</w:t>
      </w:r>
      <w:r w:rsidR="000534CE">
        <w:t>és.  Le</w:t>
      </w:r>
      <w:r>
        <w:t xml:space="preserve">s expériences de partage numérique montrent que la diffusion est bien plus large, avec plus </w:t>
      </w:r>
      <w:r w:rsidR="00061FE0">
        <w:t>de 1400</w:t>
      </w:r>
      <w:r w:rsidR="00EA7925">
        <w:t> </w:t>
      </w:r>
      <w:r>
        <w:t>téléchargements sur le site de l</w:t>
      </w:r>
      <w:r w:rsidR="00061FE0">
        <w:t>’</w:t>
      </w:r>
      <w:r>
        <w:t xml:space="preserve">OMPI et </w:t>
      </w:r>
      <w:r w:rsidR="001F788B">
        <w:t>1353</w:t>
      </w:r>
      <w:r w:rsidR="00EA7925">
        <w:t> </w:t>
      </w:r>
      <w:r>
        <w:t>té</w:t>
      </w:r>
      <w:r w:rsidR="00EA7925">
        <w:t>lé</w:t>
      </w:r>
      <w:r>
        <w:t>chargements de la base de données Harvard Dataverse</w:t>
      </w:r>
      <w:r w:rsidRPr="00B04E84">
        <w:rPr>
          <w:rStyle w:val="FootnoteReference"/>
          <w:rFonts w:eastAsia="Times New Roman"/>
          <w:szCs w:val="22"/>
        </w:rPr>
        <w:footnoteReference w:id="2"/>
      </w:r>
      <w:r w:rsidR="00AD229E" w:rsidRPr="00B04E84">
        <w:rPr>
          <w:szCs w:val="22"/>
        </w:rPr>
        <w:t>.</w:t>
      </w:r>
    </w:p>
    <w:p w:rsidR="004B453B" w:rsidRPr="00777A0F" w:rsidRDefault="004B453B" w:rsidP="0002634D">
      <w:pPr>
        <w:pStyle w:val="ONUMFS"/>
      </w:pPr>
      <w:r>
        <w:t>Afin d</w:t>
      </w:r>
      <w:r w:rsidR="00061FE0">
        <w:t>’</w:t>
      </w:r>
      <w:r>
        <w:t>encourager une diffusion plus large et rapide des méthodologies et analyses relatives au sexe, la Section de l</w:t>
      </w:r>
      <w:r w:rsidR="00061FE0">
        <w:t>’</w:t>
      </w:r>
      <w:r>
        <w:t>économie de l</w:t>
      </w:r>
      <w:r w:rsidR="00061FE0">
        <w:t>’</w:t>
      </w:r>
      <w:r>
        <w:t xml:space="preserve">innovation a préparé un nouveau projet de document intitulé </w:t>
      </w:r>
      <w:r>
        <w:rPr>
          <w:i/>
        </w:rPr>
        <w:t xml:space="preserve">Directives </w:t>
      </w:r>
      <w:r>
        <w:t xml:space="preserve">portant sur la manière de mesurer </w:t>
      </w:r>
      <w:r w:rsidRPr="00117BFC">
        <w:t>les disparités hommes</w:t>
      </w:r>
      <w:r w:rsidR="000534CE">
        <w:noBreakHyphen/>
      </w:r>
      <w:r w:rsidRPr="00117BFC">
        <w:t>femmes dans le domaine de la propriété intellectuel</w:t>
      </w:r>
      <w:r w:rsidR="000534CE" w:rsidRPr="00117BFC">
        <w:t>le</w:t>
      </w:r>
      <w:r w:rsidR="000534CE">
        <w:t>.  Ce</w:t>
      </w:r>
      <w:r>
        <w:t>s directives font connaître les principes de la désambiguïsation de sexe dans les données de propriété intellectuelle et les indicateurs de sexe associés.</w:t>
      </w:r>
    </w:p>
    <w:p w:rsidR="00FC7ABF" w:rsidRDefault="004B453B" w:rsidP="0002634D">
      <w:pPr>
        <w:pStyle w:val="ONUMFS"/>
      </w:pPr>
      <w:r>
        <w:t>Pour compléter ces directives, la Section de l</w:t>
      </w:r>
      <w:r w:rsidR="00061FE0">
        <w:t>’</w:t>
      </w:r>
      <w:r>
        <w:t>économie de l</w:t>
      </w:r>
      <w:r w:rsidR="00061FE0">
        <w:t>’</w:t>
      </w:r>
      <w:r>
        <w:t xml:space="preserve">innovation a créé une série de contenus Internet relatifs à </w:t>
      </w:r>
      <w:hyperlink r:id="rId17" w:history="1">
        <w:r w:rsidRPr="00AD229E">
          <w:rPr>
            <w:rStyle w:val="Hyperlink"/>
            <w:color w:val="auto"/>
            <w:u w:val="none"/>
          </w:rPr>
          <w:t>“</w:t>
        </w:r>
        <w:r>
          <w:rPr>
            <w:rStyle w:val="Hyperlink"/>
          </w:rPr>
          <w:t>l</w:t>
        </w:r>
        <w:r w:rsidR="00061FE0">
          <w:rPr>
            <w:rStyle w:val="Hyperlink"/>
          </w:rPr>
          <w:t>’</w:t>
        </w:r>
        <w:r>
          <w:rPr>
            <w:rStyle w:val="Hyperlink"/>
          </w:rPr>
          <w:t>innovation, la créativité et la parité</w:t>
        </w:r>
        <w:r w:rsidRPr="00AD229E">
          <w:rPr>
            <w:rStyle w:val="Hyperlink"/>
            <w:color w:val="auto"/>
            <w:u w:val="none"/>
          </w:rPr>
          <w:t>”</w:t>
        </w:r>
      </w:hyperlink>
      <w:r>
        <w:t xml:space="preserve"> expliquant les recherches économiques et méthodologiques du Secrétariat à un public plus large</w:t>
      </w:r>
      <w:r w:rsidRPr="00FF68D3">
        <w:rPr>
          <w:rStyle w:val="FootnoteReference"/>
        </w:rPr>
        <w:footnoteReference w:id="3"/>
      </w:r>
      <w:r w:rsidR="001F788B">
        <w:t>.</w:t>
      </w:r>
      <w:r>
        <w:t xml:space="preserve">  Les retours d</w:t>
      </w:r>
      <w:r w:rsidR="00061FE0">
        <w:t>’</w:t>
      </w:r>
      <w:r>
        <w:t>information préliminaires indiquent que ces contenus pourraient être utilisés non seulement pour promouvoir les travaux de l</w:t>
      </w:r>
      <w:r w:rsidR="00061FE0">
        <w:t>’</w:t>
      </w:r>
      <w:r>
        <w:t>OMPI sur ce thème, mais également pour mettre en lumière les travaux des autres offices nationaux de propriété intellectuelle, tels que ceux des États</w:t>
      </w:r>
      <w:r w:rsidR="000534CE">
        <w:noBreakHyphen/>
      </w:r>
      <w:r>
        <w:t>Unis d</w:t>
      </w:r>
      <w:r w:rsidR="00061FE0">
        <w:t>’</w:t>
      </w:r>
      <w:r>
        <w:t>Amérique, du Royaume</w:t>
      </w:r>
      <w:r w:rsidR="000534CE">
        <w:noBreakHyphen/>
      </w:r>
      <w:r>
        <w:t>Uni, du Canada ou du Chili, ainsi que ceux d</w:t>
      </w:r>
      <w:r w:rsidR="00061FE0">
        <w:t>’</w:t>
      </w:r>
      <w:r>
        <w:t>autres partenaires tels que ONU Femmes ou l</w:t>
      </w:r>
      <w:r w:rsidR="00061FE0">
        <w:t>’</w:t>
      </w:r>
      <w:r>
        <w:t>UNE</w:t>
      </w:r>
      <w:r w:rsidR="000534CE">
        <w:t>SCO.  Le</w:t>
      </w:r>
      <w:r>
        <w:t xml:space="preserve"> public ciblé est, entre autres, les fonctionnaires nationaux des États membres et des organismes publics internationaux, les chercheurs et étudiants à travers le monde ainsi que toute personne intéressée par le sujet.</w:t>
      </w:r>
    </w:p>
    <w:p w:rsidR="004B453B" w:rsidRPr="00777A0F" w:rsidRDefault="004B453B" w:rsidP="00AF5936">
      <w:pPr>
        <w:pStyle w:val="Heading1"/>
        <w:rPr>
          <w:szCs w:val="22"/>
        </w:rPr>
      </w:pPr>
      <w:r>
        <w:br w:type="page"/>
      </w:r>
      <w:r w:rsidR="00AF5936">
        <w:lastRenderedPageBreak/>
        <w:t>Voie à suivre</w:t>
      </w:r>
    </w:p>
    <w:p w:rsidR="004B453B" w:rsidRPr="00777A0F" w:rsidRDefault="004B453B" w:rsidP="0002634D">
      <w:pPr>
        <w:pStyle w:val="ONUMFS"/>
      </w:pPr>
      <w:r>
        <w:t>À partir de l</w:t>
      </w:r>
      <w:r w:rsidR="00061FE0">
        <w:t>’</w:t>
      </w:r>
      <w:r>
        <w:t>expérience du Secrétariat durant la période examinée, une série d</w:t>
      </w:r>
      <w:r w:rsidR="00061FE0">
        <w:t>’</w:t>
      </w:r>
      <w:r>
        <w:t>étapes concrètes doivent être examinées.</w:t>
      </w:r>
    </w:p>
    <w:p w:rsidR="004B453B" w:rsidRPr="005B436A" w:rsidRDefault="004B453B" w:rsidP="0002634D">
      <w:pPr>
        <w:pStyle w:val="ONUMFS"/>
      </w:pPr>
      <w:r>
        <w:t>En premier</w:t>
      </w:r>
      <w:r w:rsidR="00E30ED7">
        <w:t> </w:t>
      </w:r>
      <w:r>
        <w:t>lieu, le Secrétariat doit faciliter l</w:t>
      </w:r>
      <w:r w:rsidR="00061FE0">
        <w:t>’</w:t>
      </w:r>
      <w:r>
        <w:t>accès au contenu méthodologique en matière de parité à un public non spéciali</w:t>
      </w:r>
      <w:r w:rsidR="000534CE">
        <w:t>sé.  Ce</w:t>
      </w:r>
      <w:r>
        <w:t>la permettra la diffusion des méthodologies à un plus grand nombre d</w:t>
      </w:r>
      <w:r w:rsidR="00061FE0">
        <w:t>’</w:t>
      </w:r>
      <w:r>
        <w:t>États membres et la création à l</w:t>
      </w:r>
      <w:r w:rsidR="00061FE0">
        <w:t>’</w:t>
      </w:r>
      <w:r>
        <w:t>échelle locale de compétences en matière de production d</w:t>
      </w:r>
      <w:r w:rsidR="00061FE0">
        <w:t>’</w:t>
      </w:r>
      <w:r>
        <w:t>analyses favorables à l</w:t>
      </w:r>
      <w:r w:rsidR="00061FE0">
        <w:t>’</w:t>
      </w:r>
      <w:r>
        <w:t>égalité des sexes et ventilées par se</w:t>
      </w:r>
      <w:r w:rsidR="000534CE">
        <w:t>xe.  Ce</w:t>
      </w:r>
      <w:r>
        <w:t>s efforts de diffusion comprendront la publication de travaux de recherche et d</w:t>
      </w:r>
      <w:r w:rsidR="00061FE0">
        <w:t>’</w:t>
      </w:r>
      <w:r w:rsidR="00FC7ABF">
        <w:t>articles W</w:t>
      </w:r>
      <w:r>
        <w:t xml:space="preserve">eb relatifs à </w:t>
      </w:r>
      <w:r w:rsidR="00FC7ABF">
        <w:t>“</w:t>
      </w:r>
      <w:r>
        <w:t>l</w:t>
      </w:r>
      <w:r w:rsidR="00061FE0">
        <w:t>’</w:t>
      </w:r>
      <w:r>
        <w:t>innovation, la créativité et la parité</w:t>
      </w:r>
      <w:r w:rsidR="00FC7ABF">
        <w:t>”</w:t>
      </w:r>
      <w:r>
        <w:t xml:space="preserve"> et l</w:t>
      </w:r>
      <w:r w:rsidR="00061FE0">
        <w:t>’</w:t>
      </w:r>
      <w:r>
        <w:t>organisation d</w:t>
      </w:r>
      <w:r w:rsidR="00061FE0">
        <w:t>’</w:t>
      </w:r>
      <w:r>
        <w:t>ateliers de renforcement des capacités et de séances de partage d</w:t>
      </w:r>
      <w:r w:rsidR="00061FE0">
        <w:t>’</w:t>
      </w:r>
      <w:r>
        <w:t>information adaptés à cette problématiq</w:t>
      </w:r>
      <w:r w:rsidR="000534CE">
        <w:t>ue.  Ce</w:t>
      </w:r>
      <w:r>
        <w:t>s activités seront proposées dans le cadre des séances de partage appuyées par la décision</w:t>
      </w:r>
      <w:r w:rsidR="00FC7ABF">
        <w:t xml:space="preserve"> du CDI</w:t>
      </w:r>
      <w:r>
        <w:t xml:space="preserve">P relative aux </w:t>
      </w:r>
      <w:r w:rsidR="00FC7ABF">
        <w:t>“</w:t>
      </w:r>
      <w:r>
        <w:t>Femmes en propriété intellectuelle</w:t>
      </w:r>
      <w:r w:rsidR="00FC7ABF">
        <w:t>”</w:t>
      </w:r>
      <w:r>
        <w:t>.</w:t>
      </w:r>
    </w:p>
    <w:p w:rsidR="004B453B" w:rsidRDefault="004B453B" w:rsidP="0002634D">
      <w:pPr>
        <w:pStyle w:val="ONUMFS"/>
      </w:pPr>
      <w:r>
        <w:t>En second</w:t>
      </w:r>
      <w:r w:rsidR="00E30ED7">
        <w:t> </w:t>
      </w:r>
      <w:r>
        <w:t>lieu, le Secrétariat continuera de mener des recherches sur les méthodologies, visant à étendre et à analyser les données internationales comparables et ventilées relatives au sexe des créateurs et des titulaires de droits de propriété intellectuel</w:t>
      </w:r>
      <w:r w:rsidR="000534CE">
        <w:t>le.  En</w:t>
      </w:r>
      <w:r>
        <w:t xml:space="preserve"> particulier, il convient de citer </w:t>
      </w:r>
      <w:r>
        <w:rPr>
          <w:color w:val="000000"/>
        </w:rPr>
        <w:t>les méthodologies visant à élargir l</w:t>
      </w:r>
      <w:r w:rsidR="00061FE0">
        <w:rPr>
          <w:color w:val="000000"/>
        </w:rPr>
        <w:t>’</w:t>
      </w:r>
      <w:r>
        <w:rPr>
          <w:color w:val="000000"/>
        </w:rPr>
        <w:t>analyse à d</w:t>
      </w:r>
      <w:r w:rsidR="00061FE0">
        <w:rPr>
          <w:color w:val="000000"/>
        </w:rPr>
        <w:t>’</w:t>
      </w:r>
      <w:r>
        <w:rPr>
          <w:color w:val="000000"/>
        </w:rPr>
        <w:t>autres formes de propriété intellectuelle, telles que les modèles d</w:t>
      </w:r>
      <w:r w:rsidR="00061FE0">
        <w:rPr>
          <w:color w:val="000000"/>
        </w:rPr>
        <w:t>’</w:t>
      </w:r>
      <w:r>
        <w:rPr>
          <w:color w:val="000000"/>
        </w:rPr>
        <w:t>utilité, les dessins et modèles industriels ou les marques.</w:t>
      </w:r>
    </w:p>
    <w:p w:rsidR="004B453B" w:rsidRPr="00E30ED7" w:rsidRDefault="004B453B" w:rsidP="00E30ED7">
      <w:pPr>
        <w:pStyle w:val="ONUMFS"/>
        <w:ind w:left="5533"/>
        <w:rPr>
          <w:i/>
          <w:szCs w:val="22"/>
        </w:rPr>
      </w:pPr>
      <w:r w:rsidRPr="00E30ED7">
        <w:rPr>
          <w:i/>
          <w:szCs w:val="22"/>
        </w:rPr>
        <w:t xml:space="preserve">Le </w:t>
      </w:r>
      <w:r w:rsidR="001F788B" w:rsidRPr="00E30ED7">
        <w:rPr>
          <w:i/>
          <w:szCs w:val="22"/>
        </w:rPr>
        <w:t>comité</w:t>
      </w:r>
      <w:r w:rsidRPr="00E30ED7">
        <w:rPr>
          <w:i/>
          <w:szCs w:val="22"/>
        </w:rPr>
        <w:t xml:space="preserve"> est invité à prendre note des renseignements contenus dans le présent document.</w:t>
      </w:r>
    </w:p>
    <w:p w:rsidR="004B453B" w:rsidRPr="00E30ED7" w:rsidRDefault="004B453B" w:rsidP="00E30ED7">
      <w:pPr>
        <w:pStyle w:val="Endofdocument-Annex"/>
      </w:pPr>
      <w:r>
        <w:t>[</w:t>
      </w:r>
      <w:r w:rsidRPr="00E30ED7">
        <w:t>Fin du document]</w:t>
      </w:r>
    </w:p>
    <w:sectPr w:rsidR="004B453B" w:rsidRPr="00E30ED7" w:rsidSect="00B1326A">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3B" w:rsidRDefault="004B453B">
      <w:r>
        <w:separator/>
      </w:r>
    </w:p>
  </w:endnote>
  <w:endnote w:type="continuationSeparator" w:id="0">
    <w:p w:rsidR="004B453B" w:rsidRPr="009D30E6" w:rsidRDefault="004B453B" w:rsidP="00D45252">
      <w:pPr>
        <w:rPr>
          <w:sz w:val="17"/>
          <w:szCs w:val="17"/>
        </w:rPr>
      </w:pPr>
      <w:r w:rsidRPr="009D30E6">
        <w:rPr>
          <w:sz w:val="17"/>
          <w:szCs w:val="17"/>
        </w:rPr>
        <w:separator/>
      </w:r>
    </w:p>
    <w:p w:rsidR="004B453B" w:rsidRPr="009D30E6" w:rsidRDefault="004B453B" w:rsidP="00D45252">
      <w:pPr>
        <w:spacing w:after="60"/>
        <w:rPr>
          <w:sz w:val="17"/>
          <w:szCs w:val="17"/>
        </w:rPr>
      </w:pPr>
      <w:r w:rsidRPr="009D30E6">
        <w:rPr>
          <w:sz w:val="17"/>
          <w:szCs w:val="17"/>
        </w:rPr>
        <w:t>[Suite de la note de la page précédente]</w:t>
      </w:r>
    </w:p>
  </w:endnote>
  <w:endnote w:type="continuationNotice" w:id="1">
    <w:p w:rsidR="004B453B" w:rsidRPr="009D30E6" w:rsidRDefault="004B453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25" w:rsidRDefault="00EA7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25" w:rsidRDefault="00EA7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25" w:rsidRDefault="00EA7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3B" w:rsidRDefault="004B453B">
      <w:r>
        <w:separator/>
      </w:r>
    </w:p>
  </w:footnote>
  <w:footnote w:type="continuationSeparator" w:id="0">
    <w:p w:rsidR="004B453B" w:rsidRDefault="004B453B" w:rsidP="007461F1">
      <w:r>
        <w:separator/>
      </w:r>
    </w:p>
    <w:p w:rsidR="004B453B" w:rsidRPr="009D30E6" w:rsidRDefault="004B453B" w:rsidP="007461F1">
      <w:pPr>
        <w:spacing w:after="60"/>
        <w:rPr>
          <w:sz w:val="17"/>
          <w:szCs w:val="17"/>
        </w:rPr>
      </w:pPr>
      <w:r w:rsidRPr="009D30E6">
        <w:rPr>
          <w:sz w:val="17"/>
          <w:szCs w:val="17"/>
        </w:rPr>
        <w:t>[Suite de la note de la page précédente]</w:t>
      </w:r>
    </w:p>
  </w:footnote>
  <w:footnote w:type="continuationNotice" w:id="1">
    <w:p w:rsidR="004B453B" w:rsidRPr="009D30E6" w:rsidRDefault="004B453B" w:rsidP="007461F1">
      <w:pPr>
        <w:spacing w:before="60"/>
        <w:jc w:val="right"/>
        <w:rPr>
          <w:sz w:val="17"/>
          <w:szCs w:val="17"/>
        </w:rPr>
      </w:pPr>
      <w:r w:rsidRPr="009D30E6">
        <w:rPr>
          <w:sz w:val="17"/>
          <w:szCs w:val="17"/>
        </w:rPr>
        <w:t>[Suite de la note page suivante]</w:t>
      </w:r>
    </w:p>
  </w:footnote>
  <w:footnote w:id="2">
    <w:p w:rsidR="004B453B" w:rsidRDefault="004B453B" w:rsidP="004B453B">
      <w:pPr>
        <w:pStyle w:val="FootnoteText"/>
      </w:pPr>
      <w:r>
        <w:rPr>
          <w:rStyle w:val="FootnoteReference"/>
        </w:rPr>
        <w:footnoteRef/>
      </w:r>
      <w:r w:rsidR="00AD229E">
        <w:tab/>
      </w:r>
      <w:r>
        <w:t>Il est encore trop tôt pour évaluer les participations enregistrées sur la plateforme</w:t>
      </w:r>
      <w:r w:rsidR="00AD229E">
        <w:t> </w:t>
      </w:r>
      <w:r w:rsidR="00BD5CC2">
        <w:t>GitHub.</w:t>
      </w:r>
    </w:p>
  </w:footnote>
  <w:footnote w:id="3">
    <w:p w:rsidR="004B453B" w:rsidRDefault="004B453B" w:rsidP="004B453B">
      <w:pPr>
        <w:pStyle w:val="FootnoteText"/>
      </w:pPr>
      <w:r>
        <w:rPr>
          <w:rStyle w:val="FootnoteReference"/>
        </w:rPr>
        <w:footnoteRef/>
      </w:r>
      <w:r w:rsidR="00AD229E">
        <w:tab/>
      </w:r>
      <w:r>
        <w:t>À la rédaction du présent document, les contenus étaient sur le point d</w:t>
      </w:r>
      <w:r w:rsidR="009C492C">
        <w:t>’</w:t>
      </w:r>
      <w:r>
        <w:t>être publiés sur le site</w:t>
      </w:r>
      <w:r w:rsidR="001F788B">
        <w:t> </w:t>
      </w:r>
      <w:r>
        <w:t>Web de l</w:t>
      </w:r>
      <w:r w:rsidR="009C492C">
        <w:t>’</w:t>
      </w:r>
      <w:r>
        <w:t>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25" w:rsidRDefault="00EA7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4B453B" w:rsidP="00477D6B">
    <w:pPr>
      <w:jc w:val="right"/>
      <w:rPr>
        <w:caps/>
      </w:rPr>
    </w:pPr>
    <w:bookmarkStart w:id="9" w:name="Code2"/>
    <w:bookmarkEnd w:id="9"/>
    <w:r>
      <w:rPr>
        <w:caps/>
      </w:rPr>
      <w:t>CDIP/26/7</w:t>
    </w:r>
  </w:p>
  <w:p w:rsidR="00F16975" w:rsidRDefault="00F16975" w:rsidP="00477D6B">
    <w:pPr>
      <w:jc w:val="right"/>
    </w:pPr>
    <w:r>
      <w:t>page</w:t>
    </w:r>
    <w:r w:rsidR="00EA7925">
      <w:t> </w:t>
    </w:r>
    <w:r>
      <w:fldChar w:fldCharType="begin"/>
    </w:r>
    <w:r>
      <w:instrText xml:space="preserve"> PAGE  \* MERGEFORMAT </w:instrText>
    </w:r>
    <w:r>
      <w:fldChar w:fldCharType="separate"/>
    </w:r>
    <w:r w:rsidR="004302F9">
      <w:rPr>
        <w:noProof/>
      </w:rPr>
      <w:t>2</w:t>
    </w:r>
    <w:r>
      <w:fldChar w:fldCharType="end"/>
    </w:r>
  </w:p>
  <w:p w:rsidR="00F16975" w:rsidRDefault="00F16975" w:rsidP="00477D6B">
    <w:pPr>
      <w:jc w:val="right"/>
    </w:pPr>
  </w:p>
  <w:p w:rsidR="00574036" w:rsidRDefault="0057403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25" w:rsidRDefault="00EA7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4ED2FFA"/>
    <w:multiLevelType w:val="multilevel"/>
    <w:tmpl w:val="0409001F"/>
    <w:lvl w:ilvl="0">
      <w:start w:val="1"/>
      <w:numFmt w:val="decimal"/>
      <w:lvlText w:val="%1."/>
      <w:lvlJc w:val="left"/>
      <w:pPr>
        <w:ind w:left="360" w:hanging="360"/>
      </w:pPr>
      <w:rPr>
        <w:rFonts w:hint="default"/>
        <w:b w:val="0"/>
        <w:i w:val="0"/>
        <w:color w:val="auto"/>
      </w:rPr>
    </w:lvl>
    <w:lvl w:ilvl="1">
      <w:start w:val="1"/>
      <w:numFmt w:val="decimal"/>
      <w:lvlText w:val="%1.%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4F36CD6"/>
    <w:multiLevelType w:val="multilevel"/>
    <w:tmpl w:val="1D0CC4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C1337"/>
    <w:multiLevelType w:val="hybridMultilevel"/>
    <w:tmpl w:val="AE884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2C5B84"/>
    <w:multiLevelType w:val="multilevel"/>
    <w:tmpl w:val="422E548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D13D8"/>
    <w:multiLevelType w:val="hybridMultilevel"/>
    <w:tmpl w:val="2DAA4ACC"/>
    <w:lvl w:ilvl="0" w:tplc="EBBE9D0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419F5"/>
    <w:multiLevelType w:val="multilevel"/>
    <w:tmpl w:val="F800C1DE"/>
    <w:lvl w:ilvl="0">
      <w:start w:val="8"/>
      <w:numFmt w:val="decimal"/>
      <w:lvlText w:val="%1"/>
      <w:lvlJc w:val="left"/>
      <w:pPr>
        <w:ind w:left="360" w:hanging="360"/>
      </w:pPr>
      <w:rPr>
        <w:rFonts w:eastAsia="SimSun" w:hint="default"/>
      </w:rPr>
    </w:lvl>
    <w:lvl w:ilvl="1">
      <w:start w:val="1"/>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43F847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ED6C8F"/>
    <w:multiLevelType w:val="multilevel"/>
    <w:tmpl w:val="CDD8594C"/>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662893"/>
    <w:multiLevelType w:val="hybridMultilevel"/>
    <w:tmpl w:val="9F1A5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505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AC61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07700A"/>
    <w:multiLevelType w:val="hybridMultilevel"/>
    <w:tmpl w:val="DB18D186"/>
    <w:lvl w:ilvl="0" w:tplc="D2EC1F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12C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1"/>
  </w:num>
  <w:num w:numId="3">
    <w:abstractNumId w:val="0"/>
  </w:num>
  <w:num w:numId="4">
    <w:abstractNumId w:val="13"/>
  </w:num>
  <w:num w:numId="5">
    <w:abstractNumId w:val="2"/>
  </w:num>
  <w:num w:numId="6">
    <w:abstractNumId w:val="9"/>
  </w:num>
  <w:num w:numId="7">
    <w:abstractNumId w:val="1"/>
  </w:num>
  <w:num w:numId="8">
    <w:abstractNumId w:val="17"/>
  </w:num>
  <w:num w:numId="9">
    <w:abstractNumId w:val="7"/>
  </w:num>
  <w:num w:numId="10">
    <w:abstractNumId w:val="14"/>
  </w:num>
  <w:num w:numId="11">
    <w:abstractNumId w:val="15"/>
  </w:num>
  <w:num w:numId="12">
    <w:abstractNumId w:val="12"/>
  </w:num>
  <w:num w:numId="13">
    <w:abstractNumId w:val="18"/>
  </w:num>
  <w:num w:numId="14">
    <w:abstractNumId w:val="8"/>
  </w:num>
  <w:num w:numId="15">
    <w:abstractNumId w:val="16"/>
  </w:num>
  <w:num w:numId="16">
    <w:abstractNumId w:val="3"/>
  </w:num>
  <w:num w:numId="17">
    <w:abstractNumId w:val="4"/>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3B"/>
    <w:rsid w:val="00011B7D"/>
    <w:rsid w:val="0002634D"/>
    <w:rsid w:val="000534CE"/>
    <w:rsid w:val="00061FE0"/>
    <w:rsid w:val="00072050"/>
    <w:rsid w:val="00075432"/>
    <w:rsid w:val="0009458A"/>
    <w:rsid w:val="000F5E56"/>
    <w:rsid w:val="001125B5"/>
    <w:rsid w:val="001362EE"/>
    <w:rsid w:val="00150368"/>
    <w:rsid w:val="001832A6"/>
    <w:rsid w:val="00195C6E"/>
    <w:rsid w:val="001B266A"/>
    <w:rsid w:val="001B488E"/>
    <w:rsid w:val="001C6508"/>
    <w:rsid w:val="001D3D56"/>
    <w:rsid w:val="001F788B"/>
    <w:rsid w:val="00240654"/>
    <w:rsid w:val="0025540C"/>
    <w:rsid w:val="002634C4"/>
    <w:rsid w:val="0029133E"/>
    <w:rsid w:val="002956DE"/>
    <w:rsid w:val="002C5034"/>
    <w:rsid w:val="002C7C94"/>
    <w:rsid w:val="002E4D1A"/>
    <w:rsid w:val="002F16BC"/>
    <w:rsid w:val="002F4E68"/>
    <w:rsid w:val="003128BC"/>
    <w:rsid w:val="00316221"/>
    <w:rsid w:val="00322C0B"/>
    <w:rsid w:val="00340B65"/>
    <w:rsid w:val="00381798"/>
    <w:rsid w:val="00381CB0"/>
    <w:rsid w:val="003845C1"/>
    <w:rsid w:val="003A67A3"/>
    <w:rsid w:val="003E23E3"/>
    <w:rsid w:val="004008A2"/>
    <w:rsid w:val="004025DF"/>
    <w:rsid w:val="0040540C"/>
    <w:rsid w:val="00423E3E"/>
    <w:rsid w:val="00427AF4"/>
    <w:rsid w:val="004302F9"/>
    <w:rsid w:val="004647DA"/>
    <w:rsid w:val="00477D6B"/>
    <w:rsid w:val="004B453B"/>
    <w:rsid w:val="004D6471"/>
    <w:rsid w:val="0051455D"/>
    <w:rsid w:val="00525B63"/>
    <w:rsid w:val="00525E59"/>
    <w:rsid w:val="00526D58"/>
    <w:rsid w:val="00541348"/>
    <w:rsid w:val="005421DD"/>
    <w:rsid w:val="00554FA5"/>
    <w:rsid w:val="00567A4C"/>
    <w:rsid w:val="00574036"/>
    <w:rsid w:val="00586F34"/>
    <w:rsid w:val="00595F07"/>
    <w:rsid w:val="005E6516"/>
    <w:rsid w:val="005F48AD"/>
    <w:rsid w:val="00605827"/>
    <w:rsid w:val="00616671"/>
    <w:rsid w:val="006B0DB5"/>
    <w:rsid w:val="007461F1"/>
    <w:rsid w:val="007C56CD"/>
    <w:rsid w:val="007C6F2C"/>
    <w:rsid w:val="007D6961"/>
    <w:rsid w:val="007F07CB"/>
    <w:rsid w:val="00800ECC"/>
    <w:rsid w:val="00810CEF"/>
    <w:rsid w:val="0081208D"/>
    <w:rsid w:val="008617FA"/>
    <w:rsid w:val="008B2CC1"/>
    <w:rsid w:val="008E7930"/>
    <w:rsid w:val="0090731E"/>
    <w:rsid w:val="00914DC5"/>
    <w:rsid w:val="00966A22"/>
    <w:rsid w:val="00974CD6"/>
    <w:rsid w:val="009767B3"/>
    <w:rsid w:val="009C492C"/>
    <w:rsid w:val="009D30E6"/>
    <w:rsid w:val="009E3F6F"/>
    <w:rsid w:val="009F499F"/>
    <w:rsid w:val="00A11D74"/>
    <w:rsid w:val="00A43BEA"/>
    <w:rsid w:val="00A64E23"/>
    <w:rsid w:val="00AB6CA1"/>
    <w:rsid w:val="00AC0AE4"/>
    <w:rsid w:val="00AD229E"/>
    <w:rsid w:val="00AD61DB"/>
    <w:rsid w:val="00AE4A2A"/>
    <w:rsid w:val="00AF5936"/>
    <w:rsid w:val="00B04E84"/>
    <w:rsid w:val="00B1090C"/>
    <w:rsid w:val="00B1326A"/>
    <w:rsid w:val="00B35AF5"/>
    <w:rsid w:val="00B45C15"/>
    <w:rsid w:val="00BD5CC2"/>
    <w:rsid w:val="00BE0BE0"/>
    <w:rsid w:val="00C152AF"/>
    <w:rsid w:val="00C664C8"/>
    <w:rsid w:val="00C667CC"/>
    <w:rsid w:val="00C91747"/>
    <w:rsid w:val="00CA3CE2"/>
    <w:rsid w:val="00CC4D08"/>
    <w:rsid w:val="00CE1003"/>
    <w:rsid w:val="00CF0460"/>
    <w:rsid w:val="00D2327D"/>
    <w:rsid w:val="00D43E0F"/>
    <w:rsid w:val="00D45252"/>
    <w:rsid w:val="00D71B4D"/>
    <w:rsid w:val="00D75C1E"/>
    <w:rsid w:val="00D93D55"/>
    <w:rsid w:val="00DB1C48"/>
    <w:rsid w:val="00DD4917"/>
    <w:rsid w:val="00DD6A16"/>
    <w:rsid w:val="00E0091A"/>
    <w:rsid w:val="00E203AA"/>
    <w:rsid w:val="00E30ED7"/>
    <w:rsid w:val="00E5217A"/>
    <w:rsid w:val="00E527A5"/>
    <w:rsid w:val="00E52C12"/>
    <w:rsid w:val="00E651D3"/>
    <w:rsid w:val="00E76456"/>
    <w:rsid w:val="00EA7925"/>
    <w:rsid w:val="00EE249C"/>
    <w:rsid w:val="00EE71CB"/>
    <w:rsid w:val="00EF1627"/>
    <w:rsid w:val="00F16975"/>
    <w:rsid w:val="00F66152"/>
    <w:rsid w:val="00FC7ABF"/>
    <w:rsid w:val="00FF4371"/>
    <w:rsid w:val="00FF68D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EDC1951-DA9B-40A3-AFBA-828632D0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D2327D"/>
    <w:pPr>
      <w:keepNext/>
      <w:numPr>
        <w:numId w:val="9"/>
      </w:numPr>
      <w:spacing w:before="240" w:after="220"/>
      <w:outlineLvl w:val="0"/>
    </w:pPr>
    <w:rPr>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E30ED7"/>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8617FA"/>
    <w:pPr>
      <w:ind w:left="720"/>
      <w:contextualSpacing/>
    </w:pPr>
    <w:rPr>
      <w:lang w:val="fr-FR"/>
    </w:rPr>
  </w:style>
  <w:style w:type="character" w:styleId="Hyperlink">
    <w:name w:val="Hyperlink"/>
    <w:basedOn w:val="DefaultParagraphFont"/>
    <w:unhideWhenUsed/>
    <w:rsid w:val="004B453B"/>
    <w:rPr>
      <w:color w:val="0000FF" w:themeColor="hyperlink"/>
      <w:u w:val="single"/>
    </w:rPr>
  </w:style>
  <w:style w:type="character" w:customStyle="1" w:styleId="FootnoteTextChar">
    <w:name w:val="Footnote Text Char"/>
    <w:basedOn w:val="DefaultParagraphFont"/>
    <w:link w:val="FootnoteText"/>
    <w:uiPriority w:val="99"/>
    <w:semiHidden/>
    <w:rsid w:val="004B453B"/>
    <w:rPr>
      <w:rFonts w:ascii="Arial" w:eastAsia="SimSun" w:hAnsi="Arial" w:cs="Arial"/>
      <w:sz w:val="18"/>
      <w:lang w:eastAsia="zh-CN"/>
    </w:rPr>
  </w:style>
  <w:style w:type="character" w:styleId="FootnoteReference">
    <w:name w:val="footnote reference"/>
    <w:basedOn w:val="DefaultParagraphFont"/>
    <w:uiPriority w:val="99"/>
    <w:unhideWhenUsed/>
    <w:rsid w:val="004B453B"/>
    <w:rPr>
      <w:vertAlign w:val="superscript"/>
    </w:rPr>
  </w:style>
  <w:style w:type="character" w:styleId="FollowedHyperlink">
    <w:name w:val="FollowedHyperlink"/>
    <w:basedOn w:val="DefaultParagraphFont"/>
    <w:semiHidden/>
    <w:unhideWhenUsed/>
    <w:rsid w:val="00A43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averse.harvard.edu/dataverse/WGN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publications/fr/series/index.jsp?id=138&amp;sort=code" TargetMode="External"/><Relationship Id="rId17" Type="http://schemas.openxmlformats.org/officeDocument/2006/relationships/hyperlink" Target="https://www.wipo.int/econ_stat/fr/economi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ithub.com/IES-platform/r4r_gender.g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IES-platform/r4r_gender/blob/main/wgnd/README.m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7910/DVN/YPRQH8" TargetMode="External"/><Relationship Id="rId23" Type="http://schemas.openxmlformats.org/officeDocument/2006/relationships/footer" Target="footer3.xml"/><Relationship Id="rId10" Type="http://schemas.openxmlformats.org/officeDocument/2006/relationships/hyperlink" Target="https://dataverse.harvard.edu/dataverse/WGN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ipo.int/meetings/fr/doc_details.jsp?doc_id=421755" TargetMode="External"/><Relationship Id="rId14" Type="http://schemas.openxmlformats.org/officeDocument/2006/relationships/hyperlink" Target="https://github.com/IES-platform/r4r_gender/blob/main/wgnd/README.md"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34BE-D8BE-4249-833A-51AB1AE9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26 (F)</Template>
  <TotalTime>0</TotalTime>
  <Pages>6</Pages>
  <Words>2423</Words>
  <Characters>13536</Characters>
  <Application>Microsoft Office Word</Application>
  <DocSecurity>0</DocSecurity>
  <Lines>214</Lines>
  <Paragraphs>50</Paragraphs>
  <ScaleCrop>false</ScaleCrop>
  <HeadingPairs>
    <vt:vector size="2" baseType="variant">
      <vt:variant>
        <vt:lpstr>Title</vt:lpstr>
      </vt:variant>
      <vt:variant>
        <vt:i4>1</vt:i4>
      </vt:variant>
    </vt:vector>
  </HeadingPairs>
  <TitlesOfParts>
    <vt:vector size="1" baseType="lpstr">
      <vt:lpstr>CDIP/26/</vt:lpstr>
    </vt:vector>
  </TitlesOfParts>
  <Company>WIPO</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creator>AUBERT Annaelle</dc:creator>
  <cp:keywords>FOR OFFICIAL USE ONLY</cp:keywords>
  <cp:lastModifiedBy>ESTEVES DOS SANTOS Anabela</cp:lastModifiedBy>
  <cp:revision>2</cp:revision>
  <cp:lastPrinted>2011-05-19T12:37:00Z</cp:lastPrinted>
  <dcterms:created xsi:type="dcterms:W3CDTF">2021-06-02T13:36:00Z</dcterms:created>
  <dcterms:modified xsi:type="dcterms:W3CDTF">2021-06-02T13:36:00Z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